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93" w:rsidRPr="008F49E1" w:rsidRDefault="00E77693" w:rsidP="00E77693">
      <w:pPr>
        <w:rPr>
          <w:sz w:val="24"/>
          <w:szCs w:val="24"/>
        </w:rPr>
      </w:pPr>
      <w:r w:rsidRPr="009260DE">
        <w:rPr>
          <w:noProof/>
          <w:sz w:val="24"/>
          <w:szCs w:val="24"/>
          <w:lang w:eastAsia="da-DK"/>
        </w:rPr>
        <w:drawing>
          <wp:anchor distT="0" distB="0" distL="114300" distR="114300" simplePos="0" relativeHeight="251659264" behindDoc="0" locked="0" layoutInCell="1" allowOverlap="1" wp14:anchorId="5F36BED0" wp14:editId="524326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77693" w:rsidRPr="00F4215C" w:rsidRDefault="00E7037D" w:rsidP="00F4215C">
      <w:pPr>
        <w:pStyle w:val="Titel"/>
        <w:tabs>
          <w:tab w:val="right" w:pos="9356"/>
        </w:tabs>
        <w:jc w:val="right"/>
        <w:rPr>
          <w:szCs w:val="24"/>
          <w:lang w:eastAsia="en-US"/>
        </w:rPr>
      </w:pPr>
      <w:r>
        <w:rPr>
          <w:szCs w:val="24"/>
          <w:lang w:eastAsia="en-US"/>
        </w:rPr>
        <w:t>1</w:t>
      </w:r>
      <w:r w:rsidR="00A42A82">
        <w:rPr>
          <w:szCs w:val="24"/>
          <w:lang w:eastAsia="en-US"/>
        </w:rPr>
        <w:t>2</w:t>
      </w:r>
      <w:r w:rsidR="00F4215C" w:rsidRPr="00F4215C">
        <w:rPr>
          <w:szCs w:val="24"/>
          <w:lang w:eastAsia="en-US"/>
        </w:rPr>
        <w:t xml:space="preserve">. </w:t>
      </w:r>
      <w:r w:rsidR="00A42A82">
        <w:rPr>
          <w:szCs w:val="24"/>
          <w:lang w:eastAsia="en-US"/>
        </w:rPr>
        <w:t>juli</w:t>
      </w:r>
      <w:r w:rsidR="00F4215C" w:rsidRPr="00F4215C">
        <w:rPr>
          <w:szCs w:val="24"/>
          <w:lang w:eastAsia="en-US"/>
        </w:rPr>
        <w:t xml:space="preserve"> 202</w:t>
      </w:r>
      <w:r w:rsidR="00A42A82">
        <w:rPr>
          <w:szCs w:val="24"/>
          <w:lang w:eastAsia="en-US"/>
        </w:rPr>
        <w:t>4</w:t>
      </w:r>
    </w:p>
    <w:p w:rsidR="00E77693" w:rsidRPr="00C84483" w:rsidRDefault="00E77693" w:rsidP="00E77693">
      <w:pPr>
        <w:pStyle w:val="Titel"/>
        <w:tabs>
          <w:tab w:val="left" w:pos="8222"/>
        </w:tabs>
        <w:jc w:val="left"/>
        <w:rPr>
          <w:b w:val="0"/>
          <w:szCs w:val="24"/>
        </w:rPr>
      </w:pPr>
    </w:p>
    <w:p w:rsidR="00E77693" w:rsidRPr="00C84483" w:rsidRDefault="00E77693" w:rsidP="00E77693">
      <w:pPr>
        <w:pStyle w:val="Titel"/>
        <w:jc w:val="left"/>
        <w:rPr>
          <w:b w:val="0"/>
          <w:szCs w:val="24"/>
        </w:rPr>
      </w:pPr>
    </w:p>
    <w:p w:rsidR="00E77693" w:rsidRPr="00C84483" w:rsidRDefault="00E77693" w:rsidP="00E77693">
      <w:pPr>
        <w:pStyle w:val="Titel"/>
        <w:jc w:val="left"/>
        <w:rPr>
          <w:b w:val="0"/>
          <w:szCs w:val="24"/>
        </w:rPr>
      </w:pPr>
    </w:p>
    <w:p w:rsidR="00E77693" w:rsidRPr="00C84483" w:rsidRDefault="00E77693" w:rsidP="00E77693">
      <w:pPr>
        <w:jc w:val="center"/>
        <w:rPr>
          <w:b/>
          <w:sz w:val="24"/>
          <w:szCs w:val="24"/>
        </w:rPr>
      </w:pPr>
      <w:r w:rsidRPr="00C84483">
        <w:rPr>
          <w:b/>
          <w:sz w:val="24"/>
          <w:szCs w:val="24"/>
        </w:rPr>
        <w:t>PRODUKTRESUMÉ</w:t>
      </w:r>
    </w:p>
    <w:p w:rsidR="00E77693" w:rsidRPr="00C84483" w:rsidRDefault="001E7D80" w:rsidP="001E7D80">
      <w:pPr>
        <w:tabs>
          <w:tab w:val="left" w:pos="180"/>
        </w:tabs>
        <w:rPr>
          <w:b/>
          <w:sz w:val="24"/>
          <w:szCs w:val="24"/>
        </w:rPr>
      </w:pPr>
      <w:r>
        <w:rPr>
          <w:b/>
          <w:sz w:val="24"/>
          <w:szCs w:val="24"/>
        </w:rPr>
        <w:tab/>
      </w:r>
    </w:p>
    <w:p w:rsidR="00E77693" w:rsidRDefault="00E77693" w:rsidP="00E77693">
      <w:pPr>
        <w:jc w:val="center"/>
        <w:rPr>
          <w:b/>
          <w:sz w:val="24"/>
          <w:szCs w:val="24"/>
        </w:rPr>
      </w:pPr>
      <w:r w:rsidRPr="00C84483">
        <w:rPr>
          <w:b/>
          <w:sz w:val="24"/>
          <w:szCs w:val="24"/>
        </w:rPr>
        <w:t>for</w:t>
      </w:r>
    </w:p>
    <w:p w:rsidR="00E77693" w:rsidRPr="00C84483" w:rsidRDefault="00E77693" w:rsidP="00E77693">
      <w:pPr>
        <w:jc w:val="center"/>
        <w:rPr>
          <w:b/>
          <w:sz w:val="24"/>
          <w:szCs w:val="24"/>
        </w:rPr>
      </w:pPr>
    </w:p>
    <w:p w:rsidR="00E77693" w:rsidRPr="00C84483" w:rsidRDefault="00E77693" w:rsidP="00E77693">
      <w:pPr>
        <w:jc w:val="center"/>
        <w:rPr>
          <w:b/>
          <w:sz w:val="24"/>
          <w:szCs w:val="24"/>
        </w:rPr>
      </w:pPr>
      <w:proofErr w:type="spellStart"/>
      <w:r>
        <w:rPr>
          <w:b/>
          <w:sz w:val="24"/>
          <w:szCs w:val="24"/>
        </w:rPr>
        <w:t>Dacarbazine</w:t>
      </w:r>
      <w:proofErr w:type="spellEnd"/>
      <w:r>
        <w:rPr>
          <w:b/>
          <w:sz w:val="24"/>
          <w:szCs w:val="24"/>
        </w:rPr>
        <w:t xml:space="preserve"> "</w:t>
      </w:r>
      <w:proofErr w:type="spellStart"/>
      <w:r>
        <w:rPr>
          <w:b/>
          <w:sz w:val="24"/>
          <w:szCs w:val="24"/>
        </w:rPr>
        <w:t>Lipomed</w:t>
      </w:r>
      <w:proofErr w:type="spellEnd"/>
      <w:r>
        <w:rPr>
          <w:b/>
          <w:sz w:val="24"/>
          <w:szCs w:val="24"/>
        </w:rPr>
        <w:t>", pulver til infusionsvæske, opløsning</w:t>
      </w:r>
    </w:p>
    <w:p w:rsidR="00E77693" w:rsidRPr="00C84483" w:rsidRDefault="00E77693" w:rsidP="00E77693">
      <w:pPr>
        <w:jc w:val="both"/>
        <w:rPr>
          <w:sz w:val="24"/>
          <w:szCs w:val="24"/>
        </w:rPr>
      </w:pPr>
    </w:p>
    <w:p w:rsidR="00E77693" w:rsidRPr="00A915D4" w:rsidRDefault="00E77693" w:rsidP="00E77693">
      <w:pPr>
        <w:ind w:left="851" w:hanging="851"/>
        <w:jc w:val="both"/>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0.</w:t>
      </w:r>
      <w:r w:rsidRPr="00A915D4">
        <w:rPr>
          <w:b/>
          <w:sz w:val="24"/>
          <w:szCs w:val="24"/>
        </w:rPr>
        <w:tab/>
        <w:t>D.SP.NR.</w:t>
      </w:r>
    </w:p>
    <w:p w:rsidR="00E77693" w:rsidRPr="00A915D4" w:rsidRDefault="00E77693" w:rsidP="00E77693">
      <w:pPr>
        <w:tabs>
          <w:tab w:val="left" w:pos="851"/>
        </w:tabs>
        <w:ind w:left="851" w:hanging="851"/>
        <w:rPr>
          <w:sz w:val="24"/>
          <w:szCs w:val="24"/>
        </w:rPr>
      </w:pPr>
      <w:r>
        <w:rPr>
          <w:sz w:val="24"/>
          <w:szCs w:val="24"/>
        </w:rPr>
        <w:tab/>
      </w:r>
      <w:r w:rsidRPr="00A915D4">
        <w:rPr>
          <w:sz w:val="24"/>
          <w:szCs w:val="24"/>
        </w:rPr>
        <w:t>28057</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1.</w:t>
      </w:r>
      <w:r w:rsidRPr="00A915D4">
        <w:rPr>
          <w:b/>
          <w:sz w:val="24"/>
          <w:szCs w:val="24"/>
        </w:rPr>
        <w:tab/>
        <w:t>LÆGEMIDLETS NAVN</w:t>
      </w:r>
    </w:p>
    <w:p w:rsidR="00E77693" w:rsidRPr="00A915D4" w:rsidRDefault="00E77693" w:rsidP="00E77693">
      <w:pPr>
        <w:tabs>
          <w:tab w:val="left" w:pos="851"/>
        </w:tabs>
        <w:ind w:left="851" w:hanging="851"/>
        <w:rPr>
          <w:sz w:val="24"/>
          <w:szCs w:val="24"/>
        </w:rPr>
      </w:pPr>
      <w:r>
        <w:rPr>
          <w:sz w:val="24"/>
          <w:szCs w:val="24"/>
        </w:rPr>
        <w:tab/>
      </w:r>
      <w:proofErr w:type="spellStart"/>
      <w:r w:rsidRPr="00A915D4">
        <w:rPr>
          <w:sz w:val="24"/>
          <w:szCs w:val="24"/>
        </w:rPr>
        <w:t>Dacarbazine</w:t>
      </w:r>
      <w:proofErr w:type="spellEnd"/>
      <w:r w:rsidRPr="00A915D4">
        <w:rPr>
          <w:sz w:val="24"/>
          <w:szCs w:val="24"/>
        </w:rPr>
        <w:t xml:space="preserve"> "</w:t>
      </w:r>
      <w:proofErr w:type="spellStart"/>
      <w:r w:rsidRPr="00A915D4">
        <w:rPr>
          <w:sz w:val="24"/>
          <w:szCs w:val="24"/>
        </w:rPr>
        <w:t>Lipomed</w:t>
      </w:r>
      <w:proofErr w:type="spellEnd"/>
      <w:r w:rsidRPr="00A915D4">
        <w:rPr>
          <w:sz w:val="24"/>
          <w:szCs w:val="24"/>
        </w:rPr>
        <w:t>"</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2.</w:t>
      </w:r>
      <w:r w:rsidRPr="00A915D4">
        <w:rPr>
          <w:b/>
          <w:sz w:val="24"/>
          <w:szCs w:val="24"/>
        </w:rPr>
        <w:tab/>
        <w:t>KVALITATIV OG KVANTITATIV SAMMENSÆTNING</w:t>
      </w:r>
    </w:p>
    <w:p w:rsidR="00E77693" w:rsidRPr="00A915D4" w:rsidRDefault="00E77693" w:rsidP="00E77693">
      <w:pPr>
        <w:ind w:left="851"/>
        <w:rPr>
          <w:sz w:val="24"/>
          <w:szCs w:val="24"/>
          <w:lang w:eastAsia="da-DK"/>
        </w:rPr>
      </w:pPr>
      <w:r w:rsidRPr="00A915D4">
        <w:rPr>
          <w:sz w:val="24"/>
          <w:szCs w:val="24"/>
        </w:rPr>
        <w:t xml:space="preserve">Hvert enkeltdosishætteglas med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500 mg indeholder 500 mg </w:t>
      </w:r>
      <w:proofErr w:type="spellStart"/>
      <w:r w:rsidRPr="00A915D4">
        <w:rPr>
          <w:sz w:val="24"/>
          <w:szCs w:val="24"/>
        </w:rPr>
        <w:t>dacarbazin</w:t>
      </w:r>
      <w:proofErr w:type="spellEnd"/>
      <w:r w:rsidRPr="00A915D4">
        <w:rPr>
          <w:sz w:val="24"/>
          <w:szCs w:val="24"/>
        </w:rPr>
        <w:t xml:space="preserve"> (som </w:t>
      </w:r>
      <w:proofErr w:type="spellStart"/>
      <w:r w:rsidRPr="00A915D4">
        <w:rPr>
          <w:sz w:val="24"/>
          <w:szCs w:val="24"/>
        </w:rPr>
        <w:t>dacarbazincitrat</w:t>
      </w:r>
      <w:proofErr w:type="spellEnd"/>
      <w:r w:rsidRPr="00A915D4">
        <w:rPr>
          <w:sz w:val="24"/>
          <w:szCs w:val="24"/>
        </w:rPr>
        <w:t xml:space="preserve">, dannet </w:t>
      </w:r>
      <w:r w:rsidRPr="00A915D4">
        <w:rPr>
          <w:i/>
          <w:sz w:val="24"/>
          <w:szCs w:val="24"/>
        </w:rPr>
        <w:t>in situ</w:t>
      </w:r>
      <w:r w:rsidRPr="00A915D4">
        <w:rPr>
          <w:sz w:val="24"/>
          <w:szCs w:val="24"/>
        </w:rPr>
        <w:t>).</w:t>
      </w:r>
    </w:p>
    <w:p w:rsidR="00E77693" w:rsidRPr="00A915D4" w:rsidRDefault="00E77693" w:rsidP="00E77693">
      <w:pPr>
        <w:ind w:left="851"/>
        <w:rPr>
          <w:sz w:val="24"/>
          <w:szCs w:val="24"/>
        </w:rPr>
      </w:pPr>
      <w:r w:rsidRPr="00A915D4">
        <w:rPr>
          <w:sz w:val="24"/>
          <w:szCs w:val="24"/>
        </w:rPr>
        <w:t xml:space="preserve">Hvert enkeltdosishætteglas med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1000 mg indeholder 1000 mg </w:t>
      </w:r>
      <w:proofErr w:type="spellStart"/>
      <w:r w:rsidRPr="00A915D4">
        <w:rPr>
          <w:sz w:val="24"/>
          <w:szCs w:val="24"/>
        </w:rPr>
        <w:t>dacarbazin</w:t>
      </w:r>
      <w:proofErr w:type="spellEnd"/>
      <w:r w:rsidRPr="00A915D4">
        <w:rPr>
          <w:sz w:val="24"/>
          <w:szCs w:val="24"/>
        </w:rPr>
        <w:t xml:space="preserve"> (som </w:t>
      </w:r>
      <w:proofErr w:type="spellStart"/>
      <w:r w:rsidRPr="00A915D4">
        <w:rPr>
          <w:sz w:val="24"/>
          <w:szCs w:val="24"/>
        </w:rPr>
        <w:t>dacarbazincitrat</w:t>
      </w:r>
      <w:proofErr w:type="spellEnd"/>
      <w:r w:rsidRPr="00A915D4">
        <w:rPr>
          <w:sz w:val="24"/>
          <w:szCs w:val="24"/>
        </w:rPr>
        <w:t xml:space="preserve">, dannet </w:t>
      </w:r>
      <w:r w:rsidRPr="00A915D4">
        <w:rPr>
          <w:i/>
          <w:sz w:val="24"/>
          <w:szCs w:val="24"/>
        </w:rPr>
        <w:t>in situ</w:t>
      </w:r>
      <w:r w:rsidRPr="00A915D4">
        <w:rPr>
          <w:sz w:val="24"/>
          <w:szCs w:val="24"/>
        </w:rPr>
        <w:t>).</w:t>
      </w:r>
    </w:p>
    <w:p w:rsidR="00E77693" w:rsidRPr="00A915D4" w:rsidRDefault="00E77693" w:rsidP="00E77693">
      <w:pPr>
        <w:ind w:left="851"/>
        <w:rPr>
          <w:sz w:val="24"/>
          <w:szCs w:val="24"/>
        </w:rPr>
      </w:pPr>
    </w:p>
    <w:p w:rsidR="00E77693" w:rsidRPr="009F17EB" w:rsidRDefault="00E77693" w:rsidP="00E77693">
      <w:pPr>
        <w:ind w:left="851"/>
        <w:rPr>
          <w:sz w:val="24"/>
          <w:szCs w:val="24"/>
          <w:lang w:eastAsia="da-DK"/>
        </w:rPr>
      </w:pPr>
      <w:r w:rsidRPr="009F17EB">
        <w:rPr>
          <w:sz w:val="24"/>
          <w:szCs w:val="24"/>
        </w:rPr>
        <w:t xml:space="preserve">Efter </w:t>
      </w:r>
      <w:proofErr w:type="spellStart"/>
      <w:r w:rsidRPr="009F17EB">
        <w:rPr>
          <w:sz w:val="24"/>
          <w:szCs w:val="24"/>
        </w:rPr>
        <w:t>rekonstitution</w:t>
      </w:r>
      <w:proofErr w:type="spellEnd"/>
      <w:r w:rsidRPr="009F17EB">
        <w:rPr>
          <w:sz w:val="24"/>
          <w:szCs w:val="24"/>
        </w:rPr>
        <w:t xml:space="preserve"> af </w:t>
      </w:r>
      <w:proofErr w:type="spellStart"/>
      <w:r w:rsidRPr="009F17EB">
        <w:rPr>
          <w:sz w:val="24"/>
          <w:szCs w:val="24"/>
        </w:rPr>
        <w:t>Dacarbazine</w:t>
      </w:r>
      <w:proofErr w:type="spellEnd"/>
      <w:r w:rsidRPr="009F17EB">
        <w:rPr>
          <w:sz w:val="24"/>
          <w:szCs w:val="24"/>
        </w:rPr>
        <w:t xml:space="preserve"> ”</w:t>
      </w:r>
      <w:proofErr w:type="spellStart"/>
      <w:r w:rsidRPr="009F17EB">
        <w:rPr>
          <w:sz w:val="24"/>
          <w:szCs w:val="24"/>
        </w:rPr>
        <w:t>Lipomed</w:t>
      </w:r>
      <w:proofErr w:type="spellEnd"/>
      <w:r w:rsidRPr="009F17EB">
        <w:rPr>
          <w:sz w:val="24"/>
          <w:szCs w:val="24"/>
        </w:rPr>
        <w:t xml:space="preserve">” 500 mg med 50 ml vand til injektionsvæsker indeholder 1 ml opløsning 10 mg </w:t>
      </w:r>
      <w:proofErr w:type="spellStart"/>
      <w:r w:rsidRPr="009F17EB">
        <w:rPr>
          <w:sz w:val="24"/>
          <w:szCs w:val="24"/>
        </w:rPr>
        <w:t>dacarbazin</w:t>
      </w:r>
      <w:proofErr w:type="spellEnd"/>
      <w:r w:rsidRPr="009F17EB">
        <w:rPr>
          <w:sz w:val="24"/>
          <w:szCs w:val="24"/>
        </w:rPr>
        <w:t xml:space="preserve"> (se pkt. 6.6).</w:t>
      </w:r>
    </w:p>
    <w:p w:rsidR="00E77693" w:rsidRDefault="00E77693" w:rsidP="00E77693">
      <w:pPr>
        <w:ind w:left="851"/>
      </w:pPr>
      <w:r w:rsidRPr="009F17EB">
        <w:rPr>
          <w:sz w:val="24"/>
          <w:szCs w:val="24"/>
        </w:rPr>
        <w:t>Efter</w:t>
      </w:r>
      <w:r>
        <w:rPr>
          <w:sz w:val="24"/>
          <w:szCs w:val="24"/>
        </w:rPr>
        <w:t xml:space="preserve"> </w:t>
      </w:r>
      <w:proofErr w:type="spellStart"/>
      <w:r w:rsidRPr="009F17EB">
        <w:rPr>
          <w:sz w:val="24"/>
          <w:szCs w:val="24"/>
        </w:rPr>
        <w:t>rekonstitution</w:t>
      </w:r>
      <w:proofErr w:type="spellEnd"/>
      <w:r w:rsidRPr="009F17EB">
        <w:rPr>
          <w:sz w:val="24"/>
          <w:szCs w:val="24"/>
        </w:rPr>
        <w:t xml:space="preserve"> af </w:t>
      </w:r>
      <w:proofErr w:type="spellStart"/>
      <w:r w:rsidRPr="009F17EB">
        <w:rPr>
          <w:sz w:val="24"/>
          <w:szCs w:val="24"/>
        </w:rPr>
        <w:t>Dacarbazine</w:t>
      </w:r>
      <w:proofErr w:type="spellEnd"/>
      <w:r w:rsidRPr="009F17EB">
        <w:rPr>
          <w:sz w:val="24"/>
          <w:szCs w:val="24"/>
        </w:rPr>
        <w:t xml:space="preserve"> ”</w:t>
      </w:r>
      <w:proofErr w:type="spellStart"/>
      <w:r w:rsidRPr="009F17EB">
        <w:rPr>
          <w:sz w:val="24"/>
          <w:szCs w:val="24"/>
        </w:rPr>
        <w:t>Lipomed</w:t>
      </w:r>
      <w:proofErr w:type="spellEnd"/>
      <w:r w:rsidRPr="009F17EB">
        <w:rPr>
          <w:sz w:val="24"/>
          <w:szCs w:val="24"/>
        </w:rPr>
        <w:t xml:space="preserve">” 1000 mg med 50 ml vand til injektionsvæsker indeholder 1 ml opløsning 20 mg </w:t>
      </w:r>
      <w:proofErr w:type="spellStart"/>
      <w:r w:rsidRPr="009F17EB">
        <w:rPr>
          <w:sz w:val="24"/>
          <w:szCs w:val="24"/>
        </w:rPr>
        <w:t>dacarbazin</w:t>
      </w:r>
      <w:proofErr w:type="spellEnd"/>
      <w:r w:rsidRPr="009F17EB">
        <w:rPr>
          <w:sz w:val="24"/>
          <w:szCs w:val="24"/>
        </w:rPr>
        <w:t xml:space="preserve"> (se pkt. 6.6).</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Alle hjælpestoffer er anført under pkt. 6.1.</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3.</w:t>
      </w:r>
      <w:r w:rsidRPr="00A915D4">
        <w:rPr>
          <w:b/>
          <w:sz w:val="24"/>
          <w:szCs w:val="24"/>
        </w:rPr>
        <w:tab/>
        <w:t>LÆGEMIDDELFORM</w:t>
      </w:r>
    </w:p>
    <w:p w:rsidR="00E77693" w:rsidRPr="00A915D4" w:rsidRDefault="00E77693" w:rsidP="00E77693">
      <w:pPr>
        <w:ind w:left="851"/>
        <w:rPr>
          <w:sz w:val="24"/>
          <w:szCs w:val="24"/>
          <w:lang w:eastAsia="da-DK"/>
        </w:rPr>
      </w:pPr>
      <w:r w:rsidRPr="00A915D4">
        <w:rPr>
          <w:sz w:val="24"/>
          <w:szCs w:val="24"/>
        </w:rPr>
        <w:t>Pulve</w:t>
      </w:r>
      <w:r>
        <w:rPr>
          <w:sz w:val="24"/>
          <w:szCs w:val="24"/>
        </w:rPr>
        <w:t>r til infusionsvæske, opløsning</w:t>
      </w:r>
    </w:p>
    <w:p w:rsidR="00E77693" w:rsidRPr="009F17EB" w:rsidRDefault="00E77693" w:rsidP="00E77693">
      <w:pPr>
        <w:tabs>
          <w:tab w:val="left" w:pos="851"/>
        </w:tabs>
        <w:ind w:left="851" w:hanging="851"/>
        <w:rPr>
          <w:sz w:val="24"/>
          <w:szCs w:val="24"/>
        </w:rPr>
      </w:pPr>
      <w:r>
        <w:tab/>
      </w:r>
      <w:r w:rsidRPr="009F17EB">
        <w:rPr>
          <w:sz w:val="24"/>
          <w:szCs w:val="24"/>
        </w:rPr>
        <w:t>Hvidt, frysetørret pulver.</w:t>
      </w:r>
    </w:p>
    <w:p w:rsidR="00E77693"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w:t>
      </w:r>
      <w:r w:rsidRPr="00A915D4">
        <w:rPr>
          <w:b/>
          <w:sz w:val="24"/>
          <w:szCs w:val="24"/>
        </w:rPr>
        <w:tab/>
        <w:t>KLINISKE OPLYSNINGER</w:t>
      </w:r>
    </w:p>
    <w:p w:rsidR="00E77693" w:rsidRPr="00A915D4" w:rsidRDefault="00E77693" w:rsidP="00E77693">
      <w:pPr>
        <w:tabs>
          <w:tab w:val="left" w:pos="851"/>
        </w:tabs>
        <w:ind w:left="851" w:hanging="851"/>
        <w:rPr>
          <w:b/>
          <w:sz w:val="24"/>
          <w:szCs w:val="24"/>
        </w:rPr>
      </w:pPr>
    </w:p>
    <w:p w:rsidR="00E77693" w:rsidRPr="00A915D4" w:rsidRDefault="00E77693" w:rsidP="00E77693">
      <w:pPr>
        <w:tabs>
          <w:tab w:val="left" w:pos="851"/>
        </w:tabs>
        <w:ind w:left="851" w:hanging="851"/>
        <w:rPr>
          <w:b/>
          <w:sz w:val="24"/>
          <w:szCs w:val="24"/>
          <w:u w:val="single"/>
        </w:rPr>
      </w:pPr>
      <w:r w:rsidRPr="00A915D4">
        <w:rPr>
          <w:b/>
          <w:sz w:val="24"/>
          <w:szCs w:val="24"/>
        </w:rPr>
        <w:t>4.1</w:t>
      </w:r>
      <w:r w:rsidRPr="00A915D4">
        <w:rPr>
          <w:b/>
          <w:sz w:val="24"/>
          <w:szCs w:val="24"/>
        </w:rPr>
        <w:tab/>
        <w:t>Terapeutiske indikationer</w:t>
      </w:r>
    </w:p>
    <w:p w:rsidR="00E77693" w:rsidRPr="00A915D4" w:rsidRDefault="00E77693" w:rsidP="00E77693">
      <w:pPr>
        <w:ind w:left="851"/>
        <w:rPr>
          <w:sz w:val="24"/>
          <w:szCs w:val="24"/>
          <w:lang w:eastAsia="da-DK"/>
        </w:rPr>
      </w:pP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er indiceret til behandling af patienter med metastaseret malignt melanom.</w:t>
      </w:r>
    </w:p>
    <w:p w:rsidR="00E77693" w:rsidRPr="00A915D4" w:rsidRDefault="00E77693" w:rsidP="00E77693">
      <w:pPr>
        <w:ind w:left="851"/>
        <w:rPr>
          <w:sz w:val="24"/>
          <w:szCs w:val="24"/>
        </w:rPr>
      </w:pPr>
      <w:r w:rsidRPr="00A915D4">
        <w:rPr>
          <w:sz w:val="24"/>
          <w:szCs w:val="24"/>
        </w:rPr>
        <w:t xml:space="preserve">Yderligere indikationer for </w:t>
      </w:r>
      <w:proofErr w:type="spellStart"/>
      <w:r w:rsidRPr="00A915D4">
        <w:rPr>
          <w:sz w:val="24"/>
          <w:szCs w:val="24"/>
        </w:rPr>
        <w:t>dacarbazin</w:t>
      </w:r>
      <w:proofErr w:type="spellEnd"/>
      <w:r w:rsidRPr="00A915D4">
        <w:rPr>
          <w:sz w:val="24"/>
          <w:szCs w:val="24"/>
        </w:rPr>
        <w:t xml:space="preserve"> som led i en kombinationskemoterapi er:</w:t>
      </w:r>
    </w:p>
    <w:p w:rsidR="00E77693" w:rsidRPr="00A915D4" w:rsidRDefault="00E77693" w:rsidP="00E77693">
      <w:pPr>
        <w:ind w:left="851" w:hanging="851"/>
        <w:jc w:val="both"/>
        <w:rPr>
          <w:sz w:val="24"/>
          <w:szCs w:val="24"/>
        </w:rPr>
      </w:pPr>
    </w:p>
    <w:p w:rsidR="00E77693" w:rsidRPr="00A915D4" w:rsidRDefault="00E77693" w:rsidP="00E77693">
      <w:pPr>
        <w:numPr>
          <w:ilvl w:val="0"/>
          <w:numId w:val="6"/>
        </w:numPr>
        <w:ind w:left="1276" w:hanging="425"/>
        <w:rPr>
          <w:sz w:val="24"/>
          <w:szCs w:val="24"/>
        </w:rPr>
      </w:pPr>
      <w:r w:rsidRPr="00A915D4">
        <w:rPr>
          <w:sz w:val="24"/>
          <w:szCs w:val="24"/>
        </w:rPr>
        <w:t xml:space="preserve">Fremskreden </w:t>
      </w:r>
      <w:proofErr w:type="spellStart"/>
      <w:r w:rsidRPr="00A915D4">
        <w:rPr>
          <w:sz w:val="24"/>
          <w:szCs w:val="24"/>
        </w:rPr>
        <w:t>Hodkins</w:t>
      </w:r>
      <w:proofErr w:type="spellEnd"/>
      <w:r w:rsidRPr="00A915D4">
        <w:rPr>
          <w:sz w:val="24"/>
          <w:szCs w:val="24"/>
        </w:rPr>
        <w:t xml:space="preserve"> sygdom.</w:t>
      </w:r>
    </w:p>
    <w:p w:rsidR="00E77693" w:rsidRPr="00A915D4" w:rsidRDefault="00E77693" w:rsidP="00E77693">
      <w:pPr>
        <w:numPr>
          <w:ilvl w:val="0"/>
          <w:numId w:val="6"/>
        </w:numPr>
        <w:ind w:left="1276" w:hanging="425"/>
        <w:rPr>
          <w:sz w:val="24"/>
          <w:szCs w:val="24"/>
        </w:rPr>
      </w:pPr>
      <w:r w:rsidRPr="00A915D4">
        <w:rPr>
          <w:sz w:val="24"/>
          <w:szCs w:val="24"/>
        </w:rPr>
        <w:t xml:space="preserve">Fremskredne bløddelssarkomer (undtagen </w:t>
      </w:r>
      <w:proofErr w:type="spellStart"/>
      <w:r w:rsidRPr="00A915D4">
        <w:rPr>
          <w:sz w:val="24"/>
          <w:szCs w:val="24"/>
        </w:rPr>
        <w:t>mesoteliom</w:t>
      </w:r>
      <w:proofErr w:type="spellEnd"/>
      <w:r w:rsidRPr="00A915D4">
        <w:rPr>
          <w:sz w:val="24"/>
          <w:szCs w:val="24"/>
        </w:rPr>
        <w:t xml:space="preserve">, </w:t>
      </w:r>
      <w:proofErr w:type="spellStart"/>
      <w:r w:rsidRPr="00A915D4">
        <w:rPr>
          <w:sz w:val="24"/>
          <w:szCs w:val="24"/>
        </w:rPr>
        <w:t>Kaposis</w:t>
      </w:r>
      <w:proofErr w:type="spellEnd"/>
      <w:r w:rsidRPr="00A915D4">
        <w:rPr>
          <w:sz w:val="24"/>
          <w:szCs w:val="24"/>
        </w:rPr>
        <w:t xml:space="preserve"> sarkom) hos voksne.</w:t>
      </w:r>
    </w:p>
    <w:p w:rsidR="00E77693" w:rsidRDefault="00E77693" w:rsidP="00E77693">
      <w:pPr>
        <w:rPr>
          <w:sz w:val="24"/>
          <w:szCs w:val="24"/>
        </w:rPr>
      </w:pPr>
      <w:r>
        <w:rPr>
          <w:sz w:val="24"/>
          <w:szCs w:val="24"/>
        </w:rPr>
        <w:br w:type="page"/>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4.2</w:t>
      </w:r>
      <w:r w:rsidRPr="00A915D4">
        <w:rPr>
          <w:b/>
          <w:sz w:val="24"/>
          <w:szCs w:val="24"/>
        </w:rPr>
        <w:tab/>
        <w:t xml:space="preserve">Dosering og </w:t>
      </w:r>
      <w:r w:rsidR="00A42A82">
        <w:rPr>
          <w:b/>
          <w:sz w:val="24"/>
          <w:szCs w:val="24"/>
        </w:rPr>
        <w:t>administration</w:t>
      </w:r>
    </w:p>
    <w:p w:rsidR="00E77693" w:rsidRPr="00A915D4" w:rsidRDefault="00E77693" w:rsidP="00E77693">
      <w:pPr>
        <w:ind w:left="851"/>
        <w:rPr>
          <w:sz w:val="24"/>
          <w:szCs w:val="24"/>
          <w:lang w:eastAsia="da-DK"/>
        </w:rPr>
      </w:pPr>
      <w:r w:rsidRPr="00A915D4">
        <w:rPr>
          <w:sz w:val="24"/>
          <w:szCs w:val="24"/>
        </w:rPr>
        <w:t xml:space="preserve">Behandlingen med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bør kun udføres af læger med erfaring i henholdsvis onkologi eller hæmatologi.</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Under behandlingen med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er det nødvendigt at udføre hyppig kontrol af blodbilledet, samt overvåge lever- og nyrefunktionen. Da der hyppigt opstår svære mave</w:t>
      </w:r>
      <w:r w:rsidRPr="00A915D4">
        <w:rPr>
          <w:sz w:val="24"/>
          <w:szCs w:val="24"/>
        </w:rPr>
        <w:noBreakHyphen/>
        <w:t>tarm</w:t>
      </w:r>
      <w:r w:rsidRPr="00A915D4">
        <w:rPr>
          <w:sz w:val="24"/>
          <w:szCs w:val="24"/>
        </w:rPr>
        <w:noBreakHyphen/>
        <w:t xml:space="preserve">reaktioner, er </w:t>
      </w:r>
      <w:proofErr w:type="spellStart"/>
      <w:r w:rsidRPr="00A915D4">
        <w:rPr>
          <w:sz w:val="24"/>
          <w:szCs w:val="24"/>
        </w:rPr>
        <w:t>antiemetika</w:t>
      </w:r>
      <w:proofErr w:type="spellEnd"/>
      <w:r w:rsidRPr="00A915D4">
        <w:rPr>
          <w:sz w:val="24"/>
          <w:szCs w:val="24"/>
        </w:rPr>
        <w:t xml:space="preserve"> og støtteforanstaltninger tilrådelige.</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Da der kan opstå svære mave</w:t>
      </w:r>
      <w:r w:rsidRPr="00A915D4">
        <w:rPr>
          <w:sz w:val="24"/>
          <w:szCs w:val="24"/>
        </w:rPr>
        <w:noBreakHyphen/>
        <w:t>tarm</w:t>
      </w:r>
      <w:r w:rsidRPr="00A915D4">
        <w:rPr>
          <w:sz w:val="24"/>
          <w:szCs w:val="24"/>
        </w:rPr>
        <w:noBreakHyphen/>
        <w:t>forstyrrelser og hæmatologiske forstyrrelser, skal der udføres en meget grundig benefit/</w:t>
      </w:r>
      <w:proofErr w:type="spellStart"/>
      <w:r w:rsidRPr="00A915D4">
        <w:rPr>
          <w:sz w:val="24"/>
          <w:szCs w:val="24"/>
        </w:rPr>
        <w:t>risk</w:t>
      </w:r>
      <w:proofErr w:type="spellEnd"/>
      <w:r w:rsidRPr="00A915D4">
        <w:rPr>
          <w:sz w:val="24"/>
          <w:szCs w:val="24"/>
        </w:rPr>
        <w:t xml:space="preserve">-analyse før hvert behandlingsforløb med </w:t>
      </w:r>
      <w:proofErr w:type="spellStart"/>
      <w:r w:rsidRPr="00A915D4">
        <w:rPr>
          <w:sz w:val="24"/>
          <w:szCs w:val="24"/>
        </w:rPr>
        <w:t>dacarbazin</w:t>
      </w:r>
      <w:proofErr w:type="spellEnd"/>
      <w:r w:rsidRPr="00A915D4">
        <w:rPr>
          <w:sz w:val="24"/>
          <w:szCs w:val="24"/>
        </w:rPr>
        <w:t>.</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Det bør undgås at indtage fødevarer før administration af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for at reducere sværhedsgraden af kvalme og opkastning. Ekskrementer og opkast skal håndteres med forsigtighed.</w:t>
      </w:r>
    </w:p>
    <w:p w:rsidR="00E77693" w:rsidRPr="00A915D4" w:rsidRDefault="00E77693" w:rsidP="00E77693">
      <w:pPr>
        <w:ind w:left="851"/>
        <w:rPr>
          <w:sz w:val="24"/>
          <w:szCs w:val="24"/>
        </w:rPr>
      </w:pPr>
    </w:p>
    <w:p w:rsidR="00E77693" w:rsidRPr="00A915D4" w:rsidRDefault="00E77693" w:rsidP="00E77693">
      <w:pPr>
        <w:ind w:left="851"/>
        <w:rPr>
          <w:sz w:val="24"/>
          <w:szCs w:val="24"/>
          <w:u w:val="single"/>
        </w:rPr>
      </w:pPr>
      <w:r w:rsidRPr="00A915D4">
        <w:rPr>
          <w:sz w:val="24"/>
          <w:szCs w:val="24"/>
          <w:u w:val="single"/>
        </w:rPr>
        <w:t>Dosering</w:t>
      </w:r>
    </w:p>
    <w:p w:rsidR="00E77693" w:rsidRPr="00A915D4" w:rsidRDefault="00E77693" w:rsidP="00E77693">
      <w:pPr>
        <w:ind w:left="851"/>
        <w:rPr>
          <w:sz w:val="24"/>
          <w:szCs w:val="24"/>
        </w:rPr>
      </w:pPr>
      <w:r w:rsidRPr="00A915D4">
        <w:rPr>
          <w:sz w:val="24"/>
          <w:szCs w:val="24"/>
        </w:rPr>
        <w:t>Følgende behandlingsprogrammer kan anvendes. For yderligere oplysninger henvises til aktuel videnskabelig litteratur.</w:t>
      </w:r>
    </w:p>
    <w:p w:rsidR="00E77693" w:rsidRPr="00A915D4" w:rsidRDefault="00E77693" w:rsidP="00E77693">
      <w:pPr>
        <w:ind w:left="851"/>
        <w:rPr>
          <w:sz w:val="24"/>
          <w:szCs w:val="24"/>
        </w:rPr>
      </w:pPr>
    </w:p>
    <w:p w:rsidR="00E77693" w:rsidRPr="00A915D4" w:rsidRDefault="00E77693" w:rsidP="00E77693">
      <w:pPr>
        <w:ind w:left="851"/>
        <w:rPr>
          <w:i/>
          <w:sz w:val="24"/>
          <w:szCs w:val="24"/>
        </w:rPr>
      </w:pPr>
      <w:r w:rsidRPr="00A915D4">
        <w:rPr>
          <w:i/>
          <w:sz w:val="24"/>
          <w:szCs w:val="24"/>
        </w:rPr>
        <w:t>Malignt melanom</w:t>
      </w: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kan administreres som et enkeltstof i doser på 200 til 250 mg/m</w:t>
      </w:r>
      <w:r w:rsidRPr="00A915D4">
        <w:rPr>
          <w:sz w:val="24"/>
          <w:szCs w:val="24"/>
          <w:vertAlign w:val="superscript"/>
        </w:rPr>
        <w:t>2</w:t>
      </w:r>
      <w:r w:rsidRPr="00A915D4">
        <w:rPr>
          <w:sz w:val="24"/>
          <w:szCs w:val="24"/>
        </w:rPr>
        <w:t xml:space="preserve"> legems</w:t>
      </w:r>
      <w:r>
        <w:rPr>
          <w:sz w:val="24"/>
          <w:szCs w:val="24"/>
        </w:rPr>
        <w:softHyphen/>
      </w:r>
      <w:r w:rsidRPr="00A915D4">
        <w:rPr>
          <w:sz w:val="24"/>
          <w:szCs w:val="24"/>
        </w:rPr>
        <w:t>overfladeareal/dag intravenøst i 5 dage hver 3. uge.</w:t>
      </w:r>
    </w:p>
    <w:p w:rsidR="00E77693" w:rsidRPr="00A915D4" w:rsidRDefault="00E77693" w:rsidP="00E77693">
      <w:pPr>
        <w:ind w:left="851"/>
        <w:rPr>
          <w:sz w:val="24"/>
          <w:szCs w:val="24"/>
        </w:rPr>
      </w:pP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kan administreres som en kortvarig infusion (i løbet af 20 </w:t>
      </w:r>
      <w:r w:rsidRPr="00A915D4">
        <w:rPr>
          <w:sz w:val="24"/>
          <w:szCs w:val="24"/>
        </w:rPr>
        <w:noBreakHyphen/>
        <w:t> 30 minutter).</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Det er også muligt at give 850 mg/m</w:t>
      </w:r>
      <w:r w:rsidRPr="00A915D4">
        <w:rPr>
          <w:sz w:val="24"/>
          <w:szCs w:val="24"/>
          <w:vertAlign w:val="superscript"/>
        </w:rPr>
        <w:t>2</w:t>
      </w:r>
      <w:r w:rsidRPr="00A915D4">
        <w:rPr>
          <w:sz w:val="24"/>
          <w:szCs w:val="24"/>
        </w:rPr>
        <w:t xml:space="preserve"> legemsoverfladeareal på dag 1, og derefter hver 3. uge som en intravenøs infusion.</w:t>
      </w:r>
    </w:p>
    <w:p w:rsidR="00E77693" w:rsidRPr="00A915D4" w:rsidRDefault="00E77693" w:rsidP="00E77693">
      <w:pPr>
        <w:ind w:left="851"/>
        <w:rPr>
          <w:sz w:val="24"/>
          <w:szCs w:val="24"/>
        </w:rPr>
      </w:pPr>
    </w:p>
    <w:p w:rsidR="00E77693" w:rsidRPr="00A915D4" w:rsidRDefault="00E77693" w:rsidP="00E77693">
      <w:pPr>
        <w:ind w:left="851"/>
        <w:rPr>
          <w:i/>
          <w:sz w:val="24"/>
          <w:szCs w:val="24"/>
        </w:rPr>
      </w:pPr>
      <w:proofErr w:type="spellStart"/>
      <w:r w:rsidRPr="00A915D4">
        <w:rPr>
          <w:i/>
          <w:sz w:val="24"/>
          <w:szCs w:val="24"/>
        </w:rPr>
        <w:t>Hodgkins</w:t>
      </w:r>
      <w:proofErr w:type="spellEnd"/>
      <w:r w:rsidRPr="00A915D4">
        <w:rPr>
          <w:i/>
          <w:sz w:val="24"/>
          <w:szCs w:val="24"/>
        </w:rPr>
        <w:t xml:space="preserve"> sygdom</w:t>
      </w: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administreres som en daglig dosis på 375 mg/m</w:t>
      </w:r>
      <w:r w:rsidRPr="00A915D4">
        <w:rPr>
          <w:sz w:val="24"/>
          <w:szCs w:val="24"/>
          <w:vertAlign w:val="superscript"/>
        </w:rPr>
        <w:t>2</w:t>
      </w:r>
      <w:r w:rsidRPr="00A915D4">
        <w:rPr>
          <w:sz w:val="24"/>
          <w:szCs w:val="24"/>
        </w:rPr>
        <w:t xml:space="preserve"> legemsoverfladeareal intravenøst hver 15. dag i kombination med </w:t>
      </w:r>
      <w:proofErr w:type="spellStart"/>
      <w:r w:rsidRPr="00A915D4">
        <w:rPr>
          <w:sz w:val="24"/>
          <w:szCs w:val="24"/>
        </w:rPr>
        <w:t>doxorubicin</w:t>
      </w:r>
      <w:proofErr w:type="spellEnd"/>
      <w:r w:rsidRPr="00A915D4">
        <w:rPr>
          <w:sz w:val="24"/>
          <w:szCs w:val="24"/>
        </w:rPr>
        <w:t xml:space="preserve">, </w:t>
      </w:r>
      <w:proofErr w:type="spellStart"/>
      <w:r w:rsidRPr="00A915D4">
        <w:rPr>
          <w:sz w:val="24"/>
          <w:szCs w:val="24"/>
        </w:rPr>
        <w:t>bleomycin</w:t>
      </w:r>
      <w:proofErr w:type="spellEnd"/>
      <w:r w:rsidRPr="00A915D4">
        <w:rPr>
          <w:sz w:val="24"/>
          <w:szCs w:val="24"/>
        </w:rPr>
        <w:t xml:space="preserve"> og </w:t>
      </w:r>
      <w:proofErr w:type="spellStart"/>
      <w:r w:rsidRPr="00A915D4">
        <w:rPr>
          <w:sz w:val="24"/>
          <w:szCs w:val="24"/>
        </w:rPr>
        <w:t>vinblastin</w:t>
      </w:r>
      <w:proofErr w:type="spellEnd"/>
      <w:r w:rsidRPr="00A915D4">
        <w:rPr>
          <w:sz w:val="24"/>
          <w:szCs w:val="24"/>
        </w:rPr>
        <w:t xml:space="preserve"> (ABVD</w:t>
      </w:r>
      <w:r w:rsidRPr="00A915D4">
        <w:rPr>
          <w:sz w:val="24"/>
          <w:szCs w:val="24"/>
        </w:rPr>
        <w:noBreakHyphen/>
        <w:t>behandlingsprogram).</w:t>
      </w:r>
    </w:p>
    <w:p w:rsidR="00E77693" w:rsidRPr="00A915D4" w:rsidRDefault="00E77693" w:rsidP="00E77693">
      <w:pPr>
        <w:ind w:left="851"/>
        <w:rPr>
          <w:sz w:val="24"/>
          <w:szCs w:val="24"/>
        </w:rPr>
      </w:pPr>
    </w:p>
    <w:p w:rsidR="00E77693" w:rsidRPr="00A915D4" w:rsidRDefault="00E77693" w:rsidP="00E77693">
      <w:pPr>
        <w:ind w:left="851"/>
        <w:rPr>
          <w:i/>
          <w:sz w:val="24"/>
          <w:szCs w:val="24"/>
        </w:rPr>
      </w:pPr>
      <w:r w:rsidRPr="00A915D4">
        <w:rPr>
          <w:i/>
          <w:sz w:val="24"/>
          <w:szCs w:val="24"/>
        </w:rPr>
        <w:t>Bløddelssarkom</w:t>
      </w:r>
    </w:p>
    <w:p w:rsidR="00E77693" w:rsidRPr="00A915D4" w:rsidRDefault="00E77693" w:rsidP="00E77693">
      <w:pPr>
        <w:ind w:left="851"/>
        <w:rPr>
          <w:sz w:val="24"/>
          <w:szCs w:val="24"/>
        </w:rPr>
      </w:pPr>
      <w:r w:rsidRPr="00A915D4">
        <w:rPr>
          <w:sz w:val="24"/>
          <w:szCs w:val="24"/>
        </w:rPr>
        <w:t xml:space="preserve">Til bløddelssarkom hos voksne gives </w:t>
      </w:r>
      <w:proofErr w:type="spellStart"/>
      <w:r w:rsidRPr="00A915D4">
        <w:rPr>
          <w:sz w:val="24"/>
          <w:szCs w:val="24"/>
        </w:rPr>
        <w:t>dacarbazin</w:t>
      </w:r>
      <w:proofErr w:type="spellEnd"/>
      <w:r w:rsidRPr="00A915D4">
        <w:rPr>
          <w:sz w:val="24"/>
          <w:szCs w:val="24"/>
        </w:rPr>
        <w:t xml:space="preserve"> i daglige doser på 250 mg/m</w:t>
      </w:r>
      <w:r w:rsidRPr="00A915D4">
        <w:rPr>
          <w:sz w:val="24"/>
          <w:szCs w:val="24"/>
          <w:vertAlign w:val="superscript"/>
        </w:rPr>
        <w:t>2</w:t>
      </w:r>
      <w:r w:rsidRPr="00A915D4">
        <w:rPr>
          <w:sz w:val="24"/>
          <w:szCs w:val="24"/>
        </w:rPr>
        <w:t xml:space="preserve"> legemsoverfladeareal intravenøst (dag 1 </w:t>
      </w:r>
      <w:r w:rsidRPr="00A915D4">
        <w:rPr>
          <w:sz w:val="24"/>
          <w:szCs w:val="24"/>
        </w:rPr>
        <w:noBreakHyphen/>
        <w:t xml:space="preserve"> 5) i kombination med </w:t>
      </w:r>
      <w:proofErr w:type="spellStart"/>
      <w:r w:rsidRPr="00A915D4">
        <w:rPr>
          <w:sz w:val="24"/>
          <w:szCs w:val="24"/>
        </w:rPr>
        <w:t>doxorubicin</w:t>
      </w:r>
      <w:proofErr w:type="spellEnd"/>
      <w:r w:rsidRPr="00A915D4">
        <w:rPr>
          <w:sz w:val="24"/>
          <w:szCs w:val="24"/>
        </w:rPr>
        <w:t xml:space="preserve"> hver 3. uge (ADIC</w:t>
      </w:r>
      <w:r w:rsidRPr="00A915D4">
        <w:rPr>
          <w:sz w:val="24"/>
          <w:szCs w:val="24"/>
        </w:rPr>
        <w:noBreakHyphen/>
        <w:t>behandlingsprogram).</w:t>
      </w:r>
    </w:p>
    <w:p w:rsidR="00E77693" w:rsidRPr="00A915D4" w:rsidRDefault="00E77693" w:rsidP="00E77693">
      <w:pPr>
        <w:ind w:left="851"/>
        <w:rPr>
          <w:sz w:val="24"/>
          <w:szCs w:val="24"/>
        </w:rPr>
      </w:pPr>
    </w:p>
    <w:p w:rsidR="00E77693" w:rsidRPr="00A915D4" w:rsidRDefault="00E77693" w:rsidP="00E77693">
      <w:pPr>
        <w:ind w:left="851"/>
        <w:rPr>
          <w:i/>
          <w:sz w:val="24"/>
          <w:szCs w:val="24"/>
        </w:rPr>
      </w:pPr>
      <w:r w:rsidRPr="00A915D4">
        <w:rPr>
          <w:i/>
          <w:sz w:val="24"/>
          <w:szCs w:val="24"/>
        </w:rPr>
        <w:t>Behandlingsvarighed</w:t>
      </w:r>
    </w:p>
    <w:p w:rsidR="00E77693" w:rsidRPr="00A915D4" w:rsidRDefault="00E77693" w:rsidP="00E77693">
      <w:pPr>
        <w:ind w:left="851"/>
        <w:rPr>
          <w:sz w:val="24"/>
          <w:szCs w:val="24"/>
        </w:rPr>
      </w:pPr>
      <w:r w:rsidRPr="00A915D4">
        <w:rPr>
          <w:sz w:val="24"/>
          <w:szCs w:val="24"/>
        </w:rPr>
        <w:t xml:space="preserve">Den behandlende læge bør afgøre behandlingens varighed individuelt, idet der skal tages hensyn til typen og stadiet af den underliggende sygdom, den administrerede kombinationsbehandling samt responset på og bivirkningerne af </w:t>
      </w:r>
      <w:proofErr w:type="spellStart"/>
      <w:r w:rsidRPr="00A915D4">
        <w:rPr>
          <w:sz w:val="24"/>
          <w:szCs w:val="24"/>
        </w:rPr>
        <w:t>dacarbazin</w:t>
      </w:r>
      <w:proofErr w:type="spellEnd"/>
      <w:r w:rsidRPr="00A915D4">
        <w:rPr>
          <w:sz w:val="24"/>
          <w:szCs w:val="24"/>
        </w:rPr>
        <w:t>.</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Ved fremskreden </w:t>
      </w:r>
      <w:proofErr w:type="spellStart"/>
      <w:r w:rsidRPr="00A915D4">
        <w:rPr>
          <w:sz w:val="24"/>
          <w:szCs w:val="24"/>
        </w:rPr>
        <w:t>Hodgkins</w:t>
      </w:r>
      <w:proofErr w:type="spellEnd"/>
      <w:r w:rsidRPr="00A915D4">
        <w:rPr>
          <w:sz w:val="24"/>
          <w:szCs w:val="24"/>
        </w:rPr>
        <w:t xml:space="preserve"> sygdom anbefales det normalt at give 6 behandlingscyklusser med ABVD</w:t>
      </w:r>
      <w:r w:rsidRPr="00A915D4">
        <w:rPr>
          <w:sz w:val="24"/>
          <w:szCs w:val="24"/>
        </w:rPr>
        <w:noBreakHyphen/>
        <w:t>kombinationsbehandling.</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Ved metastaseret malignt melanom og fremskredent bløddelssarkom afhænger behandlingens varighed af virkningen og </w:t>
      </w:r>
      <w:proofErr w:type="spellStart"/>
      <w:r w:rsidRPr="00A915D4">
        <w:rPr>
          <w:sz w:val="24"/>
          <w:szCs w:val="24"/>
        </w:rPr>
        <w:t>tolerabiliteten</w:t>
      </w:r>
      <w:proofErr w:type="spellEnd"/>
      <w:r w:rsidRPr="00A915D4">
        <w:rPr>
          <w:sz w:val="24"/>
          <w:szCs w:val="24"/>
        </w:rPr>
        <w:t xml:space="preserve"> hos den individuelle patient.</w:t>
      </w:r>
    </w:p>
    <w:p w:rsidR="00E77693" w:rsidRDefault="00E77693" w:rsidP="00E77693">
      <w:pPr>
        <w:rPr>
          <w:sz w:val="24"/>
          <w:szCs w:val="24"/>
        </w:rPr>
      </w:pPr>
      <w:r>
        <w:rPr>
          <w:sz w:val="24"/>
          <w:szCs w:val="24"/>
        </w:rPr>
        <w:br w:type="page"/>
      </w:r>
    </w:p>
    <w:p w:rsidR="00E77693" w:rsidRPr="00A915D4" w:rsidRDefault="00E77693" w:rsidP="00E77693">
      <w:pPr>
        <w:ind w:left="851"/>
        <w:rPr>
          <w:sz w:val="24"/>
          <w:szCs w:val="24"/>
        </w:rPr>
      </w:pPr>
    </w:p>
    <w:p w:rsidR="00E77693" w:rsidRPr="00A915D4" w:rsidRDefault="00E77693" w:rsidP="00E77693">
      <w:pPr>
        <w:ind w:left="851"/>
        <w:rPr>
          <w:i/>
          <w:sz w:val="24"/>
          <w:szCs w:val="24"/>
        </w:rPr>
      </w:pPr>
      <w:r w:rsidRPr="00A915D4">
        <w:rPr>
          <w:i/>
          <w:sz w:val="24"/>
          <w:szCs w:val="24"/>
        </w:rPr>
        <w:t>Særlige patientpopulationer</w:t>
      </w:r>
    </w:p>
    <w:p w:rsidR="00E77693" w:rsidRPr="00A915D4" w:rsidRDefault="00E77693" w:rsidP="00E77693">
      <w:pPr>
        <w:ind w:left="851"/>
        <w:rPr>
          <w:sz w:val="24"/>
          <w:szCs w:val="24"/>
        </w:rPr>
      </w:pPr>
      <w:r w:rsidRPr="00A915D4">
        <w:rPr>
          <w:sz w:val="24"/>
          <w:szCs w:val="24"/>
        </w:rPr>
        <w:t>Patienter med nedsat nyre-/leverfunktion:</w:t>
      </w:r>
    </w:p>
    <w:p w:rsidR="00E77693" w:rsidRPr="00A915D4" w:rsidRDefault="00E77693" w:rsidP="00E77693">
      <w:pPr>
        <w:ind w:left="851"/>
        <w:rPr>
          <w:sz w:val="24"/>
          <w:szCs w:val="24"/>
        </w:rPr>
      </w:pPr>
      <w:r w:rsidRPr="00A915D4">
        <w:rPr>
          <w:sz w:val="24"/>
          <w:szCs w:val="24"/>
        </w:rPr>
        <w:t xml:space="preserve">Hvis der kun er let til moderat nedsat nyre- eller leverfunktion, er en dosisreduktion normalt ikke nødvendig. Hos patienter med kombineret nedsat lever- og nyrefunktion, er eliminationen af </w:t>
      </w:r>
      <w:proofErr w:type="spellStart"/>
      <w:r w:rsidRPr="00A915D4">
        <w:rPr>
          <w:sz w:val="24"/>
          <w:szCs w:val="24"/>
        </w:rPr>
        <w:t>dacarbazin</w:t>
      </w:r>
      <w:proofErr w:type="spellEnd"/>
      <w:r w:rsidRPr="00A915D4">
        <w:rPr>
          <w:sz w:val="24"/>
          <w:szCs w:val="24"/>
        </w:rPr>
        <w:t xml:space="preserve"> forlænget. Der kan dog aktuelt ikke gives nogen validerede anbefalinger om dosisreduktioner.</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Ældre patienter:</w:t>
      </w:r>
    </w:p>
    <w:p w:rsidR="00E77693" w:rsidRPr="00A915D4" w:rsidRDefault="00E77693" w:rsidP="00E77693">
      <w:pPr>
        <w:ind w:left="851"/>
        <w:rPr>
          <w:sz w:val="24"/>
          <w:szCs w:val="24"/>
        </w:rPr>
      </w:pPr>
      <w:r w:rsidRPr="00A915D4">
        <w:rPr>
          <w:sz w:val="24"/>
          <w:szCs w:val="24"/>
        </w:rPr>
        <w:t>Da der foreligger begrænset erfaring med ældre patienter, kan der ikke gives nogle specielle instruktioner vedrørende brugen til ældre patienter.</w:t>
      </w:r>
    </w:p>
    <w:p w:rsidR="00E77693" w:rsidRPr="00A915D4" w:rsidRDefault="00E77693" w:rsidP="00E77693">
      <w:pPr>
        <w:ind w:left="851"/>
        <w:rPr>
          <w:sz w:val="24"/>
          <w:szCs w:val="24"/>
        </w:rPr>
      </w:pPr>
    </w:p>
    <w:p w:rsidR="00E77693" w:rsidRPr="00A915D4" w:rsidRDefault="00E77693" w:rsidP="00E77693">
      <w:pPr>
        <w:ind w:left="851"/>
        <w:rPr>
          <w:bCs/>
          <w:iCs/>
          <w:sz w:val="24"/>
          <w:szCs w:val="24"/>
        </w:rPr>
      </w:pPr>
      <w:r w:rsidRPr="00A915D4">
        <w:rPr>
          <w:sz w:val="24"/>
          <w:szCs w:val="24"/>
        </w:rPr>
        <w:t>Pædiatrisk population:</w:t>
      </w:r>
    </w:p>
    <w:p w:rsidR="00E77693" w:rsidRPr="00A915D4" w:rsidRDefault="00E77693" w:rsidP="00E77693">
      <w:pPr>
        <w:autoSpaceDE w:val="0"/>
        <w:autoSpaceDN w:val="0"/>
        <w:adjustRightInd w:val="0"/>
        <w:ind w:left="851"/>
        <w:rPr>
          <w:sz w:val="24"/>
          <w:szCs w:val="24"/>
        </w:rPr>
      </w:pP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r w:rsidRPr="00A915D4">
        <w:rPr>
          <w:sz w:val="24"/>
          <w:szCs w:val="24"/>
        </w:rPr>
        <w:t>s</w:t>
      </w:r>
      <w:proofErr w:type="spellEnd"/>
      <w:r w:rsidRPr="00A915D4">
        <w:rPr>
          <w:sz w:val="24"/>
          <w:szCs w:val="24"/>
        </w:rPr>
        <w:t xml:space="preserve"> sikkerhed og virkning hos børn </w:t>
      </w:r>
      <w:r>
        <w:rPr>
          <w:sz w:val="24"/>
          <w:szCs w:val="24"/>
        </w:rPr>
        <w:t xml:space="preserve">og unge </w:t>
      </w:r>
      <w:r w:rsidRPr="00A915D4">
        <w:rPr>
          <w:sz w:val="24"/>
          <w:szCs w:val="24"/>
        </w:rPr>
        <w:t>er endnu ikke klarlagt.</w:t>
      </w:r>
    </w:p>
    <w:p w:rsidR="00E77693" w:rsidRPr="00A915D4" w:rsidRDefault="00E77693" w:rsidP="00E77693">
      <w:pPr>
        <w:autoSpaceDE w:val="0"/>
        <w:autoSpaceDN w:val="0"/>
        <w:adjustRightInd w:val="0"/>
        <w:ind w:left="851"/>
        <w:rPr>
          <w:b/>
          <w:i/>
          <w:sz w:val="24"/>
          <w:szCs w:val="24"/>
        </w:rPr>
      </w:pPr>
    </w:p>
    <w:p w:rsidR="00E77693" w:rsidRPr="00A915D4" w:rsidRDefault="00E77693" w:rsidP="00E77693">
      <w:pPr>
        <w:ind w:left="851"/>
        <w:rPr>
          <w:sz w:val="24"/>
          <w:szCs w:val="24"/>
          <w:u w:val="single"/>
        </w:rPr>
      </w:pPr>
      <w:r w:rsidRPr="00A915D4">
        <w:rPr>
          <w:sz w:val="24"/>
          <w:szCs w:val="24"/>
          <w:u w:val="single"/>
        </w:rPr>
        <w:t>Administration</w:t>
      </w: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er følsomt over for lyseksponering. Alle </w:t>
      </w:r>
      <w:proofErr w:type="spellStart"/>
      <w:r w:rsidRPr="00A915D4">
        <w:rPr>
          <w:sz w:val="24"/>
          <w:szCs w:val="24"/>
        </w:rPr>
        <w:t>rekonstituerede</w:t>
      </w:r>
      <w:proofErr w:type="spellEnd"/>
      <w:r w:rsidRPr="00A915D4">
        <w:rPr>
          <w:sz w:val="24"/>
          <w:szCs w:val="24"/>
        </w:rPr>
        <w:t xml:space="preserve"> opløsninger skal beskyttes på passende vis mod lys, også under administrationen (lysresistent infusionssæt).</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Der bør udvises forsigtighed under administration for at undgå </w:t>
      </w:r>
      <w:proofErr w:type="spellStart"/>
      <w:r w:rsidRPr="00A915D4">
        <w:rPr>
          <w:sz w:val="24"/>
          <w:szCs w:val="24"/>
        </w:rPr>
        <w:t>paravenøs</w:t>
      </w:r>
      <w:proofErr w:type="spellEnd"/>
      <w:r w:rsidRPr="00A915D4">
        <w:rPr>
          <w:sz w:val="24"/>
          <w:szCs w:val="24"/>
        </w:rPr>
        <w:t xml:space="preserve"> applikation, da dette kan forårsage lokale smerter og vævsskade.</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Hvis der opstår </w:t>
      </w:r>
      <w:proofErr w:type="spellStart"/>
      <w:r w:rsidRPr="00A915D4">
        <w:rPr>
          <w:sz w:val="24"/>
          <w:szCs w:val="24"/>
        </w:rPr>
        <w:t>paravenøs</w:t>
      </w:r>
      <w:proofErr w:type="spellEnd"/>
      <w:r w:rsidRPr="00A915D4">
        <w:rPr>
          <w:sz w:val="24"/>
          <w:szCs w:val="24"/>
        </w:rPr>
        <w:t xml:space="preserve"> applikation, skal administrationen omgående afbrydes, og den evt. resterende dosis skal indføres i en anden vene.</w:t>
      </w:r>
    </w:p>
    <w:p w:rsidR="00E77693" w:rsidRPr="00A915D4" w:rsidRDefault="00E77693" w:rsidP="00E77693">
      <w:pPr>
        <w:ind w:left="851"/>
        <w:rPr>
          <w:sz w:val="24"/>
          <w:szCs w:val="24"/>
        </w:rPr>
      </w:pPr>
    </w:p>
    <w:p w:rsidR="00E77693" w:rsidRPr="00A915D4" w:rsidRDefault="00E77693" w:rsidP="00E77693">
      <w:pPr>
        <w:ind w:left="851"/>
        <w:rPr>
          <w:i/>
          <w:sz w:val="24"/>
          <w:szCs w:val="24"/>
        </w:rPr>
      </w:pPr>
      <w:r w:rsidRPr="00A915D4">
        <w:rPr>
          <w:i/>
          <w:sz w:val="24"/>
          <w:szCs w:val="24"/>
        </w:rPr>
        <w:t>Infusionshastighed</w:t>
      </w:r>
    </w:p>
    <w:p w:rsidR="00E77693" w:rsidRPr="00A915D4" w:rsidRDefault="00E77693" w:rsidP="00E77693">
      <w:pPr>
        <w:ind w:left="851"/>
        <w:rPr>
          <w:sz w:val="24"/>
          <w:szCs w:val="24"/>
        </w:rPr>
      </w:pPr>
      <w:r w:rsidRPr="00A915D4">
        <w:rPr>
          <w:sz w:val="24"/>
          <w:szCs w:val="24"/>
        </w:rPr>
        <w:t>Doser i intervaller fra 200 til 850 mg/m</w:t>
      </w:r>
      <w:r w:rsidRPr="00A915D4">
        <w:rPr>
          <w:sz w:val="24"/>
          <w:szCs w:val="24"/>
          <w:vertAlign w:val="superscript"/>
        </w:rPr>
        <w:t>2</w:t>
      </w:r>
      <w:r w:rsidRPr="00A915D4">
        <w:rPr>
          <w:sz w:val="24"/>
          <w:szCs w:val="24"/>
        </w:rPr>
        <w:t xml:space="preserve"> legemsoverfladeareal bør administreres som en intravenøs infusion i løbet af 20 </w:t>
      </w:r>
      <w:r w:rsidRPr="00A915D4">
        <w:rPr>
          <w:sz w:val="24"/>
          <w:szCs w:val="24"/>
        </w:rPr>
        <w:noBreakHyphen/>
        <w:t> 30 minutter.</w:t>
      </w:r>
    </w:p>
    <w:p w:rsidR="00E77693" w:rsidRPr="00A915D4" w:rsidRDefault="00E77693" w:rsidP="00E77693">
      <w:pPr>
        <w:ind w:left="851"/>
        <w:rPr>
          <w:sz w:val="24"/>
          <w:szCs w:val="24"/>
        </w:rPr>
      </w:pPr>
    </w:p>
    <w:p w:rsidR="00E77693" w:rsidRPr="00A915D4" w:rsidRDefault="00F4215C" w:rsidP="00E77693">
      <w:pPr>
        <w:ind w:left="851"/>
        <w:rPr>
          <w:sz w:val="24"/>
          <w:szCs w:val="24"/>
        </w:rPr>
      </w:pPr>
      <w:r w:rsidRPr="00F4215C">
        <w:rPr>
          <w:sz w:val="24"/>
          <w:szCs w:val="24"/>
        </w:rPr>
        <w:t xml:space="preserve">Det anbefales først at teste venens passable tilstand med 5   10 ml isotonisk </w:t>
      </w:r>
      <w:proofErr w:type="spellStart"/>
      <w:r w:rsidRPr="00F4215C">
        <w:rPr>
          <w:sz w:val="24"/>
          <w:szCs w:val="24"/>
        </w:rPr>
        <w:t>natriumchloridopløsning</w:t>
      </w:r>
      <w:proofErr w:type="spellEnd"/>
      <w:r w:rsidRPr="00F4215C">
        <w:rPr>
          <w:sz w:val="24"/>
          <w:szCs w:val="24"/>
        </w:rPr>
        <w:t xml:space="preserve"> eller 5 % </w:t>
      </w:r>
      <w:proofErr w:type="spellStart"/>
      <w:r w:rsidRPr="00F4215C">
        <w:rPr>
          <w:sz w:val="24"/>
          <w:szCs w:val="24"/>
        </w:rPr>
        <w:t>glucoseopløsning</w:t>
      </w:r>
      <w:proofErr w:type="spellEnd"/>
      <w:r>
        <w:rPr>
          <w:sz w:val="24"/>
          <w:szCs w:val="24"/>
        </w:rPr>
        <w:t>.</w:t>
      </w:r>
      <w:r w:rsidRPr="00F4215C">
        <w:rPr>
          <w:sz w:val="24"/>
          <w:szCs w:val="24"/>
        </w:rPr>
        <w:t xml:space="preserve"> De samme opløsninger skal bruges efter infusionen for at skylle alle resterende lægemidler ud af infusionsslangerne.</w:t>
      </w:r>
    </w:p>
    <w:p w:rsidR="00E77693" w:rsidRPr="00A915D4" w:rsidRDefault="00E77693" w:rsidP="00E77693">
      <w:pPr>
        <w:ind w:left="851"/>
        <w:rPr>
          <w:sz w:val="24"/>
          <w:szCs w:val="24"/>
        </w:rPr>
      </w:pPr>
    </w:p>
    <w:p w:rsidR="00E77693" w:rsidRPr="00A915D4" w:rsidRDefault="00E77693" w:rsidP="00F4215C">
      <w:pPr>
        <w:ind w:left="851"/>
        <w:rPr>
          <w:sz w:val="24"/>
          <w:szCs w:val="24"/>
        </w:rPr>
      </w:pPr>
      <w:r w:rsidRPr="00A915D4">
        <w:rPr>
          <w:sz w:val="24"/>
          <w:szCs w:val="24"/>
        </w:rPr>
        <w:t xml:space="preserve">For instruktioner om </w:t>
      </w:r>
      <w:proofErr w:type="spellStart"/>
      <w:r w:rsidRPr="00A915D4">
        <w:rPr>
          <w:sz w:val="24"/>
          <w:szCs w:val="24"/>
        </w:rPr>
        <w:t>rekonstitution</w:t>
      </w:r>
      <w:proofErr w:type="spellEnd"/>
      <w:r w:rsidRPr="00A915D4">
        <w:rPr>
          <w:sz w:val="24"/>
          <w:szCs w:val="24"/>
        </w:rPr>
        <w:t xml:space="preserve"> og fortynding af lægemidlet før administration, se pkt. 6.6. </w:t>
      </w:r>
      <w:proofErr w:type="spellStart"/>
      <w:r w:rsidRPr="00A915D4">
        <w:rPr>
          <w:sz w:val="24"/>
          <w:szCs w:val="24"/>
        </w:rPr>
        <w:t>Rekonstituerede</w:t>
      </w:r>
      <w:proofErr w:type="spellEnd"/>
      <w:r w:rsidRPr="00A915D4">
        <w:rPr>
          <w:sz w:val="24"/>
          <w:szCs w:val="24"/>
        </w:rPr>
        <w:t xml:space="preserve"> opløsninger er klare og svagt gule. Fortyndede infusionsvæsker, opløsninger, er klare og næsten farveløse.</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4.3</w:t>
      </w:r>
      <w:r w:rsidRPr="00A915D4">
        <w:rPr>
          <w:b/>
          <w:sz w:val="24"/>
          <w:szCs w:val="24"/>
        </w:rPr>
        <w:tab/>
        <w:t>Kontraindikationer</w:t>
      </w:r>
    </w:p>
    <w:p w:rsidR="00E77693" w:rsidRPr="00A915D4" w:rsidRDefault="00E77693" w:rsidP="00E77693">
      <w:pPr>
        <w:ind w:left="851"/>
        <w:rPr>
          <w:sz w:val="24"/>
          <w:szCs w:val="24"/>
          <w:lang w:eastAsia="da-DK"/>
        </w:rPr>
      </w:pP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er kontraindiceret i de følgende tilfælde:</w:t>
      </w:r>
    </w:p>
    <w:p w:rsidR="00E77693" w:rsidRPr="00A915D4" w:rsidRDefault="00E77693" w:rsidP="00E77693">
      <w:pPr>
        <w:numPr>
          <w:ilvl w:val="0"/>
          <w:numId w:val="7"/>
        </w:numPr>
        <w:ind w:left="1276" w:hanging="425"/>
        <w:rPr>
          <w:sz w:val="24"/>
          <w:szCs w:val="24"/>
        </w:rPr>
      </w:pPr>
      <w:r w:rsidRPr="00A915D4">
        <w:rPr>
          <w:sz w:val="24"/>
          <w:szCs w:val="24"/>
        </w:rPr>
        <w:t xml:space="preserve">Overfølsomhed over for det aktive stof, </w:t>
      </w:r>
      <w:proofErr w:type="spellStart"/>
      <w:r w:rsidRPr="00A915D4">
        <w:rPr>
          <w:sz w:val="24"/>
          <w:szCs w:val="24"/>
        </w:rPr>
        <w:t>dacarbazin</w:t>
      </w:r>
      <w:proofErr w:type="spellEnd"/>
      <w:r w:rsidRPr="00A915D4">
        <w:rPr>
          <w:sz w:val="24"/>
          <w:szCs w:val="24"/>
        </w:rPr>
        <w:t>, eller over for et eller flere af hjælpestofferne anført i pkt. 6.1.</w:t>
      </w:r>
    </w:p>
    <w:p w:rsidR="00E77693" w:rsidRPr="00A915D4" w:rsidRDefault="00E77693" w:rsidP="00E77693">
      <w:pPr>
        <w:numPr>
          <w:ilvl w:val="0"/>
          <w:numId w:val="7"/>
        </w:numPr>
        <w:ind w:left="1276" w:hanging="425"/>
        <w:rPr>
          <w:sz w:val="24"/>
          <w:szCs w:val="24"/>
        </w:rPr>
      </w:pPr>
      <w:r w:rsidRPr="00A915D4">
        <w:rPr>
          <w:sz w:val="24"/>
          <w:szCs w:val="24"/>
        </w:rPr>
        <w:t>Gravide og ammende kvinder.</w:t>
      </w:r>
    </w:p>
    <w:p w:rsidR="00E77693" w:rsidRPr="00A915D4" w:rsidRDefault="00E77693" w:rsidP="00E77693">
      <w:pPr>
        <w:numPr>
          <w:ilvl w:val="0"/>
          <w:numId w:val="7"/>
        </w:numPr>
        <w:ind w:left="1276" w:hanging="425"/>
        <w:rPr>
          <w:sz w:val="24"/>
          <w:szCs w:val="24"/>
        </w:rPr>
      </w:pPr>
      <w:proofErr w:type="spellStart"/>
      <w:r w:rsidRPr="00A915D4">
        <w:rPr>
          <w:sz w:val="24"/>
          <w:szCs w:val="24"/>
        </w:rPr>
        <w:t>Leukopeni</w:t>
      </w:r>
      <w:proofErr w:type="spellEnd"/>
      <w:r w:rsidRPr="00A915D4">
        <w:rPr>
          <w:sz w:val="24"/>
          <w:szCs w:val="24"/>
        </w:rPr>
        <w:t xml:space="preserve"> og/eller </w:t>
      </w:r>
      <w:proofErr w:type="spellStart"/>
      <w:r w:rsidRPr="00A915D4">
        <w:rPr>
          <w:sz w:val="24"/>
          <w:szCs w:val="24"/>
        </w:rPr>
        <w:t>trombocytopeni</w:t>
      </w:r>
      <w:proofErr w:type="spellEnd"/>
      <w:r w:rsidRPr="00A915D4">
        <w:rPr>
          <w:sz w:val="24"/>
          <w:szCs w:val="24"/>
        </w:rPr>
        <w:t>.</w:t>
      </w:r>
    </w:p>
    <w:p w:rsidR="00E77693" w:rsidRPr="00A915D4" w:rsidRDefault="00E77693" w:rsidP="00E77693">
      <w:pPr>
        <w:numPr>
          <w:ilvl w:val="0"/>
          <w:numId w:val="7"/>
        </w:numPr>
        <w:ind w:left="1276" w:hanging="425"/>
        <w:rPr>
          <w:sz w:val="24"/>
          <w:szCs w:val="24"/>
        </w:rPr>
      </w:pPr>
      <w:r w:rsidRPr="00A915D4">
        <w:rPr>
          <w:sz w:val="24"/>
          <w:szCs w:val="24"/>
        </w:rPr>
        <w:t>Svær lever- eller nyresygdom.</w:t>
      </w:r>
    </w:p>
    <w:p w:rsidR="00E77693" w:rsidRPr="00A915D4" w:rsidRDefault="00E77693" w:rsidP="00E77693">
      <w:pPr>
        <w:numPr>
          <w:ilvl w:val="0"/>
          <w:numId w:val="7"/>
        </w:numPr>
        <w:ind w:left="1276" w:hanging="425"/>
        <w:rPr>
          <w:sz w:val="24"/>
          <w:szCs w:val="24"/>
        </w:rPr>
      </w:pPr>
      <w:r w:rsidRPr="00A915D4">
        <w:rPr>
          <w:sz w:val="24"/>
          <w:szCs w:val="24"/>
        </w:rPr>
        <w:t>I kombination med vaccine mod gul feber (se pkt. 4.5).</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4.4</w:t>
      </w:r>
      <w:r w:rsidRPr="00A915D4">
        <w:rPr>
          <w:b/>
          <w:sz w:val="24"/>
          <w:szCs w:val="24"/>
        </w:rPr>
        <w:tab/>
        <w:t>Særlige advarsler og forsigtighedsregler vedrørende brugen</w:t>
      </w:r>
    </w:p>
    <w:p w:rsidR="00E77693" w:rsidRPr="00A915D4" w:rsidRDefault="00E77693" w:rsidP="00E77693">
      <w:pPr>
        <w:ind w:left="851"/>
        <w:rPr>
          <w:sz w:val="24"/>
          <w:szCs w:val="24"/>
          <w:lang w:eastAsia="da-DK"/>
        </w:rPr>
      </w:pPr>
      <w:r w:rsidRPr="00A915D4">
        <w:rPr>
          <w:sz w:val="24"/>
          <w:szCs w:val="24"/>
        </w:rPr>
        <w:t xml:space="preserve">Det anbefales, at </w:t>
      </w:r>
      <w:proofErr w:type="spellStart"/>
      <w:r w:rsidRPr="00A915D4">
        <w:rPr>
          <w:sz w:val="24"/>
          <w:szCs w:val="24"/>
        </w:rPr>
        <w:t>dacarbazin</w:t>
      </w:r>
      <w:proofErr w:type="spellEnd"/>
      <w:r w:rsidRPr="00A915D4">
        <w:rPr>
          <w:sz w:val="24"/>
          <w:szCs w:val="24"/>
        </w:rPr>
        <w:t xml:space="preserve"> kun gives under opsyn af en læge, som har speciale i onkologi, og som har faciliteter til regelmæssig overvågning af kliniske, biokemiske og hæmatologiske virkninger under og efter behandlingen.</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lastRenderedPageBreak/>
        <w:t xml:space="preserve">Hvis der ses symptomer på funktionsforstyrrelser af lever eller nyrer, eller symptomer på en overfølsomhedsreaktion, kræves der øjeblikkelig </w:t>
      </w:r>
      <w:proofErr w:type="spellStart"/>
      <w:r w:rsidRPr="00A915D4">
        <w:rPr>
          <w:sz w:val="24"/>
          <w:szCs w:val="24"/>
        </w:rPr>
        <w:t>seponering</w:t>
      </w:r>
      <w:proofErr w:type="spellEnd"/>
      <w:r w:rsidRPr="00A915D4">
        <w:rPr>
          <w:sz w:val="24"/>
          <w:szCs w:val="24"/>
        </w:rPr>
        <w:t xml:space="preserve"> af behandlingen.</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Såfremt </w:t>
      </w:r>
      <w:proofErr w:type="spellStart"/>
      <w:r w:rsidRPr="00A915D4">
        <w:rPr>
          <w:sz w:val="24"/>
          <w:szCs w:val="24"/>
        </w:rPr>
        <w:t>veno-okklusiv</w:t>
      </w:r>
      <w:proofErr w:type="spellEnd"/>
      <w:r w:rsidRPr="00A915D4">
        <w:rPr>
          <w:sz w:val="24"/>
          <w:szCs w:val="24"/>
        </w:rPr>
        <w:t xml:space="preserve"> leversygdom opstår, er yderligere behandling med </w:t>
      </w:r>
      <w:proofErr w:type="spellStart"/>
      <w:r w:rsidRPr="00A915D4">
        <w:rPr>
          <w:sz w:val="24"/>
          <w:szCs w:val="24"/>
        </w:rPr>
        <w:t>dacarbazin</w:t>
      </w:r>
      <w:proofErr w:type="spellEnd"/>
      <w:r w:rsidRPr="00A915D4">
        <w:rPr>
          <w:sz w:val="24"/>
          <w:szCs w:val="24"/>
        </w:rPr>
        <w:t xml:space="preserve"> kontraindiceret.</w:t>
      </w:r>
    </w:p>
    <w:p w:rsidR="00E77693" w:rsidRPr="00A915D4" w:rsidRDefault="00E77693" w:rsidP="00E77693">
      <w:pPr>
        <w:ind w:left="851"/>
        <w:rPr>
          <w:sz w:val="24"/>
          <w:szCs w:val="24"/>
        </w:rPr>
      </w:pPr>
      <w:r w:rsidRPr="00A915D4">
        <w:rPr>
          <w:sz w:val="24"/>
          <w:szCs w:val="24"/>
        </w:rPr>
        <w:t xml:space="preserve">Bemærk: Den ansvarlige læge bør være klar over en sjældent iagttaget svær komplikation under behandlingen, som skyldes levernekrose på grund af </w:t>
      </w:r>
      <w:proofErr w:type="spellStart"/>
      <w:r w:rsidRPr="00A915D4">
        <w:rPr>
          <w:sz w:val="24"/>
          <w:szCs w:val="24"/>
        </w:rPr>
        <w:t>okklusion</w:t>
      </w:r>
      <w:proofErr w:type="spellEnd"/>
      <w:r w:rsidRPr="00A915D4">
        <w:rPr>
          <w:sz w:val="24"/>
          <w:szCs w:val="24"/>
        </w:rPr>
        <w:t xml:space="preserve"> af de </w:t>
      </w:r>
      <w:proofErr w:type="spellStart"/>
      <w:r w:rsidRPr="00A915D4">
        <w:rPr>
          <w:sz w:val="24"/>
          <w:szCs w:val="24"/>
        </w:rPr>
        <w:t>intrahepatiske</w:t>
      </w:r>
      <w:proofErr w:type="spellEnd"/>
      <w:r w:rsidRPr="00A915D4">
        <w:rPr>
          <w:sz w:val="24"/>
          <w:szCs w:val="24"/>
        </w:rPr>
        <w:t xml:space="preserve"> vener. Derfor er det især vigtigt med regelmæssig kontrol af leverstørrelse, -funktion og blodbilledet (især </w:t>
      </w:r>
      <w:proofErr w:type="spellStart"/>
      <w:r w:rsidRPr="00A915D4">
        <w:rPr>
          <w:sz w:val="24"/>
          <w:szCs w:val="24"/>
        </w:rPr>
        <w:t>eosinofiler</w:t>
      </w:r>
      <w:proofErr w:type="spellEnd"/>
      <w:r w:rsidRPr="00A915D4">
        <w:rPr>
          <w:sz w:val="24"/>
          <w:szCs w:val="24"/>
        </w:rPr>
        <w:t xml:space="preserve">). I enkelte tilfælde af formodet </w:t>
      </w:r>
      <w:proofErr w:type="spellStart"/>
      <w:r w:rsidRPr="00A915D4">
        <w:rPr>
          <w:sz w:val="24"/>
          <w:szCs w:val="24"/>
        </w:rPr>
        <w:t>veno-okklusiv</w:t>
      </w:r>
      <w:proofErr w:type="spellEnd"/>
      <w:r w:rsidRPr="00A915D4">
        <w:rPr>
          <w:sz w:val="24"/>
          <w:szCs w:val="24"/>
        </w:rPr>
        <w:t xml:space="preserve"> sygdom har behandling med højdosis</w:t>
      </w:r>
      <w:r w:rsidRPr="00A915D4">
        <w:rPr>
          <w:sz w:val="24"/>
          <w:szCs w:val="24"/>
        </w:rPr>
        <w:noBreakHyphen/>
      </w:r>
      <w:proofErr w:type="spellStart"/>
      <w:r w:rsidRPr="00A915D4">
        <w:rPr>
          <w:sz w:val="24"/>
          <w:szCs w:val="24"/>
        </w:rPr>
        <w:t>kortikosteroider</w:t>
      </w:r>
      <w:proofErr w:type="spellEnd"/>
      <w:r w:rsidRPr="00A915D4">
        <w:rPr>
          <w:sz w:val="24"/>
          <w:szCs w:val="24"/>
        </w:rPr>
        <w:t xml:space="preserve"> (f.eks. 300 mg </w:t>
      </w:r>
      <w:proofErr w:type="spellStart"/>
      <w:r w:rsidRPr="00A915D4">
        <w:rPr>
          <w:sz w:val="24"/>
          <w:szCs w:val="24"/>
        </w:rPr>
        <w:t>hydrokortison</w:t>
      </w:r>
      <w:proofErr w:type="spellEnd"/>
      <w:r w:rsidRPr="00A915D4">
        <w:rPr>
          <w:sz w:val="24"/>
          <w:szCs w:val="24"/>
        </w:rPr>
        <w:t xml:space="preserve"> pr. dag) med eller uden </w:t>
      </w:r>
      <w:proofErr w:type="spellStart"/>
      <w:r w:rsidRPr="00A915D4">
        <w:rPr>
          <w:sz w:val="24"/>
          <w:szCs w:val="24"/>
        </w:rPr>
        <w:t>fibrinolytika</w:t>
      </w:r>
      <w:proofErr w:type="spellEnd"/>
      <w:r w:rsidRPr="00A915D4">
        <w:rPr>
          <w:sz w:val="24"/>
          <w:szCs w:val="24"/>
        </w:rPr>
        <w:t xml:space="preserve">, såsom </w:t>
      </w:r>
      <w:proofErr w:type="spellStart"/>
      <w:r w:rsidRPr="00A915D4">
        <w:rPr>
          <w:sz w:val="24"/>
          <w:szCs w:val="24"/>
        </w:rPr>
        <w:t>heparin</w:t>
      </w:r>
      <w:proofErr w:type="spellEnd"/>
      <w:r w:rsidRPr="00A915D4">
        <w:rPr>
          <w:sz w:val="24"/>
          <w:szCs w:val="24"/>
        </w:rPr>
        <w:t xml:space="preserve"> eller </w:t>
      </w:r>
      <w:proofErr w:type="spellStart"/>
      <w:r w:rsidRPr="00A915D4">
        <w:rPr>
          <w:sz w:val="24"/>
          <w:szCs w:val="24"/>
        </w:rPr>
        <w:t>vævsplasminogenaktivator</w:t>
      </w:r>
      <w:proofErr w:type="spellEnd"/>
      <w:r w:rsidRPr="00A915D4">
        <w:rPr>
          <w:sz w:val="24"/>
          <w:szCs w:val="24"/>
        </w:rPr>
        <w:t>, været vellykket (se pkt. 4.8).</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Langvarig behandling kan forårsage kumulativ knoglemarvstoksicitet. Den mulige knoglemarvsundertrykkelse kræver nøje overvågning af røde og hvide blodlegemer og </w:t>
      </w:r>
      <w:proofErr w:type="spellStart"/>
      <w:r w:rsidRPr="00A915D4">
        <w:rPr>
          <w:sz w:val="24"/>
          <w:szCs w:val="24"/>
        </w:rPr>
        <w:t>trombocytter</w:t>
      </w:r>
      <w:proofErr w:type="spellEnd"/>
      <w:r w:rsidRPr="00A915D4">
        <w:rPr>
          <w:sz w:val="24"/>
          <w:szCs w:val="24"/>
        </w:rPr>
        <w:t xml:space="preserve">. </w:t>
      </w:r>
      <w:proofErr w:type="spellStart"/>
      <w:r w:rsidRPr="00A915D4">
        <w:rPr>
          <w:sz w:val="24"/>
          <w:szCs w:val="24"/>
        </w:rPr>
        <w:t>Hæmatopoetisk</w:t>
      </w:r>
      <w:proofErr w:type="spellEnd"/>
      <w:r w:rsidRPr="00A915D4">
        <w:rPr>
          <w:sz w:val="24"/>
          <w:szCs w:val="24"/>
        </w:rPr>
        <w:t xml:space="preserve"> toksicitet kan berettige en midlertidig suspendering eller </w:t>
      </w:r>
      <w:proofErr w:type="spellStart"/>
      <w:r w:rsidRPr="00A915D4">
        <w:rPr>
          <w:sz w:val="24"/>
          <w:szCs w:val="24"/>
        </w:rPr>
        <w:t>seponering</w:t>
      </w:r>
      <w:proofErr w:type="spellEnd"/>
      <w:r w:rsidRPr="00A915D4">
        <w:rPr>
          <w:sz w:val="24"/>
          <w:szCs w:val="24"/>
        </w:rPr>
        <w:t xml:space="preserve"> af behandlingen.</w:t>
      </w:r>
    </w:p>
    <w:p w:rsidR="00E77693" w:rsidRPr="00A915D4" w:rsidRDefault="00E77693" w:rsidP="00E77693">
      <w:pPr>
        <w:ind w:left="851"/>
        <w:rPr>
          <w:sz w:val="24"/>
          <w:szCs w:val="24"/>
        </w:rPr>
      </w:pPr>
    </w:p>
    <w:p w:rsidR="00E77693" w:rsidRPr="00A915D4" w:rsidRDefault="00E77693" w:rsidP="00E77693">
      <w:pPr>
        <w:ind w:left="851"/>
        <w:rPr>
          <w:sz w:val="24"/>
          <w:szCs w:val="24"/>
        </w:rPr>
      </w:pPr>
      <w:proofErr w:type="spellStart"/>
      <w:r w:rsidRPr="00A915D4">
        <w:rPr>
          <w:sz w:val="24"/>
          <w:szCs w:val="24"/>
        </w:rPr>
        <w:t>Paravenøs</w:t>
      </w:r>
      <w:proofErr w:type="spellEnd"/>
      <w:r w:rsidRPr="00A915D4">
        <w:rPr>
          <w:sz w:val="24"/>
          <w:szCs w:val="24"/>
        </w:rPr>
        <w:t xml:space="preserve"> injektion kan medføre vævsskade og svære smerter.</w:t>
      </w:r>
    </w:p>
    <w:p w:rsidR="00E77693" w:rsidRPr="00A915D4" w:rsidRDefault="00E77693" w:rsidP="00E77693">
      <w:pPr>
        <w:ind w:left="851"/>
        <w:rPr>
          <w:sz w:val="24"/>
          <w:szCs w:val="24"/>
        </w:rPr>
      </w:pPr>
    </w:p>
    <w:p w:rsidR="00F4215C" w:rsidRPr="00F4215C" w:rsidRDefault="00F4215C" w:rsidP="00F4215C">
      <w:pPr>
        <w:ind w:left="851"/>
        <w:rPr>
          <w:sz w:val="24"/>
          <w:szCs w:val="24"/>
        </w:rPr>
      </w:pPr>
      <w:r w:rsidRPr="00F4215C">
        <w:rPr>
          <w:sz w:val="24"/>
          <w:szCs w:val="24"/>
        </w:rPr>
        <w:t xml:space="preserve">Samtidig anvendelse med </w:t>
      </w:r>
      <w:proofErr w:type="spellStart"/>
      <w:r w:rsidRPr="00F4215C">
        <w:rPr>
          <w:sz w:val="24"/>
          <w:szCs w:val="24"/>
        </w:rPr>
        <w:t>phenytoin</w:t>
      </w:r>
      <w:proofErr w:type="spellEnd"/>
      <w:r w:rsidRPr="00F4215C">
        <w:rPr>
          <w:sz w:val="24"/>
          <w:szCs w:val="24"/>
        </w:rPr>
        <w:t xml:space="preserve"> bør undgås, fordi nedsat absorption af </w:t>
      </w:r>
      <w:proofErr w:type="spellStart"/>
      <w:r w:rsidRPr="00F4215C">
        <w:rPr>
          <w:sz w:val="24"/>
          <w:szCs w:val="24"/>
        </w:rPr>
        <w:t>phenytoin</w:t>
      </w:r>
      <w:proofErr w:type="spellEnd"/>
      <w:r w:rsidRPr="00F4215C">
        <w:rPr>
          <w:sz w:val="24"/>
          <w:szCs w:val="24"/>
        </w:rPr>
        <w:t xml:space="preserve"> fra mave-tarm-kanalen kan prædisponere patienten for krampeanfald (se pkt. 4.5).</w:t>
      </w:r>
    </w:p>
    <w:p w:rsidR="00E77693" w:rsidRPr="00A915D4" w:rsidRDefault="00E77693" w:rsidP="00E77693">
      <w:pPr>
        <w:ind w:left="851"/>
        <w:rPr>
          <w:sz w:val="24"/>
          <w:szCs w:val="24"/>
        </w:rPr>
      </w:pPr>
    </w:p>
    <w:p w:rsidR="00E77693" w:rsidRDefault="00E77693" w:rsidP="00E77693">
      <w:pPr>
        <w:ind w:left="851"/>
        <w:rPr>
          <w:sz w:val="24"/>
          <w:szCs w:val="24"/>
        </w:rPr>
      </w:pPr>
      <w:r w:rsidRPr="00A915D4">
        <w:rPr>
          <w:sz w:val="24"/>
          <w:szCs w:val="24"/>
        </w:rPr>
        <w:t xml:space="preserve">Endvidere er </w:t>
      </w:r>
      <w:proofErr w:type="spellStart"/>
      <w:r w:rsidRPr="00A915D4">
        <w:rPr>
          <w:sz w:val="24"/>
          <w:szCs w:val="24"/>
        </w:rPr>
        <w:t>dacarbazin</w:t>
      </w:r>
      <w:proofErr w:type="spellEnd"/>
      <w:r w:rsidRPr="00A915D4">
        <w:rPr>
          <w:sz w:val="24"/>
          <w:szCs w:val="24"/>
        </w:rPr>
        <w:t xml:space="preserve"> et moderat, immunsupprimerende stof. Administration af levende (</w:t>
      </w:r>
      <w:proofErr w:type="spellStart"/>
      <w:r w:rsidRPr="00A915D4">
        <w:rPr>
          <w:sz w:val="24"/>
          <w:szCs w:val="24"/>
        </w:rPr>
        <w:t>attenuerede</w:t>
      </w:r>
      <w:proofErr w:type="spellEnd"/>
      <w:r w:rsidRPr="00A915D4">
        <w:rPr>
          <w:sz w:val="24"/>
          <w:szCs w:val="24"/>
        </w:rPr>
        <w:t xml:space="preserve"> levende) vacciner til patienter, som er immunkompromitterede på grund af kemoterapeutika, såsom </w:t>
      </w:r>
      <w:proofErr w:type="spellStart"/>
      <w:r w:rsidRPr="00A915D4">
        <w:rPr>
          <w:sz w:val="24"/>
          <w:szCs w:val="24"/>
        </w:rPr>
        <w:t>dacarbazin</w:t>
      </w:r>
      <w:proofErr w:type="spellEnd"/>
      <w:r w:rsidRPr="00A915D4">
        <w:rPr>
          <w:sz w:val="24"/>
          <w:szCs w:val="24"/>
        </w:rPr>
        <w:t xml:space="preserve">, kan forårsage alvorlige eller potentielt dødelige infektioner. Vaccination med en levende vaccine bør undgås hos patienter, der får </w:t>
      </w:r>
      <w:proofErr w:type="spellStart"/>
      <w:r w:rsidRPr="00A915D4">
        <w:rPr>
          <w:sz w:val="24"/>
          <w:szCs w:val="24"/>
        </w:rPr>
        <w:t>dacarbazin</w:t>
      </w:r>
      <w:proofErr w:type="spellEnd"/>
      <w:r w:rsidRPr="00A915D4">
        <w:rPr>
          <w:sz w:val="24"/>
          <w:szCs w:val="24"/>
        </w:rPr>
        <w:t xml:space="preserve">. </w:t>
      </w:r>
      <w:r w:rsidR="00F4215C" w:rsidRPr="00F4215C">
        <w:rPr>
          <w:sz w:val="24"/>
          <w:szCs w:val="24"/>
        </w:rPr>
        <w:t xml:space="preserve">Det tilrådes generelt at anvende levende virusvacciner med forsigtighed efter </w:t>
      </w:r>
      <w:proofErr w:type="spellStart"/>
      <w:r w:rsidR="00F4215C" w:rsidRPr="00F4215C">
        <w:rPr>
          <w:sz w:val="24"/>
          <w:szCs w:val="24"/>
        </w:rPr>
        <w:t>seponering</w:t>
      </w:r>
      <w:proofErr w:type="spellEnd"/>
      <w:r w:rsidR="00F4215C" w:rsidRPr="00F4215C">
        <w:rPr>
          <w:sz w:val="24"/>
          <w:szCs w:val="24"/>
        </w:rPr>
        <w:t xml:space="preserve"> af kemoterapi og at tage højde for patientens immunstatus, som også afhænger af sygdommen og andre behandlinger. Inaktiverede vacciner kan anvendes, hvis de er tilgængelige.</w:t>
      </w:r>
    </w:p>
    <w:p w:rsidR="00F4215C" w:rsidRDefault="00F4215C" w:rsidP="00E77693">
      <w:pPr>
        <w:ind w:left="851"/>
        <w:rPr>
          <w:sz w:val="24"/>
          <w:szCs w:val="24"/>
        </w:rPr>
      </w:pPr>
    </w:p>
    <w:p w:rsidR="00F4215C" w:rsidRPr="00A915D4" w:rsidRDefault="00F4215C" w:rsidP="00E77693">
      <w:pPr>
        <w:ind w:left="851"/>
        <w:rPr>
          <w:sz w:val="24"/>
          <w:szCs w:val="24"/>
        </w:rPr>
      </w:pPr>
      <w:r w:rsidRPr="00F4215C">
        <w:rPr>
          <w:sz w:val="24"/>
          <w:szCs w:val="24"/>
        </w:rPr>
        <w:t xml:space="preserve">Samtidig anvendelse af </w:t>
      </w:r>
      <w:proofErr w:type="spellStart"/>
      <w:r w:rsidRPr="00F4215C">
        <w:rPr>
          <w:sz w:val="24"/>
          <w:szCs w:val="24"/>
        </w:rPr>
        <w:t>fotemustin</w:t>
      </w:r>
      <w:proofErr w:type="spellEnd"/>
      <w:r w:rsidRPr="00F4215C">
        <w:rPr>
          <w:sz w:val="24"/>
          <w:szCs w:val="24"/>
        </w:rPr>
        <w:t xml:space="preserve"> kan forårsage akut </w:t>
      </w:r>
      <w:proofErr w:type="spellStart"/>
      <w:r w:rsidRPr="00F4215C">
        <w:rPr>
          <w:sz w:val="24"/>
          <w:szCs w:val="24"/>
        </w:rPr>
        <w:t>pulmonal</w:t>
      </w:r>
      <w:proofErr w:type="spellEnd"/>
      <w:r w:rsidRPr="00F4215C">
        <w:rPr>
          <w:sz w:val="24"/>
          <w:szCs w:val="24"/>
        </w:rPr>
        <w:t xml:space="preserve"> toksicitet (</w:t>
      </w:r>
      <w:proofErr w:type="spellStart"/>
      <w:r w:rsidRPr="00F4215C">
        <w:rPr>
          <w:sz w:val="24"/>
          <w:szCs w:val="24"/>
        </w:rPr>
        <w:t>Adult</w:t>
      </w:r>
      <w:proofErr w:type="spellEnd"/>
      <w:r w:rsidRPr="00F4215C">
        <w:rPr>
          <w:sz w:val="24"/>
          <w:szCs w:val="24"/>
        </w:rPr>
        <w:t xml:space="preserve"> </w:t>
      </w:r>
      <w:proofErr w:type="spellStart"/>
      <w:r w:rsidRPr="00F4215C">
        <w:rPr>
          <w:sz w:val="24"/>
          <w:szCs w:val="24"/>
        </w:rPr>
        <w:t>Respiratory</w:t>
      </w:r>
      <w:proofErr w:type="spellEnd"/>
      <w:r w:rsidRPr="00F4215C">
        <w:rPr>
          <w:sz w:val="24"/>
          <w:szCs w:val="24"/>
        </w:rPr>
        <w:t xml:space="preserve"> </w:t>
      </w:r>
      <w:proofErr w:type="spellStart"/>
      <w:r w:rsidRPr="00F4215C">
        <w:rPr>
          <w:sz w:val="24"/>
          <w:szCs w:val="24"/>
        </w:rPr>
        <w:t>Distress</w:t>
      </w:r>
      <w:proofErr w:type="spellEnd"/>
      <w:r w:rsidRPr="00F4215C">
        <w:rPr>
          <w:sz w:val="24"/>
          <w:szCs w:val="24"/>
        </w:rPr>
        <w:t xml:space="preserve"> </w:t>
      </w:r>
      <w:proofErr w:type="spellStart"/>
      <w:r w:rsidRPr="00F4215C">
        <w:rPr>
          <w:sz w:val="24"/>
          <w:szCs w:val="24"/>
        </w:rPr>
        <w:t>Syndrome</w:t>
      </w:r>
      <w:proofErr w:type="spellEnd"/>
      <w:r w:rsidRPr="00F4215C">
        <w:rPr>
          <w:sz w:val="24"/>
          <w:szCs w:val="24"/>
        </w:rPr>
        <w:t xml:space="preserve">, også kaldet choklunge) med potentielt dødeligt udfald. </w:t>
      </w:r>
      <w:proofErr w:type="spellStart"/>
      <w:r w:rsidRPr="00F4215C">
        <w:rPr>
          <w:sz w:val="24"/>
          <w:szCs w:val="24"/>
        </w:rPr>
        <w:t>Fotemustin</w:t>
      </w:r>
      <w:proofErr w:type="spellEnd"/>
      <w:r w:rsidRPr="00F4215C">
        <w:rPr>
          <w:sz w:val="24"/>
          <w:szCs w:val="24"/>
        </w:rPr>
        <w:t xml:space="preserve"> og </w:t>
      </w:r>
      <w:proofErr w:type="spellStart"/>
      <w:r w:rsidRPr="00F4215C">
        <w:rPr>
          <w:sz w:val="24"/>
          <w:szCs w:val="24"/>
        </w:rPr>
        <w:t>dacarbazin</w:t>
      </w:r>
      <w:proofErr w:type="spellEnd"/>
      <w:r w:rsidRPr="00F4215C">
        <w:rPr>
          <w:sz w:val="24"/>
          <w:szCs w:val="24"/>
        </w:rPr>
        <w:t xml:space="preserve"> bør ikke anvendes samtidigt.</w:t>
      </w:r>
    </w:p>
    <w:p w:rsidR="00E77693" w:rsidRPr="00A915D4" w:rsidRDefault="00E77693" w:rsidP="00E77693">
      <w:pPr>
        <w:ind w:left="851"/>
        <w:rPr>
          <w:sz w:val="24"/>
          <w:szCs w:val="24"/>
        </w:rPr>
      </w:pPr>
    </w:p>
    <w:p w:rsidR="00E77693" w:rsidRPr="00A915D4" w:rsidRDefault="00E77693" w:rsidP="00E77693">
      <w:pPr>
        <w:ind w:left="851"/>
        <w:rPr>
          <w:sz w:val="24"/>
          <w:szCs w:val="24"/>
        </w:rPr>
      </w:pPr>
      <w:proofErr w:type="spellStart"/>
      <w:r w:rsidRPr="00A915D4">
        <w:rPr>
          <w:sz w:val="24"/>
          <w:szCs w:val="24"/>
        </w:rPr>
        <w:t>Hepatotoksiske</w:t>
      </w:r>
      <w:proofErr w:type="spellEnd"/>
      <w:r w:rsidRPr="00A915D4">
        <w:rPr>
          <w:sz w:val="24"/>
          <w:szCs w:val="24"/>
        </w:rPr>
        <w:t xml:space="preserve"> lægemidler og alkohol er kontraindicerede under kemoterapi.</w:t>
      </w:r>
    </w:p>
    <w:p w:rsidR="00E77693" w:rsidRPr="00A915D4" w:rsidRDefault="00E77693" w:rsidP="00E77693">
      <w:pPr>
        <w:ind w:left="851"/>
        <w:rPr>
          <w:sz w:val="24"/>
          <w:szCs w:val="24"/>
        </w:rPr>
      </w:pPr>
    </w:p>
    <w:p w:rsidR="00A42A82" w:rsidRPr="00A42A82" w:rsidRDefault="00A42A82" w:rsidP="00A42A82">
      <w:pPr>
        <w:ind w:left="851"/>
        <w:rPr>
          <w:sz w:val="24"/>
          <w:szCs w:val="22"/>
          <w:u w:val="single"/>
          <w:lang w:eastAsia="da-DK"/>
        </w:rPr>
      </w:pPr>
      <w:r w:rsidRPr="00A42A82">
        <w:rPr>
          <w:sz w:val="24"/>
          <w:szCs w:val="22"/>
          <w:u w:val="single"/>
        </w:rPr>
        <w:t>Kvinder i den fertile alder/</w:t>
      </w:r>
      <w:proofErr w:type="spellStart"/>
      <w:r w:rsidRPr="00A42A82">
        <w:rPr>
          <w:sz w:val="24"/>
          <w:szCs w:val="22"/>
          <w:u w:val="single"/>
        </w:rPr>
        <w:t>kontraception</w:t>
      </w:r>
      <w:proofErr w:type="spellEnd"/>
      <w:r w:rsidRPr="00A42A82">
        <w:rPr>
          <w:sz w:val="24"/>
          <w:szCs w:val="22"/>
          <w:u w:val="single"/>
        </w:rPr>
        <w:t xml:space="preserve"> hos mænd og kvinder</w:t>
      </w:r>
    </w:p>
    <w:p w:rsidR="00A42A82" w:rsidRPr="00A42A82" w:rsidRDefault="00A42A82" w:rsidP="00A42A82">
      <w:pPr>
        <w:ind w:left="851"/>
        <w:rPr>
          <w:sz w:val="24"/>
          <w:szCs w:val="22"/>
        </w:rPr>
      </w:pPr>
      <w:r w:rsidRPr="00A42A82">
        <w:rPr>
          <w:sz w:val="24"/>
          <w:szCs w:val="22"/>
        </w:rPr>
        <w:t xml:space="preserve">På grund af </w:t>
      </w:r>
      <w:proofErr w:type="spellStart"/>
      <w:r w:rsidRPr="00A42A82">
        <w:rPr>
          <w:sz w:val="24"/>
          <w:szCs w:val="22"/>
        </w:rPr>
        <w:t>dacarbazins</w:t>
      </w:r>
      <w:proofErr w:type="spellEnd"/>
      <w:r w:rsidRPr="00A42A82">
        <w:rPr>
          <w:sz w:val="24"/>
          <w:szCs w:val="22"/>
        </w:rPr>
        <w:t xml:space="preserve"> genotoksiske potentiale (se pkt. 5.3) skal kvinder i den fertile alder anvende sikker </w:t>
      </w:r>
      <w:proofErr w:type="spellStart"/>
      <w:r w:rsidRPr="00A42A82">
        <w:rPr>
          <w:sz w:val="24"/>
          <w:szCs w:val="22"/>
        </w:rPr>
        <w:t>kontraception</w:t>
      </w:r>
      <w:proofErr w:type="spellEnd"/>
      <w:r w:rsidRPr="00A42A82">
        <w:rPr>
          <w:sz w:val="24"/>
          <w:szCs w:val="22"/>
        </w:rPr>
        <w:t xml:space="preserve"> under behandlingen med </w:t>
      </w:r>
      <w:proofErr w:type="spellStart"/>
      <w:r w:rsidRPr="00A42A82">
        <w:rPr>
          <w:sz w:val="24"/>
          <w:szCs w:val="22"/>
        </w:rPr>
        <w:t>Dacarbazine</w:t>
      </w:r>
      <w:proofErr w:type="spellEnd"/>
      <w:r w:rsidRPr="00A42A82">
        <w:rPr>
          <w:sz w:val="24"/>
          <w:szCs w:val="22"/>
        </w:rPr>
        <w:t xml:space="preserve"> </w:t>
      </w:r>
      <w:proofErr w:type="spellStart"/>
      <w:r w:rsidRPr="00A42A82">
        <w:rPr>
          <w:sz w:val="24"/>
          <w:szCs w:val="22"/>
        </w:rPr>
        <w:t>Lipomed</w:t>
      </w:r>
      <w:proofErr w:type="spellEnd"/>
      <w:r w:rsidRPr="00A42A82">
        <w:rPr>
          <w:sz w:val="24"/>
          <w:szCs w:val="22"/>
        </w:rPr>
        <w:t xml:space="preserve"> og i 6 måneder efter behandlingen er blevet gennemført.</w:t>
      </w:r>
    </w:p>
    <w:p w:rsidR="00A42A82" w:rsidRPr="00A42A82" w:rsidRDefault="00A42A82" w:rsidP="00A42A82">
      <w:pPr>
        <w:ind w:left="851"/>
        <w:rPr>
          <w:sz w:val="24"/>
          <w:szCs w:val="22"/>
        </w:rPr>
      </w:pPr>
      <w:r w:rsidRPr="00A42A82">
        <w:rPr>
          <w:sz w:val="24"/>
          <w:szCs w:val="22"/>
        </w:rPr>
        <w:t xml:space="preserve">Det anbefales, at mænd bruger sikker kontrakonception og ikke gør en kvinde gravid under behandlingen med </w:t>
      </w:r>
      <w:proofErr w:type="spellStart"/>
      <w:r w:rsidRPr="00A42A82">
        <w:rPr>
          <w:sz w:val="24"/>
          <w:szCs w:val="22"/>
        </w:rPr>
        <w:t>Dacarbazine</w:t>
      </w:r>
      <w:proofErr w:type="spellEnd"/>
      <w:r w:rsidRPr="00A42A82">
        <w:rPr>
          <w:sz w:val="24"/>
          <w:szCs w:val="22"/>
        </w:rPr>
        <w:t xml:space="preserve"> </w:t>
      </w:r>
      <w:proofErr w:type="spellStart"/>
      <w:r w:rsidRPr="00A42A82">
        <w:rPr>
          <w:sz w:val="24"/>
          <w:szCs w:val="22"/>
        </w:rPr>
        <w:t>Lipomed</w:t>
      </w:r>
      <w:proofErr w:type="spellEnd"/>
      <w:r w:rsidRPr="00A42A82">
        <w:rPr>
          <w:sz w:val="24"/>
          <w:szCs w:val="22"/>
        </w:rPr>
        <w:t xml:space="preserve"> og i 3 måneder efter behandlingen er blevet gennemført.</w:t>
      </w:r>
    </w:p>
    <w:p w:rsidR="00A42A82" w:rsidRPr="00A42A82" w:rsidRDefault="00A42A82" w:rsidP="00A42A82">
      <w:pPr>
        <w:ind w:left="851"/>
        <w:rPr>
          <w:sz w:val="24"/>
          <w:szCs w:val="22"/>
        </w:rPr>
      </w:pPr>
      <w:r w:rsidRPr="00A42A82">
        <w:rPr>
          <w:sz w:val="24"/>
          <w:szCs w:val="22"/>
        </w:rPr>
        <w:t xml:space="preserve">Patienter, der overvejer graviditet, skal søge genetisk rådgivning efter perioden med brug af </w:t>
      </w:r>
      <w:proofErr w:type="spellStart"/>
      <w:r w:rsidRPr="00A42A82">
        <w:rPr>
          <w:sz w:val="24"/>
          <w:szCs w:val="22"/>
        </w:rPr>
        <w:t>kontraception</w:t>
      </w:r>
      <w:proofErr w:type="spellEnd"/>
      <w:r w:rsidRPr="00A42A82">
        <w:rPr>
          <w:sz w:val="24"/>
          <w:szCs w:val="22"/>
        </w:rPr>
        <w:t xml:space="preserve"> (se pkt. 4.6).</w:t>
      </w:r>
    </w:p>
    <w:p w:rsidR="00E77693" w:rsidRPr="00A915D4" w:rsidRDefault="00E77693" w:rsidP="00E77693">
      <w:pPr>
        <w:tabs>
          <w:tab w:val="left" w:pos="1304"/>
        </w:tabs>
        <w:ind w:left="851"/>
        <w:rPr>
          <w:i/>
          <w:noProof/>
          <w:sz w:val="24"/>
          <w:szCs w:val="24"/>
        </w:rPr>
      </w:pPr>
    </w:p>
    <w:p w:rsidR="00E77693" w:rsidRPr="00A915D4" w:rsidRDefault="00E77693" w:rsidP="00E77693">
      <w:pPr>
        <w:tabs>
          <w:tab w:val="left" w:pos="1304"/>
        </w:tabs>
        <w:ind w:left="851"/>
        <w:rPr>
          <w:i/>
          <w:noProof/>
          <w:sz w:val="24"/>
          <w:szCs w:val="24"/>
        </w:rPr>
      </w:pPr>
      <w:r w:rsidRPr="00A915D4">
        <w:rPr>
          <w:i/>
          <w:noProof/>
          <w:sz w:val="24"/>
          <w:szCs w:val="24"/>
        </w:rPr>
        <w:t>Pædiatrisk population:</w:t>
      </w: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bør ikke anvendes til børn</w:t>
      </w:r>
      <w:r>
        <w:rPr>
          <w:sz w:val="24"/>
          <w:szCs w:val="24"/>
        </w:rPr>
        <w:t xml:space="preserve"> og unge</w:t>
      </w:r>
      <w:r w:rsidRPr="00A915D4">
        <w:rPr>
          <w:sz w:val="24"/>
          <w:szCs w:val="24"/>
        </w:rPr>
        <w:t>, indtil yderligere data foreligger.</w:t>
      </w:r>
    </w:p>
    <w:p w:rsidR="00E77693" w:rsidRPr="00A915D4" w:rsidRDefault="00E77693" w:rsidP="00E77693">
      <w:pPr>
        <w:ind w:left="851"/>
        <w:rPr>
          <w:sz w:val="24"/>
          <w:szCs w:val="24"/>
        </w:rPr>
      </w:pPr>
    </w:p>
    <w:p w:rsidR="00E77693" w:rsidRPr="00A915D4" w:rsidRDefault="00F4215C" w:rsidP="00E77693">
      <w:pPr>
        <w:ind w:left="851"/>
        <w:rPr>
          <w:sz w:val="24"/>
          <w:szCs w:val="24"/>
        </w:rPr>
      </w:pPr>
      <w:r w:rsidRPr="00F4215C">
        <w:rPr>
          <w:sz w:val="24"/>
          <w:szCs w:val="24"/>
        </w:rPr>
        <w:lastRenderedPageBreak/>
        <w:t>Forsigtighedsregler vedrørende håndtering kan ses i pkt. 6.6.</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4.5</w:t>
      </w:r>
      <w:r w:rsidRPr="00A915D4">
        <w:rPr>
          <w:b/>
          <w:sz w:val="24"/>
          <w:szCs w:val="24"/>
        </w:rPr>
        <w:tab/>
        <w:t>Interaktion med andre lægemidler og andre former for interaktion</w:t>
      </w:r>
    </w:p>
    <w:p w:rsidR="00E77693" w:rsidRPr="00A915D4" w:rsidRDefault="00E77693" w:rsidP="00E77693">
      <w:pPr>
        <w:ind w:left="851"/>
        <w:rPr>
          <w:sz w:val="24"/>
          <w:szCs w:val="24"/>
          <w:lang w:eastAsia="da-DK"/>
        </w:rPr>
      </w:pPr>
      <w:r w:rsidRPr="00A915D4">
        <w:rPr>
          <w:sz w:val="24"/>
          <w:szCs w:val="24"/>
        </w:rPr>
        <w:t>Samtidig anvendelse af en vaccine mod gul feber er kontraindiceret på grund af risikoen for en dødelig, systemisk sygdom (se pkt. 4.3).</w:t>
      </w:r>
    </w:p>
    <w:p w:rsidR="00E77693" w:rsidRPr="00A915D4" w:rsidRDefault="00E77693" w:rsidP="00E77693">
      <w:pPr>
        <w:ind w:left="851" w:hanging="851"/>
        <w:rPr>
          <w:sz w:val="24"/>
          <w:szCs w:val="24"/>
        </w:rPr>
      </w:pPr>
    </w:p>
    <w:p w:rsidR="00E77693" w:rsidRPr="00A915D4" w:rsidRDefault="00E77693" w:rsidP="00E77693">
      <w:pPr>
        <w:ind w:left="851"/>
        <w:rPr>
          <w:sz w:val="24"/>
          <w:szCs w:val="24"/>
        </w:rPr>
      </w:pPr>
      <w:r w:rsidRPr="00A915D4">
        <w:rPr>
          <w:sz w:val="24"/>
          <w:szCs w:val="24"/>
        </w:rPr>
        <w:t xml:space="preserve">Da tromboserisikoen ved tumorsygdomme er forhøjet, anvendes der hyppigt </w:t>
      </w:r>
      <w:proofErr w:type="spellStart"/>
      <w:r w:rsidRPr="00A915D4">
        <w:rPr>
          <w:sz w:val="24"/>
          <w:szCs w:val="24"/>
        </w:rPr>
        <w:t>antikoagulations</w:t>
      </w:r>
      <w:r>
        <w:rPr>
          <w:sz w:val="24"/>
          <w:szCs w:val="24"/>
        </w:rPr>
        <w:softHyphen/>
      </w:r>
      <w:r w:rsidRPr="00A915D4">
        <w:rPr>
          <w:sz w:val="24"/>
          <w:szCs w:val="24"/>
        </w:rPr>
        <w:t>behandling</w:t>
      </w:r>
      <w:proofErr w:type="spellEnd"/>
      <w:r w:rsidRPr="00A915D4">
        <w:rPr>
          <w:sz w:val="24"/>
          <w:szCs w:val="24"/>
        </w:rPr>
        <w:t xml:space="preserve">. Den høje intraindividuelle variabilitet af </w:t>
      </w:r>
      <w:proofErr w:type="spellStart"/>
      <w:r w:rsidRPr="00A915D4">
        <w:rPr>
          <w:sz w:val="24"/>
          <w:szCs w:val="24"/>
        </w:rPr>
        <w:t>koagulabiliteten</w:t>
      </w:r>
      <w:proofErr w:type="spellEnd"/>
      <w:r w:rsidRPr="00A915D4">
        <w:rPr>
          <w:sz w:val="24"/>
          <w:szCs w:val="24"/>
        </w:rPr>
        <w:t xml:space="preserve"> under sygdom, samt muligheden for interaktion mellem orale </w:t>
      </w:r>
      <w:proofErr w:type="spellStart"/>
      <w:r w:rsidRPr="00A915D4">
        <w:rPr>
          <w:sz w:val="24"/>
          <w:szCs w:val="24"/>
        </w:rPr>
        <w:t>antikoagulantia</w:t>
      </w:r>
      <w:proofErr w:type="spellEnd"/>
      <w:r w:rsidRPr="00A915D4">
        <w:rPr>
          <w:sz w:val="24"/>
          <w:szCs w:val="24"/>
        </w:rPr>
        <w:t xml:space="preserve"> og anticancer-kemoterapi kræver hyppigere overvågning af INR, hvis det besluttes at behandle patienten med orale </w:t>
      </w:r>
      <w:proofErr w:type="spellStart"/>
      <w:r w:rsidRPr="00A915D4">
        <w:rPr>
          <w:sz w:val="24"/>
          <w:szCs w:val="24"/>
        </w:rPr>
        <w:t>antikoagulantia</w:t>
      </w:r>
      <w:proofErr w:type="spellEnd"/>
      <w:r w:rsidRPr="00A915D4">
        <w:rPr>
          <w:sz w:val="24"/>
          <w:szCs w:val="24"/>
        </w:rPr>
        <w:t>.</w:t>
      </w:r>
    </w:p>
    <w:p w:rsidR="00E77693" w:rsidRPr="00A915D4" w:rsidRDefault="00E77693" w:rsidP="00E77693">
      <w:pPr>
        <w:ind w:left="851" w:hanging="851"/>
        <w:rPr>
          <w:sz w:val="24"/>
          <w:szCs w:val="24"/>
        </w:rPr>
      </w:pPr>
    </w:p>
    <w:p w:rsidR="00E77693" w:rsidRDefault="00F4215C" w:rsidP="00E77693">
      <w:pPr>
        <w:ind w:left="851" w:hanging="851"/>
        <w:rPr>
          <w:sz w:val="24"/>
          <w:szCs w:val="24"/>
        </w:rPr>
      </w:pPr>
      <w:r>
        <w:rPr>
          <w:sz w:val="24"/>
          <w:szCs w:val="24"/>
        </w:rPr>
        <w:tab/>
      </w:r>
      <w:r w:rsidRPr="00F4215C">
        <w:rPr>
          <w:sz w:val="24"/>
          <w:szCs w:val="24"/>
        </w:rPr>
        <w:t xml:space="preserve">Samtidig anvendelse af </w:t>
      </w:r>
      <w:proofErr w:type="spellStart"/>
      <w:r w:rsidRPr="00F4215C">
        <w:rPr>
          <w:sz w:val="24"/>
          <w:szCs w:val="24"/>
        </w:rPr>
        <w:t>phenytoin</w:t>
      </w:r>
      <w:proofErr w:type="spellEnd"/>
      <w:r w:rsidRPr="00F4215C">
        <w:rPr>
          <w:sz w:val="24"/>
          <w:szCs w:val="24"/>
        </w:rPr>
        <w:t xml:space="preserve"> kan medføre nedsat absorption af </w:t>
      </w:r>
      <w:proofErr w:type="spellStart"/>
      <w:r w:rsidRPr="00F4215C">
        <w:rPr>
          <w:sz w:val="24"/>
          <w:szCs w:val="24"/>
        </w:rPr>
        <w:t>phenytoin</w:t>
      </w:r>
      <w:proofErr w:type="spellEnd"/>
      <w:r w:rsidRPr="00F4215C">
        <w:rPr>
          <w:sz w:val="24"/>
          <w:szCs w:val="24"/>
        </w:rPr>
        <w:t xml:space="preserve"> fra mave-tarm-kanalen og kan prædisponere patienten for krampeanfald (se pkt. 4.4).</w:t>
      </w:r>
    </w:p>
    <w:p w:rsidR="00F4215C" w:rsidRPr="00A915D4" w:rsidRDefault="00F4215C" w:rsidP="00E77693">
      <w:pPr>
        <w:ind w:left="851" w:hanging="851"/>
        <w:rPr>
          <w:sz w:val="24"/>
          <w:szCs w:val="24"/>
        </w:rPr>
      </w:pPr>
    </w:p>
    <w:p w:rsidR="00E77693" w:rsidRPr="00A915D4" w:rsidRDefault="00AA1DBB" w:rsidP="00E77693">
      <w:pPr>
        <w:ind w:left="851"/>
        <w:rPr>
          <w:sz w:val="24"/>
          <w:szCs w:val="24"/>
        </w:rPr>
      </w:pPr>
      <w:r w:rsidRPr="00AA1DBB">
        <w:rPr>
          <w:sz w:val="24"/>
          <w:szCs w:val="24"/>
        </w:rPr>
        <w:t xml:space="preserve">Immunisering med levende vacciner skal undgås under behandling med </w:t>
      </w:r>
      <w:proofErr w:type="spellStart"/>
      <w:r w:rsidRPr="00AA1DBB">
        <w:rPr>
          <w:sz w:val="24"/>
          <w:szCs w:val="24"/>
        </w:rPr>
        <w:t>dacarbazin</w:t>
      </w:r>
      <w:proofErr w:type="spellEnd"/>
      <w:r w:rsidRPr="00AA1DBB">
        <w:rPr>
          <w:sz w:val="24"/>
          <w:szCs w:val="24"/>
        </w:rPr>
        <w:t xml:space="preserve"> pga. risikoen for alvorlige og potentielt dødelige infektioner. Det tilrådes at anvende levende vacciner med forsigtighed efter </w:t>
      </w:r>
      <w:proofErr w:type="spellStart"/>
      <w:r w:rsidRPr="00AA1DBB">
        <w:rPr>
          <w:sz w:val="24"/>
          <w:szCs w:val="24"/>
        </w:rPr>
        <w:t>seponering</w:t>
      </w:r>
      <w:proofErr w:type="spellEnd"/>
      <w:r w:rsidRPr="00AA1DBB">
        <w:rPr>
          <w:sz w:val="24"/>
          <w:szCs w:val="24"/>
        </w:rPr>
        <w:t xml:space="preserve"> af kemoterapi og ikke vaccinere tidligere end 3 måneder efter sidste dosis kemoterapi. Det anbefales at anvende en inaktiveret vaccine, hvis den er tilgængelig</w:t>
      </w:r>
      <w:r w:rsidR="00E77693" w:rsidRPr="00A915D4">
        <w:rPr>
          <w:sz w:val="24"/>
          <w:szCs w:val="24"/>
        </w:rPr>
        <w:t xml:space="preserve"> (se også pkt. 4.4).</w:t>
      </w:r>
    </w:p>
    <w:p w:rsidR="00E77693" w:rsidRPr="00A915D4" w:rsidRDefault="00E77693" w:rsidP="00E77693">
      <w:pPr>
        <w:ind w:left="851" w:hanging="851"/>
        <w:rPr>
          <w:noProof/>
          <w:sz w:val="24"/>
          <w:szCs w:val="24"/>
        </w:rPr>
      </w:pPr>
    </w:p>
    <w:p w:rsidR="00E77693" w:rsidRPr="00A915D4" w:rsidRDefault="00E77693" w:rsidP="00E77693">
      <w:pPr>
        <w:ind w:left="851"/>
        <w:rPr>
          <w:noProof/>
          <w:sz w:val="24"/>
          <w:szCs w:val="24"/>
        </w:rPr>
      </w:pPr>
      <w:r w:rsidRPr="00A915D4">
        <w:rPr>
          <w:sz w:val="24"/>
          <w:szCs w:val="24"/>
        </w:rPr>
        <w:t xml:space="preserve">Samtidig anvendelse af </w:t>
      </w:r>
      <w:proofErr w:type="spellStart"/>
      <w:r w:rsidRPr="00A915D4">
        <w:rPr>
          <w:sz w:val="24"/>
          <w:szCs w:val="24"/>
        </w:rPr>
        <w:t>ciclosporin</w:t>
      </w:r>
      <w:proofErr w:type="spellEnd"/>
      <w:r w:rsidRPr="00A915D4">
        <w:rPr>
          <w:sz w:val="24"/>
          <w:szCs w:val="24"/>
        </w:rPr>
        <w:t xml:space="preserve"> (og ved ekstrapolation </w:t>
      </w:r>
      <w:proofErr w:type="spellStart"/>
      <w:r w:rsidRPr="00A915D4">
        <w:rPr>
          <w:sz w:val="24"/>
          <w:szCs w:val="24"/>
        </w:rPr>
        <w:t>tacrolimus</w:t>
      </w:r>
      <w:proofErr w:type="spellEnd"/>
      <w:r w:rsidRPr="00A915D4">
        <w:rPr>
          <w:sz w:val="24"/>
          <w:szCs w:val="24"/>
        </w:rPr>
        <w:t xml:space="preserve">) bør overvejes nøje, da anvendelsen af disse stoffer forårsager for kraftig immunsuppression med risiko for </w:t>
      </w:r>
      <w:proofErr w:type="spellStart"/>
      <w:r w:rsidRPr="00A915D4">
        <w:rPr>
          <w:sz w:val="24"/>
          <w:szCs w:val="24"/>
        </w:rPr>
        <w:t>lymfoproliferation</w:t>
      </w:r>
      <w:proofErr w:type="spellEnd"/>
      <w:r w:rsidRPr="00A915D4">
        <w:rPr>
          <w:sz w:val="24"/>
          <w:szCs w:val="24"/>
        </w:rPr>
        <w:t>.</w:t>
      </w:r>
    </w:p>
    <w:p w:rsidR="00E77693" w:rsidRPr="00A915D4" w:rsidRDefault="00E77693" w:rsidP="00AA1DBB">
      <w:pPr>
        <w:ind w:left="851"/>
        <w:rPr>
          <w:sz w:val="24"/>
          <w:szCs w:val="24"/>
        </w:rPr>
      </w:pPr>
    </w:p>
    <w:p w:rsidR="00E77693" w:rsidRPr="00A915D4" w:rsidRDefault="00AA1DBB" w:rsidP="00E77693">
      <w:pPr>
        <w:ind w:left="851"/>
        <w:rPr>
          <w:sz w:val="24"/>
          <w:szCs w:val="24"/>
        </w:rPr>
      </w:pPr>
      <w:r w:rsidRPr="00AA1DBB">
        <w:rPr>
          <w:sz w:val="24"/>
          <w:szCs w:val="24"/>
        </w:rPr>
        <w:t xml:space="preserve">Samtidig anvendelse af </w:t>
      </w:r>
      <w:proofErr w:type="spellStart"/>
      <w:r w:rsidRPr="00AA1DBB">
        <w:rPr>
          <w:sz w:val="24"/>
          <w:szCs w:val="24"/>
        </w:rPr>
        <w:t>fotemustin</w:t>
      </w:r>
      <w:proofErr w:type="spellEnd"/>
      <w:r w:rsidRPr="00AA1DBB">
        <w:rPr>
          <w:sz w:val="24"/>
          <w:szCs w:val="24"/>
        </w:rPr>
        <w:t xml:space="preserve"> kan forårsage akut </w:t>
      </w:r>
      <w:proofErr w:type="spellStart"/>
      <w:r w:rsidRPr="00AA1DBB">
        <w:rPr>
          <w:sz w:val="24"/>
          <w:szCs w:val="24"/>
        </w:rPr>
        <w:t>pulmonal</w:t>
      </w:r>
      <w:proofErr w:type="spellEnd"/>
      <w:r w:rsidRPr="00AA1DBB">
        <w:rPr>
          <w:sz w:val="24"/>
          <w:szCs w:val="24"/>
        </w:rPr>
        <w:t xml:space="preserve"> toksicitet (</w:t>
      </w:r>
      <w:proofErr w:type="spellStart"/>
      <w:r w:rsidRPr="00AA1DBB">
        <w:rPr>
          <w:i/>
          <w:sz w:val="24"/>
          <w:szCs w:val="24"/>
        </w:rPr>
        <w:t>Adult</w:t>
      </w:r>
      <w:proofErr w:type="spellEnd"/>
      <w:r w:rsidRPr="00AA1DBB">
        <w:rPr>
          <w:i/>
          <w:sz w:val="24"/>
          <w:szCs w:val="24"/>
        </w:rPr>
        <w:t xml:space="preserve"> </w:t>
      </w:r>
      <w:proofErr w:type="spellStart"/>
      <w:r w:rsidRPr="00AA1DBB">
        <w:rPr>
          <w:i/>
          <w:sz w:val="24"/>
          <w:szCs w:val="24"/>
        </w:rPr>
        <w:t>Respiratory</w:t>
      </w:r>
      <w:proofErr w:type="spellEnd"/>
      <w:r w:rsidRPr="00AA1DBB">
        <w:rPr>
          <w:i/>
          <w:sz w:val="24"/>
          <w:szCs w:val="24"/>
        </w:rPr>
        <w:t xml:space="preserve"> </w:t>
      </w:r>
      <w:proofErr w:type="spellStart"/>
      <w:r w:rsidRPr="00AA1DBB">
        <w:rPr>
          <w:i/>
          <w:sz w:val="24"/>
          <w:szCs w:val="24"/>
        </w:rPr>
        <w:t>Distress</w:t>
      </w:r>
      <w:proofErr w:type="spellEnd"/>
      <w:r w:rsidRPr="00AA1DBB">
        <w:rPr>
          <w:i/>
          <w:sz w:val="24"/>
          <w:szCs w:val="24"/>
        </w:rPr>
        <w:t xml:space="preserve"> </w:t>
      </w:r>
      <w:proofErr w:type="spellStart"/>
      <w:r w:rsidRPr="00AA1DBB">
        <w:rPr>
          <w:i/>
          <w:sz w:val="24"/>
          <w:szCs w:val="24"/>
        </w:rPr>
        <w:t>Syndrome</w:t>
      </w:r>
      <w:proofErr w:type="spellEnd"/>
      <w:r w:rsidRPr="00AA1DBB">
        <w:rPr>
          <w:sz w:val="24"/>
          <w:szCs w:val="24"/>
        </w:rPr>
        <w:t xml:space="preserve">, også kaldet choklunge). </w:t>
      </w:r>
      <w:proofErr w:type="spellStart"/>
      <w:r w:rsidRPr="00AA1DBB">
        <w:rPr>
          <w:sz w:val="24"/>
          <w:szCs w:val="24"/>
        </w:rPr>
        <w:t>Fotemustin</w:t>
      </w:r>
      <w:proofErr w:type="spellEnd"/>
      <w:r w:rsidRPr="00AA1DBB">
        <w:rPr>
          <w:sz w:val="24"/>
          <w:szCs w:val="24"/>
        </w:rPr>
        <w:t xml:space="preserve"> og </w:t>
      </w:r>
      <w:proofErr w:type="spellStart"/>
      <w:r w:rsidRPr="00AA1DBB">
        <w:rPr>
          <w:sz w:val="24"/>
          <w:szCs w:val="24"/>
        </w:rPr>
        <w:t>dacarbazin</w:t>
      </w:r>
      <w:proofErr w:type="spellEnd"/>
      <w:r w:rsidRPr="00AA1DBB">
        <w:rPr>
          <w:sz w:val="24"/>
          <w:szCs w:val="24"/>
        </w:rPr>
        <w:t xml:space="preserve"> må ikke anvendes samtidigt. </w:t>
      </w:r>
      <w:proofErr w:type="spellStart"/>
      <w:r w:rsidRPr="00AA1DBB">
        <w:rPr>
          <w:sz w:val="24"/>
          <w:szCs w:val="24"/>
        </w:rPr>
        <w:t>Dacarbazin</w:t>
      </w:r>
      <w:proofErr w:type="spellEnd"/>
      <w:r w:rsidRPr="00AA1DBB">
        <w:rPr>
          <w:sz w:val="24"/>
          <w:szCs w:val="24"/>
        </w:rPr>
        <w:t xml:space="preserve"> bør administreres mere end en uge efter administration af </w:t>
      </w:r>
      <w:proofErr w:type="spellStart"/>
      <w:r w:rsidRPr="00AA1DBB">
        <w:rPr>
          <w:sz w:val="24"/>
          <w:szCs w:val="24"/>
        </w:rPr>
        <w:t>fotemustin</w:t>
      </w:r>
      <w:proofErr w:type="spellEnd"/>
      <w:r w:rsidRPr="00AA1DBB">
        <w:rPr>
          <w:sz w:val="24"/>
          <w:szCs w:val="24"/>
        </w:rPr>
        <w:t>.</w:t>
      </w:r>
    </w:p>
    <w:p w:rsidR="00E77693" w:rsidRPr="00A915D4" w:rsidRDefault="00E77693" w:rsidP="00AA1DBB">
      <w:pPr>
        <w:ind w:left="851"/>
        <w:rPr>
          <w:sz w:val="24"/>
          <w:szCs w:val="24"/>
        </w:rPr>
      </w:pPr>
    </w:p>
    <w:p w:rsidR="00E77693" w:rsidRPr="00A915D4" w:rsidRDefault="00E77693" w:rsidP="00E77693">
      <w:pPr>
        <w:ind w:left="851"/>
        <w:rPr>
          <w:noProof/>
          <w:sz w:val="24"/>
          <w:szCs w:val="24"/>
        </w:rPr>
      </w:pPr>
      <w:proofErr w:type="spellStart"/>
      <w:r w:rsidRPr="00A915D4">
        <w:rPr>
          <w:sz w:val="24"/>
          <w:szCs w:val="24"/>
        </w:rPr>
        <w:t>Myelotoksiske</w:t>
      </w:r>
      <w:proofErr w:type="spellEnd"/>
      <w:r w:rsidRPr="00A915D4">
        <w:rPr>
          <w:sz w:val="24"/>
          <w:szCs w:val="24"/>
        </w:rPr>
        <w:t xml:space="preserve"> interaktioner med andre behandlingsmodaliteter, der har bivirkninger på knoglemarven (især </w:t>
      </w:r>
      <w:proofErr w:type="spellStart"/>
      <w:r w:rsidRPr="00A915D4">
        <w:rPr>
          <w:sz w:val="24"/>
          <w:szCs w:val="24"/>
        </w:rPr>
        <w:t>cytostatika</w:t>
      </w:r>
      <w:proofErr w:type="spellEnd"/>
      <w:r w:rsidRPr="00A915D4">
        <w:rPr>
          <w:sz w:val="24"/>
          <w:szCs w:val="24"/>
        </w:rPr>
        <w:t>, stråling), er mulige.</w:t>
      </w:r>
    </w:p>
    <w:p w:rsidR="00E77693" w:rsidRPr="00A915D4" w:rsidRDefault="00E77693" w:rsidP="00E77693">
      <w:pPr>
        <w:ind w:left="851" w:hanging="851"/>
        <w:rPr>
          <w:noProof/>
          <w:sz w:val="24"/>
          <w:szCs w:val="24"/>
        </w:rPr>
      </w:pPr>
    </w:p>
    <w:p w:rsidR="00E77693" w:rsidRPr="00A915D4" w:rsidRDefault="00E77693" w:rsidP="00E77693">
      <w:pPr>
        <w:ind w:left="851"/>
        <w:rPr>
          <w:noProof/>
          <w:sz w:val="24"/>
          <w:szCs w:val="24"/>
        </w:rPr>
      </w:pPr>
      <w:r w:rsidRPr="00A915D4">
        <w:rPr>
          <w:sz w:val="24"/>
          <w:szCs w:val="24"/>
        </w:rPr>
        <w:t xml:space="preserve">Der er ikke udført studier, der undersøger en mulig </w:t>
      </w:r>
      <w:proofErr w:type="spellStart"/>
      <w:r w:rsidRPr="00A915D4">
        <w:rPr>
          <w:sz w:val="24"/>
          <w:szCs w:val="24"/>
        </w:rPr>
        <w:t>fænotypisk</w:t>
      </w:r>
      <w:proofErr w:type="spellEnd"/>
      <w:r w:rsidRPr="00A915D4">
        <w:rPr>
          <w:sz w:val="24"/>
          <w:szCs w:val="24"/>
        </w:rPr>
        <w:t xml:space="preserve"> metabolisme. </w:t>
      </w:r>
      <w:proofErr w:type="spellStart"/>
      <w:r w:rsidRPr="00A915D4">
        <w:rPr>
          <w:sz w:val="24"/>
          <w:szCs w:val="24"/>
        </w:rPr>
        <w:t>Hydroxylering</w:t>
      </w:r>
      <w:proofErr w:type="spellEnd"/>
      <w:r w:rsidRPr="00A915D4">
        <w:rPr>
          <w:sz w:val="24"/>
          <w:szCs w:val="24"/>
        </w:rPr>
        <w:t xml:space="preserve"> af udgangsstoffet til metabolitter med </w:t>
      </w:r>
      <w:proofErr w:type="spellStart"/>
      <w:r w:rsidRPr="00A915D4">
        <w:rPr>
          <w:sz w:val="24"/>
          <w:szCs w:val="24"/>
        </w:rPr>
        <w:t>anti</w:t>
      </w:r>
      <w:proofErr w:type="spellEnd"/>
      <w:r w:rsidRPr="00A915D4">
        <w:rPr>
          <w:sz w:val="24"/>
          <w:szCs w:val="24"/>
        </w:rPr>
        <w:noBreakHyphen/>
        <w:t>tumoraktivitet er imidlertid blevet identificeret.</w:t>
      </w:r>
    </w:p>
    <w:p w:rsidR="00E77693" w:rsidRPr="00A915D4" w:rsidRDefault="00E77693" w:rsidP="00E77693">
      <w:pPr>
        <w:ind w:left="851" w:hanging="851"/>
        <w:rPr>
          <w:noProof/>
          <w:sz w:val="24"/>
          <w:szCs w:val="24"/>
        </w:rPr>
      </w:pPr>
    </w:p>
    <w:p w:rsidR="00E77693" w:rsidRPr="00A915D4" w:rsidRDefault="00E77693" w:rsidP="00E77693">
      <w:pPr>
        <w:ind w:left="851"/>
        <w:rPr>
          <w:noProof/>
          <w:sz w:val="24"/>
          <w:szCs w:val="24"/>
        </w:rPr>
      </w:pPr>
      <w:proofErr w:type="spellStart"/>
      <w:r w:rsidRPr="00A915D4">
        <w:rPr>
          <w:sz w:val="24"/>
          <w:szCs w:val="24"/>
        </w:rPr>
        <w:t>Dacarbazin</w:t>
      </w:r>
      <w:proofErr w:type="spellEnd"/>
      <w:r w:rsidRPr="00A915D4">
        <w:rPr>
          <w:sz w:val="24"/>
          <w:szCs w:val="24"/>
        </w:rPr>
        <w:t xml:space="preserve"> </w:t>
      </w:r>
      <w:proofErr w:type="spellStart"/>
      <w:r w:rsidRPr="00A915D4">
        <w:rPr>
          <w:sz w:val="24"/>
          <w:szCs w:val="24"/>
        </w:rPr>
        <w:t>metaboliseres</w:t>
      </w:r>
      <w:proofErr w:type="spellEnd"/>
      <w:r w:rsidRPr="00A915D4">
        <w:rPr>
          <w:sz w:val="24"/>
          <w:szCs w:val="24"/>
        </w:rPr>
        <w:t xml:space="preserve"> af </w:t>
      </w:r>
      <w:proofErr w:type="spellStart"/>
      <w:r w:rsidRPr="00A915D4">
        <w:rPr>
          <w:sz w:val="24"/>
          <w:szCs w:val="24"/>
        </w:rPr>
        <w:t>cytokrom</w:t>
      </w:r>
      <w:proofErr w:type="spellEnd"/>
      <w:r w:rsidRPr="00A915D4">
        <w:rPr>
          <w:sz w:val="24"/>
          <w:szCs w:val="24"/>
        </w:rPr>
        <w:t xml:space="preserve"> P450 (CYP1A1, CYP1A2 og CYP2E1). Dette bør overvejes, hvis der samtidigt administreres andre lægemidler, som </w:t>
      </w:r>
      <w:proofErr w:type="spellStart"/>
      <w:r w:rsidRPr="00A915D4">
        <w:rPr>
          <w:sz w:val="24"/>
          <w:szCs w:val="24"/>
        </w:rPr>
        <w:t>metaboliseres</w:t>
      </w:r>
      <w:proofErr w:type="spellEnd"/>
      <w:r w:rsidRPr="00A915D4">
        <w:rPr>
          <w:sz w:val="24"/>
          <w:szCs w:val="24"/>
        </w:rPr>
        <w:t xml:space="preserve"> af de samme leverenzymer.</w:t>
      </w:r>
    </w:p>
    <w:p w:rsidR="00E77693" w:rsidRPr="00A915D4" w:rsidRDefault="00E77693" w:rsidP="00E77693">
      <w:pPr>
        <w:ind w:left="851" w:hanging="851"/>
        <w:rPr>
          <w:noProof/>
          <w:sz w:val="24"/>
          <w:szCs w:val="24"/>
        </w:rPr>
      </w:pP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kan forstærke virkningerne af </w:t>
      </w:r>
      <w:proofErr w:type="spellStart"/>
      <w:r w:rsidRPr="00A915D4">
        <w:rPr>
          <w:sz w:val="24"/>
          <w:szCs w:val="24"/>
        </w:rPr>
        <w:t>methoxypsoralen</w:t>
      </w:r>
      <w:proofErr w:type="spellEnd"/>
      <w:r w:rsidRPr="00A915D4">
        <w:rPr>
          <w:sz w:val="24"/>
          <w:szCs w:val="24"/>
        </w:rPr>
        <w:t xml:space="preserve"> på grund af lysfølsomhed.</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4.6</w:t>
      </w:r>
      <w:r w:rsidRPr="00A915D4">
        <w:rPr>
          <w:b/>
          <w:sz w:val="24"/>
          <w:szCs w:val="24"/>
        </w:rPr>
        <w:tab/>
      </w:r>
      <w:r w:rsidR="00A42A82">
        <w:rPr>
          <w:b/>
          <w:sz w:val="24"/>
          <w:szCs w:val="24"/>
        </w:rPr>
        <w:t>Fertilitet, g</w:t>
      </w:r>
      <w:r w:rsidRPr="00A915D4">
        <w:rPr>
          <w:b/>
          <w:sz w:val="24"/>
          <w:szCs w:val="24"/>
        </w:rPr>
        <w:t>raviditet og amning</w:t>
      </w:r>
    </w:p>
    <w:p w:rsidR="00E77693" w:rsidRDefault="00E77693" w:rsidP="00E77693">
      <w:pPr>
        <w:ind w:left="851" w:hanging="851"/>
        <w:jc w:val="both"/>
        <w:rPr>
          <w:sz w:val="24"/>
          <w:szCs w:val="24"/>
          <w:u w:val="single"/>
        </w:rPr>
      </w:pPr>
    </w:p>
    <w:p w:rsidR="00E77693" w:rsidRPr="00A915D4" w:rsidRDefault="00E77693" w:rsidP="00E77693">
      <w:pPr>
        <w:ind w:left="851"/>
        <w:rPr>
          <w:sz w:val="24"/>
          <w:szCs w:val="24"/>
          <w:lang w:eastAsia="da-DK"/>
        </w:rPr>
      </w:pPr>
      <w:r w:rsidRPr="00A915D4">
        <w:rPr>
          <w:sz w:val="24"/>
          <w:szCs w:val="24"/>
          <w:u w:val="single"/>
        </w:rPr>
        <w:t>Graviditet og amning</w:t>
      </w:r>
      <w:r w:rsidRPr="00A915D4">
        <w:rPr>
          <w:sz w:val="24"/>
          <w:szCs w:val="24"/>
        </w:rPr>
        <w:t>:</w:t>
      </w: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har vist sig at være mutagent, </w:t>
      </w:r>
      <w:proofErr w:type="spellStart"/>
      <w:r w:rsidRPr="00A915D4">
        <w:rPr>
          <w:sz w:val="24"/>
          <w:szCs w:val="24"/>
        </w:rPr>
        <w:t>teratogent</w:t>
      </w:r>
      <w:proofErr w:type="spellEnd"/>
      <w:r w:rsidRPr="00A915D4">
        <w:rPr>
          <w:sz w:val="24"/>
          <w:szCs w:val="24"/>
        </w:rPr>
        <w:t xml:space="preserve"> og </w:t>
      </w:r>
      <w:proofErr w:type="spellStart"/>
      <w:r w:rsidRPr="00A915D4">
        <w:rPr>
          <w:sz w:val="24"/>
          <w:szCs w:val="24"/>
        </w:rPr>
        <w:t>karcinogent</w:t>
      </w:r>
      <w:proofErr w:type="spellEnd"/>
      <w:r w:rsidRPr="00A915D4">
        <w:rPr>
          <w:sz w:val="24"/>
          <w:szCs w:val="24"/>
        </w:rPr>
        <w:t xml:space="preserve"> hos dyr. Det må antages, at der er en øget risiko for </w:t>
      </w:r>
      <w:proofErr w:type="spellStart"/>
      <w:r w:rsidRPr="00A915D4">
        <w:rPr>
          <w:sz w:val="24"/>
          <w:szCs w:val="24"/>
        </w:rPr>
        <w:t>teratogene</w:t>
      </w:r>
      <w:proofErr w:type="spellEnd"/>
      <w:r w:rsidRPr="00A915D4">
        <w:rPr>
          <w:sz w:val="24"/>
          <w:szCs w:val="24"/>
        </w:rPr>
        <w:t xml:space="preserve"> virkninger hos mennesker. </w:t>
      </w:r>
      <w:r w:rsidR="00AA1DBB" w:rsidRPr="00AA1DBB">
        <w:rPr>
          <w:sz w:val="24"/>
          <w:szCs w:val="24"/>
        </w:rPr>
        <w:t xml:space="preserve">Af denne årsag er </w:t>
      </w:r>
      <w:proofErr w:type="spellStart"/>
      <w:r w:rsidR="00AA1DBB" w:rsidRPr="00AA1DBB">
        <w:rPr>
          <w:sz w:val="24"/>
          <w:szCs w:val="24"/>
        </w:rPr>
        <w:t>dacarbazin</w:t>
      </w:r>
      <w:proofErr w:type="spellEnd"/>
      <w:r w:rsidR="00AA1DBB" w:rsidRPr="00AA1DBB">
        <w:rPr>
          <w:sz w:val="24"/>
          <w:szCs w:val="24"/>
        </w:rPr>
        <w:t xml:space="preserve"> kontraindiceret under graviditeten og under amning (se også pkt. 4.3 og 4.4). Det er ukendt, om </w:t>
      </w:r>
      <w:proofErr w:type="spellStart"/>
      <w:r w:rsidR="00AA1DBB" w:rsidRPr="00AA1DBB">
        <w:rPr>
          <w:sz w:val="24"/>
          <w:szCs w:val="24"/>
        </w:rPr>
        <w:t>dacarbazin</w:t>
      </w:r>
      <w:proofErr w:type="spellEnd"/>
      <w:r w:rsidR="00AA1DBB" w:rsidRPr="00AA1DBB">
        <w:rPr>
          <w:sz w:val="24"/>
          <w:szCs w:val="24"/>
        </w:rPr>
        <w:t xml:space="preserve"> krydser placenta eller udskilles i mælken.</w:t>
      </w:r>
    </w:p>
    <w:p w:rsidR="00E77693" w:rsidRPr="00A915D4" w:rsidRDefault="00E77693" w:rsidP="00E77693">
      <w:pPr>
        <w:ind w:left="851" w:hanging="851"/>
        <w:rPr>
          <w:sz w:val="24"/>
          <w:szCs w:val="24"/>
        </w:rPr>
      </w:pPr>
    </w:p>
    <w:p w:rsidR="00A42A82" w:rsidRPr="00A42A82" w:rsidRDefault="00A42A82" w:rsidP="00A42A82">
      <w:pPr>
        <w:ind w:left="851"/>
        <w:rPr>
          <w:sz w:val="24"/>
          <w:szCs w:val="22"/>
          <w:u w:val="single"/>
          <w:lang w:eastAsia="da-DK"/>
        </w:rPr>
      </w:pPr>
      <w:r w:rsidRPr="00A42A82">
        <w:rPr>
          <w:sz w:val="24"/>
          <w:szCs w:val="22"/>
          <w:u w:val="single"/>
        </w:rPr>
        <w:lastRenderedPageBreak/>
        <w:t>Kvinder i den fertile alder/</w:t>
      </w:r>
      <w:proofErr w:type="spellStart"/>
      <w:r w:rsidRPr="00A42A82">
        <w:rPr>
          <w:sz w:val="24"/>
          <w:szCs w:val="22"/>
          <w:u w:val="single"/>
        </w:rPr>
        <w:t>kontraception</w:t>
      </w:r>
      <w:proofErr w:type="spellEnd"/>
      <w:r w:rsidRPr="00A42A82">
        <w:rPr>
          <w:sz w:val="24"/>
          <w:szCs w:val="22"/>
          <w:u w:val="single"/>
        </w:rPr>
        <w:t xml:space="preserve"> hos mænd og kvinder</w:t>
      </w:r>
    </w:p>
    <w:p w:rsidR="00A42A82" w:rsidRPr="00A42A82" w:rsidRDefault="00A42A82" w:rsidP="00A42A82">
      <w:pPr>
        <w:ind w:left="851"/>
        <w:rPr>
          <w:sz w:val="24"/>
          <w:szCs w:val="22"/>
        </w:rPr>
      </w:pPr>
      <w:r w:rsidRPr="00A42A82">
        <w:rPr>
          <w:sz w:val="24"/>
          <w:szCs w:val="22"/>
        </w:rPr>
        <w:t xml:space="preserve">På grund af </w:t>
      </w:r>
      <w:proofErr w:type="spellStart"/>
      <w:r w:rsidRPr="00A42A82">
        <w:rPr>
          <w:sz w:val="24"/>
          <w:szCs w:val="22"/>
        </w:rPr>
        <w:t>dacarbazins</w:t>
      </w:r>
      <w:proofErr w:type="spellEnd"/>
      <w:r w:rsidRPr="00A42A82">
        <w:rPr>
          <w:sz w:val="24"/>
          <w:szCs w:val="22"/>
        </w:rPr>
        <w:t xml:space="preserve"> genotoksiske potentiale (se pkt. 5.3) skal kvinder i den fertile alder anvende sikker </w:t>
      </w:r>
      <w:proofErr w:type="spellStart"/>
      <w:r w:rsidRPr="00A42A82">
        <w:rPr>
          <w:sz w:val="24"/>
          <w:szCs w:val="22"/>
        </w:rPr>
        <w:t>kontraception</w:t>
      </w:r>
      <w:proofErr w:type="spellEnd"/>
      <w:r w:rsidRPr="00A42A82">
        <w:rPr>
          <w:sz w:val="24"/>
          <w:szCs w:val="22"/>
        </w:rPr>
        <w:t xml:space="preserve"> under behandlingen med </w:t>
      </w:r>
      <w:proofErr w:type="spellStart"/>
      <w:r w:rsidRPr="00A42A82">
        <w:rPr>
          <w:sz w:val="24"/>
          <w:szCs w:val="22"/>
        </w:rPr>
        <w:t>Dacarbazine</w:t>
      </w:r>
      <w:proofErr w:type="spellEnd"/>
      <w:r w:rsidRPr="00A42A82">
        <w:rPr>
          <w:sz w:val="24"/>
          <w:szCs w:val="22"/>
        </w:rPr>
        <w:t xml:space="preserve"> </w:t>
      </w:r>
      <w:proofErr w:type="spellStart"/>
      <w:r w:rsidRPr="00A42A82">
        <w:rPr>
          <w:sz w:val="24"/>
          <w:szCs w:val="22"/>
        </w:rPr>
        <w:t>Lipomed</w:t>
      </w:r>
      <w:proofErr w:type="spellEnd"/>
      <w:r w:rsidRPr="00A42A82">
        <w:rPr>
          <w:sz w:val="24"/>
          <w:szCs w:val="22"/>
        </w:rPr>
        <w:t xml:space="preserve"> og i 6 måneder efter behandlingen er blevet gennemført.</w:t>
      </w:r>
    </w:p>
    <w:p w:rsidR="00A42A82" w:rsidRPr="00A42A82" w:rsidRDefault="00A42A82" w:rsidP="00A42A82">
      <w:pPr>
        <w:ind w:left="851"/>
        <w:rPr>
          <w:sz w:val="24"/>
          <w:szCs w:val="22"/>
        </w:rPr>
      </w:pPr>
      <w:r w:rsidRPr="00A42A82">
        <w:rPr>
          <w:sz w:val="24"/>
          <w:szCs w:val="22"/>
        </w:rPr>
        <w:t xml:space="preserve">Det anbefales, at mænd bruger sikker kontrakonception og ikke gør en kvinde gravid under behandlingen med </w:t>
      </w:r>
      <w:proofErr w:type="spellStart"/>
      <w:r w:rsidRPr="00A42A82">
        <w:rPr>
          <w:sz w:val="24"/>
          <w:szCs w:val="22"/>
        </w:rPr>
        <w:t>Dacarbazine</w:t>
      </w:r>
      <w:proofErr w:type="spellEnd"/>
      <w:r w:rsidRPr="00A42A82">
        <w:rPr>
          <w:sz w:val="24"/>
          <w:szCs w:val="22"/>
        </w:rPr>
        <w:t xml:space="preserve"> </w:t>
      </w:r>
      <w:proofErr w:type="spellStart"/>
      <w:r w:rsidRPr="00A42A82">
        <w:rPr>
          <w:sz w:val="24"/>
          <w:szCs w:val="22"/>
        </w:rPr>
        <w:t>Lipomed</w:t>
      </w:r>
      <w:proofErr w:type="spellEnd"/>
      <w:r w:rsidRPr="00A42A82">
        <w:rPr>
          <w:sz w:val="24"/>
          <w:szCs w:val="22"/>
        </w:rPr>
        <w:t xml:space="preserve"> og i 3 måneder efter behandlingen er blevet gennemført.</w:t>
      </w:r>
    </w:p>
    <w:p w:rsidR="00A42A82" w:rsidRPr="00A42A82" w:rsidRDefault="00A42A82" w:rsidP="00A42A82">
      <w:pPr>
        <w:ind w:left="851"/>
        <w:rPr>
          <w:sz w:val="24"/>
          <w:szCs w:val="22"/>
        </w:rPr>
      </w:pPr>
    </w:p>
    <w:p w:rsidR="00A42A82" w:rsidRPr="00A42A82" w:rsidRDefault="00A42A82" w:rsidP="00A42A82">
      <w:pPr>
        <w:ind w:left="851"/>
        <w:rPr>
          <w:sz w:val="24"/>
          <w:szCs w:val="22"/>
          <w:u w:val="single"/>
        </w:rPr>
      </w:pPr>
      <w:r w:rsidRPr="00A42A82">
        <w:rPr>
          <w:sz w:val="24"/>
          <w:szCs w:val="22"/>
          <w:u w:val="single"/>
        </w:rPr>
        <w:t>Fertilitet</w:t>
      </w:r>
    </w:p>
    <w:p w:rsidR="00A42A82" w:rsidRPr="00A42A82" w:rsidRDefault="00A42A82" w:rsidP="00A42A82">
      <w:pPr>
        <w:ind w:left="851"/>
        <w:rPr>
          <w:sz w:val="24"/>
          <w:szCs w:val="22"/>
        </w:rPr>
      </w:pPr>
      <w:r w:rsidRPr="00A42A82">
        <w:rPr>
          <w:sz w:val="24"/>
          <w:szCs w:val="22"/>
        </w:rPr>
        <w:t xml:space="preserve">På grund af </w:t>
      </w:r>
      <w:proofErr w:type="spellStart"/>
      <w:r w:rsidRPr="00A42A82">
        <w:rPr>
          <w:sz w:val="24"/>
          <w:szCs w:val="22"/>
        </w:rPr>
        <w:t>dacarbazins</w:t>
      </w:r>
      <w:proofErr w:type="spellEnd"/>
      <w:r w:rsidRPr="00A42A82">
        <w:rPr>
          <w:sz w:val="24"/>
          <w:szCs w:val="22"/>
        </w:rPr>
        <w:t xml:space="preserve"> genotoksiske potentiale tilrådes det, at patienter søger rådgivning om muligheder for bevarelse af fertiliteten, før behandlingen med </w:t>
      </w:r>
      <w:proofErr w:type="spellStart"/>
      <w:r w:rsidRPr="00A42A82">
        <w:rPr>
          <w:sz w:val="24"/>
          <w:szCs w:val="22"/>
        </w:rPr>
        <w:t>dacarbazin</w:t>
      </w:r>
      <w:proofErr w:type="spellEnd"/>
      <w:r w:rsidRPr="00A42A82">
        <w:rPr>
          <w:sz w:val="24"/>
          <w:szCs w:val="22"/>
        </w:rPr>
        <w:t xml:space="preserve"> påbegyndes.</w:t>
      </w:r>
    </w:p>
    <w:p w:rsidR="00A42A82" w:rsidRPr="00A42A82" w:rsidRDefault="00A42A82" w:rsidP="00A42A82">
      <w:pPr>
        <w:ind w:left="851"/>
        <w:rPr>
          <w:sz w:val="24"/>
          <w:szCs w:val="22"/>
        </w:rPr>
      </w:pPr>
      <w:r w:rsidRPr="00A42A82">
        <w:rPr>
          <w:sz w:val="24"/>
          <w:szCs w:val="22"/>
        </w:rPr>
        <w:t xml:space="preserve">Efter behandlingen med </w:t>
      </w:r>
      <w:proofErr w:type="spellStart"/>
      <w:r w:rsidRPr="00A42A82">
        <w:rPr>
          <w:sz w:val="24"/>
          <w:szCs w:val="22"/>
        </w:rPr>
        <w:t>dacarbazin</w:t>
      </w:r>
      <w:proofErr w:type="spellEnd"/>
      <w:r w:rsidRPr="00A42A82">
        <w:rPr>
          <w:sz w:val="24"/>
          <w:szCs w:val="22"/>
        </w:rPr>
        <w:t xml:space="preserve"> tilrådes det, at patienter, der planlægger graviditet, søger genetisk rådgivning.</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4.7</w:t>
      </w:r>
      <w:r w:rsidRPr="00A915D4">
        <w:rPr>
          <w:b/>
          <w:sz w:val="24"/>
          <w:szCs w:val="24"/>
        </w:rPr>
        <w:tab/>
        <w:t xml:space="preserve">Virkning på evnen til at føre motorkøretøj </w:t>
      </w:r>
      <w:r w:rsidR="00A42A82">
        <w:rPr>
          <w:b/>
          <w:sz w:val="24"/>
          <w:szCs w:val="24"/>
        </w:rPr>
        <w:t>og</w:t>
      </w:r>
      <w:r w:rsidRPr="00A915D4">
        <w:rPr>
          <w:b/>
          <w:sz w:val="24"/>
          <w:szCs w:val="24"/>
        </w:rPr>
        <w:t xml:space="preserve"> betjene maskiner</w:t>
      </w:r>
    </w:p>
    <w:p w:rsidR="00E77693" w:rsidRDefault="00E77693" w:rsidP="00E77693">
      <w:pPr>
        <w:ind w:left="851"/>
        <w:rPr>
          <w:sz w:val="24"/>
          <w:szCs w:val="24"/>
        </w:rPr>
      </w:pPr>
      <w:r>
        <w:rPr>
          <w:sz w:val="24"/>
          <w:szCs w:val="24"/>
        </w:rPr>
        <w:t>Ikke mærkning.</w:t>
      </w:r>
    </w:p>
    <w:p w:rsidR="00E77693"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kan påvirke evnen til at føre motorkøretøj eller betjene maskiner på grund af bivirkninger på centralnervesystemet eller på grund af kvalme og opkastning.</w:t>
      </w:r>
    </w:p>
    <w:p w:rsidR="00AA1DBB" w:rsidRDefault="00AA1DBB" w:rsidP="00E77693">
      <w:pPr>
        <w:ind w:left="851"/>
        <w:rPr>
          <w:sz w:val="24"/>
          <w:szCs w:val="24"/>
          <w:lang w:eastAsia="da-DK"/>
        </w:rPr>
      </w:pPr>
    </w:p>
    <w:p w:rsidR="00E77693" w:rsidRPr="00A915D4" w:rsidRDefault="00E77693" w:rsidP="00AA1DBB">
      <w:pPr>
        <w:tabs>
          <w:tab w:val="left" w:pos="567"/>
          <w:tab w:val="left" w:pos="851"/>
        </w:tabs>
        <w:rPr>
          <w:b/>
          <w:sz w:val="24"/>
          <w:szCs w:val="24"/>
        </w:rPr>
      </w:pPr>
      <w:r w:rsidRPr="00A915D4">
        <w:rPr>
          <w:b/>
          <w:sz w:val="24"/>
          <w:szCs w:val="24"/>
        </w:rPr>
        <w:t>4.8</w:t>
      </w:r>
      <w:r w:rsidRPr="00A915D4">
        <w:rPr>
          <w:b/>
          <w:sz w:val="24"/>
          <w:szCs w:val="24"/>
        </w:rPr>
        <w:tab/>
      </w:r>
      <w:r w:rsidR="00AA1DBB">
        <w:rPr>
          <w:b/>
          <w:sz w:val="24"/>
          <w:szCs w:val="24"/>
        </w:rPr>
        <w:tab/>
      </w:r>
      <w:r w:rsidRPr="00A915D4">
        <w:rPr>
          <w:b/>
          <w:sz w:val="24"/>
          <w:szCs w:val="24"/>
        </w:rPr>
        <w:t>Bivirkninger</w:t>
      </w:r>
    </w:p>
    <w:p w:rsidR="00E77693" w:rsidRPr="00A915D4" w:rsidRDefault="00E77693" w:rsidP="00E77693">
      <w:pPr>
        <w:ind w:left="851"/>
        <w:rPr>
          <w:sz w:val="24"/>
          <w:szCs w:val="24"/>
          <w:lang w:eastAsia="da-DK"/>
        </w:rPr>
      </w:pPr>
      <w:r w:rsidRPr="00A915D4">
        <w:rPr>
          <w:sz w:val="24"/>
          <w:szCs w:val="24"/>
        </w:rPr>
        <w:t>Hyppigheder:</w:t>
      </w:r>
    </w:p>
    <w:p w:rsidR="00E77693" w:rsidRPr="00A915D4" w:rsidRDefault="00E77693" w:rsidP="00E77693">
      <w:pPr>
        <w:ind w:left="851"/>
        <w:rPr>
          <w:sz w:val="24"/>
          <w:szCs w:val="24"/>
        </w:rPr>
      </w:pPr>
      <w:r w:rsidRPr="00A915D4">
        <w:rPr>
          <w:sz w:val="24"/>
          <w:szCs w:val="24"/>
        </w:rPr>
        <w:t>Meget almindelig (≥ 1/10)</w:t>
      </w:r>
    </w:p>
    <w:p w:rsidR="00E77693" w:rsidRPr="00A915D4" w:rsidRDefault="00E77693" w:rsidP="00E77693">
      <w:pPr>
        <w:ind w:left="851"/>
        <w:rPr>
          <w:sz w:val="24"/>
          <w:szCs w:val="24"/>
        </w:rPr>
      </w:pPr>
      <w:r w:rsidRPr="00A915D4">
        <w:rPr>
          <w:sz w:val="24"/>
          <w:szCs w:val="24"/>
        </w:rPr>
        <w:t>Almindelig (≥ 1/100 til &lt; 1/10)</w:t>
      </w:r>
    </w:p>
    <w:p w:rsidR="00E77693" w:rsidRPr="00A915D4" w:rsidRDefault="00E77693" w:rsidP="00E77693">
      <w:pPr>
        <w:ind w:left="851"/>
        <w:rPr>
          <w:sz w:val="24"/>
          <w:szCs w:val="24"/>
        </w:rPr>
      </w:pPr>
      <w:r w:rsidRPr="00A915D4">
        <w:rPr>
          <w:sz w:val="24"/>
          <w:szCs w:val="24"/>
        </w:rPr>
        <w:t>Ikke almindelig (≥ 1/1.000 til &lt; 1/100)</w:t>
      </w:r>
    </w:p>
    <w:p w:rsidR="00E77693" w:rsidRPr="00A915D4" w:rsidRDefault="00E77693" w:rsidP="00E77693">
      <w:pPr>
        <w:ind w:left="851"/>
        <w:rPr>
          <w:sz w:val="24"/>
          <w:szCs w:val="24"/>
        </w:rPr>
      </w:pPr>
      <w:r w:rsidRPr="00A915D4">
        <w:rPr>
          <w:sz w:val="24"/>
          <w:szCs w:val="24"/>
        </w:rPr>
        <w:t>Sjælden (≥ 1/10.000 til &lt; 1/1.000)</w:t>
      </w:r>
    </w:p>
    <w:p w:rsidR="00E77693" w:rsidRPr="00A915D4" w:rsidRDefault="00E77693" w:rsidP="00E77693">
      <w:pPr>
        <w:ind w:left="851"/>
        <w:rPr>
          <w:sz w:val="24"/>
          <w:szCs w:val="24"/>
        </w:rPr>
      </w:pPr>
      <w:r w:rsidRPr="00A915D4">
        <w:rPr>
          <w:sz w:val="24"/>
          <w:szCs w:val="24"/>
        </w:rPr>
        <w:t>Meget sjælden (&lt; 1/10.000)</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De mest almindelige rapporterede bivirkninger er mave-tarm-sygdomme (anoreksi, kvalme og opkastning) og sygdomme i blod- og lymfesystem såsom anæmi, </w:t>
      </w:r>
      <w:proofErr w:type="spellStart"/>
      <w:r w:rsidRPr="00A915D4">
        <w:rPr>
          <w:sz w:val="24"/>
          <w:szCs w:val="24"/>
        </w:rPr>
        <w:t>leukopeni</w:t>
      </w:r>
      <w:proofErr w:type="spellEnd"/>
      <w:r w:rsidRPr="00A915D4">
        <w:rPr>
          <w:sz w:val="24"/>
          <w:szCs w:val="24"/>
        </w:rPr>
        <w:t xml:space="preserve"> og </w:t>
      </w:r>
      <w:proofErr w:type="spellStart"/>
      <w:r w:rsidRPr="00A915D4">
        <w:rPr>
          <w:sz w:val="24"/>
          <w:szCs w:val="24"/>
        </w:rPr>
        <w:t>trombocytopeni</w:t>
      </w:r>
      <w:proofErr w:type="spellEnd"/>
      <w:r w:rsidRPr="00A915D4">
        <w:rPr>
          <w:sz w:val="24"/>
          <w:szCs w:val="24"/>
        </w:rPr>
        <w:t>. Sidstnævnte er dosisrelaterede og forsinkede, hvor laveste værdi ofte ikke opstår indtil 3 til 4 uger er forløbet.</w:t>
      </w:r>
    </w:p>
    <w:p w:rsidR="00E77693" w:rsidRPr="00A915D4" w:rsidRDefault="00E77693" w:rsidP="00E77693">
      <w:pPr>
        <w:ind w:left="851"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083"/>
        <w:gridCol w:w="1945"/>
        <w:gridCol w:w="2514"/>
      </w:tblGrid>
      <w:tr w:rsidR="00E77693" w:rsidRPr="00370636" w:rsidTr="003B4BCE">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E77693" w:rsidRPr="00370636" w:rsidRDefault="00E77693" w:rsidP="003B4BCE">
            <w:pPr>
              <w:rPr>
                <w:b/>
                <w:bCs/>
                <w:sz w:val="22"/>
                <w:szCs w:val="22"/>
              </w:rPr>
            </w:pPr>
            <w:r w:rsidRPr="00370636">
              <w:rPr>
                <w:b/>
                <w:sz w:val="22"/>
                <w:szCs w:val="22"/>
              </w:rPr>
              <w:t>Systemorganklasse</w:t>
            </w:r>
          </w:p>
        </w:tc>
        <w:tc>
          <w:tcPr>
            <w:tcW w:w="3873" w:type="pct"/>
            <w:gridSpan w:val="3"/>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
                <w:sz w:val="22"/>
                <w:szCs w:val="22"/>
              </w:rPr>
            </w:pPr>
            <w:r w:rsidRPr="00370636">
              <w:rPr>
                <w:b/>
                <w:sz w:val="22"/>
                <w:szCs w:val="22"/>
              </w:rPr>
              <w:t>Hyppigheder</w:t>
            </w:r>
          </w:p>
        </w:tc>
      </w:tr>
      <w:tr w:rsidR="00E77693" w:rsidRPr="00370636" w:rsidTr="003B4BCE">
        <w:tc>
          <w:tcPr>
            <w:tcW w:w="1127" w:type="pct"/>
            <w:vMerge/>
            <w:tcBorders>
              <w:top w:val="single" w:sz="4" w:space="0" w:color="auto"/>
              <w:left w:val="single" w:sz="4" w:space="0" w:color="auto"/>
              <w:bottom w:val="single" w:sz="4" w:space="0" w:color="auto"/>
              <w:right w:val="single" w:sz="4" w:space="0" w:color="auto"/>
            </w:tcBorders>
            <w:vAlign w:val="center"/>
            <w:hideMark/>
          </w:tcPr>
          <w:p w:rsidR="00E77693" w:rsidRPr="00370636" w:rsidRDefault="00E77693" w:rsidP="003B4BCE">
            <w:pPr>
              <w:rPr>
                <w:b/>
                <w:bCs/>
                <w:sz w:val="22"/>
                <w:szCs w:val="22"/>
                <w:lang w:bidi="da-DK"/>
              </w:rPr>
            </w:pPr>
          </w:p>
        </w:tc>
        <w:tc>
          <w:tcPr>
            <w:tcW w:w="1693"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
                <w:color w:val="000000"/>
                <w:sz w:val="22"/>
                <w:szCs w:val="22"/>
              </w:rPr>
            </w:pPr>
            <w:r w:rsidRPr="00370636">
              <w:rPr>
                <w:b/>
                <w:color w:val="000000"/>
                <w:sz w:val="22"/>
                <w:szCs w:val="22"/>
              </w:rPr>
              <w:t>Almindelig</w:t>
            </w:r>
          </w:p>
          <w:p w:rsidR="00E77693" w:rsidRPr="00370636" w:rsidRDefault="00E77693" w:rsidP="003B4BCE">
            <w:pPr>
              <w:rPr>
                <w:b/>
                <w:sz w:val="22"/>
                <w:szCs w:val="22"/>
              </w:rPr>
            </w:pPr>
            <w:r w:rsidRPr="00370636">
              <w:rPr>
                <w:b/>
                <w:sz w:val="22"/>
                <w:szCs w:val="22"/>
              </w:rPr>
              <w:t>(≥ 1/100 til &lt; 1/10)</w:t>
            </w: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
                <w:sz w:val="22"/>
                <w:szCs w:val="22"/>
              </w:rPr>
            </w:pPr>
            <w:r w:rsidRPr="00370636">
              <w:rPr>
                <w:b/>
                <w:sz w:val="22"/>
                <w:szCs w:val="22"/>
              </w:rPr>
              <w:t>Ikke almindelig</w:t>
            </w:r>
          </w:p>
          <w:p w:rsidR="00E77693" w:rsidRPr="00370636" w:rsidRDefault="00E77693" w:rsidP="003B4BCE">
            <w:pPr>
              <w:rPr>
                <w:b/>
                <w:sz w:val="22"/>
                <w:szCs w:val="22"/>
              </w:rPr>
            </w:pPr>
            <w:r w:rsidRPr="00370636">
              <w:rPr>
                <w:b/>
                <w:sz w:val="22"/>
                <w:szCs w:val="22"/>
              </w:rPr>
              <w:t>(≥ 1/1.000 til &lt; 1/100)</w:t>
            </w: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
                <w:sz w:val="22"/>
                <w:szCs w:val="22"/>
              </w:rPr>
            </w:pPr>
            <w:r w:rsidRPr="00370636">
              <w:rPr>
                <w:b/>
                <w:sz w:val="22"/>
                <w:szCs w:val="22"/>
              </w:rPr>
              <w:t>Sjælden</w:t>
            </w:r>
          </w:p>
          <w:p w:rsidR="00E77693" w:rsidRPr="00370636" w:rsidRDefault="00E77693" w:rsidP="003B4BCE">
            <w:pPr>
              <w:rPr>
                <w:b/>
                <w:color w:val="000000"/>
                <w:sz w:val="22"/>
                <w:szCs w:val="22"/>
                <w:u w:val="single"/>
              </w:rPr>
            </w:pPr>
            <w:r w:rsidRPr="00370636">
              <w:rPr>
                <w:b/>
                <w:sz w:val="22"/>
                <w:szCs w:val="22"/>
              </w:rPr>
              <w:t>(≥ 1/10.000 til &lt; 1/1.000)</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Infektioner og parasitære sygdomme</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r w:rsidRPr="00370636">
              <w:rPr>
                <w:sz w:val="22"/>
                <w:szCs w:val="22"/>
              </w:rPr>
              <w:t>Infektioner</w:t>
            </w:r>
          </w:p>
        </w:tc>
        <w:tc>
          <w:tcPr>
            <w:tcW w:w="1228"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color w:val="000000"/>
                <w:sz w:val="22"/>
                <w:szCs w:val="22"/>
                <w:u w:val="single"/>
              </w:rPr>
            </w:pP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Blod og lymfesystem</w:t>
            </w:r>
          </w:p>
        </w:tc>
        <w:tc>
          <w:tcPr>
            <w:tcW w:w="1693"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u w:val="single"/>
              </w:rPr>
            </w:pPr>
            <w:r w:rsidRPr="00370636">
              <w:rPr>
                <w:sz w:val="22"/>
                <w:szCs w:val="22"/>
              </w:rPr>
              <w:t xml:space="preserve">Anæmi, </w:t>
            </w:r>
            <w:proofErr w:type="spellStart"/>
            <w:r w:rsidRPr="00370636">
              <w:rPr>
                <w:sz w:val="22"/>
                <w:szCs w:val="22"/>
              </w:rPr>
              <w:t>leukopeni</w:t>
            </w:r>
            <w:proofErr w:type="spellEnd"/>
            <w:r w:rsidRPr="00370636">
              <w:rPr>
                <w:sz w:val="22"/>
                <w:szCs w:val="22"/>
              </w:rPr>
              <w:t xml:space="preserve">, </w:t>
            </w:r>
            <w:proofErr w:type="spellStart"/>
            <w:r w:rsidRPr="00370636">
              <w:rPr>
                <w:sz w:val="22"/>
                <w:szCs w:val="22"/>
              </w:rPr>
              <w:t>trombocytopeni</w:t>
            </w:r>
            <w:proofErr w:type="spellEnd"/>
            <w:r w:rsidRPr="00370636">
              <w:rPr>
                <w:sz w:val="22"/>
                <w:szCs w:val="22"/>
              </w:rPr>
              <w:t>, knoglemarvssuppression</w:t>
            </w: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color w:val="000000"/>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proofErr w:type="spellStart"/>
            <w:r w:rsidRPr="00370636">
              <w:rPr>
                <w:color w:val="000000"/>
                <w:sz w:val="22"/>
                <w:szCs w:val="22"/>
              </w:rPr>
              <w:t>Pancytopeni</w:t>
            </w:r>
            <w:proofErr w:type="spellEnd"/>
            <w:r w:rsidRPr="00370636">
              <w:rPr>
                <w:color w:val="000000"/>
                <w:sz w:val="22"/>
                <w:szCs w:val="22"/>
              </w:rPr>
              <w:t xml:space="preserve">, </w:t>
            </w:r>
            <w:proofErr w:type="spellStart"/>
            <w:r w:rsidRPr="00370636">
              <w:rPr>
                <w:color w:val="000000"/>
                <w:sz w:val="22"/>
                <w:szCs w:val="22"/>
              </w:rPr>
              <w:t>agranulocytose</w:t>
            </w:r>
            <w:proofErr w:type="spellEnd"/>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Immunsystemet</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proofErr w:type="spellStart"/>
            <w:r w:rsidRPr="00370636">
              <w:rPr>
                <w:sz w:val="22"/>
                <w:szCs w:val="22"/>
              </w:rPr>
              <w:t>Anafylaktiske</w:t>
            </w:r>
            <w:proofErr w:type="spellEnd"/>
            <w:r w:rsidRPr="00370636">
              <w:rPr>
                <w:sz w:val="22"/>
                <w:szCs w:val="22"/>
              </w:rPr>
              <w:t xml:space="preserve"> reaktioner, overfølsomhedsreaktioner</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Nervesystemet</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rPr>
            </w:pPr>
            <w:r w:rsidRPr="00370636">
              <w:rPr>
                <w:sz w:val="22"/>
                <w:szCs w:val="22"/>
              </w:rPr>
              <w:t xml:space="preserve">Hovedpine, konfusion, letargi, krampeanfald, </w:t>
            </w:r>
            <w:proofErr w:type="spellStart"/>
            <w:r w:rsidRPr="00370636">
              <w:rPr>
                <w:sz w:val="22"/>
                <w:szCs w:val="22"/>
              </w:rPr>
              <w:t>ansigtsparæstesi</w:t>
            </w:r>
            <w:proofErr w:type="spellEnd"/>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Øjne</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r w:rsidRPr="00370636">
              <w:rPr>
                <w:sz w:val="22"/>
                <w:szCs w:val="22"/>
              </w:rPr>
              <w:t>Sløret syn</w:t>
            </w: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r w:rsidRPr="00370636">
              <w:rPr>
                <w:sz w:val="22"/>
                <w:szCs w:val="22"/>
              </w:rPr>
              <w:t>Nedsat syn</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rPr>
            </w:pPr>
            <w:proofErr w:type="spellStart"/>
            <w:r w:rsidRPr="00370636">
              <w:rPr>
                <w:sz w:val="22"/>
                <w:szCs w:val="22"/>
              </w:rPr>
              <w:t>Vaskulære</w:t>
            </w:r>
            <w:proofErr w:type="spellEnd"/>
            <w:r w:rsidRPr="00370636">
              <w:rPr>
                <w:sz w:val="22"/>
                <w:szCs w:val="22"/>
              </w:rPr>
              <w:t xml:space="preserve"> sygdomme</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r w:rsidRPr="00370636">
              <w:rPr>
                <w:color w:val="000000"/>
                <w:sz w:val="22"/>
                <w:szCs w:val="22"/>
              </w:rPr>
              <w:t>Ansigtsrødmen</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rPr>
            </w:pPr>
            <w:r w:rsidRPr="00370636">
              <w:rPr>
                <w:sz w:val="22"/>
                <w:szCs w:val="22"/>
              </w:rPr>
              <w:t>Mave</w:t>
            </w:r>
            <w:r w:rsidRPr="00370636">
              <w:rPr>
                <w:sz w:val="22"/>
                <w:szCs w:val="22"/>
              </w:rPr>
              <w:noBreakHyphen/>
              <w:t>tarm</w:t>
            </w:r>
            <w:r w:rsidRPr="00370636">
              <w:rPr>
                <w:sz w:val="22"/>
                <w:szCs w:val="22"/>
              </w:rPr>
              <w:noBreakHyphen/>
              <w:t>kanalen</w:t>
            </w:r>
          </w:p>
        </w:tc>
        <w:tc>
          <w:tcPr>
            <w:tcW w:w="1693"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u w:val="single"/>
              </w:rPr>
            </w:pPr>
            <w:r w:rsidRPr="00370636">
              <w:rPr>
                <w:color w:val="000000"/>
                <w:sz w:val="22"/>
                <w:szCs w:val="22"/>
              </w:rPr>
              <w:t>Anoreksi, kvalme, opkastning</w:t>
            </w: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color w:val="000000"/>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r w:rsidRPr="00370636">
              <w:rPr>
                <w:color w:val="000000"/>
                <w:sz w:val="22"/>
                <w:szCs w:val="22"/>
              </w:rPr>
              <w:t>Diarré</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Lever og galdeveje</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proofErr w:type="spellStart"/>
            <w:r w:rsidRPr="00370636">
              <w:rPr>
                <w:sz w:val="22"/>
                <w:szCs w:val="22"/>
              </w:rPr>
              <w:t>Hepatotoksicitet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AA1DBB" w:rsidP="003B4BCE">
            <w:pPr>
              <w:rPr>
                <w:sz w:val="22"/>
                <w:szCs w:val="22"/>
              </w:rPr>
            </w:pPr>
            <w:r>
              <w:t xml:space="preserve">Levernekrose på grund af </w:t>
            </w:r>
            <w:proofErr w:type="spellStart"/>
            <w:r>
              <w:t>veno</w:t>
            </w:r>
            <w:r>
              <w:noBreakHyphen/>
              <w:t>okklusiv</w:t>
            </w:r>
            <w:proofErr w:type="spellEnd"/>
            <w:r>
              <w:t xml:space="preserve"> </w:t>
            </w:r>
            <w:r>
              <w:lastRenderedPageBreak/>
              <w:t xml:space="preserve">sygdom (VOD), </w:t>
            </w:r>
            <w:proofErr w:type="spellStart"/>
            <w:r>
              <w:t>Budd</w:t>
            </w:r>
            <w:proofErr w:type="spellEnd"/>
            <w:r>
              <w:noBreakHyphen/>
            </w:r>
            <w:proofErr w:type="spellStart"/>
            <w:r>
              <w:t>Chiari</w:t>
            </w:r>
            <w:proofErr w:type="spellEnd"/>
            <w:r>
              <w:noBreakHyphen/>
              <w:t>syndrom (med muligt dødeligt udfald)</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rPr>
            </w:pPr>
            <w:r w:rsidRPr="00370636">
              <w:rPr>
                <w:sz w:val="22"/>
                <w:szCs w:val="22"/>
              </w:rPr>
              <w:lastRenderedPageBreak/>
              <w:t>Nyrer og urinveje</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r w:rsidRPr="00370636">
              <w:rPr>
                <w:sz w:val="22"/>
                <w:szCs w:val="22"/>
              </w:rPr>
              <w:t xml:space="preserve">Nedsat nyrefunktion med forhøjet </w:t>
            </w:r>
            <w:proofErr w:type="spellStart"/>
            <w:r w:rsidRPr="00370636">
              <w:rPr>
                <w:sz w:val="22"/>
                <w:szCs w:val="22"/>
              </w:rPr>
              <w:t>kreatinin</w:t>
            </w:r>
            <w:proofErr w:type="spellEnd"/>
            <w:r w:rsidRPr="00370636">
              <w:rPr>
                <w:sz w:val="22"/>
                <w:szCs w:val="22"/>
              </w:rPr>
              <w:t xml:space="preserve"> og forhøjet urinstof i blodet</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rPr>
            </w:pPr>
            <w:r w:rsidRPr="00370636">
              <w:rPr>
                <w:sz w:val="22"/>
                <w:szCs w:val="22"/>
              </w:rPr>
              <w:t>Hud og subkutane væv</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proofErr w:type="spellStart"/>
            <w:r w:rsidRPr="00370636">
              <w:rPr>
                <w:color w:val="000000"/>
                <w:sz w:val="22"/>
                <w:szCs w:val="22"/>
              </w:rPr>
              <w:t>Alopeci</w:t>
            </w:r>
            <w:proofErr w:type="spellEnd"/>
            <w:r w:rsidRPr="00370636">
              <w:rPr>
                <w:color w:val="000000"/>
                <w:sz w:val="22"/>
                <w:szCs w:val="22"/>
              </w:rPr>
              <w:t xml:space="preserve">, </w:t>
            </w:r>
            <w:proofErr w:type="spellStart"/>
            <w:r w:rsidRPr="00370636">
              <w:rPr>
                <w:color w:val="000000"/>
                <w:sz w:val="22"/>
                <w:szCs w:val="22"/>
              </w:rPr>
              <w:t>hyperpigmentering</w:t>
            </w:r>
            <w:proofErr w:type="spellEnd"/>
            <w:r w:rsidRPr="00370636">
              <w:rPr>
                <w:color w:val="000000"/>
                <w:sz w:val="22"/>
                <w:szCs w:val="22"/>
              </w:rPr>
              <w:t>, lysfølsomhed, forbigående udslæt</w:t>
            </w: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proofErr w:type="spellStart"/>
            <w:r w:rsidRPr="00370636">
              <w:rPr>
                <w:color w:val="000000"/>
                <w:sz w:val="22"/>
                <w:szCs w:val="22"/>
              </w:rPr>
              <w:t>Erytem</w:t>
            </w:r>
            <w:proofErr w:type="spellEnd"/>
            <w:r w:rsidRPr="00370636">
              <w:rPr>
                <w:color w:val="000000"/>
                <w:sz w:val="22"/>
                <w:szCs w:val="22"/>
              </w:rPr>
              <w:t xml:space="preserve">, </w:t>
            </w:r>
            <w:proofErr w:type="spellStart"/>
            <w:r w:rsidRPr="00370636">
              <w:rPr>
                <w:color w:val="000000"/>
                <w:sz w:val="22"/>
                <w:szCs w:val="22"/>
              </w:rPr>
              <w:t>makulopapuløst</w:t>
            </w:r>
            <w:proofErr w:type="spellEnd"/>
            <w:r w:rsidRPr="00370636">
              <w:rPr>
                <w:color w:val="000000"/>
                <w:sz w:val="22"/>
                <w:szCs w:val="22"/>
              </w:rPr>
              <w:t xml:space="preserve"> </w:t>
            </w:r>
            <w:proofErr w:type="spellStart"/>
            <w:r w:rsidRPr="00370636">
              <w:rPr>
                <w:color w:val="000000"/>
                <w:sz w:val="22"/>
                <w:szCs w:val="22"/>
              </w:rPr>
              <w:t>eksantem</w:t>
            </w:r>
            <w:proofErr w:type="spellEnd"/>
            <w:r w:rsidRPr="00370636">
              <w:rPr>
                <w:color w:val="000000"/>
                <w:sz w:val="22"/>
                <w:szCs w:val="22"/>
              </w:rPr>
              <w:t xml:space="preserve">, </w:t>
            </w:r>
            <w:proofErr w:type="spellStart"/>
            <w:r w:rsidRPr="00370636">
              <w:rPr>
                <w:color w:val="000000"/>
                <w:sz w:val="22"/>
                <w:szCs w:val="22"/>
              </w:rPr>
              <w:t>urticaria</w:t>
            </w:r>
            <w:proofErr w:type="spellEnd"/>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Almene symptomer og reaktioner på administrationsstedet</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sz w:val="22"/>
                <w:szCs w:val="22"/>
                <w:u w:val="single"/>
              </w:rPr>
            </w:pPr>
            <w:r w:rsidRPr="00370636">
              <w:rPr>
                <w:color w:val="000000"/>
                <w:sz w:val="22"/>
                <w:szCs w:val="22"/>
              </w:rPr>
              <w:t>Influenzalignende symptomer, utilpashed</w:t>
            </w: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r w:rsidRPr="00370636">
              <w:rPr>
                <w:color w:val="000000"/>
                <w:sz w:val="22"/>
                <w:szCs w:val="22"/>
              </w:rPr>
              <w:t>Irritation på applikationsstedet</w:t>
            </w:r>
          </w:p>
        </w:tc>
      </w:tr>
      <w:tr w:rsidR="00E77693" w:rsidRPr="00370636" w:rsidTr="003B4BCE">
        <w:tc>
          <w:tcPr>
            <w:tcW w:w="1127"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bCs/>
                <w:sz w:val="22"/>
                <w:szCs w:val="22"/>
              </w:rPr>
            </w:pPr>
            <w:r w:rsidRPr="00370636">
              <w:rPr>
                <w:sz w:val="22"/>
                <w:szCs w:val="22"/>
              </w:rPr>
              <w:t>Undersøgelser</w:t>
            </w:r>
          </w:p>
        </w:tc>
        <w:tc>
          <w:tcPr>
            <w:tcW w:w="1693"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952" w:type="pct"/>
            <w:tcBorders>
              <w:top w:val="single" w:sz="4" w:space="0" w:color="auto"/>
              <w:left w:val="single" w:sz="4" w:space="0" w:color="auto"/>
              <w:bottom w:val="single" w:sz="4" w:space="0" w:color="auto"/>
              <w:right w:val="single" w:sz="4" w:space="0" w:color="auto"/>
            </w:tcBorders>
          </w:tcPr>
          <w:p w:rsidR="00E77693" w:rsidRPr="00370636" w:rsidRDefault="00E77693" w:rsidP="003B4BCE">
            <w:pPr>
              <w:rPr>
                <w:sz w:val="22"/>
                <w:szCs w:val="22"/>
                <w:u w:val="single"/>
              </w:rPr>
            </w:pPr>
          </w:p>
        </w:tc>
        <w:tc>
          <w:tcPr>
            <w:tcW w:w="1228" w:type="pct"/>
            <w:tcBorders>
              <w:top w:val="single" w:sz="4" w:space="0" w:color="auto"/>
              <w:left w:val="single" w:sz="4" w:space="0" w:color="auto"/>
              <w:bottom w:val="single" w:sz="4" w:space="0" w:color="auto"/>
              <w:right w:val="single" w:sz="4" w:space="0" w:color="auto"/>
            </w:tcBorders>
            <w:hideMark/>
          </w:tcPr>
          <w:p w:rsidR="00E77693" w:rsidRPr="00370636" w:rsidRDefault="00E77693" w:rsidP="003B4BCE">
            <w:pPr>
              <w:rPr>
                <w:color w:val="000000"/>
                <w:sz w:val="22"/>
                <w:szCs w:val="22"/>
              </w:rPr>
            </w:pPr>
            <w:r w:rsidRPr="00370636">
              <w:rPr>
                <w:sz w:val="22"/>
                <w:szCs w:val="22"/>
              </w:rPr>
              <w:t xml:space="preserve">Forhøjede leverenzymer, forhøjede </w:t>
            </w:r>
            <w:proofErr w:type="spellStart"/>
            <w:r w:rsidRPr="00370636">
              <w:rPr>
                <w:sz w:val="22"/>
                <w:szCs w:val="22"/>
              </w:rPr>
              <w:t>transaminaser</w:t>
            </w:r>
            <w:proofErr w:type="spellEnd"/>
            <w:r w:rsidRPr="00370636">
              <w:rPr>
                <w:sz w:val="22"/>
                <w:szCs w:val="22"/>
              </w:rPr>
              <w:t xml:space="preserve"> (ASAT, ALAT), forhøjet basisk fosfatase, forhøjet </w:t>
            </w:r>
            <w:proofErr w:type="spellStart"/>
            <w:r w:rsidRPr="00370636">
              <w:rPr>
                <w:sz w:val="22"/>
                <w:szCs w:val="22"/>
              </w:rPr>
              <w:t>laktatdehydrogenase</w:t>
            </w:r>
            <w:proofErr w:type="spellEnd"/>
            <w:r w:rsidRPr="00370636">
              <w:rPr>
                <w:sz w:val="22"/>
                <w:szCs w:val="22"/>
              </w:rPr>
              <w:t xml:space="preserve"> (LDH)</w:t>
            </w:r>
          </w:p>
        </w:tc>
      </w:tr>
    </w:tbl>
    <w:p w:rsidR="00E77693" w:rsidRPr="00A915D4" w:rsidRDefault="00E77693" w:rsidP="00E77693">
      <w:pPr>
        <w:ind w:left="851" w:hanging="851"/>
        <w:jc w:val="both"/>
        <w:rPr>
          <w:sz w:val="24"/>
          <w:szCs w:val="24"/>
          <w:lang w:bidi="da-DK"/>
        </w:rPr>
      </w:pPr>
    </w:p>
    <w:p w:rsidR="00E77693" w:rsidRPr="00A915D4" w:rsidRDefault="00E77693" w:rsidP="00E77693">
      <w:pPr>
        <w:ind w:left="851"/>
        <w:rPr>
          <w:sz w:val="24"/>
          <w:szCs w:val="24"/>
        </w:rPr>
      </w:pPr>
      <w:r w:rsidRPr="00A915D4">
        <w:rPr>
          <w:sz w:val="24"/>
          <w:szCs w:val="24"/>
        </w:rPr>
        <w:t>Mave</w:t>
      </w:r>
      <w:r w:rsidRPr="00A915D4">
        <w:rPr>
          <w:sz w:val="24"/>
          <w:szCs w:val="24"/>
        </w:rPr>
        <w:noBreakHyphen/>
        <w:t>tarm</w:t>
      </w:r>
      <w:r w:rsidRPr="00A915D4">
        <w:rPr>
          <w:sz w:val="24"/>
          <w:szCs w:val="24"/>
        </w:rPr>
        <w:noBreakHyphen/>
        <w:t>forstyrrelser, såsom anoreksi, kvalme og opkastning er alvorlige og svære. I sjældne tilfælde er der blevet observeret diarré.</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Der observeres ofte ændrede blodbilleder (anæmi, </w:t>
      </w:r>
      <w:proofErr w:type="spellStart"/>
      <w:r w:rsidRPr="00A915D4">
        <w:rPr>
          <w:sz w:val="24"/>
          <w:szCs w:val="24"/>
        </w:rPr>
        <w:t>leukopeni</w:t>
      </w:r>
      <w:proofErr w:type="spellEnd"/>
      <w:r w:rsidRPr="00A915D4">
        <w:rPr>
          <w:sz w:val="24"/>
          <w:szCs w:val="24"/>
        </w:rPr>
        <w:t xml:space="preserve">, </w:t>
      </w:r>
      <w:proofErr w:type="spellStart"/>
      <w:r w:rsidRPr="00A915D4">
        <w:rPr>
          <w:sz w:val="24"/>
          <w:szCs w:val="24"/>
        </w:rPr>
        <w:t>trombocytopeni</w:t>
      </w:r>
      <w:proofErr w:type="spellEnd"/>
      <w:r w:rsidRPr="00A915D4">
        <w:rPr>
          <w:sz w:val="24"/>
          <w:szCs w:val="24"/>
        </w:rPr>
        <w:t xml:space="preserve">), som er dosisafhængige og forsinkede, hvor den laveste værdi ofte først opstår efter 3 til 4 uger. I sjældne tilfælde er der blevet beskrevet </w:t>
      </w:r>
      <w:proofErr w:type="spellStart"/>
      <w:r w:rsidRPr="00A915D4">
        <w:rPr>
          <w:sz w:val="24"/>
          <w:szCs w:val="24"/>
        </w:rPr>
        <w:t>pancytopeni</w:t>
      </w:r>
      <w:proofErr w:type="spellEnd"/>
      <w:r w:rsidRPr="00A915D4">
        <w:rPr>
          <w:sz w:val="24"/>
          <w:szCs w:val="24"/>
        </w:rPr>
        <w:t xml:space="preserve"> og </w:t>
      </w:r>
      <w:proofErr w:type="spellStart"/>
      <w:r w:rsidRPr="00A915D4">
        <w:rPr>
          <w:sz w:val="24"/>
          <w:szCs w:val="24"/>
        </w:rPr>
        <w:t>agranulocytose</w:t>
      </w:r>
      <w:proofErr w:type="spellEnd"/>
      <w:r w:rsidRPr="00A915D4">
        <w:rPr>
          <w:sz w:val="24"/>
          <w:szCs w:val="24"/>
        </w:rPr>
        <w:t>.</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Influenzalignende symptomer med udmattelse, kuldegysninger, feber og muskelsmerter ses til tider under og ofte kun dage efter administration af </w:t>
      </w:r>
      <w:proofErr w:type="spellStart"/>
      <w:r w:rsidRPr="00A915D4">
        <w:rPr>
          <w:sz w:val="24"/>
          <w:szCs w:val="24"/>
        </w:rPr>
        <w:t>dacarbazin</w:t>
      </w:r>
      <w:proofErr w:type="spellEnd"/>
      <w:r w:rsidRPr="00A915D4">
        <w:rPr>
          <w:sz w:val="24"/>
          <w:szCs w:val="24"/>
        </w:rPr>
        <w:t>. Disse forstyrrelser kan opstå igen med den næste infusion.</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Forhøjede leverenzymer (f.eks. basisk fosfatase) er i sjældne tilfælde observeret.</w:t>
      </w:r>
    </w:p>
    <w:p w:rsidR="00E77693" w:rsidRPr="00A915D4" w:rsidRDefault="00E77693" w:rsidP="00E77693">
      <w:pPr>
        <w:ind w:left="851"/>
        <w:rPr>
          <w:sz w:val="24"/>
          <w:szCs w:val="24"/>
        </w:rPr>
      </w:pPr>
    </w:p>
    <w:p w:rsidR="00E77693" w:rsidRPr="00A915D4" w:rsidRDefault="00E77693" w:rsidP="00E77693">
      <w:pPr>
        <w:tabs>
          <w:tab w:val="left" w:pos="1304"/>
        </w:tabs>
        <w:autoSpaceDE w:val="0"/>
        <w:autoSpaceDN w:val="0"/>
        <w:adjustRightInd w:val="0"/>
        <w:ind w:left="851"/>
        <w:rPr>
          <w:sz w:val="24"/>
          <w:szCs w:val="24"/>
        </w:rPr>
      </w:pPr>
      <w:r w:rsidRPr="00A915D4">
        <w:rPr>
          <w:sz w:val="24"/>
          <w:szCs w:val="24"/>
        </w:rPr>
        <w:t xml:space="preserve">I sjældne tilfælde er levernekrose på grund af </w:t>
      </w:r>
      <w:proofErr w:type="spellStart"/>
      <w:r w:rsidRPr="00A915D4">
        <w:rPr>
          <w:sz w:val="24"/>
          <w:szCs w:val="24"/>
        </w:rPr>
        <w:t>okklusion</w:t>
      </w:r>
      <w:proofErr w:type="spellEnd"/>
      <w:r w:rsidRPr="00A915D4">
        <w:rPr>
          <w:sz w:val="24"/>
          <w:szCs w:val="24"/>
        </w:rPr>
        <w:t xml:space="preserve"> af </w:t>
      </w:r>
      <w:proofErr w:type="spellStart"/>
      <w:r w:rsidRPr="00A915D4">
        <w:rPr>
          <w:sz w:val="24"/>
          <w:szCs w:val="24"/>
        </w:rPr>
        <w:t>intrahepatiske</w:t>
      </w:r>
      <w:proofErr w:type="spellEnd"/>
      <w:r w:rsidRPr="00A915D4">
        <w:rPr>
          <w:sz w:val="24"/>
          <w:szCs w:val="24"/>
        </w:rPr>
        <w:t xml:space="preserve"> vener (</w:t>
      </w:r>
      <w:proofErr w:type="spellStart"/>
      <w:r w:rsidRPr="00A915D4">
        <w:rPr>
          <w:sz w:val="24"/>
          <w:szCs w:val="24"/>
        </w:rPr>
        <w:t>veno</w:t>
      </w:r>
      <w:r w:rsidRPr="00A915D4">
        <w:rPr>
          <w:sz w:val="24"/>
          <w:szCs w:val="24"/>
        </w:rPr>
        <w:noBreakHyphen/>
        <w:t>okklusiv</w:t>
      </w:r>
      <w:proofErr w:type="spellEnd"/>
      <w:r w:rsidRPr="00A915D4">
        <w:rPr>
          <w:sz w:val="24"/>
          <w:szCs w:val="24"/>
        </w:rPr>
        <w:t xml:space="preserve"> leversygdom) blevet observeret efter administration af </w:t>
      </w:r>
      <w:proofErr w:type="spellStart"/>
      <w:r w:rsidRPr="00A915D4">
        <w:rPr>
          <w:sz w:val="24"/>
          <w:szCs w:val="24"/>
        </w:rPr>
        <w:t>dacarbazin</w:t>
      </w:r>
      <w:proofErr w:type="spellEnd"/>
      <w:r w:rsidRPr="00A915D4">
        <w:rPr>
          <w:sz w:val="24"/>
          <w:szCs w:val="24"/>
        </w:rPr>
        <w:t xml:space="preserve"> ved monoterapi eller ved modaliteter med kombineret kemoterapi. Generelt opstod syndromet under behandlingens anden cyklus. Symptomerne omfattede feber, </w:t>
      </w:r>
      <w:proofErr w:type="spellStart"/>
      <w:r w:rsidRPr="00A915D4">
        <w:rPr>
          <w:sz w:val="24"/>
          <w:szCs w:val="24"/>
        </w:rPr>
        <w:t>eosinofili</w:t>
      </w:r>
      <w:proofErr w:type="spellEnd"/>
      <w:r w:rsidRPr="00A915D4">
        <w:rPr>
          <w:sz w:val="24"/>
          <w:szCs w:val="24"/>
        </w:rPr>
        <w:t xml:space="preserve">, </w:t>
      </w:r>
      <w:proofErr w:type="spellStart"/>
      <w:r w:rsidRPr="00A915D4">
        <w:rPr>
          <w:sz w:val="24"/>
          <w:szCs w:val="24"/>
        </w:rPr>
        <w:t>abdominal</w:t>
      </w:r>
      <w:r>
        <w:rPr>
          <w:sz w:val="24"/>
          <w:szCs w:val="24"/>
        </w:rPr>
        <w:softHyphen/>
      </w:r>
      <w:r w:rsidRPr="00A915D4">
        <w:rPr>
          <w:sz w:val="24"/>
          <w:szCs w:val="24"/>
        </w:rPr>
        <w:t>smerter</w:t>
      </w:r>
      <w:proofErr w:type="spellEnd"/>
      <w:r w:rsidRPr="00A915D4">
        <w:rPr>
          <w:sz w:val="24"/>
          <w:szCs w:val="24"/>
        </w:rPr>
        <w:t xml:space="preserve">, forstørret lever, gulsot og </w:t>
      </w:r>
      <w:proofErr w:type="spellStart"/>
      <w:r w:rsidRPr="00A915D4">
        <w:rPr>
          <w:sz w:val="24"/>
          <w:szCs w:val="24"/>
        </w:rPr>
        <w:t>shock</w:t>
      </w:r>
      <w:proofErr w:type="spellEnd"/>
      <w:r w:rsidRPr="00A915D4">
        <w:rPr>
          <w:sz w:val="24"/>
          <w:szCs w:val="24"/>
        </w:rPr>
        <w:t xml:space="preserve">, som hurtigt forværredes i løbet af nogle timer eller få dage. Da fatale resultater er blevet beskrevet, er det især vigtigt med regelmæssig overvågning af leverstørrelse, -funktion og blodbilledet (især </w:t>
      </w:r>
      <w:proofErr w:type="spellStart"/>
      <w:r w:rsidRPr="00A915D4">
        <w:rPr>
          <w:sz w:val="24"/>
          <w:szCs w:val="24"/>
        </w:rPr>
        <w:t>eosinofiler</w:t>
      </w:r>
      <w:proofErr w:type="spellEnd"/>
      <w:r w:rsidRPr="00A915D4">
        <w:rPr>
          <w:sz w:val="24"/>
          <w:szCs w:val="24"/>
        </w:rPr>
        <w:t xml:space="preserve">). I enkelte tilfælde af formodet </w:t>
      </w:r>
      <w:proofErr w:type="spellStart"/>
      <w:r w:rsidRPr="00A915D4">
        <w:rPr>
          <w:sz w:val="24"/>
          <w:szCs w:val="24"/>
        </w:rPr>
        <w:t>veno</w:t>
      </w:r>
      <w:r w:rsidRPr="00A915D4">
        <w:rPr>
          <w:sz w:val="24"/>
          <w:szCs w:val="24"/>
        </w:rPr>
        <w:noBreakHyphen/>
        <w:t>okklusiv</w:t>
      </w:r>
      <w:proofErr w:type="spellEnd"/>
      <w:r w:rsidRPr="00A915D4">
        <w:rPr>
          <w:sz w:val="24"/>
          <w:szCs w:val="24"/>
        </w:rPr>
        <w:t xml:space="preserve"> sygdom har behandling med </w:t>
      </w:r>
      <w:proofErr w:type="spellStart"/>
      <w:r w:rsidRPr="00A915D4">
        <w:rPr>
          <w:sz w:val="24"/>
          <w:szCs w:val="24"/>
        </w:rPr>
        <w:t>højdosis</w:t>
      </w:r>
      <w:r w:rsidRPr="00A915D4">
        <w:rPr>
          <w:sz w:val="24"/>
          <w:szCs w:val="24"/>
        </w:rPr>
        <w:noBreakHyphen/>
        <w:t>kortiko</w:t>
      </w:r>
      <w:r>
        <w:rPr>
          <w:sz w:val="24"/>
          <w:szCs w:val="24"/>
        </w:rPr>
        <w:softHyphen/>
      </w:r>
      <w:r w:rsidRPr="00A915D4">
        <w:rPr>
          <w:sz w:val="24"/>
          <w:szCs w:val="24"/>
        </w:rPr>
        <w:t>steroider</w:t>
      </w:r>
      <w:proofErr w:type="spellEnd"/>
      <w:r w:rsidRPr="00A915D4">
        <w:rPr>
          <w:sz w:val="24"/>
          <w:szCs w:val="24"/>
        </w:rPr>
        <w:t xml:space="preserve"> (f.eks. 300 mg </w:t>
      </w:r>
      <w:proofErr w:type="spellStart"/>
      <w:r w:rsidRPr="00A915D4">
        <w:rPr>
          <w:sz w:val="24"/>
          <w:szCs w:val="24"/>
        </w:rPr>
        <w:t>hydrokortison</w:t>
      </w:r>
      <w:proofErr w:type="spellEnd"/>
      <w:r w:rsidRPr="00A915D4">
        <w:rPr>
          <w:sz w:val="24"/>
          <w:szCs w:val="24"/>
        </w:rPr>
        <w:t xml:space="preserve"> pr. dag) med eller uden </w:t>
      </w:r>
      <w:proofErr w:type="spellStart"/>
      <w:r w:rsidRPr="00A915D4">
        <w:rPr>
          <w:sz w:val="24"/>
          <w:szCs w:val="24"/>
        </w:rPr>
        <w:t>fibrinolytika</w:t>
      </w:r>
      <w:proofErr w:type="spellEnd"/>
      <w:r w:rsidRPr="00A915D4">
        <w:rPr>
          <w:sz w:val="24"/>
          <w:szCs w:val="24"/>
        </w:rPr>
        <w:t xml:space="preserve">, såsom </w:t>
      </w:r>
      <w:proofErr w:type="spellStart"/>
      <w:r w:rsidRPr="00A915D4">
        <w:rPr>
          <w:sz w:val="24"/>
          <w:szCs w:val="24"/>
        </w:rPr>
        <w:t>heparin</w:t>
      </w:r>
      <w:proofErr w:type="spellEnd"/>
      <w:r w:rsidRPr="00A915D4">
        <w:rPr>
          <w:sz w:val="24"/>
          <w:szCs w:val="24"/>
        </w:rPr>
        <w:t xml:space="preserve"> eller </w:t>
      </w:r>
      <w:proofErr w:type="spellStart"/>
      <w:r w:rsidRPr="00A915D4">
        <w:rPr>
          <w:sz w:val="24"/>
          <w:szCs w:val="24"/>
        </w:rPr>
        <w:t>vævsplasminogenaktivator</w:t>
      </w:r>
      <w:proofErr w:type="spellEnd"/>
      <w:r w:rsidRPr="00A915D4">
        <w:rPr>
          <w:sz w:val="24"/>
          <w:szCs w:val="24"/>
        </w:rPr>
        <w:t>, været vellykket (se pkt. 4.2 og 4.4).</w:t>
      </w:r>
    </w:p>
    <w:p w:rsidR="00E77693" w:rsidRPr="00A915D4" w:rsidRDefault="00E77693" w:rsidP="00E77693">
      <w:pPr>
        <w:ind w:left="851"/>
        <w:rPr>
          <w:sz w:val="24"/>
          <w:szCs w:val="24"/>
        </w:rPr>
      </w:pPr>
    </w:p>
    <w:p w:rsidR="00E77693" w:rsidRPr="00A915D4" w:rsidRDefault="00E77693" w:rsidP="00E77693">
      <w:pPr>
        <w:tabs>
          <w:tab w:val="left" w:pos="1304"/>
        </w:tabs>
        <w:autoSpaceDE w:val="0"/>
        <w:autoSpaceDN w:val="0"/>
        <w:adjustRightInd w:val="0"/>
        <w:ind w:left="851"/>
        <w:rPr>
          <w:sz w:val="24"/>
          <w:szCs w:val="24"/>
        </w:rPr>
      </w:pPr>
      <w:r w:rsidRPr="00A915D4">
        <w:rPr>
          <w:sz w:val="24"/>
          <w:szCs w:val="24"/>
        </w:rPr>
        <w:t>Reaktioner på applikationsstedet, såsom irritation af venen og nogle systemiske bivirkninger, menes at skyldes dannelse af fotonedbrydningsprodukter.</w:t>
      </w:r>
    </w:p>
    <w:p w:rsidR="00E77693" w:rsidRPr="00A915D4" w:rsidRDefault="00E77693" w:rsidP="00E77693">
      <w:pPr>
        <w:tabs>
          <w:tab w:val="left" w:pos="1304"/>
        </w:tabs>
        <w:autoSpaceDE w:val="0"/>
        <w:autoSpaceDN w:val="0"/>
        <w:adjustRightInd w:val="0"/>
        <w:ind w:left="851"/>
        <w:rPr>
          <w:sz w:val="24"/>
          <w:szCs w:val="24"/>
        </w:rPr>
      </w:pPr>
    </w:p>
    <w:p w:rsidR="00E77693" w:rsidRPr="00A915D4" w:rsidRDefault="00E77693" w:rsidP="00E77693">
      <w:pPr>
        <w:tabs>
          <w:tab w:val="left" w:pos="1304"/>
        </w:tabs>
        <w:autoSpaceDE w:val="0"/>
        <w:autoSpaceDN w:val="0"/>
        <w:adjustRightInd w:val="0"/>
        <w:ind w:left="851"/>
        <w:rPr>
          <w:sz w:val="24"/>
          <w:szCs w:val="24"/>
        </w:rPr>
      </w:pPr>
      <w:r w:rsidRPr="00A915D4">
        <w:rPr>
          <w:sz w:val="24"/>
          <w:szCs w:val="24"/>
        </w:rPr>
        <w:t>Nedsat nyrefunktion med forhøjede niveauer af stoffer i blodet, der normalt udskilles i urin, er sjælden.</w:t>
      </w:r>
    </w:p>
    <w:p w:rsidR="00E77693" w:rsidRPr="00A915D4" w:rsidRDefault="00E77693" w:rsidP="00E77693">
      <w:pPr>
        <w:tabs>
          <w:tab w:val="left" w:pos="1304"/>
        </w:tabs>
        <w:autoSpaceDE w:val="0"/>
        <w:autoSpaceDN w:val="0"/>
        <w:adjustRightInd w:val="0"/>
        <w:ind w:left="851"/>
        <w:rPr>
          <w:sz w:val="24"/>
          <w:szCs w:val="24"/>
        </w:rPr>
      </w:pPr>
    </w:p>
    <w:p w:rsidR="00E77693" w:rsidRPr="00A915D4" w:rsidRDefault="00E77693" w:rsidP="00E77693">
      <w:pPr>
        <w:tabs>
          <w:tab w:val="left" w:pos="1304"/>
        </w:tabs>
        <w:autoSpaceDE w:val="0"/>
        <w:autoSpaceDN w:val="0"/>
        <w:adjustRightInd w:val="0"/>
        <w:ind w:left="851"/>
        <w:rPr>
          <w:sz w:val="24"/>
          <w:szCs w:val="24"/>
        </w:rPr>
      </w:pPr>
      <w:r w:rsidRPr="00A915D4">
        <w:rPr>
          <w:sz w:val="24"/>
          <w:szCs w:val="24"/>
        </w:rPr>
        <w:lastRenderedPageBreak/>
        <w:t xml:space="preserve">Bivirkninger i centralnervesystemet, såsom hovedpine, synsnedsættelse, konfusion, letargi og krampeanfald kan opstå i sjældne tilfælde. </w:t>
      </w:r>
      <w:proofErr w:type="spellStart"/>
      <w:r w:rsidRPr="00A915D4">
        <w:rPr>
          <w:sz w:val="24"/>
          <w:szCs w:val="24"/>
        </w:rPr>
        <w:t>Ansigtsparæstesi</w:t>
      </w:r>
      <w:proofErr w:type="spellEnd"/>
      <w:r w:rsidRPr="00A915D4">
        <w:rPr>
          <w:sz w:val="24"/>
          <w:szCs w:val="24"/>
        </w:rPr>
        <w:t xml:space="preserve"> og -rødme kan opstå kort efter administration.</w:t>
      </w:r>
    </w:p>
    <w:p w:rsidR="00E77693" w:rsidRPr="00A915D4" w:rsidRDefault="00E77693" w:rsidP="00E77693">
      <w:pPr>
        <w:tabs>
          <w:tab w:val="left" w:pos="1304"/>
        </w:tabs>
        <w:autoSpaceDE w:val="0"/>
        <w:autoSpaceDN w:val="0"/>
        <w:adjustRightInd w:val="0"/>
        <w:ind w:left="851"/>
        <w:rPr>
          <w:sz w:val="24"/>
          <w:szCs w:val="24"/>
        </w:rPr>
      </w:pPr>
    </w:p>
    <w:p w:rsidR="00E77693" w:rsidRPr="00A915D4" w:rsidRDefault="00E77693" w:rsidP="00E77693">
      <w:pPr>
        <w:tabs>
          <w:tab w:val="left" w:pos="1304"/>
        </w:tabs>
        <w:autoSpaceDE w:val="0"/>
        <w:autoSpaceDN w:val="0"/>
        <w:adjustRightInd w:val="0"/>
        <w:ind w:left="851"/>
        <w:rPr>
          <w:sz w:val="24"/>
          <w:szCs w:val="24"/>
        </w:rPr>
      </w:pPr>
      <w:r w:rsidRPr="00A915D4">
        <w:rPr>
          <w:sz w:val="24"/>
          <w:szCs w:val="24"/>
        </w:rPr>
        <w:t xml:space="preserve">Allergiske hudreaktioner i form af </w:t>
      </w:r>
      <w:proofErr w:type="spellStart"/>
      <w:r w:rsidRPr="00A915D4">
        <w:rPr>
          <w:sz w:val="24"/>
          <w:szCs w:val="24"/>
        </w:rPr>
        <w:t>erytem</w:t>
      </w:r>
      <w:proofErr w:type="spellEnd"/>
      <w:r w:rsidRPr="00A915D4">
        <w:rPr>
          <w:sz w:val="24"/>
          <w:szCs w:val="24"/>
        </w:rPr>
        <w:t xml:space="preserve">, </w:t>
      </w:r>
      <w:proofErr w:type="spellStart"/>
      <w:r w:rsidRPr="00A915D4">
        <w:rPr>
          <w:sz w:val="24"/>
          <w:szCs w:val="24"/>
        </w:rPr>
        <w:t>makulopapuløst</w:t>
      </w:r>
      <w:proofErr w:type="spellEnd"/>
      <w:r w:rsidRPr="00A915D4">
        <w:rPr>
          <w:sz w:val="24"/>
          <w:szCs w:val="24"/>
        </w:rPr>
        <w:t xml:space="preserve"> </w:t>
      </w:r>
      <w:proofErr w:type="spellStart"/>
      <w:r w:rsidRPr="00A915D4">
        <w:rPr>
          <w:sz w:val="24"/>
          <w:szCs w:val="24"/>
        </w:rPr>
        <w:t>eksantem</w:t>
      </w:r>
      <w:proofErr w:type="spellEnd"/>
      <w:r w:rsidRPr="00A915D4">
        <w:rPr>
          <w:sz w:val="24"/>
          <w:szCs w:val="24"/>
        </w:rPr>
        <w:t xml:space="preserve"> eller </w:t>
      </w:r>
      <w:proofErr w:type="spellStart"/>
      <w:r w:rsidRPr="00A915D4">
        <w:rPr>
          <w:sz w:val="24"/>
          <w:szCs w:val="24"/>
        </w:rPr>
        <w:t>urticaria</w:t>
      </w:r>
      <w:proofErr w:type="spellEnd"/>
      <w:r w:rsidRPr="00A915D4">
        <w:rPr>
          <w:sz w:val="24"/>
          <w:szCs w:val="24"/>
        </w:rPr>
        <w:t xml:space="preserve"> observeres sjældent. Ikke hyppigt kan der opstå </w:t>
      </w:r>
      <w:proofErr w:type="spellStart"/>
      <w:r w:rsidRPr="00A915D4">
        <w:rPr>
          <w:sz w:val="24"/>
          <w:szCs w:val="24"/>
        </w:rPr>
        <w:t>alopeci</w:t>
      </w:r>
      <w:proofErr w:type="spellEnd"/>
      <w:r w:rsidRPr="00A915D4">
        <w:rPr>
          <w:sz w:val="24"/>
          <w:szCs w:val="24"/>
        </w:rPr>
        <w:t xml:space="preserve">, </w:t>
      </w:r>
      <w:proofErr w:type="spellStart"/>
      <w:r w:rsidRPr="00A915D4">
        <w:rPr>
          <w:sz w:val="24"/>
          <w:szCs w:val="24"/>
        </w:rPr>
        <w:t>hyperpigmentering</w:t>
      </w:r>
      <w:proofErr w:type="spellEnd"/>
      <w:r w:rsidRPr="00A915D4">
        <w:rPr>
          <w:sz w:val="24"/>
          <w:szCs w:val="24"/>
        </w:rPr>
        <w:t xml:space="preserve"> og lysfølsomhed af huden. I sjældne tilfælde er der blevet beskrevet </w:t>
      </w:r>
      <w:proofErr w:type="spellStart"/>
      <w:r w:rsidRPr="00A915D4">
        <w:rPr>
          <w:sz w:val="24"/>
          <w:szCs w:val="24"/>
        </w:rPr>
        <w:t>anafylaktiske</w:t>
      </w:r>
      <w:proofErr w:type="spellEnd"/>
      <w:r w:rsidRPr="00A915D4">
        <w:rPr>
          <w:sz w:val="24"/>
          <w:szCs w:val="24"/>
        </w:rPr>
        <w:t xml:space="preserve"> reaktioner.</w:t>
      </w:r>
    </w:p>
    <w:p w:rsidR="00E77693" w:rsidRPr="00A915D4" w:rsidRDefault="00E77693" w:rsidP="00E77693">
      <w:pPr>
        <w:ind w:left="851"/>
        <w:rPr>
          <w:sz w:val="24"/>
          <w:szCs w:val="24"/>
        </w:rPr>
      </w:pPr>
    </w:p>
    <w:p w:rsidR="00E77693" w:rsidRPr="00A915D4" w:rsidRDefault="00E77693" w:rsidP="00E77693">
      <w:pPr>
        <w:ind w:left="851"/>
        <w:rPr>
          <w:sz w:val="24"/>
          <w:szCs w:val="24"/>
        </w:rPr>
      </w:pPr>
      <w:r w:rsidRPr="00A915D4">
        <w:rPr>
          <w:sz w:val="24"/>
          <w:szCs w:val="24"/>
        </w:rPr>
        <w:t xml:space="preserve">Utilsigtet </w:t>
      </w:r>
      <w:proofErr w:type="spellStart"/>
      <w:r w:rsidRPr="00A915D4">
        <w:rPr>
          <w:sz w:val="24"/>
          <w:szCs w:val="24"/>
        </w:rPr>
        <w:t>paravenøs</w:t>
      </w:r>
      <w:proofErr w:type="spellEnd"/>
      <w:r w:rsidRPr="00A915D4">
        <w:rPr>
          <w:sz w:val="24"/>
          <w:szCs w:val="24"/>
        </w:rPr>
        <w:t xml:space="preserve"> applikation forventes at give lokale smerter og nekrose.</w:t>
      </w:r>
    </w:p>
    <w:p w:rsidR="00AA1DBB" w:rsidRDefault="00AA1DBB">
      <w:pPr>
        <w:rPr>
          <w:sz w:val="24"/>
          <w:szCs w:val="24"/>
          <w:u w:val="single"/>
        </w:rPr>
      </w:pPr>
    </w:p>
    <w:p w:rsidR="00E77693" w:rsidRDefault="00E77693" w:rsidP="00E77693">
      <w:pPr>
        <w:autoSpaceDE w:val="0"/>
        <w:autoSpaceDN w:val="0"/>
        <w:ind w:left="851"/>
        <w:rPr>
          <w:sz w:val="24"/>
          <w:szCs w:val="24"/>
          <w:u w:val="single"/>
        </w:rPr>
      </w:pPr>
      <w:r>
        <w:rPr>
          <w:sz w:val="24"/>
          <w:szCs w:val="24"/>
          <w:u w:val="single"/>
        </w:rPr>
        <w:t>Indberetning af formodede bivirkninger</w:t>
      </w:r>
    </w:p>
    <w:p w:rsidR="00E77693" w:rsidRDefault="00E77693" w:rsidP="00E7769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E77693" w:rsidRDefault="00E77693" w:rsidP="00E77693">
      <w:pPr>
        <w:tabs>
          <w:tab w:val="left" w:pos="2440"/>
        </w:tabs>
        <w:ind w:left="851"/>
        <w:rPr>
          <w:sz w:val="24"/>
          <w:szCs w:val="24"/>
        </w:rPr>
      </w:pPr>
    </w:p>
    <w:p w:rsidR="00E77693" w:rsidRDefault="00E77693" w:rsidP="00E77693">
      <w:pPr>
        <w:ind w:left="851"/>
        <w:rPr>
          <w:sz w:val="24"/>
          <w:szCs w:val="24"/>
        </w:rPr>
      </w:pPr>
      <w:r>
        <w:rPr>
          <w:sz w:val="24"/>
          <w:szCs w:val="24"/>
        </w:rPr>
        <w:t>Lægemiddelstyrelsen</w:t>
      </w:r>
    </w:p>
    <w:p w:rsidR="00E77693" w:rsidRDefault="00E77693" w:rsidP="00E77693">
      <w:pPr>
        <w:ind w:left="851"/>
        <w:rPr>
          <w:sz w:val="24"/>
          <w:szCs w:val="24"/>
        </w:rPr>
      </w:pPr>
      <w:r>
        <w:rPr>
          <w:sz w:val="24"/>
          <w:szCs w:val="24"/>
        </w:rPr>
        <w:t>Axel Heides Gade 1</w:t>
      </w:r>
    </w:p>
    <w:p w:rsidR="00E77693" w:rsidRDefault="00E77693" w:rsidP="00E77693">
      <w:pPr>
        <w:ind w:left="851"/>
        <w:rPr>
          <w:sz w:val="24"/>
          <w:szCs w:val="24"/>
        </w:rPr>
      </w:pPr>
      <w:r>
        <w:rPr>
          <w:sz w:val="24"/>
          <w:szCs w:val="24"/>
        </w:rPr>
        <w:t>DK-2300 København S</w:t>
      </w:r>
    </w:p>
    <w:p w:rsidR="00E77693" w:rsidRPr="00B408A0" w:rsidRDefault="00E77693" w:rsidP="00E77693">
      <w:pPr>
        <w:ind w:left="851"/>
        <w:rPr>
          <w:sz w:val="24"/>
          <w:szCs w:val="24"/>
        </w:rPr>
      </w:pPr>
      <w:r w:rsidRPr="00B408A0">
        <w:rPr>
          <w:sz w:val="24"/>
          <w:szCs w:val="24"/>
        </w:rPr>
        <w:t xml:space="preserve">Websted: </w:t>
      </w:r>
      <w:hyperlink r:id="rId8" w:history="1">
        <w:r w:rsidRPr="00B408A0">
          <w:rPr>
            <w:rStyle w:val="Hyperlink"/>
            <w:sz w:val="24"/>
            <w:szCs w:val="24"/>
          </w:rPr>
          <w:t>www.meldenbivirkning.dk</w:t>
        </w:r>
      </w:hyperlink>
    </w:p>
    <w:p w:rsidR="00E77693" w:rsidRPr="00B408A0" w:rsidRDefault="00E77693" w:rsidP="00E77693">
      <w:pPr>
        <w:pStyle w:val="Sidehoved"/>
        <w:tabs>
          <w:tab w:val="left" w:pos="851"/>
        </w:tabs>
        <w:ind w:left="851" w:hanging="851"/>
        <w:rPr>
          <w:szCs w:val="24"/>
        </w:rPr>
      </w:pPr>
    </w:p>
    <w:p w:rsidR="00E77693" w:rsidRPr="00A915D4" w:rsidRDefault="00E77693" w:rsidP="00E77693">
      <w:pPr>
        <w:tabs>
          <w:tab w:val="left" w:pos="851"/>
        </w:tabs>
        <w:ind w:left="851" w:hanging="851"/>
        <w:rPr>
          <w:b/>
          <w:sz w:val="24"/>
          <w:szCs w:val="24"/>
        </w:rPr>
      </w:pPr>
      <w:r w:rsidRPr="00A915D4">
        <w:rPr>
          <w:b/>
          <w:sz w:val="24"/>
          <w:szCs w:val="24"/>
        </w:rPr>
        <w:t>4.9</w:t>
      </w:r>
      <w:r w:rsidRPr="00A915D4">
        <w:rPr>
          <w:b/>
          <w:sz w:val="24"/>
          <w:szCs w:val="24"/>
        </w:rPr>
        <w:tab/>
        <w:t>Overdosering</w:t>
      </w:r>
    </w:p>
    <w:p w:rsidR="00E77693" w:rsidRPr="00A915D4" w:rsidRDefault="00E77693" w:rsidP="00E77693">
      <w:pPr>
        <w:ind w:left="851"/>
        <w:rPr>
          <w:sz w:val="24"/>
          <w:szCs w:val="24"/>
          <w:lang w:eastAsia="da-DK"/>
        </w:rPr>
      </w:pPr>
      <w:r w:rsidRPr="00A915D4">
        <w:rPr>
          <w:sz w:val="24"/>
          <w:szCs w:val="24"/>
        </w:rPr>
        <w:t xml:space="preserve">Der kan forventes svær knoglemarvstoksicitet og endda </w:t>
      </w:r>
      <w:proofErr w:type="spellStart"/>
      <w:r w:rsidRPr="00A915D4">
        <w:rPr>
          <w:sz w:val="24"/>
          <w:szCs w:val="24"/>
        </w:rPr>
        <w:t>knoglemarvsaplasi</w:t>
      </w:r>
      <w:proofErr w:type="spellEnd"/>
      <w:r w:rsidRPr="00A915D4">
        <w:rPr>
          <w:sz w:val="24"/>
          <w:szCs w:val="24"/>
        </w:rPr>
        <w:t xml:space="preserve">, da følgerne af en overdosering og symptomstart kan være forsinket med op til 2 uger. Tiden før den laveste værdi af leukocytter og </w:t>
      </w:r>
      <w:proofErr w:type="spellStart"/>
      <w:r w:rsidRPr="00A915D4">
        <w:rPr>
          <w:sz w:val="24"/>
          <w:szCs w:val="24"/>
        </w:rPr>
        <w:t>trombocytter</w:t>
      </w:r>
      <w:proofErr w:type="spellEnd"/>
      <w:r w:rsidRPr="00A915D4">
        <w:rPr>
          <w:sz w:val="24"/>
          <w:szCs w:val="24"/>
        </w:rPr>
        <w:t xml:space="preserve"> opstår kan være 4 uger. Selv hvis der kun er mistanke om en overdosering, er det derfor afgørende, at der udføres en langvarig, nøje hæmatologisk kontrol.</w:t>
      </w:r>
    </w:p>
    <w:p w:rsidR="00E77693" w:rsidRDefault="00E77693" w:rsidP="00E77693">
      <w:pPr>
        <w:ind w:left="851" w:hanging="851"/>
        <w:rPr>
          <w:sz w:val="24"/>
          <w:szCs w:val="24"/>
        </w:rPr>
      </w:pPr>
    </w:p>
    <w:p w:rsidR="00EC1853" w:rsidRDefault="00EC1853" w:rsidP="00EC1853">
      <w:pPr>
        <w:ind w:left="851"/>
        <w:rPr>
          <w:szCs w:val="22"/>
        </w:rPr>
      </w:pPr>
      <w:r w:rsidRPr="00AC5D1D">
        <w:t xml:space="preserve">Der er blevet observeret </w:t>
      </w:r>
      <w:proofErr w:type="spellStart"/>
      <w:r w:rsidRPr="00AC5D1D">
        <w:t>hypotensive</w:t>
      </w:r>
      <w:proofErr w:type="spellEnd"/>
      <w:r w:rsidRPr="00AC5D1D">
        <w:t xml:space="preserve"> episoder ved høje doser af </w:t>
      </w:r>
      <w:proofErr w:type="spellStart"/>
      <w:r w:rsidRPr="00AC5D1D">
        <w:rPr>
          <w:rStyle w:val="ox-d515c9c26d-formatvorlagetimesnewroman"/>
        </w:rPr>
        <w:t>dacarbazin</w:t>
      </w:r>
      <w:proofErr w:type="spellEnd"/>
      <w:r w:rsidRPr="00AC5D1D">
        <w:rPr>
          <w:rStyle w:val="ox-d515c9c26d-formatvorlagetimesnewroman"/>
        </w:rPr>
        <w:t xml:space="preserve"> (&gt; 850 mg/m</w:t>
      </w:r>
      <w:r w:rsidRPr="00AC5D1D">
        <w:rPr>
          <w:vertAlign w:val="superscript"/>
        </w:rPr>
        <w:t>2</w:t>
      </w:r>
      <w:r w:rsidRPr="00AC5D1D">
        <w:rPr>
          <w:rStyle w:val="ox-d515c9c26d-formatvorlagetimesnewroman"/>
        </w:rPr>
        <w:t xml:space="preserve">). Hvis der observeres hypotension anbefales støttebehandling, for eksempel hydrering med 500 ml 0,9 % </w:t>
      </w:r>
      <w:proofErr w:type="spellStart"/>
      <w:r w:rsidRPr="00AC5D1D">
        <w:rPr>
          <w:rStyle w:val="ox-d515c9c26d-formatvorlagetimesnewroman"/>
        </w:rPr>
        <w:t>natriumchloridopløsning</w:t>
      </w:r>
      <w:proofErr w:type="spellEnd"/>
      <w:r w:rsidRPr="00AC5D1D">
        <w:rPr>
          <w:rStyle w:val="ox-d515c9c26d-formatvorlagetimesnewroman"/>
        </w:rPr>
        <w:t>.</w:t>
      </w:r>
    </w:p>
    <w:p w:rsidR="00EC1853" w:rsidRPr="00A915D4" w:rsidRDefault="00EC1853" w:rsidP="00E77693">
      <w:pPr>
        <w:ind w:left="851" w:hanging="851"/>
        <w:rPr>
          <w:sz w:val="24"/>
          <w:szCs w:val="24"/>
        </w:rPr>
      </w:pPr>
    </w:p>
    <w:p w:rsidR="00E77693" w:rsidRPr="00A915D4" w:rsidRDefault="00E77693" w:rsidP="00E77693">
      <w:pPr>
        <w:ind w:left="851"/>
        <w:rPr>
          <w:sz w:val="24"/>
          <w:szCs w:val="24"/>
        </w:rPr>
      </w:pPr>
      <w:r w:rsidRPr="00A915D4">
        <w:rPr>
          <w:sz w:val="24"/>
          <w:szCs w:val="24"/>
        </w:rPr>
        <w:t xml:space="preserve">Da ingen kendt </w:t>
      </w:r>
      <w:proofErr w:type="spellStart"/>
      <w:r w:rsidRPr="00A915D4">
        <w:rPr>
          <w:sz w:val="24"/>
          <w:szCs w:val="24"/>
        </w:rPr>
        <w:t>antidot</w:t>
      </w:r>
      <w:proofErr w:type="spellEnd"/>
      <w:r w:rsidRPr="00A915D4">
        <w:rPr>
          <w:sz w:val="24"/>
          <w:szCs w:val="24"/>
        </w:rPr>
        <w:t xml:space="preserve"> er tilgængelig, skal der tages de yderste forholdsregler ved hver administration for at undgå en overdosering.</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4.10</w:t>
      </w:r>
      <w:r w:rsidRPr="00A915D4">
        <w:rPr>
          <w:b/>
          <w:sz w:val="24"/>
          <w:szCs w:val="24"/>
        </w:rPr>
        <w:tab/>
        <w:t>Udlevering</w:t>
      </w:r>
    </w:p>
    <w:p w:rsidR="00E77693" w:rsidRPr="00A915D4" w:rsidRDefault="00E77693" w:rsidP="00E77693">
      <w:pPr>
        <w:tabs>
          <w:tab w:val="left" w:pos="851"/>
        </w:tabs>
        <w:ind w:left="851"/>
        <w:rPr>
          <w:sz w:val="24"/>
          <w:szCs w:val="24"/>
        </w:rPr>
      </w:pPr>
      <w:r>
        <w:rPr>
          <w:sz w:val="24"/>
          <w:szCs w:val="24"/>
        </w:rPr>
        <w:t>BEGR - kun til sygehuse</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sz w:val="24"/>
          <w:szCs w:val="24"/>
        </w:rPr>
      </w:pPr>
    </w:p>
    <w:p w:rsidR="00E77693" w:rsidRPr="00A42A82" w:rsidRDefault="00E77693" w:rsidP="00A42A82">
      <w:pPr>
        <w:tabs>
          <w:tab w:val="left" w:pos="851"/>
        </w:tabs>
        <w:ind w:left="851" w:hanging="851"/>
        <w:rPr>
          <w:b/>
          <w:sz w:val="24"/>
          <w:szCs w:val="24"/>
        </w:rPr>
      </w:pPr>
      <w:r w:rsidRPr="00A915D4">
        <w:rPr>
          <w:b/>
          <w:sz w:val="24"/>
          <w:szCs w:val="24"/>
        </w:rPr>
        <w:t>5.</w:t>
      </w:r>
      <w:r w:rsidRPr="00A915D4">
        <w:rPr>
          <w:b/>
          <w:sz w:val="24"/>
          <w:szCs w:val="24"/>
        </w:rPr>
        <w:tab/>
        <w:t>FARMAKOLOGISKE EGENSKABER</w:t>
      </w:r>
    </w:p>
    <w:p w:rsidR="00E77693" w:rsidRPr="00A915D4" w:rsidRDefault="00E77693" w:rsidP="00E77693">
      <w:pPr>
        <w:tabs>
          <w:tab w:val="left" w:pos="851"/>
        </w:tabs>
        <w:ind w:left="851" w:hanging="851"/>
        <w:rPr>
          <w:sz w:val="24"/>
          <w:szCs w:val="24"/>
        </w:rPr>
      </w:pPr>
    </w:p>
    <w:p w:rsidR="00E77693" w:rsidRDefault="00E77693" w:rsidP="00E77693">
      <w:pPr>
        <w:tabs>
          <w:tab w:val="num" w:pos="851"/>
        </w:tabs>
        <w:ind w:left="851" w:hanging="851"/>
        <w:rPr>
          <w:b/>
          <w:sz w:val="24"/>
          <w:szCs w:val="24"/>
        </w:rPr>
      </w:pPr>
      <w:r w:rsidRPr="00A915D4">
        <w:rPr>
          <w:b/>
          <w:sz w:val="24"/>
          <w:szCs w:val="24"/>
        </w:rPr>
        <w:t>5.1</w:t>
      </w:r>
      <w:r w:rsidRPr="00A915D4">
        <w:rPr>
          <w:b/>
          <w:sz w:val="24"/>
          <w:szCs w:val="24"/>
        </w:rPr>
        <w:tab/>
      </w:r>
      <w:proofErr w:type="spellStart"/>
      <w:r w:rsidRPr="00A915D4">
        <w:rPr>
          <w:b/>
          <w:sz w:val="24"/>
          <w:szCs w:val="24"/>
        </w:rPr>
        <w:t>Farmakodynamiske</w:t>
      </w:r>
      <w:proofErr w:type="spellEnd"/>
      <w:r w:rsidRPr="00A915D4">
        <w:rPr>
          <w:b/>
          <w:sz w:val="24"/>
          <w:szCs w:val="24"/>
        </w:rPr>
        <w:t xml:space="preserve"> egenskaber</w:t>
      </w:r>
    </w:p>
    <w:p w:rsidR="00A42A82" w:rsidRPr="00A42A82" w:rsidRDefault="00A42A82" w:rsidP="00A42A82">
      <w:pPr>
        <w:ind w:left="851"/>
        <w:rPr>
          <w:sz w:val="24"/>
          <w:szCs w:val="24"/>
        </w:rPr>
      </w:pPr>
      <w:proofErr w:type="spellStart"/>
      <w:r w:rsidRPr="00A42A82">
        <w:rPr>
          <w:sz w:val="24"/>
          <w:szCs w:val="24"/>
        </w:rPr>
        <w:t>Farmakote</w:t>
      </w:r>
      <w:r w:rsidRPr="00A42A82">
        <w:rPr>
          <w:sz w:val="24"/>
          <w:szCs w:val="24"/>
        </w:rPr>
        <w:t>rapeutisk</w:t>
      </w:r>
      <w:proofErr w:type="spellEnd"/>
      <w:r w:rsidRPr="00A42A82">
        <w:rPr>
          <w:sz w:val="24"/>
          <w:szCs w:val="24"/>
        </w:rPr>
        <w:t xml:space="preserve"> klassifikation</w:t>
      </w:r>
      <w:r w:rsidRPr="00A42A82">
        <w:rPr>
          <w:sz w:val="24"/>
          <w:szCs w:val="24"/>
        </w:rPr>
        <w:t xml:space="preserve">: </w:t>
      </w:r>
      <w:proofErr w:type="spellStart"/>
      <w:r w:rsidRPr="00A42A82">
        <w:rPr>
          <w:snapToGrid w:val="0"/>
        </w:rPr>
        <w:t>Alkyleringsmidler</w:t>
      </w:r>
      <w:proofErr w:type="spellEnd"/>
      <w:r w:rsidRPr="00A42A82">
        <w:rPr>
          <w:snapToGrid w:val="0"/>
        </w:rPr>
        <w:t xml:space="preserve">, </w:t>
      </w:r>
      <w:r w:rsidRPr="00A42A82">
        <w:rPr>
          <w:sz w:val="24"/>
          <w:szCs w:val="24"/>
        </w:rPr>
        <w:t>ATC-kode: L01AX04.</w:t>
      </w:r>
    </w:p>
    <w:p w:rsidR="00A42A82" w:rsidRPr="00A915D4" w:rsidRDefault="00A42A82" w:rsidP="00E77693">
      <w:pPr>
        <w:tabs>
          <w:tab w:val="num" w:pos="851"/>
        </w:tabs>
        <w:ind w:left="851" w:hanging="851"/>
        <w:rPr>
          <w:b/>
          <w:sz w:val="24"/>
          <w:szCs w:val="24"/>
        </w:rPr>
      </w:pPr>
    </w:p>
    <w:p w:rsidR="00E77693" w:rsidRPr="00A915D4" w:rsidRDefault="00E77693" w:rsidP="00E77693">
      <w:pPr>
        <w:tabs>
          <w:tab w:val="left" w:pos="1304"/>
        </w:tabs>
        <w:autoSpaceDE w:val="0"/>
        <w:autoSpaceDN w:val="0"/>
        <w:adjustRightInd w:val="0"/>
        <w:ind w:left="851" w:hanging="851"/>
        <w:rPr>
          <w:sz w:val="24"/>
          <w:szCs w:val="24"/>
          <w:lang w:eastAsia="da-DK"/>
        </w:rPr>
      </w:pPr>
      <w:r>
        <w:rPr>
          <w:sz w:val="24"/>
          <w:szCs w:val="24"/>
        </w:rPr>
        <w:tab/>
      </w:r>
      <w:proofErr w:type="spellStart"/>
      <w:r w:rsidRPr="00A915D4">
        <w:rPr>
          <w:sz w:val="24"/>
          <w:szCs w:val="24"/>
        </w:rPr>
        <w:t>Dacarbazin</w:t>
      </w:r>
      <w:proofErr w:type="spellEnd"/>
      <w:r w:rsidRPr="00A915D4">
        <w:rPr>
          <w:sz w:val="24"/>
          <w:szCs w:val="24"/>
        </w:rPr>
        <w:t xml:space="preserve"> er et </w:t>
      </w:r>
      <w:proofErr w:type="spellStart"/>
      <w:r w:rsidRPr="00A915D4">
        <w:rPr>
          <w:sz w:val="24"/>
          <w:szCs w:val="24"/>
        </w:rPr>
        <w:t>cytostatikum</w:t>
      </w:r>
      <w:proofErr w:type="spellEnd"/>
      <w:r w:rsidRPr="00A915D4">
        <w:rPr>
          <w:sz w:val="24"/>
          <w:szCs w:val="24"/>
        </w:rPr>
        <w:t xml:space="preserve">. Den </w:t>
      </w:r>
      <w:proofErr w:type="spellStart"/>
      <w:r w:rsidRPr="00A915D4">
        <w:rPr>
          <w:sz w:val="24"/>
          <w:szCs w:val="24"/>
        </w:rPr>
        <w:t>antineoplastiske</w:t>
      </w:r>
      <w:proofErr w:type="spellEnd"/>
      <w:r w:rsidRPr="00A915D4">
        <w:rPr>
          <w:sz w:val="24"/>
          <w:szCs w:val="24"/>
        </w:rPr>
        <w:t xml:space="preserve"> virkning skyldes en hæmning af cellevæksten, som er uafhængig af cellecyklus, og skyldes en hæmning af dna</w:t>
      </w:r>
      <w:r w:rsidRPr="00A915D4">
        <w:rPr>
          <w:sz w:val="24"/>
          <w:szCs w:val="24"/>
        </w:rPr>
        <w:noBreakHyphen/>
        <w:t xml:space="preserve">syntesen. En </w:t>
      </w:r>
      <w:proofErr w:type="spellStart"/>
      <w:r w:rsidRPr="00A915D4">
        <w:rPr>
          <w:sz w:val="24"/>
          <w:szCs w:val="24"/>
        </w:rPr>
        <w:t>alkylerende</w:t>
      </w:r>
      <w:proofErr w:type="spellEnd"/>
      <w:r w:rsidRPr="00A915D4">
        <w:rPr>
          <w:sz w:val="24"/>
          <w:szCs w:val="24"/>
        </w:rPr>
        <w:t xml:space="preserve"> virkning er også blevet vist, og andre </w:t>
      </w:r>
      <w:proofErr w:type="spellStart"/>
      <w:r w:rsidRPr="00A915D4">
        <w:rPr>
          <w:sz w:val="24"/>
          <w:szCs w:val="24"/>
        </w:rPr>
        <w:t>cytostatiske</w:t>
      </w:r>
      <w:proofErr w:type="spellEnd"/>
      <w:r w:rsidRPr="00A915D4">
        <w:rPr>
          <w:sz w:val="24"/>
          <w:szCs w:val="24"/>
        </w:rPr>
        <w:t xml:space="preserve"> mekanismer kan være påvirket af </w:t>
      </w:r>
      <w:proofErr w:type="spellStart"/>
      <w:r w:rsidRPr="00A915D4">
        <w:rPr>
          <w:sz w:val="24"/>
          <w:szCs w:val="24"/>
        </w:rPr>
        <w:t>dacarbazin</w:t>
      </w:r>
      <w:proofErr w:type="spellEnd"/>
      <w:r w:rsidRPr="00A915D4">
        <w:rPr>
          <w:sz w:val="24"/>
          <w:szCs w:val="24"/>
        </w:rPr>
        <w:t>.</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proofErr w:type="spellStart"/>
      <w:r w:rsidRPr="00A915D4">
        <w:rPr>
          <w:sz w:val="24"/>
          <w:szCs w:val="24"/>
        </w:rPr>
        <w:t>Dacarbazin</w:t>
      </w:r>
      <w:proofErr w:type="spellEnd"/>
      <w:r w:rsidRPr="00A915D4">
        <w:rPr>
          <w:sz w:val="24"/>
          <w:szCs w:val="24"/>
        </w:rPr>
        <w:t xml:space="preserve"> anses ikke for selv at være effektivt. Ved </w:t>
      </w:r>
      <w:proofErr w:type="spellStart"/>
      <w:r w:rsidRPr="00A915D4">
        <w:rPr>
          <w:sz w:val="24"/>
          <w:szCs w:val="24"/>
        </w:rPr>
        <w:t>mikrosomal</w:t>
      </w:r>
      <w:proofErr w:type="spellEnd"/>
      <w:r w:rsidRPr="00A915D4">
        <w:rPr>
          <w:sz w:val="24"/>
          <w:szCs w:val="24"/>
        </w:rPr>
        <w:t xml:space="preserve"> N</w:t>
      </w:r>
      <w:r w:rsidRPr="00A915D4">
        <w:rPr>
          <w:sz w:val="24"/>
          <w:szCs w:val="24"/>
        </w:rPr>
        <w:noBreakHyphen/>
      </w:r>
      <w:proofErr w:type="spellStart"/>
      <w:r w:rsidRPr="00A915D4">
        <w:rPr>
          <w:sz w:val="24"/>
          <w:szCs w:val="24"/>
        </w:rPr>
        <w:t>demethylering</w:t>
      </w:r>
      <w:proofErr w:type="spellEnd"/>
      <w:r w:rsidRPr="00A915D4">
        <w:rPr>
          <w:sz w:val="24"/>
          <w:szCs w:val="24"/>
        </w:rPr>
        <w:t xml:space="preserve"> konverteres stoffet dog hurtigt til 5</w:t>
      </w:r>
      <w:r w:rsidRPr="00A915D4">
        <w:rPr>
          <w:sz w:val="24"/>
          <w:szCs w:val="24"/>
        </w:rPr>
        <w:noBreakHyphen/>
        <w:t>aminoimidazol</w:t>
      </w:r>
      <w:r w:rsidRPr="00A915D4">
        <w:rPr>
          <w:sz w:val="24"/>
          <w:szCs w:val="24"/>
        </w:rPr>
        <w:noBreakHyphen/>
        <w:t>4</w:t>
      </w:r>
      <w:r w:rsidRPr="00A915D4">
        <w:rPr>
          <w:sz w:val="24"/>
          <w:szCs w:val="24"/>
        </w:rPr>
        <w:noBreakHyphen/>
        <w:t xml:space="preserve">carboxamid og en </w:t>
      </w:r>
      <w:proofErr w:type="spellStart"/>
      <w:r w:rsidRPr="00A915D4">
        <w:rPr>
          <w:sz w:val="24"/>
          <w:szCs w:val="24"/>
        </w:rPr>
        <w:t>methylkation</w:t>
      </w:r>
      <w:proofErr w:type="spellEnd"/>
      <w:r w:rsidRPr="00A915D4">
        <w:rPr>
          <w:sz w:val="24"/>
          <w:szCs w:val="24"/>
        </w:rPr>
        <w:t xml:space="preserve">, som er ansvarlig for lægemidlets </w:t>
      </w:r>
      <w:proofErr w:type="spellStart"/>
      <w:r w:rsidRPr="00A915D4">
        <w:rPr>
          <w:sz w:val="24"/>
          <w:szCs w:val="24"/>
        </w:rPr>
        <w:t>alkylerende</w:t>
      </w:r>
      <w:proofErr w:type="spellEnd"/>
      <w:r w:rsidRPr="00A915D4">
        <w:rPr>
          <w:sz w:val="24"/>
          <w:szCs w:val="24"/>
        </w:rPr>
        <w:t xml:space="preserve"> virkning.</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5.2</w:t>
      </w:r>
      <w:r w:rsidRPr="00A915D4">
        <w:rPr>
          <w:b/>
          <w:sz w:val="24"/>
          <w:szCs w:val="24"/>
        </w:rPr>
        <w:tab/>
      </w:r>
      <w:proofErr w:type="spellStart"/>
      <w:r w:rsidRPr="00A915D4">
        <w:rPr>
          <w:b/>
          <w:sz w:val="24"/>
          <w:szCs w:val="24"/>
        </w:rPr>
        <w:t>Farmakokinetiske</w:t>
      </w:r>
      <w:proofErr w:type="spellEnd"/>
      <w:r w:rsidRPr="00A915D4">
        <w:rPr>
          <w:b/>
          <w:sz w:val="24"/>
          <w:szCs w:val="24"/>
        </w:rPr>
        <w:t xml:space="preserve"> egenskaber</w:t>
      </w:r>
    </w:p>
    <w:p w:rsidR="00E77693" w:rsidRPr="00A915D4" w:rsidRDefault="00E77693" w:rsidP="00E77693">
      <w:pPr>
        <w:ind w:left="851"/>
        <w:rPr>
          <w:sz w:val="24"/>
          <w:szCs w:val="24"/>
          <w:lang w:eastAsia="da-DK"/>
        </w:rPr>
      </w:pPr>
      <w:r w:rsidRPr="00A915D4">
        <w:rPr>
          <w:sz w:val="24"/>
          <w:szCs w:val="24"/>
        </w:rPr>
        <w:t xml:space="preserve">Efter intravenøs administration fordeles </w:t>
      </w:r>
      <w:proofErr w:type="spellStart"/>
      <w:r w:rsidRPr="00A915D4">
        <w:rPr>
          <w:sz w:val="24"/>
          <w:szCs w:val="24"/>
        </w:rPr>
        <w:t>dacarbazin</w:t>
      </w:r>
      <w:proofErr w:type="spellEnd"/>
      <w:r w:rsidRPr="00A915D4">
        <w:rPr>
          <w:sz w:val="24"/>
          <w:szCs w:val="24"/>
        </w:rPr>
        <w:t xml:space="preserve"> hurtigt fra det </w:t>
      </w:r>
      <w:proofErr w:type="spellStart"/>
      <w:r w:rsidRPr="00A915D4">
        <w:rPr>
          <w:sz w:val="24"/>
          <w:szCs w:val="24"/>
        </w:rPr>
        <w:t>intravaskulære</w:t>
      </w:r>
      <w:proofErr w:type="spellEnd"/>
      <w:r w:rsidRPr="00A915D4">
        <w:rPr>
          <w:sz w:val="24"/>
          <w:szCs w:val="24"/>
        </w:rPr>
        <w:t xml:space="preserve"> rum til vævet. Plasma</w:t>
      </w:r>
      <w:r w:rsidRPr="00A915D4">
        <w:rPr>
          <w:sz w:val="24"/>
          <w:szCs w:val="24"/>
        </w:rPr>
        <w:noBreakHyphen/>
        <w:t xml:space="preserve">proteinbindingen er 5 %. </w:t>
      </w:r>
      <w:proofErr w:type="spellStart"/>
      <w:r w:rsidRPr="00A915D4">
        <w:rPr>
          <w:sz w:val="24"/>
          <w:szCs w:val="24"/>
        </w:rPr>
        <w:t>Dacarbazins</w:t>
      </w:r>
      <w:proofErr w:type="spellEnd"/>
      <w:r w:rsidRPr="00A915D4">
        <w:rPr>
          <w:sz w:val="24"/>
          <w:szCs w:val="24"/>
        </w:rPr>
        <w:t xml:space="preserve"> kinetik i plasma er </w:t>
      </w:r>
      <w:proofErr w:type="spellStart"/>
      <w:r w:rsidRPr="00A915D4">
        <w:rPr>
          <w:sz w:val="24"/>
          <w:szCs w:val="24"/>
        </w:rPr>
        <w:t>bifasisk</w:t>
      </w:r>
      <w:proofErr w:type="spellEnd"/>
      <w:r w:rsidRPr="00A915D4">
        <w:rPr>
          <w:sz w:val="24"/>
          <w:szCs w:val="24"/>
        </w:rPr>
        <w:t>. Den indledende (fordelings)halveringstid er kun på 20 minutter, den terminale halveringstid er fra 0,5 til 3,5 timer.</w:t>
      </w:r>
    </w:p>
    <w:p w:rsidR="00E77693" w:rsidRPr="00A915D4" w:rsidRDefault="00E77693" w:rsidP="00E77693">
      <w:pPr>
        <w:ind w:left="851" w:hanging="851"/>
        <w:rPr>
          <w:sz w:val="24"/>
          <w:szCs w:val="24"/>
        </w:rPr>
      </w:pPr>
    </w:p>
    <w:p w:rsidR="00E77693" w:rsidRPr="00A915D4"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krydser blod</w:t>
      </w:r>
      <w:r w:rsidRPr="00A915D4">
        <w:rPr>
          <w:sz w:val="24"/>
          <w:szCs w:val="24"/>
        </w:rPr>
        <w:noBreakHyphen/>
        <w:t>hjernebarrieren i begrænset grad. Koncentrationerne i cerebrospinalvæsken rapporteres til at være omkring 14 % af plasmakoncentrationerne.</w:t>
      </w:r>
    </w:p>
    <w:p w:rsidR="00E77693" w:rsidRPr="00A915D4" w:rsidRDefault="00E77693" w:rsidP="00E77693">
      <w:pPr>
        <w:ind w:left="851" w:hanging="851"/>
        <w:rPr>
          <w:sz w:val="24"/>
          <w:szCs w:val="24"/>
        </w:rPr>
      </w:pPr>
    </w:p>
    <w:p w:rsidR="00E77693" w:rsidRDefault="00E77693" w:rsidP="00E77693">
      <w:pPr>
        <w:ind w:left="851"/>
        <w:rPr>
          <w:sz w:val="24"/>
          <w:szCs w:val="24"/>
        </w:rPr>
      </w:pPr>
      <w:proofErr w:type="spellStart"/>
      <w:r w:rsidRPr="00A915D4">
        <w:rPr>
          <w:sz w:val="24"/>
          <w:szCs w:val="24"/>
        </w:rPr>
        <w:t>Dacarbazin</w:t>
      </w:r>
      <w:proofErr w:type="spellEnd"/>
      <w:r w:rsidRPr="00A915D4">
        <w:rPr>
          <w:sz w:val="24"/>
          <w:szCs w:val="24"/>
        </w:rPr>
        <w:t xml:space="preserve"> er inaktivt, indtil det </w:t>
      </w:r>
      <w:proofErr w:type="spellStart"/>
      <w:r w:rsidRPr="00A915D4">
        <w:rPr>
          <w:sz w:val="24"/>
          <w:szCs w:val="24"/>
        </w:rPr>
        <w:t>metaboliseres</w:t>
      </w:r>
      <w:proofErr w:type="spellEnd"/>
      <w:r w:rsidRPr="00A915D4">
        <w:rPr>
          <w:sz w:val="24"/>
          <w:szCs w:val="24"/>
        </w:rPr>
        <w:t xml:space="preserve"> af </w:t>
      </w:r>
      <w:proofErr w:type="spellStart"/>
      <w:r w:rsidRPr="00A915D4">
        <w:rPr>
          <w:sz w:val="24"/>
          <w:szCs w:val="24"/>
        </w:rPr>
        <w:t>cytokrom</w:t>
      </w:r>
      <w:proofErr w:type="spellEnd"/>
      <w:r w:rsidRPr="00A915D4">
        <w:rPr>
          <w:sz w:val="24"/>
          <w:szCs w:val="24"/>
        </w:rPr>
        <w:t> P450 i leveren, så de reaktive N</w:t>
      </w:r>
      <w:r w:rsidRPr="00A915D4">
        <w:rPr>
          <w:sz w:val="24"/>
          <w:szCs w:val="24"/>
        </w:rPr>
        <w:noBreakHyphen/>
      </w:r>
      <w:proofErr w:type="spellStart"/>
      <w:r w:rsidRPr="00A915D4">
        <w:rPr>
          <w:sz w:val="24"/>
          <w:szCs w:val="24"/>
        </w:rPr>
        <w:t>demethylerede</w:t>
      </w:r>
      <w:proofErr w:type="spellEnd"/>
      <w:r w:rsidRPr="00A915D4">
        <w:rPr>
          <w:sz w:val="24"/>
          <w:szCs w:val="24"/>
        </w:rPr>
        <w:t xml:space="preserve"> former, HMMTIC og MTIC, dannes Denne reaktion katalyseres af CYP1A1, CYP1A2 og CYP2E1. MTIC </w:t>
      </w:r>
      <w:proofErr w:type="spellStart"/>
      <w:r w:rsidRPr="00A915D4">
        <w:rPr>
          <w:sz w:val="24"/>
          <w:szCs w:val="24"/>
        </w:rPr>
        <w:t>metaboliseres</w:t>
      </w:r>
      <w:proofErr w:type="spellEnd"/>
      <w:r w:rsidRPr="00A915D4">
        <w:rPr>
          <w:sz w:val="24"/>
          <w:szCs w:val="24"/>
        </w:rPr>
        <w:t xml:space="preserve"> videre til 5</w:t>
      </w:r>
      <w:r w:rsidRPr="00A915D4">
        <w:rPr>
          <w:sz w:val="24"/>
          <w:szCs w:val="24"/>
        </w:rPr>
        <w:noBreakHyphen/>
        <w:t>aminoimidazol</w:t>
      </w:r>
      <w:r w:rsidRPr="00A915D4">
        <w:rPr>
          <w:sz w:val="24"/>
          <w:szCs w:val="24"/>
        </w:rPr>
        <w:noBreakHyphen/>
      </w:r>
    </w:p>
    <w:p w:rsidR="00E77693" w:rsidRPr="00A915D4" w:rsidRDefault="00E77693" w:rsidP="00E77693">
      <w:pPr>
        <w:ind w:left="851"/>
        <w:rPr>
          <w:sz w:val="24"/>
          <w:szCs w:val="24"/>
        </w:rPr>
      </w:pPr>
      <w:r w:rsidRPr="00A915D4">
        <w:rPr>
          <w:sz w:val="24"/>
          <w:szCs w:val="24"/>
        </w:rPr>
        <w:t>4</w:t>
      </w:r>
      <w:r w:rsidRPr="00A915D4">
        <w:rPr>
          <w:sz w:val="24"/>
          <w:szCs w:val="24"/>
        </w:rPr>
        <w:noBreakHyphen/>
        <w:t>carbox</w:t>
      </w:r>
      <w:r>
        <w:rPr>
          <w:sz w:val="24"/>
          <w:szCs w:val="24"/>
        </w:rPr>
        <w:softHyphen/>
      </w:r>
      <w:r w:rsidRPr="00A915D4">
        <w:rPr>
          <w:sz w:val="24"/>
          <w:szCs w:val="24"/>
        </w:rPr>
        <w:t xml:space="preserve">amid (AIC). </w:t>
      </w:r>
      <w:proofErr w:type="spellStart"/>
      <w:r w:rsidRPr="00A915D4">
        <w:rPr>
          <w:sz w:val="24"/>
          <w:szCs w:val="24"/>
        </w:rPr>
        <w:t>Dacarbazin</w:t>
      </w:r>
      <w:proofErr w:type="spellEnd"/>
      <w:r w:rsidRPr="00A915D4">
        <w:rPr>
          <w:sz w:val="24"/>
          <w:szCs w:val="24"/>
        </w:rPr>
        <w:t xml:space="preserve"> </w:t>
      </w:r>
      <w:proofErr w:type="spellStart"/>
      <w:r w:rsidRPr="00A915D4">
        <w:rPr>
          <w:sz w:val="24"/>
          <w:szCs w:val="24"/>
        </w:rPr>
        <w:t>metaboliseres</w:t>
      </w:r>
      <w:proofErr w:type="spellEnd"/>
      <w:r w:rsidRPr="00A915D4">
        <w:rPr>
          <w:sz w:val="24"/>
          <w:szCs w:val="24"/>
        </w:rPr>
        <w:t xml:space="preserve"> primært i leveren ved både </w:t>
      </w:r>
      <w:proofErr w:type="spellStart"/>
      <w:r w:rsidRPr="00A915D4">
        <w:rPr>
          <w:sz w:val="24"/>
          <w:szCs w:val="24"/>
        </w:rPr>
        <w:t>hydroxylering</w:t>
      </w:r>
      <w:proofErr w:type="spellEnd"/>
      <w:r w:rsidRPr="00A915D4">
        <w:rPr>
          <w:sz w:val="24"/>
          <w:szCs w:val="24"/>
        </w:rPr>
        <w:t xml:space="preserve"> og </w:t>
      </w:r>
      <w:proofErr w:type="spellStart"/>
      <w:r w:rsidRPr="00A915D4">
        <w:rPr>
          <w:sz w:val="24"/>
          <w:szCs w:val="24"/>
        </w:rPr>
        <w:t>demethylering</w:t>
      </w:r>
      <w:proofErr w:type="spellEnd"/>
      <w:r w:rsidRPr="00A915D4">
        <w:rPr>
          <w:sz w:val="24"/>
          <w:szCs w:val="24"/>
        </w:rPr>
        <w:t>, ca. 20 </w:t>
      </w:r>
      <w:r w:rsidRPr="00A915D4">
        <w:rPr>
          <w:sz w:val="24"/>
          <w:szCs w:val="24"/>
        </w:rPr>
        <w:noBreakHyphen/>
        <w:t xml:space="preserve"> 50 % udskilles </w:t>
      </w:r>
      <w:proofErr w:type="spellStart"/>
      <w:r w:rsidRPr="00A915D4">
        <w:rPr>
          <w:sz w:val="24"/>
          <w:szCs w:val="24"/>
        </w:rPr>
        <w:t>uomdannet</w:t>
      </w:r>
      <w:proofErr w:type="spellEnd"/>
      <w:r w:rsidRPr="00A915D4">
        <w:rPr>
          <w:sz w:val="24"/>
          <w:szCs w:val="24"/>
        </w:rPr>
        <w:t xml:space="preserve"> af nyrerne via </w:t>
      </w:r>
      <w:proofErr w:type="spellStart"/>
      <w:r w:rsidRPr="00A915D4">
        <w:rPr>
          <w:sz w:val="24"/>
          <w:szCs w:val="24"/>
        </w:rPr>
        <w:t>renal</w:t>
      </w:r>
      <w:proofErr w:type="spellEnd"/>
      <w:r w:rsidRPr="00A915D4">
        <w:rPr>
          <w:sz w:val="24"/>
          <w:szCs w:val="24"/>
        </w:rPr>
        <w:t xml:space="preserve"> </w:t>
      </w:r>
      <w:proofErr w:type="spellStart"/>
      <w:r w:rsidRPr="00A915D4">
        <w:rPr>
          <w:sz w:val="24"/>
          <w:szCs w:val="24"/>
        </w:rPr>
        <w:t>tubulær</w:t>
      </w:r>
      <w:proofErr w:type="spellEnd"/>
      <w:r w:rsidRPr="00A915D4">
        <w:rPr>
          <w:sz w:val="24"/>
          <w:szCs w:val="24"/>
        </w:rPr>
        <w:t xml:space="preserve"> sekretion.</w:t>
      </w:r>
    </w:p>
    <w:p w:rsidR="00E77693" w:rsidRPr="00A915D4" w:rsidRDefault="00E77693" w:rsidP="00E77693">
      <w:pPr>
        <w:tabs>
          <w:tab w:val="left" w:pos="851"/>
        </w:tabs>
        <w:ind w:left="851" w:hanging="851"/>
        <w:rPr>
          <w:sz w:val="24"/>
          <w:szCs w:val="24"/>
        </w:rPr>
      </w:pPr>
    </w:p>
    <w:p w:rsidR="00E77693" w:rsidRPr="00A915D4" w:rsidRDefault="00E77693" w:rsidP="00EC1853">
      <w:pPr>
        <w:keepNext/>
        <w:tabs>
          <w:tab w:val="left" w:pos="851"/>
        </w:tabs>
        <w:ind w:left="851" w:hanging="851"/>
        <w:rPr>
          <w:b/>
          <w:sz w:val="24"/>
          <w:szCs w:val="24"/>
        </w:rPr>
      </w:pPr>
      <w:r w:rsidRPr="00A915D4">
        <w:rPr>
          <w:b/>
          <w:sz w:val="24"/>
          <w:szCs w:val="24"/>
        </w:rPr>
        <w:t>5.3</w:t>
      </w:r>
      <w:r w:rsidRPr="00A915D4">
        <w:rPr>
          <w:b/>
          <w:sz w:val="24"/>
          <w:szCs w:val="24"/>
        </w:rPr>
        <w:tab/>
      </w:r>
      <w:r w:rsidR="00A42A82">
        <w:rPr>
          <w:b/>
          <w:sz w:val="24"/>
          <w:szCs w:val="24"/>
        </w:rPr>
        <w:t>Non-</w:t>
      </w:r>
      <w:r w:rsidRPr="00A915D4">
        <w:rPr>
          <w:b/>
          <w:sz w:val="24"/>
          <w:szCs w:val="24"/>
        </w:rPr>
        <w:t>kliniske sikkerhedsdata</w:t>
      </w:r>
    </w:p>
    <w:p w:rsidR="00E77693" w:rsidRPr="00A915D4" w:rsidRDefault="00E77693" w:rsidP="00E77693">
      <w:pPr>
        <w:ind w:left="851"/>
        <w:rPr>
          <w:sz w:val="24"/>
          <w:szCs w:val="24"/>
          <w:lang w:eastAsia="da-DK"/>
        </w:rPr>
      </w:pPr>
      <w:r w:rsidRPr="00A915D4">
        <w:rPr>
          <w:sz w:val="24"/>
          <w:szCs w:val="24"/>
        </w:rPr>
        <w:t xml:space="preserve">På grund af de </w:t>
      </w:r>
      <w:proofErr w:type="spellStart"/>
      <w:r w:rsidRPr="00A915D4">
        <w:rPr>
          <w:sz w:val="24"/>
          <w:szCs w:val="24"/>
        </w:rPr>
        <w:t>farmakodynamiske</w:t>
      </w:r>
      <w:proofErr w:type="spellEnd"/>
      <w:r w:rsidRPr="00A915D4">
        <w:rPr>
          <w:sz w:val="24"/>
          <w:szCs w:val="24"/>
        </w:rPr>
        <w:t xml:space="preserve"> egenskaber viser </w:t>
      </w:r>
      <w:proofErr w:type="spellStart"/>
      <w:r w:rsidRPr="00A915D4">
        <w:rPr>
          <w:sz w:val="24"/>
          <w:szCs w:val="24"/>
        </w:rPr>
        <w:t>dacarbazin</w:t>
      </w:r>
      <w:proofErr w:type="spellEnd"/>
      <w:r w:rsidRPr="00A915D4">
        <w:rPr>
          <w:sz w:val="24"/>
          <w:szCs w:val="24"/>
        </w:rPr>
        <w:t xml:space="preserve"> mutagene, </w:t>
      </w:r>
      <w:proofErr w:type="spellStart"/>
      <w:r w:rsidRPr="00A915D4">
        <w:rPr>
          <w:sz w:val="24"/>
          <w:szCs w:val="24"/>
        </w:rPr>
        <w:t>karcinogene</w:t>
      </w:r>
      <w:proofErr w:type="spellEnd"/>
      <w:r w:rsidRPr="00A915D4">
        <w:rPr>
          <w:sz w:val="24"/>
          <w:szCs w:val="24"/>
        </w:rPr>
        <w:t xml:space="preserve"> og </w:t>
      </w:r>
      <w:proofErr w:type="spellStart"/>
      <w:r w:rsidRPr="00A915D4">
        <w:rPr>
          <w:sz w:val="24"/>
          <w:szCs w:val="24"/>
        </w:rPr>
        <w:t>teratogene</w:t>
      </w:r>
      <w:proofErr w:type="spellEnd"/>
      <w:r w:rsidRPr="00A915D4">
        <w:rPr>
          <w:sz w:val="24"/>
          <w:szCs w:val="24"/>
        </w:rPr>
        <w:t xml:space="preserve"> virkninger, som kan påvises med eksperimentelle testsystemer.</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w:t>
      </w:r>
      <w:r w:rsidRPr="00A915D4">
        <w:rPr>
          <w:b/>
          <w:sz w:val="24"/>
          <w:szCs w:val="24"/>
        </w:rPr>
        <w:tab/>
        <w:t>FARMACEUTISKE OPLYSNINGER</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6.1</w:t>
      </w:r>
      <w:r w:rsidRPr="00A915D4">
        <w:rPr>
          <w:b/>
          <w:sz w:val="24"/>
          <w:szCs w:val="24"/>
        </w:rPr>
        <w:tab/>
        <w:t>Hjælpestoffer</w:t>
      </w:r>
    </w:p>
    <w:p w:rsidR="00E77693" w:rsidRPr="00A915D4" w:rsidRDefault="00E77693" w:rsidP="00E77693">
      <w:pPr>
        <w:ind w:left="851"/>
        <w:rPr>
          <w:sz w:val="24"/>
          <w:szCs w:val="24"/>
          <w:lang w:eastAsia="da-DK"/>
        </w:rPr>
      </w:pPr>
      <w:r w:rsidRPr="00A915D4">
        <w:rPr>
          <w:sz w:val="24"/>
          <w:szCs w:val="24"/>
        </w:rPr>
        <w:t xml:space="preserve">Citronsyremonohydrat og </w:t>
      </w:r>
      <w:proofErr w:type="spellStart"/>
      <w:r w:rsidRPr="00A915D4">
        <w:rPr>
          <w:sz w:val="24"/>
          <w:szCs w:val="24"/>
        </w:rPr>
        <w:t>mannitol</w:t>
      </w:r>
      <w:proofErr w:type="spellEnd"/>
      <w:r w:rsidRPr="00A915D4">
        <w:rPr>
          <w:sz w:val="24"/>
          <w:szCs w:val="24"/>
        </w:rPr>
        <w:t>.</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6.2</w:t>
      </w:r>
      <w:r w:rsidRPr="00A915D4">
        <w:rPr>
          <w:b/>
          <w:sz w:val="24"/>
          <w:szCs w:val="24"/>
        </w:rPr>
        <w:tab/>
        <w:t>Uforligeligheder</w:t>
      </w:r>
    </w:p>
    <w:p w:rsidR="00E77693" w:rsidRDefault="00E77693" w:rsidP="00E77693">
      <w:pPr>
        <w:ind w:left="851"/>
        <w:rPr>
          <w:sz w:val="24"/>
          <w:szCs w:val="24"/>
        </w:rPr>
      </w:pPr>
      <w:r w:rsidRPr="00A915D4">
        <w:rPr>
          <w:sz w:val="24"/>
          <w:szCs w:val="24"/>
        </w:rPr>
        <w:t xml:space="preserve">Opmærksomheden bør henledes på den kemiske uforligelighed mellem </w:t>
      </w:r>
      <w:proofErr w:type="spellStart"/>
      <w:r w:rsidRPr="00A915D4">
        <w:rPr>
          <w:sz w:val="24"/>
          <w:szCs w:val="24"/>
        </w:rPr>
        <w:t>dacarbazin</w:t>
      </w:r>
      <w:r>
        <w:rPr>
          <w:sz w:val="24"/>
          <w:szCs w:val="24"/>
        </w:rPr>
        <w:softHyphen/>
      </w:r>
      <w:r w:rsidRPr="00A915D4">
        <w:rPr>
          <w:sz w:val="24"/>
          <w:szCs w:val="24"/>
        </w:rPr>
        <w:t>opløsningen</w:t>
      </w:r>
      <w:proofErr w:type="spellEnd"/>
      <w:r w:rsidRPr="00A915D4">
        <w:rPr>
          <w:sz w:val="24"/>
          <w:szCs w:val="24"/>
        </w:rPr>
        <w:t xml:space="preserve"> og </w:t>
      </w:r>
      <w:proofErr w:type="spellStart"/>
      <w:r w:rsidRPr="00A915D4">
        <w:rPr>
          <w:sz w:val="24"/>
          <w:szCs w:val="24"/>
        </w:rPr>
        <w:t>heparin</w:t>
      </w:r>
      <w:proofErr w:type="spellEnd"/>
      <w:r w:rsidRPr="00A915D4">
        <w:rPr>
          <w:sz w:val="24"/>
          <w:szCs w:val="24"/>
        </w:rPr>
        <w:t xml:space="preserve">, </w:t>
      </w:r>
      <w:proofErr w:type="spellStart"/>
      <w:r w:rsidRPr="00A915D4">
        <w:rPr>
          <w:sz w:val="24"/>
          <w:szCs w:val="24"/>
        </w:rPr>
        <w:t>hydrokortison</w:t>
      </w:r>
      <w:proofErr w:type="spellEnd"/>
      <w:r w:rsidRPr="00A915D4">
        <w:rPr>
          <w:sz w:val="24"/>
          <w:szCs w:val="24"/>
        </w:rPr>
        <w:t>, L</w:t>
      </w:r>
      <w:r w:rsidRPr="00A915D4">
        <w:rPr>
          <w:sz w:val="24"/>
          <w:szCs w:val="24"/>
        </w:rPr>
        <w:noBreakHyphen/>
      </w:r>
      <w:proofErr w:type="spellStart"/>
      <w:r w:rsidRPr="00A915D4">
        <w:rPr>
          <w:sz w:val="24"/>
          <w:szCs w:val="24"/>
        </w:rPr>
        <w:t>cystein</w:t>
      </w:r>
      <w:proofErr w:type="spellEnd"/>
      <w:r w:rsidRPr="00A915D4">
        <w:rPr>
          <w:sz w:val="24"/>
          <w:szCs w:val="24"/>
        </w:rPr>
        <w:t xml:space="preserve"> og </w:t>
      </w:r>
      <w:proofErr w:type="spellStart"/>
      <w:r w:rsidRPr="00A915D4">
        <w:rPr>
          <w:sz w:val="24"/>
          <w:szCs w:val="24"/>
        </w:rPr>
        <w:t>natriumhydrogencarbonat</w:t>
      </w:r>
      <w:proofErr w:type="spellEnd"/>
      <w:r w:rsidRPr="00A915D4">
        <w:rPr>
          <w:sz w:val="24"/>
          <w:szCs w:val="24"/>
        </w:rPr>
        <w:t>.</w:t>
      </w:r>
    </w:p>
    <w:p w:rsidR="00E77693" w:rsidRPr="009F17EB" w:rsidRDefault="00E77693" w:rsidP="00E77693">
      <w:pPr>
        <w:ind w:left="851"/>
        <w:rPr>
          <w:sz w:val="24"/>
          <w:szCs w:val="24"/>
        </w:rPr>
      </w:pPr>
    </w:p>
    <w:p w:rsidR="00E77693" w:rsidRPr="009F17EB" w:rsidRDefault="00E77693" w:rsidP="00E77693">
      <w:pPr>
        <w:ind w:left="851"/>
        <w:jc w:val="both"/>
        <w:rPr>
          <w:sz w:val="24"/>
          <w:szCs w:val="24"/>
          <w:lang w:eastAsia="da-DK"/>
        </w:rPr>
      </w:pPr>
      <w:r w:rsidRPr="009F17EB">
        <w:rPr>
          <w:sz w:val="24"/>
          <w:szCs w:val="24"/>
        </w:rPr>
        <w:t xml:space="preserve">Da der ikke foreligger studier </w:t>
      </w:r>
      <w:r w:rsidRPr="009F17EB">
        <w:rPr>
          <w:noProof/>
          <w:sz w:val="24"/>
          <w:szCs w:val="24"/>
        </w:rPr>
        <w:t>af</w:t>
      </w:r>
      <w:r w:rsidRPr="009F17EB">
        <w:rPr>
          <w:sz w:val="24"/>
          <w:szCs w:val="24"/>
        </w:rPr>
        <w:t xml:space="preserve"> eventuelle uforligeligheder, må </w:t>
      </w:r>
      <w:proofErr w:type="spellStart"/>
      <w:r w:rsidRPr="009F17EB">
        <w:rPr>
          <w:sz w:val="24"/>
          <w:szCs w:val="24"/>
        </w:rPr>
        <w:t>Dacarbazine</w:t>
      </w:r>
      <w:proofErr w:type="spellEnd"/>
      <w:r w:rsidRPr="009F17EB">
        <w:rPr>
          <w:sz w:val="24"/>
          <w:szCs w:val="24"/>
        </w:rPr>
        <w:t xml:space="preserve"> </w:t>
      </w:r>
      <w:proofErr w:type="spellStart"/>
      <w:r w:rsidRPr="009F17EB">
        <w:rPr>
          <w:sz w:val="24"/>
          <w:szCs w:val="24"/>
        </w:rPr>
        <w:t>Lipomed</w:t>
      </w:r>
      <w:proofErr w:type="spellEnd"/>
      <w:r w:rsidRPr="009F17EB">
        <w:rPr>
          <w:sz w:val="24"/>
          <w:szCs w:val="24"/>
        </w:rPr>
        <w:t xml:space="preserve"> 500 mg og </w:t>
      </w:r>
      <w:proofErr w:type="spellStart"/>
      <w:r w:rsidRPr="009F17EB">
        <w:rPr>
          <w:sz w:val="24"/>
          <w:szCs w:val="24"/>
        </w:rPr>
        <w:t>Dacarbazine</w:t>
      </w:r>
      <w:proofErr w:type="spellEnd"/>
      <w:r w:rsidRPr="009F17EB">
        <w:rPr>
          <w:sz w:val="24"/>
          <w:szCs w:val="24"/>
        </w:rPr>
        <w:t xml:space="preserve"> </w:t>
      </w:r>
      <w:proofErr w:type="spellStart"/>
      <w:r w:rsidRPr="009F17EB">
        <w:rPr>
          <w:sz w:val="24"/>
          <w:szCs w:val="24"/>
        </w:rPr>
        <w:t>Lipomed</w:t>
      </w:r>
      <w:proofErr w:type="spellEnd"/>
      <w:r w:rsidRPr="009F17EB">
        <w:rPr>
          <w:sz w:val="24"/>
          <w:szCs w:val="24"/>
        </w:rPr>
        <w:t xml:space="preserve"> 1000 mg ikke blandes med andre lægemidler.</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6.3</w:t>
      </w:r>
      <w:r w:rsidRPr="00A915D4">
        <w:rPr>
          <w:b/>
          <w:sz w:val="24"/>
          <w:szCs w:val="24"/>
        </w:rPr>
        <w:tab/>
        <w:t>Opbevaringstid</w:t>
      </w:r>
    </w:p>
    <w:p w:rsidR="00E77693" w:rsidRPr="00A915D4" w:rsidRDefault="00E77693" w:rsidP="00E77693">
      <w:pPr>
        <w:ind w:left="851" w:hanging="851"/>
        <w:rPr>
          <w:sz w:val="24"/>
          <w:szCs w:val="24"/>
          <w:lang w:eastAsia="da-DK"/>
        </w:rPr>
      </w:pPr>
      <w:r w:rsidRPr="00A915D4">
        <w:rPr>
          <w:sz w:val="24"/>
          <w:szCs w:val="24"/>
        </w:rPr>
        <w:tab/>
      </w:r>
      <w:r w:rsidR="00E7037D">
        <w:rPr>
          <w:sz w:val="24"/>
          <w:szCs w:val="24"/>
        </w:rPr>
        <w:t>4</w:t>
      </w:r>
      <w:r w:rsidRPr="00A915D4">
        <w:rPr>
          <w:sz w:val="24"/>
          <w:szCs w:val="24"/>
        </w:rPr>
        <w:t> år.</w:t>
      </w:r>
    </w:p>
    <w:p w:rsidR="00E77693" w:rsidRPr="00A915D4" w:rsidRDefault="00E77693" w:rsidP="00E77693">
      <w:pPr>
        <w:ind w:left="851" w:hanging="851"/>
        <w:rPr>
          <w:sz w:val="24"/>
          <w:szCs w:val="24"/>
        </w:rPr>
      </w:pPr>
    </w:p>
    <w:p w:rsidR="00E77693" w:rsidRPr="00A915D4" w:rsidRDefault="00E77693" w:rsidP="00E77693">
      <w:pPr>
        <w:ind w:left="851"/>
        <w:rPr>
          <w:sz w:val="24"/>
          <w:szCs w:val="24"/>
        </w:rPr>
      </w:pPr>
      <w:r w:rsidRPr="00A915D4">
        <w:rPr>
          <w:sz w:val="24"/>
          <w:szCs w:val="24"/>
          <w:u w:val="single"/>
        </w:rPr>
        <w:t xml:space="preserve">Opbevaringstid for den </w:t>
      </w:r>
      <w:proofErr w:type="spellStart"/>
      <w:r w:rsidRPr="00A915D4">
        <w:rPr>
          <w:sz w:val="24"/>
          <w:szCs w:val="24"/>
          <w:u w:val="single"/>
        </w:rPr>
        <w:t>rekonstituerede</w:t>
      </w:r>
      <w:proofErr w:type="spellEnd"/>
      <w:r w:rsidRPr="00A915D4">
        <w:rPr>
          <w:sz w:val="24"/>
          <w:szCs w:val="24"/>
          <w:u w:val="single"/>
        </w:rPr>
        <w:t xml:space="preserve"> opløsning</w:t>
      </w:r>
    </w:p>
    <w:p w:rsidR="00E77693" w:rsidRPr="009F17EB" w:rsidRDefault="00E77693" w:rsidP="00E77693">
      <w:pPr>
        <w:ind w:left="851"/>
        <w:jc w:val="both"/>
        <w:rPr>
          <w:sz w:val="24"/>
          <w:szCs w:val="24"/>
          <w:lang w:eastAsia="da-DK"/>
        </w:rPr>
      </w:pPr>
      <w:r w:rsidRPr="009F17EB">
        <w:rPr>
          <w:rFonts w:ascii="Times-Roman" w:hAnsi="Times-Roman"/>
          <w:sz w:val="24"/>
          <w:szCs w:val="24"/>
        </w:rPr>
        <w:t>Der er blevet påvist kemisk og fysisk stabilitet under brug i 8 timer ved stuetemperatur og beskyttet mod lys, og i 5 dage ved temperaturer på 2 til 8 °C og beskyttet mod lys</w:t>
      </w:r>
      <w:r w:rsidRPr="009F17EB">
        <w:rPr>
          <w:sz w:val="24"/>
          <w:szCs w:val="24"/>
        </w:rPr>
        <w:t xml:space="preserve">. Fra et mikrobiologisk synspunkt skal den </w:t>
      </w:r>
      <w:proofErr w:type="spellStart"/>
      <w:r w:rsidRPr="009F17EB">
        <w:rPr>
          <w:sz w:val="24"/>
          <w:szCs w:val="24"/>
        </w:rPr>
        <w:t>rekonstituerede</w:t>
      </w:r>
      <w:proofErr w:type="spellEnd"/>
      <w:r w:rsidRPr="009F17EB">
        <w:rPr>
          <w:sz w:val="24"/>
          <w:szCs w:val="24"/>
        </w:rPr>
        <w:t xml:space="preserve"> opløsning anvendes omgående.</w:t>
      </w:r>
    </w:p>
    <w:p w:rsidR="00E77693" w:rsidRPr="009F17EB" w:rsidRDefault="00E77693" w:rsidP="00E77693">
      <w:pPr>
        <w:ind w:left="851"/>
        <w:jc w:val="both"/>
        <w:rPr>
          <w:sz w:val="24"/>
          <w:szCs w:val="24"/>
        </w:rPr>
      </w:pPr>
      <w:r w:rsidRPr="009F17EB">
        <w:rPr>
          <w:sz w:val="24"/>
          <w:szCs w:val="24"/>
        </w:rPr>
        <w:t xml:space="preserve">Hvis den </w:t>
      </w:r>
      <w:proofErr w:type="spellStart"/>
      <w:r w:rsidRPr="009F17EB">
        <w:rPr>
          <w:sz w:val="24"/>
          <w:szCs w:val="24"/>
        </w:rPr>
        <w:t>rekonstituerede</w:t>
      </w:r>
      <w:proofErr w:type="spellEnd"/>
      <w:r w:rsidRPr="009F17EB">
        <w:rPr>
          <w:sz w:val="24"/>
          <w:szCs w:val="24"/>
        </w:rPr>
        <w:t xml:space="preserve"> opløsning ikke anvendes omgående, er opbevaringstiden og betingelserne under opbevaring brugerens ansvar. Den </w:t>
      </w:r>
      <w:proofErr w:type="spellStart"/>
      <w:r w:rsidRPr="009F17EB">
        <w:rPr>
          <w:sz w:val="24"/>
          <w:szCs w:val="24"/>
        </w:rPr>
        <w:t>rekonstituerede</w:t>
      </w:r>
      <w:proofErr w:type="spellEnd"/>
      <w:r w:rsidRPr="009F17EB">
        <w:rPr>
          <w:sz w:val="24"/>
          <w:szCs w:val="24"/>
        </w:rPr>
        <w:t xml:space="preserve"> opløsning må ikke opbevares i over 24 timer i et køleskab (2 til 8 °C) og beskyttet mod lys, medmindre </w:t>
      </w:r>
      <w:proofErr w:type="spellStart"/>
      <w:r w:rsidRPr="009F17EB">
        <w:rPr>
          <w:sz w:val="24"/>
          <w:szCs w:val="24"/>
        </w:rPr>
        <w:t>rekonstitutionen</w:t>
      </w:r>
      <w:proofErr w:type="spellEnd"/>
      <w:r w:rsidRPr="009F17EB">
        <w:rPr>
          <w:sz w:val="24"/>
          <w:szCs w:val="24"/>
        </w:rPr>
        <w:t xml:space="preserve"> har fundet sted under kontrollerede og validerede aseptiske betingelser.</w:t>
      </w:r>
    </w:p>
    <w:p w:rsidR="00E77693" w:rsidRPr="009F17EB" w:rsidRDefault="00E77693" w:rsidP="00E77693">
      <w:pPr>
        <w:pStyle w:val="Sidehoved"/>
        <w:ind w:left="851"/>
        <w:jc w:val="both"/>
        <w:rPr>
          <w:szCs w:val="24"/>
        </w:rPr>
      </w:pPr>
    </w:p>
    <w:p w:rsidR="00E77693" w:rsidRPr="009F17EB" w:rsidRDefault="00E77693" w:rsidP="00E77693">
      <w:pPr>
        <w:ind w:left="851"/>
        <w:jc w:val="both"/>
        <w:rPr>
          <w:sz w:val="24"/>
          <w:szCs w:val="24"/>
        </w:rPr>
      </w:pPr>
      <w:r w:rsidRPr="009F17EB">
        <w:rPr>
          <w:sz w:val="24"/>
          <w:szCs w:val="24"/>
          <w:u w:val="single"/>
        </w:rPr>
        <w:t>Opbevaringstid for den fortyndede infusionsvæske, opløsning</w:t>
      </w:r>
    </w:p>
    <w:p w:rsidR="00E77693" w:rsidRPr="009F17EB" w:rsidRDefault="00E77693" w:rsidP="00E77693">
      <w:pPr>
        <w:ind w:left="851"/>
        <w:jc w:val="both"/>
        <w:rPr>
          <w:sz w:val="24"/>
          <w:szCs w:val="24"/>
        </w:rPr>
      </w:pPr>
      <w:r w:rsidRPr="009F17EB">
        <w:rPr>
          <w:rFonts w:ascii="Times-Roman" w:hAnsi="Times-Roman"/>
          <w:sz w:val="24"/>
          <w:szCs w:val="24"/>
        </w:rPr>
        <w:t>Der er blevet påvist kemisk og fysisk stabilitet under brug i 8 timer ved stuetemperatur og beskyttet mod lys, og i 5 dage ved temperaturer på 2 til 8 °C og beskyttet mod lys</w:t>
      </w:r>
      <w:r w:rsidRPr="009F17EB">
        <w:rPr>
          <w:sz w:val="24"/>
          <w:szCs w:val="24"/>
        </w:rPr>
        <w:t>. Fra et mikrobiologisk synspunkt skal den fortyndede infusionsvæske, opløsning, anvendes omgående.</w:t>
      </w:r>
    </w:p>
    <w:p w:rsidR="00E77693" w:rsidRDefault="00E77693" w:rsidP="00E77693">
      <w:pPr>
        <w:ind w:left="851"/>
        <w:jc w:val="both"/>
      </w:pPr>
      <w:r w:rsidRPr="009F17EB">
        <w:rPr>
          <w:sz w:val="24"/>
          <w:szCs w:val="24"/>
        </w:rPr>
        <w:lastRenderedPageBreak/>
        <w:t xml:space="preserve">Hvis den fortyndede infusionsvæske, opløsning, ikke anvendes omgående, er opbevaringstiden og betingelserne under opbevaring brugerens ansvar. Den fortyndede infusionsvæske, opløsning, må ikke opbevares i over 24 timer i et køleskab (2 til 8 °C) og beskyttet mod lys, medmindre </w:t>
      </w:r>
      <w:proofErr w:type="spellStart"/>
      <w:r w:rsidRPr="009F17EB">
        <w:rPr>
          <w:sz w:val="24"/>
          <w:szCs w:val="24"/>
        </w:rPr>
        <w:t>rekonstitutionen</w:t>
      </w:r>
      <w:proofErr w:type="spellEnd"/>
      <w:r w:rsidRPr="009F17EB">
        <w:rPr>
          <w:sz w:val="24"/>
          <w:szCs w:val="24"/>
        </w:rPr>
        <w:t xml:space="preserve"> og fortyndingen har fundet sted under kontrollerede og validerede aseptiske betingelser.</w:t>
      </w:r>
    </w:p>
    <w:p w:rsidR="00E77693" w:rsidRPr="00A915D4" w:rsidRDefault="00E77693" w:rsidP="00E77693">
      <w:pPr>
        <w:pStyle w:val="Sidehoved"/>
        <w:ind w:left="851" w:hanging="851"/>
        <w:rPr>
          <w:szCs w:val="24"/>
        </w:rPr>
      </w:pPr>
    </w:p>
    <w:p w:rsidR="00E77693" w:rsidRPr="00A915D4" w:rsidRDefault="00E77693" w:rsidP="00E77693">
      <w:pPr>
        <w:ind w:left="851"/>
        <w:rPr>
          <w:sz w:val="24"/>
          <w:szCs w:val="24"/>
        </w:rPr>
      </w:pPr>
      <w:r w:rsidRPr="00A915D4">
        <w:rPr>
          <w:sz w:val="24"/>
          <w:szCs w:val="24"/>
        </w:rPr>
        <w:t>Fra et mikrobiologisk synspunkt anbefales det ikke at overskride en samlet opbevaringstid på 24 timer efter åbning af præparatet.</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6.4</w:t>
      </w:r>
      <w:r w:rsidRPr="00A915D4">
        <w:rPr>
          <w:b/>
          <w:sz w:val="24"/>
          <w:szCs w:val="24"/>
        </w:rPr>
        <w:tab/>
        <w:t>Særlige opbevaringsforhold</w:t>
      </w:r>
    </w:p>
    <w:p w:rsidR="00E77693" w:rsidRPr="00A915D4" w:rsidRDefault="00E77693" w:rsidP="00E77693">
      <w:pPr>
        <w:ind w:left="851"/>
        <w:rPr>
          <w:sz w:val="24"/>
          <w:szCs w:val="24"/>
          <w:lang w:eastAsia="da-DK"/>
        </w:rPr>
      </w:pPr>
      <w:r w:rsidRPr="00A915D4">
        <w:rPr>
          <w:sz w:val="24"/>
          <w:szCs w:val="24"/>
        </w:rPr>
        <w:t>Må ikke opbevares ved temperaturer over 25 </w:t>
      </w:r>
      <w:r w:rsidRPr="00A915D4">
        <w:rPr>
          <w:sz w:val="24"/>
          <w:szCs w:val="24"/>
        </w:rPr>
        <w:sym w:font="Symbol" w:char="F0B0"/>
      </w:r>
      <w:r w:rsidRPr="00A915D4">
        <w:rPr>
          <w:sz w:val="24"/>
          <w:szCs w:val="24"/>
        </w:rPr>
        <w:t>C. Opbevar hætteglasset i den ydre karton for at beskytte mod lys.</w:t>
      </w:r>
    </w:p>
    <w:p w:rsidR="00E77693" w:rsidRPr="00A915D4" w:rsidRDefault="00E77693" w:rsidP="00E77693">
      <w:pPr>
        <w:ind w:left="851" w:hanging="851"/>
        <w:rPr>
          <w:sz w:val="24"/>
          <w:szCs w:val="24"/>
        </w:rPr>
      </w:pPr>
    </w:p>
    <w:p w:rsidR="00E77693" w:rsidRPr="00A915D4" w:rsidRDefault="00E77693" w:rsidP="00E77693">
      <w:pPr>
        <w:ind w:left="851"/>
        <w:rPr>
          <w:sz w:val="24"/>
          <w:szCs w:val="24"/>
        </w:rPr>
      </w:pPr>
      <w:proofErr w:type="spellStart"/>
      <w:r w:rsidRPr="00A915D4">
        <w:rPr>
          <w:sz w:val="24"/>
          <w:szCs w:val="24"/>
        </w:rPr>
        <w:t>Rekonstituerede</w:t>
      </w:r>
      <w:proofErr w:type="spellEnd"/>
      <w:r w:rsidRPr="00A915D4">
        <w:rPr>
          <w:sz w:val="24"/>
          <w:szCs w:val="24"/>
        </w:rPr>
        <w:t xml:space="preserve"> opløsninger skal også beskyttes mod lys.</w:t>
      </w:r>
    </w:p>
    <w:p w:rsidR="00E77693" w:rsidRPr="00A915D4" w:rsidRDefault="00E77693" w:rsidP="00E77693">
      <w:pPr>
        <w:ind w:left="851" w:hanging="851"/>
        <w:rPr>
          <w:sz w:val="24"/>
          <w:szCs w:val="24"/>
        </w:rPr>
      </w:pPr>
    </w:p>
    <w:p w:rsidR="00E77693" w:rsidRPr="00A915D4" w:rsidRDefault="00E77693" w:rsidP="00E77693">
      <w:pPr>
        <w:ind w:left="851"/>
        <w:rPr>
          <w:noProof/>
          <w:sz w:val="24"/>
          <w:szCs w:val="24"/>
        </w:rPr>
      </w:pPr>
      <w:r w:rsidRPr="00A915D4">
        <w:rPr>
          <w:sz w:val="24"/>
          <w:szCs w:val="24"/>
        </w:rPr>
        <w:t xml:space="preserve">Opbevaringsforhold for det </w:t>
      </w:r>
      <w:proofErr w:type="spellStart"/>
      <w:r w:rsidRPr="009F17EB">
        <w:rPr>
          <w:sz w:val="24"/>
          <w:szCs w:val="24"/>
        </w:rPr>
        <w:t>rekonstituerede</w:t>
      </w:r>
      <w:proofErr w:type="spellEnd"/>
      <w:r w:rsidRPr="009F17EB">
        <w:rPr>
          <w:sz w:val="24"/>
          <w:szCs w:val="24"/>
        </w:rPr>
        <w:t>/fortyndede lægemiddel, se pkt. 6.3.</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6.5</w:t>
      </w:r>
      <w:r w:rsidRPr="00A915D4">
        <w:rPr>
          <w:b/>
          <w:sz w:val="24"/>
          <w:szCs w:val="24"/>
        </w:rPr>
        <w:tab/>
        <w:t>Emballagetype og pakningsstørrelser</w:t>
      </w:r>
    </w:p>
    <w:p w:rsidR="00E77693" w:rsidRPr="00A915D4" w:rsidRDefault="00E77693" w:rsidP="00E77693">
      <w:pPr>
        <w:tabs>
          <w:tab w:val="left" w:pos="1304"/>
        </w:tabs>
        <w:autoSpaceDE w:val="0"/>
        <w:autoSpaceDN w:val="0"/>
        <w:adjustRightInd w:val="0"/>
        <w:ind w:left="851" w:hanging="851"/>
        <w:rPr>
          <w:sz w:val="24"/>
          <w:szCs w:val="24"/>
          <w:lang w:eastAsia="da-DK"/>
        </w:rPr>
      </w:pPr>
      <w:r>
        <w:rPr>
          <w:sz w:val="24"/>
          <w:szCs w:val="24"/>
        </w:rPr>
        <w:tab/>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500 mg og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1000 mg leveres som sterilt pulver til infusionsvæske, opløsning, i brune enkeltdosishætteglas til injektion (hydrolytiske klasse I), lukket med </w:t>
      </w:r>
      <w:proofErr w:type="spellStart"/>
      <w:r w:rsidRPr="00A915D4">
        <w:rPr>
          <w:sz w:val="24"/>
          <w:szCs w:val="24"/>
        </w:rPr>
        <w:t>lyofiliseringspropper</w:t>
      </w:r>
      <w:proofErr w:type="spellEnd"/>
      <w:r w:rsidRPr="00A915D4">
        <w:rPr>
          <w:sz w:val="24"/>
          <w:szCs w:val="24"/>
        </w:rPr>
        <w:t xml:space="preserve"> af </w:t>
      </w:r>
      <w:proofErr w:type="spellStart"/>
      <w:r w:rsidRPr="00A915D4">
        <w:rPr>
          <w:sz w:val="24"/>
          <w:szCs w:val="24"/>
        </w:rPr>
        <w:t>brombutylgummi</w:t>
      </w:r>
      <w:proofErr w:type="spellEnd"/>
      <w:r w:rsidRPr="00A915D4">
        <w:rPr>
          <w:sz w:val="24"/>
          <w:szCs w:val="24"/>
        </w:rPr>
        <w:t xml:space="preserve">. Hætteglas, der indeholder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500 mg, er lukket med grå flip</w:t>
      </w:r>
      <w:r w:rsidRPr="00A915D4">
        <w:rPr>
          <w:sz w:val="24"/>
          <w:szCs w:val="24"/>
        </w:rPr>
        <w:noBreakHyphen/>
      </w:r>
      <w:proofErr w:type="spellStart"/>
      <w:r w:rsidRPr="00A915D4">
        <w:rPr>
          <w:sz w:val="24"/>
          <w:szCs w:val="24"/>
        </w:rPr>
        <w:t>off</w:t>
      </w:r>
      <w:proofErr w:type="spellEnd"/>
      <w:r w:rsidRPr="00A915D4">
        <w:rPr>
          <w:sz w:val="24"/>
          <w:szCs w:val="24"/>
        </w:rPr>
        <w:noBreakHyphen/>
        <w:t xml:space="preserve">krympelåg af aluminium, hætteglas, der indeholder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1000 mg, er lukket med røde flip</w:t>
      </w:r>
      <w:r w:rsidRPr="00A915D4">
        <w:rPr>
          <w:sz w:val="24"/>
          <w:szCs w:val="24"/>
        </w:rPr>
        <w:noBreakHyphen/>
      </w:r>
      <w:proofErr w:type="spellStart"/>
      <w:r w:rsidRPr="00A915D4">
        <w:rPr>
          <w:sz w:val="24"/>
          <w:szCs w:val="24"/>
        </w:rPr>
        <w:t>off</w:t>
      </w:r>
      <w:proofErr w:type="spellEnd"/>
      <w:r w:rsidRPr="00A915D4">
        <w:rPr>
          <w:sz w:val="24"/>
          <w:szCs w:val="24"/>
        </w:rPr>
        <w:noBreakHyphen/>
        <w:t xml:space="preserve">krympelåg af aluminium.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500 mg og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1000 mg er pakket i æsker med 1 hætteglas i hver.</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6.6</w:t>
      </w:r>
      <w:r w:rsidRPr="00A915D4">
        <w:rPr>
          <w:b/>
          <w:sz w:val="24"/>
          <w:szCs w:val="24"/>
        </w:rPr>
        <w:tab/>
        <w:t xml:space="preserve">Regler for </w:t>
      </w:r>
      <w:r w:rsidR="00A42A82">
        <w:rPr>
          <w:b/>
          <w:sz w:val="24"/>
          <w:szCs w:val="24"/>
        </w:rPr>
        <w:t>bortskaffelse</w:t>
      </w:r>
      <w:r w:rsidRPr="00A915D4">
        <w:rPr>
          <w:b/>
          <w:sz w:val="24"/>
          <w:szCs w:val="24"/>
        </w:rPr>
        <w:t xml:space="preserve"> og anden håndtering</w:t>
      </w:r>
    </w:p>
    <w:p w:rsidR="00E77693" w:rsidRDefault="00E77693" w:rsidP="00E77693">
      <w:pPr>
        <w:tabs>
          <w:tab w:val="left" w:pos="1304"/>
        </w:tabs>
        <w:autoSpaceDE w:val="0"/>
        <w:autoSpaceDN w:val="0"/>
        <w:adjustRightInd w:val="0"/>
        <w:ind w:left="851" w:hanging="851"/>
        <w:jc w:val="both"/>
        <w:rPr>
          <w:i/>
          <w:sz w:val="24"/>
          <w:szCs w:val="24"/>
        </w:rPr>
      </w:pPr>
    </w:p>
    <w:p w:rsidR="00E77693" w:rsidRPr="00A915D4" w:rsidRDefault="00E77693" w:rsidP="00E77693">
      <w:pPr>
        <w:tabs>
          <w:tab w:val="left" w:pos="1304"/>
        </w:tabs>
        <w:autoSpaceDE w:val="0"/>
        <w:autoSpaceDN w:val="0"/>
        <w:adjustRightInd w:val="0"/>
        <w:ind w:left="851" w:hanging="851"/>
        <w:rPr>
          <w:bCs/>
          <w:i/>
          <w:sz w:val="24"/>
          <w:szCs w:val="24"/>
          <w:lang w:eastAsia="da-DK"/>
        </w:rPr>
      </w:pPr>
      <w:r>
        <w:rPr>
          <w:i/>
          <w:sz w:val="24"/>
          <w:szCs w:val="24"/>
        </w:rPr>
        <w:tab/>
      </w:r>
      <w:r w:rsidRPr="00A915D4">
        <w:rPr>
          <w:i/>
          <w:sz w:val="24"/>
          <w:szCs w:val="24"/>
        </w:rPr>
        <w:t>Anbefalinger for sikker håndtering</w:t>
      </w: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proofErr w:type="spellStart"/>
      <w:r w:rsidRPr="00A915D4">
        <w:rPr>
          <w:sz w:val="24"/>
          <w:szCs w:val="24"/>
        </w:rPr>
        <w:t>Dacarbazin</w:t>
      </w:r>
      <w:proofErr w:type="spellEnd"/>
      <w:r w:rsidRPr="00A915D4">
        <w:rPr>
          <w:sz w:val="24"/>
          <w:szCs w:val="24"/>
        </w:rPr>
        <w:t xml:space="preserve"> er et </w:t>
      </w:r>
      <w:proofErr w:type="spellStart"/>
      <w:r w:rsidRPr="00A915D4">
        <w:rPr>
          <w:sz w:val="24"/>
          <w:szCs w:val="24"/>
        </w:rPr>
        <w:t>antineoplastisk</w:t>
      </w:r>
      <w:proofErr w:type="spellEnd"/>
      <w:r w:rsidRPr="00A915D4">
        <w:rPr>
          <w:sz w:val="24"/>
          <w:szCs w:val="24"/>
        </w:rPr>
        <w:t xml:space="preserve"> stof. Før behandling indledes, bør der tages højde for lokale retningslinjer for behandling med </w:t>
      </w:r>
      <w:proofErr w:type="spellStart"/>
      <w:r w:rsidRPr="00A915D4">
        <w:rPr>
          <w:sz w:val="24"/>
          <w:szCs w:val="24"/>
        </w:rPr>
        <w:t>cytotoksiske</w:t>
      </w:r>
      <w:proofErr w:type="spellEnd"/>
      <w:r w:rsidRPr="00A915D4">
        <w:rPr>
          <w:sz w:val="24"/>
          <w:szCs w:val="24"/>
        </w:rPr>
        <w:t xml:space="preserve"> lægemidler. </w:t>
      </w:r>
      <w:proofErr w:type="spellStart"/>
      <w:r w:rsidRPr="00A915D4">
        <w:rPr>
          <w:sz w:val="24"/>
          <w:szCs w:val="24"/>
        </w:rPr>
        <w:t>Dacarbazin</w:t>
      </w:r>
      <w:proofErr w:type="spellEnd"/>
      <w:r w:rsidRPr="00A915D4">
        <w:rPr>
          <w:sz w:val="24"/>
          <w:szCs w:val="24"/>
        </w:rPr>
        <w:noBreakHyphen/>
        <w:t xml:space="preserve">opløsninger må kun forberedes af trænet personale. Som for alle </w:t>
      </w:r>
      <w:proofErr w:type="spellStart"/>
      <w:r w:rsidRPr="00A915D4">
        <w:rPr>
          <w:sz w:val="24"/>
          <w:szCs w:val="24"/>
        </w:rPr>
        <w:t>cytotoksiske</w:t>
      </w:r>
      <w:proofErr w:type="spellEnd"/>
      <w:r w:rsidRPr="00A915D4">
        <w:rPr>
          <w:sz w:val="24"/>
          <w:szCs w:val="24"/>
        </w:rPr>
        <w:t xml:space="preserve"> lægemidler bør der tages forholdsregler for at undgå at eksponere personalet. Håndtering af </w:t>
      </w:r>
      <w:proofErr w:type="spellStart"/>
      <w:r w:rsidRPr="00A915D4">
        <w:rPr>
          <w:sz w:val="24"/>
          <w:szCs w:val="24"/>
        </w:rPr>
        <w:t>cytotoksiske</w:t>
      </w:r>
      <w:proofErr w:type="spellEnd"/>
      <w:r w:rsidRPr="00A915D4">
        <w:rPr>
          <w:sz w:val="24"/>
          <w:szCs w:val="24"/>
        </w:rPr>
        <w:t xml:space="preserve"> lægemidler bør generelt undgås under graviditet. Forberedelsen af opløsningen til administration bør udføres på et dertil indrettet håndteringsområde og over en afvaskelig bakke eller plastikforet absorberbart papir til engangsbrug. Egnede beskyttelsesbriller, engangshandsker, ansigtsmaske og engangsforklæde bør anvendes. Kanyler og infusionssæt skal samles omhyggeligt for at undgå lækage (det anbefales at anvende Luer</w:t>
      </w:r>
      <w:r w:rsidRPr="00A915D4">
        <w:rPr>
          <w:sz w:val="24"/>
          <w:szCs w:val="24"/>
        </w:rPr>
        <w:noBreakHyphen/>
      </w:r>
      <w:proofErr w:type="spellStart"/>
      <w:r w:rsidRPr="00A915D4">
        <w:rPr>
          <w:sz w:val="24"/>
          <w:szCs w:val="24"/>
        </w:rPr>
        <w:t>lock</w:t>
      </w:r>
      <w:proofErr w:type="spellEnd"/>
      <w:r w:rsidRPr="00A915D4">
        <w:rPr>
          <w:sz w:val="24"/>
          <w:szCs w:val="24"/>
        </w:rPr>
        <w:noBreakHyphen/>
        <w:t>samlinger).</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r w:rsidRPr="00A915D4">
        <w:rPr>
          <w:sz w:val="24"/>
          <w:szCs w:val="24"/>
        </w:rPr>
        <w:t>Alle eksponerede overflader skal rengøres grundigt efter udført arbejde, og hænder og ansigt skal vaskes.</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r w:rsidRPr="00A915D4">
        <w:rPr>
          <w:sz w:val="24"/>
          <w:szCs w:val="24"/>
        </w:rPr>
        <w:t xml:space="preserve">I tilfælde af spild bør personalet tage handsker, ansigtsmasker, beskyttelsesbriller og engangsforklæde på, og tørre spildt materiale op med absorberende materiale, som findes i arbejdsområdet til dette formål. Dernæst rengøres området, og al forurenet materiale overføres til en pose eller beholder beregnet til </w:t>
      </w:r>
      <w:proofErr w:type="spellStart"/>
      <w:r w:rsidRPr="00A915D4">
        <w:rPr>
          <w:sz w:val="24"/>
          <w:szCs w:val="24"/>
        </w:rPr>
        <w:t>cytotoksisk</w:t>
      </w:r>
      <w:proofErr w:type="spellEnd"/>
      <w:r w:rsidRPr="00A915D4">
        <w:rPr>
          <w:sz w:val="24"/>
          <w:szCs w:val="24"/>
        </w:rPr>
        <w:t xml:space="preserve"> affald, eller opbevares i en forseglet beholder med henblik på forbrænding.</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bCs/>
          <w:i/>
          <w:sz w:val="24"/>
          <w:szCs w:val="24"/>
        </w:rPr>
      </w:pPr>
      <w:r>
        <w:rPr>
          <w:i/>
          <w:sz w:val="24"/>
          <w:szCs w:val="24"/>
        </w:rPr>
        <w:tab/>
      </w:r>
      <w:r w:rsidRPr="00A915D4">
        <w:rPr>
          <w:i/>
          <w:sz w:val="24"/>
          <w:szCs w:val="24"/>
        </w:rPr>
        <w:t>Forberedelse til intravenøs administration</w:t>
      </w: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lastRenderedPageBreak/>
        <w:tab/>
      </w:r>
      <w:proofErr w:type="spellStart"/>
      <w:r w:rsidRPr="00A915D4">
        <w:rPr>
          <w:sz w:val="24"/>
          <w:szCs w:val="24"/>
        </w:rPr>
        <w:t>Dacarbazin</w:t>
      </w:r>
      <w:proofErr w:type="spellEnd"/>
      <w:r w:rsidRPr="00A915D4">
        <w:rPr>
          <w:sz w:val="24"/>
          <w:szCs w:val="24"/>
        </w:rPr>
        <w:noBreakHyphen/>
        <w:t xml:space="preserve">opløsninger skal forberedes umiddelbart før brug. </w:t>
      </w:r>
      <w:proofErr w:type="spellStart"/>
      <w:r w:rsidRPr="00A915D4">
        <w:rPr>
          <w:sz w:val="24"/>
          <w:szCs w:val="24"/>
        </w:rPr>
        <w:t>Dacarbazine</w:t>
      </w:r>
      <w:proofErr w:type="spellEnd"/>
      <w:r w:rsidRPr="00A915D4">
        <w:rPr>
          <w:sz w:val="24"/>
          <w:szCs w:val="24"/>
        </w:rPr>
        <w:t xml:space="preserve"> er følsomt over for lyseksponering. Under administration skal infusionsbeholderen og administrations</w:t>
      </w:r>
      <w:r>
        <w:rPr>
          <w:sz w:val="24"/>
          <w:szCs w:val="24"/>
        </w:rPr>
        <w:softHyphen/>
      </w:r>
      <w:r w:rsidRPr="00A915D4">
        <w:rPr>
          <w:sz w:val="24"/>
          <w:szCs w:val="24"/>
        </w:rPr>
        <w:t>sættet beskyttes mod dagslys, f.eks. ved at bruge PVC</w:t>
      </w:r>
      <w:r w:rsidRPr="00A915D4">
        <w:rPr>
          <w:sz w:val="24"/>
          <w:szCs w:val="24"/>
        </w:rPr>
        <w:noBreakHyphen/>
        <w:t>infusionssæt resistente over for lys. Normale infusionssæt skal pakkes ind, f.eks. i UV</w:t>
      </w:r>
      <w:r w:rsidRPr="00A915D4">
        <w:rPr>
          <w:sz w:val="24"/>
          <w:szCs w:val="24"/>
        </w:rPr>
        <w:noBreakHyphen/>
        <w:t>resistent aluminiumsfolie.</w:t>
      </w:r>
    </w:p>
    <w:p w:rsidR="00E77693" w:rsidRPr="00A915D4" w:rsidRDefault="00E77693" w:rsidP="00E77693">
      <w:pPr>
        <w:ind w:left="851" w:hanging="851"/>
        <w:rPr>
          <w:sz w:val="24"/>
          <w:szCs w:val="24"/>
        </w:rPr>
      </w:pPr>
    </w:p>
    <w:p w:rsidR="00767835" w:rsidRPr="00767835" w:rsidRDefault="00E77693" w:rsidP="00767835">
      <w:pPr>
        <w:tabs>
          <w:tab w:val="left" w:pos="1304"/>
        </w:tabs>
        <w:autoSpaceDE w:val="0"/>
        <w:autoSpaceDN w:val="0"/>
        <w:adjustRightInd w:val="0"/>
        <w:ind w:left="851" w:hanging="851"/>
        <w:rPr>
          <w:sz w:val="24"/>
          <w:szCs w:val="24"/>
          <w:lang w:bidi="da-DK"/>
        </w:rPr>
      </w:pPr>
      <w:r>
        <w:rPr>
          <w:sz w:val="24"/>
          <w:szCs w:val="24"/>
        </w:rPr>
        <w:tab/>
      </w:r>
      <w:r w:rsidR="00767835" w:rsidRPr="00767835">
        <w:rPr>
          <w:sz w:val="24"/>
          <w:szCs w:val="24"/>
          <w:lang w:bidi="da-DK"/>
        </w:rPr>
        <w:t xml:space="preserve">Under aseptiske betingelser opløses indholdet af et hætteglas med </w:t>
      </w:r>
      <w:proofErr w:type="spellStart"/>
      <w:r w:rsidR="00767835" w:rsidRPr="00767835">
        <w:rPr>
          <w:sz w:val="24"/>
          <w:szCs w:val="24"/>
          <w:lang w:bidi="da-DK"/>
        </w:rPr>
        <w:t>Dacarbazine</w:t>
      </w:r>
      <w:proofErr w:type="spellEnd"/>
      <w:r w:rsidR="00767835" w:rsidRPr="00767835">
        <w:rPr>
          <w:sz w:val="24"/>
          <w:szCs w:val="24"/>
          <w:lang w:bidi="da-DK"/>
        </w:rPr>
        <w:t xml:space="preserve"> ”</w:t>
      </w:r>
      <w:proofErr w:type="spellStart"/>
      <w:r w:rsidR="00767835" w:rsidRPr="00767835">
        <w:rPr>
          <w:sz w:val="24"/>
          <w:szCs w:val="24"/>
          <w:lang w:bidi="da-DK"/>
        </w:rPr>
        <w:t>Lipomed</w:t>
      </w:r>
      <w:proofErr w:type="spellEnd"/>
      <w:r w:rsidR="00767835" w:rsidRPr="00767835">
        <w:rPr>
          <w:sz w:val="24"/>
          <w:szCs w:val="24"/>
          <w:lang w:bidi="da-DK"/>
        </w:rPr>
        <w:t>” 500 mg først med 50 ml vand til injektionsvæsker. Opløsningens densitet er 1,007 g/ml. Den resulterende opløsning skal yderligere fortyndes i 200 </w:t>
      </w:r>
      <w:r w:rsidR="00767835" w:rsidRPr="00767835">
        <w:rPr>
          <w:sz w:val="24"/>
          <w:szCs w:val="24"/>
          <w:lang w:bidi="da-DK"/>
        </w:rPr>
        <w:noBreakHyphen/>
        <w:t xml:space="preserve"> 300 ml isotonisk </w:t>
      </w:r>
      <w:proofErr w:type="spellStart"/>
      <w:r w:rsidR="00767835" w:rsidRPr="00767835">
        <w:rPr>
          <w:sz w:val="24"/>
          <w:szCs w:val="24"/>
          <w:lang w:bidi="da-DK"/>
        </w:rPr>
        <w:t>natriumchloridopløsning</w:t>
      </w:r>
      <w:proofErr w:type="spellEnd"/>
      <w:r w:rsidR="00767835" w:rsidRPr="00767835">
        <w:rPr>
          <w:sz w:val="24"/>
          <w:szCs w:val="24"/>
          <w:lang w:bidi="da-DK"/>
        </w:rPr>
        <w:t xml:space="preserve"> eller 5 % </w:t>
      </w:r>
      <w:proofErr w:type="spellStart"/>
      <w:r w:rsidR="00767835" w:rsidRPr="00767835">
        <w:rPr>
          <w:sz w:val="24"/>
          <w:szCs w:val="24"/>
          <w:lang w:bidi="da-DK"/>
        </w:rPr>
        <w:t>glucoseopløsning</w:t>
      </w:r>
      <w:proofErr w:type="spellEnd"/>
      <w:r w:rsidR="00767835" w:rsidRPr="00767835">
        <w:rPr>
          <w:sz w:val="24"/>
          <w:szCs w:val="24"/>
          <w:lang w:bidi="da-DK"/>
        </w:rPr>
        <w:t>. Infusionsopløsningen, som er klar til administration (1,4 </w:t>
      </w:r>
      <w:r w:rsidR="00767835" w:rsidRPr="00767835">
        <w:rPr>
          <w:sz w:val="24"/>
          <w:szCs w:val="24"/>
          <w:lang w:bidi="da-DK"/>
        </w:rPr>
        <w:noBreakHyphen/>
        <w:t> 2,0 mg/ml) skal gives intravenøst inden for 20 </w:t>
      </w:r>
      <w:r w:rsidR="00767835" w:rsidRPr="00767835">
        <w:rPr>
          <w:sz w:val="24"/>
          <w:szCs w:val="24"/>
          <w:lang w:bidi="da-DK"/>
        </w:rPr>
        <w:noBreakHyphen/>
        <w:t> 30 minutter.</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lang w:bidi="da-DK"/>
        </w:rPr>
      </w:pPr>
    </w:p>
    <w:p w:rsidR="00E77693" w:rsidRPr="00A915D4" w:rsidRDefault="00E77693" w:rsidP="00E77693">
      <w:pPr>
        <w:tabs>
          <w:tab w:val="left" w:pos="1304"/>
        </w:tabs>
        <w:autoSpaceDE w:val="0"/>
        <w:autoSpaceDN w:val="0"/>
        <w:adjustRightInd w:val="0"/>
        <w:ind w:left="851" w:hanging="851"/>
        <w:rPr>
          <w:sz w:val="24"/>
          <w:szCs w:val="24"/>
          <w:lang w:bidi="da-DK"/>
        </w:rPr>
      </w:pPr>
      <w:r>
        <w:rPr>
          <w:sz w:val="24"/>
          <w:szCs w:val="24"/>
          <w:lang w:bidi="da-DK"/>
        </w:rPr>
        <w:tab/>
      </w:r>
      <w:r w:rsidR="00767835" w:rsidRPr="00767835">
        <w:rPr>
          <w:sz w:val="24"/>
          <w:szCs w:val="24"/>
          <w:lang w:bidi="da-DK"/>
        </w:rPr>
        <w:t xml:space="preserve">Under aseptiske betingelser opløses indholdet af et hætteglas med </w:t>
      </w:r>
      <w:proofErr w:type="spellStart"/>
      <w:r w:rsidR="00767835" w:rsidRPr="00767835">
        <w:rPr>
          <w:sz w:val="24"/>
          <w:szCs w:val="24"/>
          <w:lang w:bidi="da-DK"/>
        </w:rPr>
        <w:t>Dacarbazine</w:t>
      </w:r>
      <w:proofErr w:type="spellEnd"/>
      <w:r w:rsidR="00767835" w:rsidRPr="00767835">
        <w:rPr>
          <w:sz w:val="24"/>
          <w:szCs w:val="24"/>
          <w:lang w:bidi="da-DK"/>
        </w:rPr>
        <w:t xml:space="preserve"> ”</w:t>
      </w:r>
      <w:proofErr w:type="spellStart"/>
      <w:r w:rsidR="00767835" w:rsidRPr="00767835">
        <w:rPr>
          <w:sz w:val="24"/>
          <w:szCs w:val="24"/>
          <w:lang w:bidi="da-DK"/>
        </w:rPr>
        <w:t>Lipomed</w:t>
      </w:r>
      <w:proofErr w:type="spellEnd"/>
      <w:r w:rsidR="00767835" w:rsidRPr="00767835">
        <w:rPr>
          <w:sz w:val="24"/>
          <w:szCs w:val="24"/>
          <w:lang w:bidi="da-DK"/>
        </w:rPr>
        <w:t>” 1000 mg først med 50 ml vand til injektionsvæsker. Opløsningens densitet er 1,015 g/ml. Den resulterende opløsning skal yderligere fortyndes i 200 </w:t>
      </w:r>
      <w:r w:rsidR="00767835" w:rsidRPr="00767835">
        <w:rPr>
          <w:sz w:val="24"/>
          <w:szCs w:val="24"/>
          <w:lang w:bidi="da-DK"/>
        </w:rPr>
        <w:noBreakHyphen/>
        <w:t xml:space="preserve"> 300 ml isotonisk </w:t>
      </w:r>
      <w:proofErr w:type="spellStart"/>
      <w:r w:rsidR="00767835" w:rsidRPr="00767835">
        <w:rPr>
          <w:sz w:val="24"/>
          <w:szCs w:val="24"/>
          <w:lang w:bidi="da-DK"/>
        </w:rPr>
        <w:t>natriumchloridopløsning</w:t>
      </w:r>
      <w:proofErr w:type="spellEnd"/>
      <w:r w:rsidR="00767835" w:rsidRPr="00767835">
        <w:rPr>
          <w:sz w:val="24"/>
          <w:szCs w:val="24"/>
          <w:lang w:bidi="da-DK"/>
        </w:rPr>
        <w:t xml:space="preserve"> eller 5 % </w:t>
      </w:r>
      <w:proofErr w:type="spellStart"/>
      <w:r w:rsidR="00767835" w:rsidRPr="00767835">
        <w:rPr>
          <w:sz w:val="24"/>
          <w:szCs w:val="24"/>
          <w:lang w:bidi="da-DK"/>
        </w:rPr>
        <w:t>glucoseopløsning</w:t>
      </w:r>
      <w:proofErr w:type="spellEnd"/>
      <w:r w:rsidR="00767835" w:rsidRPr="00767835">
        <w:rPr>
          <w:sz w:val="24"/>
          <w:szCs w:val="24"/>
          <w:lang w:bidi="da-DK"/>
        </w:rPr>
        <w:t>. Infusionsopløsningen, som er klar til administration (2,8 </w:t>
      </w:r>
      <w:r w:rsidR="00767835" w:rsidRPr="00767835">
        <w:rPr>
          <w:sz w:val="24"/>
          <w:szCs w:val="24"/>
          <w:lang w:bidi="da-DK"/>
        </w:rPr>
        <w:noBreakHyphen/>
        <w:t> 4,0 mg/ml) skal gives intravenøst inden for 20 </w:t>
      </w:r>
      <w:r w:rsidR="00767835" w:rsidRPr="00767835">
        <w:rPr>
          <w:sz w:val="24"/>
          <w:szCs w:val="24"/>
          <w:lang w:bidi="da-DK"/>
        </w:rPr>
        <w:noBreakHyphen/>
        <w:t> 30 minutter.</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500 mg and </w:t>
      </w:r>
      <w:proofErr w:type="spellStart"/>
      <w:r w:rsidRPr="00A915D4">
        <w:rPr>
          <w:sz w:val="24"/>
          <w:szCs w:val="24"/>
        </w:rPr>
        <w:t>Dacarbazine</w:t>
      </w:r>
      <w:proofErr w:type="spellEnd"/>
      <w:r w:rsidRPr="00A915D4">
        <w:rPr>
          <w:sz w:val="24"/>
          <w:szCs w:val="24"/>
        </w:rPr>
        <w:t xml:space="preserve"> </w:t>
      </w:r>
      <w:r>
        <w:rPr>
          <w:sz w:val="24"/>
          <w:szCs w:val="24"/>
        </w:rPr>
        <w:t>"</w:t>
      </w:r>
      <w:proofErr w:type="spellStart"/>
      <w:r>
        <w:rPr>
          <w:sz w:val="24"/>
          <w:szCs w:val="24"/>
        </w:rPr>
        <w:t>Lipomed</w:t>
      </w:r>
      <w:proofErr w:type="spellEnd"/>
      <w:r>
        <w:rPr>
          <w:sz w:val="24"/>
          <w:szCs w:val="24"/>
        </w:rPr>
        <w:t>"</w:t>
      </w:r>
      <w:r w:rsidRPr="00A915D4">
        <w:rPr>
          <w:sz w:val="24"/>
          <w:szCs w:val="24"/>
        </w:rPr>
        <w:t xml:space="preserve"> 1000 mg er kun til engangsbrug.</w:t>
      </w: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r w:rsidRPr="00A915D4">
        <w:rPr>
          <w:sz w:val="24"/>
          <w:szCs w:val="24"/>
        </w:rPr>
        <w:t>Den fortyndede infusionsvæske, opløsning, skal inspiceres visuelt, og kun klare opløsninger, der stort set er frie for partikler, må anvendes. Må ikke anvendes, hvis der er partikler til stede. Al resterende indhold efter brug skal bortskaffes. Dette gælder også for opløsninger, hvor den synlige fremtoning af præparatet har ændret sig.</w:t>
      </w:r>
    </w:p>
    <w:p w:rsidR="00E77693" w:rsidRPr="00A915D4" w:rsidRDefault="00E77693" w:rsidP="00E77693">
      <w:pPr>
        <w:tabs>
          <w:tab w:val="left" w:pos="1304"/>
        </w:tabs>
        <w:autoSpaceDE w:val="0"/>
        <w:autoSpaceDN w:val="0"/>
        <w:adjustRightInd w:val="0"/>
        <w:ind w:left="851" w:hanging="851"/>
        <w:rPr>
          <w:sz w:val="24"/>
          <w:szCs w:val="24"/>
        </w:rPr>
      </w:pPr>
    </w:p>
    <w:p w:rsidR="00E77693" w:rsidRPr="00A915D4" w:rsidRDefault="00E77693" w:rsidP="00E77693">
      <w:pPr>
        <w:tabs>
          <w:tab w:val="left" w:pos="1304"/>
        </w:tabs>
        <w:autoSpaceDE w:val="0"/>
        <w:autoSpaceDN w:val="0"/>
        <w:adjustRightInd w:val="0"/>
        <w:ind w:left="851" w:hanging="851"/>
        <w:rPr>
          <w:sz w:val="24"/>
          <w:szCs w:val="24"/>
        </w:rPr>
      </w:pPr>
      <w:r>
        <w:rPr>
          <w:sz w:val="24"/>
          <w:szCs w:val="24"/>
        </w:rPr>
        <w:tab/>
      </w:r>
      <w:proofErr w:type="spellStart"/>
      <w:r w:rsidRPr="00A915D4">
        <w:rPr>
          <w:sz w:val="24"/>
          <w:szCs w:val="24"/>
        </w:rPr>
        <w:t>Rekonstituerede</w:t>
      </w:r>
      <w:proofErr w:type="spellEnd"/>
      <w:r w:rsidRPr="00A915D4">
        <w:rPr>
          <w:sz w:val="24"/>
          <w:szCs w:val="24"/>
        </w:rPr>
        <w:t xml:space="preserve"> opløsninger er klare og svagt gule. Fortyndede infusionsvæsker, opløsninger, er klare og næsten farveløse.</w:t>
      </w:r>
    </w:p>
    <w:p w:rsidR="00E77693" w:rsidRPr="00A915D4" w:rsidRDefault="00E77693" w:rsidP="00E77693">
      <w:pPr>
        <w:tabs>
          <w:tab w:val="left" w:pos="1304"/>
        </w:tabs>
        <w:autoSpaceDE w:val="0"/>
        <w:autoSpaceDN w:val="0"/>
        <w:adjustRightInd w:val="0"/>
        <w:ind w:left="851" w:hanging="851"/>
        <w:rPr>
          <w:sz w:val="24"/>
          <w:szCs w:val="24"/>
        </w:rPr>
      </w:pPr>
    </w:p>
    <w:p w:rsidR="00E77693" w:rsidRDefault="00E77693" w:rsidP="00E77693">
      <w:pPr>
        <w:tabs>
          <w:tab w:val="left" w:pos="1304"/>
        </w:tabs>
        <w:autoSpaceDE w:val="0"/>
        <w:autoSpaceDN w:val="0"/>
        <w:adjustRightInd w:val="0"/>
        <w:ind w:left="851" w:hanging="851"/>
        <w:rPr>
          <w:sz w:val="24"/>
          <w:szCs w:val="24"/>
        </w:rPr>
      </w:pPr>
      <w:r>
        <w:rPr>
          <w:sz w:val="24"/>
          <w:szCs w:val="24"/>
        </w:rPr>
        <w:tab/>
      </w:r>
      <w:r w:rsidRPr="00A915D4">
        <w:rPr>
          <w:sz w:val="24"/>
          <w:szCs w:val="24"/>
        </w:rPr>
        <w:t>Bortskaffelse: Alle materialer, der er blevet anvendt til fortynding og administration, skal bortskaffes i henhold til standardprocedurer (forbrænding).</w:t>
      </w:r>
    </w:p>
    <w:p w:rsidR="00767835" w:rsidRPr="00A915D4" w:rsidRDefault="00767835" w:rsidP="00E77693">
      <w:pPr>
        <w:tabs>
          <w:tab w:val="left" w:pos="1304"/>
        </w:tabs>
        <w:autoSpaceDE w:val="0"/>
        <w:autoSpaceDN w:val="0"/>
        <w:adjustRightInd w:val="0"/>
        <w:ind w:left="851" w:hanging="851"/>
        <w:rPr>
          <w:sz w:val="24"/>
          <w:szCs w:val="24"/>
        </w:rPr>
      </w:pPr>
      <w:r>
        <w:rPr>
          <w:sz w:val="24"/>
          <w:szCs w:val="24"/>
        </w:rPr>
        <w:tab/>
      </w:r>
      <w:r w:rsidRPr="00767835">
        <w:rPr>
          <w:sz w:val="24"/>
          <w:szCs w:val="24"/>
        </w:rPr>
        <w:t>Ikke anvendt lægemiddel samt affald heraf skal bortskaffes i henhold til lokale retningslinjer.</w:t>
      </w:r>
    </w:p>
    <w:p w:rsidR="00E77693" w:rsidRPr="00A915D4" w:rsidRDefault="00E77693" w:rsidP="00E77693">
      <w:pPr>
        <w:tabs>
          <w:tab w:val="left" w:pos="851"/>
        </w:tabs>
        <w:ind w:left="851" w:hanging="851"/>
        <w:jc w:val="both"/>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7.</w:t>
      </w:r>
      <w:r w:rsidRPr="00A915D4">
        <w:rPr>
          <w:b/>
          <w:sz w:val="24"/>
          <w:szCs w:val="24"/>
        </w:rPr>
        <w:tab/>
        <w:t>INDEHAVER AF MARKEDSFØRINGSTILLADELSEN</w:t>
      </w:r>
    </w:p>
    <w:p w:rsidR="00E77693" w:rsidRPr="00A915D4" w:rsidRDefault="00E77693" w:rsidP="00E77693">
      <w:pPr>
        <w:ind w:left="851"/>
        <w:jc w:val="both"/>
        <w:rPr>
          <w:sz w:val="24"/>
          <w:szCs w:val="24"/>
          <w:lang w:eastAsia="da-DK"/>
        </w:rPr>
      </w:pPr>
      <w:proofErr w:type="spellStart"/>
      <w:r w:rsidRPr="00A915D4">
        <w:rPr>
          <w:sz w:val="24"/>
          <w:szCs w:val="24"/>
        </w:rPr>
        <w:t>Lipomed</w:t>
      </w:r>
      <w:proofErr w:type="spellEnd"/>
      <w:r w:rsidRPr="00A915D4">
        <w:rPr>
          <w:sz w:val="24"/>
          <w:szCs w:val="24"/>
        </w:rPr>
        <w:t xml:space="preserve"> GmbH</w:t>
      </w:r>
    </w:p>
    <w:p w:rsidR="00E77693" w:rsidRPr="00A915D4" w:rsidRDefault="00E77693" w:rsidP="00E77693">
      <w:pPr>
        <w:ind w:left="851"/>
        <w:jc w:val="both"/>
        <w:rPr>
          <w:sz w:val="24"/>
          <w:szCs w:val="24"/>
        </w:rPr>
      </w:pPr>
      <w:proofErr w:type="spellStart"/>
      <w:r w:rsidRPr="00A915D4">
        <w:rPr>
          <w:sz w:val="24"/>
          <w:szCs w:val="24"/>
        </w:rPr>
        <w:t>Hegenheimer</w:t>
      </w:r>
      <w:proofErr w:type="spellEnd"/>
      <w:r w:rsidRPr="00A915D4">
        <w:rPr>
          <w:sz w:val="24"/>
          <w:szCs w:val="24"/>
        </w:rPr>
        <w:t xml:space="preserve"> </w:t>
      </w:r>
      <w:proofErr w:type="spellStart"/>
      <w:r w:rsidRPr="00A915D4">
        <w:rPr>
          <w:sz w:val="24"/>
          <w:szCs w:val="24"/>
        </w:rPr>
        <w:t>Strasse</w:t>
      </w:r>
      <w:proofErr w:type="spellEnd"/>
      <w:r w:rsidRPr="00A915D4">
        <w:rPr>
          <w:sz w:val="24"/>
          <w:szCs w:val="24"/>
        </w:rPr>
        <w:t xml:space="preserve"> 2</w:t>
      </w:r>
    </w:p>
    <w:p w:rsidR="00E77693" w:rsidRPr="00A915D4" w:rsidRDefault="00E77693" w:rsidP="00E77693">
      <w:pPr>
        <w:ind w:left="851"/>
        <w:jc w:val="both"/>
        <w:rPr>
          <w:sz w:val="24"/>
          <w:szCs w:val="24"/>
        </w:rPr>
      </w:pPr>
      <w:r w:rsidRPr="00A915D4">
        <w:rPr>
          <w:sz w:val="24"/>
          <w:szCs w:val="24"/>
        </w:rPr>
        <w:t xml:space="preserve">D-79576 </w:t>
      </w:r>
      <w:proofErr w:type="spellStart"/>
      <w:r w:rsidRPr="00A915D4">
        <w:rPr>
          <w:sz w:val="24"/>
          <w:szCs w:val="24"/>
        </w:rPr>
        <w:t>Weil</w:t>
      </w:r>
      <w:proofErr w:type="spellEnd"/>
      <w:r w:rsidRPr="00A915D4">
        <w:rPr>
          <w:sz w:val="24"/>
          <w:szCs w:val="24"/>
        </w:rPr>
        <w:t xml:space="preserve"> am Rhein</w:t>
      </w:r>
    </w:p>
    <w:p w:rsidR="00E77693" w:rsidRPr="00A915D4" w:rsidRDefault="00E77693" w:rsidP="00E77693">
      <w:pPr>
        <w:ind w:left="851"/>
        <w:jc w:val="both"/>
        <w:rPr>
          <w:sz w:val="24"/>
          <w:szCs w:val="24"/>
        </w:rPr>
      </w:pPr>
      <w:r w:rsidRPr="00A915D4">
        <w:rPr>
          <w:sz w:val="24"/>
          <w:szCs w:val="24"/>
        </w:rPr>
        <w:t>Tyskland</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8.</w:t>
      </w:r>
      <w:r w:rsidRPr="00A915D4">
        <w:rPr>
          <w:b/>
          <w:sz w:val="24"/>
          <w:szCs w:val="24"/>
        </w:rPr>
        <w:tab/>
        <w:t>MARKEDSFØRINGSTILLADELSESNUMMER (</w:t>
      </w:r>
      <w:r w:rsidR="00A42A82">
        <w:rPr>
          <w:b/>
          <w:sz w:val="24"/>
          <w:szCs w:val="24"/>
        </w:rPr>
        <w:t>-</w:t>
      </w:r>
      <w:r w:rsidRPr="00A915D4">
        <w:rPr>
          <w:b/>
          <w:sz w:val="24"/>
          <w:szCs w:val="24"/>
        </w:rPr>
        <w:t>NUMRE)</w:t>
      </w:r>
    </w:p>
    <w:p w:rsidR="00E77693" w:rsidRPr="00A915D4" w:rsidRDefault="00E77693" w:rsidP="00E77693">
      <w:pPr>
        <w:tabs>
          <w:tab w:val="left" w:pos="851"/>
          <w:tab w:val="left" w:pos="1985"/>
        </w:tabs>
        <w:ind w:left="851" w:hanging="851"/>
        <w:rPr>
          <w:sz w:val="24"/>
          <w:szCs w:val="24"/>
        </w:rPr>
      </w:pPr>
      <w:r>
        <w:rPr>
          <w:sz w:val="24"/>
          <w:szCs w:val="24"/>
        </w:rPr>
        <w:tab/>
      </w:r>
      <w:r w:rsidRPr="00A915D4">
        <w:rPr>
          <w:sz w:val="24"/>
          <w:szCs w:val="24"/>
        </w:rPr>
        <w:t>500 mg:</w:t>
      </w:r>
      <w:r w:rsidRPr="00A915D4">
        <w:rPr>
          <w:sz w:val="24"/>
          <w:szCs w:val="24"/>
        </w:rPr>
        <w:tab/>
        <w:t>57215</w:t>
      </w:r>
    </w:p>
    <w:p w:rsidR="00E77693" w:rsidRPr="00A915D4" w:rsidRDefault="00E77693" w:rsidP="00E77693">
      <w:pPr>
        <w:tabs>
          <w:tab w:val="left" w:pos="851"/>
          <w:tab w:val="left" w:pos="1985"/>
        </w:tabs>
        <w:ind w:left="851" w:hanging="851"/>
        <w:rPr>
          <w:sz w:val="24"/>
          <w:szCs w:val="24"/>
        </w:rPr>
      </w:pPr>
      <w:r>
        <w:rPr>
          <w:sz w:val="24"/>
          <w:szCs w:val="24"/>
        </w:rPr>
        <w:tab/>
      </w:r>
      <w:r w:rsidRPr="00A915D4">
        <w:rPr>
          <w:sz w:val="24"/>
          <w:szCs w:val="24"/>
        </w:rPr>
        <w:t>1000 mg:</w:t>
      </w:r>
      <w:r w:rsidRPr="00A915D4">
        <w:rPr>
          <w:sz w:val="24"/>
          <w:szCs w:val="24"/>
        </w:rPr>
        <w:tab/>
        <w:t>57216</w:t>
      </w:r>
    </w:p>
    <w:p w:rsidR="00E77693" w:rsidRPr="00A915D4" w:rsidRDefault="00E77693" w:rsidP="00E77693">
      <w:pPr>
        <w:tabs>
          <w:tab w:val="left" w:pos="851"/>
        </w:tabs>
        <w:ind w:left="851" w:hanging="851"/>
        <w:jc w:val="both"/>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9.</w:t>
      </w:r>
      <w:r w:rsidRPr="00A915D4">
        <w:rPr>
          <w:b/>
          <w:sz w:val="24"/>
          <w:szCs w:val="24"/>
        </w:rPr>
        <w:tab/>
        <w:t>DATO FOR FØRSTE MARKEDSFØRINGSTILLADELSE</w:t>
      </w:r>
    </w:p>
    <w:p w:rsidR="00E77693" w:rsidRPr="00A915D4" w:rsidRDefault="00E77693" w:rsidP="00E77693">
      <w:pPr>
        <w:tabs>
          <w:tab w:val="left" w:pos="851"/>
        </w:tabs>
        <w:ind w:left="851" w:hanging="851"/>
        <w:rPr>
          <w:sz w:val="24"/>
          <w:szCs w:val="24"/>
        </w:rPr>
      </w:pPr>
      <w:r>
        <w:rPr>
          <w:sz w:val="24"/>
          <w:szCs w:val="24"/>
        </w:rPr>
        <w:tab/>
      </w:r>
      <w:r w:rsidRPr="00A915D4">
        <w:rPr>
          <w:sz w:val="24"/>
          <w:szCs w:val="24"/>
        </w:rPr>
        <w:t>25. april 2012 (pulver til injektions-/infusionsvæske, opløsning)</w:t>
      </w:r>
    </w:p>
    <w:p w:rsidR="00E77693" w:rsidRPr="00A915D4" w:rsidRDefault="00E77693" w:rsidP="00E77693">
      <w:pPr>
        <w:tabs>
          <w:tab w:val="left" w:pos="851"/>
        </w:tabs>
        <w:ind w:left="851" w:hanging="851"/>
        <w:rPr>
          <w:sz w:val="24"/>
          <w:szCs w:val="24"/>
        </w:rPr>
      </w:pPr>
    </w:p>
    <w:p w:rsidR="00E77693" w:rsidRPr="00A915D4" w:rsidRDefault="00E77693" w:rsidP="00E77693">
      <w:pPr>
        <w:tabs>
          <w:tab w:val="left" w:pos="851"/>
        </w:tabs>
        <w:ind w:left="851" w:hanging="851"/>
        <w:rPr>
          <w:b/>
          <w:sz w:val="24"/>
          <w:szCs w:val="24"/>
        </w:rPr>
      </w:pPr>
      <w:r w:rsidRPr="00A915D4">
        <w:rPr>
          <w:b/>
          <w:sz w:val="24"/>
          <w:szCs w:val="24"/>
        </w:rPr>
        <w:t>10.</w:t>
      </w:r>
      <w:r w:rsidRPr="00A915D4">
        <w:rPr>
          <w:b/>
          <w:sz w:val="24"/>
          <w:szCs w:val="24"/>
        </w:rPr>
        <w:tab/>
        <w:t>DATO FOR ÆNDRING AF TEKSTEN</w:t>
      </w:r>
    </w:p>
    <w:p w:rsidR="00E77693" w:rsidRPr="00A915D4" w:rsidRDefault="00E77693" w:rsidP="00E77693">
      <w:pPr>
        <w:tabs>
          <w:tab w:val="left" w:pos="851"/>
        </w:tabs>
        <w:ind w:left="851" w:hanging="851"/>
        <w:rPr>
          <w:sz w:val="24"/>
          <w:szCs w:val="24"/>
        </w:rPr>
      </w:pPr>
      <w:r>
        <w:rPr>
          <w:sz w:val="24"/>
          <w:szCs w:val="24"/>
        </w:rPr>
        <w:tab/>
      </w:r>
      <w:r w:rsidR="00E7037D">
        <w:rPr>
          <w:sz w:val="24"/>
          <w:szCs w:val="24"/>
        </w:rPr>
        <w:t>1</w:t>
      </w:r>
      <w:r w:rsidR="00A42A82">
        <w:rPr>
          <w:sz w:val="24"/>
          <w:szCs w:val="24"/>
        </w:rPr>
        <w:t>2</w:t>
      </w:r>
      <w:r w:rsidR="00FD5FC1">
        <w:rPr>
          <w:sz w:val="24"/>
          <w:szCs w:val="24"/>
        </w:rPr>
        <w:t xml:space="preserve">. </w:t>
      </w:r>
      <w:r w:rsidR="00A42A82">
        <w:rPr>
          <w:sz w:val="24"/>
          <w:szCs w:val="24"/>
        </w:rPr>
        <w:t>juli</w:t>
      </w:r>
      <w:r w:rsidR="00FD5FC1">
        <w:rPr>
          <w:sz w:val="24"/>
          <w:szCs w:val="24"/>
        </w:rPr>
        <w:t xml:space="preserve"> 202</w:t>
      </w:r>
      <w:r w:rsidR="00A42A82">
        <w:rPr>
          <w:sz w:val="24"/>
          <w:szCs w:val="24"/>
        </w:rPr>
        <w:t>4</w:t>
      </w:r>
      <w:bookmarkStart w:id="0" w:name="_GoBack"/>
      <w:bookmarkEnd w:id="0"/>
    </w:p>
    <w:p w:rsidR="00E77693" w:rsidRPr="00AF34D2" w:rsidRDefault="00E77693" w:rsidP="00E77693"/>
    <w:p w:rsidR="00E77693" w:rsidRPr="00AF41EE" w:rsidRDefault="00E77693" w:rsidP="00E77693"/>
    <w:p w:rsidR="009260DE" w:rsidRPr="00E77693" w:rsidRDefault="009260DE" w:rsidP="00E77693"/>
    <w:sectPr w:rsidR="009260DE" w:rsidRPr="00E7769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693" w:rsidRDefault="00E77693">
      <w:r>
        <w:separator/>
      </w:r>
    </w:p>
  </w:endnote>
  <w:endnote w:type="continuationSeparator" w:id="0">
    <w:p w:rsidR="00E77693" w:rsidRDefault="00E7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215C">
      <w:rPr>
        <w:i/>
        <w:noProof/>
        <w:sz w:val="18"/>
        <w:szCs w:val="18"/>
      </w:rPr>
      <w:t>Dacarbazine Lipomed, pulver til infusionsvæske, opløsning 500 mg og 1000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693" w:rsidRDefault="00E77693">
      <w:r>
        <w:separator/>
      </w:r>
    </w:p>
  </w:footnote>
  <w:footnote w:type="continuationSeparator" w:id="0">
    <w:p w:rsidR="00E77693" w:rsidRDefault="00E77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022399"/>
    <w:multiLevelType w:val="hybridMultilevel"/>
    <w:tmpl w:val="BF2699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FD2AD3"/>
    <w:multiLevelType w:val="hybridMultilevel"/>
    <w:tmpl w:val="5BD42A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93"/>
    <w:rsid w:val="000259B9"/>
    <w:rsid w:val="00041491"/>
    <w:rsid w:val="00050D16"/>
    <w:rsid w:val="00074F2A"/>
    <w:rsid w:val="000A1CA8"/>
    <w:rsid w:val="000A466B"/>
    <w:rsid w:val="000B058C"/>
    <w:rsid w:val="000E3163"/>
    <w:rsid w:val="000E4EE6"/>
    <w:rsid w:val="0014183F"/>
    <w:rsid w:val="001454E2"/>
    <w:rsid w:val="001E7D80"/>
    <w:rsid w:val="00206CE8"/>
    <w:rsid w:val="0021526C"/>
    <w:rsid w:val="00283A2B"/>
    <w:rsid w:val="002B30AD"/>
    <w:rsid w:val="002C2C01"/>
    <w:rsid w:val="002D26B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F2824"/>
    <w:rsid w:val="00737275"/>
    <w:rsid w:val="00740EEC"/>
    <w:rsid w:val="00767835"/>
    <w:rsid w:val="0078011A"/>
    <w:rsid w:val="00782AF4"/>
    <w:rsid w:val="00790EE7"/>
    <w:rsid w:val="007B6649"/>
    <w:rsid w:val="0081546F"/>
    <w:rsid w:val="0082576E"/>
    <w:rsid w:val="00907F75"/>
    <w:rsid w:val="009260DE"/>
    <w:rsid w:val="0093258A"/>
    <w:rsid w:val="009745FD"/>
    <w:rsid w:val="009C7BA3"/>
    <w:rsid w:val="009D1F5A"/>
    <w:rsid w:val="00A42A82"/>
    <w:rsid w:val="00AA1DBB"/>
    <w:rsid w:val="00AC5D1D"/>
    <w:rsid w:val="00B003BF"/>
    <w:rsid w:val="00B373D7"/>
    <w:rsid w:val="00B408A0"/>
    <w:rsid w:val="00C36276"/>
    <w:rsid w:val="00C42586"/>
    <w:rsid w:val="00C60CCD"/>
    <w:rsid w:val="00C84483"/>
    <w:rsid w:val="00C95551"/>
    <w:rsid w:val="00CB20D7"/>
    <w:rsid w:val="00D020B0"/>
    <w:rsid w:val="00D11748"/>
    <w:rsid w:val="00D366CF"/>
    <w:rsid w:val="00E108AA"/>
    <w:rsid w:val="00E31812"/>
    <w:rsid w:val="00E3749A"/>
    <w:rsid w:val="00E7037D"/>
    <w:rsid w:val="00E7437F"/>
    <w:rsid w:val="00E77693"/>
    <w:rsid w:val="00E865B8"/>
    <w:rsid w:val="00EB7A42"/>
    <w:rsid w:val="00EC0B9B"/>
    <w:rsid w:val="00EC1853"/>
    <w:rsid w:val="00ED5E9F"/>
    <w:rsid w:val="00F4215C"/>
    <w:rsid w:val="00F66D4F"/>
    <w:rsid w:val="00FB6D01"/>
    <w:rsid w:val="00FD5F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DB146"/>
  <w15:chartTrackingRefBased/>
  <w15:docId w15:val="{1466FA8D-8919-4782-8A94-9EEDBAD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E77693"/>
    <w:rPr>
      <w:color w:val="0000FF"/>
      <w:u w:val="single"/>
    </w:rPr>
  </w:style>
  <w:style w:type="character" w:customStyle="1" w:styleId="ox-d515c9c26d-formatvorlagetimesnewroman">
    <w:name w:val="ox-d515c9c26d-formatvorlagetimesnewroman"/>
    <w:basedOn w:val="Standardskrifttypeiafsnit"/>
    <w:rsid w:val="00EC1853"/>
  </w:style>
  <w:style w:type="paragraph" w:styleId="Listeafsnit">
    <w:name w:val="List Paragraph"/>
    <w:basedOn w:val="Normal"/>
    <w:uiPriority w:val="34"/>
    <w:qFormat/>
    <w:rsid w:val="00A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496318">
      <w:bodyDiv w:val="1"/>
      <w:marLeft w:val="0"/>
      <w:marRight w:val="0"/>
      <w:marTop w:val="0"/>
      <w:marBottom w:val="0"/>
      <w:divBdr>
        <w:top w:val="none" w:sz="0" w:space="0" w:color="auto"/>
        <w:left w:val="none" w:sz="0" w:space="0" w:color="auto"/>
        <w:bottom w:val="none" w:sz="0" w:space="0" w:color="auto"/>
        <w:right w:val="none" w:sz="0" w:space="0" w:color="auto"/>
      </w:divBdr>
    </w:div>
    <w:div w:id="337729887">
      <w:bodyDiv w:val="1"/>
      <w:marLeft w:val="0"/>
      <w:marRight w:val="0"/>
      <w:marTop w:val="0"/>
      <w:marBottom w:val="0"/>
      <w:divBdr>
        <w:top w:val="none" w:sz="0" w:space="0" w:color="auto"/>
        <w:left w:val="none" w:sz="0" w:space="0" w:color="auto"/>
        <w:bottom w:val="none" w:sz="0" w:space="0" w:color="auto"/>
        <w:right w:val="none" w:sz="0" w:space="0" w:color="auto"/>
      </w:divBdr>
    </w:div>
    <w:div w:id="836924206">
      <w:bodyDiv w:val="1"/>
      <w:marLeft w:val="0"/>
      <w:marRight w:val="0"/>
      <w:marTop w:val="0"/>
      <w:marBottom w:val="0"/>
      <w:divBdr>
        <w:top w:val="none" w:sz="0" w:space="0" w:color="auto"/>
        <w:left w:val="none" w:sz="0" w:space="0" w:color="auto"/>
        <w:bottom w:val="none" w:sz="0" w:space="0" w:color="auto"/>
        <w:right w:val="none" w:sz="0" w:space="0" w:color="auto"/>
      </w:divBdr>
    </w:div>
    <w:div w:id="1331715604">
      <w:bodyDiv w:val="1"/>
      <w:marLeft w:val="0"/>
      <w:marRight w:val="0"/>
      <w:marTop w:val="0"/>
      <w:marBottom w:val="0"/>
      <w:divBdr>
        <w:top w:val="none" w:sz="0" w:space="0" w:color="auto"/>
        <w:left w:val="none" w:sz="0" w:space="0" w:color="auto"/>
        <w:bottom w:val="none" w:sz="0" w:space="0" w:color="auto"/>
        <w:right w:val="none" w:sz="0" w:space="0" w:color="auto"/>
      </w:divBdr>
    </w:div>
    <w:div w:id="1355617529">
      <w:bodyDiv w:val="1"/>
      <w:marLeft w:val="0"/>
      <w:marRight w:val="0"/>
      <w:marTop w:val="0"/>
      <w:marBottom w:val="0"/>
      <w:divBdr>
        <w:top w:val="none" w:sz="0" w:space="0" w:color="auto"/>
        <w:left w:val="none" w:sz="0" w:space="0" w:color="auto"/>
        <w:bottom w:val="none" w:sz="0" w:space="0" w:color="auto"/>
        <w:right w:val="none" w:sz="0" w:space="0" w:color="auto"/>
      </w:divBdr>
    </w:div>
    <w:div w:id="1361854237">
      <w:bodyDiv w:val="1"/>
      <w:marLeft w:val="0"/>
      <w:marRight w:val="0"/>
      <w:marTop w:val="0"/>
      <w:marBottom w:val="0"/>
      <w:divBdr>
        <w:top w:val="none" w:sz="0" w:space="0" w:color="auto"/>
        <w:left w:val="none" w:sz="0" w:space="0" w:color="auto"/>
        <w:bottom w:val="none" w:sz="0" w:space="0" w:color="auto"/>
        <w:right w:val="none" w:sz="0" w:space="0" w:color="auto"/>
      </w:divBdr>
    </w:div>
    <w:div w:id="14248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3375</Words>
  <Characters>22647</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2024042269_x000d_
SPC pkt. 4.4, 4.6 og overskrifter iht. QRD</dc:description>
  <cp:lastModifiedBy>Victoria Alexsandra Ringgaard</cp:lastModifiedBy>
  <cp:revision>3</cp:revision>
  <cp:lastPrinted>2012-08-22T08:53:00Z</cp:lastPrinted>
  <dcterms:created xsi:type="dcterms:W3CDTF">2024-07-10T07:44:00Z</dcterms:created>
  <dcterms:modified xsi:type="dcterms:W3CDTF">2024-07-10T07:49:00Z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