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D0F" w:rsidRPr="008F49E1" w:rsidRDefault="007F2D0F" w:rsidP="007F2D0F">
      <w:pPr>
        <w:rPr>
          <w:szCs w:val="24"/>
        </w:rPr>
      </w:pPr>
      <w:bookmarkStart w:id="0" w:name="_GoBack"/>
      <w:bookmarkEnd w:id="0"/>
      <w:r w:rsidRPr="007E432C">
        <w:rPr>
          <w:noProof/>
          <w:szCs w:val="24"/>
        </w:rPr>
        <w:drawing>
          <wp:inline distT="0" distB="0" distL="0" distR="0" wp14:anchorId="5A00F309" wp14:editId="71788AE4">
            <wp:extent cx="2432050" cy="685800"/>
            <wp:effectExtent l="0" t="0" r="6350" b="0"/>
            <wp:docPr id="2" name="Billede 2"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050" cy="685800"/>
                    </a:xfrm>
                    <a:prstGeom prst="rect">
                      <a:avLst/>
                    </a:prstGeom>
                    <a:noFill/>
                    <a:ln>
                      <a:noFill/>
                    </a:ln>
                  </pic:spPr>
                </pic:pic>
              </a:graphicData>
            </a:graphic>
          </wp:inline>
        </w:drawing>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noProof/>
          <w:spacing w:val="-3"/>
        </w:rPr>
      </w:pPr>
    </w:p>
    <w:p w:rsidR="007F2D0F" w:rsidRDefault="007F2D0F" w:rsidP="007F2D0F">
      <w:pPr>
        <w:tabs>
          <w:tab w:val="left" w:pos="0"/>
          <w:tab w:val="right" w:pos="9498"/>
        </w:tabs>
        <w:jc w:val="both"/>
        <w:rPr>
          <w:b/>
          <w:spacing w:val="-3"/>
        </w:rPr>
      </w:pPr>
      <w:r>
        <w:rPr>
          <w:b/>
          <w:spacing w:val="-3"/>
        </w:rPr>
        <w:tab/>
      </w:r>
      <w:r w:rsidR="00AD763C">
        <w:rPr>
          <w:b/>
          <w:spacing w:val="-3"/>
        </w:rPr>
        <w:t>23. marts 2020</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371"/>
        </w:tabs>
        <w:jc w:val="both"/>
        <w:rPr>
          <w:b/>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371"/>
        </w:tabs>
        <w:jc w:val="both"/>
        <w:rPr>
          <w:b/>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371"/>
        </w:tabs>
        <w:jc w:val="both"/>
        <w:rPr>
          <w:b/>
          <w:spacing w:val="-3"/>
        </w:rPr>
      </w:pPr>
    </w:p>
    <w:p w:rsidR="007F2D0F" w:rsidRDefault="007F2D0F" w:rsidP="007F2D0F">
      <w:pPr>
        <w:tabs>
          <w:tab w:val="center" w:pos="4536"/>
        </w:tabs>
        <w:jc w:val="center"/>
        <w:rPr>
          <w:b/>
          <w:spacing w:val="-3"/>
        </w:rPr>
      </w:pPr>
      <w:r>
        <w:rPr>
          <w:b/>
          <w:spacing w:val="-3"/>
        </w:rPr>
        <w:t>PRODUKTRESUMÉ</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rPr>
      </w:pPr>
    </w:p>
    <w:p w:rsidR="007F2D0F" w:rsidRDefault="007F2D0F" w:rsidP="007F2D0F">
      <w:pPr>
        <w:tabs>
          <w:tab w:val="center" w:pos="4536"/>
        </w:tabs>
        <w:jc w:val="center"/>
        <w:rPr>
          <w:b/>
          <w:spacing w:val="-3"/>
        </w:rPr>
      </w:pPr>
      <w:r>
        <w:rPr>
          <w:b/>
          <w:spacing w:val="-3"/>
        </w:rPr>
        <w:t>for</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rPr>
      </w:pPr>
    </w:p>
    <w:p w:rsidR="007F2D0F" w:rsidRDefault="007F2D0F" w:rsidP="007F2D0F">
      <w:pPr>
        <w:tabs>
          <w:tab w:val="center" w:pos="4536"/>
        </w:tabs>
        <w:jc w:val="center"/>
        <w:rPr>
          <w:b/>
          <w:spacing w:val="-3"/>
        </w:rPr>
      </w:pPr>
      <w:r>
        <w:rPr>
          <w:b/>
          <w:spacing w:val="-3"/>
        </w:rPr>
        <w:t>Daivonex, creme</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 xml:space="preserve">0.  </w:t>
      </w:r>
      <w:r>
        <w:rPr>
          <w:b/>
          <w:spacing w:val="-3"/>
        </w:rPr>
        <w:tab/>
        <w:t>D.SP.NR</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08490</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 xml:space="preserve">1. </w:t>
      </w:r>
      <w:r>
        <w:rPr>
          <w:b/>
          <w:spacing w:val="-3"/>
        </w:rPr>
        <w:tab/>
        <w:t>LÆGEMIDLETS NAVN</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Daivonex</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 xml:space="preserve">2. </w:t>
      </w:r>
      <w:r>
        <w:rPr>
          <w:b/>
          <w:spacing w:val="-3"/>
        </w:rPr>
        <w:tab/>
        <w:t>KVALITATIV OG KVATITATIV SAMMENSÆTNING</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firstLine="1"/>
        <w:jc w:val="both"/>
        <w:rPr>
          <w:spacing w:val="-3"/>
        </w:rPr>
      </w:pPr>
      <w:r>
        <w:rPr>
          <w:spacing w:val="-3"/>
        </w:rPr>
        <w:t>Calcipotriol 50 mikrogram/g som calcipotriolmonohydrat.</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firstLine="1"/>
        <w:jc w:val="both"/>
        <w:rPr>
          <w:spacing w:val="-3"/>
        </w:rPr>
      </w:pPr>
    </w:p>
    <w:p w:rsidR="007F2D0F" w:rsidRPr="007E47F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firstLine="1"/>
        <w:jc w:val="both"/>
        <w:rPr>
          <w:spacing w:val="-3"/>
          <w:u w:val="single"/>
        </w:rPr>
      </w:pPr>
      <w:r w:rsidRPr="007E47FF">
        <w:rPr>
          <w:spacing w:val="-3"/>
          <w:u w:val="single"/>
        </w:rPr>
        <w:t>Hjælpestoffer, som behandleren skal være opmærksom på</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firstLine="1"/>
        <w:jc w:val="both"/>
        <w:rPr>
          <w:spacing w:val="-3"/>
        </w:rPr>
      </w:pPr>
      <w:r>
        <w:rPr>
          <w:spacing w:val="-3"/>
        </w:rPr>
        <w:t>C</w:t>
      </w:r>
      <w:r w:rsidRPr="00725884">
        <w:rPr>
          <w:spacing w:val="-3"/>
        </w:rPr>
        <w:t>etostearylalkohol og</w:t>
      </w:r>
      <w:r>
        <w:rPr>
          <w:spacing w:val="-3"/>
        </w:rPr>
        <w:t xml:space="preserve"> </w:t>
      </w:r>
      <w:r w:rsidRPr="00725884">
        <w:rPr>
          <w:spacing w:val="-3"/>
        </w:rPr>
        <w:t>diazolidinyl urea.</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firstLine="1"/>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firstLine="1"/>
        <w:jc w:val="both"/>
        <w:rPr>
          <w:spacing w:val="-3"/>
        </w:rPr>
      </w:pPr>
      <w:r>
        <w:rPr>
          <w:spacing w:val="-3"/>
        </w:rPr>
        <w:t>Alle jælpestoffer er anført under pkt. 6.1.</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firstLine="1"/>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 xml:space="preserve">3. </w:t>
      </w:r>
      <w:r>
        <w:rPr>
          <w:b/>
          <w:spacing w:val="-3"/>
        </w:rPr>
        <w:tab/>
        <w:t>LÆGEMIDDELFORM</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Creme</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b/>
          <w:spacing w:val="-3"/>
        </w:rPr>
        <w:t xml:space="preserve">4. </w:t>
      </w:r>
      <w:r>
        <w:rPr>
          <w:b/>
          <w:spacing w:val="-3"/>
        </w:rPr>
        <w:tab/>
        <w:t>KLINISKE OPLYSNINGER</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4.1</w:t>
      </w:r>
      <w:r>
        <w:rPr>
          <w:b/>
          <w:spacing w:val="-3"/>
        </w:rPr>
        <w:tab/>
        <w:t>Terapeutiske indikationer</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Psoriasis vulgaris.</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Daivonex creme kan også anvendes i kombination med potent kortikosteroider.</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4.2</w:t>
      </w:r>
      <w:r>
        <w:rPr>
          <w:b/>
          <w:spacing w:val="-3"/>
        </w:rPr>
        <w:tab/>
        <w:t>Dosering og indgivelsesmåde</w:t>
      </w:r>
    </w:p>
    <w:p w:rsidR="007F2D0F" w:rsidRDefault="007F2D0F" w:rsidP="007F2D0F">
      <w:pPr>
        <w:tabs>
          <w:tab w:val="left" w:pos="600"/>
          <w:tab w:val="left" w:pos="1000"/>
        </w:tabs>
        <w:ind w:left="851"/>
        <w:rPr>
          <w:szCs w:val="24"/>
        </w:rPr>
      </w:pPr>
    </w:p>
    <w:p w:rsidR="007F2D0F" w:rsidRPr="007E47FF" w:rsidRDefault="007F2D0F" w:rsidP="007F2D0F">
      <w:pPr>
        <w:tabs>
          <w:tab w:val="left" w:pos="600"/>
          <w:tab w:val="left" w:pos="1000"/>
        </w:tabs>
        <w:ind w:left="851"/>
        <w:rPr>
          <w:szCs w:val="24"/>
          <w:u w:val="single"/>
        </w:rPr>
      </w:pPr>
      <w:r w:rsidRPr="007E47FF">
        <w:rPr>
          <w:szCs w:val="24"/>
          <w:u w:val="single"/>
        </w:rPr>
        <w:t>Voksne</w:t>
      </w:r>
    </w:p>
    <w:p w:rsidR="007F2D0F" w:rsidRPr="00DA31C2" w:rsidRDefault="007F2D0F" w:rsidP="007F2D0F">
      <w:pPr>
        <w:tabs>
          <w:tab w:val="left" w:pos="600"/>
          <w:tab w:val="left" w:pos="1000"/>
        </w:tabs>
        <w:ind w:left="851"/>
        <w:rPr>
          <w:szCs w:val="24"/>
        </w:rPr>
      </w:pPr>
      <w:r w:rsidRPr="00DA31C2">
        <w:rPr>
          <w:szCs w:val="24"/>
        </w:rPr>
        <w:t>Påsmøring på de afficerede områder 1-2 gange daglig.</w:t>
      </w:r>
    </w:p>
    <w:p w:rsidR="007F2D0F" w:rsidRPr="00DA31C2" w:rsidRDefault="007F2D0F" w:rsidP="007F2D0F">
      <w:pPr>
        <w:tabs>
          <w:tab w:val="left" w:pos="600"/>
          <w:tab w:val="left" w:pos="1000"/>
        </w:tabs>
        <w:ind w:left="851"/>
        <w:rPr>
          <w:szCs w:val="24"/>
        </w:rPr>
      </w:pPr>
      <w:r w:rsidRPr="00DA31C2">
        <w:rPr>
          <w:szCs w:val="24"/>
        </w:rPr>
        <w:t>I starten af behandlingen påsmøres cremen sædvanligvis 2 gange daglig. Derefter kan påsmøringen efter behov reduceres til 1 gang daglig.</w:t>
      </w:r>
    </w:p>
    <w:p w:rsidR="007F2D0F" w:rsidRPr="00DA31C2" w:rsidRDefault="007F2D0F" w:rsidP="007F2D0F">
      <w:pPr>
        <w:ind w:left="851"/>
        <w:rPr>
          <w:b/>
          <w:szCs w:val="24"/>
        </w:rPr>
      </w:pPr>
    </w:p>
    <w:p w:rsidR="007F2D0F" w:rsidRPr="00DA31C2" w:rsidRDefault="007F2D0F" w:rsidP="007F2D0F">
      <w:pPr>
        <w:tabs>
          <w:tab w:val="left" w:pos="-70"/>
          <w:tab w:val="left" w:pos="1000"/>
        </w:tabs>
        <w:ind w:left="851"/>
        <w:rPr>
          <w:szCs w:val="24"/>
        </w:rPr>
      </w:pPr>
      <w:r w:rsidRPr="00DA31C2">
        <w:rPr>
          <w:szCs w:val="24"/>
        </w:rPr>
        <w:t>Cremen er ligeledes effektiv og tolerabel i kombination med potent kortikosteroid-</w:t>
      </w:r>
    </w:p>
    <w:p w:rsidR="007F2D0F" w:rsidRPr="00DA31C2" w:rsidRDefault="007F2D0F" w:rsidP="007F2D0F">
      <w:pPr>
        <w:tabs>
          <w:tab w:val="left" w:pos="-70"/>
          <w:tab w:val="left" w:pos="1000"/>
        </w:tabs>
        <w:ind w:left="851"/>
        <w:rPr>
          <w:szCs w:val="24"/>
        </w:rPr>
      </w:pPr>
      <w:r w:rsidRPr="00DA31C2">
        <w:rPr>
          <w:szCs w:val="24"/>
        </w:rPr>
        <w:t>behandling (fx Daivonex morgen og steroid aften).</w:t>
      </w:r>
    </w:p>
    <w:p w:rsidR="007F2D0F" w:rsidRPr="00DA31C2" w:rsidRDefault="007F2D0F" w:rsidP="007F2D0F">
      <w:pPr>
        <w:tabs>
          <w:tab w:val="left" w:pos="-70"/>
          <w:tab w:val="left" w:pos="1000"/>
        </w:tabs>
        <w:ind w:left="851"/>
        <w:rPr>
          <w:szCs w:val="24"/>
        </w:rPr>
      </w:pPr>
    </w:p>
    <w:p w:rsidR="007F2D0F" w:rsidRPr="00DA31C2" w:rsidRDefault="007F2D0F" w:rsidP="007F2D0F">
      <w:pPr>
        <w:ind w:left="851"/>
        <w:rPr>
          <w:szCs w:val="24"/>
        </w:rPr>
      </w:pPr>
      <w:r w:rsidRPr="00DA31C2">
        <w:rPr>
          <w:szCs w:val="24"/>
        </w:rPr>
        <w:t>Den maksimale dosis, som anvendes af en voksen, bør ikke overskride 100 g pr. uge (ækvivalent til 5 mg calcipotriol).</w:t>
      </w:r>
    </w:p>
    <w:p w:rsidR="007F2D0F" w:rsidRPr="00DA31C2" w:rsidRDefault="007F2D0F" w:rsidP="007F2D0F">
      <w:pPr>
        <w:ind w:left="851"/>
        <w:rPr>
          <w:szCs w:val="24"/>
        </w:rPr>
      </w:pPr>
    </w:p>
    <w:p w:rsidR="007F2D0F" w:rsidRPr="00DA31C2" w:rsidRDefault="007F2D0F" w:rsidP="007F2D0F">
      <w:pPr>
        <w:ind w:left="851"/>
        <w:rPr>
          <w:szCs w:val="24"/>
        </w:rPr>
      </w:pPr>
      <w:r w:rsidRPr="00DA31C2">
        <w:rPr>
          <w:szCs w:val="24"/>
        </w:rPr>
        <w:t>Hvis Daivonex creme, salve eller kutanopløsning anvendes sammen, bør den totale dosis af calcipotriol ikke overstige 5 mg pr. uge. Hvis der samtidig anvendes andre lægemidler indeholdende calcipotriol, bør den totale ugentlige dosis af alle produkter indeholdende calcipotriol, herunder Daivonex, ikke overstige 5 mg calcipotriol.</w:t>
      </w:r>
    </w:p>
    <w:p w:rsidR="007F2D0F" w:rsidRPr="00DA31C2"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zCs w:val="24"/>
        </w:rPr>
      </w:pPr>
    </w:p>
    <w:p w:rsidR="007F2D0F" w:rsidRPr="00DA31C2"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zCs w:val="24"/>
        </w:rPr>
      </w:pPr>
      <w:r w:rsidRPr="00DA31C2">
        <w:rPr>
          <w:szCs w:val="24"/>
        </w:rPr>
        <w:tab/>
        <w:t>Daivonex er ikke undersøgt hos patienter med alvorlig nedsat nyre- eller alvorlig nedsat leverfunktion.</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4.3</w:t>
      </w:r>
      <w:r>
        <w:rPr>
          <w:b/>
          <w:spacing w:val="-3"/>
        </w:rPr>
        <w:tab/>
        <w:t>Kontraindikationer</w:t>
      </w:r>
    </w:p>
    <w:p w:rsidR="007F2D0F" w:rsidRPr="00222032" w:rsidRDefault="007F2D0F" w:rsidP="007F2D0F">
      <w:pPr>
        <w:numPr>
          <w:ilvl w:val="0"/>
          <w:numId w:val="7"/>
        </w:numPr>
        <w:tabs>
          <w:tab w:val="clear" w:pos="720"/>
          <w:tab w:val="num" w:pos="1134"/>
        </w:tabs>
        <w:ind w:left="1134" w:hanging="283"/>
        <w:rPr>
          <w:szCs w:val="24"/>
        </w:rPr>
      </w:pPr>
      <w:r w:rsidRPr="00E66310">
        <w:rPr>
          <w:iCs/>
        </w:rPr>
        <w:t xml:space="preserve">På grund af indholdet af calcipotriol er </w:t>
      </w:r>
      <w:r w:rsidRPr="0014609B">
        <w:rPr>
          <w:iCs/>
        </w:rPr>
        <w:t xml:space="preserve">Daivonex kontraindiceret </w:t>
      </w:r>
      <w:r>
        <w:rPr>
          <w:iCs/>
        </w:rPr>
        <w:t>hos</w:t>
      </w:r>
      <w:r w:rsidRPr="00E66310">
        <w:rPr>
          <w:iCs/>
        </w:rPr>
        <w:t xml:space="preserve"> patienter med forstyrrelser i</w:t>
      </w:r>
      <w:r w:rsidRPr="00222032">
        <w:rPr>
          <w:iCs/>
          <w:szCs w:val="24"/>
        </w:rPr>
        <w:t xml:space="preserve"> calciumstofskiftet.</w:t>
      </w:r>
    </w:p>
    <w:p w:rsidR="007F2D0F" w:rsidRPr="00A4671D" w:rsidRDefault="007F2D0F" w:rsidP="007F2D0F">
      <w:pPr>
        <w:numPr>
          <w:ilvl w:val="0"/>
          <w:numId w:val="7"/>
        </w:numPr>
        <w:tabs>
          <w:tab w:val="clear" w:pos="720"/>
          <w:tab w:val="num" w:pos="1134"/>
        </w:tabs>
        <w:ind w:left="1134" w:hanging="283"/>
      </w:pPr>
      <w:r w:rsidRPr="00A4671D">
        <w:t>Overfølsomhed over for det aktive stof eller over for et eller flere af hjælpestofferne</w:t>
      </w:r>
      <w:r>
        <w:t xml:space="preserve"> anført i pkt. 6.1.</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4.4</w:t>
      </w:r>
      <w:r>
        <w:rPr>
          <w:b/>
          <w:spacing w:val="-3"/>
        </w:rPr>
        <w:tab/>
        <w:t>Særlige advarsler og forsigtighedsregler vedrørende brugen</w:t>
      </w:r>
    </w:p>
    <w:p w:rsidR="007F2D0F" w:rsidRPr="00D477FB" w:rsidRDefault="007F2D0F" w:rsidP="007F2D0F">
      <w:pPr>
        <w:tabs>
          <w:tab w:val="left" w:pos="71"/>
          <w:tab w:val="left" w:pos="851"/>
          <w:tab w:val="left" w:pos="1701"/>
          <w:tab w:val="left" w:pos="2552"/>
          <w:tab w:val="left" w:pos="3403"/>
          <w:tab w:val="left" w:pos="4254"/>
          <w:tab w:val="left" w:pos="5105"/>
          <w:tab w:val="left" w:pos="5955"/>
          <w:tab w:val="left" w:pos="6806"/>
          <w:tab w:val="left" w:pos="7657"/>
          <w:tab w:val="left" w:pos="8508"/>
        </w:tabs>
        <w:ind w:left="851"/>
        <w:rPr>
          <w:szCs w:val="24"/>
        </w:rPr>
      </w:pPr>
    </w:p>
    <w:p w:rsidR="007F2D0F" w:rsidRPr="00D477FB" w:rsidRDefault="007F2D0F" w:rsidP="007F2D0F">
      <w:pPr>
        <w:tabs>
          <w:tab w:val="left" w:pos="71"/>
          <w:tab w:val="left" w:pos="851"/>
          <w:tab w:val="left" w:pos="1701"/>
          <w:tab w:val="left" w:pos="2552"/>
          <w:tab w:val="left" w:pos="3403"/>
          <w:tab w:val="left" w:pos="4254"/>
          <w:tab w:val="left" w:pos="5105"/>
          <w:tab w:val="left" w:pos="5955"/>
          <w:tab w:val="left" w:pos="6806"/>
          <w:tab w:val="left" w:pos="7657"/>
          <w:tab w:val="left" w:pos="8508"/>
        </w:tabs>
        <w:ind w:left="851"/>
        <w:rPr>
          <w:szCs w:val="24"/>
          <w:u w:val="single"/>
        </w:rPr>
      </w:pPr>
      <w:r>
        <w:rPr>
          <w:szCs w:val="24"/>
          <w:u w:val="single"/>
        </w:rPr>
        <w:t>Effekt på calciummetabolismen</w:t>
      </w:r>
    </w:p>
    <w:p w:rsidR="007F2D0F" w:rsidRPr="00D477FB" w:rsidRDefault="007F2D0F" w:rsidP="007F2D0F">
      <w:pPr>
        <w:tabs>
          <w:tab w:val="left" w:pos="71"/>
          <w:tab w:val="left" w:pos="851"/>
          <w:tab w:val="left" w:pos="1701"/>
          <w:tab w:val="left" w:pos="2552"/>
          <w:tab w:val="left" w:pos="3403"/>
          <w:tab w:val="left" w:pos="4254"/>
          <w:tab w:val="left" w:pos="5105"/>
          <w:tab w:val="left" w:pos="5955"/>
          <w:tab w:val="left" w:pos="6806"/>
          <w:tab w:val="left" w:pos="7657"/>
          <w:tab w:val="left" w:pos="8508"/>
        </w:tabs>
        <w:ind w:left="851"/>
        <w:rPr>
          <w:szCs w:val="24"/>
        </w:rPr>
      </w:pPr>
      <w:r w:rsidRPr="00D477FB">
        <w:rPr>
          <w:szCs w:val="24"/>
        </w:rPr>
        <w:t xml:space="preserve">Der kan forekomme hypercalcæmi pga. indholdet af calcipotriol. Serum calcium normaliseres, når behandlingen seponeres. Risikoen for hypercalcæmi er minimal, hvis den maksimale ugentlige dosis af Daivonex ikke overskrides (se pkt. 4.2). </w:t>
      </w:r>
    </w:p>
    <w:p w:rsidR="007F2D0F" w:rsidRPr="00D477FB" w:rsidRDefault="007F2D0F" w:rsidP="007F2D0F">
      <w:pPr>
        <w:tabs>
          <w:tab w:val="left" w:pos="71"/>
          <w:tab w:val="left" w:pos="851"/>
          <w:tab w:val="left" w:pos="1701"/>
          <w:tab w:val="left" w:pos="2552"/>
          <w:tab w:val="left" w:pos="3403"/>
          <w:tab w:val="left" w:pos="4254"/>
          <w:tab w:val="left" w:pos="5105"/>
          <w:tab w:val="left" w:pos="5955"/>
          <w:tab w:val="left" w:pos="6806"/>
          <w:tab w:val="left" w:pos="7657"/>
          <w:tab w:val="left" w:pos="8508"/>
        </w:tabs>
        <w:ind w:left="851"/>
        <w:rPr>
          <w:szCs w:val="24"/>
        </w:rPr>
      </w:pPr>
    </w:p>
    <w:p w:rsidR="007F2D0F" w:rsidRPr="00D477FB" w:rsidRDefault="007F2D0F" w:rsidP="007F2D0F">
      <w:pPr>
        <w:tabs>
          <w:tab w:val="left" w:pos="71"/>
          <w:tab w:val="left" w:pos="851"/>
          <w:tab w:val="left" w:pos="1701"/>
          <w:tab w:val="left" w:pos="2552"/>
          <w:tab w:val="left" w:pos="3403"/>
          <w:tab w:val="left" w:pos="4254"/>
          <w:tab w:val="left" w:pos="5105"/>
          <w:tab w:val="left" w:pos="5955"/>
          <w:tab w:val="left" w:pos="6806"/>
          <w:tab w:val="left" w:pos="7657"/>
          <w:tab w:val="left" w:pos="8508"/>
        </w:tabs>
        <w:ind w:left="851"/>
        <w:rPr>
          <w:szCs w:val="24"/>
          <w:u w:val="single"/>
        </w:rPr>
      </w:pPr>
      <w:r>
        <w:rPr>
          <w:szCs w:val="24"/>
          <w:u w:val="single"/>
        </w:rPr>
        <w:t>Lokal bivirkning</w:t>
      </w:r>
    </w:p>
    <w:p w:rsidR="007F2D0F" w:rsidRPr="00D477FB" w:rsidRDefault="007F2D0F" w:rsidP="007F2D0F">
      <w:pPr>
        <w:tabs>
          <w:tab w:val="left" w:pos="71"/>
          <w:tab w:val="left" w:pos="851"/>
          <w:tab w:val="left" w:pos="1701"/>
          <w:tab w:val="left" w:pos="2552"/>
          <w:tab w:val="left" w:pos="3403"/>
          <w:tab w:val="left" w:pos="4254"/>
          <w:tab w:val="left" w:pos="5105"/>
          <w:tab w:val="left" w:pos="5955"/>
          <w:tab w:val="left" w:pos="6806"/>
          <w:tab w:val="left" w:pos="7657"/>
          <w:tab w:val="left" w:pos="8508"/>
        </w:tabs>
        <w:ind w:left="851"/>
        <w:rPr>
          <w:szCs w:val="24"/>
        </w:rPr>
      </w:pPr>
      <w:r w:rsidRPr="00D477FB">
        <w:rPr>
          <w:szCs w:val="24"/>
        </w:rPr>
        <w:t>Daivonex bør ikke anvendes i ansigtet.</w:t>
      </w:r>
    </w:p>
    <w:p w:rsidR="007F2D0F" w:rsidRPr="00D477FB" w:rsidRDefault="007F2D0F" w:rsidP="007F2D0F">
      <w:pPr>
        <w:tabs>
          <w:tab w:val="left" w:pos="71"/>
          <w:tab w:val="left" w:pos="851"/>
          <w:tab w:val="left" w:pos="1701"/>
          <w:tab w:val="left" w:pos="2552"/>
          <w:tab w:val="left" w:pos="3403"/>
          <w:tab w:val="left" w:pos="4254"/>
          <w:tab w:val="left" w:pos="5105"/>
          <w:tab w:val="left" w:pos="5955"/>
          <w:tab w:val="left" w:pos="6806"/>
          <w:tab w:val="left" w:pos="7657"/>
          <w:tab w:val="left" w:pos="8508"/>
        </w:tabs>
        <w:ind w:left="851"/>
        <w:rPr>
          <w:szCs w:val="24"/>
        </w:rPr>
      </w:pPr>
    </w:p>
    <w:p w:rsidR="007F2D0F" w:rsidRPr="00D477FB" w:rsidRDefault="007F2D0F" w:rsidP="007F2D0F">
      <w:pPr>
        <w:tabs>
          <w:tab w:val="left" w:pos="71"/>
          <w:tab w:val="left" w:pos="851"/>
          <w:tab w:val="left" w:pos="1701"/>
          <w:tab w:val="left" w:pos="2552"/>
          <w:tab w:val="left" w:pos="3403"/>
          <w:tab w:val="left" w:pos="4254"/>
          <w:tab w:val="left" w:pos="5105"/>
          <w:tab w:val="left" w:pos="5955"/>
          <w:tab w:val="left" w:pos="6806"/>
          <w:tab w:val="left" w:pos="7657"/>
          <w:tab w:val="left" w:pos="8508"/>
        </w:tabs>
        <w:ind w:left="851"/>
        <w:rPr>
          <w:szCs w:val="24"/>
        </w:rPr>
      </w:pPr>
      <w:r w:rsidRPr="00D477FB">
        <w:rPr>
          <w:szCs w:val="24"/>
        </w:rPr>
        <w:t>Patienten bør instrueres i korrekt anvendelse af produktet for at undgå utilsigtet overførsel til ansigt og øjne. Efter brug vaskes hænderne for at undgå utilsigtet overførsel til disse områder.</w:t>
      </w:r>
    </w:p>
    <w:p w:rsidR="007F2D0F" w:rsidRPr="00D477FB" w:rsidRDefault="007F2D0F" w:rsidP="007F2D0F">
      <w:pPr>
        <w:tabs>
          <w:tab w:val="left" w:pos="71"/>
          <w:tab w:val="left" w:pos="851"/>
          <w:tab w:val="left" w:pos="1701"/>
          <w:tab w:val="left" w:pos="2552"/>
          <w:tab w:val="left" w:pos="3403"/>
          <w:tab w:val="left" w:pos="4254"/>
          <w:tab w:val="left" w:pos="5105"/>
          <w:tab w:val="left" w:pos="5955"/>
          <w:tab w:val="left" w:pos="6806"/>
          <w:tab w:val="left" w:pos="7657"/>
          <w:tab w:val="left" w:pos="8508"/>
        </w:tabs>
        <w:ind w:left="851"/>
        <w:rPr>
          <w:szCs w:val="24"/>
        </w:rPr>
      </w:pPr>
    </w:p>
    <w:p w:rsidR="007F2D0F" w:rsidRPr="00D477FB" w:rsidRDefault="007F2D0F" w:rsidP="007F2D0F">
      <w:pPr>
        <w:tabs>
          <w:tab w:val="left" w:pos="71"/>
          <w:tab w:val="left" w:pos="851"/>
          <w:tab w:val="left" w:pos="1701"/>
          <w:tab w:val="left" w:pos="2552"/>
          <w:tab w:val="left" w:pos="3403"/>
          <w:tab w:val="left" w:pos="4254"/>
          <w:tab w:val="left" w:pos="5105"/>
          <w:tab w:val="left" w:pos="5955"/>
          <w:tab w:val="left" w:pos="6806"/>
          <w:tab w:val="left" w:pos="7657"/>
          <w:tab w:val="left" w:pos="8508"/>
        </w:tabs>
        <w:ind w:left="851"/>
        <w:rPr>
          <w:szCs w:val="24"/>
        </w:rPr>
      </w:pPr>
      <w:r w:rsidRPr="00D477FB">
        <w:rPr>
          <w:szCs w:val="24"/>
        </w:rPr>
        <w:t>Daivonex bør anvendes med forsigtighed i hudfoldere, da det kan medføre øget risiko for at udvikle bivirkninger (se pkt. 4.8).</w:t>
      </w:r>
    </w:p>
    <w:p w:rsidR="007F2D0F" w:rsidRPr="00D477FB" w:rsidRDefault="007F2D0F" w:rsidP="007F2D0F">
      <w:pPr>
        <w:tabs>
          <w:tab w:val="left" w:pos="71"/>
          <w:tab w:val="left" w:pos="851"/>
          <w:tab w:val="left" w:pos="1701"/>
          <w:tab w:val="left" w:pos="2552"/>
          <w:tab w:val="left" w:pos="3403"/>
          <w:tab w:val="left" w:pos="4254"/>
          <w:tab w:val="left" w:pos="5105"/>
          <w:tab w:val="left" w:pos="5955"/>
          <w:tab w:val="left" w:pos="6806"/>
          <w:tab w:val="left" w:pos="7657"/>
          <w:tab w:val="left" w:pos="8508"/>
        </w:tabs>
        <w:ind w:left="851"/>
        <w:rPr>
          <w:szCs w:val="24"/>
        </w:rPr>
      </w:pPr>
    </w:p>
    <w:p w:rsidR="007F2D0F" w:rsidRPr="00D477FB" w:rsidRDefault="007F2D0F" w:rsidP="007F2D0F">
      <w:pPr>
        <w:tabs>
          <w:tab w:val="left" w:pos="71"/>
          <w:tab w:val="left" w:pos="851"/>
          <w:tab w:val="left" w:pos="1701"/>
          <w:tab w:val="left" w:pos="2552"/>
          <w:tab w:val="left" w:pos="3403"/>
          <w:tab w:val="left" w:pos="4254"/>
          <w:tab w:val="left" w:pos="5105"/>
          <w:tab w:val="left" w:pos="5955"/>
          <w:tab w:val="left" w:pos="6806"/>
          <w:tab w:val="left" w:pos="7657"/>
          <w:tab w:val="left" w:pos="8508"/>
        </w:tabs>
        <w:ind w:left="851"/>
        <w:rPr>
          <w:szCs w:val="24"/>
          <w:u w:val="single"/>
        </w:rPr>
      </w:pPr>
      <w:r>
        <w:rPr>
          <w:szCs w:val="24"/>
          <w:u w:val="single"/>
        </w:rPr>
        <w:t>UV-eksponering</w:t>
      </w:r>
    </w:p>
    <w:p w:rsidR="007F2D0F" w:rsidRPr="00D477FB" w:rsidRDefault="007F2D0F" w:rsidP="007F2D0F">
      <w:pPr>
        <w:ind w:left="851" w:hanging="851"/>
        <w:rPr>
          <w:rFonts w:eastAsia="SimSun"/>
          <w:color w:val="000000"/>
          <w:szCs w:val="24"/>
          <w:lang w:eastAsia="zh-CN"/>
        </w:rPr>
      </w:pPr>
      <w:r w:rsidRPr="00D477FB">
        <w:rPr>
          <w:szCs w:val="24"/>
        </w:rPr>
        <w:tab/>
      </w:r>
      <w:r w:rsidRPr="00D477FB">
        <w:rPr>
          <w:rFonts w:eastAsia="SimSun"/>
          <w:color w:val="000000"/>
          <w:szCs w:val="24"/>
          <w:lang w:eastAsia="zh-CN"/>
        </w:rPr>
        <w:t xml:space="preserve">Under behandlingen med Daivonex, anbefales lægen at råde patienten til at begrænse eller undgå overdreven eksponering af både naturlig eller kunstig sollys. </w:t>
      </w:r>
      <w:r w:rsidRPr="00D477FB">
        <w:rPr>
          <w:szCs w:val="24"/>
        </w:rPr>
        <w:t>Daivonex bør</w:t>
      </w:r>
      <w:r w:rsidRPr="00D477FB">
        <w:rPr>
          <w:rFonts w:eastAsia="SimSun"/>
          <w:color w:val="000000"/>
          <w:szCs w:val="24"/>
          <w:lang w:eastAsia="zh-CN"/>
        </w:rPr>
        <w:t xml:space="preserve"> kun bruges sammen med UV-stråling, hvis lægen og patienten vurderer, at den potentielle fordel opvejer den potentielle risiko.</w:t>
      </w:r>
    </w:p>
    <w:p w:rsidR="007F2D0F" w:rsidRDefault="007F2D0F" w:rsidP="007F2D0F">
      <w:pPr>
        <w:ind w:left="851" w:hanging="851"/>
        <w:rPr>
          <w:rFonts w:eastAsia="SimSun"/>
          <w:color w:val="000000"/>
          <w:szCs w:val="24"/>
          <w:lang w:eastAsia="zh-CN"/>
        </w:rPr>
      </w:pPr>
    </w:p>
    <w:p w:rsidR="007F2D0F" w:rsidRPr="00C34CBD" w:rsidRDefault="007F2D0F" w:rsidP="007F2D0F">
      <w:pPr>
        <w:ind w:left="851"/>
        <w:rPr>
          <w:rFonts w:eastAsia="SimSun"/>
          <w:color w:val="000000"/>
          <w:szCs w:val="24"/>
          <w:u w:val="single"/>
          <w:lang w:eastAsia="zh-CN"/>
        </w:rPr>
      </w:pPr>
      <w:r>
        <w:rPr>
          <w:rFonts w:eastAsia="SimSun"/>
          <w:color w:val="000000"/>
          <w:szCs w:val="24"/>
          <w:u w:val="single"/>
          <w:lang w:eastAsia="zh-CN"/>
        </w:rPr>
        <w:t>Ikke evalueret anvendelse</w:t>
      </w:r>
    </w:p>
    <w:p w:rsidR="007F2D0F" w:rsidRPr="00C34CBD" w:rsidRDefault="007F2D0F" w:rsidP="007F2D0F">
      <w:pPr>
        <w:ind w:left="851" w:hanging="851"/>
        <w:rPr>
          <w:rFonts w:eastAsia="SimSun"/>
          <w:color w:val="000000"/>
          <w:szCs w:val="24"/>
          <w:lang w:eastAsia="zh-CN"/>
        </w:rPr>
      </w:pPr>
      <w:r w:rsidRPr="00C34CBD">
        <w:rPr>
          <w:rFonts w:eastAsia="SimSun"/>
          <w:color w:val="000000"/>
          <w:szCs w:val="24"/>
          <w:lang w:eastAsia="zh-CN"/>
        </w:rPr>
        <w:tab/>
        <w:t>Daivonex bør undgås ved guttat-, erythrodermisk- og pustuløs psoriasis.</w:t>
      </w:r>
    </w:p>
    <w:p w:rsidR="007F2D0F" w:rsidRPr="00C34CBD" w:rsidRDefault="007F2D0F" w:rsidP="007F2D0F">
      <w:pPr>
        <w:ind w:left="851" w:hanging="851"/>
        <w:rPr>
          <w:rFonts w:eastAsia="SimSun"/>
          <w:color w:val="000000"/>
          <w:szCs w:val="24"/>
          <w:lang w:eastAsia="zh-CN"/>
        </w:rPr>
      </w:pPr>
    </w:p>
    <w:p w:rsidR="007F2D0F" w:rsidRPr="00C34CBD" w:rsidRDefault="007F2D0F" w:rsidP="007F2D0F">
      <w:pPr>
        <w:ind w:left="851" w:hanging="851"/>
        <w:rPr>
          <w:rFonts w:eastAsia="SimSun"/>
          <w:color w:val="000000"/>
          <w:szCs w:val="24"/>
          <w:u w:val="single"/>
          <w:lang w:eastAsia="zh-CN"/>
        </w:rPr>
      </w:pPr>
      <w:r w:rsidRPr="00C34CBD">
        <w:rPr>
          <w:rFonts w:eastAsia="SimSun"/>
          <w:color w:val="000000"/>
          <w:szCs w:val="24"/>
          <w:lang w:eastAsia="zh-CN"/>
        </w:rPr>
        <w:tab/>
      </w:r>
      <w:r w:rsidRPr="00C34CBD">
        <w:rPr>
          <w:rFonts w:eastAsia="SimSun"/>
          <w:color w:val="000000"/>
          <w:szCs w:val="24"/>
          <w:u w:val="single"/>
          <w:lang w:eastAsia="zh-CN"/>
        </w:rPr>
        <w:t>Bivir</w:t>
      </w:r>
      <w:r>
        <w:rPr>
          <w:rFonts w:eastAsia="SimSun"/>
          <w:color w:val="000000"/>
          <w:szCs w:val="24"/>
          <w:u w:val="single"/>
          <w:lang w:eastAsia="zh-CN"/>
        </w:rPr>
        <w:t>kninger over for hjælpestoffer</w:t>
      </w:r>
    </w:p>
    <w:p w:rsidR="007F2D0F" w:rsidRDefault="007F2D0F" w:rsidP="007F2D0F">
      <w:pPr>
        <w:ind w:left="851" w:hanging="851"/>
        <w:rPr>
          <w:rFonts w:eastAsia="SimSun"/>
          <w:color w:val="000000"/>
          <w:szCs w:val="24"/>
          <w:lang w:eastAsia="zh-CN"/>
        </w:rPr>
      </w:pPr>
      <w:r w:rsidRPr="00C34CBD">
        <w:rPr>
          <w:rFonts w:eastAsia="SimSun"/>
          <w:color w:val="000000"/>
          <w:szCs w:val="24"/>
          <w:lang w:eastAsia="zh-CN"/>
        </w:rPr>
        <w:tab/>
        <w:t>Daivonex creme indeholder cetostearylalkohol, der kan give lokalt hududslæt (fx kontaktdermatitis).</w:t>
      </w:r>
      <w:r>
        <w:rPr>
          <w:rFonts w:eastAsia="SimSun"/>
          <w:color w:val="000000"/>
          <w:szCs w:val="24"/>
          <w:lang w:eastAsia="zh-CN"/>
        </w:rPr>
        <w:t xml:space="preserve"> Daivonex creme indeholder hjælpestoffet diazolidinyl urea. Diazolidinyl urea frigiver formaldehyd, der kan give lokalt hududslæt (fx kontaktdermatitis).</w:t>
      </w:r>
    </w:p>
    <w:p w:rsidR="007F2D0F" w:rsidRDefault="007F2D0F" w:rsidP="007F2D0F">
      <w:pPr>
        <w:ind w:left="851" w:hanging="851"/>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4.5</w:t>
      </w:r>
      <w:r>
        <w:rPr>
          <w:b/>
          <w:spacing w:val="-3"/>
        </w:rPr>
        <w:tab/>
        <w:t>Interaktion med andre lægemidler og andre former for interaktion</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Cs w:val="24"/>
        </w:rPr>
      </w:pPr>
      <w:r w:rsidRPr="00F45F25">
        <w:rPr>
          <w:spacing w:val="-3"/>
          <w:szCs w:val="24"/>
        </w:rPr>
        <w:tab/>
        <w:t>Der er ikke udført interaktionsstudier.</w:t>
      </w:r>
    </w:p>
    <w:p w:rsidR="007F2D0F" w:rsidRPr="00F45F25"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Cs w:val="24"/>
        </w:rPr>
      </w:pPr>
      <w:r w:rsidRPr="00F45F25">
        <w:rPr>
          <w:spacing w:val="-3"/>
          <w:szCs w:val="24"/>
        </w:rPr>
        <w:t xml:space="preserve">  </w:t>
      </w:r>
      <w:r w:rsidRPr="00F45F25">
        <w:rPr>
          <w:spacing w:val="-3"/>
          <w:szCs w:val="24"/>
        </w:rPr>
        <w:tab/>
      </w:r>
    </w:p>
    <w:p w:rsidR="007F2D0F" w:rsidRDefault="007F2D0F" w:rsidP="007F2D0F">
      <w:pPr>
        <w:keepNext/>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lastRenderedPageBreak/>
        <w:t>4.6</w:t>
      </w:r>
      <w:r>
        <w:rPr>
          <w:b/>
          <w:spacing w:val="-3"/>
        </w:rPr>
        <w:tab/>
        <w:t>Graviditet og amning</w:t>
      </w:r>
    </w:p>
    <w:p w:rsidR="007F2D0F" w:rsidRPr="00F45F25" w:rsidRDefault="007F2D0F" w:rsidP="007F2D0F">
      <w:pPr>
        <w:keepNext/>
        <w:tabs>
          <w:tab w:val="left" w:pos="355"/>
          <w:tab w:val="left" w:pos="600"/>
          <w:tab w:val="left" w:pos="1000"/>
        </w:tabs>
        <w:ind w:left="709" w:firstLine="142"/>
        <w:rPr>
          <w:szCs w:val="24"/>
        </w:rPr>
      </w:pPr>
    </w:p>
    <w:p w:rsidR="007F2D0F" w:rsidRPr="00F45F25" w:rsidRDefault="007F2D0F" w:rsidP="007F2D0F">
      <w:pPr>
        <w:keepNext/>
        <w:tabs>
          <w:tab w:val="left" w:pos="355"/>
          <w:tab w:val="left" w:pos="600"/>
          <w:tab w:val="left" w:pos="1000"/>
        </w:tabs>
        <w:ind w:left="709" w:firstLine="142"/>
        <w:rPr>
          <w:szCs w:val="24"/>
        </w:rPr>
      </w:pPr>
      <w:r w:rsidRPr="00F45F25">
        <w:rPr>
          <w:szCs w:val="24"/>
          <w:u w:val="single"/>
        </w:rPr>
        <w:t>Graviditet</w:t>
      </w:r>
    </w:p>
    <w:p w:rsidR="007F2D0F" w:rsidRPr="00F45F25" w:rsidRDefault="007F2D0F" w:rsidP="007F2D0F">
      <w:pPr>
        <w:tabs>
          <w:tab w:val="left" w:pos="355"/>
          <w:tab w:val="left" w:pos="851"/>
        </w:tabs>
        <w:ind w:left="851"/>
        <w:rPr>
          <w:szCs w:val="24"/>
        </w:rPr>
      </w:pPr>
      <w:r w:rsidRPr="00F45F25">
        <w:rPr>
          <w:szCs w:val="24"/>
        </w:rPr>
        <w:t>Sikkerhed for anvendelsen af calcipotriol under graviditet er ikke klarlagt hos mennesker. Oral administration hos dyr, har vist reproduktionstoksicitet. Calcipotriol bør ikke anvendes under graviditet med mindre det er strengt nødvendigt.</w:t>
      </w:r>
    </w:p>
    <w:p w:rsidR="007F2D0F" w:rsidRPr="00F45F25" w:rsidRDefault="007F2D0F" w:rsidP="007F2D0F">
      <w:pPr>
        <w:tabs>
          <w:tab w:val="left" w:pos="355"/>
          <w:tab w:val="left" w:pos="600"/>
          <w:tab w:val="left" w:pos="1000"/>
        </w:tabs>
        <w:ind w:left="709" w:firstLine="142"/>
        <w:rPr>
          <w:szCs w:val="24"/>
        </w:rPr>
      </w:pPr>
    </w:p>
    <w:p w:rsidR="007F2D0F" w:rsidRPr="00F45F25" w:rsidRDefault="007F2D0F" w:rsidP="007F2D0F">
      <w:pPr>
        <w:tabs>
          <w:tab w:val="left" w:pos="355"/>
          <w:tab w:val="left" w:pos="600"/>
          <w:tab w:val="left" w:pos="1000"/>
        </w:tabs>
        <w:ind w:left="709" w:firstLine="142"/>
        <w:rPr>
          <w:szCs w:val="24"/>
        </w:rPr>
      </w:pPr>
      <w:r w:rsidRPr="00F45F25">
        <w:rPr>
          <w:szCs w:val="24"/>
          <w:u w:val="single"/>
        </w:rPr>
        <w:t>Amning</w:t>
      </w:r>
    </w:p>
    <w:p w:rsidR="007F2D0F" w:rsidRPr="00F45F25" w:rsidRDefault="007F2D0F" w:rsidP="007F2D0F">
      <w:pPr>
        <w:tabs>
          <w:tab w:val="left" w:pos="355"/>
          <w:tab w:val="left" w:pos="600"/>
          <w:tab w:val="left" w:pos="1000"/>
        </w:tabs>
        <w:ind w:left="851"/>
        <w:rPr>
          <w:spacing w:val="-3"/>
          <w:szCs w:val="24"/>
        </w:rPr>
      </w:pPr>
      <w:r w:rsidRPr="00F45F25">
        <w:rPr>
          <w:szCs w:val="24"/>
        </w:rPr>
        <w:t xml:space="preserve">Det vides ikke, om calcipotriol udskilles med human mælk. Der bør udvises forsigtighed, hvis Daivonex ordineres til kvinder, der ammer. Patienten bør instrueres i, ikke at anvende Daivonex på brystet under amningen. </w:t>
      </w:r>
    </w:p>
    <w:p w:rsidR="007F2D0F" w:rsidRPr="00F45F25" w:rsidRDefault="007F2D0F" w:rsidP="007F2D0F">
      <w:pPr>
        <w:tabs>
          <w:tab w:val="left" w:pos="355"/>
          <w:tab w:val="left" w:pos="600"/>
          <w:tab w:val="left" w:pos="1000"/>
        </w:tabs>
        <w:ind w:left="851"/>
        <w:rPr>
          <w:spacing w:val="-3"/>
          <w:szCs w:val="24"/>
        </w:rPr>
      </w:pPr>
    </w:p>
    <w:p w:rsidR="007F2D0F" w:rsidRPr="00F45F25" w:rsidRDefault="007F2D0F" w:rsidP="007F2D0F">
      <w:pPr>
        <w:tabs>
          <w:tab w:val="left" w:pos="355"/>
          <w:tab w:val="left" w:pos="600"/>
          <w:tab w:val="left" w:pos="1000"/>
        </w:tabs>
        <w:ind w:left="851"/>
        <w:rPr>
          <w:spacing w:val="-3"/>
          <w:szCs w:val="24"/>
          <w:u w:val="single"/>
        </w:rPr>
      </w:pPr>
      <w:r w:rsidRPr="00F45F25">
        <w:rPr>
          <w:spacing w:val="-3"/>
          <w:szCs w:val="24"/>
          <w:u w:val="single"/>
        </w:rPr>
        <w:t>Fertilitet</w:t>
      </w:r>
    </w:p>
    <w:p w:rsidR="007F2D0F" w:rsidRPr="00F45F25" w:rsidRDefault="007F2D0F" w:rsidP="007F2D0F">
      <w:pPr>
        <w:tabs>
          <w:tab w:val="left" w:pos="355"/>
          <w:tab w:val="left" w:pos="600"/>
          <w:tab w:val="left" w:pos="1000"/>
        </w:tabs>
        <w:ind w:left="851"/>
        <w:rPr>
          <w:spacing w:val="-3"/>
          <w:szCs w:val="24"/>
        </w:rPr>
      </w:pPr>
      <w:r w:rsidRPr="00F45F25">
        <w:rPr>
          <w:spacing w:val="-3"/>
          <w:szCs w:val="24"/>
        </w:rPr>
        <w:t>Forsøg med orale doser calcipotriol hos han- og hun rotter, viste ingen forringelse i fertiliteten.</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4.7</w:t>
      </w:r>
      <w:r>
        <w:rPr>
          <w:b/>
          <w:spacing w:val="-3"/>
        </w:rPr>
        <w:tab/>
        <w:t>Virkninger på evnen til at føre motorkøretøj eller betjene maskiner</w:t>
      </w:r>
    </w:p>
    <w:p w:rsidR="007F2D0F" w:rsidRPr="00A4671D" w:rsidRDefault="007F2D0F" w:rsidP="007F2D0F">
      <w:pPr>
        <w:ind w:left="851"/>
      </w:pPr>
      <w:r w:rsidRPr="00A4671D">
        <w:t>Ikke mærkning.</w:t>
      </w:r>
    </w:p>
    <w:p w:rsidR="007F2D0F" w:rsidRPr="00A4671D" w:rsidRDefault="007F2D0F" w:rsidP="007F2D0F">
      <w:pPr>
        <w:ind w:left="851"/>
      </w:pPr>
      <w:r w:rsidRPr="002900EF">
        <w:rPr>
          <w:szCs w:val="24"/>
        </w:rPr>
        <w:t xml:space="preserve">Daivonex </w:t>
      </w:r>
      <w:r w:rsidRPr="00A4671D">
        <w:t>påvirker ikke eller kun i ubetydelig grad evnen til at føre motorkøretøj eller betjene maskiner.</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4.8</w:t>
      </w:r>
      <w:r>
        <w:rPr>
          <w:b/>
          <w:spacing w:val="-3"/>
        </w:rPr>
        <w:tab/>
        <w:t>Bivirkninger</w:t>
      </w:r>
    </w:p>
    <w:p w:rsidR="007F2D0F" w:rsidRPr="00276E17" w:rsidRDefault="007F2D0F" w:rsidP="007F2D0F">
      <w:pPr>
        <w:tabs>
          <w:tab w:val="left" w:pos="851"/>
          <w:tab w:val="left" w:pos="1000"/>
        </w:tabs>
        <w:ind w:left="851"/>
        <w:rPr>
          <w:szCs w:val="24"/>
        </w:rPr>
      </w:pPr>
      <w:r w:rsidRPr="00276E17">
        <w:rPr>
          <w:szCs w:val="24"/>
        </w:rPr>
        <w:t>Estimeringen af hyppigheden af bivirkninger er baseret på en samlet analyse af data fra kliniske studier og spontane rapporter.</w:t>
      </w:r>
    </w:p>
    <w:p w:rsidR="007F2D0F" w:rsidRPr="00276E17" w:rsidRDefault="007F2D0F" w:rsidP="007F2D0F">
      <w:pPr>
        <w:tabs>
          <w:tab w:val="left" w:pos="851"/>
          <w:tab w:val="left" w:pos="1000"/>
        </w:tabs>
        <w:ind w:left="851"/>
        <w:rPr>
          <w:szCs w:val="24"/>
        </w:rPr>
      </w:pPr>
    </w:p>
    <w:p w:rsidR="007F2D0F" w:rsidRPr="00276E17" w:rsidRDefault="007F2D0F" w:rsidP="007F2D0F">
      <w:pPr>
        <w:tabs>
          <w:tab w:val="left" w:pos="851"/>
          <w:tab w:val="left" w:pos="1000"/>
        </w:tabs>
        <w:ind w:left="851"/>
        <w:rPr>
          <w:szCs w:val="24"/>
        </w:rPr>
      </w:pPr>
      <w:r w:rsidRPr="00276E17">
        <w:rPr>
          <w:szCs w:val="24"/>
        </w:rPr>
        <w:t>De mest almindelige rapporterede bivirkninger under behandlingen er hudreaktioner, pruritus og erytem.</w:t>
      </w:r>
    </w:p>
    <w:p w:rsidR="007F2D0F" w:rsidRPr="00276E17" w:rsidRDefault="007F2D0F" w:rsidP="007F2D0F">
      <w:pPr>
        <w:tabs>
          <w:tab w:val="left" w:pos="851"/>
          <w:tab w:val="left" w:pos="1000"/>
        </w:tabs>
        <w:ind w:left="851"/>
        <w:rPr>
          <w:szCs w:val="24"/>
        </w:rPr>
      </w:pPr>
    </w:p>
    <w:p w:rsidR="007F2D0F" w:rsidRPr="00276E17" w:rsidRDefault="007F2D0F" w:rsidP="007F2D0F">
      <w:pPr>
        <w:tabs>
          <w:tab w:val="left" w:pos="851"/>
          <w:tab w:val="left" w:pos="1000"/>
        </w:tabs>
        <w:ind w:left="851"/>
        <w:rPr>
          <w:szCs w:val="24"/>
        </w:rPr>
      </w:pPr>
      <w:r w:rsidRPr="00276E17">
        <w:rPr>
          <w:szCs w:val="24"/>
        </w:rPr>
        <w:t xml:space="preserve">Systemiske bivirkninger (hypercalcæmi og hypercalciuri) er blevet indberettet. Risikoen for at udvikle disse bivirkninger stiger, hvis den anbefalede totale dosis overskrides (se pkt. 4.4). </w:t>
      </w:r>
    </w:p>
    <w:p w:rsidR="007F2D0F" w:rsidRPr="00276E17" w:rsidRDefault="007F2D0F" w:rsidP="007F2D0F">
      <w:pPr>
        <w:tabs>
          <w:tab w:val="left" w:pos="851"/>
          <w:tab w:val="left" w:pos="1000"/>
        </w:tabs>
        <w:ind w:left="851"/>
        <w:rPr>
          <w:szCs w:val="24"/>
        </w:rPr>
      </w:pPr>
    </w:p>
    <w:p w:rsidR="007F2D0F" w:rsidRPr="00276E17" w:rsidRDefault="007F2D0F" w:rsidP="007F2D0F">
      <w:pPr>
        <w:tabs>
          <w:tab w:val="left" w:pos="851"/>
          <w:tab w:val="left" w:pos="1000"/>
        </w:tabs>
        <w:ind w:left="851"/>
        <w:rPr>
          <w:szCs w:val="24"/>
        </w:rPr>
      </w:pPr>
      <w:r w:rsidRPr="00276E17">
        <w:rPr>
          <w:szCs w:val="24"/>
        </w:rPr>
        <w:t>Bivirkningerne er anført iht. MedDRAs systemorganklasser og de enkelte bivirkninger er anført efter frekvens, med den mest hyppige først. Bivirkningerne er anført med aftagende alvorlighed, indenfor hver hyppighedsgruppe.</w:t>
      </w:r>
    </w:p>
    <w:p w:rsidR="007F2D0F" w:rsidRPr="00276E17" w:rsidRDefault="007F2D0F" w:rsidP="007F2D0F">
      <w:pPr>
        <w:tabs>
          <w:tab w:val="left" w:pos="851"/>
          <w:tab w:val="left" w:pos="1000"/>
        </w:tabs>
        <w:ind w:left="851"/>
        <w:rPr>
          <w:szCs w:val="24"/>
        </w:rPr>
      </w:pPr>
    </w:p>
    <w:p w:rsidR="007F2D0F" w:rsidRPr="00276E17" w:rsidRDefault="007F2D0F" w:rsidP="007F2D0F">
      <w:pPr>
        <w:tabs>
          <w:tab w:val="left" w:pos="851"/>
          <w:tab w:val="left" w:pos="1000"/>
        </w:tabs>
        <w:ind w:left="851"/>
        <w:rPr>
          <w:szCs w:val="24"/>
        </w:rPr>
      </w:pPr>
      <w:r w:rsidRPr="00276E17">
        <w:rPr>
          <w:szCs w:val="24"/>
        </w:rPr>
        <w:t xml:space="preserve">Meget almindelig </w:t>
      </w:r>
      <w:r w:rsidRPr="00276E17">
        <w:rPr>
          <w:rFonts w:eastAsia="TimesNewRoman"/>
          <w:szCs w:val="24"/>
        </w:rPr>
        <w:t>(≥1/10)</w:t>
      </w:r>
    </w:p>
    <w:p w:rsidR="007F2D0F" w:rsidRPr="00276E17" w:rsidRDefault="007F2D0F" w:rsidP="007F2D0F">
      <w:pPr>
        <w:tabs>
          <w:tab w:val="left" w:pos="851"/>
          <w:tab w:val="left" w:pos="1000"/>
        </w:tabs>
        <w:ind w:left="851"/>
        <w:rPr>
          <w:szCs w:val="24"/>
        </w:rPr>
      </w:pPr>
      <w:r w:rsidRPr="00276E17">
        <w:rPr>
          <w:szCs w:val="24"/>
        </w:rPr>
        <w:t xml:space="preserve">Almindelig </w:t>
      </w:r>
      <w:r w:rsidRPr="00276E17">
        <w:rPr>
          <w:rFonts w:eastAsia="TimesNewRoman"/>
          <w:szCs w:val="24"/>
        </w:rPr>
        <w:t>(≥1/100 til &lt;1/10)</w:t>
      </w:r>
    </w:p>
    <w:p w:rsidR="007F2D0F" w:rsidRPr="00276E17" w:rsidRDefault="007F2D0F" w:rsidP="007F2D0F">
      <w:pPr>
        <w:tabs>
          <w:tab w:val="left" w:pos="851"/>
          <w:tab w:val="left" w:pos="1000"/>
        </w:tabs>
        <w:ind w:left="851"/>
        <w:rPr>
          <w:szCs w:val="24"/>
        </w:rPr>
      </w:pPr>
      <w:r w:rsidRPr="00276E17">
        <w:rPr>
          <w:szCs w:val="24"/>
        </w:rPr>
        <w:t>Ikke almindelig</w:t>
      </w:r>
      <w:r w:rsidRPr="00276E17">
        <w:rPr>
          <w:rFonts w:eastAsia="TimesNewRoman"/>
          <w:szCs w:val="24"/>
        </w:rPr>
        <w:t>(≥1/1.000 til &lt;1/100)</w:t>
      </w:r>
    </w:p>
    <w:p w:rsidR="007F2D0F" w:rsidRPr="00276E17" w:rsidRDefault="007F2D0F" w:rsidP="007F2D0F">
      <w:pPr>
        <w:tabs>
          <w:tab w:val="left" w:pos="851"/>
          <w:tab w:val="left" w:pos="1000"/>
        </w:tabs>
        <w:ind w:left="851"/>
        <w:rPr>
          <w:szCs w:val="24"/>
        </w:rPr>
      </w:pPr>
      <w:r w:rsidRPr="00276E17">
        <w:rPr>
          <w:szCs w:val="24"/>
        </w:rPr>
        <w:t xml:space="preserve">Sjælden </w:t>
      </w:r>
      <w:r w:rsidRPr="00276E17">
        <w:rPr>
          <w:rFonts w:eastAsia="TimesNewRoman"/>
          <w:szCs w:val="24"/>
        </w:rPr>
        <w:t>(≥1/10.000 til &lt;1/1.000)</w:t>
      </w:r>
    </w:p>
    <w:p w:rsidR="007F2D0F" w:rsidRPr="00276E17" w:rsidRDefault="007F2D0F" w:rsidP="007F2D0F">
      <w:pPr>
        <w:tabs>
          <w:tab w:val="left" w:pos="851"/>
          <w:tab w:val="left" w:pos="1000"/>
        </w:tabs>
        <w:ind w:left="851"/>
        <w:rPr>
          <w:rFonts w:eastAsia="TimesNewRoman"/>
          <w:szCs w:val="24"/>
          <w:lang w:val="en-GB"/>
        </w:rPr>
      </w:pPr>
      <w:r w:rsidRPr="00276E17">
        <w:rPr>
          <w:szCs w:val="24"/>
        </w:rPr>
        <w:t xml:space="preserve">Meget sjælden </w:t>
      </w:r>
      <w:r w:rsidRPr="00276E17">
        <w:rPr>
          <w:rFonts w:eastAsia="TimesNewRoman"/>
          <w:szCs w:val="24"/>
          <w:lang w:val="en-GB"/>
        </w:rPr>
        <w:t>(&lt;1/10.000)</w:t>
      </w:r>
    </w:p>
    <w:p w:rsidR="007F2D0F" w:rsidRDefault="007F2D0F" w:rsidP="007F2D0F">
      <w:pPr>
        <w:tabs>
          <w:tab w:val="left" w:pos="851"/>
          <w:tab w:val="left" w:pos="1000"/>
        </w:tabs>
        <w:ind w:left="851"/>
        <w:rPr>
          <w:sz w:val="22"/>
          <w:szCs w:val="22"/>
        </w:rPr>
      </w:pPr>
    </w:p>
    <w:tbl>
      <w:tblPr>
        <w:tblW w:w="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5"/>
        <w:gridCol w:w="4465"/>
      </w:tblGrid>
      <w:tr w:rsidR="007F2D0F" w:rsidTr="003B4BCE">
        <w:trPr>
          <w:trHeight w:val="340"/>
        </w:trPr>
        <w:tc>
          <w:tcPr>
            <w:tcW w:w="8930" w:type="dxa"/>
            <w:gridSpan w:val="2"/>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rPr>
                <w:b/>
                <w:szCs w:val="24"/>
                <w:lang w:val="nb-NO"/>
              </w:rPr>
            </w:pPr>
            <w:r w:rsidRPr="00276E17">
              <w:rPr>
                <w:b/>
                <w:szCs w:val="24"/>
                <w:lang w:val="nb-NO"/>
              </w:rPr>
              <w:t>Immunsystemet</w:t>
            </w:r>
          </w:p>
        </w:tc>
      </w:tr>
      <w:tr w:rsidR="007F2D0F" w:rsidTr="003B4BCE">
        <w:trPr>
          <w:trHeight w:val="340"/>
        </w:trPr>
        <w:tc>
          <w:tcPr>
            <w:tcW w:w="4465" w:type="dxa"/>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tabs>
                <w:tab w:val="left" w:pos="851"/>
                <w:tab w:val="left" w:pos="1000"/>
              </w:tabs>
              <w:rPr>
                <w:szCs w:val="24"/>
              </w:rPr>
            </w:pPr>
            <w:r w:rsidRPr="00276E17">
              <w:rPr>
                <w:szCs w:val="24"/>
              </w:rPr>
              <w:t xml:space="preserve">Ikke almindelig </w:t>
            </w:r>
            <w:r w:rsidRPr="00276E17">
              <w:rPr>
                <w:rFonts w:eastAsia="TimesNewRoman"/>
                <w:szCs w:val="24"/>
              </w:rPr>
              <w:t>(≥1/1.000 til &lt;1/100)</w:t>
            </w:r>
          </w:p>
        </w:tc>
        <w:tc>
          <w:tcPr>
            <w:tcW w:w="4465" w:type="dxa"/>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tabs>
                <w:tab w:val="left" w:pos="71"/>
                <w:tab w:val="left" w:pos="1000"/>
              </w:tabs>
              <w:rPr>
                <w:szCs w:val="24"/>
              </w:rPr>
            </w:pPr>
            <w:r w:rsidRPr="00276E17">
              <w:rPr>
                <w:szCs w:val="24"/>
              </w:rPr>
              <w:t>Overfølsomhed.</w:t>
            </w:r>
          </w:p>
        </w:tc>
      </w:tr>
      <w:tr w:rsidR="007F2D0F" w:rsidTr="003B4BCE">
        <w:trPr>
          <w:trHeight w:val="340"/>
        </w:trPr>
        <w:tc>
          <w:tcPr>
            <w:tcW w:w="8930" w:type="dxa"/>
            <w:gridSpan w:val="2"/>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rPr>
                <w:b/>
                <w:szCs w:val="24"/>
                <w:lang w:val="nb-NO"/>
              </w:rPr>
            </w:pPr>
            <w:r w:rsidRPr="00276E17">
              <w:rPr>
                <w:b/>
                <w:szCs w:val="24"/>
                <w:lang w:val="nb-NO"/>
              </w:rPr>
              <w:t>Metabolisme og ernæring</w:t>
            </w:r>
          </w:p>
        </w:tc>
      </w:tr>
      <w:tr w:rsidR="007F2D0F" w:rsidTr="003B4BCE">
        <w:trPr>
          <w:trHeight w:val="340"/>
        </w:trPr>
        <w:tc>
          <w:tcPr>
            <w:tcW w:w="4465" w:type="dxa"/>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suppressAutoHyphens/>
              <w:rPr>
                <w:szCs w:val="24"/>
              </w:rPr>
            </w:pPr>
            <w:r w:rsidRPr="00276E17">
              <w:rPr>
                <w:szCs w:val="24"/>
              </w:rPr>
              <w:t xml:space="preserve">Ikke almindelig </w:t>
            </w:r>
            <w:r w:rsidRPr="00276E17">
              <w:rPr>
                <w:rFonts w:eastAsia="TimesNewRoman"/>
                <w:szCs w:val="24"/>
              </w:rPr>
              <w:t>(≥1/1.000 til &lt;1/100)</w:t>
            </w:r>
          </w:p>
        </w:tc>
        <w:tc>
          <w:tcPr>
            <w:tcW w:w="4465" w:type="dxa"/>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tabs>
                <w:tab w:val="left" w:pos="71"/>
                <w:tab w:val="left" w:pos="1000"/>
              </w:tabs>
              <w:rPr>
                <w:szCs w:val="24"/>
                <w:u w:val="single"/>
              </w:rPr>
            </w:pPr>
            <w:r w:rsidRPr="00276E17">
              <w:rPr>
                <w:szCs w:val="24"/>
              </w:rPr>
              <w:t>Hypercalcæmi.</w:t>
            </w:r>
          </w:p>
        </w:tc>
      </w:tr>
      <w:tr w:rsidR="007F2D0F" w:rsidTr="003B4BCE">
        <w:trPr>
          <w:trHeight w:val="340"/>
        </w:trPr>
        <w:tc>
          <w:tcPr>
            <w:tcW w:w="8930" w:type="dxa"/>
            <w:gridSpan w:val="2"/>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rPr>
                <w:b/>
                <w:szCs w:val="24"/>
              </w:rPr>
            </w:pPr>
            <w:r w:rsidRPr="00276E17">
              <w:rPr>
                <w:b/>
                <w:szCs w:val="24"/>
              </w:rPr>
              <w:t>Hud og subkutane væv</w:t>
            </w:r>
          </w:p>
        </w:tc>
      </w:tr>
      <w:tr w:rsidR="007F2D0F" w:rsidTr="003B4BCE">
        <w:trPr>
          <w:trHeight w:val="340"/>
        </w:trPr>
        <w:tc>
          <w:tcPr>
            <w:tcW w:w="4465" w:type="dxa"/>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tabs>
                <w:tab w:val="left" w:pos="851"/>
                <w:tab w:val="left" w:pos="1000"/>
              </w:tabs>
              <w:rPr>
                <w:szCs w:val="24"/>
              </w:rPr>
            </w:pPr>
            <w:r w:rsidRPr="00276E17">
              <w:rPr>
                <w:szCs w:val="24"/>
              </w:rPr>
              <w:t xml:space="preserve">Meget almindelig </w:t>
            </w:r>
            <w:r w:rsidRPr="00276E17">
              <w:rPr>
                <w:rFonts w:eastAsia="TimesNewRoman"/>
                <w:szCs w:val="24"/>
              </w:rPr>
              <w:t>(≥1/10)</w:t>
            </w:r>
          </w:p>
        </w:tc>
        <w:tc>
          <w:tcPr>
            <w:tcW w:w="4465" w:type="dxa"/>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tabs>
                <w:tab w:val="left" w:pos="71"/>
                <w:tab w:val="left" w:pos="1000"/>
              </w:tabs>
              <w:rPr>
                <w:szCs w:val="24"/>
              </w:rPr>
            </w:pPr>
            <w:r w:rsidRPr="00276E17">
              <w:rPr>
                <w:szCs w:val="24"/>
              </w:rPr>
              <w:t>Hudirritation.</w:t>
            </w:r>
          </w:p>
        </w:tc>
      </w:tr>
      <w:tr w:rsidR="007F2D0F" w:rsidTr="003B4BCE">
        <w:trPr>
          <w:trHeight w:val="340"/>
        </w:trPr>
        <w:tc>
          <w:tcPr>
            <w:tcW w:w="4465" w:type="dxa"/>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keepNext/>
              <w:rPr>
                <w:szCs w:val="24"/>
              </w:rPr>
            </w:pPr>
            <w:r w:rsidRPr="00276E17">
              <w:rPr>
                <w:szCs w:val="24"/>
              </w:rPr>
              <w:t>Almindelig (≥1/100 til &lt;1/10)</w:t>
            </w:r>
          </w:p>
        </w:tc>
        <w:tc>
          <w:tcPr>
            <w:tcW w:w="4465" w:type="dxa"/>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tabs>
                <w:tab w:val="left" w:pos="71"/>
                <w:tab w:val="left" w:pos="1000"/>
              </w:tabs>
              <w:rPr>
                <w:szCs w:val="24"/>
              </w:rPr>
            </w:pPr>
            <w:r w:rsidRPr="00276E17">
              <w:rPr>
                <w:szCs w:val="24"/>
              </w:rPr>
              <w:t>Forværring af psoriasis, dermatitis, erytem, udslæt*, afskalning af huden, brændende fornemmelse i huden, pruritus.</w:t>
            </w:r>
          </w:p>
        </w:tc>
      </w:tr>
      <w:tr w:rsidR="007F2D0F" w:rsidTr="003B4BCE">
        <w:trPr>
          <w:trHeight w:val="340"/>
        </w:trPr>
        <w:tc>
          <w:tcPr>
            <w:tcW w:w="4465" w:type="dxa"/>
            <w:tcBorders>
              <w:top w:val="single" w:sz="4" w:space="0" w:color="auto"/>
              <w:left w:val="single" w:sz="4" w:space="0" w:color="auto"/>
              <w:bottom w:val="single" w:sz="4" w:space="0" w:color="auto"/>
              <w:right w:val="single" w:sz="4" w:space="0" w:color="auto"/>
            </w:tcBorders>
          </w:tcPr>
          <w:p w:rsidR="007F2D0F" w:rsidRPr="00276E17" w:rsidRDefault="007F2D0F" w:rsidP="003B4BCE">
            <w:pPr>
              <w:rPr>
                <w:szCs w:val="24"/>
              </w:rPr>
            </w:pPr>
            <w:r w:rsidRPr="00276E17">
              <w:rPr>
                <w:szCs w:val="24"/>
              </w:rPr>
              <w:t>Ikke almindelig (≥1/1.000 til &lt;1/100)</w:t>
            </w:r>
          </w:p>
          <w:p w:rsidR="007F2D0F" w:rsidRPr="00276E17" w:rsidRDefault="007F2D0F" w:rsidP="003B4BCE">
            <w:pPr>
              <w:rPr>
                <w:szCs w:val="24"/>
              </w:rPr>
            </w:pPr>
          </w:p>
        </w:tc>
        <w:tc>
          <w:tcPr>
            <w:tcW w:w="4465" w:type="dxa"/>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tabs>
                <w:tab w:val="left" w:pos="71"/>
                <w:tab w:val="left" w:pos="1000"/>
              </w:tabs>
              <w:rPr>
                <w:szCs w:val="24"/>
              </w:rPr>
            </w:pPr>
            <w:r w:rsidRPr="00276E17">
              <w:rPr>
                <w:szCs w:val="24"/>
              </w:rPr>
              <w:t>Fotosensibilitet, hudødem, seborrhoisk dermatitis, tør hud.</w:t>
            </w:r>
          </w:p>
        </w:tc>
      </w:tr>
      <w:tr w:rsidR="007F2D0F" w:rsidTr="003B4BCE">
        <w:trPr>
          <w:trHeight w:val="340"/>
        </w:trPr>
        <w:tc>
          <w:tcPr>
            <w:tcW w:w="4465" w:type="dxa"/>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rPr>
                <w:szCs w:val="24"/>
              </w:rPr>
            </w:pPr>
            <w:r w:rsidRPr="00276E17">
              <w:rPr>
                <w:szCs w:val="24"/>
              </w:rPr>
              <w:t>Sjælden (≥1/10.000 til &lt;1/1.000)</w:t>
            </w:r>
          </w:p>
        </w:tc>
        <w:tc>
          <w:tcPr>
            <w:tcW w:w="4465" w:type="dxa"/>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tabs>
                <w:tab w:val="left" w:pos="71"/>
                <w:tab w:val="left" w:pos="1000"/>
              </w:tabs>
              <w:rPr>
                <w:szCs w:val="24"/>
              </w:rPr>
            </w:pPr>
            <w:r w:rsidRPr="00276E17">
              <w:rPr>
                <w:szCs w:val="24"/>
              </w:rPr>
              <w:t>Nældefeber.</w:t>
            </w:r>
          </w:p>
        </w:tc>
      </w:tr>
      <w:tr w:rsidR="007F2D0F" w:rsidTr="003B4BCE">
        <w:trPr>
          <w:trHeight w:val="340"/>
        </w:trPr>
        <w:tc>
          <w:tcPr>
            <w:tcW w:w="8930" w:type="dxa"/>
            <w:gridSpan w:val="2"/>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rPr>
                <w:b/>
                <w:noProof/>
                <w:szCs w:val="24"/>
              </w:rPr>
            </w:pPr>
            <w:r w:rsidRPr="00276E17">
              <w:rPr>
                <w:b/>
                <w:noProof/>
                <w:szCs w:val="24"/>
              </w:rPr>
              <w:t>Nyrer og urinveje</w:t>
            </w:r>
          </w:p>
        </w:tc>
      </w:tr>
      <w:tr w:rsidR="007F2D0F" w:rsidTr="003B4BCE">
        <w:trPr>
          <w:trHeight w:val="340"/>
        </w:trPr>
        <w:tc>
          <w:tcPr>
            <w:tcW w:w="4465" w:type="dxa"/>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rPr>
                <w:szCs w:val="24"/>
              </w:rPr>
            </w:pPr>
            <w:r w:rsidRPr="00276E17">
              <w:rPr>
                <w:szCs w:val="24"/>
              </w:rPr>
              <w:t>Ikke almindelig (≥1/1.000 til &lt;1/100)</w:t>
            </w:r>
          </w:p>
        </w:tc>
        <w:tc>
          <w:tcPr>
            <w:tcW w:w="4465" w:type="dxa"/>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tabs>
                <w:tab w:val="left" w:pos="71"/>
                <w:tab w:val="left" w:pos="1000"/>
              </w:tabs>
              <w:rPr>
                <w:szCs w:val="24"/>
              </w:rPr>
            </w:pPr>
            <w:r w:rsidRPr="00276E17">
              <w:rPr>
                <w:szCs w:val="24"/>
              </w:rPr>
              <w:t>Hypercalciuri.</w:t>
            </w:r>
          </w:p>
        </w:tc>
      </w:tr>
      <w:tr w:rsidR="007F2D0F" w:rsidTr="003B4BCE">
        <w:trPr>
          <w:trHeight w:val="340"/>
        </w:trPr>
        <w:tc>
          <w:tcPr>
            <w:tcW w:w="8930" w:type="dxa"/>
            <w:gridSpan w:val="2"/>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tabs>
                <w:tab w:val="left" w:pos="71"/>
                <w:tab w:val="left" w:pos="1000"/>
              </w:tabs>
              <w:rPr>
                <w:szCs w:val="24"/>
              </w:rPr>
            </w:pPr>
            <w:r w:rsidRPr="00276E17">
              <w:rPr>
                <w:b/>
                <w:noProof/>
                <w:szCs w:val="24"/>
              </w:rPr>
              <w:t>Almene symptomer og reaktioner på administrationsstedet</w:t>
            </w:r>
          </w:p>
        </w:tc>
      </w:tr>
      <w:tr w:rsidR="007F2D0F" w:rsidTr="003B4BCE">
        <w:trPr>
          <w:trHeight w:val="340"/>
        </w:trPr>
        <w:tc>
          <w:tcPr>
            <w:tcW w:w="4465" w:type="dxa"/>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rPr>
                <w:szCs w:val="24"/>
              </w:rPr>
            </w:pPr>
            <w:r w:rsidRPr="00276E17">
              <w:rPr>
                <w:szCs w:val="24"/>
              </w:rPr>
              <w:t>Almindelig (≥1/100 til &lt;1/10)</w:t>
            </w:r>
          </w:p>
        </w:tc>
        <w:tc>
          <w:tcPr>
            <w:tcW w:w="4465" w:type="dxa"/>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tabs>
                <w:tab w:val="left" w:pos="71"/>
                <w:tab w:val="left" w:pos="1000"/>
              </w:tabs>
              <w:rPr>
                <w:szCs w:val="24"/>
              </w:rPr>
            </w:pPr>
            <w:r w:rsidRPr="00276E17">
              <w:rPr>
                <w:szCs w:val="24"/>
              </w:rPr>
              <w:t>Smerte på applikationsstedet.</w:t>
            </w:r>
          </w:p>
        </w:tc>
      </w:tr>
      <w:tr w:rsidR="007F2D0F" w:rsidTr="003B4BCE">
        <w:trPr>
          <w:trHeight w:val="340"/>
        </w:trPr>
        <w:tc>
          <w:tcPr>
            <w:tcW w:w="4465" w:type="dxa"/>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rPr>
                <w:szCs w:val="24"/>
              </w:rPr>
            </w:pPr>
            <w:r w:rsidRPr="00276E17">
              <w:rPr>
                <w:szCs w:val="24"/>
              </w:rPr>
              <w:t>Sjælden (≥1/10.000 to &lt;1/1.000)</w:t>
            </w:r>
          </w:p>
        </w:tc>
        <w:tc>
          <w:tcPr>
            <w:tcW w:w="4465" w:type="dxa"/>
            <w:tcBorders>
              <w:top w:val="single" w:sz="4" w:space="0" w:color="auto"/>
              <w:left w:val="single" w:sz="4" w:space="0" w:color="auto"/>
              <w:bottom w:val="single" w:sz="4" w:space="0" w:color="auto"/>
              <w:right w:val="single" w:sz="4" w:space="0" w:color="auto"/>
            </w:tcBorders>
            <w:hideMark/>
          </w:tcPr>
          <w:p w:rsidR="007F2D0F" w:rsidRPr="00276E17" w:rsidRDefault="007F2D0F" w:rsidP="003B4BCE">
            <w:pPr>
              <w:tabs>
                <w:tab w:val="left" w:pos="71"/>
                <w:tab w:val="left" w:pos="1000"/>
              </w:tabs>
              <w:rPr>
                <w:szCs w:val="24"/>
              </w:rPr>
            </w:pPr>
            <w:r w:rsidRPr="00276E17">
              <w:rPr>
                <w:szCs w:val="24"/>
              </w:rPr>
              <w:t>Pigmentforandringer på applikationsstedet.</w:t>
            </w:r>
          </w:p>
        </w:tc>
      </w:tr>
    </w:tbl>
    <w:p w:rsidR="007F2D0F" w:rsidRPr="00276E17" w:rsidRDefault="007F2D0F" w:rsidP="007F2D0F">
      <w:pPr>
        <w:tabs>
          <w:tab w:val="left" w:pos="1134"/>
        </w:tabs>
        <w:ind w:left="1134" w:hanging="283"/>
        <w:rPr>
          <w:szCs w:val="24"/>
        </w:rPr>
      </w:pPr>
      <w:r w:rsidRPr="00276E17">
        <w:rPr>
          <w:szCs w:val="24"/>
        </w:rPr>
        <w:t>*</w:t>
      </w:r>
      <w:r w:rsidRPr="00276E17">
        <w:rPr>
          <w:szCs w:val="24"/>
        </w:rPr>
        <w:tab/>
        <w:t>Varierende former for udslæt er rapporteret, som f.eks., erytematøst udslæt, makulopapuløs udslæt, morbilliform udslæt, papuløs udslæt og pustuløs udslæt.</w:t>
      </w:r>
    </w:p>
    <w:p w:rsidR="007F2D0F" w:rsidRPr="00276E17" w:rsidRDefault="007F2D0F" w:rsidP="007F2D0F">
      <w:pPr>
        <w:autoSpaceDE w:val="0"/>
        <w:autoSpaceDN w:val="0"/>
        <w:adjustRightInd w:val="0"/>
        <w:ind w:left="851"/>
        <w:rPr>
          <w:noProof/>
          <w:szCs w:val="24"/>
          <w:u w:val="single"/>
        </w:rPr>
      </w:pPr>
    </w:p>
    <w:p w:rsidR="007F2D0F" w:rsidRPr="008F49E1" w:rsidRDefault="007F2D0F" w:rsidP="007F2D0F">
      <w:pPr>
        <w:autoSpaceDE w:val="0"/>
        <w:autoSpaceDN w:val="0"/>
        <w:ind w:left="851"/>
        <w:rPr>
          <w:szCs w:val="24"/>
          <w:u w:val="single"/>
        </w:rPr>
      </w:pPr>
      <w:r w:rsidRPr="008F49E1">
        <w:rPr>
          <w:szCs w:val="24"/>
          <w:u w:val="single"/>
        </w:rPr>
        <w:t>Indberetning af formodede bivirkninger</w:t>
      </w:r>
    </w:p>
    <w:p w:rsidR="007F2D0F" w:rsidRPr="008F49E1" w:rsidRDefault="007F2D0F" w:rsidP="007F2D0F">
      <w:pPr>
        <w:ind w:left="851"/>
        <w:rPr>
          <w:szCs w:val="24"/>
        </w:rPr>
      </w:pPr>
      <w:r w:rsidRPr="008F49E1">
        <w:rPr>
          <w:szCs w:val="24"/>
        </w:rPr>
        <w:t>Når lægemidlet er godkendt, er indberetning af formodede bivirkninger vigtig. Det muliggør løbende overvågning af benefit/risk-forholdet for lægemidlet. Læger og sundhedspersonale anmodes om at indberette alle formodede bivirkninger via:</w:t>
      </w:r>
    </w:p>
    <w:p w:rsidR="007F2D0F" w:rsidRPr="008F49E1" w:rsidRDefault="007F2D0F" w:rsidP="007F2D0F">
      <w:pPr>
        <w:ind w:left="851"/>
        <w:rPr>
          <w:szCs w:val="24"/>
        </w:rPr>
      </w:pPr>
    </w:p>
    <w:p w:rsidR="007F2D0F" w:rsidRPr="007A276A" w:rsidRDefault="007F2D0F" w:rsidP="007F2D0F">
      <w:pPr>
        <w:ind w:left="851"/>
        <w:rPr>
          <w:szCs w:val="24"/>
        </w:rPr>
      </w:pPr>
      <w:r w:rsidRPr="007A276A">
        <w:rPr>
          <w:szCs w:val="24"/>
        </w:rPr>
        <w:t>Lægemiddelstyrelsen</w:t>
      </w:r>
    </w:p>
    <w:p w:rsidR="007F2D0F" w:rsidRPr="007A276A" w:rsidRDefault="007F2D0F" w:rsidP="007F2D0F">
      <w:pPr>
        <w:ind w:left="851"/>
        <w:rPr>
          <w:szCs w:val="24"/>
        </w:rPr>
      </w:pPr>
      <w:r w:rsidRPr="007A276A">
        <w:rPr>
          <w:szCs w:val="24"/>
        </w:rPr>
        <w:t>Axel Heides Gade 1</w:t>
      </w:r>
    </w:p>
    <w:p w:rsidR="007F2D0F" w:rsidRPr="007A276A" w:rsidRDefault="007F2D0F" w:rsidP="007F2D0F">
      <w:pPr>
        <w:ind w:left="851"/>
        <w:rPr>
          <w:szCs w:val="24"/>
        </w:rPr>
      </w:pPr>
      <w:r w:rsidRPr="007A276A">
        <w:rPr>
          <w:szCs w:val="24"/>
        </w:rPr>
        <w:t>DK-2300 København S</w:t>
      </w:r>
    </w:p>
    <w:p w:rsidR="007F2D0F" w:rsidRPr="007A276A" w:rsidRDefault="007F2D0F" w:rsidP="007F2D0F">
      <w:pPr>
        <w:ind w:left="851"/>
        <w:rPr>
          <w:szCs w:val="24"/>
          <w:lang w:val="en-US"/>
        </w:rPr>
      </w:pPr>
      <w:r w:rsidRPr="007A276A">
        <w:rPr>
          <w:szCs w:val="24"/>
          <w:lang w:val="en-US"/>
        </w:rPr>
        <w:t xml:space="preserve">Websted: </w:t>
      </w:r>
      <w:r w:rsidRPr="00F42FEA">
        <w:rPr>
          <w:lang w:val="en-US"/>
        </w:rPr>
        <w:t>www.meldenbivirkning.dk</w:t>
      </w:r>
    </w:p>
    <w:p w:rsidR="007F2D0F" w:rsidRPr="00276E17" w:rsidRDefault="007F2D0F" w:rsidP="007F2D0F">
      <w:pPr>
        <w:ind w:left="851"/>
        <w:rPr>
          <w:szCs w:val="24"/>
          <w:lang w:val="en-US"/>
        </w:rPr>
      </w:pPr>
      <w:r w:rsidRPr="00276E17">
        <w:rPr>
          <w:szCs w:val="24"/>
          <w:lang w:val="en-US"/>
        </w:rPr>
        <w:t xml:space="preserve">E-mail: </w:t>
      </w:r>
      <w:hyperlink r:id="rId8" w:history="1">
        <w:r w:rsidRPr="00276E17">
          <w:rPr>
            <w:rStyle w:val="Hyperlink"/>
            <w:color w:val="0000FF"/>
            <w:szCs w:val="24"/>
            <w:lang w:val="en-US"/>
          </w:rPr>
          <w:t>dkma@dkma.dk</w:t>
        </w:r>
      </w:hyperlink>
    </w:p>
    <w:p w:rsidR="007F2D0F" w:rsidRPr="00276E17" w:rsidRDefault="007F2D0F" w:rsidP="007F2D0F">
      <w:pPr>
        <w:rPr>
          <w:szCs w:val="24"/>
          <w:lang w:val="en-US"/>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4.9</w:t>
      </w:r>
      <w:r>
        <w:rPr>
          <w:b/>
          <w:spacing w:val="-3"/>
        </w:rPr>
        <w:tab/>
        <w:t>Overdosering</w:t>
      </w:r>
    </w:p>
    <w:p w:rsidR="007F2D0F" w:rsidRPr="00CF1F9C" w:rsidRDefault="007F2D0F" w:rsidP="007F2D0F">
      <w:pPr>
        <w:tabs>
          <w:tab w:val="left" w:pos="600"/>
          <w:tab w:val="left" w:pos="1000"/>
        </w:tabs>
        <w:ind w:left="851"/>
        <w:rPr>
          <w:szCs w:val="24"/>
        </w:rPr>
      </w:pPr>
      <w:r w:rsidRPr="00CF1F9C">
        <w:rPr>
          <w:szCs w:val="24"/>
        </w:rPr>
        <w:t>Anvendelse af højere doser end den anbefalede kan forårsage forhøjet serum calcium, der aftager, når behandlingen afbrydes. Symptomerne på hypercalcæmi omfatter polyuri, forstoppelse, muskelsvaghed, forvirring og koma.</w:t>
      </w:r>
    </w:p>
    <w:p w:rsidR="007F2D0F" w:rsidRPr="00A4671D" w:rsidRDefault="007F2D0F" w:rsidP="007F2D0F">
      <w:pPr>
        <w:tabs>
          <w:tab w:val="left" w:pos="600"/>
          <w:tab w:val="left" w:pos="1000"/>
        </w:tabs>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4.10</w:t>
      </w:r>
      <w:r>
        <w:rPr>
          <w:b/>
          <w:spacing w:val="-3"/>
        </w:rPr>
        <w:tab/>
        <w:t>Udlevering</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B</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 xml:space="preserve">5. </w:t>
      </w:r>
      <w:r>
        <w:rPr>
          <w:b/>
          <w:spacing w:val="-3"/>
        </w:rPr>
        <w:tab/>
        <w:t>FARMAKOLOGISKE EGENSKABER</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5.0</w:t>
      </w:r>
      <w:r>
        <w:rPr>
          <w:b/>
          <w:spacing w:val="-3"/>
        </w:rPr>
        <w:tab/>
        <w:t>Terapeutisk klassifikation</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rPr>
          <w:spacing w:val="-3"/>
        </w:rPr>
      </w:pPr>
      <w:r>
        <w:rPr>
          <w:spacing w:val="-3"/>
        </w:rPr>
        <w:tab/>
        <w:t>ATC-kode: D 05 AX 02. Andre midler mod psoriasis til udvortes brug.</w:t>
      </w:r>
    </w:p>
    <w:p w:rsidR="007F2D0F" w:rsidRDefault="007F2D0F" w:rsidP="007F2D0F">
      <w:pPr>
        <w:tabs>
          <w:tab w:val="left" w:pos="0"/>
          <w:tab w:val="left" w:pos="4254"/>
        </w:tabs>
        <w:jc w:val="both"/>
        <w:rPr>
          <w:spacing w:val="-3"/>
        </w:rPr>
      </w:pPr>
      <w:r>
        <w:rPr>
          <w:spacing w:val="-3"/>
        </w:rPr>
        <w:tab/>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5.1</w:t>
      </w:r>
      <w:r>
        <w:rPr>
          <w:b/>
          <w:spacing w:val="-3"/>
        </w:rPr>
        <w:tab/>
        <w:t>Farmakodynamiske egenskaber</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rPr>
          <w:spacing w:val="-3"/>
        </w:rPr>
      </w:pPr>
      <w:r>
        <w:rPr>
          <w:spacing w:val="-3"/>
        </w:rPr>
        <w:tab/>
        <w:t>Calcipotriol er et syntetisk fremstillet D-vitaminderivat, som hæmmer proliferationen og stimulerer differentieringen af keratinocytter.</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5.2</w:t>
      </w:r>
      <w:r>
        <w:rPr>
          <w:b/>
          <w:spacing w:val="-3"/>
        </w:rPr>
        <w:tab/>
        <w:t>Farmakokinetiske egenskaber</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rPr>
          <w:spacing w:val="-3"/>
        </w:rPr>
      </w:pPr>
      <w:r>
        <w:rPr>
          <w:spacing w:val="-3"/>
        </w:rPr>
        <w:tab/>
        <w:t>Absorberes kun i ringe grad fra huden.</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5.3</w:t>
      </w:r>
      <w:r>
        <w:rPr>
          <w:b/>
          <w:spacing w:val="-3"/>
        </w:rPr>
        <w:tab/>
        <w:t>Prækliniske sikkkerhedsdata</w:t>
      </w:r>
    </w:p>
    <w:p w:rsidR="007F2D0F" w:rsidRDefault="007F2D0F" w:rsidP="007F2D0F">
      <w:pPr>
        <w:ind w:left="850"/>
      </w:pPr>
      <w:r>
        <w:t>Effekten på calciummetabolismen er ca. 100 gange mindre end den hormonalt aktive form af vitamin D</w:t>
      </w:r>
      <w:r>
        <w:rPr>
          <w:vertAlign w:val="subscript"/>
        </w:rPr>
        <w:t>3</w:t>
      </w:r>
      <w:r>
        <w:t>.</w:t>
      </w:r>
    </w:p>
    <w:p w:rsidR="007F2D0F" w:rsidRDefault="007F2D0F" w:rsidP="007F2D0F">
      <w:pPr>
        <w:ind w:left="850"/>
      </w:pPr>
    </w:p>
    <w:p w:rsidR="007F2D0F" w:rsidRPr="00CA6B1D" w:rsidRDefault="007F2D0F" w:rsidP="007F2D0F">
      <w:pPr>
        <w:ind w:left="850"/>
        <w:rPr>
          <w:rFonts w:eastAsia="SimSun"/>
          <w:color w:val="000000"/>
          <w:szCs w:val="24"/>
          <w:lang w:eastAsia="zh-CN"/>
        </w:rPr>
      </w:pPr>
      <w:r w:rsidRPr="00CA6B1D">
        <w:rPr>
          <w:rFonts w:eastAsia="SimSun"/>
          <w:color w:val="000000"/>
          <w:szCs w:val="24"/>
          <w:lang w:eastAsia="zh-CN"/>
        </w:rPr>
        <w:t>Et dermalt carcinogenicitetsstudie med calcipotriol i mus</w:t>
      </w:r>
      <w:r>
        <w:rPr>
          <w:rFonts w:eastAsia="SimSun"/>
          <w:color w:val="000000"/>
          <w:sz w:val="22"/>
          <w:szCs w:val="22"/>
          <w:lang w:eastAsia="zh-CN"/>
        </w:rPr>
        <w:t xml:space="preserve"> og et oralt carcinogenicitetsstudie i rotter </w:t>
      </w:r>
      <w:r w:rsidRPr="00CA6B1D">
        <w:rPr>
          <w:rFonts w:eastAsia="SimSun"/>
          <w:color w:val="000000"/>
          <w:szCs w:val="24"/>
          <w:lang w:eastAsia="zh-CN"/>
        </w:rPr>
        <w:t>viste ingen særlig risiko for mennesker.</w:t>
      </w:r>
    </w:p>
    <w:p w:rsidR="007F2D0F" w:rsidRPr="008605B4" w:rsidRDefault="007F2D0F" w:rsidP="007F2D0F">
      <w:pPr>
        <w:ind w:left="850"/>
        <w:rPr>
          <w:rFonts w:eastAsia="SimSun"/>
          <w:color w:val="000000"/>
          <w:szCs w:val="24"/>
          <w:lang w:eastAsia="zh-CN"/>
        </w:rPr>
      </w:pPr>
    </w:p>
    <w:p w:rsidR="007F2D0F" w:rsidRPr="00CA6B1D" w:rsidRDefault="007F2D0F" w:rsidP="007F2D0F">
      <w:pPr>
        <w:ind w:left="850"/>
        <w:rPr>
          <w:rFonts w:eastAsia="SimSun"/>
          <w:color w:val="000000"/>
          <w:szCs w:val="24"/>
          <w:lang w:eastAsia="zh-CN"/>
        </w:rPr>
      </w:pPr>
      <w:r w:rsidRPr="00CA6B1D">
        <w:rPr>
          <w:rFonts w:eastAsia="SimSun"/>
          <w:color w:val="000000"/>
          <w:szCs w:val="24"/>
          <w:lang w:eastAsia="zh-CN"/>
        </w:rPr>
        <w:t xml:space="preserve">I en anden undersøgelse blev hårløse albino mus dagligt eksponeret for ultraviolette (UV) stråler, samtidig med at de blev topikalt behandlet med calcipotriol i 40 </w:t>
      </w:r>
      <w:r>
        <w:rPr>
          <w:rFonts w:eastAsia="SimSun"/>
          <w:color w:val="000000"/>
          <w:szCs w:val="24"/>
          <w:lang w:eastAsia="zh-CN"/>
        </w:rPr>
        <w:t xml:space="preserve">uger </w:t>
      </w:r>
      <w:r w:rsidRPr="00CA6B1D">
        <w:rPr>
          <w:rFonts w:eastAsia="SimSun"/>
          <w:color w:val="000000"/>
          <w:szCs w:val="24"/>
          <w:lang w:eastAsia="zh-CN"/>
        </w:rPr>
        <w:t>i dosi</w:t>
      </w:r>
      <w:r>
        <w:rPr>
          <w:rFonts w:eastAsia="SimSun"/>
          <w:color w:val="000000"/>
          <w:szCs w:val="24"/>
          <w:lang w:eastAsia="zh-CN"/>
        </w:rPr>
        <w:t>sniveauer svarende til 9, 30 og</w:t>
      </w:r>
      <w:r w:rsidRPr="00CA6B1D">
        <w:rPr>
          <w:rFonts w:eastAsia="SimSun"/>
          <w:color w:val="000000"/>
          <w:szCs w:val="24"/>
          <w:lang w:eastAsia="zh-CN"/>
        </w:rPr>
        <w:t xml:space="preserve"> 90 μg/m</w:t>
      </w:r>
      <w:r w:rsidRPr="00CA6B1D">
        <w:rPr>
          <w:rFonts w:eastAsia="SimSun"/>
          <w:color w:val="000000"/>
          <w:szCs w:val="24"/>
          <w:vertAlign w:val="superscript"/>
          <w:lang w:eastAsia="zh-CN"/>
        </w:rPr>
        <w:t>2</w:t>
      </w:r>
      <w:r w:rsidRPr="00CA6B1D">
        <w:rPr>
          <w:rFonts w:eastAsia="SimSun"/>
          <w:color w:val="000000"/>
          <w:szCs w:val="24"/>
          <w:lang w:eastAsia="zh-CN"/>
        </w:rPr>
        <w:t>/dag (er henholdsvis lig med 0,25</w:t>
      </w:r>
      <w:r>
        <w:rPr>
          <w:rFonts w:eastAsia="SimSun"/>
          <w:color w:val="000000"/>
          <w:szCs w:val="24"/>
          <w:lang w:eastAsia="zh-CN"/>
        </w:rPr>
        <w:t>,</w:t>
      </w:r>
      <w:r w:rsidRPr="00CA6B1D">
        <w:rPr>
          <w:rFonts w:eastAsia="SimSun"/>
          <w:color w:val="000000"/>
          <w:szCs w:val="24"/>
          <w:lang w:eastAsia="zh-CN"/>
        </w:rPr>
        <w:t xml:space="preserve"> 0,84</w:t>
      </w:r>
      <w:r>
        <w:rPr>
          <w:rFonts w:eastAsia="SimSun"/>
          <w:color w:val="000000"/>
          <w:szCs w:val="24"/>
          <w:lang w:eastAsia="zh-CN"/>
        </w:rPr>
        <w:t xml:space="preserve"> og</w:t>
      </w:r>
      <w:r w:rsidRPr="00CA6B1D">
        <w:rPr>
          <w:rFonts w:eastAsia="SimSun"/>
          <w:color w:val="000000"/>
          <w:szCs w:val="24"/>
          <w:lang w:eastAsia="zh-CN"/>
        </w:rPr>
        <w:t xml:space="preserve"> 2,5 gange den maksimalt anbefalede daglige dosis for en voksen på 60 kg). I dette studie observeredes en tidligere fremkomst af hudtumorer forårsaget af UV-bestråling (kun statistisk signifikant for hanmus), hvilket indikerer</w:t>
      </w:r>
      <w:r>
        <w:rPr>
          <w:rFonts w:eastAsia="SimSun"/>
          <w:color w:val="000000"/>
          <w:szCs w:val="24"/>
          <w:lang w:eastAsia="zh-CN"/>
        </w:rPr>
        <w:t>,</w:t>
      </w:r>
      <w:r w:rsidRPr="00CA6B1D">
        <w:rPr>
          <w:rFonts w:eastAsia="SimSun"/>
          <w:color w:val="000000"/>
          <w:szCs w:val="24"/>
          <w:lang w:eastAsia="zh-CN"/>
        </w:rPr>
        <w:t xml:space="preserve"> at calcipotriol kan fremme UV strålers induktion af hudtumorer. Den kliniske relevans af disse fund er ukendt.</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b/>
          <w:spacing w:val="-3"/>
        </w:rPr>
        <w:t>6.</w:t>
      </w:r>
      <w:r>
        <w:rPr>
          <w:b/>
          <w:spacing w:val="-3"/>
        </w:rPr>
        <w:tab/>
        <w:t>FARMACEUTISKE OPLYSNINGER</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6.1</w:t>
      </w:r>
      <w:r>
        <w:rPr>
          <w:b/>
          <w:spacing w:val="-3"/>
        </w:rPr>
        <w:tab/>
        <w:t>Hjælpestoffer</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Macrogolcetostearylether</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Cetostearylalkohol</w:t>
      </w:r>
    </w:p>
    <w:p w:rsidR="007F2D0F" w:rsidRPr="00854897"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r>
      <w:r w:rsidRPr="00854897">
        <w:rPr>
          <w:spacing w:val="-3"/>
        </w:rPr>
        <w:t>Diazolidinyl urea</w:t>
      </w:r>
    </w:p>
    <w:p w:rsidR="007F2D0F" w:rsidRPr="00854897"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sidRPr="00854897">
        <w:rPr>
          <w:spacing w:val="-3"/>
        </w:rPr>
        <w:tab/>
        <w:t>2,4-dichlorbenzylalkohol</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Dinatriumedetat</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Dinatriumphosphatdihydrat</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Glycerol 85 %</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Paraffinolie</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Paraffin, hvid blød</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rFonts w:ascii="Arial" w:hAnsi="Arial" w:cs="Arial"/>
          <w:sz w:val="22"/>
          <w:szCs w:val="22"/>
          <w:lang w:val="en-GB"/>
        </w:rPr>
      </w:pPr>
      <w:r>
        <w:rPr>
          <w:spacing w:val="-3"/>
        </w:rPr>
        <w:tab/>
      </w:r>
      <w:r>
        <w:rPr>
          <w:sz w:val="22"/>
          <w:szCs w:val="22"/>
          <w:lang w:val="en-GB"/>
        </w:rPr>
        <w:t>All-rac-α-tocopherol</w:t>
      </w:r>
    </w:p>
    <w:p w:rsidR="007F2D0F" w:rsidRPr="00854897"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lang w:val="en-US"/>
        </w:rPr>
      </w:pPr>
      <w:r w:rsidRPr="00854897">
        <w:rPr>
          <w:spacing w:val="-3"/>
          <w:lang w:val="en-US"/>
        </w:rPr>
        <w:tab/>
        <w:t>Natriumhydroxid</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lang w:val="en-GB"/>
        </w:rPr>
      </w:pPr>
      <w:r>
        <w:rPr>
          <w:spacing w:val="-3"/>
          <w:sz w:val="22"/>
          <w:szCs w:val="22"/>
          <w:lang w:val="en-GB"/>
        </w:rPr>
        <w:tab/>
      </w:r>
      <w:r>
        <w:rPr>
          <w:spacing w:val="-3"/>
          <w:lang w:val="en-GB"/>
        </w:rPr>
        <w:t>Vand, renset</w:t>
      </w:r>
    </w:p>
    <w:p w:rsidR="007F2D0F" w:rsidRPr="00714E47"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lang w:val="en-GB"/>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6.2</w:t>
      </w:r>
      <w:r>
        <w:rPr>
          <w:b/>
          <w:spacing w:val="-3"/>
        </w:rPr>
        <w:tab/>
        <w:t>Uforligeligheder</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Ikke relevant.</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6.3</w:t>
      </w:r>
      <w:r>
        <w:rPr>
          <w:b/>
          <w:spacing w:val="-3"/>
        </w:rPr>
        <w:tab/>
        <w:t>Opbevaringstid</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2 år.</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Efter anbrud: 6 måneder.</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6.4</w:t>
      </w:r>
      <w:r>
        <w:rPr>
          <w:b/>
          <w:spacing w:val="-3"/>
        </w:rPr>
        <w:tab/>
        <w:t>Særlige opbevaringsforhold</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Må ikke opbevares</w:t>
      </w:r>
      <w:r w:rsidRPr="00DD5842">
        <w:rPr>
          <w:spacing w:val="-3"/>
          <w:szCs w:val="24"/>
        </w:rPr>
        <w:t xml:space="preserve"> </w:t>
      </w:r>
      <w:r w:rsidRPr="00DD5842">
        <w:rPr>
          <w:szCs w:val="24"/>
        </w:rPr>
        <w:t xml:space="preserve">ved temperaturer </w:t>
      </w:r>
      <w:r>
        <w:rPr>
          <w:spacing w:val="-3"/>
        </w:rPr>
        <w:t>over 25 °C.</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Må ikke nedfryses.</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6.5</w:t>
      </w:r>
      <w:r>
        <w:rPr>
          <w:b/>
          <w:spacing w:val="-3"/>
        </w:rPr>
        <w:tab/>
        <w:t>Emballagetyper og pakningsstørrelser</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firstLine="1"/>
        <w:jc w:val="both"/>
        <w:rPr>
          <w:spacing w:val="-3"/>
        </w:rPr>
      </w:pPr>
      <w:r>
        <w:rPr>
          <w:spacing w:val="-3"/>
        </w:rPr>
        <w:tab/>
      </w:r>
    </w:p>
    <w:p w:rsidR="007F2D0F" w:rsidRPr="00A05F49"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firstLine="1"/>
        <w:jc w:val="both"/>
        <w:rPr>
          <w:spacing w:val="-3"/>
          <w:u w:val="single"/>
        </w:rPr>
      </w:pPr>
      <w:r w:rsidRPr="00A05F49">
        <w:rPr>
          <w:spacing w:val="-3"/>
          <w:u w:val="single"/>
        </w:rPr>
        <w:t>Tube (aluminium med skruelåg)</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firstLine="1"/>
        <w:jc w:val="both"/>
        <w:rPr>
          <w:spacing w:val="-3"/>
        </w:rPr>
      </w:pPr>
      <w:r>
        <w:rPr>
          <w:spacing w:val="-3"/>
        </w:rPr>
        <w:t>Pakningsstørrelser: 30 g, 60 g, 100 g og 120 g.</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firstLine="1"/>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firstLine="1"/>
        <w:jc w:val="both"/>
        <w:rPr>
          <w:spacing w:val="-3"/>
        </w:rPr>
      </w:pPr>
      <w:r>
        <w:rPr>
          <w:spacing w:val="-3"/>
        </w:rPr>
        <w:t>Ikke alle pakningsstørrelser er nødvendigvis markedsført.</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6.6</w:t>
      </w:r>
      <w:r>
        <w:rPr>
          <w:b/>
          <w:spacing w:val="-3"/>
        </w:rPr>
        <w:tab/>
        <w:t>Regler for destruktion og anden håndtering</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Ingen særlige forholdsregler.</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7F2D0F" w:rsidRDefault="007F2D0F" w:rsidP="007F2D0F">
      <w:pPr>
        <w:keepNext/>
        <w:tabs>
          <w:tab w:val="left" w:pos="0"/>
          <w:tab w:val="left" w:pos="851"/>
          <w:tab w:val="left" w:pos="1701"/>
          <w:tab w:val="left" w:pos="2552"/>
          <w:tab w:val="left" w:pos="3403"/>
          <w:tab w:val="left" w:pos="4254"/>
          <w:tab w:val="left" w:pos="5105"/>
          <w:tab w:val="left" w:pos="5955"/>
          <w:tab w:val="left" w:pos="6806"/>
          <w:tab w:val="left" w:pos="7657"/>
          <w:tab w:val="left" w:pos="8508"/>
        </w:tabs>
        <w:ind w:left="851" w:hanging="851"/>
        <w:jc w:val="both"/>
        <w:rPr>
          <w:b/>
          <w:spacing w:val="-3"/>
        </w:rPr>
      </w:pPr>
      <w:r>
        <w:rPr>
          <w:b/>
          <w:spacing w:val="-3"/>
        </w:rPr>
        <w:t>7.</w:t>
      </w:r>
      <w:r>
        <w:rPr>
          <w:b/>
          <w:spacing w:val="-3"/>
        </w:rPr>
        <w:tab/>
        <w:t>INDEHAVER AF MARKEDSFØRINGSTILLADELSEN</w:t>
      </w:r>
    </w:p>
    <w:p w:rsidR="007F2D0F" w:rsidRPr="00E00B5E"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lang w:val="en-US"/>
        </w:rPr>
      </w:pPr>
      <w:r>
        <w:rPr>
          <w:spacing w:val="-3"/>
        </w:rPr>
        <w:tab/>
      </w:r>
      <w:r w:rsidRPr="00E00B5E">
        <w:rPr>
          <w:spacing w:val="-3"/>
          <w:lang w:val="en-US"/>
        </w:rPr>
        <w:t>LEO Pharma A/S</w:t>
      </w:r>
    </w:p>
    <w:p w:rsidR="007F2D0F" w:rsidRPr="00E00B5E"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lang w:val="en-US"/>
        </w:rPr>
      </w:pPr>
      <w:r w:rsidRPr="00E00B5E">
        <w:rPr>
          <w:spacing w:val="-3"/>
          <w:lang w:val="en-US"/>
        </w:rPr>
        <w:tab/>
        <w:t>Industriparken 55</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sidRPr="00E00B5E">
        <w:rPr>
          <w:spacing w:val="-3"/>
          <w:lang w:val="en-US"/>
        </w:rPr>
        <w:tab/>
      </w:r>
      <w:r>
        <w:rPr>
          <w:spacing w:val="-3"/>
        </w:rPr>
        <w:t>2750 Ballerup</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rPr>
      </w:pPr>
      <w:r>
        <w:rPr>
          <w:b/>
          <w:spacing w:val="-3"/>
        </w:rPr>
        <w:t>8.</w:t>
      </w:r>
      <w:r>
        <w:rPr>
          <w:b/>
          <w:spacing w:val="-3"/>
        </w:rPr>
        <w:tab/>
        <w:t>MARKEDSFØRINGSTILLADELSESNUMMER</w:t>
      </w:r>
    </w:p>
    <w:p w:rsidR="007F2D0F" w:rsidRDefault="007F2D0F" w:rsidP="007F2D0F">
      <w:pPr>
        <w:tabs>
          <w:tab w:val="left" w:pos="0"/>
          <w:tab w:val="left" w:pos="851"/>
          <w:tab w:val="left" w:pos="1701"/>
          <w:tab w:val="left" w:pos="2552"/>
          <w:tab w:val="left" w:pos="3403"/>
          <w:tab w:val="left" w:pos="4254"/>
          <w:tab w:val="left" w:pos="5105"/>
          <w:tab w:val="left" w:pos="5955"/>
          <w:tab w:val="left" w:pos="6806"/>
          <w:tab w:val="left" w:pos="7657"/>
          <w:tab w:val="left" w:pos="8508"/>
        </w:tabs>
        <w:ind w:left="1700" w:hanging="1700"/>
        <w:jc w:val="both"/>
        <w:rPr>
          <w:spacing w:val="-3"/>
        </w:rPr>
      </w:pPr>
      <w:r>
        <w:rPr>
          <w:spacing w:val="-3"/>
        </w:rPr>
        <w:tab/>
        <w:t>15338</w:t>
      </w:r>
      <w:r>
        <w:rPr>
          <w:spacing w:val="-3"/>
        </w:rPr>
        <w:tab/>
      </w:r>
    </w:p>
    <w:p w:rsidR="007F2D0F" w:rsidRDefault="007F2D0F" w:rsidP="007F2D0F"/>
    <w:p w:rsidR="007F2D0F" w:rsidRDefault="007F2D0F" w:rsidP="007F2D0F">
      <w:pPr>
        <w:numPr>
          <w:ilvl w:val="0"/>
          <w:numId w:val="6"/>
        </w:numPr>
        <w:rPr>
          <w:b/>
        </w:rPr>
      </w:pPr>
      <w:r>
        <w:rPr>
          <w:b/>
        </w:rPr>
        <w:t>DATO FOR FØRSTE MARKEDSFØRINGSTILLADELSE</w:t>
      </w:r>
    </w:p>
    <w:p w:rsidR="007F2D0F" w:rsidRDefault="007F2D0F" w:rsidP="007F2D0F">
      <w:pPr>
        <w:ind w:left="851" w:hanging="851"/>
      </w:pPr>
      <w:r>
        <w:tab/>
        <w:t>7. november 1990</w:t>
      </w:r>
    </w:p>
    <w:p w:rsidR="007F2D0F" w:rsidRDefault="007F2D0F" w:rsidP="007F2D0F">
      <w:pPr>
        <w:ind w:left="851" w:hanging="851"/>
      </w:pPr>
    </w:p>
    <w:p w:rsidR="007F2D0F" w:rsidRDefault="007F2D0F" w:rsidP="007F2D0F">
      <w:pPr>
        <w:ind w:left="851" w:hanging="851"/>
        <w:rPr>
          <w:b/>
        </w:rPr>
      </w:pPr>
      <w:r>
        <w:rPr>
          <w:b/>
        </w:rPr>
        <w:t>10.</w:t>
      </w:r>
      <w:r>
        <w:rPr>
          <w:b/>
        </w:rPr>
        <w:tab/>
        <w:t>DATO FOR ÆNDRING AF TEKSTEN</w:t>
      </w:r>
    </w:p>
    <w:p w:rsidR="007F2D0F" w:rsidRDefault="007F2D0F" w:rsidP="007F2D0F">
      <w:pPr>
        <w:ind w:left="851" w:hanging="851"/>
      </w:pPr>
      <w:r>
        <w:tab/>
      </w:r>
      <w:r w:rsidR="00AD763C">
        <w:t>23. marts 2020</w:t>
      </w:r>
    </w:p>
    <w:p w:rsidR="007F2D0F" w:rsidRPr="002F6540" w:rsidRDefault="007F2D0F" w:rsidP="007F2D0F"/>
    <w:p w:rsidR="007F2D0F" w:rsidRPr="007D6327" w:rsidRDefault="007F2D0F" w:rsidP="007F2D0F"/>
    <w:p w:rsidR="009260DE" w:rsidRPr="007F2D0F" w:rsidRDefault="009260DE" w:rsidP="007F2D0F"/>
    <w:sectPr w:rsidR="009260DE" w:rsidRPr="007F2D0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D0F" w:rsidRDefault="007F2D0F">
      <w:r>
        <w:separator/>
      </w:r>
    </w:p>
  </w:endnote>
  <w:endnote w:type="continuationSeparator" w:id="0">
    <w:p w:rsidR="007F2D0F" w:rsidRDefault="007F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F2D0F">
      <w:rPr>
        <w:i/>
        <w:noProof/>
        <w:sz w:val="18"/>
        <w:szCs w:val="18"/>
      </w:rPr>
      <w:t>Dokument1264</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D0F" w:rsidRDefault="007F2D0F">
      <w:r>
        <w:separator/>
      </w:r>
    </w:p>
  </w:footnote>
  <w:footnote w:type="continuationSeparator" w:id="0">
    <w:p w:rsidR="007F2D0F" w:rsidRDefault="007F2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C85"/>
    <w:multiLevelType w:val="hybridMultilevel"/>
    <w:tmpl w:val="9550B12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C0A3075"/>
    <w:multiLevelType w:val="singleLevel"/>
    <w:tmpl w:val="4C3C28EE"/>
    <w:lvl w:ilvl="0">
      <w:start w:val="9"/>
      <w:numFmt w:val="decimal"/>
      <w:lvlText w:val="%1."/>
      <w:lvlJc w:val="left"/>
      <w:pPr>
        <w:tabs>
          <w:tab w:val="num" w:pos="855"/>
        </w:tabs>
        <w:ind w:left="855" w:hanging="855"/>
      </w:pPr>
      <w:rPr>
        <w:rFont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0F"/>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B4FF5"/>
    <w:rsid w:val="004B72F6"/>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F2D0F"/>
    <w:rsid w:val="0081546F"/>
    <w:rsid w:val="0082576E"/>
    <w:rsid w:val="00907F75"/>
    <w:rsid w:val="009260DE"/>
    <w:rsid w:val="0093258A"/>
    <w:rsid w:val="009C7BA3"/>
    <w:rsid w:val="009D1F5A"/>
    <w:rsid w:val="00AD763C"/>
    <w:rsid w:val="00B003BF"/>
    <w:rsid w:val="00B373D7"/>
    <w:rsid w:val="00BD16BF"/>
    <w:rsid w:val="00C36276"/>
    <w:rsid w:val="00C42586"/>
    <w:rsid w:val="00C60CCD"/>
    <w:rsid w:val="00C84483"/>
    <w:rsid w:val="00C95551"/>
    <w:rsid w:val="00CB20D7"/>
    <w:rsid w:val="00D020B0"/>
    <w:rsid w:val="00D11748"/>
    <w:rsid w:val="00D366CF"/>
    <w:rsid w:val="00E00B5E"/>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E4636C-E4BC-4AD2-9B63-92399A20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7F2D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kma@dkma.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6</Pages>
  <Words>1117</Words>
  <Characters>7608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Leo Pharma</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linda holm</dc:creator>
  <cp:keywords/>
  <dc:description>22020032187_x000d_
sletning af 240  g</dc:description>
  <cp:lastModifiedBy>testkonto01</cp:lastModifiedBy>
  <cp:revision>2</cp:revision>
  <cp:lastPrinted>2012-08-22T08:53:00Z</cp:lastPrinted>
  <dcterms:created xsi:type="dcterms:W3CDTF">2020-03-30T10:51:00Z</dcterms:created>
  <dcterms:modified xsi:type="dcterms:W3CDTF">2020-03-30T10:51:00Z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