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8B0" w:rsidRPr="007F475C" w:rsidRDefault="006268B0" w:rsidP="006268B0">
      <w:pPr>
        <w:pStyle w:val="Titel"/>
        <w:tabs>
          <w:tab w:val="left" w:pos="7938"/>
        </w:tabs>
        <w:jc w:val="left"/>
        <w:rPr>
          <w:szCs w:val="24"/>
        </w:rPr>
      </w:pPr>
      <w:r w:rsidRPr="007F475C">
        <w:rPr>
          <w:noProof/>
          <w:szCs w:val="24"/>
        </w:rPr>
        <w:drawing>
          <wp:inline distT="0" distB="0" distL="0" distR="0" wp14:anchorId="15F53834" wp14:editId="7B79DB29">
            <wp:extent cx="2463800" cy="692150"/>
            <wp:effectExtent l="0" t="0" r="0" b="0"/>
            <wp:docPr id="2" name="Billede 2" descr="Logo -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Ko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6268B0" w:rsidRPr="007F475C" w:rsidRDefault="006268B0" w:rsidP="006268B0">
      <w:pPr>
        <w:pStyle w:val="Titel"/>
        <w:tabs>
          <w:tab w:val="left" w:pos="6804"/>
        </w:tabs>
        <w:jc w:val="left"/>
        <w:rPr>
          <w:szCs w:val="24"/>
        </w:rPr>
      </w:pPr>
    </w:p>
    <w:p w:rsidR="00F335A6" w:rsidRDefault="00FD2EE1" w:rsidP="00FD2EE1">
      <w:pPr>
        <w:pStyle w:val="Titel"/>
        <w:tabs>
          <w:tab w:val="left" w:pos="326"/>
          <w:tab w:val="left" w:pos="6804"/>
          <w:tab w:val="right" w:pos="9638"/>
        </w:tabs>
        <w:jc w:val="left"/>
        <w:rPr>
          <w:szCs w:val="24"/>
        </w:rPr>
      </w:pPr>
      <w:r>
        <w:rPr>
          <w:szCs w:val="24"/>
        </w:rPr>
        <w:tab/>
      </w:r>
      <w:r>
        <w:rPr>
          <w:szCs w:val="24"/>
        </w:rPr>
        <w:tab/>
      </w:r>
      <w:r>
        <w:rPr>
          <w:szCs w:val="24"/>
        </w:rPr>
        <w:tab/>
      </w:r>
    </w:p>
    <w:p w:rsidR="006268B0" w:rsidRDefault="00F335A6" w:rsidP="00F335A6">
      <w:pPr>
        <w:pStyle w:val="Titel"/>
        <w:tabs>
          <w:tab w:val="left" w:pos="326"/>
          <w:tab w:val="left" w:pos="6804"/>
          <w:tab w:val="right" w:pos="9638"/>
        </w:tabs>
        <w:jc w:val="right"/>
        <w:rPr>
          <w:szCs w:val="24"/>
        </w:rPr>
      </w:pPr>
      <w:r>
        <w:rPr>
          <w:szCs w:val="24"/>
        </w:rPr>
        <w:t>22. juli 2025</w:t>
      </w:r>
    </w:p>
    <w:p w:rsidR="00DF6E83" w:rsidRDefault="00DF6E83" w:rsidP="006268B0">
      <w:pPr>
        <w:jc w:val="center"/>
        <w:rPr>
          <w:b/>
          <w:sz w:val="24"/>
          <w:szCs w:val="24"/>
        </w:rPr>
      </w:pPr>
    </w:p>
    <w:p w:rsidR="006268B0" w:rsidRPr="007F475C" w:rsidRDefault="006268B0" w:rsidP="006268B0">
      <w:pPr>
        <w:jc w:val="center"/>
        <w:rPr>
          <w:b/>
          <w:sz w:val="24"/>
          <w:szCs w:val="24"/>
        </w:rPr>
      </w:pPr>
      <w:r w:rsidRPr="007F475C">
        <w:rPr>
          <w:b/>
          <w:sz w:val="24"/>
          <w:szCs w:val="24"/>
        </w:rPr>
        <w:t>PRODUKTRESUMÉ</w:t>
      </w:r>
    </w:p>
    <w:p w:rsidR="006268B0" w:rsidRPr="007F475C" w:rsidRDefault="006268B0" w:rsidP="006268B0">
      <w:pPr>
        <w:jc w:val="center"/>
        <w:rPr>
          <w:b/>
          <w:sz w:val="24"/>
          <w:szCs w:val="24"/>
        </w:rPr>
      </w:pPr>
    </w:p>
    <w:p w:rsidR="006268B0" w:rsidRPr="007F475C" w:rsidRDefault="00A34E48" w:rsidP="00A34E48">
      <w:pPr>
        <w:tabs>
          <w:tab w:val="left" w:pos="410"/>
          <w:tab w:val="center" w:pos="4819"/>
        </w:tabs>
        <w:rPr>
          <w:b/>
          <w:sz w:val="24"/>
          <w:szCs w:val="24"/>
        </w:rPr>
      </w:pPr>
      <w:r>
        <w:rPr>
          <w:b/>
          <w:sz w:val="24"/>
          <w:szCs w:val="24"/>
        </w:rPr>
        <w:tab/>
      </w:r>
      <w:r>
        <w:rPr>
          <w:b/>
          <w:sz w:val="24"/>
          <w:szCs w:val="24"/>
        </w:rPr>
        <w:tab/>
      </w:r>
      <w:r w:rsidR="006268B0" w:rsidRPr="007F475C">
        <w:rPr>
          <w:b/>
          <w:sz w:val="24"/>
          <w:szCs w:val="24"/>
        </w:rPr>
        <w:t>for</w:t>
      </w:r>
    </w:p>
    <w:p w:rsidR="006268B0" w:rsidRPr="007F475C" w:rsidRDefault="006268B0" w:rsidP="006268B0">
      <w:pPr>
        <w:jc w:val="center"/>
        <w:rPr>
          <w:b/>
          <w:sz w:val="24"/>
          <w:szCs w:val="24"/>
        </w:rPr>
      </w:pPr>
    </w:p>
    <w:p w:rsidR="006268B0" w:rsidRPr="007F475C" w:rsidRDefault="00F335A6" w:rsidP="006268B0">
      <w:pPr>
        <w:jc w:val="center"/>
        <w:rPr>
          <w:b/>
          <w:sz w:val="24"/>
          <w:szCs w:val="24"/>
        </w:rPr>
      </w:pPr>
      <w:proofErr w:type="spellStart"/>
      <w:r>
        <w:rPr>
          <w:b/>
          <w:sz w:val="24"/>
          <w:szCs w:val="24"/>
        </w:rPr>
        <w:t>Dalacin</w:t>
      </w:r>
      <w:proofErr w:type="spellEnd"/>
      <w:r>
        <w:rPr>
          <w:b/>
          <w:sz w:val="24"/>
          <w:szCs w:val="24"/>
        </w:rPr>
        <w:t xml:space="preserve"> C</w:t>
      </w:r>
      <w:r w:rsidR="006268B0" w:rsidRPr="007F475C">
        <w:rPr>
          <w:b/>
          <w:sz w:val="24"/>
          <w:szCs w:val="24"/>
        </w:rPr>
        <w:t>, hårde kapsler</w:t>
      </w:r>
      <w:r>
        <w:rPr>
          <w:b/>
          <w:sz w:val="24"/>
          <w:szCs w:val="24"/>
        </w:rPr>
        <w:t xml:space="preserve"> (2care4)</w:t>
      </w:r>
    </w:p>
    <w:p w:rsidR="006268B0" w:rsidRPr="007F475C" w:rsidRDefault="006268B0" w:rsidP="006268B0">
      <w:pPr>
        <w:rPr>
          <w:sz w:val="24"/>
          <w:szCs w:val="24"/>
        </w:rPr>
      </w:pPr>
    </w:p>
    <w:p w:rsidR="006268B0" w:rsidRPr="007F475C" w:rsidRDefault="006268B0" w:rsidP="006268B0">
      <w:pPr>
        <w:numPr>
          <w:ilvl w:val="0"/>
          <w:numId w:val="6"/>
        </w:numPr>
        <w:tabs>
          <w:tab w:val="clear" w:pos="855"/>
          <w:tab w:val="left" w:pos="851"/>
        </w:tabs>
        <w:rPr>
          <w:b/>
          <w:sz w:val="24"/>
          <w:szCs w:val="24"/>
        </w:rPr>
      </w:pPr>
      <w:r w:rsidRPr="007F475C">
        <w:rPr>
          <w:b/>
          <w:sz w:val="24"/>
          <w:szCs w:val="24"/>
        </w:rPr>
        <w:t>D.SP.NR.</w:t>
      </w:r>
    </w:p>
    <w:p w:rsidR="006268B0" w:rsidRPr="007F475C" w:rsidRDefault="006268B0" w:rsidP="006268B0">
      <w:pPr>
        <w:tabs>
          <w:tab w:val="left" w:pos="851"/>
        </w:tabs>
        <w:rPr>
          <w:sz w:val="24"/>
          <w:szCs w:val="24"/>
        </w:rPr>
      </w:pPr>
      <w:r w:rsidRPr="007F475C">
        <w:rPr>
          <w:sz w:val="24"/>
          <w:szCs w:val="24"/>
        </w:rPr>
        <w:tab/>
        <w:t>03181</w:t>
      </w:r>
    </w:p>
    <w:p w:rsidR="006268B0" w:rsidRPr="007F475C" w:rsidRDefault="006268B0" w:rsidP="006268B0">
      <w:pPr>
        <w:tabs>
          <w:tab w:val="left" w:pos="851"/>
        </w:tabs>
        <w:rPr>
          <w:sz w:val="24"/>
          <w:szCs w:val="24"/>
        </w:rPr>
      </w:pPr>
    </w:p>
    <w:p w:rsidR="006268B0" w:rsidRPr="007F475C" w:rsidRDefault="006268B0" w:rsidP="006268B0">
      <w:pPr>
        <w:numPr>
          <w:ilvl w:val="0"/>
          <w:numId w:val="6"/>
        </w:numPr>
        <w:rPr>
          <w:b/>
          <w:sz w:val="24"/>
          <w:szCs w:val="24"/>
        </w:rPr>
      </w:pPr>
      <w:r w:rsidRPr="007F475C">
        <w:rPr>
          <w:b/>
          <w:sz w:val="24"/>
          <w:szCs w:val="24"/>
        </w:rPr>
        <w:t>LÆGEMIDLETS NAVN</w:t>
      </w:r>
    </w:p>
    <w:p w:rsidR="006268B0" w:rsidRPr="007F475C" w:rsidRDefault="006268B0" w:rsidP="006268B0">
      <w:pPr>
        <w:tabs>
          <w:tab w:val="left" w:pos="851"/>
        </w:tabs>
        <w:rPr>
          <w:sz w:val="24"/>
          <w:szCs w:val="24"/>
        </w:rPr>
      </w:pPr>
      <w:r w:rsidRPr="007F475C">
        <w:rPr>
          <w:sz w:val="24"/>
          <w:szCs w:val="24"/>
        </w:rPr>
        <w:tab/>
      </w:r>
      <w:proofErr w:type="spellStart"/>
      <w:r w:rsidR="00F335A6">
        <w:rPr>
          <w:sz w:val="24"/>
          <w:szCs w:val="24"/>
        </w:rPr>
        <w:t>Dalacin</w:t>
      </w:r>
      <w:proofErr w:type="spellEnd"/>
      <w:r w:rsidR="00F335A6">
        <w:rPr>
          <w:sz w:val="24"/>
          <w:szCs w:val="24"/>
        </w:rPr>
        <w:t xml:space="preserve"> C</w:t>
      </w:r>
    </w:p>
    <w:p w:rsidR="006268B0" w:rsidRPr="007F475C" w:rsidRDefault="006268B0" w:rsidP="006268B0">
      <w:pPr>
        <w:tabs>
          <w:tab w:val="left" w:pos="851"/>
        </w:tabs>
        <w:rPr>
          <w:sz w:val="24"/>
          <w:szCs w:val="24"/>
        </w:rPr>
      </w:pPr>
      <w:r w:rsidRPr="007F475C">
        <w:rPr>
          <w:sz w:val="24"/>
          <w:szCs w:val="24"/>
        </w:rPr>
        <w:tab/>
      </w:r>
    </w:p>
    <w:p w:rsidR="006268B0" w:rsidRPr="007F475C" w:rsidRDefault="006268B0" w:rsidP="006268B0">
      <w:pPr>
        <w:numPr>
          <w:ilvl w:val="0"/>
          <w:numId w:val="6"/>
        </w:numPr>
        <w:rPr>
          <w:b/>
          <w:sz w:val="24"/>
          <w:szCs w:val="24"/>
        </w:rPr>
      </w:pPr>
      <w:r w:rsidRPr="007F475C">
        <w:rPr>
          <w:b/>
          <w:sz w:val="24"/>
          <w:szCs w:val="24"/>
        </w:rPr>
        <w:t>KVALITATIV OG KVANTITATIV SAMMENSÆTNING</w:t>
      </w:r>
    </w:p>
    <w:p w:rsidR="006268B0" w:rsidRPr="007F475C" w:rsidRDefault="006268B0" w:rsidP="006268B0">
      <w:pPr>
        <w:tabs>
          <w:tab w:val="left" w:pos="851"/>
        </w:tabs>
        <w:ind w:left="855" w:hanging="4"/>
        <w:rPr>
          <w:sz w:val="24"/>
          <w:szCs w:val="24"/>
        </w:rPr>
      </w:pPr>
      <w:r w:rsidRPr="007F475C">
        <w:rPr>
          <w:sz w:val="24"/>
          <w:szCs w:val="24"/>
        </w:rPr>
        <w:t xml:space="preserve">En kapsel indeholder 300 mg </w:t>
      </w:r>
      <w:proofErr w:type="spellStart"/>
      <w:r w:rsidRPr="007F475C">
        <w:rPr>
          <w:sz w:val="24"/>
          <w:szCs w:val="24"/>
        </w:rPr>
        <w:t>clindamycin</w:t>
      </w:r>
      <w:proofErr w:type="spellEnd"/>
      <w:r w:rsidRPr="007F475C">
        <w:rPr>
          <w:sz w:val="24"/>
          <w:szCs w:val="24"/>
        </w:rPr>
        <w:t xml:space="preserve"> som </w:t>
      </w:r>
      <w:proofErr w:type="spellStart"/>
      <w:r w:rsidRPr="007F475C">
        <w:rPr>
          <w:sz w:val="24"/>
          <w:szCs w:val="24"/>
        </w:rPr>
        <w:t>clindamycinhydrochlorid</w:t>
      </w:r>
      <w:proofErr w:type="spellEnd"/>
      <w:r w:rsidRPr="007F475C">
        <w:rPr>
          <w:sz w:val="24"/>
          <w:szCs w:val="24"/>
        </w:rPr>
        <w:t>.</w:t>
      </w:r>
    </w:p>
    <w:p w:rsidR="006268B0" w:rsidRPr="007F475C" w:rsidRDefault="006268B0" w:rsidP="006268B0">
      <w:pPr>
        <w:tabs>
          <w:tab w:val="left" w:pos="851"/>
        </w:tabs>
        <w:ind w:left="855" w:hanging="4"/>
        <w:rPr>
          <w:sz w:val="24"/>
          <w:szCs w:val="24"/>
        </w:rPr>
      </w:pPr>
    </w:p>
    <w:p w:rsidR="006268B0" w:rsidRPr="007F475C" w:rsidRDefault="006268B0" w:rsidP="006268B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4"/>
        <w:jc w:val="both"/>
        <w:rPr>
          <w:sz w:val="24"/>
          <w:szCs w:val="24"/>
          <w:u w:val="single"/>
        </w:rPr>
      </w:pPr>
      <w:r w:rsidRPr="007F475C">
        <w:rPr>
          <w:sz w:val="24"/>
          <w:szCs w:val="24"/>
          <w:u w:val="single"/>
        </w:rPr>
        <w:tab/>
        <w:t>Hjælpestoffer, som behandleren skal være opmærksom på</w:t>
      </w:r>
    </w:p>
    <w:p w:rsidR="007F475C" w:rsidRPr="007F475C" w:rsidRDefault="007F475C" w:rsidP="007F475C">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z w:val="24"/>
          <w:szCs w:val="24"/>
        </w:rPr>
      </w:pPr>
      <w:r w:rsidRPr="007F475C">
        <w:rPr>
          <w:sz w:val="24"/>
          <w:szCs w:val="24"/>
        </w:rPr>
        <w:tab/>
      </w:r>
      <w:r w:rsidRPr="007F475C">
        <w:rPr>
          <w:sz w:val="24"/>
          <w:szCs w:val="24"/>
        </w:rPr>
        <w:tab/>
      </w:r>
      <w:proofErr w:type="spellStart"/>
      <w:r w:rsidR="00F335A6">
        <w:rPr>
          <w:sz w:val="24"/>
          <w:szCs w:val="24"/>
        </w:rPr>
        <w:t>Dalacin</w:t>
      </w:r>
      <w:proofErr w:type="spellEnd"/>
      <w:r w:rsidR="00F335A6">
        <w:rPr>
          <w:sz w:val="24"/>
          <w:szCs w:val="24"/>
        </w:rPr>
        <w:t xml:space="preserve"> C</w:t>
      </w:r>
      <w:r w:rsidRPr="007F475C">
        <w:rPr>
          <w:sz w:val="24"/>
          <w:szCs w:val="24"/>
        </w:rPr>
        <w:t xml:space="preserve"> 300 mg indeholder cirka 240 mg </w:t>
      </w:r>
      <w:proofErr w:type="spellStart"/>
      <w:r w:rsidRPr="007F475C">
        <w:rPr>
          <w:sz w:val="24"/>
          <w:szCs w:val="24"/>
        </w:rPr>
        <w:t>lactose</w:t>
      </w:r>
      <w:proofErr w:type="spellEnd"/>
      <w:r w:rsidRPr="007F475C">
        <w:rPr>
          <w:sz w:val="24"/>
          <w:szCs w:val="24"/>
        </w:rPr>
        <w:t>.</w:t>
      </w:r>
    </w:p>
    <w:p w:rsidR="006268B0" w:rsidRPr="007F475C" w:rsidRDefault="006268B0" w:rsidP="006268B0">
      <w:pPr>
        <w:tabs>
          <w:tab w:val="left" w:pos="851"/>
        </w:tabs>
        <w:ind w:left="855" w:hanging="4"/>
        <w:rPr>
          <w:sz w:val="24"/>
          <w:szCs w:val="24"/>
        </w:rPr>
      </w:pPr>
    </w:p>
    <w:p w:rsidR="006268B0" w:rsidRPr="007F475C" w:rsidRDefault="006268B0" w:rsidP="006268B0">
      <w:pPr>
        <w:tabs>
          <w:tab w:val="left" w:pos="851"/>
        </w:tabs>
        <w:ind w:left="855" w:hanging="4"/>
        <w:rPr>
          <w:sz w:val="24"/>
          <w:szCs w:val="24"/>
        </w:rPr>
      </w:pPr>
      <w:r w:rsidRPr="007F475C">
        <w:rPr>
          <w:sz w:val="24"/>
          <w:szCs w:val="24"/>
        </w:rPr>
        <w:t>Alle hjælpestoffer er anført under pkt. 6.1.</w:t>
      </w:r>
    </w:p>
    <w:p w:rsidR="006268B0" w:rsidRPr="007F475C" w:rsidRDefault="006268B0" w:rsidP="006268B0">
      <w:pPr>
        <w:tabs>
          <w:tab w:val="left" w:pos="851"/>
        </w:tabs>
        <w:rPr>
          <w:sz w:val="24"/>
          <w:szCs w:val="24"/>
        </w:rPr>
      </w:pPr>
    </w:p>
    <w:p w:rsidR="006268B0" w:rsidRPr="007F475C" w:rsidRDefault="006268B0" w:rsidP="006268B0">
      <w:pPr>
        <w:numPr>
          <w:ilvl w:val="0"/>
          <w:numId w:val="6"/>
        </w:numPr>
        <w:rPr>
          <w:b/>
          <w:sz w:val="24"/>
          <w:szCs w:val="24"/>
        </w:rPr>
      </w:pPr>
      <w:r w:rsidRPr="007F475C">
        <w:rPr>
          <w:b/>
          <w:sz w:val="24"/>
          <w:szCs w:val="24"/>
        </w:rPr>
        <w:t>LÆGEMIDDELFORM</w:t>
      </w:r>
    </w:p>
    <w:p w:rsidR="006268B0" w:rsidRPr="007F475C" w:rsidRDefault="006268B0" w:rsidP="006268B0">
      <w:pPr>
        <w:tabs>
          <w:tab w:val="left" w:pos="851"/>
        </w:tabs>
        <w:ind w:left="855"/>
        <w:rPr>
          <w:sz w:val="24"/>
          <w:szCs w:val="24"/>
        </w:rPr>
      </w:pPr>
      <w:r w:rsidRPr="007F475C">
        <w:rPr>
          <w:sz w:val="24"/>
          <w:szCs w:val="24"/>
        </w:rPr>
        <w:t>Hårde kapsler</w:t>
      </w:r>
      <w:r w:rsidR="00F335A6">
        <w:rPr>
          <w:sz w:val="24"/>
          <w:szCs w:val="24"/>
        </w:rPr>
        <w:t xml:space="preserve"> (2care4)</w:t>
      </w:r>
    </w:p>
    <w:p w:rsidR="006268B0" w:rsidRPr="007F475C" w:rsidRDefault="006268B0" w:rsidP="006268B0">
      <w:pPr>
        <w:tabs>
          <w:tab w:val="left" w:pos="851"/>
        </w:tabs>
        <w:ind w:left="855"/>
        <w:rPr>
          <w:sz w:val="24"/>
          <w:szCs w:val="24"/>
        </w:rPr>
      </w:pPr>
      <w:r w:rsidRPr="007F475C">
        <w:rPr>
          <w:sz w:val="24"/>
          <w:szCs w:val="24"/>
        </w:rPr>
        <w:t xml:space="preserve"> </w:t>
      </w:r>
    </w:p>
    <w:p w:rsidR="006268B0" w:rsidRPr="007F475C" w:rsidRDefault="006268B0" w:rsidP="006268B0">
      <w:pPr>
        <w:tabs>
          <w:tab w:val="left" w:pos="851"/>
        </w:tabs>
        <w:rPr>
          <w:sz w:val="24"/>
          <w:szCs w:val="24"/>
        </w:rPr>
      </w:pPr>
      <w:r w:rsidRPr="007F475C">
        <w:rPr>
          <w:sz w:val="24"/>
          <w:szCs w:val="24"/>
        </w:rPr>
        <w:tab/>
      </w:r>
    </w:p>
    <w:p w:rsidR="006268B0" w:rsidRPr="007F475C" w:rsidRDefault="006268B0" w:rsidP="006268B0">
      <w:pPr>
        <w:numPr>
          <w:ilvl w:val="0"/>
          <w:numId w:val="6"/>
        </w:numPr>
        <w:rPr>
          <w:b/>
          <w:sz w:val="24"/>
          <w:szCs w:val="24"/>
        </w:rPr>
      </w:pPr>
      <w:r w:rsidRPr="007F475C">
        <w:rPr>
          <w:b/>
          <w:sz w:val="24"/>
          <w:szCs w:val="24"/>
        </w:rPr>
        <w:t>KLINISKE OPLYSNINGER</w:t>
      </w:r>
    </w:p>
    <w:p w:rsidR="006268B0" w:rsidRPr="007F475C" w:rsidRDefault="006268B0" w:rsidP="006268B0">
      <w:pPr>
        <w:tabs>
          <w:tab w:val="left" w:pos="851"/>
        </w:tabs>
        <w:rPr>
          <w:b/>
          <w:sz w:val="24"/>
          <w:szCs w:val="24"/>
        </w:rPr>
      </w:pPr>
    </w:p>
    <w:p w:rsidR="006268B0" w:rsidRPr="007F475C" w:rsidRDefault="006268B0" w:rsidP="006268B0">
      <w:pPr>
        <w:numPr>
          <w:ilvl w:val="1"/>
          <w:numId w:val="6"/>
        </w:numPr>
        <w:rPr>
          <w:b/>
          <w:sz w:val="24"/>
          <w:szCs w:val="24"/>
        </w:rPr>
      </w:pPr>
      <w:r w:rsidRPr="007F475C">
        <w:rPr>
          <w:b/>
          <w:sz w:val="24"/>
          <w:szCs w:val="24"/>
        </w:rPr>
        <w:t>Terapeutiske indikationer</w:t>
      </w:r>
    </w:p>
    <w:p w:rsidR="006268B0" w:rsidRPr="007F475C" w:rsidRDefault="006268B0" w:rsidP="006268B0">
      <w:pPr>
        <w:tabs>
          <w:tab w:val="left" w:pos="851"/>
        </w:tabs>
        <w:ind w:left="855"/>
        <w:rPr>
          <w:sz w:val="24"/>
          <w:szCs w:val="24"/>
        </w:rPr>
      </w:pPr>
      <w:r w:rsidRPr="007F475C">
        <w:rPr>
          <w:sz w:val="24"/>
          <w:szCs w:val="24"/>
        </w:rPr>
        <w:t xml:space="preserve">Infektioner forårsaget af </w:t>
      </w:r>
      <w:proofErr w:type="spellStart"/>
      <w:r w:rsidRPr="007F475C">
        <w:rPr>
          <w:sz w:val="24"/>
          <w:szCs w:val="24"/>
        </w:rPr>
        <w:t>clindamycinfølsomme</w:t>
      </w:r>
      <w:proofErr w:type="spellEnd"/>
      <w:r w:rsidRPr="007F475C">
        <w:rPr>
          <w:sz w:val="24"/>
          <w:szCs w:val="24"/>
        </w:rPr>
        <w:t xml:space="preserve"> bakterier.</w:t>
      </w:r>
    </w:p>
    <w:p w:rsidR="006268B0" w:rsidRPr="007F475C" w:rsidRDefault="006268B0" w:rsidP="006268B0">
      <w:pPr>
        <w:tabs>
          <w:tab w:val="left" w:pos="851"/>
        </w:tabs>
        <w:rPr>
          <w:sz w:val="24"/>
          <w:szCs w:val="24"/>
        </w:rPr>
      </w:pPr>
    </w:p>
    <w:p w:rsidR="006268B0" w:rsidRPr="007F475C" w:rsidRDefault="006268B0" w:rsidP="006268B0">
      <w:pPr>
        <w:numPr>
          <w:ilvl w:val="1"/>
          <w:numId w:val="6"/>
        </w:numPr>
        <w:rPr>
          <w:b/>
          <w:bCs/>
          <w:sz w:val="24"/>
          <w:szCs w:val="24"/>
        </w:rPr>
      </w:pPr>
      <w:r w:rsidRPr="007F475C">
        <w:rPr>
          <w:b/>
          <w:bCs/>
          <w:sz w:val="24"/>
          <w:szCs w:val="24"/>
        </w:rPr>
        <w:t>Dosering og administration</w:t>
      </w:r>
    </w:p>
    <w:p w:rsidR="00F335A6" w:rsidRPr="00927033" w:rsidRDefault="00F335A6"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6268B0" w:rsidRPr="007F475C" w:rsidRDefault="006268B0" w:rsidP="006268B0">
      <w:pPr>
        <w:ind w:left="851"/>
        <w:rPr>
          <w:bCs/>
          <w:sz w:val="24"/>
          <w:szCs w:val="24"/>
          <w:u w:val="single"/>
        </w:rPr>
      </w:pPr>
    </w:p>
    <w:p w:rsidR="006268B0" w:rsidRPr="007F475C" w:rsidRDefault="006268B0" w:rsidP="006268B0">
      <w:pPr>
        <w:ind w:left="851"/>
        <w:rPr>
          <w:b/>
          <w:bCs/>
          <w:sz w:val="24"/>
          <w:szCs w:val="24"/>
        </w:rPr>
      </w:pPr>
      <w:r w:rsidRPr="007F475C">
        <w:rPr>
          <w:b/>
          <w:bCs/>
          <w:sz w:val="24"/>
          <w:szCs w:val="24"/>
        </w:rPr>
        <w:t>Dosering</w:t>
      </w:r>
    </w:p>
    <w:p w:rsidR="006268B0" w:rsidRPr="007F475C" w:rsidRDefault="006268B0" w:rsidP="006268B0">
      <w:pPr>
        <w:ind w:left="851"/>
        <w:rPr>
          <w:b/>
          <w:bCs/>
          <w:sz w:val="24"/>
          <w:szCs w:val="24"/>
        </w:rPr>
      </w:pPr>
    </w:p>
    <w:p w:rsidR="00BD0D47" w:rsidRPr="007F475C" w:rsidRDefault="00BD0D47" w:rsidP="00BD0D47">
      <w:pPr>
        <w:ind w:left="851"/>
        <w:rPr>
          <w:sz w:val="24"/>
          <w:szCs w:val="24"/>
        </w:rPr>
      </w:pPr>
      <w:r w:rsidRPr="007F475C">
        <w:rPr>
          <w:bCs/>
          <w:sz w:val="24"/>
          <w:szCs w:val="24"/>
          <w:u w:val="single"/>
        </w:rPr>
        <w:t>Voksne</w:t>
      </w:r>
    </w:p>
    <w:p w:rsidR="00BD0D47" w:rsidRPr="007F475C" w:rsidRDefault="00BD0D47" w:rsidP="00BD0D47">
      <w:pPr>
        <w:ind w:left="851"/>
        <w:rPr>
          <w:sz w:val="24"/>
          <w:szCs w:val="24"/>
        </w:rPr>
      </w:pPr>
      <w:r w:rsidRPr="007F475C">
        <w:rPr>
          <w:sz w:val="24"/>
          <w:szCs w:val="24"/>
        </w:rPr>
        <w:t>600-1800 mg daglig fordelt på 2-4 doser.</w:t>
      </w:r>
    </w:p>
    <w:p w:rsidR="00BD0D47" w:rsidRPr="007F475C" w:rsidRDefault="00BD0D47" w:rsidP="00BD0D47">
      <w:pPr>
        <w:ind w:left="851"/>
        <w:rPr>
          <w:b/>
          <w:bCs/>
          <w:sz w:val="24"/>
          <w:szCs w:val="24"/>
        </w:rPr>
      </w:pPr>
    </w:p>
    <w:p w:rsidR="00BD0D47" w:rsidRPr="007F475C" w:rsidRDefault="00BD0D47" w:rsidP="00BD0D47">
      <w:pPr>
        <w:ind w:left="851"/>
        <w:rPr>
          <w:bCs/>
          <w:sz w:val="24"/>
          <w:szCs w:val="24"/>
          <w:u w:val="single"/>
        </w:rPr>
      </w:pPr>
      <w:r w:rsidRPr="007F475C">
        <w:rPr>
          <w:bCs/>
          <w:sz w:val="24"/>
          <w:szCs w:val="24"/>
          <w:u w:val="single"/>
        </w:rPr>
        <w:t>Børn over 1 måned</w:t>
      </w:r>
    </w:p>
    <w:p w:rsidR="00BD0D47" w:rsidRPr="007F475C" w:rsidRDefault="00BD0D47" w:rsidP="00BD0D47">
      <w:pPr>
        <w:ind w:left="851"/>
        <w:rPr>
          <w:sz w:val="24"/>
          <w:szCs w:val="24"/>
        </w:rPr>
      </w:pPr>
      <w:r w:rsidRPr="007F475C">
        <w:rPr>
          <w:sz w:val="24"/>
          <w:szCs w:val="24"/>
        </w:rPr>
        <w:t>10-30(40) mg/kg/døgn fordelt på 3-4 doser.</w:t>
      </w:r>
    </w:p>
    <w:p w:rsidR="00BD0D47" w:rsidRPr="007F475C" w:rsidRDefault="00BD0D47" w:rsidP="00BD0D47">
      <w:pPr>
        <w:ind w:left="851"/>
        <w:rPr>
          <w:sz w:val="24"/>
          <w:szCs w:val="24"/>
        </w:rPr>
      </w:pPr>
    </w:p>
    <w:p w:rsidR="00BD0D47" w:rsidRPr="007F475C" w:rsidRDefault="00F335A6" w:rsidP="00BD0D47">
      <w:pPr>
        <w:ind w:left="851"/>
        <w:rPr>
          <w:sz w:val="24"/>
          <w:szCs w:val="24"/>
        </w:rPr>
      </w:pPr>
      <w:proofErr w:type="spellStart"/>
      <w:r>
        <w:rPr>
          <w:sz w:val="24"/>
          <w:szCs w:val="24"/>
        </w:rPr>
        <w:t>Dalacin</w:t>
      </w:r>
      <w:proofErr w:type="spellEnd"/>
      <w:r>
        <w:rPr>
          <w:sz w:val="24"/>
          <w:szCs w:val="24"/>
        </w:rPr>
        <w:t xml:space="preserve"> C</w:t>
      </w:r>
      <w:r w:rsidR="00BD0D47">
        <w:rPr>
          <w:sz w:val="24"/>
          <w:szCs w:val="24"/>
        </w:rPr>
        <w:t xml:space="preserve"> skal doseres baseret på den totale kropsvægt uanset overvægt (se </w:t>
      </w:r>
      <w:proofErr w:type="spellStart"/>
      <w:r w:rsidR="00BD0D47">
        <w:rPr>
          <w:sz w:val="24"/>
          <w:szCs w:val="24"/>
        </w:rPr>
        <w:t>pkt</w:t>
      </w:r>
      <w:proofErr w:type="spellEnd"/>
      <w:r w:rsidR="00BD0D47">
        <w:rPr>
          <w:sz w:val="24"/>
          <w:szCs w:val="24"/>
        </w:rPr>
        <w:t xml:space="preserve"> 5.2).</w:t>
      </w:r>
    </w:p>
    <w:p w:rsidR="006268B0" w:rsidRPr="007F475C" w:rsidRDefault="006268B0" w:rsidP="006268B0">
      <w:pPr>
        <w:ind w:left="851"/>
        <w:rPr>
          <w:sz w:val="24"/>
          <w:szCs w:val="24"/>
        </w:rPr>
      </w:pPr>
    </w:p>
    <w:p w:rsidR="006268B0" w:rsidRPr="007F475C" w:rsidRDefault="00F335A6" w:rsidP="006268B0">
      <w:pPr>
        <w:ind w:left="851"/>
        <w:rPr>
          <w:sz w:val="24"/>
          <w:szCs w:val="24"/>
        </w:rPr>
      </w:pPr>
      <w:proofErr w:type="spellStart"/>
      <w:r>
        <w:rPr>
          <w:sz w:val="24"/>
          <w:szCs w:val="24"/>
        </w:rPr>
        <w:t>Dalacin</w:t>
      </w:r>
      <w:proofErr w:type="spellEnd"/>
      <w:r>
        <w:rPr>
          <w:sz w:val="24"/>
          <w:szCs w:val="24"/>
        </w:rPr>
        <w:t xml:space="preserve"> C</w:t>
      </w:r>
      <w:r w:rsidR="006268B0" w:rsidRPr="007F475C">
        <w:rPr>
          <w:sz w:val="24"/>
          <w:szCs w:val="24"/>
        </w:rPr>
        <w:t xml:space="preserve"> kapsler bør kun anvendes til børn, der kan synke kapsler.</w:t>
      </w:r>
    </w:p>
    <w:p w:rsidR="006268B0" w:rsidRPr="007F475C" w:rsidRDefault="006268B0" w:rsidP="006268B0">
      <w:pPr>
        <w:ind w:left="851"/>
        <w:rPr>
          <w:sz w:val="24"/>
          <w:szCs w:val="24"/>
        </w:rPr>
      </w:pPr>
    </w:p>
    <w:p w:rsidR="006268B0" w:rsidRPr="007F475C" w:rsidRDefault="006268B0" w:rsidP="006268B0">
      <w:pPr>
        <w:ind w:left="851"/>
        <w:rPr>
          <w:sz w:val="24"/>
          <w:szCs w:val="24"/>
        </w:rPr>
      </w:pPr>
      <w:r w:rsidRPr="007F475C">
        <w:rPr>
          <w:sz w:val="24"/>
          <w:szCs w:val="24"/>
        </w:rPr>
        <w:t xml:space="preserve">Den nøjagtige dosis i mg/kg, som er påkrævet til behandling af børn, kan muligvis ikke gives ved brug af kapsler. </w:t>
      </w:r>
    </w:p>
    <w:p w:rsidR="006268B0" w:rsidRPr="007F475C" w:rsidRDefault="006268B0" w:rsidP="006268B0">
      <w:pPr>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Børn under 1 måned</w:t>
      </w:r>
    </w:p>
    <w:p w:rsidR="006268B0" w:rsidRPr="007F475C" w:rsidRDefault="006268B0" w:rsidP="006268B0">
      <w:pPr>
        <w:ind w:left="851"/>
        <w:rPr>
          <w:sz w:val="24"/>
          <w:szCs w:val="24"/>
        </w:rPr>
      </w:pPr>
      <w:r w:rsidRPr="007F475C">
        <w:rPr>
          <w:sz w:val="24"/>
          <w:szCs w:val="24"/>
        </w:rPr>
        <w:t>Bør ikke anvendes til børn under 1 måned.</w:t>
      </w:r>
    </w:p>
    <w:p w:rsidR="006268B0" w:rsidRPr="007F475C" w:rsidRDefault="006268B0" w:rsidP="006268B0">
      <w:pPr>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Ældre</w:t>
      </w:r>
    </w:p>
    <w:p w:rsidR="006268B0" w:rsidRPr="007F475C" w:rsidRDefault="006268B0" w:rsidP="006268B0">
      <w:pPr>
        <w:ind w:left="851"/>
        <w:rPr>
          <w:sz w:val="24"/>
          <w:szCs w:val="24"/>
        </w:rPr>
      </w:pPr>
      <w:r w:rsidRPr="007F475C">
        <w:rPr>
          <w:sz w:val="24"/>
          <w:szCs w:val="24"/>
        </w:rPr>
        <w:t>Dosisjustering er ikke nødvendig (se pkt. 5.2).</w:t>
      </w:r>
    </w:p>
    <w:p w:rsidR="006268B0" w:rsidRPr="007F475C" w:rsidRDefault="006268B0" w:rsidP="006268B0">
      <w:pPr>
        <w:tabs>
          <w:tab w:val="left" w:pos="1590"/>
        </w:tabs>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Nedsat nyrefunktion</w:t>
      </w:r>
    </w:p>
    <w:p w:rsidR="006268B0" w:rsidRPr="007F475C" w:rsidRDefault="006268B0" w:rsidP="006268B0">
      <w:pPr>
        <w:ind w:left="851"/>
        <w:rPr>
          <w:sz w:val="24"/>
          <w:szCs w:val="24"/>
        </w:rPr>
      </w:pPr>
      <w:r w:rsidRPr="007F475C">
        <w:rPr>
          <w:sz w:val="24"/>
          <w:szCs w:val="24"/>
        </w:rPr>
        <w:t>Dosisjustering er ikke nødvendig.</w:t>
      </w:r>
    </w:p>
    <w:p w:rsidR="006268B0" w:rsidRPr="007F475C" w:rsidRDefault="006268B0" w:rsidP="006268B0">
      <w:pPr>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Nedsat leverfunktion</w:t>
      </w:r>
    </w:p>
    <w:p w:rsidR="006268B0" w:rsidRPr="007F475C" w:rsidRDefault="006268B0" w:rsidP="006268B0">
      <w:pPr>
        <w:tabs>
          <w:tab w:val="left" w:pos="851"/>
        </w:tabs>
        <w:ind w:left="851"/>
        <w:rPr>
          <w:sz w:val="24"/>
          <w:szCs w:val="24"/>
        </w:rPr>
      </w:pPr>
      <w:r w:rsidRPr="007F475C">
        <w:rPr>
          <w:spacing w:val="-3"/>
          <w:sz w:val="24"/>
          <w:szCs w:val="24"/>
        </w:rPr>
        <w:t xml:space="preserve">Hos patienter med moderat til svær leverlidelse er der observeret en øget halveringstid for </w:t>
      </w:r>
      <w:proofErr w:type="spellStart"/>
      <w:r w:rsidRPr="007F475C">
        <w:rPr>
          <w:spacing w:val="-3"/>
          <w:sz w:val="24"/>
          <w:szCs w:val="24"/>
        </w:rPr>
        <w:t>clindamycin</w:t>
      </w:r>
      <w:proofErr w:type="spellEnd"/>
      <w:r w:rsidRPr="007F475C">
        <w:rPr>
          <w:spacing w:val="-3"/>
          <w:sz w:val="24"/>
          <w:szCs w:val="24"/>
        </w:rPr>
        <w:t xml:space="preserve">. Hvis </w:t>
      </w:r>
      <w:proofErr w:type="spellStart"/>
      <w:r w:rsidRPr="007F475C">
        <w:rPr>
          <w:spacing w:val="-3"/>
          <w:sz w:val="24"/>
          <w:szCs w:val="24"/>
        </w:rPr>
        <w:t>clindamycin</w:t>
      </w:r>
      <w:proofErr w:type="spellEnd"/>
      <w:r w:rsidRPr="007F475C">
        <w:rPr>
          <w:spacing w:val="-3"/>
          <w:sz w:val="24"/>
          <w:szCs w:val="24"/>
        </w:rPr>
        <w:t xml:space="preserve"> gives hver 8. time, ses akkumulation kun sjældent. Derfor er dosisreduktion ikke nødvendig ved nedsat leverfunktion. </w:t>
      </w:r>
    </w:p>
    <w:p w:rsidR="006268B0" w:rsidRPr="007F475C" w:rsidRDefault="006268B0" w:rsidP="006268B0">
      <w:pPr>
        <w:tabs>
          <w:tab w:val="left" w:pos="851"/>
        </w:tabs>
        <w:rPr>
          <w:sz w:val="24"/>
          <w:szCs w:val="24"/>
          <w:u w:val="single"/>
        </w:rPr>
      </w:pPr>
      <w:r w:rsidRPr="007F475C">
        <w:rPr>
          <w:sz w:val="24"/>
          <w:szCs w:val="24"/>
        </w:rPr>
        <w:tab/>
      </w:r>
    </w:p>
    <w:p w:rsidR="006268B0" w:rsidRPr="007F475C" w:rsidRDefault="006268B0" w:rsidP="006268B0">
      <w:pPr>
        <w:tabs>
          <w:tab w:val="left" w:pos="851"/>
        </w:tabs>
        <w:rPr>
          <w:b/>
          <w:sz w:val="24"/>
          <w:szCs w:val="24"/>
        </w:rPr>
      </w:pPr>
      <w:r w:rsidRPr="007F475C">
        <w:rPr>
          <w:sz w:val="24"/>
          <w:szCs w:val="24"/>
        </w:rPr>
        <w:tab/>
      </w:r>
      <w:r w:rsidRPr="007F475C">
        <w:rPr>
          <w:b/>
          <w:sz w:val="24"/>
          <w:szCs w:val="24"/>
        </w:rPr>
        <w:t>Administration</w:t>
      </w:r>
    </w:p>
    <w:p w:rsidR="006268B0" w:rsidRDefault="006268B0" w:rsidP="00A64929">
      <w:pPr>
        <w:tabs>
          <w:tab w:val="left" w:pos="851"/>
        </w:tabs>
        <w:ind w:left="851"/>
        <w:rPr>
          <w:sz w:val="24"/>
          <w:szCs w:val="24"/>
        </w:rPr>
      </w:pPr>
      <w:r w:rsidRPr="007F475C">
        <w:rPr>
          <w:sz w:val="24"/>
          <w:szCs w:val="24"/>
        </w:rPr>
        <w:t xml:space="preserve">For at undgå irritation af spiserøret bør kapslerne </w:t>
      </w:r>
      <w:r w:rsidR="00A64929">
        <w:rPr>
          <w:sz w:val="24"/>
          <w:szCs w:val="24"/>
        </w:rPr>
        <w:t>indtages hele med mindst 1 helt glas vand, og mindst 30 minutter før du ligger dig ned.</w:t>
      </w:r>
    </w:p>
    <w:p w:rsidR="00A64929" w:rsidRPr="007F475C" w:rsidRDefault="00A64929" w:rsidP="006268B0">
      <w:pPr>
        <w:tabs>
          <w:tab w:val="left" w:pos="851"/>
        </w:tabs>
        <w:rPr>
          <w:sz w:val="24"/>
          <w:szCs w:val="24"/>
        </w:rPr>
      </w:pPr>
    </w:p>
    <w:p w:rsidR="006268B0" w:rsidRPr="007F475C" w:rsidRDefault="006268B0" w:rsidP="006268B0">
      <w:pPr>
        <w:numPr>
          <w:ilvl w:val="1"/>
          <w:numId w:val="6"/>
        </w:numPr>
        <w:rPr>
          <w:b/>
          <w:bCs/>
          <w:sz w:val="24"/>
          <w:szCs w:val="24"/>
        </w:rPr>
      </w:pPr>
      <w:r w:rsidRPr="007F475C">
        <w:rPr>
          <w:b/>
          <w:bCs/>
          <w:sz w:val="24"/>
          <w:szCs w:val="24"/>
        </w:rPr>
        <w:t>Kontraindikationer</w:t>
      </w:r>
    </w:p>
    <w:p w:rsidR="006268B0" w:rsidRPr="007F475C" w:rsidRDefault="006268B0" w:rsidP="006268B0">
      <w:pPr>
        <w:ind w:left="855"/>
        <w:rPr>
          <w:sz w:val="24"/>
          <w:szCs w:val="24"/>
        </w:rPr>
      </w:pPr>
      <w:r w:rsidRPr="007F475C">
        <w:rPr>
          <w:bCs/>
          <w:sz w:val="24"/>
          <w:szCs w:val="24"/>
        </w:rPr>
        <w:t xml:space="preserve">Overfølsomhed over for </w:t>
      </w:r>
      <w:proofErr w:type="spellStart"/>
      <w:r w:rsidRPr="007F475C">
        <w:rPr>
          <w:bCs/>
          <w:sz w:val="24"/>
          <w:szCs w:val="24"/>
        </w:rPr>
        <w:t>clindamycin</w:t>
      </w:r>
      <w:proofErr w:type="spellEnd"/>
      <w:r w:rsidRPr="007F475C">
        <w:rPr>
          <w:bCs/>
          <w:sz w:val="24"/>
          <w:szCs w:val="24"/>
        </w:rPr>
        <w:t xml:space="preserve">, </w:t>
      </w:r>
      <w:proofErr w:type="spellStart"/>
      <w:r w:rsidRPr="007F475C">
        <w:rPr>
          <w:bCs/>
          <w:sz w:val="24"/>
          <w:szCs w:val="24"/>
        </w:rPr>
        <w:t>lincomycin</w:t>
      </w:r>
      <w:proofErr w:type="spellEnd"/>
      <w:r w:rsidRPr="007F475C">
        <w:rPr>
          <w:bCs/>
          <w:sz w:val="24"/>
          <w:szCs w:val="24"/>
        </w:rPr>
        <w:t xml:space="preserve"> eller over for et eller flere af hjælpestofferne</w:t>
      </w:r>
      <w:r w:rsidRPr="007F475C">
        <w:rPr>
          <w:sz w:val="24"/>
          <w:szCs w:val="24"/>
          <w:lang w:eastAsia="fr-LU"/>
        </w:rPr>
        <w:t xml:space="preserve"> </w:t>
      </w:r>
      <w:r w:rsidRPr="007F475C">
        <w:rPr>
          <w:bCs/>
          <w:sz w:val="24"/>
          <w:szCs w:val="24"/>
        </w:rPr>
        <w:t>anført i pkt. 6.1.</w:t>
      </w:r>
    </w:p>
    <w:p w:rsidR="006268B0" w:rsidRPr="007F475C" w:rsidRDefault="006268B0" w:rsidP="006268B0">
      <w:pPr>
        <w:tabs>
          <w:tab w:val="left" w:pos="851"/>
        </w:tabs>
        <w:rPr>
          <w:sz w:val="24"/>
          <w:szCs w:val="24"/>
        </w:rPr>
      </w:pPr>
    </w:p>
    <w:p w:rsidR="006268B0" w:rsidRPr="007F475C" w:rsidRDefault="006268B0" w:rsidP="006268B0">
      <w:pPr>
        <w:numPr>
          <w:ilvl w:val="1"/>
          <w:numId w:val="6"/>
        </w:numPr>
        <w:tabs>
          <w:tab w:val="clear" w:pos="855"/>
          <w:tab w:val="num" w:pos="0"/>
          <w:tab w:val="left" w:pos="851"/>
        </w:tabs>
        <w:ind w:left="0" w:firstLine="0"/>
        <w:rPr>
          <w:b/>
          <w:bCs/>
          <w:sz w:val="24"/>
          <w:szCs w:val="24"/>
        </w:rPr>
      </w:pPr>
      <w:r w:rsidRPr="007F475C">
        <w:rPr>
          <w:b/>
          <w:bCs/>
          <w:sz w:val="24"/>
          <w:szCs w:val="24"/>
        </w:rPr>
        <w:t>Særlige advarsler og forsigtighedsregler vedrørende brugen</w:t>
      </w:r>
    </w:p>
    <w:p w:rsidR="006268B0" w:rsidRPr="007F475C" w:rsidRDefault="006268B0" w:rsidP="006268B0">
      <w:pPr>
        <w:ind w:left="851"/>
        <w:rPr>
          <w:i/>
          <w:sz w:val="24"/>
          <w:szCs w:val="24"/>
        </w:rPr>
      </w:pPr>
      <w:r w:rsidRPr="007F475C">
        <w:rPr>
          <w:sz w:val="24"/>
          <w:szCs w:val="24"/>
        </w:rPr>
        <w:t>Lokale retningslinjer vedrørende korrekt brug af antibiotika bør følges (se pkt. 5.1).</w:t>
      </w:r>
      <w:r w:rsidRPr="007F475C">
        <w:rPr>
          <w:i/>
          <w:sz w:val="24"/>
          <w:szCs w:val="24"/>
        </w:rPr>
        <w:t xml:space="preserve"> </w:t>
      </w:r>
    </w:p>
    <w:p w:rsidR="006268B0" w:rsidRPr="007F475C" w:rsidRDefault="006268B0" w:rsidP="006268B0">
      <w:pPr>
        <w:ind w:left="851"/>
        <w:rPr>
          <w:i/>
          <w:sz w:val="24"/>
          <w:szCs w:val="24"/>
        </w:rPr>
      </w:pPr>
    </w:p>
    <w:p w:rsidR="006268B0" w:rsidRPr="007F475C" w:rsidRDefault="006268B0" w:rsidP="006268B0">
      <w:pPr>
        <w:ind w:left="851"/>
        <w:rPr>
          <w:sz w:val="24"/>
          <w:szCs w:val="24"/>
        </w:rPr>
      </w:pPr>
      <w:r w:rsidRPr="007F475C">
        <w:rPr>
          <w:sz w:val="24"/>
          <w:szCs w:val="24"/>
        </w:rPr>
        <w:t xml:space="preserve">Der er set alvorlige overfølsomhedsreaktioner, såsom alvorligt lægemiddelinduceret hududslæt med </w:t>
      </w:r>
      <w:proofErr w:type="spellStart"/>
      <w:r w:rsidRPr="007F475C">
        <w:rPr>
          <w:sz w:val="24"/>
          <w:szCs w:val="24"/>
        </w:rPr>
        <w:t>eosinofili</w:t>
      </w:r>
      <w:proofErr w:type="spellEnd"/>
      <w:r w:rsidRPr="007F475C">
        <w:rPr>
          <w:sz w:val="24"/>
          <w:szCs w:val="24"/>
        </w:rPr>
        <w:t xml:space="preserve"> og systemiske symptomer (DRESS), Steven-Johnson syndrom (SJS), toksisk </w:t>
      </w:r>
      <w:proofErr w:type="spellStart"/>
      <w:r w:rsidRPr="007F475C">
        <w:rPr>
          <w:sz w:val="24"/>
          <w:szCs w:val="24"/>
        </w:rPr>
        <w:t>epidermal</w:t>
      </w:r>
      <w:proofErr w:type="spellEnd"/>
      <w:r w:rsidRPr="007F475C">
        <w:rPr>
          <w:sz w:val="24"/>
          <w:szCs w:val="24"/>
        </w:rPr>
        <w:t xml:space="preserve"> </w:t>
      </w:r>
      <w:proofErr w:type="spellStart"/>
      <w:r w:rsidRPr="007F475C">
        <w:rPr>
          <w:sz w:val="24"/>
          <w:szCs w:val="24"/>
        </w:rPr>
        <w:t>nekrolyse</w:t>
      </w:r>
      <w:proofErr w:type="spellEnd"/>
      <w:r w:rsidRPr="007F475C">
        <w:rPr>
          <w:sz w:val="24"/>
          <w:szCs w:val="24"/>
        </w:rPr>
        <w:t xml:space="preserve"> (TEN) og akut generaliseret </w:t>
      </w:r>
      <w:proofErr w:type="spellStart"/>
      <w:r w:rsidRPr="007F475C">
        <w:rPr>
          <w:sz w:val="24"/>
          <w:szCs w:val="24"/>
        </w:rPr>
        <w:t>eksantematøs</w:t>
      </w:r>
      <w:proofErr w:type="spellEnd"/>
      <w:r w:rsidRPr="007F475C">
        <w:rPr>
          <w:sz w:val="24"/>
          <w:szCs w:val="24"/>
        </w:rPr>
        <w:t xml:space="preserve"> </w:t>
      </w:r>
      <w:proofErr w:type="spellStart"/>
      <w:r w:rsidRPr="007F475C">
        <w:rPr>
          <w:sz w:val="24"/>
          <w:szCs w:val="24"/>
        </w:rPr>
        <w:t>pustulose</w:t>
      </w:r>
      <w:proofErr w:type="spellEnd"/>
      <w:r w:rsidRPr="007F475C">
        <w:rPr>
          <w:sz w:val="24"/>
          <w:szCs w:val="24"/>
        </w:rPr>
        <w:t xml:space="preserve"> (AGEP) hos patienter der behandles med </w:t>
      </w:r>
      <w:proofErr w:type="spellStart"/>
      <w:r w:rsidRPr="007F475C">
        <w:rPr>
          <w:sz w:val="24"/>
          <w:szCs w:val="24"/>
        </w:rPr>
        <w:t>clindamycin</w:t>
      </w:r>
      <w:proofErr w:type="spellEnd"/>
      <w:r w:rsidRPr="007F475C">
        <w:rPr>
          <w:sz w:val="24"/>
          <w:szCs w:val="24"/>
        </w:rPr>
        <w:t xml:space="preserve">. Hvis overfølsomhedsreaktioner eller alvorlige hududslæt forekommer, skal </w:t>
      </w:r>
      <w:proofErr w:type="spellStart"/>
      <w:r w:rsidRPr="007F475C">
        <w:rPr>
          <w:sz w:val="24"/>
          <w:szCs w:val="24"/>
        </w:rPr>
        <w:t>clindamycin</w:t>
      </w:r>
      <w:proofErr w:type="spellEnd"/>
      <w:r w:rsidRPr="007F475C">
        <w:rPr>
          <w:sz w:val="24"/>
          <w:szCs w:val="24"/>
        </w:rPr>
        <w:t xml:space="preserve"> seponeres og relevant behandling indledes (se pkt. 4.3 og 4.8).</w:t>
      </w:r>
    </w:p>
    <w:p w:rsidR="006268B0" w:rsidRPr="007F475C" w:rsidRDefault="006268B0" w:rsidP="006268B0">
      <w:pPr>
        <w:ind w:left="851"/>
        <w:rPr>
          <w:i/>
          <w:sz w:val="24"/>
          <w:szCs w:val="24"/>
        </w:rPr>
      </w:pPr>
    </w:p>
    <w:p w:rsidR="006268B0" w:rsidRPr="007F475C" w:rsidRDefault="006268B0" w:rsidP="006268B0">
      <w:pPr>
        <w:ind w:left="851"/>
        <w:rPr>
          <w:sz w:val="24"/>
          <w:szCs w:val="24"/>
        </w:rPr>
      </w:pPr>
      <w:proofErr w:type="spellStart"/>
      <w:r w:rsidRPr="007F475C">
        <w:rPr>
          <w:sz w:val="24"/>
          <w:szCs w:val="24"/>
        </w:rPr>
        <w:t>Clindamycin</w:t>
      </w:r>
      <w:proofErr w:type="spellEnd"/>
      <w:r w:rsidRPr="007F475C">
        <w:rPr>
          <w:sz w:val="24"/>
          <w:szCs w:val="24"/>
        </w:rPr>
        <w:t xml:space="preserve"> bør ikke anvendes til behandling af meningitis, da dette ikke penetrerer tilstrækkeligt til cerebrospinalvæsken. </w:t>
      </w:r>
    </w:p>
    <w:p w:rsidR="006268B0" w:rsidRPr="007F475C" w:rsidRDefault="006268B0" w:rsidP="006268B0">
      <w:pPr>
        <w:ind w:left="851"/>
        <w:rPr>
          <w:sz w:val="24"/>
          <w:szCs w:val="24"/>
        </w:rPr>
      </w:pPr>
    </w:p>
    <w:p w:rsidR="006268B0" w:rsidRPr="007F475C" w:rsidRDefault="006268B0" w:rsidP="006268B0">
      <w:pPr>
        <w:ind w:left="851"/>
        <w:rPr>
          <w:sz w:val="24"/>
          <w:szCs w:val="24"/>
        </w:rPr>
      </w:pPr>
      <w:r w:rsidRPr="007F475C">
        <w:rPr>
          <w:sz w:val="24"/>
          <w:szCs w:val="24"/>
        </w:rPr>
        <w:t xml:space="preserve">Anvendelse af </w:t>
      </w:r>
      <w:proofErr w:type="spellStart"/>
      <w:r w:rsidRPr="007F475C">
        <w:rPr>
          <w:sz w:val="24"/>
          <w:szCs w:val="24"/>
        </w:rPr>
        <w:t>clindamycin</w:t>
      </w:r>
      <w:proofErr w:type="spellEnd"/>
      <w:r w:rsidRPr="007F475C">
        <w:rPr>
          <w:sz w:val="24"/>
          <w:szCs w:val="24"/>
        </w:rPr>
        <w:t xml:space="preserve"> kan forårsage overvækst af resistente mikroorganismer, specielt gærsvamp.</w:t>
      </w:r>
    </w:p>
    <w:p w:rsidR="006268B0" w:rsidRPr="007F475C" w:rsidRDefault="006268B0" w:rsidP="006268B0">
      <w:pPr>
        <w:ind w:left="851"/>
        <w:rPr>
          <w:sz w:val="24"/>
          <w:szCs w:val="24"/>
        </w:rPr>
      </w:pPr>
    </w:p>
    <w:p w:rsidR="006268B0" w:rsidRPr="007F475C" w:rsidRDefault="006268B0" w:rsidP="006268B0">
      <w:pPr>
        <w:ind w:left="851"/>
        <w:rPr>
          <w:spacing w:val="-3"/>
          <w:sz w:val="24"/>
          <w:szCs w:val="24"/>
        </w:rPr>
      </w:pPr>
      <w:r w:rsidRPr="007F475C">
        <w:rPr>
          <w:bCs/>
          <w:spacing w:val="-3"/>
          <w:sz w:val="24"/>
          <w:szCs w:val="24"/>
          <w:u w:val="single"/>
        </w:rPr>
        <w:t>Nedsat lever- og nyrefunktion</w:t>
      </w:r>
      <w:r w:rsidRPr="007F475C">
        <w:rPr>
          <w:spacing w:val="-3"/>
          <w:sz w:val="24"/>
          <w:szCs w:val="24"/>
          <w:u w:val="single"/>
        </w:rPr>
        <w:br/>
      </w:r>
      <w:r w:rsidRPr="007F475C">
        <w:rPr>
          <w:spacing w:val="-3"/>
          <w:sz w:val="24"/>
          <w:szCs w:val="24"/>
        </w:rPr>
        <w:t xml:space="preserve">Ved længere tids behandling bør lever- og nyrefunktion monitoreres. Dosisreduktion er ikke nødvendig ved nyrelidelser. Hos patienter med moderat til svær leverlidelse er halveringstiden af </w:t>
      </w:r>
      <w:proofErr w:type="spellStart"/>
      <w:r w:rsidRPr="007F475C">
        <w:rPr>
          <w:spacing w:val="-3"/>
          <w:sz w:val="24"/>
          <w:szCs w:val="24"/>
        </w:rPr>
        <w:t>clindamycin</w:t>
      </w:r>
      <w:proofErr w:type="spellEnd"/>
      <w:r w:rsidRPr="007F475C">
        <w:rPr>
          <w:spacing w:val="-3"/>
          <w:sz w:val="24"/>
          <w:szCs w:val="24"/>
        </w:rPr>
        <w:t xml:space="preserve"> forlænget, men </w:t>
      </w:r>
      <w:proofErr w:type="spellStart"/>
      <w:r w:rsidRPr="007F475C">
        <w:rPr>
          <w:spacing w:val="-3"/>
          <w:sz w:val="24"/>
          <w:szCs w:val="24"/>
        </w:rPr>
        <w:t>farmakokinetiske</w:t>
      </w:r>
      <w:proofErr w:type="spellEnd"/>
      <w:r w:rsidRPr="007F475C">
        <w:rPr>
          <w:spacing w:val="-3"/>
          <w:sz w:val="24"/>
          <w:szCs w:val="24"/>
        </w:rPr>
        <w:t xml:space="preserve"> undersøgelser har vist, at hvis det gives med 8 timers intervaller, ses akkumulation kun sjældent, hvorfor dosisreduktion heller ikke er nødvendig her (se pkt. 4.2).</w:t>
      </w:r>
    </w:p>
    <w:p w:rsidR="006268B0" w:rsidRPr="007F475C" w:rsidRDefault="006268B0" w:rsidP="006268B0">
      <w:pPr>
        <w:rPr>
          <w:i/>
          <w:sz w:val="24"/>
          <w:szCs w:val="24"/>
        </w:rPr>
      </w:pPr>
    </w:p>
    <w:p w:rsidR="006268B0" w:rsidRPr="007F475C" w:rsidRDefault="006268B0" w:rsidP="006268B0">
      <w:pPr>
        <w:ind w:left="851"/>
        <w:rPr>
          <w:spacing w:val="-3"/>
          <w:sz w:val="24"/>
          <w:szCs w:val="24"/>
        </w:rPr>
      </w:pPr>
      <w:proofErr w:type="spellStart"/>
      <w:r w:rsidRPr="007F475C">
        <w:rPr>
          <w:bCs/>
          <w:spacing w:val="-3"/>
          <w:sz w:val="24"/>
          <w:szCs w:val="24"/>
          <w:u w:val="single"/>
        </w:rPr>
        <w:lastRenderedPageBreak/>
        <w:t>Gastrointestinale</w:t>
      </w:r>
      <w:proofErr w:type="spellEnd"/>
      <w:r w:rsidRPr="007F475C">
        <w:rPr>
          <w:bCs/>
          <w:spacing w:val="-3"/>
          <w:sz w:val="24"/>
          <w:szCs w:val="24"/>
          <w:u w:val="single"/>
        </w:rPr>
        <w:t xml:space="preserve"> lidelser</w:t>
      </w:r>
      <w:r w:rsidRPr="007F475C">
        <w:rPr>
          <w:spacing w:val="-3"/>
          <w:sz w:val="24"/>
          <w:szCs w:val="24"/>
          <w:u w:val="single"/>
        </w:rPr>
        <w:br/>
      </w:r>
      <w:r w:rsidR="00DF556F">
        <w:rPr>
          <w:spacing w:val="-3"/>
          <w:sz w:val="24"/>
          <w:szCs w:val="24"/>
        </w:rPr>
        <w:t xml:space="preserve">Behandling med antibiotika ændrer den normale tarmflora i </w:t>
      </w:r>
      <w:proofErr w:type="spellStart"/>
      <w:r w:rsidR="00DF556F">
        <w:rPr>
          <w:spacing w:val="-3"/>
          <w:sz w:val="24"/>
          <w:szCs w:val="24"/>
        </w:rPr>
        <w:t>colon</w:t>
      </w:r>
      <w:proofErr w:type="spellEnd"/>
      <w:r w:rsidR="00DF556F">
        <w:rPr>
          <w:spacing w:val="-3"/>
          <w:sz w:val="24"/>
          <w:szCs w:val="24"/>
        </w:rPr>
        <w:t xml:space="preserve"> og kan dermed forårsage overvækst af </w:t>
      </w:r>
      <w:proofErr w:type="spellStart"/>
      <w:r w:rsidR="00DF556F">
        <w:rPr>
          <w:i/>
          <w:spacing w:val="-3"/>
          <w:sz w:val="24"/>
          <w:szCs w:val="24"/>
        </w:rPr>
        <w:t>Clostridioidesdifficile</w:t>
      </w:r>
      <w:proofErr w:type="spellEnd"/>
      <w:r w:rsidR="00DF556F">
        <w:rPr>
          <w:i/>
          <w:spacing w:val="-3"/>
          <w:sz w:val="24"/>
          <w:szCs w:val="24"/>
        </w:rPr>
        <w:t xml:space="preserve">. </w:t>
      </w:r>
      <w:r w:rsidR="00DF556F">
        <w:rPr>
          <w:spacing w:val="-3"/>
          <w:sz w:val="24"/>
          <w:szCs w:val="24"/>
        </w:rPr>
        <w:t xml:space="preserve">Dette er set efter anvendelse af næsten alle antibiotika, herunder også </w:t>
      </w:r>
      <w:proofErr w:type="spellStart"/>
      <w:r w:rsidR="00DF556F">
        <w:rPr>
          <w:spacing w:val="-3"/>
          <w:sz w:val="24"/>
          <w:szCs w:val="24"/>
        </w:rPr>
        <w:t>clindamycin</w:t>
      </w:r>
      <w:proofErr w:type="spellEnd"/>
      <w:r w:rsidR="00DF556F">
        <w:rPr>
          <w:spacing w:val="-3"/>
          <w:sz w:val="24"/>
          <w:szCs w:val="24"/>
        </w:rPr>
        <w:t xml:space="preserve">. </w:t>
      </w:r>
      <w:proofErr w:type="spellStart"/>
      <w:r w:rsidR="00DF556F">
        <w:rPr>
          <w:i/>
          <w:spacing w:val="-3"/>
          <w:sz w:val="24"/>
          <w:szCs w:val="24"/>
        </w:rPr>
        <w:t>Clostridioides</w:t>
      </w:r>
      <w:bookmarkStart w:id="0" w:name="_Hlk177728114"/>
      <w:r w:rsidR="00DF556F">
        <w:rPr>
          <w:i/>
          <w:spacing w:val="-3"/>
          <w:sz w:val="24"/>
          <w:szCs w:val="24"/>
        </w:rPr>
        <w:t>difficile</w:t>
      </w:r>
      <w:proofErr w:type="spellEnd"/>
      <w:r w:rsidR="00DF556F">
        <w:rPr>
          <w:spacing w:val="-3"/>
          <w:sz w:val="24"/>
          <w:szCs w:val="24"/>
        </w:rPr>
        <w:t xml:space="preserve"> </w:t>
      </w:r>
      <w:bookmarkEnd w:id="0"/>
      <w:r w:rsidR="00DF556F">
        <w:rPr>
          <w:spacing w:val="-3"/>
          <w:sz w:val="24"/>
          <w:szCs w:val="24"/>
        </w:rPr>
        <w:t xml:space="preserve">producerer toksinerne A og B, der medvirker til udvikling af </w:t>
      </w:r>
      <w:proofErr w:type="spellStart"/>
      <w:r w:rsidR="00DF556F">
        <w:rPr>
          <w:i/>
          <w:iCs/>
          <w:spacing w:val="-3"/>
          <w:sz w:val="24"/>
          <w:szCs w:val="24"/>
        </w:rPr>
        <w:t>Clostridioides</w:t>
      </w:r>
      <w:r w:rsidR="00DF556F">
        <w:rPr>
          <w:i/>
          <w:spacing w:val="-3"/>
          <w:sz w:val="24"/>
          <w:szCs w:val="24"/>
        </w:rPr>
        <w:t>difficile</w:t>
      </w:r>
      <w:proofErr w:type="spellEnd"/>
      <w:r w:rsidR="00DF556F">
        <w:rPr>
          <w:spacing w:val="-3"/>
          <w:sz w:val="24"/>
          <w:szCs w:val="24"/>
        </w:rPr>
        <w:t>-associeret diarré (CDAD) og er den primære årsag til ”antibiotika associeret diarré”.</w:t>
      </w:r>
    </w:p>
    <w:p w:rsidR="006268B0" w:rsidRPr="007F475C" w:rsidRDefault="006268B0" w:rsidP="006268B0">
      <w:pPr>
        <w:ind w:left="851"/>
        <w:rPr>
          <w:spacing w:val="-3"/>
          <w:sz w:val="24"/>
          <w:szCs w:val="24"/>
        </w:rPr>
      </w:pPr>
    </w:p>
    <w:p w:rsidR="006268B0" w:rsidRPr="007F475C" w:rsidRDefault="006268B0" w:rsidP="006268B0">
      <w:pPr>
        <w:ind w:left="851"/>
        <w:rPr>
          <w:spacing w:val="-3"/>
          <w:sz w:val="24"/>
          <w:szCs w:val="24"/>
        </w:rPr>
      </w:pPr>
      <w:r w:rsidRPr="007F475C">
        <w:rPr>
          <w:spacing w:val="-3"/>
          <w:sz w:val="24"/>
          <w:szCs w:val="24"/>
        </w:rPr>
        <w:t xml:space="preserve">Det er vigtigt at overveje diagnosen CDAD hos patienter, der får diarré efter administration af antibiotika. Dette kan udvikle sig til colitis, inklusiv </w:t>
      </w:r>
      <w:proofErr w:type="spellStart"/>
      <w:r w:rsidRPr="007F475C">
        <w:rPr>
          <w:spacing w:val="-3"/>
          <w:sz w:val="24"/>
          <w:szCs w:val="24"/>
        </w:rPr>
        <w:t>pseudomembranøs</w:t>
      </w:r>
      <w:proofErr w:type="spellEnd"/>
      <w:r w:rsidRPr="007F475C">
        <w:rPr>
          <w:spacing w:val="-3"/>
          <w:sz w:val="24"/>
          <w:szCs w:val="24"/>
        </w:rPr>
        <w:t xml:space="preserve"> colitis (se pkt. 4.8) som kan variere fra mild til </w:t>
      </w:r>
      <w:proofErr w:type="gramStart"/>
      <w:r w:rsidRPr="007F475C">
        <w:rPr>
          <w:spacing w:val="-3"/>
          <w:sz w:val="24"/>
          <w:szCs w:val="24"/>
        </w:rPr>
        <w:t>fatal colitis</w:t>
      </w:r>
      <w:proofErr w:type="gramEnd"/>
      <w:r w:rsidRPr="007F475C">
        <w:rPr>
          <w:spacing w:val="-3"/>
          <w:sz w:val="24"/>
          <w:szCs w:val="24"/>
        </w:rPr>
        <w:t xml:space="preserve">. Hvis der er mistanke eller konstateret antibiotika –associeret diarré eller antibiotika-associeret colitis skal behandling med </w:t>
      </w:r>
      <w:proofErr w:type="spellStart"/>
      <w:r w:rsidRPr="007F475C">
        <w:rPr>
          <w:spacing w:val="-3"/>
          <w:sz w:val="24"/>
          <w:szCs w:val="24"/>
        </w:rPr>
        <w:t>clindamycin</w:t>
      </w:r>
      <w:proofErr w:type="spellEnd"/>
      <w:r w:rsidRPr="007F475C">
        <w:rPr>
          <w:spacing w:val="-3"/>
          <w:sz w:val="24"/>
          <w:szCs w:val="24"/>
        </w:rPr>
        <w:t xml:space="preserve"> stoppes og passende behandling skal straks iværksættes. Lægemidler som hæmmer peristaltikken er kontraindiceret i denne situation.   </w:t>
      </w:r>
    </w:p>
    <w:p w:rsidR="006268B0" w:rsidRPr="007F475C" w:rsidRDefault="006268B0" w:rsidP="006268B0">
      <w:pPr>
        <w:ind w:left="851"/>
        <w:rPr>
          <w:spacing w:val="-3"/>
          <w:sz w:val="24"/>
          <w:szCs w:val="24"/>
        </w:rPr>
      </w:pPr>
    </w:p>
    <w:p w:rsidR="007F475C" w:rsidRDefault="00F335A6" w:rsidP="007F475C">
      <w:pPr>
        <w:ind w:left="851"/>
        <w:rPr>
          <w:sz w:val="24"/>
          <w:szCs w:val="24"/>
        </w:rPr>
      </w:pPr>
      <w:proofErr w:type="spellStart"/>
      <w:r>
        <w:rPr>
          <w:sz w:val="24"/>
          <w:szCs w:val="24"/>
        </w:rPr>
        <w:t>Dalacin</w:t>
      </w:r>
      <w:proofErr w:type="spellEnd"/>
      <w:r>
        <w:rPr>
          <w:sz w:val="24"/>
          <w:szCs w:val="24"/>
        </w:rPr>
        <w:t xml:space="preserve"> C</w:t>
      </w:r>
      <w:r w:rsidR="007F475C" w:rsidRPr="007F475C">
        <w:rPr>
          <w:sz w:val="24"/>
          <w:szCs w:val="24"/>
        </w:rPr>
        <w:t xml:space="preserve"> kapsler indeholder </w:t>
      </w:r>
      <w:proofErr w:type="spellStart"/>
      <w:r w:rsidR="007F475C" w:rsidRPr="007F475C">
        <w:rPr>
          <w:sz w:val="24"/>
          <w:szCs w:val="24"/>
        </w:rPr>
        <w:t>lactose</w:t>
      </w:r>
      <w:proofErr w:type="spellEnd"/>
      <w:r w:rsidR="007F475C" w:rsidRPr="007F475C">
        <w:rPr>
          <w:sz w:val="24"/>
          <w:szCs w:val="24"/>
        </w:rPr>
        <w:t xml:space="preserve">. </w:t>
      </w:r>
      <w:proofErr w:type="spellStart"/>
      <w:r>
        <w:rPr>
          <w:sz w:val="24"/>
          <w:szCs w:val="24"/>
        </w:rPr>
        <w:t>Dalacin</w:t>
      </w:r>
      <w:proofErr w:type="spellEnd"/>
      <w:r>
        <w:rPr>
          <w:sz w:val="24"/>
          <w:szCs w:val="24"/>
        </w:rPr>
        <w:t xml:space="preserve"> C</w:t>
      </w:r>
      <w:r w:rsidR="007F475C" w:rsidRPr="007F475C">
        <w:rPr>
          <w:sz w:val="24"/>
          <w:szCs w:val="24"/>
        </w:rPr>
        <w:t xml:space="preserve"> bør ikke anvendes til patienter med hereditær </w:t>
      </w:r>
      <w:proofErr w:type="spellStart"/>
      <w:r w:rsidR="007F475C" w:rsidRPr="007F475C">
        <w:rPr>
          <w:sz w:val="24"/>
          <w:szCs w:val="24"/>
        </w:rPr>
        <w:t>galactoseintolerans</w:t>
      </w:r>
      <w:proofErr w:type="spellEnd"/>
      <w:r w:rsidR="007F475C" w:rsidRPr="007F475C">
        <w:rPr>
          <w:sz w:val="24"/>
          <w:szCs w:val="24"/>
        </w:rPr>
        <w:t xml:space="preserve">, total </w:t>
      </w:r>
      <w:proofErr w:type="spellStart"/>
      <w:r w:rsidR="007F475C" w:rsidRPr="007F475C">
        <w:rPr>
          <w:sz w:val="24"/>
          <w:szCs w:val="24"/>
        </w:rPr>
        <w:t>lactasemangel</w:t>
      </w:r>
      <w:proofErr w:type="spellEnd"/>
      <w:r w:rsidR="007F475C" w:rsidRPr="007F475C">
        <w:rPr>
          <w:sz w:val="24"/>
          <w:szCs w:val="24"/>
        </w:rPr>
        <w:t xml:space="preserve"> eller </w:t>
      </w:r>
      <w:proofErr w:type="spellStart"/>
      <w:r w:rsidR="007F475C" w:rsidRPr="007F475C">
        <w:rPr>
          <w:sz w:val="24"/>
          <w:szCs w:val="24"/>
        </w:rPr>
        <w:t>glucose</w:t>
      </w:r>
      <w:proofErr w:type="spellEnd"/>
      <w:r w:rsidR="007F475C" w:rsidRPr="007F475C">
        <w:rPr>
          <w:sz w:val="24"/>
          <w:szCs w:val="24"/>
        </w:rPr>
        <w:t>/</w:t>
      </w:r>
      <w:proofErr w:type="spellStart"/>
      <w:r w:rsidR="007F475C" w:rsidRPr="007F475C">
        <w:rPr>
          <w:sz w:val="24"/>
          <w:szCs w:val="24"/>
        </w:rPr>
        <w:t>galactosemalabsorption</w:t>
      </w:r>
      <w:proofErr w:type="spellEnd"/>
      <w:r w:rsidR="007F475C" w:rsidRPr="007F475C">
        <w:rPr>
          <w:sz w:val="24"/>
          <w:szCs w:val="24"/>
        </w:rPr>
        <w:t xml:space="preserve">. </w:t>
      </w:r>
    </w:p>
    <w:p w:rsidR="00C94E5F" w:rsidRDefault="00C94E5F" w:rsidP="007F475C">
      <w:pPr>
        <w:ind w:left="851"/>
        <w:rPr>
          <w:i/>
          <w:sz w:val="24"/>
          <w:szCs w:val="24"/>
          <w:lang w:eastAsia="da-DK"/>
        </w:rPr>
      </w:pPr>
    </w:p>
    <w:p w:rsidR="00C94E5F" w:rsidRDefault="00C94E5F" w:rsidP="00C94E5F">
      <w:pPr>
        <w:ind w:left="851"/>
        <w:rPr>
          <w:sz w:val="24"/>
          <w:szCs w:val="24"/>
        </w:rPr>
      </w:pPr>
      <w:r>
        <w:rPr>
          <w:sz w:val="24"/>
          <w:szCs w:val="24"/>
        </w:rPr>
        <w:t>Hvis behandlingen er langvarig, bør der foretages undersøgelser af lever- og nyrefunktionen.</w:t>
      </w:r>
    </w:p>
    <w:p w:rsidR="00C94E5F" w:rsidRDefault="00C94E5F" w:rsidP="00C94E5F">
      <w:pPr>
        <w:ind w:left="851"/>
        <w:rPr>
          <w:sz w:val="24"/>
          <w:szCs w:val="24"/>
        </w:rPr>
      </w:pPr>
    </w:p>
    <w:p w:rsidR="00C94E5F" w:rsidRDefault="00C94E5F" w:rsidP="00C94E5F">
      <w:pPr>
        <w:ind w:left="851"/>
        <w:rPr>
          <w:sz w:val="24"/>
          <w:szCs w:val="24"/>
        </w:rPr>
      </w:pPr>
      <w:r>
        <w:rPr>
          <w:sz w:val="24"/>
          <w:szCs w:val="24"/>
        </w:rPr>
        <w:t xml:space="preserve">Der er enkelte gange indberettet tilfælde af akut nyreskade, herunder akut nyresvigt. </w:t>
      </w:r>
    </w:p>
    <w:p w:rsidR="00C94E5F" w:rsidRDefault="00C94E5F" w:rsidP="00C94E5F">
      <w:pPr>
        <w:ind w:left="851"/>
        <w:rPr>
          <w:sz w:val="24"/>
          <w:szCs w:val="24"/>
        </w:rPr>
      </w:pPr>
      <w:r>
        <w:rPr>
          <w:sz w:val="24"/>
          <w:szCs w:val="24"/>
        </w:rPr>
        <w:t xml:space="preserve">Hos patienter med </w:t>
      </w:r>
      <w:proofErr w:type="spellStart"/>
      <w:r>
        <w:rPr>
          <w:sz w:val="24"/>
          <w:szCs w:val="24"/>
        </w:rPr>
        <w:t>forudeksisterende</w:t>
      </w:r>
      <w:proofErr w:type="spellEnd"/>
      <w:r>
        <w:rPr>
          <w:sz w:val="24"/>
          <w:szCs w:val="24"/>
        </w:rPr>
        <w:t xml:space="preserve"> </w:t>
      </w:r>
      <w:proofErr w:type="spellStart"/>
      <w:r>
        <w:rPr>
          <w:sz w:val="24"/>
          <w:szCs w:val="24"/>
        </w:rPr>
        <w:t>renal</w:t>
      </w:r>
      <w:proofErr w:type="spellEnd"/>
      <w:r>
        <w:rPr>
          <w:sz w:val="24"/>
          <w:szCs w:val="24"/>
        </w:rPr>
        <w:t xml:space="preserve"> dysfunktion, eller som samtidig tager </w:t>
      </w:r>
      <w:proofErr w:type="spellStart"/>
      <w:r>
        <w:rPr>
          <w:sz w:val="24"/>
          <w:szCs w:val="24"/>
        </w:rPr>
        <w:t>nefrotoksiske</w:t>
      </w:r>
      <w:proofErr w:type="spellEnd"/>
      <w:r>
        <w:rPr>
          <w:sz w:val="24"/>
          <w:szCs w:val="24"/>
        </w:rPr>
        <w:t xml:space="preserve"> lægemidler, bør overvågning af nyrefunktionen overvejes (se pkt. 4.8).</w:t>
      </w:r>
    </w:p>
    <w:p w:rsidR="00732984" w:rsidRDefault="00732984" w:rsidP="00C94E5F">
      <w:pPr>
        <w:ind w:left="851"/>
        <w:rPr>
          <w:i/>
          <w:sz w:val="24"/>
          <w:szCs w:val="24"/>
          <w:lang w:eastAsia="da-DK"/>
        </w:rPr>
      </w:pPr>
    </w:p>
    <w:p w:rsidR="00732984" w:rsidRPr="00732984" w:rsidRDefault="00732984" w:rsidP="00732984">
      <w:pPr>
        <w:ind w:left="851"/>
        <w:rPr>
          <w:iCs/>
          <w:sz w:val="24"/>
          <w:szCs w:val="24"/>
          <w:lang w:eastAsia="da-DK"/>
        </w:rPr>
      </w:pPr>
      <w:r>
        <w:rPr>
          <w:iCs/>
          <w:sz w:val="24"/>
          <w:szCs w:val="24"/>
          <w:lang w:eastAsia="da-DK"/>
        </w:rPr>
        <w:t xml:space="preserve">På grund af risiko for </w:t>
      </w:r>
      <w:proofErr w:type="spellStart"/>
      <w:r>
        <w:rPr>
          <w:iCs/>
          <w:sz w:val="24"/>
          <w:szCs w:val="24"/>
          <w:lang w:eastAsia="da-DK"/>
        </w:rPr>
        <w:t>øsofagitis</w:t>
      </w:r>
      <w:proofErr w:type="spellEnd"/>
      <w:r>
        <w:rPr>
          <w:iCs/>
          <w:sz w:val="24"/>
          <w:szCs w:val="24"/>
          <w:lang w:eastAsia="da-DK"/>
        </w:rPr>
        <w:t xml:space="preserve"> og sår i spiserøret er det vigtigt at følge anbefalingerne for administration (se pkt. 4.2 og 4.8).</w:t>
      </w:r>
    </w:p>
    <w:p w:rsidR="006268B0" w:rsidRPr="007F475C" w:rsidRDefault="006268B0" w:rsidP="006268B0">
      <w:pPr>
        <w:rPr>
          <w:spacing w:val="-3"/>
          <w:sz w:val="24"/>
          <w:szCs w:val="24"/>
        </w:rPr>
      </w:pPr>
    </w:p>
    <w:p w:rsidR="006268B0" w:rsidRPr="007F475C" w:rsidRDefault="006268B0" w:rsidP="006268B0">
      <w:pPr>
        <w:ind w:left="851" w:hanging="851"/>
        <w:rPr>
          <w:b/>
          <w:bCs/>
          <w:sz w:val="24"/>
          <w:szCs w:val="24"/>
        </w:rPr>
      </w:pPr>
      <w:r w:rsidRPr="007F475C">
        <w:rPr>
          <w:b/>
          <w:bCs/>
          <w:sz w:val="24"/>
          <w:szCs w:val="24"/>
        </w:rPr>
        <w:t xml:space="preserve">4.5 </w:t>
      </w:r>
      <w:r w:rsidRPr="007F475C">
        <w:rPr>
          <w:b/>
          <w:bCs/>
          <w:sz w:val="24"/>
          <w:szCs w:val="24"/>
        </w:rPr>
        <w:tab/>
        <w:t>Interaktioner med andre lægemidler og andre former for interaktion</w:t>
      </w:r>
    </w:p>
    <w:p w:rsidR="006268B0" w:rsidRPr="007F475C" w:rsidRDefault="006268B0" w:rsidP="006268B0">
      <w:pPr>
        <w:ind w:left="851"/>
        <w:rPr>
          <w:sz w:val="24"/>
          <w:szCs w:val="24"/>
        </w:rPr>
      </w:pPr>
      <w:r w:rsidRPr="007F475C">
        <w:rPr>
          <w:sz w:val="24"/>
          <w:szCs w:val="24"/>
        </w:rPr>
        <w:t xml:space="preserve">Systemisk </w:t>
      </w:r>
      <w:proofErr w:type="spellStart"/>
      <w:r w:rsidRPr="007F475C">
        <w:rPr>
          <w:sz w:val="24"/>
          <w:szCs w:val="24"/>
        </w:rPr>
        <w:t>clindamycin</w:t>
      </w:r>
      <w:proofErr w:type="spellEnd"/>
      <w:r w:rsidRPr="007F475C">
        <w:rPr>
          <w:sz w:val="24"/>
          <w:szCs w:val="24"/>
        </w:rPr>
        <w:t xml:space="preserve"> kan potensere virkningen af </w:t>
      </w:r>
      <w:proofErr w:type="spellStart"/>
      <w:r w:rsidRPr="007F475C">
        <w:rPr>
          <w:sz w:val="24"/>
          <w:szCs w:val="24"/>
        </w:rPr>
        <w:t>neuromuskulære</w:t>
      </w:r>
      <w:proofErr w:type="spellEnd"/>
      <w:r w:rsidRPr="007F475C">
        <w:rPr>
          <w:sz w:val="24"/>
          <w:szCs w:val="24"/>
        </w:rPr>
        <w:t xml:space="preserve"> </w:t>
      </w:r>
      <w:proofErr w:type="spellStart"/>
      <w:r w:rsidRPr="007F475C">
        <w:rPr>
          <w:sz w:val="24"/>
          <w:szCs w:val="24"/>
        </w:rPr>
        <w:t>blokkere</w:t>
      </w:r>
      <w:proofErr w:type="spellEnd"/>
      <w:r w:rsidRPr="007F475C">
        <w:rPr>
          <w:sz w:val="24"/>
          <w:szCs w:val="24"/>
        </w:rPr>
        <w:t xml:space="preserve">. </w:t>
      </w:r>
      <w:proofErr w:type="spellStart"/>
      <w:r w:rsidR="00F335A6">
        <w:rPr>
          <w:sz w:val="24"/>
          <w:szCs w:val="24"/>
        </w:rPr>
        <w:t>Dalacin</w:t>
      </w:r>
      <w:proofErr w:type="spellEnd"/>
      <w:r w:rsidR="00F335A6">
        <w:rPr>
          <w:sz w:val="24"/>
          <w:szCs w:val="24"/>
        </w:rPr>
        <w:t xml:space="preserve"> C</w:t>
      </w:r>
      <w:r w:rsidRPr="007F475C">
        <w:rPr>
          <w:sz w:val="24"/>
          <w:szCs w:val="24"/>
        </w:rPr>
        <w:t xml:space="preserve"> bør derfor anvendes med forsigtighed til patienter, der får disse lægemidler. </w:t>
      </w:r>
    </w:p>
    <w:p w:rsidR="006268B0" w:rsidRPr="007F475C" w:rsidRDefault="006268B0" w:rsidP="006268B0">
      <w:pPr>
        <w:ind w:left="851"/>
        <w:rPr>
          <w:sz w:val="24"/>
          <w:szCs w:val="24"/>
        </w:rPr>
      </w:pPr>
    </w:p>
    <w:p w:rsidR="006268B0" w:rsidRPr="007F475C" w:rsidRDefault="006268B0" w:rsidP="006268B0">
      <w:pPr>
        <w:ind w:left="851"/>
        <w:rPr>
          <w:sz w:val="24"/>
          <w:szCs w:val="24"/>
          <w:u w:val="single"/>
        </w:rPr>
      </w:pPr>
      <w:r w:rsidRPr="007F475C">
        <w:rPr>
          <w:sz w:val="24"/>
          <w:szCs w:val="24"/>
          <w:u w:val="single"/>
        </w:rPr>
        <w:t>Vitamin K antagonister</w:t>
      </w:r>
    </w:p>
    <w:p w:rsidR="006268B0" w:rsidRPr="007F475C" w:rsidRDefault="006268B0" w:rsidP="006268B0">
      <w:pPr>
        <w:ind w:left="851"/>
        <w:rPr>
          <w:sz w:val="24"/>
          <w:szCs w:val="24"/>
        </w:rPr>
      </w:pPr>
      <w:r w:rsidRPr="007F475C">
        <w:rPr>
          <w:sz w:val="24"/>
          <w:szCs w:val="24"/>
        </w:rPr>
        <w:t xml:space="preserve">Forhøjet koagulationstest (PT/INR) og/eller blødning er blevet rapporteret hos patienter der er i behandling med </w:t>
      </w:r>
      <w:proofErr w:type="spellStart"/>
      <w:r w:rsidRPr="007F475C">
        <w:rPr>
          <w:sz w:val="24"/>
          <w:szCs w:val="24"/>
        </w:rPr>
        <w:t>clindamycin</w:t>
      </w:r>
      <w:proofErr w:type="spellEnd"/>
      <w:r w:rsidRPr="007F475C">
        <w:rPr>
          <w:sz w:val="24"/>
          <w:szCs w:val="24"/>
        </w:rPr>
        <w:t xml:space="preserve"> i kombination med </w:t>
      </w:r>
      <w:proofErr w:type="gramStart"/>
      <w:r w:rsidRPr="007F475C">
        <w:rPr>
          <w:sz w:val="24"/>
          <w:szCs w:val="24"/>
        </w:rPr>
        <w:t>en vitamin</w:t>
      </w:r>
      <w:proofErr w:type="gramEnd"/>
      <w:r w:rsidRPr="007F475C">
        <w:rPr>
          <w:sz w:val="24"/>
          <w:szCs w:val="24"/>
        </w:rPr>
        <w:t xml:space="preserve"> K antagonist (f.eks. </w:t>
      </w:r>
      <w:proofErr w:type="spellStart"/>
      <w:r w:rsidRPr="007F475C">
        <w:rPr>
          <w:sz w:val="24"/>
          <w:szCs w:val="24"/>
        </w:rPr>
        <w:t>warfarin</w:t>
      </w:r>
      <w:proofErr w:type="spellEnd"/>
      <w:r w:rsidRPr="007F475C">
        <w:rPr>
          <w:sz w:val="24"/>
          <w:szCs w:val="24"/>
        </w:rPr>
        <w:t xml:space="preserve">, </w:t>
      </w:r>
      <w:proofErr w:type="spellStart"/>
      <w:r w:rsidRPr="007F475C">
        <w:rPr>
          <w:sz w:val="24"/>
          <w:szCs w:val="24"/>
        </w:rPr>
        <w:t>acenocoumarol</w:t>
      </w:r>
      <w:proofErr w:type="spellEnd"/>
      <w:r w:rsidRPr="007F475C">
        <w:rPr>
          <w:sz w:val="24"/>
          <w:szCs w:val="24"/>
        </w:rPr>
        <w:t xml:space="preserve"> og </w:t>
      </w:r>
      <w:proofErr w:type="spellStart"/>
      <w:r w:rsidRPr="007F475C">
        <w:rPr>
          <w:sz w:val="24"/>
          <w:szCs w:val="24"/>
        </w:rPr>
        <w:t>fluindion</w:t>
      </w:r>
      <w:proofErr w:type="spellEnd"/>
      <w:r w:rsidRPr="007F475C">
        <w:rPr>
          <w:sz w:val="24"/>
          <w:szCs w:val="24"/>
        </w:rPr>
        <w:t>). Koagulationstests skal derfor følges tæt hos patienter der er i behandling med vitamin K antagonister.</w:t>
      </w:r>
    </w:p>
    <w:p w:rsidR="006268B0" w:rsidRPr="007F475C" w:rsidRDefault="006268B0" w:rsidP="006268B0">
      <w:pPr>
        <w:ind w:left="851"/>
        <w:rPr>
          <w:i/>
          <w:sz w:val="24"/>
          <w:szCs w:val="24"/>
        </w:rPr>
      </w:pPr>
    </w:p>
    <w:p w:rsidR="006268B0" w:rsidRPr="007F475C" w:rsidRDefault="006268B0" w:rsidP="006268B0">
      <w:pPr>
        <w:ind w:left="851"/>
        <w:rPr>
          <w:iCs/>
          <w:sz w:val="24"/>
          <w:szCs w:val="24"/>
        </w:rPr>
      </w:pPr>
      <w:proofErr w:type="spellStart"/>
      <w:r w:rsidRPr="007F475C">
        <w:rPr>
          <w:sz w:val="24"/>
          <w:szCs w:val="24"/>
        </w:rPr>
        <w:t>Clindamycin</w:t>
      </w:r>
      <w:proofErr w:type="spellEnd"/>
      <w:r w:rsidRPr="007F475C">
        <w:rPr>
          <w:sz w:val="24"/>
          <w:szCs w:val="24"/>
        </w:rPr>
        <w:t xml:space="preserve"> </w:t>
      </w:r>
      <w:proofErr w:type="spellStart"/>
      <w:r w:rsidRPr="007F475C">
        <w:rPr>
          <w:sz w:val="24"/>
          <w:szCs w:val="24"/>
        </w:rPr>
        <w:t>metaboliseres</w:t>
      </w:r>
      <w:proofErr w:type="spellEnd"/>
      <w:r w:rsidRPr="007F475C">
        <w:rPr>
          <w:sz w:val="24"/>
          <w:szCs w:val="24"/>
        </w:rPr>
        <w:t xml:space="preserve"> primært af </w:t>
      </w:r>
      <w:r w:rsidRPr="007F475C">
        <w:rPr>
          <w:iCs/>
          <w:sz w:val="24"/>
          <w:szCs w:val="24"/>
        </w:rPr>
        <w:t xml:space="preserve">CYP3A4 og i mindre grad af CYP3A5 til den primære metabolit </w:t>
      </w:r>
      <w:proofErr w:type="spellStart"/>
      <w:r w:rsidRPr="007F475C">
        <w:rPr>
          <w:iCs/>
          <w:sz w:val="24"/>
          <w:szCs w:val="24"/>
        </w:rPr>
        <w:t>clindamycinsulfoxid</w:t>
      </w:r>
      <w:proofErr w:type="spellEnd"/>
      <w:r w:rsidRPr="007F475C">
        <w:rPr>
          <w:iCs/>
          <w:sz w:val="24"/>
          <w:szCs w:val="24"/>
        </w:rPr>
        <w:t xml:space="preserve"> og sekundære metabolit N</w:t>
      </w:r>
      <w:r w:rsidRPr="007F475C">
        <w:rPr>
          <w:iCs/>
          <w:sz w:val="24"/>
          <w:szCs w:val="24"/>
        </w:rPr>
        <w:noBreakHyphen/>
      </w:r>
      <w:proofErr w:type="spellStart"/>
      <w:r w:rsidRPr="007F475C">
        <w:rPr>
          <w:iCs/>
          <w:sz w:val="24"/>
          <w:szCs w:val="24"/>
        </w:rPr>
        <w:t>desmethylclindamycin</w:t>
      </w:r>
      <w:proofErr w:type="spellEnd"/>
      <w:r w:rsidRPr="007F475C">
        <w:rPr>
          <w:iCs/>
          <w:sz w:val="24"/>
          <w:szCs w:val="24"/>
        </w:rPr>
        <w:t xml:space="preserve">. Derfor kan </w:t>
      </w:r>
      <w:proofErr w:type="spellStart"/>
      <w:r w:rsidRPr="007F475C">
        <w:rPr>
          <w:iCs/>
          <w:sz w:val="24"/>
          <w:szCs w:val="24"/>
        </w:rPr>
        <w:t>hæmmere</w:t>
      </w:r>
      <w:proofErr w:type="spellEnd"/>
      <w:r w:rsidRPr="007F475C">
        <w:rPr>
          <w:iCs/>
          <w:sz w:val="24"/>
          <w:szCs w:val="24"/>
        </w:rPr>
        <w:t xml:space="preserve"> af CYP3A4</w:t>
      </w:r>
      <w:r w:rsidRPr="007F475C">
        <w:rPr>
          <w:sz w:val="24"/>
          <w:szCs w:val="24"/>
        </w:rPr>
        <w:t xml:space="preserve"> og </w:t>
      </w:r>
      <w:r w:rsidRPr="007F475C">
        <w:rPr>
          <w:iCs/>
          <w:sz w:val="24"/>
          <w:szCs w:val="24"/>
        </w:rPr>
        <w:t xml:space="preserve">CYP3A5 nedsætte </w:t>
      </w:r>
      <w:proofErr w:type="spellStart"/>
      <w:r w:rsidRPr="007F475C">
        <w:rPr>
          <w:iCs/>
          <w:sz w:val="24"/>
          <w:szCs w:val="24"/>
        </w:rPr>
        <w:t>clindamycin-clearance</w:t>
      </w:r>
      <w:proofErr w:type="spellEnd"/>
      <w:r w:rsidRPr="007F475C">
        <w:rPr>
          <w:iCs/>
          <w:sz w:val="24"/>
          <w:szCs w:val="24"/>
        </w:rPr>
        <w:t xml:space="preserve">, og induktorer af disse </w:t>
      </w:r>
      <w:proofErr w:type="spellStart"/>
      <w:r w:rsidRPr="007F475C">
        <w:rPr>
          <w:iCs/>
          <w:sz w:val="24"/>
          <w:szCs w:val="24"/>
        </w:rPr>
        <w:t>isoenzymer</w:t>
      </w:r>
      <w:proofErr w:type="spellEnd"/>
      <w:r w:rsidRPr="007F475C">
        <w:rPr>
          <w:iCs/>
          <w:sz w:val="24"/>
          <w:szCs w:val="24"/>
        </w:rPr>
        <w:t xml:space="preserve"> kan øge </w:t>
      </w:r>
      <w:proofErr w:type="spellStart"/>
      <w:r w:rsidRPr="007F475C">
        <w:rPr>
          <w:iCs/>
          <w:sz w:val="24"/>
          <w:szCs w:val="24"/>
        </w:rPr>
        <w:t>clindamycin-clearance</w:t>
      </w:r>
      <w:proofErr w:type="spellEnd"/>
      <w:r w:rsidRPr="007F475C">
        <w:rPr>
          <w:iCs/>
          <w:sz w:val="24"/>
          <w:szCs w:val="24"/>
        </w:rPr>
        <w:t xml:space="preserve">. Ved tilstedeværelse af stærke CYP3A4-induktorer, herunder </w:t>
      </w:r>
      <w:proofErr w:type="spellStart"/>
      <w:r w:rsidRPr="007F475C">
        <w:rPr>
          <w:iCs/>
          <w:sz w:val="24"/>
          <w:szCs w:val="24"/>
        </w:rPr>
        <w:t>rifampicin</w:t>
      </w:r>
      <w:proofErr w:type="spellEnd"/>
      <w:r w:rsidRPr="007F475C">
        <w:rPr>
          <w:iCs/>
          <w:sz w:val="24"/>
          <w:szCs w:val="24"/>
        </w:rPr>
        <w:t xml:space="preserve">, </w:t>
      </w:r>
      <w:r w:rsidRPr="007F475C">
        <w:rPr>
          <w:sz w:val="24"/>
          <w:szCs w:val="24"/>
        </w:rPr>
        <w:t>monitoreres for manglende effekt af behandlingen</w:t>
      </w:r>
      <w:r w:rsidRPr="007F475C">
        <w:rPr>
          <w:iCs/>
          <w:sz w:val="24"/>
          <w:szCs w:val="24"/>
        </w:rPr>
        <w:t>.</w:t>
      </w:r>
    </w:p>
    <w:p w:rsidR="006268B0" w:rsidRPr="007F475C" w:rsidRDefault="006268B0" w:rsidP="006268B0">
      <w:pPr>
        <w:ind w:left="851"/>
        <w:rPr>
          <w:iCs/>
          <w:sz w:val="24"/>
          <w:szCs w:val="24"/>
        </w:rPr>
      </w:pPr>
    </w:p>
    <w:p w:rsidR="006268B0" w:rsidRPr="007F475C" w:rsidRDefault="006268B0" w:rsidP="006268B0">
      <w:pPr>
        <w:ind w:left="851"/>
        <w:rPr>
          <w:iCs/>
          <w:sz w:val="24"/>
          <w:szCs w:val="24"/>
        </w:rPr>
      </w:pPr>
      <w:r w:rsidRPr="007F475C">
        <w:rPr>
          <w:i/>
          <w:sz w:val="24"/>
          <w:szCs w:val="24"/>
        </w:rPr>
        <w:t xml:space="preserve">In </w:t>
      </w:r>
      <w:proofErr w:type="spellStart"/>
      <w:r w:rsidRPr="007F475C">
        <w:rPr>
          <w:i/>
          <w:sz w:val="24"/>
          <w:szCs w:val="24"/>
        </w:rPr>
        <w:t>vitro</w:t>
      </w:r>
      <w:proofErr w:type="spellEnd"/>
      <w:r w:rsidRPr="007F475C">
        <w:rPr>
          <w:sz w:val="24"/>
          <w:szCs w:val="24"/>
        </w:rPr>
        <w:t xml:space="preserve"> forsøg indikerer at </w:t>
      </w:r>
      <w:proofErr w:type="spellStart"/>
      <w:r w:rsidRPr="007F475C">
        <w:rPr>
          <w:sz w:val="24"/>
          <w:szCs w:val="24"/>
        </w:rPr>
        <w:t>clindamycin</w:t>
      </w:r>
      <w:proofErr w:type="spellEnd"/>
      <w:r w:rsidRPr="007F475C">
        <w:rPr>
          <w:sz w:val="24"/>
          <w:szCs w:val="24"/>
        </w:rPr>
        <w:t xml:space="preserve"> ikke hæmmer </w:t>
      </w:r>
      <w:r w:rsidRPr="007F475C">
        <w:rPr>
          <w:iCs/>
          <w:sz w:val="24"/>
          <w:szCs w:val="24"/>
        </w:rPr>
        <w:t xml:space="preserve">CYP1A2, CYP2C9, CYP2C19, CYP2E1 eller CYP2D6 og kun i moderat grad hæmmer CYP3A4. Af denne grund er klinisk vigtige interaktioner mellem </w:t>
      </w:r>
      <w:proofErr w:type="spellStart"/>
      <w:r w:rsidRPr="007F475C">
        <w:rPr>
          <w:iCs/>
          <w:sz w:val="24"/>
          <w:szCs w:val="24"/>
        </w:rPr>
        <w:t>clindamycin</w:t>
      </w:r>
      <w:proofErr w:type="spellEnd"/>
      <w:r w:rsidRPr="007F475C">
        <w:rPr>
          <w:iCs/>
          <w:sz w:val="24"/>
          <w:szCs w:val="24"/>
        </w:rPr>
        <w:t xml:space="preserve"> og samtidig indgivne lægemidler </w:t>
      </w:r>
      <w:proofErr w:type="spellStart"/>
      <w:r w:rsidRPr="007F475C">
        <w:rPr>
          <w:iCs/>
          <w:sz w:val="24"/>
          <w:szCs w:val="24"/>
        </w:rPr>
        <w:t>metaboliseret</w:t>
      </w:r>
      <w:proofErr w:type="spellEnd"/>
      <w:r w:rsidRPr="007F475C">
        <w:rPr>
          <w:iCs/>
          <w:sz w:val="24"/>
          <w:szCs w:val="24"/>
        </w:rPr>
        <w:t xml:space="preserve"> af disse </w:t>
      </w:r>
      <w:proofErr w:type="gramStart"/>
      <w:r w:rsidRPr="007F475C">
        <w:rPr>
          <w:iCs/>
          <w:sz w:val="24"/>
          <w:szCs w:val="24"/>
        </w:rPr>
        <w:t>CYP enzymer</w:t>
      </w:r>
      <w:proofErr w:type="gramEnd"/>
      <w:r w:rsidRPr="007F475C">
        <w:rPr>
          <w:iCs/>
          <w:sz w:val="24"/>
          <w:szCs w:val="24"/>
        </w:rPr>
        <w:t xml:space="preserve"> usandsynlig. </w:t>
      </w:r>
    </w:p>
    <w:p w:rsidR="006268B0" w:rsidRPr="007F475C" w:rsidRDefault="006268B0" w:rsidP="006268B0">
      <w:pPr>
        <w:ind w:left="851"/>
        <w:rPr>
          <w:i/>
          <w:sz w:val="24"/>
          <w:szCs w:val="24"/>
        </w:rPr>
      </w:pPr>
    </w:p>
    <w:p w:rsidR="006268B0" w:rsidRPr="007F475C" w:rsidRDefault="006268B0" w:rsidP="00732984">
      <w:pPr>
        <w:keepNext/>
        <w:tabs>
          <w:tab w:val="left" w:pos="851"/>
        </w:tabs>
        <w:ind w:left="855" w:hanging="855"/>
        <w:rPr>
          <w:b/>
          <w:bCs/>
          <w:sz w:val="24"/>
          <w:szCs w:val="24"/>
        </w:rPr>
      </w:pPr>
      <w:r w:rsidRPr="007F475C">
        <w:rPr>
          <w:b/>
          <w:bCs/>
          <w:sz w:val="24"/>
          <w:szCs w:val="24"/>
        </w:rPr>
        <w:lastRenderedPageBreak/>
        <w:t>4.6</w:t>
      </w:r>
      <w:r w:rsidRPr="007F475C">
        <w:rPr>
          <w:b/>
          <w:bCs/>
          <w:sz w:val="24"/>
          <w:szCs w:val="24"/>
        </w:rPr>
        <w:tab/>
      </w:r>
      <w:r w:rsidR="00BD0D47">
        <w:rPr>
          <w:b/>
          <w:bCs/>
          <w:sz w:val="24"/>
          <w:szCs w:val="24"/>
        </w:rPr>
        <w:t>Fertilitet, g</w:t>
      </w:r>
      <w:r w:rsidRPr="007F475C">
        <w:rPr>
          <w:b/>
          <w:bCs/>
          <w:sz w:val="24"/>
          <w:szCs w:val="24"/>
        </w:rPr>
        <w:t>raviditet og amning</w:t>
      </w:r>
    </w:p>
    <w:p w:rsidR="006268B0" w:rsidRPr="007F475C" w:rsidRDefault="006268B0" w:rsidP="00732984">
      <w:pPr>
        <w:keepNext/>
        <w:ind w:left="851"/>
        <w:rPr>
          <w:bCs/>
          <w:sz w:val="24"/>
          <w:szCs w:val="24"/>
          <w:u w:val="single"/>
        </w:rPr>
      </w:pPr>
    </w:p>
    <w:p w:rsidR="006268B0" w:rsidRPr="007F475C" w:rsidRDefault="006268B0" w:rsidP="00732984">
      <w:pPr>
        <w:keepNext/>
        <w:ind w:left="851"/>
        <w:rPr>
          <w:sz w:val="24"/>
          <w:szCs w:val="24"/>
          <w:u w:val="single"/>
        </w:rPr>
      </w:pPr>
      <w:r w:rsidRPr="007F475C">
        <w:rPr>
          <w:bCs/>
          <w:sz w:val="24"/>
          <w:szCs w:val="24"/>
          <w:u w:val="single"/>
        </w:rPr>
        <w:t>Graviditet</w:t>
      </w:r>
    </w:p>
    <w:p w:rsidR="006268B0" w:rsidRPr="007F475C" w:rsidRDefault="00F335A6" w:rsidP="006268B0">
      <w:pPr>
        <w:ind w:left="851"/>
        <w:rPr>
          <w:sz w:val="24"/>
          <w:szCs w:val="24"/>
        </w:rPr>
      </w:pPr>
      <w:proofErr w:type="spellStart"/>
      <w:r>
        <w:rPr>
          <w:sz w:val="24"/>
          <w:szCs w:val="24"/>
        </w:rPr>
        <w:t>Dalacin</w:t>
      </w:r>
      <w:proofErr w:type="spellEnd"/>
      <w:r>
        <w:rPr>
          <w:sz w:val="24"/>
          <w:szCs w:val="24"/>
        </w:rPr>
        <w:t xml:space="preserve"> C</w:t>
      </w:r>
      <w:r w:rsidR="006268B0" w:rsidRPr="007F475C">
        <w:rPr>
          <w:sz w:val="24"/>
          <w:szCs w:val="24"/>
        </w:rPr>
        <w:t xml:space="preserve"> bør kun anvendes på tvingende indikation under graviditet, da </w:t>
      </w:r>
      <w:proofErr w:type="spellStart"/>
      <w:r w:rsidR="006268B0" w:rsidRPr="007F475C">
        <w:rPr>
          <w:sz w:val="24"/>
          <w:szCs w:val="24"/>
        </w:rPr>
        <w:t>clindamycin</w:t>
      </w:r>
      <w:proofErr w:type="spellEnd"/>
      <w:r w:rsidR="006268B0" w:rsidRPr="007F475C">
        <w:rPr>
          <w:sz w:val="24"/>
          <w:szCs w:val="24"/>
        </w:rPr>
        <w:t xml:space="preserve"> passerer placenta hos mennesker. Efter flere doser er koncentrationen i fostervandet ca. 30 % af moderens blodkoncentration. </w:t>
      </w:r>
    </w:p>
    <w:p w:rsidR="006268B0" w:rsidRPr="007F475C" w:rsidRDefault="006268B0" w:rsidP="006268B0">
      <w:pPr>
        <w:ind w:left="851"/>
        <w:rPr>
          <w:spacing w:val="-3"/>
          <w:sz w:val="24"/>
          <w:szCs w:val="24"/>
        </w:rPr>
      </w:pPr>
    </w:p>
    <w:p w:rsidR="006268B0" w:rsidRPr="007F475C" w:rsidRDefault="006268B0" w:rsidP="006268B0">
      <w:pPr>
        <w:ind w:left="851"/>
        <w:rPr>
          <w:sz w:val="24"/>
          <w:szCs w:val="24"/>
        </w:rPr>
      </w:pPr>
      <w:r w:rsidRPr="007F475C">
        <w:rPr>
          <w:spacing w:val="-3"/>
          <w:sz w:val="24"/>
          <w:szCs w:val="24"/>
        </w:rPr>
        <w:t xml:space="preserve">I kliniske studier har systemisk administration af </w:t>
      </w:r>
      <w:proofErr w:type="spellStart"/>
      <w:r w:rsidRPr="007F475C">
        <w:rPr>
          <w:spacing w:val="-3"/>
          <w:sz w:val="24"/>
          <w:szCs w:val="24"/>
        </w:rPr>
        <w:t>clindamycin</w:t>
      </w:r>
      <w:proofErr w:type="spellEnd"/>
      <w:r w:rsidRPr="007F475C">
        <w:rPr>
          <w:spacing w:val="-3"/>
          <w:sz w:val="24"/>
          <w:szCs w:val="24"/>
        </w:rPr>
        <w:t xml:space="preserve"> til gravide kvinder i 2. og 3. trimester ikke været forbundet med øget hyppighed af medfødte </w:t>
      </w:r>
      <w:proofErr w:type="spellStart"/>
      <w:r w:rsidRPr="007F475C">
        <w:rPr>
          <w:spacing w:val="-3"/>
          <w:sz w:val="24"/>
          <w:szCs w:val="24"/>
        </w:rPr>
        <w:t>abnormaliteter</w:t>
      </w:r>
      <w:proofErr w:type="spellEnd"/>
      <w:r w:rsidRPr="007F475C">
        <w:rPr>
          <w:spacing w:val="-3"/>
          <w:sz w:val="24"/>
          <w:szCs w:val="24"/>
        </w:rPr>
        <w:t xml:space="preserve">. </w:t>
      </w:r>
      <w:r w:rsidRPr="007F475C">
        <w:rPr>
          <w:sz w:val="24"/>
          <w:szCs w:val="24"/>
        </w:rPr>
        <w:t>Der foreligger ikke tilstrækkelige og velkontrollerede forsøg med gravide kvinder i første trimester.</w:t>
      </w:r>
    </w:p>
    <w:p w:rsidR="006268B0" w:rsidRPr="007F475C" w:rsidRDefault="006268B0" w:rsidP="006268B0">
      <w:pPr>
        <w:ind w:left="851"/>
        <w:rPr>
          <w:sz w:val="24"/>
          <w:szCs w:val="24"/>
        </w:rPr>
      </w:pPr>
    </w:p>
    <w:p w:rsidR="006268B0" w:rsidRPr="007F475C" w:rsidRDefault="006268B0" w:rsidP="006268B0">
      <w:pPr>
        <w:ind w:left="851"/>
        <w:rPr>
          <w:sz w:val="24"/>
          <w:szCs w:val="24"/>
          <w:u w:val="single"/>
        </w:rPr>
      </w:pPr>
      <w:r w:rsidRPr="007F475C">
        <w:rPr>
          <w:bCs/>
          <w:sz w:val="24"/>
          <w:szCs w:val="24"/>
          <w:u w:val="single"/>
        </w:rPr>
        <w:t>Amning</w:t>
      </w:r>
    </w:p>
    <w:p w:rsidR="006268B0" w:rsidRPr="007F475C" w:rsidRDefault="006268B0" w:rsidP="006268B0">
      <w:pPr>
        <w:ind w:left="851"/>
        <w:rPr>
          <w:sz w:val="24"/>
          <w:szCs w:val="24"/>
        </w:rPr>
      </w:pPr>
      <w:proofErr w:type="spellStart"/>
      <w:r w:rsidRPr="007F475C">
        <w:rPr>
          <w:sz w:val="24"/>
          <w:szCs w:val="24"/>
        </w:rPr>
        <w:t>Clindamycin</w:t>
      </w:r>
      <w:proofErr w:type="spellEnd"/>
      <w:r w:rsidRPr="007F475C">
        <w:rPr>
          <w:sz w:val="24"/>
          <w:szCs w:val="24"/>
        </w:rPr>
        <w:t xml:space="preserve"> udskilles i modermælk i varierende grad i koncentrationer fra </w:t>
      </w:r>
      <w:r w:rsidR="007F475C" w:rsidRPr="007F475C">
        <w:rPr>
          <w:spacing w:val="-3"/>
          <w:sz w:val="24"/>
          <w:szCs w:val="24"/>
        </w:rPr>
        <w:t>&lt;</w:t>
      </w:r>
      <w:r w:rsidRPr="007F475C">
        <w:rPr>
          <w:sz w:val="24"/>
          <w:szCs w:val="24"/>
        </w:rPr>
        <w:t xml:space="preserve">0,5 til 3,8 µg/ml. </w:t>
      </w:r>
    </w:p>
    <w:p w:rsidR="006268B0" w:rsidRPr="007F475C" w:rsidRDefault="006268B0" w:rsidP="006268B0">
      <w:pPr>
        <w:ind w:left="851"/>
        <w:rPr>
          <w:sz w:val="24"/>
          <w:szCs w:val="24"/>
        </w:rPr>
      </w:pPr>
      <w:proofErr w:type="spellStart"/>
      <w:r w:rsidRPr="007F475C">
        <w:rPr>
          <w:sz w:val="24"/>
          <w:szCs w:val="24"/>
        </w:rPr>
        <w:t>Clindamycin</w:t>
      </w:r>
      <w:proofErr w:type="spellEnd"/>
      <w:r w:rsidRPr="007F475C">
        <w:rPr>
          <w:sz w:val="24"/>
          <w:szCs w:val="24"/>
        </w:rPr>
        <w:t xml:space="preserve"> kan potentielt have negativ indvirkning på det ammede barns tarmflora med symptomer som diarre eller blod i afføringen eller udslæt. Det anbefales ikke at anvende oral eller intravenøs </w:t>
      </w:r>
      <w:proofErr w:type="spellStart"/>
      <w:r w:rsidRPr="007F475C">
        <w:rPr>
          <w:sz w:val="24"/>
          <w:szCs w:val="24"/>
        </w:rPr>
        <w:t>clindamycin</w:t>
      </w:r>
      <w:proofErr w:type="spellEnd"/>
      <w:r w:rsidRPr="007F475C">
        <w:rPr>
          <w:sz w:val="24"/>
          <w:szCs w:val="24"/>
        </w:rPr>
        <w:t xml:space="preserve"> i </w:t>
      </w:r>
      <w:proofErr w:type="spellStart"/>
      <w:r w:rsidRPr="007F475C">
        <w:rPr>
          <w:sz w:val="24"/>
          <w:szCs w:val="24"/>
        </w:rPr>
        <w:t>ammeperioden</w:t>
      </w:r>
      <w:proofErr w:type="spellEnd"/>
      <w:r w:rsidRPr="007F475C">
        <w:rPr>
          <w:sz w:val="24"/>
          <w:szCs w:val="24"/>
        </w:rPr>
        <w:t xml:space="preserve">, og der skal tages stilling til enten at afbryde amningen eller vælge en anden behandlingsmulighed. De udviklingsmæssige og sundhedsmæssige fordele ved amning bør overvejes i forhold til moderens kliniske behov for </w:t>
      </w:r>
      <w:proofErr w:type="spellStart"/>
      <w:r w:rsidRPr="007F475C">
        <w:rPr>
          <w:sz w:val="24"/>
          <w:szCs w:val="24"/>
        </w:rPr>
        <w:t>clindamycin</w:t>
      </w:r>
      <w:proofErr w:type="spellEnd"/>
      <w:r w:rsidRPr="007F475C">
        <w:rPr>
          <w:sz w:val="24"/>
          <w:szCs w:val="24"/>
        </w:rPr>
        <w:t>.</w:t>
      </w:r>
    </w:p>
    <w:p w:rsidR="006268B0" w:rsidRPr="007F475C" w:rsidRDefault="006268B0" w:rsidP="006268B0">
      <w:pPr>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Fertilitet</w:t>
      </w:r>
    </w:p>
    <w:p w:rsidR="006268B0" w:rsidRPr="007F475C" w:rsidRDefault="006268B0" w:rsidP="006268B0">
      <w:pPr>
        <w:ind w:left="851"/>
        <w:rPr>
          <w:sz w:val="24"/>
          <w:szCs w:val="24"/>
        </w:rPr>
      </w:pPr>
      <w:r w:rsidRPr="007F475C">
        <w:rPr>
          <w:sz w:val="24"/>
          <w:szCs w:val="24"/>
        </w:rPr>
        <w:t xml:space="preserve">Fertilitetsforsøg på rotter der fik oralt </w:t>
      </w:r>
      <w:proofErr w:type="spellStart"/>
      <w:r w:rsidRPr="007F475C">
        <w:rPr>
          <w:sz w:val="24"/>
          <w:szCs w:val="24"/>
        </w:rPr>
        <w:t>clindamycin</w:t>
      </w:r>
      <w:proofErr w:type="spellEnd"/>
      <w:r w:rsidRPr="007F475C">
        <w:rPr>
          <w:sz w:val="24"/>
          <w:szCs w:val="24"/>
        </w:rPr>
        <w:t>, viste ingen tegn på fertilitets</w:t>
      </w:r>
      <w:r w:rsidRPr="007F475C">
        <w:rPr>
          <w:sz w:val="24"/>
          <w:szCs w:val="24"/>
        </w:rPr>
        <w:softHyphen/>
        <w:t>forstyrrelser eller fosterbeskadigende egenskaber.</w:t>
      </w:r>
    </w:p>
    <w:p w:rsidR="006268B0" w:rsidRPr="007F475C" w:rsidRDefault="006268B0" w:rsidP="006268B0">
      <w:pPr>
        <w:ind w:left="851" w:hanging="851"/>
        <w:rPr>
          <w:b/>
          <w:bCs/>
          <w:sz w:val="24"/>
          <w:szCs w:val="24"/>
        </w:rPr>
      </w:pPr>
    </w:p>
    <w:p w:rsidR="006268B0" w:rsidRPr="007F475C" w:rsidRDefault="006268B0" w:rsidP="006268B0">
      <w:pPr>
        <w:ind w:left="851" w:hanging="851"/>
        <w:rPr>
          <w:sz w:val="24"/>
          <w:szCs w:val="24"/>
        </w:rPr>
      </w:pPr>
      <w:r w:rsidRPr="007F475C">
        <w:rPr>
          <w:b/>
          <w:bCs/>
          <w:sz w:val="24"/>
          <w:szCs w:val="24"/>
        </w:rPr>
        <w:t xml:space="preserve">4.7      </w:t>
      </w:r>
      <w:r w:rsidRPr="007F475C">
        <w:rPr>
          <w:b/>
          <w:bCs/>
          <w:sz w:val="24"/>
          <w:szCs w:val="24"/>
        </w:rPr>
        <w:tab/>
        <w:t xml:space="preserve">Virkning på evnen til at føre motorkøretøj </w:t>
      </w:r>
      <w:r w:rsidR="00BD0D47">
        <w:rPr>
          <w:b/>
          <w:bCs/>
          <w:sz w:val="24"/>
          <w:szCs w:val="24"/>
        </w:rPr>
        <w:t>og</w:t>
      </w:r>
      <w:r w:rsidRPr="007F475C">
        <w:rPr>
          <w:b/>
          <w:bCs/>
          <w:sz w:val="24"/>
          <w:szCs w:val="24"/>
        </w:rPr>
        <w:t xml:space="preserve"> betjene maskiner </w:t>
      </w:r>
      <w:r w:rsidRPr="007F475C">
        <w:rPr>
          <w:sz w:val="24"/>
          <w:szCs w:val="24"/>
        </w:rPr>
        <w:t xml:space="preserve"> </w:t>
      </w:r>
    </w:p>
    <w:p w:rsidR="006268B0" w:rsidRPr="007F475C" w:rsidRDefault="006268B0" w:rsidP="006268B0">
      <w:pPr>
        <w:ind w:left="851"/>
        <w:rPr>
          <w:sz w:val="24"/>
          <w:szCs w:val="24"/>
        </w:rPr>
      </w:pPr>
      <w:r w:rsidRPr="007F475C">
        <w:rPr>
          <w:sz w:val="24"/>
          <w:szCs w:val="24"/>
        </w:rPr>
        <w:t xml:space="preserve">Ikke mærkning. </w:t>
      </w:r>
    </w:p>
    <w:p w:rsidR="006268B0" w:rsidRPr="007F475C" w:rsidRDefault="006268B0" w:rsidP="006268B0">
      <w:pPr>
        <w:ind w:left="851"/>
        <w:rPr>
          <w:sz w:val="24"/>
          <w:szCs w:val="24"/>
        </w:rPr>
      </w:pPr>
      <w:proofErr w:type="spellStart"/>
      <w:r w:rsidRPr="007F475C">
        <w:rPr>
          <w:sz w:val="24"/>
          <w:szCs w:val="24"/>
        </w:rPr>
        <w:t>Clindamycin</w:t>
      </w:r>
      <w:proofErr w:type="spellEnd"/>
      <w:r w:rsidRPr="007F475C">
        <w:rPr>
          <w:sz w:val="24"/>
          <w:szCs w:val="24"/>
        </w:rPr>
        <w:t xml:space="preserve"> har ingen eller ubetydelig indflydelse på evnen til at føre motorkøretøj og betjene maskiner. </w:t>
      </w:r>
    </w:p>
    <w:p w:rsidR="006268B0" w:rsidRPr="007F475C" w:rsidRDefault="006268B0" w:rsidP="006268B0">
      <w:pPr>
        <w:ind w:left="851" w:hanging="851"/>
        <w:rPr>
          <w:b/>
          <w:bCs/>
          <w:sz w:val="24"/>
          <w:szCs w:val="24"/>
        </w:rPr>
      </w:pPr>
      <w:r w:rsidRPr="007F475C">
        <w:rPr>
          <w:sz w:val="24"/>
          <w:szCs w:val="24"/>
        </w:rPr>
        <w:t xml:space="preserve"> </w:t>
      </w:r>
      <w:r w:rsidRPr="007F475C">
        <w:rPr>
          <w:b/>
          <w:bCs/>
          <w:sz w:val="24"/>
          <w:szCs w:val="24"/>
        </w:rPr>
        <w:t xml:space="preserve">        </w:t>
      </w:r>
    </w:p>
    <w:p w:rsidR="006268B0" w:rsidRPr="007F475C" w:rsidRDefault="006268B0" w:rsidP="006268B0">
      <w:pPr>
        <w:ind w:left="851" w:hanging="851"/>
        <w:rPr>
          <w:b/>
          <w:bCs/>
          <w:sz w:val="24"/>
          <w:szCs w:val="24"/>
        </w:rPr>
      </w:pPr>
      <w:r w:rsidRPr="007F475C">
        <w:rPr>
          <w:b/>
          <w:bCs/>
          <w:sz w:val="24"/>
          <w:szCs w:val="24"/>
        </w:rPr>
        <w:t xml:space="preserve">4.8        </w:t>
      </w:r>
      <w:r w:rsidRPr="007F475C">
        <w:rPr>
          <w:b/>
          <w:bCs/>
          <w:sz w:val="24"/>
          <w:szCs w:val="24"/>
        </w:rPr>
        <w:tab/>
        <w:t>Bivirkninger</w:t>
      </w:r>
    </w:p>
    <w:p w:rsidR="00D85792" w:rsidRDefault="006268B0" w:rsidP="006268B0">
      <w:pPr>
        <w:tabs>
          <w:tab w:val="left" w:pos="0"/>
          <w:tab w:val="left" w:pos="851"/>
        </w:tabs>
        <w:suppressAutoHyphens/>
        <w:ind w:left="850" w:hanging="850"/>
      </w:pPr>
      <w:r w:rsidRPr="007F475C">
        <w:rPr>
          <w:sz w:val="24"/>
          <w:szCs w:val="24"/>
        </w:rPr>
        <w:tab/>
      </w:r>
      <w:r w:rsidR="00D85792">
        <w:t>Hyppighed af bivirkninger anført nedenfor defineres i henhold til følgende konventioner: meget almindelig (</w:t>
      </w:r>
      <w:r w:rsidR="00D85792">
        <w:rPr>
          <w:rFonts w:ascii="Symbol" w:hAnsi="Symbol"/>
          <w:szCs w:val="22"/>
        </w:rPr>
        <w:t></w:t>
      </w:r>
      <w:r w:rsidR="00D85792">
        <w:t>1/10), almindelig (</w:t>
      </w:r>
      <w:r w:rsidR="00D85792">
        <w:rPr>
          <w:rFonts w:ascii="Symbol" w:hAnsi="Symbol"/>
          <w:szCs w:val="22"/>
        </w:rPr>
        <w:t></w:t>
      </w:r>
      <w:r w:rsidR="00D85792">
        <w:t xml:space="preserve">1/100 til &lt;1/10), </w:t>
      </w:r>
      <w:r w:rsidR="00D85792">
        <w:rPr>
          <w:szCs w:val="22"/>
        </w:rPr>
        <w:t>ikke almindelig</w:t>
      </w:r>
      <w:r w:rsidR="00D85792">
        <w:t xml:space="preserve"> (</w:t>
      </w:r>
      <w:r w:rsidR="00D85792">
        <w:rPr>
          <w:rFonts w:ascii="Symbol" w:hAnsi="Symbol"/>
          <w:szCs w:val="22"/>
        </w:rPr>
        <w:t></w:t>
      </w:r>
      <w:r w:rsidR="00D85792">
        <w:rPr>
          <w:szCs w:val="22"/>
        </w:rPr>
        <w:t xml:space="preserve">1/1.000 til </w:t>
      </w:r>
      <w:r w:rsidR="00D85792">
        <w:rPr>
          <w:rFonts w:ascii="Symbol" w:hAnsi="Symbol"/>
          <w:szCs w:val="22"/>
        </w:rPr>
        <w:t></w:t>
      </w:r>
      <w:r w:rsidR="00D85792">
        <w:rPr>
          <w:szCs w:val="22"/>
        </w:rPr>
        <w:t>1/100), sjælden</w:t>
      </w:r>
      <w:r w:rsidR="00D85792">
        <w:rPr>
          <w:szCs w:val="22"/>
          <w:lang w:val="el-GR"/>
        </w:rPr>
        <w:t xml:space="preserve"> (</w:t>
      </w:r>
      <w:r w:rsidR="00D85792">
        <w:rPr>
          <w:rFonts w:ascii="Symbol" w:hAnsi="Symbol"/>
          <w:szCs w:val="22"/>
        </w:rPr>
        <w:t></w:t>
      </w:r>
      <w:r w:rsidR="00D85792">
        <w:rPr>
          <w:szCs w:val="22"/>
          <w:lang w:val="el-GR"/>
        </w:rPr>
        <w:t>1/10</w:t>
      </w:r>
      <w:r w:rsidR="00D85792">
        <w:rPr>
          <w:szCs w:val="22"/>
        </w:rPr>
        <w:t>.</w:t>
      </w:r>
      <w:r w:rsidR="00D85792">
        <w:rPr>
          <w:szCs w:val="22"/>
          <w:lang w:val="el-GR"/>
        </w:rPr>
        <w:t>000</w:t>
      </w:r>
      <w:r w:rsidR="00D85792">
        <w:rPr>
          <w:szCs w:val="22"/>
        </w:rPr>
        <w:t xml:space="preserve"> til</w:t>
      </w:r>
      <w:r w:rsidR="00D85792">
        <w:rPr>
          <w:szCs w:val="22"/>
          <w:lang w:val="el-GR"/>
        </w:rPr>
        <w:t xml:space="preserve"> </w:t>
      </w:r>
      <w:r w:rsidR="00D85792">
        <w:rPr>
          <w:rFonts w:ascii="Symbol" w:hAnsi="Symbol"/>
          <w:szCs w:val="22"/>
        </w:rPr>
        <w:t></w:t>
      </w:r>
      <w:r w:rsidR="00D85792">
        <w:rPr>
          <w:szCs w:val="22"/>
          <w:lang w:val="el-GR"/>
        </w:rPr>
        <w:t>1/1</w:t>
      </w:r>
      <w:r w:rsidR="00D85792">
        <w:rPr>
          <w:szCs w:val="22"/>
        </w:rPr>
        <w:t>.</w:t>
      </w:r>
      <w:r w:rsidR="00D85792">
        <w:rPr>
          <w:szCs w:val="22"/>
          <w:lang w:val="el-GR"/>
        </w:rPr>
        <w:t>000)</w:t>
      </w:r>
      <w:r w:rsidR="00D85792">
        <w:rPr>
          <w:szCs w:val="22"/>
        </w:rPr>
        <w:t>, meget sjælden (</w:t>
      </w:r>
      <w:r w:rsidR="00D85792">
        <w:rPr>
          <w:rFonts w:ascii="Symbol" w:hAnsi="Symbol"/>
          <w:szCs w:val="22"/>
        </w:rPr>
        <w:t></w:t>
      </w:r>
      <w:r w:rsidR="00D85792">
        <w:rPr>
          <w:szCs w:val="22"/>
        </w:rPr>
        <w:t>1/10.000) og ikke kendt (kan ikke vurderes ud fra tilgængelige data)</w:t>
      </w:r>
      <w:r w:rsidR="00D85792">
        <w:t>. Inden for hver hyppighedsgruppe er bivirkningerne opstillet efter, hvor alvorlige de er. De alvorligste bivirkninger er anført først.</w:t>
      </w:r>
    </w:p>
    <w:p w:rsidR="006268B0" w:rsidRPr="007F475C" w:rsidRDefault="006268B0" w:rsidP="006268B0">
      <w:pPr>
        <w:tabs>
          <w:tab w:val="left" w:pos="0"/>
          <w:tab w:val="left" w:pos="851"/>
        </w:tabs>
        <w:suppressAutoHyphens/>
        <w:ind w:left="850" w:hanging="850"/>
        <w:rPr>
          <w:sz w:val="24"/>
          <w:szCs w:val="24"/>
        </w:rPr>
      </w:pPr>
      <w:r w:rsidRPr="007F475C">
        <w:rPr>
          <w:sz w:val="24"/>
          <w:szCs w:val="24"/>
        </w:rPr>
        <w:tab/>
      </w:r>
    </w:p>
    <w:p w:rsidR="006268B0" w:rsidRPr="007F475C" w:rsidRDefault="006268B0" w:rsidP="006268B0">
      <w:pPr>
        <w:tabs>
          <w:tab w:val="left" w:pos="0"/>
          <w:tab w:val="left" w:pos="851"/>
        </w:tabs>
        <w:suppressAutoHyphens/>
        <w:ind w:left="850" w:hanging="850"/>
        <w:rPr>
          <w:sz w:val="24"/>
          <w:szCs w:val="24"/>
        </w:rPr>
      </w:pPr>
      <w:r w:rsidRPr="007F475C">
        <w:rPr>
          <w:sz w:val="24"/>
          <w:szCs w:val="24"/>
        </w:rPr>
        <w:tab/>
        <w:t xml:space="preserve">De hyppigste bivirkninger er </w:t>
      </w:r>
      <w:proofErr w:type="spellStart"/>
      <w:r w:rsidRPr="007F475C">
        <w:rPr>
          <w:sz w:val="24"/>
          <w:szCs w:val="24"/>
        </w:rPr>
        <w:t>gastrointestinale</w:t>
      </w:r>
      <w:proofErr w:type="spellEnd"/>
      <w:r w:rsidRPr="007F475C">
        <w:rPr>
          <w:sz w:val="24"/>
          <w:szCs w:val="24"/>
        </w:rPr>
        <w:t xml:space="preserve">, overvejende diarré. </w:t>
      </w:r>
      <w:proofErr w:type="spellStart"/>
      <w:r w:rsidRPr="007F475C">
        <w:rPr>
          <w:sz w:val="24"/>
          <w:szCs w:val="24"/>
        </w:rPr>
        <w:t>Gastrointestinale</w:t>
      </w:r>
      <w:proofErr w:type="spellEnd"/>
      <w:r w:rsidRPr="007F475C">
        <w:rPr>
          <w:sz w:val="24"/>
          <w:szCs w:val="24"/>
        </w:rPr>
        <w:t xml:space="preserve"> bivirkninger optræder hos ca. 8 % af patienterne.</w:t>
      </w:r>
    </w:p>
    <w:p w:rsidR="007F475C" w:rsidRPr="007F475C" w:rsidRDefault="007F475C" w:rsidP="007F475C">
      <w:pPr>
        <w:tabs>
          <w:tab w:val="left" w:pos="0"/>
          <w:tab w:val="left" w:pos="851"/>
        </w:tabs>
        <w:suppressAutoHyphens/>
        <w:ind w:left="850" w:hanging="850"/>
        <w:rPr>
          <w:sz w:val="24"/>
          <w:szCs w:val="24"/>
          <w:lang w:eastAsia="da-DK"/>
        </w:rPr>
      </w:pPr>
    </w:p>
    <w:tbl>
      <w:tblPr>
        <w:tblW w:w="90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1"/>
        <w:gridCol w:w="4499"/>
      </w:tblGrid>
      <w:tr w:rsidR="00C94E5F" w:rsidRPr="00F335A6"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r w:rsidRPr="007F475C">
              <w:rPr>
                <w:b/>
                <w:sz w:val="24"/>
                <w:szCs w:val="24"/>
              </w:rPr>
              <w:t>Infektioner og parasitære sygdomme</w:t>
            </w:r>
          </w:p>
          <w:p w:rsidR="00C94E5F" w:rsidRPr="007F475C" w:rsidRDefault="00C94E5F" w:rsidP="001637FC">
            <w:pPr>
              <w:suppressAutoHyphens/>
              <w:rPr>
                <w:sz w:val="24"/>
                <w:szCs w:val="24"/>
              </w:rPr>
            </w:pPr>
            <w:r w:rsidRPr="007F475C">
              <w:rPr>
                <w:sz w:val="24"/>
                <w:szCs w:val="24"/>
              </w:rPr>
              <w:t>Almindelig (</w:t>
            </w:r>
            <w:r>
              <w:rPr>
                <w:rFonts w:ascii="Symbol" w:hAnsi="Symbol"/>
                <w:szCs w:val="24"/>
              </w:rPr>
              <w:t></w:t>
            </w:r>
            <w:r w:rsidRPr="007F475C">
              <w:rPr>
                <w:sz w:val="24"/>
                <w:szCs w:val="24"/>
              </w:rPr>
              <w:t>1/100 til &lt;1/10)</w:t>
            </w:r>
          </w:p>
          <w:p w:rsidR="00C94E5F" w:rsidRPr="007F475C" w:rsidRDefault="00C94E5F" w:rsidP="001637FC">
            <w:pPr>
              <w:suppressAutoHyphens/>
              <w:rPr>
                <w:sz w:val="24"/>
                <w:szCs w:val="24"/>
              </w:rPr>
            </w:pPr>
          </w:p>
          <w:p w:rsidR="00C94E5F" w:rsidRDefault="00C94E5F" w:rsidP="001637FC">
            <w:pPr>
              <w:rPr>
                <w:sz w:val="24"/>
                <w:szCs w:val="24"/>
              </w:rPr>
            </w:pPr>
            <w:r w:rsidRPr="007F475C">
              <w:rPr>
                <w:sz w:val="24"/>
                <w:szCs w:val="24"/>
              </w:rPr>
              <w:t>Ikke kendt (kan ikke estimeres ud fra forhåndenværende data)</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 xml:space="preserve">Pseudomembranøs colitis* </w:t>
            </w:r>
          </w:p>
          <w:p w:rsidR="00C94E5F" w:rsidRPr="007F475C" w:rsidRDefault="00732984" w:rsidP="001637FC">
            <w:pPr>
              <w:pStyle w:val="Overskrift1"/>
              <w:rPr>
                <w:rFonts w:ascii="Times New Roman" w:hAnsi="Times New Roman"/>
                <w:b w:val="0"/>
                <w:sz w:val="24"/>
                <w:szCs w:val="24"/>
                <w:lang w:val="it-IT"/>
              </w:rPr>
            </w:pPr>
            <w:r w:rsidRPr="00732984">
              <w:rPr>
                <w:rFonts w:ascii="Times New Roman" w:hAnsi="Times New Roman"/>
                <w:b w:val="0"/>
                <w:i/>
                <w:sz w:val="24"/>
                <w:szCs w:val="24"/>
                <w:lang w:val="it-IT"/>
              </w:rPr>
              <w:t>Clostridioide</w:t>
            </w:r>
            <w:r>
              <w:rPr>
                <w:rFonts w:ascii="Times New Roman" w:hAnsi="Times New Roman"/>
                <w:b w:val="0"/>
                <w:i/>
                <w:sz w:val="24"/>
                <w:szCs w:val="24"/>
                <w:lang w:val="it-IT"/>
              </w:rPr>
              <w:t xml:space="preserve">s </w:t>
            </w:r>
            <w:r w:rsidR="00C94E5F" w:rsidRPr="007F475C">
              <w:rPr>
                <w:rFonts w:ascii="Times New Roman" w:hAnsi="Times New Roman"/>
                <w:b w:val="0"/>
                <w:i/>
                <w:sz w:val="24"/>
                <w:szCs w:val="24"/>
                <w:lang w:val="it-IT"/>
              </w:rPr>
              <w:t>difficile</w:t>
            </w:r>
            <w:r w:rsidR="00C94E5F" w:rsidRPr="007F475C">
              <w:rPr>
                <w:rFonts w:ascii="Times New Roman" w:hAnsi="Times New Roman"/>
                <w:b w:val="0"/>
                <w:sz w:val="24"/>
                <w:szCs w:val="24"/>
                <w:lang w:val="it-IT"/>
              </w:rPr>
              <w:t xml:space="preserve"> colitis*, vaginal infektion* </w:t>
            </w:r>
          </w:p>
        </w:tc>
      </w:tr>
      <w:tr w:rsidR="00C94E5F" w:rsidRPr="00F335A6"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r w:rsidRPr="007F475C">
              <w:rPr>
                <w:b/>
                <w:sz w:val="24"/>
                <w:szCs w:val="24"/>
              </w:rPr>
              <w:lastRenderedPageBreak/>
              <w:t>Blod og lymfesystem</w:t>
            </w:r>
          </w:p>
          <w:p w:rsidR="00C94E5F" w:rsidRPr="007F475C" w:rsidRDefault="00C94E5F" w:rsidP="001637FC">
            <w:pPr>
              <w:suppressAutoHyphens/>
              <w:rPr>
                <w:sz w:val="24"/>
                <w:szCs w:val="24"/>
              </w:rPr>
            </w:pPr>
            <w:r w:rsidRPr="007F475C">
              <w:rPr>
                <w:sz w:val="24"/>
                <w:szCs w:val="24"/>
              </w:rPr>
              <w:t>Almindelig (</w:t>
            </w:r>
            <w:r>
              <w:rPr>
                <w:rFonts w:ascii="Symbol" w:hAnsi="Symbol"/>
                <w:szCs w:val="24"/>
              </w:rPr>
              <w:t></w:t>
            </w:r>
            <w:r w:rsidRPr="007F475C">
              <w:rPr>
                <w:sz w:val="24"/>
                <w:szCs w:val="24"/>
              </w:rPr>
              <w:t>1/100 til &lt;1/10)</w:t>
            </w:r>
          </w:p>
          <w:p w:rsidR="00C94E5F" w:rsidRPr="007F475C" w:rsidRDefault="00C94E5F" w:rsidP="001637FC">
            <w:pPr>
              <w:rPr>
                <w:b/>
                <w:sz w:val="24"/>
                <w:szCs w:val="24"/>
              </w:rPr>
            </w:pPr>
          </w:p>
          <w:p w:rsidR="00C94E5F" w:rsidRPr="007F475C" w:rsidRDefault="00C94E5F" w:rsidP="001637FC">
            <w:pPr>
              <w:rPr>
                <w:b/>
                <w:sz w:val="24"/>
                <w:szCs w:val="24"/>
              </w:rPr>
            </w:pPr>
            <w:r w:rsidRPr="007F475C">
              <w:rPr>
                <w:sz w:val="24"/>
                <w:szCs w:val="24"/>
              </w:rPr>
              <w:t>Ikke kendt (kan ikke estimeres ud fra forhåndenværende data)</w:t>
            </w:r>
            <w:r w:rsidRPr="007F475C">
              <w:rPr>
                <w:b/>
                <w:sz w:val="24"/>
                <w:szCs w:val="24"/>
              </w:rPr>
              <w:t xml:space="preserve"> </w:t>
            </w:r>
          </w:p>
          <w:p w:rsidR="00C94E5F" w:rsidRPr="007F475C" w:rsidRDefault="00C94E5F" w:rsidP="001637FC">
            <w:pPr>
              <w:rPr>
                <w:b/>
                <w:sz w:val="24"/>
                <w:szCs w:val="24"/>
              </w:rPr>
            </w:pPr>
            <w:r w:rsidRPr="007F475C">
              <w:rPr>
                <w:b/>
                <w:sz w:val="24"/>
                <w:szCs w:val="24"/>
              </w:rPr>
              <w:t xml:space="preserve"> </w:t>
            </w: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Eosinofili</w:t>
            </w:r>
          </w:p>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Agranulocytose*, neutropeni*, trombocytopeni*, leukopeni*</w:t>
            </w: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hideMark/>
          </w:tcPr>
          <w:p w:rsidR="00C94E5F" w:rsidRPr="007F475C" w:rsidRDefault="00C94E5F" w:rsidP="001637FC">
            <w:pPr>
              <w:rPr>
                <w:b/>
                <w:sz w:val="24"/>
                <w:szCs w:val="24"/>
              </w:rPr>
            </w:pPr>
            <w:r w:rsidRPr="007F475C">
              <w:rPr>
                <w:b/>
                <w:sz w:val="24"/>
                <w:szCs w:val="24"/>
              </w:rPr>
              <w:t>Immunsystemet</w:t>
            </w:r>
          </w:p>
          <w:p w:rsidR="00C94E5F" w:rsidRPr="007F475C" w:rsidRDefault="00C94E5F" w:rsidP="001637FC">
            <w:pPr>
              <w:rPr>
                <w:b/>
                <w:sz w:val="24"/>
                <w:szCs w:val="24"/>
              </w:rPr>
            </w:pPr>
            <w:r w:rsidRPr="007F475C">
              <w:rPr>
                <w:sz w:val="24"/>
                <w:szCs w:val="24"/>
              </w:rPr>
              <w:t xml:space="preserve">Ikke kendt (kan ikke estimeres ud fra forhåndenværende data) </w:t>
            </w:r>
          </w:p>
        </w:tc>
        <w:tc>
          <w:tcPr>
            <w:tcW w:w="4499" w:type="dxa"/>
            <w:tcBorders>
              <w:top w:val="single" w:sz="4" w:space="0" w:color="auto"/>
              <w:left w:val="single" w:sz="4" w:space="0" w:color="auto"/>
              <w:bottom w:val="single" w:sz="4" w:space="0" w:color="auto"/>
              <w:right w:val="single" w:sz="4" w:space="0" w:color="auto"/>
            </w:tcBorders>
          </w:tcPr>
          <w:p w:rsidR="00C94E5F" w:rsidRDefault="00C94E5F" w:rsidP="001637FC">
            <w:pPr>
              <w:pStyle w:val="Overskrift1"/>
              <w:rPr>
                <w:rFonts w:ascii="Times New Roman" w:hAnsi="Times New Roman"/>
                <w:b w:val="0"/>
                <w:sz w:val="24"/>
                <w:szCs w:val="24"/>
              </w:rPr>
            </w:pPr>
            <w:proofErr w:type="spellStart"/>
            <w:r w:rsidRPr="005913A5">
              <w:rPr>
                <w:rFonts w:ascii="Times New Roman" w:hAnsi="Times New Roman"/>
                <w:b w:val="0"/>
                <w:sz w:val="24"/>
                <w:szCs w:val="24"/>
              </w:rPr>
              <w:t>Anafylaktisk</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shock</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anafylaktoide</w:t>
            </w:r>
            <w:proofErr w:type="spellEnd"/>
            <w:r w:rsidRPr="005913A5">
              <w:rPr>
                <w:rFonts w:ascii="Times New Roman" w:hAnsi="Times New Roman"/>
                <w:b w:val="0"/>
                <w:sz w:val="24"/>
                <w:szCs w:val="24"/>
              </w:rPr>
              <w:t xml:space="preserve"> </w:t>
            </w:r>
            <w:r w:rsidRPr="007F475C">
              <w:rPr>
                <w:rFonts w:ascii="Times New Roman" w:hAnsi="Times New Roman"/>
                <w:b w:val="0"/>
                <w:sz w:val="24"/>
                <w:szCs w:val="24"/>
              </w:rPr>
              <w:t xml:space="preserve">reaktioner*, </w:t>
            </w:r>
            <w:proofErr w:type="spellStart"/>
            <w:r w:rsidRPr="007F475C">
              <w:rPr>
                <w:rFonts w:ascii="Times New Roman" w:hAnsi="Times New Roman"/>
                <w:b w:val="0"/>
                <w:sz w:val="24"/>
                <w:szCs w:val="24"/>
              </w:rPr>
              <w:t>a</w:t>
            </w:r>
            <w:r w:rsidRPr="005913A5">
              <w:rPr>
                <w:rFonts w:ascii="Times New Roman" w:hAnsi="Times New Roman"/>
                <w:b w:val="0"/>
                <w:sz w:val="24"/>
                <w:szCs w:val="24"/>
              </w:rPr>
              <w:t>nafylaktiske</w:t>
            </w:r>
            <w:proofErr w:type="spellEnd"/>
            <w:r w:rsidRPr="005913A5">
              <w:rPr>
                <w:rFonts w:ascii="Times New Roman" w:hAnsi="Times New Roman"/>
                <w:b w:val="0"/>
                <w:sz w:val="24"/>
                <w:szCs w:val="24"/>
              </w:rPr>
              <w:t xml:space="preserve"> reaktioner*</w:t>
            </w:r>
            <w:r w:rsidRPr="007F475C">
              <w:rPr>
                <w:rFonts w:ascii="Times New Roman" w:hAnsi="Times New Roman"/>
                <w:b w:val="0"/>
                <w:sz w:val="24"/>
                <w:szCs w:val="24"/>
              </w:rPr>
              <w:t>, overfølsomhed*</w:t>
            </w:r>
          </w:p>
          <w:p w:rsidR="00C94E5F" w:rsidRPr="00162D9A" w:rsidRDefault="00C94E5F" w:rsidP="001637FC"/>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r w:rsidRPr="007F475C">
              <w:rPr>
                <w:b/>
                <w:sz w:val="24"/>
                <w:szCs w:val="24"/>
              </w:rPr>
              <w:t>Nervesystemet</w:t>
            </w:r>
          </w:p>
          <w:p w:rsidR="00C94E5F" w:rsidRPr="007F475C" w:rsidRDefault="00C94E5F" w:rsidP="001637FC">
            <w:pPr>
              <w:rPr>
                <w:sz w:val="24"/>
                <w:szCs w:val="24"/>
              </w:rPr>
            </w:pPr>
            <w:r w:rsidRPr="007F475C">
              <w:rPr>
                <w:sz w:val="24"/>
                <w:szCs w:val="24"/>
              </w:rPr>
              <w:t xml:space="preserve">Ikke almindelig (≥1/1.000 og &lt;1/100) </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Neuromuskulær blokade, smagsforstyrrelser</w:t>
            </w: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proofErr w:type="spellStart"/>
            <w:r w:rsidRPr="007F475C">
              <w:rPr>
                <w:b/>
                <w:sz w:val="24"/>
                <w:szCs w:val="24"/>
              </w:rPr>
              <w:t>Mave-tarmkanalen</w:t>
            </w:r>
            <w:proofErr w:type="spellEnd"/>
          </w:p>
          <w:p w:rsidR="00C94E5F" w:rsidRPr="007F475C" w:rsidRDefault="00C94E5F" w:rsidP="001637FC">
            <w:pPr>
              <w:rPr>
                <w:sz w:val="24"/>
                <w:szCs w:val="24"/>
              </w:rPr>
            </w:pPr>
            <w:r w:rsidRPr="007F475C">
              <w:rPr>
                <w:sz w:val="24"/>
                <w:szCs w:val="24"/>
              </w:rPr>
              <w:t>Almindelig (≥1/100 og &lt;1/10)</w:t>
            </w:r>
          </w:p>
          <w:p w:rsidR="00C94E5F" w:rsidRPr="007F475C" w:rsidRDefault="00C94E5F" w:rsidP="001637FC">
            <w:pPr>
              <w:rPr>
                <w:sz w:val="24"/>
                <w:szCs w:val="24"/>
              </w:rPr>
            </w:pPr>
          </w:p>
          <w:p w:rsidR="00C94E5F" w:rsidRPr="007F475C" w:rsidRDefault="00C94E5F" w:rsidP="001637FC">
            <w:pPr>
              <w:rPr>
                <w:sz w:val="24"/>
                <w:szCs w:val="24"/>
              </w:rPr>
            </w:pPr>
            <w:r w:rsidRPr="007F475C">
              <w:rPr>
                <w:sz w:val="24"/>
                <w:szCs w:val="24"/>
              </w:rPr>
              <w:t>Ikke almindelig (&gt;1/1.000 og &lt;1/100)</w:t>
            </w:r>
          </w:p>
          <w:p w:rsidR="00C94E5F" w:rsidRDefault="00C94E5F" w:rsidP="001637FC">
            <w:pPr>
              <w:rPr>
                <w:sz w:val="24"/>
                <w:szCs w:val="24"/>
              </w:rPr>
            </w:pPr>
          </w:p>
          <w:p w:rsidR="00C94E5F" w:rsidRDefault="00C94E5F" w:rsidP="001637FC">
            <w:pPr>
              <w:rPr>
                <w:sz w:val="24"/>
                <w:szCs w:val="24"/>
              </w:rPr>
            </w:pPr>
          </w:p>
          <w:p w:rsidR="00C94E5F" w:rsidRPr="007F475C" w:rsidRDefault="00C94E5F" w:rsidP="001637FC">
            <w:pPr>
              <w:rPr>
                <w:sz w:val="24"/>
                <w:szCs w:val="24"/>
              </w:rPr>
            </w:pPr>
            <w:r w:rsidRPr="007F475C">
              <w:rPr>
                <w:sz w:val="24"/>
                <w:szCs w:val="24"/>
              </w:rPr>
              <w:t>Meget sjælden (&lt;1/10.000, inklusiv enkeltstående tilfælde)</w:t>
            </w:r>
          </w:p>
          <w:p w:rsidR="00C94E5F" w:rsidRPr="007F475C" w:rsidRDefault="00C94E5F" w:rsidP="001637FC">
            <w:pPr>
              <w:rPr>
                <w:sz w:val="24"/>
                <w:szCs w:val="24"/>
              </w:rPr>
            </w:pPr>
          </w:p>
          <w:p w:rsidR="00C94E5F" w:rsidRPr="007F475C" w:rsidRDefault="00C94E5F" w:rsidP="001637FC">
            <w:pPr>
              <w:rPr>
                <w:sz w:val="24"/>
                <w:szCs w:val="24"/>
              </w:rPr>
            </w:pPr>
            <w:r w:rsidRPr="007F475C">
              <w:rPr>
                <w:sz w:val="24"/>
                <w:szCs w:val="24"/>
              </w:rPr>
              <w:t>Ikke kendt (kan ikke estimeres ud fra forhåndenværende data)</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5913A5" w:rsidRDefault="00C94E5F" w:rsidP="001637FC">
            <w:pPr>
              <w:pStyle w:val="Overskrift1"/>
              <w:rPr>
                <w:rFonts w:ascii="Times New Roman" w:hAnsi="Times New Roman"/>
                <w:b w:val="0"/>
                <w:sz w:val="24"/>
                <w:szCs w:val="24"/>
              </w:rPr>
            </w:pPr>
            <w:r w:rsidRPr="005913A5">
              <w:rPr>
                <w:rFonts w:ascii="Times New Roman" w:hAnsi="Times New Roman"/>
                <w:b w:val="0"/>
                <w:sz w:val="24"/>
                <w:szCs w:val="24"/>
              </w:rPr>
              <w:t>Diarré</w:t>
            </w:r>
          </w:p>
          <w:p w:rsidR="00C94E5F" w:rsidRPr="005913A5" w:rsidRDefault="00C94E5F" w:rsidP="001637FC">
            <w:pPr>
              <w:rPr>
                <w:sz w:val="24"/>
                <w:szCs w:val="24"/>
              </w:rPr>
            </w:pPr>
          </w:p>
          <w:p w:rsidR="00C94E5F" w:rsidRDefault="00C94E5F" w:rsidP="001637FC">
            <w:pPr>
              <w:tabs>
                <w:tab w:val="left" w:pos="567"/>
                <w:tab w:val="left" w:pos="851"/>
                <w:tab w:val="num" w:pos="1134"/>
                <w:tab w:val="left" w:pos="1418"/>
                <w:tab w:val="left" w:pos="5000"/>
                <w:tab w:val="left" w:pos="6680"/>
              </w:tabs>
              <w:rPr>
                <w:sz w:val="24"/>
                <w:szCs w:val="24"/>
              </w:rPr>
            </w:pPr>
            <w:proofErr w:type="spellStart"/>
            <w:r w:rsidRPr="007F475C">
              <w:rPr>
                <w:sz w:val="24"/>
                <w:szCs w:val="24"/>
              </w:rPr>
              <w:t>Abdominale</w:t>
            </w:r>
            <w:proofErr w:type="spellEnd"/>
            <w:r w:rsidRPr="007F475C">
              <w:rPr>
                <w:sz w:val="24"/>
                <w:szCs w:val="24"/>
              </w:rPr>
              <w:t xml:space="preserve"> smerter, opkastning, kvalme</w:t>
            </w:r>
          </w:p>
          <w:p w:rsidR="00C94E5F" w:rsidRDefault="00C94E5F" w:rsidP="001637FC">
            <w:pPr>
              <w:tabs>
                <w:tab w:val="left" w:pos="567"/>
                <w:tab w:val="left" w:pos="851"/>
                <w:tab w:val="num" w:pos="1134"/>
                <w:tab w:val="left" w:pos="1418"/>
                <w:tab w:val="left" w:pos="5000"/>
                <w:tab w:val="left" w:pos="6680"/>
              </w:tabs>
              <w:rPr>
                <w:sz w:val="24"/>
                <w:szCs w:val="24"/>
              </w:rPr>
            </w:pPr>
          </w:p>
          <w:p w:rsidR="00C94E5F" w:rsidRPr="005913A5" w:rsidRDefault="00C94E5F" w:rsidP="001637FC">
            <w:pPr>
              <w:pStyle w:val="Overskrift1"/>
              <w:rPr>
                <w:rFonts w:ascii="Times New Roman" w:hAnsi="Times New Roman"/>
                <w:b w:val="0"/>
                <w:sz w:val="24"/>
                <w:szCs w:val="24"/>
              </w:rPr>
            </w:pPr>
            <w:r w:rsidRPr="005913A5">
              <w:rPr>
                <w:rFonts w:ascii="Times New Roman" w:hAnsi="Times New Roman"/>
                <w:b w:val="0"/>
                <w:sz w:val="24"/>
                <w:szCs w:val="24"/>
              </w:rPr>
              <w:t>Dyspepsi</w:t>
            </w:r>
          </w:p>
          <w:p w:rsidR="00C94E5F" w:rsidRPr="005913A5" w:rsidRDefault="00C94E5F" w:rsidP="001637FC">
            <w:pPr>
              <w:rPr>
                <w:sz w:val="24"/>
                <w:szCs w:val="24"/>
              </w:rPr>
            </w:pPr>
          </w:p>
          <w:p w:rsidR="00C94E5F" w:rsidRPr="005913A5" w:rsidRDefault="00C94E5F" w:rsidP="001637FC">
            <w:pPr>
              <w:rPr>
                <w:sz w:val="24"/>
                <w:szCs w:val="24"/>
              </w:rPr>
            </w:pPr>
          </w:p>
          <w:p w:rsidR="00C94E5F" w:rsidRPr="007F475C" w:rsidRDefault="00732984" w:rsidP="001637FC">
            <w:pPr>
              <w:rPr>
                <w:sz w:val="24"/>
                <w:szCs w:val="24"/>
                <w:lang w:val="it-IT"/>
              </w:rPr>
            </w:pPr>
            <w:r>
              <w:rPr>
                <w:sz w:val="24"/>
                <w:szCs w:val="24"/>
                <w:lang w:val="it-IT"/>
              </w:rPr>
              <w:t>Sår i spiserøret</w:t>
            </w:r>
            <w:r>
              <w:rPr>
                <w:i/>
                <w:sz w:val="22"/>
                <w:szCs w:val="22"/>
                <w:u w:val="single"/>
                <w:vertAlign w:val="superscript"/>
                <w:lang w:val="en-US"/>
              </w:rPr>
              <w:t>≠</w:t>
            </w:r>
            <w:r>
              <w:rPr>
                <w:sz w:val="24"/>
                <w:szCs w:val="24"/>
                <w:lang w:val="it-IT"/>
              </w:rPr>
              <w:t>, øsophagitis</w:t>
            </w:r>
            <w:r>
              <w:rPr>
                <w:i/>
                <w:sz w:val="22"/>
                <w:szCs w:val="22"/>
                <w:u w:val="single"/>
                <w:vertAlign w:val="superscript"/>
                <w:lang w:val="en-US"/>
              </w:rPr>
              <w:t>≠</w:t>
            </w: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lang w:eastAsia="da-DK"/>
              </w:rPr>
            </w:pPr>
            <w:r w:rsidRPr="007F475C">
              <w:rPr>
                <w:b/>
                <w:sz w:val="24"/>
                <w:szCs w:val="24"/>
              </w:rPr>
              <w:t>Lever og galdeveje</w:t>
            </w:r>
          </w:p>
          <w:p w:rsidR="00C94E5F" w:rsidRPr="007F475C" w:rsidRDefault="00C94E5F" w:rsidP="001637FC">
            <w:pPr>
              <w:rPr>
                <w:sz w:val="24"/>
                <w:szCs w:val="24"/>
              </w:rPr>
            </w:pPr>
            <w:r w:rsidRPr="007F475C">
              <w:rPr>
                <w:sz w:val="24"/>
                <w:szCs w:val="24"/>
              </w:rPr>
              <w:t>Ikke kendt (kan ikke estimeres ud fra forhåndenværende data)</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Gulsot*</w:t>
            </w:r>
          </w:p>
          <w:p w:rsidR="00C94E5F" w:rsidRPr="007F475C" w:rsidRDefault="00C94E5F" w:rsidP="001637FC">
            <w:pPr>
              <w:pStyle w:val="Overskrift1"/>
              <w:rPr>
                <w:rFonts w:ascii="Times New Roman" w:hAnsi="Times New Roman"/>
                <w:b w:val="0"/>
                <w:sz w:val="24"/>
                <w:szCs w:val="24"/>
                <w:lang w:val="it-IT"/>
              </w:rPr>
            </w:pPr>
          </w:p>
        </w:tc>
      </w:tr>
      <w:tr w:rsidR="00C94E5F" w:rsidRPr="00A65EC1"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r w:rsidRPr="007F475C">
              <w:rPr>
                <w:b/>
                <w:sz w:val="24"/>
                <w:szCs w:val="24"/>
              </w:rPr>
              <w:t>Hud og subkutane væv</w:t>
            </w:r>
          </w:p>
          <w:p w:rsidR="00C94E5F" w:rsidRPr="007F475C" w:rsidRDefault="00C94E5F" w:rsidP="001637FC">
            <w:pPr>
              <w:suppressAutoHyphens/>
              <w:rPr>
                <w:sz w:val="24"/>
                <w:szCs w:val="24"/>
              </w:rPr>
            </w:pPr>
            <w:r w:rsidRPr="007F475C">
              <w:rPr>
                <w:sz w:val="24"/>
                <w:szCs w:val="24"/>
              </w:rPr>
              <w:t>Almindelig (≥1/100 og &lt;1/10)</w:t>
            </w:r>
          </w:p>
          <w:p w:rsidR="00C94E5F" w:rsidRPr="007F475C" w:rsidRDefault="00C94E5F" w:rsidP="001637FC">
            <w:pPr>
              <w:rPr>
                <w:b/>
                <w:sz w:val="24"/>
                <w:szCs w:val="24"/>
              </w:rPr>
            </w:pPr>
          </w:p>
          <w:p w:rsidR="00C94E5F" w:rsidRPr="007F475C" w:rsidRDefault="00C94E5F" w:rsidP="001637FC">
            <w:pPr>
              <w:rPr>
                <w:sz w:val="24"/>
                <w:szCs w:val="24"/>
              </w:rPr>
            </w:pPr>
            <w:r w:rsidRPr="007F475C">
              <w:rPr>
                <w:sz w:val="24"/>
                <w:szCs w:val="24"/>
              </w:rPr>
              <w:t>Ikke almindelig (≥1/1.000 og &lt;1/100)</w:t>
            </w:r>
          </w:p>
          <w:p w:rsidR="00C94E5F" w:rsidRPr="007F475C" w:rsidRDefault="00C94E5F" w:rsidP="001637FC">
            <w:pPr>
              <w:rPr>
                <w:sz w:val="24"/>
                <w:szCs w:val="24"/>
              </w:rPr>
            </w:pPr>
          </w:p>
          <w:p w:rsidR="00C94E5F" w:rsidRPr="007F475C" w:rsidRDefault="00C94E5F" w:rsidP="001637FC">
            <w:pPr>
              <w:rPr>
                <w:sz w:val="24"/>
                <w:szCs w:val="24"/>
              </w:rPr>
            </w:pPr>
            <w:r w:rsidRPr="007F475C">
              <w:rPr>
                <w:sz w:val="24"/>
                <w:szCs w:val="24"/>
              </w:rPr>
              <w:t>Sjælden (≥1/10.000 og &lt;1/1.000)</w:t>
            </w:r>
          </w:p>
          <w:p w:rsidR="00C94E5F" w:rsidRPr="007F475C" w:rsidRDefault="00C94E5F" w:rsidP="001637FC">
            <w:pPr>
              <w:rPr>
                <w:sz w:val="24"/>
                <w:szCs w:val="24"/>
              </w:rPr>
            </w:pPr>
          </w:p>
          <w:p w:rsidR="00C94E5F" w:rsidRPr="007F475C" w:rsidRDefault="00C94E5F" w:rsidP="001637FC">
            <w:pPr>
              <w:rPr>
                <w:b/>
                <w:sz w:val="24"/>
                <w:szCs w:val="24"/>
              </w:rPr>
            </w:pPr>
            <w:r w:rsidRPr="007F475C">
              <w:rPr>
                <w:sz w:val="24"/>
                <w:szCs w:val="24"/>
              </w:rPr>
              <w:t>Ikke kendt (kan ikke estimeres ud fra forhåndenværende data)</w:t>
            </w:r>
          </w:p>
        </w:tc>
        <w:tc>
          <w:tcPr>
            <w:tcW w:w="4499" w:type="dxa"/>
            <w:tcBorders>
              <w:top w:val="single" w:sz="4" w:space="0" w:color="auto"/>
              <w:left w:val="single" w:sz="4" w:space="0" w:color="auto"/>
              <w:bottom w:val="single" w:sz="4" w:space="0" w:color="auto"/>
              <w:right w:val="single" w:sz="4" w:space="0" w:color="auto"/>
            </w:tcBorders>
          </w:tcPr>
          <w:p w:rsidR="00C94E5F" w:rsidRPr="005913A5" w:rsidRDefault="00C94E5F" w:rsidP="001637FC">
            <w:pPr>
              <w:pStyle w:val="Overskrift1"/>
              <w:rPr>
                <w:rFonts w:ascii="Times New Roman" w:hAnsi="Times New Roman"/>
                <w:b w:val="0"/>
                <w:sz w:val="24"/>
                <w:szCs w:val="24"/>
              </w:rPr>
            </w:pPr>
            <w:proofErr w:type="spellStart"/>
            <w:r w:rsidRPr="005913A5">
              <w:rPr>
                <w:rFonts w:ascii="Times New Roman" w:hAnsi="Times New Roman"/>
                <w:b w:val="0"/>
                <w:sz w:val="24"/>
                <w:szCs w:val="24"/>
              </w:rPr>
              <w:t>Makulopapuløst</w:t>
            </w:r>
            <w:proofErr w:type="spellEnd"/>
            <w:r w:rsidRPr="005913A5">
              <w:rPr>
                <w:rFonts w:ascii="Times New Roman" w:hAnsi="Times New Roman"/>
                <w:b w:val="0"/>
                <w:sz w:val="24"/>
                <w:szCs w:val="24"/>
              </w:rPr>
              <w:t xml:space="preserve"> udslæt</w:t>
            </w:r>
          </w:p>
          <w:p w:rsidR="00C94E5F" w:rsidRPr="005913A5" w:rsidRDefault="00C94E5F" w:rsidP="001637FC">
            <w:pPr>
              <w:pStyle w:val="Overskrift1"/>
              <w:rPr>
                <w:rFonts w:ascii="Times New Roman" w:hAnsi="Times New Roman"/>
                <w:b w:val="0"/>
                <w:sz w:val="24"/>
                <w:szCs w:val="24"/>
              </w:rPr>
            </w:pPr>
            <w:proofErr w:type="spellStart"/>
            <w:r w:rsidRPr="005913A5">
              <w:rPr>
                <w:rFonts w:ascii="Times New Roman" w:hAnsi="Times New Roman"/>
                <w:b w:val="0"/>
                <w:sz w:val="24"/>
                <w:szCs w:val="24"/>
              </w:rPr>
              <w:t>Urticaria</w:t>
            </w:r>
            <w:proofErr w:type="spellEnd"/>
          </w:p>
          <w:p w:rsidR="00C94E5F" w:rsidRPr="005913A5" w:rsidRDefault="00C94E5F" w:rsidP="001637FC">
            <w:pPr>
              <w:rPr>
                <w:sz w:val="24"/>
                <w:szCs w:val="24"/>
              </w:rPr>
            </w:pPr>
          </w:p>
          <w:p w:rsidR="00C94E5F" w:rsidRPr="005913A5" w:rsidRDefault="00C94E5F" w:rsidP="001637FC">
            <w:pPr>
              <w:rPr>
                <w:sz w:val="24"/>
                <w:szCs w:val="24"/>
              </w:rPr>
            </w:pPr>
            <w:proofErr w:type="spellStart"/>
            <w:r w:rsidRPr="005913A5">
              <w:rPr>
                <w:sz w:val="24"/>
                <w:szCs w:val="24"/>
              </w:rPr>
              <w:t>Erythema</w:t>
            </w:r>
            <w:proofErr w:type="spellEnd"/>
            <w:r w:rsidRPr="005913A5">
              <w:rPr>
                <w:sz w:val="24"/>
                <w:szCs w:val="24"/>
              </w:rPr>
              <w:t xml:space="preserve"> multiforme, </w:t>
            </w:r>
            <w:proofErr w:type="spellStart"/>
            <w:r w:rsidRPr="005913A5">
              <w:rPr>
                <w:sz w:val="24"/>
                <w:szCs w:val="24"/>
              </w:rPr>
              <w:t>pruritus</w:t>
            </w:r>
            <w:proofErr w:type="spellEnd"/>
          </w:p>
          <w:p w:rsidR="00C94E5F" w:rsidRPr="005913A5" w:rsidRDefault="00C94E5F" w:rsidP="001637FC">
            <w:pPr>
              <w:pStyle w:val="Overskrift1"/>
              <w:rPr>
                <w:rFonts w:ascii="Times New Roman" w:hAnsi="Times New Roman"/>
                <w:b w:val="0"/>
                <w:sz w:val="24"/>
                <w:szCs w:val="24"/>
              </w:rPr>
            </w:pPr>
            <w:r w:rsidRPr="005913A5">
              <w:rPr>
                <w:rFonts w:ascii="Times New Roman" w:hAnsi="Times New Roman"/>
                <w:b w:val="0"/>
                <w:sz w:val="24"/>
                <w:szCs w:val="24"/>
              </w:rPr>
              <w:t xml:space="preserve">Toksisk </w:t>
            </w:r>
            <w:proofErr w:type="spellStart"/>
            <w:r w:rsidRPr="005913A5">
              <w:rPr>
                <w:rFonts w:ascii="Times New Roman" w:hAnsi="Times New Roman"/>
                <w:b w:val="0"/>
                <w:sz w:val="24"/>
                <w:szCs w:val="24"/>
              </w:rPr>
              <w:t>epidermal</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nekrolyse</w:t>
            </w:r>
            <w:proofErr w:type="spellEnd"/>
            <w:r w:rsidRPr="005913A5">
              <w:rPr>
                <w:rFonts w:ascii="Times New Roman" w:hAnsi="Times New Roman"/>
                <w:b w:val="0"/>
                <w:sz w:val="24"/>
                <w:szCs w:val="24"/>
              </w:rPr>
              <w:t xml:space="preserve"> (TEN)*, Stevens-Johnson syndrom (SJS)*, lægemiddelinduceret udslæt med </w:t>
            </w:r>
            <w:proofErr w:type="spellStart"/>
            <w:r w:rsidRPr="005913A5">
              <w:rPr>
                <w:rFonts w:ascii="Times New Roman" w:hAnsi="Times New Roman"/>
                <w:b w:val="0"/>
                <w:sz w:val="24"/>
                <w:szCs w:val="24"/>
              </w:rPr>
              <w:t>eosinofili</w:t>
            </w:r>
            <w:proofErr w:type="spellEnd"/>
            <w:r w:rsidRPr="005913A5">
              <w:rPr>
                <w:rFonts w:ascii="Times New Roman" w:hAnsi="Times New Roman"/>
                <w:b w:val="0"/>
                <w:sz w:val="24"/>
                <w:szCs w:val="24"/>
              </w:rPr>
              <w:t xml:space="preserve"> og systemiske symptomer (DRESS)*, akut generaliseret </w:t>
            </w:r>
            <w:proofErr w:type="spellStart"/>
            <w:r w:rsidRPr="005913A5">
              <w:rPr>
                <w:rFonts w:ascii="Times New Roman" w:hAnsi="Times New Roman"/>
                <w:b w:val="0"/>
                <w:sz w:val="24"/>
                <w:szCs w:val="24"/>
              </w:rPr>
              <w:t>eksantematøs</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pustulose</w:t>
            </w:r>
            <w:proofErr w:type="spellEnd"/>
            <w:r w:rsidRPr="005913A5">
              <w:rPr>
                <w:rFonts w:ascii="Times New Roman" w:hAnsi="Times New Roman"/>
                <w:b w:val="0"/>
                <w:sz w:val="24"/>
                <w:szCs w:val="24"/>
              </w:rPr>
              <w:t xml:space="preserve"> (AGEP)*, </w:t>
            </w:r>
            <w:proofErr w:type="spellStart"/>
            <w:r w:rsidRPr="005913A5">
              <w:rPr>
                <w:rFonts w:ascii="Times New Roman" w:hAnsi="Times New Roman"/>
                <w:b w:val="0"/>
                <w:sz w:val="24"/>
                <w:szCs w:val="24"/>
              </w:rPr>
              <w:t>angioødem</w:t>
            </w:r>
            <w:proofErr w:type="spellEnd"/>
            <w:r w:rsidRPr="005913A5">
              <w:rPr>
                <w:rFonts w:ascii="Times New Roman" w:hAnsi="Times New Roman"/>
                <w:b w:val="0"/>
                <w:sz w:val="24"/>
                <w:szCs w:val="24"/>
              </w:rPr>
              <w:t>*,</w:t>
            </w:r>
            <w:r w:rsidRPr="005913A5">
              <w:rPr>
                <w:rFonts w:ascii="Times New Roman" w:hAnsi="Times New Roman"/>
                <w:sz w:val="24"/>
                <w:szCs w:val="24"/>
              </w:rPr>
              <w:t xml:space="preserve"> </w:t>
            </w:r>
            <w:proofErr w:type="spellStart"/>
            <w:r w:rsidRPr="005913A5">
              <w:rPr>
                <w:rFonts w:ascii="Times New Roman" w:hAnsi="Times New Roman"/>
                <w:b w:val="0"/>
                <w:sz w:val="24"/>
                <w:szCs w:val="24"/>
              </w:rPr>
              <w:t>eksfoliativ</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dermatitis</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vesikulo-bulløs</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dermatitis</w:t>
            </w:r>
            <w:proofErr w:type="spellEnd"/>
            <w:r w:rsidRPr="005913A5">
              <w:rPr>
                <w:rFonts w:ascii="Times New Roman" w:hAnsi="Times New Roman"/>
                <w:b w:val="0"/>
                <w:sz w:val="24"/>
                <w:szCs w:val="24"/>
              </w:rPr>
              <w:t>*,</w:t>
            </w:r>
            <w:r w:rsidRPr="005913A5">
              <w:rPr>
                <w:rFonts w:ascii="Times New Roman" w:hAnsi="Times New Roman"/>
                <w:sz w:val="24"/>
                <w:szCs w:val="24"/>
              </w:rPr>
              <w:t xml:space="preserve"> </w:t>
            </w:r>
            <w:proofErr w:type="spellStart"/>
            <w:r w:rsidRPr="005913A5">
              <w:rPr>
                <w:rFonts w:ascii="Times New Roman" w:hAnsi="Times New Roman"/>
                <w:b w:val="0"/>
                <w:sz w:val="24"/>
                <w:szCs w:val="24"/>
              </w:rPr>
              <w:t>morbilliform</w:t>
            </w:r>
            <w:proofErr w:type="spellEnd"/>
            <w:r w:rsidRPr="005913A5">
              <w:rPr>
                <w:rFonts w:ascii="Times New Roman" w:hAnsi="Times New Roman"/>
                <w:b w:val="0"/>
                <w:sz w:val="24"/>
                <w:szCs w:val="24"/>
              </w:rPr>
              <w:t xml:space="preserve"> udslæt*</w:t>
            </w:r>
          </w:p>
          <w:p w:rsidR="00C94E5F" w:rsidRPr="005913A5" w:rsidRDefault="00C94E5F" w:rsidP="001637FC">
            <w:pPr>
              <w:rPr>
                <w:sz w:val="24"/>
                <w:szCs w:val="24"/>
              </w:rPr>
            </w:pP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2122F9" w:rsidRDefault="00C94E5F" w:rsidP="001637FC">
            <w:pPr>
              <w:rPr>
                <w:b/>
                <w:sz w:val="24"/>
                <w:szCs w:val="24"/>
              </w:rPr>
            </w:pPr>
            <w:r w:rsidRPr="002122F9">
              <w:rPr>
                <w:b/>
                <w:sz w:val="24"/>
                <w:szCs w:val="24"/>
              </w:rPr>
              <w:t>Nyrer og urinveje</w:t>
            </w:r>
          </w:p>
          <w:p w:rsidR="00C94E5F" w:rsidRPr="00481D8E" w:rsidRDefault="00C94E5F" w:rsidP="001637FC">
            <w:pPr>
              <w:rPr>
                <w:bCs/>
                <w:sz w:val="24"/>
                <w:szCs w:val="24"/>
              </w:rPr>
            </w:pPr>
            <w:r w:rsidRPr="00481D8E">
              <w:rPr>
                <w:bCs/>
                <w:sz w:val="24"/>
                <w:szCs w:val="24"/>
              </w:rPr>
              <w:t>Ikke kendt (kan ikke estimeres ud fra forhåndenværende data)</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481D8E" w:rsidRDefault="00C94E5F" w:rsidP="001637FC">
            <w:pPr>
              <w:rPr>
                <w:bCs/>
                <w:sz w:val="24"/>
                <w:szCs w:val="24"/>
              </w:rPr>
            </w:pPr>
          </w:p>
          <w:p w:rsidR="00C94E5F" w:rsidRPr="007F475C" w:rsidRDefault="00C94E5F" w:rsidP="001637FC">
            <w:pPr>
              <w:pStyle w:val="Overskrift1"/>
              <w:rPr>
                <w:rFonts w:ascii="Times New Roman" w:hAnsi="Times New Roman"/>
                <w:b w:val="0"/>
                <w:sz w:val="24"/>
                <w:szCs w:val="24"/>
                <w:lang w:val="it-IT"/>
              </w:rPr>
            </w:pPr>
            <w:r w:rsidRPr="002D3CB7">
              <w:rPr>
                <w:rFonts w:ascii="Times New Roman" w:hAnsi="Times New Roman"/>
                <w:b w:val="0"/>
                <w:bCs/>
                <w:kern w:val="0"/>
                <w:sz w:val="24"/>
                <w:szCs w:val="24"/>
              </w:rPr>
              <w:t>Akut nyreskade</w:t>
            </w:r>
            <w:r w:rsidRPr="002D3CB7">
              <w:rPr>
                <w:rFonts w:ascii="Times New Roman" w:hAnsi="Times New Roman"/>
                <w:b w:val="0"/>
                <w:bCs/>
                <w:kern w:val="0"/>
                <w:sz w:val="24"/>
                <w:szCs w:val="24"/>
                <w:vertAlign w:val="superscript"/>
              </w:rPr>
              <w:t>#</w:t>
            </w: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lang w:eastAsia="da-DK"/>
              </w:rPr>
            </w:pPr>
            <w:r w:rsidRPr="007F475C">
              <w:rPr>
                <w:b/>
                <w:sz w:val="24"/>
                <w:szCs w:val="24"/>
              </w:rPr>
              <w:lastRenderedPageBreak/>
              <w:t>Undersøgelser</w:t>
            </w:r>
          </w:p>
          <w:p w:rsidR="00C94E5F" w:rsidRPr="007F475C" w:rsidRDefault="00C94E5F" w:rsidP="001637FC">
            <w:pPr>
              <w:suppressAutoHyphens/>
              <w:rPr>
                <w:sz w:val="24"/>
                <w:szCs w:val="24"/>
              </w:rPr>
            </w:pPr>
            <w:r w:rsidRPr="007F475C">
              <w:rPr>
                <w:sz w:val="24"/>
                <w:szCs w:val="24"/>
              </w:rPr>
              <w:t>Almindelig (&gt;1/100 og &lt;1/10)</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Abnorm leverfunktionstest</w:t>
            </w:r>
          </w:p>
        </w:tc>
      </w:tr>
    </w:tbl>
    <w:p w:rsidR="00C94E5F" w:rsidRPr="007F475C" w:rsidRDefault="00C94E5F" w:rsidP="00C94E5F">
      <w:pPr>
        <w:tabs>
          <w:tab w:val="left" w:pos="851"/>
        </w:tabs>
        <w:ind w:left="855"/>
        <w:rPr>
          <w:spacing w:val="-3"/>
          <w:sz w:val="24"/>
          <w:szCs w:val="24"/>
        </w:rPr>
      </w:pPr>
      <w:r w:rsidRPr="007F475C">
        <w:rPr>
          <w:spacing w:val="-3"/>
          <w:sz w:val="24"/>
          <w:szCs w:val="24"/>
        </w:rPr>
        <w:t>*</w:t>
      </w:r>
      <w:r w:rsidR="00732984">
        <w:rPr>
          <w:spacing w:val="-3"/>
          <w:sz w:val="24"/>
          <w:szCs w:val="24"/>
        </w:rPr>
        <w:t xml:space="preserve"> </w:t>
      </w:r>
      <w:r w:rsidRPr="007F475C">
        <w:rPr>
          <w:spacing w:val="-3"/>
          <w:sz w:val="24"/>
          <w:szCs w:val="24"/>
        </w:rPr>
        <w:t>Bivirkninger identificeret efter markedsføring.</w:t>
      </w:r>
    </w:p>
    <w:p w:rsidR="00C94E5F" w:rsidRDefault="00C94E5F" w:rsidP="00C94E5F">
      <w:pPr>
        <w:tabs>
          <w:tab w:val="left" w:pos="851"/>
        </w:tabs>
        <w:ind w:left="855"/>
        <w:rPr>
          <w:spacing w:val="-3"/>
          <w:sz w:val="24"/>
          <w:szCs w:val="24"/>
        </w:rPr>
      </w:pPr>
      <w:r w:rsidRPr="002122F9">
        <w:rPr>
          <w:spacing w:val="-3"/>
          <w:sz w:val="24"/>
          <w:szCs w:val="24"/>
          <w:vertAlign w:val="superscript"/>
        </w:rPr>
        <w:t>#</w:t>
      </w:r>
      <w:r w:rsidR="00732984">
        <w:rPr>
          <w:spacing w:val="-3"/>
          <w:sz w:val="24"/>
          <w:szCs w:val="24"/>
          <w:vertAlign w:val="superscript"/>
        </w:rPr>
        <w:t xml:space="preserve"> </w:t>
      </w:r>
      <w:r w:rsidRPr="002122F9">
        <w:rPr>
          <w:spacing w:val="-3"/>
          <w:sz w:val="24"/>
          <w:szCs w:val="24"/>
        </w:rPr>
        <w:t>Se pkt. 4.4</w:t>
      </w:r>
    </w:p>
    <w:p w:rsidR="00732984" w:rsidRPr="002122F9" w:rsidRDefault="00732984" w:rsidP="00C94E5F">
      <w:pPr>
        <w:tabs>
          <w:tab w:val="left" w:pos="851"/>
        </w:tabs>
        <w:ind w:left="855"/>
        <w:rPr>
          <w:spacing w:val="-3"/>
          <w:sz w:val="24"/>
          <w:szCs w:val="24"/>
        </w:rPr>
      </w:pPr>
      <w:r>
        <w:rPr>
          <w:iCs/>
          <w:sz w:val="22"/>
          <w:szCs w:val="22"/>
          <w:vertAlign w:val="superscript"/>
        </w:rPr>
        <w:t>≠</w:t>
      </w:r>
      <w:r>
        <w:rPr>
          <w:spacing w:val="-3"/>
          <w:sz w:val="24"/>
          <w:szCs w:val="24"/>
        </w:rPr>
        <w:t xml:space="preserve"> Mulige tilfælde af </w:t>
      </w:r>
      <w:proofErr w:type="spellStart"/>
      <w:r>
        <w:rPr>
          <w:spacing w:val="-3"/>
          <w:sz w:val="24"/>
          <w:szCs w:val="24"/>
        </w:rPr>
        <w:t>øsofagitis</w:t>
      </w:r>
      <w:proofErr w:type="spellEnd"/>
      <w:r>
        <w:rPr>
          <w:iCs/>
          <w:sz w:val="24"/>
          <w:szCs w:val="24"/>
          <w:lang w:eastAsia="da-DK"/>
        </w:rPr>
        <w:t xml:space="preserve"> og sår i spiserøret, især hvis indtagelse sker liggende og/eller med en mindre mængde vand.</w:t>
      </w:r>
    </w:p>
    <w:p w:rsidR="007F475C" w:rsidRPr="007F475C" w:rsidRDefault="007F475C" w:rsidP="007F475C">
      <w:pPr>
        <w:tabs>
          <w:tab w:val="left" w:pos="851"/>
        </w:tabs>
        <w:ind w:left="855"/>
        <w:rPr>
          <w:spacing w:val="-3"/>
          <w:sz w:val="24"/>
          <w:szCs w:val="24"/>
        </w:rPr>
      </w:pPr>
    </w:p>
    <w:p w:rsidR="007F475C" w:rsidRPr="007F475C" w:rsidRDefault="007F475C" w:rsidP="007F475C">
      <w:pPr>
        <w:tabs>
          <w:tab w:val="left" w:pos="851"/>
        </w:tabs>
        <w:ind w:left="855"/>
        <w:rPr>
          <w:spacing w:val="-3"/>
          <w:sz w:val="24"/>
          <w:szCs w:val="24"/>
        </w:rPr>
      </w:pPr>
      <w:r w:rsidRPr="007F475C">
        <w:rPr>
          <w:spacing w:val="-3"/>
          <w:sz w:val="24"/>
          <w:szCs w:val="24"/>
          <w:u w:val="single"/>
        </w:rPr>
        <w:t>Indberetning af formodede bivirkninger</w:t>
      </w:r>
    </w:p>
    <w:p w:rsidR="007F475C" w:rsidRPr="007F475C" w:rsidRDefault="007F475C" w:rsidP="007F475C">
      <w:pPr>
        <w:tabs>
          <w:tab w:val="left" w:pos="0"/>
          <w:tab w:val="left" w:pos="851"/>
        </w:tabs>
        <w:ind w:left="850" w:hanging="850"/>
        <w:jc w:val="both"/>
        <w:rPr>
          <w:bCs/>
          <w:spacing w:val="-3"/>
          <w:sz w:val="24"/>
          <w:szCs w:val="24"/>
        </w:rPr>
      </w:pPr>
      <w:r w:rsidRPr="007F475C">
        <w:rPr>
          <w:spacing w:val="-3"/>
          <w:sz w:val="24"/>
          <w:szCs w:val="24"/>
        </w:rPr>
        <w:tab/>
        <w:t>Når lægemidlet er godkendt, er indberetning af formodede bivirkninger vigtig. Det muliggør løbende overvågning af benefit/</w:t>
      </w:r>
      <w:proofErr w:type="spellStart"/>
      <w:r w:rsidRPr="007F475C">
        <w:rPr>
          <w:spacing w:val="-3"/>
          <w:sz w:val="24"/>
          <w:szCs w:val="24"/>
        </w:rPr>
        <w:t>risk</w:t>
      </w:r>
      <w:proofErr w:type="spellEnd"/>
      <w:r w:rsidRPr="007F475C">
        <w:rPr>
          <w:spacing w:val="-3"/>
          <w:sz w:val="24"/>
          <w:szCs w:val="24"/>
        </w:rPr>
        <w:t xml:space="preserve">-forholdet for lægemidlet. </w:t>
      </w:r>
      <w:r w:rsidR="00C94E5F">
        <w:rPr>
          <w:spacing w:val="-3"/>
          <w:sz w:val="24"/>
          <w:szCs w:val="24"/>
        </w:rPr>
        <w:t>Sundhedspersoner</w:t>
      </w:r>
      <w:r w:rsidRPr="007F475C">
        <w:rPr>
          <w:spacing w:val="-3"/>
          <w:sz w:val="24"/>
          <w:szCs w:val="24"/>
        </w:rPr>
        <w:t xml:space="preserve"> anmodes om at indberette alle formodede bivirkninger </w:t>
      </w:r>
      <w:r w:rsidRPr="007F475C">
        <w:rPr>
          <w:bCs/>
          <w:spacing w:val="-3"/>
          <w:sz w:val="24"/>
          <w:szCs w:val="24"/>
        </w:rPr>
        <w:t xml:space="preserve">via: </w:t>
      </w:r>
    </w:p>
    <w:p w:rsidR="007F475C" w:rsidRPr="007F475C" w:rsidRDefault="007F475C" w:rsidP="007F475C">
      <w:pPr>
        <w:tabs>
          <w:tab w:val="left" w:pos="0"/>
          <w:tab w:val="left" w:pos="851"/>
        </w:tabs>
        <w:ind w:left="850" w:hanging="850"/>
        <w:jc w:val="both"/>
        <w:rPr>
          <w:bCs/>
          <w:spacing w:val="-3"/>
          <w:sz w:val="24"/>
          <w:szCs w:val="24"/>
        </w:rPr>
      </w:pPr>
    </w:p>
    <w:p w:rsidR="007F475C" w:rsidRPr="007F475C" w:rsidRDefault="007F475C" w:rsidP="00C94E5F">
      <w:pPr>
        <w:keepNext/>
        <w:tabs>
          <w:tab w:val="left" w:pos="0"/>
          <w:tab w:val="left" w:pos="851"/>
        </w:tabs>
        <w:ind w:left="850" w:hanging="850"/>
        <w:jc w:val="both"/>
        <w:rPr>
          <w:bCs/>
          <w:spacing w:val="-3"/>
          <w:sz w:val="24"/>
          <w:szCs w:val="24"/>
        </w:rPr>
      </w:pPr>
      <w:r w:rsidRPr="007F475C">
        <w:rPr>
          <w:bCs/>
          <w:spacing w:val="-3"/>
          <w:sz w:val="24"/>
          <w:szCs w:val="24"/>
        </w:rPr>
        <w:tab/>
        <w:t>Lægemiddelstyrelsen</w:t>
      </w:r>
    </w:p>
    <w:p w:rsidR="007F475C" w:rsidRPr="007F475C" w:rsidRDefault="007F475C" w:rsidP="007F475C">
      <w:pPr>
        <w:tabs>
          <w:tab w:val="left" w:pos="0"/>
          <w:tab w:val="left" w:pos="851"/>
        </w:tabs>
        <w:ind w:left="850" w:hanging="850"/>
        <w:jc w:val="both"/>
        <w:rPr>
          <w:bCs/>
          <w:spacing w:val="-3"/>
          <w:sz w:val="24"/>
          <w:szCs w:val="24"/>
        </w:rPr>
      </w:pPr>
      <w:r w:rsidRPr="007F475C">
        <w:rPr>
          <w:bCs/>
          <w:spacing w:val="-3"/>
          <w:sz w:val="24"/>
          <w:szCs w:val="24"/>
        </w:rPr>
        <w:tab/>
        <w:t>Axel Heides Gade 1</w:t>
      </w:r>
    </w:p>
    <w:p w:rsidR="007F475C" w:rsidRPr="007F475C" w:rsidRDefault="007F475C" w:rsidP="007F475C">
      <w:pPr>
        <w:tabs>
          <w:tab w:val="left" w:pos="0"/>
          <w:tab w:val="left" w:pos="851"/>
        </w:tabs>
        <w:ind w:left="850" w:hanging="850"/>
        <w:jc w:val="both"/>
        <w:rPr>
          <w:bCs/>
          <w:spacing w:val="-3"/>
          <w:sz w:val="24"/>
          <w:szCs w:val="24"/>
        </w:rPr>
      </w:pPr>
      <w:r w:rsidRPr="007F475C">
        <w:rPr>
          <w:bCs/>
          <w:spacing w:val="-3"/>
          <w:sz w:val="24"/>
          <w:szCs w:val="24"/>
        </w:rPr>
        <w:tab/>
        <w:t>DK-2300 København S</w:t>
      </w:r>
    </w:p>
    <w:p w:rsidR="006268B0" w:rsidRPr="00A65EC1" w:rsidRDefault="007F475C" w:rsidP="007F475C">
      <w:pPr>
        <w:tabs>
          <w:tab w:val="left" w:pos="0"/>
          <w:tab w:val="left" w:pos="851"/>
        </w:tabs>
        <w:ind w:left="850" w:hanging="850"/>
        <w:jc w:val="both"/>
        <w:rPr>
          <w:bCs/>
          <w:spacing w:val="-3"/>
          <w:sz w:val="24"/>
          <w:szCs w:val="24"/>
        </w:rPr>
      </w:pPr>
      <w:r w:rsidRPr="007F475C">
        <w:rPr>
          <w:bCs/>
          <w:spacing w:val="-3"/>
          <w:sz w:val="24"/>
          <w:szCs w:val="24"/>
        </w:rPr>
        <w:tab/>
      </w:r>
      <w:r w:rsidRPr="00A65EC1">
        <w:rPr>
          <w:bCs/>
          <w:spacing w:val="-3"/>
          <w:sz w:val="24"/>
          <w:szCs w:val="24"/>
        </w:rPr>
        <w:t xml:space="preserve">Websted: </w:t>
      </w:r>
      <w:hyperlink r:id="rId8" w:history="1">
        <w:r w:rsidRPr="00A65EC1">
          <w:rPr>
            <w:rStyle w:val="Hyperlink"/>
            <w:bCs/>
            <w:spacing w:val="-3"/>
            <w:sz w:val="24"/>
            <w:szCs w:val="24"/>
          </w:rPr>
          <w:t>www.meldenbivirkning.dk</w:t>
        </w:r>
      </w:hyperlink>
    </w:p>
    <w:p w:rsidR="006268B0" w:rsidRPr="00A65EC1" w:rsidRDefault="006268B0" w:rsidP="006268B0">
      <w:pPr>
        <w:tabs>
          <w:tab w:val="left" w:pos="851"/>
        </w:tabs>
        <w:ind w:left="855"/>
        <w:rPr>
          <w:sz w:val="24"/>
          <w:szCs w:val="24"/>
        </w:rPr>
      </w:pPr>
      <w:r w:rsidRPr="00A65EC1">
        <w:rPr>
          <w:spacing w:val="-3"/>
          <w:sz w:val="24"/>
          <w:szCs w:val="24"/>
        </w:rPr>
        <w:tab/>
      </w:r>
    </w:p>
    <w:p w:rsidR="006268B0" w:rsidRPr="007F475C" w:rsidRDefault="006268B0" w:rsidP="006268B0">
      <w:pPr>
        <w:ind w:left="851" w:hanging="851"/>
        <w:rPr>
          <w:b/>
          <w:bCs/>
          <w:sz w:val="24"/>
          <w:szCs w:val="24"/>
        </w:rPr>
      </w:pPr>
      <w:r w:rsidRPr="007F475C">
        <w:rPr>
          <w:b/>
          <w:bCs/>
          <w:sz w:val="24"/>
          <w:szCs w:val="24"/>
        </w:rPr>
        <w:t xml:space="preserve">4.9     </w:t>
      </w:r>
      <w:r w:rsidRPr="007F475C">
        <w:rPr>
          <w:b/>
          <w:bCs/>
          <w:sz w:val="24"/>
          <w:szCs w:val="24"/>
        </w:rPr>
        <w:tab/>
        <w:t>Overdosering</w:t>
      </w:r>
    </w:p>
    <w:p w:rsidR="006268B0" w:rsidRPr="007F475C" w:rsidRDefault="006268B0" w:rsidP="006268B0">
      <w:pPr>
        <w:ind w:left="851"/>
        <w:rPr>
          <w:sz w:val="24"/>
          <w:szCs w:val="24"/>
        </w:rPr>
      </w:pPr>
      <w:r w:rsidRPr="007F475C">
        <w:rPr>
          <w:sz w:val="24"/>
          <w:szCs w:val="24"/>
        </w:rPr>
        <w:t>Symptomer på overdosering er kvalme, opkastning og diarré.</w:t>
      </w:r>
    </w:p>
    <w:p w:rsidR="006268B0" w:rsidRPr="007F475C" w:rsidRDefault="006268B0" w:rsidP="006268B0">
      <w:pPr>
        <w:ind w:left="851"/>
        <w:rPr>
          <w:sz w:val="24"/>
          <w:szCs w:val="24"/>
          <w:u w:val="single"/>
        </w:rPr>
      </w:pPr>
    </w:p>
    <w:p w:rsidR="006268B0" w:rsidRPr="007F475C" w:rsidRDefault="006268B0" w:rsidP="006268B0">
      <w:pPr>
        <w:ind w:left="851"/>
        <w:rPr>
          <w:sz w:val="24"/>
          <w:szCs w:val="24"/>
        </w:rPr>
      </w:pPr>
      <w:r w:rsidRPr="007F475C">
        <w:rPr>
          <w:sz w:val="24"/>
          <w:szCs w:val="24"/>
        </w:rPr>
        <w:t>Ventrikeltømning kan overvejes.</w:t>
      </w:r>
    </w:p>
    <w:p w:rsidR="006268B0" w:rsidRPr="007F475C" w:rsidRDefault="006268B0" w:rsidP="006268B0">
      <w:pPr>
        <w:ind w:left="851"/>
        <w:rPr>
          <w:sz w:val="24"/>
          <w:szCs w:val="24"/>
        </w:rPr>
      </w:pPr>
      <w:r w:rsidRPr="007F475C">
        <w:rPr>
          <w:sz w:val="24"/>
          <w:szCs w:val="24"/>
        </w:rPr>
        <w:t xml:space="preserve">Hæmodialyse og </w:t>
      </w:r>
      <w:proofErr w:type="spellStart"/>
      <w:r w:rsidRPr="007F475C">
        <w:rPr>
          <w:sz w:val="24"/>
          <w:szCs w:val="24"/>
        </w:rPr>
        <w:t>peritoneal</w:t>
      </w:r>
      <w:proofErr w:type="spellEnd"/>
      <w:r w:rsidRPr="007F475C">
        <w:rPr>
          <w:sz w:val="24"/>
          <w:szCs w:val="24"/>
        </w:rPr>
        <w:t xml:space="preserve"> dialyse er ikke effektive behandlingsmetoder til at fjerne </w:t>
      </w:r>
      <w:proofErr w:type="spellStart"/>
      <w:r w:rsidRPr="007F475C">
        <w:rPr>
          <w:sz w:val="24"/>
          <w:szCs w:val="24"/>
        </w:rPr>
        <w:t>clindamycin</w:t>
      </w:r>
      <w:proofErr w:type="spellEnd"/>
      <w:r w:rsidRPr="007F475C">
        <w:rPr>
          <w:sz w:val="24"/>
          <w:szCs w:val="24"/>
        </w:rPr>
        <w:t xml:space="preserve"> fra serum.</w:t>
      </w:r>
    </w:p>
    <w:p w:rsidR="006268B0" w:rsidRPr="007F475C" w:rsidRDefault="006268B0" w:rsidP="006268B0">
      <w:pPr>
        <w:ind w:left="851"/>
        <w:rPr>
          <w:b/>
          <w:bCs/>
          <w:sz w:val="24"/>
          <w:szCs w:val="24"/>
        </w:rPr>
      </w:pPr>
    </w:p>
    <w:p w:rsidR="006268B0" w:rsidRPr="007F475C" w:rsidRDefault="006268B0" w:rsidP="006268B0">
      <w:pPr>
        <w:ind w:left="851" w:hanging="851"/>
        <w:rPr>
          <w:b/>
          <w:bCs/>
          <w:sz w:val="24"/>
          <w:szCs w:val="24"/>
        </w:rPr>
      </w:pPr>
      <w:r w:rsidRPr="007F475C">
        <w:rPr>
          <w:b/>
          <w:bCs/>
          <w:sz w:val="24"/>
          <w:szCs w:val="24"/>
        </w:rPr>
        <w:t>4.10</w:t>
      </w:r>
      <w:r w:rsidRPr="007F475C">
        <w:rPr>
          <w:b/>
          <w:bCs/>
          <w:sz w:val="24"/>
          <w:szCs w:val="24"/>
        </w:rPr>
        <w:tab/>
        <w:t>Udlevering</w:t>
      </w:r>
    </w:p>
    <w:p w:rsidR="006268B0" w:rsidRPr="007F475C" w:rsidRDefault="006268B0" w:rsidP="006268B0">
      <w:pPr>
        <w:tabs>
          <w:tab w:val="left" w:pos="851"/>
        </w:tabs>
        <w:ind w:left="851" w:hanging="851"/>
        <w:rPr>
          <w:sz w:val="24"/>
          <w:szCs w:val="24"/>
        </w:rPr>
      </w:pPr>
      <w:r w:rsidRPr="007F475C">
        <w:rPr>
          <w:sz w:val="24"/>
          <w:szCs w:val="24"/>
        </w:rPr>
        <w:tab/>
        <w:t>B</w:t>
      </w:r>
    </w:p>
    <w:p w:rsidR="006268B0" w:rsidRPr="007F475C" w:rsidRDefault="006268B0" w:rsidP="006268B0">
      <w:pPr>
        <w:tabs>
          <w:tab w:val="left" w:pos="851"/>
        </w:tabs>
        <w:ind w:left="851" w:hanging="851"/>
        <w:rPr>
          <w:sz w:val="24"/>
          <w:szCs w:val="24"/>
        </w:rPr>
      </w:pPr>
    </w:p>
    <w:p w:rsidR="006268B0" w:rsidRPr="007F475C" w:rsidRDefault="006268B0" w:rsidP="006268B0">
      <w:pPr>
        <w:tabs>
          <w:tab w:val="left" w:pos="851"/>
        </w:tabs>
        <w:rPr>
          <w:sz w:val="24"/>
          <w:szCs w:val="24"/>
        </w:rPr>
      </w:pPr>
    </w:p>
    <w:p w:rsidR="006268B0" w:rsidRPr="007F475C" w:rsidRDefault="006268B0" w:rsidP="006268B0">
      <w:pPr>
        <w:ind w:left="851" w:hanging="851"/>
        <w:rPr>
          <w:b/>
          <w:sz w:val="24"/>
          <w:szCs w:val="24"/>
        </w:rPr>
      </w:pPr>
      <w:r w:rsidRPr="007F475C">
        <w:rPr>
          <w:b/>
          <w:sz w:val="24"/>
          <w:szCs w:val="24"/>
        </w:rPr>
        <w:t xml:space="preserve">5.         </w:t>
      </w:r>
      <w:r w:rsidRPr="007F475C">
        <w:rPr>
          <w:b/>
          <w:sz w:val="24"/>
          <w:szCs w:val="24"/>
        </w:rPr>
        <w:tab/>
        <w:t>FARMAKOLOGISKE EGENSKABER</w:t>
      </w:r>
    </w:p>
    <w:p w:rsidR="006268B0" w:rsidRPr="007F475C" w:rsidRDefault="006268B0" w:rsidP="006268B0">
      <w:pPr>
        <w:tabs>
          <w:tab w:val="left" w:pos="851"/>
        </w:tabs>
        <w:rPr>
          <w:sz w:val="24"/>
          <w:szCs w:val="24"/>
        </w:rPr>
      </w:pPr>
    </w:p>
    <w:p w:rsidR="006268B0" w:rsidRPr="007F475C" w:rsidRDefault="006268B0" w:rsidP="006268B0">
      <w:pPr>
        <w:tabs>
          <w:tab w:val="left" w:pos="851"/>
        </w:tabs>
        <w:rPr>
          <w:b/>
          <w:bCs/>
          <w:sz w:val="24"/>
          <w:szCs w:val="24"/>
        </w:rPr>
      </w:pPr>
      <w:r w:rsidRPr="007F475C">
        <w:rPr>
          <w:b/>
          <w:bCs/>
          <w:sz w:val="24"/>
          <w:szCs w:val="24"/>
        </w:rPr>
        <w:t>5.1</w:t>
      </w:r>
      <w:r w:rsidRPr="007F475C">
        <w:rPr>
          <w:sz w:val="24"/>
          <w:szCs w:val="24"/>
        </w:rPr>
        <w:tab/>
      </w:r>
      <w:proofErr w:type="spellStart"/>
      <w:r w:rsidRPr="007F475C">
        <w:rPr>
          <w:b/>
          <w:bCs/>
          <w:sz w:val="24"/>
          <w:szCs w:val="24"/>
        </w:rPr>
        <w:t>Farmakodynamiske</w:t>
      </w:r>
      <w:proofErr w:type="spellEnd"/>
      <w:r w:rsidRPr="007F475C">
        <w:rPr>
          <w:b/>
          <w:bCs/>
          <w:sz w:val="24"/>
          <w:szCs w:val="24"/>
        </w:rPr>
        <w:t xml:space="preserve"> egenskaber</w:t>
      </w:r>
    </w:p>
    <w:p w:rsidR="00BD0D47" w:rsidRPr="007F475C" w:rsidRDefault="00BD0D47" w:rsidP="00BD0D47">
      <w:pPr>
        <w:tabs>
          <w:tab w:val="left" w:pos="851"/>
        </w:tabs>
        <w:ind w:left="855"/>
        <w:rPr>
          <w:sz w:val="24"/>
          <w:szCs w:val="24"/>
        </w:rPr>
      </w:pPr>
      <w:proofErr w:type="spellStart"/>
      <w:r w:rsidRPr="00BD0D47">
        <w:rPr>
          <w:spacing w:val="-1"/>
          <w:sz w:val="24"/>
          <w:szCs w:val="24"/>
          <w:lang w:eastAsia="en-GB"/>
        </w:rPr>
        <w:t>Farmakoterapeutisk</w:t>
      </w:r>
      <w:proofErr w:type="spellEnd"/>
      <w:r w:rsidRPr="00BD0D47">
        <w:rPr>
          <w:spacing w:val="-1"/>
          <w:sz w:val="24"/>
          <w:szCs w:val="24"/>
          <w:lang w:eastAsia="en-GB"/>
        </w:rPr>
        <w:t xml:space="preserve"> klassifikation: </w:t>
      </w:r>
      <w:r w:rsidRPr="007F475C">
        <w:rPr>
          <w:sz w:val="24"/>
          <w:szCs w:val="24"/>
        </w:rPr>
        <w:t>Antibakterielle midler til systemisk brug, lincosamider.</w:t>
      </w:r>
    </w:p>
    <w:p w:rsidR="00BD0D47" w:rsidRPr="007F475C" w:rsidRDefault="00BD0D47" w:rsidP="00BD0D47">
      <w:pPr>
        <w:tabs>
          <w:tab w:val="left" w:pos="851"/>
        </w:tabs>
        <w:rPr>
          <w:sz w:val="24"/>
          <w:szCs w:val="24"/>
        </w:rPr>
      </w:pPr>
      <w:r>
        <w:rPr>
          <w:sz w:val="24"/>
          <w:szCs w:val="24"/>
        </w:rPr>
        <w:tab/>
      </w:r>
      <w:r w:rsidRPr="007F475C">
        <w:rPr>
          <w:sz w:val="24"/>
          <w:szCs w:val="24"/>
        </w:rPr>
        <w:t>ATC-kode: J 01 FF 01</w:t>
      </w:r>
      <w:r>
        <w:rPr>
          <w:sz w:val="24"/>
          <w:szCs w:val="24"/>
        </w:rPr>
        <w:t>.</w:t>
      </w:r>
    </w:p>
    <w:p w:rsidR="00BD0D47" w:rsidRPr="00BD0D47" w:rsidRDefault="00BD0D47" w:rsidP="00BD0D47">
      <w:pPr>
        <w:keepNext/>
        <w:rPr>
          <w:spacing w:val="-1"/>
          <w:sz w:val="24"/>
          <w:szCs w:val="24"/>
          <w:lang w:eastAsia="en-GB"/>
        </w:rPr>
      </w:pPr>
    </w:p>
    <w:p w:rsidR="006268B0" w:rsidRPr="007F475C" w:rsidRDefault="006268B0" w:rsidP="006268B0">
      <w:pPr>
        <w:keepNext/>
        <w:ind w:firstLine="851"/>
        <w:rPr>
          <w:sz w:val="24"/>
          <w:szCs w:val="24"/>
        </w:rPr>
      </w:pPr>
      <w:r w:rsidRPr="007F475C">
        <w:rPr>
          <w:spacing w:val="-1"/>
          <w:sz w:val="24"/>
          <w:szCs w:val="24"/>
          <w:u w:val="single"/>
          <w:lang w:eastAsia="en-GB"/>
        </w:rPr>
        <w:t>Virkningsmekanisme</w:t>
      </w:r>
    </w:p>
    <w:p w:rsidR="006268B0" w:rsidRPr="007F475C" w:rsidRDefault="006268B0" w:rsidP="006268B0">
      <w:pPr>
        <w:keepNext/>
        <w:spacing w:after="240"/>
        <w:ind w:left="851"/>
        <w:rPr>
          <w:b/>
          <w:spacing w:val="-1"/>
          <w:sz w:val="24"/>
          <w:szCs w:val="24"/>
          <w:lang w:eastAsia="en-GB"/>
        </w:rPr>
      </w:pPr>
      <w:proofErr w:type="spellStart"/>
      <w:r w:rsidRPr="007F475C">
        <w:rPr>
          <w:spacing w:val="-1"/>
          <w:sz w:val="24"/>
          <w:szCs w:val="24"/>
          <w:lang w:eastAsia="en-GB"/>
        </w:rPr>
        <w:t>Clindamycin</w:t>
      </w:r>
      <w:proofErr w:type="spellEnd"/>
      <w:r w:rsidRPr="007F475C">
        <w:rPr>
          <w:spacing w:val="-1"/>
          <w:sz w:val="24"/>
          <w:szCs w:val="24"/>
          <w:lang w:eastAsia="en-GB"/>
        </w:rPr>
        <w:t xml:space="preserve"> er et lincosamid-antibiotikum, der hæmmer den bakterielle proteinsyntese. Det binder sig til </w:t>
      </w:r>
      <w:r w:rsidRPr="007F475C">
        <w:rPr>
          <w:spacing w:val="-3"/>
          <w:sz w:val="24"/>
          <w:szCs w:val="24"/>
        </w:rPr>
        <w:t>50S sub-enheden af det bakterielle ribosom</w:t>
      </w:r>
      <w:r w:rsidRPr="007F475C">
        <w:rPr>
          <w:spacing w:val="-1"/>
          <w:sz w:val="24"/>
          <w:szCs w:val="24"/>
          <w:lang w:eastAsia="en-GB"/>
        </w:rPr>
        <w:t xml:space="preserve">, og påvirker både syntese og translationsprocessen i ribosomer. Selvom </w:t>
      </w:r>
      <w:proofErr w:type="spellStart"/>
      <w:r w:rsidRPr="007F475C">
        <w:rPr>
          <w:spacing w:val="-1"/>
          <w:sz w:val="24"/>
          <w:szCs w:val="24"/>
          <w:lang w:eastAsia="en-GB"/>
        </w:rPr>
        <w:t>clindamycinfosfat</w:t>
      </w:r>
      <w:proofErr w:type="spellEnd"/>
      <w:r w:rsidRPr="007F475C">
        <w:rPr>
          <w:spacing w:val="-1"/>
          <w:sz w:val="24"/>
          <w:szCs w:val="24"/>
          <w:lang w:eastAsia="en-GB"/>
        </w:rPr>
        <w:t xml:space="preserve"> er inaktivt </w:t>
      </w:r>
      <w:r w:rsidRPr="007F475C">
        <w:rPr>
          <w:i/>
          <w:iCs/>
          <w:spacing w:val="-1"/>
          <w:sz w:val="24"/>
          <w:szCs w:val="24"/>
          <w:lang w:eastAsia="en-GB"/>
        </w:rPr>
        <w:t xml:space="preserve">in </w:t>
      </w:r>
      <w:proofErr w:type="spellStart"/>
      <w:r w:rsidRPr="007F475C">
        <w:rPr>
          <w:i/>
          <w:iCs/>
          <w:spacing w:val="-1"/>
          <w:sz w:val="24"/>
          <w:szCs w:val="24"/>
          <w:lang w:eastAsia="en-GB"/>
        </w:rPr>
        <w:t>vitro</w:t>
      </w:r>
      <w:proofErr w:type="spellEnd"/>
      <w:r w:rsidRPr="007F475C">
        <w:rPr>
          <w:spacing w:val="-1"/>
          <w:sz w:val="24"/>
          <w:szCs w:val="24"/>
          <w:lang w:eastAsia="en-GB"/>
        </w:rPr>
        <w:t xml:space="preserve">, omdannes stoffet ved hurtig </w:t>
      </w:r>
      <w:r w:rsidRPr="007F475C">
        <w:rPr>
          <w:i/>
          <w:iCs/>
          <w:spacing w:val="-1"/>
          <w:sz w:val="24"/>
          <w:szCs w:val="24"/>
          <w:lang w:eastAsia="en-GB"/>
        </w:rPr>
        <w:t xml:space="preserve">in </w:t>
      </w:r>
      <w:proofErr w:type="spellStart"/>
      <w:r w:rsidRPr="007F475C">
        <w:rPr>
          <w:i/>
          <w:iCs/>
          <w:spacing w:val="-1"/>
          <w:sz w:val="24"/>
          <w:szCs w:val="24"/>
          <w:lang w:eastAsia="en-GB"/>
        </w:rPr>
        <w:t>vivo</w:t>
      </w:r>
      <w:proofErr w:type="spellEnd"/>
      <w:r w:rsidRPr="007F475C">
        <w:rPr>
          <w:i/>
          <w:iCs/>
          <w:spacing w:val="-1"/>
          <w:sz w:val="24"/>
          <w:szCs w:val="24"/>
          <w:lang w:eastAsia="en-GB"/>
        </w:rPr>
        <w:t xml:space="preserve"> </w:t>
      </w:r>
      <w:r w:rsidRPr="007F475C">
        <w:rPr>
          <w:spacing w:val="-1"/>
          <w:sz w:val="24"/>
          <w:szCs w:val="24"/>
          <w:lang w:eastAsia="en-GB"/>
        </w:rPr>
        <w:t xml:space="preserve">hydrolyse til det antibakterielt aktive </w:t>
      </w:r>
      <w:proofErr w:type="spellStart"/>
      <w:r w:rsidRPr="007F475C">
        <w:rPr>
          <w:spacing w:val="-1"/>
          <w:sz w:val="24"/>
          <w:szCs w:val="24"/>
          <w:lang w:eastAsia="en-GB"/>
        </w:rPr>
        <w:t>clindamycin</w:t>
      </w:r>
      <w:proofErr w:type="spellEnd"/>
      <w:r w:rsidRPr="007F475C">
        <w:rPr>
          <w:spacing w:val="-1"/>
          <w:sz w:val="24"/>
          <w:szCs w:val="24"/>
          <w:lang w:eastAsia="en-GB"/>
        </w:rPr>
        <w:t xml:space="preserve">. </w:t>
      </w:r>
      <w:proofErr w:type="spellStart"/>
      <w:r w:rsidRPr="007F475C">
        <w:rPr>
          <w:spacing w:val="-1"/>
          <w:sz w:val="24"/>
          <w:szCs w:val="24"/>
          <w:lang w:eastAsia="en-GB"/>
        </w:rPr>
        <w:t>Clindamycin</w:t>
      </w:r>
      <w:proofErr w:type="spellEnd"/>
      <w:r w:rsidRPr="007F475C">
        <w:rPr>
          <w:spacing w:val="-1"/>
          <w:sz w:val="24"/>
          <w:szCs w:val="24"/>
          <w:lang w:eastAsia="en-GB"/>
        </w:rPr>
        <w:t xml:space="preserve"> udviser </w:t>
      </w:r>
      <w:proofErr w:type="spellStart"/>
      <w:r w:rsidRPr="007F475C">
        <w:rPr>
          <w:spacing w:val="-1"/>
          <w:sz w:val="24"/>
          <w:szCs w:val="24"/>
          <w:lang w:eastAsia="en-GB"/>
        </w:rPr>
        <w:t>bakteriostatisk</w:t>
      </w:r>
      <w:proofErr w:type="spellEnd"/>
      <w:r w:rsidRPr="007F475C">
        <w:rPr>
          <w:spacing w:val="-1"/>
          <w:sz w:val="24"/>
          <w:szCs w:val="24"/>
          <w:lang w:eastAsia="en-GB"/>
        </w:rPr>
        <w:t xml:space="preserve"> aktivitet </w:t>
      </w:r>
      <w:r w:rsidRPr="007F475C">
        <w:rPr>
          <w:i/>
          <w:iCs/>
          <w:spacing w:val="-1"/>
          <w:sz w:val="24"/>
          <w:szCs w:val="24"/>
          <w:lang w:eastAsia="en-GB"/>
        </w:rPr>
        <w:t xml:space="preserve">in </w:t>
      </w:r>
      <w:proofErr w:type="spellStart"/>
      <w:r w:rsidRPr="007F475C">
        <w:rPr>
          <w:i/>
          <w:iCs/>
          <w:spacing w:val="-1"/>
          <w:sz w:val="24"/>
          <w:szCs w:val="24"/>
          <w:lang w:eastAsia="en-GB"/>
        </w:rPr>
        <w:t>vitro</w:t>
      </w:r>
      <w:proofErr w:type="spellEnd"/>
      <w:r w:rsidRPr="007F475C">
        <w:rPr>
          <w:spacing w:val="-1"/>
          <w:sz w:val="24"/>
          <w:szCs w:val="24"/>
          <w:lang w:eastAsia="en-GB"/>
        </w:rPr>
        <w:t xml:space="preserve"> ved normale doser.</w:t>
      </w:r>
    </w:p>
    <w:p w:rsidR="00732984" w:rsidRDefault="00732984" w:rsidP="00732984">
      <w:pPr>
        <w:ind w:left="851"/>
        <w:rPr>
          <w:spacing w:val="-1"/>
          <w:sz w:val="24"/>
          <w:szCs w:val="24"/>
          <w:u w:val="single"/>
          <w:lang w:eastAsia="en-GB"/>
        </w:rPr>
      </w:pPr>
      <w:r>
        <w:rPr>
          <w:spacing w:val="-1"/>
          <w:sz w:val="24"/>
          <w:szCs w:val="24"/>
          <w:u w:val="single"/>
          <w:lang w:eastAsia="en-GB"/>
        </w:rPr>
        <w:t xml:space="preserve">PK/PD-forhold </w:t>
      </w:r>
    </w:p>
    <w:p w:rsidR="006268B0" w:rsidRPr="007F475C" w:rsidRDefault="006268B0" w:rsidP="006268B0">
      <w:pPr>
        <w:spacing w:after="240"/>
        <w:ind w:left="851"/>
        <w:rPr>
          <w:spacing w:val="-1"/>
          <w:sz w:val="24"/>
          <w:szCs w:val="24"/>
          <w:vertAlign w:val="superscript"/>
          <w:lang w:eastAsia="en-GB"/>
        </w:rPr>
      </w:pPr>
      <w:r w:rsidRPr="007F475C">
        <w:rPr>
          <w:spacing w:val="-1"/>
          <w:sz w:val="24"/>
          <w:szCs w:val="24"/>
          <w:lang w:eastAsia="en-GB"/>
        </w:rPr>
        <w:t xml:space="preserve">Effekten er relateret til den tidsperiode, hvor lægemiddelniveauet overstiger den mindste hæmmende koncentration (MIC) for </w:t>
      </w:r>
      <w:proofErr w:type="spellStart"/>
      <w:r w:rsidRPr="007F475C">
        <w:rPr>
          <w:spacing w:val="-1"/>
          <w:sz w:val="24"/>
          <w:szCs w:val="24"/>
          <w:lang w:eastAsia="en-GB"/>
        </w:rPr>
        <w:t>patogenet</w:t>
      </w:r>
      <w:proofErr w:type="spellEnd"/>
      <w:r w:rsidRPr="007F475C">
        <w:rPr>
          <w:spacing w:val="-1"/>
          <w:sz w:val="24"/>
          <w:szCs w:val="24"/>
          <w:lang w:eastAsia="en-GB"/>
        </w:rPr>
        <w:t xml:space="preserve"> (% T/MIC).</w:t>
      </w:r>
    </w:p>
    <w:p w:rsidR="006268B0" w:rsidRPr="007F475C" w:rsidRDefault="006268B0" w:rsidP="006268B0">
      <w:pPr>
        <w:ind w:left="851"/>
        <w:rPr>
          <w:sz w:val="24"/>
          <w:szCs w:val="24"/>
          <w:u w:val="single"/>
          <w:lang w:eastAsia="en-GB"/>
        </w:rPr>
      </w:pPr>
      <w:r w:rsidRPr="007F475C">
        <w:rPr>
          <w:sz w:val="24"/>
          <w:szCs w:val="24"/>
          <w:u w:val="single"/>
          <w:lang w:eastAsia="en-GB"/>
        </w:rPr>
        <w:t>Resistens</w:t>
      </w:r>
    </w:p>
    <w:p w:rsidR="006268B0" w:rsidRPr="007F475C" w:rsidRDefault="006268B0" w:rsidP="006268B0">
      <w:pPr>
        <w:spacing w:after="240"/>
        <w:ind w:left="851"/>
        <w:rPr>
          <w:i/>
          <w:iCs/>
          <w:sz w:val="24"/>
          <w:szCs w:val="24"/>
          <w:lang w:eastAsia="en-GB"/>
        </w:rPr>
      </w:pPr>
      <w:r w:rsidRPr="007F475C">
        <w:rPr>
          <w:spacing w:val="-1"/>
          <w:sz w:val="24"/>
          <w:szCs w:val="24"/>
          <w:lang w:eastAsia="en-GB"/>
        </w:rPr>
        <w:t xml:space="preserve">Resistens over for </w:t>
      </w:r>
      <w:proofErr w:type="spellStart"/>
      <w:r w:rsidRPr="007F475C">
        <w:rPr>
          <w:spacing w:val="-1"/>
          <w:sz w:val="24"/>
          <w:szCs w:val="24"/>
          <w:lang w:eastAsia="en-GB"/>
        </w:rPr>
        <w:t>clindamycin</w:t>
      </w:r>
      <w:proofErr w:type="spellEnd"/>
      <w:r w:rsidRPr="007F475C">
        <w:rPr>
          <w:spacing w:val="-1"/>
          <w:sz w:val="24"/>
          <w:szCs w:val="24"/>
          <w:lang w:eastAsia="en-GB"/>
        </w:rPr>
        <w:t xml:space="preserve"> skyldes som regel mutationer på bindingsstedet for antibiotika på </w:t>
      </w:r>
      <w:proofErr w:type="spellStart"/>
      <w:r w:rsidRPr="007F475C">
        <w:rPr>
          <w:spacing w:val="-1"/>
          <w:sz w:val="24"/>
          <w:szCs w:val="24"/>
          <w:lang w:eastAsia="en-GB"/>
        </w:rPr>
        <w:t>rRNA</w:t>
      </w:r>
      <w:proofErr w:type="spellEnd"/>
      <w:r w:rsidRPr="007F475C">
        <w:rPr>
          <w:spacing w:val="-1"/>
          <w:sz w:val="24"/>
          <w:szCs w:val="24"/>
          <w:lang w:eastAsia="en-GB"/>
        </w:rPr>
        <w:t xml:space="preserve"> eller </w:t>
      </w:r>
      <w:proofErr w:type="spellStart"/>
      <w:r w:rsidRPr="007F475C">
        <w:rPr>
          <w:spacing w:val="-1"/>
          <w:sz w:val="24"/>
          <w:szCs w:val="24"/>
          <w:lang w:eastAsia="en-GB"/>
        </w:rPr>
        <w:t>methylering</w:t>
      </w:r>
      <w:proofErr w:type="spellEnd"/>
      <w:r w:rsidRPr="007F475C">
        <w:rPr>
          <w:spacing w:val="-1"/>
          <w:sz w:val="24"/>
          <w:szCs w:val="24"/>
          <w:lang w:eastAsia="en-GB"/>
        </w:rPr>
        <w:t xml:space="preserve"> af specifikke nukleotider i 23S-RNA'et på </w:t>
      </w:r>
      <w:r w:rsidRPr="007F475C">
        <w:rPr>
          <w:spacing w:val="-3"/>
          <w:sz w:val="24"/>
          <w:szCs w:val="24"/>
        </w:rPr>
        <w:t>50S sub-enheden af det bakterielle ribosom</w:t>
      </w:r>
      <w:r w:rsidRPr="007F475C">
        <w:rPr>
          <w:spacing w:val="-1"/>
          <w:sz w:val="24"/>
          <w:szCs w:val="24"/>
          <w:lang w:eastAsia="en-GB"/>
        </w:rPr>
        <w:t xml:space="preserve">. Disse ændringer kan være afgørende for </w:t>
      </w:r>
      <w:r w:rsidRPr="007F475C">
        <w:rPr>
          <w:i/>
          <w:iCs/>
          <w:spacing w:val="-1"/>
          <w:sz w:val="24"/>
          <w:szCs w:val="24"/>
          <w:lang w:eastAsia="en-GB"/>
        </w:rPr>
        <w:t xml:space="preserve">in </w:t>
      </w:r>
      <w:proofErr w:type="spellStart"/>
      <w:r w:rsidRPr="007F475C">
        <w:rPr>
          <w:i/>
          <w:iCs/>
          <w:spacing w:val="-1"/>
          <w:sz w:val="24"/>
          <w:szCs w:val="24"/>
          <w:lang w:eastAsia="en-GB"/>
        </w:rPr>
        <w:t>vitro</w:t>
      </w:r>
      <w:proofErr w:type="spellEnd"/>
      <w:r w:rsidRPr="007F475C">
        <w:rPr>
          <w:spacing w:val="-1"/>
          <w:sz w:val="24"/>
          <w:szCs w:val="24"/>
          <w:lang w:eastAsia="en-GB"/>
        </w:rPr>
        <w:t xml:space="preserve"> </w:t>
      </w:r>
      <w:r w:rsidRPr="007F475C">
        <w:rPr>
          <w:spacing w:val="-1"/>
          <w:sz w:val="24"/>
          <w:szCs w:val="24"/>
          <w:lang w:eastAsia="en-GB"/>
        </w:rPr>
        <w:lastRenderedPageBreak/>
        <w:t xml:space="preserve">krydsresistens over for makrolider og gruppe B </w:t>
      </w:r>
      <w:proofErr w:type="spellStart"/>
      <w:r w:rsidRPr="007F475C">
        <w:rPr>
          <w:spacing w:val="-1"/>
          <w:sz w:val="24"/>
          <w:szCs w:val="24"/>
          <w:lang w:eastAsia="en-GB"/>
        </w:rPr>
        <w:t>streptograminer</w:t>
      </w:r>
      <w:proofErr w:type="spellEnd"/>
      <w:r w:rsidRPr="007F475C">
        <w:rPr>
          <w:spacing w:val="-1"/>
          <w:sz w:val="24"/>
          <w:szCs w:val="24"/>
          <w:lang w:eastAsia="en-GB"/>
        </w:rPr>
        <w:t xml:space="preserve"> (MLS</w:t>
      </w:r>
      <w:r w:rsidRPr="007F475C">
        <w:rPr>
          <w:spacing w:val="-1"/>
          <w:sz w:val="24"/>
          <w:szCs w:val="24"/>
          <w:vertAlign w:val="subscript"/>
          <w:lang w:eastAsia="en-GB"/>
        </w:rPr>
        <w:t>B</w:t>
      </w:r>
      <w:r w:rsidRPr="007F475C">
        <w:rPr>
          <w:spacing w:val="-1"/>
          <w:sz w:val="24"/>
          <w:szCs w:val="24"/>
          <w:lang w:eastAsia="en-GB"/>
        </w:rPr>
        <w:t xml:space="preserve">-resistens). Resistens skyldes somme tider ændringer i ribosomale proteiner. Resistens over for </w:t>
      </w:r>
      <w:proofErr w:type="spellStart"/>
      <w:r w:rsidRPr="007F475C">
        <w:rPr>
          <w:spacing w:val="-1"/>
          <w:sz w:val="24"/>
          <w:szCs w:val="24"/>
          <w:lang w:eastAsia="en-GB"/>
        </w:rPr>
        <w:t>clindamycin</w:t>
      </w:r>
      <w:proofErr w:type="spellEnd"/>
      <w:r w:rsidRPr="007F475C">
        <w:rPr>
          <w:spacing w:val="-1"/>
          <w:sz w:val="24"/>
          <w:szCs w:val="24"/>
          <w:lang w:eastAsia="en-GB"/>
        </w:rPr>
        <w:t xml:space="preserve"> kan muligvis induceres af makrolider i </w:t>
      </w:r>
      <w:proofErr w:type="spellStart"/>
      <w:r w:rsidRPr="007F475C">
        <w:rPr>
          <w:spacing w:val="-1"/>
          <w:sz w:val="24"/>
          <w:szCs w:val="24"/>
          <w:lang w:eastAsia="en-GB"/>
        </w:rPr>
        <w:t>makrolidresistente</w:t>
      </w:r>
      <w:proofErr w:type="spellEnd"/>
      <w:r w:rsidRPr="007F475C">
        <w:rPr>
          <w:spacing w:val="-1"/>
          <w:sz w:val="24"/>
          <w:szCs w:val="24"/>
          <w:lang w:eastAsia="en-GB"/>
        </w:rPr>
        <w:t xml:space="preserve"> bakterielle </w:t>
      </w:r>
      <w:proofErr w:type="spellStart"/>
      <w:r w:rsidRPr="007F475C">
        <w:rPr>
          <w:spacing w:val="-1"/>
          <w:sz w:val="24"/>
          <w:szCs w:val="24"/>
          <w:lang w:eastAsia="en-GB"/>
        </w:rPr>
        <w:t>isolater</w:t>
      </w:r>
      <w:proofErr w:type="spellEnd"/>
      <w:r w:rsidRPr="007F475C">
        <w:rPr>
          <w:spacing w:val="-1"/>
          <w:sz w:val="24"/>
          <w:szCs w:val="24"/>
          <w:lang w:eastAsia="en-GB"/>
        </w:rPr>
        <w:t xml:space="preserve">. </w:t>
      </w:r>
      <w:proofErr w:type="spellStart"/>
      <w:r w:rsidRPr="007F475C">
        <w:rPr>
          <w:spacing w:val="-1"/>
          <w:sz w:val="24"/>
          <w:szCs w:val="24"/>
          <w:lang w:eastAsia="en-GB"/>
        </w:rPr>
        <w:t>Inducerbar</w:t>
      </w:r>
      <w:proofErr w:type="spellEnd"/>
      <w:r w:rsidRPr="007F475C">
        <w:rPr>
          <w:spacing w:val="-1"/>
          <w:sz w:val="24"/>
          <w:szCs w:val="24"/>
          <w:lang w:eastAsia="en-GB"/>
        </w:rPr>
        <w:t xml:space="preserve"> resistens kan påvises ved en disktest (D-zone test) eller i medium. Mindre hyppige resistensmekanismer omfatter ændring af antibiotikum og aktiv </w:t>
      </w:r>
      <w:proofErr w:type="spellStart"/>
      <w:r w:rsidRPr="007F475C">
        <w:rPr>
          <w:spacing w:val="-1"/>
          <w:sz w:val="24"/>
          <w:szCs w:val="24"/>
          <w:lang w:eastAsia="en-GB"/>
        </w:rPr>
        <w:t>effluks</w:t>
      </w:r>
      <w:proofErr w:type="spellEnd"/>
      <w:r w:rsidRPr="007F475C">
        <w:rPr>
          <w:spacing w:val="-1"/>
          <w:sz w:val="24"/>
          <w:szCs w:val="24"/>
          <w:lang w:eastAsia="en-GB"/>
        </w:rPr>
        <w:t xml:space="preserve">. Der er fuldstændig krydsresistens mellem </w:t>
      </w:r>
      <w:proofErr w:type="spellStart"/>
      <w:r w:rsidRPr="007F475C">
        <w:rPr>
          <w:spacing w:val="-1"/>
          <w:sz w:val="24"/>
          <w:szCs w:val="24"/>
          <w:lang w:eastAsia="en-GB"/>
        </w:rPr>
        <w:t>clindamycin</w:t>
      </w:r>
      <w:proofErr w:type="spellEnd"/>
      <w:r w:rsidRPr="007F475C">
        <w:rPr>
          <w:spacing w:val="-1"/>
          <w:sz w:val="24"/>
          <w:szCs w:val="24"/>
          <w:lang w:eastAsia="en-GB"/>
        </w:rPr>
        <w:t xml:space="preserve"> og </w:t>
      </w:r>
      <w:proofErr w:type="spellStart"/>
      <w:r w:rsidRPr="007F475C">
        <w:rPr>
          <w:spacing w:val="-1"/>
          <w:sz w:val="24"/>
          <w:szCs w:val="24"/>
          <w:lang w:eastAsia="en-GB"/>
        </w:rPr>
        <w:t>lincomycin</w:t>
      </w:r>
      <w:proofErr w:type="spellEnd"/>
      <w:r w:rsidRPr="007F475C">
        <w:rPr>
          <w:spacing w:val="-1"/>
          <w:sz w:val="24"/>
          <w:szCs w:val="24"/>
          <w:lang w:eastAsia="en-GB"/>
        </w:rPr>
        <w:t xml:space="preserve">. Som med mange antibiotika varierer forekomsten af resistens i forhold til bakterieart og geografisk område. Forekomsten af resistens over for </w:t>
      </w:r>
      <w:proofErr w:type="spellStart"/>
      <w:r w:rsidRPr="007F475C">
        <w:rPr>
          <w:spacing w:val="-1"/>
          <w:sz w:val="24"/>
          <w:szCs w:val="24"/>
          <w:lang w:eastAsia="en-GB"/>
        </w:rPr>
        <w:t>clindamycin</w:t>
      </w:r>
      <w:proofErr w:type="spellEnd"/>
      <w:r w:rsidRPr="007F475C">
        <w:rPr>
          <w:spacing w:val="-1"/>
          <w:sz w:val="24"/>
          <w:szCs w:val="24"/>
          <w:lang w:eastAsia="en-GB"/>
        </w:rPr>
        <w:t xml:space="preserve"> er højere blandt </w:t>
      </w:r>
      <w:proofErr w:type="spellStart"/>
      <w:r w:rsidRPr="007F475C">
        <w:rPr>
          <w:spacing w:val="-1"/>
          <w:sz w:val="24"/>
          <w:szCs w:val="24"/>
          <w:lang w:eastAsia="en-GB"/>
        </w:rPr>
        <w:t>methicillinresistente</w:t>
      </w:r>
      <w:proofErr w:type="spellEnd"/>
      <w:r w:rsidRPr="007F475C">
        <w:rPr>
          <w:spacing w:val="-1"/>
          <w:sz w:val="24"/>
          <w:szCs w:val="24"/>
          <w:lang w:eastAsia="en-GB"/>
        </w:rPr>
        <w:t xml:space="preserve"> </w:t>
      </w:r>
      <w:proofErr w:type="spellStart"/>
      <w:r w:rsidRPr="007F475C">
        <w:rPr>
          <w:spacing w:val="-1"/>
          <w:sz w:val="24"/>
          <w:szCs w:val="24"/>
          <w:lang w:eastAsia="en-GB"/>
        </w:rPr>
        <w:t>stafylokokisolater</w:t>
      </w:r>
      <w:proofErr w:type="spellEnd"/>
      <w:r w:rsidRPr="007F475C">
        <w:rPr>
          <w:spacing w:val="-1"/>
          <w:sz w:val="24"/>
          <w:szCs w:val="24"/>
          <w:lang w:eastAsia="en-GB"/>
        </w:rPr>
        <w:t xml:space="preserve"> og penicillinresistente </w:t>
      </w:r>
      <w:proofErr w:type="spellStart"/>
      <w:r w:rsidRPr="007F475C">
        <w:rPr>
          <w:spacing w:val="-1"/>
          <w:sz w:val="24"/>
          <w:szCs w:val="24"/>
          <w:lang w:eastAsia="en-GB"/>
        </w:rPr>
        <w:t>pneumokokisolater</w:t>
      </w:r>
      <w:proofErr w:type="spellEnd"/>
      <w:r w:rsidRPr="007F475C">
        <w:rPr>
          <w:spacing w:val="-1"/>
          <w:sz w:val="24"/>
          <w:szCs w:val="24"/>
          <w:lang w:eastAsia="en-GB"/>
        </w:rPr>
        <w:t xml:space="preserve"> end blandt organismer, der er følsomme over for disse stoffer.</w:t>
      </w:r>
    </w:p>
    <w:p w:rsidR="006268B0" w:rsidRPr="007F475C" w:rsidRDefault="00732984" w:rsidP="00732984">
      <w:pPr>
        <w:keepNext/>
        <w:spacing w:before="115" w:line="276" w:lineRule="auto"/>
        <w:ind w:left="851"/>
        <w:rPr>
          <w:rFonts w:eastAsia="Calibri"/>
          <w:spacing w:val="-1"/>
          <w:sz w:val="24"/>
          <w:szCs w:val="24"/>
          <w:u w:val="single"/>
        </w:rPr>
      </w:pPr>
      <w:r>
        <w:rPr>
          <w:rFonts w:eastAsia="Calibri"/>
          <w:spacing w:val="-1"/>
          <w:sz w:val="24"/>
          <w:szCs w:val="24"/>
          <w:u w:val="single"/>
        </w:rPr>
        <w:t xml:space="preserve">Klinisk virkning over for specifikke </w:t>
      </w:r>
      <w:proofErr w:type="spellStart"/>
      <w:r>
        <w:rPr>
          <w:rFonts w:eastAsia="Calibri"/>
          <w:spacing w:val="-1"/>
          <w:sz w:val="24"/>
          <w:szCs w:val="24"/>
          <w:u w:val="single"/>
        </w:rPr>
        <w:t>patogener</w:t>
      </w:r>
      <w:proofErr w:type="spellEnd"/>
    </w:p>
    <w:p w:rsidR="006268B0" w:rsidRPr="007F475C" w:rsidRDefault="006268B0" w:rsidP="006268B0">
      <w:pPr>
        <w:ind w:left="851"/>
        <w:rPr>
          <w:sz w:val="24"/>
          <w:szCs w:val="24"/>
          <w:lang w:eastAsia="en-GB"/>
        </w:rPr>
      </w:pPr>
      <w:r w:rsidRPr="007F475C">
        <w:rPr>
          <w:sz w:val="24"/>
          <w:szCs w:val="24"/>
          <w:lang w:eastAsia="en-GB"/>
        </w:rPr>
        <w:t xml:space="preserve">Det er påvist, at </w:t>
      </w:r>
      <w:proofErr w:type="spellStart"/>
      <w:r w:rsidRPr="007F475C">
        <w:rPr>
          <w:sz w:val="24"/>
          <w:szCs w:val="24"/>
          <w:lang w:eastAsia="en-GB"/>
        </w:rPr>
        <w:t>clindamycin</w:t>
      </w:r>
      <w:proofErr w:type="spellEnd"/>
      <w:r w:rsidRPr="007F475C">
        <w:rPr>
          <w:sz w:val="24"/>
          <w:szCs w:val="24"/>
          <w:lang w:eastAsia="en-GB"/>
        </w:rPr>
        <w:t xml:space="preserve"> er aktiv </w:t>
      </w:r>
      <w:r w:rsidRPr="007F475C">
        <w:rPr>
          <w:i/>
          <w:iCs/>
          <w:sz w:val="24"/>
          <w:szCs w:val="24"/>
          <w:lang w:eastAsia="en-GB"/>
        </w:rPr>
        <w:t xml:space="preserve">in </w:t>
      </w:r>
      <w:proofErr w:type="spellStart"/>
      <w:r w:rsidRPr="007F475C">
        <w:rPr>
          <w:i/>
          <w:iCs/>
          <w:sz w:val="24"/>
          <w:szCs w:val="24"/>
          <w:lang w:eastAsia="en-GB"/>
        </w:rPr>
        <w:t>vitro</w:t>
      </w:r>
      <w:proofErr w:type="spellEnd"/>
      <w:r w:rsidRPr="007F475C">
        <w:rPr>
          <w:sz w:val="24"/>
          <w:szCs w:val="24"/>
          <w:lang w:eastAsia="en-GB"/>
        </w:rPr>
        <w:t xml:space="preserve"> mod de fleste </w:t>
      </w:r>
      <w:proofErr w:type="spellStart"/>
      <w:r w:rsidRPr="007F475C">
        <w:rPr>
          <w:sz w:val="24"/>
          <w:szCs w:val="24"/>
          <w:lang w:eastAsia="en-GB"/>
        </w:rPr>
        <w:t>isolater</w:t>
      </w:r>
      <w:proofErr w:type="spellEnd"/>
      <w:r w:rsidRPr="007F475C">
        <w:rPr>
          <w:sz w:val="24"/>
          <w:szCs w:val="24"/>
          <w:lang w:eastAsia="en-GB"/>
        </w:rPr>
        <w:t xml:space="preserve"> fra følgende organismer: </w:t>
      </w:r>
    </w:p>
    <w:p w:rsidR="006268B0" w:rsidRPr="007F475C" w:rsidRDefault="006268B0" w:rsidP="006268B0">
      <w:pPr>
        <w:ind w:left="851"/>
        <w:rPr>
          <w:sz w:val="24"/>
          <w:szCs w:val="24"/>
          <w:lang w:eastAsia="en-GB"/>
        </w:rPr>
      </w:pPr>
    </w:p>
    <w:p w:rsidR="006268B0" w:rsidRPr="007F475C" w:rsidRDefault="006268B0" w:rsidP="006268B0">
      <w:pPr>
        <w:ind w:left="851"/>
        <w:rPr>
          <w:sz w:val="24"/>
          <w:szCs w:val="24"/>
          <w:lang w:eastAsia="en-GB"/>
        </w:rPr>
      </w:pPr>
      <w:r w:rsidRPr="007F475C">
        <w:rPr>
          <w:sz w:val="24"/>
          <w:szCs w:val="24"/>
          <w:lang w:eastAsia="en-GB"/>
        </w:rPr>
        <w:t>Aerobe bakterier</w:t>
      </w:r>
    </w:p>
    <w:p w:rsidR="006268B0" w:rsidRPr="007F475C" w:rsidRDefault="006268B0" w:rsidP="006268B0">
      <w:pPr>
        <w:ind w:left="851" w:firstLine="453"/>
        <w:rPr>
          <w:i/>
          <w:sz w:val="24"/>
          <w:szCs w:val="24"/>
          <w:lang w:eastAsia="en-GB"/>
        </w:rPr>
      </w:pPr>
      <w:proofErr w:type="spellStart"/>
      <w:r w:rsidRPr="007F475C">
        <w:rPr>
          <w:i/>
          <w:sz w:val="24"/>
          <w:szCs w:val="24"/>
          <w:lang w:eastAsia="en-GB"/>
        </w:rPr>
        <w:t>Gram-positive</w:t>
      </w:r>
      <w:proofErr w:type="spellEnd"/>
      <w:r w:rsidRPr="007F475C">
        <w:rPr>
          <w:i/>
          <w:sz w:val="24"/>
          <w:szCs w:val="24"/>
          <w:lang w:eastAsia="en-GB"/>
        </w:rPr>
        <w:t xml:space="preserve"> bakterier</w:t>
      </w:r>
    </w:p>
    <w:p w:rsidR="006268B0" w:rsidRPr="007F475C" w:rsidRDefault="006268B0" w:rsidP="006268B0">
      <w:pPr>
        <w:numPr>
          <w:ilvl w:val="2"/>
          <w:numId w:val="10"/>
        </w:numPr>
        <w:ind w:left="1775" w:hanging="357"/>
        <w:rPr>
          <w:sz w:val="24"/>
          <w:szCs w:val="24"/>
          <w:lang w:val="en-US"/>
        </w:rPr>
      </w:pPr>
      <w:r w:rsidRPr="007F475C">
        <w:rPr>
          <w:i/>
          <w:iCs/>
          <w:sz w:val="24"/>
          <w:szCs w:val="24"/>
          <w:lang w:val="en-US"/>
        </w:rPr>
        <w:t>Staphylococcus aureus</w:t>
      </w:r>
      <w:r w:rsidRPr="007F475C">
        <w:rPr>
          <w:sz w:val="24"/>
          <w:szCs w:val="24"/>
          <w:lang w:val="en-US"/>
        </w:rPr>
        <w:t xml:space="preserve"> (methicillin-</w:t>
      </w:r>
      <w:proofErr w:type="spellStart"/>
      <w:r w:rsidRPr="007F475C">
        <w:rPr>
          <w:sz w:val="24"/>
          <w:szCs w:val="24"/>
          <w:lang w:val="en-US"/>
        </w:rPr>
        <w:t>følsomme</w:t>
      </w:r>
      <w:proofErr w:type="spellEnd"/>
      <w:r w:rsidRPr="007F475C">
        <w:rPr>
          <w:sz w:val="24"/>
          <w:szCs w:val="24"/>
          <w:lang w:val="en-US"/>
        </w:rPr>
        <w:t xml:space="preserve"> </w:t>
      </w:r>
      <w:proofErr w:type="spellStart"/>
      <w:r w:rsidRPr="007F475C">
        <w:rPr>
          <w:sz w:val="24"/>
          <w:szCs w:val="24"/>
          <w:lang w:val="en-US"/>
        </w:rPr>
        <w:t>isolater</w:t>
      </w:r>
      <w:proofErr w:type="spellEnd"/>
      <w:r w:rsidRPr="007F475C">
        <w:rPr>
          <w:sz w:val="24"/>
          <w:szCs w:val="24"/>
          <w:lang w:val="en-US"/>
        </w:rPr>
        <w:t>)</w:t>
      </w:r>
    </w:p>
    <w:p w:rsidR="006268B0" w:rsidRPr="007F475C" w:rsidRDefault="006268B0" w:rsidP="006268B0">
      <w:pPr>
        <w:numPr>
          <w:ilvl w:val="2"/>
          <w:numId w:val="10"/>
        </w:numPr>
        <w:ind w:left="1775" w:hanging="357"/>
        <w:rPr>
          <w:sz w:val="24"/>
          <w:szCs w:val="24"/>
        </w:rPr>
      </w:pPr>
      <w:proofErr w:type="spellStart"/>
      <w:r w:rsidRPr="007F475C">
        <w:rPr>
          <w:sz w:val="24"/>
          <w:szCs w:val="24"/>
        </w:rPr>
        <w:t>Koagulase</w:t>
      </w:r>
      <w:proofErr w:type="spellEnd"/>
      <w:r w:rsidRPr="007F475C">
        <w:rPr>
          <w:sz w:val="24"/>
          <w:szCs w:val="24"/>
        </w:rPr>
        <w:t>-negative stafylokokker (</w:t>
      </w:r>
      <w:proofErr w:type="spellStart"/>
      <w:r w:rsidRPr="007F475C">
        <w:rPr>
          <w:sz w:val="24"/>
          <w:szCs w:val="24"/>
        </w:rPr>
        <w:t>methicillin</w:t>
      </w:r>
      <w:proofErr w:type="spellEnd"/>
      <w:r w:rsidRPr="007F475C">
        <w:rPr>
          <w:sz w:val="24"/>
          <w:szCs w:val="24"/>
        </w:rPr>
        <w:t xml:space="preserve">-følsomme </w:t>
      </w:r>
      <w:proofErr w:type="spellStart"/>
      <w:r w:rsidRPr="007F475C">
        <w:rPr>
          <w:sz w:val="24"/>
          <w:szCs w:val="24"/>
        </w:rPr>
        <w:t>isolater</w:t>
      </w:r>
      <w:proofErr w:type="spellEnd"/>
      <w:r w:rsidRPr="007F475C">
        <w:rPr>
          <w:sz w:val="24"/>
          <w:szCs w:val="24"/>
        </w:rPr>
        <w:t>)</w:t>
      </w:r>
    </w:p>
    <w:p w:rsidR="006268B0" w:rsidRPr="007F475C" w:rsidRDefault="006268B0" w:rsidP="006268B0">
      <w:pPr>
        <w:numPr>
          <w:ilvl w:val="2"/>
          <w:numId w:val="10"/>
        </w:numPr>
        <w:ind w:left="1775" w:hanging="357"/>
        <w:rPr>
          <w:sz w:val="24"/>
          <w:szCs w:val="24"/>
          <w:lang w:val="en-US"/>
        </w:rPr>
      </w:pPr>
      <w:r w:rsidRPr="007F475C">
        <w:rPr>
          <w:i/>
          <w:iCs/>
          <w:sz w:val="24"/>
          <w:szCs w:val="24"/>
          <w:lang w:val="en-US"/>
        </w:rPr>
        <w:t>Streptococcus pneumoniae</w:t>
      </w:r>
      <w:r w:rsidRPr="007F475C">
        <w:rPr>
          <w:sz w:val="24"/>
          <w:szCs w:val="24"/>
          <w:lang w:val="en-US"/>
        </w:rPr>
        <w:t xml:space="preserve"> (penicillin-</w:t>
      </w:r>
      <w:proofErr w:type="spellStart"/>
      <w:r w:rsidRPr="007F475C">
        <w:rPr>
          <w:sz w:val="24"/>
          <w:szCs w:val="24"/>
          <w:lang w:val="en-US"/>
        </w:rPr>
        <w:t>følsomme</w:t>
      </w:r>
      <w:proofErr w:type="spellEnd"/>
      <w:r w:rsidRPr="007F475C">
        <w:rPr>
          <w:sz w:val="24"/>
          <w:szCs w:val="24"/>
          <w:lang w:val="en-US"/>
        </w:rPr>
        <w:t xml:space="preserve"> </w:t>
      </w:r>
      <w:proofErr w:type="spellStart"/>
      <w:r w:rsidRPr="007F475C">
        <w:rPr>
          <w:sz w:val="24"/>
          <w:szCs w:val="24"/>
          <w:lang w:val="en-US"/>
        </w:rPr>
        <w:t>isolater</w:t>
      </w:r>
      <w:proofErr w:type="spellEnd"/>
      <w:r w:rsidRPr="007F475C">
        <w:rPr>
          <w:sz w:val="24"/>
          <w:szCs w:val="24"/>
          <w:lang w:val="en-US"/>
        </w:rPr>
        <w:t>)</w:t>
      </w:r>
    </w:p>
    <w:p w:rsidR="006268B0" w:rsidRPr="00FD2EE1" w:rsidRDefault="006268B0" w:rsidP="006268B0">
      <w:pPr>
        <w:numPr>
          <w:ilvl w:val="2"/>
          <w:numId w:val="10"/>
        </w:numPr>
        <w:ind w:left="1775" w:hanging="357"/>
        <w:rPr>
          <w:sz w:val="24"/>
          <w:szCs w:val="24"/>
          <w:lang w:val="nb-NO"/>
        </w:rPr>
      </w:pPr>
      <w:r w:rsidRPr="00FD2EE1">
        <w:rPr>
          <w:sz w:val="24"/>
          <w:szCs w:val="24"/>
          <w:lang w:val="nb-NO"/>
        </w:rPr>
        <w:t>Beta-hæmolytiske streptokokker, gruppe A, B, C og G</w:t>
      </w:r>
    </w:p>
    <w:p w:rsidR="006268B0" w:rsidRPr="007F475C" w:rsidRDefault="006268B0" w:rsidP="006268B0">
      <w:pPr>
        <w:numPr>
          <w:ilvl w:val="2"/>
          <w:numId w:val="10"/>
        </w:numPr>
        <w:ind w:left="1775" w:hanging="357"/>
        <w:rPr>
          <w:sz w:val="24"/>
          <w:szCs w:val="24"/>
        </w:rPr>
      </w:pPr>
      <w:proofErr w:type="spellStart"/>
      <w:r w:rsidRPr="007F475C">
        <w:rPr>
          <w:sz w:val="24"/>
          <w:szCs w:val="24"/>
        </w:rPr>
        <w:t>Viridansgruppe</w:t>
      </w:r>
      <w:proofErr w:type="spellEnd"/>
      <w:r w:rsidRPr="007F475C">
        <w:rPr>
          <w:sz w:val="24"/>
          <w:szCs w:val="24"/>
        </w:rPr>
        <w:t>-streptokokker</w:t>
      </w:r>
    </w:p>
    <w:p w:rsidR="006268B0" w:rsidRPr="007F475C" w:rsidRDefault="006268B0" w:rsidP="006268B0">
      <w:pPr>
        <w:numPr>
          <w:ilvl w:val="2"/>
          <w:numId w:val="10"/>
        </w:numPr>
        <w:ind w:left="1775" w:hanging="357"/>
        <w:rPr>
          <w:sz w:val="24"/>
          <w:szCs w:val="24"/>
        </w:rPr>
      </w:pPr>
      <w:proofErr w:type="spellStart"/>
      <w:r w:rsidRPr="007F475C">
        <w:rPr>
          <w:i/>
          <w:iCs/>
          <w:sz w:val="24"/>
          <w:szCs w:val="24"/>
        </w:rPr>
        <w:t>Corynebacterium</w:t>
      </w:r>
      <w:proofErr w:type="spellEnd"/>
      <w:r w:rsidRPr="007F475C">
        <w:rPr>
          <w:i/>
          <w:iCs/>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ind w:left="851" w:firstLine="453"/>
        <w:rPr>
          <w:i/>
          <w:sz w:val="24"/>
          <w:szCs w:val="24"/>
          <w:lang w:eastAsia="en-GB"/>
        </w:rPr>
      </w:pPr>
      <w:r w:rsidRPr="007F475C">
        <w:rPr>
          <w:i/>
          <w:sz w:val="24"/>
          <w:szCs w:val="24"/>
          <w:lang w:eastAsia="en-GB"/>
        </w:rPr>
        <w:t>Andre bakterier</w:t>
      </w:r>
    </w:p>
    <w:p w:rsidR="006268B0" w:rsidRPr="007F475C" w:rsidRDefault="006268B0" w:rsidP="006268B0">
      <w:pPr>
        <w:numPr>
          <w:ilvl w:val="2"/>
          <w:numId w:val="10"/>
        </w:numPr>
        <w:ind w:left="1775" w:hanging="357"/>
        <w:rPr>
          <w:i/>
          <w:iCs/>
          <w:sz w:val="24"/>
          <w:szCs w:val="24"/>
        </w:rPr>
      </w:pPr>
      <w:proofErr w:type="spellStart"/>
      <w:r w:rsidRPr="007F475C">
        <w:rPr>
          <w:i/>
          <w:iCs/>
          <w:sz w:val="24"/>
          <w:szCs w:val="24"/>
        </w:rPr>
        <w:t>Chlamydia</w:t>
      </w:r>
      <w:proofErr w:type="spellEnd"/>
      <w:r w:rsidRPr="007F475C">
        <w:rPr>
          <w:i/>
          <w:iCs/>
          <w:sz w:val="24"/>
          <w:szCs w:val="24"/>
        </w:rPr>
        <w:t xml:space="preserve"> </w:t>
      </w:r>
      <w:proofErr w:type="spellStart"/>
      <w:r w:rsidRPr="007F475C">
        <w:rPr>
          <w:i/>
          <w:iCs/>
          <w:sz w:val="24"/>
          <w:szCs w:val="24"/>
        </w:rPr>
        <w:t>trachomatis</w:t>
      </w:r>
      <w:proofErr w:type="spellEnd"/>
    </w:p>
    <w:p w:rsidR="006268B0" w:rsidRPr="007F475C" w:rsidRDefault="006268B0" w:rsidP="006268B0">
      <w:pPr>
        <w:ind w:left="851"/>
        <w:rPr>
          <w:sz w:val="24"/>
          <w:szCs w:val="24"/>
          <w:lang w:eastAsia="en-GB"/>
        </w:rPr>
      </w:pPr>
    </w:p>
    <w:p w:rsidR="006268B0" w:rsidRPr="007F475C" w:rsidRDefault="006268B0" w:rsidP="006268B0">
      <w:pPr>
        <w:ind w:left="851"/>
        <w:rPr>
          <w:sz w:val="24"/>
          <w:szCs w:val="24"/>
          <w:lang w:eastAsia="en-GB"/>
        </w:rPr>
      </w:pPr>
      <w:r w:rsidRPr="007F475C">
        <w:rPr>
          <w:sz w:val="24"/>
          <w:szCs w:val="24"/>
          <w:lang w:eastAsia="en-GB"/>
        </w:rPr>
        <w:t>Anaerobe bakterier</w:t>
      </w:r>
    </w:p>
    <w:p w:rsidR="006268B0" w:rsidRPr="007F475C" w:rsidRDefault="006268B0" w:rsidP="006268B0">
      <w:pPr>
        <w:ind w:left="851" w:firstLine="453"/>
        <w:rPr>
          <w:i/>
          <w:sz w:val="24"/>
          <w:szCs w:val="24"/>
          <w:lang w:eastAsia="en-GB"/>
        </w:rPr>
      </w:pPr>
      <w:proofErr w:type="spellStart"/>
      <w:r w:rsidRPr="007F475C">
        <w:rPr>
          <w:i/>
          <w:sz w:val="24"/>
          <w:szCs w:val="24"/>
          <w:lang w:eastAsia="en-GB"/>
        </w:rPr>
        <w:t>Gram-positive</w:t>
      </w:r>
      <w:proofErr w:type="spellEnd"/>
      <w:r w:rsidRPr="007F475C">
        <w:rPr>
          <w:i/>
          <w:sz w:val="24"/>
          <w:szCs w:val="24"/>
          <w:lang w:eastAsia="en-GB"/>
        </w:rPr>
        <w:t xml:space="preserve"> bakterier</w:t>
      </w:r>
    </w:p>
    <w:p w:rsidR="006268B0" w:rsidRPr="007F475C" w:rsidRDefault="006268B0" w:rsidP="006268B0">
      <w:pPr>
        <w:numPr>
          <w:ilvl w:val="2"/>
          <w:numId w:val="10"/>
        </w:numPr>
        <w:ind w:left="1775" w:hanging="357"/>
        <w:rPr>
          <w:sz w:val="24"/>
          <w:szCs w:val="24"/>
        </w:rPr>
      </w:pPr>
      <w:proofErr w:type="spellStart"/>
      <w:r w:rsidRPr="007F475C">
        <w:rPr>
          <w:i/>
          <w:iCs/>
          <w:sz w:val="24"/>
          <w:szCs w:val="24"/>
        </w:rPr>
        <w:t>Actinomyces</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0"/>
        </w:numPr>
        <w:ind w:left="1775" w:hanging="357"/>
        <w:rPr>
          <w:sz w:val="24"/>
          <w:szCs w:val="24"/>
          <w:lang w:val="en-US"/>
        </w:rPr>
      </w:pPr>
      <w:r w:rsidRPr="007F475C">
        <w:rPr>
          <w:i/>
          <w:iCs/>
          <w:sz w:val="24"/>
          <w:szCs w:val="24"/>
          <w:lang w:val="en-US"/>
        </w:rPr>
        <w:t>Clostridium</w:t>
      </w:r>
      <w:r w:rsidRPr="007F475C">
        <w:rPr>
          <w:sz w:val="24"/>
          <w:szCs w:val="24"/>
          <w:lang w:val="en-US"/>
        </w:rPr>
        <w:t xml:space="preserve"> spp. (</w:t>
      </w:r>
      <w:proofErr w:type="spellStart"/>
      <w:r w:rsidRPr="007F475C">
        <w:rPr>
          <w:sz w:val="24"/>
          <w:szCs w:val="24"/>
          <w:lang w:val="en-US"/>
        </w:rPr>
        <w:t>undtagen</w:t>
      </w:r>
      <w:proofErr w:type="spellEnd"/>
      <w:r w:rsidRPr="007F475C">
        <w:rPr>
          <w:sz w:val="24"/>
          <w:szCs w:val="24"/>
          <w:lang w:val="en-US"/>
        </w:rPr>
        <w:t xml:space="preserve"> </w:t>
      </w:r>
      <w:r w:rsidR="00732984">
        <w:rPr>
          <w:i/>
          <w:sz w:val="24"/>
          <w:szCs w:val="24"/>
          <w:lang w:val="it-IT"/>
        </w:rPr>
        <w:t xml:space="preserve">Clostridioides </w:t>
      </w:r>
      <w:r w:rsidRPr="007F475C">
        <w:rPr>
          <w:i/>
          <w:iCs/>
          <w:sz w:val="24"/>
          <w:szCs w:val="24"/>
          <w:lang w:val="en-US"/>
        </w:rPr>
        <w:t>difficile</w:t>
      </w:r>
      <w:r w:rsidRPr="007F475C">
        <w:rPr>
          <w:sz w:val="24"/>
          <w:szCs w:val="24"/>
          <w:lang w:val="en-US"/>
        </w:rPr>
        <w:t>)</w:t>
      </w:r>
    </w:p>
    <w:p w:rsidR="006268B0" w:rsidRPr="007F475C" w:rsidRDefault="006268B0" w:rsidP="006268B0">
      <w:pPr>
        <w:numPr>
          <w:ilvl w:val="2"/>
          <w:numId w:val="10"/>
        </w:numPr>
        <w:ind w:left="1775" w:hanging="357"/>
        <w:rPr>
          <w:sz w:val="24"/>
          <w:szCs w:val="24"/>
        </w:rPr>
      </w:pPr>
      <w:proofErr w:type="spellStart"/>
      <w:r w:rsidRPr="007F475C">
        <w:rPr>
          <w:i/>
          <w:iCs/>
          <w:sz w:val="24"/>
          <w:szCs w:val="24"/>
        </w:rPr>
        <w:t>Eggerthella</w:t>
      </w:r>
      <w:proofErr w:type="spellEnd"/>
      <w:r w:rsidRPr="007F475C">
        <w:rPr>
          <w:i/>
          <w:iCs/>
          <w:sz w:val="24"/>
          <w:szCs w:val="24"/>
        </w:rPr>
        <w:t xml:space="preserve"> </w:t>
      </w:r>
      <w:r w:rsidRPr="007F475C">
        <w:rPr>
          <w:sz w:val="24"/>
          <w:szCs w:val="24"/>
        </w:rPr>
        <w:t>(</w:t>
      </w:r>
      <w:proofErr w:type="spellStart"/>
      <w:r w:rsidRPr="007F475C">
        <w:rPr>
          <w:i/>
          <w:iCs/>
          <w:sz w:val="24"/>
          <w:szCs w:val="24"/>
        </w:rPr>
        <w:t>Eubacterium</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0"/>
        </w:numPr>
        <w:ind w:left="1775" w:hanging="357"/>
        <w:rPr>
          <w:sz w:val="24"/>
          <w:szCs w:val="24"/>
        </w:rPr>
      </w:pPr>
      <w:proofErr w:type="spellStart"/>
      <w:r w:rsidRPr="007F475C">
        <w:rPr>
          <w:i/>
          <w:iCs/>
          <w:sz w:val="24"/>
          <w:szCs w:val="24"/>
        </w:rPr>
        <w:t>Peptococcus</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0"/>
        </w:numPr>
        <w:ind w:left="1775" w:hanging="357"/>
        <w:rPr>
          <w:sz w:val="24"/>
          <w:szCs w:val="24"/>
          <w:lang w:val="en-US"/>
        </w:rPr>
      </w:pPr>
      <w:proofErr w:type="spellStart"/>
      <w:r w:rsidRPr="007F475C">
        <w:rPr>
          <w:i/>
          <w:iCs/>
          <w:sz w:val="24"/>
          <w:szCs w:val="24"/>
          <w:lang w:val="en-US"/>
        </w:rPr>
        <w:t>Peptostreptococcus</w:t>
      </w:r>
      <w:proofErr w:type="spellEnd"/>
      <w:r w:rsidRPr="007F475C">
        <w:rPr>
          <w:sz w:val="24"/>
          <w:szCs w:val="24"/>
          <w:lang w:val="en-US"/>
        </w:rPr>
        <w:t xml:space="preserve"> spp. (</w:t>
      </w:r>
      <w:proofErr w:type="spellStart"/>
      <w:r w:rsidRPr="007F475C">
        <w:rPr>
          <w:i/>
          <w:iCs/>
          <w:sz w:val="24"/>
          <w:szCs w:val="24"/>
          <w:lang w:val="en-US"/>
        </w:rPr>
        <w:t>Finegoldia</w:t>
      </w:r>
      <w:proofErr w:type="spellEnd"/>
      <w:r w:rsidRPr="007F475C">
        <w:rPr>
          <w:i/>
          <w:iCs/>
          <w:sz w:val="24"/>
          <w:szCs w:val="24"/>
          <w:lang w:val="en-US"/>
        </w:rPr>
        <w:t xml:space="preserve"> magna, </w:t>
      </w:r>
      <w:proofErr w:type="spellStart"/>
      <w:r w:rsidRPr="007F475C">
        <w:rPr>
          <w:i/>
          <w:iCs/>
          <w:sz w:val="24"/>
          <w:szCs w:val="24"/>
          <w:lang w:val="en-US"/>
        </w:rPr>
        <w:t>Micromonas</w:t>
      </w:r>
      <w:proofErr w:type="spellEnd"/>
      <w:r w:rsidRPr="007F475C">
        <w:rPr>
          <w:i/>
          <w:iCs/>
          <w:sz w:val="24"/>
          <w:szCs w:val="24"/>
          <w:lang w:val="en-US"/>
        </w:rPr>
        <w:t xml:space="preserve"> micros</w:t>
      </w:r>
      <w:r w:rsidRPr="007F475C">
        <w:rPr>
          <w:sz w:val="24"/>
          <w:szCs w:val="24"/>
          <w:lang w:val="en-US"/>
        </w:rPr>
        <w:t>)</w:t>
      </w:r>
    </w:p>
    <w:p w:rsidR="006268B0" w:rsidRPr="007F475C" w:rsidRDefault="006268B0" w:rsidP="006268B0">
      <w:pPr>
        <w:numPr>
          <w:ilvl w:val="2"/>
          <w:numId w:val="10"/>
        </w:numPr>
        <w:ind w:left="1775" w:hanging="357"/>
        <w:rPr>
          <w:i/>
          <w:sz w:val="24"/>
          <w:szCs w:val="24"/>
        </w:rPr>
      </w:pPr>
      <w:proofErr w:type="spellStart"/>
      <w:r w:rsidRPr="007F475C">
        <w:rPr>
          <w:i/>
          <w:iCs/>
          <w:sz w:val="24"/>
          <w:szCs w:val="24"/>
        </w:rPr>
        <w:t>Propionibacterium</w:t>
      </w:r>
      <w:proofErr w:type="spellEnd"/>
      <w:r w:rsidRPr="007F475C">
        <w:rPr>
          <w:i/>
          <w:iCs/>
          <w:sz w:val="24"/>
          <w:szCs w:val="24"/>
        </w:rPr>
        <w:t xml:space="preserve"> </w:t>
      </w:r>
      <w:proofErr w:type="spellStart"/>
      <w:r w:rsidRPr="007F475C">
        <w:rPr>
          <w:i/>
          <w:iCs/>
          <w:sz w:val="24"/>
          <w:szCs w:val="24"/>
        </w:rPr>
        <w:t>acnes</w:t>
      </w:r>
      <w:proofErr w:type="spellEnd"/>
    </w:p>
    <w:p w:rsidR="006268B0" w:rsidRPr="007F475C" w:rsidRDefault="006268B0" w:rsidP="006268B0">
      <w:pPr>
        <w:ind w:left="851" w:firstLine="453"/>
        <w:rPr>
          <w:i/>
          <w:sz w:val="24"/>
          <w:szCs w:val="24"/>
          <w:lang w:eastAsia="en-GB"/>
        </w:rPr>
      </w:pPr>
      <w:proofErr w:type="spellStart"/>
      <w:r w:rsidRPr="007F475C">
        <w:rPr>
          <w:i/>
          <w:sz w:val="24"/>
          <w:szCs w:val="24"/>
          <w:lang w:eastAsia="en-GB"/>
        </w:rPr>
        <w:t>Gram-negative</w:t>
      </w:r>
      <w:proofErr w:type="spellEnd"/>
      <w:r w:rsidRPr="007F475C">
        <w:rPr>
          <w:i/>
          <w:sz w:val="24"/>
          <w:szCs w:val="24"/>
          <w:lang w:eastAsia="en-GB"/>
        </w:rPr>
        <w:t xml:space="preserve"> bakterier</w:t>
      </w:r>
    </w:p>
    <w:p w:rsidR="006268B0" w:rsidRPr="007F475C" w:rsidRDefault="006268B0" w:rsidP="006268B0">
      <w:pPr>
        <w:numPr>
          <w:ilvl w:val="2"/>
          <w:numId w:val="11"/>
        </w:numPr>
        <w:ind w:left="1775" w:hanging="357"/>
        <w:rPr>
          <w:sz w:val="24"/>
          <w:szCs w:val="24"/>
        </w:rPr>
      </w:pPr>
      <w:proofErr w:type="spellStart"/>
      <w:r w:rsidRPr="007F475C">
        <w:rPr>
          <w:i/>
          <w:iCs/>
          <w:sz w:val="24"/>
          <w:szCs w:val="24"/>
        </w:rPr>
        <w:t>Bacteroides</w:t>
      </w:r>
      <w:proofErr w:type="spellEnd"/>
      <w:r w:rsidRPr="007F475C">
        <w:rPr>
          <w:i/>
          <w:iCs/>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1"/>
        </w:numPr>
        <w:ind w:left="1775" w:hanging="357"/>
        <w:rPr>
          <w:sz w:val="24"/>
          <w:szCs w:val="24"/>
        </w:rPr>
      </w:pPr>
      <w:proofErr w:type="spellStart"/>
      <w:r w:rsidRPr="007F475C">
        <w:rPr>
          <w:i/>
          <w:iCs/>
          <w:sz w:val="24"/>
          <w:szCs w:val="24"/>
        </w:rPr>
        <w:t>Fusobacterium</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1"/>
        </w:numPr>
        <w:ind w:left="1775" w:hanging="357"/>
        <w:rPr>
          <w:i/>
          <w:sz w:val="24"/>
          <w:szCs w:val="24"/>
        </w:rPr>
      </w:pPr>
      <w:proofErr w:type="spellStart"/>
      <w:r w:rsidRPr="007F475C">
        <w:rPr>
          <w:i/>
          <w:iCs/>
          <w:sz w:val="24"/>
          <w:szCs w:val="24"/>
        </w:rPr>
        <w:t>Gardnerella</w:t>
      </w:r>
      <w:proofErr w:type="spellEnd"/>
      <w:r w:rsidRPr="007F475C">
        <w:rPr>
          <w:i/>
          <w:iCs/>
          <w:sz w:val="24"/>
          <w:szCs w:val="24"/>
        </w:rPr>
        <w:t xml:space="preserve"> </w:t>
      </w:r>
      <w:proofErr w:type="spellStart"/>
      <w:r w:rsidRPr="007F475C">
        <w:rPr>
          <w:i/>
          <w:iCs/>
          <w:sz w:val="24"/>
          <w:szCs w:val="24"/>
        </w:rPr>
        <w:t>vaginalis</w:t>
      </w:r>
      <w:proofErr w:type="spellEnd"/>
    </w:p>
    <w:p w:rsidR="006268B0" w:rsidRPr="007F475C" w:rsidRDefault="006268B0" w:rsidP="006268B0">
      <w:pPr>
        <w:numPr>
          <w:ilvl w:val="2"/>
          <w:numId w:val="11"/>
        </w:numPr>
        <w:ind w:left="1775" w:hanging="357"/>
        <w:rPr>
          <w:sz w:val="24"/>
          <w:szCs w:val="24"/>
        </w:rPr>
      </w:pPr>
      <w:proofErr w:type="spellStart"/>
      <w:r w:rsidRPr="007F475C">
        <w:rPr>
          <w:i/>
          <w:iCs/>
          <w:sz w:val="24"/>
          <w:szCs w:val="24"/>
        </w:rPr>
        <w:t>Prevotella</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ind w:left="851"/>
        <w:rPr>
          <w:sz w:val="24"/>
          <w:szCs w:val="24"/>
          <w:lang w:eastAsia="en-GB"/>
        </w:rPr>
      </w:pPr>
    </w:p>
    <w:p w:rsidR="006268B0" w:rsidRPr="007F475C" w:rsidRDefault="006268B0" w:rsidP="006268B0">
      <w:pPr>
        <w:ind w:left="851"/>
        <w:rPr>
          <w:sz w:val="24"/>
          <w:szCs w:val="24"/>
          <w:lang w:eastAsia="en-GB"/>
        </w:rPr>
      </w:pPr>
      <w:r w:rsidRPr="007F475C">
        <w:rPr>
          <w:sz w:val="24"/>
          <w:szCs w:val="24"/>
          <w:lang w:eastAsia="en-GB"/>
        </w:rPr>
        <w:t>Svampe</w:t>
      </w:r>
    </w:p>
    <w:p w:rsidR="006268B0" w:rsidRPr="007F475C" w:rsidRDefault="006268B0" w:rsidP="006268B0">
      <w:pPr>
        <w:numPr>
          <w:ilvl w:val="0"/>
          <w:numId w:val="12"/>
        </w:numPr>
        <w:ind w:left="1775" w:hanging="357"/>
        <w:rPr>
          <w:i/>
          <w:sz w:val="24"/>
          <w:szCs w:val="24"/>
        </w:rPr>
      </w:pPr>
      <w:proofErr w:type="spellStart"/>
      <w:r w:rsidRPr="007F475C">
        <w:rPr>
          <w:i/>
          <w:iCs/>
          <w:sz w:val="24"/>
          <w:szCs w:val="24"/>
        </w:rPr>
        <w:t>Pneumocystis</w:t>
      </w:r>
      <w:proofErr w:type="spellEnd"/>
      <w:r w:rsidRPr="007F475C">
        <w:rPr>
          <w:i/>
          <w:iCs/>
          <w:sz w:val="24"/>
          <w:szCs w:val="24"/>
        </w:rPr>
        <w:t xml:space="preserve"> </w:t>
      </w:r>
      <w:proofErr w:type="spellStart"/>
      <w:r w:rsidRPr="007F475C">
        <w:rPr>
          <w:i/>
          <w:iCs/>
          <w:sz w:val="24"/>
          <w:szCs w:val="24"/>
        </w:rPr>
        <w:t>jirovecii</w:t>
      </w:r>
      <w:proofErr w:type="spellEnd"/>
    </w:p>
    <w:p w:rsidR="006268B0" w:rsidRPr="007F475C" w:rsidRDefault="006268B0" w:rsidP="006268B0">
      <w:pPr>
        <w:ind w:left="851"/>
        <w:rPr>
          <w:sz w:val="24"/>
          <w:szCs w:val="24"/>
          <w:lang w:eastAsia="en-GB"/>
        </w:rPr>
      </w:pPr>
    </w:p>
    <w:p w:rsidR="006268B0" w:rsidRPr="007F475C" w:rsidRDefault="006268B0" w:rsidP="006268B0">
      <w:pPr>
        <w:ind w:left="851"/>
        <w:rPr>
          <w:sz w:val="24"/>
          <w:szCs w:val="24"/>
          <w:lang w:eastAsia="en-GB"/>
        </w:rPr>
      </w:pPr>
      <w:r w:rsidRPr="007F475C">
        <w:rPr>
          <w:sz w:val="24"/>
          <w:szCs w:val="24"/>
          <w:lang w:eastAsia="en-GB"/>
        </w:rPr>
        <w:t>Protozoer</w:t>
      </w:r>
    </w:p>
    <w:p w:rsidR="006268B0" w:rsidRPr="007F475C" w:rsidRDefault="006268B0" w:rsidP="006268B0">
      <w:pPr>
        <w:numPr>
          <w:ilvl w:val="0"/>
          <w:numId w:val="12"/>
        </w:numPr>
        <w:ind w:left="1775" w:hanging="357"/>
        <w:rPr>
          <w:i/>
          <w:sz w:val="24"/>
          <w:szCs w:val="24"/>
        </w:rPr>
      </w:pPr>
      <w:proofErr w:type="spellStart"/>
      <w:r w:rsidRPr="007F475C">
        <w:rPr>
          <w:i/>
          <w:iCs/>
          <w:sz w:val="24"/>
          <w:szCs w:val="24"/>
        </w:rPr>
        <w:t>Toxoplasma</w:t>
      </w:r>
      <w:proofErr w:type="spellEnd"/>
      <w:r w:rsidRPr="007F475C">
        <w:rPr>
          <w:i/>
          <w:iCs/>
          <w:sz w:val="24"/>
          <w:szCs w:val="24"/>
        </w:rPr>
        <w:t xml:space="preserve"> </w:t>
      </w:r>
      <w:proofErr w:type="spellStart"/>
      <w:r w:rsidRPr="007F475C">
        <w:rPr>
          <w:i/>
          <w:iCs/>
          <w:sz w:val="24"/>
          <w:szCs w:val="24"/>
        </w:rPr>
        <w:t>gondii</w:t>
      </w:r>
      <w:proofErr w:type="spellEnd"/>
    </w:p>
    <w:p w:rsidR="006268B0" w:rsidRPr="007F475C" w:rsidRDefault="006268B0" w:rsidP="006268B0">
      <w:pPr>
        <w:numPr>
          <w:ilvl w:val="0"/>
          <w:numId w:val="12"/>
        </w:numPr>
        <w:ind w:left="1775" w:hanging="357"/>
        <w:rPr>
          <w:i/>
          <w:sz w:val="24"/>
          <w:szCs w:val="24"/>
        </w:rPr>
      </w:pPr>
      <w:proofErr w:type="spellStart"/>
      <w:r w:rsidRPr="007F475C">
        <w:rPr>
          <w:i/>
          <w:iCs/>
          <w:sz w:val="24"/>
          <w:szCs w:val="24"/>
        </w:rPr>
        <w:t>Plasmodium</w:t>
      </w:r>
      <w:proofErr w:type="spellEnd"/>
      <w:r w:rsidRPr="007F475C">
        <w:rPr>
          <w:i/>
          <w:iCs/>
          <w:sz w:val="24"/>
          <w:szCs w:val="24"/>
        </w:rPr>
        <w:t xml:space="preserve"> </w:t>
      </w:r>
      <w:proofErr w:type="spellStart"/>
      <w:r w:rsidRPr="007F475C">
        <w:rPr>
          <w:i/>
          <w:iCs/>
          <w:sz w:val="24"/>
          <w:szCs w:val="24"/>
        </w:rPr>
        <w:t>falciparum</w:t>
      </w:r>
      <w:proofErr w:type="spellEnd"/>
    </w:p>
    <w:p w:rsidR="006268B0" w:rsidRPr="007F475C" w:rsidRDefault="006268B0" w:rsidP="006268B0">
      <w:pPr>
        <w:ind w:left="851"/>
        <w:rPr>
          <w:sz w:val="24"/>
          <w:szCs w:val="24"/>
        </w:rPr>
      </w:pPr>
    </w:p>
    <w:p w:rsidR="00732984" w:rsidRDefault="006268B0" w:rsidP="00732984">
      <w:pPr>
        <w:tabs>
          <w:tab w:val="left" w:pos="0"/>
          <w:tab w:val="left" w:pos="851"/>
        </w:tabs>
        <w:ind w:left="850" w:hanging="850"/>
        <w:rPr>
          <w:spacing w:val="-3"/>
          <w:sz w:val="24"/>
          <w:szCs w:val="24"/>
        </w:rPr>
      </w:pPr>
      <w:r w:rsidRPr="007F475C">
        <w:rPr>
          <w:sz w:val="24"/>
          <w:szCs w:val="24"/>
        </w:rPr>
        <w:tab/>
      </w:r>
      <w:r w:rsidR="00732984">
        <w:rPr>
          <w:spacing w:val="-3"/>
          <w:sz w:val="24"/>
          <w:szCs w:val="24"/>
          <w:u w:val="single"/>
        </w:rPr>
        <w:t>Grænseværdier for følsomhedstestning</w:t>
      </w:r>
    </w:p>
    <w:p w:rsidR="00732984" w:rsidRDefault="00732984" w:rsidP="00732984">
      <w:pPr>
        <w:tabs>
          <w:tab w:val="left" w:pos="0"/>
          <w:tab w:val="left" w:pos="851"/>
        </w:tabs>
        <w:ind w:left="850" w:hanging="850"/>
        <w:rPr>
          <w:spacing w:val="-3"/>
          <w:sz w:val="24"/>
          <w:szCs w:val="24"/>
        </w:rPr>
      </w:pPr>
      <w:r>
        <w:rPr>
          <w:spacing w:val="-3"/>
          <w:sz w:val="24"/>
          <w:szCs w:val="24"/>
        </w:rPr>
        <w:tab/>
        <w:t xml:space="preserve">MIC (mindste inhiberende koncentration)-fortolkningskriterierne for følsomhedstestning er fastlagt af European </w:t>
      </w:r>
      <w:proofErr w:type="spellStart"/>
      <w:r>
        <w:rPr>
          <w:spacing w:val="-3"/>
          <w:sz w:val="24"/>
          <w:szCs w:val="24"/>
        </w:rPr>
        <w:t>Committee</w:t>
      </w:r>
      <w:proofErr w:type="spellEnd"/>
      <w:r>
        <w:rPr>
          <w:spacing w:val="-3"/>
          <w:sz w:val="24"/>
          <w:szCs w:val="24"/>
        </w:rPr>
        <w:t xml:space="preserve"> on </w:t>
      </w:r>
      <w:proofErr w:type="spellStart"/>
      <w:r>
        <w:rPr>
          <w:spacing w:val="-3"/>
          <w:sz w:val="24"/>
          <w:szCs w:val="24"/>
        </w:rPr>
        <w:t>Antimicrobial</w:t>
      </w:r>
      <w:proofErr w:type="spellEnd"/>
      <w:r>
        <w:rPr>
          <w:spacing w:val="-3"/>
          <w:sz w:val="24"/>
          <w:szCs w:val="24"/>
        </w:rPr>
        <w:t xml:space="preserve"> </w:t>
      </w:r>
      <w:proofErr w:type="spellStart"/>
      <w:r>
        <w:rPr>
          <w:spacing w:val="-3"/>
          <w:sz w:val="24"/>
          <w:szCs w:val="24"/>
        </w:rPr>
        <w:t>Sesceptibility</w:t>
      </w:r>
      <w:proofErr w:type="spellEnd"/>
      <w:r>
        <w:rPr>
          <w:spacing w:val="-3"/>
          <w:sz w:val="24"/>
          <w:szCs w:val="24"/>
        </w:rPr>
        <w:t xml:space="preserve"> </w:t>
      </w:r>
      <w:proofErr w:type="spellStart"/>
      <w:r>
        <w:rPr>
          <w:spacing w:val="-3"/>
          <w:sz w:val="24"/>
          <w:szCs w:val="24"/>
        </w:rPr>
        <w:t>Testing</w:t>
      </w:r>
      <w:proofErr w:type="spellEnd"/>
      <w:r>
        <w:rPr>
          <w:spacing w:val="-3"/>
          <w:sz w:val="24"/>
          <w:szCs w:val="24"/>
        </w:rPr>
        <w:t xml:space="preserve"> (EUCAST) for </w:t>
      </w:r>
      <w:proofErr w:type="spellStart"/>
      <w:r>
        <w:rPr>
          <w:spacing w:val="-3"/>
          <w:sz w:val="24"/>
          <w:szCs w:val="24"/>
        </w:rPr>
        <w:t>clindamycin</w:t>
      </w:r>
      <w:proofErr w:type="spellEnd"/>
      <w:r>
        <w:rPr>
          <w:spacing w:val="-3"/>
          <w:sz w:val="24"/>
          <w:szCs w:val="24"/>
        </w:rPr>
        <w:t xml:space="preserve"> og er anført her: </w:t>
      </w:r>
      <w:hyperlink r:id="rId9" w:history="1">
        <w:r>
          <w:rPr>
            <w:rStyle w:val="Hyperlink"/>
            <w:i/>
            <w:iCs/>
            <w:sz w:val="22"/>
            <w:szCs w:val="22"/>
          </w:rPr>
          <w:t>https://www.ema.europa.eu/documents/other/minimum-inhibitory-concentration-mic-breakpoints_en.xlsx</w:t>
        </w:r>
      </w:hyperlink>
    </w:p>
    <w:p w:rsidR="00732984" w:rsidRDefault="00732984" w:rsidP="00732984">
      <w:pPr>
        <w:tabs>
          <w:tab w:val="left" w:pos="0"/>
          <w:tab w:val="left" w:pos="851"/>
        </w:tabs>
        <w:ind w:left="850" w:hanging="850"/>
        <w:rPr>
          <w:spacing w:val="-3"/>
          <w:sz w:val="24"/>
          <w:szCs w:val="24"/>
        </w:rPr>
      </w:pPr>
    </w:p>
    <w:p w:rsidR="00732984" w:rsidRDefault="00732984" w:rsidP="00732984">
      <w:pPr>
        <w:tabs>
          <w:tab w:val="left" w:pos="0"/>
          <w:tab w:val="left" w:pos="851"/>
        </w:tabs>
        <w:ind w:left="850" w:hanging="850"/>
        <w:rPr>
          <w:spacing w:val="-3"/>
          <w:sz w:val="24"/>
          <w:szCs w:val="24"/>
          <w:u w:val="single"/>
        </w:rPr>
      </w:pPr>
      <w:r>
        <w:rPr>
          <w:spacing w:val="-3"/>
          <w:sz w:val="24"/>
          <w:szCs w:val="24"/>
        </w:rPr>
        <w:tab/>
      </w:r>
      <w:r>
        <w:rPr>
          <w:spacing w:val="-3"/>
          <w:sz w:val="24"/>
          <w:szCs w:val="24"/>
          <w:u w:val="single"/>
        </w:rPr>
        <w:t>Prævalens af erhvervet resistens</w:t>
      </w:r>
    </w:p>
    <w:p w:rsidR="00732984" w:rsidRDefault="00732984" w:rsidP="00732984">
      <w:pPr>
        <w:tabs>
          <w:tab w:val="left" w:pos="0"/>
          <w:tab w:val="left" w:pos="851"/>
        </w:tabs>
        <w:ind w:left="850" w:hanging="850"/>
        <w:rPr>
          <w:spacing w:val="-3"/>
          <w:sz w:val="24"/>
          <w:szCs w:val="24"/>
        </w:rPr>
      </w:pPr>
      <w:r>
        <w:rPr>
          <w:spacing w:val="-3"/>
          <w:sz w:val="24"/>
          <w:szCs w:val="24"/>
        </w:rPr>
        <w:tab/>
        <w:t xml:space="preserve">Prævalensen af erhvervet resistens kan variere geografisk og over tid for udvalgte arter, og lokal information om resistens anbefales, især ved behandling af alvorlige infektioner. Der bør søges ekspertvurdering, hvis den lokale </w:t>
      </w:r>
      <w:proofErr w:type="spellStart"/>
      <w:r>
        <w:rPr>
          <w:spacing w:val="-3"/>
          <w:sz w:val="24"/>
          <w:szCs w:val="24"/>
        </w:rPr>
        <w:t>resistensprævalens</w:t>
      </w:r>
      <w:proofErr w:type="spellEnd"/>
      <w:r>
        <w:rPr>
          <w:spacing w:val="-3"/>
          <w:sz w:val="24"/>
          <w:szCs w:val="24"/>
        </w:rPr>
        <w:t xml:space="preserve"> er på et niveau, der gør anvendeligheden af lægemiddelstoffet tvivlsomt især ved visse typer infektioner. Ved alvorlige infektioner eller fejlslagen behandling anbefales det at foretage mikrobiologisk diagnose med verifikation af </w:t>
      </w:r>
      <w:proofErr w:type="spellStart"/>
      <w:r>
        <w:rPr>
          <w:spacing w:val="-3"/>
          <w:sz w:val="24"/>
          <w:szCs w:val="24"/>
        </w:rPr>
        <w:t>patogenet</w:t>
      </w:r>
      <w:proofErr w:type="spellEnd"/>
      <w:r>
        <w:rPr>
          <w:spacing w:val="-3"/>
          <w:sz w:val="24"/>
          <w:szCs w:val="24"/>
        </w:rPr>
        <w:t xml:space="preserve"> og dets følsomhed over for </w:t>
      </w:r>
      <w:proofErr w:type="spellStart"/>
      <w:r>
        <w:rPr>
          <w:spacing w:val="-3"/>
          <w:sz w:val="24"/>
          <w:szCs w:val="24"/>
        </w:rPr>
        <w:t>clindamycin</w:t>
      </w:r>
      <w:proofErr w:type="spellEnd"/>
      <w:r>
        <w:rPr>
          <w:spacing w:val="-3"/>
          <w:sz w:val="24"/>
          <w:szCs w:val="24"/>
        </w:rPr>
        <w:t>.</w:t>
      </w:r>
    </w:p>
    <w:p w:rsidR="006268B0" w:rsidRPr="007F475C" w:rsidRDefault="006268B0" w:rsidP="00732984">
      <w:pPr>
        <w:tabs>
          <w:tab w:val="left" w:pos="0"/>
          <w:tab w:val="left" w:pos="851"/>
        </w:tabs>
        <w:rPr>
          <w:sz w:val="24"/>
          <w:szCs w:val="24"/>
        </w:rPr>
      </w:pPr>
    </w:p>
    <w:p w:rsidR="006268B0" w:rsidRPr="007F475C" w:rsidRDefault="006268B0" w:rsidP="006268B0">
      <w:pPr>
        <w:tabs>
          <w:tab w:val="left" w:pos="851"/>
        </w:tabs>
        <w:rPr>
          <w:b/>
          <w:bCs/>
          <w:sz w:val="24"/>
          <w:szCs w:val="24"/>
        </w:rPr>
      </w:pPr>
      <w:r w:rsidRPr="007F475C">
        <w:rPr>
          <w:b/>
          <w:bCs/>
          <w:sz w:val="24"/>
          <w:szCs w:val="24"/>
        </w:rPr>
        <w:t>5.2</w:t>
      </w:r>
      <w:r w:rsidRPr="007F475C">
        <w:rPr>
          <w:b/>
          <w:bCs/>
          <w:sz w:val="24"/>
          <w:szCs w:val="24"/>
        </w:rPr>
        <w:tab/>
      </w:r>
      <w:proofErr w:type="spellStart"/>
      <w:r w:rsidRPr="007F475C">
        <w:rPr>
          <w:b/>
          <w:bCs/>
          <w:sz w:val="24"/>
          <w:szCs w:val="24"/>
        </w:rPr>
        <w:t>Farmakokinetiske</w:t>
      </w:r>
      <w:proofErr w:type="spellEnd"/>
      <w:r w:rsidRPr="007F475C">
        <w:rPr>
          <w:b/>
          <w:bCs/>
          <w:sz w:val="24"/>
          <w:szCs w:val="24"/>
        </w:rPr>
        <w:t xml:space="preserve"> egenskaber</w:t>
      </w:r>
    </w:p>
    <w:p w:rsidR="006268B0" w:rsidRPr="007F475C" w:rsidRDefault="006268B0" w:rsidP="006268B0">
      <w:pPr>
        <w:ind w:left="855"/>
        <w:rPr>
          <w:sz w:val="24"/>
          <w:szCs w:val="24"/>
        </w:rPr>
      </w:pPr>
      <w:r w:rsidRPr="007F475C">
        <w:rPr>
          <w:sz w:val="24"/>
          <w:szCs w:val="24"/>
        </w:rPr>
        <w:t xml:space="preserve">Serumniveau-studier med en 150 mg oral dosis af </w:t>
      </w:r>
      <w:proofErr w:type="spellStart"/>
      <w:r w:rsidRPr="007F475C">
        <w:rPr>
          <w:sz w:val="24"/>
          <w:szCs w:val="24"/>
        </w:rPr>
        <w:t>clindamycinhydrochlorid</w:t>
      </w:r>
      <w:proofErr w:type="spellEnd"/>
      <w:r w:rsidRPr="007F475C">
        <w:rPr>
          <w:sz w:val="24"/>
          <w:szCs w:val="24"/>
        </w:rPr>
        <w:t xml:space="preserve"> givet til 24 raske voksne forsøgspersoner viste, at </w:t>
      </w:r>
      <w:proofErr w:type="spellStart"/>
      <w:r w:rsidRPr="007F475C">
        <w:rPr>
          <w:sz w:val="24"/>
          <w:szCs w:val="24"/>
        </w:rPr>
        <w:t>clindamycin</w:t>
      </w:r>
      <w:proofErr w:type="spellEnd"/>
      <w:r w:rsidRPr="007F475C">
        <w:rPr>
          <w:sz w:val="24"/>
          <w:szCs w:val="24"/>
        </w:rPr>
        <w:t xml:space="preserve"> hurtigt blev absorberet efter oral administration. Et gennemsnitligt maksimalt serumniveau på 2,50 µg/ml opnås efter 45 minutter. Serumniveauer udgør i gennemsnit 1,51 µg/</w:t>
      </w:r>
      <w:proofErr w:type="spellStart"/>
      <w:r w:rsidRPr="007F475C">
        <w:rPr>
          <w:sz w:val="24"/>
          <w:szCs w:val="24"/>
        </w:rPr>
        <w:t>mL</w:t>
      </w:r>
      <w:proofErr w:type="spellEnd"/>
      <w:r w:rsidRPr="007F475C">
        <w:rPr>
          <w:sz w:val="24"/>
          <w:szCs w:val="24"/>
        </w:rPr>
        <w:t xml:space="preserve"> efter 3 timer og 0,70 µg/ml efter 6 timer. Absorptionen af en oral dosis er næsten fuldstændig (90 %), og samtidig fødeindtagelse ændrer ikke væsentligt på serumkoncentrationerne. Serumniveauerne er ensartede og forudsigelige fra person til person og fra dosis til dosis. Serumniveau-studier foretaget efter indtagelse af flere doser </w:t>
      </w:r>
      <w:proofErr w:type="spellStart"/>
      <w:r w:rsidRPr="007F475C">
        <w:rPr>
          <w:sz w:val="24"/>
          <w:szCs w:val="24"/>
        </w:rPr>
        <w:t>clindamycinhydrochlorid</w:t>
      </w:r>
      <w:proofErr w:type="spellEnd"/>
      <w:r w:rsidRPr="007F475C">
        <w:rPr>
          <w:sz w:val="24"/>
          <w:szCs w:val="24"/>
        </w:rPr>
        <w:t xml:space="preserve"> i op til 14 dage viser ingen tegn på akkumulering eller ændret metabolisme af lægemidlet. Serum-halveringstiden for </w:t>
      </w:r>
      <w:proofErr w:type="spellStart"/>
      <w:r w:rsidRPr="007F475C">
        <w:rPr>
          <w:sz w:val="24"/>
          <w:szCs w:val="24"/>
        </w:rPr>
        <w:t>clindamycin</w:t>
      </w:r>
      <w:proofErr w:type="spellEnd"/>
      <w:r w:rsidRPr="007F475C">
        <w:rPr>
          <w:sz w:val="24"/>
          <w:szCs w:val="24"/>
        </w:rPr>
        <w:t xml:space="preserve"> øges let hos patienter med markant nedsat nyrefunktion. </w:t>
      </w:r>
    </w:p>
    <w:p w:rsidR="006268B0" w:rsidRPr="007F475C" w:rsidRDefault="006268B0" w:rsidP="006268B0">
      <w:pPr>
        <w:ind w:left="855"/>
        <w:rPr>
          <w:sz w:val="24"/>
          <w:szCs w:val="24"/>
        </w:rPr>
      </w:pPr>
      <w:r w:rsidRPr="007F475C">
        <w:rPr>
          <w:sz w:val="24"/>
          <w:szCs w:val="24"/>
        </w:rPr>
        <w:t xml:space="preserve">Hæmodialyse og </w:t>
      </w:r>
      <w:proofErr w:type="spellStart"/>
      <w:r w:rsidRPr="007F475C">
        <w:rPr>
          <w:sz w:val="24"/>
          <w:szCs w:val="24"/>
        </w:rPr>
        <w:t>peritoneal</w:t>
      </w:r>
      <w:proofErr w:type="spellEnd"/>
      <w:r w:rsidRPr="007F475C">
        <w:rPr>
          <w:sz w:val="24"/>
          <w:szCs w:val="24"/>
        </w:rPr>
        <w:t xml:space="preserve"> dialyse er ikke effektive behandlingsmetoder til at fjerne </w:t>
      </w:r>
      <w:proofErr w:type="spellStart"/>
      <w:r w:rsidRPr="007F475C">
        <w:rPr>
          <w:sz w:val="24"/>
          <w:szCs w:val="24"/>
        </w:rPr>
        <w:t>clindamycin</w:t>
      </w:r>
      <w:proofErr w:type="spellEnd"/>
      <w:r w:rsidRPr="007F475C">
        <w:rPr>
          <w:sz w:val="24"/>
          <w:szCs w:val="24"/>
        </w:rPr>
        <w:t xml:space="preserve"> fra serum. </w:t>
      </w:r>
      <w:proofErr w:type="spellStart"/>
      <w:r w:rsidRPr="007F475C">
        <w:rPr>
          <w:sz w:val="24"/>
          <w:szCs w:val="24"/>
        </w:rPr>
        <w:t>Clindamycinkoncentrationer</w:t>
      </w:r>
      <w:proofErr w:type="spellEnd"/>
      <w:r w:rsidRPr="007F475C">
        <w:rPr>
          <w:sz w:val="24"/>
          <w:szCs w:val="24"/>
        </w:rPr>
        <w:t xml:space="preserve"> i serum øges lineært med øget dosis. Serumniveauer overstiger MIC (minimumshæmmende koncentration) for de fleste indicerede bakterier i mindst 6 timer efter administration af de sædvanligt anbefalede doser. </w:t>
      </w:r>
      <w:proofErr w:type="spellStart"/>
      <w:r w:rsidRPr="007F475C">
        <w:rPr>
          <w:sz w:val="24"/>
          <w:szCs w:val="24"/>
        </w:rPr>
        <w:t>Clindamycin</w:t>
      </w:r>
      <w:proofErr w:type="spellEnd"/>
      <w:r w:rsidRPr="007F475C">
        <w:rPr>
          <w:sz w:val="24"/>
          <w:szCs w:val="24"/>
        </w:rPr>
        <w:t xml:space="preserve"> fordeles i stor udstrækning til legemsvæsker og væv (</w:t>
      </w:r>
      <w:proofErr w:type="gramStart"/>
      <w:r w:rsidRPr="007F475C">
        <w:rPr>
          <w:sz w:val="24"/>
          <w:szCs w:val="24"/>
        </w:rPr>
        <w:t>inklusiv</w:t>
      </w:r>
      <w:proofErr w:type="gramEnd"/>
      <w:r w:rsidRPr="007F475C">
        <w:rPr>
          <w:sz w:val="24"/>
          <w:szCs w:val="24"/>
        </w:rPr>
        <w:t xml:space="preserve"> knogler). </w:t>
      </w:r>
      <w:r w:rsidRPr="007F475C">
        <w:rPr>
          <w:i/>
          <w:sz w:val="24"/>
          <w:szCs w:val="24"/>
        </w:rPr>
        <w:t xml:space="preserve">In </w:t>
      </w:r>
      <w:proofErr w:type="spellStart"/>
      <w:r w:rsidRPr="007F475C">
        <w:rPr>
          <w:i/>
          <w:sz w:val="24"/>
          <w:szCs w:val="24"/>
        </w:rPr>
        <w:t>vitro</w:t>
      </w:r>
      <w:proofErr w:type="spellEnd"/>
      <w:r w:rsidRPr="007F475C">
        <w:rPr>
          <w:sz w:val="24"/>
          <w:szCs w:val="24"/>
        </w:rPr>
        <w:t xml:space="preserve"> forsøg med human lever og </w:t>
      </w:r>
      <w:proofErr w:type="spellStart"/>
      <w:r w:rsidRPr="007F475C">
        <w:rPr>
          <w:sz w:val="24"/>
          <w:szCs w:val="24"/>
        </w:rPr>
        <w:t>intestinalmikrosomer</w:t>
      </w:r>
      <w:proofErr w:type="spellEnd"/>
      <w:r w:rsidRPr="007F475C">
        <w:rPr>
          <w:sz w:val="24"/>
          <w:szCs w:val="24"/>
        </w:rPr>
        <w:t xml:space="preserve"> viste at </w:t>
      </w:r>
      <w:proofErr w:type="spellStart"/>
      <w:r w:rsidRPr="007F475C">
        <w:rPr>
          <w:sz w:val="24"/>
          <w:szCs w:val="24"/>
        </w:rPr>
        <w:t>clindamycin</w:t>
      </w:r>
      <w:proofErr w:type="spellEnd"/>
      <w:r w:rsidRPr="007F475C">
        <w:rPr>
          <w:sz w:val="24"/>
          <w:szCs w:val="24"/>
        </w:rPr>
        <w:t xml:space="preserve"> primært oxideres af </w:t>
      </w:r>
      <w:r w:rsidRPr="007F475C">
        <w:rPr>
          <w:iCs/>
          <w:sz w:val="24"/>
          <w:szCs w:val="24"/>
        </w:rPr>
        <w:t xml:space="preserve">CYP3A4 og i mindre grad af CYP3A5, som danner </w:t>
      </w:r>
      <w:proofErr w:type="spellStart"/>
      <w:r w:rsidRPr="007F475C">
        <w:rPr>
          <w:iCs/>
          <w:sz w:val="24"/>
          <w:szCs w:val="24"/>
        </w:rPr>
        <w:t>clindamycinsulfoxid</w:t>
      </w:r>
      <w:proofErr w:type="spellEnd"/>
      <w:r w:rsidRPr="007F475C">
        <w:rPr>
          <w:iCs/>
          <w:sz w:val="24"/>
          <w:szCs w:val="24"/>
        </w:rPr>
        <w:t xml:space="preserve"> og en sekundær metabolit, N</w:t>
      </w:r>
      <w:r w:rsidRPr="007F475C">
        <w:rPr>
          <w:iCs/>
          <w:sz w:val="24"/>
          <w:szCs w:val="24"/>
        </w:rPr>
        <w:noBreakHyphen/>
      </w:r>
      <w:proofErr w:type="spellStart"/>
      <w:r w:rsidRPr="007F475C">
        <w:rPr>
          <w:iCs/>
          <w:sz w:val="24"/>
          <w:szCs w:val="24"/>
        </w:rPr>
        <w:t>desmethylclindamycin</w:t>
      </w:r>
      <w:proofErr w:type="spellEnd"/>
      <w:r w:rsidRPr="007F475C">
        <w:rPr>
          <w:iCs/>
          <w:sz w:val="24"/>
          <w:szCs w:val="24"/>
        </w:rPr>
        <w:t>.</w:t>
      </w:r>
    </w:p>
    <w:p w:rsidR="006268B0" w:rsidRPr="007F475C" w:rsidRDefault="006268B0" w:rsidP="006268B0">
      <w:pPr>
        <w:ind w:left="855"/>
        <w:rPr>
          <w:sz w:val="24"/>
          <w:szCs w:val="24"/>
        </w:rPr>
      </w:pPr>
      <w:r w:rsidRPr="007F475C">
        <w:rPr>
          <w:sz w:val="24"/>
          <w:szCs w:val="24"/>
        </w:rPr>
        <w:t xml:space="preserve">Plasmahalveringstid 2,4 timer. Omtrent 10 % udskilles i urinen og 3,6 % i fæces. Resten udskilles som inaktive metabolitter. </w:t>
      </w:r>
    </w:p>
    <w:p w:rsidR="006268B0" w:rsidRPr="007F475C" w:rsidRDefault="006268B0" w:rsidP="006268B0">
      <w:pPr>
        <w:ind w:left="855"/>
        <w:rPr>
          <w:sz w:val="24"/>
          <w:szCs w:val="24"/>
        </w:rPr>
      </w:pPr>
      <w:r w:rsidRPr="007F475C">
        <w:rPr>
          <w:sz w:val="24"/>
          <w:szCs w:val="24"/>
        </w:rPr>
        <w:t xml:space="preserve">Doser på op til 2 g </w:t>
      </w:r>
      <w:proofErr w:type="spellStart"/>
      <w:r w:rsidRPr="007F475C">
        <w:rPr>
          <w:sz w:val="24"/>
          <w:szCs w:val="24"/>
        </w:rPr>
        <w:t>clindamycin</w:t>
      </w:r>
      <w:proofErr w:type="spellEnd"/>
      <w:r w:rsidRPr="007F475C">
        <w:rPr>
          <w:sz w:val="24"/>
          <w:szCs w:val="24"/>
        </w:rPr>
        <w:t xml:space="preserve"> dagligt i 14 dage er veltolererede hos raske forsøgspersoner bortset fra, at hyppigheden af </w:t>
      </w:r>
      <w:proofErr w:type="spellStart"/>
      <w:r w:rsidRPr="007F475C">
        <w:rPr>
          <w:sz w:val="24"/>
          <w:szCs w:val="24"/>
        </w:rPr>
        <w:t>gastrointestinale</w:t>
      </w:r>
      <w:proofErr w:type="spellEnd"/>
      <w:r w:rsidRPr="007F475C">
        <w:rPr>
          <w:sz w:val="24"/>
          <w:szCs w:val="24"/>
        </w:rPr>
        <w:t xml:space="preserve"> bivirkninger er øget ved de højere doser. Der nås ikke signifikant niveau af </w:t>
      </w:r>
      <w:proofErr w:type="spellStart"/>
      <w:r w:rsidRPr="007F475C">
        <w:rPr>
          <w:sz w:val="24"/>
          <w:szCs w:val="24"/>
        </w:rPr>
        <w:t>clindamycin</w:t>
      </w:r>
      <w:proofErr w:type="spellEnd"/>
      <w:r w:rsidRPr="007F475C">
        <w:rPr>
          <w:sz w:val="24"/>
          <w:szCs w:val="24"/>
        </w:rPr>
        <w:t xml:space="preserve"> i cerebrospinalvæsken, selv ved inflammation af hjerne- og rygmarvshinder. Efter oral administration af </w:t>
      </w:r>
      <w:proofErr w:type="spellStart"/>
      <w:r w:rsidRPr="007F475C">
        <w:rPr>
          <w:sz w:val="24"/>
          <w:szCs w:val="24"/>
        </w:rPr>
        <w:t>clindamycinhydrochlorid</w:t>
      </w:r>
      <w:proofErr w:type="spellEnd"/>
      <w:r w:rsidRPr="007F475C">
        <w:rPr>
          <w:sz w:val="24"/>
          <w:szCs w:val="24"/>
        </w:rPr>
        <w:t xml:space="preserve"> er eliminationshalveringstiden ca. 4,0 timer (varierer fra 3,4–5,1 timer) hos ældre sammenlignet med 3,2 timer (varierer fra 2,1-4,2 timer) hos yngre voksne. Absorptionsgraden er dog ikke forskellig mellem aldersgrupperne, og dosisjustering hos ældre, med normal leverfunktion og normal (alders-tilpasset) nyrefunktion, er ikke nødvendig.</w:t>
      </w:r>
      <w:r w:rsidRPr="007F475C">
        <w:rPr>
          <w:sz w:val="24"/>
          <w:szCs w:val="24"/>
        </w:rPr>
        <w:tab/>
      </w:r>
    </w:p>
    <w:p w:rsidR="006268B0" w:rsidRDefault="006268B0" w:rsidP="006268B0">
      <w:pPr>
        <w:tabs>
          <w:tab w:val="left" w:pos="851"/>
        </w:tabs>
        <w:ind w:left="855"/>
        <w:rPr>
          <w:sz w:val="24"/>
          <w:szCs w:val="24"/>
        </w:rPr>
      </w:pPr>
      <w:r w:rsidRPr="007F475C">
        <w:rPr>
          <w:sz w:val="24"/>
          <w:szCs w:val="24"/>
        </w:rPr>
        <w:t>Proteinbinding ca. 90 %.</w:t>
      </w:r>
    </w:p>
    <w:p w:rsidR="00BD0D47" w:rsidRDefault="00BD0D47" w:rsidP="00BD0D47">
      <w:pPr>
        <w:tabs>
          <w:tab w:val="left" w:pos="851"/>
        </w:tabs>
        <w:rPr>
          <w:sz w:val="24"/>
          <w:szCs w:val="24"/>
        </w:rPr>
      </w:pPr>
    </w:p>
    <w:p w:rsidR="00BD0D47" w:rsidRDefault="00BD0D47" w:rsidP="00BD0D47">
      <w:pPr>
        <w:tabs>
          <w:tab w:val="left" w:pos="851"/>
        </w:tabs>
        <w:ind w:left="855"/>
        <w:rPr>
          <w:sz w:val="24"/>
          <w:szCs w:val="24"/>
        </w:rPr>
      </w:pPr>
      <w:bookmarkStart w:id="1" w:name="_Hlk82598008"/>
      <w:r w:rsidRPr="00846B93">
        <w:rPr>
          <w:sz w:val="24"/>
          <w:szCs w:val="24"/>
          <w:u w:val="single"/>
        </w:rPr>
        <w:t xml:space="preserve">Overvægtige </w:t>
      </w:r>
      <w:r>
        <w:rPr>
          <w:sz w:val="24"/>
          <w:szCs w:val="24"/>
          <w:u w:val="single"/>
        </w:rPr>
        <w:t xml:space="preserve">pædiatriske </w:t>
      </w:r>
      <w:r w:rsidRPr="00846B93">
        <w:rPr>
          <w:sz w:val="24"/>
          <w:szCs w:val="24"/>
          <w:u w:val="single"/>
        </w:rPr>
        <w:t xml:space="preserve">patienter </w:t>
      </w:r>
      <w:r>
        <w:rPr>
          <w:sz w:val="24"/>
          <w:szCs w:val="24"/>
          <w:u w:val="single"/>
        </w:rPr>
        <w:t>i alderen</w:t>
      </w:r>
      <w:r w:rsidRPr="008A7F9D">
        <w:rPr>
          <w:sz w:val="24"/>
          <w:szCs w:val="24"/>
          <w:u w:val="single"/>
        </w:rPr>
        <w:t xml:space="preserve"> 2</w:t>
      </w:r>
      <w:r>
        <w:rPr>
          <w:sz w:val="24"/>
          <w:szCs w:val="24"/>
          <w:u w:val="single"/>
        </w:rPr>
        <w:t xml:space="preserve"> til &lt;</w:t>
      </w:r>
      <w:r w:rsidRPr="00846B93">
        <w:rPr>
          <w:sz w:val="24"/>
          <w:szCs w:val="24"/>
          <w:u w:val="single"/>
        </w:rPr>
        <w:t xml:space="preserve">18 år og overvægtige voksne </w:t>
      </w:r>
      <w:r>
        <w:rPr>
          <w:sz w:val="24"/>
          <w:szCs w:val="24"/>
          <w:u w:val="single"/>
        </w:rPr>
        <w:t>i alderen</w:t>
      </w:r>
      <w:r w:rsidRPr="008A7F9D">
        <w:rPr>
          <w:sz w:val="24"/>
          <w:szCs w:val="24"/>
          <w:u w:val="single"/>
        </w:rPr>
        <w:t xml:space="preserve"> 18</w:t>
      </w:r>
      <w:r>
        <w:rPr>
          <w:sz w:val="24"/>
          <w:szCs w:val="24"/>
          <w:u w:val="single"/>
        </w:rPr>
        <w:t xml:space="preserve"> til </w:t>
      </w:r>
      <w:r w:rsidRPr="008A7F9D">
        <w:rPr>
          <w:sz w:val="24"/>
          <w:szCs w:val="24"/>
          <w:u w:val="single"/>
        </w:rPr>
        <w:t>20 år</w:t>
      </w:r>
    </w:p>
    <w:p w:rsidR="00BD0D47" w:rsidRPr="00917398" w:rsidRDefault="00BD0D47" w:rsidP="00BD0D47">
      <w:pPr>
        <w:tabs>
          <w:tab w:val="left" w:pos="851"/>
        </w:tabs>
        <w:ind w:left="851"/>
        <w:rPr>
          <w:sz w:val="24"/>
          <w:szCs w:val="24"/>
        </w:rPr>
      </w:pPr>
      <w:r w:rsidRPr="00917398">
        <w:rPr>
          <w:sz w:val="24"/>
          <w:szCs w:val="24"/>
        </w:rPr>
        <w:t xml:space="preserve">En analyse af </w:t>
      </w:r>
      <w:proofErr w:type="spellStart"/>
      <w:r w:rsidRPr="00917398">
        <w:rPr>
          <w:sz w:val="24"/>
          <w:szCs w:val="24"/>
        </w:rPr>
        <w:t>farmakokinetiske</w:t>
      </w:r>
      <w:proofErr w:type="spellEnd"/>
      <w:r w:rsidRPr="00917398">
        <w:rPr>
          <w:sz w:val="24"/>
          <w:szCs w:val="24"/>
        </w:rPr>
        <w:t xml:space="preserve"> data </w:t>
      </w:r>
      <w:r w:rsidRPr="00365C72">
        <w:rPr>
          <w:sz w:val="24"/>
          <w:szCs w:val="24"/>
        </w:rPr>
        <w:t>hos</w:t>
      </w:r>
      <w:r w:rsidRPr="00917398">
        <w:rPr>
          <w:sz w:val="24"/>
          <w:szCs w:val="24"/>
        </w:rPr>
        <w:t xml:space="preserve"> overvægtige pædiatriske patienter i alderen 2 til </w:t>
      </w:r>
      <w:r>
        <w:rPr>
          <w:sz w:val="24"/>
          <w:szCs w:val="24"/>
        </w:rPr>
        <w:t>&lt;</w:t>
      </w:r>
      <w:r w:rsidRPr="00917398">
        <w:rPr>
          <w:sz w:val="24"/>
          <w:szCs w:val="24"/>
        </w:rPr>
        <w:t xml:space="preserve">18 år og overvægtige voksne i alderen 18 til 20 år viste, at </w:t>
      </w:r>
      <w:proofErr w:type="spellStart"/>
      <w:r w:rsidRPr="00917398">
        <w:rPr>
          <w:sz w:val="24"/>
          <w:szCs w:val="24"/>
        </w:rPr>
        <w:t>clindamycin-clearance</w:t>
      </w:r>
      <w:proofErr w:type="spellEnd"/>
      <w:r w:rsidRPr="00917398">
        <w:rPr>
          <w:sz w:val="24"/>
          <w:szCs w:val="24"/>
        </w:rPr>
        <w:t xml:space="preserve"> og fordelingsvolumen normaliseret </w:t>
      </w:r>
      <w:r>
        <w:rPr>
          <w:sz w:val="24"/>
          <w:szCs w:val="24"/>
        </w:rPr>
        <w:t>for</w:t>
      </w:r>
      <w:r w:rsidRPr="00917398">
        <w:rPr>
          <w:sz w:val="24"/>
          <w:szCs w:val="24"/>
        </w:rPr>
        <w:t xml:space="preserve"> total kropsvægt er sammenlignelig uanset </w:t>
      </w:r>
      <w:r>
        <w:rPr>
          <w:sz w:val="24"/>
          <w:szCs w:val="24"/>
        </w:rPr>
        <w:t>overvægt</w:t>
      </w:r>
      <w:r w:rsidRPr="00917398">
        <w:rPr>
          <w:sz w:val="24"/>
          <w:szCs w:val="24"/>
        </w:rPr>
        <w:t>.</w:t>
      </w:r>
    </w:p>
    <w:bookmarkEnd w:id="1"/>
    <w:p w:rsidR="006268B0" w:rsidRPr="007F475C" w:rsidRDefault="006268B0" w:rsidP="00732984">
      <w:pPr>
        <w:keepNext/>
        <w:tabs>
          <w:tab w:val="left" w:pos="851"/>
        </w:tabs>
        <w:rPr>
          <w:sz w:val="24"/>
          <w:szCs w:val="24"/>
        </w:rPr>
      </w:pPr>
    </w:p>
    <w:p w:rsidR="006268B0" w:rsidRPr="007F475C" w:rsidRDefault="00BD0D47" w:rsidP="00732984">
      <w:pPr>
        <w:keepNext/>
        <w:numPr>
          <w:ilvl w:val="1"/>
          <w:numId w:val="8"/>
        </w:numPr>
        <w:rPr>
          <w:sz w:val="24"/>
          <w:szCs w:val="24"/>
        </w:rPr>
      </w:pPr>
      <w:r>
        <w:rPr>
          <w:b/>
          <w:bCs/>
          <w:sz w:val="24"/>
          <w:szCs w:val="24"/>
        </w:rPr>
        <w:t>Non-</w:t>
      </w:r>
      <w:r w:rsidR="006268B0" w:rsidRPr="007F475C">
        <w:rPr>
          <w:b/>
          <w:bCs/>
          <w:sz w:val="24"/>
          <w:szCs w:val="24"/>
        </w:rPr>
        <w:t>kliniske sikkerhedsdata</w:t>
      </w:r>
      <w:r w:rsidR="006268B0" w:rsidRPr="007F475C">
        <w:rPr>
          <w:sz w:val="24"/>
          <w:szCs w:val="24"/>
          <w:u w:val="single"/>
        </w:rPr>
        <w:t xml:space="preserve"> </w:t>
      </w:r>
    </w:p>
    <w:p w:rsidR="006268B0" w:rsidRPr="007F475C" w:rsidRDefault="006268B0" w:rsidP="00732984">
      <w:pPr>
        <w:keepNext/>
        <w:tabs>
          <w:tab w:val="left" w:pos="851"/>
        </w:tabs>
        <w:ind w:left="855"/>
        <w:rPr>
          <w:sz w:val="24"/>
          <w:szCs w:val="24"/>
          <w:u w:val="single"/>
        </w:rPr>
      </w:pPr>
    </w:p>
    <w:p w:rsidR="006268B0" w:rsidRPr="007F475C" w:rsidRDefault="006268B0" w:rsidP="00732984">
      <w:pPr>
        <w:keepNext/>
        <w:tabs>
          <w:tab w:val="left" w:pos="851"/>
        </w:tabs>
        <w:ind w:left="855"/>
        <w:rPr>
          <w:sz w:val="24"/>
          <w:szCs w:val="24"/>
          <w:u w:val="single"/>
        </w:rPr>
      </w:pPr>
      <w:proofErr w:type="spellStart"/>
      <w:r w:rsidRPr="007F475C">
        <w:rPr>
          <w:sz w:val="24"/>
          <w:szCs w:val="24"/>
          <w:u w:val="single"/>
        </w:rPr>
        <w:t>Karcinogenicitet</w:t>
      </w:r>
      <w:proofErr w:type="spellEnd"/>
    </w:p>
    <w:p w:rsidR="006268B0" w:rsidRPr="007F475C" w:rsidRDefault="006268B0" w:rsidP="006268B0">
      <w:pPr>
        <w:tabs>
          <w:tab w:val="left" w:pos="851"/>
        </w:tabs>
        <w:ind w:left="855"/>
        <w:rPr>
          <w:sz w:val="24"/>
          <w:szCs w:val="24"/>
        </w:rPr>
      </w:pPr>
      <w:r w:rsidRPr="007F475C">
        <w:rPr>
          <w:sz w:val="24"/>
          <w:szCs w:val="24"/>
        </w:rPr>
        <w:t xml:space="preserve">Der er ikke gennemført langtidsforsøg på dyr med </w:t>
      </w:r>
      <w:proofErr w:type="spellStart"/>
      <w:r w:rsidRPr="007F475C">
        <w:rPr>
          <w:sz w:val="24"/>
          <w:szCs w:val="24"/>
        </w:rPr>
        <w:t>clindamycin</w:t>
      </w:r>
      <w:proofErr w:type="spellEnd"/>
      <w:r w:rsidRPr="007F475C">
        <w:rPr>
          <w:sz w:val="24"/>
          <w:szCs w:val="24"/>
        </w:rPr>
        <w:t xml:space="preserve"> med henblik på at vurdere karcinogenetisk potentiale.</w:t>
      </w:r>
    </w:p>
    <w:p w:rsidR="006268B0" w:rsidRPr="007F475C" w:rsidRDefault="006268B0" w:rsidP="006268B0">
      <w:pPr>
        <w:tabs>
          <w:tab w:val="left" w:pos="851"/>
        </w:tabs>
        <w:ind w:left="855"/>
        <w:rPr>
          <w:sz w:val="24"/>
          <w:szCs w:val="24"/>
        </w:rPr>
      </w:pPr>
    </w:p>
    <w:p w:rsidR="006268B0" w:rsidRPr="007F475C" w:rsidRDefault="006268B0" w:rsidP="006268B0">
      <w:pPr>
        <w:tabs>
          <w:tab w:val="left" w:pos="851"/>
        </w:tabs>
        <w:ind w:left="855"/>
        <w:rPr>
          <w:sz w:val="24"/>
          <w:szCs w:val="24"/>
          <w:u w:val="single"/>
        </w:rPr>
      </w:pPr>
      <w:proofErr w:type="spellStart"/>
      <w:r w:rsidRPr="007F475C">
        <w:rPr>
          <w:sz w:val="24"/>
          <w:szCs w:val="24"/>
          <w:u w:val="single"/>
        </w:rPr>
        <w:t>Mutagenicitet</w:t>
      </w:r>
      <w:proofErr w:type="spellEnd"/>
    </w:p>
    <w:p w:rsidR="006268B0" w:rsidRPr="007F475C" w:rsidRDefault="006268B0" w:rsidP="006268B0">
      <w:pPr>
        <w:tabs>
          <w:tab w:val="left" w:pos="851"/>
        </w:tabs>
        <w:ind w:left="855"/>
        <w:rPr>
          <w:sz w:val="24"/>
          <w:szCs w:val="24"/>
        </w:rPr>
      </w:pPr>
      <w:r w:rsidRPr="007F475C">
        <w:rPr>
          <w:sz w:val="24"/>
          <w:szCs w:val="24"/>
        </w:rPr>
        <w:t xml:space="preserve">Udførte genotoksiske tests omfatter en </w:t>
      </w:r>
      <w:proofErr w:type="spellStart"/>
      <w:r w:rsidRPr="007F475C">
        <w:rPr>
          <w:sz w:val="24"/>
          <w:szCs w:val="24"/>
        </w:rPr>
        <w:t>mikronucleus</w:t>
      </w:r>
      <w:proofErr w:type="spellEnd"/>
      <w:r w:rsidRPr="007F475C">
        <w:rPr>
          <w:sz w:val="24"/>
          <w:szCs w:val="24"/>
        </w:rPr>
        <w:t xml:space="preserve"> test i rotter og en </w:t>
      </w:r>
      <w:proofErr w:type="spellStart"/>
      <w:r w:rsidRPr="007F475C">
        <w:rPr>
          <w:sz w:val="24"/>
          <w:szCs w:val="24"/>
        </w:rPr>
        <w:t>Ames</w:t>
      </w:r>
      <w:proofErr w:type="spellEnd"/>
      <w:r w:rsidRPr="007F475C">
        <w:rPr>
          <w:sz w:val="24"/>
          <w:szCs w:val="24"/>
        </w:rPr>
        <w:t xml:space="preserve"> Salmonella </w:t>
      </w:r>
      <w:proofErr w:type="spellStart"/>
      <w:r w:rsidRPr="007F475C">
        <w:rPr>
          <w:sz w:val="24"/>
          <w:szCs w:val="24"/>
        </w:rPr>
        <w:t>Reversion</w:t>
      </w:r>
      <w:proofErr w:type="spellEnd"/>
      <w:r w:rsidRPr="007F475C">
        <w:rPr>
          <w:sz w:val="24"/>
          <w:szCs w:val="24"/>
        </w:rPr>
        <w:t xml:space="preserve"> test. Resultater fra begge tests var negative. </w:t>
      </w:r>
    </w:p>
    <w:p w:rsidR="006268B0" w:rsidRPr="007F475C" w:rsidRDefault="006268B0" w:rsidP="006268B0">
      <w:pPr>
        <w:tabs>
          <w:tab w:val="left" w:pos="851"/>
        </w:tabs>
        <w:rPr>
          <w:sz w:val="24"/>
          <w:szCs w:val="24"/>
        </w:rPr>
      </w:pPr>
    </w:p>
    <w:p w:rsidR="006268B0" w:rsidRPr="007F475C" w:rsidRDefault="006268B0" w:rsidP="006268B0">
      <w:pPr>
        <w:tabs>
          <w:tab w:val="left" w:pos="851"/>
        </w:tabs>
        <w:ind w:left="855"/>
        <w:rPr>
          <w:sz w:val="24"/>
          <w:szCs w:val="24"/>
          <w:u w:val="single"/>
        </w:rPr>
      </w:pPr>
      <w:r w:rsidRPr="007F475C">
        <w:rPr>
          <w:sz w:val="24"/>
          <w:szCs w:val="24"/>
          <w:u w:val="single"/>
        </w:rPr>
        <w:t>Reproduktionstoksicitet</w:t>
      </w:r>
    </w:p>
    <w:p w:rsidR="006268B0" w:rsidRPr="007F475C" w:rsidRDefault="006268B0" w:rsidP="006268B0">
      <w:pPr>
        <w:tabs>
          <w:tab w:val="left" w:pos="851"/>
        </w:tabs>
        <w:ind w:left="855"/>
        <w:rPr>
          <w:sz w:val="24"/>
          <w:szCs w:val="24"/>
        </w:rPr>
      </w:pPr>
      <w:r w:rsidRPr="007F475C">
        <w:rPr>
          <w:sz w:val="24"/>
          <w:szCs w:val="24"/>
        </w:rPr>
        <w:t>I forsøg vedrørende embryo-</w:t>
      </w:r>
      <w:proofErr w:type="spellStart"/>
      <w:r w:rsidRPr="007F475C">
        <w:rPr>
          <w:sz w:val="24"/>
          <w:szCs w:val="24"/>
        </w:rPr>
        <w:t>føtal</w:t>
      </w:r>
      <w:proofErr w:type="spellEnd"/>
      <w:r w:rsidRPr="007F475C">
        <w:rPr>
          <w:sz w:val="24"/>
          <w:szCs w:val="24"/>
        </w:rPr>
        <w:t xml:space="preserve"> udvikling hos rotter ved oral dosering og forsøg vedrørende embryo-</w:t>
      </w:r>
      <w:proofErr w:type="spellStart"/>
      <w:r w:rsidRPr="007F475C">
        <w:rPr>
          <w:sz w:val="24"/>
          <w:szCs w:val="24"/>
        </w:rPr>
        <w:t>føtal</w:t>
      </w:r>
      <w:proofErr w:type="spellEnd"/>
      <w:r w:rsidRPr="007F475C">
        <w:rPr>
          <w:sz w:val="24"/>
          <w:szCs w:val="24"/>
        </w:rPr>
        <w:t xml:space="preserve"> udvikling hos rotter og kaniner ved subkutan dosering blev der kun observeret udviklingstoksicitet ved doser, som medførte </w:t>
      </w:r>
      <w:proofErr w:type="spellStart"/>
      <w:r w:rsidRPr="007F475C">
        <w:rPr>
          <w:sz w:val="24"/>
          <w:szCs w:val="24"/>
        </w:rPr>
        <w:t>maternel</w:t>
      </w:r>
      <w:proofErr w:type="spellEnd"/>
      <w:r w:rsidRPr="007F475C">
        <w:rPr>
          <w:sz w:val="24"/>
          <w:szCs w:val="24"/>
        </w:rPr>
        <w:t xml:space="preserve"> toksicitet.</w:t>
      </w:r>
    </w:p>
    <w:p w:rsidR="006268B0" w:rsidRPr="007F475C" w:rsidRDefault="006268B0" w:rsidP="006268B0">
      <w:pPr>
        <w:ind w:left="851"/>
        <w:rPr>
          <w:sz w:val="24"/>
          <w:szCs w:val="24"/>
        </w:rPr>
      </w:pPr>
    </w:p>
    <w:p w:rsidR="006268B0" w:rsidRPr="007F475C" w:rsidRDefault="006268B0" w:rsidP="006268B0">
      <w:pPr>
        <w:ind w:left="851"/>
        <w:rPr>
          <w:sz w:val="24"/>
          <w:szCs w:val="24"/>
        </w:rPr>
      </w:pPr>
      <w:r w:rsidRPr="007F475C">
        <w:rPr>
          <w:sz w:val="24"/>
          <w:szCs w:val="24"/>
        </w:rPr>
        <w:t xml:space="preserve">Reproduktionstoksicitetsforsøg på rotter og kaniner, der fik oralt (kun rotter) og subkutant </w:t>
      </w:r>
      <w:proofErr w:type="spellStart"/>
      <w:r w:rsidRPr="007F475C">
        <w:rPr>
          <w:sz w:val="24"/>
          <w:szCs w:val="24"/>
        </w:rPr>
        <w:t>clindamycin</w:t>
      </w:r>
      <w:proofErr w:type="spellEnd"/>
      <w:r w:rsidRPr="007F475C">
        <w:rPr>
          <w:sz w:val="24"/>
          <w:szCs w:val="24"/>
        </w:rPr>
        <w:t xml:space="preserve">, viste ingen tegn på fertilitetsforstyrrelser eller fosterbeskadigende egenskaber, </w:t>
      </w:r>
      <w:r w:rsidRPr="007F475C">
        <w:rPr>
          <w:spacing w:val="-3"/>
          <w:sz w:val="24"/>
          <w:szCs w:val="24"/>
        </w:rPr>
        <w:t>dog med undtagelse af doser som førte til</w:t>
      </w:r>
      <w:r w:rsidRPr="007F475C">
        <w:rPr>
          <w:sz w:val="24"/>
          <w:szCs w:val="24"/>
        </w:rPr>
        <w:t xml:space="preserve"> </w:t>
      </w:r>
      <w:proofErr w:type="spellStart"/>
      <w:r w:rsidRPr="007F475C">
        <w:rPr>
          <w:sz w:val="24"/>
          <w:szCs w:val="24"/>
        </w:rPr>
        <w:t>maternel</w:t>
      </w:r>
      <w:proofErr w:type="spellEnd"/>
      <w:r w:rsidRPr="007F475C">
        <w:rPr>
          <w:sz w:val="24"/>
          <w:szCs w:val="24"/>
        </w:rPr>
        <w:t xml:space="preserve"> toksicitet</w:t>
      </w:r>
    </w:p>
    <w:p w:rsidR="006268B0" w:rsidRPr="007F475C" w:rsidRDefault="006268B0" w:rsidP="006268B0">
      <w:pPr>
        <w:ind w:left="851"/>
        <w:rPr>
          <w:sz w:val="24"/>
          <w:szCs w:val="24"/>
        </w:rPr>
      </w:pPr>
      <w:r w:rsidRPr="007F475C">
        <w:rPr>
          <w:sz w:val="24"/>
          <w:szCs w:val="24"/>
        </w:rPr>
        <w:t>Resultater fra reproduktionsforsøg på dyr kan ikke umiddelbart overføres til mennesker.</w:t>
      </w:r>
    </w:p>
    <w:p w:rsidR="006268B0" w:rsidRPr="007F475C" w:rsidRDefault="006268B0" w:rsidP="006268B0">
      <w:pPr>
        <w:tabs>
          <w:tab w:val="left" w:pos="851"/>
        </w:tabs>
        <w:rPr>
          <w:sz w:val="24"/>
          <w:szCs w:val="24"/>
        </w:rPr>
      </w:pPr>
    </w:p>
    <w:p w:rsidR="006268B0" w:rsidRPr="007F475C" w:rsidRDefault="006268B0" w:rsidP="006268B0">
      <w:pPr>
        <w:tabs>
          <w:tab w:val="left" w:pos="851"/>
        </w:tabs>
        <w:rPr>
          <w:sz w:val="24"/>
          <w:szCs w:val="24"/>
        </w:rPr>
      </w:pPr>
    </w:p>
    <w:p w:rsidR="006268B0" w:rsidRPr="007F475C" w:rsidRDefault="006268B0" w:rsidP="006268B0">
      <w:pPr>
        <w:tabs>
          <w:tab w:val="left" w:pos="851"/>
        </w:tabs>
        <w:rPr>
          <w:b/>
          <w:sz w:val="24"/>
          <w:szCs w:val="24"/>
        </w:rPr>
      </w:pPr>
      <w:r w:rsidRPr="007F475C">
        <w:rPr>
          <w:b/>
          <w:sz w:val="24"/>
          <w:szCs w:val="24"/>
        </w:rPr>
        <w:t>6.</w:t>
      </w:r>
      <w:r w:rsidRPr="007F475C">
        <w:rPr>
          <w:b/>
          <w:sz w:val="24"/>
          <w:szCs w:val="24"/>
        </w:rPr>
        <w:tab/>
        <w:t>FARMACEUTISKE OPLYSNINGER</w:t>
      </w:r>
    </w:p>
    <w:p w:rsidR="006268B0" w:rsidRPr="007F475C" w:rsidRDefault="006268B0" w:rsidP="006268B0">
      <w:pPr>
        <w:tabs>
          <w:tab w:val="left" w:pos="851"/>
        </w:tabs>
        <w:rPr>
          <w:b/>
          <w:sz w:val="24"/>
          <w:szCs w:val="24"/>
        </w:rPr>
      </w:pPr>
    </w:p>
    <w:p w:rsidR="006268B0" w:rsidRPr="007F475C" w:rsidRDefault="006268B0" w:rsidP="006268B0">
      <w:pPr>
        <w:numPr>
          <w:ilvl w:val="1"/>
          <w:numId w:val="9"/>
        </w:numPr>
        <w:rPr>
          <w:b/>
          <w:sz w:val="24"/>
          <w:szCs w:val="24"/>
        </w:rPr>
      </w:pPr>
      <w:r w:rsidRPr="007F475C">
        <w:rPr>
          <w:b/>
          <w:sz w:val="24"/>
          <w:szCs w:val="24"/>
        </w:rPr>
        <w:t>Hjælpestoffer</w:t>
      </w:r>
    </w:p>
    <w:p w:rsidR="006268B0" w:rsidRPr="007F475C" w:rsidRDefault="006268B0" w:rsidP="006268B0">
      <w:pPr>
        <w:keepNext/>
        <w:tabs>
          <w:tab w:val="left" w:pos="851"/>
        </w:tabs>
        <w:ind w:left="855"/>
        <w:rPr>
          <w:sz w:val="24"/>
          <w:szCs w:val="24"/>
        </w:rPr>
      </w:pPr>
    </w:p>
    <w:p w:rsidR="006268B0" w:rsidRPr="007F475C" w:rsidRDefault="006268B0" w:rsidP="006268B0">
      <w:pPr>
        <w:tabs>
          <w:tab w:val="left" w:pos="851"/>
        </w:tabs>
        <w:ind w:left="855"/>
        <w:rPr>
          <w:sz w:val="24"/>
          <w:szCs w:val="24"/>
        </w:rPr>
      </w:pPr>
      <w:proofErr w:type="spellStart"/>
      <w:r w:rsidRPr="007F475C">
        <w:rPr>
          <w:sz w:val="24"/>
          <w:szCs w:val="24"/>
        </w:rPr>
        <w:t>Lactosemonohydrat</w:t>
      </w:r>
      <w:proofErr w:type="spellEnd"/>
    </w:p>
    <w:p w:rsidR="006268B0" w:rsidRPr="007F475C" w:rsidRDefault="006268B0" w:rsidP="006268B0">
      <w:pPr>
        <w:tabs>
          <w:tab w:val="left" w:pos="851"/>
        </w:tabs>
        <w:ind w:left="855"/>
        <w:rPr>
          <w:sz w:val="24"/>
          <w:szCs w:val="24"/>
        </w:rPr>
      </w:pPr>
      <w:r w:rsidRPr="007F475C">
        <w:rPr>
          <w:sz w:val="24"/>
          <w:szCs w:val="24"/>
        </w:rPr>
        <w:t xml:space="preserve">Vegetabilsk </w:t>
      </w:r>
      <w:proofErr w:type="spellStart"/>
      <w:r w:rsidRPr="007F475C">
        <w:rPr>
          <w:sz w:val="24"/>
          <w:szCs w:val="24"/>
        </w:rPr>
        <w:t>magnesiumstearat</w:t>
      </w:r>
      <w:proofErr w:type="spellEnd"/>
    </w:p>
    <w:p w:rsidR="006268B0" w:rsidRPr="007F475C" w:rsidRDefault="006268B0" w:rsidP="006268B0">
      <w:pPr>
        <w:tabs>
          <w:tab w:val="left" w:pos="851"/>
        </w:tabs>
        <w:ind w:left="855"/>
        <w:rPr>
          <w:sz w:val="24"/>
          <w:szCs w:val="24"/>
        </w:rPr>
      </w:pPr>
      <w:r w:rsidRPr="007F475C">
        <w:rPr>
          <w:sz w:val="24"/>
          <w:szCs w:val="24"/>
        </w:rPr>
        <w:t>Majsstivelse</w:t>
      </w:r>
    </w:p>
    <w:p w:rsidR="006268B0" w:rsidRPr="007F475C" w:rsidRDefault="006268B0" w:rsidP="006268B0">
      <w:pPr>
        <w:tabs>
          <w:tab w:val="left" w:pos="851"/>
        </w:tabs>
        <w:ind w:left="855"/>
        <w:rPr>
          <w:sz w:val="24"/>
          <w:szCs w:val="24"/>
        </w:rPr>
      </w:pPr>
      <w:proofErr w:type="spellStart"/>
      <w:r w:rsidRPr="007F475C">
        <w:rPr>
          <w:sz w:val="24"/>
          <w:szCs w:val="24"/>
        </w:rPr>
        <w:t>Talcum</w:t>
      </w:r>
      <w:proofErr w:type="spellEnd"/>
    </w:p>
    <w:p w:rsidR="006268B0" w:rsidRPr="007F475C" w:rsidRDefault="006268B0" w:rsidP="006268B0">
      <w:pPr>
        <w:tabs>
          <w:tab w:val="left" w:pos="851"/>
        </w:tabs>
        <w:ind w:left="855"/>
        <w:rPr>
          <w:sz w:val="24"/>
          <w:szCs w:val="24"/>
          <w:lang w:val="de-DE"/>
        </w:rPr>
      </w:pPr>
      <w:r w:rsidRPr="007F475C">
        <w:rPr>
          <w:sz w:val="24"/>
          <w:szCs w:val="24"/>
          <w:lang w:val="de-DE"/>
        </w:rPr>
        <w:t>Titandioxid (E171)</w:t>
      </w:r>
    </w:p>
    <w:p w:rsidR="006268B0" w:rsidRPr="007F475C" w:rsidRDefault="006268B0" w:rsidP="006268B0">
      <w:pPr>
        <w:tabs>
          <w:tab w:val="left" w:pos="851"/>
        </w:tabs>
        <w:ind w:left="855"/>
        <w:rPr>
          <w:sz w:val="24"/>
          <w:szCs w:val="24"/>
          <w:lang w:val="en-US"/>
        </w:rPr>
      </w:pPr>
    </w:p>
    <w:p w:rsidR="006268B0" w:rsidRPr="007F475C" w:rsidRDefault="006268B0" w:rsidP="006268B0">
      <w:pPr>
        <w:tabs>
          <w:tab w:val="left" w:pos="851"/>
        </w:tabs>
        <w:ind w:left="855"/>
        <w:rPr>
          <w:sz w:val="24"/>
          <w:szCs w:val="24"/>
        </w:rPr>
      </w:pPr>
      <w:r w:rsidRPr="007F475C">
        <w:rPr>
          <w:sz w:val="24"/>
          <w:szCs w:val="24"/>
        </w:rPr>
        <w:t>Gelatinekapsel</w:t>
      </w:r>
    </w:p>
    <w:p w:rsidR="006268B0" w:rsidRPr="007F475C" w:rsidRDefault="006268B0" w:rsidP="006268B0">
      <w:pPr>
        <w:tabs>
          <w:tab w:val="left" w:pos="851"/>
        </w:tabs>
        <w:ind w:left="855"/>
        <w:rPr>
          <w:sz w:val="24"/>
          <w:szCs w:val="24"/>
        </w:rPr>
      </w:pPr>
      <w:r w:rsidRPr="007F475C">
        <w:rPr>
          <w:sz w:val="24"/>
          <w:szCs w:val="24"/>
        </w:rPr>
        <w:t>Sort trykblæk: Sort jernoxid (E172)</w:t>
      </w:r>
    </w:p>
    <w:p w:rsidR="006268B0" w:rsidRPr="007F475C" w:rsidRDefault="006268B0" w:rsidP="006268B0">
      <w:pPr>
        <w:tabs>
          <w:tab w:val="left" w:pos="851"/>
        </w:tabs>
        <w:rPr>
          <w:sz w:val="24"/>
          <w:szCs w:val="24"/>
        </w:rPr>
      </w:pPr>
    </w:p>
    <w:p w:rsidR="006268B0" w:rsidRPr="007F475C" w:rsidRDefault="006268B0" w:rsidP="006268B0">
      <w:pPr>
        <w:numPr>
          <w:ilvl w:val="1"/>
          <w:numId w:val="9"/>
        </w:numPr>
        <w:rPr>
          <w:b/>
          <w:sz w:val="24"/>
          <w:szCs w:val="24"/>
        </w:rPr>
      </w:pPr>
      <w:r w:rsidRPr="007F475C">
        <w:rPr>
          <w:b/>
          <w:sz w:val="24"/>
          <w:szCs w:val="24"/>
        </w:rPr>
        <w:t>Uforligeligheder</w:t>
      </w:r>
    </w:p>
    <w:p w:rsidR="006268B0" w:rsidRPr="007F475C" w:rsidRDefault="006268B0" w:rsidP="006268B0">
      <w:pPr>
        <w:tabs>
          <w:tab w:val="left" w:pos="851"/>
        </w:tabs>
        <w:ind w:left="855"/>
        <w:rPr>
          <w:sz w:val="24"/>
          <w:szCs w:val="24"/>
        </w:rPr>
      </w:pPr>
      <w:r w:rsidRPr="007F475C">
        <w:rPr>
          <w:sz w:val="24"/>
          <w:szCs w:val="24"/>
        </w:rPr>
        <w:t>Ikke relevant.</w:t>
      </w:r>
    </w:p>
    <w:p w:rsidR="006268B0" w:rsidRPr="007F475C" w:rsidRDefault="006268B0" w:rsidP="006268B0">
      <w:pPr>
        <w:tabs>
          <w:tab w:val="left" w:pos="851"/>
        </w:tabs>
        <w:rPr>
          <w:sz w:val="24"/>
          <w:szCs w:val="24"/>
        </w:rPr>
      </w:pPr>
    </w:p>
    <w:p w:rsidR="006268B0" w:rsidRPr="007F475C" w:rsidRDefault="006268B0" w:rsidP="006268B0">
      <w:pPr>
        <w:numPr>
          <w:ilvl w:val="1"/>
          <w:numId w:val="9"/>
        </w:numPr>
        <w:rPr>
          <w:b/>
          <w:sz w:val="24"/>
          <w:szCs w:val="24"/>
        </w:rPr>
      </w:pPr>
      <w:r w:rsidRPr="007F475C">
        <w:rPr>
          <w:b/>
          <w:sz w:val="24"/>
          <w:szCs w:val="24"/>
        </w:rPr>
        <w:t>Opbevaringstid</w:t>
      </w:r>
    </w:p>
    <w:p w:rsidR="006268B0" w:rsidRPr="007F475C" w:rsidRDefault="006268B0" w:rsidP="006268B0">
      <w:pPr>
        <w:tabs>
          <w:tab w:val="left" w:pos="851"/>
        </w:tabs>
        <w:ind w:left="855"/>
        <w:rPr>
          <w:sz w:val="24"/>
          <w:szCs w:val="24"/>
        </w:rPr>
      </w:pPr>
      <w:r w:rsidRPr="007F475C">
        <w:rPr>
          <w:sz w:val="24"/>
          <w:szCs w:val="24"/>
        </w:rPr>
        <w:t>5 år.</w:t>
      </w:r>
    </w:p>
    <w:p w:rsidR="006268B0" w:rsidRPr="007F475C" w:rsidRDefault="006268B0" w:rsidP="006268B0">
      <w:pPr>
        <w:tabs>
          <w:tab w:val="left" w:pos="851"/>
        </w:tabs>
        <w:rPr>
          <w:sz w:val="24"/>
          <w:szCs w:val="24"/>
        </w:rPr>
      </w:pPr>
    </w:p>
    <w:p w:rsidR="006268B0" w:rsidRPr="007F475C" w:rsidRDefault="006268B0" w:rsidP="006268B0">
      <w:pPr>
        <w:numPr>
          <w:ilvl w:val="1"/>
          <w:numId w:val="9"/>
        </w:numPr>
        <w:rPr>
          <w:b/>
          <w:sz w:val="24"/>
          <w:szCs w:val="24"/>
        </w:rPr>
      </w:pPr>
      <w:r w:rsidRPr="007F475C">
        <w:rPr>
          <w:b/>
          <w:sz w:val="24"/>
          <w:szCs w:val="24"/>
        </w:rPr>
        <w:t>Særlige opbevaringsforhold</w:t>
      </w:r>
    </w:p>
    <w:p w:rsidR="006268B0" w:rsidRPr="007F475C" w:rsidRDefault="006268B0" w:rsidP="006268B0">
      <w:pPr>
        <w:tabs>
          <w:tab w:val="left" w:pos="851"/>
        </w:tabs>
        <w:ind w:left="855"/>
        <w:rPr>
          <w:sz w:val="24"/>
          <w:szCs w:val="24"/>
        </w:rPr>
      </w:pPr>
      <w:r w:rsidRPr="007F475C">
        <w:rPr>
          <w:sz w:val="24"/>
          <w:szCs w:val="24"/>
        </w:rPr>
        <w:t>Må ikke opbevares ved temperaturer over 25 °C.</w:t>
      </w:r>
    </w:p>
    <w:p w:rsidR="006268B0" w:rsidRPr="007F475C" w:rsidRDefault="006268B0" w:rsidP="006268B0">
      <w:pPr>
        <w:tabs>
          <w:tab w:val="left" w:pos="851"/>
        </w:tabs>
        <w:rPr>
          <w:sz w:val="24"/>
          <w:szCs w:val="24"/>
        </w:rPr>
      </w:pPr>
    </w:p>
    <w:p w:rsidR="006268B0" w:rsidRPr="007F475C" w:rsidRDefault="006268B0" w:rsidP="006268B0">
      <w:pPr>
        <w:numPr>
          <w:ilvl w:val="1"/>
          <w:numId w:val="9"/>
        </w:numPr>
        <w:rPr>
          <w:b/>
          <w:sz w:val="24"/>
          <w:szCs w:val="24"/>
        </w:rPr>
      </w:pPr>
      <w:r w:rsidRPr="007F475C">
        <w:rPr>
          <w:b/>
          <w:sz w:val="24"/>
          <w:szCs w:val="24"/>
        </w:rPr>
        <w:t>Emballagetype</w:t>
      </w:r>
      <w:r w:rsidR="00BD0D47">
        <w:rPr>
          <w:b/>
          <w:sz w:val="24"/>
          <w:szCs w:val="24"/>
        </w:rPr>
        <w:t xml:space="preserve"> </w:t>
      </w:r>
      <w:r w:rsidRPr="007F475C">
        <w:rPr>
          <w:b/>
          <w:sz w:val="24"/>
          <w:szCs w:val="24"/>
        </w:rPr>
        <w:t>og pakningsstørrelser</w:t>
      </w:r>
    </w:p>
    <w:p w:rsidR="006268B0" w:rsidRPr="007F475C" w:rsidRDefault="006268B0" w:rsidP="006268B0">
      <w:pPr>
        <w:tabs>
          <w:tab w:val="left" w:pos="851"/>
        </w:tabs>
        <w:ind w:left="855"/>
        <w:rPr>
          <w:sz w:val="24"/>
          <w:szCs w:val="24"/>
        </w:rPr>
      </w:pPr>
      <w:r w:rsidRPr="007F475C">
        <w:rPr>
          <w:sz w:val="24"/>
          <w:szCs w:val="24"/>
        </w:rPr>
        <w:t>Blister</w:t>
      </w:r>
      <w:r w:rsidR="00F335A6">
        <w:rPr>
          <w:sz w:val="24"/>
          <w:szCs w:val="24"/>
        </w:rPr>
        <w:t>.</w:t>
      </w:r>
    </w:p>
    <w:p w:rsidR="006268B0" w:rsidRPr="007F475C" w:rsidRDefault="006268B0" w:rsidP="006268B0">
      <w:pPr>
        <w:tabs>
          <w:tab w:val="left" w:pos="851"/>
        </w:tabs>
        <w:ind w:left="855"/>
        <w:rPr>
          <w:sz w:val="24"/>
          <w:szCs w:val="24"/>
        </w:rPr>
      </w:pPr>
    </w:p>
    <w:p w:rsidR="006268B0" w:rsidRPr="007F475C" w:rsidRDefault="006268B0" w:rsidP="006268B0">
      <w:pPr>
        <w:numPr>
          <w:ilvl w:val="1"/>
          <w:numId w:val="9"/>
        </w:numPr>
        <w:rPr>
          <w:sz w:val="24"/>
          <w:szCs w:val="24"/>
        </w:rPr>
      </w:pPr>
      <w:r w:rsidRPr="007F475C">
        <w:rPr>
          <w:b/>
          <w:noProof/>
          <w:sz w:val="24"/>
          <w:szCs w:val="24"/>
        </w:rPr>
        <w:t xml:space="preserve">Regler for </w:t>
      </w:r>
      <w:r w:rsidR="00BD0D47">
        <w:rPr>
          <w:b/>
          <w:noProof/>
          <w:sz w:val="24"/>
          <w:szCs w:val="24"/>
        </w:rPr>
        <w:t>bortskaffelse</w:t>
      </w:r>
      <w:r w:rsidRPr="007F475C">
        <w:rPr>
          <w:b/>
          <w:noProof/>
          <w:sz w:val="24"/>
          <w:szCs w:val="24"/>
        </w:rPr>
        <w:t xml:space="preserve"> og anden håndtering</w:t>
      </w:r>
    </w:p>
    <w:p w:rsidR="006268B0" w:rsidRDefault="006268B0" w:rsidP="006268B0">
      <w:pPr>
        <w:tabs>
          <w:tab w:val="left" w:pos="851"/>
        </w:tabs>
        <w:ind w:left="855"/>
        <w:rPr>
          <w:sz w:val="24"/>
          <w:szCs w:val="24"/>
        </w:rPr>
      </w:pPr>
      <w:r w:rsidRPr="007F475C">
        <w:rPr>
          <w:sz w:val="24"/>
          <w:szCs w:val="24"/>
        </w:rPr>
        <w:t>Ingen særlige forholdsregler.</w:t>
      </w:r>
    </w:p>
    <w:p w:rsidR="00F335A6" w:rsidRPr="007F475C" w:rsidRDefault="00F335A6" w:rsidP="006268B0">
      <w:pPr>
        <w:tabs>
          <w:tab w:val="left" w:pos="851"/>
        </w:tabs>
        <w:ind w:left="855"/>
        <w:rPr>
          <w:sz w:val="24"/>
          <w:szCs w:val="24"/>
        </w:rPr>
      </w:pPr>
    </w:p>
    <w:p w:rsidR="006268B0" w:rsidRPr="007F475C" w:rsidRDefault="006268B0" w:rsidP="006268B0">
      <w:pPr>
        <w:tabs>
          <w:tab w:val="left" w:pos="851"/>
        </w:tabs>
        <w:rPr>
          <w:sz w:val="24"/>
          <w:szCs w:val="24"/>
        </w:rPr>
      </w:pPr>
    </w:p>
    <w:p w:rsidR="006268B0" w:rsidRPr="007F475C" w:rsidRDefault="006268B0" w:rsidP="006268B0">
      <w:pPr>
        <w:tabs>
          <w:tab w:val="left" w:pos="851"/>
        </w:tabs>
        <w:rPr>
          <w:b/>
          <w:sz w:val="24"/>
          <w:szCs w:val="24"/>
        </w:rPr>
      </w:pPr>
      <w:r w:rsidRPr="007F475C">
        <w:rPr>
          <w:b/>
          <w:sz w:val="24"/>
          <w:szCs w:val="24"/>
        </w:rPr>
        <w:t>7.</w:t>
      </w:r>
      <w:r w:rsidRPr="007F475C">
        <w:rPr>
          <w:b/>
          <w:sz w:val="24"/>
          <w:szCs w:val="24"/>
        </w:rPr>
        <w:tab/>
        <w:t>INDEHAVER AF MARKEDSFØRINGSTILLADELSEN</w:t>
      </w:r>
    </w:p>
    <w:p w:rsidR="00F335A6" w:rsidRPr="002F2B9C" w:rsidRDefault="00F335A6" w:rsidP="00F335A6">
      <w:pPr>
        <w:ind w:left="851"/>
        <w:rPr>
          <w:lang w:eastAsia="da-DK"/>
        </w:rPr>
      </w:pPr>
      <w:r w:rsidRPr="002F2B9C">
        <w:rPr>
          <w:lang w:eastAsia="da-DK"/>
        </w:rPr>
        <w:t>2care4 ApS</w:t>
      </w:r>
    </w:p>
    <w:p w:rsidR="00F335A6" w:rsidRPr="002F2B9C" w:rsidRDefault="00F335A6" w:rsidP="00F335A6">
      <w:pPr>
        <w:ind w:left="851"/>
        <w:rPr>
          <w:lang w:eastAsia="da-DK"/>
        </w:rPr>
      </w:pPr>
      <w:r>
        <w:rPr>
          <w:lang w:eastAsia="da-DK"/>
        </w:rPr>
        <w:t>Stenhuggervej 12</w:t>
      </w:r>
    </w:p>
    <w:p w:rsidR="00F335A6" w:rsidRPr="002F2B9C" w:rsidRDefault="00F335A6" w:rsidP="00F335A6">
      <w:pPr>
        <w:ind w:left="851"/>
        <w:rPr>
          <w:lang w:eastAsia="da-DK"/>
        </w:rPr>
      </w:pPr>
      <w:r w:rsidRPr="002F2B9C">
        <w:rPr>
          <w:lang w:eastAsia="da-DK"/>
        </w:rPr>
        <w:t>6710 Esbjerg V</w:t>
      </w:r>
    </w:p>
    <w:p w:rsidR="006268B0" w:rsidRPr="007F475C" w:rsidRDefault="006268B0" w:rsidP="006268B0">
      <w:pPr>
        <w:tabs>
          <w:tab w:val="left" w:pos="0"/>
          <w:tab w:val="left" w:pos="851"/>
        </w:tabs>
        <w:ind w:left="850"/>
        <w:jc w:val="both"/>
        <w:rPr>
          <w:b/>
          <w:spacing w:val="-3"/>
          <w:sz w:val="24"/>
          <w:szCs w:val="24"/>
        </w:rPr>
      </w:pPr>
    </w:p>
    <w:p w:rsidR="006268B0" w:rsidRPr="007F475C" w:rsidRDefault="006268B0" w:rsidP="006268B0">
      <w:pPr>
        <w:tabs>
          <w:tab w:val="left" w:pos="851"/>
        </w:tabs>
        <w:rPr>
          <w:b/>
          <w:sz w:val="24"/>
          <w:szCs w:val="24"/>
        </w:rPr>
      </w:pPr>
      <w:r w:rsidRPr="007F475C">
        <w:rPr>
          <w:b/>
          <w:sz w:val="24"/>
          <w:szCs w:val="24"/>
        </w:rPr>
        <w:t>8.</w:t>
      </w:r>
      <w:r w:rsidRPr="007F475C">
        <w:rPr>
          <w:b/>
          <w:sz w:val="24"/>
          <w:szCs w:val="24"/>
        </w:rPr>
        <w:tab/>
        <w:t>MARKEDSFØRINGSTILLADELSESNUMMER (</w:t>
      </w:r>
      <w:r w:rsidR="00BD0D47">
        <w:rPr>
          <w:b/>
          <w:sz w:val="24"/>
          <w:szCs w:val="24"/>
        </w:rPr>
        <w:t>-</w:t>
      </w:r>
      <w:r w:rsidRPr="007F475C">
        <w:rPr>
          <w:b/>
          <w:sz w:val="24"/>
          <w:szCs w:val="24"/>
        </w:rPr>
        <w:t>NUMRE)</w:t>
      </w:r>
    </w:p>
    <w:p w:rsidR="006268B0" w:rsidRDefault="00F335A6" w:rsidP="006268B0">
      <w:pPr>
        <w:tabs>
          <w:tab w:val="left" w:pos="851"/>
        </w:tabs>
        <w:rPr>
          <w:sz w:val="24"/>
          <w:szCs w:val="24"/>
        </w:rPr>
      </w:pPr>
      <w:r>
        <w:rPr>
          <w:sz w:val="24"/>
          <w:szCs w:val="24"/>
        </w:rPr>
        <w:tab/>
      </w:r>
      <w:r w:rsidRPr="00F335A6">
        <w:rPr>
          <w:sz w:val="24"/>
          <w:szCs w:val="24"/>
        </w:rPr>
        <w:t>74057</w:t>
      </w:r>
    </w:p>
    <w:p w:rsidR="00F335A6" w:rsidRPr="007F475C" w:rsidRDefault="00F335A6" w:rsidP="006268B0">
      <w:pPr>
        <w:tabs>
          <w:tab w:val="left" w:pos="851"/>
        </w:tabs>
        <w:rPr>
          <w:sz w:val="24"/>
          <w:szCs w:val="24"/>
        </w:rPr>
      </w:pPr>
    </w:p>
    <w:p w:rsidR="006268B0" w:rsidRPr="007F475C" w:rsidRDefault="006268B0" w:rsidP="006268B0">
      <w:pPr>
        <w:tabs>
          <w:tab w:val="left" w:pos="851"/>
        </w:tabs>
        <w:rPr>
          <w:b/>
          <w:sz w:val="24"/>
          <w:szCs w:val="24"/>
        </w:rPr>
      </w:pPr>
      <w:r w:rsidRPr="007F475C">
        <w:rPr>
          <w:b/>
          <w:sz w:val="24"/>
          <w:szCs w:val="24"/>
        </w:rPr>
        <w:t>9.</w:t>
      </w:r>
      <w:r w:rsidRPr="007F475C">
        <w:rPr>
          <w:b/>
          <w:sz w:val="24"/>
          <w:szCs w:val="24"/>
        </w:rPr>
        <w:tab/>
        <w:t>DATO FOR FØRSTE MARKEDSFØRINGSTILLADELSE</w:t>
      </w:r>
    </w:p>
    <w:p w:rsidR="006268B0" w:rsidRPr="007F475C" w:rsidRDefault="00F335A6" w:rsidP="006268B0">
      <w:pPr>
        <w:tabs>
          <w:tab w:val="left" w:pos="851"/>
        </w:tabs>
        <w:ind w:left="855"/>
        <w:rPr>
          <w:sz w:val="24"/>
          <w:szCs w:val="24"/>
        </w:rPr>
      </w:pPr>
      <w:r>
        <w:rPr>
          <w:sz w:val="24"/>
          <w:szCs w:val="24"/>
        </w:rPr>
        <w:t>22. juli 2025</w:t>
      </w:r>
    </w:p>
    <w:p w:rsidR="006268B0" w:rsidRPr="007F475C" w:rsidRDefault="006268B0" w:rsidP="006268B0">
      <w:pPr>
        <w:tabs>
          <w:tab w:val="left" w:pos="851"/>
        </w:tabs>
        <w:rPr>
          <w:sz w:val="24"/>
          <w:szCs w:val="24"/>
        </w:rPr>
      </w:pPr>
    </w:p>
    <w:p w:rsidR="006268B0" w:rsidRPr="007F475C" w:rsidRDefault="006268B0" w:rsidP="006268B0">
      <w:pPr>
        <w:tabs>
          <w:tab w:val="left" w:pos="851"/>
        </w:tabs>
        <w:rPr>
          <w:b/>
          <w:sz w:val="24"/>
          <w:szCs w:val="24"/>
        </w:rPr>
      </w:pPr>
      <w:r w:rsidRPr="007F475C">
        <w:rPr>
          <w:b/>
          <w:sz w:val="24"/>
          <w:szCs w:val="24"/>
        </w:rPr>
        <w:t>10.</w:t>
      </w:r>
      <w:r w:rsidRPr="007F475C">
        <w:rPr>
          <w:b/>
          <w:sz w:val="24"/>
          <w:szCs w:val="24"/>
        </w:rPr>
        <w:tab/>
        <w:t>DATO FOR ÆNDRING AF TEKSTEN</w:t>
      </w:r>
    </w:p>
    <w:p w:rsidR="006268B0" w:rsidRPr="007F475C" w:rsidRDefault="006268B0" w:rsidP="006268B0">
      <w:pPr>
        <w:tabs>
          <w:tab w:val="left" w:pos="851"/>
        </w:tabs>
        <w:rPr>
          <w:sz w:val="24"/>
          <w:szCs w:val="24"/>
        </w:rPr>
      </w:pPr>
      <w:r w:rsidRPr="007F475C">
        <w:rPr>
          <w:sz w:val="24"/>
          <w:szCs w:val="24"/>
        </w:rPr>
        <w:tab/>
      </w:r>
      <w:r w:rsidR="00F335A6">
        <w:rPr>
          <w:sz w:val="24"/>
          <w:szCs w:val="24"/>
        </w:rPr>
        <w:t>-</w:t>
      </w:r>
      <w:bookmarkStart w:id="2" w:name="_GoBack"/>
      <w:bookmarkEnd w:id="2"/>
    </w:p>
    <w:p w:rsidR="006268B0" w:rsidRPr="007F475C" w:rsidRDefault="006268B0" w:rsidP="006268B0">
      <w:pPr>
        <w:rPr>
          <w:sz w:val="24"/>
          <w:szCs w:val="24"/>
        </w:rPr>
      </w:pPr>
    </w:p>
    <w:p w:rsidR="006268B0" w:rsidRPr="007F475C" w:rsidRDefault="006268B0" w:rsidP="006268B0">
      <w:pPr>
        <w:rPr>
          <w:sz w:val="24"/>
          <w:szCs w:val="24"/>
        </w:rPr>
      </w:pPr>
    </w:p>
    <w:p w:rsidR="009260DE" w:rsidRPr="007F475C" w:rsidRDefault="009260DE" w:rsidP="006268B0">
      <w:pPr>
        <w:rPr>
          <w:sz w:val="24"/>
          <w:szCs w:val="24"/>
        </w:rPr>
      </w:pPr>
    </w:p>
    <w:sectPr w:rsidR="009260DE" w:rsidRPr="007F475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0FB" w:rsidRDefault="00EB50FB">
      <w:r>
        <w:separator/>
      </w:r>
    </w:p>
  </w:endnote>
  <w:endnote w:type="continuationSeparator" w:id="0">
    <w:p w:rsidR="00EB50FB" w:rsidRDefault="00EB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335A6">
      <w:rPr>
        <w:i/>
        <w:noProof/>
        <w:sz w:val="18"/>
        <w:szCs w:val="18"/>
      </w:rPr>
      <w:t>Dalacin C (2care4), hårde kapsler 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0FB" w:rsidRDefault="00EB50FB">
      <w:r>
        <w:separator/>
      </w:r>
    </w:p>
  </w:footnote>
  <w:footnote w:type="continuationSeparator" w:id="0">
    <w:p w:rsidR="00EB50FB" w:rsidRDefault="00EB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1702"/>
    <w:multiLevelType w:val="hybridMultilevel"/>
    <w:tmpl w:val="532E8B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23D87848"/>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113A344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4557FC"/>
    <w:multiLevelType w:val="hybridMultilevel"/>
    <w:tmpl w:val="5524A0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34E0633"/>
    <w:multiLevelType w:val="hybridMultilevel"/>
    <w:tmpl w:val="0E4E1D9C"/>
    <w:lvl w:ilvl="0" w:tplc="04060001">
      <w:start w:val="1"/>
      <w:numFmt w:val="bullet"/>
      <w:lvlText w:val=""/>
      <w:lvlJc w:val="left"/>
      <w:pPr>
        <w:ind w:left="2025" w:hanging="360"/>
      </w:pPr>
      <w:rPr>
        <w:rFonts w:ascii="Symbol" w:hAnsi="Symbol" w:hint="default"/>
      </w:rPr>
    </w:lvl>
    <w:lvl w:ilvl="1" w:tplc="04060003">
      <w:start w:val="1"/>
      <w:numFmt w:val="bullet"/>
      <w:lvlText w:val="o"/>
      <w:lvlJc w:val="left"/>
      <w:pPr>
        <w:ind w:left="2745" w:hanging="360"/>
      </w:pPr>
      <w:rPr>
        <w:rFonts w:ascii="Courier New" w:hAnsi="Courier New" w:cs="Courier New" w:hint="default"/>
      </w:rPr>
    </w:lvl>
    <w:lvl w:ilvl="2" w:tplc="04060005">
      <w:start w:val="1"/>
      <w:numFmt w:val="bullet"/>
      <w:lvlText w:val=""/>
      <w:lvlJc w:val="left"/>
      <w:pPr>
        <w:ind w:left="3465" w:hanging="360"/>
      </w:pPr>
      <w:rPr>
        <w:rFonts w:ascii="Wingdings" w:hAnsi="Wingdings" w:hint="default"/>
      </w:rPr>
    </w:lvl>
    <w:lvl w:ilvl="3" w:tplc="04060001">
      <w:start w:val="1"/>
      <w:numFmt w:val="bullet"/>
      <w:lvlText w:val=""/>
      <w:lvlJc w:val="left"/>
      <w:pPr>
        <w:ind w:left="4185" w:hanging="360"/>
      </w:pPr>
      <w:rPr>
        <w:rFonts w:ascii="Symbol" w:hAnsi="Symbol" w:hint="default"/>
      </w:rPr>
    </w:lvl>
    <w:lvl w:ilvl="4" w:tplc="04060003">
      <w:start w:val="1"/>
      <w:numFmt w:val="bullet"/>
      <w:lvlText w:val="o"/>
      <w:lvlJc w:val="left"/>
      <w:pPr>
        <w:ind w:left="4905" w:hanging="360"/>
      </w:pPr>
      <w:rPr>
        <w:rFonts w:ascii="Courier New" w:hAnsi="Courier New" w:cs="Courier New" w:hint="default"/>
      </w:rPr>
    </w:lvl>
    <w:lvl w:ilvl="5" w:tplc="04060005">
      <w:start w:val="1"/>
      <w:numFmt w:val="bullet"/>
      <w:lvlText w:val=""/>
      <w:lvlJc w:val="left"/>
      <w:pPr>
        <w:ind w:left="5625" w:hanging="360"/>
      </w:pPr>
      <w:rPr>
        <w:rFonts w:ascii="Wingdings" w:hAnsi="Wingdings" w:hint="default"/>
      </w:rPr>
    </w:lvl>
    <w:lvl w:ilvl="6" w:tplc="04060001">
      <w:start w:val="1"/>
      <w:numFmt w:val="bullet"/>
      <w:lvlText w:val=""/>
      <w:lvlJc w:val="left"/>
      <w:pPr>
        <w:ind w:left="6345" w:hanging="360"/>
      </w:pPr>
      <w:rPr>
        <w:rFonts w:ascii="Symbol" w:hAnsi="Symbol" w:hint="default"/>
      </w:rPr>
    </w:lvl>
    <w:lvl w:ilvl="7" w:tplc="04060003">
      <w:start w:val="1"/>
      <w:numFmt w:val="bullet"/>
      <w:lvlText w:val="o"/>
      <w:lvlJc w:val="left"/>
      <w:pPr>
        <w:ind w:left="7065" w:hanging="360"/>
      </w:pPr>
      <w:rPr>
        <w:rFonts w:ascii="Courier New" w:hAnsi="Courier New" w:cs="Courier New" w:hint="default"/>
      </w:rPr>
    </w:lvl>
    <w:lvl w:ilvl="8" w:tplc="04060005">
      <w:start w:val="1"/>
      <w:numFmt w:val="bullet"/>
      <w:lvlText w:val=""/>
      <w:lvlJc w:val="left"/>
      <w:pPr>
        <w:ind w:left="778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B0"/>
    <w:rsid w:val="00024ECB"/>
    <w:rsid w:val="000259B9"/>
    <w:rsid w:val="00040FCC"/>
    <w:rsid w:val="00041491"/>
    <w:rsid w:val="00050D16"/>
    <w:rsid w:val="00074F2A"/>
    <w:rsid w:val="000A1CA8"/>
    <w:rsid w:val="000A466B"/>
    <w:rsid w:val="000B058C"/>
    <w:rsid w:val="000C2921"/>
    <w:rsid w:val="000E4EE6"/>
    <w:rsid w:val="00102BAE"/>
    <w:rsid w:val="00131225"/>
    <w:rsid w:val="001454E2"/>
    <w:rsid w:val="00162D9A"/>
    <w:rsid w:val="00206CE8"/>
    <w:rsid w:val="0021526C"/>
    <w:rsid w:val="00283A2B"/>
    <w:rsid w:val="002B30AD"/>
    <w:rsid w:val="002C2C01"/>
    <w:rsid w:val="003403ED"/>
    <w:rsid w:val="00367983"/>
    <w:rsid w:val="003A29AE"/>
    <w:rsid w:val="003A32D7"/>
    <w:rsid w:val="003B4074"/>
    <w:rsid w:val="003C769A"/>
    <w:rsid w:val="003F1838"/>
    <w:rsid w:val="0042406C"/>
    <w:rsid w:val="0045746C"/>
    <w:rsid w:val="0049104B"/>
    <w:rsid w:val="004E3B12"/>
    <w:rsid w:val="004F761A"/>
    <w:rsid w:val="00532310"/>
    <w:rsid w:val="00560ECC"/>
    <w:rsid w:val="00565F0F"/>
    <w:rsid w:val="00594A86"/>
    <w:rsid w:val="00596D86"/>
    <w:rsid w:val="006268B0"/>
    <w:rsid w:val="00637F5A"/>
    <w:rsid w:val="006560B1"/>
    <w:rsid w:val="006756DD"/>
    <w:rsid w:val="006D7867"/>
    <w:rsid w:val="00732984"/>
    <w:rsid w:val="00737275"/>
    <w:rsid w:val="00740EEC"/>
    <w:rsid w:val="0078011A"/>
    <w:rsid w:val="00782AF4"/>
    <w:rsid w:val="00790EE7"/>
    <w:rsid w:val="007B6649"/>
    <w:rsid w:val="007F475C"/>
    <w:rsid w:val="0081546F"/>
    <w:rsid w:val="00821FF4"/>
    <w:rsid w:val="0082576E"/>
    <w:rsid w:val="009041C0"/>
    <w:rsid w:val="00907F75"/>
    <w:rsid w:val="009260DE"/>
    <w:rsid w:val="00926A52"/>
    <w:rsid w:val="0093258A"/>
    <w:rsid w:val="00943B3C"/>
    <w:rsid w:val="009C7BA3"/>
    <w:rsid w:val="009D1F5A"/>
    <w:rsid w:val="00A223C4"/>
    <w:rsid w:val="00A34E48"/>
    <w:rsid w:val="00A64929"/>
    <w:rsid w:val="00A65EC1"/>
    <w:rsid w:val="00B003BF"/>
    <w:rsid w:val="00B373D7"/>
    <w:rsid w:val="00BD0D47"/>
    <w:rsid w:val="00C36276"/>
    <w:rsid w:val="00C42586"/>
    <w:rsid w:val="00C60CCD"/>
    <w:rsid w:val="00C84483"/>
    <w:rsid w:val="00C94E5F"/>
    <w:rsid w:val="00C95551"/>
    <w:rsid w:val="00CB20D7"/>
    <w:rsid w:val="00CC19F0"/>
    <w:rsid w:val="00D020B0"/>
    <w:rsid w:val="00D11748"/>
    <w:rsid w:val="00D366CF"/>
    <w:rsid w:val="00D85792"/>
    <w:rsid w:val="00DA7520"/>
    <w:rsid w:val="00DF556F"/>
    <w:rsid w:val="00DF6E83"/>
    <w:rsid w:val="00E040D8"/>
    <w:rsid w:val="00E108AA"/>
    <w:rsid w:val="00E31812"/>
    <w:rsid w:val="00E3749A"/>
    <w:rsid w:val="00E7437F"/>
    <w:rsid w:val="00E80D5B"/>
    <w:rsid w:val="00E865B8"/>
    <w:rsid w:val="00EB3E97"/>
    <w:rsid w:val="00EB50FB"/>
    <w:rsid w:val="00EC0B9B"/>
    <w:rsid w:val="00ED5E9F"/>
    <w:rsid w:val="00F335A6"/>
    <w:rsid w:val="00F66D4F"/>
    <w:rsid w:val="00F93F74"/>
    <w:rsid w:val="00FB6D01"/>
    <w:rsid w:val="00FD2E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35D64"/>
  <w15:chartTrackingRefBased/>
  <w15:docId w15:val="{DB7AB1F0-1C64-403C-BF5D-DD3C9E43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D47"/>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268B0"/>
    <w:rPr>
      <w:color w:val="0000FF"/>
      <w:u w:val="single"/>
    </w:rPr>
  </w:style>
  <w:style w:type="character" w:customStyle="1" w:styleId="Overskrift1Tegn">
    <w:name w:val="Overskrift 1 Tegn"/>
    <w:basedOn w:val="Standardskrifttypeiafsnit"/>
    <w:link w:val="Overskrift1"/>
    <w:rsid w:val="007F475C"/>
    <w:rPr>
      <w:rFonts w:ascii="Arial" w:hAnsi="Arial"/>
      <w:b/>
      <w:kern w:val="28"/>
      <w:sz w:val="28"/>
      <w:lang w:eastAsia="en-US"/>
    </w:rPr>
  </w:style>
  <w:style w:type="paragraph" w:styleId="Listeafsnit">
    <w:name w:val="List Paragraph"/>
    <w:basedOn w:val="Normal"/>
    <w:uiPriority w:val="34"/>
    <w:qFormat/>
    <w:rsid w:val="00732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4215">
      <w:bodyDiv w:val="1"/>
      <w:marLeft w:val="0"/>
      <w:marRight w:val="0"/>
      <w:marTop w:val="0"/>
      <w:marBottom w:val="0"/>
      <w:divBdr>
        <w:top w:val="none" w:sz="0" w:space="0" w:color="auto"/>
        <w:left w:val="none" w:sz="0" w:space="0" w:color="auto"/>
        <w:bottom w:val="none" w:sz="0" w:space="0" w:color="auto"/>
        <w:right w:val="none" w:sz="0" w:space="0" w:color="auto"/>
      </w:divBdr>
    </w:div>
    <w:div w:id="996928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1263704">
      <w:bodyDiv w:val="1"/>
      <w:marLeft w:val="0"/>
      <w:marRight w:val="0"/>
      <w:marTop w:val="0"/>
      <w:marBottom w:val="0"/>
      <w:divBdr>
        <w:top w:val="none" w:sz="0" w:space="0" w:color="auto"/>
        <w:left w:val="none" w:sz="0" w:space="0" w:color="auto"/>
        <w:bottom w:val="none" w:sz="0" w:space="0" w:color="auto"/>
        <w:right w:val="none" w:sz="0" w:space="0" w:color="auto"/>
      </w:divBdr>
    </w:div>
    <w:div w:id="514464764">
      <w:bodyDiv w:val="1"/>
      <w:marLeft w:val="0"/>
      <w:marRight w:val="0"/>
      <w:marTop w:val="0"/>
      <w:marBottom w:val="0"/>
      <w:divBdr>
        <w:top w:val="none" w:sz="0" w:space="0" w:color="auto"/>
        <w:left w:val="none" w:sz="0" w:space="0" w:color="auto"/>
        <w:bottom w:val="none" w:sz="0" w:space="0" w:color="auto"/>
        <w:right w:val="none" w:sz="0" w:space="0" w:color="auto"/>
      </w:divBdr>
    </w:div>
    <w:div w:id="772215038">
      <w:bodyDiv w:val="1"/>
      <w:marLeft w:val="0"/>
      <w:marRight w:val="0"/>
      <w:marTop w:val="0"/>
      <w:marBottom w:val="0"/>
      <w:divBdr>
        <w:top w:val="none" w:sz="0" w:space="0" w:color="auto"/>
        <w:left w:val="none" w:sz="0" w:space="0" w:color="auto"/>
        <w:bottom w:val="none" w:sz="0" w:space="0" w:color="auto"/>
        <w:right w:val="none" w:sz="0" w:space="0" w:color="auto"/>
      </w:divBdr>
    </w:div>
    <w:div w:id="1537699783">
      <w:bodyDiv w:val="1"/>
      <w:marLeft w:val="0"/>
      <w:marRight w:val="0"/>
      <w:marTop w:val="0"/>
      <w:marBottom w:val="0"/>
      <w:divBdr>
        <w:top w:val="none" w:sz="0" w:space="0" w:color="auto"/>
        <w:left w:val="none" w:sz="0" w:space="0" w:color="auto"/>
        <w:bottom w:val="none" w:sz="0" w:space="0" w:color="auto"/>
        <w:right w:val="none" w:sz="0" w:space="0" w:color="auto"/>
      </w:divBdr>
    </w:div>
    <w:div w:id="1576284842">
      <w:bodyDiv w:val="1"/>
      <w:marLeft w:val="0"/>
      <w:marRight w:val="0"/>
      <w:marTop w:val="0"/>
      <w:marBottom w:val="0"/>
      <w:divBdr>
        <w:top w:val="none" w:sz="0" w:space="0" w:color="auto"/>
        <w:left w:val="none" w:sz="0" w:space="0" w:color="auto"/>
        <w:bottom w:val="none" w:sz="0" w:space="0" w:color="auto"/>
        <w:right w:val="none" w:sz="0" w:space="0" w:color="auto"/>
      </w:divBdr>
    </w:div>
    <w:div w:id="21011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2365</Words>
  <Characters>16452</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2025060275 - nyt PI SPC</dc:description>
  <cp:lastModifiedBy>Annette Malmros</cp:lastModifiedBy>
  <cp:revision>3</cp:revision>
  <cp:lastPrinted>2012-08-22T08:53:00Z</cp:lastPrinted>
  <dcterms:created xsi:type="dcterms:W3CDTF">2025-07-22T10:40:00Z</dcterms:created>
  <dcterms:modified xsi:type="dcterms:W3CDTF">2025-07-22T10:45:00Z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Kommentar_1">
    <vt:lpwstr>2018091568 SPC pkt. 4.6 [Kristine B. Pallesen : 27-03-2020 14:13:00]</vt:lpwstr>
  </property>
  <property fmtid="{D5CDD505-2E9C-101B-9397-08002B2CF9AE}" pid="4" name="Kommentar_2">
    <vt:lpwstr>2019054427 SPC pkt. 2, 4.4, 4.6, 4.8 [Betty Winther Andersen : 27-03-2020 14:19]</vt:lpwstr>
  </property>
</Properties>
</file>