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3D35E" w14:textId="77777777" w:rsidR="004A3BF4" w:rsidRPr="00AC03AF" w:rsidRDefault="00056601" w:rsidP="004A3BF4">
      <w:pPr>
        <w:rPr>
          <w:sz w:val="24"/>
          <w:szCs w:val="24"/>
          <w:lang w:val="en-GB"/>
        </w:rPr>
      </w:pPr>
      <w:r w:rsidRPr="00AC03AF">
        <w:rPr>
          <w:noProof/>
          <w:sz w:val="24"/>
          <w:szCs w:val="24"/>
          <w:lang w:val="en-GB"/>
        </w:rPr>
        <w:drawing>
          <wp:inline distT="0" distB="0" distL="0" distR="0" wp14:anchorId="660D771E" wp14:editId="2D9FA0D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EB0957C" w14:textId="77777777" w:rsidR="006B3847" w:rsidRPr="00AC03AF" w:rsidRDefault="006B3847" w:rsidP="006B3847">
      <w:pPr>
        <w:rPr>
          <w:sz w:val="24"/>
          <w:szCs w:val="24"/>
          <w:lang w:val="en-GB"/>
        </w:rPr>
      </w:pPr>
    </w:p>
    <w:p w14:paraId="5763BC2B" w14:textId="200B2FC0" w:rsidR="006B3847" w:rsidRPr="00AC03AF" w:rsidRDefault="006B3847" w:rsidP="006B3847">
      <w:pPr>
        <w:tabs>
          <w:tab w:val="right" w:pos="9356"/>
        </w:tabs>
        <w:rPr>
          <w:b/>
          <w:sz w:val="24"/>
          <w:szCs w:val="24"/>
          <w:lang w:val="en-GB"/>
        </w:rPr>
      </w:pPr>
      <w:r w:rsidRPr="00AC03AF">
        <w:rPr>
          <w:b/>
          <w:sz w:val="24"/>
          <w:szCs w:val="24"/>
          <w:lang w:val="en-GB"/>
        </w:rPr>
        <w:tab/>
      </w:r>
      <w:r w:rsidR="00867A3F">
        <w:rPr>
          <w:b/>
          <w:sz w:val="24"/>
          <w:szCs w:val="24"/>
          <w:lang w:val="en-GB"/>
        </w:rPr>
        <w:t>30 July 2024</w:t>
      </w:r>
    </w:p>
    <w:p w14:paraId="28369CDB" w14:textId="77777777" w:rsidR="006B3847" w:rsidRPr="00AC03AF" w:rsidRDefault="006B3847" w:rsidP="006B3847">
      <w:pPr>
        <w:rPr>
          <w:sz w:val="24"/>
          <w:szCs w:val="24"/>
          <w:lang w:val="en-GB"/>
        </w:rPr>
      </w:pPr>
    </w:p>
    <w:p w14:paraId="522C523A" w14:textId="77777777" w:rsidR="007C5D2A" w:rsidRPr="00AC03AF" w:rsidRDefault="007C5D2A" w:rsidP="007C5D2A">
      <w:pPr>
        <w:rPr>
          <w:sz w:val="24"/>
          <w:szCs w:val="24"/>
          <w:lang w:val="en-GB"/>
        </w:rPr>
      </w:pPr>
    </w:p>
    <w:p w14:paraId="095B5EA7" w14:textId="77777777" w:rsidR="007C5D2A" w:rsidRPr="00AC03AF" w:rsidRDefault="007C5D2A" w:rsidP="007C5D2A">
      <w:pPr>
        <w:rPr>
          <w:sz w:val="24"/>
          <w:szCs w:val="24"/>
          <w:lang w:val="en-GB"/>
        </w:rPr>
      </w:pPr>
    </w:p>
    <w:p w14:paraId="114AEF82" w14:textId="77777777" w:rsidR="007C5D2A" w:rsidRPr="00AC03AF" w:rsidRDefault="007C5D2A" w:rsidP="007C5D2A">
      <w:pPr>
        <w:jc w:val="center"/>
        <w:rPr>
          <w:b/>
          <w:sz w:val="24"/>
          <w:szCs w:val="24"/>
          <w:lang w:val="en-GB"/>
        </w:rPr>
      </w:pPr>
      <w:bookmarkStart w:id="0" w:name="_Hlk49158549"/>
      <w:r w:rsidRPr="00AC03AF">
        <w:rPr>
          <w:b/>
          <w:sz w:val="24"/>
          <w:szCs w:val="24"/>
          <w:lang w:val="en-GB"/>
        </w:rPr>
        <w:t>SUMMARY OF PRODUCT CHARACTERISTICS</w:t>
      </w:r>
    </w:p>
    <w:bookmarkEnd w:id="0"/>
    <w:p w14:paraId="02D3029B" w14:textId="77777777" w:rsidR="007C5D2A" w:rsidRPr="00AC03AF" w:rsidRDefault="007C5D2A" w:rsidP="007C5D2A">
      <w:pPr>
        <w:jc w:val="center"/>
        <w:rPr>
          <w:sz w:val="24"/>
          <w:szCs w:val="24"/>
          <w:lang w:val="en-GB"/>
        </w:rPr>
      </w:pPr>
    </w:p>
    <w:p w14:paraId="7417A682" w14:textId="77777777" w:rsidR="007C5D2A" w:rsidRPr="00AC03AF" w:rsidRDefault="007C5D2A" w:rsidP="007C5D2A">
      <w:pPr>
        <w:jc w:val="center"/>
        <w:rPr>
          <w:b/>
          <w:sz w:val="24"/>
          <w:szCs w:val="24"/>
          <w:lang w:val="en-GB"/>
        </w:rPr>
      </w:pPr>
      <w:r w:rsidRPr="00AC03AF">
        <w:rPr>
          <w:b/>
          <w:sz w:val="24"/>
          <w:szCs w:val="24"/>
          <w:lang w:val="en-GB"/>
        </w:rPr>
        <w:t>for</w:t>
      </w:r>
    </w:p>
    <w:p w14:paraId="4A5BBDE4" w14:textId="77777777" w:rsidR="007C5D2A" w:rsidRPr="00AC03AF" w:rsidRDefault="007C5D2A" w:rsidP="007C5D2A">
      <w:pPr>
        <w:jc w:val="center"/>
        <w:rPr>
          <w:sz w:val="24"/>
          <w:szCs w:val="24"/>
          <w:lang w:val="en-GB"/>
        </w:rPr>
      </w:pPr>
    </w:p>
    <w:p w14:paraId="3C90BD8D" w14:textId="549EE542" w:rsidR="007C5D2A" w:rsidRPr="00AC03AF" w:rsidRDefault="003611E7" w:rsidP="007C5D2A">
      <w:pPr>
        <w:jc w:val="center"/>
        <w:rPr>
          <w:b/>
          <w:sz w:val="24"/>
          <w:szCs w:val="24"/>
          <w:lang w:val="en-US"/>
        </w:rPr>
      </w:pPr>
      <w:r w:rsidRPr="00AC03AF">
        <w:rPr>
          <w:b/>
          <w:sz w:val="24"/>
          <w:szCs w:val="24"/>
          <w:lang w:val="en-GB"/>
        </w:rPr>
        <w:t xml:space="preserve">Dalbavancin </w:t>
      </w:r>
      <w:r w:rsidR="00437628">
        <w:rPr>
          <w:b/>
          <w:sz w:val="24"/>
          <w:szCs w:val="24"/>
          <w:lang w:val="en-GB"/>
        </w:rPr>
        <w:t>"</w:t>
      </w:r>
      <w:r w:rsidRPr="00AC03AF">
        <w:rPr>
          <w:b/>
          <w:sz w:val="24"/>
          <w:szCs w:val="24"/>
          <w:lang w:val="en-GB"/>
        </w:rPr>
        <w:t>Teva</w:t>
      </w:r>
      <w:r w:rsidR="00437628">
        <w:rPr>
          <w:b/>
          <w:sz w:val="24"/>
          <w:szCs w:val="24"/>
          <w:lang w:val="en-GB"/>
        </w:rPr>
        <w:t>"</w:t>
      </w:r>
      <w:r w:rsidRPr="00AC03AF">
        <w:rPr>
          <w:b/>
          <w:sz w:val="24"/>
          <w:szCs w:val="24"/>
          <w:lang w:val="en-GB"/>
        </w:rPr>
        <w:t xml:space="preserve">, </w:t>
      </w:r>
      <w:r w:rsidR="00C71BEA" w:rsidRPr="00AC03AF">
        <w:rPr>
          <w:b/>
          <w:noProof/>
          <w:sz w:val="24"/>
          <w:szCs w:val="24"/>
          <w:lang w:val="en-US"/>
        </w:rPr>
        <w:t>powder for concentrate for solution for infusion</w:t>
      </w:r>
    </w:p>
    <w:p w14:paraId="17C4AF61" w14:textId="77777777" w:rsidR="007C5D2A" w:rsidRPr="00AC03AF" w:rsidRDefault="007C5D2A" w:rsidP="007C5D2A">
      <w:pPr>
        <w:jc w:val="both"/>
        <w:rPr>
          <w:sz w:val="24"/>
          <w:szCs w:val="24"/>
          <w:lang w:val="en-GB"/>
        </w:rPr>
      </w:pPr>
    </w:p>
    <w:p w14:paraId="6F88D7F4" w14:textId="77777777" w:rsidR="0042292D" w:rsidRPr="00AC03AF" w:rsidRDefault="0042292D" w:rsidP="007C5D2A">
      <w:pPr>
        <w:jc w:val="both"/>
        <w:rPr>
          <w:sz w:val="24"/>
          <w:szCs w:val="24"/>
          <w:lang w:val="en-GB"/>
        </w:rPr>
      </w:pPr>
    </w:p>
    <w:p w14:paraId="6FD1A2ED" w14:textId="77777777" w:rsidR="008F2F8C" w:rsidRPr="00AC03AF" w:rsidRDefault="008F2F8C" w:rsidP="008F2F8C">
      <w:pPr>
        <w:tabs>
          <w:tab w:val="left" w:pos="8222"/>
        </w:tabs>
        <w:ind w:left="851" w:hanging="851"/>
        <w:rPr>
          <w:b/>
          <w:sz w:val="24"/>
          <w:szCs w:val="24"/>
          <w:lang w:val="en-GB"/>
        </w:rPr>
      </w:pPr>
      <w:r w:rsidRPr="00AC03AF">
        <w:rPr>
          <w:b/>
          <w:sz w:val="24"/>
          <w:szCs w:val="24"/>
          <w:lang w:val="en-GB"/>
        </w:rPr>
        <w:t>0.</w:t>
      </w:r>
      <w:r w:rsidRPr="00AC03AF">
        <w:rPr>
          <w:b/>
          <w:sz w:val="24"/>
          <w:szCs w:val="24"/>
          <w:lang w:val="en-GB"/>
        </w:rPr>
        <w:tab/>
      </w:r>
      <w:proofErr w:type="gramStart"/>
      <w:r w:rsidRPr="00AC03AF">
        <w:rPr>
          <w:b/>
          <w:sz w:val="24"/>
          <w:szCs w:val="24"/>
          <w:lang w:val="en-GB"/>
        </w:rPr>
        <w:t>D.SP.NO</w:t>
      </w:r>
      <w:proofErr w:type="gramEnd"/>
      <w:r w:rsidRPr="00AC03AF">
        <w:rPr>
          <w:b/>
          <w:sz w:val="24"/>
          <w:szCs w:val="24"/>
          <w:lang w:val="en-GB"/>
        </w:rPr>
        <w:t>.</w:t>
      </w:r>
    </w:p>
    <w:p w14:paraId="58643E87" w14:textId="25BE5E3C" w:rsidR="008F2F8C" w:rsidRPr="00AC03AF" w:rsidRDefault="003611E7" w:rsidP="008F2F8C">
      <w:pPr>
        <w:tabs>
          <w:tab w:val="left" w:pos="8222"/>
        </w:tabs>
        <w:ind w:left="851"/>
        <w:rPr>
          <w:sz w:val="24"/>
          <w:szCs w:val="24"/>
          <w:lang w:val="en-GB"/>
        </w:rPr>
      </w:pPr>
      <w:r w:rsidRPr="00AC03AF">
        <w:rPr>
          <w:sz w:val="24"/>
          <w:szCs w:val="24"/>
          <w:lang w:val="en-GB"/>
        </w:rPr>
        <w:t>33380</w:t>
      </w:r>
    </w:p>
    <w:p w14:paraId="18BFB88E" w14:textId="77777777" w:rsidR="007C5D2A" w:rsidRPr="00AC03AF" w:rsidRDefault="007C5D2A" w:rsidP="007C5D2A">
      <w:pPr>
        <w:tabs>
          <w:tab w:val="left" w:pos="851"/>
        </w:tabs>
        <w:jc w:val="both"/>
        <w:rPr>
          <w:sz w:val="24"/>
          <w:szCs w:val="24"/>
          <w:lang w:val="en-GB"/>
        </w:rPr>
      </w:pPr>
    </w:p>
    <w:p w14:paraId="0E17EE90" w14:textId="77777777" w:rsidR="007C5D2A" w:rsidRPr="00AC03AF" w:rsidRDefault="009925C9" w:rsidP="007C5D2A">
      <w:pPr>
        <w:tabs>
          <w:tab w:val="left" w:pos="851"/>
        </w:tabs>
        <w:ind w:left="851" w:hanging="851"/>
        <w:rPr>
          <w:sz w:val="24"/>
          <w:szCs w:val="24"/>
          <w:lang w:val="en-GB"/>
        </w:rPr>
      </w:pPr>
      <w:r w:rsidRPr="00AC03AF">
        <w:rPr>
          <w:b/>
          <w:sz w:val="24"/>
          <w:szCs w:val="24"/>
          <w:lang w:val="en-GB"/>
        </w:rPr>
        <w:t>1.</w:t>
      </w:r>
      <w:r w:rsidR="007C5D2A" w:rsidRPr="00AC03AF">
        <w:rPr>
          <w:b/>
          <w:sz w:val="24"/>
          <w:szCs w:val="24"/>
          <w:lang w:val="en-GB"/>
        </w:rPr>
        <w:tab/>
        <w:t>NAME OF THE MEDICINAL PRODUCT</w:t>
      </w:r>
    </w:p>
    <w:p w14:paraId="4727CF06" w14:textId="6DCAA38B" w:rsidR="007C5D2A" w:rsidRPr="00AC03AF" w:rsidRDefault="003611E7" w:rsidP="004A3BF4">
      <w:pPr>
        <w:tabs>
          <w:tab w:val="left" w:pos="851"/>
        </w:tabs>
        <w:ind w:left="851"/>
        <w:rPr>
          <w:sz w:val="24"/>
          <w:szCs w:val="24"/>
          <w:lang w:val="en-GB"/>
        </w:rPr>
      </w:pPr>
      <w:r w:rsidRPr="00AC03AF">
        <w:rPr>
          <w:sz w:val="24"/>
          <w:szCs w:val="24"/>
          <w:lang w:val="en-GB"/>
        </w:rPr>
        <w:t xml:space="preserve">Dalbavancin </w:t>
      </w:r>
      <w:r w:rsidR="00437628">
        <w:rPr>
          <w:sz w:val="24"/>
          <w:szCs w:val="24"/>
          <w:lang w:val="en-GB"/>
        </w:rPr>
        <w:t>"</w:t>
      </w:r>
      <w:r w:rsidRPr="00AC03AF">
        <w:rPr>
          <w:sz w:val="24"/>
          <w:szCs w:val="24"/>
          <w:lang w:val="en-GB"/>
        </w:rPr>
        <w:t>Teva</w:t>
      </w:r>
      <w:r w:rsidR="00437628">
        <w:rPr>
          <w:sz w:val="24"/>
          <w:szCs w:val="24"/>
          <w:lang w:val="en-GB"/>
        </w:rPr>
        <w:t>"</w:t>
      </w:r>
    </w:p>
    <w:p w14:paraId="5D3DE24F" w14:textId="77777777" w:rsidR="007C5D2A" w:rsidRPr="00AC03AF" w:rsidRDefault="007C5D2A" w:rsidP="004A3BF4">
      <w:pPr>
        <w:tabs>
          <w:tab w:val="left" w:pos="851"/>
        </w:tabs>
        <w:ind w:left="851"/>
        <w:rPr>
          <w:sz w:val="24"/>
          <w:szCs w:val="24"/>
          <w:lang w:val="en-GB"/>
        </w:rPr>
      </w:pPr>
    </w:p>
    <w:p w14:paraId="2A1FD554" w14:textId="77777777" w:rsidR="007C5D2A" w:rsidRPr="00AC03AF" w:rsidRDefault="009925C9" w:rsidP="007C5D2A">
      <w:pPr>
        <w:ind w:left="851" w:hanging="851"/>
        <w:rPr>
          <w:b/>
          <w:sz w:val="24"/>
          <w:szCs w:val="24"/>
          <w:lang w:val="en-GB"/>
        </w:rPr>
      </w:pPr>
      <w:r w:rsidRPr="00AC03AF">
        <w:rPr>
          <w:b/>
          <w:sz w:val="24"/>
          <w:szCs w:val="24"/>
          <w:lang w:val="en-GB"/>
        </w:rPr>
        <w:t>2.</w:t>
      </w:r>
      <w:r w:rsidR="007C5D2A" w:rsidRPr="00AC03AF">
        <w:rPr>
          <w:b/>
          <w:sz w:val="24"/>
          <w:szCs w:val="24"/>
          <w:lang w:val="en-GB"/>
        </w:rPr>
        <w:tab/>
        <w:t>QUALITATIVE AND QUANTITATIVE COMPOSITION</w:t>
      </w:r>
    </w:p>
    <w:p w14:paraId="731ED9F9" w14:textId="77777777" w:rsidR="00442D34" w:rsidRPr="00AC03AF" w:rsidRDefault="00442D34" w:rsidP="00A6235F">
      <w:pPr>
        <w:suppressAutoHyphens/>
        <w:ind w:left="851"/>
        <w:rPr>
          <w:sz w:val="24"/>
          <w:szCs w:val="24"/>
          <w:lang w:val="en-US"/>
        </w:rPr>
      </w:pPr>
      <w:r w:rsidRPr="00AC03AF">
        <w:rPr>
          <w:sz w:val="24"/>
          <w:szCs w:val="24"/>
          <w:lang w:val="en-US"/>
        </w:rPr>
        <w:t>Each vial contains dalbavancin hydrochloride equivalent to 500 mg dalbavancin.</w:t>
      </w:r>
    </w:p>
    <w:p w14:paraId="019D2A89" w14:textId="77777777" w:rsidR="00442D34" w:rsidRPr="00AC03AF" w:rsidRDefault="00442D34" w:rsidP="00A6235F">
      <w:pPr>
        <w:suppressAutoHyphens/>
        <w:ind w:left="851"/>
        <w:rPr>
          <w:sz w:val="24"/>
          <w:szCs w:val="24"/>
          <w:highlight w:val="yellow"/>
          <w:lang w:val="en-US"/>
        </w:rPr>
      </w:pPr>
    </w:p>
    <w:p w14:paraId="05756DAA" w14:textId="77777777" w:rsidR="00442D34" w:rsidRPr="00AC03AF" w:rsidRDefault="00442D34" w:rsidP="00A6235F">
      <w:pPr>
        <w:suppressAutoHyphens/>
        <w:ind w:left="851"/>
        <w:rPr>
          <w:sz w:val="24"/>
          <w:szCs w:val="24"/>
          <w:lang w:val="en-US"/>
        </w:rPr>
      </w:pPr>
      <w:r w:rsidRPr="00AC03AF">
        <w:rPr>
          <w:sz w:val="24"/>
          <w:szCs w:val="24"/>
          <w:lang w:val="en-US"/>
        </w:rPr>
        <w:t>After reconstitution each ml of the concentrate contains 20 mg dalbavancin.</w:t>
      </w:r>
    </w:p>
    <w:p w14:paraId="04FCC677" w14:textId="77777777" w:rsidR="00442D34" w:rsidRPr="00AC03AF" w:rsidRDefault="00442D34" w:rsidP="00A6235F">
      <w:pPr>
        <w:suppressAutoHyphens/>
        <w:ind w:left="851"/>
        <w:rPr>
          <w:sz w:val="24"/>
          <w:szCs w:val="24"/>
          <w:lang w:val="en-US"/>
        </w:rPr>
      </w:pPr>
    </w:p>
    <w:p w14:paraId="70566893" w14:textId="77777777" w:rsidR="00442D34" w:rsidRPr="00AC03AF" w:rsidRDefault="00442D34" w:rsidP="00A6235F">
      <w:pPr>
        <w:suppressAutoHyphens/>
        <w:ind w:left="851"/>
        <w:rPr>
          <w:sz w:val="24"/>
          <w:szCs w:val="24"/>
          <w:lang w:val="en-US"/>
        </w:rPr>
      </w:pPr>
      <w:r w:rsidRPr="00AC03AF">
        <w:rPr>
          <w:sz w:val="24"/>
          <w:szCs w:val="24"/>
          <w:lang w:val="en-US"/>
        </w:rPr>
        <w:t>The diluted solution for infusion must have a final concentration of 1 to 5 mg/ml dalbavancin (see section 6.6).</w:t>
      </w:r>
    </w:p>
    <w:p w14:paraId="3DF6C9D0" w14:textId="77777777" w:rsidR="00442D34" w:rsidRPr="00AC03AF" w:rsidRDefault="00442D34" w:rsidP="00A6235F">
      <w:pPr>
        <w:suppressAutoHyphens/>
        <w:ind w:left="851"/>
        <w:rPr>
          <w:sz w:val="24"/>
          <w:szCs w:val="24"/>
          <w:highlight w:val="yellow"/>
          <w:lang w:val="en-US"/>
        </w:rPr>
      </w:pPr>
    </w:p>
    <w:p w14:paraId="3FA9030F" w14:textId="77777777" w:rsidR="00442D34" w:rsidRPr="00AC03AF" w:rsidRDefault="00442D34" w:rsidP="00A6235F">
      <w:pPr>
        <w:suppressAutoHyphens/>
        <w:ind w:left="851"/>
        <w:rPr>
          <w:noProof/>
          <w:sz w:val="24"/>
          <w:szCs w:val="24"/>
          <w:lang w:val="en-US"/>
        </w:rPr>
      </w:pPr>
      <w:r w:rsidRPr="00AC03AF">
        <w:rPr>
          <w:sz w:val="24"/>
          <w:szCs w:val="24"/>
          <w:lang w:val="en-US"/>
        </w:rPr>
        <w:t>For the full list of excipients, see section 6.1.</w:t>
      </w:r>
    </w:p>
    <w:p w14:paraId="37E4057B" w14:textId="77777777" w:rsidR="007C5D2A" w:rsidRPr="00AC03AF" w:rsidRDefault="007C5D2A" w:rsidP="004A3BF4">
      <w:pPr>
        <w:tabs>
          <w:tab w:val="left" w:pos="851"/>
        </w:tabs>
        <w:ind w:left="851"/>
        <w:rPr>
          <w:sz w:val="24"/>
          <w:szCs w:val="24"/>
          <w:lang w:val="en-GB"/>
        </w:rPr>
      </w:pPr>
    </w:p>
    <w:p w14:paraId="41B31D7E"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3.</w:t>
      </w:r>
      <w:r w:rsidRPr="00AC03AF">
        <w:rPr>
          <w:b/>
          <w:sz w:val="24"/>
          <w:szCs w:val="24"/>
          <w:lang w:val="en-GB"/>
        </w:rPr>
        <w:tab/>
        <w:t>PHARMACEUTICAL FORM</w:t>
      </w:r>
    </w:p>
    <w:p w14:paraId="3DA491AF" w14:textId="77777777" w:rsidR="00442D34" w:rsidRPr="00AC03AF" w:rsidRDefault="00442D34" w:rsidP="00A6235F">
      <w:pPr>
        <w:suppressAutoHyphens/>
        <w:ind w:left="851"/>
        <w:rPr>
          <w:noProof/>
          <w:sz w:val="24"/>
          <w:szCs w:val="24"/>
          <w:lang w:val="en-US"/>
        </w:rPr>
      </w:pPr>
      <w:r w:rsidRPr="00AC03AF">
        <w:rPr>
          <w:noProof/>
          <w:sz w:val="24"/>
          <w:szCs w:val="24"/>
          <w:lang w:val="en-US"/>
        </w:rPr>
        <w:t>Powder for concentrate for solution for infusion.</w:t>
      </w:r>
    </w:p>
    <w:p w14:paraId="6D75BF83" w14:textId="77777777" w:rsidR="00442D34" w:rsidRPr="00AC03AF" w:rsidRDefault="00442D34" w:rsidP="00A6235F">
      <w:pPr>
        <w:suppressAutoHyphens/>
        <w:ind w:left="851"/>
        <w:rPr>
          <w:noProof/>
          <w:sz w:val="24"/>
          <w:szCs w:val="24"/>
          <w:lang w:val="en-US"/>
        </w:rPr>
      </w:pPr>
    </w:p>
    <w:p w14:paraId="5940F5BB" w14:textId="77777777" w:rsidR="00442D34" w:rsidRPr="00AC03AF" w:rsidRDefault="00442D34" w:rsidP="00A6235F">
      <w:pPr>
        <w:suppressAutoHyphens/>
        <w:ind w:left="851"/>
        <w:rPr>
          <w:noProof/>
          <w:sz w:val="24"/>
          <w:szCs w:val="24"/>
          <w:lang w:val="en-US"/>
        </w:rPr>
      </w:pPr>
      <w:r w:rsidRPr="00AC03AF">
        <w:rPr>
          <w:noProof/>
          <w:sz w:val="24"/>
          <w:szCs w:val="24"/>
          <w:lang w:val="en-US"/>
        </w:rPr>
        <w:t>White to off-white to pale yellow powder.</w:t>
      </w:r>
    </w:p>
    <w:p w14:paraId="22D9714B" w14:textId="77777777" w:rsidR="007C5D2A" w:rsidRPr="00AC03AF" w:rsidRDefault="007C5D2A" w:rsidP="004A3BF4">
      <w:pPr>
        <w:tabs>
          <w:tab w:val="left" w:pos="851"/>
        </w:tabs>
        <w:ind w:left="851"/>
        <w:rPr>
          <w:sz w:val="24"/>
          <w:szCs w:val="24"/>
          <w:lang w:val="en-GB"/>
        </w:rPr>
      </w:pPr>
    </w:p>
    <w:p w14:paraId="0ADC05F8" w14:textId="77777777" w:rsidR="007C5D2A" w:rsidRPr="00AC03AF" w:rsidRDefault="007C5D2A" w:rsidP="004A3BF4">
      <w:pPr>
        <w:tabs>
          <w:tab w:val="left" w:pos="851"/>
        </w:tabs>
        <w:ind w:left="851"/>
        <w:rPr>
          <w:sz w:val="24"/>
          <w:szCs w:val="24"/>
          <w:lang w:val="en-GB"/>
        </w:rPr>
      </w:pPr>
    </w:p>
    <w:p w14:paraId="35DDA5A7" w14:textId="77777777" w:rsidR="007C5D2A" w:rsidRPr="00AC03AF" w:rsidRDefault="007C5D2A" w:rsidP="007C5D2A">
      <w:pPr>
        <w:ind w:left="851" w:hanging="851"/>
        <w:rPr>
          <w:b/>
          <w:sz w:val="24"/>
          <w:szCs w:val="24"/>
          <w:lang w:val="en-GB"/>
        </w:rPr>
      </w:pPr>
      <w:r w:rsidRPr="00AC03AF">
        <w:rPr>
          <w:b/>
          <w:sz w:val="24"/>
          <w:szCs w:val="24"/>
          <w:lang w:val="en-GB"/>
        </w:rPr>
        <w:t>4.</w:t>
      </w:r>
      <w:r w:rsidRPr="00AC03AF">
        <w:rPr>
          <w:b/>
          <w:sz w:val="24"/>
          <w:szCs w:val="24"/>
          <w:lang w:val="en-GB"/>
        </w:rPr>
        <w:tab/>
        <w:t>CLINICAL PARTICULARS</w:t>
      </w:r>
    </w:p>
    <w:p w14:paraId="1328D81B" w14:textId="77777777" w:rsidR="007C5D2A" w:rsidRPr="00AC03AF" w:rsidRDefault="007C5D2A" w:rsidP="004A3BF4">
      <w:pPr>
        <w:tabs>
          <w:tab w:val="left" w:pos="851"/>
        </w:tabs>
        <w:ind w:left="851"/>
        <w:rPr>
          <w:sz w:val="24"/>
          <w:szCs w:val="24"/>
          <w:lang w:val="en-GB"/>
        </w:rPr>
      </w:pPr>
    </w:p>
    <w:p w14:paraId="20F72E85" w14:textId="77777777" w:rsidR="007C5D2A" w:rsidRPr="00AC03AF" w:rsidRDefault="007C5D2A" w:rsidP="007C5D2A">
      <w:pPr>
        <w:ind w:left="851" w:hanging="851"/>
        <w:rPr>
          <w:b/>
          <w:sz w:val="24"/>
          <w:szCs w:val="24"/>
          <w:u w:val="single"/>
          <w:lang w:val="en-GB"/>
        </w:rPr>
      </w:pPr>
      <w:r w:rsidRPr="00AC03AF">
        <w:rPr>
          <w:b/>
          <w:sz w:val="24"/>
          <w:szCs w:val="24"/>
          <w:lang w:val="en-GB"/>
        </w:rPr>
        <w:t>4.1</w:t>
      </w:r>
      <w:r w:rsidRPr="00AC03AF">
        <w:rPr>
          <w:b/>
          <w:sz w:val="24"/>
          <w:szCs w:val="24"/>
          <w:lang w:val="en-GB"/>
        </w:rPr>
        <w:tab/>
        <w:t>Therapeutic indications</w:t>
      </w:r>
    </w:p>
    <w:p w14:paraId="6F245C56" w14:textId="0281AE73" w:rsidR="00442D34" w:rsidRPr="00AC03AF" w:rsidRDefault="00442D34" w:rsidP="00A6235F">
      <w:pPr>
        <w:suppressAutoHyphens/>
        <w:ind w:left="851"/>
        <w:rPr>
          <w:noProof/>
          <w:sz w:val="24"/>
          <w:szCs w:val="24"/>
          <w:lang w:val="en-US"/>
        </w:rPr>
      </w:pPr>
      <w:r w:rsidRPr="00AC03AF">
        <w:rPr>
          <w:noProof/>
          <w:sz w:val="24"/>
          <w:szCs w:val="24"/>
          <w:lang w:val="en-US"/>
        </w:rPr>
        <w:t xml:space="preserve">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is indicated for the treatment of acute bacterial skin and skin structure infections (ABSSSI) in adults and paediatric patients aged 3 months and older (see sections 4.4 and 5.1).</w:t>
      </w:r>
    </w:p>
    <w:p w14:paraId="60F7506B" w14:textId="77777777" w:rsidR="00442D34" w:rsidRPr="00AC03AF" w:rsidRDefault="00442D34" w:rsidP="00A6235F">
      <w:pPr>
        <w:suppressAutoHyphens/>
        <w:ind w:left="851"/>
        <w:rPr>
          <w:noProof/>
          <w:sz w:val="24"/>
          <w:szCs w:val="24"/>
          <w:lang w:val="en-US"/>
        </w:rPr>
      </w:pPr>
    </w:p>
    <w:p w14:paraId="0AD4F869" w14:textId="77777777" w:rsidR="00442D34" w:rsidRPr="00AC03AF" w:rsidRDefault="00442D34" w:rsidP="00A6235F">
      <w:pPr>
        <w:suppressAutoHyphens/>
        <w:ind w:left="851"/>
        <w:rPr>
          <w:noProof/>
          <w:sz w:val="24"/>
          <w:szCs w:val="24"/>
          <w:lang w:val="en-US"/>
        </w:rPr>
      </w:pPr>
      <w:r w:rsidRPr="00AC03AF">
        <w:rPr>
          <w:noProof/>
          <w:sz w:val="24"/>
          <w:szCs w:val="24"/>
          <w:lang w:val="en-US"/>
        </w:rPr>
        <w:t>Consideration should be given to official guidance on the appropriate use of antibacterial agents.</w:t>
      </w:r>
    </w:p>
    <w:p w14:paraId="020874FD" w14:textId="3599CE3F" w:rsidR="00437628" w:rsidRDefault="00437628">
      <w:pPr>
        <w:rPr>
          <w:sz w:val="24"/>
          <w:szCs w:val="24"/>
          <w:lang w:val="en-GB"/>
        </w:rPr>
      </w:pPr>
      <w:r>
        <w:rPr>
          <w:sz w:val="24"/>
          <w:szCs w:val="24"/>
          <w:lang w:val="en-GB"/>
        </w:rPr>
        <w:br w:type="page"/>
      </w:r>
    </w:p>
    <w:p w14:paraId="688A1ABB" w14:textId="77777777" w:rsidR="007C5D2A" w:rsidRPr="00AC03AF" w:rsidRDefault="007C5D2A" w:rsidP="00A85D26">
      <w:pPr>
        <w:tabs>
          <w:tab w:val="left" w:pos="851"/>
        </w:tabs>
        <w:ind w:left="851"/>
        <w:rPr>
          <w:sz w:val="24"/>
          <w:szCs w:val="24"/>
          <w:lang w:val="en-GB"/>
        </w:rPr>
      </w:pPr>
    </w:p>
    <w:p w14:paraId="197CB04E" w14:textId="77777777" w:rsidR="007C5D2A" w:rsidRPr="00AC03AF" w:rsidRDefault="009925C9" w:rsidP="007C5D2A">
      <w:pPr>
        <w:tabs>
          <w:tab w:val="left" w:pos="851"/>
        </w:tabs>
        <w:ind w:left="851" w:hanging="851"/>
        <w:rPr>
          <w:sz w:val="24"/>
          <w:szCs w:val="24"/>
          <w:lang w:val="en-GB"/>
        </w:rPr>
      </w:pPr>
      <w:r w:rsidRPr="00AC03AF">
        <w:rPr>
          <w:b/>
          <w:sz w:val="24"/>
          <w:szCs w:val="24"/>
          <w:lang w:val="en-GB"/>
        </w:rPr>
        <w:t>4.2</w:t>
      </w:r>
      <w:r w:rsidR="007C5D2A" w:rsidRPr="00AC03AF">
        <w:rPr>
          <w:b/>
          <w:sz w:val="24"/>
          <w:szCs w:val="24"/>
          <w:lang w:val="en-GB"/>
        </w:rPr>
        <w:tab/>
        <w:t>Posology and method of administration</w:t>
      </w:r>
    </w:p>
    <w:p w14:paraId="050C56F5" w14:textId="77777777" w:rsidR="00C97906" w:rsidRDefault="00C97906" w:rsidP="00A6235F">
      <w:pPr>
        <w:ind w:left="851"/>
        <w:rPr>
          <w:sz w:val="24"/>
          <w:szCs w:val="24"/>
          <w:lang w:val="en-US"/>
        </w:rPr>
      </w:pPr>
    </w:p>
    <w:p w14:paraId="71D556B4" w14:textId="397CD536" w:rsidR="00442D34" w:rsidRPr="00C97906" w:rsidRDefault="00442D34" w:rsidP="00A6235F">
      <w:pPr>
        <w:ind w:left="851"/>
        <w:rPr>
          <w:sz w:val="24"/>
          <w:szCs w:val="24"/>
          <w:u w:val="single"/>
          <w:lang w:val="en-US"/>
        </w:rPr>
      </w:pPr>
      <w:r w:rsidRPr="00C97906">
        <w:rPr>
          <w:sz w:val="24"/>
          <w:szCs w:val="24"/>
          <w:u w:val="single"/>
          <w:lang w:val="en-US"/>
        </w:rPr>
        <w:t>Posology</w:t>
      </w:r>
    </w:p>
    <w:p w14:paraId="206C3978" w14:textId="77777777" w:rsidR="00442D34" w:rsidRPr="00AC03AF" w:rsidRDefault="00442D34" w:rsidP="00A6235F">
      <w:pPr>
        <w:ind w:left="851"/>
        <w:rPr>
          <w:i/>
          <w:sz w:val="24"/>
          <w:szCs w:val="24"/>
          <w:lang w:val="en-US"/>
        </w:rPr>
      </w:pPr>
      <w:r w:rsidRPr="00AC03AF">
        <w:rPr>
          <w:i/>
          <w:sz w:val="24"/>
          <w:szCs w:val="24"/>
          <w:lang w:val="en-US"/>
        </w:rPr>
        <w:t>Adults</w:t>
      </w:r>
    </w:p>
    <w:p w14:paraId="72E570A8" w14:textId="77777777" w:rsidR="00442D34" w:rsidRPr="00AC03AF" w:rsidRDefault="00442D34" w:rsidP="00A6235F">
      <w:pPr>
        <w:ind w:left="851"/>
        <w:rPr>
          <w:sz w:val="24"/>
          <w:szCs w:val="24"/>
          <w:lang w:val="en-US"/>
        </w:rPr>
      </w:pPr>
      <w:r w:rsidRPr="00AC03AF">
        <w:rPr>
          <w:sz w:val="24"/>
          <w:szCs w:val="24"/>
          <w:lang w:val="en-US"/>
        </w:rPr>
        <w:t>The recommended dose of dalbavancin is 1 500 mg administered as either a single infusion of 1 500 mg or as 1 000 mg followed one week later by 500 mg (see sections 5.1 and 5.2).</w:t>
      </w:r>
    </w:p>
    <w:p w14:paraId="671FC27B" w14:textId="77777777" w:rsidR="00442D34" w:rsidRPr="00AC03AF" w:rsidRDefault="00442D34" w:rsidP="00A6235F">
      <w:pPr>
        <w:ind w:left="851"/>
        <w:rPr>
          <w:sz w:val="24"/>
          <w:szCs w:val="24"/>
          <w:lang w:val="en-US"/>
        </w:rPr>
      </w:pPr>
    </w:p>
    <w:p w14:paraId="4874E6CA" w14:textId="77777777" w:rsidR="00442D34" w:rsidRPr="00AC03AF" w:rsidRDefault="00442D34" w:rsidP="00A6235F">
      <w:pPr>
        <w:ind w:left="851"/>
        <w:rPr>
          <w:i/>
          <w:sz w:val="24"/>
          <w:szCs w:val="24"/>
          <w:lang w:val="en-US"/>
        </w:rPr>
      </w:pPr>
      <w:r w:rsidRPr="00AC03AF">
        <w:rPr>
          <w:i/>
          <w:sz w:val="24"/>
          <w:szCs w:val="24"/>
          <w:lang w:val="en-US"/>
        </w:rPr>
        <w:t xml:space="preserve">Children and adolescents aged from 6 years to less than 18 years </w:t>
      </w:r>
    </w:p>
    <w:p w14:paraId="47C6A1C2" w14:textId="77777777" w:rsidR="00442D34" w:rsidRPr="00AC03AF" w:rsidRDefault="00442D34" w:rsidP="00A6235F">
      <w:pPr>
        <w:ind w:left="851"/>
        <w:rPr>
          <w:sz w:val="24"/>
          <w:szCs w:val="24"/>
          <w:lang w:val="en-US"/>
        </w:rPr>
      </w:pPr>
      <w:r w:rsidRPr="00AC03AF">
        <w:rPr>
          <w:sz w:val="24"/>
          <w:szCs w:val="24"/>
          <w:lang w:val="en-US"/>
        </w:rPr>
        <w:t>The recommended dose of dalbavancin is a single dose of 18 mg/kg (maximum 1 500 mg).</w:t>
      </w:r>
    </w:p>
    <w:p w14:paraId="2A38692B" w14:textId="77777777" w:rsidR="00442D34" w:rsidRPr="00AC03AF" w:rsidRDefault="00442D34" w:rsidP="00A6235F">
      <w:pPr>
        <w:ind w:left="851"/>
        <w:rPr>
          <w:sz w:val="24"/>
          <w:szCs w:val="24"/>
          <w:lang w:val="en-US"/>
        </w:rPr>
      </w:pPr>
    </w:p>
    <w:p w14:paraId="51275A5B" w14:textId="77777777" w:rsidR="00442D34" w:rsidRPr="00AC03AF" w:rsidRDefault="00442D34" w:rsidP="00A6235F">
      <w:pPr>
        <w:ind w:left="851"/>
        <w:rPr>
          <w:i/>
          <w:sz w:val="24"/>
          <w:szCs w:val="24"/>
          <w:lang w:val="en-US"/>
        </w:rPr>
      </w:pPr>
      <w:r w:rsidRPr="00AC03AF">
        <w:rPr>
          <w:i/>
          <w:sz w:val="24"/>
          <w:szCs w:val="24"/>
          <w:lang w:val="en-US"/>
        </w:rPr>
        <w:t xml:space="preserve">Infants and children aged from 3 months to less than 6 years </w:t>
      </w:r>
    </w:p>
    <w:p w14:paraId="6DC236B0" w14:textId="77777777" w:rsidR="00442D34" w:rsidRPr="00AC03AF" w:rsidRDefault="00442D34" w:rsidP="00A6235F">
      <w:pPr>
        <w:ind w:left="851"/>
        <w:rPr>
          <w:sz w:val="24"/>
          <w:szCs w:val="24"/>
          <w:lang w:val="en-US"/>
        </w:rPr>
      </w:pPr>
      <w:r w:rsidRPr="00AC03AF">
        <w:rPr>
          <w:sz w:val="24"/>
          <w:szCs w:val="24"/>
          <w:lang w:val="en-US"/>
        </w:rPr>
        <w:t>The recommended dose of dalbavancin is a single dose of 22.5 mg/kg (maximum 1 500 mg).</w:t>
      </w:r>
    </w:p>
    <w:p w14:paraId="4EB8F1C7" w14:textId="77777777" w:rsidR="00442D34" w:rsidRPr="00AC03AF" w:rsidRDefault="00442D34" w:rsidP="00A6235F">
      <w:pPr>
        <w:ind w:left="851"/>
        <w:rPr>
          <w:sz w:val="24"/>
          <w:szCs w:val="24"/>
          <w:lang w:val="en-US"/>
        </w:rPr>
      </w:pPr>
    </w:p>
    <w:p w14:paraId="2820323E" w14:textId="77777777" w:rsidR="00442D34" w:rsidRPr="00C97906" w:rsidRDefault="00442D34" w:rsidP="00A6235F">
      <w:pPr>
        <w:ind w:left="851"/>
        <w:rPr>
          <w:sz w:val="24"/>
          <w:szCs w:val="24"/>
          <w:u w:val="single"/>
          <w:lang w:val="en-US"/>
        </w:rPr>
      </w:pPr>
      <w:r w:rsidRPr="00C97906">
        <w:rPr>
          <w:sz w:val="24"/>
          <w:szCs w:val="24"/>
          <w:u w:val="single"/>
          <w:lang w:val="en-US"/>
        </w:rPr>
        <w:t>Special populations</w:t>
      </w:r>
    </w:p>
    <w:p w14:paraId="76342AEB" w14:textId="77777777" w:rsidR="00442D34" w:rsidRPr="00AC03AF" w:rsidRDefault="00442D34" w:rsidP="00A6235F">
      <w:pPr>
        <w:ind w:left="851"/>
        <w:rPr>
          <w:i/>
          <w:sz w:val="24"/>
          <w:szCs w:val="24"/>
          <w:lang w:val="en-US"/>
        </w:rPr>
      </w:pPr>
      <w:r w:rsidRPr="00AC03AF">
        <w:rPr>
          <w:i/>
          <w:sz w:val="24"/>
          <w:szCs w:val="24"/>
          <w:lang w:val="en-US"/>
        </w:rPr>
        <w:t>Elderly</w:t>
      </w:r>
    </w:p>
    <w:p w14:paraId="4A5F74A1" w14:textId="77777777" w:rsidR="00442D34" w:rsidRPr="00AC03AF" w:rsidRDefault="00442D34" w:rsidP="00A6235F">
      <w:pPr>
        <w:ind w:left="851"/>
        <w:rPr>
          <w:sz w:val="24"/>
          <w:szCs w:val="24"/>
          <w:lang w:val="en-US"/>
        </w:rPr>
      </w:pPr>
      <w:r w:rsidRPr="00AC03AF">
        <w:rPr>
          <w:sz w:val="24"/>
          <w:szCs w:val="24"/>
          <w:lang w:val="en-US"/>
        </w:rPr>
        <w:t>No dose adjustment is necessary (see section 5.2).</w:t>
      </w:r>
    </w:p>
    <w:p w14:paraId="4B0A16AF" w14:textId="77777777" w:rsidR="00442D34" w:rsidRPr="00AC03AF" w:rsidRDefault="00442D34" w:rsidP="00A6235F">
      <w:pPr>
        <w:ind w:left="851"/>
        <w:rPr>
          <w:sz w:val="24"/>
          <w:szCs w:val="24"/>
          <w:lang w:val="en-US"/>
        </w:rPr>
      </w:pPr>
    </w:p>
    <w:p w14:paraId="5D151B61" w14:textId="77777777" w:rsidR="00442D34" w:rsidRPr="00AC03AF" w:rsidRDefault="00442D34" w:rsidP="00A6235F">
      <w:pPr>
        <w:ind w:left="851"/>
        <w:rPr>
          <w:i/>
          <w:sz w:val="24"/>
          <w:szCs w:val="24"/>
          <w:lang w:val="en-US"/>
        </w:rPr>
      </w:pPr>
      <w:r w:rsidRPr="00AC03AF">
        <w:rPr>
          <w:i/>
          <w:sz w:val="24"/>
          <w:szCs w:val="24"/>
          <w:lang w:val="en-US"/>
        </w:rPr>
        <w:t>Renal impairment</w:t>
      </w:r>
    </w:p>
    <w:p w14:paraId="0DC82FFC" w14:textId="77777777" w:rsidR="00442D34" w:rsidRPr="00AC03AF" w:rsidRDefault="00442D34" w:rsidP="00A6235F">
      <w:pPr>
        <w:ind w:left="851"/>
        <w:rPr>
          <w:sz w:val="24"/>
          <w:szCs w:val="24"/>
          <w:lang w:val="en-US"/>
        </w:rPr>
      </w:pPr>
      <w:r w:rsidRPr="00AC03AF">
        <w:rPr>
          <w:sz w:val="24"/>
          <w:szCs w:val="24"/>
          <w:lang w:val="en-US"/>
        </w:rPr>
        <w:t xml:space="preserve">Dose adjustments are not required for adult and paediatric patients with mild or moderate renal impairment (creatinine clearance ≥30 to 79 ml/min). Dose adjustments are not required for adult patients receiving regularly scheduled </w:t>
      </w:r>
      <w:proofErr w:type="spellStart"/>
      <w:r w:rsidRPr="00AC03AF">
        <w:rPr>
          <w:sz w:val="24"/>
          <w:szCs w:val="24"/>
          <w:lang w:val="en-US"/>
        </w:rPr>
        <w:t>haemodialysis</w:t>
      </w:r>
      <w:proofErr w:type="spellEnd"/>
      <w:r w:rsidRPr="00AC03AF">
        <w:rPr>
          <w:sz w:val="24"/>
          <w:szCs w:val="24"/>
          <w:lang w:val="en-US"/>
        </w:rPr>
        <w:t xml:space="preserve"> (3 times/week), and dalbavancin may be administered without regard to the timing of </w:t>
      </w:r>
      <w:proofErr w:type="spellStart"/>
      <w:r w:rsidRPr="00AC03AF">
        <w:rPr>
          <w:sz w:val="24"/>
          <w:szCs w:val="24"/>
          <w:lang w:val="en-US"/>
        </w:rPr>
        <w:t>haemodialysis</w:t>
      </w:r>
      <w:proofErr w:type="spellEnd"/>
      <w:r w:rsidRPr="00AC03AF">
        <w:rPr>
          <w:sz w:val="24"/>
          <w:szCs w:val="24"/>
          <w:lang w:val="en-US"/>
        </w:rPr>
        <w:t>.</w:t>
      </w:r>
    </w:p>
    <w:p w14:paraId="53E57E8F" w14:textId="77777777" w:rsidR="00442D34" w:rsidRPr="00AC03AF" w:rsidRDefault="00442D34" w:rsidP="00A6235F">
      <w:pPr>
        <w:ind w:left="851"/>
        <w:rPr>
          <w:sz w:val="24"/>
          <w:szCs w:val="24"/>
          <w:lang w:val="en-US"/>
        </w:rPr>
      </w:pPr>
    </w:p>
    <w:p w14:paraId="26350DA4" w14:textId="77777777" w:rsidR="00442D34" w:rsidRPr="00AC03AF" w:rsidRDefault="00442D34" w:rsidP="00A6235F">
      <w:pPr>
        <w:ind w:left="851"/>
        <w:rPr>
          <w:sz w:val="24"/>
          <w:szCs w:val="24"/>
          <w:lang w:val="en-US"/>
        </w:rPr>
      </w:pPr>
      <w:r w:rsidRPr="00AC03AF">
        <w:rPr>
          <w:sz w:val="24"/>
          <w:szCs w:val="24"/>
          <w:lang w:val="en-US"/>
        </w:rPr>
        <w:t xml:space="preserve">In adult patients with chronic renal impairment whose creatinine clearance is &lt;30 ml/min and who are not receiving regularly scheduled </w:t>
      </w:r>
      <w:proofErr w:type="spellStart"/>
      <w:r w:rsidRPr="00AC03AF">
        <w:rPr>
          <w:sz w:val="24"/>
          <w:szCs w:val="24"/>
          <w:lang w:val="en-US"/>
        </w:rPr>
        <w:t>haemodialysis</w:t>
      </w:r>
      <w:proofErr w:type="spellEnd"/>
      <w:r w:rsidRPr="00AC03AF">
        <w:rPr>
          <w:sz w:val="24"/>
          <w:szCs w:val="24"/>
          <w:lang w:val="en-US"/>
        </w:rPr>
        <w:t>, the recommended dose is reduced to either 1 000 mg administered as a single infusion or 750 mg followed one week later by 375 mg (see section 5.2).</w:t>
      </w:r>
    </w:p>
    <w:p w14:paraId="5C591050" w14:textId="77777777" w:rsidR="00442D34" w:rsidRPr="00AC03AF" w:rsidRDefault="00442D34" w:rsidP="00A6235F">
      <w:pPr>
        <w:ind w:left="851"/>
        <w:rPr>
          <w:sz w:val="24"/>
          <w:szCs w:val="24"/>
          <w:lang w:val="en-US"/>
        </w:rPr>
      </w:pPr>
    </w:p>
    <w:p w14:paraId="5FD3AEB1" w14:textId="77777777" w:rsidR="00442D34" w:rsidRPr="00AC03AF" w:rsidRDefault="00442D34" w:rsidP="00A6235F">
      <w:pPr>
        <w:ind w:left="851"/>
        <w:rPr>
          <w:sz w:val="24"/>
          <w:szCs w:val="24"/>
          <w:lang w:val="en-US"/>
        </w:rPr>
      </w:pPr>
      <w:r w:rsidRPr="00AC03AF">
        <w:rPr>
          <w:sz w:val="24"/>
          <w:szCs w:val="24"/>
          <w:lang w:val="en-US"/>
        </w:rPr>
        <w:t>There is insufficient information to recommend dosage adjustment for patients younger than 18 years with creatinine clearance less than 30 ml/min/1.73 m</w:t>
      </w:r>
      <w:r w:rsidRPr="00AC03AF">
        <w:rPr>
          <w:sz w:val="24"/>
          <w:szCs w:val="24"/>
          <w:vertAlign w:val="superscript"/>
          <w:lang w:val="en-US"/>
        </w:rPr>
        <w:t>2</w:t>
      </w:r>
      <w:r w:rsidRPr="00AC03AF">
        <w:rPr>
          <w:sz w:val="24"/>
          <w:szCs w:val="24"/>
          <w:lang w:val="en-US"/>
        </w:rPr>
        <w:t>. Currently available information is described in section 5.2, but no recommendation on a posology can be made.</w:t>
      </w:r>
    </w:p>
    <w:p w14:paraId="56E1B024" w14:textId="77777777" w:rsidR="00442D34" w:rsidRPr="00AC03AF" w:rsidRDefault="00442D34" w:rsidP="00A6235F">
      <w:pPr>
        <w:ind w:left="851"/>
        <w:rPr>
          <w:sz w:val="24"/>
          <w:szCs w:val="24"/>
          <w:lang w:val="en-US"/>
        </w:rPr>
      </w:pPr>
    </w:p>
    <w:p w14:paraId="2B2F27E0" w14:textId="77777777" w:rsidR="00442D34" w:rsidRPr="00AC03AF" w:rsidRDefault="00442D34" w:rsidP="00A6235F">
      <w:pPr>
        <w:ind w:left="851"/>
        <w:rPr>
          <w:i/>
          <w:sz w:val="24"/>
          <w:szCs w:val="24"/>
          <w:lang w:val="en-US"/>
        </w:rPr>
      </w:pPr>
      <w:r w:rsidRPr="00AC03AF">
        <w:rPr>
          <w:i/>
          <w:sz w:val="24"/>
          <w:szCs w:val="24"/>
          <w:lang w:val="en-US"/>
        </w:rPr>
        <w:t>Hepatic impairment</w:t>
      </w:r>
    </w:p>
    <w:p w14:paraId="4B198B33" w14:textId="77777777" w:rsidR="00442D34" w:rsidRPr="00AC03AF" w:rsidRDefault="00442D34" w:rsidP="00A6235F">
      <w:pPr>
        <w:ind w:left="851"/>
        <w:rPr>
          <w:sz w:val="24"/>
          <w:szCs w:val="24"/>
          <w:lang w:val="en-US"/>
        </w:rPr>
      </w:pPr>
      <w:r w:rsidRPr="00AC03AF">
        <w:rPr>
          <w:sz w:val="24"/>
          <w:szCs w:val="24"/>
          <w:lang w:val="en-US"/>
        </w:rPr>
        <w:t>No dose adjustment of dalbavancin is recommended for patients with mild hepatic impairment (Child</w:t>
      </w:r>
      <w:r w:rsidRPr="00AC03AF">
        <w:rPr>
          <w:sz w:val="24"/>
          <w:szCs w:val="24"/>
          <w:lang w:val="en-US"/>
        </w:rPr>
        <w:noBreakHyphen/>
        <w:t>Pugh A). Caution should be exercised when prescribing dalbavancin to patients with moderate or severe hepatic impairment (Child</w:t>
      </w:r>
      <w:r w:rsidRPr="00AC03AF">
        <w:rPr>
          <w:sz w:val="24"/>
          <w:szCs w:val="24"/>
          <w:lang w:val="en-US"/>
        </w:rPr>
        <w:noBreakHyphen/>
        <w:t>Pugh B and C) as no data are available to determine appropriate dosing (see sections 5.2).</w:t>
      </w:r>
    </w:p>
    <w:p w14:paraId="2DFE00AA" w14:textId="77777777" w:rsidR="00442D34" w:rsidRPr="00AC03AF" w:rsidRDefault="00442D34" w:rsidP="00A6235F">
      <w:pPr>
        <w:ind w:left="851"/>
        <w:rPr>
          <w:sz w:val="24"/>
          <w:szCs w:val="24"/>
          <w:lang w:val="en-US"/>
        </w:rPr>
      </w:pPr>
    </w:p>
    <w:p w14:paraId="046C4B22" w14:textId="77777777" w:rsidR="00442D34" w:rsidRPr="00C97906" w:rsidRDefault="00442D34" w:rsidP="00A6235F">
      <w:pPr>
        <w:ind w:left="851"/>
        <w:rPr>
          <w:sz w:val="24"/>
          <w:szCs w:val="24"/>
          <w:u w:val="single"/>
          <w:lang w:val="en-US"/>
        </w:rPr>
      </w:pPr>
      <w:r w:rsidRPr="00C97906">
        <w:rPr>
          <w:sz w:val="24"/>
          <w:szCs w:val="24"/>
          <w:u w:val="single"/>
          <w:lang w:val="en-US"/>
        </w:rPr>
        <w:t>Paediatric population</w:t>
      </w:r>
    </w:p>
    <w:p w14:paraId="498B14DE" w14:textId="77777777" w:rsidR="00442D34" w:rsidRPr="00AC03AF" w:rsidRDefault="00442D34" w:rsidP="00A6235F">
      <w:pPr>
        <w:ind w:left="851"/>
        <w:rPr>
          <w:sz w:val="24"/>
          <w:szCs w:val="24"/>
          <w:lang w:val="en-US"/>
        </w:rPr>
      </w:pPr>
      <w:r w:rsidRPr="00AC03AF">
        <w:rPr>
          <w:sz w:val="24"/>
          <w:szCs w:val="24"/>
          <w:lang w:val="en-US"/>
        </w:rPr>
        <w:t>The safety and efficacy of dalbavancin in children aged &lt;3 months old has not yet been established. Currently available data are described in section 5.2, but no recommendation on a posology can be made.</w:t>
      </w:r>
    </w:p>
    <w:p w14:paraId="77AC675B" w14:textId="77777777" w:rsidR="00442D34" w:rsidRPr="00AC03AF" w:rsidRDefault="00442D34" w:rsidP="00A6235F">
      <w:pPr>
        <w:ind w:left="851"/>
        <w:rPr>
          <w:sz w:val="24"/>
          <w:szCs w:val="24"/>
          <w:lang w:val="en-US"/>
        </w:rPr>
      </w:pPr>
    </w:p>
    <w:p w14:paraId="2C05FEAD" w14:textId="77777777" w:rsidR="00442D34" w:rsidRPr="00C97906" w:rsidRDefault="00442D34" w:rsidP="00A6235F">
      <w:pPr>
        <w:ind w:left="851"/>
        <w:rPr>
          <w:sz w:val="24"/>
          <w:szCs w:val="24"/>
          <w:u w:val="single"/>
          <w:lang w:val="en-US"/>
        </w:rPr>
      </w:pPr>
      <w:r w:rsidRPr="00C97906">
        <w:rPr>
          <w:sz w:val="24"/>
          <w:szCs w:val="24"/>
          <w:u w:val="single"/>
          <w:lang w:val="en-US"/>
        </w:rPr>
        <w:t xml:space="preserve">Method of administration </w:t>
      </w:r>
    </w:p>
    <w:p w14:paraId="7D080CFC" w14:textId="77777777" w:rsidR="00442D34" w:rsidRPr="00AC03AF" w:rsidRDefault="00442D34" w:rsidP="00A6235F">
      <w:pPr>
        <w:ind w:left="851"/>
        <w:rPr>
          <w:noProof/>
          <w:sz w:val="24"/>
          <w:szCs w:val="24"/>
          <w:lang w:val="en-US"/>
        </w:rPr>
      </w:pPr>
      <w:r w:rsidRPr="00AC03AF">
        <w:rPr>
          <w:noProof/>
          <w:sz w:val="24"/>
          <w:szCs w:val="24"/>
          <w:lang w:val="en-US"/>
        </w:rPr>
        <w:t>Intravenous use</w:t>
      </w:r>
    </w:p>
    <w:p w14:paraId="38E70D18" w14:textId="77777777" w:rsidR="00442D34" w:rsidRPr="00AC03AF" w:rsidRDefault="00442D34" w:rsidP="00A6235F">
      <w:pPr>
        <w:ind w:left="851"/>
        <w:rPr>
          <w:noProof/>
          <w:sz w:val="24"/>
          <w:szCs w:val="24"/>
          <w:lang w:val="en-US"/>
        </w:rPr>
      </w:pPr>
    </w:p>
    <w:p w14:paraId="12EE1AC7" w14:textId="55E11B88" w:rsidR="00442D34" w:rsidRPr="00AC03AF" w:rsidRDefault="00442D34" w:rsidP="00A6235F">
      <w:pPr>
        <w:ind w:left="851"/>
        <w:rPr>
          <w:noProof/>
          <w:sz w:val="24"/>
          <w:szCs w:val="24"/>
          <w:lang w:val="en-US"/>
        </w:rPr>
      </w:pPr>
      <w:r w:rsidRPr="00AC03AF">
        <w:rPr>
          <w:noProof/>
          <w:sz w:val="24"/>
          <w:szCs w:val="24"/>
          <w:lang w:val="en-US"/>
        </w:rPr>
        <w:t xml:space="preserve">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must be reconstituted and then further diluted prior to administration by intravenous infusion over a 30</w:t>
      </w:r>
      <w:r w:rsidRPr="00AC03AF">
        <w:rPr>
          <w:noProof/>
          <w:sz w:val="24"/>
          <w:szCs w:val="24"/>
          <w:lang w:val="en-US"/>
        </w:rPr>
        <w:noBreakHyphen/>
        <w:t>minute period. For instructions on reconstitution and dilution of the medicinal product before administration, see section 6.6.</w:t>
      </w:r>
    </w:p>
    <w:p w14:paraId="74B54288" w14:textId="77777777" w:rsidR="007C5D2A" w:rsidRPr="00AC03AF" w:rsidRDefault="007C5D2A" w:rsidP="00A85D26">
      <w:pPr>
        <w:tabs>
          <w:tab w:val="left" w:pos="851"/>
        </w:tabs>
        <w:ind w:left="851"/>
        <w:rPr>
          <w:sz w:val="24"/>
          <w:szCs w:val="24"/>
          <w:lang w:val="en-GB"/>
        </w:rPr>
      </w:pPr>
    </w:p>
    <w:p w14:paraId="68C66499"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4.3</w:t>
      </w:r>
      <w:r w:rsidRPr="00AC03AF">
        <w:rPr>
          <w:b/>
          <w:sz w:val="24"/>
          <w:szCs w:val="24"/>
          <w:lang w:val="en-GB"/>
        </w:rPr>
        <w:tab/>
        <w:t>Contraindications</w:t>
      </w:r>
    </w:p>
    <w:p w14:paraId="724F0EEB" w14:textId="77777777" w:rsidR="00442D34" w:rsidRPr="00AC03AF" w:rsidRDefault="00442D34" w:rsidP="00A6235F">
      <w:pPr>
        <w:suppressAutoHyphens/>
        <w:ind w:left="851"/>
        <w:rPr>
          <w:noProof/>
          <w:sz w:val="24"/>
          <w:szCs w:val="24"/>
          <w:lang w:val="en-US"/>
        </w:rPr>
      </w:pPr>
      <w:r w:rsidRPr="00AC03AF">
        <w:rPr>
          <w:noProof/>
          <w:sz w:val="24"/>
          <w:szCs w:val="24"/>
          <w:lang w:val="en-US"/>
        </w:rPr>
        <w:t>Hypersensitivity to the active substance or to any of the excipients listed in section 6.1.</w:t>
      </w:r>
    </w:p>
    <w:p w14:paraId="219D291C" w14:textId="77777777" w:rsidR="007C5D2A" w:rsidRPr="00AC03AF" w:rsidRDefault="007C5D2A" w:rsidP="003E0341">
      <w:pPr>
        <w:tabs>
          <w:tab w:val="left" w:pos="851"/>
        </w:tabs>
        <w:ind w:left="851"/>
        <w:rPr>
          <w:sz w:val="24"/>
          <w:szCs w:val="24"/>
          <w:lang w:val="en-GB"/>
        </w:rPr>
      </w:pPr>
    </w:p>
    <w:p w14:paraId="253EE7DF" w14:textId="77777777" w:rsidR="007C5D2A" w:rsidRPr="00AC03AF" w:rsidRDefault="007C5D2A" w:rsidP="007C5D2A">
      <w:pPr>
        <w:tabs>
          <w:tab w:val="left" w:pos="851"/>
        </w:tabs>
        <w:rPr>
          <w:b/>
          <w:sz w:val="24"/>
          <w:szCs w:val="24"/>
          <w:lang w:val="en-GB"/>
        </w:rPr>
      </w:pPr>
      <w:r w:rsidRPr="00AC03AF">
        <w:rPr>
          <w:b/>
          <w:sz w:val="24"/>
          <w:szCs w:val="24"/>
          <w:lang w:val="en-GB"/>
        </w:rPr>
        <w:t>4.4</w:t>
      </w:r>
      <w:r w:rsidRPr="00AC03AF">
        <w:rPr>
          <w:b/>
          <w:sz w:val="24"/>
          <w:szCs w:val="24"/>
          <w:lang w:val="en-GB"/>
        </w:rPr>
        <w:tab/>
        <w:t>Special warnings and precautions for use</w:t>
      </w:r>
    </w:p>
    <w:p w14:paraId="0C2D7D2E" w14:textId="77777777" w:rsidR="00C97906" w:rsidRDefault="00C97906" w:rsidP="00A6235F">
      <w:pPr>
        <w:ind w:left="851"/>
        <w:rPr>
          <w:noProof/>
          <w:sz w:val="24"/>
          <w:szCs w:val="24"/>
          <w:lang w:val="en-GB"/>
        </w:rPr>
      </w:pPr>
    </w:p>
    <w:p w14:paraId="6B6F0BB9" w14:textId="45709C6B" w:rsidR="00442D34" w:rsidRPr="00C97906" w:rsidRDefault="00442D34" w:rsidP="00A6235F">
      <w:pPr>
        <w:ind w:left="851"/>
        <w:rPr>
          <w:noProof/>
          <w:sz w:val="24"/>
          <w:szCs w:val="24"/>
          <w:u w:val="single"/>
          <w:lang w:val="en-US"/>
        </w:rPr>
      </w:pPr>
      <w:r w:rsidRPr="00C97906">
        <w:rPr>
          <w:noProof/>
          <w:sz w:val="24"/>
          <w:szCs w:val="24"/>
          <w:u w:val="single"/>
          <w:lang w:val="en-US"/>
        </w:rPr>
        <w:t>Hypersensitivity reactions</w:t>
      </w:r>
    </w:p>
    <w:p w14:paraId="1E21B5B7" w14:textId="77777777" w:rsidR="00442D34" w:rsidRPr="00AC03AF" w:rsidRDefault="00442D34" w:rsidP="00A6235F">
      <w:pPr>
        <w:ind w:left="851"/>
        <w:rPr>
          <w:noProof/>
          <w:sz w:val="24"/>
          <w:szCs w:val="24"/>
          <w:lang w:val="en-US"/>
        </w:rPr>
      </w:pPr>
      <w:r w:rsidRPr="00AC03AF">
        <w:rPr>
          <w:noProof/>
          <w:sz w:val="24"/>
          <w:szCs w:val="24"/>
          <w:lang w:val="en-US"/>
        </w:rPr>
        <w:t>Dalbavancin should be administered with caution in patients known to be hypersensitive to other glycopeptides since cross-hypersensitivity may occur. If an allergic reaction to dalbavancin occurs, administration should be discontinued and appropriate therapy for the allergic reaction should be instituted.</w:t>
      </w:r>
    </w:p>
    <w:p w14:paraId="0E44EA8D" w14:textId="77777777" w:rsidR="00442D34" w:rsidRPr="00AC03AF" w:rsidRDefault="00442D34" w:rsidP="00A6235F">
      <w:pPr>
        <w:ind w:left="851"/>
        <w:rPr>
          <w:noProof/>
          <w:sz w:val="24"/>
          <w:szCs w:val="24"/>
          <w:lang w:val="en-US"/>
        </w:rPr>
      </w:pPr>
    </w:p>
    <w:p w14:paraId="04E6D820" w14:textId="77777777" w:rsidR="00442D34" w:rsidRPr="00C97906" w:rsidRDefault="00442D34" w:rsidP="00A6235F">
      <w:pPr>
        <w:ind w:left="851"/>
        <w:rPr>
          <w:i/>
          <w:noProof/>
          <w:sz w:val="24"/>
          <w:szCs w:val="24"/>
          <w:u w:val="single"/>
          <w:lang w:val="en-US"/>
        </w:rPr>
      </w:pPr>
      <w:r w:rsidRPr="00C97906">
        <w:rPr>
          <w:i/>
          <w:noProof/>
          <w:sz w:val="24"/>
          <w:szCs w:val="24"/>
          <w:u w:val="single"/>
          <w:lang w:val="en-US"/>
        </w:rPr>
        <w:t>Clostridioides (</w:t>
      </w:r>
      <w:r w:rsidRPr="00C97906">
        <w:rPr>
          <w:noProof/>
          <w:sz w:val="24"/>
          <w:szCs w:val="24"/>
          <w:u w:val="single"/>
          <w:lang w:val="en-US"/>
        </w:rPr>
        <w:t>formerly</w:t>
      </w:r>
      <w:r w:rsidRPr="00C97906">
        <w:rPr>
          <w:i/>
          <w:noProof/>
          <w:sz w:val="24"/>
          <w:szCs w:val="24"/>
          <w:u w:val="single"/>
          <w:lang w:val="en-US"/>
        </w:rPr>
        <w:t xml:space="preserve"> Clostridium) difficile-</w:t>
      </w:r>
      <w:r w:rsidRPr="00C97906">
        <w:rPr>
          <w:noProof/>
          <w:sz w:val="24"/>
          <w:szCs w:val="24"/>
          <w:u w:val="single"/>
          <w:lang w:val="en-US"/>
        </w:rPr>
        <w:t>associated diarrhoea</w:t>
      </w:r>
    </w:p>
    <w:p w14:paraId="26FE003E" w14:textId="77777777" w:rsidR="00442D34" w:rsidRPr="00AC03AF" w:rsidRDefault="00442D34" w:rsidP="00A6235F">
      <w:pPr>
        <w:ind w:left="851"/>
        <w:rPr>
          <w:noProof/>
          <w:sz w:val="24"/>
          <w:szCs w:val="24"/>
          <w:lang w:val="en-US"/>
        </w:rPr>
      </w:pPr>
      <w:r w:rsidRPr="00AC03AF">
        <w:rPr>
          <w:noProof/>
          <w:sz w:val="24"/>
          <w:szCs w:val="24"/>
          <w:lang w:val="en-US"/>
        </w:rPr>
        <w:t xml:space="preserve">Antibacterial-associated colitis and pseudomembranous colitis have been reported with the use of nearly all antibiotics and may range in severity from mild to life threatening. Therefore, it is important to consider this diagnosis in patients who present with diarrhoea during or subsequent to the treatment with dalbavancin (see section 4.8). In such circumstance, the discontinuation of dalbavancin and the use of supportive measures together with the administration of specific treatment for </w:t>
      </w:r>
      <w:r w:rsidRPr="00AC03AF">
        <w:rPr>
          <w:i/>
          <w:noProof/>
          <w:sz w:val="24"/>
          <w:szCs w:val="24"/>
          <w:lang w:val="en-US"/>
        </w:rPr>
        <w:t xml:space="preserve">Clostridioides </w:t>
      </w:r>
      <w:r w:rsidRPr="00AC03AF">
        <w:rPr>
          <w:noProof/>
          <w:sz w:val="24"/>
          <w:szCs w:val="24"/>
          <w:lang w:val="en-US"/>
        </w:rPr>
        <w:t xml:space="preserve">(formerly </w:t>
      </w:r>
      <w:r w:rsidRPr="00AC03AF">
        <w:rPr>
          <w:i/>
          <w:noProof/>
          <w:sz w:val="24"/>
          <w:szCs w:val="24"/>
          <w:lang w:val="en-US"/>
        </w:rPr>
        <w:t>Clostridium</w:t>
      </w:r>
      <w:r w:rsidRPr="00AC03AF">
        <w:rPr>
          <w:noProof/>
          <w:sz w:val="24"/>
          <w:szCs w:val="24"/>
          <w:lang w:val="en-US"/>
        </w:rPr>
        <w:t xml:space="preserve">) </w:t>
      </w:r>
      <w:r w:rsidRPr="00AC03AF">
        <w:rPr>
          <w:i/>
          <w:noProof/>
          <w:sz w:val="24"/>
          <w:szCs w:val="24"/>
          <w:lang w:val="en-US"/>
        </w:rPr>
        <w:t>difficile</w:t>
      </w:r>
      <w:r w:rsidRPr="00AC03AF">
        <w:rPr>
          <w:noProof/>
          <w:sz w:val="24"/>
          <w:szCs w:val="24"/>
          <w:lang w:val="en-US"/>
        </w:rPr>
        <w:t xml:space="preserve"> should be considered. These patients must never be treated with medicinal products that suppress the peristalsis.</w:t>
      </w:r>
    </w:p>
    <w:p w14:paraId="795C2256" w14:textId="77777777" w:rsidR="00442D34" w:rsidRPr="00AC03AF" w:rsidRDefault="00442D34" w:rsidP="00A6235F">
      <w:pPr>
        <w:ind w:left="851"/>
        <w:rPr>
          <w:noProof/>
          <w:sz w:val="24"/>
          <w:szCs w:val="24"/>
          <w:lang w:val="en-US"/>
        </w:rPr>
      </w:pPr>
    </w:p>
    <w:p w14:paraId="5E9E38F2" w14:textId="77777777" w:rsidR="00442D34" w:rsidRPr="00C97906" w:rsidRDefault="00442D34" w:rsidP="00A6235F">
      <w:pPr>
        <w:ind w:left="851"/>
        <w:rPr>
          <w:noProof/>
          <w:sz w:val="24"/>
          <w:szCs w:val="24"/>
          <w:u w:val="single"/>
          <w:lang w:val="en-US"/>
        </w:rPr>
      </w:pPr>
      <w:r w:rsidRPr="00C97906">
        <w:rPr>
          <w:noProof/>
          <w:sz w:val="24"/>
          <w:szCs w:val="24"/>
          <w:u w:val="single"/>
          <w:lang w:val="en-US"/>
        </w:rPr>
        <w:t>Infusion-related reactions</w:t>
      </w:r>
    </w:p>
    <w:p w14:paraId="76FB97EB" w14:textId="373A47BF" w:rsidR="00442D34" w:rsidRPr="00AC03AF" w:rsidRDefault="00442D34" w:rsidP="00A6235F">
      <w:pPr>
        <w:ind w:left="851"/>
        <w:rPr>
          <w:noProof/>
          <w:sz w:val="24"/>
          <w:szCs w:val="24"/>
          <w:lang w:val="en-US"/>
        </w:rPr>
      </w:pPr>
      <w:r w:rsidRPr="00AC03AF">
        <w:rPr>
          <w:noProof/>
          <w:sz w:val="24"/>
          <w:szCs w:val="24"/>
          <w:lang w:val="en-US"/>
        </w:rPr>
        <w:t xml:space="preserve">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is to be administered via intravenous infusion, using a total infusion time of 30 minutes to minimise the risk of infusion-related reactions. Rapid intravenous infusions of glycopeptide antibacterial agents can cause reactions including flushing of the upper body, urticaria, pruritus, and/or rash. Stopping or slowing the infusion may result in cessation of these reactions.</w:t>
      </w:r>
    </w:p>
    <w:p w14:paraId="2D0003D0" w14:textId="77777777" w:rsidR="00442D34" w:rsidRPr="00AC03AF" w:rsidRDefault="00442D34" w:rsidP="00A6235F">
      <w:pPr>
        <w:ind w:left="851"/>
        <w:rPr>
          <w:noProof/>
          <w:sz w:val="24"/>
          <w:szCs w:val="24"/>
          <w:lang w:val="en-US"/>
        </w:rPr>
      </w:pPr>
    </w:p>
    <w:p w14:paraId="749F1CB3" w14:textId="77777777" w:rsidR="00442D34" w:rsidRPr="00C97906" w:rsidRDefault="00442D34" w:rsidP="00A6235F">
      <w:pPr>
        <w:ind w:left="851"/>
        <w:rPr>
          <w:noProof/>
          <w:sz w:val="24"/>
          <w:szCs w:val="24"/>
          <w:u w:val="single"/>
          <w:lang w:val="en-US"/>
        </w:rPr>
      </w:pPr>
      <w:r w:rsidRPr="00C97906">
        <w:rPr>
          <w:noProof/>
          <w:sz w:val="24"/>
          <w:szCs w:val="24"/>
          <w:u w:val="single"/>
          <w:lang w:val="en-US"/>
        </w:rPr>
        <w:t>Renal impairment</w:t>
      </w:r>
    </w:p>
    <w:p w14:paraId="171CEC93" w14:textId="77777777" w:rsidR="00442D34" w:rsidRPr="00AC03AF" w:rsidRDefault="00442D34" w:rsidP="00A6235F">
      <w:pPr>
        <w:ind w:left="851"/>
        <w:rPr>
          <w:noProof/>
          <w:sz w:val="24"/>
          <w:szCs w:val="24"/>
          <w:lang w:val="en-US"/>
        </w:rPr>
      </w:pPr>
      <w:r w:rsidRPr="00AC03AF">
        <w:rPr>
          <w:noProof/>
          <w:sz w:val="24"/>
          <w:szCs w:val="24"/>
          <w:lang w:val="en-US"/>
        </w:rPr>
        <w:t>Information on the efficacy and safety of dalbavancin in patients with creatinine clearance &lt;30 ml/min is limited. Based on simulations, dose adjustment is needed for adult patients with chronic renal impairment whose creatinine clearance is &lt;30 ml/min and who are not receiving regular haemodialysis (see sections 4.2 and 5.2). There is insufficient information to recommend dosage adjustment for patients younger than 18 years with creatinine clearance less than 30 ml/min/1.73 m</w:t>
      </w:r>
      <w:r w:rsidRPr="00AC03AF">
        <w:rPr>
          <w:noProof/>
          <w:sz w:val="24"/>
          <w:szCs w:val="24"/>
          <w:vertAlign w:val="superscript"/>
          <w:lang w:val="en-US"/>
        </w:rPr>
        <w:t>2</w:t>
      </w:r>
      <w:r w:rsidRPr="00AC03AF">
        <w:rPr>
          <w:noProof/>
          <w:sz w:val="24"/>
          <w:szCs w:val="24"/>
          <w:lang w:val="en-US"/>
        </w:rPr>
        <w:t>.</w:t>
      </w:r>
    </w:p>
    <w:p w14:paraId="4BAC8C75" w14:textId="77777777" w:rsidR="00442D34" w:rsidRPr="00AC03AF" w:rsidRDefault="00442D34" w:rsidP="00A6235F">
      <w:pPr>
        <w:ind w:left="851"/>
        <w:rPr>
          <w:noProof/>
          <w:sz w:val="24"/>
          <w:szCs w:val="24"/>
          <w:lang w:val="en-US"/>
        </w:rPr>
      </w:pPr>
    </w:p>
    <w:p w14:paraId="3595422A" w14:textId="77777777" w:rsidR="00442D34" w:rsidRPr="00C97906" w:rsidRDefault="00442D34" w:rsidP="00A6235F">
      <w:pPr>
        <w:ind w:left="851"/>
        <w:rPr>
          <w:noProof/>
          <w:sz w:val="24"/>
          <w:szCs w:val="24"/>
          <w:u w:val="single"/>
          <w:lang w:val="en-US"/>
        </w:rPr>
      </w:pPr>
      <w:r w:rsidRPr="00C97906">
        <w:rPr>
          <w:noProof/>
          <w:sz w:val="24"/>
          <w:szCs w:val="24"/>
          <w:u w:val="single"/>
          <w:lang w:val="en-US"/>
        </w:rPr>
        <w:t>Mixed infections</w:t>
      </w:r>
    </w:p>
    <w:p w14:paraId="3A18210C" w14:textId="77777777" w:rsidR="00442D34" w:rsidRPr="00AC03AF" w:rsidRDefault="00442D34" w:rsidP="00A6235F">
      <w:pPr>
        <w:ind w:left="851"/>
        <w:rPr>
          <w:noProof/>
          <w:sz w:val="24"/>
          <w:szCs w:val="24"/>
          <w:lang w:val="en-US"/>
        </w:rPr>
      </w:pPr>
      <w:r w:rsidRPr="00AC03AF">
        <w:rPr>
          <w:noProof/>
          <w:sz w:val="24"/>
          <w:szCs w:val="24"/>
          <w:lang w:val="en-US"/>
        </w:rPr>
        <w:t>In mixed infections in which Gram-negative bacteria are suspected patients should also be treated with an appropriate antibacterial agent(s) against Gram-negative bacteria (see section 5.1).</w:t>
      </w:r>
    </w:p>
    <w:p w14:paraId="4AB89064" w14:textId="77777777" w:rsidR="00442D34" w:rsidRPr="00AC03AF" w:rsidRDefault="00442D34" w:rsidP="00A6235F">
      <w:pPr>
        <w:ind w:left="851"/>
        <w:rPr>
          <w:noProof/>
          <w:sz w:val="24"/>
          <w:szCs w:val="24"/>
          <w:lang w:val="en-US"/>
        </w:rPr>
      </w:pPr>
    </w:p>
    <w:p w14:paraId="25882DA9" w14:textId="77777777" w:rsidR="00442D34" w:rsidRPr="00C97906" w:rsidRDefault="00442D34" w:rsidP="00A6235F">
      <w:pPr>
        <w:ind w:left="851"/>
        <w:rPr>
          <w:noProof/>
          <w:sz w:val="24"/>
          <w:szCs w:val="24"/>
          <w:u w:val="single"/>
          <w:lang w:val="en-US"/>
        </w:rPr>
      </w:pPr>
      <w:r w:rsidRPr="00C97906">
        <w:rPr>
          <w:noProof/>
          <w:sz w:val="24"/>
          <w:szCs w:val="24"/>
          <w:u w:val="single"/>
          <w:lang w:val="en-US"/>
        </w:rPr>
        <w:t>Non-susceptible organisms</w:t>
      </w:r>
    </w:p>
    <w:p w14:paraId="744C845C" w14:textId="77777777" w:rsidR="00442D34" w:rsidRPr="00AC03AF" w:rsidRDefault="00442D34" w:rsidP="00A6235F">
      <w:pPr>
        <w:ind w:left="851"/>
        <w:rPr>
          <w:noProof/>
          <w:sz w:val="24"/>
          <w:szCs w:val="24"/>
          <w:lang w:val="en-US"/>
        </w:rPr>
      </w:pPr>
      <w:r w:rsidRPr="00AC03AF">
        <w:rPr>
          <w:noProof/>
          <w:sz w:val="24"/>
          <w:szCs w:val="24"/>
          <w:lang w:val="en-US"/>
        </w:rPr>
        <w:t>The use of antibiotics may promote the overgrowth of non-susceptible micro-organisms. If superinfection occurs during therapy, appropriate measures should be taken.</w:t>
      </w:r>
    </w:p>
    <w:p w14:paraId="367EA0B4" w14:textId="15305B97" w:rsidR="00437628" w:rsidRDefault="00437628">
      <w:pPr>
        <w:rPr>
          <w:noProof/>
          <w:sz w:val="24"/>
          <w:szCs w:val="24"/>
          <w:lang w:val="en-US"/>
        </w:rPr>
      </w:pPr>
      <w:r>
        <w:rPr>
          <w:noProof/>
          <w:sz w:val="24"/>
          <w:szCs w:val="24"/>
          <w:lang w:val="en-US"/>
        </w:rPr>
        <w:br w:type="page"/>
      </w:r>
    </w:p>
    <w:p w14:paraId="7B3679A8" w14:textId="77777777" w:rsidR="00442D34" w:rsidRPr="00AC03AF" w:rsidRDefault="00442D34" w:rsidP="00A6235F">
      <w:pPr>
        <w:ind w:left="851"/>
        <w:rPr>
          <w:noProof/>
          <w:sz w:val="24"/>
          <w:szCs w:val="24"/>
          <w:lang w:val="en-US"/>
        </w:rPr>
      </w:pPr>
    </w:p>
    <w:p w14:paraId="32E7E6CB" w14:textId="77777777" w:rsidR="00442D34" w:rsidRPr="00C97906" w:rsidRDefault="00442D34" w:rsidP="00A6235F">
      <w:pPr>
        <w:ind w:left="851"/>
        <w:rPr>
          <w:noProof/>
          <w:sz w:val="24"/>
          <w:szCs w:val="24"/>
          <w:u w:val="single"/>
          <w:lang w:val="en-US"/>
        </w:rPr>
      </w:pPr>
      <w:r w:rsidRPr="00C97906">
        <w:rPr>
          <w:noProof/>
          <w:sz w:val="24"/>
          <w:szCs w:val="24"/>
          <w:u w:val="single"/>
          <w:lang w:val="en-US"/>
        </w:rPr>
        <w:t>Limitations of the clinical data</w:t>
      </w:r>
    </w:p>
    <w:p w14:paraId="058DC594" w14:textId="77777777" w:rsidR="00442D34" w:rsidRPr="00AC03AF" w:rsidRDefault="00442D34" w:rsidP="00A6235F">
      <w:pPr>
        <w:ind w:left="851"/>
        <w:rPr>
          <w:noProof/>
          <w:sz w:val="24"/>
          <w:szCs w:val="24"/>
          <w:lang w:val="en-US"/>
        </w:rPr>
      </w:pPr>
      <w:r w:rsidRPr="00AC03AF">
        <w:rPr>
          <w:noProof/>
          <w:sz w:val="24"/>
          <w:szCs w:val="24"/>
          <w:lang w:val="en-US"/>
        </w:rPr>
        <w:t>There is limited data on safety and efficacy of dalbavancin when administered for more than two doses (one week apart). In the major trials in ABSSSI the types of infections treated were confined to cellulitis/erysipelas, abscesses and wound infections only. There is no experience with dalbavancin in the treatment of severely immunocompromised patients.</w:t>
      </w:r>
    </w:p>
    <w:p w14:paraId="2AE16B59" w14:textId="77777777" w:rsidR="00442D34" w:rsidRPr="00AC03AF" w:rsidRDefault="00442D34" w:rsidP="00A6235F">
      <w:pPr>
        <w:ind w:left="851"/>
        <w:rPr>
          <w:noProof/>
          <w:sz w:val="24"/>
          <w:szCs w:val="24"/>
          <w:lang w:val="en-US"/>
        </w:rPr>
      </w:pPr>
    </w:p>
    <w:p w14:paraId="24E01218" w14:textId="77777777" w:rsidR="00442D34" w:rsidRPr="00C97906" w:rsidRDefault="00442D34" w:rsidP="00A6235F">
      <w:pPr>
        <w:ind w:left="851"/>
        <w:rPr>
          <w:noProof/>
          <w:sz w:val="24"/>
          <w:szCs w:val="24"/>
          <w:u w:val="single"/>
          <w:lang w:val="en-US"/>
        </w:rPr>
      </w:pPr>
      <w:r w:rsidRPr="00C97906">
        <w:rPr>
          <w:noProof/>
          <w:sz w:val="24"/>
          <w:szCs w:val="24"/>
          <w:u w:val="single"/>
          <w:lang w:val="en-US"/>
        </w:rPr>
        <w:t>Excipients</w:t>
      </w:r>
    </w:p>
    <w:p w14:paraId="4322F79D" w14:textId="5E102DEC" w:rsidR="00442D34" w:rsidRPr="00AC03AF" w:rsidRDefault="00442D34" w:rsidP="00A6235F">
      <w:pPr>
        <w:ind w:left="851"/>
        <w:rPr>
          <w:noProof/>
          <w:sz w:val="24"/>
          <w:szCs w:val="24"/>
          <w:lang w:val="en-US"/>
        </w:rPr>
      </w:pPr>
      <w:r w:rsidRPr="00AC03AF">
        <w:rPr>
          <w:noProof/>
          <w:sz w:val="24"/>
          <w:szCs w:val="24"/>
          <w:lang w:val="en-US"/>
        </w:rPr>
        <w:t>This medicine contains less than 1 mmol sodium (23 mg) per dose, that is to say essentially ‘sodium</w:t>
      </w:r>
      <w:r w:rsidR="00437628">
        <w:rPr>
          <w:noProof/>
          <w:sz w:val="24"/>
          <w:szCs w:val="24"/>
          <w:lang w:val="en-US"/>
        </w:rPr>
        <w:t>-</w:t>
      </w:r>
      <w:r w:rsidRPr="00AC03AF">
        <w:rPr>
          <w:noProof/>
          <w:sz w:val="24"/>
          <w:szCs w:val="24"/>
          <w:lang w:val="en-US"/>
        </w:rPr>
        <w:t>free’.</w:t>
      </w:r>
    </w:p>
    <w:p w14:paraId="5EDD8891" w14:textId="77777777" w:rsidR="007C5D2A" w:rsidRPr="00AC03AF" w:rsidRDefault="007C5D2A" w:rsidP="003E0341">
      <w:pPr>
        <w:tabs>
          <w:tab w:val="left" w:pos="851"/>
        </w:tabs>
        <w:ind w:left="851"/>
        <w:rPr>
          <w:sz w:val="24"/>
          <w:szCs w:val="24"/>
          <w:lang w:val="en-GB"/>
        </w:rPr>
      </w:pPr>
    </w:p>
    <w:p w14:paraId="73CD0FFE" w14:textId="77777777" w:rsidR="007C5D2A" w:rsidRPr="00AC03AF" w:rsidRDefault="007C5D2A" w:rsidP="007C5D2A">
      <w:pPr>
        <w:ind w:left="851" w:hanging="851"/>
        <w:rPr>
          <w:b/>
          <w:sz w:val="24"/>
          <w:szCs w:val="24"/>
          <w:lang w:val="en-GB"/>
        </w:rPr>
      </w:pPr>
      <w:r w:rsidRPr="00AC03AF">
        <w:rPr>
          <w:b/>
          <w:sz w:val="24"/>
          <w:szCs w:val="24"/>
          <w:lang w:val="en-GB"/>
        </w:rPr>
        <w:t>4.5</w:t>
      </w:r>
      <w:r w:rsidRPr="00AC03AF">
        <w:rPr>
          <w:b/>
          <w:sz w:val="24"/>
          <w:szCs w:val="24"/>
          <w:lang w:val="en-GB"/>
        </w:rPr>
        <w:tab/>
        <w:t>Interaction with other medicinal products and other forms of interaction</w:t>
      </w:r>
    </w:p>
    <w:p w14:paraId="1E1D9BCE" w14:textId="77777777" w:rsidR="00442D34" w:rsidRPr="00AC03AF" w:rsidRDefault="00442D34" w:rsidP="00A6235F">
      <w:pPr>
        <w:ind w:left="851"/>
        <w:rPr>
          <w:sz w:val="24"/>
          <w:szCs w:val="24"/>
          <w:lang w:val="en-US"/>
        </w:rPr>
      </w:pPr>
      <w:r w:rsidRPr="00AC03AF">
        <w:rPr>
          <w:sz w:val="24"/>
          <w:szCs w:val="24"/>
          <w:lang w:val="en-US"/>
        </w:rPr>
        <w:t xml:space="preserve">Results from an </w:t>
      </w:r>
      <w:r w:rsidRPr="00AC03AF">
        <w:rPr>
          <w:i/>
          <w:sz w:val="24"/>
          <w:szCs w:val="24"/>
          <w:lang w:val="en-US"/>
        </w:rPr>
        <w:t>in vitro</w:t>
      </w:r>
      <w:r w:rsidRPr="00AC03AF">
        <w:rPr>
          <w:sz w:val="24"/>
          <w:szCs w:val="24"/>
          <w:lang w:val="en-US"/>
        </w:rPr>
        <w:t xml:space="preserve"> receptor screening study do not indicate a likely interaction with other therapeutic targets or a potential for clinically relevant pharmacodynamic interactions (see section 5.1).</w:t>
      </w:r>
    </w:p>
    <w:p w14:paraId="70EEE907" w14:textId="77777777" w:rsidR="00442D34" w:rsidRPr="00AC03AF" w:rsidRDefault="00442D34" w:rsidP="00A6235F">
      <w:pPr>
        <w:ind w:left="851"/>
        <w:rPr>
          <w:sz w:val="24"/>
          <w:szCs w:val="24"/>
          <w:lang w:val="en-US"/>
        </w:rPr>
      </w:pPr>
    </w:p>
    <w:p w14:paraId="186E9E6B" w14:textId="77777777" w:rsidR="00442D34" w:rsidRPr="00AC03AF" w:rsidRDefault="00442D34" w:rsidP="00A6235F">
      <w:pPr>
        <w:ind w:left="851"/>
        <w:rPr>
          <w:sz w:val="24"/>
          <w:szCs w:val="24"/>
          <w:lang w:val="en-US"/>
        </w:rPr>
      </w:pPr>
      <w:r w:rsidRPr="00AC03AF">
        <w:rPr>
          <w:sz w:val="24"/>
          <w:szCs w:val="24"/>
          <w:lang w:val="en-US"/>
        </w:rPr>
        <w:t>Clinical drug-drug interaction studies with dalbavancin have not been conducted.</w:t>
      </w:r>
    </w:p>
    <w:p w14:paraId="66C01F7F" w14:textId="77777777" w:rsidR="00442D34" w:rsidRPr="00AC03AF" w:rsidRDefault="00442D34" w:rsidP="00A6235F">
      <w:pPr>
        <w:ind w:left="851"/>
        <w:rPr>
          <w:sz w:val="24"/>
          <w:szCs w:val="24"/>
          <w:lang w:val="en-US"/>
        </w:rPr>
      </w:pPr>
    </w:p>
    <w:p w14:paraId="738546EA" w14:textId="77777777" w:rsidR="00442D34" w:rsidRPr="00AC03AF" w:rsidRDefault="00442D34" w:rsidP="00A6235F">
      <w:pPr>
        <w:ind w:left="851"/>
        <w:rPr>
          <w:sz w:val="24"/>
          <w:szCs w:val="24"/>
          <w:u w:val="single"/>
          <w:lang w:val="en-US"/>
        </w:rPr>
      </w:pPr>
      <w:r w:rsidRPr="00AC03AF">
        <w:rPr>
          <w:sz w:val="24"/>
          <w:szCs w:val="24"/>
          <w:u w:val="single"/>
          <w:lang w:val="en-US"/>
        </w:rPr>
        <w:t>Potential for other medicinal products to affect the pharmacokinetics of dalbavancin</w:t>
      </w:r>
    </w:p>
    <w:p w14:paraId="5AFE81E8" w14:textId="77777777" w:rsidR="00442D34" w:rsidRPr="00AC03AF" w:rsidRDefault="00442D34" w:rsidP="00A6235F">
      <w:pPr>
        <w:ind w:left="851"/>
        <w:rPr>
          <w:sz w:val="24"/>
          <w:szCs w:val="24"/>
          <w:lang w:val="en-US"/>
        </w:rPr>
      </w:pPr>
      <w:r w:rsidRPr="00AC03AF">
        <w:rPr>
          <w:sz w:val="24"/>
          <w:szCs w:val="24"/>
          <w:lang w:val="en-US"/>
        </w:rPr>
        <w:t xml:space="preserve">Dalbavancin is not </w:t>
      </w:r>
      <w:proofErr w:type="spellStart"/>
      <w:r w:rsidRPr="00AC03AF">
        <w:rPr>
          <w:sz w:val="24"/>
          <w:szCs w:val="24"/>
          <w:lang w:val="en-US"/>
        </w:rPr>
        <w:t>metabolised</w:t>
      </w:r>
      <w:proofErr w:type="spellEnd"/>
      <w:r w:rsidRPr="00AC03AF">
        <w:rPr>
          <w:sz w:val="24"/>
          <w:szCs w:val="24"/>
          <w:lang w:val="en-US"/>
        </w:rPr>
        <w:t xml:space="preserve"> by CYP enzymes </w:t>
      </w:r>
      <w:r w:rsidRPr="00AC03AF">
        <w:rPr>
          <w:i/>
          <w:sz w:val="24"/>
          <w:szCs w:val="24"/>
          <w:lang w:val="en-US"/>
        </w:rPr>
        <w:t>in vitro</w:t>
      </w:r>
      <w:r w:rsidRPr="00AC03AF">
        <w:rPr>
          <w:sz w:val="24"/>
          <w:szCs w:val="24"/>
          <w:lang w:val="en-US"/>
        </w:rPr>
        <w:t>, therefore co-administered CYP inducers or inhibitors are unlikely to influence the pharmacokinetics of dalbavancin.</w:t>
      </w:r>
    </w:p>
    <w:p w14:paraId="70CA87B5" w14:textId="77777777" w:rsidR="00442D34" w:rsidRPr="00AC03AF" w:rsidRDefault="00442D34" w:rsidP="00A6235F">
      <w:pPr>
        <w:ind w:left="851"/>
        <w:rPr>
          <w:sz w:val="24"/>
          <w:szCs w:val="24"/>
          <w:lang w:val="en-US"/>
        </w:rPr>
      </w:pPr>
    </w:p>
    <w:p w14:paraId="24C51035" w14:textId="77777777" w:rsidR="00442D34" w:rsidRPr="00AC03AF" w:rsidRDefault="00442D34" w:rsidP="00A6235F">
      <w:pPr>
        <w:ind w:left="851"/>
        <w:rPr>
          <w:sz w:val="24"/>
          <w:szCs w:val="24"/>
          <w:lang w:val="en-US"/>
        </w:rPr>
      </w:pPr>
      <w:r w:rsidRPr="00AC03AF">
        <w:rPr>
          <w:sz w:val="24"/>
          <w:szCs w:val="24"/>
          <w:lang w:val="en-US"/>
        </w:rPr>
        <w:t>It is not known if dalbavancin is a substrate for hepatic uptake and efflux transporters. Co</w:t>
      </w:r>
      <w:r w:rsidRPr="00AC03AF">
        <w:rPr>
          <w:sz w:val="24"/>
          <w:szCs w:val="24"/>
          <w:lang w:val="en-US"/>
        </w:rPr>
        <w:noBreakHyphen/>
        <w:t>administration with inhibitors of these transporters may increase the exposure to dalbavancin. Examples of such transporter inhibitors are boosted protease inhibitors, verapamil, quinidine, itraconazole, clarithromycin and cyclosporine.</w:t>
      </w:r>
    </w:p>
    <w:p w14:paraId="370B98FF" w14:textId="77777777" w:rsidR="00442D34" w:rsidRPr="00AC03AF" w:rsidRDefault="00442D34" w:rsidP="00A6235F">
      <w:pPr>
        <w:ind w:left="851"/>
        <w:rPr>
          <w:sz w:val="24"/>
          <w:szCs w:val="24"/>
          <w:lang w:val="en-US"/>
        </w:rPr>
      </w:pPr>
    </w:p>
    <w:p w14:paraId="52F93D03" w14:textId="77777777" w:rsidR="00442D34" w:rsidRPr="00AC03AF" w:rsidRDefault="00442D34" w:rsidP="00A6235F">
      <w:pPr>
        <w:ind w:left="851"/>
        <w:rPr>
          <w:sz w:val="24"/>
          <w:szCs w:val="24"/>
          <w:u w:val="single"/>
          <w:lang w:val="en-US"/>
        </w:rPr>
      </w:pPr>
      <w:r w:rsidRPr="00AC03AF">
        <w:rPr>
          <w:sz w:val="24"/>
          <w:szCs w:val="24"/>
          <w:u w:val="single"/>
          <w:lang w:val="en-US"/>
        </w:rPr>
        <w:t>Potential for dalbavancin to affect the pharmacokinetics of other medicinal products.</w:t>
      </w:r>
    </w:p>
    <w:p w14:paraId="3EA675C8" w14:textId="77777777" w:rsidR="00442D34" w:rsidRPr="00AC03AF" w:rsidRDefault="00442D34" w:rsidP="00A6235F">
      <w:pPr>
        <w:ind w:left="851"/>
        <w:rPr>
          <w:sz w:val="24"/>
          <w:szCs w:val="24"/>
          <w:lang w:val="en-US"/>
        </w:rPr>
      </w:pPr>
      <w:r w:rsidRPr="00AC03AF">
        <w:rPr>
          <w:sz w:val="24"/>
          <w:szCs w:val="24"/>
          <w:lang w:val="en-US"/>
        </w:rPr>
        <w:t xml:space="preserve">The interaction potential of dalbavancin on medicinal products </w:t>
      </w:r>
      <w:proofErr w:type="spellStart"/>
      <w:r w:rsidRPr="00AC03AF">
        <w:rPr>
          <w:sz w:val="24"/>
          <w:szCs w:val="24"/>
          <w:lang w:val="en-US"/>
        </w:rPr>
        <w:t>metabolised</w:t>
      </w:r>
      <w:proofErr w:type="spellEnd"/>
      <w:r w:rsidRPr="00AC03AF">
        <w:rPr>
          <w:sz w:val="24"/>
          <w:szCs w:val="24"/>
          <w:lang w:val="en-US"/>
        </w:rPr>
        <w:t xml:space="preserve"> by CYP enzymes is expected to be low since it is neither an inhibitor nor an inducer of CYP enzymes </w:t>
      </w:r>
      <w:r w:rsidRPr="00AC03AF">
        <w:rPr>
          <w:i/>
          <w:sz w:val="24"/>
          <w:szCs w:val="24"/>
          <w:lang w:val="en-US"/>
        </w:rPr>
        <w:t>in vitro</w:t>
      </w:r>
      <w:r w:rsidRPr="00AC03AF">
        <w:rPr>
          <w:sz w:val="24"/>
          <w:szCs w:val="24"/>
          <w:lang w:val="en-US"/>
        </w:rPr>
        <w:t>. There are no data on dalbavancin as an inhibitor of CYP2C8.</w:t>
      </w:r>
    </w:p>
    <w:p w14:paraId="13013D65" w14:textId="77777777" w:rsidR="00442D34" w:rsidRPr="00AC03AF" w:rsidRDefault="00442D34" w:rsidP="00A6235F">
      <w:pPr>
        <w:ind w:left="851"/>
        <w:rPr>
          <w:sz w:val="24"/>
          <w:szCs w:val="24"/>
          <w:lang w:val="en-US"/>
        </w:rPr>
      </w:pPr>
      <w:r w:rsidRPr="00AC03AF">
        <w:rPr>
          <w:sz w:val="24"/>
          <w:szCs w:val="24"/>
          <w:lang w:val="en-US"/>
        </w:rPr>
        <w:t>It is not known if dalbavancin is an inhibitor of transporters. Increased exposure to transporter substrates sensitive for inhibited transporter activity, such as statins and digoxin, cannot be excluded if combined with dalbavancin.</w:t>
      </w:r>
    </w:p>
    <w:p w14:paraId="1233D03D" w14:textId="77777777" w:rsidR="007C5D2A" w:rsidRPr="00AC03AF" w:rsidRDefault="007C5D2A" w:rsidP="003E0341">
      <w:pPr>
        <w:tabs>
          <w:tab w:val="left" w:pos="851"/>
        </w:tabs>
        <w:ind w:left="851"/>
        <w:rPr>
          <w:sz w:val="24"/>
          <w:szCs w:val="24"/>
          <w:lang w:val="en-GB"/>
        </w:rPr>
      </w:pPr>
    </w:p>
    <w:p w14:paraId="68C87EA3"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4.6</w:t>
      </w:r>
      <w:r w:rsidRPr="00AC03AF">
        <w:rPr>
          <w:b/>
          <w:sz w:val="24"/>
          <w:szCs w:val="24"/>
          <w:lang w:val="en-GB"/>
        </w:rPr>
        <w:tab/>
      </w:r>
      <w:r w:rsidR="004860D3" w:rsidRPr="00AC03AF">
        <w:rPr>
          <w:b/>
          <w:sz w:val="24"/>
          <w:szCs w:val="24"/>
          <w:lang w:val="en-GB"/>
        </w:rPr>
        <w:t>Fertility, p</w:t>
      </w:r>
      <w:r w:rsidRPr="00AC03AF">
        <w:rPr>
          <w:b/>
          <w:sz w:val="24"/>
          <w:szCs w:val="24"/>
          <w:lang w:val="en-GB"/>
        </w:rPr>
        <w:t>regnancy and lactation</w:t>
      </w:r>
    </w:p>
    <w:p w14:paraId="43632D5B" w14:textId="77777777" w:rsidR="00C97906" w:rsidRDefault="00C97906" w:rsidP="00A6235F">
      <w:pPr>
        <w:ind w:left="851"/>
        <w:rPr>
          <w:noProof/>
          <w:sz w:val="24"/>
          <w:szCs w:val="24"/>
          <w:lang w:val="en-US"/>
        </w:rPr>
      </w:pPr>
    </w:p>
    <w:p w14:paraId="1BC183F1" w14:textId="48280C0D" w:rsidR="00442D34" w:rsidRPr="00C97906" w:rsidRDefault="00442D34" w:rsidP="00A6235F">
      <w:pPr>
        <w:ind w:left="851"/>
        <w:rPr>
          <w:noProof/>
          <w:sz w:val="24"/>
          <w:szCs w:val="24"/>
          <w:u w:val="single"/>
          <w:lang w:val="en-US"/>
        </w:rPr>
      </w:pPr>
      <w:r w:rsidRPr="00C97906">
        <w:rPr>
          <w:noProof/>
          <w:sz w:val="24"/>
          <w:szCs w:val="24"/>
          <w:u w:val="single"/>
          <w:lang w:val="en-US"/>
        </w:rPr>
        <w:t>Pregnancy</w:t>
      </w:r>
    </w:p>
    <w:p w14:paraId="69EF7416" w14:textId="77777777" w:rsidR="00442D34" w:rsidRPr="00AC03AF" w:rsidRDefault="00442D34" w:rsidP="00A6235F">
      <w:pPr>
        <w:ind w:left="851"/>
        <w:rPr>
          <w:noProof/>
          <w:sz w:val="24"/>
          <w:szCs w:val="24"/>
          <w:lang w:val="en-US"/>
        </w:rPr>
      </w:pPr>
      <w:r w:rsidRPr="00AC03AF">
        <w:rPr>
          <w:noProof/>
          <w:sz w:val="24"/>
          <w:szCs w:val="24"/>
          <w:lang w:val="en-US"/>
        </w:rPr>
        <w:t>There are no data from the use of dalbavancin in pregnant women. Studies in animals have shown reproductive toxicity (see section 5.3).</w:t>
      </w:r>
    </w:p>
    <w:p w14:paraId="22457165" w14:textId="77777777" w:rsidR="00442D34" w:rsidRPr="00AC03AF" w:rsidRDefault="00442D34" w:rsidP="00A6235F">
      <w:pPr>
        <w:ind w:left="851"/>
        <w:rPr>
          <w:noProof/>
          <w:sz w:val="24"/>
          <w:szCs w:val="24"/>
          <w:lang w:val="en-US"/>
        </w:rPr>
      </w:pPr>
    </w:p>
    <w:p w14:paraId="5D1BFDC4" w14:textId="16DE1E4E" w:rsidR="00442D34" w:rsidRPr="00AC03AF" w:rsidRDefault="00442D34" w:rsidP="00A6235F">
      <w:pPr>
        <w:ind w:left="851"/>
        <w:rPr>
          <w:noProof/>
          <w:sz w:val="24"/>
          <w:szCs w:val="24"/>
          <w:lang w:val="en-US"/>
        </w:rPr>
      </w:pPr>
      <w:r w:rsidRPr="00AC03AF">
        <w:rPr>
          <w:noProof/>
          <w:sz w:val="24"/>
          <w:szCs w:val="24"/>
          <w:lang w:val="en-US"/>
        </w:rPr>
        <w:t xml:space="preserve">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is not recommended during pregnancy, unless the potential expected benefit clearly justifies the potential risk to the foetus.</w:t>
      </w:r>
    </w:p>
    <w:p w14:paraId="15E32C63" w14:textId="77777777" w:rsidR="00442D34" w:rsidRPr="00AC03AF" w:rsidRDefault="00442D34" w:rsidP="00A6235F">
      <w:pPr>
        <w:ind w:left="851"/>
        <w:rPr>
          <w:noProof/>
          <w:sz w:val="24"/>
          <w:szCs w:val="24"/>
          <w:lang w:val="en-US"/>
        </w:rPr>
      </w:pPr>
    </w:p>
    <w:p w14:paraId="472A7FD2" w14:textId="77777777" w:rsidR="00442D34" w:rsidRPr="00C97906" w:rsidRDefault="00442D34" w:rsidP="00A6235F">
      <w:pPr>
        <w:ind w:left="851"/>
        <w:rPr>
          <w:noProof/>
          <w:sz w:val="24"/>
          <w:szCs w:val="24"/>
          <w:u w:val="single"/>
          <w:lang w:val="en-US"/>
        </w:rPr>
      </w:pPr>
      <w:r w:rsidRPr="00C97906">
        <w:rPr>
          <w:noProof/>
          <w:sz w:val="24"/>
          <w:szCs w:val="24"/>
          <w:u w:val="single"/>
          <w:lang w:val="en-US"/>
        </w:rPr>
        <w:t>Breast-feeding</w:t>
      </w:r>
    </w:p>
    <w:p w14:paraId="44767B6C" w14:textId="38D9F4C1" w:rsidR="00442D34" w:rsidRPr="00AC03AF" w:rsidRDefault="00442D34" w:rsidP="00A6235F">
      <w:pPr>
        <w:ind w:left="851"/>
        <w:rPr>
          <w:noProof/>
          <w:sz w:val="24"/>
          <w:szCs w:val="24"/>
          <w:lang w:val="en-US"/>
        </w:rPr>
      </w:pPr>
      <w:r w:rsidRPr="00AC03AF">
        <w:rPr>
          <w:noProof/>
          <w:sz w:val="24"/>
          <w:szCs w:val="24"/>
          <w:lang w:val="en-US"/>
        </w:rPr>
        <w:t xml:space="preserve">It is unknown whether dalbavancin is excreted in human milk. However, dalbavancin is excreted in the milk of lactating rats and may be excreted in human breast milk. Dalbavancin is not well absorbed orally; however, an impact on the gastrointestinal flora or mouth flora of a breast-feeding infant cannot be excluded. A decision must be made whether to continue/discontinue breast-feeding or to continue/discontinue therapy with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taking into account the benefit of breast-feeding for the child and the benefit of therapy for the woman.</w:t>
      </w:r>
    </w:p>
    <w:p w14:paraId="1069B9CD" w14:textId="77777777" w:rsidR="00442D34" w:rsidRPr="00AC03AF" w:rsidRDefault="00442D34" w:rsidP="00A6235F">
      <w:pPr>
        <w:ind w:left="851"/>
        <w:rPr>
          <w:noProof/>
          <w:sz w:val="24"/>
          <w:szCs w:val="24"/>
          <w:lang w:val="en-US"/>
        </w:rPr>
      </w:pPr>
    </w:p>
    <w:p w14:paraId="43099F9A" w14:textId="77777777" w:rsidR="00442D34" w:rsidRPr="00C97906" w:rsidRDefault="00442D34" w:rsidP="00A6235F">
      <w:pPr>
        <w:ind w:left="851"/>
        <w:rPr>
          <w:noProof/>
          <w:sz w:val="24"/>
          <w:szCs w:val="24"/>
          <w:u w:val="single"/>
          <w:lang w:val="en-US"/>
        </w:rPr>
      </w:pPr>
      <w:r w:rsidRPr="00C97906">
        <w:rPr>
          <w:noProof/>
          <w:sz w:val="24"/>
          <w:szCs w:val="24"/>
          <w:u w:val="single"/>
          <w:lang w:val="en-US"/>
        </w:rPr>
        <w:t>Fertility</w:t>
      </w:r>
    </w:p>
    <w:p w14:paraId="633C9E46" w14:textId="77777777" w:rsidR="00442D34" w:rsidRPr="00867A3F" w:rsidRDefault="00442D34" w:rsidP="00A6235F">
      <w:pPr>
        <w:ind w:left="851"/>
        <w:rPr>
          <w:noProof/>
          <w:sz w:val="24"/>
          <w:szCs w:val="24"/>
          <w:lang w:val="en-US"/>
        </w:rPr>
      </w:pPr>
      <w:r w:rsidRPr="00AC03AF">
        <w:rPr>
          <w:noProof/>
          <w:sz w:val="24"/>
          <w:szCs w:val="24"/>
          <w:lang w:val="en-US"/>
        </w:rPr>
        <w:t xml:space="preserve">Studies in animals have shown reduced fertility (see section 5.3). </w:t>
      </w:r>
      <w:r w:rsidRPr="00867A3F">
        <w:rPr>
          <w:noProof/>
          <w:sz w:val="24"/>
          <w:szCs w:val="24"/>
          <w:lang w:val="en-US"/>
        </w:rPr>
        <w:t>The potential risk for humans is unknown.</w:t>
      </w:r>
    </w:p>
    <w:p w14:paraId="4FBF3F4A" w14:textId="77777777" w:rsidR="007C5D2A" w:rsidRPr="00AC03AF" w:rsidRDefault="007C5D2A" w:rsidP="003E0341">
      <w:pPr>
        <w:tabs>
          <w:tab w:val="left" w:pos="851"/>
        </w:tabs>
        <w:ind w:left="851"/>
        <w:rPr>
          <w:sz w:val="24"/>
          <w:szCs w:val="24"/>
          <w:lang w:val="en-GB"/>
        </w:rPr>
      </w:pPr>
    </w:p>
    <w:p w14:paraId="76EBC808"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4.7</w:t>
      </w:r>
      <w:r w:rsidRPr="00AC03AF">
        <w:rPr>
          <w:b/>
          <w:sz w:val="24"/>
          <w:szCs w:val="24"/>
          <w:lang w:val="en-GB"/>
        </w:rPr>
        <w:tab/>
        <w:t>Effects on ability to drive and use machines</w:t>
      </w:r>
    </w:p>
    <w:p w14:paraId="4E65C60E" w14:textId="7D9ACA70" w:rsidR="007C5D2A" w:rsidRPr="00AC03AF" w:rsidRDefault="00442D34" w:rsidP="00A6235F">
      <w:pPr>
        <w:ind w:left="851"/>
        <w:rPr>
          <w:sz w:val="24"/>
          <w:szCs w:val="24"/>
          <w:lang w:val="en-GB"/>
        </w:rPr>
      </w:pPr>
      <w:r w:rsidRPr="00AC03AF">
        <w:rPr>
          <w:sz w:val="24"/>
          <w:szCs w:val="24"/>
          <w:lang w:val="en-GB"/>
        </w:rPr>
        <w:t>No traffic warning.</w:t>
      </w:r>
    </w:p>
    <w:p w14:paraId="5BF54179" w14:textId="1B5B1378" w:rsidR="00442D34" w:rsidRPr="00AC03AF" w:rsidRDefault="00442D34" w:rsidP="00A6235F">
      <w:pPr>
        <w:ind w:left="851"/>
        <w:rPr>
          <w:noProof/>
          <w:sz w:val="24"/>
          <w:szCs w:val="24"/>
          <w:lang w:val="en-US"/>
        </w:rPr>
      </w:pPr>
      <w:r w:rsidRPr="00AC03AF">
        <w:rPr>
          <w:noProof/>
          <w:sz w:val="24"/>
          <w:szCs w:val="24"/>
          <w:lang w:val="en-US"/>
        </w:rPr>
        <w:t xml:space="preserve">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may have a minor influence on the ability to drive and use machines, as dizziness has been reported in a small number of patients (see section 4.8).</w:t>
      </w:r>
    </w:p>
    <w:p w14:paraId="18AC2EF1" w14:textId="77777777" w:rsidR="00C97906" w:rsidRPr="00AC03AF" w:rsidRDefault="00C97906" w:rsidP="003E0341">
      <w:pPr>
        <w:tabs>
          <w:tab w:val="left" w:pos="851"/>
        </w:tabs>
        <w:ind w:left="851"/>
        <w:rPr>
          <w:sz w:val="24"/>
          <w:szCs w:val="24"/>
          <w:lang w:val="en-GB"/>
        </w:rPr>
      </w:pPr>
    </w:p>
    <w:p w14:paraId="1130C654"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4.8</w:t>
      </w:r>
      <w:r w:rsidRPr="00AC03AF">
        <w:rPr>
          <w:b/>
          <w:sz w:val="24"/>
          <w:szCs w:val="24"/>
          <w:lang w:val="en-GB"/>
        </w:rPr>
        <w:tab/>
        <w:t>Undesirable effects</w:t>
      </w:r>
    </w:p>
    <w:p w14:paraId="0BD033E1" w14:textId="77777777" w:rsidR="00C97906" w:rsidRDefault="00C97906" w:rsidP="00A6235F">
      <w:pPr>
        <w:ind w:left="851"/>
        <w:rPr>
          <w:sz w:val="24"/>
          <w:szCs w:val="24"/>
          <w:lang w:val="en-US"/>
        </w:rPr>
      </w:pPr>
    </w:p>
    <w:p w14:paraId="62949040" w14:textId="20919364" w:rsidR="00442D34" w:rsidRPr="00C97906" w:rsidRDefault="00442D34" w:rsidP="00A6235F">
      <w:pPr>
        <w:ind w:left="851"/>
        <w:rPr>
          <w:sz w:val="24"/>
          <w:szCs w:val="24"/>
          <w:u w:val="single"/>
          <w:lang w:val="en-US"/>
        </w:rPr>
      </w:pPr>
      <w:r w:rsidRPr="00C97906">
        <w:rPr>
          <w:sz w:val="24"/>
          <w:szCs w:val="24"/>
          <w:u w:val="single"/>
          <w:lang w:val="en-US"/>
        </w:rPr>
        <w:t>Summary of the safety profile</w:t>
      </w:r>
    </w:p>
    <w:p w14:paraId="786EE19B" w14:textId="77777777" w:rsidR="00442D34" w:rsidRPr="00AC03AF" w:rsidRDefault="00442D34" w:rsidP="00A6235F">
      <w:pPr>
        <w:ind w:left="851"/>
        <w:rPr>
          <w:sz w:val="24"/>
          <w:szCs w:val="24"/>
          <w:lang w:val="en-US"/>
        </w:rPr>
      </w:pPr>
      <w:r w:rsidRPr="00AC03AF">
        <w:rPr>
          <w:sz w:val="24"/>
          <w:szCs w:val="24"/>
          <w:lang w:val="en-US"/>
        </w:rPr>
        <w:t xml:space="preserve">In Phase 2/3 clinical studies, 2 473 adult patients received dalbavancin administered as either a single infusion of 1 500 mg or as 1 000 mg followed one week later by 500 mg. The most common adverse reactions occurring in ≥1% of patients treated with dalbavancin were nausea (2.4%), </w:t>
      </w:r>
      <w:proofErr w:type="spellStart"/>
      <w:r w:rsidRPr="00AC03AF">
        <w:rPr>
          <w:sz w:val="24"/>
          <w:szCs w:val="24"/>
          <w:lang w:val="en-US"/>
        </w:rPr>
        <w:t>diarrhoea</w:t>
      </w:r>
      <w:proofErr w:type="spellEnd"/>
      <w:r w:rsidRPr="00AC03AF">
        <w:rPr>
          <w:sz w:val="24"/>
          <w:szCs w:val="24"/>
          <w:lang w:val="en-US"/>
        </w:rPr>
        <w:t xml:space="preserve"> (1.9%), and headache (1.3%) and were generally of mild or moderate severity.</w:t>
      </w:r>
    </w:p>
    <w:p w14:paraId="50D1E8E6" w14:textId="77777777" w:rsidR="00442D34" w:rsidRPr="00AC03AF" w:rsidRDefault="00442D34" w:rsidP="00A6235F">
      <w:pPr>
        <w:ind w:left="851"/>
        <w:rPr>
          <w:sz w:val="24"/>
          <w:szCs w:val="24"/>
          <w:lang w:val="en-US"/>
        </w:rPr>
      </w:pPr>
    </w:p>
    <w:p w14:paraId="1FE0A77C" w14:textId="77777777" w:rsidR="00442D34" w:rsidRPr="00C97906" w:rsidRDefault="00442D34" w:rsidP="00A6235F">
      <w:pPr>
        <w:ind w:left="851"/>
        <w:rPr>
          <w:sz w:val="24"/>
          <w:szCs w:val="24"/>
          <w:u w:val="single"/>
          <w:lang w:val="en-US"/>
        </w:rPr>
      </w:pPr>
      <w:r w:rsidRPr="00C97906">
        <w:rPr>
          <w:sz w:val="24"/>
          <w:szCs w:val="24"/>
          <w:u w:val="single"/>
          <w:lang w:val="en-US"/>
        </w:rPr>
        <w:t>Tabulated list of adverse reactions (Table 1)</w:t>
      </w:r>
    </w:p>
    <w:p w14:paraId="0885F10E" w14:textId="77777777" w:rsidR="00442D34" w:rsidRPr="00AC03AF" w:rsidRDefault="00442D34" w:rsidP="00A6235F">
      <w:pPr>
        <w:ind w:left="851"/>
        <w:rPr>
          <w:sz w:val="24"/>
          <w:szCs w:val="24"/>
          <w:lang w:val="en-US"/>
        </w:rPr>
      </w:pPr>
      <w:r w:rsidRPr="00AC03AF">
        <w:rPr>
          <w:sz w:val="24"/>
          <w:szCs w:val="24"/>
          <w:lang w:val="en-US"/>
        </w:rPr>
        <w:t>The following adverse reactions have been identified in Phase 2/3 clinical trials with dalbavancin. Adverse reactions are classified according to System Organ Class and frequency. Frequency categories are derived according to the following conventions: very common (≥1/10), common (≥1/100 to &lt;1/10), uncommon (≥1/1 000 to &lt;1/100), rare (≥1/10 000 to &lt;1/1 000).</w:t>
      </w:r>
    </w:p>
    <w:p w14:paraId="157D519F" w14:textId="77777777" w:rsidR="00442D34" w:rsidRPr="00AC03AF" w:rsidRDefault="00442D34" w:rsidP="00A6235F">
      <w:pPr>
        <w:ind w:left="851"/>
        <w:rPr>
          <w:sz w:val="24"/>
          <w:szCs w:val="24"/>
          <w:lang w:val="en-US"/>
        </w:rPr>
      </w:pPr>
    </w:p>
    <w:p w14:paraId="03B108B2" w14:textId="77777777" w:rsidR="00442D34" w:rsidRPr="00AC03AF" w:rsidRDefault="00442D34" w:rsidP="00442D34">
      <w:pPr>
        <w:keepNext/>
        <w:keepLines/>
        <w:suppressAutoHyphens/>
        <w:autoSpaceDE w:val="0"/>
        <w:autoSpaceDN w:val="0"/>
        <w:adjustRightInd w:val="0"/>
        <w:ind w:left="1134" w:hanging="1134"/>
        <w:rPr>
          <w:b/>
          <w:sz w:val="24"/>
          <w:szCs w:val="24"/>
          <w:lang w:val="en-US"/>
        </w:rPr>
      </w:pPr>
      <w:r w:rsidRPr="00AC03AF">
        <w:rPr>
          <w:b/>
          <w:sz w:val="24"/>
          <w:szCs w:val="24"/>
          <w:lang w:val="en-US"/>
        </w:rPr>
        <w:t>Table 1:</w:t>
      </w:r>
      <w:r w:rsidRPr="00AC03AF">
        <w:rPr>
          <w:b/>
          <w:sz w:val="24"/>
          <w:szCs w:val="24"/>
          <w:lang w:val="en-US"/>
        </w:rPr>
        <w:tab/>
        <w:t>Tabulated list of adverse reactions</w:t>
      </w:r>
    </w:p>
    <w:p w14:paraId="39A75687" w14:textId="77777777" w:rsidR="00442D34" w:rsidRPr="00AC03AF" w:rsidRDefault="00442D34" w:rsidP="00442D34">
      <w:pPr>
        <w:keepNext/>
        <w:keepLines/>
        <w:suppressAutoHyphens/>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158"/>
        <w:gridCol w:w="1506"/>
        <w:gridCol w:w="3314"/>
        <w:gridCol w:w="1650"/>
      </w:tblGrid>
      <w:tr w:rsidR="00442D34" w:rsidRPr="00AC03AF" w14:paraId="0F5E5C5F" w14:textId="77777777" w:rsidTr="00A6235F">
        <w:trPr>
          <w:tblHeader/>
        </w:trPr>
        <w:tc>
          <w:tcPr>
            <w:tcW w:w="1640" w:type="pct"/>
            <w:tcBorders>
              <w:top w:val="single" w:sz="4" w:space="0" w:color="auto"/>
              <w:left w:val="single" w:sz="4" w:space="0" w:color="auto"/>
              <w:bottom w:val="single" w:sz="4" w:space="0" w:color="auto"/>
              <w:right w:val="single" w:sz="4" w:space="0" w:color="auto"/>
            </w:tcBorders>
            <w:hideMark/>
          </w:tcPr>
          <w:p w14:paraId="63AF45EB" w14:textId="77777777" w:rsidR="00442D34" w:rsidRPr="00AC03AF" w:rsidRDefault="00442D34">
            <w:pPr>
              <w:suppressAutoHyphens/>
              <w:autoSpaceDE w:val="0"/>
              <w:autoSpaceDN w:val="0"/>
              <w:adjustRightInd w:val="0"/>
              <w:rPr>
                <w:b/>
                <w:sz w:val="24"/>
                <w:szCs w:val="24"/>
              </w:rPr>
            </w:pPr>
            <w:r w:rsidRPr="00AC03AF">
              <w:rPr>
                <w:b/>
                <w:sz w:val="24"/>
                <w:szCs w:val="24"/>
              </w:rPr>
              <w:t>System Organ Class</w:t>
            </w:r>
          </w:p>
        </w:tc>
        <w:tc>
          <w:tcPr>
            <w:tcW w:w="782" w:type="pct"/>
            <w:tcBorders>
              <w:top w:val="single" w:sz="4" w:space="0" w:color="auto"/>
              <w:left w:val="single" w:sz="4" w:space="0" w:color="auto"/>
              <w:bottom w:val="single" w:sz="4" w:space="0" w:color="auto"/>
              <w:right w:val="single" w:sz="4" w:space="0" w:color="auto"/>
            </w:tcBorders>
            <w:hideMark/>
          </w:tcPr>
          <w:p w14:paraId="561A3025" w14:textId="77777777" w:rsidR="00442D34" w:rsidRPr="00AC03AF" w:rsidRDefault="00442D34">
            <w:pPr>
              <w:suppressAutoHyphens/>
              <w:autoSpaceDE w:val="0"/>
              <w:autoSpaceDN w:val="0"/>
              <w:adjustRightInd w:val="0"/>
              <w:rPr>
                <w:b/>
                <w:sz w:val="24"/>
                <w:szCs w:val="24"/>
              </w:rPr>
            </w:pPr>
            <w:r w:rsidRPr="00AC03AF">
              <w:rPr>
                <w:b/>
                <w:sz w:val="24"/>
                <w:szCs w:val="24"/>
              </w:rPr>
              <w:t>Common</w:t>
            </w:r>
          </w:p>
        </w:tc>
        <w:tc>
          <w:tcPr>
            <w:tcW w:w="1721" w:type="pct"/>
            <w:tcBorders>
              <w:top w:val="single" w:sz="4" w:space="0" w:color="auto"/>
              <w:left w:val="single" w:sz="4" w:space="0" w:color="auto"/>
              <w:bottom w:val="single" w:sz="4" w:space="0" w:color="auto"/>
              <w:right w:val="single" w:sz="4" w:space="0" w:color="auto"/>
            </w:tcBorders>
            <w:hideMark/>
          </w:tcPr>
          <w:p w14:paraId="45B5EB3C" w14:textId="77777777" w:rsidR="00442D34" w:rsidRPr="00AC03AF" w:rsidRDefault="00442D34">
            <w:pPr>
              <w:suppressAutoHyphens/>
              <w:autoSpaceDE w:val="0"/>
              <w:autoSpaceDN w:val="0"/>
              <w:adjustRightInd w:val="0"/>
              <w:rPr>
                <w:b/>
                <w:sz w:val="24"/>
                <w:szCs w:val="24"/>
              </w:rPr>
            </w:pPr>
            <w:r w:rsidRPr="00AC03AF">
              <w:rPr>
                <w:b/>
                <w:sz w:val="24"/>
                <w:szCs w:val="24"/>
              </w:rPr>
              <w:t>Uncommon</w:t>
            </w:r>
          </w:p>
        </w:tc>
        <w:tc>
          <w:tcPr>
            <w:tcW w:w="857" w:type="pct"/>
            <w:tcBorders>
              <w:top w:val="single" w:sz="4" w:space="0" w:color="auto"/>
              <w:left w:val="single" w:sz="4" w:space="0" w:color="auto"/>
              <w:bottom w:val="single" w:sz="4" w:space="0" w:color="auto"/>
              <w:right w:val="single" w:sz="4" w:space="0" w:color="auto"/>
            </w:tcBorders>
            <w:hideMark/>
          </w:tcPr>
          <w:p w14:paraId="6F0E36EF" w14:textId="77777777" w:rsidR="00442D34" w:rsidRPr="00AC03AF" w:rsidRDefault="00442D34">
            <w:pPr>
              <w:suppressAutoHyphens/>
              <w:autoSpaceDE w:val="0"/>
              <w:autoSpaceDN w:val="0"/>
              <w:adjustRightInd w:val="0"/>
              <w:rPr>
                <w:b/>
                <w:sz w:val="24"/>
                <w:szCs w:val="24"/>
              </w:rPr>
            </w:pPr>
            <w:r w:rsidRPr="00AC03AF">
              <w:rPr>
                <w:b/>
                <w:sz w:val="24"/>
                <w:szCs w:val="24"/>
              </w:rPr>
              <w:t>Rare</w:t>
            </w:r>
          </w:p>
        </w:tc>
      </w:tr>
      <w:tr w:rsidR="00442D34" w:rsidRPr="00867A3F" w14:paraId="50DE7D85"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320A7191" w14:textId="77777777" w:rsidR="00442D34" w:rsidRPr="00AC03AF" w:rsidRDefault="00442D34">
            <w:pPr>
              <w:suppressAutoHyphens/>
              <w:autoSpaceDE w:val="0"/>
              <w:autoSpaceDN w:val="0"/>
              <w:adjustRightInd w:val="0"/>
              <w:rPr>
                <w:b/>
                <w:sz w:val="24"/>
                <w:szCs w:val="24"/>
              </w:rPr>
            </w:pPr>
            <w:r w:rsidRPr="00AC03AF">
              <w:rPr>
                <w:b/>
                <w:sz w:val="24"/>
                <w:szCs w:val="24"/>
              </w:rPr>
              <w:t>Infections and infestations</w:t>
            </w:r>
          </w:p>
        </w:tc>
        <w:tc>
          <w:tcPr>
            <w:tcW w:w="782" w:type="pct"/>
            <w:tcBorders>
              <w:top w:val="single" w:sz="4" w:space="0" w:color="auto"/>
              <w:left w:val="single" w:sz="4" w:space="0" w:color="auto"/>
              <w:bottom w:val="single" w:sz="4" w:space="0" w:color="auto"/>
              <w:right w:val="single" w:sz="4" w:space="0" w:color="auto"/>
            </w:tcBorders>
          </w:tcPr>
          <w:p w14:paraId="55B3A556"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67DAB007" w14:textId="77777777" w:rsidR="00442D34" w:rsidRPr="00AC03AF" w:rsidRDefault="00442D34">
            <w:pPr>
              <w:suppressAutoHyphens/>
              <w:autoSpaceDE w:val="0"/>
              <w:autoSpaceDN w:val="0"/>
              <w:adjustRightInd w:val="0"/>
              <w:rPr>
                <w:sz w:val="24"/>
                <w:szCs w:val="24"/>
              </w:rPr>
            </w:pPr>
            <w:r w:rsidRPr="00AC03AF">
              <w:rPr>
                <w:sz w:val="24"/>
                <w:szCs w:val="24"/>
              </w:rPr>
              <w:t xml:space="preserve">vulvovaginal mycotic infection, urinary tract infection, fungal infection, </w:t>
            </w:r>
            <w:proofErr w:type="spellStart"/>
            <w:r w:rsidRPr="00AC03AF">
              <w:rPr>
                <w:i/>
                <w:sz w:val="24"/>
                <w:szCs w:val="24"/>
              </w:rPr>
              <w:t>Clostridioides</w:t>
            </w:r>
            <w:proofErr w:type="spellEnd"/>
            <w:r w:rsidRPr="00AC03AF">
              <w:rPr>
                <w:sz w:val="24"/>
                <w:szCs w:val="24"/>
              </w:rPr>
              <w:t xml:space="preserve"> (formerly </w:t>
            </w:r>
            <w:r w:rsidRPr="00AC03AF">
              <w:rPr>
                <w:i/>
                <w:sz w:val="24"/>
                <w:szCs w:val="24"/>
              </w:rPr>
              <w:t>Clostridium</w:t>
            </w:r>
            <w:r w:rsidRPr="00AC03AF">
              <w:rPr>
                <w:sz w:val="24"/>
                <w:szCs w:val="24"/>
              </w:rPr>
              <w:t xml:space="preserve">) </w:t>
            </w:r>
            <w:r w:rsidRPr="00AC03AF">
              <w:rPr>
                <w:i/>
                <w:sz w:val="24"/>
                <w:szCs w:val="24"/>
              </w:rPr>
              <w:t>difficile</w:t>
            </w:r>
            <w:r w:rsidRPr="00AC03AF">
              <w:rPr>
                <w:sz w:val="24"/>
                <w:szCs w:val="24"/>
              </w:rPr>
              <w:t xml:space="preserve"> colitis, oral candidiasis</w:t>
            </w:r>
          </w:p>
        </w:tc>
        <w:tc>
          <w:tcPr>
            <w:tcW w:w="857" w:type="pct"/>
            <w:tcBorders>
              <w:top w:val="single" w:sz="4" w:space="0" w:color="auto"/>
              <w:left w:val="single" w:sz="4" w:space="0" w:color="auto"/>
              <w:bottom w:val="single" w:sz="4" w:space="0" w:color="auto"/>
              <w:right w:val="single" w:sz="4" w:space="0" w:color="auto"/>
            </w:tcBorders>
          </w:tcPr>
          <w:p w14:paraId="4B9FE9F0" w14:textId="77777777" w:rsidR="00442D34" w:rsidRPr="00AC03AF" w:rsidRDefault="00442D34">
            <w:pPr>
              <w:suppressAutoHyphens/>
              <w:autoSpaceDE w:val="0"/>
              <w:autoSpaceDN w:val="0"/>
              <w:adjustRightInd w:val="0"/>
              <w:rPr>
                <w:sz w:val="24"/>
                <w:szCs w:val="24"/>
              </w:rPr>
            </w:pPr>
          </w:p>
        </w:tc>
      </w:tr>
      <w:tr w:rsidR="00442D34" w:rsidRPr="00867A3F" w14:paraId="6522F86D"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02822F49" w14:textId="77777777" w:rsidR="00442D34" w:rsidRPr="00AC03AF" w:rsidRDefault="00442D34">
            <w:pPr>
              <w:suppressAutoHyphens/>
              <w:autoSpaceDE w:val="0"/>
              <w:autoSpaceDN w:val="0"/>
              <w:adjustRightInd w:val="0"/>
              <w:rPr>
                <w:b/>
                <w:sz w:val="24"/>
                <w:szCs w:val="24"/>
              </w:rPr>
            </w:pPr>
            <w:r w:rsidRPr="00AC03AF">
              <w:rPr>
                <w:b/>
                <w:sz w:val="24"/>
                <w:szCs w:val="24"/>
              </w:rPr>
              <w:t>Blood and lymphatic system disorders</w:t>
            </w:r>
          </w:p>
        </w:tc>
        <w:tc>
          <w:tcPr>
            <w:tcW w:w="782" w:type="pct"/>
            <w:tcBorders>
              <w:top w:val="single" w:sz="4" w:space="0" w:color="auto"/>
              <w:left w:val="single" w:sz="4" w:space="0" w:color="auto"/>
              <w:bottom w:val="single" w:sz="4" w:space="0" w:color="auto"/>
              <w:right w:val="single" w:sz="4" w:space="0" w:color="auto"/>
            </w:tcBorders>
          </w:tcPr>
          <w:p w14:paraId="575CC06F"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C4F5605" w14:textId="77777777" w:rsidR="00442D34" w:rsidRPr="00AC03AF" w:rsidRDefault="00442D34">
            <w:pPr>
              <w:suppressAutoHyphens/>
              <w:autoSpaceDE w:val="0"/>
              <w:autoSpaceDN w:val="0"/>
              <w:adjustRightInd w:val="0"/>
              <w:rPr>
                <w:sz w:val="24"/>
                <w:szCs w:val="24"/>
              </w:rPr>
            </w:pPr>
            <w:r w:rsidRPr="00AC03AF">
              <w:rPr>
                <w:sz w:val="24"/>
                <w:szCs w:val="24"/>
              </w:rPr>
              <w:t xml:space="preserve">anaemia, thrombocytosis, eosinophilia, </w:t>
            </w:r>
            <w:proofErr w:type="spellStart"/>
            <w:r w:rsidRPr="00AC03AF">
              <w:rPr>
                <w:sz w:val="24"/>
                <w:szCs w:val="24"/>
              </w:rPr>
              <w:t>leucopenia</w:t>
            </w:r>
            <w:proofErr w:type="spellEnd"/>
            <w:r w:rsidRPr="00AC03AF">
              <w:rPr>
                <w:sz w:val="24"/>
                <w:szCs w:val="24"/>
              </w:rPr>
              <w:t>, neutropenia</w:t>
            </w:r>
          </w:p>
        </w:tc>
        <w:tc>
          <w:tcPr>
            <w:tcW w:w="857" w:type="pct"/>
            <w:tcBorders>
              <w:top w:val="single" w:sz="4" w:space="0" w:color="auto"/>
              <w:left w:val="single" w:sz="4" w:space="0" w:color="auto"/>
              <w:bottom w:val="single" w:sz="4" w:space="0" w:color="auto"/>
              <w:right w:val="single" w:sz="4" w:space="0" w:color="auto"/>
            </w:tcBorders>
          </w:tcPr>
          <w:p w14:paraId="2AA3B351" w14:textId="77777777" w:rsidR="00442D34" w:rsidRPr="00AC03AF" w:rsidRDefault="00442D34">
            <w:pPr>
              <w:suppressAutoHyphens/>
              <w:autoSpaceDE w:val="0"/>
              <w:autoSpaceDN w:val="0"/>
              <w:adjustRightInd w:val="0"/>
              <w:rPr>
                <w:sz w:val="24"/>
                <w:szCs w:val="24"/>
              </w:rPr>
            </w:pPr>
          </w:p>
        </w:tc>
      </w:tr>
      <w:tr w:rsidR="00442D34" w:rsidRPr="00AC03AF" w14:paraId="31038CBE"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09A14AD0" w14:textId="77777777" w:rsidR="00442D34" w:rsidRPr="00AC03AF" w:rsidRDefault="00442D34">
            <w:pPr>
              <w:suppressAutoHyphens/>
              <w:autoSpaceDE w:val="0"/>
              <w:autoSpaceDN w:val="0"/>
              <w:adjustRightInd w:val="0"/>
              <w:rPr>
                <w:b/>
                <w:sz w:val="24"/>
                <w:szCs w:val="24"/>
              </w:rPr>
            </w:pPr>
            <w:r w:rsidRPr="00AC03AF">
              <w:rPr>
                <w:b/>
                <w:sz w:val="24"/>
                <w:szCs w:val="24"/>
              </w:rPr>
              <w:t>Immune system disorders</w:t>
            </w:r>
          </w:p>
        </w:tc>
        <w:tc>
          <w:tcPr>
            <w:tcW w:w="782" w:type="pct"/>
            <w:tcBorders>
              <w:top w:val="single" w:sz="4" w:space="0" w:color="auto"/>
              <w:left w:val="single" w:sz="4" w:space="0" w:color="auto"/>
              <w:bottom w:val="single" w:sz="4" w:space="0" w:color="auto"/>
              <w:right w:val="single" w:sz="4" w:space="0" w:color="auto"/>
            </w:tcBorders>
          </w:tcPr>
          <w:p w14:paraId="0BBFBF8B"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tcPr>
          <w:p w14:paraId="5623F0E4" w14:textId="77777777" w:rsidR="00442D34" w:rsidRPr="00AC03AF" w:rsidRDefault="00442D34">
            <w:pPr>
              <w:suppressAutoHyphens/>
              <w:autoSpaceDE w:val="0"/>
              <w:autoSpaceDN w:val="0"/>
              <w:adjustRightInd w:val="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3BDD39EA" w14:textId="77777777" w:rsidR="00442D34" w:rsidRPr="00AC03AF" w:rsidRDefault="00442D34">
            <w:pPr>
              <w:suppressAutoHyphens/>
              <w:autoSpaceDE w:val="0"/>
              <w:autoSpaceDN w:val="0"/>
              <w:adjustRightInd w:val="0"/>
              <w:rPr>
                <w:sz w:val="24"/>
                <w:szCs w:val="24"/>
              </w:rPr>
            </w:pPr>
            <w:r w:rsidRPr="00AC03AF">
              <w:rPr>
                <w:sz w:val="24"/>
                <w:szCs w:val="24"/>
              </w:rPr>
              <w:t>anaphylactoid reaction</w:t>
            </w:r>
          </w:p>
        </w:tc>
      </w:tr>
      <w:tr w:rsidR="00442D34" w:rsidRPr="00AC03AF" w14:paraId="64487B89"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703B1A7B" w14:textId="77777777" w:rsidR="00442D34" w:rsidRPr="00AC03AF" w:rsidRDefault="00442D34">
            <w:pPr>
              <w:suppressAutoHyphens/>
              <w:autoSpaceDE w:val="0"/>
              <w:autoSpaceDN w:val="0"/>
              <w:adjustRightInd w:val="0"/>
              <w:rPr>
                <w:b/>
                <w:sz w:val="24"/>
                <w:szCs w:val="24"/>
              </w:rPr>
            </w:pPr>
            <w:r w:rsidRPr="00AC03AF">
              <w:rPr>
                <w:b/>
                <w:sz w:val="24"/>
                <w:szCs w:val="24"/>
              </w:rPr>
              <w:t>Metabolism and nutrition disorders</w:t>
            </w:r>
          </w:p>
        </w:tc>
        <w:tc>
          <w:tcPr>
            <w:tcW w:w="782" w:type="pct"/>
            <w:tcBorders>
              <w:top w:val="single" w:sz="4" w:space="0" w:color="auto"/>
              <w:left w:val="single" w:sz="4" w:space="0" w:color="auto"/>
              <w:bottom w:val="single" w:sz="4" w:space="0" w:color="auto"/>
              <w:right w:val="single" w:sz="4" w:space="0" w:color="auto"/>
            </w:tcBorders>
          </w:tcPr>
          <w:p w14:paraId="2673C923"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42F7FF48" w14:textId="77777777" w:rsidR="00442D34" w:rsidRPr="00AC03AF" w:rsidRDefault="00442D34">
            <w:pPr>
              <w:suppressAutoHyphens/>
              <w:autoSpaceDE w:val="0"/>
              <w:autoSpaceDN w:val="0"/>
              <w:adjustRightInd w:val="0"/>
              <w:rPr>
                <w:sz w:val="24"/>
                <w:szCs w:val="24"/>
              </w:rPr>
            </w:pPr>
            <w:r w:rsidRPr="00AC03AF">
              <w:rPr>
                <w:sz w:val="24"/>
                <w:szCs w:val="24"/>
              </w:rPr>
              <w:t>decreased appetite</w:t>
            </w:r>
          </w:p>
        </w:tc>
        <w:tc>
          <w:tcPr>
            <w:tcW w:w="857" w:type="pct"/>
            <w:tcBorders>
              <w:top w:val="single" w:sz="4" w:space="0" w:color="auto"/>
              <w:left w:val="single" w:sz="4" w:space="0" w:color="auto"/>
              <w:bottom w:val="single" w:sz="4" w:space="0" w:color="auto"/>
              <w:right w:val="single" w:sz="4" w:space="0" w:color="auto"/>
            </w:tcBorders>
          </w:tcPr>
          <w:p w14:paraId="3F095681" w14:textId="77777777" w:rsidR="00442D34" w:rsidRPr="00AC03AF" w:rsidRDefault="00442D34">
            <w:pPr>
              <w:suppressAutoHyphens/>
              <w:autoSpaceDE w:val="0"/>
              <w:autoSpaceDN w:val="0"/>
              <w:adjustRightInd w:val="0"/>
              <w:rPr>
                <w:sz w:val="24"/>
                <w:szCs w:val="24"/>
              </w:rPr>
            </w:pPr>
          </w:p>
        </w:tc>
      </w:tr>
      <w:tr w:rsidR="00442D34" w:rsidRPr="00AC03AF" w14:paraId="79B246EF"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4BB82D75" w14:textId="77777777" w:rsidR="00442D34" w:rsidRPr="00AC03AF" w:rsidRDefault="00442D34">
            <w:pPr>
              <w:suppressAutoHyphens/>
              <w:autoSpaceDE w:val="0"/>
              <w:autoSpaceDN w:val="0"/>
              <w:adjustRightInd w:val="0"/>
              <w:rPr>
                <w:b/>
                <w:sz w:val="24"/>
                <w:szCs w:val="24"/>
              </w:rPr>
            </w:pPr>
            <w:r w:rsidRPr="00AC03AF">
              <w:rPr>
                <w:b/>
                <w:sz w:val="24"/>
                <w:szCs w:val="24"/>
              </w:rPr>
              <w:t>Psychiatric disorders</w:t>
            </w:r>
          </w:p>
        </w:tc>
        <w:tc>
          <w:tcPr>
            <w:tcW w:w="782" w:type="pct"/>
            <w:tcBorders>
              <w:top w:val="single" w:sz="4" w:space="0" w:color="auto"/>
              <w:left w:val="single" w:sz="4" w:space="0" w:color="auto"/>
              <w:bottom w:val="single" w:sz="4" w:space="0" w:color="auto"/>
              <w:right w:val="single" w:sz="4" w:space="0" w:color="auto"/>
            </w:tcBorders>
          </w:tcPr>
          <w:p w14:paraId="73B4B08D"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75E60343" w14:textId="77777777" w:rsidR="00442D34" w:rsidRPr="00AC03AF" w:rsidRDefault="00442D34">
            <w:pPr>
              <w:suppressAutoHyphens/>
              <w:autoSpaceDE w:val="0"/>
              <w:autoSpaceDN w:val="0"/>
              <w:adjustRightInd w:val="0"/>
              <w:rPr>
                <w:sz w:val="24"/>
                <w:szCs w:val="24"/>
              </w:rPr>
            </w:pPr>
            <w:r w:rsidRPr="00AC03AF">
              <w:rPr>
                <w:sz w:val="24"/>
                <w:szCs w:val="24"/>
              </w:rPr>
              <w:t>insomnia</w:t>
            </w:r>
          </w:p>
        </w:tc>
        <w:tc>
          <w:tcPr>
            <w:tcW w:w="857" w:type="pct"/>
            <w:tcBorders>
              <w:top w:val="single" w:sz="4" w:space="0" w:color="auto"/>
              <w:left w:val="single" w:sz="4" w:space="0" w:color="auto"/>
              <w:bottom w:val="single" w:sz="4" w:space="0" w:color="auto"/>
              <w:right w:val="single" w:sz="4" w:space="0" w:color="auto"/>
            </w:tcBorders>
          </w:tcPr>
          <w:p w14:paraId="14180CDD" w14:textId="77777777" w:rsidR="00442D34" w:rsidRPr="00AC03AF" w:rsidRDefault="00442D34">
            <w:pPr>
              <w:suppressAutoHyphens/>
              <w:autoSpaceDE w:val="0"/>
              <w:autoSpaceDN w:val="0"/>
              <w:adjustRightInd w:val="0"/>
              <w:rPr>
                <w:sz w:val="24"/>
                <w:szCs w:val="24"/>
              </w:rPr>
            </w:pPr>
          </w:p>
        </w:tc>
      </w:tr>
      <w:tr w:rsidR="00442D34" w:rsidRPr="00AC03AF" w14:paraId="0B45F781"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4758380F" w14:textId="77777777" w:rsidR="00442D34" w:rsidRPr="00AC03AF" w:rsidRDefault="00442D34">
            <w:pPr>
              <w:suppressAutoHyphens/>
              <w:autoSpaceDE w:val="0"/>
              <w:autoSpaceDN w:val="0"/>
              <w:adjustRightInd w:val="0"/>
              <w:rPr>
                <w:b/>
                <w:sz w:val="24"/>
                <w:szCs w:val="24"/>
              </w:rPr>
            </w:pPr>
            <w:r w:rsidRPr="00AC03AF">
              <w:rPr>
                <w:b/>
                <w:sz w:val="24"/>
                <w:szCs w:val="24"/>
              </w:rPr>
              <w:t>Nervous system disorders</w:t>
            </w:r>
          </w:p>
        </w:tc>
        <w:tc>
          <w:tcPr>
            <w:tcW w:w="782" w:type="pct"/>
            <w:tcBorders>
              <w:top w:val="single" w:sz="4" w:space="0" w:color="auto"/>
              <w:left w:val="single" w:sz="4" w:space="0" w:color="auto"/>
              <w:bottom w:val="single" w:sz="4" w:space="0" w:color="auto"/>
              <w:right w:val="single" w:sz="4" w:space="0" w:color="auto"/>
            </w:tcBorders>
            <w:hideMark/>
          </w:tcPr>
          <w:p w14:paraId="1E6B6D65" w14:textId="77777777" w:rsidR="00442D34" w:rsidRPr="00AC03AF" w:rsidRDefault="00442D34">
            <w:pPr>
              <w:suppressAutoHyphens/>
              <w:autoSpaceDE w:val="0"/>
              <w:autoSpaceDN w:val="0"/>
              <w:adjustRightInd w:val="0"/>
              <w:rPr>
                <w:sz w:val="24"/>
                <w:szCs w:val="24"/>
              </w:rPr>
            </w:pPr>
            <w:r w:rsidRPr="00AC03AF">
              <w:rPr>
                <w:sz w:val="24"/>
                <w:szCs w:val="24"/>
              </w:rPr>
              <w:t>headache</w:t>
            </w:r>
          </w:p>
        </w:tc>
        <w:tc>
          <w:tcPr>
            <w:tcW w:w="1721" w:type="pct"/>
            <w:tcBorders>
              <w:top w:val="single" w:sz="4" w:space="0" w:color="auto"/>
              <w:left w:val="single" w:sz="4" w:space="0" w:color="auto"/>
              <w:bottom w:val="single" w:sz="4" w:space="0" w:color="auto"/>
              <w:right w:val="single" w:sz="4" w:space="0" w:color="auto"/>
            </w:tcBorders>
            <w:hideMark/>
          </w:tcPr>
          <w:p w14:paraId="1A507C48" w14:textId="77777777" w:rsidR="00442D34" w:rsidRPr="00AC03AF" w:rsidRDefault="00442D34">
            <w:pPr>
              <w:suppressAutoHyphens/>
              <w:autoSpaceDE w:val="0"/>
              <w:autoSpaceDN w:val="0"/>
              <w:adjustRightInd w:val="0"/>
              <w:rPr>
                <w:sz w:val="24"/>
                <w:szCs w:val="24"/>
              </w:rPr>
            </w:pPr>
            <w:r w:rsidRPr="00AC03AF">
              <w:rPr>
                <w:sz w:val="24"/>
                <w:szCs w:val="24"/>
              </w:rPr>
              <w:t>dysgeusia, dizziness</w:t>
            </w:r>
          </w:p>
        </w:tc>
        <w:tc>
          <w:tcPr>
            <w:tcW w:w="857" w:type="pct"/>
            <w:tcBorders>
              <w:top w:val="single" w:sz="4" w:space="0" w:color="auto"/>
              <w:left w:val="single" w:sz="4" w:space="0" w:color="auto"/>
              <w:bottom w:val="single" w:sz="4" w:space="0" w:color="auto"/>
              <w:right w:val="single" w:sz="4" w:space="0" w:color="auto"/>
            </w:tcBorders>
          </w:tcPr>
          <w:p w14:paraId="1CBC9FAA" w14:textId="77777777" w:rsidR="00442D34" w:rsidRPr="00AC03AF" w:rsidRDefault="00442D34">
            <w:pPr>
              <w:suppressAutoHyphens/>
              <w:autoSpaceDE w:val="0"/>
              <w:autoSpaceDN w:val="0"/>
              <w:adjustRightInd w:val="0"/>
              <w:rPr>
                <w:sz w:val="24"/>
                <w:szCs w:val="24"/>
              </w:rPr>
            </w:pPr>
          </w:p>
        </w:tc>
      </w:tr>
      <w:tr w:rsidR="00442D34" w:rsidRPr="00AC03AF" w14:paraId="1D0EC67B"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1634D2ED" w14:textId="77777777" w:rsidR="00442D34" w:rsidRPr="00AC03AF" w:rsidRDefault="00442D34">
            <w:pPr>
              <w:suppressAutoHyphens/>
              <w:autoSpaceDE w:val="0"/>
              <w:autoSpaceDN w:val="0"/>
              <w:adjustRightInd w:val="0"/>
              <w:rPr>
                <w:b/>
                <w:sz w:val="24"/>
                <w:szCs w:val="24"/>
              </w:rPr>
            </w:pPr>
            <w:r w:rsidRPr="00AC03AF">
              <w:rPr>
                <w:b/>
                <w:sz w:val="24"/>
                <w:szCs w:val="24"/>
              </w:rPr>
              <w:t>Vascular disorders</w:t>
            </w:r>
          </w:p>
        </w:tc>
        <w:tc>
          <w:tcPr>
            <w:tcW w:w="782" w:type="pct"/>
            <w:tcBorders>
              <w:top w:val="single" w:sz="4" w:space="0" w:color="auto"/>
              <w:left w:val="single" w:sz="4" w:space="0" w:color="auto"/>
              <w:bottom w:val="single" w:sz="4" w:space="0" w:color="auto"/>
              <w:right w:val="single" w:sz="4" w:space="0" w:color="auto"/>
            </w:tcBorders>
          </w:tcPr>
          <w:p w14:paraId="038C9762"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43983071" w14:textId="77777777" w:rsidR="00442D34" w:rsidRPr="00AC03AF" w:rsidRDefault="00442D34">
            <w:pPr>
              <w:suppressAutoHyphens/>
              <w:autoSpaceDE w:val="0"/>
              <w:autoSpaceDN w:val="0"/>
              <w:adjustRightInd w:val="0"/>
              <w:rPr>
                <w:sz w:val="24"/>
                <w:szCs w:val="24"/>
              </w:rPr>
            </w:pPr>
            <w:r w:rsidRPr="00AC03AF">
              <w:rPr>
                <w:sz w:val="24"/>
                <w:szCs w:val="24"/>
              </w:rPr>
              <w:t>flushing, phlebitis</w:t>
            </w:r>
          </w:p>
        </w:tc>
        <w:tc>
          <w:tcPr>
            <w:tcW w:w="857" w:type="pct"/>
            <w:tcBorders>
              <w:top w:val="single" w:sz="4" w:space="0" w:color="auto"/>
              <w:left w:val="single" w:sz="4" w:space="0" w:color="auto"/>
              <w:bottom w:val="single" w:sz="4" w:space="0" w:color="auto"/>
              <w:right w:val="single" w:sz="4" w:space="0" w:color="auto"/>
            </w:tcBorders>
          </w:tcPr>
          <w:p w14:paraId="40872E7A" w14:textId="77777777" w:rsidR="00442D34" w:rsidRPr="00AC03AF" w:rsidRDefault="00442D34">
            <w:pPr>
              <w:suppressAutoHyphens/>
              <w:autoSpaceDE w:val="0"/>
              <w:autoSpaceDN w:val="0"/>
              <w:adjustRightInd w:val="0"/>
              <w:rPr>
                <w:sz w:val="24"/>
                <w:szCs w:val="24"/>
              </w:rPr>
            </w:pPr>
          </w:p>
        </w:tc>
      </w:tr>
      <w:tr w:rsidR="00442D34" w:rsidRPr="00AC03AF" w14:paraId="4170810B"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5AE10D16" w14:textId="77777777" w:rsidR="00442D34" w:rsidRPr="00AC03AF" w:rsidRDefault="00442D34">
            <w:pPr>
              <w:suppressAutoHyphens/>
              <w:autoSpaceDE w:val="0"/>
              <w:autoSpaceDN w:val="0"/>
              <w:adjustRightInd w:val="0"/>
              <w:rPr>
                <w:b/>
                <w:sz w:val="24"/>
                <w:szCs w:val="24"/>
              </w:rPr>
            </w:pPr>
            <w:r w:rsidRPr="00AC03AF">
              <w:rPr>
                <w:b/>
                <w:sz w:val="24"/>
                <w:szCs w:val="24"/>
              </w:rPr>
              <w:t>Respiratory, thoracic and mediastinal disorders</w:t>
            </w:r>
          </w:p>
        </w:tc>
        <w:tc>
          <w:tcPr>
            <w:tcW w:w="782" w:type="pct"/>
            <w:tcBorders>
              <w:top w:val="single" w:sz="4" w:space="0" w:color="auto"/>
              <w:left w:val="single" w:sz="4" w:space="0" w:color="auto"/>
              <w:bottom w:val="single" w:sz="4" w:space="0" w:color="auto"/>
              <w:right w:val="single" w:sz="4" w:space="0" w:color="auto"/>
            </w:tcBorders>
          </w:tcPr>
          <w:p w14:paraId="06BFEBDF"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0BC88C8D" w14:textId="77777777" w:rsidR="00442D34" w:rsidRPr="00AC03AF" w:rsidRDefault="00442D34">
            <w:pPr>
              <w:suppressAutoHyphens/>
              <w:autoSpaceDE w:val="0"/>
              <w:autoSpaceDN w:val="0"/>
              <w:adjustRightInd w:val="0"/>
              <w:rPr>
                <w:sz w:val="24"/>
                <w:szCs w:val="24"/>
              </w:rPr>
            </w:pPr>
            <w:r w:rsidRPr="00AC03AF">
              <w:rPr>
                <w:sz w:val="24"/>
                <w:szCs w:val="24"/>
              </w:rPr>
              <w:t>cough</w:t>
            </w:r>
          </w:p>
        </w:tc>
        <w:tc>
          <w:tcPr>
            <w:tcW w:w="857" w:type="pct"/>
            <w:tcBorders>
              <w:top w:val="single" w:sz="4" w:space="0" w:color="auto"/>
              <w:left w:val="single" w:sz="4" w:space="0" w:color="auto"/>
              <w:bottom w:val="single" w:sz="4" w:space="0" w:color="auto"/>
              <w:right w:val="single" w:sz="4" w:space="0" w:color="auto"/>
            </w:tcBorders>
            <w:hideMark/>
          </w:tcPr>
          <w:p w14:paraId="27C4BC17" w14:textId="77777777" w:rsidR="00442D34" w:rsidRPr="00AC03AF" w:rsidRDefault="00442D34">
            <w:pPr>
              <w:suppressAutoHyphens/>
              <w:autoSpaceDE w:val="0"/>
              <w:autoSpaceDN w:val="0"/>
              <w:adjustRightInd w:val="0"/>
              <w:rPr>
                <w:sz w:val="24"/>
                <w:szCs w:val="24"/>
              </w:rPr>
            </w:pPr>
            <w:r w:rsidRPr="00AC03AF">
              <w:rPr>
                <w:sz w:val="24"/>
                <w:szCs w:val="24"/>
              </w:rPr>
              <w:t>bronchospasm</w:t>
            </w:r>
          </w:p>
        </w:tc>
      </w:tr>
      <w:tr w:rsidR="00442D34" w:rsidRPr="00867A3F" w14:paraId="62EAD134"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14134FCD" w14:textId="77777777" w:rsidR="00442D34" w:rsidRPr="00AC03AF" w:rsidRDefault="00442D34">
            <w:pPr>
              <w:suppressAutoHyphens/>
              <w:autoSpaceDE w:val="0"/>
              <w:autoSpaceDN w:val="0"/>
              <w:adjustRightInd w:val="0"/>
              <w:rPr>
                <w:b/>
                <w:sz w:val="24"/>
                <w:szCs w:val="24"/>
              </w:rPr>
            </w:pPr>
            <w:r w:rsidRPr="00AC03AF">
              <w:rPr>
                <w:b/>
                <w:sz w:val="24"/>
                <w:szCs w:val="24"/>
              </w:rPr>
              <w:t>Gastrointestinal disorders</w:t>
            </w:r>
          </w:p>
        </w:tc>
        <w:tc>
          <w:tcPr>
            <w:tcW w:w="782" w:type="pct"/>
            <w:tcBorders>
              <w:top w:val="single" w:sz="4" w:space="0" w:color="auto"/>
              <w:left w:val="single" w:sz="4" w:space="0" w:color="auto"/>
              <w:bottom w:val="single" w:sz="4" w:space="0" w:color="auto"/>
              <w:right w:val="single" w:sz="4" w:space="0" w:color="auto"/>
            </w:tcBorders>
            <w:hideMark/>
          </w:tcPr>
          <w:p w14:paraId="43E925EB" w14:textId="77777777" w:rsidR="00442D34" w:rsidRPr="00AC03AF" w:rsidRDefault="00442D34">
            <w:pPr>
              <w:suppressAutoHyphens/>
              <w:autoSpaceDE w:val="0"/>
              <w:autoSpaceDN w:val="0"/>
              <w:adjustRightInd w:val="0"/>
              <w:rPr>
                <w:sz w:val="24"/>
                <w:szCs w:val="24"/>
              </w:rPr>
            </w:pPr>
            <w:r w:rsidRPr="00AC03AF">
              <w:rPr>
                <w:sz w:val="24"/>
                <w:szCs w:val="24"/>
              </w:rPr>
              <w:t>nausea, diarrhoea</w:t>
            </w:r>
          </w:p>
        </w:tc>
        <w:tc>
          <w:tcPr>
            <w:tcW w:w="1721" w:type="pct"/>
            <w:tcBorders>
              <w:top w:val="single" w:sz="4" w:space="0" w:color="auto"/>
              <w:left w:val="single" w:sz="4" w:space="0" w:color="auto"/>
              <w:bottom w:val="single" w:sz="4" w:space="0" w:color="auto"/>
              <w:right w:val="single" w:sz="4" w:space="0" w:color="auto"/>
            </w:tcBorders>
            <w:hideMark/>
          </w:tcPr>
          <w:p w14:paraId="626075EC" w14:textId="77777777" w:rsidR="00442D34" w:rsidRPr="00AC03AF" w:rsidRDefault="00442D34">
            <w:pPr>
              <w:suppressAutoHyphens/>
              <w:autoSpaceDE w:val="0"/>
              <w:autoSpaceDN w:val="0"/>
              <w:adjustRightInd w:val="0"/>
              <w:rPr>
                <w:sz w:val="24"/>
                <w:szCs w:val="24"/>
              </w:rPr>
            </w:pPr>
            <w:r w:rsidRPr="00AC03AF">
              <w:rPr>
                <w:sz w:val="24"/>
                <w:szCs w:val="24"/>
              </w:rPr>
              <w:t>constipation, abdominal pain, dyspepsia, abdominal discomfort, vomiting</w:t>
            </w:r>
          </w:p>
        </w:tc>
        <w:tc>
          <w:tcPr>
            <w:tcW w:w="857" w:type="pct"/>
            <w:tcBorders>
              <w:top w:val="single" w:sz="4" w:space="0" w:color="auto"/>
              <w:left w:val="single" w:sz="4" w:space="0" w:color="auto"/>
              <w:bottom w:val="single" w:sz="4" w:space="0" w:color="auto"/>
              <w:right w:val="single" w:sz="4" w:space="0" w:color="auto"/>
            </w:tcBorders>
          </w:tcPr>
          <w:p w14:paraId="2998B880" w14:textId="77777777" w:rsidR="00442D34" w:rsidRPr="00AC03AF" w:rsidRDefault="00442D34">
            <w:pPr>
              <w:suppressAutoHyphens/>
              <w:autoSpaceDE w:val="0"/>
              <w:autoSpaceDN w:val="0"/>
              <w:adjustRightInd w:val="0"/>
              <w:rPr>
                <w:sz w:val="24"/>
                <w:szCs w:val="24"/>
              </w:rPr>
            </w:pPr>
          </w:p>
        </w:tc>
      </w:tr>
      <w:tr w:rsidR="00442D34" w:rsidRPr="00AC03AF" w14:paraId="5F047E30"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65689566" w14:textId="77777777" w:rsidR="00442D34" w:rsidRPr="00AC03AF" w:rsidRDefault="00442D34">
            <w:pPr>
              <w:suppressAutoHyphens/>
              <w:autoSpaceDE w:val="0"/>
              <w:autoSpaceDN w:val="0"/>
              <w:adjustRightInd w:val="0"/>
              <w:rPr>
                <w:b/>
                <w:sz w:val="24"/>
                <w:szCs w:val="24"/>
              </w:rPr>
            </w:pPr>
            <w:r w:rsidRPr="00AC03AF">
              <w:rPr>
                <w:b/>
                <w:sz w:val="24"/>
                <w:szCs w:val="24"/>
              </w:rPr>
              <w:t>Skin and subcutaneous tissue disorders</w:t>
            </w:r>
          </w:p>
        </w:tc>
        <w:tc>
          <w:tcPr>
            <w:tcW w:w="782" w:type="pct"/>
            <w:tcBorders>
              <w:top w:val="single" w:sz="4" w:space="0" w:color="auto"/>
              <w:left w:val="single" w:sz="4" w:space="0" w:color="auto"/>
              <w:bottom w:val="single" w:sz="4" w:space="0" w:color="auto"/>
              <w:right w:val="single" w:sz="4" w:space="0" w:color="auto"/>
            </w:tcBorders>
          </w:tcPr>
          <w:p w14:paraId="78385E44"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25854C58" w14:textId="77777777" w:rsidR="00442D34" w:rsidRPr="00AC03AF" w:rsidRDefault="00442D34">
            <w:pPr>
              <w:suppressAutoHyphens/>
              <w:autoSpaceDE w:val="0"/>
              <w:autoSpaceDN w:val="0"/>
              <w:adjustRightInd w:val="0"/>
              <w:rPr>
                <w:sz w:val="24"/>
                <w:szCs w:val="24"/>
              </w:rPr>
            </w:pPr>
            <w:r w:rsidRPr="00AC03AF">
              <w:rPr>
                <w:sz w:val="24"/>
                <w:szCs w:val="24"/>
              </w:rPr>
              <w:t>pruritus, urticaria, rash</w:t>
            </w:r>
          </w:p>
        </w:tc>
        <w:tc>
          <w:tcPr>
            <w:tcW w:w="857" w:type="pct"/>
            <w:tcBorders>
              <w:top w:val="single" w:sz="4" w:space="0" w:color="auto"/>
              <w:left w:val="single" w:sz="4" w:space="0" w:color="auto"/>
              <w:bottom w:val="single" w:sz="4" w:space="0" w:color="auto"/>
              <w:right w:val="single" w:sz="4" w:space="0" w:color="auto"/>
            </w:tcBorders>
          </w:tcPr>
          <w:p w14:paraId="05CE8657" w14:textId="77777777" w:rsidR="00442D34" w:rsidRPr="00AC03AF" w:rsidRDefault="00442D34">
            <w:pPr>
              <w:suppressAutoHyphens/>
              <w:autoSpaceDE w:val="0"/>
              <w:autoSpaceDN w:val="0"/>
              <w:adjustRightInd w:val="0"/>
              <w:rPr>
                <w:sz w:val="24"/>
                <w:szCs w:val="24"/>
              </w:rPr>
            </w:pPr>
          </w:p>
        </w:tc>
      </w:tr>
      <w:tr w:rsidR="00442D34" w:rsidRPr="00AC03AF" w14:paraId="4E392897"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4A69D553" w14:textId="77777777" w:rsidR="00442D34" w:rsidRPr="00AC03AF" w:rsidRDefault="00442D34">
            <w:pPr>
              <w:suppressAutoHyphens/>
              <w:autoSpaceDE w:val="0"/>
              <w:autoSpaceDN w:val="0"/>
              <w:adjustRightInd w:val="0"/>
              <w:rPr>
                <w:b/>
                <w:sz w:val="24"/>
                <w:szCs w:val="24"/>
              </w:rPr>
            </w:pPr>
            <w:r w:rsidRPr="00AC03AF">
              <w:rPr>
                <w:b/>
                <w:sz w:val="24"/>
                <w:szCs w:val="24"/>
              </w:rPr>
              <w:t>Reproductive system and breast disorders</w:t>
            </w:r>
          </w:p>
        </w:tc>
        <w:tc>
          <w:tcPr>
            <w:tcW w:w="782" w:type="pct"/>
            <w:tcBorders>
              <w:top w:val="single" w:sz="4" w:space="0" w:color="auto"/>
              <w:left w:val="single" w:sz="4" w:space="0" w:color="auto"/>
              <w:bottom w:val="single" w:sz="4" w:space="0" w:color="auto"/>
              <w:right w:val="single" w:sz="4" w:space="0" w:color="auto"/>
            </w:tcBorders>
          </w:tcPr>
          <w:p w14:paraId="59299B7B"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2C3E9EB8" w14:textId="77777777" w:rsidR="00442D34" w:rsidRPr="00AC03AF" w:rsidRDefault="00442D34">
            <w:pPr>
              <w:suppressAutoHyphens/>
              <w:autoSpaceDE w:val="0"/>
              <w:autoSpaceDN w:val="0"/>
              <w:adjustRightInd w:val="0"/>
              <w:rPr>
                <w:sz w:val="24"/>
                <w:szCs w:val="24"/>
              </w:rPr>
            </w:pPr>
            <w:r w:rsidRPr="00AC03AF">
              <w:rPr>
                <w:sz w:val="24"/>
                <w:szCs w:val="24"/>
              </w:rPr>
              <w:t>vulvovaginal pruritus</w:t>
            </w:r>
          </w:p>
        </w:tc>
        <w:tc>
          <w:tcPr>
            <w:tcW w:w="857" w:type="pct"/>
            <w:tcBorders>
              <w:top w:val="single" w:sz="4" w:space="0" w:color="auto"/>
              <w:left w:val="single" w:sz="4" w:space="0" w:color="auto"/>
              <w:bottom w:val="single" w:sz="4" w:space="0" w:color="auto"/>
              <w:right w:val="single" w:sz="4" w:space="0" w:color="auto"/>
            </w:tcBorders>
          </w:tcPr>
          <w:p w14:paraId="795BB4EF" w14:textId="77777777" w:rsidR="00442D34" w:rsidRPr="00AC03AF" w:rsidRDefault="00442D34">
            <w:pPr>
              <w:suppressAutoHyphens/>
              <w:autoSpaceDE w:val="0"/>
              <w:autoSpaceDN w:val="0"/>
              <w:adjustRightInd w:val="0"/>
              <w:rPr>
                <w:sz w:val="24"/>
                <w:szCs w:val="24"/>
              </w:rPr>
            </w:pPr>
          </w:p>
        </w:tc>
      </w:tr>
      <w:tr w:rsidR="00442D34" w:rsidRPr="00AC03AF" w14:paraId="34C91DAF"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01D6F4C3" w14:textId="77777777" w:rsidR="00442D34" w:rsidRPr="00AC03AF" w:rsidRDefault="00442D34">
            <w:pPr>
              <w:suppressAutoHyphens/>
              <w:autoSpaceDE w:val="0"/>
              <w:autoSpaceDN w:val="0"/>
              <w:adjustRightInd w:val="0"/>
              <w:rPr>
                <w:b/>
                <w:sz w:val="24"/>
                <w:szCs w:val="24"/>
              </w:rPr>
            </w:pPr>
            <w:r w:rsidRPr="00AC03AF">
              <w:rPr>
                <w:b/>
                <w:sz w:val="24"/>
                <w:szCs w:val="24"/>
              </w:rPr>
              <w:t>General disorders and administration site conditions</w:t>
            </w:r>
          </w:p>
        </w:tc>
        <w:tc>
          <w:tcPr>
            <w:tcW w:w="782" w:type="pct"/>
            <w:tcBorders>
              <w:top w:val="single" w:sz="4" w:space="0" w:color="auto"/>
              <w:left w:val="single" w:sz="4" w:space="0" w:color="auto"/>
              <w:bottom w:val="single" w:sz="4" w:space="0" w:color="auto"/>
              <w:right w:val="single" w:sz="4" w:space="0" w:color="auto"/>
            </w:tcBorders>
          </w:tcPr>
          <w:p w14:paraId="2E789064"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624824F8" w14:textId="77777777" w:rsidR="00442D34" w:rsidRPr="00AC03AF" w:rsidRDefault="00442D34">
            <w:pPr>
              <w:suppressAutoHyphens/>
              <w:autoSpaceDE w:val="0"/>
              <w:autoSpaceDN w:val="0"/>
              <w:adjustRightInd w:val="0"/>
              <w:rPr>
                <w:sz w:val="24"/>
                <w:szCs w:val="24"/>
              </w:rPr>
            </w:pPr>
            <w:r w:rsidRPr="00AC03AF">
              <w:rPr>
                <w:sz w:val="24"/>
                <w:szCs w:val="24"/>
              </w:rPr>
              <w:t>infusion-related reactions</w:t>
            </w:r>
          </w:p>
        </w:tc>
        <w:tc>
          <w:tcPr>
            <w:tcW w:w="857" w:type="pct"/>
            <w:tcBorders>
              <w:top w:val="single" w:sz="4" w:space="0" w:color="auto"/>
              <w:left w:val="single" w:sz="4" w:space="0" w:color="auto"/>
              <w:bottom w:val="single" w:sz="4" w:space="0" w:color="auto"/>
              <w:right w:val="single" w:sz="4" w:space="0" w:color="auto"/>
            </w:tcBorders>
          </w:tcPr>
          <w:p w14:paraId="04BF2A5E" w14:textId="77777777" w:rsidR="00442D34" w:rsidRPr="00AC03AF" w:rsidRDefault="00442D34">
            <w:pPr>
              <w:suppressAutoHyphens/>
              <w:autoSpaceDE w:val="0"/>
              <w:autoSpaceDN w:val="0"/>
              <w:adjustRightInd w:val="0"/>
              <w:rPr>
                <w:sz w:val="24"/>
                <w:szCs w:val="24"/>
              </w:rPr>
            </w:pPr>
          </w:p>
        </w:tc>
      </w:tr>
      <w:tr w:rsidR="00442D34" w:rsidRPr="00867A3F" w14:paraId="0F0A3496" w14:textId="77777777" w:rsidTr="00A6235F">
        <w:tc>
          <w:tcPr>
            <w:tcW w:w="1640" w:type="pct"/>
            <w:tcBorders>
              <w:top w:val="single" w:sz="4" w:space="0" w:color="auto"/>
              <w:left w:val="single" w:sz="4" w:space="0" w:color="auto"/>
              <w:bottom w:val="single" w:sz="4" w:space="0" w:color="auto"/>
              <w:right w:val="single" w:sz="4" w:space="0" w:color="auto"/>
            </w:tcBorders>
            <w:hideMark/>
          </w:tcPr>
          <w:p w14:paraId="22848BA2" w14:textId="77777777" w:rsidR="00442D34" w:rsidRPr="00AC03AF" w:rsidRDefault="00442D34">
            <w:pPr>
              <w:suppressAutoHyphens/>
              <w:autoSpaceDE w:val="0"/>
              <w:autoSpaceDN w:val="0"/>
              <w:adjustRightInd w:val="0"/>
              <w:rPr>
                <w:b/>
                <w:sz w:val="24"/>
                <w:szCs w:val="24"/>
              </w:rPr>
            </w:pPr>
            <w:r w:rsidRPr="00AC03AF">
              <w:rPr>
                <w:b/>
                <w:sz w:val="24"/>
                <w:szCs w:val="24"/>
              </w:rPr>
              <w:t>Investigations</w:t>
            </w:r>
          </w:p>
        </w:tc>
        <w:tc>
          <w:tcPr>
            <w:tcW w:w="782" w:type="pct"/>
            <w:tcBorders>
              <w:top w:val="single" w:sz="4" w:space="0" w:color="auto"/>
              <w:left w:val="single" w:sz="4" w:space="0" w:color="auto"/>
              <w:bottom w:val="single" w:sz="4" w:space="0" w:color="auto"/>
              <w:right w:val="single" w:sz="4" w:space="0" w:color="auto"/>
            </w:tcBorders>
          </w:tcPr>
          <w:p w14:paraId="51ED7D26" w14:textId="77777777" w:rsidR="00442D34" w:rsidRPr="00AC03AF" w:rsidRDefault="00442D3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EE6F698" w14:textId="77777777" w:rsidR="00442D34" w:rsidRPr="00AC03AF" w:rsidRDefault="00442D34">
            <w:pPr>
              <w:suppressAutoHyphens/>
              <w:autoSpaceDE w:val="0"/>
              <w:autoSpaceDN w:val="0"/>
              <w:adjustRightInd w:val="0"/>
              <w:rPr>
                <w:sz w:val="24"/>
                <w:szCs w:val="24"/>
              </w:rPr>
            </w:pPr>
            <w:r w:rsidRPr="00AC03AF">
              <w:rPr>
                <w:sz w:val="24"/>
                <w:szCs w:val="24"/>
              </w:rPr>
              <w:t>blood lactate dehydrogenase increased, alanine aminotransferase increased, aspartate aminotransferase increased, blood uric acid increased, liver function test abnormal, transaminases increased, blood alkaline phosphatase increased, platelet count increased, body temperature increased, hepatic enzyme increased, gamma-glutamyl transferase increased</w:t>
            </w:r>
          </w:p>
        </w:tc>
        <w:tc>
          <w:tcPr>
            <w:tcW w:w="857" w:type="pct"/>
            <w:tcBorders>
              <w:top w:val="single" w:sz="4" w:space="0" w:color="auto"/>
              <w:left w:val="single" w:sz="4" w:space="0" w:color="auto"/>
              <w:bottom w:val="single" w:sz="4" w:space="0" w:color="auto"/>
              <w:right w:val="single" w:sz="4" w:space="0" w:color="auto"/>
            </w:tcBorders>
          </w:tcPr>
          <w:p w14:paraId="1D8EEC41" w14:textId="77777777" w:rsidR="00442D34" w:rsidRPr="00AC03AF" w:rsidRDefault="00442D34">
            <w:pPr>
              <w:suppressAutoHyphens/>
              <w:autoSpaceDE w:val="0"/>
              <w:autoSpaceDN w:val="0"/>
              <w:adjustRightInd w:val="0"/>
              <w:rPr>
                <w:sz w:val="24"/>
                <w:szCs w:val="24"/>
              </w:rPr>
            </w:pPr>
          </w:p>
        </w:tc>
      </w:tr>
    </w:tbl>
    <w:p w14:paraId="15901019" w14:textId="77777777" w:rsidR="00442D34" w:rsidRPr="00AC03AF" w:rsidRDefault="00442D34" w:rsidP="00442D34">
      <w:pPr>
        <w:suppressAutoHyphens/>
        <w:autoSpaceDE w:val="0"/>
        <w:autoSpaceDN w:val="0"/>
        <w:adjustRightInd w:val="0"/>
        <w:ind w:left="1134" w:hanging="1134"/>
        <w:rPr>
          <w:sz w:val="24"/>
          <w:szCs w:val="24"/>
          <w:lang w:val="en-GB" w:eastAsia="en-US"/>
        </w:rPr>
      </w:pPr>
    </w:p>
    <w:p w14:paraId="52C64BFF" w14:textId="77777777" w:rsidR="00442D34" w:rsidRPr="00C97906" w:rsidRDefault="00442D34" w:rsidP="00A6235F">
      <w:pPr>
        <w:ind w:left="851"/>
        <w:rPr>
          <w:sz w:val="24"/>
          <w:szCs w:val="24"/>
          <w:u w:val="single"/>
          <w:lang w:val="en-US"/>
        </w:rPr>
      </w:pPr>
      <w:r w:rsidRPr="00C97906">
        <w:rPr>
          <w:sz w:val="24"/>
          <w:szCs w:val="24"/>
          <w:u w:val="single"/>
          <w:lang w:val="en-US"/>
        </w:rPr>
        <w:t>Description of selected adverse reactions</w:t>
      </w:r>
    </w:p>
    <w:p w14:paraId="1C5E6954" w14:textId="77777777" w:rsidR="00442D34" w:rsidRPr="00AC03AF" w:rsidRDefault="00442D34" w:rsidP="00A6235F">
      <w:pPr>
        <w:ind w:left="851"/>
        <w:rPr>
          <w:i/>
          <w:sz w:val="24"/>
          <w:szCs w:val="24"/>
          <w:lang w:val="en-US"/>
        </w:rPr>
      </w:pPr>
      <w:r w:rsidRPr="00AC03AF">
        <w:rPr>
          <w:i/>
          <w:sz w:val="24"/>
          <w:szCs w:val="24"/>
          <w:lang w:val="en-US"/>
        </w:rPr>
        <w:t>Class adverse reactions</w:t>
      </w:r>
    </w:p>
    <w:p w14:paraId="6CFB805F" w14:textId="77777777" w:rsidR="00442D34" w:rsidRPr="00AC03AF" w:rsidRDefault="00442D34" w:rsidP="00A6235F">
      <w:pPr>
        <w:ind w:left="851"/>
        <w:rPr>
          <w:sz w:val="24"/>
          <w:szCs w:val="24"/>
          <w:lang w:val="en-US"/>
        </w:rPr>
      </w:pPr>
      <w:r w:rsidRPr="00AC03AF">
        <w:rPr>
          <w:sz w:val="24"/>
          <w:szCs w:val="24"/>
          <w:lang w:val="en-US"/>
        </w:rPr>
        <w:t xml:space="preserve">Ototoxicity has been associated with </w:t>
      </w:r>
      <w:proofErr w:type="spellStart"/>
      <w:r w:rsidRPr="00AC03AF">
        <w:rPr>
          <w:sz w:val="24"/>
          <w:szCs w:val="24"/>
          <w:lang w:val="en-US"/>
        </w:rPr>
        <w:t>glycopeptide</w:t>
      </w:r>
      <w:proofErr w:type="spellEnd"/>
      <w:r w:rsidRPr="00AC03AF">
        <w:rPr>
          <w:sz w:val="24"/>
          <w:szCs w:val="24"/>
          <w:lang w:val="en-US"/>
        </w:rPr>
        <w:t xml:space="preserve"> use (vancomycin and teicoplanin); patients who are receiving concomitant therapy with an ototoxic medicinal product, such as an aminoglycoside, may be at increased risk.</w:t>
      </w:r>
    </w:p>
    <w:p w14:paraId="0778B9F2" w14:textId="77777777" w:rsidR="00442D34" w:rsidRPr="00AC03AF" w:rsidRDefault="00442D34" w:rsidP="00A6235F">
      <w:pPr>
        <w:ind w:left="851"/>
        <w:rPr>
          <w:sz w:val="24"/>
          <w:szCs w:val="24"/>
          <w:lang w:val="en-US"/>
        </w:rPr>
      </w:pPr>
    </w:p>
    <w:p w14:paraId="3D822F16" w14:textId="77777777" w:rsidR="00442D34" w:rsidRPr="00C97906" w:rsidRDefault="00442D34" w:rsidP="00A6235F">
      <w:pPr>
        <w:ind w:left="851"/>
        <w:rPr>
          <w:sz w:val="24"/>
          <w:szCs w:val="24"/>
          <w:u w:val="single"/>
          <w:lang w:val="en-US"/>
        </w:rPr>
      </w:pPr>
      <w:r w:rsidRPr="00C97906">
        <w:rPr>
          <w:sz w:val="24"/>
          <w:szCs w:val="24"/>
          <w:u w:val="single"/>
          <w:lang w:val="en-US"/>
        </w:rPr>
        <w:t>Paediatric population</w:t>
      </w:r>
    </w:p>
    <w:p w14:paraId="46554558" w14:textId="77777777" w:rsidR="00442D34" w:rsidRPr="00AC03AF" w:rsidRDefault="00442D34" w:rsidP="00A6235F">
      <w:pPr>
        <w:ind w:left="851"/>
        <w:rPr>
          <w:sz w:val="24"/>
          <w:szCs w:val="24"/>
          <w:lang w:val="en-US"/>
        </w:rPr>
      </w:pPr>
      <w:r w:rsidRPr="00AC03AF">
        <w:rPr>
          <w:sz w:val="24"/>
          <w:szCs w:val="24"/>
          <w:lang w:val="en-US"/>
        </w:rPr>
        <w:t>The safety of dalbavancin was evaluated in one Phase 3 clinical trial which included 168 paediatric patients from birth to less than 18 years of age with ABSSSI treated with dalbavancin (90 patients treated with a single dose of dalbavancin and 78 patients, all of them aged 3 months and older, treated with a two-dose regimen of dalbavancin). Overall, the safety findings of dalbavancin in these paediatric patients were similar to those observed in adults.</w:t>
      </w:r>
    </w:p>
    <w:p w14:paraId="50521F74" w14:textId="77777777" w:rsidR="00442D34" w:rsidRPr="00AC03AF" w:rsidRDefault="00442D34" w:rsidP="00A6235F">
      <w:pPr>
        <w:ind w:left="851"/>
        <w:rPr>
          <w:sz w:val="24"/>
          <w:szCs w:val="24"/>
          <w:lang w:val="en-US"/>
        </w:rPr>
      </w:pPr>
    </w:p>
    <w:p w14:paraId="7E5E62F6" w14:textId="77777777" w:rsidR="00A6235F" w:rsidRPr="00AC03AF" w:rsidRDefault="00A6235F" w:rsidP="00A6235F">
      <w:pPr>
        <w:ind w:left="851"/>
        <w:rPr>
          <w:sz w:val="24"/>
          <w:szCs w:val="24"/>
          <w:u w:val="single"/>
          <w:lang w:val="en-GB"/>
        </w:rPr>
      </w:pPr>
      <w:r w:rsidRPr="00AC03AF">
        <w:rPr>
          <w:sz w:val="24"/>
          <w:szCs w:val="24"/>
          <w:u w:val="single"/>
          <w:lang w:val="en-GB"/>
        </w:rPr>
        <w:t>Reporting of suspected adverse reactions</w:t>
      </w:r>
    </w:p>
    <w:p w14:paraId="0607746D" w14:textId="77777777" w:rsidR="00A6235F" w:rsidRPr="00AC03AF" w:rsidRDefault="00A6235F" w:rsidP="00A6235F">
      <w:pPr>
        <w:ind w:left="851"/>
        <w:rPr>
          <w:sz w:val="24"/>
          <w:szCs w:val="24"/>
          <w:lang w:val="en-GB"/>
        </w:rPr>
      </w:pPr>
      <w:r w:rsidRPr="00AC03AF">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70A3337" w14:textId="77777777" w:rsidR="00A6235F" w:rsidRPr="00AC03AF" w:rsidRDefault="00A6235F" w:rsidP="00A6235F">
      <w:pPr>
        <w:ind w:left="851"/>
        <w:rPr>
          <w:sz w:val="24"/>
          <w:szCs w:val="24"/>
          <w:lang w:val="en-GB"/>
        </w:rPr>
      </w:pPr>
    </w:p>
    <w:p w14:paraId="0D5BB8F9" w14:textId="77777777" w:rsidR="00A6235F" w:rsidRPr="00AC03AF" w:rsidRDefault="00A6235F" w:rsidP="00A6235F">
      <w:pPr>
        <w:ind w:left="851"/>
        <w:rPr>
          <w:sz w:val="24"/>
          <w:szCs w:val="24"/>
        </w:rPr>
      </w:pPr>
      <w:r w:rsidRPr="00AC03AF">
        <w:rPr>
          <w:sz w:val="24"/>
          <w:szCs w:val="24"/>
        </w:rPr>
        <w:t>Lægemiddelstyrelsen</w:t>
      </w:r>
    </w:p>
    <w:p w14:paraId="12D3E2D4" w14:textId="77777777" w:rsidR="00A6235F" w:rsidRPr="00AC03AF" w:rsidRDefault="00A6235F" w:rsidP="00A6235F">
      <w:pPr>
        <w:ind w:left="851"/>
        <w:rPr>
          <w:sz w:val="24"/>
          <w:szCs w:val="24"/>
        </w:rPr>
      </w:pPr>
      <w:r w:rsidRPr="00AC03AF">
        <w:rPr>
          <w:sz w:val="24"/>
          <w:szCs w:val="24"/>
        </w:rPr>
        <w:t>Axel Heides Gade 1</w:t>
      </w:r>
    </w:p>
    <w:p w14:paraId="65B1A599" w14:textId="77777777" w:rsidR="00A6235F" w:rsidRPr="00AC03AF" w:rsidRDefault="00A6235F" w:rsidP="00A6235F">
      <w:pPr>
        <w:ind w:left="851"/>
        <w:rPr>
          <w:sz w:val="24"/>
          <w:szCs w:val="24"/>
        </w:rPr>
      </w:pPr>
      <w:r w:rsidRPr="00AC03AF">
        <w:rPr>
          <w:sz w:val="24"/>
          <w:szCs w:val="24"/>
        </w:rPr>
        <w:t>DK-2300 København S</w:t>
      </w:r>
    </w:p>
    <w:p w14:paraId="6B2ABC77" w14:textId="77777777" w:rsidR="00A6235F" w:rsidRPr="00867A3F" w:rsidRDefault="00A6235F" w:rsidP="00A6235F">
      <w:pPr>
        <w:ind w:left="851"/>
        <w:rPr>
          <w:sz w:val="24"/>
          <w:szCs w:val="24"/>
          <w:lang w:val="en-US"/>
        </w:rPr>
      </w:pPr>
      <w:r w:rsidRPr="00867A3F">
        <w:rPr>
          <w:sz w:val="24"/>
          <w:szCs w:val="24"/>
          <w:lang w:val="en-US"/>
        </w:rPr>
        <w:t>Website: www.meldenbivirkning.dk</w:t>
      </w:r>
    </w:p>
    <w:p w14:paraId="6E30AE46" w14:textId="2DBEA2DB" w:rsidR="00437628" w:rsidRDefault="00437628">
      <w:pPr>
        <w:rPr>
          <w:sz w:val="24"/>
          <w:szCs w:val="24"/>
          <w:lang w:val="en-US"/>
        </w:rPr>
      </w:pPr>
      <w:r>
        <w:rPr>
          <w:sz w:val="24"/>
          <w:szCs w:val="24"/>
          <w:lang w:val="en-US"/>
        </w:rPr>
        <w:br w:type="page"/>
      </w:r>
    </w:p>
    <w:p w14:paraId="057A8986" w14:textId="77777777" w:rsidR="007C5D2A" w:rsidRPr="00AC03AF" w:rsidRDefault="007C5D2A" w:rsidP="007A4CC6">
      <w:pPr>
        <w:tabs>
          <w:tab w:val="left" w:pos="851"/>
        </w:tabs>
        <w:ind w:left="851"/>
        <w:rPr>
          <w:sz w:val="24"/>
          <w:szCs w:val="24"/>
          <w:lang w:val="en-US"/>
        </w:rPr>
      </w:pPr>
    </w:p>
    <w:p w14:paraId="5C9A9BF4"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4.9</w:t>
      </w:r>
      <w:r w:rsidRPr="00AC03AF">
        <w:rPr>
          <w:b/>
          <w:sz w:val="24"/>
          <w:szCs w:val="24"/>
          <w:lang w:val="en-GB"/>
        </w:rPr>
        <w:tab/>
        <w:t>Overdose</w:t>
      </w:r>
    </w:p>
    <w:p w14:paraId="66573697" w14:textId="77777777" w:rsidR="00442D34" w:rsidRPr="00AC03AF" w:rsidRDefault="00442D34" w:rsidP="00A6235F">
      <w:pPr>
        <w:suppressAutoHyphens/>
        <w:ind w:left="851"/>
        <w:rPr>
          <w:noProof/>
          <w:sz w:val="24"/>
          <w:szCs w:val="24"/>
          <w:lang w:val="en-US"/>
        </w:rPr>
      </w:pPr>
      <w:r w:rsidRPr="00AC03AF">
        <w:rPr>
          <w:noProof/>
          <w:sz w:val="24"/>
          <w:szCs w:val="24"/>
          <w:lang w:val="en-US"/>
        </w:rPr>
        <w:t>No specific information is available on the treatment of overdose with dalbavancin, as dose-limiting toxicity has not been observed in clinical studies. In Phase 1 studies, healthy volunteers have been administered single doses of up to 1 500 mg, and cumulative doses up to 4 500 mg over a period of up to 8 weeks, with no signs of toxicity or laboratory results of clinical concern. In Phase 3 studies, patients have been administered single doses of up to 1 500 mg.</w:t>
      </w:r>
    </w:p>
    <w:p w14:paraId="3AD62057" w14:textId="77777777" w:rsidR="00442D34" w:rsidRPr="00AC03AF" w:rsidRDefault="00442D34" w:rsidP="00A6235F">
      <w:pPr>
        <w:suppressAutoHyphens/>
        <w:ind w:left="851"/>
        <w:rPr>
          <w:noProof/>
          <w:sz w:val="24"/>
          <w:szCs w:val="24"/>
          <w:lang w:val="en-US"/>
        </w:rPr>
      </w:pPr>
    </w:p>
    <w:p w14:paraId="43A3749C" w14:textId="77777777" w:rsidR="00442D34" w:rsidRPr="00AC03AF" w:rsidRDefault="00442D34" w:rsidP="00A6235F">
      <w:pPr>
        <w:suppressAutoHyphens/>
        <w:ind w:left="851"/>
        <w:rPr>
          <w:noProof/>
          <w:sz w:val="24"/>
          <w:szCs w:val="24"/>
          <w:lang w:val="en-US"/>
        </w:rPr>
      </w:pPr>
      <w:r w:rsidRPr="00AC03AF">
        <w:rPr>
          <w:noProof/>
          <w:sz w:val="24"/>
          <w:szCs w:val="24"/>
          <w:lang w:val="en-US"/>
        </w:rPr>
        <w:t>Treatment of overdose with dalbavancin should consist of observation and general supportive measures. Although no information is available specifically regarding the use of haemodialysis to treat overdose, it should be noted that in a Phase 1 study in patients with renal impairment, less than 6% of the recommended dalbavancin dose was removed after 3 hours of haemodialysis.</w:t>
      </w:r>
    </w:p>
    <w:p w14:paraId="52E05B7D" w14:textId="77777777" w:rsidR="007C5D2A" w:rsidRPr="00AC03AF" w:rsidRDefault="007C5D2A" w:rsidP="003E0341">
      <w:pPr>
        <w:tabs>
          <w:tab w:val="left" w:pos="851"/>
        </w:tabs>
        <w:ind w:left="851"/>
        <w:rPr>
          <w:sz w:val="24"/>
          <w:szCs w:val="24"/>
          <w:lang w:val="en-GB"/>
        </w:rPr>
      </w:pPr>
    </w:p>
    <w:p w14:paraId="0422B796" w14:textId="77777777" w:rsidR="008F2F8C" w:rsidRPr="00AC03AF" w:rsidRDefault="0042292D" w:rsidP="0042292D">
      <w:pPr>
        <w:tabs>
          <w:tab w:val="left" w:pos="851"/>
        </w:tabs>
        <w:rPr>
          <w:b/>
          <w:sz w:val="24"/>
          <w:szCs w:val="24"/>
          <w:lang w:val="en-GB"/>
        </w:rPr>
      </w:pPr>
      <w:r w:rsidRPr="00AC03AF">
        <w:rPr>
          <w:b/>
          <w:sz w:val="24"/>
          <w:szCs w:val="24"/>
          <w:lang w:val="en-GB"/>
        </w:rPr>
        <w:t>4.10</w:t>
      </w:r>
      <w:r w:rsidRPr="00AC03AF">
        <w:rPr>
          <w:b/>
          <w:sz w:val="24"/>
          <w:szCs w:val="24"/>
          <w:lang w:val="en-GB"/>
        </w:rPr>
        <w:tab/>
        <w:t>Legal status</w:t>
      </w:r>
    </w:p>
    <w:p w14:paraId="42E99B8E" w14:textId="23EE5F06" w:rsidR="00AD2E36" w:rsidRPr="00AC03AF" w:rsidRDefault="00A6235F" w:rsidP="00AD2E36">
      <w:pPr>
        <w:tabs>
          <w:tab w:val="left" w:pos="851"/>
        </w:tabs>
        <w:ind w:left="851"/>
        <w:rPr>
          <w:sz w:val="24"/>
          <w:szCs w:val="24"/>
          <w:lang w:val="en-GB"/>
        </w:rPr>
      </w:pPr>
      <w:r w:rsidRPr="00AC03AF">
        <w:rPr>
          <w:sz w:val="24"/>
          <w:szCs w:val="24"/>
          <w:lang w:val="en-GB"/>
        </w:rPr>
        <w:t>BEGR (only for hospitals)</w:t>
      </w:r>
    </w:p>
    <w:p w14:paraId="17017AEB" w14:textId="77777777" w:rsidR="007C5D2A" w:rsidRPr="00AC03AF" w:rsidRDefault="007C5D2A" w:rsidP="003E0341">
      <w:pPr>
        <w:tabs>
          <w:tab w:val="left" w:pos="851"/>
        </w:tabs>
        <w:ind w:left="851"/>
        <w:rPr>
          <w:sz w:val="24"/>
          <w:szCs w:val="24"/>
          <w:lang w:val="en-GB"/>
        </w:rPr>
      </w:pPr>
    </w:p>
    <w:p w14:paraId="2ED5452A" w14:textId="77777777" w:rsidR="00AD2E36" w:rsidRPr="00AC03AF" w:rsidRDefault="00AD2E36" w:rsidP="003E0341">
      <w:pPr>
        <w:tabs>
          <w:tab w:val="left" w:pos="851"/>
        </w:tabs>
        <w:ind w:left="851"/>
        <w:rPr>
          <w:sz w:val="24"/>
          <w:szCs w:val="24"/>
          <w:lang w:val="en-GB"/>
        </w:rPr>
      </w:pPr>
    </w:p>
    <w:p w14:paraId="46CB3426" w14:textId="77777777" w:rsidR="007C5D2A" w:rsidRPr="00AC03AF" w:rsidRDefault="007C5D2A" w:rsidP="007C5D2A">
      <w:pPr>
        <w:tabs>
          <w:tab w:val="left" w:pos="851"/>
        </w:tabs>
        <w:rPr>
          <w:b/>
          <w:sz w:val="24"/>
          <w:szCs w:val="24"/>
          <w:lang w:val="en-GB"/>
        </w:rPr>
      </w:pPr>
      <w:r w:rsidRPr="00AC03AF">
        <w:rPr>
          <w:b/>
          <w:sz w:val="24"/>
          <w:szCs w:val="24"/>
          <w:lang w:val="en-GB"/>
        </w:rPr>
        <w:t>5.</w:t>
      </w:r>
      <w:r w:rsidRPr="00AC03AF">
        <w:rPr>
          <w:b/>
          <w:sz w:val="24"/>
          <w:szCs w:val="24"/>
          <w:lang w:val="en-GB"/>
        </w:rPr>
        <w:tab/>
        <w:t>PHARMACOLOGICAL PROPERTIES</w:t>
      </w:r>
    </w:p>
    <w:p w14:paraId="7C9C721D" w14:textId="77777777" w:rsidR="007C5D2A" w:rsidRPr="00AC03AF" w:rsidRDefault="007C5D2A" w:rsidP="003E0341">
      <w:pPr>
        <w:tabs>
          <w:tab w:val="left" w:pos="851"/>
        </w:tabs>
        <w:ind w:left="851"/>
        <w:rPr>
          <w:sz w:val="24"/>
          <w:szCs w:val="24"/>
          <w:lang w:val="en-GB"/>
        </w:rPr>
      </w:pPr>
    </w:p>
    <w:p w14:paraId="18D2BA59" w14:textId="77777777" w:rsidR="007C5D2A" w:rsidRPr="00AC03AF" w:rsidRDefault="007C5D2A" w:rsidP="007C5D2A">
      <w:pPr>
        <w:tabs>
          <w:tab w:val="left" w:pos="851"/>
        </w:tabs>
        <w:ind w:left="851" w:hanging="851"/>
        <w:rPr>
          <w:b/>
          <w:sz w:val="24"/>
          <w:szCs w:val="24"/>
          <w:lang w:val="en-GB"/>
        </w:rPr>
      </w:pPr>
      <w:r w:rsidRPr="00AC03AF">
        <w:rPr>
          <w:b/>
          <w:sz w:val="24"/>
          <w:szCs w:val="24"/>
          <w:lang w:val="en-GB"/>
        </w:rPr>
        <w:t>5.1</w:t>
      </w:r>
      <w:r w:rsidRPr="00AC03AF">
        <w:rPr>
          <w:b/>
          <w:sz w:val="24"/>
          <w:szCs w:val="24"/>
          <w:lang w:val="en-GB"/>
        </w:rPr>
        <w:tab/>
        <w:t>Pharmacodynamic properties</w:t>
      </w:r>
      <w:r w:rsidRPr="00AC03AF">
        <w:rPr>
          <w:b/>
          <w:sz w:val="24"/>
          <w:szCs w:val="24"/>
          <w:lang w:val="en-GB"/>
        </w:rPr>
        <w:tab/>
      </w:r>
    </w:p>
    <w:p w14:paraId="245913D1" w14:textId="77777777" w:rsidR="00442D34" w:rsidRPr="00AC03AF" w:rsidRDefault="00442D34" w:rsidP="00A6235F">
      <w:pPr>
        <w:ind w:left="851"/>
        <w:rPr>
          <w:noProof/>
          <w:sz w:val="24"/>
          <w:szCs w:val="24"/>
          <w:lang w:val="en-US"/>
        </w:rPr>
      </w:pPr>
      <w:r w:rsidRPr="00AC03AF">
        <w:rPr>
          <w:sz w:val="24"/>
          <w:szCs w:val="24"/>
          <w:lang w:val="en-US"/>
        </w:rPr>
        <w:t xml:space="preserve">Pharmacotherapeutic group: </w:t>
      </w:r>
      <w:proofErr w:type="spellStart"/>
      <w:r w:rsidRPr="00AC03AF">
        <w:rPr>
          <w:sz w:val="24"/>
          <w:szCs w:val="24"/>
          <w:lang w:val="en-US"/>
        </w:rPr>
        <w:t>antibacterials</w:t>
      </w:r>
      <w:proofErr w:type="spellEnd"/>
      <w:r w:rsidRPr="00AC03AF">
        <w:rPr>
          <w:sz w:val="24"/>
          <w:szCs w:val="24"/>
          <w:lang w:val="en-US"/>
        </w:rPr>
        <w:t xml:space="preserve"> for systemic use, </w:t>
      </w:r>
      <w:proofErr w:type="spellStart"/>
      <w:r w:rsidRPr="00AC03AF">
        <w:rPr>
          <w:sz w:val="24"/>
          <w:szCs w:val="24"/>
          <w:lang w:val="en-US"/>
        </w:rPr>
        <w:t>glycopeptide</w:t>
      </w:r>
      <w:proofErr w:type="spellEnd"/>
      <w:r w:rsidRPr="00AC03AF">
        <w:rPr>
          <w:sz w:val="24"/>
          <w:szCs w:val="24"/>
          <w:lang w:val="en-US"/>
        </w:rPr>
        <w:t xml:space="preserve"> </w:t>
      </w:r>
      <w:proofErr w:type="spellStart"/>
      <w:r w:rsidRPr="00AC03AF">
        <w:rPr>
          <w:sz w:val="24"/>
          <w:szCs w:val="24"/>
          <w:lang w:val="en-US"/>
        </w:rPr>
        <w:t>antibacterials</w:t>
      </w:r>
      <w:proofErr w:type="spellEnd"/>
      <w:r w:rsidRPr="00AC03AF">
        <w:rPr>
          <w:sz w:val="24"/>
          <w:szCs w:val="24"/>
          <w:lang w:val="en-US"/>
        </w:rPr>
        <w:t>, ATC code: J01XA04.</w:t>
      </w:r>
    </w:p>
    <w:p w14:paraId="085A007C" w14:textId="77777777" w:rsidR="00442D34" w:rsidRPr="00C97906" w:rsidRDefault="00442D34" w:rsidP="00A6235F">
      <w:pPr>
        <w:ind w:left="851"/>
        <w:rPr>
          <w:sz w:val="24"/>
          <w:szCs w:val="24"/>
          <w:lang w:val="en-US"/>
        </w:rPr>
      </w:pPr>
    </w:p>
    <w:p w14:paraId="7FD15A6D" w14:textId="77777777" w:rsidR="00442D34" w:rsidRPr="00AC03AF" w:rsidRDefault="00442D34" w:rsidP="00A6235F">
      <w:pPr>
        <w:ind w:left="851"/>
        <w:rPr>
          <w:sz w:val="24"/>
          <w:szCs w:val="24"/>
          <w:u w:val="single"/>
          <w:lang w:val="en-US"/>
        </w:rPr>
      </w:pPr>
      <w:r w:rsidRPr="00AC03AF">
        <w:rPr>
          <w:sz w:val="24"/>
          <w:szCs w:val="24"/>
          <w:u w:val="single"/>
          <w:lang w:val="en-US"/>
        </w:rPr>
        <w:t>Mechanism of action</w:t>
      </w:r>
    </w:p>
    <w:p w14:paraId="1D870F72" w14:textId="77777777" w:rsidR="00442D34" w:rsidRPr="00AC03AF" w:rsidRDefault="00442D34" w:rsidP="00A6235F">
      <w:pPr>
        <w:ind w:left="851"/>
        <w:rPr>
          <w:sz w:val="24"/>
          <w:szCs w:val="24"/>
          <w:lang w:val="en-US"/>
        </w:rPr>
      </w:pPr>
      <w:r w:rsidRPr="00AC03AF">
        <w:rPr>
          <w:sz w:val="24"/>
          <w:szCs w:val="24"/>
          <w:lang w:val="en-US"/>
        </w:rPr>
        <w:t>Dalbavancin is a bactericidal lipoglycopeptide.</w:t>
      </w:r>
    </w:p>
    <w:p w14:paraId="61684807" w14:textId="77777777" w:rsidR="00442D34" w:rsidRPr="00AC03AF" w:rsidRDefault="00442D34" w:rsidP="00A6235F">
      <w:pPr>
        <w:ind w:left="851"/>
        <w:rPr>
          <w:sz w:val="24"/>
          <w:szCs w:val="24"/>
          <w:lang w:val="en-US"/>
        </w:rPr>
      </w:pPr>
    </w:p>
    <w:p w14:paraId="78A0168C" w14:textId="77777777" w:rsidR="00442D34" w:rsidRPr="00AC03AF" w:rsidRDefault="00442D34" w:rsidP="00A6235F">
      <w:pPr>
        <w:ind w:left="851"/>
        <w:rPr>
          <w:sz w:val="24"/>
          <w:szCs w:val="24"/>
          <w:lang w:val="en-US"/>
        </w:rPr>
      </w:pPr>
      <w:r w:rsidRPr="00AC03AF">
        <w:rPr>
          <w:sz w:val="24"/>
          <w:szCs w:val="24"/>
          <w:lang w:val="en-US"/>
        </w:rPr>
        <w:t xml:space="preserve">Its mechanism of action in susceptible Gram-positive bacteria involves interruption of cell wall synthesis by binding to the terminal D-alanyl-D-alanine of the stem peptide in nascent cell wall peptidoglycan, preventing cross-linking (transpeptidation and </w:t>
      </w:r>
      <w:proofErr w:type="spellStart"/>
      <w:r w:rsidRPr="00AC03AF">
        <w:rPr>
          <w:sz w:val="24"/>
          <w:szCs w:val="24"/>
          <w:lang w:val="en-US"/>
        </w:rPr>
        <w:t>transglycosylation</w:t>
      </w:r>
      <w:proofErr w:type="spellEnd"/>
      <w:r w:rsidRPr="00AC03AF">
        <w:rPr>
          <w:sz w:val="24"/>
          <w:szCs w:val="24"/>
          <w:lang w:val="en-US"/>
        </w:rPr>
        <w:t>) of disaccharide subunits resulting in bacterial cell death.</w:t>
      </w:r>
    </w:p>
    <w:p w14:paraId="308DE92E" w14:textId="77777777" w:rsidR="00442D34" w:rsidRPr="00AC03AF" w:rsidRDefault="00442D34" w:rsidP="00A6235F">
      <w:pPr>
        <w:ind w:left="851"/>
        <w:rPr>
          <w:sz w:val="24"/>
          <w:szCs w:val="24"/>
          <w:lang w:val="en-US"/>
        </w:rPr>
      </w:pPr>
    </w:p>
    <w:p w14:paraId="4F3747FA" w14:textId="77777777" w:rsidR="00442D34" w:rsidRPr="00AC03AF" w:rsidRDefault="00442D34" w:rsidP="00A6235F">
      <w:pPr>
        <w:ind w:left="851"/>
        <w:rPr>
          <w:sz w:val="24"/>
          <w:szCs w:val="24"/>
          <w:u w:val="single"/>
          <w:lang w:val="en-US"/>
        </w:rPr>
      </w:pPr>
      <w:r w:rsidRPr="00AC03AF">
        <w:rPr>
          <w:sz w:val="24"/>
          <w:szCs w:val="24"/>
          <w:u w:val="single"/>
          <w:lang w:val="en-US"/>
        </w:rPr>
        <w:t>Mechanism of resistance</w:t>
      </w:r>
    </w:p>
    <w:p w14:paraId="16D1197D" w14:textId="77777777" w:rsidR="00442D34" w:rsidRPr="00AC03AF" w:rsidRDefault="00442D34" w:rsidP="00A6235F">
      <w:pPr>
        <w:ind w:left="851"/>
        <w:rPr>
          <w:sz w:val="24"/>
          <w:szCs w:val="24"/>
          <w:lang w:val="en-US"/>
        </w:rPr>
      </w:pPr>
      <w:r w:rsidRPr="00AC03AF">
        <w:rPr>
          <w:sz w:val="24"/>
          <w:szCs w:val="24"/>
          <w:lang w:val="en-US"/>
        </w:rPr>
        <w:t>All Gram-negative bacteria are inherently resistant to dalbavancin.</w:t>
      </w:r>
    </w:p>
    <w:p w14:paraId="6ECB97D0" w14:textId="77777777" w:rsidR="00442D34" w:rsidRPr="00AC03AF" w:rsidRDefault="00442D34" w:rsidP="00A6235F">
      <w:pPr>
        <w:ind w:left="851"/>
        <w:rPr>
          <w:sz w:val="24"/>
          <w:szCs w:val="24"/>
          <w:lang w:val="en-US"/>
        </w:rPr>
      </w:pPr>
    </w:p>
    <w:p w14:paraId="138C0ABD" w14:textId="77777777" w:rsidR="00442D34" w:rsidRPr="00AC03AF" w:rsidRDefault="00442D34" w:rsidP="00A6235F">
      <w:pPr>
        <w:ind w:left="851"/>
        <w:rPr>
          <w:sz w:val="24"/>
          <w:szCs w:val="24"/>
          <w:lang w:val="en-US"/>
        </w:rPr>
      </w:pPr>
      <w:r w:rsidRPr="00AC03AF">
        <w:rPr>
          <w:sz w:val="24"/>
          <w:szCs w:val="24"/>
          <w:lang w:val="en-US"/>
        </w:rPr>
        <w:t xml:space="preserve">Resistance to dalbavancin in Staphylococcus spp. and Enterococcus spp. is mediated by </w:t>
      </w:r>
      <w:proofErr w:type="spellStart"/>
      <w:r w:rsidRPr="00AC03AF">
        <w:rPr>
          <w:sz w:val="24"/>
          <w:szCs w:val="24"/>
          <w:lang w:val="en-US"/>
        </w:rPr>
        <w:t>VanA</w:t>
      </w:r>
      <w:proofErr w:type="spellEnd"/>
      <w:r w:rsidRPr="00AC03AF">
        <w:rPr>
          <w:sz w:val="24"/>
          <w:szCs w:val="24"/>
          <w:lang w:val="en-US"/>
        </w:rPr>
        <w:t xml:space="preserve">, a genotype that results in modification of the target peptide in nascent cell wall. Based on </w:t>
      </w:r>
      <w:r w:rsidRPr="00AC03AF">
        <w:rPr>
          <w:i/>
          <w:sz w:val="24"/>
          <w:szCs w:val="24"/>
          <w:lang w:val="en-US"/>
        </w:rPr>
        <w:t xml:space="preserve">in vitro </w:t>
      </w:r>
      <w:r w:rsidRPr="00AC03AF">
        <w:rPr>
          <w:sz w:val="24"/>
          <w:szCs w:val="24"/>
          <w:lang w:val="en-US"/>
        </w:rPr>
        <w:t>studies the activity of dalbavancin is not affected by other classes of vancomycin resistance genes.</w:t>
      </w:r>
    </w:p>
    <w:p w14:paraId="7E84B804" w14:textId="77777777" w:rsidR="00442D34" w:rsidRPr="00AC03AF" w:rsidRDefault="00442D34" w:rsidP="00A6235F">
      <w:pPr>
        <w:ind w:left="851"/>
        <w:rPr>
          <w:sz w:val="24"/>
          <w:szCs w:val="24"/>
          <w:lang w:val="en-US"/>
        </w:rPr>
      </w:pPr>
    </w:p>
    <w:p w14:paraId="44947CF8" w14:textId="77777777" w:rsidR="00442D34" w:rsidRPr="00AC03AF" w:rsidRDefault="00442D34" w:rsidP="00A6235F">
      <w:pPr>
        <w:ind w:left="851"/>
        <w:rPr>
          <w:sz w:val="24"/>
          <w:szCs w:val="24"/>
          <w:lang w:val="en-US"/>
        </w:rPr>
      </w:pPr>
      <w:r w:rsidRPr="00AC03AF">
        <w:rPr>
          <w:sz w:val="24"/>
          <w:szCs w:val="24"/>
          <w:lang w:val="en-US"/>
        </w:rPr>
        <w:t xml:space="preserve">Dalbavancin MICs are higher for vancomycin-intermediate staphylococci (VISA) than for fully vancomycin susceptible strains. If the isolates with higher dalbavancin MICs represent stable phenotypes and are correlated with resistance to the other </w:t>
      </w:r>
      <w:proofErr w:type="spellStart"/>
      <w:r w:rsidRPr="00AC03AF">
        <w:rPr>
          <w:sz w:val="24"/>
          <w:szCs w:val="24"/>
          <w:lang w:val="en-US"/>
        </w:rPr>
        <w:t>glycopeptides</w:t>
      </w:r>
      <w:proofErr w:type="spellEnd"/>
      <w:r w:rsidRPr="00AC03AF">
        <w:rPr>
          <w:sz w:val="24"/>
          <w:szCs w:val="24"/>
          <w:lang w:val="en-US"/>
        </w:rPr>
        <w:t xml:space="preserve">, then the likely mechanism would be an increase in the number of </w:t>
      </w:r>
      <w:proofErr w:type="spellStart"/>
      <w:r w:rsidRPr="00AC03AF">
        <w:rPr>
          <w:sz w:val="24"/>
          <w:szCs w:val="24"/>
          <w:lang w:val="en-US"/>
        </w:rPr>
        <w:t>glycopeptide</w:t>
      </w:r>
      <w:proofErr w:type="spellEnd"/>
      <w:r w:rsidRPr="00AC03AF">
        <w:rPr>
          <w:sz w:val="24"/>
          <w:szCs w:val="24"/>
          <w:lang w:val="en-US"/>
        </w:rPr>
        <w:t xml:space="preserve"> targets in nascent peptidoglycan.</w:t>
      </w:r>
    </w:p>
    <w:p w14:paraId="0F8B1854" w14:textId="77777777" w:rsidR="00442D34" w:rsidRPr="00AC03AF" w:rsidRDefault="00442D34" w:rsidP="00A6235F">
      <w:pPr>
        <w:ind w:left="851"/>
        <w:rPr>
          <w:sz w:val="24"/>
          <w:szCs w:val="24"/>
          <w:lang w:val="en-US"/>
        </w:rPr>
      </w:pPr>
    </w:p>
    <w:p w14:paraId="66310702" w14:textId="77777777" w:rsidR="00442D34" w:rsidRPr="00AC03AF" w:rsidRDefault="00442D34" w:rsidP="00A6235F">
      <w:pPr>
        <w:ind w:left="851"/>
        <w:rPr>
          <w:sz w:val="24"/>
          <w:szCs w:val="24"/>
          <w:lang w:val="en-US"/>
        </w:rPr>
      </w:pPr>
      <w:r w:rsidRPr="00AC03AF">
        <w:rPr>
          <w:sz w:val="24"/>
          <w:szCs w:val="24"/>
          <w:lang w:val="en-US"/>
        </w:rPr>
        <w:t xml:space="preserve">Cross-resistance between dalbavancin and other classes of antibiotics was not seen in </w:t>
      </w:r>
      <w:r w:rsidRPr="00AC03AF">
        <w:rPr>
          <w:i/>
          <w:sz w:val="24"/>
          <w:szCs w:val="24"/>
          <w:lang w:val="en-US"/>
        </w:rPr>
        <w:t>in vitro</w:t>
      </w:r>
      <w:r w:rsidRPr="00AC03AF">
        <w:rPr>
          <w:sz w:val="24"/>
          <w:szCs w:val="24"/>
          <w:lang w:val="en-US"/>
        </w:rPr>
        <w:t xml:space="preserve"> studies. Methicillin resistance has no impact on dalbavancin activity.</w:t>
      </w:r>
    </w:p>
    <w:p w14:paraId="01E6D649" w14:textId="48FA849D" w:rsidR="00437628" w:rsidRDefault="00437628">
      <w:pPr>
        <w:rPr>
          <w:sz w:val="24"/>
          <w:szCs w:val="24"/>
          <w:lang w:val="en-US"/>
        </w:rPr>
      </w:pPr>
      <w:r>
        <w:rPr>
          <w:sz w:val="24"/>
          <w:szCs w:val="24"/>
          <w:lang w:val="en-US"/>
        </w:rPr>
        <w:br w:type="page"/>
      </w:r>
    </w:p>
    <w:p w14:paraId="4DBE57F2" w14:textId="77777777" w:rsidR="00442D34" w:rsidRPr="00AC03AF" w:rsidRDefault="00442D34" w:rsidP="00A6235F">
      <w:pPr>
        <w:ind w:left="851"/>
        <w:rPr>
          <w:sz w:val="24"/>
          <w:szCs w:val="24"/>
          <w:lang w:val="en-US"/>
        </w:rPr>
      </w:pPr>
    </w:p>
    <w:p w14:paraId="0FB759FB" w14:textId="77777777" w:rsidR="00442D34" w:rsidRPr="00AC03AF" w:rsidRDefault="00442D34" w:rsidP="00A6235F">
      <w:pPr>
        <w:ind w:left="851"/>
        <w:rPr>
          <w:sz w:val="24"/>
          <w:szCs w:val="24"/>
          <w:u w:val="single"/>
          <w:lang w:val="en-US"/>
        </w:rPr>
      </w:pPr>
      <w:r w:rsidRPr="00AC03AF">
        <w:rPr>
          <w:sz w:val="24"/>
          <w:szCs w:val="24"/>
          <w:u w:val="single"/>
          <w:lang w:val="en-US"/>
        </w:rPr>
        <w:t>Interactions with other antibacterial agents</w:t>
      </w:r>
    </w:p>
    <w:p w14:paraId="0803B327" w14:textId="77777777" w:rsidR="00442D34" w:rsidRPr="00AC03AF" w:rsidRDefault="00442D34" w:rsidP="00A6235F">
      <w:pPr>
        <w:ind w:left="851"/>
        <w:rPr>
          <w:sz w:val="24"/>
          <w:szCs w:val="24"/>
          <w:lang w:val="en-US"/>
        </w:rPr>
      </w:pPr>
      <w:r w:rsidRPr="00AC03AF">
        <w:rPr>
          <w:sz w:val="24"/>
          <w:szCs w:val="24"/>
          <w:lang w:val="en-US"/>
        </w:rPr>
        <w:t xml:space="preserve">In </w:t>
      </w:r>
      <w:r w:rsidRPr="00AC03AF">
        <w:rPr>
          <w:i/>
          <w:sz w:val="24"/>
          <w:szCs w:val="24"/>
          <w:lang w:val="en-US"/>
        </w:rPr>
        <w:t>in vitro</w:t>
      </w:r>
      <w:r w:rsidRPr="00AC03AF">
        <w:rPr>
          <w:sz w:val="24"/>
          <w:szCs w:val="24"/>
          <w:lang w:val="en-US"/>
        </w:rPr>
        <w:t xml:space="preserve"> studies, no antagonism has been observed between dalbavancin and other commonly used antibiotics (i.e. cefepime, ceftazidime, ceftriaxone, imipenem, meropenem, amikacin, aztreonam, ciprofloxacin, piperacillin/tazobactam and trimethoprim/sulfamethoxazole), when tested against 12 species of Gram-negative pathogens (see section 4.5).</w:t>
      </w:r>
    </w:p>
    <w:p w14:paraId="10FC95CB" w14:textId="77777777" w:rsidR="00442D34" w:rsidRPr="00AC03AF" w:rsidRDefault="00442D34" w:rsidP="00A6235F">
      <w:pPr>
        <w:ind w:left="851"/>
        <w:rPr>
          <w:sz w:val="24"/>
          <w:szCs w:val="24"/>
          <w:lang w:val="en-US"/>
        </w:rPr>
      </w:pPr>
    </w:p>
    <w:p w14:paraId="450B502E" w14:textId="77777777" w:rsidR="00442D34" w:rsidRPr="00C97906" w:rsidRDefault="00442D34" w:rsidP="00A6235F">
      <w:pPr>
        <w:ind w:left="851"/>
        <w:rPr>
          <w:sz w:val="24"/>
          <w:szCs w:val="24"/>
          <w:u w:val="single"/>
          <w:lang w:val="en-US"/>
        </w:rPr>
      </w:pPr>
      <w:r w:rsidRPr="00C97906">
        <w:rPr>
          <w:sz w:val="24"/>
          <w:szCs w:val="24"/>
          <w:u w:val="single"/>
          <w:lang w:val="en-US"/>
        </w:rPr>
        <w:t>Susceptibility testing breakpoints</w:t>
      </w:r>
    </w:p>
    <w:p w14:paraId="5E0FE0D5" w14:textId="77777777" w:rsidR="00442D34" w:rsidRPr="00AC03AF" w:rsidRDefault="00442D34" w:rsidP="00A6235F">
      <w:pPr>
        <w:ind w:left="851"/>
        <w:rPr>
          <w:sz w:val="24"/>
          <w:szCs w:val="24"/>
          <w:lang w:val="en-US"/>
        </w:rPr>
      </w:pPr>
      <w:r w:rsidRPr="00AC03AF">
        <w:rPr>
          <w:sz w:val="24"/>
          <w:szCs w:val="24"/>
          <w:lang w:val="en-US"/>
        </w:rPr>
        <w:t>Minimum inhibitory concentration (MIC) breakpoints determined by the European Committee on Antimicrobial Susceptibility Testing (EUCAST) are:</w:t>
      </w:r>
    </w:p>
    <w:p w14:paraId="22312957" w14:textId="5A378CD9" w:rsidR="00442D34" w:rsidRPr="00AC03AF" w:rsidRDefault="00442D34" w:rsidP="00A6235F">
      <w:pPr>
        <w:pStyle w:val="Listeafsnit"/>
        <w:numPr>
          <w:ilvl w:val="0"/>
          <w:numId w:val="7"/>
        </w:numPr>
        <w:suppressAutoHyphens/>
        <w:ind w:left="1276" w:right="-2" w:hanging="425"/>
        <w:rPr>
          <w:sz w:val="24"/>
          <w:szCs w:val="24"/>
          <w:lang w:val="en-US"/>
        </w:rPr>
      </w:pPr>
      <w:r w:rsidRPr="00AC03AF">
        <w:rPr>
          <w:i/>
          <w:sz w:val="24"/>
          <w:szCs w:val="24"/>
          <w:lang w:val="en-US"/>
        </w:rPr>
        <w:t>Staphylococcus</w:t>
      </w:r>
      <w:r w:rsidRPr="00AC03AF">
        <w:rPr>
          <w:sz w:val="24"/>
          <w:szCs w:val="24"/>
          <w:lang w:val="en-US"/>
        </w:rPr>
        <w:t xml:space="preserve"> spp.: Susceptible ≤0.125 mg/l; Resistant &gt;0.125 mg/l,</w:t>
      </w:r>
    </w:p>
    <w:p w14:paraId="530BBFE7" w14:textId="33DA71F1" w:rsidR="00442D34" w:rsidRPr="00AC03AF" w:rsidRDefault="00442D34" w:rsidP="00A6235F">
      <w:pPr>
        <w:pStyle w:val="Listeafsnit"/>
        <w:numPr>
          <w:ilvl w:val="0"/>
          <w:numId w:val="7"/>
        </w:numPr>
        <w:suppressAutoHyphens/>
        <w:ind w:left="1276" w:right="-2" w:hanging="425"/>
        <w:rPr>
          <w:sz w:val="24"/>
          <w:szCs w:val="24"/>
          <w:lang w:val="en-US"/>
        </w:rPr>
      </w:pPr>
      <w:r w:rsidRPr="00AC03AF">
        <w:rPr>
          <w:sz w:val="24"/>
          <w:szCs w:val="24"/>
          <w:lang w:val="en-US"/>
        </w:rPr>
        <w:t>Beta-</w:t>
      </w:r>
      <w:proofErr w:type="spellStart"/>
      <w:r w:rsidRPr="00AC03AF">
        <w:rPr>
          <w:sz w:val="24"/>
          <w:szCs w:val="24"/>
          <w:lang w:val="en-US"/>
        </w:rPr>
        <w:t>haemolytic</w:t>
      </w:r>
      <w:proofErr w:type="spellEnd"/>
      <w:r w:rsidRPr="00AC03AF">
        <w:rPr>
          <w:sz w:val="24"/>
          <w:szCs w:val="24"/>
          <w:lang w:val="en-US"/>
        </w:rPr>
        <w:t xml:space="preserve"> streptococci of Groups A, B, C, G: Susceptible ≤0.125 mg/l; Resistant &gt;0.125 mg/l,</w:t>
      </w:r>
    </w:p>
    <w:p w14:paraId="04CDDDD5" w14:textId="26F96465" w:rsidR="00442D34" w:rsidRPr="00AC03AF" w:rsidRDefault="00442D34" w:rsidP="00A6235F">
      <w:pPr>
        <w:pStyle w:val="Listeafsnit"/>
        <w:numPr>
          <w:ilvl w:val="0"/>
          <w:numId w:val="7"/>
        </w:numPr>
        <w:suppressAutoHyphens/>
        <w:ind w:left="1276" w:right="-2" w:hanging="425"/>
        <w:rPr>
          <w:sz w:val="24"/>
          <w:szCs w:val="24"/>
          <w:lang w:val="en-US"/>
        </w:rPr>
      </w:pPr>
      <w:proofErr w:type="spellStart"/>
      <w:r w:rsidRPr="00AC03AF">
        <w:rPr>
          <w:sz w:val="24"/>
          <w:szCs w:val="24"/>
          <w:lang w:val="en-US"/>
        </w:rPr>
        <w:t>Viridans</w:t>
      </w:r>
      <w:proofErr w:type="spellEnd"/>
      <w:r w:rsidRPr="00AC03AF">
        <w:rPr>
          <w:sz w:val="24"/>
          <w:szCs w:val="24"/>
          <w:lang w:val="en-US"/>
        </w:rPr>
        <w:t xml:space="preserve"> group streptococci (</w:t>
      </w:r>
      <w:r w:rsidRPr="00AC03AF">
        <w:rPr>
          <w:i/>
          <w:sz w:val="24"/>
          <w:szCs w:val="24"/>
          <w:lang w:val="en-US"/>
        </w:rPr>
        <w:t xml:space="preserve">Streptococcus </w:t>
      </w:r>
      <w:proofErr w:type="spellStart"/>
      <w:r w:rsidRPr="00AC03AF">
        <w:rPr>
          <w:i/>
          <w:sz w:val="24"/>
          <w:szCs w:val="24"/>
          <w:lang w:val="en-US"/>
        </w:rPr>
        <w:t>anginosus</w:t>
      </w:r>
      <w:proofErr w:type="spellEnd"/>
      <w:r w:rsidRPr="00AC03AF">
        <w:rPr>
          <w:sz w:val="24"/>
          <w:szCs w:val="24"/>
          <w:lang w:val="en-US"/>
        </w:rPr>
        <w:t xml:space="preserve"> group only): Susceptible ≤0.125 mg/l; Resistant &gt;0.125 mg/l.</w:t>
      </w:r>
    </w:p>
    <w:p w14:paraId="68C3F0D8" w14:textId="77777777" w:rsidR="00442D34" w:rsidRPr="00AC03AF" w:rsidRDefault="00442D34" w:rsidP="00442D34">
      <w:pPr>
        <w:numPr>
          <w:ilvl w:val="12"/>
          <w:numId w:val="0"/>
        </w:numPr>
        <w:suppressAutoHyphens/>
        <w:ind w:left="567" w:right="-2" w:hanging="567"/>
        <w:rPr>
          <w:sz w:val="24"/>
          <w:szCs w:val="24"/>
          <w:lang w:val="en-US"/>
        </w:rPr>
      </w:pPr>
    </w:p>
    <w:p w14:paraId="3FFB7EB6" w14:textId="77777777" w:rsidR="00442D34" w:rsidRPr="00811AEA" w:rsidRDefault="00442D34" w:rsidP="00A6235F">
      <w:pPr>
        <w:ind w:left="851"/>
        <w:rPr>
          <w:sz w:val="24"/>
          <w:szCs w:val="24"/>
          <w:u w:val="single"/>
          <w:lang w:val="en-US"/>
        </w:rPr>
      </w:pPr>
      <w:r w:rsidRPr="00811AEA">
        <w:rPr>
          <w:sz w:val="24"/>
          <w:szCs w:val="24"/>
          <w:u w:val="single"/>
          <w:lang w:val="en-US"/>
        </w:rPr>
        <w:t>PK/PD relationship</w:t>
      </w:r>
    </w:p>
    <w:p w14:paraId="2E38E9B4" w14:textId="77777777" w:rsidR="00442D34" w:rsidRPr="00AC03AF" w:rsidRDefault="00442D34" w:rsidP="00A6235F">
      <w:pPr>
        <w:ind w:left="851"/>
        <w:rPr>
          <w:sz w:val="24"/>
          <w:szCs w:val="24"/>
          <w:lang w:val="en-US"/>
        </w:rPr>
      </w:pPr>
      <w:r w:rsidRPr="00AC03AF">
        <w:rPr>
          <w:sz w:val="24"/>
          <w:szCs w:val="24"/>
          <w:lang w:val="en-US"/>
        </w:rPr>
        <w:t xml:space="preserve">Bactericidal activity against staphylococci </w:t>
      </w:r>
      <w:r w:rsidRPr="00AC03AF">
        <w:rPr>
          <w:i/>
          <w:sz w:val="24"/>
          <w:szCs w:val="24"/>
          <w:lang w:val="en-US"/>
        </w:rPr>
        <w:t>in vitro</w:t>
      </w:r>
      <w:r w:rsidRPr="00AC03AF">
        <w:rPr>
          <w:sz w:val="24"/>
          <w:szCs w:val="24"/>
          <w:lang w:val="en-US"/>
        </w:rPr>
        <w:t xml:space="preserve"> is time-dependent at serum concentrations of dalbavancin similar to those obtained at the recommended dose in humans. </w:t>
      </w:r>
      <w:r w:rsidRPr="00AC03AF">
        <w:rPr>
          <w:i/>
          <w:sz w:val="24"/>
          <w:szCs w:val="24"/>
          <w:lang w:val="en-US"/>
        </w:rPr>
        <w:t>In vivo</w:t>
      </w:r>
      <w:r w:rsidRPr="00AC03AF">
        <w:rPr>
          <w:sz w:val="24"/>
          <w:szCs w:val="24"/>
          <w:lang w:val="en-US"/>
        </w:rPr>
        <w:t xml:space="preserve"> PK/PD relationship of dalbavancin for </w:t>
      </w:r>
      <w:r w:rsidRPr="00AC03AF">
        <w:rPr>
          <w:i/>
          <w:sz w:val="24"/>
          <w:szCs w:val="24"/>
          <w:lang w:val="en-US"/>
        </w:rPr>
        <w:t>S. aureus</w:t>
      </w:r>
      <w:r w:rsidRPr="00AC03AF">
        <w:rPr>
          <w:sz w:val="24"/>
          <w:szCs w:val="24"/>
          <w:lang w:val="en-US"/>
        </w:rPr>
        <w:t xml:space="preserve"> was investigated using a neutropenic model of animal infection. This showed that the antibacterial activity of dalbavancin appears to best correlate with the ratio of area under the unbound plasma concentration-time curve to minimal inhibitory concentration (</w:t>
      </w:r>
      <w:proofErr w:type="spellStart"/>
      <w:r w:rsidRPr="00AC03AF">
        <w:rPr>
          <w:sz w:val="24"/>
          <w:szCs w:val="24"/>
          <w:lang w:val="en-US"/>
        </w:rPr>
        <w:t>fAUC</w:t>
      </w:r>
      <w:proofErr w:type="spellEnd"/>
      <w:r w:rsidRPr="00AC03AF">
        <w:rPr>
          <w:sz w:val="24"/>
          <w:szCs w:val="24"/>
          <w:lang w:val="en-US"/>
        </w:rPr>
        <w:t>/MIC).</w:t>
      </w:r>
    </w:p>
    <w:p w14:paraId="586A7335" w14:textId="77777777" w:rsidR="00442D34" w:rsidRPr="00AC03AF" w:rsidRDefault="00442D34" w:rsidP="00A6235F">
      <w:pPr>
        <w:ind w:left="851"/>
        <w:rPr>
          <w:sz w:val="24"/>
          <w:szCs w:val="24"/>
          <w:lang w:val="en-US"/>
        </w:rPr>
      </w:pPr>
    </w:p>
    <w:p w14:paraId="06D2A9C6" w14:textId="77777777" w:rsidR="00442D34" w:rsidRPr="00811AEA" w:rsidRDefault="00442D34" w:rsidP="00A6235F">
      <w:pPr>
        <w:ind w:left="851"/>
        <w:rPr>
          <w:sz w:val="24"/>
          <w:szCs w:val="24"/>
          <w:u w:val="single"/>
          <w:lang w:val="en-US"/>
        </w:rPr>
      </w:pPr>
      <w:r w:rsidRPr="00811AEA">
        <w:rPr>
          <w:sz w:val="24"/>
          <w:szCs w:val="24"/>
          <w:u w:val="single"/>
          <w:lang w:val="en-US"/>
        </w:rPr>
        <w:t>Clinical efficacy against specific pathogens</w:t>
      </w:r>
    </w:p>
    <w:p w14:paraId="5AC7CB86" w14:textId="77777777" w:rsidR="00442D34" w:rsidRPr="00AC03AF" w:rsidRDefault="00442D34" w:rsidP="00A6235F">
      <w:pPr>
        <w:ind w:left="851"/>
        <w:rPr>
          <w:sz w:val="24"/>
          <w:szCs w:val="24"/>
          <w:lang w:val="en-US"/>
        </w:rPr>
      </w:pPr>
      <w:r w:rsidRPr="00AC03AF">
        <w:rPr>
          <w:sz w:val="24"/>
          <w:szCs w:val="24"/>
          <w:lang w:val="en-US"/>
        </w:rPr>
        <w:t xml:space="preserve">Efficacy has been demonstrated in clinical studies against the pathogens listed for ABSSSI that were susceptible to dalbavancin </w:t>
      </w:r>
      <w:r w:rsidRPr="00AC03AF">
        <w:rPr>
          <w:i/>
          <w:sz w:val="24"/>
          <w:szCs w:val="24"/>
          <w:lang w:val="en-US"/>
        </w:rPr>
        <w:t>in vitro:</w:t>
      </w:r>
    </w:p>
    <w:p w14:paraId="3DD7AF2B" w14:textId="0C4208AF" w:rsidR="00442D34" w:rsidRPr="00AC03AF" w:rsidRDefault="00442D34" w:rsidP="00A6235F">
      <w:pPr>
        <w:pStyle w:val="Listeafsnit"/>
        <w:numPr>
          <w:ilvl w:val="0"/>
          <w:numId w:val="8"/>
        </w:numPr>
        <w:suppressAutoHyphens/>
        <w:ind w:left="1276" w:right="-2" w:hanging="425"/>
        <w:rPr>
          <w:sz w:val="24"/>
          <w:szCs w:val="24"/>
          <w:lang w:val="en-US"/>
        </w:rPr>
      </w:pPr>
      <w:r w:rsidRPr="00AC03AF">
        <w:rPr>
          <w:i/>
          <w:sz w:val="24"/>
          <w:szCs w:val="24"/>
          <w:lang w:val="en-US"/>
        </w:rPr>
        <w:t>Staphylococcus aureus</w:t>
      </w:r>
    </w:p>
    <w:p w14:paraId="1667D625" w14:textId="666ABDE1" w:rsidR="00442D34" w:rsidRPr="00AC03AF" w:rsidRDefault="00442D34" w:rsidP="00A6235F">
      <w:pPr>
        <w:pStyle w:val="Listeafsnit"/>
        <w:numPr>
          <w:ilvl w:val="0"/>
          <w:numId w:val="8"/>
        </w:numPr>
        <w:suppressAutoHyphens/>
        <w:ind w:left="1276" w:right="-2" w:hanging="425"/>
        <w:rPr>
          <w:sz w:val="24"/>
          <w:szCs w:val="24"/>
          <w:lang w:val="en-US"/>
        </w:rPr>
      </w:pPr>
      <w:r w:rsidRPr="00AC03AF">
        <w:rPr>
          <w:i/>
          <w:sz w:val="24"/>
          <w:szCs w:val="24"/>
          <w:lang w:val="en-US"/>
        </w:rPr>
        <w:t>Streptococcus pyogenes</w:t>
      </w:r>
    </w:p>
    <w:p w14:paraId="288F14E5" w14:textId="0B60794F" w:rsidR="00442D34" w:rsidRPr="00AC03AF" w:rsidRDefault="00442D34" w:rsidP="00A6235F">
      <w:pPr>
        <w:pStyle w:val="Listeafsnit"/>
        <w:numPr>
          <w:ilvl w:val="0"/>
          <w:numId w:val="8"/>
        </w:numPr>
        <w:suppressAutoHyphens/>
        <w:ind w:left="1276" w:right="-2" w:hanging="425"/>
        <w:rPr>
          <w:sz w:val="24"/>
          <w:szCs w:val="24"/>
          <w:lang w:val="en-US"/>
        </w:rPr>
      </w:pPr>
      <w:r w:rsidRPr="00AC03AF">
        <w:rPr>
          <w:i/>
          <w:sz w:val="24"/>
          <w:szCs w:val="24"/>
          <w:lang w:val="en-US"/>
        </w:rPr>
        <w:t>Streptococcus agalactiae</w:t>
      </w:r>
    </w:p>
    <w:p w14:paraId="14216BA9" w14:textId="7DF1754B" w:rsidR="00442D34" w:rsidRPr="00AC03AF" w:rsidRDefault="00442D34" w:rsidP="00A6235F">
      <w:pPr>
        <w:pStyle w:val="Listeafsnit"/>
        <w:numPr>
          <w:ilvl w:val="0"/>
          <w:numId w:val="8"/>
        </w:numPr>
        <w:suppressAutoHyphens/>
        <w:ind w:left="1276" w:right="-2" w:hanging="425"/>
        <w:rPr>
          <w:sz w:val="24"/>
          <w:szCs w:val="24"/>
          <w:lang w:val="en-US"/>
        </w:rPr>
      </w:pPr>
      <w:r w:rsidRPr="00AC03AF">
        <w:rPr>
          <w:i/>
          <w:sz w:val="24"/>
          <w:szCs w:val="24"/>
          <w:lang w:val="en-US"/>
        </w:rPr>
        <w:t xml:space="preserve">Streptococcus </w:t>
      </w:r>
      <w:proofErr w:type="spellStart"/>
      <w:r w:rsidRPr="00AC03AF">
        <w:rPr>
          <w:i/>
          <w:sz w:val="24"/>
          <w:szCs w:val="24"/>
          <w:lang w:val="en-US"/>
        </w:rPr>
        <w:t>dysgalactiae</w:t>
      </w:r>
      <w:proofErr w:type="spellEnd"/>
    </w:p>
    <w:p w14:paraId="612BFD65" w14:textId="4A0D9C8B" w:rsidR="00442D34" w:rsidRPr="00AC03AF" w:rsidRDefault="00442D34" w:rsidP="00A6235F">
      <w:pPr>
        <w:pStyle w:val="Listeafsnit"/>
        <w:numPr>
          <w:ilvl w:val="0"/>
          <w:numId w:val="8"/>
        </w:numPr>
        <w:suppressAutoHyphens/>
        <w:ind w:left="1276" w:right="-2" w:hanging="425"/>
        <w:rPr>
          <w:sz w:val="24"/>
          <w:szCs w:val="24"/>
          <w:lang w:val="en-US"/>
        </w:rPr>
      </w:pPr>
      <w:r w:rsidRPr="00AC03AF">
        <w:rPr>
          <w:i/>
          <w:sz w:val="24"/>
          <w:szCs w:val="24"/>
          <w:lang w:val="en-US"/>
        </w:rPr>
        <w:t xml:space="preserve">Streptococcus </w:t>
      </w:r>
      <w:proofErr w:type="spellStart"/>
      <w:r w:rsidRPr="00AC03AF">
        <w:rPr>
          <w:i/>
          <w:sz w:val="24"/>
          <w:szCs w:val="24"/>
          <w:lang w:val="en-US"/>
        </w:rPr>
        <w:t>anginosus</w:t>
      </w:r>
      <w:proofErr w:type="spellEnd"/>
      <w:r w:rsidRPr="00AC03AF">
        <w:rPr>
          <w:sz w:val="24"/>
          <w:szCs w:val="24"/>
          <w:lang w:val="en-US"/>
        </w:rPr>
        <w:t xml:space="preserve"> group (includes </w:t>
      </w:r>
      <w:r w:rsidRPr="00AC03AF">
        <w:rPr>
          <w:i/>
          <w:sz w:val="24"/>
          <w:szCs w:val="24"/>
          <w:lang w:val="en-US"/>
        </w:rPr>
        <w:t xml:space="preserve">S. </w:t>
      </w:r>
      <w:proofErr w:type="spellStart"/>
      <w:r w:rsidRPr="00AC03AF">
        <w:rPr>
          <w:i/>
          <w:sz w:val="24"/>
          <w:szCs w:val="24"/>
          <w:lang w:val="en-US"/>
        </w:rPr>
        <w:t>anginosus</w:t>
      </w:r>
      <w:proofErr w:type="spellEnd"/>
      <w:r w:rsidRPr="00AC03AF">
        <w:rPr>
          <w:i/>
          <w:sz w:val="24"/>
          <w:szCs w:val="24"/>
          <w:lang w:val="en-US"/>
        </w:rPr>
        <w:t xml:space="preserve">, S. intermedius, </w:t>
      </w:r>
      <w:r w:rsidRPr="00AC03AF">
        <w:rPr>
          <w:sz w:val="24"/>
          <w:szCs w:val="24"/>
          <w:lang w:val="en-US"/>
        </w:rPr>
        <w:t>and</w:t>
      </w:r>
      <w:r w:rsidRPr="00AC03AF">
        <w:rPr>
          <w:i/>
          <w:sz w:val="24"/>
          <w:szCs w:val="24"/>
          <w:lang w:val="en-US"/>
        </w:rPr>
        <w:t xml:space="preserve"> S. </w:t>
      </w:r>
      <w:proofErr w:type="spellStart"/>
      <w:r w:rsidRPr="00AC03AF">
        <w:rPr>
          <w:i/>
          <w:sz w:val="24"/>
          <w:szCs w:val="24"/>
          <w:lang w:val="en-US"/>
        </w:rPr>
        <w:t>constellatus</w:t>
      </w:r>
      <w:proofErr w:type="spellEnd"/>
      <w:r w:rsidRPr="00AC03AF">
        <w:rPr>
          <w:sz w:val="24"/>
          <w:szCs w:val="24"/>
          <w:lang w:val="en-US"/>
        </w:rPr>
        <w:t>).</w:t>
      </w:r>
    </w:p>
    <w:p w14:paraId="6FA50513" w14:textId="77777777" w:rsidR="00442D34" w:rsidRPr="00AC03AF" w:rsidRDefault="00442D34" w:rsidP="00442D34">
      <w:pPr>
        <w:numPr>
          <w:ilvl w:val="12"/>
          <w:numId w:val="0"/>
        </w:numPr>
        <w:suppressAutoHyphens/>
        <w:ind w:right="-2"/>
        <w:rPr>
          <w:sz w:val="24"/>
          <w:szCs w:val="24"/>
          <w:lang w:val="en-US"/>
        </w:rPr>
      </w:pPr>
    </w:p>
    <w:p w14:paraId="28C08DA2" w14:textId="77777777" w:rsidR="00442D34" w:rsidRPr="00811AEA" w:rsidRDefault="00442D34" w:rsidP="00A6235F">
      <w:pPr>
        <w:ind w:left="851"/>
        <w:rPr>
          <w:sz w:val="24"/>
          <w:szCs w:val="24"/>
          <w:u w:val="single"/>
          <w:lang w:val="en-US"/>
        </w:rPr>
      </w:pPr>
      <w:r w:rsidRPr="00811AEA">
        <w:rPr>
          <w:sz w:val="24"/>
          <w:szCs w:val="24"/>
          <w:u w:val="single"/>
          <w:lang w:val="en-US"/>
        </w:rPr>
        <w:t>Antibacterial activity against other relevant pathogens</w:t>
      </w:r>
    </w:p>
    <w:p w14:paraId="7E0650B2" w14:textId="77777777" w:rsidR="00442D34" w:rsidRPr="00AC03AF" w:rsidRDefault="00442D34" w:rsidP="00A6235F">
      <w:pPr>
        <w:ind w:left="851"/>
        <w:rPr>
          <w:sz w:val="24"/>
          <w:szCs w:val="24"/>
          <w:lang w:val="en-US"/>
        </w:rPr>
      </w:pPr>
      <w:r w:rsidRPr="00AC03AF">
        <w:rPr>
          <w:sz w:val="24"/>
          <w:szCs w:val="24"/>
          <w:lang w:val="en-US"/>
        </w:rPr>
        <w:t xml:space="preserve">Clinical efficacy has not been established against the following pathogens although </w:t>
      </w:r>
      <w:r w:rsidRPr="00AC03AF">
        <w:rPr>
          <w:i/>
          <w:sz w:val="24"/>
          <w:szCs w:val="24"/>
          <w:lang w:val="en-US"/>
        </w:rPr>
        <w:t>in vitro</w:t>
      </w:r>
      <w:r w:rsidRPr="00AC03AF">
        <w:rPr>
          <w:sz w:val="24"/>
          <w:szCs w:val="24"/>
          <w:lang w:val="en-US"/>
        </w:rPr>
        <w:t xml:space="preserve"> studies suggest that they would be susceptible to dalbavancin in the absence of acquired mechanisms of resistance:</w:t>
      </w:r>
    </w:p>
    <w:p w14:paraId="5352BC7E" w14:textId="0592974E" w:rsidR="00442D34" w:rsidRPr="00AC03AF" w:rsidRDefault="00442D34" w:rsidP="00A6235F">
      <w:pPr>
        <w:pStyle w:val="Listeafsnit"/>
        <w:numPr>
          <w:ilvl w:val="0"/>
          <w:numId w:val="9"/>
        </w:numPr>
        <w:suppressAutoHyphens/>
        <w:ind w:left="1276" w:right="-2" w:hanging="425"/>
        <w:rPr>
          <w:sz w:val="24"/>
          <w:szCs w:val="24"/>
          <w:lang w:val="en-US"/>
        </w:rPr>
      </w:pPr>
      <w:r w:rsidRPr="00AC03AF">
        <w:rPr>
          <w:sz w:val="24"/>
          <w:szCs w:val="24"/>
          <w:lang w:val="en-US"/>
        </w:rPr>
        <w:t>Group G streptococci</w:t>
      </w:r>
    </w:p>
    <w:p w14:paraId="2816031E" w14:textId="682006C1" w:rsidR="00442D34" w:rsidRPr="00AC03AF" w:rsidRDefault="00442D34" w:rsidP="00A6235F">
      <w:pPr>
        <w:pStyle w:val="Listeafsnit"/>
        <w:numPr>
          <w:ilvl w:val="0"/>
          <w:numId w:val="9"/>
        </w:numPr>
        <w:suppressAutoHyphens/>
        <w:ind w:left="1276" w:right="-2" w:hanging="425"/>
        <w:rPr>
          <w:sz w:val="24"/>
          <w:szCs w:val="24"/>
          <w:lang w:val="en-US"/>
        </w:rPr>
      </w:pPr>
      <w:r w:rsidRPr="00AC03AF">
        <w:rPr>
          <w:i/>
          <w:sz w:val="24"/>
          <w:szCs w:val="24"/>
          <w:lang w:val="en-US"/>
        </w:rPr>
        <w:t>Clostridium perfringens</w:t>
      </w:r>
    </w:p>
    <w:p w14:paraId="6F826B77" w14:textId="0F544609" w:rsidR="00442D34" w:rsidRPr="00AC03AF" w:rsidRDefault="00442D34" w:rsidP="00A6235F">
      <w:pPr>
        <w:pStyle w:val="Listeafsnit"/>
        <w:numPr>
          <w:ilvl w:val="0"/>
          <w:numId w:val="9"/>
        </w:numPr>
        <w:suppressAutoHyphens/>
        <w:ind w:left="1276" w:right="-2" w:hanging="425"/>
        <w:rPr>
          <w:sz w:val="24"/>
          <w:szCs w:val="24"/>
          <w:lang w:val="en-US"/>
        </w:rPr>
      </w:pPr>
      <w:proofErr w:type="spellStart"/>
      <w:r w:rsidRPr="00AC03AF">
        <w:rPr>
          <w:i/>
          <w:sz w:val="24"/>
          <w:szCs w:val="24"/>
          <w:lang w:val="en-US"/>
        </w:rPr>
        <w:t>Peptostreptococcus</w:t>
      </w:r>
      <w:proofErr w:type="spellEnd"/>
      <w:r w:rsidRPr="00AC03AF">
        <w:rPr>
          <w:sz w:val="24"/>
          <w:szCs w:val="24"/>
          <w:lang w:val="en-US"/>
        </w:rPr>
        <w:t xml:space="preserve"> spp.</w:t>
      </w:r>
    </w:p>
    <w:p w14:paraId="79619EB3" w14:textId="77777777" w:rsidR="00442D34" w:rsidRPr="00AC03AF" w:rsidRDefault="00442D34" w:rsidP="00442D34">
      <w:pPr>
        <w:numPr>
          <w:ilvl w:val="12"/>
          <w:numId w:val="0"/>
        </w:numPr>
        <w:suppressAutoHyphens/>
        <w:ind w:right="-2"/>
        <w:rPr>
          <w:sz w:val="24"/>
          <w:szCs w:val="24"/>
          <w:lang w:val="en-US"/>
        </w:rPr>
      </w:pPr>
    </w:p>
    <w:p w14:paraId="31123D94" w14:textId="77777777" w:rsidR="00442D34" w:rsidRPr="00811AEA" w:rsidRDefault="00442D34" w:rsidP="00A6235F">
      <w:pPr>
        <w:ind w:left="851"/>
        <w:rPr>
          <w:sz w:val="24"/>
          <w:szCs w:val="24"/>
          <w:u w:val="single"/>
          <w:lang w:val="en-US"/>
        </w:rPr>
      </w:pPr>
      <w:r w:rsidRPr="00811AEA">
        <w:rPr>
          <w:sz w:val="24"/>
          <w:szCs w:val="24"/>
          <w:u w:val="single"/>
          <w:lang w:val="en-US"/>
        </w:rPr>
        <w:t>Paediatric population</w:t>
      </w:r>
    </w:p>
    <w:p w14:paraId="23D116AE" w14:textId="77777777" w:rsidR="00442D34" w:rsidRPr="00AC03AF" w:rsidRDefault="00442D34" w:rsidP="00A6235F">
      <w:pPr>
        <w:ind w:left="851"/>
        <w:rPr>
          <w:sz w:val="24"/>
          <w:szCs w:val="24"/>
          <w:lang w:val="en-US"/>
        </w:rPr>
      </w:pPr>
      <w:r w:rsidRPr="00AC03AF">
        <w:rPr>
          <w:sz w:val="24"/>
          <w:szCs w:val="24"/>
          <w:lang w:val="en-US"/>
        </w:rPr>
        <w:t xml:space="preserve">Dalbavancin has been evaluated in paediatric patients aged from birth to &lt;18 years with ABSSSI in one Phase 3 open-label, </w:t>
      </w:r>
      <w:proofErr w:type="spellStart"/>
      <w:r w:rsidRPr="00AC03AF">
        <w:rPr>
          <w:sz w:val="24"/>
          <w:szCs w:val="24"/>
          <w:lang w:val="en-US"/>
        </w:rPr>
        <w:t>randomised</w:t>
      </w:r>
      <w:proofErr w:type="spellEnd"/>
      <w:r w:rsidRPr="00AC03AF">
        <w:rPr>
          <w:sz w:val="24"/>
          <w:szCs w:val="24"/>
          <w:lang w:val="en-US"/>
        </w:rPr>
        <w:t>, comparator controlled clinical trial. The study included 168 patients treated with dalbavancin (90 patients treated with a single dose of dalbavancin and 78 patients, all of them aged 3 months and older, treated with a two-dose regimen of dalbavancin) and 30 patients treated with comparator. The primary objective was to assess the safety and tolerability of dalbavancin, and secondary objectives included assessment of efficacy and pharmacokinetics. Efficacy was a descriptive endpoint. Clinical cure rate at TOC (</w:t>
      </w:r>
      <w:proofErr w:type="spellStart"/>
      <w:r w:rsidRPr="00AC03AF">
        <w:rPr>
          <w:sz w:val="24"/>
          <w:szCs w:val="24"/>
          <w:lang w:val="en-US"/>
        </w:rPr>
        <w:t>mITT</w:t>
      </w:r>
      <w:proofErr w:type="spellEnd"/>
      <w:r w:rsidRPr="00AC03AF">
        <w:rPr>
          <w:sz w:val="24"/>
          <w:szCs w:val="24"/>
          <w:lang w:val="en-US"/>
        </w:rPr>
        <w:t>) was 95.1% (78/82) in the dalbavancin single-dose arm, 97.3% (72/74) in the dalbavancin two-dose arm and 100% (30/30) in the comparator arm.</w:t>
      </w:r>
    </w:p>
    <w:p w14:paraId="275FE8BB" w14:textId="77777777" w:rsidR="00442D34" w:rsidRPr="00AC03AF" w:rsidRDefault="00442D34" w:rsidP="00A6235F">
      <w:pPr>
        <w:ind w:left="851"/>
        <w:rPr>
          <w:sz w:val="24"/>
          <w:szCs w:val="24"/>
          <w:lang w:val="en-US"/>
        </w:rPr>
      </w:pPr>
    </w:p>
    <w:p w14:paraId="25700768" w14:textId="77777777" w:rsidR="00442D34" w:rsidRPr="00AC03AF" w:rsidRDefault="00442D34" w:rsidP="00A6235F">
      <w:pPr>
        <w:ind w:left="851"/>
        <w:rPr>
          <w:sz w:val="24"/>
          <w:szCs w:val="24"/>
          <w:lang w:val="en-US"/>
        </w:rPr>
      </w:pPr>
      <w:r w:rsidRPr="00AC03AF">
        <w:rPr>
          <w:sz w:val="24"/>
          <w:szCs w:val="24"/>
          <w:lang w:val="en-US"/>
        </w:rPr>
        <w:t>The European Medicines Agency has deferred the obligation to submit the results of studies with the reference medicinal product containing dalbavancin in one or more subsets of the paediatric population in ABSSSI (see sections 4.2 and 5.2 for information on paediatric use).</w:t>
      </w:r>
    </w:p>
    <w:p w14:paraId="2A4C8863" w14:textId="77777777" w:rsidR="007C5D2A" w:rsidRPr="00AC03AF" w:rsidRDefault="007C5D2A" w:rsidP="003E0341">
      <w:pPr>
        <w:tabs>
          <w:tab w:val="left" w:pos="851"/>
        </w:tabs>
        <w:ind w:left="851"/>
        <w:rPr>
          <w:sz w:val="24"/>
          <w:szCs w:val="24"/>
          <w:lang w:val="en-GB"/>
        </w:rPr>
      </w:pPr>
    </w:p>
    <w:p w14:paraId="55190479" w14:textId="24D285E1" w:rsidR="007C5D2A" w:rsidRPr="00AC03AF" w:rsidRDefault="007C5D2A" w:rsidP="007C5D2A">
      <w:pPr>
        <w:tabs>
          <w:tab w:val="left" w:pos="851"/>
        </w:tabs>
        <w:ind w:left="851" w:hanging="851"/>
        <w:rPr>
          <w:b/>
          <w:sz w:val="24"/>
          <w:szCs w:val="24"/>
          <w:lang w:val="en-GB"/>
        </w:rPr>
      </w:pPr>
      <w:r w:rsidRPr="00AC03AF">
        <w:rPr>
          <w:b/>
          <w:sz w:val="24"/>
          <w:szCs w:val="24"/>
          <w:lang w:val="en-GB"/>
        </w:rPr>
        <w:t>5.2</w:t>
      </w:r>
      <w:r w:rsidRPr="00AC03AF">
        <w:rPr>
          <w:b/>
          <w:sz w:val="24"/>
          <w:szCs w:val="24"/>
          <w:lang w:val="en-GB"/>
        </w:rPr>
        <w:tab/>
        <w:t>Pharmacokinetic properties</w:t>
      </w:r>
    </w:p>
    <w:p w14:paraId="04B3B4B0" w14:textId="77777777" w:rsidR="00442D34" w:rsidRPr="00AC03AF" w:rsidRDefault="00442D34" w:rsidP="00A6235F">
      <w:pPr>
        <w:ind w:left="851"/>
        <w:rPr>
          <w:noProof/>
          <w:sz w:val="24"/>
          <w:szCs w:val="24"/>
          <w:lang w:val="en-US"/>
        </w:rPr>
      </w:pPr>
      <w:r w:rsidRPr="00AC03AF">
        <w:rPr>
          <w:noProof/>
          <w:sz w:val="24"/>
          <w:szCs w:val="24"/>
          <w:lang w:val="en-US"/>
        </w:rPr>
        <w:t>The pharmacokinetics of dalbavancin have been characterised in healthy subjects, patients, and special populations. Systemic exposures to dalbavancin are dose proportional following single doses over a range of 140 to 1 120 mg, indicating linear pharmacokinetics of dalbavancin. No accumulation of dalbavancin was observed following multiple intravenous infusions administered once-weekly for up to 8 weeks (1 000 mg on Day 1, followed by up to 7 weekly 500 mg doses) in healthy adults.</w:t>
      </w:r>
    </w:p>
    <w:p w14:paraId="7D278652" w14:textId="77777777" w:rsidR="00442D34" w:rsidRPr="00AC03AF" w:rsidRDefault="00442D34" w:rsidP="00A6235F">
      <w:pPr>
        <w:ind w:left="851"/>
        <w:rPr>
          <w:noProof/>
          <w:sz w:val="24"/>
          <w:szCs w:val="24"/>
          <w:lang w:val="en-US"/>
        </w:rPr>
      </w:pPr>
    </w:p>
    <w:p w14:paraId="7058F571" w14:textId="77777777" w:rsidR="00442D34" w:rsidRPr="00AC03AF" w:rsidRDefault="00442D34" w:rsidP="00A6235F">
      <w:pPr>
        <w:ind w:left="851"/>
        <w:rPr>
          <w:noProof/>
          <w:sz w:val="24"/>
          <w:szCs w:val="24"/>
          <w:lang w:val="en-US"/>
        </w:rPr>
      </w:pPr>
      <w:r w:rsidRPr="00AC03AF">
        <w:rPr>
          <w:noProof/>
          <w:sz w:val="24"/>
          <w:szCs w:val="24"/>
          <w:lang w:val="en-US"/>
        </w:rPr>
        <w:t>The mean terminal elimination half-life (t</w:t>
      </w:r>
      <w:r w:rsidRPr="00AC03AF">
        <w:rPr>
          <w:noProof/>
          <w:sz w:val="24"/>
          <w:szCs w:val="24"/>
          <w:vertAlign w:val="subscript"/>
          <w:lang w:val="en-US"/>
        </w:rPr>
        <w:t>1/2</w:t>
      </w:r>
      <w:r w:rsidRPr="00AC03AF">
        <w:rPr>
          <w:noProof/>
          <w:sz w:val="24"/>
          <w:szCs w:val="24"/>
          <w:lang w:val="en-US"/>
        </w:rPr>
        <w:t>) was 372 (range 333 to 405) hours. The pharmacokinetics of dalbavancin are best described using a three-compartment model (</w:t>
      </w:r>
      <w:r w:rsidRPr="00AC03AF">
        <w:rPr>
          <w:noProof/>
          <w:sz w:val="24"/>
          <w:szCs w:val="24"/>
        </w:rPr>
        <w:t>α</w:t>
      </w:r>
      <w:r w:rsidRPr="00AC03AF">
        <w:rPr>
          <w:noProof/>
          <w:sz w:val="24"/>
          <w:szCs w:val="24"/>
          <w:lang w:val="en-US"/>
        </w:rPr>
        <w:t xml:space="preserve"> and </w:t>
      </w:r>
      <w:r w:rsidRPr="00AC03AF">
        <w:rPr>
          <w:noProof/>
          <w:sz w:val="24"/>
          <w:szCs w:val="24"/>
        </w:rPr>
        <w:t>β</w:t>
      </w:r>
      <w:r w:rsidRPr="00AC03AF">
        <w:rPr>
          <w:noProof/>
          <w:sz w:val="24"/>
          <w:szCs w:val="24"/>
          <w:lang w:val="en-US"/>
        </w:rPr>
        <w:t xml:space="preserve"> distributional phases followed by a terminal elimination phase). Thus, the distributional half-life (t</w:t>
      </w:r>
      <w:r w:rsidRPr="00AC03AF">
        <w:rPr>
          <w:noProof/>
          <w:sz w:val="24"/>
          <w:szCs w:val="24"/>
          <w:vertAlign w:val="subscript"/>
          <w:lang w:val="en-US"/>
        </w:rPr>
        <w:t>1/2</w:t>
      </w:r>
      <w:r w:rsidRPr="00AC03AF">
        <w:rPr>
          <w:noProof/>
          <w:sz w:val="24"/>
          <w:szCs w:val="24"/>
          <w:vertAlign w:val="subscript"/>
        </w:rPr>
        <w:t>β</w:t>
      </w:r>
      <w:r w:rsidRPr="00AC03AF">
        <w:rPr>
          <w:noProof/>
          <w:sz w:val="24"/>
          <w:szCs w:val="24"/>
          <w:lang w:val="en-US"/>
        </w:rPr>
        <w:t>), which constitutes most of the clinically-relevant concentration-time profile, ranged from 5 to 7 days and is consistent with once-weekly dosing.</w:t>
      </w:r>
    </w:p>
    <w:p w14:paraId="1FCCE16B" w14:textId="77777777" w:rsidR="00442D34" w:rsidRPr="00AC03AF" w:rsidRDefault="00442D34" w:rsidP="00A6235F">
      <w:pPr>
        <w:ind w:left="851"/>
        <w:rPr>
          <w:noProof/>
          <w:sz w:val="24"/>
          <w:szCs w:val="24"/>
          <w:lang w:val="en-US"/>
        </w:rPr>
      </w:pPr>
    </w:p>
    <w:p w14:paraId="11F098F8" w14:textId="77777777" w:rsidR="00442D34" w:rsidRPr="00AC03AF" w:rsidRDefault="00442D34" w:rsidP="00A6235F">
      <w:pPr>
        <w:ind w:left="851"/>
        <w:rPr>
          <w:noProof/>
          <w:sz w:val="24"/>
          <w:szCs w:val="24"/>
          <w:lang w:val="en-US"/>
        </w:rPr>
      </w:pPr>
      <w:r w:rsidRPr="00AC03AF">
        <w:rPr>
          <w:noProof/>
          <w:sz w:val="24"/>
          <w:szCs w:val="24"/>
          <w:lang w:val="en-US"/>
        </w:rPr>
        <w:t>Estimated pharmacokinetic parameters of dalbavancin following the two-dose regimen and the single-dose regimen, respectively, are shown in Table 2 below.</w:t>
      </w:r>
    </w:p>
    <w:p w14:paraId="5629266D" w14:textId="77777777" w:rsidR="00442D34" w:rsidRPr="00AC03AF" w:rsidRDefault="00442D34" w:rsidP="00442D34">
      <w:pPr>
        <w:tabs>
          <w:tab w:val="left" w:pos="0"/>
        </w:tabs>
        <w:suppressAutoHyphens/>
        <w:ind w:left="567" w:hanging="567"/>
        <w:outlineLvl w:val="0"/>
        <w:rPr>
          <w:noProof/>
          <w:sz w:val="24"/>
          <w:szCs w:val="24"/>
          <w:lang w:val="en-US"/>
        </w:rPr>
      </w:pPr>
    </w:p>
    <w:p w14:paraId="03B4169E" w14:textId="77777777" w:rsidR="00442D34" w:rsidRPr="00AC03AF" w:rsidRDefault="00442D34" w:rsidP="00442D34">
      <w:pPr>
        <w:keepNext/>
        <w:tabs>
          <w:tab w:val="left" w:pos="0"/>
          <w:tab w:val="left" w:pos="1134"/>
        </w:tabs>
        <w:suppressAutoHyphens/>
        <w:ind w:left="1134" w:hanging="1134"/>
        <w:outlineLvl w:val="0"/>
        <w:rPr>
          <w:b/>
          <w:noProof/>
          <w:sz w:val="24"/>
          <w:szCs w:val="24"/>
          <w:vertAlign w:val="superscript"/>
          <w:lang w:val="en-US"/>
        </w:rPr>
      </w:pPr>
      <w:r w:rsidRPr="00AC03AF">
        <w:rPr>
          <w:b/>
          <w:noProof/>
          <w:sz w:val="24"/>
          <w:szCs w:val="24"/>
          <w:lang w:val="en-US"/>
        </w:rPr>
        <w:t>Table 2:</w:t>
      </w:r>
      <w:r w:rsidRPr="00AC03AF">
        <w:rPr>
          <w:b/>
          <w:noProof/>
          <w:sz w:val="24"/>
          <w:szCs w:val="24"/>
          <w:lang w:val="en-US"/>
        </w:rPr>
        <w:tab/>
        <w:t>Mean (SD) dalbavancin pharmacokinetic parameters for adults using population PK analysis</w:t>
      </w:r>
      <w:r w:rsidRPr="00AC03AF">
        <w:rPr>
          <w:b/>
          <w:noProof/>
          <w:sz w:val="24"/>
          <w:szCs w:val="24"/>
          <w:vertAlign w:val="superscript"/>
          <w:lang w:val="en-US"/>
        </w:rPr>
        <w:t>1</w:t>
      </w:r>
    </w:p>
    <w:p w14:paraId="2ED457E8" w14:textId="77777777" w:rsidR="00442D34" w:rsidRPr="00AC03AF" w:rsidRDefault="00442D34" w:rsidP="00442D34">
      <w:pPr>
        <w:keepNext/>
        <w:tabs>
          <w:tab w:val="left" w:pos="0"/>
          <w:tab w:val="left" w:pos="1134"/>
        </w:tabs>
        <w:suppressAutoHyphens/>
        <w:ind w:left="1134" w:hanging="1134"/>
        <w:outlineLvl w:val="0"/>
        <w:rPr>
          <w:noProof/>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442D34" w:rsidRPr="00AC03AF" w14:paraId="3173A655" w14:textId="77777777" w:rsidTr="00442D34">
        <w:trPr>
          <w:tblHeader/>
        </w:trPr>
        <w:tc>
          <w:tcPr>
            <w:tcW w:w="1666" w:type="pct"/>
            <w:tcBorders>
              <w:top w:val="single" w:sz="4" w:space="0" w:color="auto"/>
              <w:left w:val="single" w:sz="4" w:space="0" w:color="auto"/>
              <w:bottom w:val="single" w:sz="4" w:space="0" w:color="auto"/>
              <w:right w:val="single" w:sz="4" w:space="0" w:color="auto"/>
            </w:tcBorders>
            <w:hideMark/>
          </w:tcPr>
          <w:p w14:paraId="233D3514" w14:textId="77777777" w:rsidR="00442D34" w:rsidRPr="00AC03AF" w:rsidRDefault="00442D34">
            <w:pPr>
              <w:tabs>
                <w:tab w:val="left" w:pos="0"/>
              </w:tabs>
              <w:suppressAutoHyphens/>
              <w:outlineLvl w:val="0"/>
              <w:rPr>
                <w:b/>
                <w:noProof/>
                <w:sz w:val="24"/>
                <w:szCs w:val="24"/>
              </w:rPr>
            </w:pPr>
            <w:r w:rsidRPr="00AC03AF">
              <w:rPr>
                <w:b/>
                <w:noProof/>
                <w:sz w:val="24"/>
                <w:szCs w:val="24"/>
              </w:rPr>
              <w:t>Parameter</w:t>
            </w:r>
          </w:p>
        </w:tc>
        <w:tc>
          <w:tcPr>
            <w:tcW w:w="1666" w:type="pct"/>
            <w:tcBorders>
              <w:top w:val="single" w:sz="4" w:space="0" w:color="auto"/>
              <w:left w:val="single" w:sz="4" w:space="0" w:color="auto"/>
              <w:bottom w:val="single" w:sz="4" w:space="0" w:color="auto"/>
              <w:right w:val="single" w:sz="4" w:space="0" w:color="auto"/>
            </w:tcBorders>
            <w:hideMark/>
          </w:tcPr>
          <w:p w14:paraId="7E29F2EA" w14:textId="77777777" w:rsidR="00442D34" w:rsidRPr="00AC03AF" w:rsidRDefault="00442D34">
            <w:pPr>
              <w:tabs>
                <w:tab w:val="left" w:pos="0"/>
              </w:tabs>
              <w:suppressAutoHyphens/>
              <w:outlineLvl w:val="0"/>
              <w:rPr>
                <w:b/>
                <w:noProof/>
                <w:sz w:val="24"/>
                <w:szCs w:val="24"/>
              </w:rPr>
            </w:pPr>
            <w:r w:rsidRPr="00AC03AF">
              <w:rPr>
                <w:b/>
                <w:noProof/>
                <w:sz w:val="24"/>
                <w:szCs w:val="24"/>
              </w:rPr>
              <w:t>Two-dose regimen</w:t>
            </w:r>
            <w:r w:rsidRPr="00AC03AF">
              <w:rPr>
                <w:b/>
                <w:noProof/>
                <w:sz w:val="24"/>
                <w:szCs w:val="24"/>
                <w:vertAlign w:val="superscript"/>
              </w:rPr>
              <w:t>2</w:t>
            </w:r>
          </w:p>
        </w:tc>
        <w:tc>
          <w:tcPr>
            <w:tcW w:w="1668" w:type="pct"/>
            <w:tcBorders>
              <w:top w:val="single" w:sz="4" w:space="0" w:color="auto"/>
              <w:left w:val="single" w:sz="4" w:space="0" w:color="auto"/>
              <w:bottom w:val="single" w:sz="4" w:space="0" w:color="auto"/>
              <w:right w:val="single" w:sz="4" w:space="0" w:color="auto"/>
            </w:tcBorders>
            <w:hideMark/>
          </w:tcPr>
          <w:p w14:paraId="2A58F31F" w14:textId="77777777" w:rsidR="00442D34" w:rsidRPr="00AC03AF" w:rsidRDefault="00442D34">
            <w:pPr>
              <w:tabs>
                <w:tab w:val="left" w:pos="0"/>
              </w:tabs>
              <w:suppressAutoHyphens/>
              <w:outlineLvl w:val="0"/>
              <w:rPr>
                <w:b/>
                <w:noProof/>
                <w:sz w:val="24"/>
                <w:szCs w:val="24"/>
              </w:rPr>
            </w:pPr>
            <w:r w:rsidRPr="00AC03AF">
              <w:rPr>
                <w:b/>
                <w:noProof/>
                <w:sz w:val="24"/>
                <w:szCs w:val="24"/>
              </w:rPr>
              <w:t>Single-dose regimen</w:t>
            </w:r>
            <w:r w:rsidRPr="00AC03AF">
              <w:rPr>
                <w:b/>
                <w:noProof/>
                <w:sz w:val="24"/>
                <w:szCs w:val="24"/>
                <w:vertAlign w:val="superscript"/>
              </w:rPr>
              <w:t>3</w:t>
            </w:r>
          </w:p>
        </w:tc>
      </w:tr>
      <w:tr w:rsidR="00442D34" w:rsidRPr="00AC03AF" w14:paraId="5A68CB78" w14:textId="77777777" w:rsidTr="00442D34">
        <w:tc>
          <w:tcPr>
            <w:tcW w:w="1666" w:type="pct"/>
            <w:vMerge w:val="restart"/>
            <w:tcBorders>
              <w:top w:val="single" w:sz="4" w:space="0" w:color="auto"/>
              <w:left w:val="single" w:sz="4" w:space="0" w:color="auto"/>
              <w:bottom w:val="single" w:sz="4" w:space="0" w:color="auto"/>
              <w:right w:val="single" w:sz="4" w:space="0" w:color="auto"/>
            </w:tcBorders>
            <w:hideMark/>
          </w:tcPr>
          <w:p w14:paraId="3CC0DBF4" w14:textId="77777777" w:rsidR="00442D34" w:rsidRPr="00AC03AF" w:rsidRDefault="00442D34">
            <w:pPr>
              <w:tabs>
                <w:tab w:val="left" w:pos="0"/>
              </w:tabs>
              <w:suppressAutoHyphens/>
              <w:outlineLvl w:val="0"/>
              <w:rPr>
                <w:noProof/>
                <w:sz w:val="24"/>
                <w:szCs w:val="24"/>
              </w:rPr>
            </w:pPr>
            <w:r w:rsidRPr="00AC03AF">
              <w:rPr>
                <w:noProof/>
                <w:sz w:val="24"/>
                <w:szCs w:val="24"/>
              </w:rPr>
              <w:t>C</w:t>
            </w:r>
            <w:r w:rsidRPr="00AC03AF">
              <w:rPr>
                <w:noProof/>
                <w:sz w:val="24"/>
                <w:szCs w:val="24"/>
                <w:vertAlign w:val="subscript"/>
              </w:rPr>
              <w:t>max</w:t>
            </w:r>
            <w:r w:rsidRPr="00AC03AF">
              <w:rPr>
                <w:noProof/>
                <w:sz w:val="24"/>
                <w:szCs w:val="24"/>
              </w:rPr>
              <w:t xml:space="preserve"> (mg/L)</w:t>
            </w:r>
          </w:p>
        </w:tc>
        <w:tc>
          <w:tcPr>
            <w:tcW w:w="1666" w:type="pct"/>
            <w:tcBorders>
              <w:top w:val="single" w:sz="4" w:space="0" w:color="auto"/>
              <w:left w:val="single" w:sz="4" w:space="0" w:color="auto"/>
              <w:bottom w:val="nil"/>
              <w:right w:val="single" w:sz="4" w:space="0" w:color="auto"/>
            </w:tcBorders>
            <w:hideMark/>
          </w:tcPr>
          <w:p w14:paraId="4DC2E7A5" w14:textId="77777777" w:rsidR="00442D34" w:rsidRPr="00AC03AF" w:rsidRDefault="00442D34">
            <w:pPr>
              <w:tabs>
                <w:tab w:val="left" w:pos="0"/>
              </w:tabs>
              <w:suppressAutoHyphens/>
              <w:outlineLvl w:val="0"/>
              <w:rPr>
                <w:noProof/>
                <w:sz w:val="24"/>
                <w:szCs w:val="24"/>
              </w:rPr>
            </w:pPr>
            <w:r w:rsidRPr="00AC03AF">
              <w:rPr>
                <w:noProof/>
                <w:sz w:val="24"/>
                <w:szCs w:val="24"/>
              </w:rPr>
              <w:t>Day 1: 281 (52)</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493D9422" w14:textId="77777777" w:rsidR="00442D34" w:rsidRPr="00AC03AF" w:rsidRDefault="00442D34">
            <w:pPr>
              <w:tabs>
                <w:tab w:val="left" w:pos="0"/>
              </w:tabs>
              <w:suppressAutoHyphens/>
              <w:outlineLvl w:val="0"/>
              <w:rPr>
                <w:noProof/>
                <w:sz w:val="24"/>
                <w:szCs w:val="24"/>
              </w:rPr>
            </w:pPr>
            <w:r w:rsidRPr="00AC03AF">
              <w:rPr>
                <w:noProof/>
                <w:sz w:val="24"/>
                <w:szCs w:val="24"/>
              </w:rPr>
              <w:t>Day 1: 411 (86)</w:t>
            </w:r>
          </w:p>
        </w:tc>
      </w:tr>
      <w:tr w:rsidR="00442D34" w:rsidRPr="00AC03AF" w14:paraId="622DBBF5" w14:textId="77777777" w:rsidTr="00442D34">
        <w:tc>
          <w:tcPr>
            <w:tcW w:w="0" w:type="auto"/>
            <w:vMerge/>
            <w:tcBorders>
              <w:top w:val="single" w:sz="4" w:space="0" w:color="auto"/>
              <w:left w:val="single" w:sz="4" w:space="0" w:color="auto"/>
              <w:bottom w:val="single" w:sz="4" w:space="0" w:color="auto"/>
              <w:right w:val="single" w:sz="4" w:space="0" w:color="auto"/>
            </w:tcBorders>
            <w:vAlign w:val="center"/>
            <w:hideMark/>
          </w:tcPr>
          <w:p w14:paraId="0152A2C0" w14:textId="77777777" w:rsidR="00442D34" w:rsidRPr="00AC03AF" w:rsidRDefault="00442D34">
            <w:pPr>
              <w:rPr>
                <w:rFonts w:eastAsia="Times New Roman"/>
                <w:noProof/>
                <w:sz w:val="24"/>
                <w:szCs w:val="24"/>
                <w:lang w:eastAsia="en-US"/>
              </w:rPr>
            </w:pPr>
          </w:p>
        </w:tc>
        <w:tc>
          <w:tcPr>
            <w:tcW w:w="1666" w:type="pct"/>
            <w:tcBorders>
              <w:top w:val="nil"/>
              <w:left w:val="single" w:sz="4" w:space="0" w:color="auto"/>
              <w:bottom w:val="single" w:sz="4" w:space="0" w:color="auto"/>
              <w:right w:val="single" w:sz="4" w:space="0" w:color="auto"/>
            </w:tcBorders>
            <w:hideMark/>
          </w:tcPr>
          <w:p w14:paraId="5A3A3F4B" w14:textId="77777777" w:rsidR="00442D34" w:rsidRPr="00AC03AF" w:rsidRDefault="00442D34">
            <w:pPr>
              <w:tabs>
                <w:tab w:val="left" w:pos="0"/>
              </w:tabs>
              <w:suppressAutoHyphens/>
              <w:outlineLvl w:val="0"/>
              <w:rPr>
                <w:noProof/>
                <w:sz w:val="24"/>
                <w:szCs w:val="24"/>
              </w:rPr>
            </w:pPr>
            <w:r w:rsidRPr="00AC03AF">
              <w:rPr>
                <w:noProof/>
                <w:sz w:val="24"/>
                <w:szCs w:val="24"/>
              </w:rPr>
              <w:t>Day 8: 141 (26)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B0C26" w14:textId="77777777" w:rsidR="00442D34" w:rsidRPr="00AC03AF" w:rsidRDefault="00442D34">
            <w:pPr>
              <w:rPr>
                <w:rFonts w:eastAsia="Times New Roman"/>
                <w:noProof/>
                <w:sz w:val="24"/>
                <w:szCs w:val="24"/>
                <w:lang w:eastAsia="en-US"/>
              </w:rPr>
            </w:pPr>
          </w:p>
        </w:tc>
      </w:tr>
      <w:tr w:rsidR="00442D34" w:rsidRPr="00AC03AF" w14:paraId="66D75747" w14:textId="77777777" w:rsidTr="00442D34">
        <w:tc>
          <w:tcPr>
            <w:tcW w:w="1666" w:type="pct"/>
            <w:tcBorders>
              <w:top w:val="single" w:sz="4" w:space="0" w:color="auto"/>
              <w:left w:val="single" w:sz="4" w:space="0" w:color="auto"/>
              <w:bottom w:val="single" w:sz="4" w:space="0" w:color="auto"/>
              <w:right w:val="single" w:sz="4" w:space="0" w:color="auto"/>
            </w:tcBorders>
            <w:hideMark/>
          </w:tcPr>
          <w:p w14:paraId="0F90A203" w14:textId="77777777" w:rsidR="00442D34" w:rsidRPr="00AC03AF" w:rsidRDefault="00442D34">
            <w:pPr>
              <w:tabs>
                <w:tab w:val="left" w:pos="0"/>
              </w:tabs>
              <w:suppressAutoHyphens/>
              <w:outlineLvl w:val="0"/>
              <w:rPr>
                <w:noProof/>
                <w:sz w:val="24"/>
                <w:szCs w:val="24"/>
              </w:rPr>
            </w:pPr>
            <w:r w:rsidRPr="00AC03AF">
              <w:rPr>
                <w:noProof/>
                <w:sz w:val="24"/>
                <w:szCs w:val="24"/>
              </w:rPr>
              <w:t>AUC</w:t>
            </w:r>
            <w:r w:rsidRPr="00AC03AF">
              <w:rPr>
                <w:noProof/>
                <w:sz w:val="24"/>
                <w:szCs w:val="24"/>
                <w:vertAlign w:val="subscript"/>
              </w:rPr>
              <w:t xml:space="preserve">0-Day14 </w:t>
            </w:r>
            <w:r w:rsidRPr="00AC03AF">
              <w:rPr>
                <w:noProof/>
                <w:sz w:val="24"/>
                <w:szCs w:val="24"/>
              </w:rPr>
              <w:t>(mg h/L)</w:t>
            </w:r>
          </w:p>
        </w:tc>
        <w:tc>
          <w:tcPr>
            <w:tcW w:w="1666" w:type="pct"/>
            <w:tcBorders>
              <w:top w:val="single" w:sz="4" w:space="0" w:color="auto"/>
              <w:left w:val="single" w:sz="4" w:space="0" w:color="auto"/>
              <w:bottom w:val="single" w:sz="4" w:space="0" w:color="auto"/>
              <w:right w:val="single" w:sz="4" w:space="0" w:color="auto"/>
            </w:tcBorders>
            <w:hideMark/>
          </w:tcPr>
          <w:p w14:paraId="3AA4182B" w14:textId="77777777" w:rsidR="00442D34" w:rsidRPr="00AC03AF" w:rsidRDefault="00442D34">
            <w:pPr>
              <w:tabs>
                <w:tab w:val="left" w:pos="0"/>
              </w:tabs>
              <w:suppressAutoHyphens/>
              <w:outlineLvl w:val="0"/>
              <w:rPr>
                <w:noProof/>
                <w:sz w:val="24"/>
                <w:szCs w:val="24"/>
              </w:rPr>
            </w:pPr>
            <w:r w:rsidRPr="00AC03AF">
              <w:rPr>
                <w:noProof/>
                <w:sz w:val="24"/>
                <w:szCs w:val="24"/>
              </w:rPr>
              <w:t>18 100 (4 600)</w:t>
            </w:r>
          </w:p>
        </w:tc>
        <w:tc>
          <w:tcPr>
            <w:tcW w:w="1668" w:type="pct"/>
            <w:tcBorders>
              <w:top w:val="single" w:sz="4" w:space="0" w:color="auto"/>
              <w:left w:val="single" w:sz="4" w:space="0" w:color="auto"/>
              <w:bottom w:val="single" w:sz="4" w:space="0" w:color="auto"/>
              <w:right w:val="single" w:sz="4" w:space="0" w:color="auto"/>
            </w:tcBorders>
            <w:hideMark/>
          </w:tcPr>
          <w:p w14:paraId="4440039C" w14:textId="77777777" w:rsidR="00442D34" w:rsidRPr="00AC03AF" w:rsidRDefault="00442D34">
            <w:pPr>
              <w:tabs>
                <w:tab w:val="left" w:pos="0"/>
              </w:tabs>
              <w:suppressAutoHyphens/>
              <w:outlineLvl w:val="0"/>
              <w:rPr>
                <w:noProof/>
                <w:sz w:val="24"/>
                <w:szCs w:val="24"/>
              </w:rPr>
            </w:pPr>
            <w:r w:rsidRPr="00AC03AF">
              <w:rPr>
                <w:noProof/>
                <w:sz w:val="24"/>
                <w:szCs w:val="24"/>
              </w:rPr>
              <w:t>20 300 (5 300)</w:t>
            </w:r>
          </w:p>
        </w:tc>
      </w:tr>
      <w:tr w:rsidR="00442D34" w:rsidRPr="00AC03AF" w14:paraId="703016CC" w14:textId="77777777" w:rsidTr="00442D34">
        <w:tc>
          <w:tcPr>
            <w:tcW w:w="1666" w:type="pct"/>
            <w:tcBorders>
              <w:top w:val="single" w:sz="4" w:space="0" w:color="auto"/>
              <w:left w:val="single" w:sz="4" w:space="0" w:color="auto"/>
              <w:bottom w:val="single" w:sz="4" w:space="0" w:color="auto"/>
              <w:right w:val="single" w:sz="4" w:space="0" w:color="auto"/>
            </w:tcBorders>
            <w:hideMark/>
          </w:tcPr>
          <w:p w14:paraId="6E3C364D" w14:textId="77777777" w:rsidR="00442D34" w:rsidRPr="00AC03AF" w:rsidRDefault="00442D34">
            <w:pPr>
              <w:tabs>
                <w:tab w:val="left" w:pos="0"/>
              </w:tabs>
              <w:suppressAutoHyphens/>
              <w:outlineLvl w:val="0"/>
              <w:rPr>
                <w:noProof/>
                <w:sz w:val="24"/>
                <w:szCs w:val="24"/>
              </w:rPr>
            </w:pPr>
            <w:r w:rsidRPr="00AC03AF">
              <w:rPr>
                <w:noProof/>
                <w:sz w:val="24"/>
                <w:szCs w:val="24"/>
              </w:rPr>
              <w:t>CL (L/h)</w:t>
            </w:r>
          </w:p>
        </w:tc>
        <w:tc>
          <w:tcPr>
            <w:tcW w:w="1666" w:type="pct"/>
            <w:tcBorders>
              <w:top w:val="single" w:sz="4" w:space="0" w:color="auto"/>
              <w:left w:val="single" w:sz="4" w:space="0" w:color="auto"/>
              <w:bottom w:val="single" w:sz="4" w:space="0" w:color="auto"/>
              <w:right w:val="single" w:sz="4" w:space="0" w:color="auto"/>
            </w:tcBorders>
            <w:hideMark/>
          </w:tcPr>
          <w:p w14:paraId="16FC1D50" w14:textId="77777777" w:rsidR="00442D34" w:rsidRPr="00AC03AF" w:rsidRDefault="00442D34">
            <w:pPr>
              <w:tabs>
                <w:tab w:val="left" w:pos="0"/>
              </w:tabs>
              <w:suppressAutoHyphens/>
              <w:outlineLvl w:val="0"/>
              <w:rPr>
                <w:noProof/>
                <w:sz w:val="24"/>
                <w:szCs w:val="24"/>
              </w:rPr>
            </w:pPr>
            <w:r w:rsidRPr="00AC03AF">
              <w:rPr>
                <w:noProof/>
                <w:sz w:val="24"/>
                <w:szCs w:val="24"/>
              </w:rPr>
              <w:t>0.048 (0.0086)</w:t>
            </w:r>
          </w:p>
        </w:tc>
        <w:tc>
          <w:tcPr>
            <w:tcW w:w="1668" w:type="pct"/>
            <w:tcBorders>
              <w:top w:val="single" w:sz="4" w:space="0" w:color="auto"/>
              <w:left w:val="single" w:sz="4" w:space="0" w:color="auto"/>
              <w:bottom w:val="single" w:sz="4" w:space="0" w:color="auto"/>
              <w:right w:val="single" w:sz="4" w:space="0" w:color="auto"/>
            </w:tcBorders>
            <w:hideMark/>
          </w:tcPr>
          <w:p w14:paraId="60FD4AEB" w14:textId="77777777" w:rsidR="00442D34" w:rsidRPr="00AC03AF" w:rsidRDefault="00442D34">
            <w:pPr>
              <w:tabs>
                <w:tab w:val="left" w:pos="0"/>
              </w:tabs>
              <w:suppressAutoHyphens/>
              <w:outlineLvl w:val="0"/>
              <w:rPr>
                <w:noProof/>
                <w:sz w:val="24"/>
                <w:szCs w:val="24"/>
              </w:rPr>
            </w:pPr>
            <w:r w:rsidRPr="00AC03AF">
              <w:rPr>
                <w:noProof/>
                <w:sz w:val="24"/>
                <w:szCs w:val="24"/>
              </w:rPr>
              <w:t>0.049 (0.0096)</w:t>
            </w:r>
          </w:p>
        </w:tc>
      </w:tr>
      <w:tr w:rsidR="00442D34" w:rsidRPr="00AC03AF" w14:paraId="71F9DA69" w14:textId="77777777" w:rsidTr="00442D34">
        <w:tc>
          <w:tcPr>
            <w:tcW w:w="5000" w:type="pct"/>
            <w:gridSpan w:val="3"/>
            <w:tcBorders>
              <w:top w:val="single" w:sz="4" w:space="0" w:color="auto"/>
              <w:left w:val="single" w:sz="4" w:space="0" w:color="auto"/>
              <w:bottom w:val="nil"/>
              <w:right w:val="single" w:sz="4" w:space="0" w:color="auto"/>
            </w:tcBorders>
            <w:hideMark/>
          </w:tcPr>
          <w:p w14:paraId="7FE792DB" w14:textId="77777777" w:rsidR="00442D34" w:rsidRPr="00AC03AF" w:rsidRDefault="00442D34">
            <w:pPr>
              <w:tabs>
                <w:tab w:val="left" w:pos="0"/>
              </w:tabs>
              <w:suppressAutoHyphens/>
              <w:outlineLvl w:val="0"/>
              <w:rPr>
                <w:noProof/>
                <w:sz w:val="24"/>
                <w:szCs w:val="24"/>
              </w:rPr>
            </w:pPr>
            <w:r w:rsidRPr="00AC03AF">
              <w:rPr>
                <w:noProof/>
                <w:sz w:val="24"/>
                <w:szCs w:val="24"/>
                <w:vertAlign w:val="superscript"/>
              </w:rPr>
              <w:t>1</w:t>
            </w:r>
            <w:r w:rsidRPr="00AC03AF">
              <w:rPr>
                <w:noProof/>
                <w:sz w:val="24"/>
                <w:szCs w:val="24"/>
              </w:rPr>
              <w:t xml:space="preserve"> Source: DAL-MS-01</w:t>
            </w:r>
          </w:p>
        </w:tc>
      </w:tr>
      <w:tr w:rsidR="00442D34" w:rsidRPr="00867A3F" w14:paraId="4ECD7DE4" w14:textId="77777777" w:rsidTr="00442D34">
        <w:tc>
          <w:tcPr>
            <w:tcW w:w="5000" w:type="pct"/>
            <w:gridSpan w:val="3"/>
            <w:tcBorders>
              <w:top w:val="nil"/>
              <w:left w:val="single" w:sz="4" w:space="0" w:color="auto"/>
              <w:bottom w:val="nil"/>
              <w:right w:val="single" w:sz="4" w:space="0" w:color="auto"/>
            </w:tcBorders>
            <w:hideMark/>
          </w:tcPr>
          <w:p w14:paraId="193CDBEB" w14:textId="77777777" w:rsidR="00442D34" w:rsidRPr="00AC03AF" w:rsidRDefault="00442D34">
            <w:pPr>
              <w:tabs>
                <w:tab w:val="left" w:pos="0"/>
              </w:tabs>
              <w:suppressAutoHyphens/>
              <w:outlineLvl w:val="0"/>
              <w:rPr>
                <w:noProof/>
                <w:sz w:val="24"/>
                <w:szCs w:val="24"/>
              </w:rPr>
            </w:pPr>
            <w:r w:rsidRPr="00AC03AF">
              <w:rPr>
                <w:noProof/>
                <w:sz w:val="24"/>
                <w:szCs w:val="24"/>
                <w:vertAlign w:val="superscript"/>
              </w:rPr>
              <w:t>2</w:t>
            </w:r>
            <w:r w:rsidRPr="00AC03AF">
              <w:rPr>
                <w:noProof/>
                <w:sz w:val="24"/>
                <w:szCs w:val="24"/>
              </w:rPr>
              <w:t xml:space="preserve"> 1 000 mg on Day 1 + 500 mg on Day 8; Study DUR001-303 subjects with evaluable PK sample</w:t>
            </w:r>
          </w:p>
        </w:tc>
      </w:tr>
      <w:tr w:rsidR="00442D34" w:rsidRPr="00867A3F" w14:paraId="50DFC359" w14:textId="77777777" w:rsidTr="00442D34">
        <w:tc>
          <w:tcPr>
            <w:tcW w:w="5000" w:type="pct"/>
            <w:gridSpan w:val="3"/>
            <w:tcBorders>
              <w:top w:val="nil"/>
              <w:left w:val="single" w:sz="4" w:space="0" w:color="auto"/>
              <w:bottom w:val="single" w:sz="4" w:space="0" w:color="auto"/>
              <w:right w:val="single" w:sz="4" w:space="0" w:color="auto"/>
            </w:tcBorders>
            <w:hideMark/>
          </w:tcPr>
          <w:p w14:paraId="3C638485" w14:textId="77777777" w:rsidR="00442D34" w:rsidRPr="00AC03AF" w:rsidRDefault="00442D34">
            <w:pPr>
              <w:tabs>
                <w:tab w:val="left" w:pos="0"/>
              </w:tabs>
              <w:suppressAutoHyphens/>
              <w:outlineLvl w:val="0"/>
              <w:rPr>
                <w:noProof/>
                <w:sz w:val="24"/>
                <w:szCs w:val="24"/>
              </w:rPr>
            </w:pPr>
            <w:r w:rsidRPr="00AC03AF">
              <w:rPr>
                <w:noProof/>
                <w:sz w:val="24"/>
                <w:szCs w:val="24"/>
                <w:vertAlign w:val="superscript"/>
              </w:rPr>
              <w:t>3</w:t>
            </w:r>
            <w:r w:rsidRPr="00AC03AF">
              <w:rPr>
                <w:noProof/>
                <w:sz w:val="24"/>
                <w:szCs w:val="24"/>
              </w:rPr>
              <w:t xml:space="preserve"> 1 500 mg; Study DUR001-303 subjects with evaluable PK sample</w:t>
            </w:r>
          </w:p>
        </w:tc>
      </w:tr>
    </w:tbl>
    <w:p w14:paraId="33560FCA" w14:textId="77777777" w:rsidR="00442D34" w:rsidRPr="00AC03AF" w:rsidRDefault="00442D34" w:rsidP="00442D34">
      <w:pPr>
        <w:tabs>
          <w:tab w:val="left" w:pos="0"/>
        </w:tabs>
        <w:suppressAutoHyphens/>
        <w:ind w:left="567" w:hanging="567"/>
        <w:outlineLvl w:val="0"/>
        <w:rPr>
          <w:noProof/>
          <w:sz w:val="24"/>
          <w:szCs w:val="24"/>
          <w:lang w:val="en-GB" w:eastAsia="en-US"/>
        </w:rPr>
      </w:pPr>
    </w:p>
    <w:p w14:paraId="07A885CA" w14:textId="77777777" w:rsidR="00442D34" w:rsidRPr="00AC03AF" w:rsidRDefault="00442D34" w:rsidP="00A6235F">
      <w:pPr>
        <w:ind w:left="851"/>
        <w:rPr>
          <w:noProof/>
          <w:sz w:val="24"/>
          <w:szCs w:val="24"/>
          <w:lang w:val="en-US"/>
        </w:rPr>
      </w:pPr>
      <w:r w:rsidRPr="00AC03AF">
        <w:rPr>
          <w:noProof/>
          <w:sz w:val="24"/>
          <w:szCs w:val="24"/>
          <w:lang w:val="en-US"/>
        </w:rPr>
        <w:t>The dalbavancin plasma concentration-time following the two-dose and the single-dose regimens, respectively, are shown in Figure 1.</w:t>
      </w:r>
    </w:p>
    <w:p w14:paraId="67213BD8" w14:textId="77777777" w:rsidR="00442D34" w:rsidRPr="00AC03AF" w:rsidRDefault="00442D34" w:rsidP="00442D34">
      <w:pPr>
        <w:tabs>
          <w:tab w:val="left" w:pos="0"/>
        </w:tabs>
        <w:suppressAutoHyphens/>
        <w:outlineLvl w:val="0"/>
        <w:rPr>
          <w:noProof/>
          <w:sz w:val="24"/>
          <w:szCs w:val="24"/>
          <w:lang w:val="en-US"/>
        </w:rPr>
      </w:pPr>
    </w:p>
    <w:p w14:paraId="0101C6C8" w14:textId="77777777" w:rsidR="00442D34" w:rsidRPr="00AC03AF" w:rsidRDefault="00442D34" w:rsidP="00A6235F">
      <w:pPr>
        <w:keepNext/>
        <w:tabs>
          <w:tab w:val="left" w:pos="0"/>
          <w:tab w:val="left" w:pos="1134"/>
        </w:tabs>
        <w:suppressAutoHyphens/>
        <w:ind w:left="1134" w:hanging="1134"/>
        <w:outlineLvl w:val="0"/>
        <w:rPr>
          <w:b/>
          <w:noProof/>
          <w:sz w:val="24"/>
          <w:szCs w:val="24"/>
          <w:lang w:val="en-US"/>
        </w:rPr>
      </w:pPr>
      <w:r w:rsidRPr="00AC03AF">
        <w:rPr>
          <w:b/>
          <w:noProof/>
          <w:sz w:val="24"/>
          <w:szCs w:val="24"/>
          <w:lang w:val="en-US"/>
        </w:rPr>
        <w:t>Figure 1:</w:t>
      </w:r>
      <w:r w:rsidRPr="00AC03AF">
        <w:rPr>
          <w:b/>
          <w:noProof/>
          <w:sz w:val="24"/>
          <w:szCs w:val="24"/>
          <w:lang w:val="en-US"/>
        </w:rPr>
        <w:tab/>
        <w:t>Dalbavancin Plasma Concentrations versus time in a typical adult ABSSSI patient (simulation using population pharmacokinetic model) for both the single and the two-dose regimens</w:t>
      </w:r>
    </w:p>
    <w:p w14:paraId="3C339D0E" w14:textId="064C0BB6" w:rsidR="00442D34" w:rsidRPr="00AC03AF" w:rsidRDefault="00442D34" w:rsidP="00A6235F">
      <w:pPr>
        <w:keepNext/>
        <w:tabs>
          <w:tab w:val="left" w:pos="0"/>
          <w:tab w:val="left" w:pos="1134"/>
        </w:tabs>
        <w:suppressAutoHyphens/>
        <w:ind w:left="1134" w:hanging="1134"/>
        <w:outlineLvl w:val="0"/>
        <w:rPr>
          <w:noProof/>
          <w:sz w:val="24"/>
          <w:szCs w:val="24"/>
        </w:rPr>
      </w:pPr>
      <w:r w:rsidRPr="00AC03AF">
        <w:rPr>
          <w:noProof/>
          <w:sz w:val="24"/>
          <w:szCs w:val="24"/>
        </w:rPr>
        <w:drawing>
          <wp:inline distT="0" distB="0" distL="0" distR="0" wp14:anchorId="4454CFC6" wp14:editId="17B14260">
            <wp:extent cx="5753100" cy="32842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231CF6FC" w14:textId="77777777" w:rsidR="00442D34" w:rsidRPr="00AC03AF" w:rsidRDefault="00442D34" w:rsidP="00442D34">
      <w:pPr>
        <w:numPr>
          <w:ilvl w:val="12"/>
          <w:numId w:val="0"/>
        </w:numPr>
        <w:suppressAutoHyphens/>
        <w:ind w:right="-2"/>
        <w:rPr>
          <w:sz w:val="24"/>
          <w:szCs w:val="24"/>
          <w:u w:val="single"/>
        </w:rPr>
      </w:pPr>
    </w:p>
    <w:p w14:paraId="293BD8C5" w14:textId="77777777" w:rsidR="00442D34" w:rsidRPr="00811AEA" w:rsidRDefault="00442D34" w:rsidP="00A6235F">
      <w:pPr>
        <w:ind w:left="851"/>
        <w:rPr>
          <w:sz w:val="24"/>
          <w:szCs w:val="24"/>
          <w:u w:val="single"/>
          <w:lang w:val="en-US"/>
        </w:rPr>
      </w:pPr>
      <w:r w:rsidRPr="00811AEA">
        <w:rPr>
          <w:sz w:val="24"/>
          <w:szCs w:val="24"/>
          <w:u w:val="single"/>
          <w:lang w:val="en-US"/>
        </w:rPr>
        <w:t>Distribution</w:t>
      </w:r>
    </w:p>
    <w:p w14:paraId="77F7D262" w14:textId="77777777" w:rsidR="00442D34" w:rsidRPr="00AC03AF" w:rsidRDefault="00442D34" w:rsidP="00A6235F">
      <w:pPr>
        <w:ind w:left="851"/>
        <w:rPr>
          <w:sz w:val="24"/>
          <w:szCs w:val="24"/>
          <w:lang w:val="en-US"/>
        </w:rPr>
      </w:pPr>
      <w:r w:rsidRPr="00AC03AF">
        <w:rPr>
          <w:sz w:val="24"/>
          <w:szCs w:val="24"/>
          <w:lang w:val="en-US"/>
        </w:rPr>
        <w:t>Clearance and volume of distribution at steady state are comparable between healthy subjects and patients with infections. The volume of distribution at steady state was similar to the volume of extracellular fluid. Dalbavancin is reversibly bound to human plasma proteins, primarily to albumin. The plasma protein binding of dalbavancin is 93% and is not altered as a function of drug concentration, renal insufficiency, or hepatic insufficiency. Following a single intravenous dose of 1 000 mg in healthy volunteers AUC in skin blister fluid amounted (bound and unbound dalbavancin) to approximately 60% of the plasma AUC at day 7 post-dose.</w:t>
      </w:r>
    </w:p>
    <w:p w14:paraId="794EEB1D" w14:textId="77777777" w:rsidR="00442D34" w:rsidRPr="00AC03AF" w:rsidRDefault="00442D34" w:rsidP="00442D34">
      <w:pPr>
        <w:numPr>
          <w:ilvl w:val="12"/>
          <w:numId w:val="0"/>
        </w:numPr>
        <w:suppressAutoHyphens/>
        <w:ind w:right="-2"/>
        <w:rPr>
          <w:sz w:val="24"/>
          <w:szCs w:val="24"/>
          <w:lang w:val="en-US"/>
        </w:rPr>
      </w:pPr>
    </w:p>
    <w:p w14:paraId="639EBEEE" w14:textId="77777777" w:rsidR="00442D34" w:rsidRPr="00811AEA" w:rsidRDefault="00442D34" w:rsidP="00A6235F">
      <w:pPr>
        <w:ind w:left="851"/>
        <w:rPr>
          <w:sz w:val="24"/>
          <w:szCs w:val="24"/>
          <w:u w:val="single"/>
          <w:lang w:val="en-US"/>
        </w:rPr>
      </w:pPr>
      <w:r w:rsidRPr="00811AEA">
        <w:rPr>
          <w:sz w:val="24"/>
          <w:szCs w:val="24"/>
          <w:u w:val="single"/>
          <w:lang w:val="en-US"/>
        </w:rPr>
        <w:t>Biotransformation</w:t>
      </w:r>
    </w:p>
    <w:p w14:paraId="5C0F92FE" w14:textId="77777777" w:rsidR="00442D34" w:rsidRPr="00AC03AF" w:rsidRDefault="00442D34" w:rsidP="00A6235F">
      <w:pPr>
        <w:ind w:left="851"/>
        <w:rPr>
          <w:sz w:val="24"/>
          <w:szCs w:val="24"/>
          <w:lang w:val="en-US"/>
        </w:rPr>
      </w:pPr>
      <w:r w:rsidRPr="00AC03AF">
        <w:rPr>
          <w:sz w:val="24"/>
          <w:szCs w:val="24"/>
          <w:lang w:val="en-US"/>
        </w:rPr>
        <w:t xml:space="preserve">Metabolites have not been observed in significant amounts in human plasma. The metabolites hydroxy-dalbavancin and </w:t>
      </w:r>
      <w:proofErr w:type="spellStart"/>
      <w:r w:rsidRPr="00AC03AF">
        <w:rPr>
          <w:sz w:val="24"/>
          <w:szCs w:val="24"/>
          <w:lang w:val="en-US"/>
        </w:rPr>
        <w:t>mannosyl</w:t>
      </w:r>
      <w:proofErr w:type="spellEnd"/>
      <w:r w:rsidRPr="00AC03AF">
        <w:rPr>
          <w:sz w:val="24"/>
          <w:szCs w:val="24"/>
          <w:lang w:val="en-US"/>
        </w:rPr>
        <w:t xml:space="preserve"> aglycone have been detected in urine (&lt;25% of administered dose). The metabolic pathways responsible for producing these metabolites have not been identified; however, due to the relatively minor contribution of metabolism to the overall elimination of dalbavancin, drug-drug interactions via inhibition or induction of metabolism of dalbavancin are not anticipated. Hydroxy-dalbavancin and </w:t>
      </w:r>
      <w:proofErr w:type="spellStart"/>
      <w:r w:rsidRPr="00AC03AF">
        <w:rPr>
          <w:sz w:val="24"/>
          <w:szCs w:val="24"/>
          <w:lang w:val="en-US"/>
        </w:rPr>
        <w:t>mannosyl</w:t>
      </w:r>
      <w:proofErr w:type="spellEnd"/>
      <w:r w:rsidRPr="00AC03AF">
        <w:rPr>
          <w:sz w:val="24"/>
          <w:szCs w:val="24"/>
          <w:lang w:val="en-US"/>
        </w:rPr>
        <w:t xml:space="preserve"> aglycone show significantly less antibacterial activity compared to dalbavancin.</w:t>
      </w:r>
    </w:p>
    <w:p w14:paraId="5C86EEA4" w14:textId="77777777" w:rsidR="00442D34" w:rsidRPr="00AC03AF" w:rsidRDefault="00442D34" w:rsidP="00A6235F">
      <w:pPr>
        <w:ind w:left="851"/>
        <w:rPr>
          <w:sz w:val="24"/>
          <w:szCs w:val="24"/>
          <w:lang w:val="en-US"/>
        </w:rPr>
      </w:pPr>
    </w:p>
    <w:p w14:paraId="3F7DF7A6" w14:textId="77777777" w:rsidR="00442D34" w:rsidRPr="00811AEA" w:rsidRDefault="00442D34" w:rsidP="00A6235F">
      <w:pPr>
        <w:ind w:left="851"/>
        <w:rPr>
          <w:sz w:val="24"/>
          <w:szCs w:val="24"/>
          <w:u w:val="single"/>
          <w:lang w:val="en-US"/>
        </w:rPr>
      </w:pPr>
      <w:r w:rsidRPr="00811AEA">
        <w:rPr>
          <w:sz w:val="24"/>
          <w:szCs w:val="24"/>
          <w:u w:val="single"/>
          <w:lang w:val="en-US"/>
        </w:rPr>
        <w:t>Elimination</w:t>
      </w:r>
    </w:p>
    <w:p w14:paraId="5E926EA0" w14:textId="77777777" w:rsidR="00442D34" w:rsidRPr="00AC03AF" w:rsidRDefault="00442D34" w:rsidP="00A6235F">
      <w:pPr>
        <w:ind w:left="851"/>
        <w:rPr>
          <w:sz w:val="24"/>
          <w:szCs w:val="24"/>
          <w:lang w:val="en-US"/>
        </w:rPr>
      </w:pPr>
      <w:r w:rsidRPr="00AC03AF">
        <w:rPr>
          <w:sz w:val="24"/>
          <w:szCs w:val="24"/>
          <w:lang w:val="en-US"/>
        </w:rPr>
        <w:t xml:space="preserve">Following administration of a single 1 000 mg dose in healthy subjects, an average of 19% to 33% of the administered dalbavancin dose was excreted in urine as dalbavancin and 8% to 12% as the metabolite hydroxy-dalbavancin. Approximately 20% of the administered dose was excreted in </w:t>
      </w:r>
      <w:proofErr w:type="spellStart"/>
      <w:r w:rsidRPr="00AC03AF">
        <w:rPr>
          <w:sz w:val="24"/>
          <w:szCs w:val="24"/>
          <w:lang w:val="en-US"/>
        </w:rPr>
        <w:t>faeces</w:t>
      </w:r>
      <w:proofErr w:type="spellEnd"/>
      <w:r w:rsidRPr="00AC03AF">
        <w:rPr>
          <w:sz w:val="24"/>
          <w:szCs w:val="24"/>
          <w:lang w:val="en-US"/>
        </w:rPr>
        <w:t>.</w:t>
      </w:r>
    </w:p>
    <w:p w14:paraId="32AAC95E" w14:textId="1A40C1BF" w:rsidR="00437628" w:rsidRDefault="00437628">
      <w:pPr>
        <w:rPr>
          <w:sz w:val="24"/>
          <w:szCs w:val="24"/>
          <w:lang w:val="en-US"/>
        </w:rPr>
      </w:pPr>
      <w:r>
        <w:rPr>
          <w:sz w:val="24"/>
          <w:szCs w:val="24"/>
          <w:lang w:val="en-US"/>
        </w:rPr>
        <w:br w:type="page"/>
      </w:r>
    </w:p>
    <w:p w14:paraId="41558644" w14:textId="77777777" w:rsidR="00442D34" w:rsidRPr="00AC03AF" w:rsidRDefault="00442D34" w:rsidP="00A6235F">
      <w:pPr>
        <w:ind w:left="851"/>
        <w:rPr>
          <w:sz w:val="24"/>
          <w:szCs w:val="24"/>
          <w:lang w:val="en-US"/>
        </w:rPr>
      </w:pPr>
    </w:p>
    <w:p w14:paraId="5CFBDB6F" w14:textId="77777777" w:rsidR="00442D34" w:rsidRPr="00811AEA" w:rsidRDefault="00442D34" w:rsidP="00A6235F">
      <w:pPr>
        <w:ind w:left="851"/>
        <w:rPr>
          <w:iCs/>
          <w:noProof/>
          <w:sz w:val="24"/>
          <w:szCs w:val="24"/>
          <w:u w:val="single"/>
          <w:lang w:val="en-US"/>
        </w:rPr>
      </w:pPr>
      <w:r w:rsidRPr="00811AEA">
        <w:rPr>
          <w:iCs/>
          <w:noProof/>
          <w:sz w:val="24"/>
          <w:szCs w:val="24"/>
          <w:u w:val="single"/>
          <w:lang w:val="en-US"/>
        </w:rPr>
        <w:t>Special populations</w:t>
      </w:r>
    </w:p>
    <w:p w14:paraId="451E2BAF" w14:textId="77777777" w:rsidR="00442D34" w:rsidRPr="00AC03AF" w:rsidRDefault="00442D34" w:rsidP="00A6235F">
      <w:pPr>
        <w:ind w:left="851"/>
        <w:rPr>
          <w:i/>
          <w:iCs/>
          <w:noProof/>
          <w:sz w:val="24"/>
          <w:szCs w:val="24"/>
          <w:lang w:val="en-US"/>
        </w:rPr>
      </w:pPr>
      <w:r w:rsidRPr="00AC03AF">
        <w:rPr>
          <w:i/>
          <w:iCs/>
          <w:noProof/>
          <w:sz w:val="24"/>
          <w:szCs w:val="24"/>
          <w:lang w:val="en-US"/>
        </w:rPr>
        <w:t>Renal impairment</w:t>
      </w:r>
    </w:p>
    <w:p w14:paraId="317EA3CE" w14:textId="77777777" w:rsidR="00442D34" w:rsidRPr="00AC03AF" w:rsidRDefault="00442D34" w:rsidP="00A6235F">
      <w:pPr>
        <w:ind w:left="851"/>
        <w:rPr>
          <w:iCs/>
          <w:noProof/>
          <w:sz w:val="24"/>
          <w:szCs w:val="24"/>
          <w:lang w:val="en-US"/>
        </w:rPr>
      </w:pPr>
      <w:r w:rsidRPr="00AC03AF">
        <w:rPr>
          <w:iCs/>
          <w:noProof/>
          <w:sz w:val="24"/>
          <w:szCs w:val="24"/>
          <w:lang w:val="en-US"/>
        </w:rPr>
        <w:t>The pharmacokinetics of dalbavancin were evaluated in 28 adult subjects with varying degrees of renal impairment and in 15 matched control subjects with normal renal function. Following a single dose of 500 mg or 1 000 mg dalbavancin, the mean plasma clearance (CLT) was reduced 11%, 35%, and 47% in subjects with mild (CL</w:t>
      </w:r>
      <w:r w:rsidRPr="00AC03AF">
        <w:rPr>
          <w:iCs/>
          <w:noProof/>
          <w:sz w:val="24"/>
          <w:szCs w:val="24"/>
          <w:vertAlign w:val="subscript"/>
          <w:lang w:val="en-US"/>
        </w:rPr>
        <w:t>CR</w:t>
      </w:r>
      <w:r w:rsidRPr="00AC03AF">
        <w:rPr>
          <w:iCs/>
          <w:noProof/>
          <w:sz w:val="24"/>
          <w:szCs w:val="24"/>
          <w:lang w:val="en-US"/>
        </w:rPr>
        <w:t xml:space="preserve"> 50</w:t>
      </w:r>
      <w:r w:rsidRPr="00AC03AF">
        <w:rPr>
          <w:iCs/>
          <w:noProof/>
          <w:sz w:val="24"/>
          <w:szCs w:val="24"/>
          <w:lang w:val="en-US"/>
        </w:rPr>
        <w:noBreakHyphen/>
        <w:t>79 ml/min), moderate (CL</w:t>
      </w:r>
      <w:r w:rsidRPr="00AC03AF">
        <w:rPr>
          <w:iCs/>
          <w:noProof/>
          <w:sz w:val="24"/>
          <w:szCs w:val="24"/>
          <w:vertAlign w:val="subscript"/>
          <w:lang w:val="en-US"/>
        </w:rPr>
        <w:t>CR</w:t>
      </w:r>
      <w:r w:rsidRPr="00AC03AF">
        <w:rPr>
          <w:iCs/>
          <w:noProof/>
          <w:sz w:val="24"/>
          <w:szCs w:val="24"/>
          <w:lang w:val="en-US"/>
        </w:rPr>
        <w:t xml:space="preserve"> 30–49 ml/min), and severe (CL</w:t>
      </w:r>
      <w:r w:rsidRPr="00AC03AF">
        <w:rPr>
          <w:iCs/>
          <w:noProof/>
          <w:sz w:val="24"/>
          <w:szCs w:val="24"/>
          <w:vertAlign w:val="subscript"/>
          <w:lang w:val="en-US"/>
        </w:rPr>
        <w:t>CR</w:t>
      </w:r>
      <w:r w:rsidRPr="00AC03AF">
        <w:rPr>
          <w:iCs/>
          <w:noProof/>
          <w:sz w:val="24"/>
          <w:szCs w:val="24"/>
          <w:lang w:val="en-US"/>
        </w:rPr>
        <w:t xml:space="preserve"> &lt;30 ml/min) renal impairment, respectively, compared to subjects with normal renal function. The mean AUC for subjects with creatinine clearance &lt;30 ml/min was approximately 2</w:t>
      </w:r>
      <w:r w:rsidRPr="00AC03AF">
        <w:rPr>
          <w:iCs/>
          <w:noProof/>
          <w:sz w:val="24"/>
          <w:szCs w:val="24"/>
          <w:lang w:val="en-US"/>
        </w:rPr>
        <w:noBreakHyphen/>
        <w:t>fold higher. The clinical significance of the decrease in mean plasma CLT, and the associated increase in AUC</w:t>
      </w:r>
      <w:r w:rsidRPr="00AC03AF">
        <w:rPr>
          <w:iCs/>
          <w:noProof/>
          <w:sz w:val="24"/>
          <w:szCs w:val="24"/>
          <w:vertAlign w:val="subscript"/>
          <w:lang w:val="en-US"/>
        </w:rPr>
        <w:t>0</w:t>
      </w:r>
      <w:r w:rsidRPr="00AC03AF">
        <w:rPr>
          <w:iCs/>
          <w:noProof/>
          <w:sz w:val="24"/>
          <w:szCs w:val="24"/>
          <w:vertAlign w:val="subscript"/>
          <w:lang w:val="en-US"/>
        </w:rPr>
        <w:noBreakHyphen/>
        <w:t>∞</w:t>
      </w:r>
      <w:r w:rsidRPr="00AC03AF">
        <w:rPr>
          <w:iCs/>
          <w:noProof/>
          <w:sz w:val="24"/>
          <w:szCs w:val="24"/>
          <w:lang w:val="en-US"/>
        </w:rPr>
        <w:t xml:space="preserve"> noted in these pharmacokinetic studies of dalbavancin in subjects with severe renal impairment has not been established. Dalbavancin pharmacokinetics in subjects with end-stage renal disease receiving regularly scheduled renal dialysis (3 times/week) were similar to those observed in subjects with mild to moderate renal impairment, and less than 6% of an administered dose is removed after 3 hours of haemodialysis. For dosing instructions in adult subjects with renal impairment refer to section 4.2.</w:t>
      </w:r>
    </w:p>
    <w:p w14:paraId="625ED765" w14:textId="77777777" w:rsidR="00442D34" w:rsidRPr="00AC03AF" w:rsidRDefault="00442D34" w:rsidP="00A6235F">
      <w:pPr>
        <w:ind w:left="851"/>
        <w:rPr>
          <w:iCs/>
          <w:noProof/>
          <w:sz w:val="24"/>
          <w:szCs w:val="24"/>
          <w:lang w:val="en-US"/>
        </w:rPr>
      </w:pPr>
    </w:p>
    <w:p w14:paraId="6B7A3B6B" w14:textId="77777777" w:rsidR="00442D34" w:rsidRPr="00AC03AF" w:rsidRDefault="00442D34" w:rsidP="00A6235F">
      <w:pPr>
        <w:ind w:left="851"/>
        <w:rPr>
          <w:iCs/>
          <w:noProof/>
          <w:sz w:val="24"/>
          <w:szCs w:val="24"/>
          <w:lang w:val="en-US"/>
        </w:rPr>
      </w:pPr>
      <w:r w:rsidRPr="00AC03AF">
        <w:rPr>
          <w:iCs/>
          <w:noProof/>
          <w:sz w:val="24"/>
          <w:szCs w:val="24"/>
          <w:lang w:val="en-US"/>
        </w:rPr>
        <w:t>No observed PK data are available in paediatric patients with severe renal impairment. The predicted dalbavancin mean AUC for paediatric subjects with severe renal impairment (CL</w:t>
      </w:r>
      <w:r w:rsidRPr="00AC03AF">
        <w:rPr>
          <w:iCs/>
          <w:noProof/>
          <w:sz w:val="24"/>
          <w:szCs w:val="24"/>
          <w:vertAlign w:val="subscript"/>
          <w:lang w:val="en-US"/>
        </w:rPr>
        <w:t>CR</w:t>
      </w:r>
      <w:r w:rsidRPr="00AC03AF">
        <w:rPr>
          <w:iCs/>
          <w:noProof/>
          <w:sz w:val="24"/>
          <w:szCs w:val="24"/>
          <w:lang w:val="en-US"/>
        </w:rPr>
        <w:t> ≤30 ml/min/1.73 m</w:t>
      </w:r>
      <w:r w:rsidRPr="00AC03AF">
        <w:rPr>
          <w:iCs/>
          <w:noProof/>
          <w:sz w:val="24"/>
          <w:szCs w:val="24"/>
          <w:vertAlign w:val="superscript"/>
          <w:lang w:val="en-US"/>
        </w:rPr>
        <w:t>2</w:t>
      </w:r>
      <w:r w:rsidRPr="00AC03AF">
        <w:rPr>
          <w:iCs/>
          <w:noProof/>
          <w:sz w:val="24"/>
          <w:szCs w:val="24"/>
          <w:lang w:val="en-US"/>
        </w:rPr>
        <w:t>) was approximately 13</w:t>
      </w:r>
      <w:r w:rsidRPr="00AC03AF">
        <w:rPr>
          <w:iCs/>
          <w:noProof/>
          <w:sz w:val="24"/>
          <w:szCs w:val="24"/>
          <w:lang w:val="en-US"/>
        </w:rPr>
        <w:noBreakHyphen/>
        <w:t>30% higher compared to paediatric patients with normal renal function treated with the same dose, based on population pharmacokinetic modelling.</w:t>
      </w:r>
    </w:p>
    <w:p w14:paraId="4B467021" w14:textId="77777777" w:rsidR="00442D34" w:rsidRPr="00AC03AF" w:rsidRDefault="00442D34" w:rsidP="00A6235F">
      <w:pPr>
        <w:ind w:left="851"/>
        <w:rPr>
          <w:iCs/>
          <w:noProof/>
          <w:sz w:val="24"/>
          <w:szCs w:val="24"/>
          <w:lang w:val="en-US"/>
        </w:rPr>
      </w:pPr>
    </w:p>
    <w:p w14:paraId="6848905B" w14:textId="77777777" w:rsidR="00442D34" w:rsidRPr="00AC03AF" w:rsidRDefault="00442D34" w:rsidP="00A6235F">
      <w:pPr>
        <w:ind w:left="851"/>
        <w:rPr>
          <w:i/>
          <w:iCs/>
          <w:noProof/>
          <w:sz w:val="24"/>
          <w:szCs w:val="24"/>
          <w:lang w:val="en-US"/>
        </w:rPr>
      </w:pPr>
      <w:r w:rsidRPr="00AC03AF">
        <w:rPr>
          <w:i/>
          <w:iCs/>
          <w:noProof/>
          <w:sz w:val="24"/>
          <w:szCs w:val="24"/>
          <w:lang w:val="en-US"/>
        </w:rPr>
        <w:t>Hepatic impairment</w:t>
      </w:r>
    </w:p>
    <w:p w14:paraId="42D6E241" w14:textId="77777777" w:rsidR="00442D34" w:rsidRPr="00AC03AF" w:rsidRDefault="00442D34" w:rsidP="00A6235F">
      <w:pPr>
        <w:ind w:left="851"/>
        <w:rPr>
          <w:iCs/>
          <w:noProof/>
          <w:sz w:val="24"/>
          <w:szCs w:val="24"/>
          <w:lang w:val="en-US"/>
        </w:rPr>
      </w:pPr>
      <w:r w:rsidRPr="00AC03AF">
        <w:rPr>
          <w:iCs/>
          <w:noProof/>
          <w:sz w:val="24"/>
          <w:szCs w:val="24"/>
          <w:lang w:val="en-US"/>
        </w:rPr>
        <w:t>The pharmacokinetics of dalbavancin were evaluated in 17 subjects with mild, moderate, or severe hepatic impairment and compared to 9 matched healthy subjects with normal hepatic function. The mean AUC was unchanged in subjects with mild hepatic impairment compared to subjects with normal hepatic function; however, the mean AUC decreased by 28% and 31%, respectively, in subjects with moderate and severe hepatic impairment. The cause and the clinical significance of the decreased exposure in subjects with moderate and severe hepatic function are unknown. For dosing instructions in subjects with hepatic impairment refer to section 4.2.</w:t>
      </w:r>
    </w:p>
    <w:p w14:paraId="48B2A05E" w14:textId="77777777" w:rsidR="00442D34" w:rsidRPr="00AC03AF" w:rsidRDefault="00442D34" w:rsidP="00A6235F">
      <w:pPr>
        <w:ind w:left="851"/>
        <w:rPr>
          <w:iCs/>
          <w:noProof/>
          <w:sz w:val="24"/>
          <w:szCs w:val="24"/>
          <w:lang w:val="en-US"/>
        </w:rPr>
      </w:pPr>
    </w:p>
    <w:p w14:paraId="07BF1E4D" w14:textId="77777777" w:rsidR="00442D34" w:rsidRPr="00AC03AF" w:rsidRDefault="00442D34" w:rsidP="00A6235F">
      <w:pPr>
        <w:ind w:left="851"/>
        <w:rPr>
          <w:i/>
          <w:iCs/>
          <w:noProof/>
          <w:sz w:val="24"/>
          <w:szCs w:val="24"/>
          <w:lang w:val="en-US"/>
        </w:rPr>
      </w:pPr>
      <w:r w:rsidRPr="00AC03AF">
        <w:rPr>
          <w:i/>
          <w:iCs/>
          <w:noProof/>
          <w:sz w:val="24"/>
          <w:szCs w:val="24"/>
          <w:lang w:val="en-US"/>
        </w:rPr>
        <w:t>Gender</w:t>
      </w:r>
    </w:p>
    <w:p w14:paraId="49FA35E1" w14:textId="77777777" w:rsidR="00442D34" w:rsidRPr="00AC03AF" w:rsidRDefault="00442D34" w:rsidP="00A6235F">
      <w:pPr>
        <w:ind w:left="851"/>
        <w:rPr>
          <w:iCs/>
          <w:noProof/>
          <w:sz w:val="24"/>
          <w:szCs w:val="24"/>
          <w:lang w:val="en-US"/>
        </w:rPr>
      </w:pPr>
      <w:r w:rsidRPr="00AC03AF">
        <w:rPr>
          <w:iCs/>
          <w:noProof/>
          <w:sz w:val="24"/>
          <w:szCs w:val="24"/>
          <w:lang w:val="en-US"/>
        </w:rPr>
        <w:t>Clinically significant gender-related differences in dalbavancin pharmacokinetics have not been observed in healthy subjects or in patients with infections. No dose adjustment is recommended based on gender.</w:t>
      </w:r>
    </w:p>
    <w:p w14:paraId="1EF1E4A3" w14:textId="77777777" w:rsidR="00442D34" w:rsidRPr="00AC03AF" w:rsidRDefault="00442D34" w:rsidP="00A6235F">
      <w:pPr>
        <w:ind w:left="851"/>
        <w:rPr>
          <w:iCs/>
          <w:noProof/>
          <w:sz w:val="24"/>
          <w:szCs w:val="24"/>
          <w:lang w:val="en-US"/>
        </w:rPr>
      </w:pPr>
    </w:p>
    <w:p w14:paraId="40DD0A45" w14:textId="77777777" w:rsidR="00442D34" w:rsidRPr="00AC03AF" w:rsidRDefault="00442D34" w:rsidP="00A6235F">
      <w:pPr>
        <w:ind w:left="851"/>
        <w:rPr>
          <w:i/>
          <w:iCs/>
          <w:noProof/>
          <w:sz w:val="24"/>
          <w:szCs w:val="24"/>
          <w:lang w:val="en-US"/>
        </w:rPr>
      </w:pPr>
      <w:r w:rsidRPr="00AC03AF">
        <w:rPr>
          <w:i/>
          <w:iCs/>
          <w:noProof/>
          <w:sz w:val="24"/>
          <w:szCs w:val="24"/>
          <w:lang w:val="en-US"/>
        </w:rPr>
        <w:t>Elderly</w:t>
      </w:r>
    </w:p>
    <w:p w14:paraId="7ADFD6B9" w14:textId="77777777" w:rsidR="00442D34" w:rsidRPr="00AC03AF" w:rsidRDefault="00442D34" w:rsidP="00A6235F">
      <w:pPr>
        <w:ind w:left="851"/>
        <w:rPr>
          <w:iCs/>
          <w:noProof/>
          <w:sz w:val="24"/>
          <w:szCs w:val="24"/>
          <w:lang w:val="en-US"/>
        </w:rPr>
      </w:pPr>
      <w:r w:rsidRPr="00AC03AF">
        <w:rPr>
          <w:iCs/>
          <w:noProof/>
          <w:sz w:val="24"/>
          <w:szCs w:val="24"/>
          <w:lang w:val="en-US"/>
        </w:rPr>
        <w:t>The pharmacokinetics of dalbavancin were not significantly altered with age; therefore, dose adjustment is not necessary based on age (see section 4.2). The experience with dalbavancin in elderly is limited: 276 patients ≥75 years of age were included in the Phase 2/3 clinical studies, of which 173 received dalbavancin. Patients up to 93 years of age have been included in clinical studies.</w:t>
      </w:r>
    </w:p>
    <w:p w14:paraId="783D795B" w14:textId="77777777" w:rsidR="00442D34" w:rsidRPr="00AC03AF" w:rsidRDefault="00442D34" w:rsidP="00A6235F">
      <w:pPr>
        <w:ind w:left="851"/>
        <w:rPr>
          <w:iCs/>
          <w:noProof/>
          <w:sz w:val="24"/>
          <w:szCs w:val="24"/>
          <w:lang w:val="en-US"/>
        </w:rPr>
      </w:pPr>
    </w:p>
    <w:p w14:paraId="69658587" w14:textId="77777777" w:rsidR="00442D34" w:rsidRPr="00867A3F" w:rsidRDefault="00442D34" w:rsidP="00A6235F">
      <w:pPr>
        <w:ind w:left="851"/>
        <w:rPr>
          <w:i/>
          <w:iCs/>
          <w:noProof/>
          <w:sz w:val="24"/>
          <w:szCs w:val="24"/>
          <w:lang w:val="en-US"/>
        </w:rPr>
      </w:pPr>
      <w:r w:rsidRPr="00867A3F">
        <w:rPr>
          <w:i/>
          <w:iCs/>
          <w:noProof/>
          <w:sz w:val="24"/>
          <w:szCs w:val="24"/>
          <w:lang w:val="en-US"/>
        </w:rPr>
        <w:t>Paediatric population</w:t>
      </w:r>
    </w:p>
    <w:p w14:paraId="76C0746A" w14:textId="77777777" w:rsidR="00442D34" w:rsidRPr="00AC03AF" w:rsidRDefault="00442D34" w:rsidP="00A6235F">
      <w:pPr>
        <w:ind w:left="851"/>
        <w:rPr>
          <w:iCs/>
          <w:noProof/>
          <w:sz w:val="24"/>
          <w:szCs w:val="24"/>
          <w:lang w:val="en-US"/>
        </w:rPr>
      </w:pPr>
      <w:r w:rsidRPr="00AC03AF">
        <w:rPr>
          <w:iCs/>
          <w:noProof/>
          <w:sz w:val="24"/>
          <w:szCs w:val="24"/>
          <w:lang w:val="en-US"/>
        </w:rPr>
        <w:t>The pharmacokinetics of dalbavancin has been evaluated in 218 individual paediatric patients [4 days to 17 years of age, including a preterm neonate (gestational age 36 weeks; n=1) and term neonates (gestational age 37 to 40 weeks; n=6)] with creatinine clearance 30 ml/min/1.73 m</w:t>
      </w:r>
      <w:r w:rsidRPr="00AC03AF">
        <w:rPr>
          <w:iCs/>
          <w:noProof/>
          <w:sz w:val="24"/>
          <w:szCs w:val="24"/>
          <w:vertAlign w:val="superscript"/>
          <w:lang w:val="en-US"/>
        </w:rPr>
        <w:t>2</w:t>
      </w:r>
      <w:r w:rsidRPr="00AC03AF">
        <w:rPr>
          <w:iCs/>
          <w:noProof/>
          <w:sz w:val="24"/>
          <w:szCs w:val="24"/>
          <w:lang w:val="en-US"/>
        </w:rPr>
        <w:t xml:space="preserve"> and above. There is insufficient information to assess the exposure of dalbavancin in the paediatric patients with creatinine clearance less than 30 ml/min/1.73 m</w:t>
      </w:r>
      <w:r w:rsidRPr="00AC03AF">
        <w:rPr>
          <w:iCs/>
          <w:noProof/>
          <w:sz w:val="24"/>
          <w:szCs w:val="24"/>
          <w:vertAlign w:val="superscript"/>
          <w:lang w:val="en-US"/>
        </w:rPr>
        <w:t>2</w:t>
      </w:r>
      <w:r w:rsidRPr="00AC03AF">
        <w:rPr>
          <w:iCs/>
          <w:noProof/>
          <w:sz w:val="24"/>
          <w:szCs w:val="24"/>
          <w:lang w:val="en-US"/>
        </w:rPr>
        <w:t>. The model predicted plasma AUC</w:t>
      </w:r>
      <w:r w:rsidRPr="00AC03AF">
        <w:rPr>
          <w:iCs/>
          <w:noProof/>
          <w:sz w:val="24"/>
          <w:szCs w:val="24"/>
          <w:vertAlign w:val="subscript"/>
          <w:lang w:val="en-US"/>
        </w:rPr>
        <w:t>0</w:t>
      </w:r>
      <w:r w:rsidRPr="00AC03AF">
        <w:rPr>
          <w:iCs/>
          <w:noProof/>
          <w:sz w:val="24"/>
          <w:szCs w:val="24"/>
          <w:vertAlign w:val="subscript"/>
          <w:lang w:val="en-US"/>
        </w:rPr>
        <w:noBreakHyphen/>
        <w:t>120h</w:t>
      </w:r>
      <w:r w:rsidRPr="00AC03AF">
        <w:rPr>
          <w:iCs/>
          <w:noProof/>
          <w:sz w:val="24"/>
          <w:szCs w:val="24"/>
          <w:lang w:val="en-US"/>
        </w:rPr>
        <w:t xml:space="preserve"> of dalbavancin in preterm neonates at birth (gestational age 26 weeks to &lt;37 weeks) was approximately 60% of that in adult patients.</w:t>
      </w:r>
    </w:p>
    <w:p w14:paraId="503F07AF" w14:textId="77777777" w:rsidR="00442D34" w:rsidRPr="00AC03AF" w:rsidRDefault="00442D34" w:rsidP="00A6235F">
      <w:pPr>
        <w:ind w:left="851"/>
        <w:rPr>
          <w:iCs/>
          <w:noProof/>
          <w:sz w:val="24"/>
          <w:szCs w:val="24"/>
          <w:lang w:val="en-US"/>
        </w:rPr>
      </w:pPr>
    </w:p>
    <w:p w14:paraId="1D16A41C" w14:textId="77777777" w:rsidR="00442D34" w:rsidRPr="00AC03AF" w:rsidRDefault="00442D34" w:rsidP="00442D34">
      <w:pPr>
        <w:keepNext/>
        <w:numPr>
          <w:ilvl w:val="12"/>
          <w:numId w:val="0"/>
        </w:numPr>
        <w:suppressAutoHyphens/>
        <w:ind w:left="1134" w:hanging="1134"/>
        <w:rPr>
          <w:b/>
          <w:iCs/>
          <w:noProof/>
          <w:sz w:val="24"/>
          <w:szCs w:val="24"/>
          <w:vertAlign w:val="superscript"/>
          <w:lang w:val="en-US"/>
        </w:rPr>
      </w:pPr>
      <w:r w:rsidRPr="00AC03AF">
        <w:rPr>
          <w:b/>
          <w:iCs/>
          <w:noProof/>
          <w:sz w:val="24"/>
          <w:szCs w:val="24"/>
          <w:lang w:val="en-US"/>
        </w:rPr>
        <w:t>Table 3:</w:t>
      </w:r>
      <w:r w:rsidRPr="00AC03AF">
        <w:rPr>
          <w:b/>
          <w:iCs/>
          <w:noProof/>
          <w:sz w:val="24"/>
          <w:szCs w:val="24"/>
          <w:lang w:val="en-US"/>
        </w:rPr>
        <w:tab/>
        <w:t>Simulated Mean (SD) dalbavancin pharmacokinetic parameters for paediatrics and adults using population PK analysis</w:t>
      </w:r>
      <w:r w:rsidRPr="00AC03AF">
        <w:rPr>
          <w:b/>
          <w:iCs/>
          <w:noProof/>
          <w:sz w:val="24"/>
          <w:szCs w:val="24"/>
          <w:vertAlign w:val="superscript"/>
          <w:lang w:val="en-US"/>
        </w:rPr>
        <w:t>1</w:t>
      </w:r>
    </w:p>
    <w:p w14:paraId="08A2905B" w14:textId="77777777" w:rsidR="00442D34" w:rsidRPr="00AC03AF" w:rsidRDefault="00442D34" w:rsidP="00442D34">
      <w:pPr>
        <w:keepNext/>
        <w:numPr>
          <w:ilvl w:val="12"/>
          <w:numId w:val="0"/>
        </w:numPr>
        <w:suppressAutoHyphens/>
        <w:ind w:left="1134" w:hanging="1134"/>
        <w:rPr>
          <w:iCs/>
          <w:noProof/>
          <w:sz w:val="24"/>
          <w:szCs w:val="24"/>
          <w:lang w:val="en-US"/>
        </w:rPr>
      </w:pPr>
    </w:p>
    <w:tbl>
      <w:tblPr>
        <w:tblStyle w:val="Tabel-Gitter"/>
        <w:tblW w:w="5000" w:type="pct"/>
        <w:tblInd w:w="0" w:type="dxa"/>
        <w:tblLook w:val="04A0" w:firstRow="1" w:lastRow="0" w:firstColumn="1" w:lastColumn="0" w:noHBand="0" w:noVBand="1"/>
      </w:tblPr>
      <w:tblGrid>
        <w:gridCol w:w="1320"/>
        <w:gridCol w:w="1078"/>
        <w:gridCol w:w="1065"/>
        <w:gridCol w:w="969"/>
        <w:gridCol w:w="949"/>
        <w:gridCol w:w="1051"/>
        <w:gridCol w:w="924"/>
        <w:gridCol w:w="1346"/>
        <w:gridCol w:w="926"/>
      </w:tblGrid>
      <w:tr w:rsidR="00442D34" w:rsidRPr="00AC03AF" w14:paraId="08124D24" w14:textId="77777777" w:rsidTr="00A6235F">
        <w:trPr>
          <w:tblHeader/>
        </w:trPr>
        <w:tc>
          <w:tcPr>
            <w:tcW w:w="685" w:type="pct"/>
            <w:tcBorders>
              <w:top w:val="single" w:sz="4" w:space="0" w:color="auto"/>
              <w:left w:val="single" w:sz="4" w:space="0" w:color="auto"/>
              <w:bottom w:val="single" w:sz="4" w:space="0" w:color="auto"/>
              <w:right w:val="single" w:sz="4" w:space="0" w:color="auto"/>
            </w:tcBorders>
            <w:vAlign w:val="center"/>
            <w:hideMark/>
          </w:tcPr>
          <w:p w14:paraId="5F889FCA"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Parameter</w:t>
            </w:r>
          </w:p>
        </w:tc>
        <w:tc>
          <w:tcPr>
            <w:tcW w:w="560" w:type="pct"/>
            <w:tcBorders>
              <w:top w:val="single" w:sz="4" w:space="0" w:color="auto"/>
              <w:left w:val="single" w:sz="4" w:space="0" w:color="auto"/>
              <w:bottom w:val="single" w:sz="4" w:space="0" w:color="auto"/>
              <w:right w:val="single" w:sz="4" w:space="0" w:color="auto"/>
            </w:tcBorders>
            <w:vAlign w:val="center"/>
            <w:hideMark/>
          </w:tcPr>
          <w:p w14:paraId="1766F315"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Preterm</w:t>
            </w:r>
          </w:p>
          <w:p w14:paraId="63883947"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Neonate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7C0A5206"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Term</w:t>
            </w:r>
          </w:p>
          <w:p w14:paraId="32F9AC56"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Neonate</w:t>
            </w:r>
          </w:p>
        </w:tc>
        <w:tc>
          <w:tcPr>
            <w:tcW w:w="503" w:type="pct"/>
            <w:tcBorders>
              <w:top w:val="single" w:sz="4" w:space="0" w:color="auto"/>
              <w:left w:val="single" w:sz="4" w:space="0" w:color="auto"/>
              <w:bottom w:val="single" w:sz="4" w:space="0" w:color="auto"/>
              <w:right w:val="single" w:sz="4" w:space="0" w:color="auto"/>
            </w:tcBorders>
            <w:vAlign w:val="center"/>
            <w:hideMark/>
          </w:tcPr>
          <w:p w14:paraId="2F553855"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Young</w:t>
            </w:r>
          </w:p>
          <w:p w14:paraId="735EED97"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Infant</w:t>
            </w:r>
          </w:p>
        </w:tc>
        <w:tc>
          <w:tcPr>
            <w:tcW w:w="493" w:type="pct"/>
            <w:tcBorders>
              <w:top w:val="single" w:sz="4" w:space="0" w:color="auto"/>
              <w:left w:val="single" w:sz="4" w:space="0" w:color="auto"/>
              <w:bottom w:val="single" w:sz="4" w:space="0" w:color="auto"/>
              <w:right w:val="single" w:sz="4" w:space="0" w:color="auto"/>
            </w:tcBorders>
            <w:vAlign w:val="center"/>
            <w:hideMark/>
          </w:tcPr>
          <w:p w14:paraId="1BCDBC75"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Infant</w:t>
            </w:r>
          </w:p>
        </w:tc>
        <w:tc>
          <w:tcPr>
            <w:tcW w:w="546" w:type="pct"/>
            <w:tcBorders>
              <w:top w:val="single" w:sz="4" w:space="0" w:color="auto"/>
              <w:left w:val="single" w:sz="4" w:space="0" w:color="auto"/>
              <w:bottom w:val="single" w:sz="4" w:space="0" w:color="auto"/>
              <w:right w:val="single" w:sz="4" w:space="0" w:color="auto"/>
            </w:tcBorders>
            <w:vAlign w:val="center"/>
            <w:hideMark/>
          </w:tcPr>
          <w:p w14:paraId="3EC39F0F"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Toddler</w:t>
            </w:r>
          </w:p>
        </w:tc>
        <w:tc>
          <w:tcPr>
            <w:tcW w:w="480" w:type="pct"/>
            <w:tcBorders>
              <w:top w:val="single" w:sz="4" w:space="0" w:color="auto"/>
              <w:left w:val="single" w:sz="4" w:space="0" w:color="auto"/>
              <w:bottom w:val="single" w:sz="4" w:space="0" w:color="auto"/>
              <w:right w:val="single" w:sz="4" w:space="0" w:color="auto"/>
            </w:tcBorders>
            <w:vAlign w:val="center"/>
            <w:hideMark/>
          </w:tcPr>
          <w:p w14:paraId="71B9D205"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Child</w:t>
            </w:r>
          </w:p>
        </w:tc>
        <w:tc>
          <w:tcPr>
            <w:tcW w:w="699" w:type="pct"/>
            <w:tcBorders>
              <w:top w:val="single" w:sz="4" w:space="0" w:color="auto"/>
              <w:left w:val="single" w:sz="4" w:space="0" w:color="auto"/>
              <w:bottom w:val="single" w:sz="4" w:space="0" w:color="auto"/>
              <w:right w:val="single" w:sz="4" w:space="0" w:color="auto"/>
            </w:tcBorders>
            <w:vAlign w:val="center"/>
            <w:hideMark/>
          </w:tcPr>
          <w:p w14:paraId="00BB0647"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Adolescent</w:t>
            </w:r>
          </w:p>
        </w:tc>
        <w:tc>
          <w:tcPr>
            <w:tcW w:w="481" w:type="pct"/>
            <w:tcBorders>
              <w:top w:val="single" w:sz="4" w:space="0" w:color="auto"/>
              <w:left w:val="single" w:sz="4" w:space="0" w:color="auto"/>
              <w:bottom w:val="single" w:sz="4" w:space="0" w:color="auto"/>
              <w:right w:val="single" w:sz="4" w:space="0" w:color="auto"/>
            </w:tcBorders>
            <w:vAlign w:val="center"/>
            <w:hideMark/>
          </w:tcPr>
          <w:p w14:paraId="21EC7A08" w14:textId="77777777" w:rsidR="00442D34" w:rsidRPr="00AC03AF" w:rsidRDefault="00442D34">
            <w:pPr>
              <w:numPr>
                <w:ilvl w:val="12"/>
                <w:numId w:val="0"/>
              </w:numPr>
              <w:suppressAutoHyphens/>
              <w:ind w:right="-2"/>
              <w:jc w:val="center"/>
              <w:rPr>
                <w:b/>
                <w:iCs/>
                <w:noProof/>
                <w:sz w:val="24"/>
                <w:szCs w:val="24"/>
              </w:rPr>
            </w:pPr>
            <w:r w:rsidRPr="00AC03AF">
              <w:rPr>
                <w:b/>
                <w:iCs/>
                <w:noProof/>
                <w:sz w:val="24"/>
                <w:szCs w:val="24"/>
              </w:rPr>
              <w:t>Adult</w:t>
            </w:r>
          </w:p>
        </w:tc>
      </w:tr>
      <w:tr w:rsidR="00442D34" w:rsidRPr="00AC03AF" w14:paraId="03B3C777" w14:textId="77777777" w:rsidTr="00A6235F">
        <w:trPr>
          <w:trHeight w:val="1040"/>
        </w:trPr>
        <w:tc>
          <w:tcPr>
            <w:tcW w:w="685" w:type="pct"/>
            <w:tcBorders>
              <w:top w:val="single" w:sz="4" w:space="0" w:color="auto"/>
              <w:left w:val="single" w:sz="4" w:space="0" w:color="auto"/>
              <w:bottom w:val="single" w:sz="4" w:space="0" w:color="auto"/>
              <w:right w:val="single" w:sz="4" w:space="0" w:color="auto"/>
            </w:tcBorders>
            <w:hideMark/>
          </w:tcPr>
          <w:p w14:paraId="412620F4"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Age range</w:t>
            </w:r>
          </w:p>
        </w:tc>
        <w:tc>
          <w:tcPr>
            <w:tcW w:w="560" w:type="pct"/>
            <w:tcBorders>
              <w:top w:val="single" w:sz="4" w:space="0" w:color="auto"/>
              <w:left w:val="single" w:sz="4" w:space="0" w:color="auto"/>
              <w:bottom w:val="single" w:sz="4" w:space="0" w:color="auto"/>
              <w:right w:val="single" w:sz="4" w:space="0" w:color="auto"/>
            </w:tcBorders>
            <w:hideMark/>
          </w:tcPr>
          <w:p w14:paraId="6ECAFBA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GA 26-- &lt;37 weeks</w:t>
            </w:r>
          </w:p>
        </w:tc>
        <w:tc>
          <w:tcPr>
            <w:tcW w:w="553" w:type="pct"/>
            <w:tcBorders>
              <w:top w:val="single" w:sz="4" w:space="0" w:color="auto"/>
              <w:left w:val="single" w:sz="4" w:space="0" w:color="auto"/>
              <w:bottom w:val="single" w:sz="4" w:space="0" w:color="auto"/>
              <w:right w:val="single" w:sz="4" w:space="0" w:color="auto"/>
            </w:tcBorders>
            <w:hideMark/>
          </w:tcPr>
          <w:p w14:paraId="7C262BDB"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Birth -1 month</w:t>
            </w:r>
          </w:p>
        </w:tc>
        <w:tc>
          <w:tcPr>
            <w:tcW w:w="503" w:type="pct"/>
            <w:tcBorders>
              <w:top w:val="single" w:sz="4" w:space="0" w:color="auto"/>
              <w:left w:val="single" w:sz="4" w:space="0" w:color="auto"/>
              <w:bottom w:val="single" w:sz="4" w:space="0" w:color="auto"/>
              <w:right w:val="single" w:sz="4" w:space="0" w:color="auto"/>
            </w:tcBorders>
            <w:hideMark/>
          </w:tcPr>
          <w:p w14:paraId="5F6D7541"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1 month - &lt;3 months</w:t>
            </w:r>
          </w:p>
        </w:tc>
        <w:tc>
          <w:tcPr>
            <w:tcW w:w="493" w:type="pct"/>
            <w:tcBorders>
              <w:top w:val="single" w:sz="4" w:space="0" w:color="auto"/>
              <w:left w:val="single" w:sz="4" w:space="0" w:color="auto"/>
              <w:bottom w:val="single" w:sz="4" w:space="0" w:color="auto"/>
              <w:right w:val="single" w:sz="4" w:space="0" w:color="auto"/>
            </w:tcBorders>
            <w:hideMark/>
          </w:tcPr>
          <w:p w14:paraId="053832D5"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 months - &lt;2 years</w:t>
            </w:r>
          </w:p>
        </w:tc>
        <w:tc>
          <w:tcPr>
            <w:tcW w:w="546" w:type="pct"/>
            <w:tcBorders>
              <w:top w:val="single" w:sz="4" w:space="0" w:color="auto"/>
              <w:left w:val="single" w:sz="4" w:space="0" w:color="auto"/>
              <w:bottom w:val="single" w:sz="4" w:space="0" w:color="auto"/>
              <w:right w:val="single" w:sz="4" w:space="0" w:color="auto"/>
            </w:tcBorders>
            <w:hideMark/>
          </w:tcPr>
          <w:p w14:paraId="5802BE4A"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 years - &lt;6 years</w:t>
            </w:r>
          </w:p>
        </w:tc>
        <w:tc>
          <w:tcPr>
            <w:tcW w:w="480" w:type="pct"/>
            <w:tcBorders>
              <w:top w:val="single" w:sz="4" w:space="0" w:color="auto"/>
              <w:left w:val="single" w:sz="4" w:space="0" w:color="auto"/>
              <w:bottom w:val="single" w:sz="4" w:space="0" w:color="auto"/>
              <w:right w:val="single" w:sz="4" w:space="0" w:color="auto"/>
            </w:tcBorders>
            <w:hideMark/>
          </w:tcPr>
          <w:p w14:paraId="7C4AFD76"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6 years - &lt;12 years</w:t>
            </w:r>
          </w:p>
        </w:tc>
        <w:tc>
          <w:tcPr>
            <w:tcW w:w="699" w:type="pct"/>
            <w:tcBorders>
              <w:top w:val="single" w:sz="4" w:space="0" w:color="auto"/>
              <w:left w:val="single" w:sz="4" w:space="0" w:color="auto"/>
              <w:bottom w:val="single" w:sz="4" w:space="0" w:color="auto"/>
              <w:right w:val="single" w:sz="4" w:space="0" w:color="auto"/>
            </w:tcBorders>
            <w:hideMark/>
          </w:tcPr>
          <w:p w14:paraId="63EA9D3D"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12 years - &lt; 18 years</w:t>
            </w:r>
          </w:p>
        </w:tc>
        <w:tc>
          <w:tcPr>
            <w:tcW w:w="481" w:type="pct"/>
            <w:tcBorders>
              <w:top w:val="single" w:sz="4" w:space="0" w:color="auto"/>
              <w:left w:val="single" w:sz="4" w:space="0" w:color="auto"/>
              <w:bottom w:val="single" w:sz="4" w:space="0" w:color="auto"/>
              <w:right w:val="single" w:sz="4" w:space="0" w:color="auto"/>
            </w:tcBorders>
            <w:hideMark/>
          </w:tcPr>
          <w:p w14:paraId="3A9F134A"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&gt; = 18 years</w:t>
            </w:r>
          </w:p>
        </w:tc>
      </w:tr>
      <w:tr w:rsidR="00442D34" w:rsidRPr="00AC03AF" w14:paraId="317CEE62" w14:textId="77777777" w:rsidTr="00A6235F">
        <w:trPr>
          <w:trHeight w:val="701"/>
        </w:trPr>
        <w:tc>
          <w:tcPr>
            <w:tcW w:w="685" w:type="pct"/>
            <w:tcBorders>
              <w:top w:val="single" w:sz="4" w:space="0" w:color="auto"/>
              <w:left w:val="single" w:sz="4" w:space="0" w:color="auto"/>
              <w:bottom w:val="single" w:sz="4" w:space="0" w:color="auto"/>
              <w:right w:val="single" w:sz="4" w:space="0" w:color="auto"/>
            </w:tcBorders>
            <w:hideMark/>
          </w:tcPr>
          <w:p w14:paraId="22F7E1F2"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Dose</w:t>
            </w:r>
          </w:p>
        </w:tc>
        <w:tc>
          <w:tcPr>
            <w:tcW w:w="560" w:type="pct"/>
            <w:tcBorders>
              <w:top w:val="single" w:sz="4" w:space="0" w:color="auto"/>
              <w:left w:val="single" w:sz="4" w:space="0" w:color="auto"/>
              <w:bottom w:val="single" w:sz="4" w:space="0" w:color="auto"/>
              <w:right w:val="single" w:sz="4" w:space="0" w:color="auto"/>
            </w:tcBorders>
            <w:hideMark/>
          </w:tcPr>
          <w:p w14:paraId="1AA3BFDB"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22.5 mg/kg</w:t>
            </w:r>
          </w:p>
        </w:tc>
        <w:tc>
          <w:tcPr>
            <w:tcW w:w="553" w:type="pct"/>
            <w:tcBorders>
              <w:top w:val="single" w:sz="4" w:space="0" w:color="auto"/>
              <w:left w:val="single" w:sz="4" w:space="0" w:color="auto"/>
              <w:bottom w:val="single" w:sz="4" w:space="0" w:color="auto"/>
              <w:right w:val="single" w:sz="4" w:space="0" w:color="auto"/>
            </w:tcBorders>
            <w:hideMark/>
          </w:tcPr>
          <w:p w14:paraId="1703FE37"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22.5 mg/kg</w:t>
            </w:r>
          </w:p>
        </w:tc>
        <w:tc>
          <w:tcPr>
            <w:tcW w:w="503" w:type="pct"/>
            <w:tcBorders>
              <w:top w:val="single" w:sz="4" w:space="0" w:color="auto"/>
              <w:left w:val="single" w:sz="4" w:space="0" w:color="auto"/>
              <w:bottom w:val="single" w:sz="4" w:space="0" w:color="auto"/>
              <w:right w:val="single" w:sz="4" w:space="0" w:color="auto"/>
            </w:tcBorders>
            <w:hideMark/>
          </w:tcPr>
          <w:p w14:paraId="0F3C4CAA"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22.5 mg/kg</w:t>
            </w:r>
          </w:p>
        </w:tc>
        <w:tc>
          <w:tcPr>
            <w:tcW w:w="493" w:type="pct"/>
            <w:tcBorders>
              <w:top w:val="single" w:sz="4" w:space="0" w:color="auto"/>
              <w:left w:val="single" w:sz="4" w:space="0" w:color="auto"/>
              <w:bottom w:val="single" w:sz="4" w:space="0" w:color="auto"/>
              <w:right w:val="single" w:sz="4" w:space="0" w:color="auto"/>
            </w:tcBorders>
            <w:hideMark/>
          </w:tcPr>
          <w:p w14:paraId="1755D094"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22.5 mg/kg</w:t>
            </w:r>
          </w:p>
        </w:tc>
        <w:tc>
          <w:tcPr>
            <w:tcW w:w="546" w:type="pct"/>
            <w:tcBorders>
              <w:top w:val="single" w:sz="4" w:space="0" w:color="auto"/>
              <w:left w:val="single" w:sz="4" w:space="0" w:color="auto"/>
              <w:bottom w:val="single" w:sz="4" w:space="0" w:color="auto"/>
              <w:right w:val="single" w:sz="4" w:space="0" w:color="auto"/>
            </w:tcBorders>
            <w:hideMark/>
          </w:tcPr>
          <w:p w14:paraId="522F87CB"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22.5 mg/kg</w:t>
            </w:r>
          </w:p>
        </w:tc>
        <w:tc>
          <w:tcPr>
            <w:tcW w:w="480" w:type="pct"/>
            <w:tcBorders>
              <w:top w:val="single" w:sz="4" w:space="0" w:color="auto"/>
              <w:left w:val="single" w:sz="4" w:space="0" w:color="auto"/>
              <w:bottom w:val="single" w:sz="4" w:space="0" w:color="auto"/>
              <w:right w:val="single" w:sz="4" w:space="0" w:color="auto"/>
            </w:tcBorders>
            <w:hideMark/>
          </w:tcPr>
          <w:p w14:paraId="04796246"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18 mg/kg</w:t>
            </w:r>
          </w:p>
        </w:tc>
        <w:tc>
          <w:tcPr>
            <w:tcW w:w="699" w:type="pct"/>
            <w:tcBorders>
              <w:top w:val="single" w:sz="4" w:space="0" w:color="auto"/>
              <w:left w:val="single" w:sz="4" w:space="0" w:color="auto"/>
              <w:bottom w:val="single" w:sz="4" w:space="0" w:color="auto"/>
              <w:right w:val="single" w:sz="4" w:space="0" w:color="auto"/>
            </w:tcBorders>
            <w:hideMark/>
          </w:tcPr>
          <w:p w14:paraId="3FBBBDA5"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18 mg/kg</w:t>
            </w:r>
          </w:p>
        </w:tc>
        <w:tc>
          <w:tcPr>
            <w:tcW w:w="481" w:type="pct"/>
            <w:tcBorders>
              <w:top w:val="single" w:sz="4" w:space="0" w:color="auto"/>
              <w:left w:val="single" w:sz="4" w:space="0" w:color="auto"/>
              <w:bottom w:val="single" w:sz="4" w:space="0" w:color="auto"/>
              <w:right w:val="single" w:sz="4" w:space="0" w:color="auto"/>
            </w:tcBorders>
            <w:hideMark/>
          </w:tcPr>
          <w:p w14:paraId="20672ED9" w14:textId="77777777" w:rsidR="00442D34" w:rsidRPr="00AC03AF" w:rsidRDefault="00442D34">
            <w:pPr>
              <w:tabs>
                <w:tab w:val="left" w:pos="1304"/>
              </w:tabs>
              <w:autoSpaceDE w:val="0"/>
              <w:autoSpaceDN w:val="0"/>
              <w:adjustRightInd w:val="0"/>
              <w:jc w:val="center"/>
              <w:rPr>
                <w:iCs/>
                <w:noProof/>
                <w:sz w:val="24"/>
                <w:szCs w:val="24"/>
              </w:rPr>
            </w:pPr>
            <w:r w:rsidRPr="00AC03AF">
              <w:rPr>
                <w:sz w:val="24"/>
                <w:szCs w:val="24"/>
                <w:lang w:val="en-US"/>
              </w:rPr>
              <w:t>1500 mg</w:t>
            </w:r>
          </w:p>
        </w:tc>
      </w:tr>
      <w:tr w:rsidR="00442D34" w:rsidRPr="00AC03AF" w14:paraId="5E315F52" w14:textId="77777777" w:rsidTr="00A6235F">
        <w:trPr>
          <w:trHeight w:val="813"/>
        </w:trPr>
        <w:tc>
          <w:tcPr>
            <w:tcW w:w="685" w:type="pct"/>
            <w:tcBorders>
              <w:top w:val="single" w:sz="4" w:space="0" w:color="auto"/>
              <w:left w:val="single" w:sz="4" w:space="0" w:color="auto"/>
              <w:bottom w:val="nil"/>
              <w:right w:val="single" w:sz="4" w:space="0" w:color="auto"/>
            </w:tcBorders>
            <w:hideMark/>
          </w:tcPr>
          <w:p w14:paraId="20D1FE3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C</w:t>
            </w:r>
            <w:r w:rsidRPr="00AC03AF">
              <w:rPr>
                <w:iCs/>
                <w:noProof/>
                <w:sz w:val="24"/>
                <w:szCs w:val="24"/>
                <w:vertAlign w:val="subscript"/>
              </w:rPr>
              <w:t>max</w:t>
            </w:r>
            <w:r w:rsidRPr="00AC03AF">
              <w:rPr>
                <w:iCs/>
                <w:noProof/>
                <w:sz w:val="24"/>
                <w:szCs w:val="24"/>
              </w:rPr>
              <w:t xml:space="preserve"> (mg/L)</w:t>
            </w:r>
          </w:p>
        </w:tc>
        <w:tc>
          <w:tcPr>
            <w:tcW w:w="560" w:type="pct"/>
            <w:tcBorders>
              <w:top w:val="single" w:sz="4" w:space="0" w:color="auto"/>
              <w:left w:val="single" w:sz="4" w:space="0" w:color="auto"/>
              <w:bottom w:val="nil"/>
              <w:right w:val="single" w:sz="4" w:space="0" w:color="auto"/>
            </w:tcBorders>
            <w:hideMark/>
          </w:tcPr>
          <w:p w14:paraId="331365CB"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231 (89)</w:t>
            </w:r>
          </w:p>
        </w:tc>
        <w:tc>
          <w:tcPr>
            <w:tcW w:w="553" w:type="pct"/>
            <w:tcBorders>
              <w:top w:val="single" w:sz="4" w:space="0" w:color="auto"/>
              <w:left w:val="single" w:sz="4" w:space="0" w:color="auto"/>
              <w:bottom w:val="nil"/>
              <w:right w:val="single" w:sz="4" w:space="0" w:color="auto"/>
            </w:tcBorders>
            <w:hideMark/>
          </w:tcPr>
          <w:p w14:paraId="0A34EB59"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306 (130)</w:t>
            </w:r>
          </w:p>
        </w:tc>
        <w:tc>
          <w:tcPr>
            <w:tcW w:w="503" w:type="pct"/>
            <w:tcBorders>
              <w:top w:val="single" w:sz="4" w:space="0" w:color="auto"/>
              <w:left w:val="single" w:sz="4" w:space="0" w:color="auto"/>
              <w:bottom w:val="nil"/>
              <w:right w:val="single" w:sz="4" w:space="0" w:color="auto"/>
            </w:tcBorders>
            <w:hideMark/>
          </w:tcPr>
          <w:p w14:paraId="2B357D91"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306 (130)</w:t>
            </w:r>
          </w:p>
        </w:tc>
        <w:tc>
          <w:tcPr>
            <w:tcW w:w="493" w:type="pct"/>
            <w:tcBorders>
              <w:top w:val="single" w:sz="4" w:space="0" w:color="auto"/>
              <w:left w:val="single" w:sz="4" w:space="0" w:color="auto"/>
              <w:bottom w:val="nil"/>
              <w:right w:val="single" w:sz="4" w:space="0" w:color="auto"/>
            </w:tcBorders>
            <w:hideMark/>
          </w:tcPr>
          <w:p w14:paraId="3E1EDB0C"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307 (130)</w:t>
            </w:r>
          </w:p>
        </w:tc>
        <w:tc>
          <w:tcPr>
            <w:tcW w:w="546" w:type="pct"/>
            <w:tcBorders>
              <w:top w:val="single" w:sz="4" w:space="0" w:color="auto"/>
              <w:left w:val="single" w:sz="4" w:space="0" w:color="auto"/>
              <w:bottom w:val="nil"/>
              <w:right w:val="single" w:sz="4" w:space="0" w:color="auto"/>
            </w:tcBorders>
            <w:hideMark/>
          </w:tcPr>
          <w:p w14:paraId="40C63E1D"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304 (130)</w:t>
            </w:r>
          </w:p>
        </w:tc>
        <w:tc>
          <w:tcPr>
            <w:tcW w:w="480" w:type="pct"/>
            <w:tcBorders>
              <w:top w:val="single" w:sz="4" w:space="0" w:color="auto"/>
              <w:left w:val="single" w:sz="4" w:space="0" w:color="auto"/>
              <w:bottom w:val="nil"/>
              <w:right w:val="single" w:sz="4" w:space="0" w:color="auto"/>
            </w:tcBorders>
            <w:hideMark/>
          </w:tcPr>
          <w:p w14:paraId="1049C7D0"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259 (110)</w:t>
            </w:r>
          </w:p>
        </w:tc>
        <w:tc>
          <w:tcPr>
            <w:tcW w:w="699" w:type="pct"/>
            <w:tcBorders>
              <w:top w:val="single" w:sz="4" w:space="0" w:color="auto"/>
              <w:left w:val="single" w:sz="4" w:space="0" w:color="auto"/>
              <w:bottom w:val="nil"/>
              <w:right w:val="single" w:sz="4" w:space="0" w:color="auto"/>
            </w:tcBorders>
            <w:hideMark/>
          </w:tcPr>
          <w:p w14:paraId="798331E7"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251 (110)</w:t>
            </w:r>
          </w:p>
        </w:tc>
        <w:tc>
          <w:tcPr>
            <w:tcW w:w="481" w:type="pct"/>
            <w:tcBorders>
              <w:top w:val="single" w:sz="4" w:space="0" w:color="auto"/>
              <w:left w:val="single" w:sz="4" w:space="0" w:color="auto"/>
              <w:bottom w:val="nil"/>
              <w:right w:val="single" w:sz="4" w:space="0" w:color="auto"/>
            </w:tcBorders>
            <w:hideMark/>
          </w:tcPr>
          <w:p w14:paraId="391E65BA"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425 (100)</w:t>
            </w:r>
          </w:p>
        </w:tc>
      </w:tr>
      <w:tr w:rsidR="00442D34" w:rsidRPr="00AC03AF" w14:paraId="7557EF22" w14:textId="77777777" w:rsidTr="00A6235F">
        <w:trPr>
          <w:trHeight w:val="563"/>
        </w:trPr>
        <w:tc>
          <w:tcPr>
            <w:tcW w:w="685" w:type="pct"/>
            <w:tcBorders>
              <w:top w:val="nil"/>
              <w:left w:val="single" w:sz="4" w:space="0" w:color="auto"/>
              <w:bottom w:val="single" w:sz="4" w:space="0" w:color="auto"/>
              <w:right w:val="single" w:sz="4" w:space="0" w:color="auto"/>
            </w:tcBorders>
            <w:hideMark/>
          </w:tcPr>
          <w:p w14:paraId="2722A2F5"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AUC</w:t>
            </w:r>
            <w:r w:rsidRPr="00AC03AF">
              <w:rPr>
                <w:iCs/>
                <w:noProof/>
                <w:sz w:val="24"/>
                <w:szCs w:val="24"/>
                <w:vertAlign w:val="subscript"/>
              </w:rPr>
              <w:t>0-120h</w:t>
            </w:r>
          </w:p>
          <w:p w14:paraId="76D2667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(mg•h/L)</w:t>
            </w:r>
          </w:p>
        </w:tc>
        <w:tc>
          <w:tcPr>
            <w:tcW w:w="560" w:type="pct"/>
            <w:tcBorders>
              <w:top w:val="nil"/>
              <w:left w:val="single" w:sz="4" w:space="0" w:color="auto"/>
              <w:bottom w:val="single" w:sz="4" w:space="0" w:color="auto"/>
              <w:right w:val="single" w:sz="4" w:space="0" w:color="auto"/>
            </w:tcBorders>
            <w:hideMark/>
          </w:tcPr>
          <w:p w14:paraId="00B2F9A5" w14:textId="77777777" w:rsidR="00442D34" w:rsidRPr="00AC03AF" w:rsidRDefault="00442D34">
            <w:pPr>
              <w:tabs>
                <w:tab w:val="left" w:pos="1304"/>
              </w:tabs>
              <w:autoSpaceDE w:val="0"/>
              <w:autoSpaceDN w:val="0"/>
              <w:adjustRightInd w:val="0"/>
              <w:jc w:val="center"/>
              <w:rPr>
                <w:sz w:val="24"/>
                <w:szCs w:val="24"/>
                <w:lang w:val="en-US"/>
              </w:rPr>
            </w:pPr>
            <w:r w:rsidRPr="00AC03AF">
              <w:rPr>
                <w:sz w:val="24"/>
                <w:szCs w:val="24"/>
                <w:lang w:val="en-US"/>
              </w:rPr>
              <w:t>6 620</w:t>
            </w:r>
          </w:p>
          <w:p w14:paraId="6D1FEACF" w14:textId="77777777" w:rsidR="00442D34" w:rsidRPr="00AC03AF" w:rsidRDefault="00442D34">
            <w:pPr>
              <w:numPr>
                <w:ilvl w:val="12"/>
                <w:numId w:val="0"/>
              </w:numPr>
              <w:suppressAutoHyphens/>
              <w:ind w:right="-2"/>
              <w:jc w:val="center"/>
              <w:rPr>
                <w:rFonts w:eastAsia="Times New Roman"/>
                <w:iCs/>
                <w:noProof/>
                <w:sz w:val="24"/>
                <w:szCs w:val="24"/>
                <w:lang w:eastAsia="en-US"/>
              </w:rPr>
            </w:pPr>
            <w:r w:rsidRPr="00AC03AF">
              <w:rPr>
                <w:sz w:val="24"/>
                <w:szCs w:val="24"/>
                <w:lang w:val="en-US"/>
              </w:rPr>
              <w:t>(2 000)</w:t>
            </w:r>
          </w:p>
        </w:tc>
        <w:tc>
          <w:tcPr>
            <w:tcW w:w="553" w:type="pct"/>
            <w:tcBorders>
              <w:top w:val="nil"/>
              <w:left w:val="single" w:sz="4" w:space="0" w:color="auto"/>
              <w:bottom w:val="single" w:sz="4" w:space="0" w:color="auto"/>
              <w:right w:val="single" w:sz="4" w:space="0" w:color="auto"/>
            </w:tcBorders>
            <w:hideMark/>
          </w:tcPr>
          <w:p w14:paraId="7C7FE60E" w14:textId="77777777" w:rsidR="00442D34" w:rsidRPr="00AC03AF" w:rsidRDefault="00442D34">
            <w:pPr>
              <w:tabs>
                <w:tab w:val="left" w:pos="1304"/>
              </w:tabs>
              <w:autoSpaceDE w:val="0"/>
              <w:autoSpaceDN w:val="0"/>
              <w:adjustRightInd w:val="0"/>
              <w:jc w:val="center"/>
              <w:rPr>
                <w:sz w:val="24"/>
                <w:szCs w:val="24"/>
                <w:lang w:val="en-US"/>
              </w:rPr>
            </w:pPr>
            <w:r w:rsidRPr="00AC03AF">
              <w:rPr>
                <w:sz w:val="24"/>
                <w:szCs w:val="24"/>
                <w:lang w:val="en-US"/>
              </w:rPr>
              <w:t>9 000</w:t>
            </w:r>
          </w:p>
          <w:p w14:paraId="51A9B12E" w14:textId="77777777" w:rsidR="00442D34" w:rsidRPr="00AC03AF" w:rsidRDefault="00442D34">
            <w:pPr>
              <w:numPr>
                <w:ilvl w:val="12"/>
                <w:numId w:val="0"/>
              </w:numPr>
              <w:suppressAutoHyphens/>
              <w:ind w:right="-2"/>
              <w:jc w:val="center"/>
              <w:rPr>
                <w:rFonts w:eastAsia="Times New Roman"/>
                <w:iCs/>
                <w:noProof/>
                <w:sz w:val="24"/>
                <w:szCs w:val="24"/>
                <w:lang w:eastAsia="en-US"/>
              </w:rPr>
            </w:pPr>
            <w:r w:rsidRPr="00AC03AF">
              <w:rPr>
                <w:sz w:val="24"/>
                <w:szCs w:val="24"/>
                <w:lang w:val="en-US"/>
              </w:rPr>
              <w:t>(2 900)</w:t>
            </w:r>
          </w:p>
        </w:tc>
        <w:tc>
          <w:tcPr>
            <w:tcW w:w="503" w:type="pct"/>
            <w:tcBorders>
              <w:top w:val="nil"/>
              <w:left w:val="single" w:sz="4" w:space="0" w:color="auto"/>
              <w:bottom w:val="single" w:sz="4" w:space="0" w:color="auto"/>
              <w:right w:val="single" w:sz="4" w:space="0" w:color="auto"/>
            </w:tcBorders>
            <w:hideMark/>
          </w:tcPr>
          <w:p w14:paraId="75FF028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9 080</w:t>
            </w:r>
          </w:p>
          <w:p w14:paraId="5312016A"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(3 000)</w:t>
            </w:r>
          </w:p>
        </w:tc>
        <w:tc>
          <w:tcPr>
            <w:tcW w:w="493" w:type="pct"/>
            <w:tcBorders>
              <w:top w:val="nil"/>
              <w:left w:val="single" w:sz="4" w:space="0" w:color="auto"/>
              <w:bottom w:val="single" w:sz="4" w:space="0" w:color="auto"/>
              <w:right w:val="single" w:sz="4" w:space="0" w:color="auto"/>
            </w:tcBorders>
            <w:hideMark/>
          </w:tcPr>
          <w:p w14:paraId="74CD14D9"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9 490</w:t>
            </w:r>
          </w:p>
          <w:p w14:paraId="7AA5C4C3"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(3 100)</w:t>
            </w:r>
          </w:p>
        </w:tc>
        <w:tc>
          <w:tcPr>
            <w:tcW w:w="546" w:type="pct"/>
            <w:tcBorders>
              <w:top w:val="nil"/>
              <w:left w:val="single" w:sz="4" w:space="0" w:color="auto"/>
              <w:bottom w:val="single" w:sz="4" w:space="0" w:color="auto"/>
              <w:right w:val="single" w:sz="4" w:space="0" w:color="auto"/>
            </w:tcBorders>
            <w:hideMark/>
          </w:tcPr>
          <w:p w14:paraId="447A5776"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10 200</w:t>
            </w:r>
          </w:p>
          <w:p w14:paraId="247A35F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(3 200)</w:t>
            </w:r>
          </w:p>
        </w:tc>
        <w:tc>
          <w:tcPr>
            <w:tcW w:w="480" w:type="pct"/>
            <w:tcBorders>
              <w:top w:val="nil"/>
              <w:left w:val="single" w:sz="4" w:space="0" w:color="auto"/>
              <w:bottom w:val="single" w:sz="4" w:space="0" w:color="auto"/>
              <w:right w:val="single" w:sz="4" w:space="0" w:color="auto"/>
            </w:tcBorders>
            <w:hideMark/>
          </w:tcPr>
          <w:p w14:paraId="7F7608D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8 870</w:t>
            </w:r>
          </w:p>
          <w:p w14:paraId="6E3F244E"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(2 900)</w:t>
            </w:r>
          </w:p>
        </w:tc>
        <w:tc>
          <w:tcPr>
            <w:tcW w:w="699" w:type="pct"/>
            <w:tcBorders>
              <w:top w:val="nil"/>
              <w:left w:val="single" w:sz="4" w:space="0" w:color="auto"/>
              <w:bottom w:val="single" w:sz="4" w:space="0" w:color="auto"/>
              <w:right w:val="single" w:sz="4" w:space="0" w:color="auto"/>
            </w:tcBorders>
            <w:hideMark/>
          </w:tcPr>
          <w:p w14:paraId="0760C7B0"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9 060</w:t>
            </w:r>
          </w:p>
          <w:p w14:paraId="26D96E73"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(3 100)</w:t>
            </w:r>
          </w:p>
        </w:tc>
        <w:tc>
          <w:tcPr>
            <w:tcW w:w="481" w:type="pct"/>
            <w:tcBorders>
              <w:top w:val="nil"/>
              <w:left w:val="single" w:sz="4" w:space="0" w:color="auto"/>
              <w:bottom w:val="single" w:sz="4" w:space="0" w:color="auto"/>
              <w:right w:val="single" w:sz="4" w:space="0" w:color="auto"/>
            </w:tcBorders>
            <w:hideMark/>
          </w:tcPr>
          <w:p w14:paraId="7E6EFE80"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10 800</w:t>
            </w:r>
          </w:p>
          <w:p w14:paraId="032674B5" w14:textId="77777777" w:rsidR="00442D34" w:rsidRPr="00AC03AF" w:rsidRDefault="00442D34">
            <w:pPr>
              <w:numPr>
                <w:ilvl w:val="12"/>
                <w:numId w:val="0"/>
              </w:numPr>
              <w:suppressAutoHyphens/>
              <w:ind w:right="-2"/>
              <w:jc w:val="center"/>
              <w:rPr>
                <w:iCs/>
                <w:noProof/>
                <w:sz w:val="24"/>
                <w:szCs w:val="24"/>
              </w:rPr>
            </w:pPr>
            <w:r w:rsidRPr="00AC03AF">
              <w:rPr>
                <w:iCs/>
                <w:noProof/>
                <w:sz w:val="24"/>
                <w:szCs w:val="24"/>
              </w:rPr>
              <w:t>(3 200)</w:t>
            </w:r>
          </w:p>
        </w:tc>
      </w:tr>
      <w:tr w:rsidR="00442D34" w:rsidRPr="00AC03AF" w14:paraId="7FBCA415" w14:textId="77777777" w:rsidTr="00A6235F">
        <w:tc>
          <w:tcPr>
            <w:tcW w:w="5000" w:type="pct"/>
            <w:gridSpan w:val="9"/>
            <w:tcBorders>
              <w:top w:val="single" w:sz="4" w:space="0" w:color="auto"/>
              <w:left w:val="single" w:sz="4" w:space="0" w:color="auto"/>
              <w:bottom w:val="single" w:sz="4" w:space="0" w:color="auto"/>
              <w:right w:val="single" w:sz="4" w:space="0" w:color="auto"/>
            </w:tcBorders>
            <w:hideMark/>
          </w:tcPr>
          <w:p w14:paraId="497DF213" w14:textId="77777777" w:rsidR="00442D34" w:rsidRPr="00AC03AF" w:rsidRDefault="00442D34">
            <w:pPr>
              <w:numPr>
                <w:ilvl w:val="12"/>
                <w:numId w:val="0"/>
              </w:numPr>
              <w:suppressAutoHyphens/>
              <w:ind w:right="-2"/>
              <w:rPr>
                <w:iCs/>
                <w:noProof/>
                <w:sz w:val="24"/>
                <w:szCs w:val="24"/>
              </w:rPr>
            </w:pPr>
            <w:r w:rsidRPr="00AC03AF">
              <w:rPr>
                <w:iCs/>
                <w:noProof/>
                <w:sz w:val="24"/>
                <w:szCs w:val="24"/>
                <w:vertAlign w:val="superscript"/>
              </w:rPr>
              <w:t>1</w:t>
            </w:r>
            <w:r w:rsidRPr="00AC03AF">
              <w:rPr>
                <w:iCs/>
                <w:noProof/>
                <w:sz w:val="24"/>
                <w:szCs w:val="24"/>
              </w:rPr>
              <w:t xml:space="preserve"> Source: DAL-MS-02.</w:t>
            </w:r>
          </w:p>
        </w:tc>
      </w:tr>
    </w:tbl>
    <w:p w14:paraId="02EFAA07" w14:textId="77777777" w:rsidR="00442D34" w:rsidRPr="00AC03AF" w:rsidRDefault="00442D34" w:rsidP="00A6235F">
      <w:pPr>
        <w:numPr>
          <w:ilvl w:val="12"/>
          <w:numId w:val="0"/>
        </w:numPr>
        <w:suppressAutoHyphens/>
        <w:ind w:left="851" w:right="-2"/>
        <w:rPr>
          <w:iCs/>
          <w:noProof/>
          <w:sz w:val="24"/>
          <w:szCs w:val="24"/>
          <w:lang w:val="en-GB" w:eastAsia="en-US"/>
        </w:rPr>
      </w:pPr>
      <w:r w:rsidRPr="00AC03AF">
        <w:rPr>
          <w:iCs/>
          <w:noProof/>
          <w:sz w:val="24"/>
          <w:szCs w:val="24"/>
          <w:lang w:val="en-US"/>
        </w:rPr>
        <w:t xml:space="preserve">In all paediatric age groups, the percentage of patients attaining PK/PD targets related to </w:t>
      </w:r>
      <w:r w:rsidRPr="00AC03AF">
        <w:rPr>
          <w:i/>
          <w:iCs/>
          <w:noProof/>
          <w:sz w:val="24"/>
          <w:szCs w:val="24"/>
          <w:lang w:val="en-US"/>
        </w:rPr>
        <w:t>in vivo</w:t>
      </w:r>
      <w:r w:rsidRPr="00AC03AF">
        <w:rPr>
          <w:iCs/>
          <w:noProof/>
          <w:sz w:val="24"/>
          <w:szCs w:val="24"/>
          <w:lang w:val="en-US"/>
        </w:rPr>
        <w:t xml:space="preserve"> drug activity were 90% or higher for MICs up to 0.125 mg/l.</w:t>
      </w:r>
    </w:p>
    <w:p w14:paraId="52D69BD3" w14:textId="77777777" w:rsidR="007C5D2A" w:rsidRPr="00AC03AF" w:rsidRDefault="007C5D2A" w:rsidP="003E0341">
      <w:pPr>
        <w:tabs>
          <w:tab w:val="left" w:pos="851"/>
        </w:tabs>
        <w:ind w:left="851"/>
        <w:rPr>
          <w:sz w:val="24"/>
          <w:szCs w:val="24"/>
          <w:lang w:val="en-GB"/>
        </w:rPr>
      </w:pPr>
    </w:p>
    <w:p w14:paraId="0E24CE50" w14:textId="77777777" w:rsidR="007C5D2A" w:rsidRPr="00AC03AF" w:rsidRDefault="00180A12" w:rsidP="007C5D2A">
      <w:pPr>
        <w:tabs>
          <w:tab w:val="left" w:pos="851"/>
        </w:tabs>
        <w:ind w:left="851" w:hanging="851"/>
        <w:rPr>
          <w:b/>
          <w:sz w:val="24"/>
          <w:szCs w:val="24"/>
          <w:lang w:val="en-GB"/>
        </w:rPr>
      </w:pPr>
      <w:r w:rsidRPr="00AC03AF">
        <w:rPr>
          <w:b/>
          <w:sz w:val="24"/>
          <w:szCs w:val="24"/>
          <w:lang w:val="en-GB"/>
        </w:rPr>
        <w:t>5.3</w:t>
      </w:r>
      <w:r w:rsidRPr="00AC03AF">
        <w:rPr>
          <w:b/>
          <w:sz w:val="24"/>
          <w:szCs w:val="24"/>
          <w:lang w:val="en-GB"/>
        </w:rPr>
        <w:tab/>
        <w:t>Preclinical safety data</w:t>
      </w:r>
    </w:p>
    <w:p w14:paraId="051BB381" w14:textId="77777777" w:rsidR="00442D34" w:rsidRPr="00AC03AF" w:rsidRDefault="00442D34" w:rsidP="00A6235F">
      <w:pPr>
        <w:suppressAutoHyphens/>
        <w:ind w:left="851"/>
        <w:rPr>
          <w:noProof/>
          <w:sz w:val="24"/>
          <w:szCs w:val="24"/>
          <w:lang w:val="en-US"/>
        </w:rPr>
      </w:pPr>
      <w:r w:rsidRPr="00AC03AF">
        <w:rPr>
          <w:noProof/>
          <w:sz w:val="24"/>
          <w:szCs w:val="24"/>
          <w:lang w:val="en-US"/>
        </w:rPr>
        <w:t>Dalbavancin toxicity has been evaluated after daily intravenous administration for durations of up to 3 months in rats and dogs. Dose-dependent toxicity included serum chemistry and histological evidence of renal and hepatic injury, reduced red blood cell parameters and injection site irritation. In dogs only, infusion reactions characterised by skin swelling and/or redness (not associated with the injection site), mucosal pallor, salivation, vomiting, sedation, and modest declines in blood pressure and increases in heart rate were observed in a dose-dependent manner. These infusion reactions were transient (resolved within 1 hour post-dosing) and were attributed to histamine release. Dalbavancin toxicity profile in juvenile rats was consistent with that previously observed in adult rats at the same dose (mg/kg /day) levels.</w:t>
      </w:r>
    </w:p>
    <w:p w14:paraId="12C20214" w14:textId="77777777" w:rsidR="00442D34" w:rsidRPr="00AC03AF" w:rsidRDefault="00442D34" w:rsidP="00A6235F">
      <w:pPr>
        <w:suppressAutoHyphens/>
        <w:ind w:left="851"/>
        <w:rPr>
          <w:noProof/>
          <w:sz w:val="24"/>
          <w:szCs w:val="24"/>
          <w:lang w:val="en-US"/>
        </w:rPr>
      </w:pPr>
    </w:p>
    <w:p w14:paraId="37D6852B" w14:textId="77777777" w:rsidR="00442D34" w:rsidRPr="00AC03AF" w:rsidRDefault="00442D34" w:rsidP="00A6235F">
      <w:pPr>
        <w:suppressAutoHyphens/>
        <w:ind w:left="851"/>
        <w:rPr>
          <w:noProof/>
          <w:sz w:val="24"/>
          <w:szCs w:val="24"/>
          <w:lang w:val="en-US"/>
        </w:rPr>
      </w:pPr>
      <w:r w:rsidRPr="00AC03AF">
        <w:rPr>
          <w:noProof/>
          <w:sz w:val="24"/>
          <w:szCs w:val="24"/>
          <w:lang w:val="en-US"/>
        </w:rPr>
        <w:t>Reproductive toxicity studies in rats and rabbits showed no evidence of a teratogenic effect. In rats, at exposures approximately 3 times above clinical exposure, there was reduced fertility and an increased incidence of embryo-lethality, reductions in foetal weight and skeletal ossification and increased neonatal mortality. In rabbits, abortion occurred in conjunction with maternal toxicity at exposures below the human therapeutic range.</w:t>
      </w:r>
    </w:p>
    <w:p w14:paraId="3BBF9C89" w14:textId="77777777" w:rsidR="00442D34" w:rsidRPr="00AC03AF" w:rsidRDefault="00442D34" w:rsidP="00A6235F">
      <w:pPr>
        <w:suppressAutoHyphens/>
        <w:ind w:left="851"/>
        <w:rPr>
          <w:noProof/>
          <w:sz w:val="24"/>
          <w:szCs w:val="24"/>
          <w:lang w:val="en-US"/>
        </w:rPr>
      </w:pPr>
    </w:p>
    <w:p w14:paraId="40E50C69" w14:textId="77777777" w:rsidR="00442D34" w:rsidRPr="00AC03AF" w:rsidRDefault="00442D34" w:rsidP="00A6235F">
      <w:pPr>
        <w:suppressAutoHyphens/>
        <w:ind w:left="851"/>
        <w:rPr>
          <w:noProof/>
          <w:sz w:val="24"/>
          <w:szCs w:val="24"/>
          <w:lang w:val="en-US"/>
        </w:rPr>
      </w:pPr>
      <w:r w:rsidRPr="00AC03AF">
        <w:rPr>
          <w:noProof/>
          <w:sz w:val="24"/>
          <w:szCs w:val="24"/>
          <w:lang w:val="en-US"/>
        </w:rPr>
        <w:t xml:space="preserve">Long-term carcinogenicity studies have not been conducted. Dalbavancin was not mutagenic or clastogenic in a battery of </w:t>
      </w:r>
      <w:r w:rsidRPr="00AC03AF">
        <w:rPr>
          <w:i/>
          <w:noProof/>
          <w:sz w:val="24"/>
          <w:szCs w:val="24"/>
          <w:lang w:val="en-US"/>
        </w:rPr>
        <w:t>in vitro</w:t>
      </w:r>
      <w:r w:rsidRPr="00AC03AF">
        <w:rPr>
          <w:noProof/>
          <w:sz w:val="24"/>
          <w:szCs w:val="24"/>
          <w:lang w:val="en-US"/>
        </w:rPr>
        <w:t xml:space="preserve"> and </w:t>
      </w:r>
      <w:r w:rsidRPr="00AC03AF">
        <w:rPr>
          <w:i/>
          <w:noProof/>
          <w:sz w:val="24"/>
          <w:szCs w:val="24"/>
          <w:lang w:val="en-US"/>
        </w:rPr>
        <w:t>in vivo</w:t>
      </w:r>
      <w:r w:rsidRPr="00AC03AF">
        <w:rPr>
          <w:noProof/>
          <w:sz w:val="24"/>
          <w:szCs w:val="24"/>
          <w:lang w:val="en-US"/>
        </w:rPr>
        <w:t xml:space="preserve"> genotoxicity tests.</w:t>
      </w:r>
    </w:p>
    <w:p w14:paraId="2E19ED6A" w14:textId="26C1C16B" w:rsidR="00442D34" w:rsidRDefault="00442D34" w:rsidP="00A6235F">
      <w:pPr>
        <w:suppressAutoHyphens/>
        <w:ind w:left="851"/>
        <w:rPr>
          <w:noProof/>
          <w:sz w:val="24"/>
          <w:szCs w:val="24"/>
          <w:lang w:val="en-US"/>
        </w:rPr>
      </w:pPr>
    </w:p>
    <w:p w14:paraId="7225DE4A" w14:textId="090CBC4B" w:rsidR="00437628" w:rsidRDefault="00437628">
      <w:pPr>
        <w:rPr>
          <w:noProof/>
          <w:sz w:val="24"/>
          <w:szCs w:val="24"/>
          <w:lang w:val="en-US"/>
        </w:rPr>
      </w:pPr>
      <w:r>
        <w:rPr>
          <w:noProof/>
          <w:sz w:val="24"/>
          <w:szCs w:val="24"/>
          <w:lang w:val="en-US"/>
        </w:rPr>
        <w:br w:type="page"/>
      </w:r>
    </w:p>
    <w:p w14:paraId="48A037B4" w14:textId="77777777" w:rsidR="00811AEA" w:rsidRPr="00AC03AF" w:rsidRDefault="00811AEA" w:rsidP="00A6235F">
      <w:pPr>
        <w:suppressAutoHyphens/>
        <w:ind w:left="851"/>
        <w:rPr>
          <w:noProof/>
          <w:sz w:val="24"/>
          <w:szCs w:val="24"/>
          <w:lang w:val="en-US"/>
        </w:rPr>
      </w:pPr>
    </w:p>
    <w:p w14:paraId="528B6D25" w14:textId="77777777" w:rsidR="007C5D2A" w:rsidRPr="00AC03AF" w:rsidRDefault="009925C9" w:rsidP="007C5D2A">
      <w:pPr>
        <w:ind w:left="851" w:hanging="851"/>
        <w:rPr>
          <w:b/>
          <w:sz w:val="24"/>
          <w:szCs w:val="24"/>
          <w:lang w:val="en-GB"/>
        </w:rPr>
      </w:pPr>
      <w:r w:rsidRPr="00AC03AF">
        <w:rPr>
          <w:b/>
          <w:sz w:val="24"/>
          <w:szCs w:val="24"/>
          <w:lang w:val="en-GB"/>
        </w:rPr>
        <w:t>6.</w:t>
      </w:r>
      <w:r w:rsidR="007C5D2A" w:rsidRPr="00AC03AF">
        <w:rPr>
          <w:b/>
          <w:sz w:val="24"/>
          <w:szCs w:val="24"/>
          <w:lang w:val="en-GB"/>
        </w:rPr>
        <w:tab/>
        <w:t>PHARMACEUTICAL PARTICULARS</w:t>
      </w:r>
    </w:p>
    <w:p w14:paraId="49E6F524" w14:textId="77777777" w:rsidR="007C5D2A" w:rsidRPr="00AC03AF" w:rsidRDefault="007C5D2A" w:rsidP="003E0341">
      <w:pPr>
        <w:tabs>
          <w:tab w:val="left" w:pos="851"/>
        </w:tabs>
        <w:ind w:left="851"/>
        <w:rPr>
          <w:sz w:val="24"/>
          <w:szCs w:val="24"/>
          <w:lang w:val="en-GB"/>
        </w:rPr>
      </w:pPr>
    </w:p>
    <w:p w14:paraId="3C57319B" w14:textId="77777777" w:rsidR="007C5D2A" w:rsidRPr="00AC03AF" w:rsidRDefault="007C5D2A" w:rsidP="007C5D2A">
      <w:pPr>
        <w:ind w:left="851" w:hanging="851"/>
        <w:rPr>
          <w:b/>
          <w:sz w:val="24"/>
          <w:szCs w:val="24"/>
          <w:lang w:val="en-GB"/>
        </w:rPr>
      </w:pPr>
      <w:r w:rsidRPr="00AC03AF">
        <w:rPr>
          <w:b/>
          <w:sz w:val="24"/>
          <w:szCs w:val="24"/>
          <w:lang w:val="en-GB"/>
        </w:rPr>
        <w:t>6.1</w:t>
      </w:r>
      <w:r w:rsidRPr="00AC03AF">
        <w:rPr>
          <w:b/>
          <w:sz w:val="24"/>
          <w:szCs w:val="24"/>
          <w:lang w:val="en-GB"/>
        </w:rPr>
        <w:tab/>
        <w:t>List of excipients</w:t>
      </w:r>
    </w:p>
    <w:p w14:paraId="545A9AA7" w14:textId="77777777" w:rsidR="00442D34" w:rsidRPr="00AC03AF" w:rsidRDefault="00442D34" w:rsidP="00A6235F">
      <w:pPr>
        <w:suppressAutoHyphens/>
        <w:ind w:left="851"/>
        <w:outlineLvl w:val="0"/>
        <w:rPr>
          <w:noProof/>
          <w:sz w:val="24"/>
          <w:szCs w:val="24"/>
          <w:lang w:val="en-US"/>
        </w:rPr>
      </w:pPr>
      <w:r w:rsidRPr="00AC03AF">
        <w:rPr>
          <w:noProof/>
          <w:sz w:val="24"/>
          <w:szCs w:val="24"/>
          <w:lang w:val="en-US"/>
        </w:rPr>
        <w:t>Mannitol (E421)</w:t>
      </w:r>
    </w:p>
    <w:p w14:paraId="32EBEDEF" w14:textId="77777777" w:rsidR="00442D34" w:rsidRPr="00AC03AF" w:rsidRDefault="00442D34" w:rsidP="00A6235F">
      <w:pPr>
        <w:suppressAutoHyphens/>
        <w:ind w:left="851"/>
        <w:outlineLvl w:val="0"/>
        <w:rPr>
          <w:noProof/>
          <w:sz w:val="24"/>
          <w:szCs w:val="24"/>
          <w:lang w:val="en-US"/>
        </w:rPr>
      </w:pPr>
      <w:r w:rsidRPr="00AC03AF">
        <w:rPr>
          <w:noProof/>
          <w:sz w:val="24"/>
          <w:szCs w:val="24"/>
          <w:lang w:val="en-US"/>
        </w:rPr>
        <w:t>Lactose monohydrate</w:t>
      </w:r>
    </w:p>
    <w:p w14:paraId="2013A791" w14:textId="77777777" w:rsidR="00442D34" w:rsidRPr="00AC03AF" w:rsidRDefault="00442D34" w:rsidP="00A6235F">
      <w:pPr>
        <w:suppressAutoHyphens/>
        <w:ind w:left="851"/>
        <w:outlineLvl w:val="0"/>
        <w:rPr>
          <w:noProof/>
          <w:sz w:val="24"/>
          <w:szCs w:val="24"/>
          <w:lang w:val="en-US"/>
        </w:rPr>
      </w:pPr>
      <w:r w:rsidRPr="00AC03AF">
        <w:rPr>
          <w:noProof/>
          <w:sz w:val="24"/>
          <w:szCs w:val="24"/>
          <w:lang w:val="en-US"/>
        </w:rPr>
        <w:t>Hydrochloric acid 1N (for pH-adjustment)</w:t>
      </w:r>
    </w:p>
    <w:p w14:paraId="2D1032EE" w14:textId="77777777" w:rsidR="00442D34" w:rsidRPr="00AC03AF" w:rsidRDefault="00442D34" w:rsidP="00A6235F">
      <w:pPr>
        <w:suppressAutoHyphens/>
        <w:ind w:left="851"/>
        <w:outlineLvl w:val="0"/>
        <w:rPr>
          <w:noProof/>
          <w:sz w:val="24"/>
          <w:szCs w:val="24"/>
          <w:lang w:val="en-US"/>
        </w:rPr>
      </w:pPr>
      <w:r w:rsidRPr="00AC03AF">
        <w:rPr>
          <w:noProof/>
          <w:sz w:val="24"/>
          <w:szCs w:val="24"/>
          <w:lang w:val="en-US"/>
        </w:rPr>
        <w:t>Sodium hydroxide 1N (for pH-adjustment)</w:t>
      </w:r>
    </w:p>
    <w:p w14:paraId="21523A45" w14:textId="77777777" w:rsidR="007C5D2A" w:rsidRPr="00AC03AF" w:rsidRDefault="007C5D2A" w:rsidP="003D727E">
      <w:pPr>
        <w:tabs>
          <w:tab w:val="left" w:pos="851"/>
        </w:tabs>
        <w:ind w:left="851"/>
        <w:rPr>
          <w:sz w:val="24"/>
          <w:szCs w:val="24"/>
          <w:lang w:val="en-GB"/>
        </w:rPr>
      </w:pPr>
    </w:p>
    <w:p w14:paraId="6A923C9C" w14:textId="77777777" w:rsidR="007C5D2A" w:rsidRPr="00AC03AF" w:rsidRDefault="007C5D2A" w:rsidP="007C5D2A">
      <w:pPr>
        <w:ind w:left="851" w:hanging="851"/>
        <w:rPr>
          <w:b/>
          <w:sz w:val="24"/>
          <w:szCs w:val="24"/>
          <w:lang w:val="en-GB"/>
        </w:rPr>
      </w:pPr>
      <w:r w:rsidRPr="00AC03AF">
        <w:rPr>
          <w:b/>
          <w:sz w:val="24"/>
          <w:szCs w:val="24"/>
          <w:lang w:val="en-GB"/>
        </w:rPr>
        <w:t>6.2</w:t>
      </w:r>
      <w:r w:rsidRPr="00AC03AF">
        <w:rPr>
          <w:b/>
          <w:sz w:val="24"/>
          <w:szCs w:val="24"/>
          <w:lang w:val="en-GB"/>
        </w:rPr>
        <w:tab/>
        <w:t>Incompatibilities</w:t>
      </w:r>
    </w:p>
    <w:p w14:paraId="1D453AF3" w14:textId="77777777" w:rsidR="00442D34" w:rsidRPr="00AC03AF" w:rsidRDefault="00442D34" w:rsidP="00A6235F">
      <w:pPr>
        <w:suppressAutoHyphens/>
        <w:ind w:left="851"/>
        <w:rPr>
          <w:noProof/>
          <w:sz w:val="24"/>
          <w:szCs w:val="24"/>
          <w:lang w:val="en-US"/>
        </w:rPr>
      </w:pPr>
      <w:r w:rsidRPr="00AC03AF">
        <w:rPr>
          <w:noProof/>
          <w:sz w:val="24"/>
          <w:szCs w:val="24"/>
          <w:lang w:val="en-US"/>
        </w:rPr>
        <w:t>Sodium chloride solutions may cause precipitation and must not be used for reconstitution or dilution (see section 6.6).</w:t>
      </w:r>
    </w:p>
    <w:p w14:paraId="03F33022" w14:textId="77777777" w:rsidR="00442D34" w:rsidRPr="00AC03AF" w:rsidRDefault="00442D34" w:rsidP="00A6235F">
      <w:pPr>
        <w:suppressAutoHyphens/>
        <w:ind w:left="851"/>
        <w:rPr>
          <w:noProof/>
          <w:sz w:val="24"/>
          <w:szCs w:val="24"/>
          <w:lang w:val="en-US"/>
        </w:rPr>
      </w:pPr>
    </w:p>
    <w:p w14:paraId="238A3024" w14:textId="77777777" w:rsidR="00442D34" w:rsidRPr="00AC03AF" w:rsidRDefault="00442D34" w:rsidP="00A6235F">
      <w:pPr>
        <w:suppressAutoHyphens/>
        <w:ind w:left="851"/>
        <w:rPr>
          <w:noProof/>
          <w:sz w:val="24"/>
          <w:szCs w:val="24"/>
          <w:lang w:val="en-US"/>
        </w:rPr>
      </w:pPr>
      <w:r w:rsidRPr="00AC03AF">
        <w:rPr>
          <w:noProof/>
          <w:sz w:val="24"/>
          <w:szCs w:val="24"/>
          <w:lang w:val="en-US"/>
        </w:rPr>
        <w:t>This medicinal product must not be mixed with other medicinal products or intravenous solutions other than those mentioned in section 6.6.</w:t>
      </w:r>
    </w:p>
    <w:p w14:paraId="420D9E37" w14:textId="77777777" w:rsidR="007C5D2A" w:rsidRPr="00AC03AF" w:rsidRDefault="007C5D2A" w:rsidP="003E0341">
      <w:pPr>
        <w:tabs>
          <w:tab w:val="left" w:pos="851"/>
        </w:tabs>
        <w:ind w:left="851"/>
        <w:rPr>
          <w:sz w:val="24"/>
          <w:szCs w:val="24"/>
          <w:lang w:val="en-GB"/>
        </w:rPr>
      </w:pPr>
    </w:p>
    <w:p w14:paraId="1F7B791A" w14:textId="77777777" w:rsidR="007C5D2A" w:rsidRPr="00AC03AF" w:rsidRDefault="007C5D2A" w:rsidP="007C5D2A">
      <w:pPr>
        <w:ind w:left="851" w:hanging="851"/>
        <w:rPr>
          <w:b/>
          <w:sz w:val="24"/>
          <w:szCs w:val="24"/>
          <w:lang w:val="en-GB"/>
        </w:rPr>
      </w:pPr>
      <w:r w:rsidRPr="00AC03AF">
        <w:rPr>
          <w:b/>
          <w:sz w:val="24"/>
          <w:szCs w:val="24"/>
          <w:lang w:val="en-GB"/>
        </w:rPr>
        <w:t>6.3</w:t>
      </w:r>
      <w:r w:rsidRPr="00AC03AF">
        <w:rPr>
          <w:b/>
          <w:sz w:val="24"/>
          <w:szCs w:val="24"/>
          <w:lang w:val="en-GB"/>
        </w:rPr>
        <w:tab/>
        <w:t>Shelf</w:t>
      </w:r>
      <w:r w:rsidR="00B45DC5" w:rsidRPr="00AC03AF">
        <w:rPr>
          <w:b/>
          <w:sz w:val="24"/>
          <w:szCs w:val="24"/>
          <w:lang w:val="en-GB"/>
        </w:rPr>
        <w:t xml:space="preserve"> </w:t>
      </w:r>
      <w:r w:rsidRPr="00AC03AF">
        <w:rPr>
          <w:b/>
          <w:sz w:val="24"/>
          <w:szCs w:val="24"/>
          <w:lang w:val="en-GB"/>
        </w:rPr>
        <w:t>life</w:t>
      </w:r>
    </w:p>
    <w:p w14:paraId="0AA11749" w14:textId="77777777" w:rsidR="00442D34" w:rsidRPr="00AC03AF" w:rsidRDefault="00442D34" w:rsidP="00A6235F">
      <w:pPr>
        <w:suppressAutoHyphens/>
        <w:ind w:left="851"/>
        <w:rPr>
          <w:noProof/>
          <w:sz w:val="24"/>
          <w:szCs w:val="24"/>
          <w:lang w:val="en-US"/>
        </w:rPr>
      </w:pPr>
      <w:r w:rsidRPr="00AC03AF">
        <w:rPr>
          <w:noProof/>
          <w:sz w:val="24"/>
          <w:szCs w:val="24"/>
          <w:lang w:val="en-US"/>
        </w:rPr>
        <w:t xml:space="preserve">Dry powder: 30 months </w:t>
      </w:r>
    </w:p>
    <w:p w14:paraId="6106F806" w14:textId="77777777" w:rsidR="00442D34" w:rsidRPr="00AC03AF" w:rsidRDefault="00442D34" w:rsidP="00A6235F">
      <w:pPr>
        <w:suppressAutoHyphens/>
        <w:ind w:left="851"/>
        <w:rPr>
          <w:noProof/>
          <w:sz w:val="24"/>
          <w:szCs w:val="24"/>
          <w:lang w:val="en-US"/>
        </w:rPr>
      </w:pPr>
    </w:p>
    <w:p w14:paraId="6365FA56" w14:textId="7712CB30" w:rsidR="00442D34" w:rsidRPr="00AC03AF" w:rsidRDefault="00442D34" w:rsidP="00A6235F">
      <w:pPr>
        <w:suppressAutoHyphens/>
        <w:ind w:left="851"/>
        <w:rPr>
          <w:noProof/>
          <w:sz w:val="24"/>
          <w:szCs w:val="24"/>
          <w:lang w:val="en-US"/>
        </w:rPr>
      </w:pPr>
      <w:r w:rsidRPr="00AC03AF">
        <w:rPr>
          <w:noProof/>
          <w:sz w:val="24"/>
          <w:szCs w:val="24"/>
          <w:lang w:val="en-US"/>
        </w:rPr>
        <w:t xml:space="preserve">Chemical and physical in-use stability of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has been demonstratedfor both the reconstituted concentrate and for the diluted solution for 48 hours at 25°C and at 2-8°C. </w:t>
      </w:r>
    </w:p>
    <w:p w14:paraId="5A418E41" w14:textId="77777777" w:rsidR="00442D34" w:rsidRPr="00AC03AF" w:rsidRDefault="00442D34" w:rsidP="00A6235F">
      <w:pPr>
        <w:suppressAutoHyphens/>
        <w:ind w:left="851"/>
        <w:rPr>
          <w:noProof/>
          <w:sz w:val="24"/>
          <w:szCs w:val="24"/>
          <w:lang w:val="en-US"/>
        </w:rPr>
      </w:pPr>
    </w:p>
    <w:p w14:paraId="1FFB4BBA" w14:textId="77777777" w:rsidR="00442D34" w:rsidRPr="00AC03AF" w:rsidRDefault="00442D34" w:rsidP="00A6235F">
      <w:pPr>
        <w:suppressAutoHyphens/>
        <w:ind w:left="851"/>
        <w:rPr>
          <w:noProof/>
          <w:sz w:val="24"/>
          <w:szCs w:val="24"/>
          <w:lang w:val="en-US"/>
        </w:rPr>
      </w:pPr>
      <w:r w:rsidRPr="00AC03AF">
        <w:rPr>
          <w:noProof/>
          <w:sz w:val="24"/>
          <w:szCs w:val="24"/>
          <w:lang w:val="en-US"/>
        </w:rPr>
        <w:t>From a microbiological point of view, the product should be used immediately.If not used immediately, in</w:t>
      </w:r>
      <w:r w:rsidRPr="00AC03AF">
        <w:rPr>
          <w:noProof/>
          <w:sz w:val="24"/>
          <w:szCs w:val="24"/>
          <w:lang w:val="en-US"/>
        </w:rPr>
        <w:noBreakHyphen/>
        <w:t xml:space="preserve">use storage times and conditions prior to use are the responsibility of the user and would normally not be longer than 24 hours at 2 to 8°C, unless reconstitution/dilution has taken place in controlled and validated aseptic conditions. </w:t>
      </w:r>
    </w:p>
    <w:p w14:paraId="100851A6" w14:textId="77777777" w:rsidR="007C5D2A" w:rsidRPr="00AC03AF" w:rsidRDefault="007C5D2A" w:rsidP="003E0341">
      <w:pPr>
        <w:tabs>
          <w:tab w:val="left" w:pos="851"/>
        </w:tabs>
        <w:ind w:left="851"/>
        <w:rPr>
          <w:sz w:val="24"/>
          <w:szCs w:val="24"/>
          <w:lang w:val="en-GB"/>
        </w:rPr>
      </w:pPr>
    </w:p>
    <w:p w14:paraId="2A3103EE" w14:textId="77777777" w:rsidR="007C5D2A" w:rsidRPr="00AC03AF" w:rsidRDefault="007C5D2A" w:rsidP="007C5D2A">
      <w:pPr>
        <w:ind w:left="851" w:hanging="851"/>
        <w:rPr>
          <w:b/>
          <w:sz w:val="24"/>
          <w:szCs w:val="24"/>
          <w:lang w:val="en-GB"/>
        </w:rPr>
      </w:pPr>
      <w:r w:rsidRPr="00AC03AF">
        <w:rPr>
          <w:b/>
          <w:sz w:val="24"/>
          <w:szCs w:val="24"/>
          <w:lang w:val="en-GB"/>
        </w:rPr>
        <w:t>6.4</w:t>
      </w:r>
      <w:r w:rsidRPr="00AC03AF">
        <w:rPr>
          <w:b/>
          <w:sz w:val="24"/>
          <w:szCs w:val="24"/>
          <w:lang w:val="en-GB"/>
        </w:rPr>
        <w:tab/>
        <w:t>Special precautions for storage</w:t>
      </w:r>
    </w:p>
    <w:p w14:paraId="70A2154A" w14:textId="77777777" w:rsidR="00442D34" w:rsidRPr="00AC03AF" w:rsidRDefault="00442D34" w:rsidP="00A6235F">
      <w:pPr>
        <w:suppressAutoHyphens/>
        <w:ind w:left="851"/>
        <w:rPr>
          <w:noProof/>
          <w:sz w:val="24"/>
          <w:szCs w:val="24"/>
          <w:lang w:val="en-US"/>
        </w:rPr>
      </w:pPr>
      <w:r w:rsidRPr="00AC03AF">
        <w:rPr>
          <w:noProof/>
          <w:sz w:val="24"/>
          <w:szCs w:val="24"/>
          <w:lang w:val="en-US"/>
        </w:rPr>
        <w:t>This medicinal product does not require any special storage conditions.</w:t>
      </w:r>
    </w:p>
    <w:p w14:paraId="1517B5B1" w14:textId="77777777" w:rsidR="00442D34" w:rsidRPr="00AC03AF" w:rsidRDefault="00442D34" w:rsidP="00A6235F">
      <w:pPr>
        <w:suppressAutoHyphens/>
        <w:ind w:left="851"/>
        <w:rPr>
          <w:noProof/>
          <w:sz w:val="24"/>
          <w:szCs w:val="24"/>
          <w:lang w:val="en-US"/>
        </w:rPr>
      </w:pPr>
    </w:p>
    <w:p w14:paraId="49A1F9E1" w14:textId="77777777" w:rsidR="00442D34" w:rsidRPr="00AC03AF" w:rsidRDefault="00442D34" w:rsidP="00A6235F">
      <w:pPr>
        <w:suppressAutoHyphens/>
        <w:ind w:left="851"/>
        <w:rPr>
          <w:noProof/>
          <w:sz w:val="24"/>
          <w:szCs w:val="24"/>
          <w:lang w:val="en-US"/>
        </w:rPr>
      </w:pPr>
      <w:r w:rsidRPr="00AC03AF">
        <w:rPr>
          <w:noProof/>
          <w:sz w:val="24"/>
          <w:szCs w:val="24"/>
          <w:lang w:val="en-US"/>
        </w:rPr>
        <w:t>For storage conditions after reconstitution and dilution of the medicinal product, see section 6.3.</w:t>
      </w:r>
    </w:p>
    <w:p w14:paraId="38A73150" w14:textId="77777777" w:rsidR="007C5D2A" w:rsidRPr="00AC03AF" w:rsidRDefault="007C5D2A" w:rsidP="003E0341">
      <w:pPr>
        <w:tabs>
          <w:tab w:val="left" w:pos="851"/>
        </w:tabs>
        <w:ind w:left="851"/>
        <w:rPr>
          <w:sz w:val="24"/>
          <w:szCs w:val="24"/>
          <w:lang w:val="en-GB"/>
        </w:rPr>
      </w:pPr>
    </w:p>
    <w:p w14:paraId="011BA807" w14:textId="77777777" w:rsidR="007C5D2A" w:rsidRPr="00AC03AF" w:rsidRDefault="007C5D2A" w:rsidP="007C5D2A">
      <w:pPr>
        <w:ind w:left="851" w:hanging="851"/>
        <w:rPr>
          <w:b/>
          <w:sz w:val="24"/>
          <w:szCs w:val="24"/>
          <w:lang w:val="en-GB"/>
        </w:rPr>
      </w:pPr>
      <w:r w:rsidRPr="00AC03AF">
        <w:rPr>
          <w:b/>
          <w:sz w:val="24"/>
          <w:szCs w:val="24"/>
          <w:lang w:val="en-GB"/>
        </w:rPr>
        <w:t>6.5</w:t>
      </w:r>
      <w:r w:rsidRPr="00AC03AF">
        <w:rPr>
          <w:b/>
          <w:sz w:val="24"/>
          <w:szCs w:val="24"/>
          <w:lang w:val="en-GB"/>
        </w:rPr>
        <w:tab/>
        <w:t>Nature and contents of container</w:t>
      </w:r>
    </w:p>
    <w:p w14:paraId="689C1D1E" w14:textId="77777777" w:rsidR="00442D34" w:rsidRPr="00AC03AF" w:rsidRDefault="00442D34" w:rsidP="00A6235F">
      <w:pPr>
        <w:suppressAutoHyphens/>
        <w:ind w:left="851"/>
        <w:rPr>
          <w:noProof/>
          <w:sz w:val="24"/>
          <w:szCs w:val="24"/>
          <w:lang w:val="en-US"/>
        </w:rPr>
      </w:pPr>
      <w:r w:rsidRPr="00AC03AF">
        <w:rPr>
          <w:noProof/>
          <w:sz w:val="24"/>
          <w:szCs w:val="24"/>
          <w:lang w:val="en-US"/>
        </w:rPr>
        <w:t>Single-use 53 ml, clear transparent glass vial with chlorobutyl rubber stopper and a red aluminium flip off seal.</w:t>
      </w:r>
    </w:p>
    <w:p w14:paraId="4815EA47" w14:textId="77777777" w:rsidR="00442D34" w:rsidRPr="00AC03AF" w:rsidRDefault="00442D34" w:rsidP="00A6235F">
      <w:pPr>
        <w:suppressAutoHyphens/>
        <w:ind w:left="851"/>
        <w:rPr>
          <w:noProof/>
          <w:sz w:val="24"/>
          <w:szCs w:val="24"/>
          <w:highlight w:val="yellow"/>
          <w:lang w:val="en-US"/>
        </w:rPr>
      </w:pPr>
    </w:p>
    <w:p w14:paraId="0BC99298" w14:textId="77777777" w:rsidR="00442D34" w:rsidRPr="00867A3F" w:rsidRDefault="00442D34" w:rsidP="00A6235F">
      <w:pPr>
        <w:suppressAutoHyphens/>
        <w:ind w:left="851"/>
        <w:rPr>
          <w:noProof/>
          <w:sz w:val="24"/>
          <w:szCs w:val="24"/>
          <w:lang w:val="en-US"/>
        </w:rPr>
      </w:pPr>
      <w:r w:rsidRPr="00867A3F">
        <w:rPr>
          <w:noProof/>
          <w:sz w:val="24"/>
          <w:szCs w:val="24"/>
          <w:lang w:val="en-US"/>
        </w:rPr>
        <w:t>Each pack contains 1 vial.</w:t>
      </w:r>
    </w:p>
    <w:p w14:paraId="1A03883C" w14:textId="77777777" w:rsidR="007C5D2A" w:rsidRPr="00AC03AF" w:rsidRDefault="007C5D2A" w:rsidP="003E0341">
      <w:pPr>
        <w:tabs>
          <w:tab w:val="left" w:pos="851"/>
        </w:tabs>
        <w:ind w:left="851"/>
        <w:rPr>
          <w:sz w:val="24"/>
          <w:szCs w:val="24"/>
          <w:lang w:val="en-GB"/>
        </w:rPr>
      </w:pPr>
    </w:p>
    <w:p w14:paraId="148E2DC5" w14:textId="77777777" w:rsidR="007C5D2A" w:rsidRPr="00AC03AF" w:rsidRDefault="007C5D2A" w:rsidP="007C5D2A">
      <w:pPr>
        <w:ind w:left="851" w:hanging="851"/>
        <w:rPr>
          <w:b/>
          <w:sz w:val="24"/>
          <w:szCs w:val="24"/>
          <w:lang w:val="en-GB"/>
        </w:rPr>
      </w:pPr>
      <w:r w:rsidRPr="00AC03AF">
        <w:rPr>
          <w:b/>
          <w:sz w:val="24"/>
          <w:szCs w:val="24"/>
          <w:lang w:val="en-GB"/>
        </w:rPr>
        <w:t>6.6</w:t>
      </w:r>
      <w:r w:rsidRPr="00AC03AF">
        <w:rPr>
          <w:b/>
          <w:sz w:val="24"/>
          <w:szCs w:val="24"/>
          <w:lang w:val="en-GB"/>
        </w:rPr>
        <w:tab/>
        <w:t>Special precautions for disposal and other handling</w:t>
      </w:r>
    </w:p>
    <w:p w14:paraId="15A253E5" w14:textId="264061B8" w:rsidR="00442D34" w:rsidRPr="00AC03AF" w:rsidRDefault="00442D34" w:rsidP="00A6235F">
      <w:pPr>
        <w:suppressAutoHyphens/>
        <w:ind w:left="851"/>
        <w:rPr>
          <w:sz w:val="24"/>
          <w:szCs w:val="24"/>
          <w:lang w:val="en-US"/>
        </w:rPr>
      </w:pPr>
      <w:r w:rsidRPr="00AC03AF">
        <w:rPr>
          <w:sz w:val="24"/>
          <w:szCs w:val="24"/>
          <w:lang w:val="en-US"/>
        </w:rPr>
        <w:t xml:space="preserve">Dalbavancin </w:t>
      </w:r>
      <w:r w:rsidR="00437628">
        <w:rPr>
          <w:sz w:val="24"/>
          <w:szCs w:val="24"/>
          <w:lang w:val="en-US"/>
        </w:rPr>
        <w:t>"</w:t>
      </w:r>
      <w:r w:rsidRPr="00AC03AF">
        <w:rPr>
          <w:sz w:val="24"/>
          <w:szCs w:val="24"/>
          <w:lang w:val="en-US"/>
        </w:rPr>
        <w:t>Teva</w:t>
      </w:r>
      <w:r w:rsidR="00437628">
        <w:rPr>
          <w:sz w:val="24"/>
          <w:szCs w:val="24"/>
          <w:lang w:val="en-US"/>
        </w:rPr>
        <w:t>"</w:t>
      </w:r>
      <w:r w:rsidRPr="00AC03AF">
        <w:rPr>
          <w:sz w:val="24"/>
          <w:szCs w:val="24"/>
          <w:lang w:val="en-US"/>
        </w:rPr>
        <w:t xml:space="preserve"> must be reconstituted with sterile water for injections and subsequently diluted with 50 mg/ml (5%) glucose solution for infusion.</w:t>
      </w:r>
    </w:p>
    <w:p w14:paraId="0F793CD4" w14:textId="77777777" w:rsidR="00442D34" w:rsidRPr="00AC03AF" w:rsidRDefault="00442D34" w:rsidP="00A6235F">
      <w:pPr>
        <w:suppressAutoHyphens/>
        <w:ind w:left="851"/>
        <w:rPr>
          <w:sz w:val="24"/>
          <w:szCs w:val="24"/>
          <w:lang w:val="en-US"/>
        </w:rPr>
      </w:pPr>
    </w:p>
    <w:p w14:paraId="391F532E" w14:textId="016B3CB4" w:rsidR="00442D34" w:rsidRPr="00AC03AF" w:rsidRDefault="00442D34" w:rsidP="00A6235F">
      <w:pPr>
        <w:suppressAutoHyphens/>
        <w:ind w:left="851"/>
        <w:rPr>
          <w:sz w:val="24"/>
          <w:szCs w:val="24"/>
          <w:lang w:val="en-US"/>
        </w:rPr>
      </w:pPr>
      <w:r w:rsidRPr="00AC03AF">
        <w:rPr>
          <w:sz w:val="24"/>
          <w:szCs w:val="24"/>
          <w:lang w:val="en-US"/>
        </w:rPr>
        <w:t xml:space="preserve">Dalbavancin </w:t>
      </w:r>
      <w:r w:rsidR="00437628">
        <w:rPr>
          <w:sz w:val="24"/>
          <w:szCs w:val="24"/>
          <w:lang w:val="en-US"/>
        </w:rPr>
        <w:t>"</w:t>
      </w:r>
      <w:r w:rsidRPr="00AC03AF">
        <w:rPr>
          <w:sz w:val="24"/>
          <w:szCs w:val="24"/>
          <w:lang w:val="en-US"/>
        </w:rPr>
        <w:t>Teva</w:t>
      </w:r>
      <w:r w:rsidR="00437628">
        <w:rPr>
          <w:sz w:val="24"/>
          <w:szCs w:val="24"/>
          <w:lang w:val="en-US"/>
        </w:rPr>
        <w:t>"</w:t>
      </w:r>
      <w:r w:rsidRPr="00AC03AF">
        <w:rPr>
          <w:sz w:val="24"/>
          <w:szCs w:val="24"/>
          <w:lang w:val="en-US"/>
        </w:rPr>
        <w:t xml:space="preserve"> vials are for single-use only.</w:t>
      </w:r>
    </w:p>
    <w:p w14:paraId="01C6CE1A" w14:textId="77777777" w:rsidR="00442D34" w:rsidRPr="00AC03AF" w:rsidRDefault="00442D34" w:rsidP="00A6235F">
      <w:pPr>
        <w:suppressAutoHyphens/>
        <w:ind w:left="851"/>
        <w:rPr>
          <w:sz w:val="24"/>
          <w:szCs w:val="24"/>
          <w:lang w:val="en-US"/>
        </w:rPr>
      </w:pPr>
    </w:p>
    <w:p w14:paraId="42DD6C60" w14:textId="77777777" w:rsidR="00442D34" w:rsidRPr="00AC03AF" w:rsidRDefault="00442D34" w:rsidP="00A6235F">
      <w:pPr>
        <w:numPr>
          <w:ilvl w:val="12"/>
          <w:numId w:val="0"/>
        </w:numPr>
        <w:tabs>
          <w:tab w:val="left" w:pos="1304"/>
        </w:tabs>
        <w:suppressAutoHyphens/>
        <w:ind w:left="851" w:right="-2"/>
        <w:rPr>
          <w:noProof/>
          <w:sz w:val="24"/>
          <w:szCs w:val="24"/>
          <w:u w:val="single"/>
          <w:lang w:val="en-US"/>
        </w:rPr>
      </w:pPr>
      <w:r w:rsidRPr="00AC03AF">
        <w:rPr>
          <w:noProof/>
          <w:sz w:val="24"/>
          <w:szCs w:val="24"/>
          <w:u w:val="single"/>
          <w:lang w:val="en-US"/>
        </w:rPr>
        <w:t>Instructions for reconstitution and dilution</w:t>
      </w:r>
    </w:p>
    <w:p w14:paraId="439369CE" w14:textId="529AF7FE" w:rsidR="00442D34" w:rsidRPr="00AC03AF" w:rsidRDefault="00442D34" w:rsidP="00A6235F">
      <w:pPr>
        <w:numPr>
          <w:ilvl w:val="12"/>
          <w:numId w:val="0"/>
        </w:numPr>
        <w:tabs>
          <w:tab w:val="left" w:pos="1304"/>
        </w:tabs>
        <w:suppressAutoHyphens/>
        <w:ind w:left="851" w:right="-2"/>
        <w:rPr>
          <w:noProof/>
          <w:sz w:val="24"/>
          <w:szCs w:val="24"/>
          <w:lang w:val="en-US"/>
        </w:rPr>
      </w:pPr>
      <w:r w:rsidRPr="00AC03AF">
        <w:rPr>
          <w:noProof/>
          <w:sz w:val="24"/>
          <w:szCs w:val="24"/>
          <w:lang w:val="en-US"/>
        </w:rPr>
        <w:t xml:space="preserve">Aseptic technique must be used for reconstitution and dilution of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w:t>
      </w:r>
    </w:p>
    <w:p w14:paraId="094EE6E5" w14:textId="7DA84FFC"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The content of each vial must be reconstituted by slowly adding 25 ml of water for injections.</w:t>
      </w:r>
    </w:p>
    <w:p w14:paraId="32FC979D" w14:textId="65F072AD"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b/>
          <w:noProof/>
          <w:sz w:val="24"/>
          <w:szCs w:val="24"/>
          <w:lang w:val="en-US"/>
        </w:rPr>
        <w:t>Do not shake</w:t>
      </w:r>
      <w:r w:rsidRPr="00AC03AF">
        <w:rPr>
          <w:noProof/>
          <w:sz w:val="24"/>
          <w:szCs w:val="24"/>
          <w:lang w:val="en-US"/>
        </w:rPr>
        <w:t>. To avoid foaming, alternate between gentle swirling and inversion of the vial, until its contents are completely dissolved. The reconstitution time may be up to 5 minutes.</w:t>
      </w:r>
    </w:p>
    <w:p w14:paraId="1F513342" w14:textId="4A665EBA"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The reconstituted concentrate in the vial contains 20 mg /ml dalbavancin.</w:t>
      </w:r>
    </w:p>
    <w:p w14:paraId="092840EC" w14:textId="31505F2B"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The reconstituted concentrate must be a clear, colourless to yellow solution with no visible particles.</w:t>
      </w:r>
    </w:p>
    <w:p w14:paraId="684F5E52" w14:textId="7B3ECA37"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The reconstituted concentrate must be further diluted with 50 mg/ml (5%) glucose solution for infusion.</w:t>
      </w:r>
    </w:p>
    <w:p w14:paraId="47E25FA8" w14:textId="6730F03F"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To dilute the reconstituted concentrate, the appropriate volume of the 20 mg/ml concentrate must be transferred from the vial to an intravenous bag or bottle containing 50 mg/ml (5%) glucose solution for infusion. For example: 25 ml of the concentrate contains 500 mg dalbavancin.</w:t>
      </w:r>
    </w:p>
    <w:p w14:paraId="527C9123" w14:textId="7C919DB9"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After dilution the solution for infusion must have a final concentration of 1 to 5 mg/ml dalbavancin</w:t>
      </w:r>
    </w:p>
    <w:p w14:paraId="0FD8D524" w14:textId="5A0FC2FD"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The solution for infusion must be clear, colourless to yellow solution with no visible particles.</w:t>
      </w:r>
    </w:p>
    <w:p w14:paraId="0C758F5D" w14:textId="5FD0B357" w:rsidR="00442D34" w:rsidRPr="00AC03AF" w:rsidRDefault="00442D34" w:rsidP="00A6235F">
      <w:pPr>
        <w:pStyle w:val="Listeafsnit"/>
        <w:numPr>
          <w:ilvl w:val="0"/>
          <w:numId w:val="10"/>
        </w:numPr>
        <w:suppressAutoHyphens/>
        <w:ind w:left="1276" w:right="-2" w:hanging="425"/>
        <w:rPr>
          <w:noProof/>
          <w:sz w:val="24"/>
          <w:szCs w:val="24"/>
          <w:lang w:val="en-US"/>
        </w:rPr>
      </w:pPr>
      <w:r w:rsidRPr="00AC03AF">
        <w:rPr>
          <w:noProof/>
          <w:sz w:val="24"/>
          <w:szCs w:val="24"/>
          <w:lang w:val="en-US"/>
        </w:rPr>
        <w:t>If particulate matter or discoloration is identified, the solution must be discarded.</w:t>
      </w:r>
    </w:p>
    <w:p w14:paraId="150988A0" w14:textId="77777777" w:rsidR="00442D34" w:rsidRPr="00AC03AF" w:rsidRDefault="00442D34" w:rsidP="00811AEA">
      <w:pPr>
        <w:numPr>
          <w:ilvl w:val="12"/>
          <w:numId w:val="0"/>
        </w:numPr>
        <w:suppressAutoHyphens/>
        <w:ind w:left="851" w:right="-2"/>
        <w:rPr>
          <w:noProof/>
          <w:sz w:val="24"/>
          <w:szCs w:val="24"/>
          <w:lang w:val="en-US"/>
        </w:rPr>
      </w:pPr>
    </w:p>
    <w:p w14:paraId="29CB318D" w14:textId="57321467" w:rsidR="00442D34" w:rsidRPr="00AC03AF" w:rsidRDefault="00442D34" w:rsidP="00A6235F">
      <w:pPr>
        <w:ind w:left="851"/>
        <w:rPr>
          <w:noProof/>
          <w:sz w:val="24"/>
          <w:szCs w:val="24"/>
          <w:lang w:val="en-US"/>
        </w:rPr>
      </w:pPr>
      <w:r w:rsidRPr="00AC03AF">
        <w:rPr>
          <w:noProof/>
          <w:sz w:val="24"/>
          <w:szCs w:val="24"/>
          <w:lang w:val="en-US"/>
        </w:rPr>
        <w:t xml:space="preserve">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must not be mixed with other medicinal products or intravenous solutions. Sodium chloride containing solutions can cause precipitation and should NOT be used for reconstitution or dilution. The compatibility of reconstituted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concentrate has only been established with 50 mg/ml (5%) glucose solution for infusion.</w:t>
      </w:r>
    </w:p>
    <w:p w14:paraId="7338B660" w14:textId="77777777" w:rsidR="00442D34" w:rsidRPr="00AC03AF" w:rsidRDefault="00442D34" w:rsidP="00A6235F">
      <w:pPr>
        <w:ind w:left="851"/>
        <w:rPr>
          <w:noProof/>
          <w:sz w:val="24"/>
          <w:szCs w:val="24"/>
          <w:lang w:val="en-US"/>
        </w:rPr>
      </w:pPr>
    </w:p>
    <w:p w14:paraId="61B97E01" w14:textId="18785BB7" w:rsidR="00442D34" w:rsidRPr="00AC03AF" w:rsidRDefault="00442D34" w:rsidP="00A6235F">
      <w:pPr>
        <w:ind w:left="851"/>
        <w:rPr>
          <w:noProof/>
          <w:sz w:val="24"/>
          <w:szCs w:val="24"/>
          <w:lang w:val="en-US"/>
        </w:rPr>
      </w:pPr>
      <w:r w:rsidRPr="00AC03AF">
        <w:rPr>
          <w:noProof/>
          <w:sz w:val="24"/>
          <w:szCs w:val="24"/>
          <w:lang w:val="en-US"/>
        </w:rPr>
        <w:t xml:space="preserve">If a common intravenous line is being used to administer other medicinal products in addition to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the line should be flushed before and after each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infusion with 5% glucose solution for infusion.</w:t>
      </w:r>
    </w:p>
    <w:p w14:paraId="2423D364" w14:textId="77777777" w:rsidR="00442D34" w:rsidRPr="00AC03AF" w:rsidRDefault="00442D34" w:rsidP="00A6235F">
      <w:pPr>
        <w:ind w:left="851"/>
        <w:rPr>
          <w:noProof/>
          <w:sz w:val="24"/>
          <w:szCs w:val="24"/>
          <w:lang w:val="en-US"/>
        </w:rPr>
      </w:pPr>
    </w:p>
    <w:p w14:paraId="0D7173CE" w14:textId="77777777" w:rsidR="00442D34" w:rsidRPr="00AC03AF" w:rsidRDefault="00442D34" w:rsidP="00A6235F">
      <w:pPr>
        <w:ind w:left="851"/>
        <w:rPr>
          <w:noProof/>
          <w:sz w:val="24"/>
          <w:szCs w:val="24"/>
          <w:u w:val="single"/>
          <w:lang w:val="en-US"/>
        </w:rPr>
      </w:pPr>
      <w:r w:rsidRPr="00AC03AF">
        <w:rPr>
          <w:noProof/>
          <w:sz w:val="24"/>
          <w:szCs w:val="24"/>
          <w:u w:val="single"/>
          <w:lang w:val="en-US"/>
        </w:rPr>
        <w:t>Use in the paediatric population</w:t>
      </w:r>
    </w:p>
    <w:p w14:paraId="54745C75" w14:textId="74AC8F49" w:rsidR="00442D34" w:rsidRPr="00AC03AF" w:rsidRDefault="00442D34" w:rsidP="00A6235F">
      <w:pPr>
        <w:ind w:left="851"/>
        <w:rPr>
          <w:noProof/>
          <w:sz w:val="24"/>
          <w:szCs w:val="24"/>
          <w:lang w:val="en-US"/>
        </w:rPr>
      </w:pPr>
      <w:r w:rsidRPr="00AC03AF">
        <w:rPr>
          <w:noProof/>
          <w:sz w:val="24"/>
          <w:szCs w:val="24"/>
          <w:lang w:val="en-US"/>
        </w:rPr>
        <w:t xml:space="preserve">For paediatric patients, the dose of Dalbavancin </w:t>
      </w:r>
      <w:r w:rsidR="00437628">
        <w:rPr>
          <w:noProof/>
          <w:sz w:val="24"/>
          <w:szCs w:val="24"/>
          <w:lang w:val="en-US"/>
        </w:rPr>
        <w:t>"</w:t>
      </w:r>
      <w:r w:rsidRPr="00AC03AF">
        <w:rPr>
          <w:noProof/>
          <w:sz w:val="24"/>
          <w:szCs w:val="24"/>
          <w:lang w:val="en-US"/>
        </w:rPr>
        <w:t>Teva</w:t>
      </w:r>
      <w:r w:rsidR="00437628">
        <w:rPr>
          <w:noProof/>
          <w:sz w:val="24"/>
          <w:szCs w:val="24"/>
          <w:lang w:val="en-US"/>
        </w:rPr>
        <w:t>"</w:t>
      </w:r>
      <w:r w:rsidRPr="00AC03AF">
        <w:rPr>
          <w:noProof/>
          <w:sz w:val="24"/>
          <w:szCs w:val="24"/>
          <w:lang w:val="en-US"/>
        </w:rPr>
        <w:t xml:space="preserve"> will vary according to the age and weight of the child up to a maximum of 1 500 mg. Transfer the required dose of reconstituted dalbavancin solution, according to the instructions above, based on the child’s weight, from the vial to an intravenous bag or bottle containing 50 mg/ml (5%) glucose solution for infusion. The diluted solution must have a final dalbavancin concentration of 1 to 5 mg/ml.</w:t>
      </w:r>
    </w:p>
    <w:p w14:paraId="0F0BDE4E" w14:textId="77777777" w:rsidR="00442D34" w:rsidRPr="00AC03AF" w:rsidRDefault="00442D34" w:rsidP="00A6235F">
      <w:pPr>
        <w:ind w:left="851"/>
        <w:rPr>
          <w:sz w:val="24"/>
          <w:szCs w:val="24"/>
          <w:highlight w:val="yellow"/>
          <w:lang w:val="en-US"/>
        </w:rPr>
      </w:pPr>
    </w:p>
    <w:p w14:paraId="555C1C18" w14:textId="77777777" w:rsidR="00442D34" w:rsidRPr="00AC03AF" w:rsidRDefault="00442D34" w:rsidP="00A6235F">
      <w:pPr>
        <w:ind w:left="851"/>
        <w:rPr>
          <w:sz w:val="24"/>
          <w:szCs w:val="24"/>
          <w:lang w:val="en-US"/>
        </w:rPr>
      </w:pPr>
      <w:r w:rsidRPr="00AC03AF">
        <w:rPr>
          <w:sz w:val="24"/>
          <w:szCs w:val="24"/>
          <w:lang w:val="en-US"/>
        </w:rPr>
        <w:t xml:space="preserve">Table 4 below provides information to prepare an infusion solution with a final concentration of 2 mg/ml or 5 mg/ml (sufficient for most scenarios), to be administered by syringe pump, to achieve a dose of 22.5 mg/kg in paediatric patients from 3 to 12 months of age weighing from 3 to 12 kg. Alternative concentrations may be prepared but must have a final concentration range of 1 to 5 mg/ml of dalbavancin. Refer to Table 4 to confirm the calculations. Values shown are approximate. Note that the table is NOT inclusive of all possible calculated doses for every age group but may be </w:t>
      </w:r>
      <w:proofErr w:type="spellStart"/>
      <w:r w:rsidRPr="00AC03AF">
        <w:rPr>
          <w:sz w:val="24"/>
          <w:szCs w:val="24"/>
          <w:lang w:val="en-US"/>
        </w:rPr>
        <w:t>utilised</w:t>
      </w:r>
      <w:proofErr w:type="spellEnd"/>
      <w:r w:rsidRPr="00AC03AF">
        <w:rPr>
          <w:sz w:val="24"/>
          <w:szCs w:val="24"/>
          <w:lang w:val="en-US"/>
        </w:rPr>
        <w:t xml:space="preserve"> to estimate the approximate volume to verify the calculation.</w:t>
      </w:r>
    </w:p>
    <w:p w14:paraId="49AEA2AE" w14:textId="77777777" w:rsidR="00442D34" w:rsidRPr="00AC03AF" w:rsidRDefault="00442D34" w:rsidP="00A6235F">
      <w:pPr>
        <w:ind w:left="851"/>
        <w:rPr>
          <w:sz w:val="24"/>
          <w:szCs w:val="24"/>
          <w:highlight w:val="yellow"/>
          <w:lang w:val="en-US"/>
        </w:rPr>
      </w:pPr>
    </w:p>
    <w:p w14:paraId="4BA3BE82" w14:textId="1B0BFA9B" w:rsidR="00442D34" w:rsidRPr="00AC03AF" w:rsidRDefault="00442D34" w:rsidP="00442D34">
      <w:pPr>
        <w:keepNext/>
        <w:suppressAutoHyphens/>
        <w:ind w:left="1134" w:hanging="1134"/>
        <w:rPr>
          <w:b/>
          <w:sz w:val="24"/>
          <w:szCs w:val="24"/>
          <w:lang w:val="en-US"/>
        </w:rPr>
      </w:pPr>
      <w:r w:rsidRPr="00AC03AF">
        <w:rPr>
          <w:b/>
          <w:sz w:val="24"/>
          <w:szCs w:val="24"/>
          <w:lang w:val="en-US"/>
        </w:rPr>
        <w:t>Table 4:</w:t>
      </w:r>
      <w:r w:rsidRPr="00AC03AF">
        <w:rPr>
          <w:b/>
          <w:sz w:val="24"/>
          <w:szCs w:val="24"/>
          <w:lang w:val="en-US"/>
        </w:rPr>
        <w:tab/>
        <w:t xml:space="preserve">Preparation of Dalbavancin </w:t>
      </w:r>
      <w:r w:rsidR="00437628">
        <w:rPr>
          <w:b/>
          <w:sz w:val="24"/>
          <w:szCs w:val="24"/>
          <w:lang w:val="en-US"/>
        </w:rPr>
        <w:t>"</w:t>
      </w:r>
      <w:r w:rsidRPr="00AC03AF">
        <w:rPr>
          <w:b/>
          <w:sz w:val="24"/>
          <w:szCs w:val="24"/>
          <w:lang w:val="en-US"/>
        </w:rPr>
        <w:t>Teva</w:t>
      </w:r>
      <w:r w:rsidR="00437628">
        <w:rPr>
          <w:b/>
          <w:sz w:val="24"/>
          <w:szCs w:val="24"/>
          <w:lang w:val="en-US"/>
        </w:rPr>
        <w:t>"</w:t>
      </w:r>
      <w:r w:rsidRPr="00AC03AF">
        <w:rPr>
          <w:b/>
          <w:sz w:val="24"/>
          <w:szCs w:val="24"/>
          <w:lang w:val="en-US"/>
        </w:rPr>
        <w:t xml:space="preserve"> (final infusion concentration 2 mg/ml or 5 mg/ml to be administered by syringe pump) in paediatric patients aged 3 to 12 months (22.5 mg/kg dose)</w:t>
      </w:r>
    </w:p>
    <w:tbl>
      <w:tblPr>
        <w:tblStyle w:val="Tabel-Gitter"/>
        <w:tblW w:w="5000" w:type="pct"/>
        <w:tblInd w:w="0" w:type="dxa"/>
        <w:tblLook w:val="04A0" w:firstRow="1" w:lastRow="0" w:firstColumn="1" w:lastColumn="0" w:noHBand="0" w:noVBand="1"/>
      </w:tblPr>
      <w:tblGrid>
        <w:gridCol w:w="1606"/>
        <w:gridCol w:w="1606"/>
        <w:gridCol w:w="1604"/>
        <w:gridCol w:w="1604"/>
        <w:gridCol w:w="1604"/>
        <w:gridCol w:w="1604"/>
      </w:tblGrid>
      <w:tr w:rsidR="00442D34" w:rsidRPr="00867A3F" w14:paraId="359ACD00" w14:textId="77777777" w:rsidTr="00A6235F">
        <w:trPr>
          <w:tblHeader/>
        </w:trPr>
        <w:tc>
          <w:tcPr>
            <w:tcW w:w="834" w:type="pct"/>
            <w:tcBorders>
              <w:top w:val="single" w:sz="4" w:space="0" w:color="auto"/>
              <w:left w:val="single" w:sz="4" w:space="0" w:color="auto"/>
              <w:bottom w:val="single" w:sz="4" w:space="0" w:color="auto"/>
              <w:right w:val="single" w:sz="4" w:space="0" w:color="auto"/>
            </w:tcBorders>
            <w:hideMark/>
          </w:tcPr>
          <w:p w14:paraId="63D05E23"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Patient Weight (kg)</w:t>
            </w:r>
          </w:p>
        </w:tc>
        <w:tc>
          <w:tcPr>
            <w:tcW w:w="834" w:type="pct"/>
            <w:tcBorders>
              <w:top w:val="single" w:sz="4" w:space="0" w:color="auto"/>
              <w:left w:val="single" w:sz="4" w:space="0" w:color="auto"/>
              <w:bottom w:val="single" w:sz="4" w:space="0" w:color="auto"/>
              <w:right w:val="single" w:sz="4" w:space="0" w:color="auto"/>
            </w:tcBorders>
            <w:hideMark/>
          </w:tcPr>
          <w:p w14:paraId="4BB8478B"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Dose (mg) to achieve 22.5 mg/kg</w:t>
            </w:r>
          </w:p>
        </w:tc>
        <w:tc>
          <w:tcPr>
            <w:tcW w:w="833" w:type="pct"/>
            <w:tcBorders>
              <w:top w:val="single" w:sz="4" w:space="0" w:color="auto"/>
              <w:left w:val="single" w:sz="4" w:space="0" w:color="auto"/>
              <w:bottom w:val="single" w:sz="4" w:space="0" w:color="auto"/>
              <w:right w:val="single" w:sz="4" w:space="0" w:color="auto"/>
            </w:tcBorders>
            <w:hideMark/>
          </w:tcPr>
          <w:p w14:paraId="779D8FBC"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Volume of reconstituted dalbavancin solution (20 mg/ml) to be withdrawn from vial (ml)</w:t>
            </w:r>
          </w:p>
        </w:tc>
        <w:tc>
          <w:tcPr>
            <w:tcW w:w="833" w:type="pct"/>
            <w:tcBorders>
              <w:top w:val="single" w:sz="4" w:space="0" w:color="auto"/>
              <w:left w:val="single" w:sz="4" w:space="0" w:color="auto"/>
              <w:bottom w:val="single" w:sz="4" w:space="0" w:color="auto"/>
              <w:right w:val="single" w:sz="4" w:space="0" w:color="auto"/>
            </w:tcBorders>
            <w:hideMark/>
          </w:tcPr>
          <w:p w14:paraId="72A0233E"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Volume of diluent 50 mg/ml (5%) glucose solution to add for mixing (ml)</w:t>
            </w:r>
          </w:p>
        </w:tc>
        <w:tc>
          <w:tcPr>
            <w:tcW w:w="833" w:type="pct"/>
            <w:tcBorders>
              <w:top w:val="single" w:sz="4" w:space="0" w:color="auto"/>
              <w:left w:val="single" w:sz="4" w:space="0" w:color="auto"/>
              <w:bottom w:val="single" w:sz="4" w:space="0" w:color="auto"/>
              <w:right w:val="single" w:sz="4" w:space="0" w:color="auto"/>
            </w:tcBorders>
            <w:hideMark/>
          </w:tcPr>
          <w:p w14:paraId="0474FCC9"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Final dalbavancin infusion solution concentration</w:t>
            </w:r>
          </w:p>
        </w:tc>
        <w:tc>
          <w:tcPr>
            <w:tcW w:w="834" w:type="pct"/>
            <w:tcBorders>
              <w:top w:val="single" w:sz="4" w:space="0" w:color="auto"/>
              <w:left w:val="single" w:sz="4" w:space="0" w:color="auto"/>
              <w:bottom w:val="single" w:sz="4" w:space="0" w:color="auto"/>
              <w:right w:val="single" w:sz="4" w:space="0" w:color="auto"/>
            </w:tcBorders>
            <w:hideMark/>
          </w:tcPr>
          <w:p w14:paraId="171256DB"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Total Volume Dosed by syringe pump (ml)</w:t>
            </w:r>
          </w:p>
        </w:tc>
      </w:tr>
      <w:tr w:rsidR="00442D34" w:rsidRPr="00AC03AF" w14:paraId="7676CAEA"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0EB750BF"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3</w:t>
            </w:r>
          </w:p>
        </w:tc>
        <w:tc>
          <w:tcPr>
            <w:tcW w:w="834" w:type="pct"/>
            <w:tcBorders>
              <w:top w:val="single" w:sz="4" w:space="0" w:color="auto"/>
              <w:left w:val="single" w:sz="4" w:space="0" w:color="auto"/>
              <w:bottom w:val="single" w:sz="4" w:space="0" w:color="auto"/>
              <w:right w:val="single" w:sz="4" w:space="0" w:color="auto"/>
            </w:tcBorders>
            <w:hideMark/>
          </w:tcPr>
          <w:p w14:paraId="29A15766"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67.5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2DA2BDBF"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10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57560C1F"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90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1B1BE2E5"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2 mg/ml</w:t>
            </w:r>
          </w:p>
        </w:tc>
        <w:tc>
          <w:tcPr>
            <w:tcW w:w="834" w:type="pct"/>
            <w:tcBorders>
              <w:top w:val="single" w:sz="4" w:space="0" w:color="auto"/>
              <w:left w:val="single" w:sz="4" w:space="0" w:color="auto"/>
              <w:bottom w:val="single" w:sz="4" w:space="0" w:color="auto"/>
              <w:right w:val="single" w:sz="4" w:space="0" w:color="auto"/>
            </w:tcBorders>
            <w:hideMark/>
          </w:tcPr>
          <w:p w14:paraId="17DC38AC"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33.8</w:t>
            </w:r>
          </w:p>
        </w:tc>
      </w:tr>
      <w:tr w:rsidR="00442D34" w:rsidRPr="00AC03AF" w14:paraId="0DB8DD48"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46536832"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4</w:t>
            </w:r>
          </w:p>
        </w:tc>
        <w:tc>
          <w:tcPr>
            <w:tcW w:w="834" w:type="pct"/>
            <w:tcBorders>
              <w:top w:val="single" w:sz="4" w:space="0" w:color="auto"/>
              <w:left w:val="single" w:sz="4" w:space="0" w:color="auto"/>
              <w:bottom w:val="single" w:sz="4" w:space="0" w:color="auto"/>
              <w:right w:val="single" w:sz="4" w:space="0" w:color="auto"/>
            </w:tcBorders>
            <w:hideMark/>
          </w:tcPr>
          <w:p w14:paraId="08D1234E"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90.0</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A441258"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00809DDA"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1346C8A"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3334DAC1"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45.0</w:t>
            </w:r>
          </w:p>
        </w:tc>
      </w:tr>
      <w:tr w:rsidR="00442D34" w:rsidRPr="00AC03AF" w14:paraId="3AD457CC"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080DCB5B"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5</w:t>
            </w:r>
          </w:p>
        </w:tc>
        <w:tc>
          <w:tcPr>
            <w:tcW w:w="834" w:type="pct"/>
            <w:tcBorders>
              <w:top w:val="single" w:sz="4" w:space="0" w:color="auto"/>
              <w:left w:val="single" w:sz="4" w:space="0" w:color="auto"/>
              <w:bottom w:val="single" w:sz="4" w:space="0" w:color="auto"/>
              <w:right w:val="single" w:sz="4" w:space="0" w:color="auto"/>
            </w:tcBorders>
            <w:hideMark/>
          </w:tcPr>
          <w:p w14:paraId="143F1E61"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112.5</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47D2B2E"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0EE6989"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3553A734"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5424816"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56.3</w:t>
            </w:r>
          </w:p>
        </w:tc>
      </w:tr>
      <w:tr w:rsidR="00442D34" w:rsidRPr="00AC03AF" w14:paraId="4545D064"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7F3904D9"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6</w:t>
            </w:r>
          </w:p>
        </w:tc>
        <w:tc>
          <w:tcPr>
            <w:tcW w:w="834" w:type="pct"/>
            <w:tcBorders>
              <w:top w:val="single" w:sz="4" w:space="0" w:color="auto"/>
              <w:left w:val="single" w:sz="4" w:space="0" w:color="auto"/>
              <w:bottom w:val="single" w:sz="4" w:space="0" w:color="auto"/>
              <w:right w:val="single" w:sz="4" w:space="0" w:color="auto"/>
            </w:tcBorders>
            <w:hideMark/>
          </w:tcPr>
          <w:p w14:paraId="497BED92"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135.0</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3255D3E1"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21AE306A"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32840589"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0DD52700"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67.5</w:t>
            </w:r>
          </w:p>
        </w:tc>
      </w:tr>
      <w:tr w:rsidR="00442D34" w:rsidRPr="00AC03AF" w14:paraId="2E167FC3"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2258584F"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7</w:t>
            </w:r>
          </w:p>
        </w:tc>
        <w:tc>
          <w:tcPr>
            <w:tcW w:w="834" w:type="pct"/>
            <w:tcBorders>
              <w:top w:val="single" w:sz="4" w:space="0" w:color="auto"/>
              <w:left w:val="single" w:sz="4" w:space="0" w:color="auto"/>
              <w:bottom w:val="single" w:sz="4" w:space="0" w:color="auto"/>
              <w:right w:val="single" w:sz="4" w:space="0" w:color="auto"/>
            </w:tcBorders>
            <w:hideMark/>
          </w:tcPr>
          <w:p w14:paraId="32408938"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157.5</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70DCFDDC"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903DCED"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43F619D"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1E90A4FF"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78.8</w:t>
            </w:r>
          </w:p>
        </w:tc>
      </w:tr>
      <w:tr w:rsidR="00442D34" w:rsidRPr="00AC03AF" w14:paraId="398C5518"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30302D5D"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8</w:t>
            </w:r>
          </w:p>
        </w:tc>
        <w:tc>
          <w:tcPr>
            <w:tcW w:w="834" w:type="pct"/>
            <w:tcBorders>
              <w:top w:val="single" w:sz="4" w:space="0" w:color="auto"/>
              <w:left w:val="single" w:sz="4" w:space="0" w:color="auto"/>
              <w:bottom w:val="single" w:sz="4" w:space="0" w:color="auto"/>
              <w:right w:val="single" w:sz="4" w:space="0" w:color="auto"/>
            </w:tcBorders>
            <w:hideMark/>
          </w:tcPr>
          <w:p w14:paraId="4349143D"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180.0</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59A3EA0"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961717D"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A4BC1CB"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27566C7A"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90.0</w:t>
            </w:r>
          </w:p>
        </w:tc>
      </w:tr>
      <w:tr w:rsidR="00442D34" w:rsidRPr="00AC03AF" w14:paraId="0E99D214"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57A94C37"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9</w:t>
            </w:r>
          </w:p>
        </w:tc>
        <w:tc>
          <w:tcPr>
            <w:tcW w:w="834" w:type="pct"/>
            <w:tcBorders>
              <w:top w:val="single" w:sz="4" w:space="0" w:color="auto"/>
              <w:left w:val="single" w:sz="4" w:space="0" w:color="auto"/>
              <w:bottom w:val="single" w:sz="4" w:space="0" w:color="auto"/>
              <w:right w:val="single" w:sz="4" w:space="0" w:color="auto"/>
            </w:tcBorders>
            <w:hideMark/>
          </w:tcPr>
          <w:p w14:paraId="14DDB34C"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202.5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183431DE"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20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2569E186"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60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9FD9D48" w14:textId="77777777" w:rsidR="00442D34" w:rsidRPr="00AC03AF" w:rsidRDefault="00442D34">
            <w:pPr>
              <w:numPr>
                <w:ilvl w:val="12"/>
                <w:numId w:val="0"/>
              </w:numPr>
              <w:tabs>
                <w:tab w:val="left" w:pos="1304"/>
              </w:tabs>
              <w:suppressAutoHyphens/>
              <w:ind w:right="-2"/>
              <w:jc w:val="center"/>
              <w:rPr>
                <w:noProof/>
                <w:sz w:val="24"/>
                <w:szCs w:val="24"/>
              </w:rPr>
            </w:pPr>
            <w:r w:rsidRPr="00AC03AF">
              <w:rPr>
                <w:noProof/>
                <w:sz w:val="24"/>
                <w:szCs w:val="24"/>
              </w:rPr>
              <w:t>5 mg/ml</w:t>
            </w:r>
          </w:p>
        </w:tc>
        <w:tc>
          <w:tcPr>
            <w:tcW w:w="834" w:type="pct"/>
            <w:tcBorders>
              <w:top w:val="single" w:sz="4" w:space="0" w:color="auto"/>
              <w:left w:val="single" w:sz="4" w:space="0" w:color="auto"/>
              <w:bottom w:val="single" w:sz="4" w:space="0" w:color="auto"/>
              <w:right w:val="single" w:sz="4" w:space="0" w:color="auto"/>
            </w:tcBorders>
            <w:hideMark/>
          </w:tcPr>
          <w:p w14:paraId="4187B78F"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40.5</w:t>
            </w:r>
          </w:p>
        </w:tc>
      </w:tr>
      <w:tr w:rsidR="00442D34" w:rsidRPr="00AC03AF" w14:paraId="0F274A4B"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3E1CF6AC"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10</w:t>
            </w:r>
          </w:p>
        </w:tc>
        <w:tc>
          <w:tcPr>
            <w:tcW w:w="834" w:type="pct"/>
            <w:tcBorders>
              <w:top w:val="single" w:sz="4" w:space="0" w:color="auto"/>
              <w:left w:val="single" w:sz="4" w:space="0" w:color="auto"/>
              <w:bottom w:val="single" w:sz="4" w:space="0" w:color="auto"/>
              <w:right w:val="single" w:sz="4" w:space="0" w:color="auto"/>
            </w:tcBorders>
            <w:hideMark/>
          </w:tcPr>
          <w:p w14:paraId="7830012B"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225.0</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64A9C2E8"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FA73AE3"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2D8AF2EE"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46964D7B"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45.0</w:t>
            </w:r>
          </w:p>
        </w:tc>
      </w:tr>
      <w:tr w:rsidR="00442D34" w:rsidRPr="00AC03AF" w14:paraId="49CC9E24"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7159D438"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11</w:t>
            </w:r>
          </w:p>
        </w:tc>
        <w:tc>
          <w:tcPr>
            <w:tcW w:w="834" w:type="pct"/>
            <w:tcBorders>
              <w:top w:val="single" w:sz="4" w:space="0" w:color="auto"/>
              <w:left w:val="single" w:sz="4" w:space="0" w:color="auto"/>
              <w:bottom w:val="single" w:sz="4" w:space="0" w:color="auto"/>
              <w:right w:val="single" w:sz="4" w:space="0" w:color="auto"/>
            </w:tcBorders>
            <w:hideMark/>
          </w:tcPr>
          <w:p w14:paraId="1E2F524B"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247.5</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874DB18"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5605E502"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3B2F6DE5"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2597C0CF"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49.5</w:t>
            </w:r>
          </w:p>
        </w:tc>
      </w:tr>
      <w:tr w:rsidR="00442D34" w:rsidRPr="00AC03AF" w14:paraId="27113427" w14:textId="77777777" w:rsidTr="00A6235F">
        <w:tc>
          <w:tcPr>
            <w:tcW w:w="834" w:type="pct"/>
            <w:tcBorders>
              <w:top w:val="single" w:sz="4" w:space="0" w:color="auto"/>
              <w:left w:val="single" w:sz="4" w:space="0" w:color="auto"/>
              <w:bottom w:val="single" w:sz="4" w:space="0" w:color="auto"/>
              <w:right w:val="single" w:sz="4" w:space="0" w:color="auto"/>
            </w:tcBorders>
            <w:hideMark/>
          </w:tcPr>
          <w:p w14:paraId="49DB95DB"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12</w:t>
            </w:r>
          </w:p>
        </w:tc>
        <w:tc>
          <w:tcPr>
            <w:tcW w:w="834" w:type="pct"/>
            <w:tcBorders>
              <w:top w:val="single" w:sz="4" w:space="0" w:color="auto"/>
              <w:left w:val="single" w:sz="4" w:space="0" w:color="auto"/>
              <w:bottom w:val="single" w:sz="4" w:space="0" w:color="auto"/>
              <w:right w:val="single" w:sz="4" w:space="0" w:color="auto"/>
            </w:tcBorders>
            <w:hideMark/>
          </w:tcPr>
          <w:p w14:paraId="0810D70B"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270.0</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0916645E"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3B15136F" w14:textId="77777777" w:rsidR="00442D34" w:rsidRPr="00AC03AF" w:rsidRDefault="00442D34">
            <w:pPr>
              <w:rPr>
                <w:rFonts w:eastAsia="Times New Roman"/>
                <w:noProof/>
                <w:sz w:val="24"/>
                <w:szCs w:val="24"/>
                <w:lang w:eastAsia="en-US"/>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32976663" w14:textId="77777777" w:rsidR="00442D34" w:rsidRPr="00AC03AF" w:rsidRDefault="00442D3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753FAE5E" w14:textId="77777777" w:rsidR="00442D34" w:rsidRPr="00AC03AF" w:rsidRDefault="00442D34">
            <w:pPr>
              <w:numPr>
                <w:ilvl w:val="12"/>
                <w:numId w:val="0"/>
              </w:numPr>
              <w:tabs>
                <w:tab w:val="left" w:pos="1304"/>
              </w:tabs>
              <w:suppressAutoHyphens/>
              <w:ind w:right="-2"/>
              <w:rPr>
                <w:noProof/>
                <w:sz w:val="24"/>
                <w:szCs w:val="24"/>
              </w:rPr>
            </w:pPr>
            <w:r w:rsidRPr="00AC03AF">
              <w:rPr>
                <w:noProof/>
                <w:sz w:val="24"/>
                <w:szCs w:val="24"/>
              </w:rPr>
              <w:t>54.0</w:t>
            </w:r>
          </w:p>
        </w:tc>
      </w:tr>
    </w:tbl>
    <w:p w14:paraId="5A0A7423" w14:textId="77777777" w:rsidR="00442D34" w:rsidRPr="00AC03AF" w:rsidRDefault="00442D34" w:rsidP="00442D34">
      <w:pPr>
        <w:suppressAutoHyphens/>
        <w:rPr>
          <w:noProof/>
          <w:sz w:val="24"/>
          <w:szCs w:val="24"/>
          <w:lang w:val="en-GB" w:eastAsia="en-US"/>
        </w:rPr>
      </w:pPr>
    </w:p>
    <w:p w14:paraId="5E1656DA" w14:textId="77777777" w:rsidR="00442D34" w:rsidRPr="00811AEA" w:rsidRDefault="00442D34" w:rsidP="00A6235F">
      <w:pPr>
        <w:ind w:left="851"/>
        <w:rPr>
          <w:noProof/>
          <w:sz w:val="24"/>
          <w:szCs w:val="24"/>
          <w:u w:val="single"/>
        </w:rPr>
      </w:pPr>
      <w:r w:rsidRPr="00811AEA">
        <w:rPr>
          <w:noProof/>
          <w:sz w:val="24"/>
          <w:szCs w:val="24"/>
          <w:u w:val="single"/>
        </w:rPr>
        <w:t>Disposal</w:t>
      </w:r>
    </w:p>
    <w:p w14:paraId="1A0ED7DE" w14:textId="77777777" w:rsidR="00442D34" w:rsidRPr="00AC03AF" w:rsidRDefault="00442D34" w:rsidP="00A6235F">
      <w:pPr>
        <w:ind w:left="851"/>
        <w:rPr>
          <w:noProof/>
          <w:sz w:val="24"/>
          <w:szCs w:val="24"/>
          <w:lang w:val="en-US"/>
        </w:rPr>
      </w:pPr>
      <w:r w:rsidRPr="00AC03AF">
        <w:rPr>
          <w:noProof/>
          <w:sz w:val="24"/>
          <w:szCs w:val="24"/>
          <w:lang w:val="en-US"/>
        </w:rPr>
        <w:t>Discard any portion of the reconstituted solution that remains unused.</w:t>
      </w:r>
    </w:p>
    <w:p w14:paraId="467C1DFD" w14:textId="77777777" w:rsidR="00442D34" w:rsidRPr="00AC03AF" w:rsidRDefault="00442D34" w:rsidP="00A6235F">
      <w:pPr>
        <w:ind w:left="851"/>
        <w:rPr>
          <w:noProof/>
          <w:sz w:val="24"/>
          <w:szCs w:val="24"/>
          <w:lang w:val="en-US"/>
        </w:rPr>
      </w:pPr>
    </w:p>
    <w:p w14:paraId="2297518C" w14:textId="77777777" w:rsidR="00442D34" w:rsidRPr="00AC03AF" w:rsidRDefault="00442D34" w:rsidP="00A6235F">
      <w:pPr>
        <w:ind w:left="851"/>
        <w:rPr>
          <w:noProof/>
          <w:sz w:val="24"/>
          <w:szCs w:val="24"/>
          <w:lang w:val="en-US"/>
        </w:rPr>
      </w:pPr>
      <w:r w:rsidRPr="00AC03AF">
        <w:rPr>
          <w:noProof/>
          <w:sz w:val="24"/>
          <w:szCs w:val="24"/>
          <w:lang w:val="en-US"/>
        </w:rPr>
        <w:t>Any unused medicinal product or waste material should be disposed of in accordance with local requirements.</w:t>
      </w:r>
    </w:p>
    <w:p w14:paraId="6B8333EE" w14:textId="77777777" w:rsidR="007C5D2A" w:rsidRPr="00AC03AF" w:rsidRDefault="007C5D2A" w:rsidP="00AB4376">
      <w:pPr>
        <w:tabs>
          <w:tab w:val="left" w:pos="851"/>
        </w:tabs>
        <w:ind w:left="851"/>
        <w:rPr>
          <w:sz w:val="24"/>
          <w:szCs w:val="24"/>
          <w:lang w:val="en-GB"/>
        </w:rPr>
      </w:pPr>
    </w:p>
    <w:p w14:paraId="236C196D" w14:textId="77777777" w:rsidR="007C5D2A" w:rsidRPr="00AC03AF" w:rsidRDefault="007C5D2A" w:rsidP="007C5D2A">
      <w:pPr>
        <w:tabs>
          <w:tab w:val="left" w:pos="851"/>
        </w:tabs>
        <w:ind w:left="851" w:hanging="851"/>
        <w:jc w:val="both"/>
        <w:rPr>
          <w:b/>
          <w:sz w:val="24"/>
          <w:szCs w:val="24"/>
          <w:lang w:val="en-GB"/>
        </w:rPr>
      </w:pPr>
      <w:r w:rsidRPr="00AC03AF">
        <w:rPr>
          <w:b/>
          <w:sz w:val="24"/>
          <w:szCs w:val="24"/>
          <w:lang w:val="en-GB"/>
        </w:rPr>
        <w:t>7.</w:t>
      </w:r>
      <w:r w:rsidRPr="00AC03AF">
        <w:rPr>
          <w:b/>
          <w:sz w:val="24"/>
          <w:szCs w:val="24"/>
          <w:lang w:val="en-GB"/>
        </w:rPr>
        <w:tab/>
        <w:t>MARKETING AUTHORISATION HOLDER</w:t>
      </w:r>
    </w:p>
    <w:p w14:paraId="4819DC9A" w14:textId="77777777" w:rsidR="00442D34" w:rsidRPr="00AC03AF" w:rsidRDefault="00442D34" w:rsidP="00A6235F">
      <w:pPr>
        <w:suppressAutoHyphens/>
        <w:ind w:left="851"/>
        <w:rPr>
          <w:noProof/>
          <w:sz w:val="24"/>
          <w:szCs w:val="24"/>
          <w:lang w:val="en-US"/>
        </w:rPr>
      </w:pPr>
      <w:r w:rsidRPr="00AC03AF">
        <w:rPr>
          <w:noProof/>
          <w:sz w:val="24"/>
          <w:szCs w:val="24"/>
          <w:lang w:val="en-US"/>
        </w:rPr>
        <w:t>Teva B.V.</w:t>
      </w:r>
    </w:p>
    <w:p w14:paraId="2330DD88" w14:textId="77777777" w:rsidR="00442D34" w:rsidRPr="00AC03AF" w:rsidRDefault="00442D34" w:rsidP="00A6235F">
      <w:pPr>
        <w:suppressAutoHyphens/>
        <w:ind w:left="851"/>
        <w:rPr>
          <w:noProof/>
          <w:sz w:val="24"/>
          <w:szCs w:val="24"/>
          <w:lang w:val="en-US"/>
        </w:rPr>
      </w:pPr>
      <w:r w:rsidRPr="00AC03AF">
        <w:rPr>
          <w:noProof/>
          <w:sz w:val="24"/>
          <w:szCs w:val="24"/>
          <w:lang w:val="en-US"/>
        </w:rPr>
        <w:t>Swensweg 5</w:t>
      </w:r>
    </w:p>
    <w:p w14:paraId="24AF7F3A" w14:textId="3689F5BD" w:rsidR="00442D34" w:rsidRPr="00AC03AF" w:rsidRDefault="00811AEA" w:rsidP="00811AEA">
      <w:pPr>
        <w:suppressAutoHyphens/>
        <w:ind w:left="851"/>
        <w:rPr>
          <w:noProof/>
          <w:sz w:val="24"/>
          <w:szCs w:val="24"/>
          <w:lang w:val="en-US"/>
        </w:rPr>
      </w:pPr>
      <w:r w:rsidRPr="00AC03AF">
        <w:rPr>
          <w:noProof/>
          <w:sz w:val="24"/>
          <w:szCs w:val="24"/>
          <w:lang w:val="en-US"/>
        </w:rPr>
        <w:t>2031 GA</w:t>
      </w:r>
      <w:r>
        <w:rPr>
          <w:noProof/>
          <w:sz w:val="24"/>
          <w:szCs w:val="24"/>
          <w:lang w:val="en-US"/>
        </w:rPr>
        <w:t xml:space="preserve"> </w:t>
      </w:r>
      <w:r w:rsidR="00442D34" w:rsidRPr="00AC03AF">
        <w:rPr>
          <w:noProof/>
          <w:sz w:val="24"/>
          <w:szCs w:val="24"/>
          <w:lang w:val="en-US"/>
        </w:rPr>
        <w:t>Haarlem</w:t>
      </w:r>
    </w:p>
    <w:p w14:paraId="7BB09F38" w14:textId="77777777" w:rsidR="00442D34" w:rsidRPr="00AC03AF" w:rsidRDefault="00442D34" w:rsidP="00A6235F">
      <w:pPr>
        <w:suppressAutoHyphens/>
        <w:ind w:left="851"/>
        <w:rPr>
          <w:noProof/>
          <w:sz w:val="24"/>
          <w:szCs w:val="24"/>
          <w:lang w:val="en-US"/>
        </w:rPr>
      </w:pPr>
      <w:r w:rsidRPr="00AC03AF">
        <w:rPr>
          <w:noProof/>
          <w:sz w:val="24"/>
          <w:szCs w:val="24"/>
          <w:lang w:val="en-US"/>
        </w:rPr>
        <w:t>Noord-Holland</w:t>
      </w:r>
    </w:p>
    <w:p w14:paraId="43E00B65" w14:textId="238429EA" w:rsidR="00442D34" w:rsidRPr="00AC03AF" w:rsidRDefault="0040731B" w:rsidP="00A6235F">
      <w:pPr>
        <w:suppressAutoHyphens/>
        <w:ind w:left="851"/>
        <w:rPr>
          <w:noProof/>
          <w:sz w:val="24"/>
          <w:szCs w:val="24"/>
          <w:lang w:val="en-US"/>
        </w:rPr>
      </w:pPr>
      <w:r>
        <w:rPr>
          <w:noProof/>
          <w:sz w:val="24"/>
          <w:szCs w:val="24"/>
          <w:lang w:val="en-US"/>
        </w:rPr>
        <w:t>Holland</w:t>
      </w:r>
    </w:p>
    <w:p w14:paraId="0C4EADA9" w14:textId="77777777" w:rsidR="007C5D2A" w:rsidRPr="00AC03AF" w:rsidRDefault="007C5D2A" w:rsidP="003E0341">
      <w:pPr>
        <w:tabs>
          <w:tab w:val="left" w:pos="851"/>
        </w:tabs>
        <w:ind w:left="851"/>
        <w:jc w:val="both"/>
        <w:rPr>
          <w:sz w:val="24"/>
          <w:szCs w:val="24"/>
          <w:lang w:val="en-GB"/>
        </w:rPr>
      </w:pPr>
    </w:p>
    <w:p w14:paraId="4168DF45" w14:textId="77777777" w:rsidR="008A24F6" w:rsidRPr="00AC03AF" w:rsidRDefault="005A498B" w:rsidP="003E0341">
      <w:pPr>
        <w:tabs>
          <w:tab w:val="left" w:pos="851"/>
        </w:tabs>
        <w:ind w:left="851"/>
        <w:jc w:val="both"/>
        <w:rPr>
          <w:b/>
          <w:sz w:val="24"/>
          <w:szCs w:val="24"/>
          <w:lang w:val="en-GB"/>
        </w:rPr>
      </w:pPr>
      <w:r w:rsidRPr="00AC03AF">
        <w:rPr>
          <w:b/>
          <w:sz w:val="24"/>
          <w:szCs w:val="24"/>
          <w:lang w:val="en-GB"/>
        </w:rPr>
        <w:t>Representative</w:t>
      </w:r>
    </w:p>
    <w:p w14:paraId="1B4BCDBE" w14:textId="77777777" w:rsidR="00442D34" w:rsidRPr="00AC03AF" w:rsidRDefault="00442D34" w:rsidP="00A6235F">
      <w:pPr>
        <w:suppressAutoHyphens/>
        <w:ind w:left="851"/>
        <w:rPr>
          <w:noProof/>
          <w:sz w:val="24"/>
          <w:szCs w:val="24"/>
          <w:lang w:val="en-US"/>
        </w:rPr>
      </w:pPr>
      <w:r w:rsidRPr="00AC03AF">
        <w:rPr>
          <w:noProof/>
          <w:sz w:val="24"/>
          <w:szCs w:val="24"/>
          <w:lang w:val="en-US"/>
        </w:rPr>
        <w:t>Teva Denmark A/S</w:t>
      </w:r>
    </w:p>
    <w:p w14:paraId="4620A114" w14:textId="77777777" w:rsidR="00442D34" w:rsidRPr="00AC03AF" w:rsidRDefault="00442D34" w:rsidP="00A6235F">
      <w:pPr>
        <w:suppressAutoHyphens/>
        <w:ind w:left="851"/>
        <w:rPr>
          <w:noProof/>
          <w:sz w:val="24"/>
          <w:szCs w:val="24"/>
          <w:lang w:val="en-US"/>
        </w:rPr>
      </w:pPr>
      <w:r w:rsidRPr="00AC03AF">
        <w:rPr>
          <w:noProof/>
          <w:sz w:val="24"/>
          <w:szCs w:val="24"/>
          <w:lang w:val="en-US"/>
        </w:rPr>
        <w:t>Vandtaarnsvej 83a</w:t>
      </w:r>
    </w:p>
    <w:p w14:paraId="6CD058CD" w14:textId="77777777" w:rsidR="00442D34" w:rsidRPr="00AC03AF" w:rsidRDefault="00442D34" w:rsidP="00A6235F">
      <w:pPr>
        <w:suppressAutoHyphens/>
        <w:ind w:left="851"/>
        <w:rPr>
          <w:noProof/>
          <w:sz w:val="24"/>
          <w:szCs w:val="24"/>
          <w:lang w:val="en-US"/>
        </w:rPr>
      </w:pPr>
      <w:r w:rsidRPr="00AC03AF">
        <w:rPr>
          <w:noProof/>
          <w:sz w:val="24"/>
          <w:szCs w:val="24"/>
          <w:lang w:val="en-US"/>
        </w:rPr>
        <w:t>2860 Søborg</w:t>
      </w:r>
    </w:p>
    <w:p w14:paraId="0EA1A6D7" w14:textId="77777777" w:rsidR="008A24F6" w:rsidRPr="00AC03AF" w:rsidRDefault="008A24F6" w:rsidP="003E0341">
      <w:pPr>
        <w:tabs>
          <w:tab w:val="left" w:pos="851"/>
        </w:tabs>
        <w:ind w:left="851"/>
        <w:jc w:val="both"/>
        <w:rPr>
          <w:sz w:val="24"/>
          <w:szCs w:val="24"/>
          <w:lang w:val="en-GB"/>
        </w:rPr>
      </w:pPr>
    </w:p>
    <w:p w14:paraId="6A8A5168" w14:textId="77777777" w:rsidR="007C5D2A" w:rsidRPr="00AC03AF" w:rsidRDefault="007C5D2A" w:rsidP="007C5D2A">
      <w:pPr>
        <w:ind w:left="851" w:hanging="851"/>
        <w:jc w:val="both"/>
        <w:rPr>
          <w:b/>
          <w:sz w:val="24"/>
          <w:szCs w:val="24"/>
          <w:lang w:val="en-GB"/>
        </w:rPr>
      </w:pPr>
      <w:r w:rsidRPr="00AC03AF">
        <w:rPr>
          <w:b/>
          <w:sz w:val="24"/>
          <w:szCs w:val="24"/>
          <w:lang w:val="en-GB"/>
        </w:rPr>
        <w:t>8.</w:t>
      </w:r>
      <w:r w:rsidRPr="00AC03AF">
        <w:rPr>
          <w:b/>
          <w:sz w:val="24"/>
          <w:szCs w:val="24"/>
          <w:lang w:val="en-GB"/>
        </w:rPr>
        <w:tab/>
        <w:t>MARKETING AUTHORISATION NUMBER(S)</w:t>
      </w:r>
    </w:p>
    <w:p w14:paraId="5761F1AD" w14:textId="7F63B36C" w:rsidR="007C5D2A" w:rsidRPr="00AC03AF" w:rsidRDefault="00442D34" w:rsidP="00A85D26">
      <w:pPr>
        <w:tabs>
          <w:tab w:val="left" w:pos="851"/>
        </w:tabs>
        <w:ind w:left="851"/>
        <w:jc w:val="both"/>
        <w:rPr>
          <w:sz w:val="24"/>
          <w:szCs w:val="24"/>
          <w:lang w:val="en-GB"/>
        </w:rPr>
      </w:pPr>
      <w:r w:rsidRPr="00AC03AF">
        <w:rPr>
          <w:sz w:val="24"/>
          <w:szCs w:val="24"/>
          <w:lang w:val="en-GB"/>
        </w:rPr>
        <w:t>69256</w:t>
      </w:r>
    </w:p>
    <w:p w14:paraId="63814D17" w14:textId="77777777" w:rsidR="007C5D2A" w:rsidRPr="00AC03AF" w:rsidRDefault="007C5D2A" w:rsidP="00180A12">
      <w:pPr>
        <w:tabs>
          <w:tab w:val="left" w:pos="851"/>
        </w:tabs>
        <w:ind w:left="851"/>
        <w:jc w:val="both"/>
        <w:rPr>
          <w:sz w:val="24"/>
          <w:szCs w:val="24"/>
          <w:lang w:val="en-GB"/>
        </w:rPr>
      </w:pPr>
    </w:p>
    <w:p w14:paraId="727763FD" w14:textId="77777777" w:rsidR="007C5D2A" w:rsidRPr="00AC03AF" w:rsidRDefault="007C5D2A" w:rsidP="007C5D2A">
      <w:pPr>
        <w:tabs>
          <w:tab w:val="left" w:pos="851"/>
        </w:tabs>
        <w:jc w:val="both"/>
        <w:rPr>
          <w:sz w:val="24"/>
          <w:szCs w:val="24"/>
          <w:lang w:val="en-GB"/>
        </w:rPr>
      </w:pPr>
      <w:r w:rsidRPr="00AC03AF">
        <w:rPr>
          <w:b/>
          <w:sz w:val="24"/>
          <w:szCs w:val="24"/>
          <w:lang w:val="en-GB"/>
        </w:rPr>
        <w:t>9.</w:t>
      </w:r>
      <w:r w:rsidRPr="00AC03AF">
        <w:rPr>
          <w:b/>
          <w:sz w:val="24"/>
          <w:szCs w:val="24"/>
          <w:lang w:val="en-GB"/>
        </w:rPr>
        <w:tab/>
        <w:t>DATE OF FIRST AUTHORISATION</w:t>
      </w:r>
    </w:p>
    <w:p w14:paraId="6943CBAE" w14:textId="648FDD32" w:rsidR="007C5D2A" w:rsidRPr="00AC03AF" w:rsidRDefault="00867A3F" w:rsidP="00A85D26">
      <w:pPr>
        <w:ind w:left="851"/>
        <w:jc w:val="both"/>
        <w:rPr>
          <w:sz w:val="24"/>
          <w:szCs w:val="24"/>
          <w:lang w:val="en-GB"/>
        </w:rPr>
      </w:pPr>
      <w:r>
        <w:rPr>
          <w:sz w:val="24"/>
          <w:szCs w:val="24"/>
          <w:lang w:val="en-GB"/>
        </w:rPr>
        <w:t>30 July 2024</w:t>
      </w:r>
      <w:bookmarkStart w:id="1" w:name="_GoBack"/>
      <w:bookmarkEnd w:id="1"/>
    </w:p>
    <w:p w14:paraId="68E9CC44" w14:textId="77777777" w:rsidR="007C5D2A" w:rsidRPr="00AC03AF" w:rsidRDefault="007C5D2A" w:rsidP="003E0341">
      <w:pPr>
        <w:tabs>
          <w:tab w:val="left" w:pos="851"/>
        </w:tabs>
        <w:ind w:left="851"/>
        <w:jc w:val="both"/>
        <w:rPr>
          <w:sz w:val="24"/>
          <w:szCs w:val="24"/>
          <w:lang w:val="en-GB"/>
        </w:rPr>
      </w:pPr>
    </w:p>
    <w:p w14:paraId="6C4E48C8" w14:textId="77777777" w:rsidR="007C5D2A" w:rsidRPr="00AC03AF" w:rsidRDefault="007C5D2A" w:rsidP="007C5D2A">
      <w:pPr>
        <w:tabs>
          <w:tab w:val="left" w:pos="851"/>
        </w:tabs>
        <w:jc w:val="both"/>
        <w:rPr>
          <w:sz w:val="24"/>
          <w:szCs w:val="24"/>
          <w:lang w:val="en-GB"/>
        </w:rPr>
      </w:pPr>
      <w:r w:rsidRPr="00AC03AF">
        <w:rPr>
          <w:b/>
          <w:sz w:val="24"/>
          <w:szCs w:val="24"/>
          <w:lang w:val="en-GB"/>
        </w:rPr>
        <w:t>10.</w:t>
      </w:r>
      <w:r w:rsidRPr="00AC03AF">
        <w:rPr>
          <w:b/>
          <w:sz w:val="24"/>
          <w:szCs w:val="24"/>
          <w:lang w:val="en-GB"/>
        </w:rPr>
        <w:tab/>
        <w:t>DATE OF REVISION OF THE TEXT</w:t>
      </w:r>
    </w:p>
    <w:p w14:paraId="124B1912" w14:textId="472BBBEE" w:rsidR="007C5D2A" w:rsidRPr="00AC03AF" w:rsidRDefault="00442D34" w:rsidP="003E0341">
      <w:pPr>
        <w:tabs>
          <w:tab w:val="left" w:pos="851"/>
        </w:tabs>
        <w:ind w:left="851"/>
        <w:jc w:val="both"/>
        <w:rPr>
          <w:sz w:val="24"/>
          <w:szCs w:val="24"/>
          <w:lang w:val="en-GB"/>
        </w:rPr>
      </w:pPr>
      <w:r w:rsidRPr="00AC03AF">
        <w:rPr>
          <w:sz w:val="24"/>
          <w:szCs w:val="24"/>
          <w:lang w:val="en-GB"/>
        </w:rPr>
        <w:t>-</w:t>
      </w:r>
    </w:p>
    <w:sectPr w:rsidR="007C5D2A" w:rsidRPr="00AC03AF"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BB30" w14:textId="77777777" w:rsidR="00AC03AF" w:rsidRDefault="00AC03AF">
      <w:r>
        <w:separator/>
      </w:r>
    </w:p>
  </w:endnote>
  <w:endnote w:type="continuationSeparator" w:id="0">
    <w:p w14:paraId="29C0CD5D" w14:textId="77777777" w:rsidR="00AC03AF" w:rsidRDefault="00AC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1DCD" w14:textId="77777777" w:rsidR="00AC03AF" w:rsidRDefault="00AC03A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BF1A7" w14:textId="77777777" w:rsidR="00AC03AF" w:rsidRDefault="00AC03AF">
    <w:pPr>
      <w:pStyle w:val="Sidefod"/>
      <w:pBdr>
        <w:bottom w:val="single" w:sz="6" w:space="1" w:color="auto"/>
      </w:pBdr>
    </w:pPr>
  </w:p>
  <w:p w14:paraId="52925B86" w14:textId="77777777" w:rsidR="00AC03AF" w:rsidRDefault="00AC03AF">
    <w:pPr>
      <w:pStyle w:val="Sidefod"/>
      <w:tabs>
        <w:tab w:val="clear" w:pos="4819"/>
        <w:tab w:val="left" w:pos="8647"/>
      </w:tabs>
      <w:rPr>
        <w:i/>
        <w:snapToGrid w:val="0"/>
        <w:sz w:val="18"/>
      </w:rPr>
    </w:pPr>
  </w:p>
  <w:p w14:paraId="53CE04F0" w14:textId="4864FFBD" w:rsidR="00AC03AF" w:rsidRDefault="00AC03A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0731B">
      <w:rPr>
        <w:i/>
        <w:noProof/>
        <w:snapToGrid w:val="0"/>
        <w:sz w:val="18"/>
      </w:rPr>
      <w:t>Dalbavancin Teva,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14CF" w14:textId="77777777" w:rsidR="00AC03AF" w:rsidRDefault="00AC03AF">
    <w:pPr>
      <w:pStyle w:val="Sidefod"/>
      <w:pBdr>
        <w:bottom w:val="single" w:sz="6" w:space="1" w:color="auto"/>
      </w:pBdr>
      <w:tabs>
        <w:tab w:val="clear" w:pos="4819"/>
        <w:tab w:val="left" w:pos="8789"/>
      </w:tabs>
      <w:rPr>
        <w:i/>
        <w:snapToGrid w:val="0"/>
        <w:sz w:val="18"/>
      </w:rPr>
    </w:pPr>
  </w:p>
  <w:p w14:paraId="4E2F34DF" w14:textId="77777777" w:rsidR="00AC03AF" w:rsidRDefault="00AC03AF">
    <w:pPr>
      <w:pStyle w:val="Sidefod"/>
      <w:tabs>
        <w:tab w:val="clear" w:pos="4819"/>
        <w:tab w:val="left" w:pos="8789"/>
      </w:tabs>
      <w:rPr>
        <w:i/>
        <w:snapToGrid w:val="0"/>
        <w:sz w:val="18"/>
      </w:rPr>
    </w:pPr>
  </w:p>
  <w:p w14:paraId="040C2987" w14:textId="3E5FF0D8" w:rsidR="00AC03AF" w:rsidRDefault="00AC03A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0731B">
      <w:rPr>
        <w:i/>
        <w:noProof/>
        <w:snapToGrid w:val="0"/>
        <w:sz w:val="18"/>
      </w:rPr>
      <w:t>Dalbavancin Teva,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5D474" w14:textId="77777777" w:rsidR="00AC03AF" w:rsidRDefault="00AC03AF">
      <w:r>
        <w:separator/>
      </w:r>
    </w:p>
  </w:footnote>
  <w:footnote w:type="continuationSeparator" w:id="0">
    <w:p w14:paraId="73E17728" w14:textId="77777777" w:rsidR="00AC03AF" w:rsidRDefault="00AC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3ED" w14:textId="77777777" w:rsidR="00AC03AF" w:rsidRDefault="00AC03A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5897B" w14:textId="77777777" w:rsidR="00AC03AF" w:rsidRDefault="00AC03A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BE7A" w14:textId="77777777" w:rsidR="00AC03AF" w:rsidRDefault="00AC03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7E3DD6"/>
    <w:multiLevelType w:val="hybridMultilevel"/>
    <w:tmpl w:val="D0C254DA"/>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230588"/>
    <w:multiLevelType w:val="hybridMultilevel"/>
    <w:tmpl w:val="C58AE250"/>
    <w:lvl w:ilvl="0" w:tplc="6360F7A2">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8D1959"/>
    <w:multiLevelType w:val="hybridMultilevel"/>
    <w:tmpl w:val="4D868AF2"/>
    <w:lvl w:ilvl="0" w:tplc="6360F7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D105ED4"/>
    <w:multiLevelType w:val="hybridMultilevel"/>
    <w:tmpl w:val="84482B68"/>
    <w:lvl w:ilvl="0" w:tplc="C674CAD2">
      <w:start w:val="1"/>
      <w:numFmt w:val="decimal"/>
      <w:lvlText w:val="%1."/>
      <w:lvlJc w:val="left"/>
      <w:pPr>
        <w:ind w:left="924" w:hanging="56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9A76101"/>
    <w:multiLevelType w:val="hybridMultilevel"/>
    <w:tmpl w:val="397A67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703B47E5"/>
    <w:multiLevelType w:val="hybridMultilevel"/>
    <w:tmpl w:val="D4FEB99C"/>
    <w:lvl w:ilvl="0" w:tplc="6360F7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36E0318"/>
    <w:multiLevelType w:val="hybridMultilevel"/>
    <w:tmpl w:val="B0006124"/>
    <w:lvl w:ilvl="0" w:tplc="6360F7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3"/>
  </w:num>
  <w:num w:numId="6">
    <w:abstractNumId w:val="4"/>
  </w:num>
  <w:num w:numId="7">
    <w:abstractNumId w:val="5"/>
  </w:num>
  <w:num w:numId="8">
    <w:abstractNumId w:val="10"/>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E1"/>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611E7"/>
    <w:rsid w:val="00373B55"/>
    <w:rsid w:val="003D727E"/>
    <w:rsid w:val="003E0341"/>
    <w:rsid w:val="003E3402"/>
    <w:rsid w:val="003F4736"/>
    <w:rsid w:val="00401B49"/>
    <w:rsid w:val="0040731B"/>
    <w:rsid w:val="0042292D"/>
    <w:rsid w:val="00437628"/>
    <w:rsid w:val="00437D5B"/>
    <w:rsid w:val="00440254"/>
    <w:rsid w:val="00442D3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11AEA"/>
    <w:rsid w:val="00827444"/>
    <w:rsid w:val="008400E3"/>
    <w:rsid w:val="00864538"/>
    <w:rsid w:val="00867A3F"/>
    <w:rsid w:val="00873B4F"/>
    <w:rsid w:val="008A24F6"/>
    <w:rsid w:val="008E51AE"/>
    <w:rsid w:val="008F2F8C"/>
    <w:rsid w:val="009925C9"/>
    <w:rsid w:val="00A179D0"/>
    <w:rsid w:val="00A358A3"/>
    <w:rsid w:val="00A46747"/>
    <w:rsid w:val="00A6235F"/>
    <w:rsid w:val="00A80446"/>
    <w:rsid w:val="00A85D26"/>
    <w:rsid w:val="00A9153A"/>
    <w:rsid w:val="00AB4376"/>
    <w:rsid w:val="00AC033C"/>
    <w:rsid w:val="00AC03AF"/>
    <w:rsid w:val="00AD2E36"/>
    <w:rsid w:val="00B17975"/>
    <w:rsid w:val="00B45DC5"/>
    <w:rsid w:val="00BD3490"/>
    <w:rsid w:val="00C26226"/>
    <w:rsid w:val="00C3571D"/>
    <w:rsid w:val="00C54F0B"/>
    <w:rsid w:val="00C71BEA"/>
    <w:rsid w:val="00C82621"/>
    <w:rsid w:val="00C97906"/>
    <w:rsid w:val="00CB1423"/>
    <w:rsid w:val="00D02508"/>
    <w:rsid w:val="00D520B1"/>
    <w:rsid w:val="00D778CC"/>
    <w:rsid w:val="00D82FE9"/>
    <w:rsid w:val="00D97B77"/>
    <w:rsid w:val="00DB6A85"/>
    <w:rsid w:val="00E06B32"/>
    <w:rsid w:val="00E1290F"/>
    <w:rsid w:val="00E36A80"/>
    <w:rsid w:val="00EB21D7"/>
    <w:rsid w:val="00EE3EB7"/>
    <w:rsid w:val="00F57E16"/>
    <w:rsid w:val="00F60336"/>
    <w:rsid w:val="00FD652E"/>
    <w:rsid w:val="00FF5D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8F100"/>
  <w15:chartTrackingRefBased/>
  <w15:docId w15:val="{1C264E7F-AB2B-4C68-B3B9-E16CC349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442D34"/>
    <w:rPr>
      <w:color w:val="0000FF"/>
      <w:u w:val="single"/>
    </w:rPr>
  </w:style>
  <w:style w:type="table" w:styleId="Tabel-Gitter">
    <w:name w:val="Table Grid"/>
    <w:basedOn w:val="Tabel-Normal"/>
    <w:rsid w:val="00442D3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62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212">
      <w:bodyDiv w:val="1"/>
      <w:marLeft w:val="0"/>
      <w:marRight w:val="0"/>
      <w:marTop w:val="0"/>
      <w:marBottom w:val="0"/>
      <w:divBdr>
        <w:top w:val="none" w:sz="0" w:space="0" w:color="auto"/>
        <w:left w:val="none" w:sz="0" w:space="0" w:color="auto"/>
        <w:bottom w:val="none" w:sz="0" w:space="0" w:color="auto"/>
        <w:right w:val="none" w:sz="0" w:space="0" w:color="auto"/>
      </w:divBdr>
    </w:div>
    <w:div w:id="64692198">
      <w:bodyDiv w:val="1"/>
      <w:marLeft w:val="0"/>
      <w:marRight w:val="0"/>
      <w:marTop w:val="0"/>
      <w:marBottom w:val="0"/>
      <w:divBdr>
        <w:top w:val="none" w:sz="0" w:space="0" w:color="auto"/>
        <w:left w:val="none" w:sz="0" w:space="0" w:color="auto"/>
        <w:bottom w:val="none" w:sz="0" w:space="0" w:color="auto"/>
        <w:right w:val="none" w:sz="0" w:space="0" w:color="auto"/>
      </w:divBdr>
    </w:div>
    <w:div w:id="106510989">
      <w:bodyDiv w:val="1"/>
      <w:marLeft w:val="0"/>
      <w:marRight w:val="0"/>
      <w:marTop w:val="0"/>
      <w:marBottom w:val="0"/>
      <w:divBdr>
        <w:top w:val="none" w:sz="0" w:space="0" w:color="auto"/>
        <w:left w:val="none" w:sz="0" w:space="0" w:color="auto"/>
        <w:bottom w:val="none" w:sz="0" w:space="0" w:color="auto"/>
        <w:right w:val="none" w:sz="0" w:space="0" w:color="auto"/>
      </w:divBdr>
    </w:div>
    <w:div w:id="167839872">
      <w:bodyDiv w:val="1"/>
      <w:marLeft w:val="0"/>
      <w:marRight w:val="0"/>
      <w:marTop w:val="0"/>
      <w:marBottom w:val="0"/>
      <w:divBdr>
        <w:top w:val="none" w:sz="0" w:space="0" w:color="auto"/>
        <w:left w:val="none" w:sz="0" w:space="0" w:color="auto"/>
        <w:bottom w:val="none" w:sz="0" w:space="0" w:color="auto"/>
        <w:right w:val="none" w:sz="0" w:space="0" w:color="auto"/>
      </w:divBdr>
    </w:div>
    <w:div w:id="188378721">
      <w:bodyDiv w:val="1"/>
      <w:marLeft w:val="0"/>
      <w:marRight w:val="0"/>
      <w:marTop w:val="0"/>
      <w:marBottom w:val="0"/>
      <w:divBdr>
        <w:top w:val="none" w:sz="0" w:space="0" w:color="auto"/>
        <w:left w:val="none" w:sz="0" w:space="0" w:color="auto"/>
        <w:bottom w:val="none" w:sz="0" w:space="0" w:color="auto"/>
        <w:right w:val="none" w:sz="0" w:space="0" w:color="auto"/>
      </w:divBdr>
    </w:div>
    <w:div w:id="357508301">
      <w:bodyDiv w:val="1"/>
      <w:marLeft w:val="0"/>
      <w:marRight w:val="0"/>
      <w:marTop w:val="0"/>
      <w:marBottom w:val="0"/>
      <w:divBdr>
        <w:top w:val="none" w:sz="0" w:space="0" w:color="auto"/>
        <w:left w:val="none" w:sz="0" w:space="0" w:color="auto"/>
        <w:bottom w:val="none" w:sz="0" w:space="0" w:color="auto"/>
        <w:right w:val="none" w:sz="0" w:space="0" w:color="auto"/>
      </w:divBdr>
    </w:div>
    <w:div w:id="554238054">
      <w:bodyDiv w:val="1"/>
      <w:marLeft w:val="0"/>
      <w:marRight w:val="0"/>
      <w:marTop w:val="0"/>
      <w:marBottom w:val="0"/>
      <w:divBdr>
        <w:top w:val="none" w:sz="0" w:space="0" w:color="auto"/>
        <w:left w:val="none" w:sz="0" w:space="0" w:color="auto"/>
        <w:bottom w:val="none" w:sz="0" w:space="0" w:color="auto"/>
        <w:right w:val="none" w:sz="0" w:space="0" w:color="auto"/>
      </w:divBdr>
    </w:div>
    <w:div w:id="610821000">
      <w:bodyDiv w:val="1"/>
      <w:marLeft w:val="0"/>
      <w:marRight w:val="0"/>
      <w:marTop w:val="0"/>
      <w:marBottom w:val="0"/>
      <w:divBdr>
        <w:top w:val="none" w:sz="0" w:space="0" w:color="auto"/>
        <w:left w:val="none" w:sz="0" w:space="0" w:color="auto"/>
        <w:bottom w:val="none" w:sz="0" w:space="0" w:color="auto"/>
        <w:right w:val="none" w:sz="0" w:space="0" w:color="auto"/>
      </w:divBdr>
    </w:div>
    <w:div w:id="761489684">
      <w:bodyDiv w:val="1"/>
      <w:marLeft w:val="0"/>
      <w:marRight w:val="0"/>
      <w:marTop w:val="0"/>
      <w:marBottom w:val="0"/>
      <w:divBdr>
        <w:top w:val="none" w:sz="0" w:space="0" w:color="auto"/>
        <w:left w:val="none" w:sz="0" w:space="0" w:color="auto"/>
        <w:bottom w:val="none" w:sz="0" w:space="0" w:color="auto"/>
        <w:right w:val="none" w:sz="0" w:space="0" w:color="auto"/>
      </w:divBdr>
    </w:div>
    <w:div w:id="1022319759">
      <w:bodyDiv w:val="1"/>
      <w:marLeft w:val="0"/>
      <w:marRight w:val="0"/>
      <w:marTop w:val="0"/>
      <w:marBottom w:val="0"/>
      <w:divBdr>
        <w:top w:val="none" w:sz="0" w:space="0" w:color="auto"/>
        <w:left w:val="none" w:sz="0" w:space="0" w:color="auto"/>
        <w:bottom w:val="none" w:sz="0" w:space="0" w:color="auto"/>
        <w:right w:val="none" w:sz="0" w:space="0" w:color="auto"/>
      </w:divBdr>
    </w:div>
    <w:div w:id="1210149965">
      <w:bodyDiv w:val="1"/>
      <w:marLeft w:val="0"/>
      <w:marRight w:val="0"/>
      <w:marTop w:val="0"/>
      <w:marBottom w:val="0"/>
      <w:divBdr>
        <w:top w:val="none" w:sz="0" w:space="0" w:color="auto"/>
        <w:left w:val="none" w:sz="0" w:space="0" w:color="auto"/>
        <w:bottom w:val="none" w:sz="0" w:space="0" w:color="auto"/>
        <w:right w:val="none" w:sz="0" w:space="0" w:color="auto"/>
      </w:divBdr>
    </w:div>
    <w:div w:id="1212693331">
      <w:bodyDiv w:val="1"/>
      <w:marLeft w:val="0"/>
      <w:marRight w:val="0"/>
      <w:marTop w:val="0"/>
      <w:marBottom w:val="0"/>
      <w:divBdr>
        <w:top w:val="none" w:sz="0" w:space="0" w:color="auto"/>
        <w:left w:val="none" w:sz="0" w:space="0" w:color="auto"/>
        <w:bottom w:val="none" w:sz="0" w:space="0" w:color="auto"/>
        <w:right w:val="none" w:sz="0" w:space="0" w:color="auto"/>
      </w:divBdr>
    </w:div>
    <w:div w:id="1221864729">
      <w:bodyDiv w:val="1"/>
      <w:marLeft w:val="0"/>
      <w:marRight w:val="0"/>
      <w:marTop w:val="0"/>
      <w:marBottom w:val="0"/>
      <w:divBdr>
        <w:top w:val="none" w:sz="0" w:space="0" w:color="auto"/>
        <w:left w:val="none" w:sz="0" w:space="0" w:color="auto"/>
        <w:bottom w:val="none" w:sz="0" w:space="0" w:color="auto"/>
        <w:right w:val="none" w:sz="0" w:space="0" w:color="auto"/>
      </w:divBdr>
    </w:div>
    <w:div w:id="1415779680">
      <w:bodyDiv w:val="1"/>
      <w:marLeft w:val="0"/>
      <w:marRight w:val="0"/>
      <w:marTop w:val="0"/>
      <w:marBottom w:val="0"/>
      <w:divBdr>
        <w:top w:val="none" w:sz="0" w:space="0" w:color="auto"/>
        <w:left w:val="none" w:sz="0" w:space="0" w:color="auto"/>
        <w:bottom w:val="none" w:sz="0" w:space="0" w:color="auto"/>
        <w:right w:val="none" w:sz="0" w:space="0" w:color="auto"/>
      </w:divBdr>
    </w:div>
    <w:div w:id="1502693615">
      <w:bodyDiv w:val="1"/>
      <w:marLeft w:val="0"/>
      <w:marRight w:val="0"/>
      <w:marTop w:val="0"/>
      <w:marBottom w:val="0"/>
      <w:divBdr>
        <w:top w:val="none" w:sz="0" w:space="0" w:color="auto"/>
        <w:left w:val="none" w:sz="0" w:space="0" w:color="auto"/>
        <w:bottom w:val="none" w:sz="0" w:space="0" w:color="auto"/>
        <w:right w:val="none" w:sz="0" w:space="0" w:color="auto"/>
      </w:divBdr>
    </w:div>
    <w:div w:id="1724982769">
      <w:bodyDiv w:val="1"/>
      <w:marLeft w:val="0"/>
      <w:marRight w:val="0"/>
      <w:marTop w:val="0"/>
      <w:marBottom w:val="0"/>
      <w:divBdr>
        <w:top w:val="none" w:sz="0" w:space="0" w:color="auto"/>
        <w:left w:val="none" w:sz="0" w:space="0" w:color="auto"/>
        <w:bottom w:val="none" w:sz="0" w:space="0" w:color="auto"/>
        <w:right w:val="none" w:sz="0" w:space="0" w:color="auto"/>
      </w:divBdr>
    </w:div>
    <w:div w:id="1836845535">
      <w:bodyDiv w:val="1"/>
      <w:marLeft w:val="0"/>
      <w:marRight w:val="0"/>
      <w:marTop w:val="0"/>
      <w:marBottom w:val="0"/>
      <w:divBdr>
        <w:top w:val="none" w:sz="0" w:space="0" w:color="auto"/>
        <w:left w:val="none" w:sz="0" w:space="0" w:color="auto"/>
        <w:bottom w:val="none" w:sz="0" w:space="0" w:color="auto"/>
        <w:right w:val="none" w:sz="0" w:space="0" w:color="auto"/>
      </w:divBdr>
    </w:div>
    <w:div w:id="1947232396">
      <w:bodyDiv w:val="1"/>
      <w:marLeft w:val="0"/>
      <w:marRight w:val="0"/>
      <w:marTop w:val="0"/>
      <w:marBottom w:val="0"/>
      <w:divBdr>
        <w:top w:val="none" w:sz="0" w:space="0" w:color="auto"/>
        <w:left w:val="none" w:sz="0" w:space="0" w:color="auto"/>
        <w:bottom w:val="none" w:sz="0" w:space="0" w:color="auto"/>
        <w:right w:val="none" w:sz="0" w:space="0" w:color="auto"/>
      </w:divBdr>
    </w:div>
    <w:div w:id="2023579477">
      <w:bodyDiv w:val="1"/>
      <w:marLeft w:val="0"/>
      <w:marRight w:val="0"/>
      <w:marTop w:val="0"/>
      <w:marBottom w:val="0"/>
      <w:divBdr>
        <w:top w:val="none" w:sz="0" w:space="0" w:color="auto"/>
        <w:left w:val="none" w:sz="0" w:space="0" w:color="auto"/>
        <w:bottom w:val="none" w:sz="0" w:space="0" w:color="auto"/>
        <w:right w:val="none" w:sz="0" w:space="0" w:color="auto"/>
      </w:divBdr>
    </w:div>
    <w:div w:id="2067758347">
      <w:bodyDiv w:val="1"/>
      <w:marLeft w:val="0"/>
      <w:marRight w:val="0"/>
      <w:marTop w:val="0"/>
      <w:marBottom w:val="0"/>
      <w:divBdr>
        <w:top w:val="none" w:sz="0" w:space="0" w:color="auto"/>
        <w:left w:val="none" w:sz="0" w:space="0" w:color="auto"/>
        <w:bottom w:val="none" w:sz="0" w:space="0" w:color="auto"/>
        <w:right w:val="none" w:sz="0" w:space="0" w:color="auto"/>
      </w:divBdr>
    </w:div>
    <w:div w:id="2092771340">
      <w:bodyDiv w:val="1"/>
      <w:marLeft w:val="0"/>
      <w:marRight w:val="0"/>
      <w:marTop w:val="0"/>
      <w:marBottom w:val="0"/>
      <w:divBdr>
        <w:top w:val="none" w:sz="0" w:space="0" w:color="auto"/>
        <w:left w:val="none" w:sz="0" w:space="0" w:color="auto"/>
        <w:bottom w:val="none" w:sz="0" w:space="0" w:color="auto"/>
        <w:right w:val="none" w:sz="0" w:space="0" w:color="auto"/>
      </w:divBdr>
    </w:div>
    <w:div w:id="2118980082">
      <w:bodyDiv w:val="1"/>
      <w:marLeft w:val="0"/>
      <w:marRight w:val="0"/>
      <w:marTop w:val="0"/>
      <w:marBottom w:val="0"/>
      <w:divBdr>
        <w:top w:val="none" w:sz="0" w:space="0" w:color="auto"/>
        <w:left w:val="none" w:sz="0" w:space="0" w:color="auto"/>
        <w:bottom w:val="none" w:sz="0" w:space="0" w:color="auto"/>
        <w:right w:val="none" w:sz="0" w:space="0" w:color="auto"/>
      </w:divBdr>
    </w:div>
    <w:div w:id="2136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73</TotalTime>
  <Pages>15</Pages>
  <Words>4877</Words>
  <Characters>28576</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2023023773, MT</dc:description>
  <cp:lastModifiedBy>Gitte Jørgensen</cp:lastModifiedBy>
  <cp:revision>13</cp:revision>
  <cp:lastPrinted>2006-02-24T09:31:00Z</cp:lastPrinted>
  <dcterms:created xsi:type="dcterms:W3CDTF">2024-07-30T08:47:00Z</dcterms:created>
  <dcterms:modified xsi:type="dcterms:W3CDTF">2024-07-30T11:41:00Z</dcterms:modified>
</cp:coreProperties>
</file>