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E6D772" w14:textId="77777777" w:rsidR="00E62E19" w:rsidRPr="008F49E1" w:rsidRDefault="00E62E19" w:rsidP="00E62E19">
      <w:pPr>
        <w:rPr>
          <w:sz w:val="24"/>
          <w:szCs w:val="24"/>
        </w:rPr>
      </w:pPr>
      <w:r w:rsidRPr="009260DE">
        <w:rPr>
          <w:noProof/>
          <w:sz w:val="24"/>
          <w:szCs w:val="24"/>
          <w:lang w:eastAsia="da-DK"/>
        </w:rPr>
        <w:drawing>
          <wp:anchor distT="0" distB="0" distL="114300" distR="114300" simplePos="0" relativeHeight="251659264" behindDoc="0" locked="0" layoutInCell="1" allowOverlap="1" wp14:anchorId="76E4C68F" wp14:editId="41A24AEB">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14:paraId="7EE40262" w14:textId="245F0B87" w:rsidR="00E62E19" w:rsidRPr="0084400F" w:rsidRDefault="0084400F" w:rsidP="0084400F">
      <w:pPr>
        <w:pStyle w:val="Titel"/>
        <w:tabs>
          <w:tab w:val="right" w:pos="9356"/>
        </w:tabs>
        <w:jc w:val="right"/>
        <w:rPr>
          <w:szCs w:val="24"/>
          <w:lang w:eastAsia="en-US"/>
        </w:rPr>
      </w:pPr>
      <w:r>
        <w:rPr>
          <w:szCs w:val="24"/>
          <w:lang w:eastAsia="en-US"/>
        </w:rPr>
        <w:t>2. juli 2024</w:t>
      </w:r>
    </w:p>
    <w:p w14:paraId="0C3C5EDE" w14:textId="77777777" w:rsidR="00641F2A" w:rsidRPr="00C84483" w:rsidRDefault="00641F2A" w:rsidP="00E62E19">
      <w:pPr>
        <w:pStyle w:val="Titel"/>
        <w:tabs>
          <w:tab w:val="left" w:pos="8222"/>
        </w:tabs>
        <w:jc w:val="left"/>
        <w:rPr>
          <w:b w:val="0"/>
          <w:szCs w:val="24"/>
        </w:rPr>
      </w:pPr>
    </w:p>
    <w:p w14:paraId="03102878" w14:textId="77777777" w:rsidR="00E62E19" w:rsidRPr="00C84483" w:rsidRDefault="00E62E19" w:rsidP="00E62E19">
      <w:pPr>
        <w:pStyle w:val="Titel"/>
        <w:jc w:val="left"/>
        <w:rPr>
          <w:b w:val="0"/>
          <w:szCs w:val="24"/>
        </w:rPr>
      </w:pPr>
      <w:bookmarkStart w:id="0" w:name="_GoBack"/>
      <w:bookmarkEnd w:id="0"/>
    </w:p>
    <w:p w14:paraId="1DED3174" w14:textId="77777777" w:rsidR="00E62E19" w:rsidRPr="00C84483" w:rsidRDefault="00E62E19" w:rsidP="00E62E19">
      <w:pPr>
        <w:pStyle w:val="Titel"/>
        <w:jc w:val="left"/>
        <w:rPr>
          <w:b w:val="0"/>
          <w:szCs w:val="24"/>
        </w:rPr>
      </w:pPr>
    </w:p>
    <w:p w14:paraId="2F8EE8EA" w14:textId="77777777" w:rsidR="00E62E19" w:rsidRPr="00C84483" w:rsidRDefault="00E62E19" w:rsidP="00E62E19">
      <w:pPr>
        <w:jc w:val="center"/>
        <w:rPr>
          <w:b/>
          <w:sz w:val="24"/>
          <w:szCs w:val="24"/>
        </w:rPr>
      </w:pPr>
      <w:r w:rsidRPr="00C84483">
        <w:rPr>
          <w:b/>
          <w:sz w:val="24"/>
          <w:szCs w:val="24"/>
        </w:rPr>
        <w:t>PRODUKTRESUMÉ</w:t>
      </w:r>
    </w:p>
    <w:p w14:paraId="188A2536" w14:textId="77777777" w:rsidR="00E62E19" w:rsidRPr="00C84483" w:rsidRDefault="00E62E19" w:rsidP="00E62E19">
      <w:pPr>
        <w:jc w:val="center"/>
        <w:rPr>
          <w:b/>
          <w:sz w:val="24"/>
          <w:szCs w:val="24"/>
        </w:rPr>
      </w:pPr>
    </w:p>
    <w:p w14:paraId="06C2580C" w14:textId="77777777" w:rsidR="00E62E19" w:rsidRDefault="00E62E19" w:rsidP="00E62E19">
      <w:pPr>
        <w:jc w:val="center"/>
        <w:rPr>
          <w:b/>
          <w:sz w:val="24"/>
          <w:szCs w:val="24"/>
        </w:rPr>
      </w:pPr>
      <w:r w:rsidRPr="00C84483">
        <w:rPr>
          <w:b/>
          <w:sz w:val="24"/>
          <w:szCs w:val="24"/>
        </w:rPr>
        <w:t>for</w:t>
      </w:r>
    </w:p>
    <w:p w14:paraId="68B86626" w14:textId="77777777" w:rsidR="00E62E19" w:rsidRPr="00C84483" w:rsidRDefault="00E62E19" w:rsidP="00E62E19">
      <w:pPr>
        <w:jc w:val="center"/>
        <w:rPr>
          <w:b/>
          <w:sz w:val="24"/>
          <w:szCs w:val="24"/>
        </w:rPr>
      </w:pPr>
    </w:p>
    <w:p w14:paraId="0533BCF0" w14:textId="77777777" w:rsidR="00E62E19" w:rsidRPr="00C84483" w:rsidRDefault="00E62E19" w:rsidP="00E62E19">
      <w:pPr>
        <w:jc w:val="center"/>
        <w:rPr>
          <w:b/>
          <w:sz w:val="24"/>
          <w:szCs w:val="24"/>
        </w:rPr>
      </w:pPr>
      <w:r>
        <w:rPr>
          <w:b/>
          <w:sz w:val="24"/>
          <w:szCs w:val="24"/>
        </w:rPr>
        <w:t>Daptomycin "</w:t>
      </w:r>
      <w:r w:rsidR="00EE225B">
        <w:rPr>
          <w:b/>
          <w:sz w:val="24"/>
          <w:szCs w:val="24"/>
        </w:rPr>
        <w:t>Reddy</w:t>
      </w:r>
      <w:r>
        <w:rPr>
          <w:b/>
          <w:sz w:val="24"/>
          <w:szCs w:val="24"/>
        </w:rPr>
        <w:t>", pulver til injektions-/infusionsvæske, opløsning</w:t>
      </w:r>
    </w:p>
    <w:p w14:paraId="2CE403B4" w14:textId="77777777" w:rsidR="00E62E19" w:rsidRPr="00C84483" w:rsidRDefault="00E62E19" w:rsidP="00E62E19">
      <w:pPr>
        <w:jc w:val="both"/>
        <w:rPr>
          <w:sz w:val="24"/>
          <w:szCs w:val="24"/>
        </w:rPr>
      </w:pPr>
    </w:p>
    <w:p w14:paraId="426ED2ED" w14:textId="77777777" w:rsidR="00E62E19" w:rsidRPr="00326899" w:rsidRDefault="00E62E19" w:rsidP="00E62E19">
      <w:pPr>
        <w:ind w:left="851" w:hanging="851"/>
        <w:jc w:val="both"/>
        <w:rPr>
          <w:sz w:val="24"/>
          <w:szCs w:val="24"/>
        </w:rPr>
      </w:pPr>
    </w:p>
    <w:p w14:paraId="309EB354" w14:textId="77777777" w:rsidR="00E62E19" w:rsidRPr="00326899" w:rsidRDefault="00E62E19" w:rsidP="00E62E19">
      <w:pPr>
        <w:ind w:left="851" w:hanging="851"/>
        <w:rPr>
          <w:b/>
          <w:sz w:val="24"/>
          <w:szCs w:val="24"/>
        </w:rPr>
      </w:pPr>
      <w:r w:rsidRPr="00326899">
        <w:rPr>
          <w:b/>
          <w:sz w:val="24"/>
          <w:szCs w:val="24"/>
        </w:rPr>
        <w:t>0.</w:t>
      </w:r>
      <w:r w:rsidRPr="00326899">
        <w:rPr>
          <w:b/>
          <w:sz w:val="24"/>
          <w:szCs w:val="24"/>
        </w:rPr>
        <w:tab/>
        <w:t>D.SP.NR.</w:t>
      </w:r>
    </w:p>
    <w:p w14:paraId="53526033" w14:textId="77777777" w:rsidR="00E62E19" w:rsidRPr="00326899" w:rsidRDefault="00E62E19" w:rsidP="00E62E19">
      <w:pPr>
        <w:ind w:left="851"/>
        <w:rPr>
          <w:sz w:val="24"/>
          <w:szCs w:val="24"/>
        </w:rPr>
      </w:pPr>
      <w:r w:rsidRPr="00326899">
        <w:rPr>
          <w:sz w:val="24"/>
          <w:szCs w:val="24"/>
        </w:rPr>
        <w:t>30348</w:t>
      </w:r>
    </w:p>
    <w:p w14:paraId="1A4177B2" w14:textId="77777777" w:rsidR="00E62E19" w:rsidRPr="00326899" w:rsidRDefault="00E62E19" w:rsidP="00E62E19">
      <w:pPr>
        <w:ind w:left="851" w:hanging="851"/>
        <w:rPr>
          <w:sz w:val="24"/>
          <w:szCs w:val="24"/>
        </w:rPr>
      </w:pPr>
    </w:p>
    <w:p w14:paraId="5C99A21B" w14:textId="77777777" w:rsidR="00E62E19" w:rsidRPr="00326899" w:rsidRDefault="00E62E19" w:rsidP="00E62E19">
      <w:pPr>
        <w:ind w:left="851" w:hanging="851"/>
        <w:rPr>
          <w:b/>
          <w:sz w:val="24"/>
          <w:szCs w:val="24"/>
        </w:rPr>
      </w:pPr>
      <w:r w:rsidRPr="00326899">
        <w:rPr>
          <w:b/>
          <w:sz w:val="24"/>
          <w:szCs w:val="24"/>
        </w:rPr>
        <w:t>1.</w:t>
      </w:r>
      <w:r w:rsidRPr="00326899">
        <w:rPr>
          <w:b/>
          <w:sz w:val="24"/>
          <w:szCs w:val="24"/>
        </w:rPr>
        <w:tab/>
        <w:t>LÆGEMIDLETS NAVN</w:t>
      </w:r>
    </w:p>
    <w:p w14:paraId="0CECD9BA" w14:textId="77777777" w:rsidR="00F210AB" w:rsidRPr="007D237B" w:rsidRDefault="00F210AB" w:rsidP="00F210AB">
      <w:pPr>
        <w:ind w:left="851"/>
        <w:rPr>
          <w:sz w:val="24"/>
          <w:szCs w:val="24"/>
        </w:rPr>
      </w:pPr>
      <w:r w:rsidRPr="007D237B">
        <w:rPr>
          <w:sz w:val="24"/>
          <w:szCs w:val="24"/>
        </w:rPr>
        <w:t>Daptomycin Reddy 350 mg pulver til injektions-/infusionsvæske, opløsning</w:t>
      </w:r>
    </w:p>
    <w:p w14:paraId="756967F8" w14:textId="77777777" w:rsidR="00F210AB" w:rsidRPr="00E95F9F" w:rsidRDefault="00F210AB" w:rsidP="00F210AB">
      <w:pPr>
        <w:ind w:left="851"/>
        <w:rPr>
          <w:szCs w:val="24"/>
        </w:rPr>
      </w:pPr>
      <w:r w:rsidRPr="007D237B">
        <w:rPr>
          <w:sz w:val="24"/>
          <w:szCs w:val="24"/>
        </w:rPr>
        <w:t>Daptomycin Reddy 500 mg pulver til injektions-/infusionsvæske, opløsning</w:t>
      </w:r>
    </w:p>
    <w:p w14:paraId="67C68629" w14:textId="77777777" w:rsidR="00E62E19" w:rsidRPr="00326899" w:rsidRDefault="00E62E19" w:rsidP="00E62E19">
      <w:pPr>
        <w:ind w:left="851" w:hanging="851"/>
        <w:rPr>
          <w:sz w:val="24"/>
          <w:szCs w:val="24"/>
        </w:rPr>
      </w:pPr>
    </w:p>
    <w:p w14:paraId="4615B07B" w14:textId="77777777" w:rsidR="00E62E19" w:rsidRPr="00326899" w:rsidRDefault="00E62E19" w:rsidP="00E62E19">
      <w:pPr>
        <w:ind w:left="851" w:hanging="851"/>
        <w:rPr>
          <w:b/>
          <w:sz w:val="24"/>
          <w:szCs w:val="24"/>
        </w:rPr>
      </w:pPr>
      <w:r w:rsidRPr="00326899">
        <w:rPr>
          <w:b/>
          <w:sz w:val="24"/>
          <w:szCs w:val="24"/>
        </w:rPr>
        <w:t>2.</w:t>
      </w:r>
      <w:r w:rsidRPr="00326899">
        <w:rPr>
          <w:b/>
          <w:sz w:val="24"/>
          <w:szCs w:val="24"/>
        </w:rPr>
        <w:tab/>
        <w:t>KVALITATIV OG KVANTITATIV SAMMENSÆTNING</w:t>
      </w:r>
    </w:p>
    <w:p w14:paraId="49203381" w14:textId="77777777" w:rsidR="00E62E19" w:rsidRDefault="00E62E19" w:rsidP="00E62E19">
      <w:pPr>
        <w:autoSpaceDE w:val="0"/>
        <w:autoSpaceDN w:val="0"/>
        <w:adjustRightInd w:val="0"/>
        <w:ind w:left="851"/>
        <w:rPr>
          <w:rFonts w:eastAsia="TimesNewRoman"/>
          <w:color w:val="000000"/>
          <w:sz w:val="24"/>
          <w:szCs w:val="24"/>
        </w:rPr>
      </w:pPr>
    </w:p>
    <w:p w14:paraId="7364A703" w14:textId="77777777" w:rsidR="00F210AB" w:rsidRPr="007D237B" w:rsidRDefault="00F210AB" w:rsidP="00F210AB">
      <w:pPr>
        <w:autoSpaceDE w:val="0"/>
        <w:autoSpaceDN w:val="0"/>
        <w:adjustRightInd w:val="0"/>
        <w:ind w:left="851"/>
        <w:rPr>
          <w:rFonts w:eastAsia="TimesNewRoman"/>
          <w:color w:val="000000"/>
          <w:sz w:val="24"/>
          <w:szCs w:val="24"/>
        </w:rPr>
      </w:pPr>
      <w:r w:rsidRPr="007D237B">
        <w:rPr>
          <w:rFonts w:eastAsia="TimesNewRoman"/>
          <w:color w:val="000000"/>
          <w:sz w:val="24"/>
          <w:szCs w:val="24"/>
        </w:rPr>
        <w:t>Daptomycin Reddy 350 mg pulver til injektions-/infusionsvæske, opløsning:</w:t>
      </w:r>
    </w:p>
    <w:p w14:paraId="77682568" w14:textId="77777777" w:rsidR="00F210AB" w:rsidRPr="007D237B" w:rsidRDefault="00F210AB" w:rsidP="00F210AB">
      <w:pPr>
        <w:autoSpaceDE w:val="0"/>
        <w:autoSpaceDN w:val="0"/>
        <w:adjustRightInd w:val="0"/>
        <w:ind w:left="851"/>
        <w:rPr>
          <w:rFonts w:eastAsia="TimesNewRoman"/>
          <w:color w:val="000000"/>
          <w:sz w:val="24"/>
          <w:szCs w:val="24"/>
        </w:rPr>
      </w:pPr>
      <w:r w:rsidRPr="007D237B">
        <w:rPr>
          <w:rFonts w:eastAsia="TimesNewRoman"/>
          <w:color w:val="000000"/>
          <w:sz w:val="24"/>
          <w:szCs w:val="24"/>
        </w:rPr>
        <w:t>Hvert hætteglas indeholder 350 mg daptomycin.</w:t>
      </w:r>
    </w:p>
    <w:p w14:paraId="717008C7" w14:textId="77777777" w:rsidR="00F210AB" w:rsidRPr="007D237B" w:rsidRDefault="00F210AB" w:rsidP="00F210AB">
      <w:pPr>
        <w:autoSpaceDE w:val="0"/>
        <w:autoSpaceDN w:val="0"/>
        <w:adjustRightInd w:val="0"/>
        <w:ind w:left="851"/>
        <w:rPr>
          <w:rFonts w:eastAsia="TimesNewRoman"/>
          <w:color w:val="000000"/>
          <w:sz w:val="24"/>
          <w:szCs w:val="24"/>
        </w:rPr>
      </w:pPr>
      <w:r w:rsidRPr="007D237B">
        <w:rPr>
          <w:rFonts w:eastAsia="TimesNewRoman"/>
          <w:color w:val="000000"/>
          <w:sz w:val="24"/>
          <w:szCs w:val="24"/>
        </w:rPr>
        <w:t>1 ml indeholder 50 mg daptomycin efter rekonstitution med 7 ml natriumchloridopløsning 9 mg/ml (0,9 %).</w:t>
      </w:r>
    </w:p>
    <w:p w14:paraId="720DC030" w14:textId="77777777" w:rsidR="00F210AB" w:rsidRPr="007D237B" w:rsidRDefault="00F210AB" w:rsidP="00F210AB">
      <w:pPr>
        <w:autoSpaceDE w:val="0"/>
        <w:autoSpaceDN w:val="0"/>
        <w:adjustRightInd w:val="0"/>
        <w:ind w:left="851" w:hanging="851"/>
        <w:rPr>
          <w:rFonts w:eastAsia="TimesNewRoman"/>
          <w:color w:val="000000"/>
          <w:sz w:val="24"/>
          <w:szCs w:val="24"/>
        </w:rPr>
      </w:pPr>
    </w:p>
    <w:p w14:paraId="1492E20F" w14:textId="77777777" w:rsidR="00F210AB" w:rsidRPr="007D237B" w:rsidRDefault="00F210AB" w:rsidP="00F210AB">
      <w:pPr>
        <w:autoSpaceDE w:val="0"/>
        <w:autoSpaceDN w:val="0"/>
        <w:adjustRightInd w:val="0"/>
        <w:ind w:left="851"/>
        <w:rPr>
          <w:rFonts w:eastAsia="TimesNewRoman"/>
          <w:color w:val="000000"/>
          <w:sz w:val="24"/>
          <w:szCs w:val="24"/>
        </w:rPr>
      </w:pPr>
      <w:r w:rsidRPr="007D237B">
        <w:rPr>
          <w:rFonts w:eastAsia="TimesNewRoman"/>
          <w:color w:val="000000"/>
          <w:sz w:val="24"/>
          <w:szCs w:val="24"/>
        </w:rPr>
        <w:t>Daptomycin Reddy 500 mg pulver til injektions-/infusionsvæske, opløsning:</w:t>
      </w:r>
    </w:p>
    <w:p w14:paraId="61F70D39" w14:textId="77777777" w:rsidR="00F210AB" w:rsidRPr="007D237B" w:rsidRDefault="00F210AB" w:rsidP="00F210AB">
      <w:pPr>
        <w:autoSpaceDE w:val="0"/>
        <w:autoSpaceDN w:val="0"/>
        <w:adjustRightInd w:val="0"/>
        <w:ind w:left="851"/>
        <w:rPr>
          <w:rFonts w:eastAsia="TimesNewRoman"/>
          <w:color w:val="000000"/>
          <w:sz w:val="24"/>
          <w:szCs w:val="24"/>
        </w:rPr>
      </w:pPr>
      <w:r w:rsidRPr="007D237B">
        <w:rPr>
          <w:rFonts w:eastAsia="TimesNewRoman"/>
          <w:color w:val="000000"/>
          <w:sz w:val="24"/>
          <w:szCs w:val="24"/>
        </w:rPr>
        <w:t>Hvert hætteglas indeholder 500 mg daptomycin.</w:t>
      </w:r>
    </w:p>
    <w:p w14:paraId="5DC33140" w14:textId="77777777" w:rsidR="00F210AB" w:rsidRPr="007D237B" w:rsidRDefault="00F210AB" w:rsidP="00F210AB">
      <w:pPr>
        <w:autoSpaceDE w:val="0"/>
        <w:autoSpaceDN w:val="0"/>
        <w:adjustRightInd w:val="0"/>
        <w:ind w:left="851"/>
        <w:rPr>
          <w:rFonts w:eastAsia="TimesNewRoman"/>
          <w:color w:val="000000"/>
          <w:sz w:val="24"/>
          <w:szCs w:val="24"/>
        </w:rPr>
      </w:pPr>
      <w:r w:rsidRPr="007D237B">
        <w:rPr>
          <w:rFonts w:eastAsia="TimesNewRoman"/>
          <w:color w:val="000000"/>
          <w:sz w:val="24"/>
          <w:szCs w:val="24"/>
        </w:rPr>
        <w:t>1 ml indeholder 50 mg daptomycin efter rekonstitution med 10 ml natriumchloridopløsning 9 mg/ml (0,9 %).</w:t>
      </w:r>
    </w:p>
    <w:p w14:paraId="24455385" w14:textId="77777777" w:rsidR="00F210AB" w:rsidRPr="007D237B" w:rsidRDefault="00F210AB" w:rsidP="00F210AB">
      <w:pPr>
        <w:autoSpaceDE w:val="0"/>
        <w:autoSpaceDN w:val="0"/>
        <w:adjustRightInd w:val="0"/>
        <w:ind w:left="851" w:hanging="851"/>
        <w:rPr>
          <w:rFonts w:eastAsia="TimesNewRoman"/>
          <w:color w:val="000000"/>
          <w:sz w:val="24"/>
          <w:szCs w:val="24"/>
        </w:rPr>
      </w:pPr>
    </w:p>
    <w:p w14:paraId="12A1E50B" w14:textId="77777777" w:rsidR="00F210AB" w:rsidRPr="007D237B" w:rsidRDefault="00F210AB" w:rsidP="00F210AB">
      <w:pPr>
        <w:autoSpaceDE w:val="0"/>
        <w:autoSpaceDN w:val="0"/>
        <w:adjustRightInd w:val="0"/>
        <w:ind w:left="851"/>
        <w:rPr>
          <w:rFonts w:eastAsia="TimesNewRoman"/>
          <w:color w:val="000000"/>
          <w:sz w:val="24"/>
          <w:szCs w:val="24"/>
        </w:rPr>
      </w:pPr>
      <w:r w:rsidRPr="007D237B">
        <w:rPr>
          <w:rFonts w:eastAsia="TimesNewRoman"/>
          <w:color w:val="000000"/>
          <w:sz w:val="24"/>
          <w:szCs w:val="24"/>
        </w:rPr>
        <w:t>Alle hjælpestoffer er anført under pkt. 6.1.</w:t>
      </w:r>
    </w:p>
    <w:p w14:paraId="67DC94A9" w14:textId="77777777" w:rsidR="00E62E19" w:rsidRPr="00326899" w:rsidRDefault="00E62E19" w:rsidP="00E62E19">
      <w:pPr>
        <w:autoSpaceDE w:val="0"/>
        <w:autoSpaceDN w:val="0"/>
        <w:adjustRightInd w:val="0"/>
        <w:ind w:left="851" w:hanging="851"/>
        <w:rPr>
          <w:rFonts w:eastAsia="TimesNewRoman"/>
          <w:color w:val="000000"/>
          <w:sz w:val="24"/>
          <w:szCs w:val="24"/>
        </w:rPr>
      </w:pPr>
    </w:p>
    <w:p w14:paraId="1440040B" w14:textId="77777777" w:rsidR="00E62E19" w:rsidRPr="00326899" w:rsidRDefault="00E62E19" w:rsidP="00E62E19">
      <w:pPr>
        <w:ind w:left="851" w:hanging="851"/>
        <w:rPr>
          <w:b/>
          <w:sz w:val="24"/>
          <w:szCs w:val="24"/>
        </w:rPr>
      </w:pPr>
      <w:r w:rsidRPr="00326899">
        <w:rPr>
          <w:b/>
          <w:sz w:val="24"/>
          <w:szCs w:val="24"/>
        </w:rPr>
        <w:t>3.</w:t>
      </w:r>
      <w:r w:rsidRPr="00326899">
        <w:rPr>
          <w:b/>
          <w:sz w:val="24"/>
          <w:szCs w:val="24"/>
        </w:rPr>
        <w:tab/>
        <w:t>LÆGEMIDDELFORM</w:t>
      </w:r>
    </w:p>
    <w:p w14:paraId="76E7DC01"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Pulver til injektions-/infusionsvæske, opløsning</w:t>
      </w:r>
    </w:p>
    <w:p w14:paraId="37F0138A"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Et lysegult til let brunt frysetørret masse eller pulver.</w:t>
      </w:r>
    </w:p>
    <w:p w14:paraId="102A74AB" w14:textId="77777777" w:rsidR="00855450" w:rsidRDefault="00855450">
      <w:pPr>
        <w:rPr>
          <w:sz w:val="24"/>
          <w:szCs w:val="24"/>
        </w:rPr>
      </w:pPr>
    </w:p>
    <w:p w14:paraId="47CA8E4D" w14:textId="77777777" w:rsidR="00E62E19" w:rsidRPr="00326899" w:rsidRDefault="00E62E19" w:rsidP="00E62E19">
      <w:pPr>
        <w:ind w:left="851" w:hanging="851"/>
        <w:rPr>
          <w:sz w:val="24"/>
          <w:szCs w:val="24"/>
        </w:rPr>
      </w:pPr>
    </w:p>
    <w:p w14:paraId="40C1F312" w14:textId="77777777" w:rsidR="00E62E19" w:rsidRPr="00326899" w:rsidRDefault="00E62E19" w:rsidP="00E62E19">
      <w:pPr>
        <w:ind w:left="851" w:hanging="851"/>
        <w:rPr>
          <w:b/>
          <w:sz w:val="24"/>
          <w:szCs w:val="24"/>
        </w:rPr>
      </w:pPr>
      <w:r w:rsidRPr="00326899">
        <w:rPr>
          <w:b/>
          <w:sz w:val="24"/>
          <w:szCs w:val="24"/>
        </w:rPr>
        <w:t>4.</w:t>
      </w:r>
      <w:r w:rsidRPr="00326899">
        <w:rPr>
          <w:b/>
          <w:sz w:val="24"/>
          <w:szCs w:val="24"/>
        </w:rPr>
        <w:tab/>
        <w:t>KLINISKE OPLYSNINGER</w:t>
      </w:r>
    </w:p>
    <w:p w14:paraId="6B96BDDF" w14:textId="77777777" w:rsidR="00E62E19" w:rsidRPr="00326899" w:rsidRDefault="00E62E19" w:rsidP="00E62E19">
      <w:pPr>
        <w:ind w:left="851" w:hanging="851"/>
        <w:rPr>
          <w:b/>
          <w:sz w:val="24"/>
          <w:szCs w:val="24"/>
        </w:rPr>
      </w:pPr>
    </w:p>
    <w:p w14:paraId="10FF0708" w14:textId="77777777" w:rsidR="007D237B" w:rsidRPr="007D237B" w:rsidRDefault="00E62E19" w:rsidP="007D237B">
      <w:pPr>
        <w:ind w:left="851" w:hanging="851"/>
        <w:rPr>
          <w:b/>
          <w:sz w:val="24"/>
          <w:szCs w:val="24"/>
          <w:u w:val="single"/>
        </w:rPr>
      </w:pPr>
      <w:r w:rsidRPr="00326899">
        <w:rPr>
          <w:b/>
          <w:sz w:val="24"/>
          <w:szCs w:val="24"/>
        </w:rPr>
        <w:t>4.1</w:t>
      </w:r>
      <w:r w:rsidRPr="00326899">
        <w:rPr>
          <w:b/>
          <w:sz w:val="24"/>
          <w:szCs w:val="24"/>
        </w:rPr>
        <w:tab/>
        <w:t>Terapeutiske indikationer</w:t>
      </w:r>
    </w:p>
    <w:p w14:paraId="22BD6A7E"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Daptomycin Reddy er indiceret til behandling af følgende infektioner (se pkt. 4.4 og 5.1):</w:t>
      </w:r>
    </w:p>
    <w:p w14:paraId="57AB1A2C" w14:textId="77777777" w:rsidR="007D237B" w:rsidRPr="007D237B" w:rsidRDefault="007D237B" w:rsidP="007D237B">
      <w:pPr>
        <w:pStyle w:val="Listeafsnit"/>
        <w:numPr>
          <w:ilvl w:val="0"/>
          <w:numId w:val="9"/>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Voksne og pædiatriske (i alderen 1 til 17 år) patienter med komplicerede hud- og bløddelsinfektioner (cSSTI).</w:t>
      </w:r>
    </w:p>
    <w:p w14:paraId="5A17DEE0" w14:textId="77777777" w:rsidR="007D237B" w:rsidRPr="007D237B" w:rsidRDefault="007D237B" w:rsidP="007D237B">
      <w:pPr>
        <w:pStyle w:val="Listeafsnit"/>
        <w:numPr>
          <w:ilvl w:val="0"/>
          <w:numId w:val="9"/>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 xml:space="preserve">Voksne patienter med højresidig infektiøs endocarditis (RIE) som følge af </w:t>
      </w:r>
      <w:r w:rsidRPr="007D237B">
        <w:rPr>
          <w:rFonts w:ascii="Times New Roman" w:eastAsia="TimesNewRoman,Bold" w:hAnsi="Times New Roman" w:cs="Times New Roman"/>
          <w:i/>
          <w:iCs/>
          <w:color w:val="000000"/>
          <w:sz w:val="24"/>
          <w:szCs w:val="24"/>
        </w:rPr>
        <w:t>Staphylococcus aureus</w:t>
      </w:r>
      <w:r w:rsidRPr="007D237B">
        <w:rPr>
          <w:rFonts w:ascii="Times New Roman" w:eastAsia="TimesNewRoman" w:hAnsi="Times New Roman" w:cs="Times New Roman"/>
          <w:color w:val="000000"/>
          <w:sz w:val="24"/>
          <w:szCs w:val="24"/>
        </w:rPr>
        <w:t xml:space="preserve">. Beslutningen om at anvende daptomycin bør tage højde for </w:t>
      </w:r>
      <w:r w:rsidRPr="007D237B">
        <w:rPr>
          <w:rFonts w:ascii="Times New Roman" w:eastAsia="TimesNewRoman" w:hAnsi="Times New Roman" w:cs="Times New Roman"/>
          <w:color w:val="000000"/>
          <w:sz w:val="24"/>
          <w:szCs w:val="24"/>
        </w:rPr>
        <w:lastRenderedPageBreak/>
        <w:t>organismens antibakterielle følsomhed og bør være baseret på ekspert-rådgivning. Se pkt. 4.4 og 5.1.</w:t>
      </w:r>
    </w:p>
    <w:p w14:paraId="60CE2FDC" w14:textId="485AB6CA" w:rsidR="007D237B" w:rsidRPr="007D237B" w:rsidRDefault="007D237B" w:rsidP="007D237B">
      <w:pPr>
        <w:pStyle w:val="Listeafsnit"/>
        <w:numPr>
          <w:ilvl w:val="0"/>
          <w:numId w:val="9"/>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 xml:space="preserve">Voksne og pædiatriske (i alderen 1 til 17 år) patienter med </w:t>
      </w:r>
      <w:r w:rsidRPr="007D237B">
        <w:rPr>
          <w:rFonts w:ascii="Times New Roman" w:eastAsia="TimesNewRoman,Bold" w:hAnsi="Times New Roman" w:cs="Times New Roman"/>
          <w:i/>
          <w:iCs/>
          <w:color w:val="000000"/>
          <w:sz w:val="24"/>
          <w:szCs w:val="24"/>
        </w:rPr>
        <w:t xml:space="preserve">Staphylococcus aureus </w:t>
      </w:r>
      <w:r w:rsidRPr="007D237B">
        <w:rPr>
          <w:rFonts w:ascii="Times New Roman" w:eastAsia="TimesNewRoman" w:hAnsi="Times New Roman" w:cs="Times New Roman"/>
          <w:color w:val="000000"/>
          <w:sz w:val="24"/>
          <w:szCs w:val="24"/>
        </w:rPr>
        <w:t xml:space="preserve">bakteriæmi (SAB). </w:t>
      </w:r>
      <w:r w:rsidRPr="007D237B">
        <w:rPr>
          <w:rFonts w:ascii="Times New Roman" w:hAnsi="Times New Roman" w:cs="Times New Roman"/>
          <w:sz w:val="24"/>
          <w:szCs w:val="24"/>
        </w:rPr>
        <w:t>Hos voksne skal anvendelse ved bakteriæmi være</w:t>
      </w:r>
      <w:r w:rsidRPr="007D237B">
        <w:rPr>
          <w:rFonts w:ascii="Times New Roman" w:eastAsia="TimesNewRoman" w:hAnsi="Times New Roman" w:cs="Times New Roman"/>
          <w:color w:val="000000"/>
          <w:sz w:val="24"/>
          <w:szCs w:val="24"/>
        </w:rPr>
        <w:t xml:space="preserve"> associeret med RIE eller med cSSTI</w:t>
      </w:r>
      <w:r w:rsidRPr="007D237B">
        <w:rPr>
          <w:rFonts w:ascii="Times New Roman" w:hAnsi="Times New Roman" w:cs="Times New Roman"/>
          <w:sz w:val="24"/>
          <w:szCs w:val="24"/>
        </w:rPr>
        <w:t>, mens anvendelse ved bakteriæmi hos pædiatriske patienter skal være associeret med cSSTI</w:t>
      </w:r>
      <w:r w:rsidRPr="007D237B">
        <w:rPr>
          <w:rFonts w:ascii="Times New Roman" w:eastAsia="TimesNewRoman" w:hAnsi="Times New Roman" w:cs="Times New Roman"/>
          <w:color w:val="000000"/>
          <w:sz w:val="24"/>
          <w:szCs w:val="24"/>
        </w:rPr>
        <w:t>.</w:t>
      </w:r>
    </w:p>
    <w:p w14:paraId="610EE7C2"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13DDD957"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Daptomycin er kun aktiv imod grampositive bakterier (se pkt. 5.1). I blandede infektioner, hvor der er mistanke om både gramnegative og/eller visse typer anaerobe bakterier, bør Daptomycin Reddy administreres sammen med et eller flere hensigtsmæssige antibakterielle lægemidler.</w:t>
      </w:r>
    </w:p>
    <w:p w14:paraId="40E7AC9B"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12D59386"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Officielle retningslinjer angående hensigtsmæssig brug af antibakterielle lægemidler bør tages i betragtning.</w:t>
      </w:r>
    </w:p>
    <w:p w14:paraId="26892DA9" w14:textId="77777777" w:rsidR="00E62E19" w:rsidRPr="007D237B" w:rsidRDefault="00E62E19" w:rsidP="00E62E19">
      <w:pPr>
        <w:ind w:left="851" w:hanging="851"/>
        <w:rPr>
          <w:sz w:val="24"/>
          <w:szCs w:val="24"/>
        </w:rPr>
      </w:pPr>
    </w:p>
    <w:p w14:paraId="77A965C9" w14:textId="77777777" w:rsidR="00E62E19" w:rsidRPr="00326899" w:rsidRDefault="00E62E19" w:rsidP="00E62E19">
      <w:pPr>
        <w:ind w:left="851" w:hanging="851"/>
        <w:rPr>
          <w:b/>
          <w:sz w:val="24"/>
          <w:szCs w:val="24"/>
        </w:rPr>
      </w:pPr>
      <w:r w:rsidRPr="00326899">
        <w:rPr>
          <w:b/>
          <w:sz w:val="24"/>
          <w:szCs w:val="24"/>
        </w:rPr>
        <w:t>4.2</w:t>
      </w:r>
      <w:r w:rsidRPr="00326899">
        <w:rPr>
          <w:b/>
          <w:sz w:val="24"/>
          <w:szCs w:val="24"/>
        </w:rPr>
        <w:tab/>
        <w:t xml:space="preserve">Dosering og </w:t>
      </w:r>
      <w:r w:rsidR="007D237B">
        <w:rPr>
          <w:b/>
          <w:sz w:val="24"/>
          <w:szCs w:val="24"/>
        </w:rPr>
        <w:t>administration</w:t>
      </w:r>
    </w:p>
    <w:p w14:paraId="38B2D578" w14:textId="5B234384"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Kliniske studier anvendte infusion af daptomycin til patienter over mindst 30 minutter. Der er ingen klinisk erfaring fra patienter med administration af daptomycin som injektion over 2 minutter. Denne administrationsvej er kun undersøgt i raske frivillige. Ved sammenligning med den samme dosis givet som intravenøs infusion over 30 minutter er der dog ingen klinisk relevant forskel i farmakokinetikken og sikkerhedsprofilen af daptomycin (se pkt. 4.8 og 5.2).</w:t>
      </w:r>
    </w:p>
    <w:p w14:paraId="3FB42367"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7CBEF2D7" w14:textId="77777777" w:rsidR="007D237B" w:rsidRPr="007D237B" w:rsidRDefault="007D237B" w:rsidP="007D237B">
      <w:pPr>
        <w:autoSpaceDE w:val="0"/>
        <w:autoSpaceDN w:val="0"/>
        <w:adjustRightInd w:val="0"/>
        <w:ind w:left="851"/>
        <w:rPr>
          <w:rFonts w:eastAsia="TimesNewRoman"/>
          <w:color w:val="000000"/>
          <w:sz w:val="24"/>
          <w:szCs w:val="24"/>
          <w:u w:val="single"/>
        </w:rPr>
      </w:pPr>
      <w:r w:rsidRPr="007D237B">
        <w:rPr>
          <w:rFonts w:eastAsia="TimesNewRoman"/>
          <w:color w:val="000000"/>
          <w:sz w:val="24"/>
          <w:szCs w:val="24"/>
          <w:u w:val="single"/>
        </w:rPr>
        <w:t>Dosering</w:t>
      </w:r>
    </w:p>
    <w:p w14:paraId="44772CCC" w14:textId="77777777" w:rsidR="007D237B" w:rsidRPr="007D237B" w:rsidRDefault="007D237B" w:rsidP="007D237B">
      <w:pPr>
        <w:autoSpaceDE w:val="0"/>
        <w:autoSpaceDN w:val="0"/>
        <w:adjustRightInd w:val="0"/>
        <w:ind w:left="851" w:hanging="851"/>
        <w:rPr>
          <w:rFonts w:eastAsia="TimesNewRoman,Bold"/>
          <w:i/>
          <w:iCs/>
          <w:color w:val="000000"/>
          <w:sz w:val="24"/>
          <w:szCs w:val="24"/>
        </w:rPr>
      </w:pPr>
    </w:p>
    <w:p w14:paraId="2AFE7058" w14:textId="77777777" w:rsidR="007D237B" w:rsidRPr="007D237B" w:rsidRDefault="007D237B" w:rsidP="007D237B">
      <w:pPr>
        <w:autoSpaceDE w:val="0"/>
        <w:autoSpaceDN w:val="0"/>
        <w:adjustRightInd w:val="0"/>
        <w:ind w:left="851"/>
        <w:rPr>
          <w:rFonts w:eastAsia="TimesNewRoman,Bold"/>
          <w:i/>
          <w:iCs/>
          <w:color w:val="000000"/>
          <w:sz w:val="24"/>
          <w:szCs w:val="24"/>
          <w:u w:val="single"/>
        </w:rPr>
      </w:pPr>
      <w:r w:rsidRPr="007D237B">
        <w:rPr>
          <w:rFonts w:eastAsia="TimesNewRoman,Bold"/>
          <w:i/>
          <w:iCs/>
          <w:color w:val="000000"/>
          <w:sz w:val="24"/>
          <w:szCs w:val="24"/>
          <w:u w:val="single"/>
        </w:rPr>
        <w:t>Voksne</w:t>
      </w:r>
    </w:p>
    <w:p w14:paraId="7E289876" w14:textId="72A0789B" w:rsidR="007D237B" w:rsidRPr="007D237B" w:rsidRDefault="007D237B" w:rsidP="007D237B">
      <w:pPr>
        <w:pStyle w:val="Listeafsnit"/>
        <w:numPr>
          <w:ilvl w:val="0"/>
          <w:numId w:val="9"/>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 xml:space="preserve">cSSTI uden samtidig </w:t>
      </w:r>
      <w:r w:rsidRPr="007D237B">
        <w:rPr>
          <w:rFonts w:ascii="Times New Roman" w:eastAsia="TimesNewRoman,Bold" w:hAnsi="Times New Roman" w:cs="Times New Roman"/>
          <w:color w:val="000000"/>
          <w:sz w:val="24"/>
          <w:szCs w:val="24"/>
        </w:rPr>
        <w:t>SAB</w:t>
      </w:r>
      <w:r w:rsidRPr="007D237B">
        <w:rPr>
          <w:rFonts w:ascii="Times New Roman" w:eastAsia="TimesNewRoman" w:hAnsi="Times New Roman" w:cs="Times New Roman"/>
          <w:color w:val="000000"/>
          <w:sz w:val="24"/>
          <w:szCs w:val="24"/>
        </w:rPr>
        <w:t xml:space="preserve">: Daptomycin Reddy 4 mg/kg administreres </w:t>
      </w:r>
      <w:r w:rsidR="00104B3C">
        <w:rPr>
          <w:rFonts w:ascii="Times New Roman" w:eastAsia="TimesNewRoman" w:hAnsi="Times New Roman" w:cs="Times New Roman"/>
          <w:color w:val="000000"/>
          <w:sz w:val="24"/>
          <w:szCs w:val="24"/>
        </w:rPr>
        <w:t>en</w:t>
      </w:r>
      <w:r w:rsidRPr="007D237B">
        <w:rPr>
          <w:rFonts w:ascii="Times New Roman" w:eastAsia="TimesNewRoman" w:hAnsi="Times New Roman" w:cs="Times New Roman"/>
          <w:color w:val="000000"/>
          <w:sz w:val="24"/>
          <w:szCs w:val="24"/>
        </w:rPr>
        <w:t xml:space="preserve"> gang i døgnet i 7-14 dage, eller indtil infektionen er forsvundet (se pkt. 5.1).</w:t>
      </w:r>
    </w:p>
    <w:p w14:paraId="766DE56B" w14:textId="592B155F" w:rsidR="007D237B" w:rsidRPr="007D237B" w:rsidRDefault="007D237B" w:rsidP="007D237B">
      <w:pPr>
        <w:pStyle w:val="Listeafsnit"/>
        <w:numPr>
          <w:ilvl w:val="0"/>
          <w:numId w:val="9"/>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 xml:space="preserve">cSSTI med samtidig SAB: Daptomycin Reddy 6 mg/kg administreres </w:t>
      </w:r>
      <w:r w:rsidR="00104B3C">
        <w:rPr>
          <w:rFonts w:ascii="Times New Roman" w:eastAsia="TimesNewRoman" w:hAnsi="Times New Roman" w:cs="Times New Roman"/>
          <w:color w:val="000000"/>
          <w:sz w:val="24"/>
          <w:szCs w:val="24"/>
        </w:rPr>
        <w:t>en</w:t>
      </w:r>
      <w:r w:rsidRPr="007D237B">
        <w:rPr>
          <w:rFonts w:ascii="Times New Roman" w:eastAsia="TimesNewRoman" w:hAnsi="Times New Roman" w:cs="Times New Roman"/>
          <w:color w:val="000000"/>
          <w:sz w:val="24"/>
          <w:szCs w:val="24"/>
        </w:rPr>
        <w:t xml:space="preserve"> gang i døgnet. Se nedenfor for dosisjustering hos patienter med nedsat nyrefunktion. Det kan være nødvendigt, at behandlingen varer længere end 14 dage i overensstemmelse med risikoen for komplikationer hos den individuelle patient.</w:t>
      </w:r>
    </w:p>
    <w:p w14:paraId="71073221" w14:textId="77777777" w:rsidR="007D237B" w:rsidRPr="007D237B" w:rsidRDefault="007D237B" w:rsidP="007D237B">
      <w:pPr>
        <w:pStyle w:val="Listeafsnit"/>
        <w:numPr>
          <w:ilvl w:val="0"/>
          <w:numId w:val="9"/>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 xml:space="preserve">Kendt eller mistænkt RIE som følge af </w:t>
      </w:r>
      <w:r w:rsidRPr="007D237B">
        <w:rPr>
          <w:rFonts w:ascii="Times New Roman" w:eastAsia="TimesNewRoman,Bold" w:hAnsi="Times New Roman" w:cs="Times New Roman"/>
          <w:i/>
          <w:iCs/>
          <w:color w:val="000000"/>
          <w:sz w:val="24"/>
          <w:szCs w:val="24"/>
        </w:rPr>
        <w:t>Staphylococcus aureus</w:t>
      </w:r>
      <w:r w:rsidRPr="007D237B">
        <w:rPr>
          <w:rFonts w:ascii="Times New Roman" w:eastAsia="TimesNewRoman" w:hAnsi="Times New Roman" w:cs="Times New Roman"/>
          <w:color w:val="000000"/>
          <w:sz w:val="24"/>
          <w:szCs w:val="24"/>
        </w:rPr>
        <w:t>:</w:t>
      </w:r>
    </w:p>
    <w:p w14:paraId="3C1B0A5C" w14:textId="780ACC86" w:rsidR="007D237B" w:rsidRPr="007D237B" w:rsidRDefault="007D237B" w:rsidP="007D237B">
      <w:pPr>
        <w:autoSpaceDE w:val="0"/>
        <w:autoSpaceDN w:val="0"/>
        <w:adjustRightInd w:val="0"/>
        <w:ind w:left="1276"/>
        <w:rPr>
          <w:rFonts w:eastAsia="TimesNewRoman"/>
          <w:color w:val="000000"/>
          <w:sz w:val="24"/>
          <w:szCs w:val="24"/>
        </w:rPr>
      </w:pPr>
      <w:r w:rsidRPr="007D237B">
        <w:rPr>
          <w:rFonts w:eastAsia="TimesNewRoman"/>
          <w:color w:val="000000"/>
          <w:sz w:val="24"/>
          <w:szCs w:val="24"/>
        </w:rPr>
        <w:t xml:space="preserve">Daptomycin Reddy 6 mg/kg administreres </w:t>
      </w:r>
      <w:r w:rsidR="00104B3C">
        <w:rPr>
          <w:rFonts w:eastAsia="TimesNewRoman"/>
          <w:color w:val="000000"/>
          <w:sz w:val="24"/>
          <w:szCs w:val="24"/>
        </w:rPr>
        <w:t>en</w:t>
      </w:r>
      <w:r w:rsidRPr="007D237B">
        <w:rPr>
          <w:rFonts w:eastAsia="TimesNewRoman"/>
          <w:color w:val="000000"/>
          <w:sz w:val="24"/>
          <w:szCs w:val="24"/>
        </w:rPr>
        <w:t xml:space="preserve"> gang i døgnet. Se nedenfor for dosisjustering hos patienter med nedsat nyrefunktion. Varigheden af behandlingen bør være i overensstemmelse med officielle anbefalinger.</w:t>
      </w:r>
    </w:p>
    <w:p w14:paraId="74693453"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03094A3E" w14:textId="42CB179F"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 xml:space="preserve">Daptomycin Reddy administreres intravenøst i 0,9 % natriumchlorid (se pkt. 6.6). Daptomycin Reddy bør ikke anvendes oftere end </w:t>
      </w:r>
      <w:r w:rsidR="00104B3C">
        <w:rPr>
          <w:rFonts w:eastAsia="TimesNewRoman"/>
          <w:color w:val="000000"/>
          <w:sz w:val="24"/>
          <w:szCs w:val="24"/>
        </w:rPr>
        <w:t>e</w:t>
      </w:r>
      <w:r w:rsidRPr="007D237B">
        <w:rPr>
          <w:rFonts w:eastAsia="TimesNewRoman"/>
          <w:color w:val="000000"/>
          <w:sz w:val="24"/>
          <w:szCs w:val="24"/>
        </w:rPr>
        <w:t>n gang dagligt.</w:t>
      </w:r>
    </w:p>
    <w:p w14:paraId="1671EA31" w14:textId="77777777" w:rsidR="007D237B" w:rsidRPr="007D237B" w:rsidRDefault="007D237B" w:rsidP="007D237B">
      <w:pPr>
        <w:autoSpaceDE w:val="0"/>
        <w:autoSpaceDN w:val="0"/>
        <w:adjustRightInd w:val="0"/>
        <w:ind w:left="851" w:hanging="851"/>
        <w:rPr>
          <w:rFonts w:eastAsia="TimesNewRoman,Bold"/>
          <w:color w:val="000000"/>
          <w:sz w:val="24"/>
          <w:szCs w:val="24"/>
        </w:rPr>
      </w:pPr>
    </w:p>
    <w:p w14:paraId="2B322016" w14:textId="77777777" w:rsidR="007D237B" w:rsidRPr="007D237B" w:rsidRDefault="007D237B" w:rsidP="007D237B">
      <w:pPr>
        <w:ind w:left="851"/>
        <w:rPr>
          <w:sz w:val="24"/>
          <w:szCs w:val="24"/>
        </w:rPr>
      </w:pPr>
      <w:r w:rsidRPr="007D237B">
        <w:rPr>
          <w:sz w:val="24"/>
          <w:szCs w:val="24"/>
        </w:rPr>
        <w:t xml:space="preserve">Kreatinkinase (CK)-niveauet skal monitoreres ved </w:t>
      </w:r>
      <w:r w:rsidRPr="007D237B">
        <w:rPr>
          <w:i/>
          <w:sz w:val="24"/>
          <w:szCs w:val="24"/>
        </w:rPr>
        <w:t xml:space="preserve">baseline </w:t>
      </w:r>
      <w:r w:rsidRPr="007D237B">
        <w:rPr>
          <w:sz w:val="24"/>
          <w:szCs w:val="24"/>
        </w:rPr>
        <w:t>og med regelmæssige mellemrum (mindst en gang om ugen) under behandlingen (se pkt. 4.4).</w:t>
      </w:r>
    </w:p>
    <w:p w14:paraId="3D05C502" w14:textId="77777777" w:rsidR="007D237B" w:rsidRPr="007D237B" w:rsidRDefault="007D237B" w:rsidP="007D237B">
      <w:pPr>
        <w:autoSpaceDE w:val="0"/>
        <w:autoSpaceDN w:val="0"/>
        <w:adjustRightInd w:val="0"/>
        <w:ind w:left="851" w:hanging="851"/>
        <w:rPr>
          <w:rFonts w:eastAsia="TimesNewRoman,Bold"/>
          <w:color w:val="000000"/>
          <w:sz w:val="24"/>
          <w:szCs w:val="24"/>
        </w:rPr>
      </w:pPr>
    </w:p>
    <w:p w14:paraId="2163AF7A" w14:textId="77777777" w:rsidR="007D237B" w:rsidRPr="007D237B" w:rsidRDefault="007D237B" w:rsidP="007D237B">
      <w:pPr>
        <w:autoSpaceDE w:val="0"/>
        <w:autoSpaceDN w:val="0"/>
        <w:adjustRightInd w:val="0"/>
        <w:ind w:left="851"/>
        <w:rPr>
          <w:rFonts w:eastAsia="TimesNewRoman,Bold"/>
          <w:i/>
          <w:iCs/>
          <w:color w:val="000000"/>
          <w:sz w:val="24"/>
          <w:szCs w:val="24"/>
        </w:rPr>
      </w:pPr>
      <w:r w:rsidRPr="007D237B">
        <w:rPr>
          <w:rFonts w:eastAsia="TimesNewRoman,Bold"/>
          <w:i/>
          <w:iCs/>
          <w:color w:val="000000"/>
          <w:sz w:val="24"/>
          <w:szCs w:val="24"/>
        </w:rPr>
        <w:t>Nedsat nyrefunktion</w:t>
      </w:r>
    </w:p>
    <w:p w14:paraId="084F9552"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Daptomycin elimineres primært via nyrerne.</w:t>
      </w:r>
    </w:p>
    <w:p w14:paraId="70200E87"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18DA4389" w14:textId="72E1FA83"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 xml:space="preserve">Da der er begrænset klinisk erfaring (se tabel og fodnoter nedenfor), bør Daptomycin Reddy kun anvendes til voksne patienter med nedsat nyrefunktion af enhver grad (kreatininclearance &lt; 80 ml/min), når den forventede kliniske fordel opvejer den potentielle risiko. Behandlingsrespons, nyrefunktion og kreatinkinase- (CK) niveau skal monitoreres tæt hos alle patienter med nedsat nyrefunktion uanset grad (se pkt. 4.4 og 5.2). </w:t>
      </w:r>
      <w:r w:rsidRPr="007D237B">
        <w:rPr>
          <w:sz w:val="24"/>
          <w:szCs w:val="24"/>
        </w:rPr>
        <w:lastRenderedPageBreak/>
        <w:t>Doseringsregimet for daptomycin hos pædiatriske patienter med nedsat nyrefunktion er ikke fastlagt.</w:t>
      </w:r>
    </w:p>
    <w:p w14:paraId="085DA73B"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0BE5285A"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Dosisjustering hos voksne patienter med nedsat nyrefunktion afhængigt af indikation og kreatininclearance</w:t>
      </w:r>
    </w:p>
    <w:p w14:paraId="7149B4B9" w14:textId="77777777" w:rsidR="007D237B" w:rsidRPr="007D237B" w:rsidRDefault="007D237B" w:rsidP="007D237B">
      <w:pPr>
        <w:autoSpaceDE w:val="0"/>
        <w:autoSpaceDN w:val="0"/>
        <w:adjustRightInd w:val="0"/>
        <w:ind w:left="851" w:hanging="851"/>
        <w:rPr>
          <w:rFonts w:eastAsia="TimesNewRoman"/>
          <w:color w:val="000000"/>
          <w:sz w:val="24"/>
          <w:szCs w:val="24"/>
        </w:rPr>
      </w:pPr>
    </w:p>
    <w:tbl>
      <w:tblPr>
        <w:tblStyle w:val="Tabel-Gitter"/>
        <w:tblW w:w="4564" w:type="pct"/>
        <w:tblInd w:w="846" w:type="dxa"/>
        <w:tblLook w:val="04A0" w:firstRow="1" w:lastRow="0" w:firstColumn="1" w:lastColumn="0" w:noHBand="0" w:noVBand="1"/>
      </w:tblPr>
      <w:tblGrid>
        <w:gridCol w:w="2266"/>
        <w:gridCol w:w="2189"/>
        <w:gridCol w:w="2635"/>
        <w:gridCol w:w="1698"/>
      </w:tblGrid>
      <w:tr w:rsidR="007D237B" w:rsidRPr="007D237B" w14:paraId="3963C00B" w14:textId="77777777" w:rsidTr="0097462C">
        <w:trPr>
          <w:cantSplit/>
        </w:trPr>
        <w:tc>
          <w:tcPr>
            <w:tcW w:w="1291" w:type="pct"/>
            <w:tcBorders>
              <w:top w:val="single" w:sz="4" w:space="0" w:color="auto"/>
              <w:left w:val="single" w:sz="4" w:space="0" w:color="auto"/>
              <w:bottom w:val="single" w:sz="4" w:space="0" w:color="auto"/>
              <w:right w:val="single" w:sz="4" w:space="0" w:color="auto"/>
            </w:tcBorders>
            <w:hideMark/>
          </w:tcPr>
          <w:p w14:paraId="33A7079B" w14:textId="77777777" w:rsidR="007D237B" w:rsidRPr="007D237B" w:rsidRDefault="007D237B" w:rsidP="0097462C">
            <w:pPr>
              <w:rPr>
                <w:rFonts w:ascii="Times New Roman" w:hAnsi="Times New Roman" w:cs="Times New Roman"/>
                <w:b/>
                <w:sz w:val="24"/>
                <w:szCs w:val="24"/>
              </w:rPr>
            </w:pPr>
            <w:r w:rsidRPr="007D237B">
              <w:rPr>
                <w:rFonts w:ascii="Times New Roman" w:hAnsi="Times New Roman" w:cs="Times New Roman"/>
                <w:b/>
                <w:sz w:val="24"/>
                <w:szCs w:val="24"/>
              </w:rPr>
              <w:t>Indikation</w:t>
            </w:r>
          </w:p>
        </w:tc>
        <w:tc>
          <w:tcPr>
            <w:tcW w:w="1240" w:type="pct"/>
            <w:tcBorders>
              <w:top w:val="single" w:sz="4" w:space="0" w:color="auto"/>
              <w:left w:val="single" w:sz="4" w:space="0" w:color="auto"/>
              <w:bottom w:val="single" w:sz="4" w:space="0" w:color="auto"/>
              <w:right w:val="single" w:sz="4" w:space="0" w:color="auto"/>
            </w:tcBorders>
            <w:hideMark/>
          </w:tcPr>
          <w:p w14:paraId="29DB9C74" w14:textId="5CB746D2" w:rsidR="007D237B" w:rsidRPr="007D237B" w:rsidRDefault="007D237B" w:rsidP="0097462C">
            <w:pPr>
              <w:rPr>
                <w:rFonts w:ascii="Times New Roman" w:hAnsi="Times New Roman" w:cs="Times New Roman"/>
                <w:b/>
                <w:sz w:val="24"/>
                <w:szCs w:val="24"/>
              </w:rPr>
            </w:pPr>
            <w:r w:rsidRPr="007D237B">
              <w:rPr>
                <w:rFonts w:ascii="Times New Roman" w:hAnsi="Times New Roman" w:cs="Times New Roman"/>
                <w:b/>
                <w:sz w:val="24"/>
                <w:szCs w:val="24"/>
              </w:rPr>
              <w:t>Kreatininclear</w:t>
            </w:r>
            <w:r w:rsidR="0084400F">
              <w:rPr>
                <w:rFonts w:ascii="Times New Roman" w:hAnsi="Times New Roman" w:cs="Times New Roman"/>
                <w:b/>
                <w:sz w:val="24"/>
                <w:szCs w:val="24"/>
              </w:rPr>
              <w:t>a</w:t>
            </w:r>
            <w:r w:rsidRPr="007D237B">
              <w:rPr>
                <w:rFonts w:ascii="Times New Roman" w:hAnsi="Times New Roman" w:cs="Times New Roman"/>
                <w:b/>
                <w:sz w:val="24"/>
                <w:szCs w:val="24"/>
              </w:rPr>
              <w:t>nce</w:t>
            </w:r>
          </w:p>
        </w:tc>
        <w:tc>
          <w:tcPr>
            <w:tcW w:w="1501" w:type="pct"/>
            <w:tcBorders>
              <w:top w:val="single" w:sz="4" w:space="0" w:color="auto"/>
              <w:left w:val="single" w:sz="4" w:space="0" w:color="auto"/>
              <w:bottom w:val="single" w:sz="4" w:space="0" w:color="auto"/>
              <w:right w:val="single" w:sz="4" w:space="0" w:color="auto"/>
            </w:tcBorders>
            <w:hideMark/>
          </w:tcPr>
          <w:p w14:paraId="690DCB21" w14:textId="77777777" w:rsidR="007D237B" w:rsidRPr="007D237B" w:rsidRDefault="007D237B" w:rsidP="0097462C">
            <w:pPr>
              <w:rPr>
                <w:rFonts w:ascii="Times New Roman" w:hAnsi="Times New Roman" w:cs="Times New Roman"/>
                <w:b/>
                <w:sz w:val="24"/>
                <w:szCs w:val="24"/>
              </w:rPr>
            </w:pPr>
            <w:r w:rsidRPr="007D237B">
              <w:rPr>
                <w:rFonts w:ascii="Times New Roman" w:hAnsi="Times New Roman" w:cs="Times New Roman"/>
                <w:b/>
                <w:sz w:val="24"/>
                <w:szCs w:val="24"/>
              </w:rPr>
              <w:t>Dosisanbefaling</w:t>
            </w:r>
          </w:p>
        </w:tc>
        <w:tc>
          <w:tcPr>
            <w:tcW w:w="968" w:type="pct"/>
            <w:tcBorders>
              <w:top w:val="single" w:sz="4" w:space="0" w:color="auto"/>
              <w:left w:val="single" w:sz="4" w:space="0" w:color="auto"/>
              <w:bottom w:val="single" w:sz="4" w:space="0" w:color="auto"/>
              <w:right w:val="single" w:sz="4" w:space="0" w:color="auto"/>
            </w:tcBorders>
            <w:hideMark/>
          </w:tcPr>
          <w:p w14:paraId="5136ABA5" w14:textId="77777777" w:rsidR="007D237B" w:rsidRPr="007D237B" w:rsidRDefault="007D237B" w:rsidP="0097462C">
            <w:pPr>
              <w:rPr>
                <w:rFonts w:ascii="Times New Roman" w:hAnsi="Times New Roman" w:cs="Times New Roman"/>
                <w:b/>
                <w:sz w:val="24"/>
                <w:szCs w:val="24"/>
              </w:rPr>
            </w:pPr>
            <w:r w:rsidRPr="007D237B">
              <w:rPr>
                <w:rFonts w:ascii="Times New Roman" w:hAnsi="Times New Roman" w:cs="Times New Roman"/>
                <w:b/>
                <w:sz w:val="24"/>
                <w:szCs w:val="24"/>
              </w:rPr>
              <w:t>Kommentarer</w:t>
            </w:r>
          </w:p>
        </w:tc>
      </w:tr>
      <w:tr w:rsidR="007D237B" w:rsidRPr="007D237B" w14:paraId="10979A9B" w14:textId="77777777" w:rsidTr="0097462C">
        <w:trPr>
          <w:cantSplit/>
        </w:trPr>
        <w:tc>
          <w:tcPr>
            <w:tcW w:w="1291" w:type="pct"/>
            <w:tcBorders>
              <w:top w:val="single" w:sz="4" w:space="0" w:color="auto"/>
              <w:left w:val="single" w:sz="4" w:space="0" w:color="auto"/>
              <w:bottom w:val="single" w:sz="4" w:space="0" w:color="auto"/>
              <w:right w:val="single" w:sz="4" w:space="0" w:color="auto"/>
            </w:tcBorders>
            <w:hideMark/>
          </w:tcPr>
          <w:p w14:paraId="42CB3D70" w14:textId="77777777" w:rsidR="007D237B" w:rsidRPr="007D237B" w:rsidRDefault="007D237B" w:rsidP="0097462C">
            <w:pPr>
              <w:rPr>
                <w:rFonts w:ascii="Times New Roman" w:hAnsi="Times New Roman" w:cs="Times New Roman"/>
                <w:sz w:val="24"/>
                <w:szCs w:val="24"/>
              </w:rPr>
            </w:pPr>
            <w:r w:rsidRPr="007D237B">
              <w:rPr>
                <w:rFonts w:ascii="Times New Roman" w:hAnsi="Times New Roman" w:cs="Times New Roman"/>
                <w:sz w:val="24"/>
                <w:szCs w:val="24"/>
              </w:rPr>
              <w:t>cSSTI uden SAB</w:t>
            </w:r>
          </w:p>
        </w:tc>
        <w:tc>
          <w:tcPr>
            <w:tcW w:w="1240" w:type="pct"/>
            <w:tcBorders>
              <w:top w:val="single" w:sz="4" w:space="0" w:color="auto"/>
              <w:left w:val="single" w:sz="4" w:space="0" w:color="auto"/>
              <w:bottom w:val="single" w:sz="4" w:space="0" w:color="auto"/>
              <w:right w:val="single" w:sz="4" w:space="0" w:color="auto"/>
            </w:tcBorders>
            <w:hideMark/>
          </w:tcPr>
          <w:p w14:paraId="0A00CA8E" w14:textId="77777777" w:rsidR="007D237B" w:rsidRPr="007D237B" w:rsidRDefault="007D237B" w:rsidP="0097462C">
            <w:pPr>
              <w:rPr>
                <w:rFonts w:ascii="Times New Roman" w:hAnsi="Times New Roman" w:cs="Times New Roman"/>
                <w:sz w:val="24"/>
                <w:szCs w:val="24"/>
              </w:rPr>
            </w:pPr>
            <w:r w:rsidRPr="007D237B">
              <w:rPr>
                <w:rFonts w:ascii="Times New Roman" w:hAnsi="Times New Roman" w:cs="Times New Roman"/>
                <w:sz w:val="24"/>
                <w:szCs w:val="24"/>
              </w:rPr>
              <w:t>≥ 30 ml/min</w:t>
            </w:r>
          </w:p>
        </w:tc>
        <w:tc>
          <w:tcPr>
            <w:tcW w:w="1501" w:type="pct"/>
            <w:tcBorders>
              <w:top w:val="single" w:sz="4" w:space="0" w:color="auto"/>
              <w:left w:val="single" w:sz="4" w:space="0" w:color="auto"/>
              <w:bottom w:val="single" w:sz="4" w:space="0" w:color="auto"/>
              <w:right w:val="single" w:sz="4" w:space="0" w:color="auto"/>
            </w:tcBorders>
            <w:hideMark/>
          </w:tcPr>
          <w:p w14:paraId="5B676D65" w14:textId="77777777" w:rsidR="007D237B" w:rsidRPr="007D237B" w:rsidRDefault="007D237B" w:rsidP="0097462C">
            <w:pPr>
              <w:rPr>
                <w:rFonts w:ascii="Times New Roman" w:hAnsi="Times New Roman" w:cs="Times New Roman"/>
                <w:sz w:val="24"/>
                <w:szCs w:val="24"/>
              </w:rPr>
            </w:pPr>
            <w:r w:rsidRPr="007D237B">
              <w:rPr>
                <w:rFonts w:ascii="Times New Roman" w:hAnsi="Times New Roman" w:cs="Times New Roman"/>
                <w:sz w:val="24"/>
                <w:szCs w:val="24"/>
              </w:rPr>
              <w:t>4 mg/kg en gang dagligt</w:t>
            </w:r>
          </w:p>
        </w:tc>
        <w:tc>
          <w:tcPr>
            <w:tcW w:w="968" w:type="pct"/>
            <w:tcBorders>
              <w:top w:val="single" w:sz="4" w:space="0" w:color="auto"/>
              <w:left w:val="single" w:sz="4" w:space="0" w:color="auto"/>
              <w:bottom w:val="single" w:sz="4" w:space="0" w:color="auto"/>
              <w:right w:val="single" w:sz="4" w:space="0" w:color="auto"/>
            </w:tcBorders>
            <w:hideMark/>
          </w:tcPr>
          <w:p w14:paraId="29DCA44B" w14:textId="77777777" w:rsidR="007D237B" w:rsidRPr="007D237B" w:rsidRDefault="007D237B" w:rsidP="0097462C">
            <w:pPr>
              <w:rPr>
                <w:rFonts w:ascii="Times New Roman" w:hAnsi="Times New Roman" w:cs="Times New Roman"/>
                <w:sz w:val="24"/>
                <w:szCs w:val="24"/>
              </w:rPr>
            </w:pPr>
            <w:r w:rsidRPr="007D237B">
              <w:rPr>
                <w:rFonts w:ascii="Times New Roman" w:hAnsi="Times New Roman" w:cs="Times New Roman"/>
                <w:sz w:val="24"/>
                <w:szCs w:val="24"/>
              </w:rPr>
              <w:t>Se pkt. 5.1</w:t>
            </w:r>
          </w:p>
        </w:tc>
      </w:tr>
      <w:tr w:rsidR="007D237B" w:rsidRPr="007D237B" w14:paraId="427C00F4" w14:textId="77777777" w:rsidTr="0097462C">
        <w:trPr>
          <w:cantSplit/>
        </w:trPr>
        <w:tc>
          <w:tcPr>
            <w:tcW w:w="1291" w:type="pct"/>
            <w:tcBorders>
              <w:top w:val="single" w:sz="4" w:space="0" w:color="auto"/>
              <w:left w:val="single" w:sz="4" w:space="0" w:color="auto"/>
              <w:bottom w:val="single" w:sz="4" w:space="0" w:color="auto"/>
              <w:right w:val="single" w:sz="4" w:space="0" w:color="auto"/>
            </w:tcBorders>
          </w:tcPr>
          <w:p w14:paraId="2312D91E" w14:textId="77777777" w:rsidR="007D237B" w:rsidRPr="007D237B" w:rsidRDefault="007D237B" w:rsidP="0097462C">
            <w:pPr>
              <w:rPr>
                <w:rFonts w:ascii="Times New Roman" w:hAnsi="Times New Roman" w:cs="Times New Roman"/>
                <w:sz w:val="24"/>
                <w:szCs w:val="24"/>
              </w:rPr>
            </w:pPr>
          </w:p>
        </w:tc>
        <w:tc>
          <w:tcPr>
            <w:tcW w:w="1240" w:type="pct"/>
            <w:tcBorders>
              <w:top w:val="single" w:sz="4" w:space="0" w:color="auto"/>
              <w:left w:val="single" w:sz="4" w:space="0" w:color="auto"/>
              <w:bottom w:val="single" w:sz="4" w:space="0" w:color="auto"/>
              <w:right w:val="single" w:sz="4" w:space="0" w:color="auto"/>
            </w:tcBorders>
            <w:hideMark/>
          </w:tcPr>
          <w:p w14:paraId="25201F34" w14:textId="77777777" w:rsidR="007D237B" w:rsidRPr="007D237B" w:rsidRDefault="007D237B" w:rsidP="0097462C">
            <w:pPr>
              <w:rPr>
                <w:rFonts w:ascii="Times New Roman" w:hAnsi="Times New Roman" w:cs="Times New Roman"/>
                <w:sz w:val="24"/>
                <w:szCs w:val="24"/>
              </w:rPr>
            </w:pPr>
            <w:r w:rsidRPr="007D237B">
              <w:rPr>
                <w:rFonts w:ascii="Times New Roman" w:hAnsi="Times New Roman" w:cs="Times New Roman"/>
                <w:sz w:val="24"/>
                <w:szCs w:val="24"/>
              </w:rPr>
              <w:t>&lt; 30 ml/min</w:t>
            </w:r>
          </w:p>
        </w:tc>
        <w:tc>
          <w:tcPr>
            <w:tcW w:w="1501" w:type="pct"/>
            <w:tcBorders>
              <w:top w:val="single" w:sz="4" w:space="0" w:color="auto"/>
              <w:left w:val="single" w:sz="4" w:space="0" w:color="auto"/>
              <w:bottom w:val="single" w:sz="4" w:space="0" w:color="auto"/>
              <w:right w:val="single" w:sz="4" w:space="0" w:color="auto"/>
            </w:tcBorders>
            <w:hideMark/>
          </w:tcPr>
          <w:p w14:paraId="5C59D66B" w14:textId="77777777" w:rsidR="007D237B" w:rsidRPr="007D237B" w:rsidRDefault="007D237B" w:rsidP="0097462C">
            <w:pPr>
              <w:rPr>
                <w:rFonts w:ascii="Times New Roman" w:hAnsi="Times New Roman" w:cs="Times New Roman"/>
                <w:sz w:val="24"/>
                <w:szCs w:val="24"/>
              </w:rPr>
            </w:pPr>
            <w:r w:rsidRPr="007D237B">
              <w:rPr>
                <w:rFonts w:ascii="Times New Roman" w:hAnsi="Times New Roman" w:cs="Times New Roman"/>
                <w:sz w:val="24"/>
                <w:szCs w:val="24"/>
              </w:rPr>
              <w:t>4 mg/kg hver 48. time</w:t>
            </w:r>
          </w:p>
        </w:tc>
        <w:tc>
          <w:tcPr>
            <w:tcW w:w="968" w:type="pct"/>
            <w:tcBorders>
              <w:top w:val="single" w:sz="4" w:space="0" w:color="auto"/>
              <w:left w:val="single" w:sz="4" w:space="0" w:color="auto"/>
              <w:bottom w:val="single" w:sz="4" w:space="0" w:color="auto"/>
              <w:right w:val="single" w:sz="4" w:space="0" w:color="auto"/>
            </w:tcBorders>
            <w:hideMark/>
          </w:tcPr>
          <w:p w14:paraId="7D83C07A" w14:textId="77777777" w:rsidR="007D237B" w:rsidRPr="007D237B" w:rsidRDefault="007D237B" w:rsidP="0097462C">
            <w:pPr>
              <w:rPr>
                <w:rFonts w:ascii="Times New Roman" w:hAnsi="Times New Roman" w:cs="Times New Roman"/>
                <w:sz w:val="24"/>
                <w:szCs w:val="24"/>
              </w:rPr>
            </w:pPr>
            <w:r w:rsidRPr="007D237B">
              <w:rPr>
                <w:rFonts w:ascii="Times New Roman" w:hAnsi="Times New Roman" w:cs="Times New Roman"/>
                <w:sz w:val="24"/>
                <w:szCs w:val="24"/>
              </w:rPr>
              <w:t>(1, 2)</w:t>
            </w:r>
          </w:p>
        </w:tc>
      </w:tr>
      <w:tr w:rsidR="007D237B" w:rsidRPr="007D237B" w14:paraId="4E6F8A3F" w14:textId="77777777" w:rsidTr="0097462C">
        <w:trPr>
          <w:cantSplit/>
        </w:trPr>
        <w:tc>
          <w:tcPr>
            <w:tcW w:w="1291" w:type="pct"/>
            <w:tcBorders>
              <w:top w:val="single" w:sz="4" w:space="0" w:color="auto"/>
              <w:left w:val="single" w:sz="4" w:space="0" w:color="auto"/>
              <w:bottom w:val="single" w:sz="4" w:space="0" w:color="auto"/>
              <w:right w:val="single" w:sz="4" w:space="0" w:color="auto"/>
            </w:tcBorders>
            <w:hideMark/>
          </w:tcPr>
          <w:p w14:paraId="2A3D7B91" w14:textId="77777777" w:rsidR="007D237B" w:rsidRPr="007D237B" w:rsidRDefault="007D237B" w:rsidP="0097462C">
            <w:pPr>
              <w:rPr>
                <w:rFonts w:ascii="Times New Roman" w:hAnsi="Times New Roman" w:cs="Times New Roman"/>
                <w:sz w:val="24"/>
                <w:szCs w:val="24"/>
              </w:rPr>
            </w:pPr>
            <w:r w:rsidRPr="007D237B">
              <w:rPr>
                <w:rFonts w:ascii="Times New Roman" w:hAnsi="Times New Roman" w:cs="Times New Roman"/>
                <w:sz w:val="24"/>
                <w:szCs w:val="24"/>
              </w:rPr>
              <w:t>RIE eller cSSTI associeret med SAB</w:t>
            </w:r>
          </w:p>
        </w:tc>
        <w:tc>
          <w:tcPr>
            <w:tcW w:w="1240" w:type="pct"/>
            <w:tcBorders>
              <w:top w:val="single" w:sz="4" w:space="0" w:color="auto"/>
              <w:left w:val="single" w:sz="4" w:space="0" w:color="auto"/>
              <w:bottom w:val="single" w:sz="4" w:space="0" w:color="auto"/>
              <w:right w:val="single" w:sz="4" w:space="0" w:color="auto"/>
            </w:tcBorders>
            <w:hideMark/>
          </w:tcPr>
          <w:p w14:paraId="13BA24DF" w14:textId="77777777" w:rsidR="007D237B" w:rsidRPr="007D237B" w:rsidRDefault="007D237B" w:rsidP="0097462C">
            <w:pPr>
              <w:rPr>
                <w:rFonts w:ascii="Times New Roman" w:hAnsi="Times New Roman" w:cs="Times New Roman"/>
                <w:sz w:val="24"/>
                <w:szCs w:val="24"/>
              </w:rPr>
            </w:pPr>
            <w:r w:rsidRPr="007D237B">
              <w:rPr>
                <w:rFonts w:ascii="Times New Roman" w:hAnsi="Times New Roman" w:cs="Times New Roman"/>
                <w:sz w:val="24"/>
                <w:szCs w:val="24"/>
              </w:rPr>
              <w:t>≥ 30 ml/min</w:t>
            </w:r>
          </w:p>
        </w:tc>
        <w:tc>
          <w:tcPr>
            <w:tcW w:w="1501" w:type="pct"/>
            <w:tcBorders>
              <w:top w:val="single" w:sz="4" w:space="0" w:color="auto"/>
              <w:left w:val="single" w:sz="4" w:space="0" w:color="auto"/>
              <w:bottom w:val="single" w:sz="4" w:space="0" w:color="auto"/>
              <w:right w:val="single" w:sz="4" w:space="0" w:color="auto"/>
            </w:tcBorders>
            <w:hideMark/>
          </w:tcPr>
          <w:p w14:paraId="67254584" w14:textId="77777777" w:rsidR="007D237B" w:rsidRPr="007D237B" w:rsidRDefault="007D237B" w:rsidP="0097462C">
            <w:pPr>
              <w:rPr>
                <w:rFonts w:ascii="Times New Roman" w:hAnsi="Times New Roman" w:cs="Times New Roman"/>
                <w:sz w:val="24"/>
                <w:szCs w:val="24"/>
              </w:rPr>
            </w:pPr>
            <w:r w:rsidRPr="007D237B">
              <w:rPr>
                <w:rFonts w:ascii="Times New Roman" w:hAnsi="Times New Roman" w:cs="Times New Roman"/>
                <w:sz w:val="24"/>
                <w:szCs w:val="24"/>
              </w:rPr>
              <w:t>6 mg/kg en gang dagligt</w:t>
            </w:r>
          </w:p>
        </w:tc>
        <w:tc>
          <w:tcPr>
            <w:tcW w:w="968" w:type="pct"/>
            <w:tcBorders>
              <w:top w:val="single" w:sz="4" w:space="0" w:color="auto"/>
              <w:left w:val="single" w:sz="4" w:space="0" w:color="auto"/>
              <w:bottom w:val="single" w:sz="4" w:space="0" w:color="auto"/>
              <w:right w:val="single" w:sz="4" w:space="0" w:color="auto"/>
            </w:tcBorders>
            <w:hideMark/>
          </w:tcPr>
          <w:p w14:paraId="1BE8D63C" w14:textId="77777777" w:rsidR="007D237B" w:rsidRPr="007D237B" w:rsidRDefault="007D237B" w:rsidP="0097462C">
            <w:pPr>
              <w:rPr>
                <w:rFonts w:ascii="Times New Roman" w:hAnsi="Times New Roman" w:cs="Times New Roman"/>
                <w:sz w:val="24"/>
                <w:szCs w:val="24"/>
              </w:rPr>
            </w:pPr>
            <w:r w:rsidRPr="007D237B">
              <w:rPr>
                <w:rFonts w:ascii="Times New Roman" w:hAnsi="Times New Roman" w:cs="Times New Roman"/>
                <w:sz w:val="24"/>
                <w:szCs w:val="24"/>
              </w:rPr>
              <w:t>Se pkt. 5.1</w:t>
            </w:r>
          </w:p>
        </w:tc>
      </w:tr>
      <w:tr w:rsidR="007D237B" w:rsidRPr="007D237B" w14:paraId="079F7722" w14:textId="77777777" w:rsidTr="0097462C">
        <w:trPr>
          <w:cantSplit/>
        </w:trPr>
        <w:tc>
          <w:tcPr>
            <w:tcW w:w="1291" w:type="pct"/>
            <w:tcBorders>
              <w:top w:val="single" w:sz="4" w:space="0" w:color="auto"/>
              <w:left w:val="single" w:sz="4" w:space="0" w:color="auto"/>
              <w:bottom w:val="single" w:sz="4" w:space="0" w:color="auto"/>
              <w:right w:val="single" w:sz="4" w:space="0" w:color="auto"/>
            </w:tcBorders>
          </w:tcPr>
          <w:p w14:paraId="2817738C" w14:textId="77777777" w:rsidR="007D237B" w:rsidRPr="007D237B" w:rsidRDefault="007D237B" w:rsidP="0097462C">
            <w:pPr>
              <w:rPr>
                <w:rFonts w:ascii="Times New Roman" w:hAnsi="Times New Roman" w:cs="Times New Roman"/>
                <w:sz w:val="24"/>
                <w:szCs w:val="24"/>
              </w:rPr>
            </w:pPr>
          </w:p>
        </w:tc>
        <w:tc>
          <w:tcPr>
            <w:tcW w:w="1240" w:type="pct"/>
            <w:tcBorders>
              <w:top w:val="single" w:sz="4" w:space="0" w:color="auto"/>
              <w:left w:val="single" w:sz="4" w:space="0" w:color="auto"/>
              <w:bottom w:val="single" w:sz="4" w:space="0" w:color="auto"/>
              <w:right w:val="single" w:sz="4" w:space="0" w:color="auto"/>
            </w:tcBorders>
            <w:hideMark/>
          </w:tcPr>
          <w:p w14:paraId="26B8817A" w14:textId="77777777" w:rsidR="007D237B" w:rsidRPr="007D237B" w:rsidRDefault="007D237B" w:rsidP="0097462C">
            <w:pPr>
              <w:rPr>
                <w:rFonts w:ascii="Times New Roman" w:hAnsi="Times New Roman" w:cs="Times New Roman"/>
                <w:sz w:val="24"/>
                <w:szCs w:val="24"/>
              </w:rPr>
            </w:pPr>
            <w:r w:rsidRPr="007D237B">
              <w:rPr>
                <w:rFonts w:ascii="Times New Roman" w:hAnsi="Times New Roman" w:cs="Times New Roman"/>
                <w:sz w:val="24"/>
                <w:szCs w:val="24"/>
              </w:rPr>
              <w:t>&lt; 30 ml/min</w:t>
            </w:r>
          </w:p>
        </w:tc>
        <w:tc>
          <w:tcPr>
            <w:tcW w:w="1501" w:type="pct"/>
            <w:tcBorders>
              <w:top w:val="single" w:sz="4" w:space="0" w:color="auto"/>
              <w:left w:val="single" w:sz="4" w:space="0" w:color="auto"/>
              <w:bottom w:val="single" w:sz="4" w:space="0" w:color="auto"/>
              <w:right w:val="single" w:sz="4" w:space="0" w:color="auto"/>
            </w:tcBorders>
            <w:hideMark/>
          </w:tcPr>
          <w:p w14:paraId="0F4BE0F7" w14:textId="77777777" w:rsidR="007D237B" w:rsidRPr="007D237B" w:rsidRDefault="007D237B" w:rsidP="0097462C">
            <w:pPr>
              <w:rPr>
                <w:rFonts w:ascii="Times New Roman" w:hAnsi="Times New Roman" w:cs="Times New Roman"/>
                <w:sz w:val="24"/>
                <w:szCs w:val="24"/>
              </w:rPr>
            </w:pPr>
            <w:r w:rsidRPr="007D237B">
              <w:rPr>
                <w:rFonts w:ascii="Times New Roman" w:hAnsi="Times New Roman" w:cs="Times New Roman"/>
                <w:sz w:val="24"/>
                <w:szCs w:val="24"/>
              </w:rPr>
              <w:t>6 mg/kg hver 48. time</w:t>
            </w:r>
          </w:p>
        </w:tc>
        <w:tc>
          <w:tcPr>
            <w:tcW w:w="968" w:type="pct"/>
            <w:tcBorders>
              <w:top w:val="single" w:sz="4" w:space="0" w:color="auto"/>
              <w:left w:val="single" w:sz="4" w:space="0" w:color="auto"/>
              <w:bottom w:val="single" w:sz="4" w:space="0" w:color="auto"/>
              <w:right w:val="single" w:sz="4" w:space="0" w:color="auto"/>
            </w:tcBorders>
            <w:hideMark/>
          </w:tcPr>
          <w:p w14:paraId="6D022DAF" w14:textId="77777777" w:rsidR="007D237B" w:rsidRPr="007D237B" w:rsidRDefault="007D237B" w:rsidP="0097462C">
            <w:pPr>
              <w:rPr>
                <w:rFonts w:ascii="Times New Roman" w:hAnsi="Times New Roman" w:cs="Times New Roman"/>
                <w:sz w:val="24"/>
                <w:szCs w:val="24"/>
              </w:rPr>
            </w:pPr>
            <w:r w:rsidRPr="007D237B">
              <w:rPr>
                <w:rFonts w:ascii="Times New Roman" w:hAnsi="Times New Roman" w:cs="Times New Roman"/>
                <w:sz w:val="24"/>
                <w:szCs w:val="24"/>
              </w:rPr>
              <w:t>(1, 2)</w:t>
            </w:r>
          </w:p>
        </w:tc>
      </w:tr>
      <w:tr w:rsidR="007D237B" w:rsidRPr="007D237B" w14:paraId="6ACB6568" w14:textId="77777777" w:rsidTr="0097462C">
        <w:trPr>
          <w:cantSplit/>
        </w:trPr>
        <w:tc>
          <w:tcPr>
            <w:tcW w:w="5000" w:type="pct"/>
            <w:gridSpan w:val="4"/>
            <w:tcBorders>
              <w:top w:val="single" w:sz="4" w:space="0" w:color="auto"/>
              <w:left w:val="single" w:sz="4" w:space="0" w:color="auto"/>
              <w:bottom w:val="single" w:sz="4" w:space="0" w:color="auto"/>
              <w:right w:val="single" w:sz="4" w:space="0" w:color="auto"/>
            </w:tcBorders>
          </w:tcPr>
          <w:p w14:paraId="0BA9FDD7" w14:textId="77777777" w:rsidR="007D237B" w:rsidRPr="007D237B" w:rsidRDefault="007D237B" w:rsidP="0097462C">
            <w:pPr>
              <w:rPr>
                <w:rFonts w:ascii="Times New Roman" w:hAnsi="Times New Roman" w:cs="Times New Roman"/>
                <w:sz w:val="24"/>
                <w:szCs w:val="24"/>
              </w:rPr>
            </w:pPr>
            <w:r w:rsidRPr="007D237B">
              <w:rPr>
                <w:rFonts w:ascii="Times New Roman" w:hAnsi="Times New Roman" w:cs="Times New Roman"/>
                <w:sz w:val="24"/>
                <w:szCs w:val="24"/>
              </w:rPr>
              <w:t xml:space="preserve">cSSTI = komplicerede hud- og bløddelsinfektioner; SAB = </w:t>
            </w:r>
            <w:r w:rsidRPr="007D237B">
              <w:rPr>
                <w:rFonts w:ascii="Times New Roman" w:hAnsi="Times New Roman" w:cs="Times New Roman"/>
                <w:i/>
                <w:sz w:val="24"/>
                <w:szCs w:val="24"/>
              </w:rPr>
              <w:t xml:space="preserve">S. aureus </w:t>
            </w:r>
            <w:r w:rsidRPr="007D237B">
              <w:rPr>
                <w:rFonts w:ascii="Times New Roman" w:hAnsi="Times New Roman" w:cs="Times New Roman"/>
                <w:sz w:val="24"/>
                <w:szCs w:val="24"/>
              </w:rPr>
              <w:t>bakteriæmi</w:t>
            </w:r>
          </w:p>
          <w:p w14:paraId="137BD436" w14:textId="77777777" w:rsidR="007D237B" w:rsidRPr="007D237B" w:rsidRDefault="007D237B" w:rsidP="0097462C">
            <w:pPr>
              <w:ind w:left="316" w:hanging="316"/>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(1)</w:t>
            </w:r>
            <w:r w:rsidRPr="007D237B">
              <w:rPr>
                <w:rFonts w:ascii="Times New Roman" w:eastAsia="TimesNewRoman" w:hAnsi="Times New Roman" w:cs="Times New Roman"/>
                <w:color w:val="000000"/>
                <w:sz w:val="24"/>
                <w:szCs w:val="24"/>
              </w:rPr>
              <w:tab/>
              <w:t>Sikkerhed og virkning ved justering af dosisintervallet er ikke blevet evalueret i kontrollerede kliniske forsøg, og anbefalingen er baseret på farmakokinetiske studier og modelleringsresultater (se pkt. 4.4 og 5.2).</w:t>
            </w:r>
          </w:p>
          <w:p w14:paraId="1088CA73" w14:textId="77777777" w:rsidR="007D237B" w:rsidRPr="007D237B" w:rsidRDefault="007D237B" w:rsidP="0097462C">
            <w:pPr>
              <w:ind w:left="316" w:hanging="316"/>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(2)</w:t>
            </w:r>
            <w:r w:rsidRPr="007D237B">
              <w:rPr>
                <w:rFonts w:ascii="Times New Roman" w:eastAsia="TimesNewRoman" w:hAnsi="Times New Roman" w:cs="Times New Roman"/>
                <w:color w:val="000000"/>
                <w:sz w:val="24"/>
                <w:szCs w:val="24"/>
              </w:rPr>
              <w:tab/>
              <w:t>De samme dosisjusteringer, som er baseret på farmakokinetiske data i frivillige, inklusive resultater fra farmakokinetisk modellering, anbefales hos voksne patienter, der får hæmodialyse (HD) eller kontinuerlig ambulant peritonealdialyse (CAPD). Når det er muligt, bør Daptomycin administreres på dialysedagene efter afsluttet dialyse (se pkt. 5.2).</w:t>
            </w:r>
          </w:p>
        </w:tc>
      </w:tr>
    </w:tbl>
    <w:p w14:paraId="17FE3980" w14:textId="77777777" w:rsidR="007D237B" w:rsidRPr="007D237B" w:rsidRDefault="007D237B" w:rsidP="007D237B">
      <w:pPr>
        <w:autoSpaceDE w:val="0"/>
        <w:autoSpaceDN w:val="0"/>
        <w:adjustRightInd w:val="0"/>
        <w:ind w:left="1276" w:hanging="425"/>
        <w:rPr>
          <w:rFonts w:eastAsia="TimesNewRoman"/>
          <w:color w:val="000000"/>
          <w:sz w:val="24"/>
          <w:szCs w:val="24"/>
        </w:rPr>
      </w:pPr>
    </w:p>
    <w:p w14:paraId="0EF09A93" w14:textId="77777777" w:rsidR="007D237B" w:rsidRPr="007D237B" w:rsidRDefault="007D237B" w:rsidP="007D237B">
      <w:pPr>
        <w:keepNext/>
        <w:autoSpaceDE w:val="0"/>
        <w:autoSpaceDN w:val="0"/>
        <w:adjustRightInd w:val="0"/>
        <w:ind w:left="851"/>
        <w:rPr>
          <w:rFonts w:eastAsia="TimesNewRoman,Bold"/>
          <w:i/>
          <w:iCs/>
          <w:color w:val="000000"/>
          <w:sz w:val="24"/>
          <w:szCs w:val="24"/>
        </w:rPr>
      </w:pPr>
      <w:r w:rsidRPr="007D237B">
        <w:rPr>
          <w:rFonts w:eastAsia="TimesNewRoman,Bold"/>
          <w:i/>
          <w:iCs/>
          <w:color w:val="000000"/>
          <w:sz w:val="24"/>
          <w:szCs w:val="24"/>
        </w:rPr>
        <w:t>Nedsat leverfunktion</w:t>
      </w:r>
    </w:p>
    <w:p w14:paraId="3F66C049" w14:textId="7E24C419"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Det er ikke nødvendigt med dosisjustering, når daptomycin</w:t>
      </w:r>
      <w:r w:rsidR="0084400F">
        <w:rPr>
          <w:rFonts w:eastAsia="TimesNewRoman"/>
          <w:color w:val="000000"/>
          <w:sz w:val="24"/>
          <w:szCs w:val="24"/>
        </w:rPr>
        <w:t xml:space="preserve"> </w:t>
      </w:r>
      <w:r w:rsidRPr="007D237B">
        <w:rPr>
          <w:rFonts w:eastAsia="TimesNewRoman"/>
          <w:color w:val="000000"/>
          <w:sz w:val="24"/>
          <w:szCs w:val="24"/>
        </w:rPr>
        <w:t>administreres til patienter, der har let eller moderat nedsat leverfunktion (Child-Pugh klasse B) (se pkt. 5.2). Der foreligger ingen data for patienter med svært nedsat leverfunktion (Child-Pugh klasse C). Hvis Daptomycin Reddy administreres til sådanne patienter, bør der derfor udvises forsigtighed.</w:t>
      </w:r>
    </w:p>
    <w:p w14:paraId="63EB83EA" w14:textId="77777777" w:rsidR="007D237B" w:rsidRPr="007D237B" w:rsidRDefault="007D237B" w:rsidP="007D237B">
      <w:pPr>
        <w:autoSpaceDE w:val="0"/>
        <w:autoSpaceDN w:val="0"/>
        <w:adjustRightInd w:val="0"/>
        <w:ind w:left="851" w:hanging="851"/>
        <w:rPr>
          <w:rFonts w:eastAsia="TimesNewRoman,Bold"/>
          <w:i/>
          <w:iCs/>
          <w:color w:val="000000"/>
          <w:sz w:val="24"/>
          <w:szCs w:val="24"/>
        </w:rPr>
      </w:pPr>
    </w:p>
    <w:p w14:paraId="5D308837" w14:textId="77777777" w:rsidR="007D237B" w:rsidRPr="007D237B" w:rsidRDefault="007D237B" w:rsidP="007D237B">
      <w:pPr>
        <w:autoSpaceDE w:val="0"/>
        <w:autoSpaceDN w:val="0"/>
        <w:adjustRightInd w:val="0"/>
        <w:ind w:left="851"/>
        <w:rPr>
          <w:rFonts w:eastAsia="TimesNewRoman,Bold"/>
          <w:i/>
          <w:iCs/>
          <w:color w:val="000000"/>
          <w:sz w:val="24"/>
          <w:szCs w:val="24"/>
        </w:rPr>
      </w:pPr>
      <w:r w:rsidRPr="007D237B">
        <w:rPr>
          <w:rFonts w:eastAsia="TimesNewRoman,Bold"/>
          <w:i/>
          <w:iCs/>
          <w:color w:val="000000"/>
          <w:sz w:val="24"/>
          <w:szCs w:val="24"/>
        </w:rPr>
        <w:t>Ældre patienter</w:t>
      </w:r>
    </w:p>
    <w:p w14:paraId="29E68883"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De anbefalede doseringer bør anvendes hos ældre patienter, medmindre der foreligger svært nedsat nyrefunktion (se ovenfor og pkt. 4.4).</w:t>
      </w:r>
    </w:p>
    <w:p w14:paraId="0C0FDDF6" w14:textId="77777777" w:rsidR="007D237B" w:rsidRPr="007D237B" w:rsidRDefault="007D237B" w:rsidP="007D237B">
      <w:pPr>
        <w:autoSpaceDE w:val="0"/>
        <w:autoSpaceDN w:val="0"/>
        <w:adjustRightInd w:val="0"/>
        <w:ind w:left="851" w:hanging="851"/>
        <w:rPr>
          <w:rFonts w:eastAsia="TimesNewRoman,Bold"/>
          <w:color w:val="000000"/>
          <w:sz w:val="24"/>
          <w:szCs w:val="24"/>
        </w:rPr>
      </w:pPr>
    </w:p>
    <w:p w14:paraId="57C2EE13" w14:textId="1479EDB1" w:rsidR="007D237B" w:rsidRPr="007D237B" w:rsidRDefault="007D237B" w:rsidP="007D237B">
      <w:pPr>
        <w:autoSpaceDE w:val="0"/>
        <w:autoSpaceDN w:val="0"/>
        <w:adjustRightInd w:val="0"/>
        <w:ind w:left="851"/>
        <w:rPr>
          <w:rFonts w:eastAsia="TimesNewRoman,Bold"/>
          <w:i/>
          <w:iCs/>
          <w:color w:val="000000"/>
          <w:sz w:val="24"/>
          <w:szCs w:val="24"/>
        </w:rPr>
      </w:pPr>
      <w:r w:rsidRPr="007D237B">
        <w:rPr>
          <w:rFonts w:eastAsia="TimesNewRoman,Bold"/>
          <w:i/>
          <w:iCs/>
          <w:color w:val="000000"/>
          <w:sz w:val="24"/>
          <w:szCs w:val="24"/>
        </w:rPr>
        <w:t>Pædiatrisk</w:t>
      </w:r>
      <w:r w:rsidR="0084400F">
        <w:rPr>
          <w:rFonts w:eastAsia="TimesNewRoman,Bold"/>
          <w:i/>
          <w:iCs/>
          <w:color w:val="000000"/>
          <w:sz w:val="24"/>
          <w:szCs w:val="24"/>
        </w:rPr>
        <w:t xml:space="preserve"> population</w:t>
      </w:r>
      <w:r w:rsidRPr="007D237B">
        <w:rPr>
          <w:rFonts w:eastAsia="TimesNewRoman,Bold"/>
          <w:i/>
          <w:iCs/>
          <w:color w:val="000000"/>
          <w:sz w:val="24"/>
          <w:szCs w:val="24"/>
        </w:rPr>
        <w:t xml:space="preserve"> (i alderen 1 til 17 år)</w:t>
      </w:r>
    </w:p>
    <w:p w14:paraId="6C342238" w14:textId="381B30DE"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De anbefalede doseringsregimer for pædiatriske patienter baseret på alder og indikation er vist nedenfor.</w:t>
      </w:r>
    </w:p>
    <w:p w14:paraId="2711BDF3" w14:textId="77777777" w:rsidR="007D237B" w:rsidRPr="007D237B" w:rsidRDefault="007D237B" w:rsidP="007D237B">
      <w:pPr>
        <w:autoSpaceDE w:val="0"/>
        <w:autoSpaceDN w:val="0"/>
        <w:adjustRightInd w:val="0"/>
        <w:ind w:left="851" w:hanging="851"/>
        <w:rPr>
          <w:rFonts w:eastAsia="TimesNewRoman"/>
          <w:color w:val="000000"/>
          <w:sz w:val="24"/>
          <w:szCs w:val="24"/>
        </w:rPr>
      </w:pPr>
    </w:p>
    <w:tbl>
      <w:tblPr>
        <w:tblStyle w:val="Tabel-Gitter"/>
        <w:tblW w:w="8782" w:type="dxa"/>
        <w:tblInd w:w="846" w:type="dxa"/>
        <w:tblLook w:val="04A0" w:firstRow="1" w:lastRow="0" w:firstColumn="1" w:lastColumn="0" w:noHBand="0" w:noVBand="1"/>
      </w:tblPr>
      <w:tblGrid>
        <w:gridCol w:w="1630"/>
        <w:gridCol w:w="2037"/>
        <w:gridCol w:w="1564"/>
        <w:gridCol w:w="1987"/>
        <w:gridCol w:w="1564"/>
      </w:tblGrid>
      <w:tr w:rsidR="007D237B" w:rsidRPr="007D237B" w14:paraId="67AB3CC0" w14:textId="77777777" w:rsidTr="0097462C">
        <w:tc>
          <w:tcPr>
            <w:tcW w:w="1553" w:type="dxa"/>
            <w:tcBorders>
              <w:top w:val="single" w:sz="4" w:space="0" w:color="auto"/>
              <w:left w:val="single" w:sz="4" w:space="0" w:color="auto"/>
              <w:bottom w:val="single" w:sz="4" w:space="0" w:color="auto"/>
              <w:right w:val="single" w:sz="4" w:space="0" w:color="auto"/>
            </w:tcBorders>
            <w:hideMark/>
          </w:tcPr>
          <w:p w14:paraId="6EB0D3A3" w14:textId="77777777" w:rsidR="007D237B" w:rsidRPr="007D237B" w:rsidRDefault="007D237B" w:rsidP="0097462C">
            <w:pPr>
              <w:autoSpaceDE w:val="0"/>
              <w:autoSpaceDN w:val="0"/>
              <w:adjustRightInd w:val="0"/>
              <w:ind w:left="851" w:hanging="851"/>
              <w:jc w:val="center"/>
              <w:rPr>
                <w:rFonts w:ascii="Times New Roman" w:eastAsia="TimesNewRoman" w:hAnsi="Times New Roman" w:cs="Times New Roman"/>
                <w:b/>
                <w:bCs/>
                <w:color w:val="000000"/>
                <w:sz w:val="24"/>
                <w:szCs w:val="24"/>
              </w:rPr>
            </w:pPr>
            <w:r w:rsidRPr="007D237B">
              <w:rPr>
                <w:rFonts w:ascii="Times New Roman" w:eastAsia="TimesNewRoman" w:hAnsi="Times New Roman" w:cs="Times New Roman"/>
                <w:b/>
                <w:bCs/>
                <w:color w:val="000000"/>
                <w:sz w:val="24"/>
                <w:szCs w:val="24"/>
              </w:rPr>
              <w:t>Aldersgruppe</w:t>
            </w:r>
          </w:p>
        </w:tc>
        <w:tc>
          <w:tcPr>
            <w:tcW w:w="7229" w:type="dxa"/>
            <w:gridSpan w:val="4"/>
            <w:tcBorders>
              <w:top w:val="single" w:sz="4" w:space="0" w:color="auto"/>
              <w:left w:val="single" w:sz="4" w:space="0" w:color="auto"/>
              <w:bottom w:val="single" w:sz="4" w:space="0" w:color="auto"/>
              <w:right w:val="single" w:sz="4" w:space="0" w:color="auto"/>
            </w:tcBorders>
            <w:hideMark/>
          </w:tcPr>
          <w:p w14:paraId="10B4158B" w14:textId="77777777" w:rsidR="007D237B" w:rsidRPr="007D237B" w:rsidRDefault="007D237B" w:rsidP="0097462C">
            <w:pPr>
              <w:autoSpaceDE w:val="0"/>
              <w:autoSpaceDN w:val="0"/>
              <w:adjustRightInd w:val="0"/>
              <w:ind w:left="851" w:hanging="851"/>
              <w:jc w:val="center"/>
              <w:rPr>
                <w:rFonts w:ascii="Times New Roman" w:eastAsia="TimesNewRoman" w:hAnsi="Times New Roman" w:cs="Times New Roman"/>
                <w:b/>
                <w:bCs/>
                <w:color w:val="000000"/>
                <w:sz w:val="24"/>
                <w:szCs w:val="24"/>
              </w:rPr>
            </w:pPr>
            <w:r w:rsidRPr="007D237B">
              <w:rPr>
                <w:rFonts w:ascii="Times New Roman" w:eastAsia="TimesNewRoman" w:hAnsi="Times New Roman" w:cs="Times New Roman"/>
                <w:b/>
                <w:bCs/>
                <w:color w:val="000000"/>
                <w:sz w:val="24"/>
                <w:szCs w:val="24"/>
              </w:rPr>
              <w:t>Indikation</w:t>
            </w:r>
          </w:p>
        </w:tc>
      </w:tr>
      <w:tr w:rsidR="007D237B" w:rsidRPr="007D237B" w14:paraId="6A0B0A65" w14:textId="77777777" w:rsidTr="0097462C">
        <w:tc>
          <w:tcPr>
            <w:tcW w:w="1553" w:type="dxa"/>
            <w:tcBorders>
              <w:top w:val="single" w:sz="4" w:space="0" w:color="auto"/>
              <w:left w:val="single" w:sz="4" w:space="0" w:color="auto"/>
              <w:bottom w:val="single" w:sz="4" w:space="0" w:color="auto"/>
              <w:right w:val="single" w:sz="4" w:space="0" w:color="auto"/>
            </w:tcBorders>
          </w:tcPr>
          <w:p w14:paraId="2F4687FD" w14:textId="77777777" w:rsidR="007D237B" w:rsidRPr="007D237B" w:rsidRDefault="007D237B" w:rsidP="0097462C">
            <w:pPr>
              <w:autoSpaceDE w:val="0"/>
              <w:autoSpaceDN w:val="0"/>
              <w:adjustRightInd w:val="0"/>
              <w:ind w:left="851" w:hanging="851"/>
              <w:jc w:val="center"/>
              <w:rPr>
                <w:rFonts w:ascii="Times New Roman" w:eastAsia="TimesNewRoman" w:hAnsi="Times New Roman" w:cs="Times New Roman"/>
                <w:b/>
                <w:bCs/>
                <w:color w:val="000000"/>
                <w:sz w:val="24"/>
                <w:szCs w:val="24"/>
              </w:rPr>
            </w:pPr>
          </w:p>
        </w:tc>
        <w:tc>
          <w:tcPr>
            <w:tcW w:w="3552" w:type="dxa"/>
            <w:gridSpan w:val="2"/>
            <w:tcBorders>
              <w:top w:val="single" w:sz="4" w:space="0" w:color="auto"/>
              <w:left w:val="single" w:sz="4" w:space="0" w:color="auto"/>
              <w:bottom w:val="single" w:sz="4" w:space="0" w:color="auto"/>
              <w:right w:val="single" w:sz="4" w:space="0" w:color="auto"/>
            </w:tcBorders>
          </w:tcPr>
          <w:p w14:paraId="3FDBC083" w14:textId="77777777" w:rsidR="007D237B" w:rsidRPr="007D237B" w:rsidRDefault="007D237B" w:rsidP="0097462C">
            <w:pPr>
              <w:autoSpaceDE w:val="0"/>
              <w:autoSpaceDN w:val="0"/>
              <w:adjustRightInd w:val="0"/>
              <w:ind w:left="851" w:hanging="851"/>
              <w:jc w:val="center"/>
              <w:rPr>
                <w:rFonts w:ascii="Times New Roman" w:eastAsia="TimesNewRoman" w:hAnsi="Times New Roman" w:cs="Times New Roman"/>
                <w:b/>
                <w:bCs/>
                <w:color w:val="000000"/>
                <w:sz w:val="24"/>
                <w:szCs w:val="24"/>
              </w:rPr>
            </w:pPr>
            <w:r w:rsidRPr="007D237B">
              <w:rPr>
                <w:rFonts w:ascii="Times New Roman" w:eastAsia="TimesNewRoman" w:hAnsi="Times New Roman" w:cs="Times New Roman"/>
                <w:b/>
                <w:bCs/>
                <w:color w:val="000000"/>
                <w:sz w:val="24"/>
                <w:szCs w:val="24"/>
              </w:rPr>
              <w:t>cSSTI uden SAB</w:t>
            </w:r>
          </w:p>
        </w:tc>
        <w:tc>
          <w:tcPr>
            <w:tcW w:w="3677" w:type="dxa"/>
            <w:gridSpan w:val="2"/>
            <w:tcBorders>
              <w:top w:val="single" w:sz="4" w:space="0" w:color="auto"/>
              <w:left w:val="single" w:sz="4" w:space="0" w:color="auto"/>
              <w:bottom w:val="single" w:sz="4" w:space="0" w:color="auto"/>
              <w:right w:val="single" w:sz="4" w:space="0" w:color="auto"/>
            </w:tcBorders>
          </w:tcPr>
          <w:p w14:paraId="6C7545FE" w14:textId="77777777" w:rsidR="007D237B" w:rsidRPr="007D237B" w:rsidRDefault="007D237B" w:rsidP="0097462C">
            <w:pPr>
              <w:autoSpaceDE w:val="0"/>
              <w:autoSpaceDN w:val="0"/>
              <w:adjustRightInd w:val="0"/>
              <w:ind w:left="851" w:hanging="851"/>
              <w:jc w:val="center"/>
              <w:rPr>
                <w:rFonts w:ascii="Times New Roman" w:eastAsia="TimesNewRoman" w:hAnsi="Times New Roman" w:cs="Times New Roman"/>
                <w:b/>
                <w:bCs/>
                <w:color w:val="000000"/>
                <w:sz w:val="24"/>
                <w:szCs w:val="24"/>
              </w:rPr>
            </w:pPr>
            <w:r w:rsidRPr="007D237B">
              <w:rPr>
                <w:rFonts w:ascii="Times New Roman" w:eastAsia="TimesNewRoman" w:hAnsi="Times New Roman" w:cs="Times New Roman"/>
                <w:b/>
                <w:bCs/>
                <w:color w:val="000000"/>
                <w:sz w:val="24"/>
                <w:szCs w:val="24"/>
              </w:rPr>
              <w:t>cSSTI associeret med SAB</w:t>
            </w:r>
          </w:p>
        </w:tc>
      </w:tr>
      <w:tr w:rsidR="007D237B" w:rsidRPr="007D237B" w14:paraId="5033EA62" w14:textId="77777777" w:rsidTr="0097462C">
        <w:tc>
          <w:tcPr>
            <w:tcW w:w="1553" w:type="dxa"/>
            <w:tcBorders>
              <w:top w:val="single" w:sz="4" w:space="0" w:color="auto"/>
              <w:left w:val="single" w:sz="4" w:space="0" w:color="auto"/>
              <w:bottom w:val="single" w:sz="4" w:space="0" w:color="auto"/>
              <w:right w:val="single" w:sz="4" w:space="0" w:color="auto"/>
            </w:tcBorders>
          </w:tcPr>
          <w:p w14:paraId="449ABEE6" w14:textId="77777777" w:rsidR="007D237B" w:rsidRPr="007D237B" w:rsidRDefault="007D237B" w:rsidP="0097462C">
            <w:pPr>
              <w:autoSpaceDE w:val="0"/>
              <w:autoSpaceDN w:val="0"/>
              <w:adjustRightInd w:val="0"/>
              <w:ind w:left="851" w:hanging="851"/>
              <w:jc w:val="center"/>
              <w:rPr>
                <w:rFonts w:ascii="Times New Roman" w:eastAsia="TimesNewRoman" w:hAnsi="Times New Roman" w:cs="Times New Roman"/>
                <w:b/>
                <w:bCs/>
                <w:color w:val="000000"/>
                <w:sz w:val="24"/>
                <w:szCs w:val="24"/>
              </w:rPr>
            </w:pPr>
          </w:p>
        </w:tc>
        <w:tc>
          <w:tcPr>
            <w:tcW w:w="2416" w:type="dxa"/>
            <w:tcBorders>
              <w:top w:val="single" w:sz="4" w:space="0" w:color="auto"/>
              <w:left w:val="single" w:sz="4" w:space="0" w:color="auto"/>
              <w:bottom w:val="single" w:sz="4" w:space="0" w:color="auto"/>
              <w:right w:val="single" w:sz="4" w:space="0" w:color="auto"/>
            </w:tcBorders>
          </w:tcPr>
          <w:p w14:paraId="7F9A6135" w14:textId="77777777" w:rsidR="007D237B" w:rsidRPr="007D237B" w:rsidRDefault="007D237B" w:rsidP="0097462C">
            <w:pPr>
              <w:autoSpaceDE w:val="0"/>
              <w:autoSpaceDN w:val="0"/>
              <w:adjustRightInd w:val="0"/>
              <w:jc w:val="center"/>
              <w:rPr>
                <w:rFonts w:ascii="Times New Roman" w:eastAsia="TimesNewRoman" w:hAnsi="Times New Roman" w:cs="Times New Roman"/>
                <w:b/>
                <w:bCs/>
                <w:color w:val="000000"/>
                <w:sz w:val="24"/>
                <w:szCs w:val="24"/>
              </w:rPr>
            </w:pPr>
            <w:r w:rsidRPr="007D237B">
              <w:rPr>
                <w:rFonts w:ascii="Times New Roman" w:eastAsia="TimesNewRoman" w:hAnsi="Times New Roman" w:cs="Times New Roman"/>
                <w:b/>
                <w:bCs/>
                <w:color w:val="000000"/>
                <w:sz w:val="24"/>
                <w:szCs w:val="24"/>
              </w:rPr>
              <w:t>Doseringsregime</w:t>
            </w:r>
          </w:p>
        </w:tc>
        <w:tc>
          <w:tcPr>
            <w:tcW w:w="1136" w:type="dxa"/>
            <w:tcBorders>
              <w:top w:val="single" w:sz="4" w:space="0" w:color="auto"/>
              <w:left w:val="single" w:sz="4" w:space="0" w:color="auto"/>
              <w:bottom w:val="single" w:sz="4" w:space="0" w:color="auto"/>
              <w:right w:val="single" w:sz="4" w:space="0" w:color="auto"/>
            </w:tcBorders>
          </w:tcPr>
          <w:p w14:paraId="60901E6B" w14:textId="77777777" w:rsidR="007D237B" w:rsidRPr="007D237B" w:rsidRDefault="007D237B" w:rsidP="0097462C">
            <w:pPr>
              <w:autoSpaceDE w:val="0"/>
              <w:autoSpaceDN w:val="0"/>
              <w:adjustRightInd w:val="0"/>
              <w:jc w:val="center"/>
              <w:rPr>
                <w:rFonts w:ascii="Times New Roman" w:eastAsia="TimesNewRoman" w:hAnsi="Times New Roman" w:cs="Times New Roman"/>
                <w:b/>
                <w:bCs/>
                <w:color w:val="000000"/>
                <w:sz w:val="24"/>
                <w:szCs w:val="24"/>
              </w:rPr>
            </w:pPr>
            <w:r w:rsidRPr="007D237B">
              <w:rPr>
                <w:rFonts w:ascii="Times New Roman" w:eastAsia="TimesNewRoman" w:hAnsi="Times New Roman" w:cs="Times New Roman"/>
                <w:b/>
                <w:bCs/>
                <w:color w:val="000000"/>
                <w:sz w:val="24"/>
                <w:szCs w:val="24"/>
              </w:rPr>
              <w:t>Behandlings-varighed</w:t>
            </w:r>
          </w:p>
        </w:tc>
        <w:tc>
          <w:tcPr>
            <w:tcW w:w="2181" w:type="dxa"/>
            <w:tcBorders>
              <w:top w:val="single" w:sz="4" w:space="0" w:color="auto"/>
              <w:left w:val="single" w:sz="4" w:space="0" w:color="auto"/>
              <w:bottom w:val="single" w:sz="4" w:space="0" w:color="auto"/>
              <w:right w:val="single" w:sz="4" w:space="0" w:color="auto"/>
            </w:tcBorders>
          </w:tcPr>
          <w:p w14:paraId="13EBEBEE" w14:textId="77777777" w:rsidR="007D237B" w:rsidRPr="007D237B" w:rsidRDefault="007D237B" w:rsidP="0097462C">
            <w:pPr>
              <w:autoSpaceDE w:val="0"/>
              <w:autoSpaceDN w:val="0"/>
              <w:adjustRightInd w:val="0"/>
              <w:jc w:val="center"/>
              <w:rPr>
                <w:rFonts w:ascii="Times New Roman" w:eastAsia="TimesNewRoman" w:hAnsi="Times New Roman" w:cs="Times New Roman"/>
                <w:b/>
                <w:bCs/>
                <w:color w:val="000000"/>
                <w:sz w:val="24"/>
                <w:szCs w:val="24"/>
              </w:rPr>
            </w:pPr>
            <w:r w:rsidRPr="007D237B">
              <w:rPr>
                <w:rFonts w:ascii="Times New Roman" w:eastAsia="TimesNewRoman" w:hAnsi="Times New Roman" w:cs="Times New Roman"/>
                <w:b/>
                <w:bCs/>
                <w:color w:val="000000"/>
                <w:sz w:val="24"/>
                <w:szCs w:val="24"/>
              </w:rPr>
              <w:t>Doseringsregime</w:t>
            </w:r>
          </w:p>
        </w:tc>
        <w:tc>
          <w:tcPr>
            <w:tcW w:w="1496" w:type="dxa"/>
            <w:tcBorders>
              <w:top w:val="single" w:sz="4" w:space="0" w:color="auto"/>
              <w:left w:val="single" w:sz="4" w:space="0" w:color="auto"/>
              <w:bottom w:val="single" w:sz="4" w:space="0" w:color="auto"/>
              <w:right w:val="single" w:sz="4" w:space="0" w:color="auto"/>
            </w:tcBorders>
          </w:tcPr>
          <w:p w14:paraId="5CC6C301" w14:textId="77777777" w:rsidR="007D237B" w:rsidRPr="007D237B" w:rsidRDefault="007D237B" w:rsidP="0097462C">
            <w:pPr>
              <w:autoSpaceDE w:val="0"/>
              <w:autoSpaceDN w:val="0"/>
              <w:adjustRightInd w:val="0"/>
              <w:jc w:val="center"/>
              <w:rPr>
                <w:rFonts w:ascii="Times New Roman" w:eastAsia="TimesNewRoman" w:hAnsi="Times New Roman" w:cs="Times New Roman"/>
                <w:b/>
                <w:bCs/>
                <w:color w:val="000000"/>
                <w:sz w:val="24"/>
                <w:szCs w:val="24"/>
              </w:rPr>
            </w:pPr>
            <w:r w:rsidRPr="007D237B">
              <w:rPr>
                <w:rFonts w:ascii="Times New Roman" w:eastAsia="TimesNewRoman" w:hAnsi="Times New Roman" w:cs="Times New Roman"/>
                <w:b/>
                <w:bCs/>
                <w:color w:val="000000"/>
                <w:sz w:val="24"/>
                <w:szCs w:val="24"/>
              </w:rPr>
              <w:t>Behandlings-varighed</w:t>
            </w:r>
          </w:p>
        </w:tc>
      </w:tr>
      <w:tr w:rsidR="007D237B" w:rsidRPr="007D237B" w14:paraId="64142DF5" w14:textId="77777777" w:rsidTr="0097462C">
        <w:tc>
          <w:tcPr>
            <w:tcW w:w="1553" w:type="dxa"/>
            <w:tcBorders>
              <w:top w:val="single" w:sz="4" w:space="0" w:color="auto"/>
              <w:left w:val="single" w:sz="4" w:space="0" w:color="auto"/>
              <w:bottom w:val="single" w:sz="4" w:space="0" w:color="auto"/>
              <w:right w:val="single" w:sz="4" w:space="0" w:color="auto"/>
            </w:tcBorders>
            <w:hideMark/>
          </w:tcPr>
          <w:p w14:paraId="72B39674" w14:textId="77777777" w:rsidR="007D237B" w:rsidRPr="007D237B" w:rsidRDefault="007D237B" w:rsidP="0097462C">
            <w:pPr>
              <w:autoSpaceDE w:val="0"/>
              <w:autoSpaceDN w:val="0"/>
              <w:adjustRightInd w:val="0"/>
              <w:ind w:left="851" w:hanging="851"/>
              <w:jc w:val="center"/>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12 til 17 år</w:t>
            </w:r>
          </w:p>
        </w:tc>
        <w:tc>
          <w:tcPr>
            <w:tcW w:w="2416" w:type="dxa"/>
            <w:tcBorders>
              <w:top w:val="single" w:sz="4" w:space="0" w:color="auto"/>
              <w:left w:val="single" w:sz="4" w:space="0" w:color="auto"/>
              <w:bottom w:val="single" w:sz="4" w:space="0" w:color="auto"/>
              <w:right w:val="single" w:sz="4" w:space="0" w:color="auto"/>
            </w:tcBorders>
            <w:hideMark/>
          </w:tcPr>
          <w:p w14:paraId="6E9FCCB6" w14:textId="77777777" w:rsidR="007D237B" w:rsidRPr="007D237B" w:rsidRDefault="007D237B" w:rsidP="0097462C">
            <w:pPr>
              <w:autoSpaceDE w:val="0"/>
              <w:autoSpaceDN w:val="0"/>
              <w:adjustRightInd w:val="0"/>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5 mg/kg en gang hver 24. time som infusion over 30 min.</w:t>
            </w:r>
          </w:p>
        </w:tc>
        <w:tc>
          <w:tcPr>
            <w:tcW w:w="1136" w:type="dxa"/>
            <w:vMerge w:val="restart"/>
            <w:tcBorders>
              <w:top w:val="single" w:sz="4" w:space="0" w:color="auto"/>
              <w:left w:val="single" w:sz="4" w:space="0" w:color="auto"/>
              <w:bottom w:val="single" w:sz="4" w:space="0" w:color="auto"/>
              <w:right w:val="single" w:sz="4" w:space="0" w:color="auto"/>
            </w:tcBorders>
            <w:vAlign w:val="center"/>
          </w:tcPr>
          <w:p w14:paraId="037D439A" w14:textId="77777777" w:rsidR="007D237B" w:rsidRPr="007D237B" w:rsidRDefault="007D237B" w:rsidP="0097462C">
            <w:pPr>
              <w:autoSpaceDE w:val="0"/>
              <w:autoSpaceDN w:val="0"/>
              <w:adjustRightInd w:val="0"/>
              <w:jc w:val="center"/>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Op til 14 dage</w:t>
            </w:r>
          </w:p>
        </w:tc>
        <w:tc>
          <w:tcPr>
            <w:tcW w:w="2181" w:type="dxa"/>
            <w:tcBorders>
              <w:top w:val="single" w:sz="4" w:space="0" w:color="auto"/>
              <w:left w:val="single" w:sz="4" w:space="0" w:color="auto"/>
              <w:bottom w:val="single" w:sz="4" w:space="0" w:color="auto"/>
              <w:right w:val="single" w:sz="4" w:space="0" w:color="auto"/>
            </w:tcBorders>
          </w:tcPr>
          <w:p w14:paraId="77972A8E" w14:textId="77777777" w:rsidR="007D237B" w:rsidRPr="007D237B" w:rsidRDefault="007D237B" w:rsidP="0097462C">
            <w:pPr>
              <w:autoSpaceDE w:val="0"/>
              <w:autoSpaceDN w:val="0"/>
              <w:adjustRightInd w:val="0"/>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7 mg/kg en gang hver 24. time som infusion over 30 min.</w:t>
            </w:r>
          </w:p>
        </w:tc>
        <w:tc>
          <w:tcPr>
            <w:tcW w:w="1496" w:type="dxa"/>
            <w:vMerge w:val="restart"/>
            <w:tcBorders>
              <w:top w:val="single" w:sz="4" w:space="0" w:color="auto"/>
              <w:left w:val="single" w:sz="4" w:space="0" w:color="auto"/>
              <w:right w:val="single" w:sz="4" w:space="0" w:color="auto"/>
            </w:tcBorders>
            <w:vAlign w:val="center"/>
          </w:tcPr>
          <w:p w14:paraId="7D4891F4" w14:textId="77777777" w:rsidR="007D237B" w:rsidRPr="007D237B" w:rsidRDefault="007D237B" w:rsidP="0097462C">
            <w:pPr>
              <w:autoSpaceDE w:val="0"/>
              <w:autoSpaceDN w:val="0"/>
              <w:adjustRightInd w:val="0"/>
              <w:ind w:left="851" w:hanging="851"/>
              <w:jc w:val="center"/>
              <w:rPr>
                <w:rFonts w:ascii="Times New Roman" w:eastAsia="TimesNewRoman" w:hAnsi="Times New Roman" w:cs="Times New Roman"/>
                <w:color w:val="000000"/>
                <w:sz w:val="24"/>
                <w:szCs w:val="24"/>
              </w:rPr>
            </w:pPr>
            <w:r w:rsidRPr="007D237B">
              <w:rPr>
                <w:rFonts w:ascii="Times New Roman" w:hAnsi="Times New Roman" w:cs="Times New Roman"/>
                <w:sz w:val="24"/>
                <w:szCs w:val="24"/>
              </w:rPr>
              <w:t>(1)</w:t>
            </w:r>
          </w:p>
        </w:tc>
      </w:tr>
      <w:tr w:rsidR="007D237B" w:rsidRPr="007D237B" w14:paraId="071454E9" w14:textId="77777777" w:rsidTr="0097462C">
        <w:tc>
          <w:tcPr>
            <w:tcW w:w="1553" w:type="dxa"/>
            <w:tcBorders>
              <w:top w:val="single" w:sz="4" w:space="0" w:color="auto"/>
              <w:left w:val="single" w:sz="4" w:space="0" w:color="auto"/>
              <w:bottom w:val="single" w:sz="4" w:space="0" w:color="auto"/>
              <w:right w:val="single" w:sz="4" w:space="0" w:color="auto"/>
            </w:tcBorders>
            <w:hideMark/>
          </w:tcPr>
          <w:p w14:paraId="7533F4A1" w14:textId="77777777" w:rsidR="007D237B" w:rsidRPr="007D237B" w:rsidRDefault="007D237B" w:rsidP="0097462C">
            <w:pPr>
              <w:autoSpaceDE w:val="0"/>
              <w:autoSpaceDN w:val="0"/>
              <w:adjustRightInd w:val="0"/>
              <w:ind w:left="851" w:hanging="851"/>
              <w:jc w:val="center"/>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7 til 11 år</w:t>
            </w:r>
          </w:p>
        </w:tc>
        <w:tc>
          <w:tcPr>
            <w:tcW w:w="2416" w:type="dxa"/>
            <w:tcBorders>
              <w:top w:val="single" w:sz="4" w:space="0" w:color="auto"/>
              <w:left w:val="single" w:sz="4" w:space="0" w:color="auto"/>
              <w:bottom w:val="single" w:sz="4" w:space="0" w:color="auto"/>
              <w:right w:val="single" w:sz="4" w:space="0" w:color="auto"/>
            </w:tcBorders>
            <w:hideMark/>
          </w:tcPr>
          <w:p w14:paraId="653CC284" w14:textId="77777777" w:rsidR="007D237B" w:rsidRPr="007D237B" w:rsidRDefault="007D237B" w:rsidP="0097462C">
            <w:pPr>
              <w:autoSpaceDE w:val="0"/>
              <w:autoSpaceDN w:val="0"/>
              <w:adjustRightInd w:val="0"/>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7 mg/kg en gang hver 24. time som infusion over 30 min.</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66FF2FDF" w14:textId="77777777" w:rsidR="007D237B" w:rsidRPr="007D237B" w:rsidRDefault="007D237B" w:rsidP="0097462C">
            <w:pPr>
              <w:ind w:left="851" w:hanging="851"/>
              <w:jc w:val="center"/>
              <w:rPr>
                <w:rFonts w:ascii="Times New Roman" w:eastAsia="TimesNewRoman" w:hAnsi="Times New Roman" w:cs="Times New Roman"/>
                <w:color w:val="000000"/>
                <w:sz w:val="24"/>
                <w:szCs w:val="24"/>
              </w:rPr>
            </w:pPr>
          </w:p>
        </w:tc>
        <w:tc>
          <w:tcPr>
            <w:tcW w:w="2181" w:type="dxa"/>
            <w:tcBorders>
              <w:top w:val="single" w:sz="4" w:space="0" w:color="auto"/>
              <w:left w:val="single" w:sz="4" w:space="0" w:color="auto"/>
              <w:bottom w:val="single" w:sz="4" w:space="0" w:color="auto"/>
              <w:right w:val="single" w:sz="4" w:space="0" w:color="auto"/>
            </w:tcBorders>
          </w:tcPr>
          <w:p w14:paraId="66DC69C2" w14:textId="77777777" w:rsidR="007D237B" w:rsidRPr="007D237B" w:rsidRDefault="007D237B" w:rsidP="0097462C">
            <w:pPr>
              <w:autoSpaceDE w:val="0"/>
              <w:autoSpaceDN w:val="0"/>
              <w:adjustRightInd w:val="0"/>
              <w:rPr>
                <w:rFonts w:ascii="Times New Roman" w:eastAsia="TimesNewRoman" w:hAnsi="Times New Roman" w:cs="Times New Roman"/>
                <w:color w:val="000000"/>
                <w:sz w:val="24"/>
                <w:szCs w:val="24"/>
              </w:rPr>
            </w:pPr>
            <w:r w:rsidRPr="007D237B">
              <w:rPr>
                <w:rFonts w:eastAsia="TimesNewRoman"/>
                <w:color w:val="000000"/>
                <w:sz w:val="24"/>
                <w:szCs w:val="24"/>
              </w:rPr>
              <w:t>9 mg/kg en gang hver 24. time som infusion over 30 min.</w:t>
            </w:r>
          </w:p>
        </w:tc>
        <w:tc>
          <w:tcPr>
            <w:tcW w:w="0" w:type="auto"/>
            <w:vMerge/>
            <w:tcBorders>
              <w:left w:val="single" w:sz="4" w:space="0" w:color="auto"/>
              <w:right w:val="single" w:sz="4" w:space="0" w:color="auto"/>
            </w:tcBorders>
          </w:tcPr>
          <w:p w14:paraId="30D218F6" w14:textId="77777777" w:rsidR="007D237B" w:rsidRPr="007D237B" w:rsidRDefault="007D237B" w:rsidP="0097462C">
            <w:pPr>
              <w:ind w:left="851" w:hanging="851"/>
              <w:rPr>
                <w:rFonts w:ascii="Times New Roman" w:eastAsia="TimesNewRoman" w:hAnsi="Times New Roman" w:cs="Times New Roman"/>
                <w:color w:val="000000"/>
                <w:sz w:val="24"/>
                <w:szCs w:val="24"/>
              </w:rPr>
            </w:pPr>
          </w:p>
        </w:tc>
      </w:tr>
      <w:tr w:rsidR="007D237B" w:rsidRPr="007D237B" w14:paraId="38427E35" w14:textId="77777777" w:rsidTr="0097462C">
        <w:tc>
          <w:tcPr>
            <w:tcW w:w="1553" w:type="dxa"/>
            <w:tcBorders>
              <w:top w:val="single" w:sz="4" w:space="0" w:color="auto"/>
              <w:left w:val="single" w:sz="4" w:space="0" w:color="auto"/>
              <w:bottom w:val="single" w:sz="4" w:space="0" w:color="auto"/>
              <w:right w:val="single" w:sz="4" w:space="0" w:color="auto"/>
            </w:tcBorders>
            <w:hideMark/>
          </w:tcPr>
          <w:p w14:paraId="320A2352" w14:textId="77777777" w:rsidR="007D237B" w:rsidRPr="007D237B" w:rsidRDefault="007D237B" w:rsidP="0097462C">
            <w:pPr>
              <w:autoSpaceDE w:val="0"/>
              <w:autoSpaceDN w:val="0"/>
              <w:adjustRightInd w:val="0"/>
              <w:ind w:left="851" w:hanging="851"/>
              <w:jc w:val="center"/>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lastRenderedPageBreak/>
              <w:t>2 til 6 år</w:t>
            </w:r>
          </w:p>
        </w:tc>
        <w:tc>
          <w:tcPr>
            <w:tcW w:w="2416" w:type="dxa"/>
            <w:tcBorders>
              <w:top w:val="single" w:sz="4" w:space="0" w:color="auto"/>
              <w:left w:val="single" w:sz="4" w:space="0" w:color="auto"/>
              <w:bottom w:val="single" w:sz="4" w:space="0" w:color="auto"/>
              <w:right w:val="single" w:sz="4" w:space="0" w:color="auto"/>
            </w:tcBorders>
            <w:hideMark/>
          </w:tcPr>
          <w:p w14:paraId="49F9CEDD" w14:textId="77777777" w:rsidR="007D237B" w:rsidRPr="007D237B" w:rsidRDefault="007D237B" w:rsidP="0097462C">
            <w:pPr>
              <w:autoSpaceDE w:val="0"/>
              <w:autoSpaceDN w:val="0"/>
              <w:adjustRightInd w:val="0"/>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9 mg/kg en gang hver 24. time som infusion over 60 min.</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0F81D878" w14:textId="77777777" w:rsidR="007D237B" w:rsidRPr="007D237B" w:rsidRDefault="007D237B" w:rsidP="0097462C">
            <w:pPr>
              <w:ind w:left="851" w:hanging="851"/>
              <w:jc w:val="center"/>
              <w:rPr>
                <w:rFonts w:ascii="Times New Roman" w:eastAsia="TimesNewRoman" w:hAnsi="Times New Roman" w:cs="Times New Roman"/>
                <w:color w:val="000000"/>
                <w:sz w:val="24"/>
                <w:szCs w:val="24"/>
              </w:rPr>
            </w:pPr>
          </w:p>
        </w:tc>
        <w:tc>
          <w:tcPr>
            <w:tcW w:w="2181" w:type="dxa"/>
            <w:tcBorders>
              <w:top w:val="single" w:sz="4" w:space="0" w:color="auto"/>
              <w:left w:val="single" w:sz="4" w:space="0" w:color="auto"/>
              <w:bottom w:val="single" w:sz="4" w:space="0" w:color="auto"/>
              <w:right w:val="single" w:sz="4" w:space="0" w:color="auto"/>
            </w:tcBorders>
          </w:tcPr>
          <w:p w14:paraId="035A2174" w14:textId="77777777" w:rsidR="007D237B" w:rsidRPr="007D237B" w:rsidRDefault="007D237B" w:rsidP="0097462C">
            <w:pPr>
              <w:autoSpaceDE w:val="0"/>
              <w:autoSpaceDN w:val="0"/>
              <w:adjustRightInd w:val="0"/>
              <w:rPr>
                <w:rFonts w:ascii="Times New Roman" w:eastAsia="TimesNewRoman" w:hAnsi="Times New Roman" w:cs="Times New Roman"/>
                <w:color w:val="000000"/>
                <w:sz w:val="24"/>
                <w:szCs w:val="24"/>
              </w:rPr>
            </w:pPr>
            <w:r w:rsidRPr="007D237B">
              <w:rPr>
                <w:rFonts w:eastAsia="TimesNewRoman"/>
                <w:color w:val="000000"/>
                <w:sz w:val="24"/>
                <w:szCs w:val="24"/>
              </w:rPr>
              <w:t>12 mg/kg en gang hver 24. time som infusion over 60 min.</w:t>
            </w:r>
          </w:p>
        </w:tc>
        <w:tc>
          <w:tcPr>
            <w:tcW w:w="0" w:type="auto"/>
            <w:vMerge/>
            <w:tcBorders>
              <w:left w:val="single" w:sz="4" w:space="0" w:color="auto"/>
              <w:right w:val="single" w:sz="4" w:space="0" w:color="auto"/>
            </w:tcBorders>
          </w:tcPr>
          <w:p w14:paraId="33C218E9" w14:textId="77777777" w:rsidR="007D237B" w:rsidRPr="007D237B" w:rsidRDefault="007D237B" w:rsidP="0097462C">
            <w:pPr>
              <w:ind w:left="851" w:hanging="851"/>
              <w:rPr>
                <w:rFonts w:ascii="Times New Roman" w:eastAsia="TimesNewRoman" w:hAnsi="Times New Roman" w:cs="Times New Roman"/>
                <w:color w:val="000000"/>
                <w:sz w:val="24"/>
                <w:szCs w:val="24"/>
              </w:rPr>
            </w:pPr>
          </w:p>
        </w:tc>
      </w:tr>
      <w:tr w:rsidR="007D237B" w:rsidRPr="007D237B" w14:paraId="3ABF33E8" w14:textId="77777777" w:rsidTr="0097462C">
        <w:tc>
          <w:tcPr>
            <w:tcW w:w="1553" w:type="dxa"/>
            <w:tcBorders>
              <w:top w:val="single" w:sz="4" w:space="0" w:color="auto"/>
              <w:left w:val="single" w:sz="4" w:space="0" w:color="auto"/>
              <w:bottom w:val="single" w:sz="4" w:space="0" w:color="auto"/>
              <w:right w:val="single" w:sz="4" w:space="0" w:color="auto"/>
            </w:tcBorders>
            <w:hideMark/>
          </w:tcPr>
          <w:p w14:paraId="69F08FBE" w14:textId="77777777" w:rsidR="007D237B" w:rsidRPr="007D237B" w:rsidRDefault="007D237B" w:rsidP="0097462C">
            <w:pPr>
              <w:autoSpaceDE w:val="0"/>
              <w:autoSpaceDN w:val="0"/>
              <w:adjustRightInd w:val="0"/>
              <w:ind w:left="851" w:hanging="851"/>
              <w:jc w:val="center"/>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1 til &lt; 2 år</w:t>
            </w:r>
          </w:p>
        </w:tc>
        <w:tc>
          <w:tcPr>
            <w:tcW w:w="2416" w:type="dxa"/>
            <w:tcBorders>
              <w:top w:val="single" w:sz="4" w:space="0" w:color="auto"/>
              <w:left w:val="single" w:sz="4" w:space="0" w:color="auto"/>
              <w:bottom w:val="single" w:sz="4" w:space="0" w:color="auto"/>
              <w:right w:val="single" w:sz="4" w:space="0" w:color="auto"/>
            </w:tcBorders>
            <w:hideMark/>
          </w:tcPr>
          <w:p w14:paraId="4CC759B8" w14:textId="77777777" w:rsidR="007D237B" w:rsidRPr="007D237B" w:rsidRDefault="007D237B" w:rsidP="0097462C">
            <w:pPr>
              <w:autoSpaceDE w:val="0"/>
              <w:autoSpaceDN w:val="0"/>
              <w:adjustRightInd w:val="0"/>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10 mg/kg en gang hver 24. time som infusion over 60 min.</w:t>
            </w: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16C9BEB0" w14:textId="77777777" w:rsidR="007D237B" w:rsidRPr="007D237B" w:rsidRDefault="007D237B" w:rsidP="0097462C">
            <w:pPr>
              <w:ind w:left="851" w:hanging="851"/>
              <w:jc w:val="center"/>
              <w:rPr>
                <w:rFonts w:ascii="Times New Roman" w:eastAsia="TimesNewRoman" w:hAnsi="Times New Roman" w:cs="Times New Roman"/>
                <w:color w:val="000000"/>
                <w:sz w:val="24"/>
                <w:szCs w:val="24"/>
              </w:rPr>
            </w:pPr>
          </w:p>
        </w:tc>
        <w:tc>
          <w:tcPr>
            <w:tcW w:w="2181" w:type="dxa"/>
            <w:tcBorders>
              <w:top w:val="single" w:sz="4" w:space="0" w:color="auto"/>
              <w:left w:val="single" w:sz="4" w:space="0" w:color="auto"/>
              <w:bottom w:val="single" w:sz="4" w:space="0" w:color="auto"/>
              <w:right w:val="single" w:sz="4" w:space="0" w:color="auto"/>
            </w:tcBorders>
          </w:tcPr>
          <w:p w14:paraId="54A52D6B" w14:textId="77777777" w:rsidR="007D237B" w:rsidRPr="007D237B" w:rsidRDefault="007D237B" w:rsidP="0097462C">
            <w:pPr>
              <w:autoSpaceDE w:val="0"/>
              <w:autoSpaceDN w:val="0"/>
              <w:adjustRightInd w:val="0"/>
              <w:rPr>
                <w:rFonts w:ascii="Times New Roman" w:eastAsia="TimesNewRoman" w:hAnsi="Times New Roman" w:cs="Times New Roman"/>
                <w:color w:val="000000"/>
                <w:sz w:val="24"/>
                <w:szCs w:val="24"/>
              </w:rPr>
            </w:pPr>
            <w:r w:rsidRPr="007D237B">
              <w:rPr>
                <w:rFonts w:eastAsia="TimesNewRoman"/>
                <w:color w:val="000000"/>
                <w:sz w:val="24"/>
                <w:szCs w:val="24"/>
              </w:rPr>
              <w:t>12 mg/kg en gang hver 24. time som infusion over 60 min.</w:t>
            </w:r>
          </w:p>
        </w:tc>
        <w:tc>
          <w:tcPr>
            <w:tcW w:w="0" w:type="auto"/>
            <w:vMerge/>
            <w:tcBorders>
              <w:left w:val="single" w:sz="4" w:space="0" w:color="auto"/>
              <w:right w:val="single" w:sz="4" w:space="0" w:color="auto"/>
            </w:tcBorders>
          </w:tcPr>
          <w:p w14:paraId="5FCC46A6" w14:textId="77777777" w:rsidR="007D237B" w:rsidRPr="007D237B" w:rsidRDefault="007D237B" w:rsidP="0097462C">
            <w:pPr>
              <w:ind w:left="851" w:hanging="851"/>
              <w:rPr>
                <w:rFonts w:ascii="Times New Roman" w:eastAsia="TimesNewRoman" w:hAnsi="Times New Roman" w:cs="Times New Roman"/>
                <w:color w:val="000000"/>
                <w:sz w:val="24"/>
                <w:szCs w:val="24"/>
              </w:rPr>
            </w:pPr>
          </w:p>
        </w:tc>
      </w:tr>
      <w:tr w:rsidR="007D237B" w:rsidRPr="007D237B" w14:paraId="2B921C29" w14:textId="77777777" w:rsidTr="0097462C">
        <w:tc>
          <w:tcPr>
            <w:tcW w:w="8782" w:type="dxa"/>
            <w:gridSpan w:val="5"/>
            <w:tcBorders>
              <w:top w:val="single" w:sz="4" w:space="0" w:color="auto"/>
              <w:left w:val="single" w:sz="4" w:space="0" w:color="auto"/>
              <w:bottom w:val="single" w:sz="4" w:space="0" w:color="auto"/>
              <w:right w:val="single" w:sz="4" w:space="0" w:color="auto"/>
            </w:tcBorders>
          </w:tcPr>
          <w:p w14:paraId="543730CF" w14:textId="77777777" w:rsidR="007D237B" w:rsidRPr="007D237B" w:rsidRDefault="007D237B" w:rsidP="0097462C">
            <w:pPr>
              <w:rPr>
                <w:rFonts w:ascii="Times New Roman" w:hAnsi="Times New Roman" w:cs="Times New Roman"/>
                <w:sz w:val="24"/>
                <w:szCs w:val="24"/>
              </w:rPr>
            </w:pPr>
            <w:r w:rsidRPr="007D237B">
              <w:rPr>
                <w:rFonts w:ascii="Times New Roman" w:hAnsi="Times New Roman" w:cs="Times New Roman"/>
                <w:sz w:val="24"/>
                <w:szCs w:val="24"/>
              </w:rPr>
              <w:t xml:space="preserve">cSSTI = komplicerede hud- og bløddelsinfektioner; SAB = </w:t>
            </w:r>
            <w:r w:rsidRPr="007D237B">
              <w:rPr>
                <w:rFonts w:ascii="Times New Roman" w:hAnsi="Times New Roman" w:cs="Times New Roman"/>
                <w:i/>
                <w:sz w:val="24"/>
                <w:szCs w:val="24"/>
              </w:rPr>
              <w:t xml:space="preserve">S. aureus </w:t>
            </w:r>
            <w:r w:rsidRPr="007D237B">
              <w:rPr>
                <w:rFonts w:ascii="Times New Roman" w:hAnsi="Times New Roman" w:cs="Times New Roman"/>
                <w:sz w:val="24"/>
                <w:szCs w:val="24"/>
              </w:rPr>
              <w:t>bakteriæmi;</w:t>
            </w:r>
          </w:p>
          <w:p w14:paraId="645853C2" w14:textId="77777777" w:rsidR="007D237B" w:rsidRPr="007D237B" w:rsidRDefault="007D237B" w:rsidP="0097462C">
            <w:pPr>
              <w:rPr>
                <w:rFonts w:ascii="Times New Roman" w:eastAsia="TimesNewRoman" w:hAnsi="Times New Roman" w:cs="Times New Roman"/>
                <w:color w:val="000000"/>
                <w:sz w:val="24"/>
                <w:szCs w:val="24"/>
              </w:rPr>
            </w:pPr>
            <w:r w:rsidRPr="007D237B">
              <w:rPr>
                <w:rFonts w:ascii="Times New Roman" w:hAnsi="Times New Roman" w:cs="Times New Roman"/>
                <w:sz w:val="24"/>
                <w:szCs w:val="24"/>
              </w:rPr>
              <w:t>(1) Minimumsvarighed af behandling med daptomycin for SAB hos pædiatriske patienter skal være i overensstemmelse med den opfattede risiko for komplikationer hos den enkelte patient. Det kan være nødvendigt, at behandlingen med daptomycin varer længere end 14 dage i overensstemmelse med den opfattede risiko for komplikationer hos den enkelte patient. I SAB-studiet med pædiatriske patienter var den gennemsnitlige varighed af intravenøst daptomycin 12 dage med et interval på 1 til 44 dage. Varigheden af behandlingen skal være i overensstemmelse med tilgængelige officielle anbefalinger.</w:t>
            </w:r>
          </w:p>
        </w:tc>
      </w:tr>
    </w:tbl>
    <w:p w14:paraId="1F4F0CD7" w14:textId="77777777" w:rsidR="007D237B" w:rsidRPr="007D237B" w:rsidRDefault="007D237B" w:rsidP="007D237B">
      <w:pPr>
        <w:autoSpaceDE w:val="0"/>
        <w:autoSpaceDN w:val="0"/>
        <w:adjustRightInd w:val="0"/>
        <w:ind w:left="851"/>
        <w:rPr>
          <w:rFonts w:eastAsia="TimesNewRoman"/>
          <w:color w:val="000000"/>
          <w:sz w:val="24"/>
          <w:szCs w:val="24"/>
        </w:rPr>
      </w:pPr>
    </w:p>
    <w:p w14:paraId="36AC5392" w14:textId="4C71FD93"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 xml:space="preserve">Daptomycin Reddy administreres intravenøst i 0,9 % natriumchlorid (se pkt. 6.6). Daptomycin Reddy bør ikke anvendes oftere end </w:t>
      </w:r>
      <w:r w:rsidR="00104B3C">
        <w:rPr>
          <w:rFonts w:eastAsia="TimesNewRoman"/>
          <w:color w:val="000000"/>
          <w:sz w:val="24"/>
          <w:szCs w:val="24"/>
        </w:rPr>
        <w:t>en</w:t>
      </w:r>
      <w:r w:rsidRPr="007D237B">
        <w:rPr>
          <w:rFonts w:eastAsia="TimesNewRoman"/>
          <w:color w:val="000000"/>
          <w:sz w:val="24"/>
          <w:szCs w:val="24"/>
        </w:rPr>
        <w:t xml:space="preserve"> gang dagligt.</w:t>
      </w:r>
    </w:p>
    <w:p w14:paraId="0C0EDC1D"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311EF05F"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 xml:space="preserve">Kreatinkinase skal måles ved </w:t>
      </w:r>
      <w:r w:rsidRPr="007D237B">
        <w:rPr>
          <w:rFonts w:eastAsia="TimesNewRoman,Bold"/>
          <w:i/>
          <w:iCs/>
          <w:color w:val="000000"/>
          <w:sz w:val="24"/>
          <w:szCs w:val="24"/>
        </w:rPr>
        <w:t xml:space="preserve">baseline </w:t>
      </w:r>
      <w:r w:rsidRPr="007D237B">
        <w:rPr>
          <w:rFonts w:eastAsia="TimesNewRoman"/>
          <w:color w:val="000000"/>
          <w:sz w:val="24"/>
          <w:szCs w:val="24"/>
        </w:rPr>
        <w:t>og med regelmæssige intervaller (mindst en gang ugentligt) under behandlingen (se pkt. 4.4).</w:t>
      </w:r>
    </w:p>
    <w:p w14:paraId="0AF829F5"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6D6E4D61"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Daptomycin bør ikke gives til børn under et år på grund af risiko for potentielle virkninger på det muskulære system, det neuromuskulære system og/eller nervesystemerne (det perifere og/eller centrale), som blev observeret hos neonatale hunde (se pkt. 5.3).</w:t>
      </w:r>
    </w:p>
    <w:p w14:paraId="3B9B76FA"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56302EA9" w14:textId="77777777" w:rsidR="007D237B" w:rsidRPr="007D237B" w:rsidRDefault="007D237B" w:rsidP="007D237B">
      <w:pPr>
        <w:autoSpaceDE w:val="0"/>
        <w:autoSpaceDN w:val="0"/>
        <w:adjustRightInd w:val="0"/>
        <w:ind w:left="851"/>
        <w:rPr>
          <w:rFonts w:eastAsia="TimesNewRoman"/>
          <w:color w:val="000000"/>
          <w:sz w:val="24"/>
          <w:szCs w:val="24"/>
          <w:u w:val="single"/>
        </w:rPr>
      </w:pPr>
      <w:r w:rsidRPr="007D237B">
        <w:rPr>
          <w:rFonts w:eastAsia="TimesNewRoman"/>
          <w:color w:val="000000"/>
          <w:sz w:val="24"/>
          <w:szCs w:val="24"/>
          <w:u w:val="single"/>
        </w:rPr>
        <w:t>Administration</w:t>
      </w:r>
    </w:p>
    <w:p w14:paraId="117ADB12"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Hos voksne indgives Daptomycin Reddy som intravenøs infusion (se pkt. 6.6) over 30 minutter eller som intravenøs injektion (se pkt. 6.6) over 2 minutter.</w:t>
      </w:r>
    </w:p>
    <w:p w14:paraId="3132F491"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0ADD2CE8"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Hos pædiatriske patienter i alderen 7 til 17 år indgives Daptomycin Reddy som intravenøs infusion over 30 minutter (se pkt. 6.6). Hos pædiatriske patienter i alderen 1 til 6 år indgives Daptomycin Reddy som intravenøs infusion over 60 minutter (se pkt. 6.6).</w:t>
      </w:r>
    </w:p>
    <w:p w14:paraId="621065AB" w14:textId="77777777" w:rsidR="007D237B" w:rsidRPr="007D237B" w:rsidRDefault="007D237B" w:rsidP="007D237B">
      <w:pPr>
        <w:autoSpaceDE w:val="0"/>
        <w:autoSpaceDN w:val="0"/>
        <w:adjustRightInd w:val="0"/>
        <w:ind w:left="851" w:hanging="851"/>
        <w:rPr>
          <w:rFonts w:eastAsia="TimesNewRoman,Bold"/>
          <w:bCs/>
          <w:color w:val="000000"/>
          <w:sz w:val="24"/>
          <w:szCs w:val="24"/>
        </w:rPr>
      </w:pPr>
    </w:p>
    <w:p w14:paraId="2A194377" w14:textId="77777777" w:rsidR="007D237B" w:rsidRPr="0084400F" w:rsidRDefault="007D237B" w:rsidP="007D237B">
      <w:pPr>
        <w:autoSpaceDE w:val="0"/>
        <w:autoSpaceDN w:val="0"/>
        <w:adjustRightInd w:val="0"/>
        <w:ind w:left="851"/>
        <w:rPr>
          <w:rFonts w:eastAsia="TimesNewRoman,Bold"/>
          <w:bCs/>
          <w:color w:val="000000"/>
          <w:sz w:val="24"/>
          <w:szCs w:val="24"/>
        </w:rPr>
      </w:pPr>
      <w:r w:rsidRPr="0084400F">
        <w:rPr>
          <w:rFonts w:eastAsia="TimesNewRoman,Bold"/>
          <w:bCs/>
          <w:color w:val="000000"/>
          <w:sz w:val="24"/>
          <w:szCs w:val="24"/>
        </w:rPr>
        <w:t>For instruktioner om rekonstitution/fortynding af lægemidlet før administration, se pkt. 6.6.</w:t>
      </w:r>
    </w:p>
    <w:p w14:paraId="263DE6C0" w14:textId="77777777" w:rsidR="00E62E19" w:rsidRPr="00326899" w:rsidRDefault="00E62E19" w:rsidP="00E62E19">
      <w:pPr>
        <w:ind w:left="851" w:hanging="851"/>
        <w:rPr>
          <w:sz w:val="24"/>
          <w:szCs w:val="24"/>
        </w:rPr>
      </w:pPr>
    </w:p>
    <w:p w14:paraId="2FCA2845" w14:textId="77777777" w:rsidR="00E62E19" w:rsidRPr="00326899" w:rsidRDefault="00E62E19" w:rsidP="00E62E19">
      <w:pPr>
        <w:ind w:left="851" w:hanging="851"/>
        <w:rPr>
          <w:b/>
          <w:sz w:val="24"/>
          <w:szCs w:val="24"/>
        </w:rPr>
      </w:pPr>
      <w:r w:rsidRPr="00326899">
        <w:rPr>
          <w:b/>
          <w:sz w:val="24"/>
          <w:szCs w:val="24"/>
        </w:rPr>
        <w:t>4.3</w:t>
      </w:r>
      <w:r w:rsidRPr="00326899">
        <w:rPr>
          <w:b/>
          <w:sz w:val="24"/>
          <w:szCs w:val="24"/>
        </w:rPr>
        <w:tab/>
        <w:t>Kontraindikationer</w:t>
      </w:r>
    </w:p>
    <w:p w14:paraId="7977B4B5"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Overfølsomhed over for det aktive stof eller over for et eller flere af hjælpestofferne anført i pkt. 6.1.</w:t>
      </w:r>
    </w:p>
    <w:p w14:paraId="005C7533" w14:textId="77777777" w:rsidR="00E62E19" w:rsidRPr="00326899" w:rsidRDefault="00E62E19" w:rsidP="00E62E19">
      <w:pPr>
        <w:ind w:left="851" w:hanging="851"/>
        <w:rPr>
          <w:sz w:val="24"/>
          <w:szCs w:val="24"/>
        </w:rPr>
      </w:pPr>
    </w:p>
    <w:p w14:paraId="7608D94D" w14:textId="77777777" w:rsidR="00E62E19" w:rsidRPr="00554484" w:rsidRDefault="00E62E19" w:rsidP="00E62E19">
      <w:pPr>
        <w:ind w:left="851" w:hanging="851"/>
        <w:rPr>
          <w:b/>
          <w:sz w:val="24"/>
          <w:szCs w:val="24"/>
        </w:rPr>
      </w:pPr>
      <w:r w:rsidRPr="00326899">
        <w:rPr>
          <w:b/>
          <w:sz w:val="24"/>
          <w:szCs w:val="24"/>
        </w:rPr>
        <w:t>4.4</w:t>
      </w:r>
      <w:r w:rsidRPr="00326899">
        <w:rPr>
          <w:b/>
          <w:sz w:val="24"/>
          <w:szCs w:val="24"/>
        </w:rPr>
        <w:tab/>
        <w:t>Særlige advarsler og forsigtighedsregler vedrørende brugen</w:t>
      </w:r>
    </w:p>
    <w:p w14:paraId="4C854C85" w14:textId="77777777" w:rsidR="00E62E19" w:rsidRDefault="00E62E19" w:rsidP="00E62E19">
      <w:pPr>
        <w:autoSpaceDE w:val="0"/>
        <w:autoSpaceDN w:val="0"/>
        <w:adjustRightInd w:val="0"/>
        <w:ind w:left="851"/>
        <w:rPr>
          <w:rFonts w:eastAsia="TimesNewRoman"/>
          <w:color w:val="000000"/>
          <w:sz w:val="24"/>
          <w:szCs w:val="24"/>
          <w:u w:val="single"/>
        </w:rPr>
      </w:pPr>
    </w:p>
    <w:p w14:paraId="30D5619C" w14:textId="77777777" w:rsidR="00E62E19" w:rsidRPr="00326899" w:rsidRDefault="00E62E19" w:rsidP="00E62E19">
      <w:pPr>
        <w:autoSpaceDE w:val="0"/>
        <w:autoSpaceDN w:val="0"/>
        <w:adjustRightInd w:val="0"/>
        <w:ind w:left="851"/>
        <w:rPr>
          <w:rFonts w:eastAsia="TimesNewRoman"/>
          <w:color w:val="000000"/>
          <w:sz w:val="24"/>
          <w:szCs w:val="24"/>
          <w:u w:val="single"/>
        </w:rPr>
      </w:pPr>
      <w:r w:rsidRPr="00326899">
        <w:rPr>
          <w:rFonts w:eastAsia="TimesNewRoman"/>
          <w:color w:val="000000"/>
          <w:sz w:val="24"/>
          <w:szCs w:val="24"/>
          <w:u w:val="single"/>
        </w:rPr>
        <w:t>Generelt</w:t>
      </w:r>
    </w:p>
    <w:p w14:paraId="050E689B" w14:textId="455CB06F"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Hvis et infektionsfokus udover CSSTI eller RIE identificeres efter initieringen af daptomycin</w:t>
      </w:r>
      <w:r w:rsidR="0084400F">
        <w:rPr>
          <w:rFonts w:eastAsia="TimesNewRoman"/>
          <w:color w:val="000000"/>
          <w:sz w:val="24"/>
          <w:szCs w:val="24"/>
        </w:rPr>
        <w:t>-</w:t>
      </w:r>
      <w:r w:rsidRPr="00326899">
        <w:rPr>
          <w:rFonts w:eastAsia="TimesNewRoman"/>
          <w:color w:val="000000"/>
          <w:sz w:val="24"/>
          <w:szCs w:val="24"/>
        </w:rPr>
        <w:t>behandling, bør det overvejes om der skal startes alternativ antibakteriel behandling, som har vist effekt i behandlingen af den specifikke tilstedeværende type infektion(er).</w:t>
      </w:r>
    </w:p>
    <w:p w14:paraId="14CFA800" w14:textId="77777777" w:rsidR="00E62E19" w:rsidRDefault="00E62E19" w:rsidP="00E62E19">
      <w:pPr>
        <w:autoSpaceDE w:val="0"/>
        <w:autoSpaceDN w:val="0"/>
        <w:adjustRightInd w:val="0"/>
        <w:ind w:left="851" w:hanging="851"/>
        <w:rPr>
          <w:rFonts w:eastAsia="TimesNewRoman"/>
          <w:color w:val="000000"/>
          <w:sz w:val="24"/>
          <w:szCs w:val="24"/>
        </w:rPr>
      </w:pPr>
    </w:p>
    <w:p w14:paraId="7D6CC97C" w14:textId="77777777" w:rsidR="007D237B" w:rsidRDefault="007D237B" w:rsidP="00E62E19">
      <w:pPr>
        <w:autoSpaceDE w:val="0"/>
        <w:autoSpaceDN w:val="0"/>
        <w:adjustRightInd w:val="0"/>
        <w:ind w:left="851" w:hanging="851"/>
        <w:rPr>
          <w:rFonts w:eastAsia="TimesNewRoman"/>
          <w:color w:val="000000"/>
          <w:sz w:val="24"/>
          <w:szCs w:val="24"/>
        </w:rPr>
      </w:pPr>
    </w:p>
    <w:p w14:paraId="517A90CF" w14:textId="77777777" w:rsidR="007D237B" w:rsidRPr="00326899" w:rsidRDefault="007D237B" w:rsidP="00E62E19">
      <w:pPr>
        <w:autoSpaceDE w:val="0"/>
        <w:autoSpaceDN w:val="0"/>
        <w:adjustRightInd w:val="0"/>
        <w:ind w:left="851" w:hanging="851"/>
        <w:rPr>
          <w:rFonts w:eastAsia="TimesNewRoman"/>
          <w:color w:val="000000"/>
          <w:sz w:val="24"/>
          <w:szCs w:val="24"/>
        </w:rPr>
      </w:pPr>
    </w:p>
    <w:p w14:paraId="66122B4A" w14:textId="77777777" w:rsidR="00E62E19" w:rsidRPr="00326899" w:rsidRDefault="00E62E19" w:rsidP="00E62E19">
      <w:pPr>
        <w:autoSpaceDE w:val="0"/>
        <w:autoSpaceDN w:val="0"/>
        <w:adjustRightInd w:val="0"/>
        <w:ind w:left="851"/>
        <w:rPr>
          <w:rFonts w:eastAsia="TimesNewRoman"/>
          <w:color w:val="000000"/>
          <w:sz w:val="24"/>
          <w:szCs w:val="24"/>
          <w:u w:val="single"/>
        </w:rPr>
      </w:pPr>
      <w:r w:rsidRPr="00326899">
        <w:rPr>
          <w:rFonts w:eastAsia="TimesNewRoman"/>
          <w:color w:val="000000"/>
          <w:sz w:val="24"/>
          <w:szCs w:val="24"/>
          <w:u w:val="single"/>
        </w:rPr>
        <w:lastRenderedPageBreak/>
        <w:t>Anafylaksi/overfølsomhedsreaktioner</w:t>
      </w:r>
    </w:p>
    <w:p w14:paraId="6213AAC5"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Anafylaksi/overfølsomhedsreaktioner ved brug af daptomycin har været rapporteret. Hvis en allergisk reaktion over for daptomycin opstår, skal behandlingen med daptomycin seponeres og passende behandling initieres.</w:t>
      </w:r>
    </w:p>
    <w:p w14:paraId="278B2F32" w14:textId="77777777" w:rsidR="00E62E19" w:rsidRPr="00326899" w:rsidRDefault="00E62E19" w:rsidP="00E62E19">
      <w:pPr>
        <w:autoSpaceDE w:val="0"/>
        <w:autoSpaceDN w:val="0"/>
        <w:adjustRightInd w:val="0"/>
        <w:ind w:left="851" w:hanging="851"/>
        <w:rPr>
          <w:rFonts w:eastAsia="TimesNewRoman"/>
          <w:color w:val="000000"/>
          <w:sz w:val="24"/>
          <w:szCs w:val="24"/>
        </w:rPr>
      </w:pPr>
    </w:p>
    <w:p w14:paraId="219E4CA9" w14:textId="77777777" w:rsidR="007D237B" w:rsidRPr="007D237B" w:rsidRDefault="007D237B" w:rsidP="007D237B">
      <w:pPr>
        <w:autoSpaceDE w:val="0"/>
        <w:autoSpaceDN w:val="0"/>
        <w:adjustRightInd w:val="0"/>
        <w:ind w:left="851"/>
        <w:rPr>
          <w:rFonts w:eastAsia="TimesNewRoman"/>
          <w:color w:val="000000"/>
          <w:sz w:val="24"/>
          <w:szCs w:val="24"/>
          <w:u w:val="single"/>
        </w:rPr>
      </w:pPr>
      <w:r w:rsidRPr="007D237B">
        <w:rPr>
          <w:rFonts w:eastAsia="TimesNewRoman"/>
          <w:color w:val="000000"/>
          <w:sz w:val="24"/>
          <w:szCs w:val="24"/>
          <w:u w:val="single"/>
        </w:rPr>
        <w:t>Pneumoni</w:t>
      </w:r>
    </w:p>
    <w:p w14:paraId="50EFAB69"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Kliniske studier har vist, at daptomycin ikke har effekt på pneumoni. Daptomycin er derfor ikke indiceret til behandling af pneumoni.</w:t>
      </w:r>
    </w:p>
    <w:p w14:paraId="158FC7F1"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47F63880" w14:textId="77777777" w:rsidR="007D237B" w:rsidRPr="007D237B" w:rsidRDefault="007D237B" w:rsidP="007D237B">
      <w:pPr>
        <w:autoSpaceDE w:val="0"/>
        <w:autoSpaceDN w:val="0"/>
        <w:adjustRightInd w:val="0"/>
        <w:ind w:left="851"/>
        <w:rPr>
          <w:rFonts w:eastAsia="TimesNewRoman,Bold"/>
          <w:i/>
          <w:iCs/>
          <w:color w:val="000000"/>
          <w:sz w:val="24"/>
          <w:szCs w:val="24"/>
          <w:u w:val="single"/>
        </w:rPr>
      </w:pPr>
      <w:r w:rsidRPr="007D237B">
        <w:rPr>
          <w:rFonts w:eastAsia="TimesNewRoman"/>
          <w:color w:val="000000"/>
          <w:sz w:val="24"/>
          <w:szCs w:val="24"/>
          <w:u w:val="single"/>
        </w:rPr>
        <w:t xml:space="preserve">RIE som følge af </w:t>
      </w:r>
      <w:r w:rsidRPr="007D237B">
        <w:rPr>
          <w:rFonts w:eastAsia="TimesNewRoman,Bold"/>
          <w:i/>
          <w:iCs/>
          <w:color w:val="000000"/>
          <w:sz w:val="24"/>
          <w:szCs w:val="24"/>
          <w:u w:val="single"/>
        </w:rPr>
        <w:t>Staphylococcus aureus</w:t>
      </w:r>
    </w:p>
    <w:p w14:paraId="4BE25912" w14:textId="2C49BAA1" w:rsidR="007D237B" w:rsidRPr="007D237B" w:rsidRDefault="007D237B" w:rsidP="007D237B">
      <w:pPr>
        <w:ind w:left="851"/>
        <w:rPr>
          <w:sz w:val="24"/>
          <w:szCs w:val="24"/>
        </w:rPr>
      </w:pPr>
      <w:r w:rsidRPr="007D237B">
        <w:rPr>
          <w:rFonts w:eastAsia="TimesNewRoman"/>
          <w:color w:val="000000"/>
          <w:sz w:val="24"/>
          <w:szCs w:val="24"/>
        </w:rPr>
        <w:t xml:space="preserve">Klinisk data om anvendelsen af daptomycin til behandling af RIE som følge af </w:t>
      </w:r>
      <w:r w:rsidRPr="007D237B">
        <w:rPr>
          <w:rFonts w:eastAsia="TimesNewRoman,Bold"/>
          <w:i/>
          <w:iCs/>
          <w:color w:val="000000"/>
          <w:sz w:val="24"/>
          <w:szCs w:val="24"/>
        </w:rPr>
        <w:t xml:space="preserve">Staphylococcus aureus </w:t>
      </w:r>
      <w:r w:rsidRPr="007D237B">
        <w:rPr>
          <w:rFonts w:eastAsia="TimesNewRoman"/>
          <w:color w:val="000000"/>
          <w:sz w:val="24"/>
          <w:szCs w:val="24"/>
        </w:rPr>
        <w:t>er begrænset til 19 voksne patienter (se "</w:t>
      </w:r>
      <w:r w:rsidR="001572D9" w:rsidRPr="002E4211">
        <w:rPr>
          <w:rFonts w:eastAsia="TimesNewRoman"/>
          <w:color w:val="000000"/>
          <w:szCs w:val="24"/>
        </w:rPr>
        <w:t>Klinisk virkning hos voksne</w:t>
      </w:r>
      <w:r w:rsidRPr="007D237B">
        <w:rPr>
          <w:rFonts w:eastAsia="TimesNewRoman"/>
          <w:color w:val="000000"/>
          <w:sz w:val="24"/>
          <w:szCs w:val="24"/>
        </w:rPr>
        <w:t xml:space="preserve">" i pkt. 5.1). </w:t>
      </w:r>
      <w:r w:rsidRPr="007D237B">
        <w:rPr>
          <w:sz w:val="24"/>
          <w:szCs w:val="24"/>
        </w:rPr>
        <w:t xml:space="preserve">Daptomycins sikkerhed og virkning hos børn og unge under 18 år med højresidig infektiøs endocarditis (RIE) som følge af </w:t>
      </w:r>
      <w:r w:rsidRPr="007D237B">
        <w:rPr>
          <w:i/>
          <w:sz w:val="24"/>
          <w:szCs w:val="24"/>
        </w:rPr>
        <w:t xml:space="preserve">Staphylococcus aureus </w:t>
      </w:r>
      <w:r w:rsidRPr="007D237B">
        <w:rPr>
          <w:sz w:val="24"/>
          <w:szCs w:val="24"/>
        </w:rPr>
        <w:t>er ikke klarlagt.</w:t>
      </w:r>
    </w:p>
    <w:p w14:paraId="457FE7D2" w14:textId="77777777" w:rsidR="007D237B" w:rsidRPr="007D237B" w:rsidRDefault="007D237B" w:rsidP="007D237B">
      <w:pPr>
        <w:ind w:left="851"/>
        <w:rPr>
          <w:sz w:val="24"/>
          <w:szCs w:val="24"/>
        </w:rPr>
      </w:pPr>
    </w:p>
    <w:p w14:paraId="56ED4CC9"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 xml:space="preserve">Hos patienter med prostetiske </w:t>
      </w:r>
      <w:r w:rsidRPr="007D237B">
        <w:rPr>
          <w:sz w:val="24"/>
          <w:szCs w:val="24"/>
        </w:rPr>
        <w:t>hjerteklapinfektioner</w:t>
      </w:r>
      <w:r w:rsidRPr="007D237B">
        <w:rPr>
          <w:rFonts w:eastAsia="TimesNewRoman"/>
          <w:color w:val="000000"/>
          <w:sz w:val="24"/>
          <w:szCs w:val="24"/>
        </w:rPr>
        <w:t xml:space="preserve"> eller venstresidigt infektiøs endocarditis som følge af </w:t>
      </w:r>
      <w:r w:rsidRPr="007D237B">
        <w:rPr>
          <w:rFonts w:eastAsia="TimesNewRoman,Bold"/>
          <w:i/>
          <w:iCs/>
          <w:color w:val="000000"/>
          <w:sz w:val="24"/>
          <w:szCs w:val="24"/>
        </w:rPr>
        <w:t xml:space="preserve">Staphylococcus aureus </w:t>
      </w:r>
      <w:r w:rsidRPr="007D237B">
        <w:rPr>
          <w:rFonts w:eastAsia="TimesNewRoman"/>
          <w:color w:val="000000"/>
          <w:sz w:val="24"/>
          <w:szCs w:val="24"/>
        </w:rPr>
        <w:t>er effekten af daptomycin ikke blevet vist.</w:t>
      </w:r>
    </w:p>
    <w:p w14:paraId="68A7B1A1"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04565BF0" w14:textId="77777777" w:rsidR="007D237B" w:rsidRPr="007D237B" w:rsidRDefault="007D237B" w:rsidP="007D237B">
      <w:pPr>
        <w:keepNext/>
        <w:autoSpaceDE w:val="0"/>
        <w:autoSpaceDN w:val="0"/>
        <w:adjustRightInd w:val="0"/>
        <w:ind w:left="851"/>
        <w:rPr>
          <w:rFonts w:eastAsia="TimesNewRoman"/>
          <w:color w:val="000000"/>
          <w:sz w:val="24"/>
          <w:szCs w:val="24"/>
          <w:u w:val="single"/>
        </w:rPr>
      </w:pPr>
      <w:r w:rsidRPr="007D237B">
        <w:rPr>
          <w:rFonts w:eastAsia="TimesNewRoman"/>
          <w:color w:val="000000"/>
          <w:sz w:val="24"/>
          <w:szCs w:val="24"/>
          <w:u w:val="single"/>
        </w:rPr>
        <w:t>Dybt-siddende infektioner</w:t>
      </w:r>
    </w:p>
    <w:p w14:paraId="0011AFA1"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Patienter med dybt-siddende infektioner bør få foretaget ethvert nødvendigt kirurgisk indgreb (f.eks. oprensning, fjernelse af proteser, kirurgisk udskiftning af hjerteklappen) uden forsinkelse.</w:t>
      </w:r>
    </w:p>
    <w:p w14:paraId="418B51C2" w14:textId="77777777" w:rsidR="007D237B" w:rsidRPr="007D237B" w:rsidRDefault="007D237B" w:rsidP="007D237B">
      <w:pPr>
        <w:autoSpaceDE w:val="0"/>
        <w:autoSpaceDN w:val="0"/>
        <w:adjustRightInd w:val="0"/>
        <w:ind w:left="851" w:hanging="851"/>
        <w:rPr>
          <w:rFonts w:eastAsia="TimesNewRoman,Bold"/>
          <w:i/>
          <w:iCs/>
          <w:color w:val="000000"/>
          <w:sz w:val="24"/>
          <w:szCs w:val="24"/>
        </w:rPr>
      </w:pPr>
    </w:p>
    <w:p w14:paraId="18CC6801" w14:textId="77777777" w:rsidR="007D237B" w:rsidRPr="007D237B" w:rsidRDefault="007D237B" w:rsidP="007D237B">
      <w:pPr>
        <w:autoSpaceDE w:val="0"/>
        <w:autoSpaceDN w:val="0"/>
        <w:adjustRightInd w:val="0"/>
        <w:ind w:left="851"/>
        <w:rPr>
          <w:rFonts w:eastAsia="TimesNewRoman"/>
          <w:color w:val="000000"/>
          <w:sz w:val="24"/>
          <w:szCs w:val="24"/>
          <w:u w:val="single"/>
        </w:rPr>
      </w:pPr>
      <w:r w:rsidRPr="007D237B">
        <w:rPr>
          <w:rFonts w:eastAsia="TimesNewRoman,Bold"/>
          <w:i/>
          <w:iCs/>
          <w:color w:val="000000"/>
          <w:sz w:val="24"/>
          <w:szCs w:val="24"/>
          <w:u w:val="single"/>
        </w:rPr>
        <w:t>Enterokok-</w:t>
      </w:r>
      <w:r w:rsidRPr="007D237B">
        <w:rPr>
          <w:rFonts w:eastAsia="TimesNewRoman"/>
          <w:color w:val="000000"/>
          <w:sz w:val="24"/>
          <w:szCs w:val="24"/>
          <w:u w:val="single"/>
        </w:rPr>
        <w:t>infektioner</w:t>
      </w:r>
    </w:p>
    <w:p w14:paraId="74BEBE62" w14:textId="6D69603D"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 xml:space="preserve">Der er utilstrækkeligt bevis for at kunne drage konklusioner vedrørende daptomycin mulige kliniske effekt over for infektioner forårsaget af enterokokker, inklusive </w:t>
      </w:r>
      <w:r w:rsidRPr="007D237B">
        <w:rPr>
          <w:rFonts w:eastAsia="TimesNewRoman,Bold"/>
          <w:i/>
          <w:iCs/>
          <w:color w:val="000000"/>
          <w:sz w:val="24"/>
          <w:szCs w:val="24"/>
        </w:rPr>
        <w:t xml:space="preserve">Enterococcus faecalis </w:t>
      </w:r>
      <w:r w:rsidRPr="007D237B">
        <w:rPr>
          <w:rFonts w:eastAsia="TimesNewRoman"/>
          <w:color w:val="000000"/>
          <w:sz w:val="24"/>
          <w:szCs w:val="24"/>
        </w:rPr>
        <w:t xml:space="preserve">og </w:t>
      </w:r>
      <w:r w:rsidRPr="007D237B">
        <w:rPr>
          <w:rFonts w:eastAsia="TimesNewRoman,Bold"/>
          <w:i/>
          <w:iCs/>
          <w:color w:val="000000"/>
          <w:sz w:val="24"/>
          <w:szCs w:val="24"/>
        </w:rPr>
        <w:t>Enterococcus faecium</w:t>
      </w:r>
      <w:r w:rsidRPr="007D237B">
        <w:rPr>
          <w:rFonts w:eastAsia="TimesNewRoman"/>
          <w:color w:val="000000"/>
          <w:sz w:val="24"/>
          <w:szCs w:val="24"/>
        </w:rPr>
        <w:t>. Desuden er der ikke blevet fastlagt nogen dosisregimer for daptomycin, som vil være passende til behandlingen af enterokok-infektioner med eller uden bakteriæmi. Der er blevet rapporteret om mangle</w:t>
      </w:r>
      <w:r w:rsidR="001572D9">
        <w:rPr>
          <w:rFonts w:eastAsia="TimesNewRoman"/>
          <w:color w:val="000000"/>
          <w:sz w:val="24"/>
          <w:szCs w:val="24"/>
        </w:rPr>
        <w:t>d</w:t>
      </w:r>
      <w:r w:rsidRPr="007D237B">
        <w:rPr>
          <w:rFonts w:eastAsia="TimesNewRoman"/>
          <w:color w:val="000000"/>
          <w:sz w:val="24"/>
          <w:szCs w:val="24"/>
        </w:rPr>
        <w:t xml:space="preserve"> effekt i daptomycin-behandlingen af enterokok-infektioner, der hovedsageligt er ledsaget af bakteriæmi. I nogle tilfælde har manglende effekt af behandlingen været forbundet med selektion af organismer med nedsat følsomhed eller direkte resistens over for daptomycin (se pkt. 5.1).</w:t>
      </w:r>
    </w:p>
    <w:p w14:paraId="549AB581"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4E31F219" w14:textId="77777777" w:rsidR="007D237B" w:rsidRPr="007D237B" w:rsidRDefault="007D237B" w:rsidP="007D237B">
      <w:pPr>
        <w:autoSpaceDE w:val="0"/>
        <w:autoSpaceDN w:val="0"/>
        <w:adjustRightInd w:val="0"/>
        <w:ind w:left="851"/>
        <w:rPr>
          <w:rFonts w:eastAsia="TimesNewRoman"/>
          <w:color w:val="000000"/>
          <w:sz w:val="24"/>
          <w:szCs w:val="24"/>
          <w:u w:val="single"/>
        </w:rPr>
      </w:pPr>
      <w:r w:rsidRPr="007D237B">
        <w:rPr>
          <w:rFonts w:eastAsia="TimesNewRoman"/>
          <w:color w:val="000000"/>
          <w:sz w:val="24"/>
          <w:szCs w:val="24"/>
          <w:u w:val="single"/>
        </w:rPr>
        <w:t>Ikke-følsomme mikroorganismer</w:t>
      </w:r>
    </w:p>
    <w:p w14:paraId="6D2199EC"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Brug af antibakterielle midler kan forårsage overvækst af ikke-følsomme mikroorganismer. Hvis der opstår en superinfektion, skal der træffes passende foranstaltninger.</w:t>
      </w:r>
    </w:p>
    <w:p w14:paraId="3D1AE1B4" w14:textId="77777777" w:rsidR="007D237B" w:rsidRPr="007D237B" w:rsidRDefault="007D237B" w:rsidP="007D237B">
      <w:pPr>
        <w:autoSpaceDE w:val="0"/>
        <w:autoSpaceDN w:val="0"/>
        <w:adjustRightInd w:val="0"/>
        <w:ind w:left="851" w:hanging="851"/>
        <w:rPr>
          <w:rFonts w:eastAsia="TimesNewRoman,Bold"/>
          <w:i/>
          <w:iCs/>
          <w:color w:val="000000"/>
          <w:sz w:val="24"/>
          <w:szCs w:val="24"/>
        </w:rPr>
      </w:pPr>
    </w:p>
    <w:p w14:paraId="4B5190AE" w14:textId="77777777" w:rsidR="007D237B" w:rsidRPr="001572D9" w:rsidRDefault="007D237B" w:rsidP="007D237B">
      <w:pPr>
        <w:autoSpaceDE w:val="0"/>
        <w:autoSpaceDN w:val="0"/>
        <w:adjustRightInd w:val="0"/>
        <w:ind w:left="851"/>
        <w:rPr>
          <w:rFonts w:eastAsia="TimesNewRoman"/>
          <w:color w:val="000000"/>
          <w:sz w:val="24"/>
          <w:szCs w:val="24"/>
        </w:rPr>
      </w:pPr>
      <w:r w:rsidRPr="001572D9">
        <w:rPr>
          <w:rFonts w:eastAsia="TimesNewRoman,Bold"/>
          <w:i/>
          <w:iCs/>
          <w:color w:val="000000"/>
          <w:sz w:val="24"/>
          <w:szCs w:val="24"/>
        </w:rPr>
        <w:t>Clostridioides difficile</w:t>
      </w:r>
      <w:r w:rsidRPr="001572D9">
        <w:rPr>
          <w:rFonts w:eastAsia="TimesNewRoman"/>
          <w:color w:val="000000"/>
          <w:sz w:val="24"/>
          <w:szCs w:val="24"/>
        </w:rPr>
        <w:t>-associeret diarré</w:t>
      </w:r>
    </w:p>
    <w:p w14:paraId="13283855"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Bold"/>
          <w:i/>
          <w:iCs/>
          <w:color w:val="000000"/>
          <w:sz w:val="24"/>
          <w:szCs w:val="24"/>
          <w:u w:val="single"/>
        </w:rPr>
        <w:t>Clostridioides</w:t>
      </w:r>
      <w:r w:rsidRPr="007D237B">
        <w:rPr>
          <w:rFonts w:eastAsia="TimesNewRoman,Bold"/>
          <w:i/>
          <w:iCs/>
          <w:color w:val="000000"/>
          <w:sz w:val="24"/>
          <w:szCs w:val="24"/>
        </w:rPr>
        <w:t xml:space="preserve"> difficile</w:t>
      </w:r>
      <w:r w:rsidRPr="007D237B">
        <w:rPr>
          <w:rFonts w:eastAsia="TimesNewRoman"/>
          <w:color w:val="000000"/>
          <w:sz w:val="24"/>
          <w:szCs w:val="24"/>
        </w:rPr>
        <w:t>-associeret diarré (CDAD) er blevet rapporteret under brugen af daptomycin (se pkt. 4.8). Hvis CDAD er under mistanke eller allerede er bekræftet, kan det være nødvendigt at seponere behandlingen med d</w:t>
      </w:r>
      <w:r w:rsidRPr="007D237B">
        <w:rPr>
          <w:sz w:val="24"/>
          <w:szCs w:val="24"/>
        </w:rPr>
        <w:t xml:space="preserve">aptomycin </w:t>
      </w:r>
      <w:r w:rsidRPr="007D237B">
        <w:rPr>
          <w:rFonts w:eastAsia="TimesNewRoman"/>
          <w:color w:val="000000"/>
          <w:sz w:val="24"/>
          <w:szCs w:val="24"/>
        </w:rPr>
        <w:t>og iværksætte passende kliniske tiltag.</w:t>
      </w:r>
    </w:p>
    <w:p w14:paraId="0905D58C"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3FDE05F8" w14:textId="77777777" w:rsidR="007D237B" w:rsidRPr="007D237B" w:rsidRDefault="007D237B" w:rsidP="007D237B">
      <w:pPr>
        <w:autoSpaceDE w:val="0"/>
        <w:autoSpaceDN w:val="0"/>
        <w:adjustRightInd w:val="0"/>
        <w:ind w:left="851"/>
        <w:rPr>
          <w:rFonts w:eastAsia="TimesNewRoman"/>
          <w:color w:val="000000"/>
          <w:sz w:val="24"/>
          <w:szCs w:val="24"/>
          <w:u w:val="single"/>
        </w:rPr>
      </w:pPr>
      <w:r w:rsidRPr="007D237B">
        <w:rPr>
          <w:rFonts w:eastAsia="TimesNewRoman"/>
          <w:color w:val="000000"/>
          <w:sz w:val="24"/>
          <w:szCs w:val="24"/>
          <w:u w:val="single"/>
        </w:rPr>
        <w:t>Interaktioner mellem lægemiddel og laboratorietest</w:t>
      </w:r>
    </w:p>
    <w:p w14:paraId="4397D814" w14:textId="3DAE21C2"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Falsk forlængelse af protrombintid (PT) og forøgelse af international normalise</w:t>
      </w:r>
      <w:r w:rsidR="001572D9">
        <w:rPr>
          <w:rFonts w:eastAsia="TimesNewRoman"/>
          <w:color w:val="000000"/>
          <w:sz w:val="24"/>
          <w:szCs w:val="24"/>
        </w:rPr>
        <w:t>d</w:t>
      </w:r>
      <w:r w:rsidRPr="007D237B">
        <w:rPr>
          <w:rFonts w:eastAsia="TimesNewRoman"/>
          <w:color w:val="000000"/>
          <w:sz w:val="24"/>
          <w:szCs w:val="24"/>
        </w:rPr>
        <w:t xml:space="preserve"> ratio (INR) er blevet observeret, når visse rekombinante tromboplastinreagenser er anvendt til analysen (se pkt. 4.5).</w:t>
      </w:r>
    </w:p>
    <w:p w14:paraId="33496111"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211D8EF0" w14:textId="77777777" w:rsidR="007D237B" w:rsidRPr="007D237B" w:rsidRDefault="007D237B" w:rsidP="007D237B">
      <w:pPr>
        <w:autoSpaceDE w:val="0"/>
        <w:autoSpaceDN w:val="0"/>
        <w:adjustRightInd w:val="0"/>
        <w:ind w:left="851"/>
        <w:rPr>
          <w:rFonts w:eastAsia="TimesNewRoman"/>
          <w:color w:val="000000"/>
          <w:sz w:val="24"/>
          <w:szCs w:val="24"/>
          <w:u w:val="single"/>
        </w:rPr>
      </w:pPr>
      <w:r w:rsidRPr="007D237B">
        <w:rPr>
          <w:rFonts w:eastAsia="TimesNewRoman"/>
          <w:color w:val="000000"/>
          <w:sz w:val="24"/>
          <w:szCs w:val="24"/>
          <w:u w:val="single"/>
        </w:rPr>
        <w:lastRenderedPageBreak/>
        <w:t>Kreatinkinase og myopati</w:t>
      </w:r>
    </w:p>
    <w:p w14:paraId="060144CA" w14:textId="5C51D8C1"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Der er blevet rapporteret forøget kreatinkinase i plasma (CK; MM-isoenzymer) associeret med muskelsmerter og/eller -svaghed og om tilfælde af myositis, myoglobinæmi og rabdomyolyse under behandlingen med daptomycin (se pkt. 4.5, 4.8 og 5.3). I kliniske studier forekom markante stigninger i plasma-CK til &gt; 5× den øvre grænse for normalværdi (</w:t>
      </w:r>
      <w:r w:rsidRPr="007D237B">
        <w:rPr>
          <w:rFonts w:eastAsia="TimesNewRoman,Bold"/>
          <w:i/>
          <w:iCs/>
          <w:color w:val="000000"/>
          <w:sz w:val="24"/>
          <w:szCs w:val="24"/>
        </w:rPr>
        <w:t>Upper Limit of Normal</w:t>
      </w:r>
      <w:r w:rsidRPr="007D237B">
        <w:rPr>
          <w:rFonts w:eastAsia="TimesNewRoman"/>
          <w:color w:val="000000"/>
          <w:sz w:val="24"/>
          <w:szCs w:val="24"/>
        </w:rPr>
        <w:t>, ULN) uden muskelsymptomer hyppigere hos patienter, der blev behandlet med daptomycin (1,9 %) end hos dem, der blev behandlet med sammenligningspræparater (0,5 %). Følgende anbefales derfor:</w:t>
      </w:r>
    </w:p>
    <w:p w14:paraId="79B8A450" w14:textId="155F1377" w:rsidR="007D237B" w:rsidRPr="007D237B" w:rsidRDefault="007D237B" w:rsidP="007D237B">
      <w:pPr>
        <w:pStyle w:val="Listeafsnit"/>
        <w:numPr>
          <w:ilvl w:val="0"/>
          <w:numId w:val="10"/>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 xml:space="preserve">Plasma-CK bør måles ved baseline og i regelmæssige intervaller (mindst </w:t>
      </w:r>
      <w:r w:rsidR="00104B3C">
        <w:rPr>
          <w:rFonts w:ascii="Times New Roman" w:eastAsia="TimesNewRoman" w:hAnsi="Times New Roman" w:cs="Times New Roman"/>
          <w:color w:val="000000"/>
          <w:sz w:val="24"/>
          <w:szCs w:val="24"/>
        </w:rPr>
        <w:t>en</w:t>
      </w:r>
      <w:r w:rsidRPr="007D237B">
        <w:rPr>
          <w:rFonts w:ascii="Times New Roman" w:eastAsia="TimesNewRoman" w:hAnsi="Times New Roman" w:cs="Times New Roman"/>
          <w:color w:val="000000"/>
          <w:sz w:val="24"/>
          <w:szCs w:val="24"/>
        </w:rPr>
        <w:t xml:space="preserve"> gang om ugen) under hele behandlingen hos alle patienter.</w:t>
      </w:r>
    </w:p>
    <w:p w14:paraId="3B849456" w14:textId="4AF556AE" w:rsidR="007D237B" w:rsidRPr="007D237B" w:rsidRDefault="007D237B" w:rsidP="007D237B">
      <w:pPr>
        <w:pStyle w:val="Listeafsnit"/>
        <w:numPr>
          <w:ilvl w:val="0"/>
          <w:numId w:val="10"/>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CK bør måles hyppigere (f.eks. hver 2.-3. dag i minimum de første to uger af behandlingen) hos patienter, som har øget risiko for at udvikle myopati, f.eks. patienter med alle grader af nedsat nyrefunktion (kreatininclearance &lt; 80 ml/min; se pkt. 4.2), inklusive patienter i hæmodialyse eller CAPD, og patienter som bruger andre lægemidler, der vides at være forbundet med myopati (f.eks. HMG-CoA-reduktasehæmmere, fibrater og ciclosporin).</w:t>
      </w:r>
    </w:p>
    <w:p w14:paraId="683B8A12" w14:textId="23869FA5" w:rsidR="007D237B" w:rsidRPr="007D237B" w:rsidRDefault="007D237B" w:rsidP="007D237B">
      <w:pPr>
        <w:pStyle w:val="Listeafsnit"/>
        <w:numPr>
          <w:ilvl w:val="0"/>
          <w:numId w:val="10"/>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 xml:space="preserve">Det kan ikke udelukkes, at patienter, hvis CK-værdi overstiger 5 gange den øvre grænse for normalværdi ved baseline, kan have større risiko for yderligere stigninger under behandlingen med daptomycin. Dette bør tages i betragtning, når behandling med daptomycin initieres, og sådanne patienter bør overvåges mere end </w:t>
      </w:r>
      <w:r w:rsidR="00104B3C">
        <w:rPr>
          <w:rFonts w:ascii="Times New Roman" w:eastAsia="TimesNewRoman" w:hAnsi="Times New Roman" w:cs="Times New Roman"/>
          <w:color w:val="000000"/>
          <w:sz w:val="24"/>
          <w:szCs w:val="24"/>
        </w:rPr>
        <w:t>en</w:t>
      </w:r>
      <w:r w:rsidRPr="007D237B">
        <w:rPr>
          <w:rFonts w:ascii="Times New Roman" w:eastAsia="TimesNewRoman" w:hAnsi="Times New Roman" w:cs="Times New Roman"/>
          <w:color w:val="000000"/>
          <w:sz w:val="24"/>
          <w:szCs w:val="24"/>
        </w:rPr>
        <w:t xml:space="preserve"> gang om ugen, hvis daptomycin administreres.</w:t>
      </w:r>
    </w:p>
    <w:p w14:paraId="4F2CC4C8" w14:textId="77777777" w:rsidR="007D237B" w:rsidRPr="007D237B" w:rsidRDefault="007D237B" w:rsidP="007D237B">
      <w:pPr>
        <w:pStyle w:val="Listeafsnit"/>
        <w:numPr>
          <w:ilvl w:val="0"/>
          <w:numId w:val="10"/>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Daptomycin bør ikke administreres til patienter, som tager andre lægemidler associeret med myopati, medmindre fordelen for patienten anses for at opveje risikoen.</w:t>
      </w:r>
    </w:p>
    <w:p w14:paraId="03860A3F" w14:textId="77777777" w:rsidR="007D237B" w:rsidRPr="007D237B" w:rsidRDefault="007D237B" w:rsidP="007D237B">
      <w:pPr>
        <w:pStyle w:val="Listeafsnit"/>
        <w:numPr>
          <w:ilvl w:val="0"/>
          <w:numId w:val="10"/>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Patienterne bør undersøges regelmæssigt under behandlingen for alle tegn og symptomer, der kan tyde på myopati.</w:t>
      </w:r>
    </w:p>
    <w:p w14:paraId="4843C158" w14:textId="77777777" w:rsidR="007D237B" w:rsidRPr="007D237B" w:rsidRDefault="007D237B" w:rsidP="007D237B">
      <w:pPr>
        <w:pStyle w:val="Listeafsnit"/>
        <w:numPr>
          <w:ilvl w:val="0"/>
          <w:numId w:val="10"/>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7D237B">
        <w:rPr>
          <w:rFonts w:ascii="Times New Roman" w:eastAsia="TimesNewRoman" w:hAnsi="Times New Roman" w:cs="Times New Roman"/>
          <w:color w:val="000000"/>
          <w:sz w:val="24"/>
          <w:szCs w:val="24"/>
        </w:rPr>
        <w:t>Alle patienter, der udvikler uforklarlige muskelsmerter, -ømhed, -svaghed eller -kramper bør have overvåget CK-værdierne hver anden dag. Daptomycin bør seponeres, hvis der foreligger uforklarlige muskelsymptomer, og CK-værdien bliver større end 5 gange den øvre grænse for normalværdi.</w:t>
      </w:r>
    </w:p>
    <w:p w14:paraId="6A5D181F"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10733E39" w14:textId="77777777" w:rsidR="007D237B" w:rsidRPr="007D237B" w:rsidRDefault="007D237B" w:rsidP="007D237B">
      <w:pPr>
        <w:autoSpaceDE w:val="0"/>
        <w:autoSpaceDN w:val="0"/>
        <w:adjustRightInd w:val="0"/>
        <w:ind w:left="851"/>
        <w:rPr>
          <w:rFonts w:eastAsia="TimesNewRoman"/>
          <w:color w:val="000000"/>
          <w:sz w:val="24"/>
          <w:szCs w:val="24"/>
          <w:u w:val="single"/>
        </w:rPr>
      </w:pPr>
      <w:r w:rsidRPr="007D237B">
        <w:rPr>
          <w:rFonts w:eastAsia="TimesNewRoman"/>
          <w:color w:val="000000"/>
          <w:sz w:val="24"/>
          <w:szCs w:val="24"/>
          <w:u w:val="single"/>
        </w:rPr>
        <w:t>Perifer neuropati</w:t>
      </w:r>
    </w:p>
    <w:p w14:paraId="3026C5D5"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Patienter, som udvikler tegn eller symptomer, der kan tyde på perifer neuropati under behandlingen med daptomycin, bør undersøges, og seponering af daptomycin bør tages i betragtning (se pkt. 4.8 og 5.3).</w:t>
      </w:r>
    </w:p>
    <w:p w14:paraId="5A804DE6"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07396260" w14:textId="77777777" w:rsidR="007D237B" w:rsidRPr="007D237B" w:rsidRDefault="007D237B" w:rsidP="007D237B">
      <w:pPr>
        <w:autoSpaceDE w:val="0"/>
        <w:autoSpaceDN w:val="0"/>
        <w:adjustRightInd w:val="0"/>
        <w:ind w:left="851"/>
        <w:rPr>
          <w:rFonts w:eastAsia="TimesNewRoman"/>
          <w:color w:val="000000"/>
          <w:sz w:val="24"/>
          <w:szCs w:val="24"/>
          <w:u w:val="single"/>
        </w:rPr>
      </w:pPr>
      <w:r w:rsidRPr="007D237B">
        <w:rPr>
          <w:rFonts w:eastAsia="TimesNewRoman"/>
          <w:color w:val="000000"/>
          <w:sz w:val="24"/>
          <w:szCs w:val="24"/>
          <w:u w:val="single"/>
        </w:rPr>
        <w:t>Pædiatrisk population</w:t>
      </w:r>
    </w:p>
    <w:p w14:paraId="3F7FACFB"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Pædiatriske patienter under 1 år bør ikke behandles med daptomycin på grund af den potentielle risiko for virkninger på det muskulære system, det neuromuskulære system og/eller nervesystemerne (det perifere og/eller centrale), der blev observeret hos neonatale hunde (se pkt. 5.3).</w:t>
      </w:r>
    </w:p>
    <w:p w14:paraId="201BE430"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690DD875" w14:textId="77777777" w:rsidR="007D237B" w:rsidRPr="007D237B" w:rsidRDefault="007D237B" w:rsidP="007D237B">
      <w:pPr>
        <w:autoSpaceDE w:val="0"/>
        <w:autoSpaceDN w:val="0"/>
        <w:adjustRightInd w:val="0"/>
        <w:ind w:left="851"/>
        <w:rPr>
          <w:rFonts w:eastAsia="TimesNewRoman"/>
          <w:color w:val="000000"/>
          <w:sz w:val="24"/>
          <w:szCs w:val="24"/>
          <w:u w:val="single"/>
        </w:rPr>
      </w:pPr>
      <w:r w:rsidRPr="007D237B">
        <w:rPr>
          <w:rFonts w:eastAsia="TimesNewRoman"/>
          <w:color w:val="000000"/>
          <w:sz w:val="24"/>
          <w:szCs w:val="24"/>
          <w:u w:val="single"/>
        </w:rPr>
        <w:t>Eosinofil pneumoni</w:t>
      </w:r>
    </w:p>
    <w:p w14:paraId="5335E43C" w14:textId="08A0080C" w:rsid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 xml:space="preserve">Der er rapporteret om eosinofil pneumoni hos patienter i behandling med daptomycin (se pkt. 4.8). I de fleste rapporterede tilfælde associeret med daptomycin udviklede patienterne feber, dyspnø med hypoksisk respirationsinsufficiens og diffuse lungeinfiltrater eller organiserende pneumoni. De fleste tilfælde opstod efter mere end 2 ugers behandling med daptomycin og blev bedret, når daptomycin blev seponeret og steoridbehandling påbegyndt. Der er blevet </w:t>
      </w:r>
      <w:r w:rsidR="006063A0" w:rsidRPr="007D237B">
        <w:rPr>
          <w:rFonts w:eastAsia="TimesNewRoman"/>
          <w:color w:val="000000"/>
          <w:sz w:val="24"/>
          <w:szCs w:val="24"/>
        </w:rPr>
        <w:t>rapporteret</w:t>
      </w:r>
      <w:r w:rsidRPr="007D237B">
        <w:rPr>
          <w:rFonts w:eastAsia="TimesNewRoman"/>
          <w:color w:val="000000"/>
          <w:sz w:val="24"/>
          <w:szCs w:val="24"/>
        </w:rPr>
        <w:t xml:space="preserve"> om tilbagefald af eosinofil pneumoni ved reeksponering. Patienter, som udvikler disse tegn og symptomer under behandling med daptomycin, skal øjeblikkeligt have foretaget en klinisk vurdering, inkluderende bronkoalveolær udskylning, hvis det skønnes relevant, for at udelukke andre årsager (f.eks. </w:t>
      </w:r>
      <w:r w:rsidRPr="007D237B">
        <w:rPr>
          <w:rFonts w:eastAsia="TimesNewRoman"/>
          <w:color w:val="000000"/>
          <w:sz w:val="24"/>
          <w:szCs w:val="24"/>
        </w:rPr>
        <w:lastRenderedPageBreak/>
        <w:t>bakterieinfektion, svampeinfektion, parasitter, andre lægemidler). Daptomycin skal straks seponeres, og behandling med systemiske steroider skal påbegyndes, hvis det skønnes hensigtsmæssigt.</w:t>
      </w:r>
    </w:p>
    <w:p w14:paraId="7E61770B" w14:textId="7C20D428" w:rsidR="006063A0" w:rsidRDefault="006063A0" w:rsidP="007D237B">
      <w:pPr>
        <w:autoSpaceDE w:val="0"/>
        <w:autoSpaceDN w:val="0"/>
        <w:adjustRightInd w:val="0"/>
        <w:ind w:left="851"/>
        <w:rPr>
          <w:rFonts w:eastAsia="TimesNewRoman"/>
          <w:color w:val="000000"/>
          <w:sz w:val="24"/>
          <w:szCs w:val="24"/>
        </w:rPr>
      </w:pPr>
    </w:p>
    <w:p w14:paraId="425B2A94" w14:textId="77777777" w:rsidR="006063A0" w:rsidRPr="002E4211" w:rsidRDefault="006063A0" w:rsidP="006063A0">
      <w:pPr>
        <w:autoSpaceDE w:val="0"/>
        <w:autoSpaceDN w:val="0"/>
        <w:adjustRightInd w:val="0"/>
        <w:ind w:left="851"/>
        <w:rPr>
          <w:rFonts w:eastAsia="TimesNewRoman"/>
          <w:color w:val="000000"/>
          <w:szCs w:val="24"/>
          <w:u w:val="single"/>
        </w:rPr>
      </w:pPr>
      <w:r w:rsidRPr="002E4211">
        <w:rPr>
          <w:rFonts w:eastAsia="TimesNewRoman"/>
          <w:color w:val="000000"/>
          <w:szCs w:val="24"/>
          <w:u w:val="single"/>
        </w:rPr>
        <w:t>Svære kutane bivirkninger</w:t>
      </w:r>
    </w:p>
    <w:p w14:paraId="3E7D451C" w14:textId="77777777" w:rsidR="006063A0" w:rsidRPr="00E95F9F" w:rsidRDefault="006063A0" w:rsidP="006063A0">
      <w:pPr>
        <w:autoSpaceDE w:val="0"/>
        <w:autoSpaceDN w:val="0"/>
        <w:adjustRightInd w:val="0"/>
        <w:ind w:left="851"/>
        <w:rPr>
          <w:rFonts w:eastAsia="TimesNewRoman"/>
          <w:color w:val="000000"/>
          <w:szCs w:val="24"/>
        </w:rPr>
      </w:pPr>
      <w:r w:rsidRPr="00787DC6">
        <w:rPr>
          <w:rFonts w:eastAsia="TimesNewRoman"/>
          <w:color w:val="000000"/>
          <w:szCs w:val="24"/>
        </w:rPr>
        <w:t>Der er rapporteret om svære kutane bivirkninger (SCARs) med daptomycin (se pkt. 4.8) herunder</w:t>
      </w:r>
      <w:r>
        <w:rPr>
          <w:rFonts w:eastAsia="TimesNewRoman"/>
          <w:color w:val="000000"/>
          <w:szCs w:val="24"/>
        </w:rPr>
        <w:t xml:space="preserve"> </w:t>
      </w:r>
      <w:r w:rsidRPr="00787DC6">
        <w:rPr>
          <w:rFonts w:eastAsia="TimesNewRoman"/>
          <w:color w:val="000000"/>
          <w:szCs w:val="24"/>
        </w:rPr>
        <w:t>lægemiddelreaktion med eosinofili og systemiske symptomer (DRESS) og vesikulobulløst udslæt med</w:t>
      </w:r>
      <w:r>
        <w:rPr>
          <w:rFonts w:eastAsia="TimesNewRoman"/>
          <w:color w:val="000000"/>
          <w:szCs w:val="24"/>
        </w:rPr>
        <w:t xml:space="preserve"> </w:t>
      </w:r>
      <w:r w:rsidRPr="00787DC6">
        <w:rPr>
          <w:rFonts w:eastAsia="TimesNewRoman"/>
          <w:color w:val="000000"/>
          <w:szCs w:val="24"/>
        </w:rPr>
        <w:t>eller uden påvirkning af slimhinderne (Stevens-Johnsons syndrom (SJS) eller toksisk epidermal</w:t>
      </w:r>
      <w:r>
        <w:rPr>
          <w:rFonts w:eastAsia="TimesNewRoman"/>
          <w:color w:val="000000"/>
          <w:szCs w:val="24"/>
        </w:rPr>
        <w:t xml:space="preserve"> </w:t>
      </w:r>
      <w:r w:rsidRPr="00787DC6">
        <w:rPr>
          <w:rFonts w:eastAsia="TimesNewRoman"/>
          <w:color w:val="000000"/>
          <w:szCs w:val="24"/>
        </w:rPr>
        <w:t>nekrolyse (TEN)), som kan være livstruende eller dødelige. Ved ordination bør patienterne informeres</w:t>
      </w:r>
      <w:r>
        <w:rPr>
          <w:rFonts w:eastAsia="TimesNewRoman"/>
          <w:color w:val="000000"/>
          <w:szCs w:val="24"/>
        </w:rPr>
        <w:t xml:space="preserve"> </w:t>
      </w:r>
      <w:r w:rsidRPr="00787DC6">
        <w:rPr>
          <w:rFonts w:eastAsia="TimesNewRoman"/>
          <w:color w:val="000000"/>
          <w:szCs w:val="24"/>
        </w:rPr>
        <w:t>om tegn og symptomer på svære hudreaktioner og monitoreres tæt. Hvis tegn og symptomer på disse</w:t>
      </w:r>
      <w:r>
        <w:rPr>
          <w:rFonts w:eastAsia="TimesNewRoman"/>
          <w:color w:val="000000"/>
          <w:szCs w:val="24"/>
        </w:rPr>
        <w:t xml:space="preserve"> </w:t>
      </w:r>
      <w:r w:rsidRPr="00787DC6">
        <w:rPr>
          <w:rFonts w:eastAsia="TimesNewRoman"/>
          <w:color w:val="000000"/>
          <w:szCs w:val="24"/>
        </w:rPr>
        <w:t xml:space="preserve">reaktioner forekommer, skal </w:t>
      </w:r>
      <w:r w:rsidRPr="00E95F9F">
        <w:rPr>
          <w:rFonts w:eastAsia="TimesNewRoman"/>
          <w:color w:val="000000"/>
          <w:szCs w:val="24"/>
        </w:rPr>
        <w:t>Daptomycin Reddy</w:t>
      </w:r>
      <w:r w:rsidRPr="00787DC6">
        <w:rPr>
          <w:rFonts w:eastAsia="TimesNewRoman"/>
          <w:color w:val="000000"/>
          <w:szCs w:val="24"/>
        </w:rPr>
        <w:t xml:space="preserve"> straks seponeres, og en alternativ behandling skal overvejes.</w:t>
      </w:r>
      <w:r>
        <w:rPr>
          <w:rFonts w:eastAsia="TimesNewRoman"/>
          <w:color w:val="000000"/>
          <w:szCs w:val="24"/>
        </w:rPr>
        <w:t xml:space="preserve"> </w:t>
      </w:r>
      <w:r w:rsidRPr="00787DC6">
        <w:rPr>
          <w:rFonts w:eastAsia="TimesNewRoman"/>
          <w:color w:val="000000"/>
          <w:szCs w:val="24"/>
        </w:rPr>
        <w:t>Hvis patienten har fået en svær kutan bivirkning ved anvendelse af daptomycin, må behandling med</w:t>
      </w:r>
      <w:r>
        <w:rPr>
          <w:rFonts w:eastAsia="TimesNewRoman"/>
          <w:color w:val="000000"/>
          <w:szCs w:val="24"/>
        </w:rPr>
        <w:t xml:space="preserve"> </w:t>
      </w:r>
      <w:r w:rsidRPr="00787DC6">
        <w:rPr>
          <w:rFonts w:eastAsia="TimesNewRoman"/>
          <w:color w:val="000000"/>
          <w:szCs w:val="24"/>
        </w:rPr>
        <w:t>daptomycin ikke på noget tidspunkt genoptages hos denne patient.</w:t>
      </w:r>
    </w:p>
    <w:p w14:paraId="66D118BD" w14:textId="77777777" w:rsidR="006063A0" w:rsidRPr="00E95F9F" w:rsidRDefault="006063A0" w:rsidP="006063A0">
      <w:pPr>
        <w:autoSpaceDE w:val="0"/>
        <w:autoSpaceDN w:val="0"/>
        <w:adjustRightInd w:val="0"/>
        <w:ind w:left="851" w:hanging="851"/>
        <w:rPr>
          <w:rFonts w:eastAsia="TimesNewRoman"/>
          <w:color w:val="000000"/>
          <w:szCs w:val="24"/>
        </w:rPr>
      </w:pPr>
    </w:p>
    <w:p w14:paraId="7EAEF521" w14:textId="77777777" w:rsidR="006063A0" w:rsidRPr="00787DC6" w:rsidRDefault="006063A0" w:rsidP="006063A0">
      <w:pPr>
        <w:autoSpaceDE w:val="0"/>
        <w:autoSpaceDN w:val="0"/>
        <w:adjustRightInd w:val="0"/>
        <w:ind w:left="851"/>
        <w:rPr>
          <w:rFonts w:eastAsia="TimesNewRoman"/>
          <w:color w:val="000000"/>
          <w:szCs w:val="24"/>
          <w:u w:val="single"/>
        </w:rPr>
      </w:pPr>
      <w:r w:rsidRPr="00787DC6">
        <w:rPr>
          <w:rFonts w:eastAsia="TimesNewRoman"/>
          <w:color w:val="000000"/>
          <w:szCs w:val="24"/>
          <w:u w:val="single"/>
        </w:rPr>
        <w:t>Tubulointerstitiel nefritis</w:t>
      </w:r>
    </w:p>
    <w:p w14:paraId="18FEF777" w14:textId="77777777" w:rsidR="006063A0" w:rsidRDefault="006063A0" w:rsidP="006063A0">
      <w:pPr>
        <w:autoSpaceDE w:val="0"/>
        <w:autoSpaceDN w:val="0"/>
        <w:adjustRightInd w:val="0"/>
        <w:ind w:left="851"/>
        <w:rPr>
          <w:rFonts w:eastAsia="TimesNewRoman"/>
          <w:color w:val="000000"/>
          <w:szCs w:val="24"/>
        </w:rPr>
      </w:pPr>
      <w:r w:rsidRPr="002E4211">
        <w:rPr>
          <w:rFonts w:eastAsia="TimesNewRoman"/>
          <w:color w:val="000000"/>
          <w:szCs w:val="24"/>
        </w:rPr>
        <w:t>Der er efter markedsføring rapporteret om tubulointerstitiel nefritis (TIN) med daptomycin. Patienter,</w:t>
      </w:r>
      <w:r>
        <w:rPr>
          <w:rFonts w:eastAsia="TimesNewRoman"/>
          <w:color w:val="000000"/>
          <w:szCs w:val="24"/>
        </w:rPr>
        <w:t xml:space="preserve"> </w:t>
      </w:r>
      <w:r w:rsidRPr="002E4211">
        <w:rPr>
          <w:rFonts w:eastAsia="TimesNewRoman"/>
          <w:color w:val="000000"/>
          <w:szCs w:val="24"/>
        </w:rPr>
        <w:t>som får feber, udslæt, eosinofili og/eller ny eller forværret nedsat nyrefunktion, mens de er i</w:t>
      </w:r>
      <w:r>
        <w:rPr>
          <w:rFonts w:eastAsia="TimesNewRoman"/>
          <w:color w:val="000000"/>
          <w:szCs w:val="24"/>
        </w:rPr>
        <w:t xml:space="preserve"> </w:t>
      </w:r>
      <w:r w:rsidRPr="002E4211">
        <w:rPr>
          <w:rFonts w:eastAsia="TimesNewRoman"/>
          <w:color w:val="000000"/>
          <w:szCs w:val="24"/>
        </w:rPr>
        <w:t xml:space="preserve">behandling med </w:t>
      </w:r>
      <w:r w:rsidRPr="00E95F9F">
        <w:rPr>
          <w:rFonts w:eastAsia="TimesNewRoman"/>
          <w:color w:val="000000"/>
          <w:szCs w:val="24"/>
        </w:rPr>
        <w:t>Daptomycin Reddy</w:t>
      </w:r>
      <w:r w:rsidRPr="002E4211">
        <w:rPr>
          <w:rFonts w:eastAsia="TimesNewRoman"/>
          <w:color w:val="000000"/>
          <w:szCs w:val="24"/>
        </w:rPr>
        <w:t>, skal have foretaget en klinisk vurdering. Hvis der er mistanke om TIN, skal</w:t>
      </w:r>
      <w:r>
        <w:rPr>
          <w:rFonts w:eastAsia="TimesNewRoman"/>
          <w:color w:val="000000"/>
          <w:szCs w:val="24"/>
        </w:rPr>
        <w:t xml:space="preserve"> </w:t>
      </w:r>
      <w:r w:rsidRPr="00E95F9F">
        <w:rPr>
          <w:rFonts w:eastAsia="TimesNewRoman"/>
          <w:color w:val="000000"/>
          <w:szCs w:val="24"/>
        </w:rPr>
        <w:t>Daptomycin Reddy</w:t>
      </w:r>
      <w:r w:rsidRPr="002E4211">
        <w:rPr>
          <w:rFonts w:eastAsia="TimesNewRoman"/>
          <w:color w:val="000000"/>
          <w:szCs w:val="24"/>
        </w:rPr>
        <w:t xml:space="preserve"> seponeres omgående, og passende behandling initieres og/eller passende forholdsregler tages.</w:t>
      </w:r>
    </w:p>
    <w:p w14:paraId="0868491B" w14:textId="77777777" w:rsidR="006063A0" w:rsidRPr="002E4211" w:rsidRDefault="006063A0" w:rsidP="006063A0">
      <w:pPr>
        <w:autoSpaceDE w:val="0"/>
        <w:autoSpaceDN w:val="0"/>
        <w:adjustRightInd w:val="0"/>
        <w:ind w:left="851"/>
        <w:rPr>
          <w:rFonts w:eastAsia="TimesNewRoman"/>
          <w:color w:val="000000"/>
          <w:szCs w:val="24"/>
        </w:rPr>
      </w:pPr>
    </w:p>
    <w:p w14:paraId="69468D88" w14:textId="77777777" w:rsidR="007D237B" w:rsidRPr="007D237B" w:rsidRDefault="007D237B" w:rsidP="007D237B">
      <w:pPr>
        <w:autoSpaceDE w:val="0"/>
        <w:autoSpaceDN w:val="0"/>
        <w:adjustRightInd w:val="0"/>
        <w:ind w:left="851"/>
        <w:rPr>
          <w:rFonts w:eastAsia="TimesNewRoman"/>
          <w:color w:val="000000"/>
          <w:sz w:val="24"/>
          <w:szCs w:val="24"/>
          <w:u w:val="single"/>
        </w:rPr>
      </w:pPr>
      <w:r w:rsidRPr="007D237B">
        <w:rPr>
          <w:rFonts w:eastAsia="TimesNewRoman"/>
          <w:color w:val="000000"/>
          <w:sz w:val="24"/>
          <w:szCs w:val="24"/>
          <w:u w:val="single"/>
        </w:rPr>
        <w:t>Nedsat nyrefunktion</w:t>
      </w:r>
    </w:p>
    <w:p w14:paraId="52B09A15"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Der er blevet rapporteret om nedsat nyrefunktion under behandling med daptomycin. Svært nedsat nyrefunktion kan i sig selv prædisponere for øgede daptomycinniveauer, som kan øge risikoen for, at der udvikles myopati (se ovenfor).</w:t>
      </w:r>
    </w:p>
    <w:p w14:paraId="5C14053F"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071A3821"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Justering af daptomycin dosisinterval er nødvendig hos voksne patienter, hvis kreatininclearance er &lt; 30 ml/min (se pkt. 4.2 og 5.2). Sikkerhed og virkning ved justering af dosisintervallet er ikke evalueret i kontrollerede kliniske forsøg, og anbefalingen er hovedsageligt baseret på data fra farmakokinetisk modellering. Daptomycin bør kun administreres til sådanne patienter, hvis det forventes, at den kliniske fordel opvejer den potentielle risiko.</w:t>
      </w:r>
    </w:p>
    <w:p w14:paraId="13E7EF3B"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43D16879" w14:textId="23C93F1E"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Der bør udvises forsigtighed, når daptomycin administreres til patienter, som allerede har en vis grad af nedsat nyrefunktion (kreatininclearance &lt; 80 ml/min), før behandlingen med daptomycin indledes. Regelmæssig overvågning af nyrefunktionen tilrådes (se pkt. 5.2).</w:t>
      </w:r>
    </w:p>
    <w:p w14:paraId="53A1D315"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022BA067" w14:textId="7A871F1D"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Derudover tilrådes regelmæssig overvågning af nyrefunktionen ved samtidig administration af potentielt nefrotoksiske lægemidler, uanset hvordan patientens allerede eksisterende nyrefunktion er (se pkt. 4.5).</w:t>
      </w:r>
    </w:p>
    <w:p w14:paraId="5EB545BD"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6B4157F3" w14:textId="77777777" w:rsidR="007D237B" w:rsidRPr="007D237B" w:rsidRDefault="007D237B" w:rsidP="007D237B">
      <w:pPr>
        <w:ind w:left="851"/>
        <w:rPr>
          <w:sz w:val="24"/>
          <w:szCs w:val="24"/>
        </w:rPr>
      </w:pPr>
      <w:r w:rsidRPr="007D237B">
        <w:rPr>
          <w:sz w:val="24"/>
          <w:szCs w:val="24"/>
        </w:rPr>
        <w:t>Doseringsregimet for daptomycin hos pædiatriske patienter med nedsat nyrefunktion er ikke fastlagt.</w:t>
      </w:r>
    </w:p>
    <w:p w14:paraId="44D7F286" w14:textId="77777777" w:rsidR="007D237B" w:rsidRPr="007D237B" w:rsidRDefault="007D237B" w:rsidP="007D237B">
      <w:pPr>
        <w:keepNext/>
        <w:rPr>
          <w:sz w:val="24"/>
          <w:szCs w:val="24"/>
          <w:u w:color="000000"/>
        </w:rPr>
      </w:pPr>
    </w:p>
    <w:p w14:paraId="2B7FD23A" w14:textId="77777777" w:rsidR="007D237B" w:rsidRPr="007D237B" w:rsidRDefault="007D237B" w:rsidP="007D237B">
      <w:pPr>
        <w:autoSpaceDE w:val="0"/>
        <w:autoSpaceDN w:val="0"/>
        <w:adjustRightInd w:val="0"/>
        <w:ind w:left="851"/>
        <w:rPr>
          <w:rFonts w:eastAsia="TimesNewRoman"/>
          <w:color w:val="000000"/>
          <w:sz w:val="24"/>
          <w:szCs w:val="24"/>
          <w:u w:val="single"/>
        </w:rPr>
      </w:pPr>
      <w:r w:rsidRPr="007D237B">
        <w:rPr>
          <w:rFonts w:eastAsia="TimesNewRoman"/>
          <w:color w:val="000000"/>
          <w:sz w:val="24"/>
          <w:szCs w:val="24"/>
          <w:u w:val="single"/>
        </w:rPr>
        <w:t>Adipositas</w:t>
      </w:r>
    </w:p>
    <w:p w14:paraId="61B0C2DA"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Hos adipøse patienter med BMI (</w:t>
      </w:r>
      <w:r w:rsidRPr="007D237B">
        <w:rPr>
          <w:rFonts w:eastAsia="TimesNewRoman,Bold"/>
          <w:i/>
          <w:iCs/>
          <w:color w:val="000000"/>
          <w:sz w:val="24"/>
          <w:szCs w:val="24"/>
        </w:rPr>
        <w:t xml:space="preserve">Body Mass Index) </w:t>
      </w:r>
      <w:r w:rsidRPr="007D237B">
        <w:rPr>
          <w:rFonts w:eastAsia="TimesNewRoman"/>
          <w:color w:val="000000"/>
          <w:sz w:val="24"/>
          <w:szCs w:val="24"/>
        </w:rPr>
        <w:t>&gt; 40 kg/m</w:t>
      </w:r>
      <w:r w:rsidRPr="007D237B">
        <w:rPr>
          <w:rFonts w:eastAsia="TimesNewRoman"/>
          <w:color w:val="000000"/>
          <w:sz w:val="24"/>
          <w:szCs w:val="24"/>
          <w:vertAlign w:val="superscript"/>
        </w:rPr>
        <w:t>2</w:t>
      </w:r>
      <w:r w:rsidRPr="007D237B">
        <w:rPr>
          <w:rFonts w:eastAsia="TimesNewRoman"/>
          <w:color w:val="000000"/>
          <w:sz w:val="24"/>
          <w:szCs w:val="24"/>
        </w:rPr>
        <w:t xml:space="preserve"> men med kreatinin</w:t>
      </w:r>
      <w:r w:rsidRPr="007D237B">
        <w:rPr>
          <w:rFonts w:eastAsia="TimesNewRoman"/>
          <w:color w:val="000000"/>
          <w:sz w:val="24"/>
          <w:szCs w:val="24"/>
        </w:rPr>
        <w:softHyphen/>
        <w:t>clearance &gt; 70 ml/min, var daptomycins AUC0-∞ signifikant forøget (middelværdi 42 % højere) sammenlignet med ikke-adipøse matchede kontroller. Der er kun begrænsede data om sikkerhed og virkning af daptomycin hos meget adipøse patienter, og derfor tilrådes forsigtighed. Der er dog p.t. intet der tyder på, at en dosisreduktion er nødvendig (se pkt. 5.2).</w:t>
      </w:r>
    </w:p>
    <w:p w14:paraId="552FFF7C" w14:textId="77777777" w:rsidR="007D237B" w:rsidRPr="007D237B" w:rsidRDefault="007D237B" w:rsidP="007D237B">
      <w:pPr>
        <w:autoSpaceDE w:val="0"/>
        <w:autoSpaceDN w:val="0"/>
        <w:adjustRightInd w:val="0"/>
        <w:ind w:left="851"/>
        <w:rPr>
          <w:rFonts w:eastAsia="TimesNewRoman"/>
          <w:color w:val="000000"/>
          <w:sz w:val="24"/>
          <w:szCs w:val="24"/>
        </w:rPr>
      </w:pPr>
    </w:p>
    <w:p w14:paraId="54A7647F" w14:textId="77777777" w:rsidR="006063A0" w:rsidRPr="006063A0" w:rsidRDefault="006063A0" w:rsidP="006063A0">
      <w:pPr>
        <w:autoSpaceDE w:val="0"/>
        <w:autoSpaceDN w:val="0"/>
        <w:adjustRightInd w:val="0"/>
        <w:ind w:left="851"/>
        <w:rPr>
          <w:rFonts w:eastAsia="TimesNewRoman"/>
          <w:color w:val="000000"/>
          <w:sz w:val="24"/>
          <w:szCs w:val="24"/>
        </w:rPr>
      </w:pPr>
      <w:r w:rsidRPr="006063A0">
        <w:rPr>
          <w:rFonts w:eastAsia="TimesNewRoman"/>
          <w:color w:val="000000"/>
          <w:sz w:val="24"/>
          <w:szCs w:val="24"/>
          <w:u w:val="single"/>
        </w:rPr>
        <w:t>Natrium</w:t>
      </w:r>
    </w:p>
    <w:p w14:paraId="322AEB49" w14:textId="52ED30FC" w:rsidR="00E62E19" w:rsidRPr="007D237B" w:rsidRDefault="006063A0" w:rsidP="006063A0">
      <w:pPr>
        <w:autoSpaceDE w:val="0"/>
        <w:autoSpaceDN w:val="0"/>
        <w:adjustRightInd w:val="0"/>
        <w:ind w:left="851"/>
        <w:rPr>
          <w:rFonts w:eastAsia="TimesNewRoman"/>
          <w:color w:val="000000"/>
          <w:sz w:val="24"/>
          <w:szCs w:val="24"/>
        </w:rPr>
      </w:pPr>
      <w:r w:rsidRPr="006063A0">
        <w:rPr>
          <w:rFonts w:eastAsia="TimesNewRoman"/>
          <w:color w:val="000000"/>
          <w:sz w:val="24"/>
          <w:szCs w:val="24"/>
        </w:rPr>
        <w:t>Dette lægemiddel indeholder mindre end 1 mmol (23 mg) natrium pr. dosis, dvs. det er i det væsentlige natriumfrit.</w:t>
      </w:r>
    </w:p>
    <w:p w14:paraId="33911FFE" w14:textId="77777777" w:rsidR="00E62E19" w:rsidRPr="00326899" w:rsidRDefault="00E62E19" w:rsidP="00E62E19">
      <w:pPr>
        <w:ind w:left="851" w:hanging="851"/>
        <w:rPr>
          <w:sz w:val="24"/>
          <w:szCs w:val="24"/>
        </w:rPr>
      </w:pPr>
    </w:p>
    <w:p w14:paraId="61853042" w14:textId="77777777" w:rsidR="00E62E19" w:rsidRPr="00326899" w:rsidRDefault="00E62E19" w:rsidP="00E62E19">
      <w:pPr>
        <w:ind w:left="851" w:hanging="851"/>
        <w:rPr>
          <w:b/>
          <w:sz w:val="24"/>
          <w:szCs w:val="24"/>
        </w:rPr>
      </w:pPr>
      <w:r w:rsidRPr="00326899">
        <w:rPr>
          <w:b/>
          <w:sz w:val="24"/>
          <w:szCs w:val="24"/>
        </w:rPr>
        <w:t>4.5</w:t>
      </w:r>
      <w:r w:rsidRPr="00326899">
        <w:rPr>
          <w:b/>
          <w:sz w:val="24"/>
          <w:szCs w:val="24"/>
        </w:rPr>
        <w:tab/>
        <w:t>Interaktion med andre lægemidler og andre former for interaktion</w:t>
      </w:r>
    </w:p>
    <w:p w14:paraId="4D993DC6"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Daptomycin undergår ringe eller ingen cytokrom-P450 (CYP</w:t>
      </w:r>
      <w:proofErr w:type="gramStart"/>
      <w:r w:rsidRPr="007D237B">
        <w:rPr>
          <w:rFonts w:eastAsia="TimesNewRoman"/>
          <w:color w:val="000000"/>
          <w:sz w:val="24"/>
          <w:szCs w:val="24"/>
        </w:rPr>
        <w:t>450)-</w:t>
      </w:r>
      <w:proofErr w:type="gramEnd"/>
      <w:r w:rsidRPr="007D237B">
        <w:rPr>
          <w:rFonts w:eastAsia="TimesNewRoman"/>
          <w:color w:val="000000"/>
          <w:sz w:val="24"/>
          <w:szCs w:val="24"/>
        </w:rPr>
        <w:t>medieret metabolisme. Det er ikke sandsynligt, at daptomycin vil hæmme eller inducere metabolismen af lægemidler, der metaboliseres af P450-systemet.</w:t>
      </w:r>
    </w:p>
    <w:p w14:paraId="0AE3C10E"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5E71EDAE"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Der er udført interaktionsstudier med daptomycin og aztreonam, tobramycin, warfarin og probenecid. Daptomycin havde ingen effekt på farmakokinetikken af warfarin og probenecid, og disse lægemidler havde heller ingen effekt på farmakokinetikken af daptomycin. Farmakokinetikken af daptomycin blev ikke signifikant ændret af aztreonam.</w:t>
      </w:r>
    </w:p>
    <w:p w14:paraId="53B823DF"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5A44FEEC"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Selvom der blev observeret små ændringer i farmakokinetikken af daptomycin og tobramycin ved samtidig intravenøs infusion over 30 minutter (Daptomycin Reddy i en dosis på 2 mg/kg), var ændringerne ikke statistisk signifikante. Interaktionen mellem daptomycin og tobramycin med en godkendt dosis daptomycin er ukendt. Forsigtighed er påkrævet, når daptomycin administreres i kombination med tobramycin.</w:t>
      </w:r>
    </w:p>
    <w:p w14:paraId="23F48691"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76DB328D"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Erfaringerne med samtidig brug af daptomycin og warfarin er begrænsede. Studier med daptomycin og antikoagulatia udover warfarin er ikke udført. Hos patienter, der behandles med daptomycin og warfarin, bør den antikoagulerende aktivitet monitoreres i adskillige dage, efter behandling med daptomycin er initieret.</w:t>
      </w:r>
    </w:p>
    <w:p w14:paraId="522F4F2C"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7BFD1FE0" w14:textId="6F104981"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 xml:space="preserve">Der er kun begrænset erfaring med samtidig administration af daptomycin og andre lægemidler, som kan udløse myopati (f.eks. HMG-CoA-reduktasehæmmere). Der opstod dog nogle tilfælde med markante stigninger i CK-værdier og tilfælde med rabdomyolyse hos voksne patienter, som indtog et sådant lægemiddel samtidig med daptomycin. Det anbefales, at andre lægemidler, der associeres med myopati, seponeres midlertidigt under behandlingen med daptomycin, hvis det er muligt, medmindre fordelen ved samtidig administration opvejer risikoen. Hvis samtidig administration ikke kan undgås, bør CK-værdier måles regelmæssigt mere end </w:t>
      </w:r>
      <w:r w:rsidR="00104B3C">
        <w:rPr>
          <w:rFonts w:eastAsia="TimesNewRoman"/>
          <w:color w:val="000000"/>
          <w:sz w:val="24"/>
          <w:szCs w:val="24"/>
        </w:rPr>
        <w:t>en</w:t>
      </w:r>
      <w:r w:rsidRPr="007D237B">
        <w:rPr>
          <w:rFonts w:eastAsia="TimesNewRoman"/>
          <w:color w:val="000000"/>
          <w:sz w:val="24"/>
          <w:szCs w:val="24"/>
        </w:rPr>
        <w:t xml:space="preserve"> gang om ugen, og patienterne bør overvåges tæt for ethvert tegn eller symptom, som kan tyde på myopati. Se pkt. 4.4, 4.8 og 5.3.</w:t>
      </w:r>
    </w:p>
    <w:p w14:paraId="38BCCCDC"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3E0BF0C2" w14:textId="6F0343FE"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Daptomycin elimineres primært ved renal filtration, og derfor kan plasmaniveauer være forhøjede ved samtidig administration af lægemidler, som reducerer renal filtration (f.eks. NSAID'er og COX-2</w:t>
      </w:r>
      <w:r w:rsidR="00075F35">
        <w:rPr>
          <w:rFonts w:eastAsia="TimesNewRoman"/>
          <w:color w:val="000000"/>
          <w:sz w:val="24"/>
          <w:szCs w:val="24"/>
        </w:rPr>
        <w:t xml:space="preserve"> </w:t>
      </w:r>
      <w:r w:rsidRPr="007D237B">
        <w:rPr>
          <w:rFonts w:eastAsia="TimesNewRoman"/>
          <w:color w:val="000000"/>
          <w:sz w:val="24"/>
          <w:szCs w:val="24"/>
        </w:rPr>
        <w:t>hæmmere). Derudover er der en potentiel mulighed for, at der opstår en farmakodynamisk interaktion ved samtidig administration pga. additiv renal effekt. Der rådes derfor til forsigtighed, når daptomycin administreres samtidig med ethvert andet lægemiddel, som er kendt for at reducere den renale filtration.</w:t>
      </w:r>
    </w:p>
    <w:p w14:paraId="6B201E56" w14:textId="77777777" w:rsidR="007D237B" w:rsidRPr="007D237B" w:rsidRDefault="007D237B" w:rsidP="007D237B">
      <w:pPr>
        <w:autoSpaceDE w:val="0"/>
        <w:autoSpaceDN w:val="0"/>
        <w:adjustRightInd w:val="0"/>
        <w:ind w:left="851" w:hanging="851"/>
        <w:rPr>
          <w:rFonts w:eastAsia="TimesNewRoman"/>
          <w:color w:val="000000"/>
          <w:sz w:val="24"/>
          <w:szCs w:val="24"/>
        </w:rPr>
      </w:pPr>
    </w:p>
    <w:p w14:paraId="4A38BD9B" w14:textId="77777777" w:rsidR="007D237B" w:rsidRPr="007D237B" w:rsidRDefault="007D237B" w:rsidP="007D237B">
      <w:pPr>
        <w:autoSpaceDE w:val="0"/>
        <w:autoSpaceDN w:val="0"/>
        <w:adjustRightInd w:val="0"/>
        <w:ind w:left="851"/>
        <w:rPr>
          <w:rFonts w:eastAsia="TimesNewRoman"/>
          <w:color w:val="000000"/>
          <w:sz w:val="24"/>
          <w:szCs w:val="24"/>
        </w:rPr>
      </w:pPr>
      <w:r w:rsidRPr="007D237B">
        <w:rPr>
          <w:rFonts w:eastAsia="TimesNewRoman"/>
          <w:color w:val="000000"/>
          <w:sz w:val="24"/>
          <w:szCs w:val="24"/>
        </w:rPr>
        <w:t xml:space="preserve">Under overvågningen efter markedsføring er der blevet rapporteret tilfælde med interferens mellem daptomycin og særlige reagenser, som bruges i visse analyser af protombintid/international normalised ratio (PT/INR). Denne interferens førte til en falsk forlængelse af PT og øget INR. Hvis der fremkommer uforklarlige abnormaliteter af PT/INR hos patienter, der behandles med daptomycin, bør en mulig </w:t>
      </w:r>
      <w:r w:rsidRPr="007D237B">
        <w:rPr>
          <w:rFonts w:eastAsia="TimesNewRoman,Bold"/>
          <w:i/>
          <w:iCs/>
          <w:color w:val="000000"/>
          <w:sz w:val="24"/>
          <w:szCs w:val="24"/>
        </w:rPr>
        <w:t>in vitro</w:t>
      </w:r>
      <w:r w:rsidRPr="007D237B">
        <w:rPr>
          <w:rFonts w:eastAsia="TimesNewRoman"/>
          <w:color w:val="000000"/>
          <w:sz w:val="24"/>
          <w:szCs w:val="24"/>
        </w:rPr>
        <w:t>-interaktion med laboratorieundersøgelsen tages i betragtning. Muligheden for fejlagtige resultater kan minimeres ved at tage prøverne til PT- eller INR-analysen nær tidspunktet for laveste daptomycin-plasmakoncentration (se pkt. 4.4).</w:t>
      </w:r>
    </w:p>
    <w:p w14:paraId="7DCEC097" w14:textId="77777777" w:rsidR="00E62E19" w:rsidRPr="00326899" w:rsidRDefault="00E62E19" w:rsidP="007D237B">
      <w:pPr>
        <w:rPr>
          <w:sz w:val="24"/>
          <w:szCs w:val="24"/>
        </w:rPr>
      </w:pPr>
    </w:p>
    <w:p w14:paraId="7FBF6686" w14:textId="77777777" w:rsidR="00E62E19" w:rsidRPr="00554484" w:rsidRDefault="00E62E19" w:rsidP="00E62E19">
      <w:pPr>
        <w:ind w:left="851" w:hanging="851"/>
        <w:rPr>
          <w:b/>
          <w:sz w:val="24"/>
          <w:szCs w:val="24"/>
        </w:rPr>
      </w:pPr>
      <w:r w:rsidRPr="00326899">
        <w:rPr>
          <w:b/>
          <w:sz w:val="24"/>
          <w:szCs w:val="24"/>
        </w:rPr>
        <w:t>4.6</w:t>
      </w:r>
      <w:r w:rsidRPr="00326899">
        <w:rPr>
          <w:b/>
          <w:sz w:val="24"/>
          <w:szCs w:val="24"/>
        </w:rPr>
        <w:tab/>
      </w:r>
      <w:r w:rsidR="007D237B">
        <w:rPr>
          <w:b/>
          <w:sz w:val="24"/>
          <w:szCs w:val="24"/>
        </w:rPr>
        <w:t>Fertilitet, g</w:t>
      </w:r>
      <w:r w:rsidRPr="00326899">
        <w:rPr>
          <w:b/>
          <w:sz w:val="24"/>
          <w:szCs w:val="24"/>
        </w:rPr>
        <w:t>raviditet og amning</w:t>
      </w:r>
    </w:p>
    <w:p w14:paraId="6CCD24AE" w14:textId="77777777" w:rsidR="00E62E19" w:rsidRDefault="00E62E19" w:rsidP="00E62E19">
      <w:pPr>
        <w:autoSpaceDE w:val="0"/>
        <w:autoSpaceDN w:val="0"/>
        <w:adjustRightInd w:val="0"/>
        <w:ind w:left="851"/>
        <w:rPr>
          <w:rFonts w:eastAsia="TimesNewRoman"/>
          <w:color w:val="000000"/>
          <w:sz w:val="24"/>
          <w:szCs w:val="24"/>
          <w:u w:val="single"/>
        </w:rPr>
      </w:pPr>
    </w:p>
    <w:p w14:paraId="150506BF" w14:textId="77777777" w:rsidR="00E62E19" w:rsidRPr="00326899" w:rsidRDefault="00E62E19" w:rsidP="00E62E19">
      <w:pPr>
        <w:autoSpaceDE w:val="0"/>
        <w:autoSpaceDN w:val="0"/>
        <w:adjustRightInd w:val="0"/>
        <w:ind w:left="851"/>
        <w:rPr>
          <w:rFonts w:eastAsia="TimesNewRoman"/>
          <w:color w:val="000000"/>
          <w:sz w:val="24"/>
          <w:szCs w:val="24"/>
          <w:u w:val="single"/>
        </w:rPr>
      </w:pPr>
      <w:r w:rsidRPr="00326899">
        <w:rPr>
          <w:rFonts w:eastAsia="TimesNewRoman"/>
          <w:color w:val="000000"/>
          <w:sz w:val="24"/>
          <w:szCs w:val="24"/>
          <w:u w:val="single"/>
        </w:rPr>
        <w:t>Graviditet</w:t>
      </w:r>
    </w:p>
    <w:p w14:paraId="7CE097A3"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Der foreligger ikke kliniske data om daptomycin under graviditet. Dyreforsøg indikerer hverken</w:t>
      </w:r>
      <w:r>
        <w:rPr>
          <w:rFonts w:eastAsia="TimesNewRoman"/>
          <w:color w:val="000000"/>
          <w:sz w:val="24"/>
          <w:szCs w:val="24"/>
        </w:rPr>
        <w:t xml:space="preserve"> </w:t>
      </w:r>
      <w:r w:rsidRPr="00326899">
        <w:rPr>
          <w:rFonts w:eastAsia="TimesNewRoman"/>
          <w:color w:val="000000"/>
          <w:sz w:val="24"/>
          <w:szCs w:val="24"/>
        </w:rPr>
        <w:t>direkte eller indirekte skadelige virkninger for graviditet, embryoets/fostrets udvikling, fødslen eller</w:t>
      </w:r>
      <w:r>
        <w:rPr>
          <w:rFonts w:eastAsia="TimesNewRoman"/>
          <w:color w:val="000000"/>
          <w:sz w:val="24"/>
          <w:szCs w:val="24"/>
        </w:rPr>
        <w:t xml:space="preserve"> </w:t>
      </w:r>
      <w:r w:rsidRPr="00326899">
        <w:rPr>
          <w:rFonts w:eastAsia="TimesNewRoman"/>
          <w:color w:val="000000"/>
          <w:sz w:val="24"/>
          <w:szCs w:val="24"/>
        </w:rPr>
        <w:t>den postnatale udvikling (se pkt.</w:t>
      </w:r>
      <w:r w:rsidR="007D237B">
        <w:rPr>
          <w:rFonts w:eastAsia="TimesNewRoman"/>
          <w:color w:val="000000"/>
          <w:sz w:val="24"/>
          <w:szCs w:val="24"/>
        </w:rPr>
        <w:t xml:space="preserve"> </w:t>
      </w:r>
      <w:r w:rsidRPr="00326899">
        <w:rPr>
          <w:rFonts w:eastAsia="TimesNewRoman"/>
          <w:color w:val="000000"/>
          <w:sz w:val="24"/>
          <w:szCs w:val="24"/>
        </w:rPr>
        <w:t>5.3).</w:t>
      </w:r>
    </w:p>
    <w:p w14:paraId="4F2648A4" w14:textId="77777777" w:rsidR="00E62E19" w:rsidRPr="00326899" w:rsidRDefault="00E62E19" w:rsidP="00E62E19">
      <w:pPr>
        <w:autoSpaceDE w:val="0"/>
        <w:autoSpaceDN w:val="0"/>
        <w:adjustRightInd w:val="0"/>
        <w:ind w:left="851" w:hanging="851"/>
        <w:rPr>
          <w:rFonts w:eastAsia="TimesNewRoman"/>
          <w:color w:val="000000"/>
          <w:sz w:val="24"/>
          <w:szCs w:val="24"/>
        </w:rPr>
      </w:pPr>
    </w:p>
    <w:p w14:paraId="0ABDA24F"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Daptomyin bør ikke anvendes under graviditet, medmindre det er klart nødvendigt, dvs. kun hvis den forventede fordel opvejer den mulige risiko.</w:t>
      </w:r>
    </w:p>
    <w:p w14:paraId="2808654D" w14:textId="77777777" w:rsidR="00E62E19" w:rsidRPr="00326899" w:rsidRDefault="00E62E19" w:rsidP="00E62E19">
      <w:pPr>
        <w:autoSpaceDE w:val="0"/>
        <w:autoSpaceDN w:val="0"/>
        <w:adjustRightInd w:val="0"/>
        <w:ind w:left="851" w:hanging="851"/>
        <w:rPr>
          <w:rFonts w:eastAsia="TimesNewRoman,Bold"/>
          <w:color w:val="000000"/>
          <w:sz w:val="24"/>
          <w:szCs w:val="24"/>
        </w:rPr>
      </w:pPr>
    </w:p>
    <w:p w14:paraId="65230214" w14:textId="77777777" w:rsidR="00E62E19" w:rsidRPr="00326899" w:rsidRDefault="00E62E19" w:rsidP="00E62E19">
      <w:pPr>
        <w:autoSpaceDE w:val="0"/>
        <w:autoSpaceDN w:val="0"/>
        <w:adjustRightInd w:val="0"/>
        <w:ind w:left="851"/>
        <w:rPr>
          <w:rFonts w:eastAsia="TimesNewRoman"/>
          <w:color w:val="000000"/>
          <w:sz w:val="24"/>
          <w:szCs w:val="24"/>
          <w:u w:val="single"/>
        </w:rPr>
      </w:pPr>
      <w:r w:rsidRPr="00326899">
        <w:rPr>
          <w:rFonts w:eastAsia="TimesNewRoman"/>
          <w:color w:val="000000"/>
          <w:sz w:val="24"/>
          <w:szCs w:val="24"/>
          <w:u w:val="single"/>
        </w:rPr>
        <w:t>Amning</w:t>
      </w:r>
    </w:p>
    <w:p w14:paraId="0B13A192"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I et enkelt humant studie blev daptomycin administreret intravenøst dagligt i 28 dage til en ammende mor i en dosis på 500 mg/dag, og prøver af patientens mælk blev samlet over en 24-timers periode på dag 27. Den højeste målte koncentration af daptomycin i mælken var 0,045 mikrogram/ml, hvilket er en lav koncentration. Indtil yderligere erfaring er opnået, skal amning ophøre, når daptomycin administreres til ammende kvinder.</w:t>
      </w:r>
    </w:p>
    <w:p w14:paraId="0B2A0B86" w14:textId="77777777" w:rsidR="00E62E19" w:rsidRPr="00326899" w:rsidRDefault="00E62E19" w:rsidP="00E62E19">
      <w:pPr>
        <w:autoSpaceDE w:val="0"/>
        <w:autoSpaceDN w:val="0"/>
        <w:adjustRightInd w:val="0"/>
        <w:ind w:left="851" w:hanging="851"/>
        <w:rPr>
          <w:rFonts w:eastAsia="TimesNewRoman"/>
          <w:color w:val="000000"/>
          <w:sz w:val="24"/>
          <w:szCs w:val="24"/>
        </w:rPr>
      </w:pPr>
    </w:p>
    <w:p w14:paraId="6708D0F8" w14:textId="77777777" w:rsidR="00E62E19" w:rsidRPr="00326899" w:rsidRDefault="00E62E19" w:rsidP="00E62E19">
      <w:pPr>
        <w:autoSpaceDE w:val="0"/>
        <w:autoSpaceDN w:val="0"/>
        <w:adjustRightInd w:val="0"/>
        <w:ind w:left="851"/>
        <w:rPr>
          <w:rFonts w:eastAsia="TimesNewRoman"/>
          <w:color w:val="000000"/>
          <w:sz w:val="24"/>
          <w:szCs w:val="24"/>
          <w:u w:val="single"/>
        </w:rPr>
      </w:pPr>
      <w:r w:rsidRPr="00326899">
        <w:rPr>
          <w:rFonts w:eastAsia="TimesNewRoman"/>
          <w:color w:val="000000"/>
          <w:sz w:val="24"/>
          <w:szCs w:val="24"/>
          <w:u w:val="single"/>
        </w:rPr>
        <w:t>Fertilitet</w:t>
      </w:r>
    </w:p>
    <w:p w14:paraId="5845AA43"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Der foreligger ingen kliniske data på fertilitet for daptomycin. Dyreforsøg indikerer hverken direkte</w:t>
      </w:r>
      <w:r>
        <w:rPr>
          <w:rFonts w:eastAsia="TimesNewRoman"/>
          <w:color w:val="000000"/>
          <w:sz w:val="24"/>
          <w:szCs w:val="24"/>
        </w:rPr>
        <w:t xml:space="preserve"> </w:t>
      </w:r>
      <w:r w:rsidRPr="00326899">
        <w:rPr>
          <w:rFonts w:eastAsia="TimesNewRoman"/>
          <w:color w:val="000000"/>
          <w:sz w:val="24"/>
          <w:szCs w:val="24"/>
        </w:rPr>
        <w:t>eller indirekte skadelige virkninger hvad angår fertilitet (se pkt. 5.3).</w:t>
      </w:r>
    </w:p>
    <w:p w14:paraId="03A1A2F6" w14:textId="77777777" w:rsidR="00E62E19" w:rsidRPr="00326899" w:rsidRDefault="00E62E19" w:rsidP="00E62E19">
      <w:pPr>
        <w:ind w:left="851" w:hanging="851"/>
        <w:rPr>
          <w:sz w:val="24"/>
          <w:szCs w:val="24"/>
        </w:rPr>
      </w:pPr>
    </w:p>
    <w:p w14:paraId="6AF569F1" w14:textId="77777777" w:rsidR="00E62E19" w:rsidRPr="0097462C" w:rsidRDefault="00E62E19" w:rsidP="0097462C">
      <w:pPr>
        <w:ind w:left="851" w:hanging="851"/>
        <w:rPr>
          <w:b/>
          <w:sz w:val="24"/>
          <w:szCs w:val="24"/>
        </w:rPr>
      </w:pPr>
      <w:r w:rsidRPr="00326899">
        <w:rPr>
          <w:b/>
          <w:sz w:val="24"/>
          <w:szCs w:val="24"/>
        </w:rPr>
        <w:t>4.7</w:t>
      </w:r>
      <w:r w:rsidRPr="00326899">
        <w:rPr>
          <w:b/>
          <w:sz w:val="24"/>
          <w:szCs w:val="24"/>
        </w:rPr>
        <w:tab/>
        <w:t xml:space="preserve">Virkning på evnen til at føre motorkøretøj </w:t>
      </w:r>
      <w:r w:rsidR="007D237B">
        <w:rPr>
          <w:b/>
          <w:sz w:val="24"/>
          <w:szCs w:val="24"/>
        </w:rPr>
        <w:t>og</w:t>
      </w:r>
      <w:r w:rsidRPr="00326899">
        <w:rPr>
          <w:b/>
          <w:sz w:val="24"/>
          <w:szCs w:val="24"/>
        </w:rPr>
        <w:t xml:space="preserve"> betjene maskiner</w:t>
      </w:r>
    </w:p>
    <w:p w14:paraId="63EE33B1"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Der er ikke foretaget studier af virkningen på evnen til at føre motorkøretøj og betjene maskiner.</w:t>
      </w:r>
    </w:p>
    <w:p w14:paraId="4441F1EE"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30EB0F21"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På basis af rapporterede bivirkninger, kan det antages at daptomycin ikke har indflydelse på evnen til at føre bil og betjene maskiner.</w:t>
      </w:r>
    </w:p>
    <w:p w14:paraId="44B02C65" w14:textId="77777777" w:rsidR="00E62E19" w:rsidRPr="00326899" w:rsidRDefault="00E62E19" w:rsidP="00E62E19">
      <w:pPr>
        <w:ind w:left="851" w:hanging="851"/>
        <w:rPr>
          <w:sz w:val="24"/>
          <w:szCs w:val="24"/>
        </w:rPr>
      </w:pPr>
    </w:p>
    <w:p w14:paraId="35A3FC81" w14:textId="77777777" w:rsidR="00E62E19" w:rsidRPr="00554484" w:rsidRDefault="00E62E19" w:rsidP="00E62E19">
      <w:pPr>
        <w:ind w:left="851" w:hanging="851"/>
        <w:rPr>
          <w:b/>
          <w:sz w:val="24"/>
          <w:szCs w:val="24"/>
        </w:rPr>
      </w:pPr>
      <w:r w:rsidRPr="00326899">
        <w:rPr>
          <w:b/>
          <w:sz w:val="24"/>
          <w:szCs w:val="24"/>
        </w:rPr>
        <w:t>4.8</w:t>
      </w:r>
      <w:r w:rsidRPr="00326899">
        <w:rPr>
          <w:b/>
          <w:sz w:val="24"/>
          <w:szCs w:val="24"/>
        </w:rPr>
        <w:tab/>
        <w:t>Bivirkninger</w:t>
      </w:r>
    </w:p>
    <w:p w14:paraId="6F1AA439" w14:textId="77777777" w:rsidR="00E62E19" w:rsidRDefault="00E62E19" w:rsidP="00E62E19">
      <w:pPr>
        <w:autoSpaceDE w:val="0"/>
        <w:autoSpaceDN w:val="0"/>
        <w:adjustRightInd w:val="0"/>
        <w:ind w:left="851"/>
        <w:rPr>
          <w:rFonts w:eastAsia="TimesNewRoman"/>
          <w:color w:val="000000"/>
          <w:sz w:val="24"/>
          <w:szCs w:val="24"/>
          <w:u w:val="single"/>
        </w:rPr>
      </w:pPr>
    </w:p>
    <w:p w14:paraId="6C1B03DC" w14:textId="77777777" w:rsidR="0097462C" w:rsidRPr="0097462C" w:rsidRDefault="0097462C" w:rsidP="0097462C">
      <w:pPr>
        <w:autoSpaceDE w:val="0"/>
        <w:autoSpaceDN w:val="0"/>
        <w:adjustRightInd w:val="0"/>
        <w:ind w:left="851"/>
        <w:rPr>
          <w:rFonts w:eastAsia="TimesNewRoman"/>
          <w:color w:val="000000"/>
          <w:sz w:val="24"/>
          <w:szCs w:val="24"/>
          <w:u w:val="single"/>
        </w:rPr>
      </w:pPr>
      <w:r w:rsidRPr="0097462C">
        <w:rPr>
          <w:rFonts w:eastAsia="TimesNewRoman"/>
          <w:color w:val="000000"/>
          <w:sz w:val="24"/>
          <w:szCs w:val="24"/>
          <w:u w:val="single"/>
        </w:rPr>
        <w:t>Sammendrag af sikkerhedsprofilen</w:t>
      </w:r>
    </w:p>
    <w:p w14:paraId="636FF127" w14:textId="6B544BE6"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 xml:space="preserve">I kliniske studier er 2.011 voksne forsøgspersoner blevet behandlet med daptomycin. I disse studier fik 1.221 forsøgspersoner en daglig dosis på 4 mg/kg, heraf var 1.108 patienter og 113 var raske frivillige. 460 forsøgspersoner fik en daglig dosis på 6 mg/kg, heraf var 304 patienter og 156 raske frivillige. </w:t>
      </w:r>
      <w:r w:rsidRPr="0097462C">
        <w:rPr>
          <w:sz w:val="24"/>
          <w:szCs w:val="24"/>
        </w:rPr>
        <w:t xml:space="preserve">I pædiatriske studier fik 372 patienter daptomycin, heraf fik 61 en enkeltdosis og 311 fik et terapeutisk regime for cSSTI eller SAB (daglige doser lå i intervallet 4 mg/kg til 12 mg/kg). </w:t>
      </w:r>
      <w:r w:rsidRPr="0097462C">
        <w:rPr>
          <w:rFonts w:eastAsia="TimesNewRoman"/>
          <w:color w:val="000000"/>
          <w:sz w:val="24"/>
          <w:szCs w:val="24"/>
        </w:rPr>
        <w:t>Bivirkninger (dvs. af investigator antaget at være muligvis, sandsynligvis eller definitivt relateret til lægemidlet) blev rapporteret med sammenlignelige frekvenser for daptomycin og komparative regimer.</w:t>
      </w:r>
    </w:p>
    <w:p w14:paraId="5883441A"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3ED8789B" w14:textId="1BF0B4A9"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De hyppigst rapporterede bivirkninger (almindelig hyppighed (≥ 1/100 til &lt; 1/10)) er: Svampeinfektioner, urinvejsinfektion, candida-infektion, anæmi, angst, insomni, svimmelhed, hovedpine, hypertension, hypotension, gastrointestinale og abdominale smerter, kvalme, opkastning, obstipation, diarré, flatulens, oppustethed og distension, unormale leverfunktionstest (øget alanin</w:t>
      </w:r>
      <w:r w:rsidR="00075F35">
        <w:rPr>
          <w:rFonts w:eastAsia="TimesNewRoman"/>
          <w:color w:val="000000"/>
          <w:sz w:val="24"/>
          <w:szCs w:val="24"/>
        </w:rPr>
        <w:t>-</w:t>
      </w:r>
      <w:r w:rsidRPr="0097462C">
        <w:rPr>
          <w:rFonts w:eastAsia="TimesNewRoman"/>
          <w:color w:val="000000"/>
          <w:sz w:val="24"/>
          <w:szCs w:val="24"/>
        </w:rPr>
        <w:t>aminotransferase (ALAT), aspartat-aminotransferase (ASAT) og basisk fosfatase (ALP)), udslæt, pruritus, ekstremitetssmerter, forhøjet serumkreatinkinase (CK), reaktioner ved infusionsstedet, pyreksi, asteni.</w:t>
      </w:r>
    </w:p>
    <w:p w14:paraId="1197A003"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00E2546E" w14:textId="3905DD89"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 xml:space="preserve">Mindre hyppigt rapporterede, men alvorligere bivirkninger omfatter overfølsomhedsreaktioner, eosinofil pneumoni </w:t>
      </w:r>
      <w:r w:rsidRPr="0097462C">
        <w:rPr>
          <w:sz w:val="24"/>
          <w:szCs w:val="24"/>
        </w:rPr>
        <w:t xml:space="preserve">(lejlighedsvis i form af organiserende </w:t>
      </w:r>
      <w:r w:rsidRPr="0097462C">
        <w:rPr>
          <w:sz w:val="24"/>
          <w:szCs w:val="24"/>
        </w:rPr>
        <w:lastRenderedPageBreak/>
        <w:t>pneumoni)</w:t>
      </w:r>
      <w:r w:rsidRPr="0097462C">
        <w:rPr>
          <w:rFonts w:eastAsia="TimesNewRoman"/>
          <w:color w:val="000000"/>
          <w:sz w:val="24"/>
          <w:szCs w:val="24"/>
        </w:rPr>
        <w:t>, lægemiddel</w:t>
      </w:r>
      <w:r w:rsidR="00075F35">
        <w:rPr>
          <w:rFonts w:eastAsia="TimesNewRoman"/>
          <w:color w:val="000000"/>
          <w:sz w:val="24"/>
          <w:szCs w:val="24"/>
        </w:rPr>
        <w:t xml:space="preserve">reaktion </w:t>
      </w:r>
      <w:r w:rsidRPr="0097462C">
        <w:rPr>
          <w:rFonts w:eastAsia="TimesNewRoman"/>
          <w:color w:val="000000"/>
          <w:sz w:val="24"/>
          <w:szCs w:val="24"/>
        </w:rPr>
        <w:t>med eosinofili og systemiske symptomer (DRESS), angioødem og rabdomyolyse.</w:t>
      </w:r>
    </w:p>
    <w:p w14:paraId="05CDC26D"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41A8877F" w14:textId="77777777" w:rsidR="0097462C" w:rsidRPr="0097462C" w:rsidRDefault="0097462C" w:rsidP="0097462C">
      <w:pPr>
        <w:autoSpaceDE w:val="0"/>
        <w:autoSpaceDN w:val="0"/>
        <w:adjustRightInd w:val="0"/>
        <w:ind w:left="851"/>
        <w:rPr>
          <w:rFonts w:eastAsia="TimesNewRoman"/>
          <w:color w:val="000000"/>
          <w:sz w:val="24"/>
          <w:szCs w:val="24"/>
          <w:u w:val="single"/>
        </w:rPr>
      </w:pPr>
      <w:r w:rsidRPr="0097462C">
        <w:rPr>
          <w:rFonts w:eastAsia="TimesNewRoman"/>
          <w:color w:val="000000"/>
          <w:sz w:val="24"/>
          <w:szCs w:val="24"/>
          <w:u w:val="single"/>
        </w:rPr>
        <w:t>Bivirkningstabel</w:t>
      </w:r>
    </w:p>
    <w:p w14:paraId="7962E570"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Følgende bivirkninger blev rapporteret under behandlingen og under follow-up. Hyppigheden svarer til meget almindelig (</w:t>
      </w:r>
      <w:r w:rsidRPr="0097462C">
        <w:rPr>
          <w:rFonts w:eastAsia="TimesNewRoman,Bold"/>
          <w:color w:val="000000"/>
          <w:sz w:val="24"/>
          <w:szCs w:val="24"/>
        </w:rPr>
        <w:t>≥ </w:t>
      </w:r>
      <w:r w:rsidRPr="0097462C">
        <w:rPr>
          <w:rFonts w:eastAsia="TimesNewRoman"/>
          <w:color w:val="000000"/>
          <w:sz w:val="24"/>
          <w:szCs w:val="24"/>
        </w:rPr>
        <w:t>1/10); almindelig (≥ 1/100 til &lt; 1/10); ikke almindelig (≥ 1/1.000 til &lt; 1/100); sjælden (≥ 1/10.000 til &lt; 1/1.000); meget sjælden (&lt; 1/10.000); ikke kendt (kan ikke estimeres ud fra forhåndenværende data).</w:t>
      </w:r>
    </w:p>
    <w:p w14:paraId="6208F385"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0C731CA5" w14:textId="6E4A737F"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 xml:space="preserve">Inden for hver enkelt frekvensgruppe er bivirkningerne opstillet efter, hvor alvorlige de er. De </w:t>
      </w:r>
      <w:r w:rsidR="00075F35" w:rsidRPr="0097462C">
        <w:rPr>
          <w:rFonts w:eastAsia="TimesNewRoman"/>
          <w:color w:val="000000"/>
          <w:sz w:val="24"/>
          <w:szCs w:val="24"/>
        </w:rPr>
        <w:t>alvorlig</w:t>
      </w:r>
      <w:r w:rsidR="00075F35">
        <w:rPr>
          <w:rFonts w:eastAsia="TimesNewRoman"/>
          <w:color w:val="000000"/>
          <w:sz w:val="24"/>
          <w:szCs w:val="24"/>
        </w:rPr>
        <w:t>s</w:t>
      </w:r>
      <w:r w:rsidR="00075F35" w:rsidRPr="0097462C">
        <w:rPr>
          <w:rFonts w:eastAsia="TimesNewRoman"/>
          <w:color w:val="000000"/>
          <w:sz w:val="24"/>
          <w:szCs w:val="24"/>
        </w:rPr>
        <w:t>te</w:t>
      </w:r>
      <w:r w:rsidRPr="0097462C">
        <w:rPr>
          <w:rFonts w:eastAsia="TimesNewRoman"/>
          <w:color w:val="000000"/>
          <w:sz w:val="24"/>
          <w:szCs w:val="24"/>
        </w:rPr>
        <w:t xml:space="preserve"> bivirkninger er anført først.</w:t>
      </w:r>
    </w:p>
    <w:p w14:paraId="371EABED" w14:textId="77777777" w:rsidR="0097462C" w:rsidRPr="0097462C" w:rsidRDefault="0097462C" w:rsidP="0097462C">
      <w:pPr>
        <w:autoSpaceDE w:val="0"/>
        <w:autoSpaceDN w:val="0"/>
        <w:adjustRightInd w:val="0"/>
        <w:ind w:left="851" w:hanging="851"/>
        <w:rPr>
          <w:rFonts w:eastAsia="TimesNewRoman,Bold"/>
          <w:color w:val="000000"/>
          <w:sz w:val="24"/>
          <w:szCs w:val="24"/>
        </w:rPr>
      </w:pPr>
    </w:p>
    <w:p w14:paraId="2EB66F9A" w14:textId="77777777" w:rsidR="0097462C" w:rsidRPr="0097462C" w:rsidRDefault="0097462C" w:rsidP="0097462C">
      <w:pPr>
        <w:autoSpaceDE w:val="0"/>
        <w:autoSpaceDN w:val="0"/>
        <w:adjustRightInd w:val="0"/>
        <w:ind w:left="851" w:hanging="851"/>
        <w:rPr>
          <w:rFonts w:eastAsia="TimesNewRoman,Bold"/>
          <w:b/>
          <w:bCs/>
          <w:color w:val="000000"/>
          <w:sz w:val="24"/>
          <w:szCs w:val="24"/>
        </w:rPr>
      </w:pPr>
      <w:r w:rsidRPr="0097462C">
        <w:rPr>
          <w:rFonts w:eastAsia="TimesNewRoman,Bold"/>
          <w:b/>
          <w:bCs/>
          <w:color w:val="000000"/>
          <w:sz w:val="24"/>
          <w:szCs w:val="24"/>
        </w:rPr>
        <w:t>Tabel 1</w:t>
      </w:r>
      <w:r w:rsidRPr="0097462C">
        <w:rPr>
          <w:rFonts w:eastAsia="TimesNewRoman,Bold"/>
          <w:b/>
          <w:bCs/>
          <w:color w:val="000000"/>
          <w:sz w:val="24"/>
          <w:szCs w:val="24"/>
        </w:rPr>
        <w:tab/>
        <w:t>Bivirkninger rapporteret fra kliniske studier og post-marketing rapporter</w:t>
      </w:r>
    </w:p>
    <w:p w14:paraId="27E42BE2" w14:textId="77777777" w:rsidR="0097462C" w:rsidRPr="0097462C" w:rsidRDefault="0097462C" w:rsidP="0097462C">
      <w:pPr>
        <w:autoSpaceDE w:val="0"/>
        <w:autoSpaceDN w:val="0"/>
        <w:adjustRightInd w:val="0"/>
        <w:ind w:left="851" w:hanging="851"/>
        <w:rPr>
          <w:rFonts w:eastAsia="TimesNewRoman,Bold"/>
          <w:b/>
          <w:bCs/>
          <w:color w:val="000000"/>
          <w:sz w:val="24"/>
          <w:szCs w:val="24"/>
        </w:rPr>
      </w:pPr>
    </w:p>
    <w:tbl>
      <w:tblPr>
        <w:tblStyle w:val="Tabel-Gitter"/>
        <w:tblW w:w="5000" w:type="pct"/>
        <w:tblInd w:w="-3" w:type="dxa"/>
        <w:tblLayout w:type="fixed"/>
        <w:tblLook w:val="04A0" w:firstRow="1" w:lastRow="0" w:firstColumn="1" w:lastColumn="0" w:noHBand="0" w:noVBand="1"/>
      </w:tblPr>
      <w:tblGrid>
        <w:gridCol w:w="3206"/>
        <w:gridCol w:w="3127"/>
        <w:gridCol w:w="85"/>
        <w:gridCol w:w="3210"/>
      </w:tblGrid>
      <w:tr w:rsidR="0097462C" w:rsidRPr="0097462C" w14:paraId="24191997" w14:textId="77777777" w:rsidTr="0097462C">
        <w:trPr>
          <w:cantSplit/>
          <w:trHeight w:val="20"/>
        </w:trPr>
        <w:tc>
          <w:tcPr>
            <w:tcW w:w="1665" w:type="pct"/>
            <w:tcBorders>
              <w:top w:val="single" w:sz="4" w:space="0" w:color="auto"/>
              <w:left w:val="single" w:sz="4" w:space="0" w:color="auto"/>
              <w:bottom w:val="single" w:sz="4" w:space="0" w:color="auto"/>
              <w:right w:val="single" w:sz="4" w:space="0" w:color="auto"/>
            </w:tcBorders>
            <w:hideMark/>
          </w:tcPr>
          <w:p w14:paraId="777434C5" w14:textId="77777777" w:rsidR="0097462C" w:rsidRPr="0097462C" w:rsidRDefault="0097462C" w:rsidP="0097462C">
            <w:pPr>
              <w:rPr>
                <w:rFonts w:ascii="Times New Roman" w:hAnsi="Times New Roman" w:cs="Times New Roman"/>
                <w:b/>
                <w:sz w:val="24"/>
                <w:szCs w:val="24"/>
              </w:rPr>
            </w:pPr>
            <w:r w:rsidRPr="0097462C">
              <w:rPr>
                <w:rFonts w:ascii="Times New Roman" w:hAnsi="Times New Roman" w:cs="Times New Roman"/>
                <w:b/>
                <w:sz w:val="24"/>
                <w:szCs w:val="24"/>
              </w:rPr>
              <w:t>Systemorganklasse</w:t>
            </w:r>
          </w:p>
        </w:tc>
        <w:tc>
          <w:tcPr>
            <w:tcW w:w="1624" w:type="pct"/>
            <w:tcBorders>
              <w:top w:val="single" w:sz="4" w:space="0" w:color="auto"/>
              <w:left w:val="single" w:sz="4" w:space="0" w:color="auto"/>
              <w:bottom w:val="single" w:sz="4" w:space="0" w:color="auto"/>
              <w:right w:val="single" w:sz="4" w:space="0" w:color="auto"/>
            </w:tcBorders>
            <w:hideMark/>
          </w:tcPr>
          <w:p w14:paraId="40196832" w14:textId="77777777" w:rsidR="0097462C" w:rsidRPr="0097462C" w:rsidRDefault="0097462C" w:rsidP="0097462C">
            <w:pPr>
              <w:rPr>
                <w:rFonts w:ascii="Times New Roman" w:hAnsi="Times New Roman" w:cs="Times New Roman"/>
                <w:b/>
                <w:sz w:val="24"/>
                <w:szCs w:val="24"/>
              </w:rPr>
            </w:pPr>
            <w:r w:rsidRPr="0097462C">
              <w:rPr>
                <w:rFonts w:ascii="Times New Roman" w:hAnsi="Times New Roman" w:cs="Times New Roman"/>
                <w:b/>
                <w:sz w:val="24"/>
                <w:szCs w:val="24"/>
              </w:rPr>
              <w:t>Hyppighed</w:t>
            </w:r>
          </w:p>
        </w:tc>
        <w:tc>
          <w:tcPr>
            <w:tcW w:w="1711" w:type="pct"/>
            <w:gridSpan w:val="2"/>
            <w:tcBorders>
              <w:top w:val="single" w:sz="4" w:space="0" w:color="auto"/>
              <w:left w:val="single" w:sz="4" w:space="0" w:color="auto"/>
              <w:bottom w:val="single" w:sz="4" w:space="0" w:color="auto"/>
              <w:right w:val="single" w:sz="4" w:space="0" w:color="auto"/>
            </w:tcBorders>
            <w:hideMark/>
          </w:tcPr>
          <w:p w14:paraId="29BF1F1B" w14:textId="77777777" w:rsidR="0097462C" w:rsidRPr="0097462C" w:rsidRDefault="0097462C" w:rsidP="0097462C">
            <w:pPr>
              <w:rPr>
                <w:rFonts w:ascii="Times New Roman" w:hAnsi="Times New Roman" w:cs="Times New Roman"/>
                <w:b/>
                <w:sz w:val="24"/>
                <w:szCs w:val="24"/>
              </w:rPr>
            </w:pPr>
            <w:r w:rsidRPr="0097462C">
              <w:rPr>
                <w:rFonts w:ascii="Times New Roman" w:hAnsi="Times New Roman" w:cs="Times New Roman"/>
                <w:b/>
                <w:sz w:val="24"/>
                <w:szCs w:val="24"/>
              </w:rPr>
              <w:t>Bivirkninger</w:t>
            </w:r>
          </w:p>
        </w:tc>
      </w:tr>
      <w:tr w:rsidR="0097462C" w:rsidRPr="0097462C" w14:paraId="7BB02F0D" w14:textId="77777777" w:rsidTr="0097462C">
        <w:trPr>
          <w:cantSplit/>
          <w:trHeight w:val="20"/>
        </w:trPr>
        <w:tc>
          <w:tcPr>
            <w:tcW w:w="1665" w:type="pct"/>
            <w:vMerge w:val="restart"/>
            <w:tcBorders>
              <w:top w:val="single" w:sz="4" w:space="0" w:color="auto"/>
              <w:left w:val="single" w:sz="4" w:space="0" w:color="auto"/>
              <w:bottom w:val="single" w:sz="4" w:space="0" w:color="auto"/>
              <w:right w:val="single" w:sz="4" w:space="0" w:color="auto"/>
            </w:tcBorders>
          </w:tcPr>
          <w:p w14:paraId="71F773F8" w14:textId="77777777" w:rsidR="0097462C" w:rsidRPr="0097462C" w:rsidRDefault="0097462C" w:rsidP="0097462C">
            <w:pPr>
              <w:rPr>
                <w:rFonts w:ascii="Times New Roman" w:hAnsi="Times New Roman" w:cs="Times New Roman"/>
                <w:sz w:val="24"/>
                <w:szCs w:val="24"/>
              </w:rPr>
            </w:pPr>
            <w:r w:rsidRPr="0097462C">
              <w:rPr>
                <w:rFonts w:ascii="Times New Roman" w:eastAsia="TimesNewRoman" w:hAnsi="Times New Roman" w:cs="Times New Roman"/>
                <w:sz w:val="24"/>
                <w:szCs w:val="24"/>
              </w:rPr>
              <w:t>Infektioner og parasitære sygdomme</w:t>
            </w:r>
          </w:p>
        </w:tc>
        <w:tc>
          <w:tcPr>
            <w:tcW w:w="1624" w:type="pct"/>
            <w:tcBorders>
              <w:top w:val="single" w:sz="4" w:space="0" w:color="auto"/>
              <w:left w:val="single" w:sz="4" w:space="0" w:color="auto"/>
              <w:bottom w:val="single" w:sz="4" w:space="0" w:color="auto"/>
              <w:right w:val="single" w:sz="4" w:space="0" w:color="auto"/>
            </w:tcBorders>
            <w:hideMark/>
          </w:tcPr>
          <w:p w14:paraId="3D28E130" w14:textId="77777777" w:rsidR="0097462C" w:rsidRPr="0097462C" w:rsidRDefault="0097462C" w:rsidP="0097462C">
            <w:pPr>
              <w:rPr>
                <w:rFonts w:ascii="Times New Roman" w:hAnsi="Times New Roman" w:cs="Times New Roman"/>
                <w:i/>
                <w:sz w:val="24"/>
                <w:szCs w:val="24"/>
              </w:rPr>
            </w:pPr>
            <w:r w:rsidRPr="0097462C">
              <w:rPr>
                <w:rFonts w:ascii="Times New Roman" w:hAnsi="Times New Roman" w:cs="Times New Roman"/>
                <w:i/>
                <w:sz w:val="24"/>
                <w:szCs w:val="24"/>
              </w:rPr>
              <w:t>Almindelig</w:t>
            </w:r>
          </w:p>
        </w:tc>
        <w:tc>
          <w:tcPr>
            <w:tcW w:w="1711" w:type="pct"/>
            <w:gridSpan w:val="2"/>
            <w:tcBorders>
              <w:top w:val="single" w:sz="4" w:space="0" w:color="auto"/>
              <w:left w:val="single" w:sz="4" w:space="0" w:color="auto"/>
              <w:bottom w:val="single" w:sz="4" w:space="0" w:color="auto"/>
              <w:right w:val="single" w:sz="4" w:space="0" w:color="auto"/>
            </w:tcBorders>
            <w:hideMark/>
          </w:tcPr>
          <w:p w14:paraId="6453BE16"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sz w:val="24"/>
                <w:szCs w:val="24"/>
              </w:rPr>
              <w:t>Svampeinfektioner, urinvejsinfektion, candidainfektion</w:t>
            </w:r>
          </w:p>
        </w:tc>
      </w:tr>
      <w:tr w:rsidR="0097462C" w:rsidRPr="0097462C" w14:paraId="65356159" w14:textId="77777777" w:rsidTr="0097462C">
        <w:trPr>
          <w:cantSplit/>
          <w:trHeight w:val="20"/>
        </w:trPr>
        <w:tc>
          <w:tcPr>
            <w:tcW w:w="1665" w:type="pct"/>
            <w:vMerge/>
            <w:tcBorders>
              <w:top w:val="single" w:sz="4" w:space="0" w:color="auto"/>
              <w:left w:val="single" w:sz="4" w:space="0" w:color="auto"/>
              <w:bottom w:val="single" w:sz="4" w:space="0" w:color="auto"/>
              <w:right w:val="single" w:sz="4" w:space="0" w:color="auto"/>
            </w:tcBorders>
            <w:vAlign w:val="center"/>
            <w:hideMark/>
          </w:tcPr>
          <w:p w14:paraId="3109F67E" w14:textId="77777777" w:rsidR="0097462C" w:rsidRPr="0097462C" w:rsidRDefault="0097462C" w:rsidP="0097462C">
            <w:pPr>
              <w:rPr>
                <w:rFonts w:ascii="Times New 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hideMark/>
          </w:tcPr>
          <w:p w14:paraId="6642017C" w14:textId="77777777" w:rsidR="0097462C" w:rsidRPr="0097462C" w:rsidRDefault="0097462C" w:rsidP="0097462C">
            <w:pPr>
              <w:rPr>
                <w:rFonts w:ascii="Times New Roman" w:hAnsi="Times New Roman" w:cs="Times New Roman"/>
                <w:i/>
                <w:sz w:val="24"/>
                <w:szCs w:val="24"/>
              </w:rPr>
            </w:pPr>
            <w:r w:rsidRPr="0097462C">
              <w:rPr>
                <w:rFonts w:ascii="Times New Roman" w:hAnsi="Times New Roman" w:cs="Times New Roman"/>
                <w:i/>
                <w:sz w:val="24"/>
                <w:szCs w:val="24"/>
              </w:rPr>
              <w:t>Ikke almindelig</w:t>
            </w:r>
          </w:p>
        </w:tc>
        <w:tc>
          <w:tcPr>
            <w:tcW w:w="1711" w:type="pct"/>
            <w:gridSpan w:val="2"/>
            <w:tcBorders>
              <w:top w:val="single" w:sz="4" w:space="0" w:color="auto"/>
              <w:left w:val="single" w:sz="4" w:space="0" w:color="auto"/>
              <w:bottom w:val="single" w:sz="4" w:space="0" w:color="auto"/>
              <w:right w:val="single" w:sz="4" w:space="0" w:color="auto"/>
            </w:tcBorders>
            <w:hideMark/>
          </w:tcPr>
          <w:p w14:paraId="0D3FD75A"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sz w:val="24"/>
                <w:szCs w:val="24"/>
              </w:rPr>
              <w:t>Fungæmi</w:t>
            </w:r>
          </w:p>
        </w:tc>
      </w:tr>
      <w:tr w:rsidR="0097462C" w:rsidRPr="0097462C" w14:paraId="778E66D7" w14:textId="77777777" w:rsidTr="0097462C">
        <w:trPr>
          <w:cantSplit/>
          <w:trHeight w:val="20"/>
        </w:trPr>
        <w:tc>
          <w:tcPr>
            <w:tcW w:w="1665" w:type="pct"/>
            <w:vMerge/>
            <w:tcBorders>
              <w:top w:val="single" w:sz="4" w:space="0" w:color="auto"/>
              <w:left w:val="single" w:sz="4" w:space="0" w:color="auto"/>
              <w:bottom w:val="single" w:sz="4" w:space="0" w:color="auto"/>
              <w:right w:val="single" w:sz="4" w:space="0" w:color="auto"/>
            </w:tcBorders>
            <w:vAlign w:val="center"/>
            <w:hideMark/>
          </w:tcPr>
          <w:p w14:paraId="4BE48260" w14:textId="77777777" w:rsidR="0097462C" w:rsidRPr="0097462C" w:rsidRDefault="0097462C" w:rsidP="0097462C">
            <w:pPr>
              <w:rPr>
                <w:rFonts w:ascii="Times New 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hideMark/>
          </w:tcPr>
          <w:p w14:paraId="186A7E0F" w14:textId="77777777" w:rsidR="0097462C" w:rsidRPr="0097462C" w:rsidRDefault="0097462C" w:rsidP="0097462C">
            <w:pPr>
              <w:rPr>
                <w:rFonts w:ascii="Times New Roman" w:hAnsi="Times New Roman" w:cs="Times New Roman"/>
                <w:i/>
                <w:sz w:val="24"/>
                <w:szCs w:val="24"/>
              </w:rPr>
            </w:pPr>
            <w:r w:rsidRPr="0097462C">
              <w:rPr>
                <w:rFonts w:ascii="Times New Roman" w:hAnsi="Times New Roman" w:cs="Times New Roman"/>
                <w:i/>
                <w:sz w:val="24"/>
                <w:szCs w:val="24"/>
              </w:rPr>
              <w:t>Ikke kendt*</w:t>
            </w:r>
          </w:p>
        </w:tc>
        <w:tc>
          <w:tcPr>
            <w:tcW w:w="1711" w:type="pct"/>
            <w:gridSpan w:val="2"/>
            <w:tcBorders>
              <w:top w:val="single" w:sz="4" w:space="0" w:color="auto"/>
              <w:left w:val="single" w:sz="4" w:space="0" w:color="auto"/>
              <w:bottom w:val="single" w:sz="4" w:space="0" w:color="auto"/>
              <w:right w:val="single" w:sz="4" w:space="0" w:color="auto"/>
            </w:tcBorders>
            <w:hideMark/>
          </w:tcPr>
          <w:p w14:paraId="4872CF7A" w14:textId="77777777" w:rsidR="0097462C" w:rsidRPr="0097462C" w:rsidRDefault="0097462C" w:rsidP="0097462C">
            <w:pPr>
              <w:rPr>
                <w:rFonts w:ascii="Times New Roman" w:hAnsi="Times New Roman" w:cs="Times New Roman"/>
                <w:sz w:val="24"/>
                <w:szCs w:val="24"/>
              </w:rPr>
            </w:pPr>
            <w:r w:rsidRPr="0097462C">
              <w:rPr>
                <w:rFonts w:ascii="Times New Roman" w:eastAsia="TimesNewRoman,Bold" w:hAnsi="Times New Roman" w:cs="Times New Roman"/>
                <w:i/>
                <w:iCs/>
                <w:color w:val="000000"/>
                <w:sz w:val="24"/>
                <w:szCs w:val="24"/>
                <w:u w:val="single"/>
              </w:rPr>
              <w:t>Clostridioides</w:t>
            </w:r>
            <w:r w:rsidRPr="0097462C">
              <w:rPr>
                <w:rFonts w:ascii="Times New Roman" w:hAnsi="Times New Roman" w:cs="Times New Roman"/>
                <w:i/>
                <w:iCs/>
                <w:sz w:val="24"/>
                <w:szCs w:val="24"/>
              </w:rPr>
              <w:t xml:space="preserve"> difficile</w:t>
            </w:r>
            <w:r w:rsidRPr="0097462C">
              <w:rPr>
                <w:rFonts w:ascii="Times New Roman" w:eastAsia="TimesNewRoman" w:hAnsi="Times New Roman" w:cs="Times New Roman"/>
                <w:sz w:val="24"/>
                <w:szCs w:val="24"/>
              </w:rPr>
              <w:t>-associeret diarré**</w:t>
            </w:r>
          </w:p>
        </w:tc>
      </w:tr>
      <w:tr w:rsidR="0097462C" w:rsidRPr="0097462C" w14:paraId="0A3EB30A" w14:textId="77777777" w:rsidTr="0097462C">
        <w:trPr>
          <w:cantSplit/>
          <w:trHeight w:val="20"/>
        </w:trPr>
        <w:tc>
          <w:tcPr>
            <w:tcW w:w="1665" w:type="pct"/>
            <w:vMerge w:val="restart"/>
            <w:tcBorders>
              <w:top w:val="single" w:sz="4" w:space="0" w:color="auto"/>
              <w:left w:val="single" w:sz="4" w:space="0" w:color="auto"/>
              <w:right w:val="single" w:sz="4" w:space="0" w:color="auto"/>
            </w:tcBorders>
            <w:hideMark/>
          </w:tcPr>
          <w:p w14:paraId="2D0C390C" w14:textId="77777777" w:rsidR="0097462C" w:rsidRPr="0097462C" w:rsidRDefault="0097462C" w:rsidP="0097462C">
            <w:pPr>
              <w:rPr>
                <w:rFonts w:ascii="Times New Roman" w:hAnsi="Times New Roman" w:cs="Times New Roman"/>
                <w:sz w:val="24"/>
                <w:szCs w:val="24"/>
              </w:rPr>
            </w:pPr>
            <w:r w:rsidRPr="0097462C">
              <w:rPr>
                <w:rFonts w:ascii="Times New Roman" w:eastAsia="TimesNewRoman" w:hAnsi="Times New Roman" w:cs="Times New Roman"/>
                <w:sz w:val="24"/>
                <w:szCs w:val="24"/>
              </w:rPr>
              <w:t>Blod og lymfesystem</w:t>
            </w:r>
          </w:p>
        </w:tc>
        <w:tc>
          <w:tcPr>
            <w:tcW w:w="1624" w:type="pct"/>
            <w:tcBorders>
              <w:top w:val="single" w:sz="4" w:space="0" w:color="auto"/>
              <w:left w:val="single" w:sz="4" w:space="0" w:color="auto"/>
              <w:bottom w:val="single" w:sz="4" w:space="0" w:color="auto"/>
              <w:right w:val="single" w:sz="4" w:space="0" w:color="auto"/>
            </w:tcBorders>
            <w:hideMark/>
          </w:tcPr>
          <w:p w14:paraId="48F54D69" w14:textId="77777777" w:rsidR="0097462C" w:rsidRPr="0097462C" w:rsidRDefault="0097462C" w:rsidP="0097462C">
            <w:pPr>
              <w:rPr>
                <w:rFonts w:ascii="Times New Roman" w:hAnsi="Times New Roman" w:cs="Times New Roman"/>
                <w:i/>
                <w:sz w:val="24"/>
                <w:szCs w:val="24"/>
              </w:rPr>
            </w:pPr>
            <w:r w:rsidRPr="0097462C">
              <w:rPr>
                <w:rFonts w:ascii="Times New Roman" w:hAnsi="Times New Roman" w:cs="Times New Roman"/>
                <w:i/>
                <w:sz w:val="24"/>
                <w:szCs w:val="24"/>
              </w:rPr>
              <w:t>Almindelig</w:t>
            </w:r>
          </w:p>
        </w:tc>
        <w:tc>
          <w:tcPr>
            <w:tcW w:w="1711" w:type="pct"/>
            <w:gridSpan w:val="2"/>
            <w:tcBorders>
              <w:top w:val="single" w:sz="4" w:space="0" w:color="auto"/>
              <w:left w:val="single" w:sz="4" w:space="0" w:color="auto"/>
              <w:bottom w:val="single" w:sz="4" w:space="0" w:color="auto"/>
              <w:right w:val="single" w:sz="4" w:space="0" w:color="auto"/>
            </w:tcBorders>
            <w:hideMark/>
          </w:tcPr>
          <w:p w14:paraId="05A79D00"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sz w:val="24"/>
                <w:szCs w:val="24"/>
              </w:rPr>
              <w:t>Anæmi</w:t>
            </w:r>
          </w:p>
        </w:tc>
      </w:tr>
      <w:tr w:rsidR="0097462C" w:rsidRPr="0097462C" w14:paraId="347743F5" w14:textId="77777777" w:rsidTr="0097462C">
        <w:trPr>
          <w:cantSplit/>
          <w:trHeight w:val="20"/>
        </w:trPr>
        <w:tc>
          <w:tcPr>
            <w:tcW w:w="1665" w:type="pct"/>
            <w:vMerge/>
            <w:tcBorders>
              <w:left w:val="single" w:sz="4" w:space="0" w:color="auto"/>
              <w:right w:val="single" w:sz="4" w:space="0" w:color="auto"/>
            </w:tcBorders>
            <w:vAlign w:val="center"/>
            <w:hideMark/>
          </w:tcPr>
          <w:p w14:paraId="2267364A" w14:textId="77777777" w:rsidR="0097462C" w:rsidRPr="0097462C" w:rsidRDefault="0097462C" w:rsidP="0097462C">
            <w:pPr>
              <w:rPr>
                <w:rFonts w:ascii="Times New 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hideMark/>
          </w:tcPr>
          <w:p w14:paraId="6C9A7C70" w14:textId="77777777" w:rsidR="0097462C" w:rsidRPr="0097462C" w:rsidRDefault="0097462C" w:rsidP="0097462C">
            <w:pPr>
              <w:rPr>
                <w:rFonts w:ascii="Times New Roman" w:hAnsi="Times New Roman" w:cs="Times New Roman"/>
                <w:i/>
                <w:sz w:val="24"/>
                <w:szCs w:val="24"/>
              </w:rPr>
            </w:pPr>
            <w:r w:rsidRPr="0097462C">
              <w:rPr>
                <w:rFonts w:ascii="Times New Roman" w:hAnsi="Times New Roman" w:cs="Times New Roman"/>
                <w:i/>
                <w:sz w:val="24"/>
                <w:szCs w:val="24"/>
              </w:rPr>
              <w:t>Ikke almindelig</w:t>
            </w:r>
          </w:p>
        </w:tc>
        <w:tc>
          <w:tcPr>
            <w:tcW w:w="1711" w:type="pct"/>
            <w:gridSpan w:val="2"/>
            <w:tcBorders>
              <w:top w:val="single" w:sz="4" w:space="0" w:color="auto"/>
              <w:left w:val="single" w:sz="4" w:space="0" w:color="auto"/>
              <w:bottom w:val="single" w:sz="4" w:space="0" w:color="auto"/>
              <w:right w:val="single" w:sz="4" w:space="0" w:color="auto"/>
            </w:tcBorders>
          </w:tcPr>
          <w:p w14:paraId="7DA4C06E" w14:textId="77777777" w:rsidR="0097462C" w:rsidRPr="0097462C" w:rsidRDefault="0097462C" w:rsidP="0097462C">
            <w:pPr>
              <w:rPr>
                <w:rFonts w:ascii="Times New Roman" w:hAnsi="Times New Roman" w:cs="Times New Roman"/>
                <w:sz w:val="24"/>
                <w:szCs w:val="24"/>
              </w:rPr>
            </w:pPr>
            <w:r w:rsidRPr="0097462C">
              <w:rPr>
                <w:rFonts w:ascii="Times New Roman" w:eastAsia="TimesNewRoman" w:hAnsi="Times New Roman" w:cs="Times New Roman"/>
                <w:sz w:val="24"/>
                <w:szCs w:val="24"/>
              </w:rPr>
              <w:t>Trombocytæmi, eosinofili, forhøjet international normalised ratio (INR), leukocytose</w:t>
            </w:r>
          </w:p>
        </w:tc>
      </w:tr>
      <w:tr w:rsidR="0097462C" w:rsidRPr="0097462C" w14:paraId="2DC52191" w14:textId="77777777" w:rsidTr="0097462C">
        <w:trPr>
          <w:cantSplit/>
          <w:trHeight w:val="20"/>
        </w:trPr>
        <w:tc>
          <w:tcPr>
            <w:tcW w:w="1665" w:type="pct"/>
            <w:vMerge/>
            <w:tcBorders>
              <w:left w:val="single" w:sz="4" w:space="0" w:color="auto"/>
              <w:right w:val="single" w:sz="4" w:space="0" w:color="auto"/>
            </w:tcBorders>
            <w:vAlign w:val="center"/>
            <w:hideMark/>
          </w:tcPr>
          <w:p w14:paraId="5E76DB8E" w14:textId="77777777" w:rsidR="0097462C" w:rsidRPr="0097462C" w:rsidRDefault="0097462C" w:rsidP="0097462C">
            <w:pPr>
              <w:rPr>
                <w:rFonts w:ascii="Times New 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hideMark/>
          </w:tcPr>
          <w:p w14:paraId="10D1B05A" w14:textId="77777777" w:rsidR="0097462C" w:rsidRPr="0097462C" w:rsidRDefault="0097462C" w:rsidP="0097462C">
            <w:pPr>
              <w:rPr>
                <w:rFonts w:ascii="Times New Roman" w:hAnsi="Times New Roman" w:cs="Times New Roman"/>
                <w:i/>
                <w:sz w:val="24"/>
                <w:szCs w:val="24"/>
              </w:rPr>
            </w:pPr>
            <w:r w:rsidRPr="0097462C">
              <w:rPr>
                <w:rFonts w:ascii="Times New Roman" w:hAnsi="Times New Roman" w:cs="Times New Roman"/>
                <w:i/>
                <w:sz w:val="24"/>
                <w:szCs w:val="24"/>
              </w:rPr>
              <w:t>Sjælden</w:t>
            </w:r>
          </w:p>
        </w:tc>
        <w:tc>
          <w:tcPr>
            <w:tcW w:w="1711" w:type="pct"/>
            <w:gridSpan w:val="2"/>
            <w:tcBorders>
              <w:top w:val="single" w:sz="4" w:space="0" w:color="auto"/>
              <w:left w:val="single" w:sz="4" w:space="0" w:color="auto"/>
              <w:bottom w:val="single" w:sz="4" w:space="0" w:color="auto"/>
              <w:right w:val="single" w:sz="4" w:space="0" w:color="auto"/>
            </w:tcBorders>
            <w:hideMark/>
          </w:tcPr>
          <w:p w14:paraId="57673766" w14:textId="77777777" w:rsidR="0097462C" w:rsidRPr="0097462C" w:rsidRDefault="0097462C" w:rsidP="0097462C">
            <w:pPr>
              <w:rPr>
                <w:rFonts w:ascii="Times New Roman" w:hAnsi="Times New Roman" w:cs="Times New Roman"/>
                <w:sz w:val="24"/>
                <w:szCs w:val="24"/>
              </w:rPr>
            </w:pPr>
            <w:r w:rsidRPr="0097462C">
              <w:rPr>
                <w:rFonts w:ascii="Times New Roman" w:eastAsia="TimesNewRoman" w:hAnsi="Times New Roman" w:cs="Times New Roman"/>
                <w:sz w:val="24"/>
                <w:szCs w:val="24"/>
              </w:rPr>
              <w:t>Forlænget protrombintid (PT)</w:t>
            </w:r>
          </w:p>
        </w:tc>
      </w:tr>
      <w:tr w:rsidR="0097462C" w:rsidRPr="0097462C" w14:paraId="3937D27A" w14:textId="77777777" w:rsidTr="0097462C">
        <w:trPr>
          <w:cantSplit/>
          <w:trHeight w:val="20"/>
        </w:trPr>
        <w:tc>
          <w:tcPr>
            <w:tcW w:w="1665" w:type="pct"/>
            <w:vMerge/>
            <w:tcBorders>
              <w:left w:val="single" w:sz="4" w:space="0" w:color="auto"/>
              <w:bottom w:val="single" w:sz="4" w:space="0" w:color="auto"/>
              <w:right w:val="single" w:sz="4" w:space="0" w:color="auto"/>
            </w:tcBorders>
            <w:vAlign w:val="center"/>
          </w:tcPr>
          <w:p w14:paraId="7EA58586" w14:textId="77777777" w:rsidR="0097462C" w:rsidRPr="0097462C" w:rsidRDefault="0097462C" w:rsidP="0097462C">
            <w:pPr>
              <w:rPr>
                <w:rFonts w:ascii="Times New 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tcPr>
          <w:p w14:paraId="2F005B52" w14:textId="77777777" w:rsidR="0097462C" w:rsidRPr="0097462C" w:rsidRDefault="0097462C" w:rsidP="0097462C">
            <w:pPr>
              <w:rPr>
                <w:rFonts w:ascii="Times New Roman" w:hAnsi="Times New Roman" w:cs="Times New Roman"/>
                <w:i/>
                <w:sz w:val="24"/>
                <w:szCs w:val="24"/>
              </w:rPr>
            </w:pPr>
            <w:r w:rsidRPr="0097462C">
              <w:rPr>
                <w:rFonts w:ascii="Times New Roman" w:eastAsia="TimesNewRoman,Bold" w:hAnsi="Times New Roman" w:cs="Times New Roman"/>
                <w:bCs/>
                <w:i/>
                <w:color w:val="000000"/>
                <w:sz w:val="24"/>
                <w:szCs w:val="24"/>
              </w:rPr>
              <w:t>Ikke kendt*</w:t>
            </w:r>
          </w:p>
        </w:tc>
        <w:tc>
          <w:tcPr>
            <w:tcW w:w="1711" w:type="pct"/>
            <w:gridSpan w:val="2"/>
            <w:tcBorders>
              <w:top w:val="single" w:sz="4" w:space="0" w:color="auto"/>
              <w:left w:val="single" w:sz="4" w:space="0" w:color="auto"/>
              <w:bottom w:val="single" w:sz="4" w:space="0" w:color="auto"/>
              <w:right w:val="single" w:sz="4" w:space="0" w:color="auto"/>
            </w:tcBorders>
          </w:tcPr>
          <w:p w14:paraId="3BBC1329" w14:textId="77777777"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color w:val="000000"/>
                <w:sz w:val="24"/>
                <w:szCs w:val="24"/>
              </w:rPr>
              <w:t>Trombocytopeni</w:t>
            </w:r>
          </w:p>
        </w:tc>
      </w:tr>
      <w:tr w:rsidR="0097462C" w:rsidRPr="0097462C" w14:paraId="47CE0FA7" w14:textId="77777777" w:rsidTr="0097462C">
        <w:trPr>
          <w:cantSplit/>
          <w:trHeight w:val="20"/>
        </w:trPr>
        <w:tc>
          <w:tcPr>
            <w:tcW w:w="1665" w:type="pct"/>
            <w:tcBorders>
              <w:top w:val="single" w:sz="4" w:space="0" w:color="auto"/>
              <w:left w:val="single" w:sz="4" w:space="0" w:color="auto"/>
              <w:bottom w:val="single" w:sz="4" w:space="0" w:color="auto"/>
              <w:right w:val="single" w:sz="4" w:space="0" w:color="auto"/>
            </w:tcBorders>
            <w:hideMark/>
          </w:tcPr>
          <w:p w14:paraId="2D927035" w14:textId="77777777" w:rsidR="0097462C" w:rsidRPr="0097462C" w:rsidRDefault="0097462C" w:rsidP="0097462C">
            <w:pPr>
              <w:rPr>
                <w:rFonts w:ascii="Times New Roman" w:hAnsi="Times New Roman" w:cs="Times New Roman"/>
                <w:sz w:val="24"/>
                <w:szCs w:val="24"/>
              </w:rPr>
            </w:pPr>
            <w:r w:rsidRPr="0097462C">
              <w:rPr>
                <w:rFonts w:ascii="Times New Roman" w:eastAsia="TimesNewRoman" w:hAnsi="Times New Roman" w:cs="Times New Roman"/>
                <w:sz w:val="24"/>
                <w:szCs w:val="24"/>
              </w:rPr>
              <w:t>Immunsystemet</w:t>
            </w:r>
          </w:p>
        </w:tc>
        <w:tc>
          <w:tcPr>
            <w:tcW w:w="1624" w:type="pct"/>
            <w:tcBorders>
              <w:top w:val="single" w:sz="4" w:space="0" w:color="auto"/>
              <w:left w:val="single" w:sz="4" w:space="0" w:color="auto"/>
              <w:right w:val="single" w:sz="4" w:space="0" w:color="auto"/>
            </w:tcBorders>
            <w:hideMark/>
          </w:tcPr>
          <w:p w14:paraId="65E76B95" w14:textId="77777777" w:rsidR="0097462C" w:rsidRPr="0097462C" w:rsidRDefault="0097462C" w:rsidP="0097462C">
            <w:pPr>
              <w:rPr>
                <w:rFonts w:ascii="Times New Roman" w:hAnsi="Times New Roman" w:cs="Times New Roman"/>
                <w:i/>
                <w:sz w:val="24"/>
                <w:szCs w:val="24"/>
              </w:rPr>
            </w:pPr>
            <w:r w:rsidRPr="0097462C">
              <w:rPr>
                <w:rFonts w:ascii="Times New Roman" w:hAnsi="Times New Roman" w:cs="Times New Roman"/>
                <w:i/>
                <w:iCs/>
                <w:sz w:val="24"/>
                <w:szCs w:val="24"/>
              </w:rPr>
              <w:t>Ikke kendt*</w:t>
            </w:r>
          </w:p>
          <w:p w14:paraId="7A171428" w14:textId="77777777" w:rsidR="0097462C" w:rsidRPr="0097462C" w:rsidRDefault="0097462C" w:rsidP="0097462C">
            <w:pPr>
              <w:rPr>
                <w:rFonts w:ascii="Times New Roman" w:hAnsi="Times New Roman" w:cs="Times New Roman"/>
                <w:i/>
                <w:sz w:val="24"/>
                <w:szCs w:val="24"/>
              </w:rPr>
            </w:pPr>
          </w:p>
          <w:p w14:paraId="626D4B59" w14:textId="77777777" w:rsidR="0097462C" w:rsidRPr="0097462C" w:rsidRDefault="0097462C" w:rsidP="0097462C">
            <w:pPr>
              <w:rPr>
                <w:rFonts w:ascii="Times New Roman" w:hAnsi="Times New Roman" w:cs="Times New Roman"/>
                <w:i/>
                <w:sz w:val="24"/>
                <w:szCs w:val="24"/>
              </w:rPr>
            </w:pPr>
          </w:p>
        </w:tc>
        <w:tc>
          <w:tcPr>
            <w:tcW w:w="1711" w:type="pct"/>
            <w:gridSpan w:val="2"/>
            <w:tcBorders>
              <w:top w:val="single" w:sz="4" w:space="0" w:color="auto"/>
              <w:left w:val="single" w:sz="4" w:space="0" w:color="auto"/>
              <w:right w:val="single" w:sz="4" w:space="0" w:color="auto"/>
            </w:tcBorders>
            <w:hideMark/>
          </w:tcPr>
          <w:p w14:paraId="15F08940" w14:textId="183CF11D" w:rsidR="0097462C" w:rsidRPr="0097462C" w:rsidRDefault="0097462C" w:rsidP="0097462C">
            <w:pPr>
              <w:rPr>
                <w:rFonts w:ascii="Times New Roman" w:hAnsi="Times New Roman" w:cs="Times New Roman"/>
                <w:sz w:val="24"/>
                <w:szCs w:val="24"/>
              </w:rPr>
            </w:pPr>
            <w:r w:rsidRPr="0097462C">
              <w:rPr>
                <w:rFonts w:ascii="Times New Roman" w:eastAsia="TimesNewRoman" w:hAnsi="Times New Roman" w:cs="Times New Roman"/>
                <w:sz w:val="24"/>
                <w:szCs w:val="24"/>
              </w:rPr>
              <w:t xml:space="preserve">Overfølsomhed** manifesteret ved isolerede spontane rapporter inklusive, men ikke begrænset til angioødem, pulmonal eosinofili, fornemmelsen af hævelse i mund og svælg, </w:t>
            </w:r>
            <w:r w:rsidRPr="0097462C">
              <w:rPr>
                <w:rFonts w:ascii="Times New Roman" w:hAnsi="Times New Roman" w:cs="Times New Roman"/>
                <w:sz w:val="24"/>
                <w:szCs w:val="24"/>
              </w:rPr>
              <w:t>anafylaksi**, infusionsreaktioner inklusive følgende symptomer: takykardi, hvæsende vejrtrækning, pyreksi, stivhed, systemiske hedeture, vertigo, synkope og metalsmag</w:t>
            </w:r>
          </w:p>
        </w:tc>
      </w:tr>
      <w:tr w:rsidR="0097462C" w:rsidRPr="0097462C" w14:paraId="6582242E" w14:textId="77777777" w:rsidTr="0097462C">
        <w:trPr>
          <w:cantSplit/>
          <w:trHeight w:val="20"/>
        </w:trPr>
        <w:tc>
          <w:tcPr>
            <w:tcW w:w="1665" w:type="pct"/>
            <w:tcBorders>
              <w:top w:val="single" w:sz="4" w:space="0" w:color="auto"/>
              <w:left w:val="single" w:sz="4" w:space="0" w:color="auto"/>
              <w:bottom w:val="single" w:sz="4" w:space="0" w:color="auto"/>
              <w:right w:val="single" w:sz="4" w:space="0" w:color="auto"/>
            </w:tcBorders>
            <w:hideMark/>
          </w:tcPr>
          <w:p w14:paraId="473B445F" w14:textId="77777777"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sz w:val="24"/>
                <w:szCs w:val="24"/>
              </w:rPr>
              <w:t>Metabolisme og ernæring</w:t>
            </w:r>
          </w:p>
        </w:tc>
        <w:tc>
          <w:tcPr>
            <w:tcW w:w="1624" w:type="pct"/>
            <w:tcBorders>
              <w:top w:val="single" w:sz="4" w:space="0" w:color="auto"/>
              <w:left w:val="single" w:sz="4" w:space="0" w:color="auto"/>
              <w:bottom w:val="single" w:sz="4" w:space="0" w:color="auto"/>
              <w:right w:val="single" w:sz="4" w:space="0" w:color="auto"/>
            </w:tcBorders>
            <w:hideMark/>
          </w:tcPr>
          <w:p w14:paraId="47BACE06" w14:textId="77777777" w:rsidR="0097462C" w:rsidRPr="0097462C" w:rsidRDefault="0097462C" w:rsidP="0097462C">
            <w:pPr>
              <w:rPr>
                <w:rFonts w:ascii="Times New Roman" w:hAnsi="Times New Roman" w:cs="Times New Roman"/>
                <w:i/>
                <w:sz w:val="24"/>
                <w:szCs w:val="24"/>
              </w:rPr>
            </w:pPr>
            <w:r w:rsidRPr="0097462C">
              <w:rPr>
                <w:rFonts w:ascii="Times New Roman" w:hAnsi="Times New Roman" w:cs="Times New Roman"/>
                <w:i/>
                <w:sz w:val="24"/>
                <w:szCs w:val="24"/>
              </w:rPr>
              <w:t>Ikke almindelig</w:t>
            </w:r>
          </w:p>
        </w:tc>
        <w:tc>
          <w:tcPr>
            <w:tcW w:w="1711" w:type="pct"/>
            <w:gridSpan w:val="2"/>
            <w:tcBorders>
              <w:top w:val="single" w:sz="4" w:space="0" w:color="auto"/>
              <w:left w:val="single" w:sz="4" w:space="0" w:color="auto"/>
              <w:bottom w:val="single" w:sz="4" w:space="0" w:color="auto"/>
              <w:right w:val="single" w:sz="4" w:space="0" w:color="auto"/>
            </w:tcBorders>
            <w:hideMark/>
          </w:tcPr>
          <w:p w14:paraId="647E8A07" w14:textId="77777777" w:rsidR="0097462C" w:rsidRPr="0097462C" w:rsidRDefault="0097462C" w:rsidP="0097462C">
            <w:pPr>
              <w:rPr>
                <w:rFonts w:ascii="Times New Roman" w:hAnsi="Times New Roman" w:cs="Times New Roman"/>
                <w:sz w:val="24"/>
                <w:szCs w:val="24"/>
              </w:rPr>
            </w:pPr>
            <w:r w:rsidRPr="0097462C">
              <w:rPr>
                <w:rFonts w:ascii="Times New Roman" w:eastAsia="TimesNewRoman" w:hAnsi="Times New Roman" w:cs="Times New Roman"/>
                <w:sz w:val="24"/>
                <w:szCs w:val="24"/>
              </w:rPr>
              <w:t>Nedsat appetit, hyperglykæmi, forstyrrelse i elektrolytbalancen</w:t>
            </w:r>
          </w:p>
        </w:tc>
      </w:tr>
      <w:tr w:rsidR="0097462C" w:rsidRPr="0097462C" w14:paraId="5934B29A" w14:textId="77777777" w:rsidTr="0097462C">
        <w:trPr>
          <w:cantSplit/>
          <w:trHeight w:val="20"/>
        </w:trPr>
        <w:tc>
          <w:tcPr>
            <w:tcW w:w="1665" w:type="pct"/>
            <w:tcBorders>
              <w:top w:val="single" w:sz="4" w:space="0" w:color="auto"/>
              <w:left w:val="single" w:sz="4" w:space="0" w:color="auto"/>
              <w:bottom w:val="single" w:sz="4" w:space="0" w:color="auto"/>
              <w:right w:val="single" w:sz="4" w:space="0" w:color="auto"/>
            </w:tcBorders>
            <w:hideMark/>
          </w:tcPr>
          <w:p w14:paraId="4CB2D94B" w14:textId="77777777"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sz w:val="24"/>
                <w:szCs w:val="24"/>
              </w:rPr>
              <w:t>Psykiske forstyrrelser</w:t>
            </w:r>
          </w:p>
        </w:tc>
        <w:tc>
          <w:tcPr>
            <w:tcW w:w="1624" w:type="pct"/>
            <w:tcBorders>
              <w:top w:val="single" w:sz="4" w:space="0" w:color="auto"/>
              <w:left w:val="single" w:sz="4" w:space="0" w:color="auto"/>
              <w:bottom w:val="single" w:sz="4" w:space="0" w:color="auto"/>
              <w:right w:val="single" w:sz="4" w:space="0" w:color="auto"/>
            </w:tcBorders>
            <w:hideMark/>
          </w:tcPr>
          <w:p w14:paraId="0446F142"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i/>
                <w:iCs/>
                <w:sz w:val="24"/>
                <w:szCs w:val="24"/>
              </w:rPr>
              <w:t>Almindelig</w:t>
            </w:r>
          </w:p>
        </w:tc>
        <w:tc>
          <w:tcPr>
            <w:tcW w:w="1711" w:type="pct"/>
            <w:gridSpan w:val="2"/>
            <w:tcBorders>
              <w:top w:val="single" w:sz="4" w:space="0" w:color="auto"/>
              <w:left w:val="single" w:sz="4" w:space="0" w:color="auto"/>
              <w:bottom w:val="single" w:sz="4" w:space="0" w:color="auto"/>
              <w:right w:val="single" w:sz="4" w:space="0" w:color="auto"/>
            </w:tcBorders>
            <w:hideMark/>
          </w:tcPr>
          <w:p w14:paraId="30A230BE" w14:textId="77777777" w:rsidR="0097462C" w:rsidRPr="0097462C" w:rsidRDefault="0097462C" w:rsidP="0097462C">
            <w:pPr>
              <w:rPr>
                <w:rFonts w:ascii="Times New Roman" w:hAnsi="Times New Roman" w:cs="Times New Roman"/>
                <w:sz w:val="24"/>
                <w:szCs w:val="24"/>
              </w:rPr>
            </w:pPr>
            <w:r w:rsidRPr="0097462C">
              <w:rPr>
                <w:rFonts w:ascii="Times New Roman" w:eastAsia="TimesNewRoman" w:hAnsi="Times New Roman" w:cs="Times New Roman"/>
                <w:sz w:val="24"/>
                <w:szCs w:val="24"/>
              </w:rPr>
              <w:t>Angst, insomni</w:t>
            </w:r>
          </w:p>
        </w:tc>
      </w:tr>
      <w:tr w:rsidR="0097462C" w:rsidRPr="0097462C" w14:paraId="1297C10E" w14:textId="77777777" w:rsidTr="0097462C">
        <w:trPr>
          <w:cantSplit/>
          <w:trHeight w:val="20"/>
        </w:trPr>
        <w:tc>
          <w:tcPr>
            <w:tcW w:w="1665" w:type="pct"/>
            <w:vMerge w:val="restart"/>
            <w:tcBorders>
              <w:top w:val="single" w:sz="4" w:space="0" w:color="auto"/>
              <w:left w:val="single" w:sz="4" w:space="0" w:color="auto"/>
              <w:bottom w:val="single" w:sz="4" w:space="0" w:color="auto"/>
              <w:right w:val="single" w:sz="4" w:space="0" w:color="auto"/>
            </w:tcBorders>
            <w:hideMark/>
          </w:tcPr>
          <w:p w14:paraId="55B4A605" w14:textId="77777777"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sz w:val="24"/>
                <w:szCs w:val="24"/>
              </w:rPr>
              <w:t>Nervesystemet</w:t>
            </w:r>
          </w:p>
        </w:tc>
        <w:tc>
          <w:tcPr>
            <w:tcW w:w="1624" w:type="pct"/>
            <w:tcBorders>
              <w:top w:val="single" w:sz="4" w:space="0" w:color="auto"/>
              <w:left w:val="single" w:sz="4" w:space="0" w:color="auto"/>
              <w:bottom w:val="single" w:sz="4" w:space="0" w:color="auto"/>
              <w:right w:val="single" w:sz="4" w:space="0" w:color="auto"/>
            </w:tcBorders>
            <w:hideMark/>
          </w:tcPr>
          <w:p w14:paraId="0E51F31F"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i/>
                <w:iCs/>
                <w:sz w:val="24"/>
                <w:szCs w:val="24"/>
              </w:rPr>
              <w:t>Almindelig</w:t>
            </w:r>
          </w:p>
        </w:tc>
        <w:tc>
          <w:tcPr>
            <w:tcW w:w="1711" w:type="pct"/>
            <w:gridSpan w:val="2"/>
            <w:tcBorders>
              <w:top w:val="single" w:sz="4" w:space="0" w:color="auto"/>
              <w:left w:val="single" w:sz="4" w:space="0" w:color="auto"/>
              <w:bottom w:val="single" w:sz="4" w:space="0" w:color="auto"/>
              <w:right w:val="single" w:sz="4" w:space="0" w:color="auto"/>
            </w:tcBorders>
            <w:hideMark/>
          </w:tcPr>
          <w:p w14:paraId="78E8B5EA" w14:textId="77777777" w:rsidR="0097462C" w:rsidRPr="0097462C" w:rsidRDefault="0097462C" w:rsidP="0097462C">
            <w:pPr>
              <w:rPr>
                <w:rFonts w:ascii="Times New Roman" w:hAnsi="Times New Roman" w:cs="Times New Roman"/>
                <w:sz w:val="24"/>
                <w:szCs w:val="24"/>
              </w:rPr>
            </w:pPr>
            <w:r w:rsidRPr="0097462C">
              <w:rPr>
                <w:rFonts w:ascii="Times New Roman" w:eastAsia="TimesNewRoman" w:hAnsi="Times New Roman" w:cs="Times New Roman"/>
                <w:sz w:val="24"/>
                <w:szCs w:val="24"/>
              </w:rPr>
              <w:t>Svimmelhed, hovedpine</w:t>
            </w:r>
          </w:p>
        </w:tc>
      </w:tr>
      <w:tr w:rsidR="0097462C" w:rsidRPr="0097462C" w14:paraId="6E529FB0" w14:textId="77777777" w:rsidTr="0097462C">
        <w:trPr>
          <w:cantSplit/>
          <w:trHeight w:val="20"/>
        </w:trPr>
        <w:tc>
          <w:tcPr>
            <w:tcW w:w="1665" w:type="pct"/>
            <w:vMerge/>
            <w:tcBorders>
              <w:top w:val="single" w:sz="4" w:space="0" w:color="auto"/>
              <w:left w:val="single" w:sz="4" w:space="0" w:color="auto"/>
              <w:bottom w:val="single" w:sz="4" w:space="0" w:color="auto"/>
              <w:right w:val="single" w:sz="4" w:space="0" w:color="auto"/>
            </w:tcBorders>
            <w:vAlign w:val="center"/>
            <w:hideMark/>
          </w:tcPr>
          <w:p w14:paraId="62D5F10D" w14:textId="77777777" w:rsidR="0097462C" w:rsidRPr="0097462C" w:rsidRDefault="0097462C" w:rsidP="0097462C">
            <w:pPr>
              <w:rPr>
                <w:rFonts w:ascii="Times New Roman" w:eastAsia="TimesNew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hideMark/>
          </w:tcPr>
          <w:p w14:paraId="448D7E0D"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i/>
                <w:iCs/>
                <w:sz w:val="24"/>
                <w:szCs w:val="24"/>
              </w:rPr>
              <w:t>Ikke almindelig</w:t>
            </w:r>
          </w:p>
        </w:tc>
        <w:tc>
          <w:tcPr>
            <w:tcW w:w="1711" w:type="pct"/>
            <w:gridSpan w:val="2"/>
            <w:tcBorders>
              <w:top w:val="single" w:sz="4" w:space="0" w:color="auto"/>
              <w:left w:val="single" w:sz="4" w:space="0" w:color="auto"/>
              <w:bottom w:val="single" w:sz="4" w:space="0" w:color="auto"/>
              <w:right w:val="single" w:sz="4" w:space="0" w:color="auto"/>
            </w:tcBorders>
            <w:hideMark/>
          </w:tcPr>
          <w:p w14:paraId="03299C02" w14:textId="77777777"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sz w:val="24"/>
                <w:szCs w:val="24"/>
              </w:rPr>
              <w:t>Paræstesier, smagsforstyrrelser, tremor, øjenirritation</w:t>
            </w:r>
          </w:p>
        </w:tc>
      </w:tr>
      <w:tr w:rsidR="0097462C" w:rsidRPr="0097462C" w14:paraId="61232ED5" w14:textId="77777777" w:rsidTr="0097462C">
        <w:trPr>
          <w:cantSplit/>
          <w:trHeight w:val="20"/>
        </w:trPr>
        <w:tc>
          <w:tcPr>
            <w:tcW w:w="1665" w:type="pct"/>
            <w:vMerge/>
            <w:tcBorders>
              <w:top w:val="single" w:sz="4" w:space="0" w:color="auto"/>
              <w:left w:val="single" w:sz="4" w:space="0" w:color="auto"/>
              <w:bottom w:val="single" w:sz="4" w:space="0" w:color="auto"/>
              <w:right w:val="single" w:sz="4" w:space="0" w:color="auto"/>
            </w:tcBorders>
            <w:vAlign w:val="center"/>
            <w:hideMark/>
          </w:tcPr>
          <w:p w14:paraId="72C50E29" w14:textId="77777777" w:rsidR="0097462C" w:rsidRPr="0097462C" w:rsidRDefault="0097462C" w:rsidP="0097462C">
            <w:pPr>
              <w:rPr>
                <w:rFonts w:ascii="Times New Roman" w:eastAsia="TimesNew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hideMark/>
          </w:tcPr>
          <w:p w14:paraId="0CBD28F8"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i/>
                <w:iCs/>
                <w:sz w:val="24"/>
                <w:szCs w:val="24"/>
              </w:rPr>
              <w:t>Ikke kendt*</w:t>
            </w:r>
          </w:p>
        </w:tc>
        <w:tc>
          <w:tcPr>
            <w:tcW w:w="1711" w:type="pct"/>
            <w:gridSpan w:val="2"/>
            <w:tcBorders>
              <w:top w:val="single" w:sz="4" w:space="0" w:color="auto"/>
              <w:left w:val="single" w:sz="4" w:space="0" w:color="auto"/>
              <w:bottom w:val="single" w:sz="4" w:space="0" w:color="auto"/>
              <w:right w:val="single" w:sz="4" w:space="0" w:color="auto"/>
            </w:tcBorders>
            <w:hideMark/>
          </w:tcPr>
          <w:p w14:paraId="4FD95F20" w14:textId="77777777" w:rsidR="0097462C" w:rsidRPr="0097462C" w:rsidRDefault="0097462C" w:rsidP="0097462C">
            <w:pPr>
              <w:rPr>
                <w:rFonts w:ascii="Times New Roman" w:hAnsi="Times New Roman" w:cs="Times New Roman"/>
                <w:sz w:val="24"/>
                <w:szCs w:val="24"/>
              </w:rPr>
            </w:pPr>
            <w:r w:rsidRPr="0097462C">
              <w:rPr>
                <w:rFonts w:ascii="Times New Roman" w:eastAsia="TimesNewRoman" w:hAnsi="Times New Roman" w:cs="Times New Roman"/>
                <w:sz w:val="24"/>
                <w:szCs w:val="24"/>
              </w:rPr>
              <w:t>Perifer neuropati**</w:t>
            </w:r>
          </w:p>
        </w:tc>
      </w:tr>
      <w:tr w:rsidR="0097462C" w:rsidRPr="0097462C" w14:paraId="5E760638" w14:textId="77777777" w:rsidTr="0097462C">
        <w:trPr>
          <w:cantSplit/>
          <w:trHeight w:val="20"/>
        </w:trPr>
        <w:tc>
          <w:tcPr>
            <w:tcW w:w="1665" w:type="pct"/>
            <w:tcBorders>
              <w:top w:val="single" w:sz="4" w:space="0" w:color="auto"/>
              <w:left w:val="single" w:sz="4" w:space="0" w:color="auto"/>
              <w:bottom w:val="single" w:sz="4" w:space="0" w:color="auto"/>
              <w:right w:val="single" w:sz="4" w:space="0" w:color="auto"/>
            </w:tcBorders>
            <w:hideMark/>
          </w:tcPr>
          <w:p w14:paraId="1DC883E9" w14:textId="77777777"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sz w:val="24"/>
                <w:szCs w:val="24"/>
              </w:rPr>
              <w:t>Øre og labyrint</w:t>
            </w:r>
          </w:p>
        </w:tc>
        <w:tc>
          <w:tcPr>
            <w:tcW w:w="1624" w:type="pct"/>
            <w:tcBorders>
              <w:top w:val="single" w:sz="4" w:space="0" w:color="auto"/>
              <w:left w:val="single" w:sz="4" w:space="0" w:color="auto"/>
              <w:bottom w:val="single" w:sz="4" w:space="0" w:color="auto"/>
              <w:right w:val="single" w:sz="4" w:space="0" w:color="auto"/>
            </w:tcBorders>
            <w:hideMark/>
          </w:tcPr>
          <w:p w14:paraId="30795604"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i/>
                <w:iCs/>
                <w:sz w:val="24"/>
                <w:szCs w:val="24"/>
              </w:rPr>
              <w:t>Ikke almindelig</w:t>
            </w:r>
          </w:p>
        </w:tc>
        <w:tc>
          <w:tcPr>
            <w:tcW w:w="1711" w:type="pct"/>
            <w:gridSpan w:val="2"/>
            <w:tcBorders>
              <w:top w:val="single" w:sz="4" w:space="0" w:color="auto"/>
              <w:left w:val="single" w:sz="4" w:space="0" w:color="auto"/>
              <w:bottom w:val="single" w:sz="4" w:space="0" w:color="auto"/>
              <w:right w:val="single" w:sz="4" w:space="0" w:color="auto"/>
            </w:tcBorders>
          </w:tcPr>
          <w:p w14:paraId="39E59F29" w14:textId="77777777"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sz w:val="24"/>
                <w:szCs w:val="24"/>
              </w:rPr>
              <w:t>Vertigo</w:t>
            </w:r>
          </w:p>
          <w:p w14:paraId="3917BB37" w14:textId="77777777" w:rsidR="0097462C" w:rsidRPr="0097462C" w:rsidRDefault="0097462C" w:rsidP="0097462C">
            <w:pPr>
              <w:rPr>
                <w:rFonts w:ascii="Times New Roman" w:hAnsi="Times New Roman" w:cs="Times New Roman"/>
                <w:sz w:val="24"/>
                <w:szCs w:val="24"/>
              </w:rPr>
            </w:pPr>
          </w:p>
        </w:tc>
      </w:tr>
      <w:tr w:rsidR="0097462C" w:rsidRPr="0097462C" w14:paraId="79AA830F" w14:textId="77777777" w:rsidTr="0097462C">
        <w:trPr>
          <w:cantSplit/>
          <w:trHeight w:val="20"/>
        </w:trPr>
        <w:tc>
          <w:tcPr>
            <w:tcW w:w="1665" w:type="pct"/>
            <w:tcBorders>
              <w:top w:val="single" w:sz="4" w:space="0" w:color="auto"/>
              <w:left w:val="single" w:sz="4" w:space="0" w:color="auto"/>
              <w:bottom w:val="single" w:sz="4" w:space="0" w:color="auto"/>
              <w:right w:val="single" w:sz="4" w:space="0" w:color="auto"/>
            </w:tcBorders>
            <w:hideMark/>
          </w:tcPr>
          <w:p w14:paraId="70D978FE" w14:textId="77777777"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sz w:val="24"/>
                <w:szCs w:val="24"/>
              </w:rPr>
              <w:lastRenderedPageBreak/>
              <w:t>Hjerte</w:t>
            </w:r>
          </w:p>
        </w:tc>
        <w:tc>
          <w:tcPr>
            <w:tcW w:w="1624" w:type="pct"/>
            <w:tcBorders>
              <w:top w:val="single" w:sz="4" w:space="0" w:color="auto"/>
              <w:left w:val="single" w:sz="4" w:space="0" w:color="auto"/>
              <w:bottom w:val="single" w:sz="4" w:space="0" w:color="auto"/>
              <w:right w:val="single" w:sz="4" w:space="0" w:color="auto"/>
            </w:tcBorders>
            <w:hideMark/>
          </w:tcPr>
          <w:p w14:paraId="6203A2A1"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i/>
                <w:iCs/>
                <w:sz w:val="24"/>
                <w:szCs w:val="24"/>
              </w:rPr>
              <w:t>Ikke almindelig</w:t>
            </w:r>
          </w:p>
        </w:tc>
        <w:tc>
          <w:tcPr>
            <w:tcW w:w="1711" w:type="pct"/>
            <w:gridSpan w:val="2"/>
            <w:tcBorders>
              <w:top w:val="single" w:sz="4" w:space="0" w:color="auto"/>
              <w:left w:val="single" w:sz="4" w:space="0" w:color="auto"/>
              <w:bottom w:val="single" w:sz="4" w:space="0" w:color="auto"/>
              <w:right w:val="single" w:sz="4" w:space="0" w:color="auto"/>
            </w:tcBorders>
            <w:hideMark/>
          </w:tcPr>
          <w:p w14:paraId="4082EC28" w14:textId="77777777" w:rsidR="0097462C" w:rsidRPr="0097462C" w:rsidRDefault="0097462C" w:rsidP="0097462C">
            <w:pPr>
              <w:rPr>
                <w:rFonts w:ascii="Times New Roman" w:hAnsi="Times New Roman" w:cs="Times New Roman"/>
                <w:sz w:val="24"/>
                <w:szCs w:val="24"/>
              </w:rPr>
            </w:pPr>
            <w:r w:rsidRPr="0097462C">
              <w:rPr>
                <w:rFonts w:ascii="Times New Roman" w:eastAsia="TimesNewRoman" w:hAnsi="Times New Roman" w:cs="Times New Roman"/>
                <w:sz w:val="24"/>
                <w:szCs w:val="24"/>
              </w:rPr>
              <w:t>Supraventrikulær takykardi, ekstrasystole</w:t>
            </w:r>
          </w:p>
        </w:tc>
      </w:tr>
      <w:tr w:rsidR="0097462C" w:rsidRPr="0097462C" w14:paraId="2CCDBCE9" w14:textId="77777777" w:rsidTr="0097462C">
        <w:trPr>
          <w:cantSplit/>
          <w:trHeight w:val="20"/>
        </w:trPr>
        <w:tc>
          <w:tcPr>
            <w:tcW w:w="1665" w:type="pct"/>
            <w:vMerge w:val="restart"/>
            <w:tcBorders>
              <w:top w:val="single" w:sz="4" w:space="0" w:color="auto"/>
              <w:left w:val="single" w:sz="4" w:space="0" w:color="auto"/>
              <w:bottom w:val="single" w:sz="4" w:space="0" w:color="auto"/>
              <w:right w:val="single" w:sz="4" w:space="0" w:color="auto"/>
            </w:tcBorders>
            <w:hideMark/>
          </w:tcPr>
          <w:p w14:paraId="1D72D00F" w14:textId="77777777"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sz w:val="24"/>
                <w:szCs w:val="24"/>
              </w:rPr>
              <w:t>Vaskulære sygdomme</w:t>
            </w:r>
          </w:p>
        </w:tc>
        <w:tc>
          <w:tcPr>
            <w:tcW w:w="1624" w:type="pct"/>
            <w:tcBorders>
              <w:top w:val="single" w:sz="4" w:space="0" w:color="auto"/>
              <w:left w:val="single" w:sz="4" w:space="0" w:color="auto"/>
              <w:bottom w:val="single" w:sz="4" w:space="0" w:color="auto"/>
              <w:right w:val="single" w:sz="4" w:space="0" w:color="auto"/>
            </w:tcBorders>
            <w:hideMark/>
          </w:tcPr>
          <w:p w14:paraId="58A4A1CB"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i/>
                <w:iCs/>
                <w:sz w:val="24"/>
                <w:szCs w:val="24"/>
              </w:rPr>
              <w:t>Almindelig</w:t>
            </w:r>
          </w:p>
        </w:tc>
        <w:tc>
          <w:tcPr>
            <w:tcW w:w="1711" w:type="pct"/>
            <w:gridSpan w:val="2"/>
            <w:tcBorders>
              <w:top w:val="single" w:sz="4" w:space="0" w:color="auto"/>
              <w:left w:val="single" w:sz="4" w:space="0" w:color="auto"/>
              <w:bottom w:val="single" w:sz="4" w:space="0" w:color="auto"/>
              <w:right w:val="single" w:sz="4" w:space="0" w:color="auto"/>
            </w:tcBorders>
            <w:hideMark/>
          </w:tcPr>
          <w:p w14:paraId="3EDFDA7D" w14:textId="77777777" w:rsidR="0097462C" w:rsidRPr="0097462C" w:rsidRDefault="0097462C" w:rsidP="0097462C">
            <w:pPr>
              <w:rPr>
                <w:rFonts w:ascii="Times New Roman" w:hAnsi="Times New Roman" w:cs="Times New Roman"/>
                <w:sz w:val="24"/>
                <w:szCs w:val="24"/>
              </w:rPr>
            </w:pPr>
            <w:r w:rsidRPr="0097462C">
              <w:rPr>
                <w:rFonts w:ascii="Times New Roman" w:eastAsia="TimesNewRoman" w:hAnsi="Times New Roman" w:cs="Times New Roman"/>
                <w:sz w:val="24"/>
                <w:szCs w:val="24"/>
              </w:rPr>
              <w:t>Hypertension, hypotension</w:t>
            </w:r>
          </w:p>
        </w:tc>
      </w:tr>
      <w:tr w:rsidR="0097462C" w:rsidRPr="0097462C" w14:paraId="74CD80E5" w14:textId="77777777" w:rsidTr="0097462C">
        <w:trPr>
          <w:cantSplit/>
          <w:trHeight w:val="20"/>
        </w:trPr>
        <w:tc>
          <w:tcPr>
            <w:tcW w:w="1665" w:type="pct"/>
            <w:vMerge/>
            <w:tcBorders>
              <w:top w:val="single" w:sz="4" w:space="0" w:color="auto"/>
              <w:left w:val="single" w:sz="4" w:space="0" w:color="auto"/>
              <w:bottom w:val="single" w:sz="4" w:space="0" w:color="auto"/>
              <w:right w:val="single" w:sz="4" w:space="0" w:color="auto"/>
            </w:tcBorders>
            <w:vAlign w:val="center"/>
            <w:hideMark/>
          </w:tcPr>
          <w:p w14:paraId="6BD505C4" w14:textId="77777777" w:rsidR="0097462C" w:rsidRPr="0097462C" w:rsidRDefault="0097462C" w:rsidP="0097462C">
            <w:pPr>
              <w:rPr>
                <w:rFonts w:ascii="Times New Roman" w:eastAsia="TimesNew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hideMark/>
          </w:tcPr>
          <w:p w14:paraId="664B2936" w14:textId="77777777" w:rsidR="0097462C" w:rsidRPr="0097462C" w:rsidRDefault="0097462C" w:rsidP="0097462C">
            <w:pPr>
              <w:rPr>
                <w:rFonts w:ascii="Times New Roman" w:hAnsi="Times New Roman" w:cs="Times New Roman"/>
                <w:i/>
                <w:iCs/>
                <w:sz w:val="24"/>
                <w:szCs w:val="24"/>
              </w:rPr>
            </w:pPr>
            <w:r w:rsidRPr="0097462C">
              <w:rPr>
                <w:rFonts w:ascii="Times New Roman" w:hAnsi="Times New Roman" w:cs="Times New Roman"/>
                <w:i/>
                <w:iCs/>
                <w:sz w:val="24"/>
                <w:szCs w:val="24"/>
              </w:rPr>
              <w:t>Ikke almindelig</w:t>
            </w:r>
          </w:p>
        </w:tc>
        <w:tc>
          <w:tcPr>
            <w:tcW w:w="1711" w:type="pct"/>
            <w:gridSpan w:val="2"/>
            <w:tcBorders>
              <w:top w:val="single" w:sz="4" w:space="0" w:color="auto"/>
              <w:left w:val="single" w:sz="4" w:space="0" w:color="auto"/>
              <w:bottom w:val="single" w:sz="4" w:space="0" w:color="auto"/>
              <w:right w:val="single" w:sz="4" w:space="0" w:color="auto"/>
            </w:tcBorders>
          </w:tcPr>
          <w:p w14:paraId="6C78E3F1" w14:textId="77777777" w:rsidR="0097462C" w:rsidRPr="0097462C" w:rsidRDefault="0097462C" w:rsidP="0097462C">
            <w:pPr>
              <w:rPr>
                <w:rFonts w:ascii="Times New Roman" w:hAnsi="Times New Roman" w:cs="Times New Roman"/>
                <w:sz w:val="24"/>
                <w:szCs w:val="24"/>
              </w:rPr>
            </w:pPr>
            <w:r w:rsidRPr="0097462C">
              <w:rPr>
                <w:rFonts w:ascii="Times New Roman" w:eastAsia="TimesNewRoman" w:hAnsi="Times New Roman" w:cs="Times New Roman"/>
                <w:sz w:val="24"/>
                <w:szCs w:val="24"/>
              </w:rPr>
              <w:t>Hedeture</w:t>
            </w:r>
          </w:p>
        </w:tc>
      </w:tr>
      <w:tr w:rsidR="0097462C" w:rsidRPr="0097462C" w14:paraId="5C0480ED" w14:textId="77777777" w:rsidTr="0097462C">
        <w:trPr>
          <w:cantSplit/>
          <w:trHeight w:val="20"/>
        </w:trPr>
        <w:tc>
          <w:tcPr>
            <w:tcW w:w="1665" w:type="pct"/>
            <w:tcBorders>
              <w:top w:val="single" w:sz="4" w:space="0" w:color="auto"/>
              <w:left w:val="single" w:sz="4" w:space="0" w:color="auto"/>
              <w:bottom w:val="single" w:sz="4" w:space="0" w:color="auto"/>
              <w:right w:val="single" w:sz="4" w:space="0" w:color="auto"/>
            </w:tcBorders>
            <w:hideMark/>
          </w:tcPr>
          <w:p w14:paraId="0AD6C436" w14:textId="77777777"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sz w:val="24"/>
                <w:szCs w:val="24"/>
              </w:rPr>
              <w:t>Luftveje, thorax og mediastinum</w:t>
            </w:r>
          </w:p>
        </w:tc>
        <w:tc>
          <w:tcPr>
            <w:tcW w:w="1624" w:type="pct"/>
            <w:tcBorders>
              <w:top w:val="single" w:sz="4" w:space="0" w:color="auto"/>
              <w:left w:val="single" w:sz="4" w:space="0" w:color="auto"/>
              <w:bottom w:val="single" w:sz="4" w:space="0" w:color="auto"/>
              <w:right w:val="single" w:sz="4" w:space="0" w:color="auto"/>
            </w:tcBorders>
            <w:hideMark/>
          </w:tcPr>
          <w:p w14:paraId="6C31F832"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i/>
                <w:iCs/>
                <w:sz w:val="24"/>
                <w:szCs w:val="24"/>
              </w:rPr>
              <w:t>Ikke kendt*</w:t>
            </w:r>
          </w:p>
        </w:tc>
        <w:tc>
          <w:tcPr>
            <w:tcW w:w="1711" w:type="pct"/>
            <w:gridSpan w:val="2"/>
            <w:tcBorders>
              <w:top w:val="single" w:sz="4" w:space="0" w:color="auto"/>
              <w:left w:val="single" w:sz="4" w:space="0" w:color="auto"/>
              <w:bottom w:val="single" w:sz="4" w:space="0" w:color="auto"/>
              <w:right w:val="single" w:sz="4" w:space="0" w:color="auto"/>
            </w:tcBorders>
          </w:tcPr>
          <w:p w14:paraId="540B994A" w14:textId="77777777" w:rsidR="0097462C" w:rsidRPr="0097462C" w:rsidRDefault="0097462C" w:rsidP="0097462C">
            <w:pPr>
              <w:rPr>
                <w:rFonts w:ascii="Times New Roman" w:hAnsi="Times New Roman" w:cs="Times New Roman"/>
                <w:sz w:val="24"/>
                <w:szCs w:val="24"/>
              </w:rPr>
            </w:pPr>
            <w:r w:rsidRPr="0097462C">
              <w:rPr>
                <w:rFonts w:ascii="Times New Roman" w:eastAsia="TimesNewRoman" w:hAnsi="Times New Roman" w:cs="Times New Roman"/>
                <w:sz w:val="24"/>
                <w:szCs w:val="24"/>
              </w:rPr>
              <w:t>Eosinofil pneumoni</w:t>
            </w:r>
            <w:r w:rsidRPr="0097462C">
              <w:rPr>
                <w:rFonts w:ascii="Times New Roman" w:eastAsia="TimesNewRoman" w:hAnsi="Times New Roman" w:cs="Times New Roman"/>
                <w:sz w:val="24"/>
                <w:szCs w:val="24"/>
                <w:vertAlign w:val="superscript"/>
              </w:rPr>
              <w:t>1</w:t>
            </w:r>
            <w:r w:rsidRPr="0097462C">
              <w:rPr>
                <w:rFonts w:ascii="Times New Roman" w:eastAsia="TimesNewRoman" w:hAnsi="Times New Roman" w:cs="Times New Roman"/>
                <w:sz w:val="24"/>
                <w:szCs w:val="24"/>
              </w:rPr>
              <w:t>**, hoste</w:t>
            </w:r>
          </w:p>
        </w:tc>
      </w:tr>
      <w:tr w:rsidR="0097462C" w:rsidRPr="0097462C" w14:paraId="553D121E" w14:textId="77777777" w:rsidTr="0097462C">
        <w:trPr>
          <w:cantSplit/>
          <w:trHeight w:val="20"/>
        </w:trPr>
        <w:tc>
          <w:tcPr>
            <w:tcW w:w="1665" w:type="pct"/>
            <w:vMerge w:val="restart"/>
            <w:tcBorders>
              <w:top w:val="single" w:sz="4" w:space="0" w:color="auto"/>
              <w:left w:val="single" w:sz="4" w:space="0" w:color="auto"/>
              <w:bottom w:val="single" w:sz="4" w:space="0" w:color="auto"/>
              <w:right w:val="single" w:sz="4" w:space="0" w:color="auto"/>
            </w:tcBorders>
            <w:hideMark/>
          </w:tcPr>
          <w:p w14:paraId="33D2E428" w14:textId="77777777"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sz w:val="24"/>
                <w:szCs w:val="24"/>
              </w:rPr>
              <w:t>Mave-tarm-kanalen</w:t>
            </w:r>
          </w:p>
        </w:tc>
        <w:tc>
          <w:tcPr>
            <w:tcW w:w="1624" w:type="pct"/>
            <w:tcBorders>
              <w:top w:val="single" w:sz="4" w:space="0" w:color="auto"/>
              <w:left w:val="single" w:sz="4" w:space="0" w:color="auto"/>
              <w:bottom w:val="single" w:sz="4" w:space="0" w:color="auto"/>
              <w:right w:val="single" w:sz="4" w:space="0" w:color="auto"/>
            </w:tcBorders>
            <w:hideMark/>
          </w:tcPr>
          <w:p w14:paraId="3C87A720"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i/>
                <w:iCs/>
                <w:sz w:val="24"/>
                <w:szCs w:val="24"/>
              </w:rPr>
              <w:t>Almindelig</w:t>
            </w:r>
          </w:p>
        </w:tc>
        <w:tc>
          <w:tcPr>
            <w:tcW w:w="1711" w:type="pct"/>
            <w:gridSpan w:val="2"/>
            <w:tcBorders>
              <w:top w:val="single" w:sz="4" w:space="0" w:color="auto"/>
              <w:left w:val="single" w:sz="4" w:space="0" w:color="auto"/>
              <w:bottom w:val="single" w:sz="4" w:space="0" w:color="auto"/>
              <w:right w:val="single" w:sz="4" w:space="0" w:color="auto"/>
            </w:tcBorders>
          </w:tcPr>
          <w:p w14:paraId="3B23533D" w14:textId="77777777" w:rsidR="0097462C" w:rsidRPr="0097462C" w:rsidRDefault="0097462C" w:rsidP="0097462C">
            <w:pPr>
              <w:rPr>
                <w:rFonts w:ascii="Times New Roman" w:hAnsi="Times New Roman" w:cs="Times New Roman"/>
                <w:sz w:val="24"/>
                <w:szCs w:val="24"/>
              </w:rPr>
            </w:pPr>
            <w:r w:rsidRPr="0097462C">
              <w:rPr>
                <w:rFonts w:ascii="Times New Roman" w:eastAsia="TimesNewRoman" w:hAnsi="Times New Roman" w:cs="Times New Roman"/>
                <w:sz w:val="24"/>
                <w:szCs w:val="24"/>
              </w:rPr>
              <w:t>Gastrointestinale og abdominale smerter, kvalme, opkastning, obstipation, diarré, flatulens, oppustethed og udspiling</w:t>
            </w:r>
          </w:p>
        </w:tc>
      </w:tr>
      <w:tr w:rsidR="0097462C" w:rsidRPr="0097462C" w14:paraId="6ACE82B5" w14:textId="77777777" w:rsidTr="0097462C">
        <w:trPr>
          <w:cantSplit/>
          <w:trHeight w:val="20"/>
        </w:trPr>
        <w:tc>
          <w:tcPr>
            <w:tcW w:w="1665" w:type="pct"/>
            <w:vMerge/>
            <w:tcBorders>
              <w:top w:val="single" w:sz="4" w:space="0" w:color="auto"/>
              <w:left w:val="single" w:sz="4" w:space="0" w:color="auto"/>
              <w:bottom w:val="single" w:sz="4" w:space="0" w:color="auto"/>
              <w:right w:val="single" w:sz="4" w:space="0" w:color="auto"/>
            </w:tcBorders>
            <w:vAlign w:val="center"/>
            <w:hideMark/>
          </w:tcPr>
          <w:p w14:paraId="22ECE344" w14:textId="77777777" w:rsidR="0097462C" w:rsidRPr="0097462C" w:rsidRDefault="0097462C" w:rsidP="0097462C">
            <w:pPr>
              <w:rPr>
                <w:rFonts w:ascii="Times New Roman" w:eastAsia="TimesNew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tcPr>
          <w:p w14:paraId="74D75D6C"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i/>
                <w:iCs/>
                <w:sz w:val="24"/>
                <w:szCs w:val="24"/>
              </w:rPr>
              <w:t>Ikke almindelig</w:t>
            </w:r>
          </w:p>
        </w:tc>
        <w:tc>
          <w:tcPr>
            <w:tcW w:w="1711" w:type="pct"/>
            <w:gridSpan w:val="2"/>
            <w:tcBorders>
              <w:top w:val="single" w:sz="4" w:space="0" w:color="auto"/>
              <w:left w:val="single" w:sz="4" w:space="0" w:color="auto"/>
              <w:bottom w:val="single" w:sz="4" w:space="0" w:color="auto"/>
              <w:right w:val="single" w:sz="4" w:space="0" w:color="auto"/>
            </w:tcBorders>
          </w:tcPr>
          <w:p w14:paraId="05280182" w14:textId="77777777" w:rsidR="0097462C" w:rsidRPr="0097462C" w:rsidRDefault="0097462C" w:rsidP="0097462C">
            <w:pPr>
              <w:rPr>
                <w:rFonts w:ascii="Times New Roman" w:hAnsi="Times New Roman" w:cs="Times New Roman"/>
                <w:sz w:val="24"/>
                <w:szCs w:val="24"/>
              </w:rPr>
            </w:pPr>
            <w:r w:rsidRPr="0097462C">
              <w:rPr>
                <w:rFonts w:ascii="Times New Roman" w:eastAsia="TimesNewRoman" w:hAnsi="Times New Roman" w:cs="Times New Roman"/>
                <w:sz w:val="24"/>
                <w:szCs w:val="24"/>
              </w:rPr>
              <w:t>Dyspepsi, glossitis</w:t>
            </w:r>
          </w:p>
        </w:tc>
      </w:tr>
      <w:tr w:rsidR="0097462C" w:rsidRPr="0097462C" w14:paraId="5ED1A827" w14:textId="77777777" w:rsidTr="0097462C">
        <w:trPr>
          <w:cantSplit/>
          <w:trHeight w:val="20"/>
        </w:trPr>
        <w:tc>
          <w:tcPr>
            <w:tcW w:w="1665" w:type="pct"/>
            <w:vMerge w:val="restart"/>
            <w:tcBorders>
              <w:top w:val="single" w:sz="4" w:space="0" w:color="auto"/>
              <w:left w:val="single" w:sz="4" w:space="0" w:color="auto"/>
              <w:bottom w:val="single" w:sz="4" w:space="0" w:color="auto"/>
              <w:right w:val="single" w:sz="4" w:space="0" w:color="auto"/>
            </w:tcBorders>
            <w:hideMark/>
          </w:tcPr>
          <w:p w14:paraId="0F795996" w14:textId="77777777"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sz w:val="24"/>
                <w:szCs w:val="24"/>
              </w:rPr>
              <w:t>Lever og galdeveje</w:t>
            </w:r>
          </w:p>
        </w:tc>
        <w:tc>
          <w:tcPr>
            <w:tcW w:w="1624" w:type="pct"/>
            <w:tcBorders>
              <w:top w:val="single" w:sz="4" w:space="0" w:color="auto"/>
              <w:left w:val="single" w:sz="4" w:space="0" w:color="auto"/>
              <w:bottom w:val="single" w:sz="4" w:space="0" w:color="auto"/>
              <w:right w:val="single" w:sz="4" w:space="0" w:color="auto"/>
            </w:tcBorders>
            <w:hideMark/>
          </w:tcPr>
          <w:p w14:paraId="3D6E7E79" w14:textId="77777777" w:rsidR="0097462C" w:rsidRPr="0097462C" w:rsidRDefault="0097462C" w:rsidP="0097462C">
            <w:pPr>
              <w:rPr>
                <w:rFonts w:ascii="Times New Roman" w:hAnsi="Times New Roman" w:cs="Times New Roman"/>
                <w:i/>
                <w:iCs/>
                <w:sz w:val="24"/>
                <w:szCs w:val="24"/>
              </w:rPr>
            </w:pPr>
            <w:r w:rsidRPr="0097462C">
              <w:rPr>
                <w:rFonts w:ascii="Times New Roman" w:hAnsi="Times New Roman" w:cs="Times New Roman"/>
                <w:i/>
                <w:iCs/>
                <w:sz w:val="24"/>
                <w:szCs w:val="24"/>
              </w:rPr>
              <w:t>Almindelig</w:t>
            </w:r>
          </w:p>
        </w:tc>
        <w:tc>
          <w:tcPr>
            <w:tcW w:w="1711" w:type="pct"/>
            <w:gridSpan w:val="2"/>
            <w:tcBorders>
              <w:top w:val="single" w:sz="4" w:space="0" w:color="auto"/>
              <w:left w:val="single" w:sz="4" w:space="0" w:color="auto"/>
              <w:bottom w:val="single" w:sz="4" w:space="0" w:color="auto"/>
              <w:right w:val="single" w:sz="4" w:space="0" w:color="auto"/>
            </w:tcBorders>
          </w:tcPr>
          <w:p w14:paraId="52F6BD86" w14:textId="139F0B21"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sz w:val="24"/>
                <w:szCs w:val="24"/>
              </w:rPr>
              <w:t>Unormale leverfunktionstest</w:t>
            </w:r>
            <w:r w:rsidRPr="0097462C">
              <w:rPr>
                <w:rFonts w:ascii="Times New Roman" w:eastAsia="TimesNewRoman" w:hAnsi="Times New Roman" w:cs="Times New Roman"/>
                <w:sz w:val="24"/>
                <w:szCs w:val="24"/>
                <w:vertAlign w:val="superscript"/>
              </w:rPr>
              <w:t>2</w:t>
            </w:r>
            <w:r w:rsidRPr="0097462C">
              <w:rPr>
                <w:rFonts w:ascii="Times New Roman" w:eastAsia="TimesNewRoman" w:hAnsi="Times New Roman" w:cs="Times New Roman"/>
                <w:sz w:val="24"/>
                <w:szCs w:val="24"/>
              </w:rPr>
              <w:t xml:space="preserve"> (øget alanin</w:t>
            </w:r>
            <w:r w:rsidR="00080626">
              <w:rPr>
                <w:rFonts w:ascii="Times New Roman" w:eastAsia="TimesNewRoman" w:hAnsi="Times New Roman" w:cs="Times New Roman"/>
                <w:sz w:val="24"/>
                <w:szCs w:val="24"/>
              </w:rPr>
              <w:t>-</w:t>
            </w:r>
            <w:r w:rsidRPr="0097462C">
              <w:rPr>
                <w:rFonts w:ascii="Times New Roman" w:eastAsia="TimesNewRoman" w:hAnsi="Times New Roman" w:cs="Times New Roman"/>
                <w:sz w:val="24"/>
                <w:szCs w:val="24"/>
              </w:rPr>
              <w:t>aminotransferase (ALAT), aspartat-aminotransferase (ASAT) og basisk fosfatase (ALP))</w:t>
            </w:r>
          </w:p>
        </w:tc>
      </w:tr>
      <w:tr w:rsidR="0097462C" w:rsidRPr="0097462C" w14:paraId="48024932" w14:textId="77777777" w:rsidTr="0097462C">
        <w:trPr>
          <w:cantSplit/>
          <w:trHeight w:val="20"/>
        </w:trPr>
        <w:tc>
          <w:tcPr>
            <w:tcW w:w="1665" w:type="pct"/>
            <w:vMerge/>
            <w:tcBorders>
              <w:top w:val="single" w:sz="4" w:space="0" w:color="auto"/>
              <w:left w:val="single" w:sz="4" w:space="0" w:color="auto"/>
              <w:bottom w:val="single" w:sz="4" w:space="0" w:color="auto"/>
              <w:right w:val="single" w:sz="4" w:space="0" w:color="auto"/>
            </w:tcBorders>
            <w:vAlign w:val="center"/>
            <w:hideMark/>
          </w:tcPr>
          <w:p w14:paraId="2C2CBE48" w14:textId="77777777" w:rsidR="0097462C" w:rsidRPr="0097462C" w:rsidRDefault="0097462C" w:rsidP="0097462C">
            <w:pPr>
              <w:rPr>
                <w:rFonts w:ascii="Times New Roman" w:eastAsia="TimesNew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hideMark/>
          </w:tcPr>
          <w:p w14:paraId="4B8C8907" w14:textId="77777777" w:rsidR="0097462C" w:rsidRPr="0097462C" w:rsidRDefault="0097462C" w:rsidP="0097462C">
            <w:pPr>
              <w:rPr>
                <w:rFonts w:ascii="Times New Roman" w:hAnsi="Times New Roman" w:cs="Times New Roman"/>
                <w:i/>
                <w:iCs/>
                <w:sz w:val="24"/>
                <w:szCs w:val="24"/>
              </w:rPr>
            </w:pPr>
            <w:r w:rsidRPr="0097462C">
              <w:rPr>
                <w:rFonts w:ascii="Times New Roman" w:hAnsi="Times New Roman" w:cs="Times New Roman"/>
                <w:i/>
                <w:iCs/>
                <w:sz w:val="24"/>
                <w:szCs w:val="24"/>
              </w:rPr>
              <w:t>Sjælden</w:t>
            </w:r>
          </w:p>
        </w:tc>
        <w:tc>
          <w:tcPr>
            <w:tcW w:w="1711" w:type="pct"/>
            <w:gridSpan w:val="2"/>
            <w:tcBorders>
              <w:top w:val="single" w:sz="4" w:space="0" w:color="auto"/>
              <w:left w:val="single" w:sz="4" w:space="0" w:color="auto"/>
              <w:bottom w:val="single" w:sz="4" w:space="0" w:color="auto"/>
              <w:right w:val="single" w:sz="4" w:space="0" w:color="auto"/>
            </w:tcBorders>
            <w:hideMark/>
          </w:tcPr>
          <w:p w14:paraId="6971A636" w14:textId="77777777"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sz w:val="24"/>
                <w:szCs w:val="24"/>
              </w:rPr>
              <w:t>Gulsot</w:t>
            </w:r>
          </w:p>
        </w:tc>
      </w:tr>
      <w:tr w:rsidR="0097462C" w:rsidRPr="0097462C" w14:paraId="507F8E30" w14:textId="77777777" w:rsidTr="0097462C">
        <w:trPr>
          <w:cantSplit/>
          <w:trHeight w:val="20"/>
        </w:trPr>
        <w:tc>
          <w:tcPr>
            <w:tcW w:w="1665" w:type="pct"/>
            <w:vMerge w:val="restart"/>
            <w:tcBorders>
              <w:top w:val="single" w:sz="4" w:space="0" w:color="auto"/>
              <w:left w:val="single" w:sz="4" w:space="0" w:color="auto"/>
              <w:bottom w:val="single" w:sz="4" w:space="0" w:color="auto"/>
              <w:right w:val="single" w:sz="4" w:space="0" w:color="auto"/>
            </w:tcBorders>
            <w:hideMark/>
          </w:tcPr>
          <w:p w14:paraId="1ABEEC5E" w14:textId="77777777"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sz w:val="24"/>
                <w:szCs w:val="24"/>
              </w:rPr>
              <w:t>Hud og subkutane væv</w:t>
            </w:r>
          </w:p>
        </w:tc>
        <w:tc>
          <w:tcPr>
            <w:tcW w:w="1624" w:type="pct"/>
            <w:tcBorders>
              <w:top w:val="single" w:sz="4" w:space="0" w:color="auto"/>
              <w:left w:val="single" w:sz="4" w:space="0" w:color="auto"/>
              <w:bottom w:val="single" w:sz="4" w:space="0" w:color="auto"/>
              <w:right w:val="single" w:sz="4" w:space="0" w:color="auto"/>
            </w:tcBorders>
            <w:hideMark/>
          </w:tcPr>
          <w:p w14:paraId="297E8686" w14:textId="77777777" w:rsidR="0097462C" w:rsidRPr="0097462C" w:rsidRDefault="0097462C" w:rsidP="0097462C">
            <w:pPr>
              <w:rPr>
                <w:rFonts w:ascii="Times New Roman" w:hAnsi="Times New Roman" w:cs="Times New Roman"/>
                <w:i/>
                <w:iCs/>
                <w:sz w:val="24"/>
                <w:szCs w:val="24"/>
              </w:rPr>
            </w:pPr>
            <w:r w:rsidRPr="0097462C">
              <w:rPr>
                <w:rFonts w:ascii="Times New Roman" w:hAnsi="Times New Roman" w:cs="Times New Roman"/>
                <w:i/>
                <w:iCs/>
                <w:sz w:val="24"/>
                <w:szCs w:val="24"/>
              </w:rPr>
              <w:t>Almindelig</w:t>
            </w:r>
          </w:p>
        </w:tc>
        <w:tc>
          <w:tcPr>
            <w:tcW w:w="1711" w:type="pct"/>
            <w:gridSpan w:val="2"/>
            <w:tcBorders>
              <w:top w:val="single" w:sz="4" w:space="0" w:color="auto"/>
              <w:left w:val="single" w:sz="4" w:space="0" w:color="auto"/>
              <w:bottom w:val="single" w:sz="4" w:space="0" w:color="auto"/>
              <w:right w:val="single" w:sz="4" w:space="0" w:color="auto"/>
            </w:tcBorders>
            <w:hideMark/>
          </w:tcPr>
          <w:p w14:paraId="75FB9B3E" w14:textId="77777777"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sz w:val="24"/>
                <w:szCs w:val="24"/>
              </w:rPr>
              <w:t>Udslæt, pruritus</w:t>
            </w:r>
          </w:p>
        </w:tc>
      </w:tr>
      <w:tr w:rsidR="0097462C" w:rsidRPr="0097462C" w14:paraId="3A2566ED" w14:textId="77777777" w:rsidTr="0097462C">
        <w:trPr>
          <w:cantSplit/>
          <w:trHeight w:val="20"/>
        </w:trPr>
        <w:tc>
          <w:tcPr>
            <w:tcW w:w="1665" w:type="pct"/>
            <w:vMerge/>
            <w:tcBorders>
              <w:top w:val="single" w:sz="4" w:space="0" w:color="auto"/>
              <w:left w:val="single" w:sz="4" w:space="0" w:color="auto"/>
              <w:bottom w:val="single" w:sz="4" w:space="0" w:color="auto"/>
              <w:right w:val="single" w:sz="4" w:space="0" w:color="auto"/>
            </w:tcBorders>
            <w:vAlign w:val="center"/>
            <w:hideMark/>
          </w:tcPr>
          <w:p w14:paraId="487E9A3C" w14:textId="77777777" w:rsidR="0097462C" w:rsidRPr="0097462C" w:rsidRDefault="0097462C" w:rsidP="0097462C">
            <w:pPr>
              <w:rPr>
                <w:rFonts w:ascii="Times New Roman" w:eastAsia="TimesNew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hideMark/>
          </w:tcPr>
          <w:p w14:paraId="3BEFBE9F" w14:textId="77777777" w:rsidR="0097462C" w:rsidRPr="0097462C" w:rsidRDefault="0097462C" w:rsidP="0097462C">
            <w:pPr>
              <w:rPr>
                <w:rFonts w:ascii="Times New Roman" w:hAnsi="Times New Roman" w:cs="Times New Roman"/>
                <w:i/>
                <w:iCs/>
                <w:sz w:val="24"/>
                <w:szCs w:val="24"/>
              </w:rPr>
            </w:pPr>
            <w:r w:rsidRPr="0097462C">
              <w:rPr>
                <w:rFonts w:ascii="Times New Roman" w:hAnsi="Times New Roman" w:cs="Times New Roman"/>
                <w:i/>
                <w:iCs/>
                <w:sz w:val="24"/>
                <w:szCs w:val="24"/>
              </w:rPr>
              <w:t>Ikke almindelig</w:t>
            </w:r>
          </w:p>
        </w:tc>
        <w:tc>
          <w:tcPr>
            <w:tcW w:w="1711" w:type="pct"/>
            <w:gridSpan w:val="2"/>
            <w:tcBorders>
              <w:top w:val="single" w:sz="4" w:space="0" w:color="auto"/>
              <w:left w:val="single" w:sz="4" w:space="0" w:color="auto"/>
              <w:bottom w:val="single" w:sz="4" w:space="0" w:color="auto"/>
              <w:right w:val="single" w:sz="4" w:space="0" w:color="auto"/>
            </w:tcBorders>
          </w:tcPr>
          <w:p w14:paraId="7770B6E5" w14:textId="77777777" w:rsidR="0097462C" w:rsidRPr="0097462C" w:rsidRDefault="0097462C" w:rsidP="0097462C">
            <w:pPr>
              <w:rPr>
                <w:rFonts w:ascii="Times New Roman" w:eastAsia="TimesNewRoman" w:hAnsi="Times New Roman" w:cs="Times New Roman"/>
                <w:sz w:val="24"/>
                <w:szCs w:val="24"/>
              </w:rPr>
            </w:pPr>
            <w:r w:rsidRPr="0097462C">
              <w:rPr>
                <w:rFonts w:ascii="Times New Roman" w:eastAsia="TimesNewRoman" w:hAnsi="Times New Roman" w:cs="Times New Roman"/>
                <w:sz w:val="24"/>
                <w:szCs w:val="24"/>
              </w:rPr>
              <w:t>Urticaria</w:t>
            </w:r>
          </w:p>
        </w:tc>
      </w:tr>
      <w:tr w:rsidR="0097462C" w:rsidRPr="0097462C" w14:paraId="596F72DD" w14:textId="77777777" w:rsidTr="0097462C">
        <w:trPr>
          <w:cantSplit/>
          <w:trHeight w:val="20"/>
        </w:trPr>
        <w:tc>
          <w:tcPr>
            <w:tcW w:w="1665" w:type="pct"/>
            <w:vMerge/>
            <w:tcBorders>
              <w:top w:val="single" w:sz="4" w:space="0" w:color="auto"/>
              <w:left w:val="single" w:sz="4" w:space="0" w:color="auto"/>
              <w:bottom w:val="single" w:sz="4" w:space="0" w:color="auto"/>
              <w:right w:val="single" w:sz="4" w:space="0" w:color="auto"/>
            </w:tcBorders>
            <w:vAlign w:val="center"/>
            <w:hideMark/>
          </w:tcPr>
          <w:p w14:paraId="47EA7620" w14:textId="77777777" w:rsidR="0097462C" w:rsidRPr="0097462C" w:rsidRDefault="0097462C" w:rsidP="0097462C">
            <w:pPr>
              <w:rPr>
                <w:rFonts w:ascii="Times New Roman" w:eastAsia="TimesNew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hideMark/>
          </w:tcPr>
          <w:p w14:paraId="08C29646" w14:textId="77777777" w:rsidR="0097462C" w:rsidRPr="0097462C" w:rsidRDefault="0097462C" w:rsidP="0097462C">
            <w:pPr>
              <w:rPr>
                <w:rFonts w:ascii="Times New Roman" w:hAnsi="Times New Roman" w:cs="Times New Roman"/>
                <w:i/>
                <w:iCs/>
                <w:sz w:val="24"/>
                <w:szCs w:val="24"/>
              </w:rPr>
            </w:pPr>
            <w:r w:rsidRPr="0097462C">
              <w:rPr>
                <w:rFonts w:ascii="Times New Roman" w:hAnsi="Times New Roman" w:cs="Times New Roman"/>
                <w:i/>
                <w:iCs/>
                <w:sz w:val="24"/>
                <w:szCs w:val="24"/>
              </w:rPr>
              <w:t>Ikke kendt*</w:t>
            </w:r>
          </w:p>
        </w:tc>
        <w:tc>
          <w:tcPr>
            <w:tcW w:w="1711" w:type="pct"/>
            <w:gridSpan w:val="2"/>
            <w:tcBorders>
              <w:top w:val="single" w:sz="4" w:space="0" w:color="auto"/>
              <w:left w:val="single" w:sz="4" w:space="0" w:color="auto"/>
              <w:bottom w:val="single" w:sz="4" w:space="0" w:color="auto"/>
              <w:right w:val="single" w:sz="4" w:space="0" w:color="auto"/>
            </w:tcBorders>
            <w:hideMark/>
          </w:tcPr>
          <w:p w14:paraId="2C0BBD71" w14:textId="725EE77D" w:rsidR="0097462C" w:rsidRPr="0097462C" w:rsidRDefault="00080626" w:rsidP="0097462C">
            <w:pPr>
              <w:rPr>
                <w:rFonts w:ascii="Times New Roman" w:eastAsia="TimesNewRoman" w:hAnsi="Times New Roman" w:cs="Times New Roman"/>
                <w:sz w:val="24"/>
                <w:szCs w:val="24"/>
              </w:rPr>
            </w:pPr>
            <w:r w:rsidRPr="00E95F9F">
              <w:rPr>
                <w:rFonts w:ascii="Times New Roman" w:eastAsia="TimesNewRoman" w:hAnsi="Times New Roman" w:cs="Times New Roman"/>
                <w:szCs w:val="24"/>
              </w:rPr>
              <w:t>Akut generaliseret eksantematøs pustulose</w:t>
            </w:r>
            <w:r>
              <w:rPr>
                <w:rFonts w:ascii="Times New Roman" w:eastAsia="TimesNewRoman" w:hAnsi="Times New Roman" w:cs="Times New Roman"/>
                <w:szCs w:val="24"/>
              </w:rPr>
              <w:t xml:space="preserve"> (AGEP), </w:t>
            </w:r>
            <w:r w:rsidRPr="00DA046D">
              <w:rPr>
                <w:rFonts w:ascii="Times New Roman" w:eastAsia="TimesNewRoman" w:hAnsi="Times New Roman" w:cs="Times New Roman"/>
                <w:szCs w:val="24"/>
              </w:rPr>
              <w:t>lægemiddelreaktion med eosinofili og systemiske</w:t>
            </w:r>
            <w:r>
              <w:rPr>
                <w:rFonts w:ascii="Times New Roman" w:eastAsia="TimesNewRoman" w:hAnsi="Times New Roman" w:cs="Times New Roman"/>
                <w:szCs w:val="24"/>
              </w:rPr>
              <w:t xml:space="preserve"> </w:t>
            </w:r>
            <w:r w:rsidRPr="00DA046D">
              <w:rPr>
                <w:rFonts w:ascii="Times New Roman" w:eastAsia="TimesNewRoman" w:hAnsi="Times New Roman" w:cs="Times New Roman"/>
                <w:szCs w:val="24"/>
              </w:rPr>
              <w:t>symptomer (DRESS)**, vesikulobulløst udslæt med</w:t>
            </w:r>
            <w:r>
              <w:rPr>
                <w:rFonts w:ascii="Times New Roman" w:eastAsia="TimesNewRoman" w:hAnsi="Times New Roman" w:cs="Times New Roman"/>
                <w:szCs w:val="24"/>
              </w:rPr>
              <w:t xml:space="preserve"> </w:t>
            </w:r>
            <w:r w:rsidRPr="00DA046D">
              <w:rPr>
                <w:rFonts w:ascii="Times New Roman" w:eastAsia="TimesNewRoman" w:hAnsi="Times New Roman" w:cs="Times New Roman"/>
                <w:szCs w:val="24"/>
              </w:rPr>
              <w:t>eller uden påvirkning af slimhinderne (SJS eller</w:t>
            </w:r>
            <w:r>
              <w:rPr>
                <w:rFonts w:ascii="Times New Roman" w:eastAsia="TimesNewRoman" w:hAnsi="Times New Roman" w:cs="Times New Roman"/>
                <w:szCs w:val="24"/>
              </w:rPr>
              <w:t xml:space="preserve"> </w:t>
            </w:r>
            <w:proofErr w:type="gramStart"/>
            <w:r w:rsidRPr="00DA046D">
              <w:rPr>
                <w:rFonts w:ascii="Times New Roman" w:eastAsia="TimesNewRoman" w:hAnsi="Times New Roman" w:cs="Times New Roman"/>
                <w:szCs w:val="24"/>
              </w:rPr>
              <w:t>TEN)*</w:t>
            </w:r>
            <w:proofErr w:type="gramEnd"/>
            <w:r w:rsidRPr="00DA046D">
              <w:rPr>
                <w:rFonts w:ascii="Times New Roman" w:eastAsia="TimesNewRoman" w:hAnsi="Times New Roman" w:cs="Times New Roman"/>
                <w:szCs w:val="24"/>
              </w:rPr>
              <w:t>*</w:t>
            </w:r>
          </w:p>
        </w:tc>
      </w:tr>
      <w:tr w:rsidR="0097462C" w:rsidRPr="0097462C" w14:paraId="5FCDF5A2" w14:textId="77777777" w:rsidTr="0097462C">
        <w:trPr>
          <w:cantSplit/>
          <w:trHeight w:val="20"/>
        </w:trPr>
        <w:tc>
          <w:tcPr>
            <w:tcW w:w="1665" w:type="pct"/>
            <w:vMerge w:val="restart"/>
            <w:tcBorders>
              <w:top w:val="single" w:sz="4" w:space="0" w:color="auto"/>
              <w:left w:val="single" w:sz="4" w:space="0" w:color="auto"/>
              <w:bottom w:val="single" w:sz="4" w:space="0" w:color="auto"/>
              <w:right w:val="single" w:sz="4" w:space="0" w:color="auto"/>
            </w:tcBorders>
          </w:tcPr>
          <w:p w14:paraId="239667D2"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sz w:val="24"/>
                <w:szCs w:val="24"/>
              </w:rPr>
              <w:t>Knogler, led, muskler og bindevæv</w:t>
            </w:r>
          </w:p>
        </w:tc>
        <w:tc>
          <w:tcPr>
            <w:tcW w:w="1624" w:type="pct"/>
            <w:tcBorders>
              <w:top w:val="single" w:sz="4" w:space="0" w:color="auto"/>
              <w:left w:val="single" w:sz="4" w:space="0" w:color="auto"/>
              <w:bottom w:val="single" w:sz="4" w:space="0" w:color="auto"/>
              <w:right w:val="single" w:sz="4" w:space="0" w:color="auto"/>
            </w:tcBorders>
            <w:hideMark/>
          </w:tcPr>
          <w:p w14:paraId="5C19AD77" w14:textId="77777777" w:rsidR="0097462C" w:rsidRPr="0097462C" w:rsidRDefault="0097462C" w:rsidP="0097462C">
            <w:pPr>
              <w:rPr>
                <w:rFonts w:ascii="Times New Roman" w:eastAsia="TimesNewRoman,Bold" w:hAnsi="Times New Roman" w:cs="Times New Roman"/>
                <w:i/>
                <w:iCs/>
                <w:sz w:val="24"/>
                <w:szCs w:val="24"/>
              </w:rPr>
            </w:pPr>
            <w:r w:rsidRPr="0097462C">
              <w:rPr>
                <w:rFonts w:ascii="Times New Roman" w:eastAsia="TimesNewRoman,Bold" w:hAnsi="Times New Roman" w:cs="Times New Roman"/>
                <w:i/>
                <w:iCs/>
                <w:sz w:val="24"/>
                <w:szCs w:val="24"/>
              </w:rPr>
              <w:t>Almindelig</w:t>
            </w:r>
          </w:p>
        </w:tc>
        <w:tc>
          <w:tcPr>
            <w:tcW w:w="1711" w:type="pct"/>
            <w:gridSpan w:val="2"/>
            <w:tcBorders>
              <w:top w:val="single" w:sz="4" w:space="0" w:color="auto"/>
              <w:left w:val="single" w:sz="4" w:space="0" w:color="auto"/>
              <w:bottom w:val="single" w:sz="4" w:space="0" w:color="auto"/>
              <w:right w:val="single" w:sz="4" w:space="0" w:color="auto"/>
            </w:tcBorders>
          </w:tcPr>
          <w:p w14:paraId="6020A7B0"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sz w:val="24"/>
                <w:szCs w:val="24"/>
              </w:rPr>
              <w:t>Ekstremitetssmerter, forhøjet serumkreatinkinase (CK)</w:t>
            </w:r>
            <w:r w:rsidRPr="0097462C">
              <w:rPr>
                <w:rFonts w:ascii="Times New Roman" w:hAnsi="Times New Roman" w:cs="Times New Roman"/>
                <w:sz w:val="24"/>
                <w:szCs w:val="24"/>
                <w:vertAlign w:val="superscript"/>
              </w:rPr>
              <w:t>2</w:t>
            </w:r>
          </w:p>
        </w:tc>
      </w:tr>
      <w:tr w:rsidR="0097462C" w:rsidRPr="0097462C" w14:paraId="263B2FEE" w14:textId="77777777" w:rsidTr="0097462C">
        <w:trPr>
          <w:cantSplit/>
          <w:trHeight w:val="20"/>
        </w:trPr>
        <w:tc>
          <w:tcPr>
            <w:tcW w:w="1665" w:type="pct"/>
            <w:vMerge/>
            <w:tcBorders>
              <w:top w:val="single" w:sz="4" w:space="0" w:color="auto"/>
              <w:left w:val="single" w:sz="4" w:space="0" w:color="auto"/>
              <w:bottom w:val="single" w:sz="4" w:space="0" w:color="auto"/>
              <w:right w:val="single" w:sz="4" w:space="0" w:color="auto"/>
            </w:tcBorders>
            <w:vAlign w:val="center"/>
            <w:hideMark/>
          </w:tcPr>
          <w:p w14:paraId="7B553ADD" w14:textId="77777777" w:rsidR="0097462C" w:rsidRPr="0097462C" w:rsidRDefault="0097462C" w:rsidP="0097462C">
            <w:pPr>
              <w:rPr>
                <w:rFonts w:ascii="Times New 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tcPr>
          <w:p w14:paraId="0FC02986" w14:textId="77777777" w:rsidR="0097462C" w:rsidRPr="0097462C" w:rsidRDefault="0097462C" w:rsidP="0097462C">
            <w:pPr>
              <w:rPr>
                <w:rFonts w:ascii="Times New Roman" w:eastAsia="TimesNewRoman,Bold" w:hAnsi="Times New Roman" w:cs="Times New Roman"/>
                <w:i/>
                <w:iCs/>
                <w:sz w:val="24"/>
                <w:szCs w:val="24"/>
              </w:rPr>
            </w:pPr>
            <w:r w:rsidRPr="0097462C">
              <w:rPr>
                <w:rFonts w:ascii="Times New Roman" w:eastAsia="TimesNewRoman,Bold" w:hAnsi="Times New Roman" w:cs="Times New Roman"/>
                <w:i/>
                <w:iCs/>
                <w:sz w:val="24"/>
                <w:szCs w:val="24"/>
              </w:rPr>
              <w:t>Ikke almindelig</w:t>
            </w:r>
          </w:p>
        </w:tc>
        <w:tc>
          <w:tcPr>
            <w:tcW w:w="1711" w:type="pct"/>
            <w:gridSpan w:val="2"/>
            <w:tcBorders>
              <w:top w:val="single" w:sz="4" w:space="0" w:color="auto"/>
              <w:left w:val="single" w:sz="4" w:space="0" w:color="auto"/>
              <w:bottom w:val="single" w:sz="4" w:space="0" w:color="auto"/>
              <w:right w:val="single" w:sz="4" w:space="0" w:color="auto"/>
            </w:tcBorders>
          </w:tcPr>
          <w:p w14:paraId="5A05A942"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sz w:val="24"/>
                <w:szCs w:val="24"/>
              </w:rPr>
              <w:t>Myositis, forhøjet myoglobin, muskelsvaghed, muskelsmerter, artralgi, forhøjet serumlaktatdehydrogenase (LDH), muskelkramper</w:t>
            </w:r>
          </w:p>
        </w:tc>
      </w:tr>
      <w:tr w:rsidR="0097462C" w:rsidRPr="0097462C" w14:paraId="04310BFB" w14:textId="77777777" w:rsidTr="0097462C">
        <w:trPr>
          <w:cantSplit/>
          <w:trHeight w:val="20"/>
        </w:trPr>
        <w:tc>
          <w:tcPr>
            <w:tcW w:w="1665" w:type="pct"/>
            <w:vMerge/>
            <w:tcBorders>
              <w:top w:val="single" w:sz="4" w:space="0" w:color="auto"/>
              <w:left w:val="single" w:sz="4" w:space="0" w:color="auto"/>
              <w:bottom w:val="single" w:sz="4" w:space="0" w:color="auto"/>
              <w:right w:val="single" w:sz="4" w:space="0" w:color="auto"/>
            </w:tcBorders>
            <w:vAlign w:val="center"/>
            <w:hideMark/>
          </w:tcPr>
          <w:p w14:paraId="47AA86F7" w14:textId="77777777" w:rsidR="0097462C" w:rsidRPr="0097462C" w:rsidRDefault="0097462C" w:rsidP="0097462C">
            <w:pPr>
              <w:rPr>
                <w:rFonts w:ascii="Times New 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hideMark/>
          </w:tcPr>
          <w:p w14:paraId="740892D6" w14:textId="77777777" w:rsidR="0097462C" w:rsidRPr="0097462C" w:rsidRDefault="0097462C" w:rsidP="0097462C">
            <w:pPr>
              <w:rPr>
                <w:rFonts w:ascii="Times New Roman" w:eastAsia="TimesNewRoman,Bold" w:hAnsi="Times New Roman" w:cs="Times New Roman"/>
                <w:i/>
                <w:iCs/>
                <w:sz w:val="24"/>
                <w:szCs w:val="24"/>
              </w:rPr>
            </w:pPr>
            <w:r w:rsidRPr="0097462C">
              <w:rPr>
                <w:rFonts w:ascii="Times New Roman" w:eastAsia="TimesNewRoman,Bold" w:hAnsi="Times New Roman" w:cs="Times New Roman"/>
                <w:i/>
                <w:iCs/>
                <w:sz w:val="24"/>
                <w:szCs w:val="24"/>
              </w:rPr>
              <w:t>Ikke kendt*</w:t>
            </w:r>
          </w:p>
        </w:tc>
        <w:tc>
          <w:tcPr>
            <w:tcW w:w="1711" w:type="pct"/>
            <w:gridSpan w:val="2"/>
            <w:tcBorders>
              <w:top w:val="single" w:sz="4" w:space="0" w:color="auto"/>
              <w:left w:val="single" w:sz="4" w:space="0" w:color="auto"/>
              <w:bottom w:val="single" w:sz="4" w:space="0" w:color="auto"/>
              <w:right w:val="single" w:sz="4" w:space="0" w:color="auto"/>
            </w:tcBorders>
            <w:hideMark/>
          </w:tcPr>
          <w:p w14:paraId="07F6052C"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sz w:val="24"/>
                <w:szCs w:val="24"/>
              </w:rPr>
              <w:t>Rabdomyolyse</w:t>
            </w:r>
            <w:r w:rsidRPr="0097462C">
              <w:rPr>
                <w:rFonts w:ascii="Times New Roman" w:hAnsi="Times New Roman" w:cs="Times New Roman"/>
                <w:sz w:val="24"/>
                <w:szCs w:val="24"/>
                <w:vertAlign w:val="superscript"/>
              </w:rPr>
              <w:t>3</w:t>
            </w:r>
            <w:r w:rsidRPr="0097462C">
              <w:rPr>
                <w:rFonts w:ascii="Times New Roman" w:hAnsi="Times New Roman" w:cs="Times New Roman"/>
                <w:sz w:val="24"/>
                <w:szCs w:val="24"/>
              </w:rPr>
              <w:t>**</w:t>
            </w:r>
          </w:p>
        </w:tc>
      </w:tr>
      <w:tr w:rsidR="00D0791C" w:rsidRPr="0097462C" w14:paraId="7B57E290" w14:textId="77777777" w:rsidTr="0097462C">
        <w:trPr>
          <w:cantSplit/>
          <w:trHeight w:val="20"/>
        </w:trPr>
        <w:tc>
          <w:tcPr>
            <w:tcW w:w="1665" w:type="pct"/>
            <w:tcBorders>
              <w:top w:val="single" w:sz="4" w:space="0" w:color="auto"/>
              <w:left w:val="single" w:sz="4" w:space="0" w:color="auto"/>
              <w:bottom w:val="single" w:sz="4" w:space="0" w:color="auto"/>
              <w:right w:val="single" w:sz="4" w:space="0" w:color="auto"/>
            </w:tcBorders>
          </w:tcPr>
          <w:p w14:paraId="2284F2C6" w14:textId="77777777" w:rsidR="00D0791C" w:rsidRPr="0097462C" w:rsidRDefault="00D0791C" w:rsidP="00D0791C">
            <w:pPr>
              <w:rPr>
                <w:sz w:val="24"/>
                <w:szCs w:val="24"/>
              </w:rPr>
            </w:pPr>
          </w:p>
        </w:tc>
        <w:tc>
          <w:tcPr>
            <w:tcW w:w="1624" w:type="pct"/>
            <w:tcBorders>
              <w:top w:val="single" w:sz="4" w:space="0" w:color="auto"/>
              <w:left w:val="single" w:sz="4" w:space="0" w:color="auto"/>
              <w:bottom w:val="single" w:sz="4" w:space="0" w:color="auto"/>
              <w:right w:val="single" w:sz="4" w:space="0" w:color="auto"/>
            </w:tcBorders>
          </w:tcPr>
          <w:p w14:paraId="61624F8C" w14:textId="77777777" w:rsidR="00D0791C" w:rsidRPr="00E95F9F" w:rsidRDefault="00D0791C" w:rsidP="00D0791C">
            <w:pPr>
              <w:rPr>
                <w:rFonts w:eastAsia="TimesNewRoman,Bold"/>
                <w:i/>
                <w:iCs/>
                <w:szCs w:val="24"/>
              </w:rPr>
            </w:pPr>
          </w:p>
        </w:tc>
        <w:tc>
          <w:tcPr>
            <w:tcW w:w="1711" w:type="pct"/>
            <w:gridSpan w:val="2"/>
            <w:tcBorders>
              <w:top w:val="single" w:sz="4" w:space="0" w:color="auto"/>
              <w:left w:val="single" w:sz="4" w:space="0" w:color="auto"/>
              <w:bottom w:val="single" w:sz="4" w:space="0" w:color="auto"/>
              <w:right w:val="single" w:sz="4" w:space="0" w:color="auto"/>
            </w:tcBorders>
          </w:tcPr>
          <w:p w14:paraId="1392A1DA" w14:textId="77777777" w:rsidR="00D0791C" w:rsidRPr="00E95F9F" w:rsidRDefault="00D0791C" w:rsidP="00D0791C">
            <w:pPr>
              <w:rPr>
                <w:szCs w:val="24"/>
              </w:rPr>
            </w:pPr>
          </w:p>
        </w:tc>
      </w:tr>
      <w:tr w:rsidR="00D0791C" w:rsidRPr="0097462C" w14:paraId="76F46356" w14:textId="77777777" w:rsidTr="0097462C">
        <w:trPr>
          <w:cantSplit/>
          <w:trHeight w:val="20"/>
        </w:trPr>
        <w:tc>
          <w:tcPr>
            <w:tcW w:w="1665" w:type="pct"/>
            <w:tcBorders>
              <w:top w:val="single" w:sz="4" w:space="0" w:color="auto"/>
              <w:left w:val="single" w:sz="4" w:space="0" w:color="auto"/>
              <w:bottom w:val="single" w:sz="4" w:space="0" w:color="auto"/>
              <w:right w:val="single" w:sz="4" w:space="0" w:color="auto"/>
            </w:tcBorders>
          </w:tcPr>
          <w:p w14:paraId="5C638101" w14:textId="77777777" w:rsidR="00D0791C" w:rsidRPr="0097462C" w:rsidRDefault="00D0791C" w:rsidP="00D0791C">
            <w:pPr>
              <w:rPr>
                <w:sz w:val="24"/>
                <w:szCs w:val="24"/>
              </w:rPr>
            </w:pPr>
          </w:p>
        </w:tc>
        <w:tc>
          <w:tcPr>
            <w:tcW w:w="1624" w:type="pct"/>
            <w:tcBorders>
              <w:top w:val="single" w:sz="4" w:space="0" w:color="auto"/>
              <w:left w:val="single" w:sz="4" w:space="0" w:color="auto"/>
              <w:bottom w:val="single" w:sz="4" w:space="0" w:color="auto"/>
              <w:right w:val="single" w:sz="4" w:space="0" w:color="auto"/>
            </w:tcBorders>
          </w:tcPr>
          <w:p w14:paraId="7058F999" w14:textId="77777777" w:rsidR="00D0791C" w:rsidRPr="00E95F9F" w:rsidRDefault="00D0791C" w:rsidP="00D0791C">
            <w:pPr>
              <w:rPr>
                <w:rFonts w:eastAsia="TimesNewRoman,Bold"/>
                <w:i/>
                <w:iCs/>
                <w:szCs w:val="24"/>
              </w:rPr>
            </w:pPr>
          </w:p>
        </w:tc>
        <w:tc>
          <w:tcPr>
            <w:tcW w:w="1711" w:type="pct"/>
            <w:gridSpan w:val="2"/>
            <w:tcBorders>
              <w:top w:val="single" w:sz="4" w:space="0" w:color="auto"/>
              <w:left w:val="single" w:sz="4" w:space="0" w:color="auto"/>
              <w:bottom w:val="single" w:sz="4" w:space="0" w:color="auto"/>
              <w:right w:val="single" w:sz="4" w:space="0" w:color="auto"/>
            </w:tcBorders>
          </w:tcPr>
          <w:p w14:paraId="206C548D" w14:textId="77777777" w:rsidR="00D0791C" w:rsidRPr="00E95F9F" w:rsidRDefault="00D0791C" w:rsidP="00D0791C">
            <w:pPr>
              <w:rPr>
                <w:szCs w:val="24"/>
              </w:rPr>
            </w:pPr>
          </w:p>
        </w:tc>
      </w:tr>
      <w:tr w:rsidR="00D0791C" w:rsidRPr="0097462C" w14:paraId="7666EFDA" w14:textId="77777777" w:rsidTr="00D0791C">
        <w:trPr>
          <w:cantSplit/>
          <w:trHeight w:val="396"/>
        </w:trPr>
        <w:tc>
          <w:tcPr>
            <w:tcW w:w="1665" w:type="pct"/>
            <w:vMerge w:val="restart"/>
            <w:tcBorders>
              <w:top w:val="single" w:sz="4" w:space="0" w:color="auto"/>
              <w:left w:val="single" w:sz="4" w:space="0" w:color="auto"/>
              <w:right w:val="single" w:sz="4" w:space="0" w:color="auto"/>
            </w:tcBorders>
            <w:hideMark/>
          </w:tcPr>
          <w:p w14:paraId="68A548FD" w14:textId="77777777" w:rsidR="00D0791C" w:rsidRPr="0097462C" w:rsidRDefault="00D0791C" w:rsidP="00D0791C">
            <w:pPr>
              <w:rPr>
                <w:rFonts w:ascii="Times New Roman" w:hAnsi="Times New Roman" w:cs="Times New Roman"/>
                <w:sz w:val="24"/>
                <w:szCs w:val="24"/>
              </w:rPr>
            </w:pPr>
            <w:r w:rsidRPr="0097462C">
              <w:rPr>
                <w:rFonts w:ascii="Times New Roman" w:hAnsi="Times New Roman" w:cs="Times New Roman"/>
                <w:sz w:val="24"/>
                <w:szCs w:val="24"/>
              </w:rPr>
              <w:t>Nyrer og urinveje</w:t>
            </w:r>
          </w:p>
        </w:tc>
        <w:tc>
          <w:tcPr>
            <w:tcW w:w="1668" w:type="pct"/>
            <w:gridSpan w:val="2"/>
            <w:tcBorders>
              <w:top w:val="single" w:sz="4" w:space="0" w:color="auto"/>
              <w:left w:val="single" w:sz="4" w:space="0" w:color="auto"/>
              <w:bottom w:val="single" w:sz="4" w:space="0" w:color="auto"/>
              <w:right w:val="single" w:sz="4" w:space="0" w:color="auto"/>
            </w:tcBorders>
          </w:tcPr>
          <w:p w14:paraId="3DC0EA29" w14:textId="77777777" w:rsidR="00D0791C" w:rsidRPr="0097462C" w:rsidRDefault="00D0791C" w:rsidP="00D0791C">
            <w:pPr>
              <w:rPr>
                <w:rFonts w:eastAsia="TimesNewRoman,Bold"/>
                <w:i/>
                <w:iCs/>
                <w:sz w:val="24"/>
                <w:szCs w:val="24"/>
              </w:rPr>
            </w:pPr>
            <w:r w:rsidRPr="00E95F9F">
              <w:rPr>
                <w:rFonts w:ascii="Times New Roman" w:eastAsia="TimesNewRoman,Bold" w:hAnsi="Times New Roman" w:cs="Times New Roman"/>
                <w:i/>
                <w:iCs/>
                <w:szCs w:val="24"/>
              </w:rPr>
              <w:t>Ikke almindelig</w:t>
            </w:r>
          </w:p>
        </w:tc>
        <w:tc>
          <w:tcPr>
            <w:tcW w:w="1667" w:type="pct"/>
            <w:tcBorders>
              <w:top w:val="single" w:sz="4" w:space="0" w:color="auto"/>
              <w:left w:val="single" w:sz="4" w:space="0" w:color="auto"/>
              <w:bottom w:val="single" w:sz="4" w:space="0" w:color="auto"/>
              <w:right w:val="single" w:sz="4" w:space="0" w:color="auto"/>
            </w:tcBorders>
          </w:tcPr>
          <w:p w14:paraId="710C0D4B" w14:textId="59BCDEEC" w:rsidR="00D0791C" w:rsidRPr="0097462C" w:rsidRDefault="00D0791C" w:rsidP="00D0791C">
            <w:pPr>
              <w:rPr>
                <w:rFonts w:ascii="Times New Roman" w:hAnsi="Times New Roman" w:cs="Times New Roman"/>
                <w:sz w:val="24"/>
                <w:szCs w:val="24"/>
              </w:rPr>
            </w:pPr>
            <w:r w:rsidRPr="00E95F9F">
              <w:rPr>
                <w:rFonts w:ascii="Times New Roman" w:hAnsi="Times New Roman" w:cs="Times New Roman"/>
                <w:szCs w:val="24"/>
              </w:rPr>
              <w:t>Nedsat nyrefunktion, inklusive nyresvigt og nyreinsufficiens, øget serum-kreatinin</w:t>
            </w:r>
          </w:p>
        </w:tc>
      </w:tr>
      <w:tr w:rsidR="00D0791C" w:rsidRPr="0097462C" w14:paraId="1298A7E9" w14:textId="77777777" w:rsidTr="00D0791C">
        <w:trPr>
          <w:cantSplit/>
          <w:trHeight w:val="396"/>
        </w:trPr>
        <w:tc>
          <w:tcPr>
            <w:tcW w:w="1665" w:type="pct"/>
            <w:vMerge/>
            <w:tcBorders>
              <w:left w:val="single" w:sz="4" w:space="0" w:color="auto"/>
              <w:bottom w:val="single" w:sz="4" w:space="0" w:color="auto"/>
              <w:right w:val="single" w:sz="4" w:space="0" w:color="auto"/>
            </w:tcBorders>
          </w:tcPr>
          <w:p w14:paraId="68161665" w14:textId="77777777" w:rsidR="00D0791C" w:rsidRPr="0097462C" w:rsidRDefault="00D0791C" w:rsidP="00D0791C">
            <w:pPr>
              <w:rPr>
                <w:sz w:val="24"/>
                <w:szCs w:val="24"/>
              </w:rPr>
            </w:pPr>
          </w:p>
        </w:tc>
        <w:tc>
          <w:tcPr>
            <w:tcW w:w="1668" w:type="pct"/>
            <w:gridSpan w:val="2"/>
            <w:tcBorders>
              <w:top w:val="single" w:sz="4" w:space="0" w:color="auto"/>
              <w:left w:val="single" w:sz="4" w:space="0" w:color="auto"/>
              <w:bottom w:val="single" w:sz="4" w:space="0" w:color="auto"/>
              <w:right w:val="single" w:sz="4" w:space="0" w:color="auto"/>
            </w:tcBorders>
          </w:tcPr>
          <w:p w14:paraId="7F5ACECF" w14:textId="4FA8FD52" w:rsidR="00D0791C" w:rsidRPr="00E95F9F" w:rsidRDefault="00D0791C" w:rsidP="00D0791C">
            <w:pPr>
              <w:rPr>
                <w:rFonts w:eastAsia="TimesNewRoman,Bold"/>
                <w:i/>
                <w:iCs/>
                <w:szCs w:val="24"/>
              </w:rPr>
            </w:pPr>
            <w:r w:rsidRPr="00E95F9F">
              <w:rPr>
                <w:rFonts w:ascii="Times New Roman" w:eastAsia="TimesNewRoman,Bold" w:hAnsi="Times New Roman" w:cs="Times New Roman"/>
                <w:i/>
                <w:iCs/>
                <w:szCs w:val="24"/>
              </w:rPr>
              <w:t>Ikke kendt*</w:t>
            </w:r>
          </w:p>
        </w:tc>
        <w:tc>
          <w:tcPr>
            <w:tcW w:w="1667" w:type="pct"/>
            <w:tcBorders>
              <w:top w:val="single" w:sz="4" w:space="0" w:color="auto"/>
              <w:left w:val="single" w:sz="4" w:space="0" w:color="auto"/>
              <w:bottom w:val="single" w:sz="4" w:space="0" w:color="auto"/>
              <w:right w:val="single" w:sz="4" w:space="0" w:color="auto"/>
            </w:tcBorders>
          </w:tcPr>
          <w:p w14:paraId="32661DF9" w14:textId="210B1E2A" w:rsidR="00D0791C" w:rsidRPr="00E95F9F" w:rsidRDefault="00D0791C" w:rsidP="00D0791C">
            <w:pPr>
              <w:rPr>
                <w:rFonts w:eastAsia="TimesNewRoman,Bold"/>
                <w:i/>
                <w:iCs/>
                <w:szCs w:val="24"/>
              </w:rPr>
            </w:pPr>
            <w:r w:rsidRPr="00DA046D">
              <w:rPr>
                <w:szCs w:val="24"/>
                <w:lang w:val="de-DE"/>
              </w:rPr>
              <w:t>Tubulointerstitiel nefritis (TIN)**</w:t>
            </w:r>
          </w:p>
        </w:tc>
      </w:tr>
      <w:tr w:rsidR="0097462C" w:rsidRPr="0097462C" w14:paraId="31B47935" w14:textId="77777777" w:rsidTr="0097462C">
        <w:trPr>
          <w:cantSplit/>
          <w:trHeight w:val="20"/>
        </w:trPr>
        <w:tc>
          <w:tcPr>
            <w:tcW w:w="1665" w:type="pct"/>
            <w:tcBorders>
              <w:top w:val="single" w:sz="4" w:space="0" w:color="auto"/>
              <w:left w:val="single" w:sz="4" w:space="0" w:color="auto"/>
              <w:bottom w:val="single" w:sz="4" w:space="0" w:color="auto"/>
              <w:right w:val="single" w:sz="4" w:space="0" w:color="auto"/>
            </w:tcBorders>
          </w:tcPr>
          <w:p w14:paraId="660C76E7"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sz w:val="24"/>
                <w:szCs w:val="24"/>
              </w:rPr>
              <w:t>Det reproduktive system og mammae</w:t>
            </w:r>
          </w:p>
        </w:tc>
        <w:tc>
          <w:tcPr>
            <w:tcW w:w="1624" w:type="pct"/>
            <w:tcBorders>
              <w:top w:val="single" w:sz="4" w:space="0" w:color="auto"/>
              <w:left w:val="single" w:sz="4" w:space="0" w:color="auto"/>
              <w:bottom w:val="single" w:sz="4" w:space="0" w:color="auto"/>
              <w:right w:val="single" w:sz="4" w:space="0" w:color="auto"/>
            </w:tcBorders>
          </w:tcPr>
          <w:p w14:paraId="073A6DBD" w14:textId="77777777" w:rsidR="0097462C" w:rsidRPr="0097462C" w:rsidRDefault="0097462C" w:rsidP="0097462C">
            <w:pPr>
              <w:rPr>
                <w:rFonts w:ascii="Times New Roman" w:eastAsia="TimesNewRoman,Bold" w:hAnsi="Times New Roman" w:cs="Times New Roman"/>
                <w:i/>
                <w:iCs/>
                <w:sz w:val="24"/>
                <w:szCs w:val="24"/>
              </w:rPr>
            </w:pPr>
            <w:r w:rsidRPr="0097462C">
              <w:rPr>
                <w:rFonts w:ascii="Times New Roman" w:eastAsia="TimesNewRoman,Bold" w:hAnsi="Times New Roman" w:cs="Times New Roman"/>
                <w:i/>
                <w:iCs/>
                <w:sz w:val="24"/>
                <w:szCs w:val="24"/>
              </w:rPr>
              <w:t>Ikke almindelig</w:t>
            </w:r>
          </w:p>
        </w:tc>
        <w:tc>
          <w:tcPr>
            <w:tcW w:w="1711" w:type="pct"/>
            <w:gridSpan w:val="2"/>
            <w:tcBorders>
              <w:top w:val="single" w:sz="4" w:space="0" w:color="auto"/>
              <w:left w:val="single" w:sz="4" w:space="0" w:color="auto"/>
              <w:bottom w:val="single" w:sz="4" w:space="0" w:color="auto"/>
              <w:right w:val="single" w:sz="4" w:space="0" w:color="auto"/>
            </w:tcBorders>
          </w:tcPr>
          <w:p w14:paraId="67909BC3"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sz w:val="24"/>
                <w:szCs w:val="24"/>
              </w:rPr>
              <w:t>Vaginitis</w:t>
            </w:r>
          </w:p>
        </w:tc>
      </w:tr>
      <w:tr w:rsidR="0097462C" w:rsidRPr="0097462C" w14:paraId="45F0197D" w14:textId="77777777" w:rsidTr="0097462C">
        <w:trPr>
          <w:cantSplit/>
          <w:trHeight w:val="20"/>
        </w:trPr>
        <w:tc>
          <w:tcPr>
            <w:tcW w:w="1665" w:type="pct"/>
            <w:vMerge w:val="restart"/>
            <w:tcBorders>
              <w:top w:val="single" w:sz="4" w:space="0" w:color="auto"/>
              <w:left w:val="single" w:sz="4" w:space="0" w:color="auto"/>
              <w:right w:val="single" w:sz="4" w:space="0" w:color="auto"/>
            </w:tcBorders>
          </w:tcPr>
          <w:p w14:paraId="739AB946"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sz w:val="24"/>
                <w:szCs w:val="24"/>
              </w:rPr>
              <w:t>Almene symptomer og reaktioner på administrationsstedet</w:t>
            </w:r>
          </w:p>
        </w:tc>
        <w:tc>
          <w:tcPr>
            <w:tcW w:w="1624" w:type="pct"/>
            <w:tcBorders>
              <w:top w:val="single" w:sz="4" w:space="0" w:color="auto"/>
              <w:left w:val="single" w:sz="4" w:space="0" w:color="auto"/>
              <w:bottom w:val="single" w:sz="4" w:space="0" w:color="auto"/>
              <w:right w:val="single" w:sz="4" w:space="0" w:color="auto"/>
            </w:tcBorders>
            <w:hideMark/>
          </w:tcPr>
          <w:p w14:paraId="11C2962A" w14:textId="77777777" w:rsidR="0097462C" w:rsidRPr="0097462C" w:rsidRDefault="0097462C" w:rsidP="0097462C">
            <w:pPr>
              <w:rPr>
                <w:rFonts w:ascii="Times New Roman" w:eastAsia="TimesNewRoman,Bold" w:hAnsi="Times New Roman" w:cs="Times New Roman"/>
                <w:i/>
                <w:iCs/>
                <w:sz w:val="24"/>
                <w:szCs w:val="24"/>
              </w:rPr>
            </w:pPr>
            <w:r w:rsidRPr="0097462C">
              <w:rPr>
                <w:rFonts w:ascii="Times New Roman" w:eastAsia="TimesNewRoman,Bold" w:hAnsi="Times New Roman" w:cs="Times New Roman"/>
                <w:i/>
                <w:iCs/>
                <w:sz w:val="24"/>
                <w:szCs w:val="24"/>
              </w:rPr>
              <w:t>Almindelig</w:t>
            </w:r>
          </w:p>
        </w:tc>
        <w:tc>
          <w:tcPr>
            <w:tcW w:w="1711" w:type="pct"/>
            <w:gridSpan w:val="2"/>
            <w:tcBorders>
              <w:top w:val="single" w:sz="4" w:space="0" w:color="auto"/>
              <w:left w:val="single" w:sz="4" w:space="0" w:color="auto"/>
              <w:bottom w:val="single" w:sz="4" w:space="0" w:color="auto"/>
              <w:right w:val="single" w:sz="4" w:space="0" w:color="auto"/>
            </w:tcBorders>
            <w:hideMark/>
          </w:tcPr>
          <w:p w14:paraId="710773BD"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sz w:val="24"/>
                <w:szCs w:val="24"/>
              </w:rPr>
              <w:t>Reaktioner ved infusionsstedet, pyreksi, asteni</w:t>
            </w:r>
          </w:p>
        </w:tc>
      </w:tr>
      <w:tr w:rsidR="0097462C" w:rsidRPr="0097462C" w14:paraId="1B55C2C3" w14:textId="77777777" w:rsidTr="0097462C">
        <w:trPr>
          <w:cantSplit/>
          <w:trHeight w:val="20"/>
        </w:trPr>
        <w:tc>
          <w:tcPr>
            <w:tcW w:w="1665" w:type="pct"/>
            <w:vMerge/>
            <w:tcBorders>
              <w:left w:val="single" w:sz="4" w:space="0" w:color="auto"/>
              <w:bottom w:val="single" w:sz="4" w:space="0" w:color="auto"/>
              <w:right w:val="single" w:sz="4" w:space="0" w:color="auto"/>
            </w:tcBorders>
          </w:tcPr>
          <w:p w14:paraId="270EA5C1" w14:textId="77777777" w:rsidR="0097462C" w:rsidRPr="0097462C" w:rsidRDefault="0097462C" w:rsidP="0097462C">
            <w:pPr>
              <w:rPr>
                <w:rFonts w:ascii="Times New Roman" w:hAnsi="Times New Roman" w:cs="Times New Roman"/>
                <w:sz w:val="24"/>
                <w:szCs w:val="24"/>
              </w:rPr>
            </w:pPr>
          </w:p>
        </w:tc>
        <w:tc>
          <w:tcPr>
            <w:tcW w:w="1624" w:type="pct"/>
            <w:tcBorders>
              <w:top w:val="single" w:sz="4" w:space="0" w:color="auto"/>
              <w:left w:val="single" w:sz="4" w:space="0" w:color="auto"/>
              <w:bottom w:val="single" w:sz="4" w:space="0" w:color="auto"/>
              <w:right w:val="single" w:sz="4" w:space="0" w:color="auto"/>
            </w:tcBorders>
          </w:tcPr>
          <w:p w14:paraId="77F9B2AE" w14:textId="77777777" w:rsidR="0097462C" w:rsidRPr="0097462C" w:rsidRDefault="0097462C" w:rsidP="0097462C">
            <w:pPr>
              <w:rPr>
                <w:rFonts w:ascii="Times New Roman" w:eastAsia="TimesNewRoman,Bold" w:hAnsi="Times New Roman" w:cs="Times New Roman"/>
                <w:i/>
                <w:iCs/>
                <w:sz w:val="24"/>
                <w:szCs w:val="24"/>
              </w:rPr>
            </w:pPr>
            <w:r w:rsidRPr="0097462C">
              <w:rPr>
                <w:rFonts w:ascii="Times New Roman" w:eastAsia="TimesNewRoman,Bold" w:hAnsi="Times New Roman" w:cs="Times New Roman"/>
                <w:i/>
                <w:iCs/>
                <w:sz w:val="24"/>
                <w:szCs w:val="24"/>
              </w:rPr>
              <w:t>Ikke almindelig</w:t>
            </w:r>
          </w:p>
        </w:tc>
        <w:tc>
          <w:tcPr>
            <w:tcW w:w="1711" w:type="pct"/>
            <w:gridSpan w:val="2"/>
            <w:tcBorders>
              <w:top w:val="single" w:sz="4" w:space="0" w:color="auto"/>
              <w:left w:val="single" w:sz="4" w:space="0" w:color="auto"/>
              <w:bottom w:val="single" w:sz="4" w:space="0" w:color="auto"/>
              <w:right w:val="single" w:sz="4" w:space="0" w:color="auto"/>
            </w:tcBorders>
          </w:tcPr>
          <w:p w14:paraId="4148A7AF"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sz w:val="24"/>
                <w:szCs w:val="24"/>
              </w:rPr>
              <w:t>Træthed, smerter</w:t>
            </w:r>
          </w:p>
        </w:tc>
      </w:tr>
    </w:tbl>
    <w:p w14:paraId="441D72AE" w14:textId="77777777" w:rsidR="0097462C" w:rsidRPr="0097462C" w:rsidRDefault="0097462C" w:rsidP="0097462C">
      <w:pPr>
        <w:autoSpaceDE w:val="0"/>
        <w:autoSpaceDN w:val="0"/>
        <w:adjustRightInd w:val="0"/>
        <w:ind w:left="284" w:hanging="284"/>
        <w:rPr>
          <w:rFonts w:eastAsia="TimesNewRoman"/>
          <w:color w:val="000000"/>
          <w:sz w:val="24"/>
          <w:szCs w:val="24"/>
        </w:rPr>
      </w:pPr>
      <w:r w:rsidRPr="0097462C">
        <w:rPr>
          <w:rFonts w:eastAsia="TimesNewRoman"/>
          <w:color w:val="000000"/>
          <w:sz w:val="24"/>
          <w:szCs w:val="24"/>
        </w:rPr>
        <w:t>*</w:t>
      </w:r>
      <w:r w:rsidRPr="0097462C">
        <w:rPr>
          <w:rFonts w:eastAsia="TimesNewRoman"/>
          <w:color w:val="000000"/>
          <w:sz w:val="24"/>
          <w:szCs w:val="24"/>
        </w:rPr>
        <w:tab/>
        <w:t>Baseret på post-marketing rapporter. Eftersom disse reaktioner er indrapporteret frivilligt fra en population af ubestemt størrelse, er det ikke muligt at estimere en pålidelig hyppighed; den er derfor kategoriseret som ikke kendt.</w:t>
      </w:r>
    </w:p>
    <w:p w14:paraId="38C54DC2" w14:textId="77777777" w:rsidR="0097462C" w:rsidRPr="0097462C" w:rsidRDefault="0097462C" w:rsidP="0097462C">
      <w:pPr>
        <w:autoSpaceDE w:val="0"/>
        <w:autoSpaceDN w:val="0"/>
        <w:adjustRightInd w:val="0"/>
        <w:ind w:left="284" w:hanging="284"/>
        <w:rPr>
          <w:rFonts w:eastAsia="TimesNewRoman"/>
          <w:color w:val="000000"/>
          <w:sz w:val="24"/>
          <w:szCs w:val="24"/>
        </w:rPr>
      </w:pPr>
      <w:r w:rsidRPr="0097462C">
        <w:rPr>
          <w:rFonts w:eastAsia="TimesNewRoman"/>
          <w:color w:val="000000"/>
          <w:sz w:val="24"/>
          <w:szCs w:val="24"/>
        </w:rPr>
        <w:lastRenderedPageBreak/>
        <w:t>**</w:t>
      </w:r>
      <w:r w:rsidRPr="0097462C">
        <w:rPr>
          <w:rFonts w:eastAsia="TimesNewRoman"/>
          <w:color w:val="000000"/>
          <w:sz w:val="24"/>
          <w:szCs w:val="24"/>
        </w:rPr>
        <w:tab/>
        <w:t>Se pkt. 4.4.</w:t>
      </w:r>
    </w:p>
    <w:p w14:paraId="0444EF6F" w14:textId="77777777" w:rsidR="0097462C" w:rsidRPr="0097462C" w:rsidRDefault="0097462C" w:rsidP="0097462C">
      <w:pPr>
        <w:autoSpaceDE w:val="0"/>
        <w:autoSpaceDN w:val="0"/>
        <w:adjustRightInd w:val="0"/>
        <w:ind w:left="284" w:hanging="284"/>
        <w:rPr>
          <w:rFonts w:eastAsia="TimesNewRoman"/>
          <w:color w:val="000000"/>
          <w:sz w:val="24"/>
          <w:szCs w:val="24"/>
        </w:rPr>
      </w:pPr>
      <w:r w:rsidRPr="0097462C">
        <w:rPr>
          <w:rFonts w:eastAsia="TimesNewRoman"/>
          <w:color w:val="000000"/>
          <w:sz w:val="24"/>
          <w:szCs w:val="24"/>
          <w:vertAlign w:val="superscript"/>
        </w:rPr>
        <w:t>1</w:t>
      </w:r>
      <w:r w:rsidRPr="0097462C">
        <w:rPr>
          <w:rFonts w:eastAsia="TimesNewRoman"/>
          <w:color w:val="000000"/>
          <w:sz w:val="24"/>
          <w:szCs w:val="24"/>
        </w:rPr>
        <w:tab/>
        <w:t>Den præcise hyppighed af eosinofil pneumoni associeret med daptomycin er ukendt på nuværende tidspunkt; antallet af spontane indrapporteringer er meget lavt (&lt; 1/10.000).</w:t>
      </w:r>
    </w:p>
    <w:p w14:paraId="63A234A3" w14:textId="77777777" w:rsidR="0097462C" w:rsidRPr="0097462C" w:rsidRDefault="0097462C" w:rsidP="0097462C">
      <w:pPr>
        <w:autoSpaceDE w:val="0"/>
        <w:autoSpaceDN w:val="0"/>
        <w:adjustRightInd w:val="0"/>
        <w:ind w:left="284" w:hanging="284"/>
        <w:rPr>
          <w:rFonts w:eastAsia="TimesNewRoman"/>
          <w:color w:val="000000"/>
          <w:sz w:val="24"/>
          <w:szCs w:val="24"/>
        </w:rPr>
      </w:pPr>
      <w:r w:rsidRPr="0097462C">
        <w:rPr>
          <w:rFonts w:eastAsia="TimesNewRoman"/>
          <w:color w:val="000000"/>
          <w:sz w:val="24"/>
          <w:szCs w:val="24"/>
          <w:vertAlign w:val="superscript"/>
        </w:rPr>
        <w:t>2</w:t>
      </w:r>
      <w:r w:rsidRPr="0097462C">
        <w:rPr>
          <w:rFonts w:eastAsia="TimesNewRoman"/>
          <w:color w:val="000000"/>
          <w:sz w:val="24"/>
          <w:szCs w:val="24"/>
        </w:rPr>
        <w:tab/>
        <w:t>I nogle tilfælde med myopati med forhøjede CK-værdier og muskelsymptomer havde patienterne ligeledes forhøjede aminotransferaser. Disse forhøjede aminotransferaser blev formodet at være relateret til effekten på skeletmuskulaturen. Størstedelen af de forhøjede aminotransferaser havde en toksicitetsgrad på 1-3 og forsvandt efter seponering af behandlingen.</w:t>
      </w:r>
    </w:p>
    <w:p w14:paraId="60CA3DB6" w14:textId="77777777" w:rsidR="0097462C" w:rsidRPr="0097462C" w:rsidRDefault="0097462C" w:rsidP="0097462C">
      <w:pPr>
        <w:autoSpaceDE w:val="0"/>
        <w:autoSpaceDN w:val="0"/>
        <w:adjustRightInd w:val="0"/>
        <w:ind w:left="284" w:hanging="284"/>
        <w:rPr>
          <w:rFonts w:eastAsia="TimesNewRoman"/>
          <w:color w:val="000000"/>
          <w:sz w:val="24"/>
          <w:szCs w:val="24"/>
        </w:rPr>
      </w:pPr>
      <w:r w:rsidRPr="0097462C">
        <w:rPr>
          <w:rFonts w:eastAsia="TimesNewRoman"/>
          <w:color w:val="000000"/>
          <w:sz w:val="24"/>
          <w:szCs w:val="24"/>
          <w:vertAlign w:val="superscript"/>
        </w:rPr>
        <w:t>3</w:t>
      </w:r>
      <w:r w:rsidRPr="0097462C">
        <w:rPr>
          <w:rFonts w:eastAsia="TimesNewRoman"/>
          <w:color w:val="000000"/>
          <w:sz w:val="24"/>
          <w:szCs w:val="24"/>
        </w:rPr>
        <w:tab/>
        <w:t>Når klinisk information omkring patienterne var tilgængelig til at foretage en bedømmelse, kunne det ses, at omkring 50 % af tilfældene opstod hos patienter med allerede eksisterende nedsat nyrefunktion eller hos patienter, der var i samtidig behandling med lægemidler, der er kendt for at forårsage rabdomyolyse.</w:t>
      </w:r>
    </w:p>
    <w:p w14:paraId="49AE498E"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3E48AFA4"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Sikkerhedsdata for administration af daptomycin som 2 minutters intravenøs injektion stammer fra to farmakokinetikstudier i raske voksne frivillige. Resultaterne fra disse studier viste, at begge metoder til administration af daptomycin, 2 minutters intravenøs injektion og 30 minutters intravenøs infusion, havde sammenlignelig sikkerheds- og tolerabilitetsprofil. Der var ingen relevant forskel i lokal tolerabilitet eller i type og frekvens af bivirkninger.</w:t>
      </w:r>
    </w:p>
    <w:p w14:paraId="0587055E" w14:textId="77777777" w:rsidR="0097462C" w:rsidRDefault="0097462C" w:rsidP="0097462C">
      <w:pPr>
        <w:autoSpaceDE w:val="0"/>
        <w:autoSpaceDN w:val="0"/>
        <w:adjustRightInd w:val="0"/>
        <w:ind w:left="851" w:hanging="851"/>
        <w:rPr>
          <w:rFonts w:eastAsia="TimesNewRoman"/>
          <w:color w:val="000000"/>
          <w:sz w:val="24"/>
          <w:szCs w:val="24"/>
        </w:rPr>
      </w:pPr>
    </w:p>
    <w:p w14:paraId="750E3967" w14:textId="77777777" w:rsidR="0097462C" w:rsidRPr="0097462C" w:rsidRDefault="0097462C" w:rsidP="0097462C">
      <w:pPr>
        <w:autoSpaceDE w:val="0"/>
        <w:autoSpaceDN w:val="0"/>
        <w:ind w:left="851"/>
        <w:rPr>
          <w:sz w:val="24"/>
          <w:szCs w:val="24"/>
          <w:u w:val="single"/>
        </w:rPr>
      </w:pPr>
      <w:r w:rsidRPr="0097462C">
        <w:rPr>
          <w:sz w:val="24"/>
          <w:szCs w:val="24"/>
          <w:u w:val="single"/>
        </w:rPr>
        <w:t>Indberetning af formodede bivirkninger</w:t>
      </w:r>
    </w:p>
    <w:p w14:paraId="3DBD2BE4" w14:textId="77777777" w:rsidR="0097462C" w:rsidRPr="0097462C" w:rsidRDefault="0097462C" w:rsidP="0097462C">
      <w:pPr>
        <w:ind w:left="851"/>
        <w:rPr>
          <w:sz w:val="24"/>
          <w:szCs w:val="24"/>
        </w:rPr>
      </w:pPr>
      <w:r w:rsidRPr="0097462C">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1D498CE4" w14:textId="77777777" w:rsidR="0097462C" w:rsidRPr="0097462C" w:rsidRDefault="0097462C" w:rsidP="0097462C">
      <w:pPr>
        <w:tabs>
          <w:tab w:val="left" w:pos="2440"/>
        </w:tabs>
        <w:ind w:left="851"/>
        <w:rPr>
          <w:sz w:val="24"/>
          <w:szCs w:val="24"/>
        </w:rPr>
      </w:pPr>
    </w:p>
    <w:p w14:paraId="29AED01C" w14:textId="77777777" w:rsidR="0097462C" w:rsidRPr="0097462C" w:rsidRDefault="0097462C" w:rsidP="0097462C">
      <w:pPr>
        <w:ind w:left="851"/>
        <w:rPr>
          <w:sz w:val="24"/>
          <w:szCs w:val="24"/>
        </w:rPr>
      </w:pPr>
      <w:r w:rsidRPr="0097462C">
        <w:rPr>
          <w:sz w:val="24"/>
          <w:szCs w:val="24"/>
        </w:rPr>
        <w:t>Lægemiddelstyrelsen</w:t>
      </w:r>
    </w:p>
    <w:p w14:paraId="32728E60" w14:textId="77777777" w:rsidR="0097462C" w:rsidRPr="0097462C" w:rsidRDefault="0097462C" w:rsidP="0097462C">
      <w:pPr>
        <w:ind w:left="851"/>
        <w:rPr>
          <w:sz w:val="24"/>
          <w:szCs w:val="24"/>
        </w:rPr>
      </w:pPr>
      <w:r w:rsidRPr="0097462C">
        <w:rPr>
          <w:sz w:val="24"/>
          <w:szCs w:val="24"/>
        </w:rPr>
        <w:t>Axel Heides Gade 1</w:t>
      </w:r>
    </w:p>
    <w:p w14:paraId="6FCCC84C" w14:textId="77777777" w:rsidR="0097462C" w:rsidRPr="0097462C" w:rsidRDefault="0097462C" w:rsidP="0097462C">
      <w:pPr>
        <w:ind w:left="851"/>
        <w:rPr>
          <w:sz w:val="24"/>
          <w:szCs w:val="24"/>
        </w:rPr>
      </w:pPr>
      <w:r w:rsidRPr="0097462C">
        <w:rPr>
          <w:sz w:val="24"/>
          <w:szCs w:val="24"/>
        </w:rPr>
        <w:t>DK-2300 København S</w:t>
      </w:r>
    </w:p>
    <w:p w14:paraId="1E2CFA22" w14:textId="77777777" w:rsidR="0097462C" w:rsidRPr="0097462C" w:rsidRDefault="0097462C" w:rsidP="0097462C">
      <w:pPr>
        <w:ind w:left="851"/>
        <w:rPr>
          <w:sz w:val="24"/>
          <w:szCs w:val="24"/>
        </w:rPr>
      </w:pPr>
      <w:r w:rsidRPr="0097462C">
        <w:rPr>
          <w:sz w:val="24"/>
          <w:szCs w:val="24"/>
        </w:rPr>
        <w:t xml:space="preserve">Websted: </w:t>
      </w:r>
      <w:hyperlink r:id="rId8" w:history="1">
        <w:r w:rsidRPr="0097462C">
          <w:rPr>
            <w:rStyle w:val="Hyperlink"/>
            <w:sz w:val="24"/>
            <w:szCs w:val="24"/>
          </w:rPr>
          <w:t>www.meldenbivirkning.dk</w:t>
        </w:r>
      </w:hyperlink>
    </w:p>
    <w:p w14:paraId="3E849AD5" w14:textId="77777777" w:rsidR="00E62E19" w:rsidRPr="002F76E5" w:rsidRDefault="00E62E19" w:rsidP="00E62E19">
      <w:pPr>
        <w:pStyle w:val="Sidehoved"/>
        <w:tabs>
          <w:tab w:val="clear" w:pos="4819"/>
          <w:tab w:val="clear" w:pos="9638"/>
        </w:tabs>
        <w:ind w:left="851" w:hanging="851"/>
        <w:rPr>
          <w:szCs w:val="24"/>
        </w:rPr>
      </w:pPr>
    </w:p>
    <w:p w14:paraId="0034A4DD" w14:textId="77777777" w:rsidR="00E62E19" w:rsidRPr="00326899" w:rsidRDefault="00E62E19" w:rsidP="00E62E19">
      <w:pPr>
        <w:ind w:left="851" w:hanging="851"/>
        <w:rPr>
          <w:b/>
          <w:sz w:val="24"/>
          <w:szCs w:val="24"/>
        </w:rPr>
      </w:pPr>
      <w:r w:rsidRPr="00326899">
        <w:rPr>
          <w:b/>
          <w:sz w:val="24"/>
          <w:szCs w:val="24"/>
        </w:rPr>
        <w:t>4.9</w:t>
      </w:r>
      <w:r w:rsidRPr="00326899">
        <w:rPr>
          <w:b/>
          <w:sz w:val="24"/>
          <w:szCs w:val="24"/>
        </w:rPr>
        <w:tab/>
        <w:t>Overdosering</w:t>
      </w:r>
    </w:p>
    <w:p w14:paraId="7EA570B2" w14:textId="77777777" w:rsidR="00E62E19" w:rsidRPr="00326899" w:rsidRDefault="00E62E19" w:rsidP="00E62E19">
      <w:pPr>
        <w:autoSpaceDE w:val="0"/>
        <w:autoSpaceDN w:val="0"/>
        <w:adjustRightInd w:val="0"/>
        <w:ind w:left="851"/>
        <w:rPr>
          <w:sz w:val="24"/>
          <w:szCs w:val="24"/>
        </w:rPr>
      </w:pPr>
      <w:r w:rsidRPr="00326899">
        <w:rPr>
          <w:rFonts w:eastAsia="TimesNewRoman"/>
          <w:color w:val="000000"/>
          <w:sz w:val="24"/>
          <w:szCs w:val="24"/>
        </w:rPr>
        <w:t>I tilfælde af overdosering, tilrådes understøttende behandling. Daptomycin fjernes langsomt fra</w:t>
      </w:r>
      <w:r>
        <w:rPr>
          <w:rFonts w:eastAsia="TimesNewRoman"/>
          <w:color w:val="000000"/>
          <w:sz w:val="24"/>
          <w:szCs w:val="24"/>
        </w:rPr>
        <w:t xml:space="preserve"> </w:t>
      </w:r>
      <w:r w:rsidRPr="00326899">
        <w:rPr>
          <w:rFonts w:eastAsia="TimesNewRoman"/>
          <w:color w:val="000000"/>
          <w:sz w:val="24"/>
          <w:szCs w:val="24"/>
        </w:rPr>
        <w:t>kroppen ved hæmodialyse (ca. 15% af den administrerede dosis fjernes i løbet af 4 timer) eller ved</w:t>
      </w:r>
      <w:r>
        <w:rPr>
          <w:rFonts w:eastAsia="TimesNewRoman"/>
          <w:color w:val="000000"/>
          <w:sz w:val="24"/>
          <w:szCs w:val="24"/>
        </w:rPr>
        <w:t xml:space="preserve"> </w:t>
      </w:r>
      <w:r w:rsidRPr="00326899">
        <w:rPr>
          <w:rFonts w:eastAsia="TimesNewRoman"/>
          <w:color w:val="000000"/>
          <w:sz w:val="24"/>
          <w:szCs w:val="24"/>
        </w:rPr>
        <w:t>peritonealdialyse (ca. 11 % af den administrerede dosis fjernes i løbet af 48 timer).</w:t>
      </w:r>
    </w:p>
    <w:p w14:paraId="2BE168A2" w14:textId="77777777" w:rsidR="00E62E19" w:rsidRPr="00326899" w:rsidRDefault="00E62E19" w:rsidP="00E62E19">
      <w:pPr>
        <w:ind w:left="851" w:hanging="851"/>
        <w:rPr>
          <w:sz w:val="24"/>
          <w:szCs w:val="24"/>
        </w:rPr>
      </w:pPr>
    </w:p>
    <w:p w14:paraId="0177DC68" w14:textId="77777777" w:rsidR="00E62E19" w:rsidRPr="00326899" w:rsidRDefault="00E62E19" w:rsidP="00E62E19">
      <w:pPr>
        <w:ind w:left="851" w:hanging="851"/>
        <w:rPr>
          <w:b/>
          <w:sz w:val="24"/>
          <w:szCs w:val="24"/>
        </w:rPr>
      </w:pPr>
      <w:r w:rsidRPr="00326899">
        <w:rPr>
          <w:b/>
          <w:sz w:val="24"/>
          <w:szCs w:val="24"/>
        </w:rPr>
        <w:t>4.10</w:t>
      </w:r>
      <w:r w:rsidRPr="00326899">
        <w:rPr>
          <w:b/>
          <w:sz w:val="24"/>
          <w:szCs w:val="24"/>
        </w:rPr>
        <w:tab/>
        <w:t>Udlevering</w:t>
      </w:r>
    </w:p>
    <w:p w14:paraId="6E4F352E" w14:textId="77777777" w:rsidR="00E62E19" w:rsidRPr="00326899" w:rsidRDefault="00E62E19" w:rsidP="00E62E19">
      <w:pPr>
        <w:ind w:left="851"/>
        <w:rPr>
          <w:sz w:val="24"/>
          <w:szCs w:val="24"/>
        </w:rPr>
      </w:pPr>
      <w:r>
        <w:rPr>
          <w:sz w:val="24"/>
          <w:szCs w:val="24"/>
        </w:rPr>
        <w:t>BEGR (</w:t>
      </w:r>
      <w:r w:rsidRPr="00326899">
        <w:rPr>
          <w:sz w:val="24"/>
          <w:szCs w:val="24"/>
        </w:rPr>
        <w:t>kun til sygehuse</w:t>
      </w:r>
      <w:r>
        <w:rPr>
          <w:sz w:val="24"/>
          <w:szCs w:val="24"/>
        </w:rPr>
        <w:t>)</w:t>
      </w:r>
    </w:p>
    <w:p w14:paraId="6FB816C7" w14:textId="77777777" w:rsidR="00E62E19" w:rsidRPr="00326899" w:rsidRDefault="00E62E19" w:rsidP="00E62E19">
      <w:pPr>
        <w:ind w:left="851" w:hanging="851"/>
        <w:rPr>
          <w:sz w:val="24"/>
          <w:szCs w:val="24"/>
        </w:rPr>
      </w:pPr>
    </w:p>
    <w:p w14:paraId="044EB96C" w14:textId="77777777" w:rsidR="00E62E19" w:rsidRPr="00326899" w:rsidRDefault="00E62E19" w:rsidP="00E62E19">
      <w:pPr>
        <w:rPr>
          <w:sz w:val="24"/>
          <w:szCs w:val="24"/>
        </w:rPr>
      </w:pPr>
    </w:p>
    <w:p w14:paraId="5B2C11B7" w14:textId="77777777" w:rsidR="00E62E19" w:rsidRPr="00326899" w:rsidRDefault="00E62E19" w:rsidP="00E62E19">
      <w:pPr>
        <w:ind w:left="851" w:hanging="851"/>
        <w:rPr>
          <w:b/>
          <w:sz w:val="24"/>
          <w:szCs w:val="24"/>
        </w:rPr>
      </w:pPr>
      <w:r w:rsidRPr="00326899">
        <w:rPr>
          <w:b/>
          <w:sz w:val="24"/>
          <w:szCs w:val="24"/>
        </w:rPr>
        <w:t>5.</w:t>
      </w:r>
      <w:r w:rsidRPr="00326899">
        <w:rPr>
          <w:b/>
          <w:sz w:val="24"/>
          <w:szCs w:val="24"/>
        </w:rPr>
        <w:tab/>
        <w:t>FARMAKOLOGISKE EGENSKABER</w:t>
      </w:r>
    </w:p>
    <w:p w14:paraId="44B07D23" w14:textId="77777777" w:rsidR="00E62E19" w:rsidRPr="00326899" w:rsidRDefault="00E62E19" w:rsidP="00E62E19">
      <w:pPr>
        <w:ind w:left="851" w:hanging="851"/>
        <w:rPr>
          <w:sz w:val="24"/>
          <w:szCs w:val="24"/>
        </w:rPr>
      </w:pPr>
    </w:p>
    <w:p w14:paraId="41BD7185" w14:textId="77777777" w:rsidR="0097462C" w:rsidRPr="0097462C" w:rsidRDefault="00E62E19" w:rsidP="0097462C">
      <w:pPr>
        <w:ind w:left="851" w:hanging="851"/>
        <w:rPr>
          <w:b/>
          <w:sz w:val="24"/>
          <w:szCs w:val="24"/>
        </w:rPr>
      </w:pPr>
      <w:r w:rsidRPr="00326899">
        <w:rPr>
          <w:b/>
          <w:sz w:val="24"/>
          <w:szCs w:val="24"/>
        </w:rPr>
        <w:t>5.0</w:t>
      </w:r>
      <w:r w:rsidRPr="00326899">
        <w:rPr>
          <w:b/>
          <w:sz w:val="24"/>
          <w:szCs w:val="24"/>
        </w:rPr>
        <w:tab/>
      </w:r>
      <w:r w:rsidR="0097462C" w:rsidRPr="0097462C">
        <w:rPr>
          <w:b/>
          <w:sz w:val="24"/>
          <w:szCs w:val="24"/>
        </w:rPr>
        <w:t>Farmakodynamiske egenskaber</w:t>
      </w:r>
    </w:p>
    <w:p w14:paraId="1BB8D1F0" w14:textId="77777777" w:rsidR="0097462C" w:rsidRPr="0097462C" w:rsidRDefault="0097462C" w:rsidP="0097462C">
      <w:pPr>
        <w:ind w:left="851" w:hanging="851"/>
        <w:rPr>
          <w:b/>
          <w:sz w:val="24"/>
          <w:szCs w:val="24"/>
        </w:rPr>
      </w:pPr>
    </w:p>
    <w:p w14:paraId="1C5A96C4" w14:textId="77777777" w:rsidR="0097462C" w:rsidRPr="0097462C" w:rsidRDefault="0097462C" w:rsidP="0097462C">
      <w:pPr>
        <w:ind w:left="851"/>
        <w:rPr>
          <w:sz w:val="24"/>
          <w:szCs w:val="24"/>
        </w:rPr>
      </w:pPr>
      <w:r w:rsidRPr="0097462C">
        <w:rPr>
          <w:bCs/>
          <w:sz w:val="24"/>
          <w:szCs w:val="24"/>
        </w:rPr>
        <w:t>Farmakoterapeutisk klassifikation</w:t>
      </w:r>
      <w:r w:rsidRPr="0097462C">
        <w:rPr>
          <w:rFonts w:eastAsia="TimesNewRoman"/>
          <w:color w:val="000000"/>
          <w:sz w:val="24"/>
          <w:szCs w:val="24"/>
        </w:rPr>
        <w:t>: Antibakterielle midler til systemisk brug, Andre Antibakterielle, ATC-kode: J01XX09</w:t>
      </w:r>
    </w:p>
    <w:p w14:paraId="5A56A7FB" w14:textId="77777777" w:rsidR="0097462C" w:rsidRPr="0097462C" w:rsidRDefault="0097462C" w:rsidP="0097462C">
      <w:pPr>
        <w:ind w:left="851" w:hanging="851"/>
        <w:rPr>
          <w:sz w:val="24"/>
          <w:szCs w:val="24"/>
        </w:rPr>
      </w:pPr>
    </w:p>
    <w:p w14:paraId="49772CAA" w14:textId="77777777" w:rsidR="0097462C" w:rsidRPr="0097462C" w:rsidRDefault="0097462C" w:rsidP="0097462C">
      <w:pPr>
        <w:autoSpaceDE w:val="0"/>
        <w:autoSpaceDN w:val="0"/>
        <w:adjustRightInd w:val="0"/>
        <w:ind w:left="851"/>
        <w:rPr>
          <w:rFonts w:eastAsia="TimesNewRoman"/>
          <w:color w:val="000000"/>
          <w:sz w:val="24"/>
          <w:szCs w:val="24"/>
          <w:u w:val="single"/>
        </w:rPr>
      </w:pPr>
      <w:r w:rsidRPr="0097462C">
        <w:rPr>
          <w:rFonts w:eastAsia="TimesNewRoman"/>
          <w:color w:val="000000"/>
          <w:sz w:val="24"/>
          <w:szCs w:val="24"/>
          <w:u w:val="single"/>
        </w:rPr>
        <w:t>Virkningsmekanisme</w:t>
      </w:r>
    </w:p>
    <w:p w14:paraId="7BF93F7C"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Daptomycin er et naturligt cyklisk lipopeptid, som kun er aktiv imod grampositive bakterier.</w:t>
      </w:r>
    </w:p>
    <w:p w14:paraId="24056E10" w14:textId="77777777" w:rsidR="0097462C" w:rsidRPr="0097462C" w:rsidRDefault="0097462C" w:rsidP="0097462C">
      <w:pPr>
        <w:autoSpaceDE w:val="0"/>
        <w:autoSpaceDN w:val="0"/>
        <w:adjustRightInd w:val="0"/>
        <w:ind w:left="851" w:hanging="851"/>
        <w:rPr>
          <w:rFonts w:eastAsia="TimesNewRoman,Bold"/>
          <w:color w:val="000000"/>
          <w:sz w:val="24"/>
          <w:szCs w:val="24"/>
        </w:rPr>
      </w:pPr>
    </w:p>
    <w:p w14:paraId="7F5C1295"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lastRenderedPageBreak/>
        <w:t>Virkemekanismen involverer binding (under tilstedeværelse af kalciumioner) til bakteriemembraner på celler både i vækst- og i stationærfase, hvilket forårsager en depolarisering og fører til hurtig hæmning af protein, DNA, og RNA-syntese. Dette resulterer i bakteriel celledød med kun ubetydelig cellelysis.</w:t>
      </w:r>
    </w:p>
    <w:p w14:paraId="0A41D5DE" w14:textId="77777777" w:rsidR="00E62E19" w:rsidRPr="00326899" w:rsidRDefault="00E62E19" w:rsidP="0097462C">
      <w:pPr>
        <w:ind w:left="851" w:hanging="851"/>
        <w:rPr>
          <w:rFonts w:eastAsia="TimesNewRoman"/>
          <w:color w:val="000000"/>
          <w:sz w:val="24"/>
          <w:szCs w:val="24"/>
        </w:rPr>
      </w:pPr>
    </w:p>
    <w:p w14:paraId="1AB66351" w14:textId="77777777" w:rsidR="0097462C" w:rsidRPr="0097462C" w:rsidRDefault="0097462C" w:rsidP="0097462C">
      <w:pPr>
        <w:autoSpaceDE w:val="0"/>
        <w:autoSpaceDN w:val="0"/>
        <w:adjustRightInd w:val="0"/>
        <w:ind w:left="851"/>
        <w:rPr>
          <w:rFonts w:eastAsia="TimesNewRoman"/>
          <w:color w:val="000000"/>
          <w:sz w:val="24"/>
          <w:szCs w:val="24"/>
          <w:u w:val="single"/>
        </w:rPr>
      </w:pPr>
      <w:r w:rsidRPr="0097462C">
        <w:rPr>
          <w:rFonts w:eastAsia="TimesNewRoman"/>
          <w:color w:val="000000"/>
          <w:sz w:val="24"/>
          <w:szCs w:val="24"/>
          <w:u w:val="single"/>
        </w:rPr>
        <w:t>Farmakokinetiske/farmakodynamiske forhold</w:t>
      </w:r>
    </w:p>
    <w:p w14:paraId="620CE0B5" w14:textId="73DE0720"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 xml:space="preserve">Daptomycin udviser hurtig, koncentrationsafhængig bakteriedræbende aktivitet mod grampositive organismer i </w:t>
      </w:r>
      <w:r w:rsidRPr="0097462C">
        <w:rPr>
          <w:rFonts w:eastAsia="TimesNewRoman,Bold"/>
          <w:i/>
          <w:iCs/>
          <w:color w:val="000000"/>
          <w:sz w:val="24"/>
          <w:szCs w:val="24"/>
        </w:rPr>
        <w:t xml:space="preserve">in vitro- </w:t>
      </w:r>
      <w:r w:rsidRPr="0097462C">
        <w:rPr>
          <w:rFonts w:eastAsia="TimesNewRoman"/>
          <w:color w:val="000000"/>
          <w:sz w:val="24"/>
          <w:szCs w:val="24"/>
        </w:rPr>
        <w:t xml:space="preserve">og </w:t>
      </w:r>
      <w:r w:rsidRPr="0097462C">
        <w:rPr>
          <w:rFonts w:eastAsia="TimesNewRoman,Bold"/>
          <w:i/>
          <w:iCs/>
          <w:color w:val="000000"/>
          <w:sz w:val="24"/>
          <w:szCs w:val="24"/>
        </w:rPr>
        <w:t>in vivo-</w:t>
      </w:r>
      <w:r w:rsidRPr="0097462C">
        <w:rPr>
          <w:rFonts w:eastAsia="TimesNewRoman"/>
          <w:color w:val="000000"/>
          <w:sz w:val="24"/>
          <w:szCs w:val="24"/>
        </w:rPr>
        <w:t>dyremodeller. I dyreforsøg korrelerer AUC/MIC og C</w:t>
      </w:r>
      <w:r w:rsidRPr="0097462C">
        <w:rPr>
          <w:rFonts w:eastAsia="TimesNewRoman"/>
          <w:color w:val="000000"/>
          <w:sz w:val="24"/>
          <w:szCs w:val="24"/>
          <w:vertAlign w:val="subscript"/>
        </w:rPr>
        <w:t>max</w:t>
      </w:r>
      <w:r w:rsidRPr="0097462C">
        <w:rPr>
          <w:rFonts w:eastAsia="TimesNewRoman"/>
          <w:color w:val="000000"/>
          <w:sz w:val="24"/>
          <w:szCs w:val="24"/>
        </w:rPr>
        <w:t xml:space="preserve">/MIC med virkning og forudsagt bakteriedrab </w:t>
      </w:r>
      <w:r w:rsidRPr="0097462C">
        <w:rPr>
          <w:rFonts w:eastAsia="TimesNewRoman,Bold"/>
          <w:i/>
          <w:iCs/>
          <w:color w:val="000000"/>
          <w:sz w:val="24"/>
          <w:szCs w:val="24"/>
        </w:rPr>
        <w:t xml:space="preserve">in vivo </w:t>
      </w:r>
      <w:r w:rsidRPr="0097462C">
        <w:rPr>
          <w:rFonts w:eastAsia="TimesNewRoman"/>
          <w:color w:val="000000"/>
          <w:sz w:val="24"/>
          <w:szCs w:val="24"/>
        </w:rPr>
        <w:t xml:space="preserve">ved enkeltdoser, der er ækvivalente til humane voksendoser på 4 mg/kg og 6 mg/kg </w:t>
      </w:r>
      <w:r w:rsidR="00104B3C">
        <w:rPr>
          <w:rFonts w:eastAsia="TimesNewRoman"/>
          <w:color w:val="000000"/>
          <w:sz w:val="24"/>
          <w:szCs w:val="24"/>
        </w:rPr>
        <w:t>en</w:t>
      </w:r>
      <w:r w:rsidRPr="0097462C">
        <w:rPr>
          <w:rFonts w:eastAsia="TimesNewRoman"/>
          <w:color w:val="000000"/>
          <w:sz w:val="24"/>
          <w:szCs w:val="24"/>
        </w:rPr>
        <w:t xml:space="preserve"> gang dagligt.</w:t>
      </w:r>
    </w:p>
    <w:p w14:paraId="23156822"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074894CE" w14:textId="77777777" w:rsidR="0097462C" w:rsidRPr="0097462C" w:rsidRDefault="0097462C" w:rsidP="0097462C">
      <w:pPr>
        <w:autoSpaceDE w:val="0"/>
        <w:autoSpaceDN w:val="0"/>
        <w:adjustRightInd w:val="0"/>
        <w:ind w:left="851"/>
        <w:rPr>
          <w:rFonts w:eastAsia="TimesNewRoman"/>
          <w:color w:val="000000"/>
          <w:sz w:val="24"/>
          <w:szCs w:val="24"/>
          <w:u w:val="single"/>
        </w:rPr>
      </w:pPr>
      <w:r w:rsidRPr="0097462C">
        <w:rPr>
          <w:rFonts w:eastAsia="TimesNewRoman"/>
          <w:color w:val="000000"/>
          <w:sz w:val="24"/>
          <w:szCs w:val="24"/>
          <w:u w:val="single"/>
        </w:rPr>
        <w:t>Resistensmekanisme</w:t>
      </w:r>
    </w:p>
    <w:p w14:paraId="06815C03"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 xml:space="preserve">Der er rapporteret om stammer med nedsat følsomhed over for daptomycin specielt under behandlingen af patienter med infektioner, der er vanskelige at behandle, og/eller efter administration i forlængede perioder. Der er i særdeleshed blevet rapporteret om manglende effekt af behandling hos patienter, der er inficeret med </w:t>
      </w:r>
      <w:r w:rsidRPr="0097462C">
        <w:rPr>
          <w:rFonts w:eastAsia="TimesNewRoman,Bold"/>
          <w:i/>
          <w:iCs/>
          <w:color w:val="000000"/>
          <w:sz w:val="24"/>
          <w:szCs w:val="24"/>
        </w:rPr>
        <w:t xml:space="preserve">Staphylococcus aureus, Enterococcus faecalis eller Enterococcus faecium, </w:t>
      </w:r>
      <w:r w:rsidRPr="0097462C">
        <w:rPr>
          <w:rFonts w:eastAsia="TimesNewRoman"/>
          <w:color w:val="000000"/>
          <w:sz w:val="24"/>
          <w:szCs w:val="24"/>
        </w:rPr>
        <w:t>inklusive patienter med bakteriæmi, som er forbundet med valget af organismer med nedsat modtagelighed eller direkte resistens over for daptomycin under behandling.</w:t>
      </w:r>
    </w:p>
    <w:p w14:paraId="2BB382E8"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20B1D161"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Mekanismen/mekanismerne for daptomycinresistens er ikke fuldstændig kendt.</w:t>
      </w:r>
    </w:p>
    <w:p w14:paraId="60BA3A92"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6365E60D" w14:textId="77777777" w:rsidR="0097462C" w:rsidRPr="0097462C" w:rsidRDefault="0097462C" w:rsidP="0097462C">
      <w:pPr>
        <w:autoSpaceDE w:val="0"/>
        <w:autoSpaceDN w:val="0"/>
        <w:adjustRightInd w:val="0"/>
        <w:ind w:left="851"/>
        <w:rPr>
          <w:rFonts w:eastAsia="TimesNewRoman"/>
          <w:color w:val="000000"/>
          <w:sz w:val="24"/>
          <w:szCs w:val="24"/>
          <w:u w:val="single"/>
        </w:rPr>
      </w:pPr>
      <w:r w:rsidRPr="0097462C">
        <w:rPr>
          <w:rFonts w:eastAsia="TimesNewRoman"/>
          <w:color w:val="000000"/>
          <w:sz w:val="24"/>
          <w:szCs w:val="24"/>
          <w:u w:val="single"/>
        </w:rPr>
        <w:t>Følsomhedsgrænser</w:t>
      </w:r>
    </w:p>
    <w:p w14:paraId="573779F5" w14:textId="35C40A2A"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Mindste hæmmede koncentration (MIC), følsomhedsgrænser, fastlagt af EUCAST (</w:t>
      </w:r>
      <w:r w:rsidRPr="0097462C">
        <w:rPr>
          <w:rFonts w:eastAsia="TimesNewRoman,Bold"/>
          <w:i/>
          <w:iCs/>
          <w:color w:val="000000"/>
          <w:sz w:val="24"/>
          <w:szCs w:val="24"/>
        </w:rPr>
        <w:t xml:space="preserve">European Committee on Antimicrobial Susceptibility Testing) </w:t>
      </w:r>
      <w:r w:rsidRPr="0097462C">
        <w:rPr>
          <w:rFonts w:eastAsia="TimesNewRoman"/>
          <w:color w:val="000000"/>
          <w:sz w:val="24"/>
          <w:szCs w:val="24"/>
        </w:rPr>
        <w:t xml:space="preserve">for stafylokokker og streptokokker (undtagen </w:t>
      </w:r>
      <w:r w:rsidR="00D0791C" w:rsidRPr="00D0791C">
        <w:rPr>
          <w:rFonts w:eastAsia="TimesNewRoman"/>
          <w:i/>
          <w:color w:val="000000"/>
          <w:sz w:val="24"/>
          <w:szCs w:val="24"/>
        </w:rPr>
        <w:t>S.</w:t>
      </w:r>
      <w:r w:rsidR="00D0791C">
        <w:rPr>
          <w:rFonts w:eastAsia="TimesNewRoman"/>
          <w:color w:val="000000"/>
          <w:sz w:val="24"/>
          <w:szCs w:val="24"/>
        </w:rPr>
        <w:t xml:space="preserve"> </w:t>
      </w:r>
      <w:r w:rsidRPr="0097462C">
        <w:rPr>
          <w:rFonts w:eastAsia="TimesNewRoman,Bold"/>
          <w:i/>
          <w:iCs/>
          <w:color w:val="000000"/>
          <w:sz w:val="24"/>
          <w:szCs w:val="24"/>
        </w:rPr>
        <w:t>pneumoniae</w:t>
      </w:r>
      <w:r w:rsidRPr="0097462C">
        <w:rPr>
          <w:rFonts w:eastAsia="TimesNewRoman"/>
          <w:color w:val="000000"/>
          <w:sz w:val="24"/>
          <w:szCs w:val="24"/>
        </w:rPr>
        <w:t>) er: følsom ≤ 1 mg/l og resistent &gt; 1 mg/l.</w:t>
      </w:r>
    </w:p>
    <w:p w14:paraId="064E81CD" w14:textId="77777777" w:rsidR="00E62E19" w:rsidRPr="00326899" w:rsidRDefault="00E62E19" w:rsidP="00E62E19">
      <w:pPr>
        <w:autoSpaceDE w:val="0"/>
        <w:autoSpaceDN w:val="0"/>
        <w:adjustRightInd w:val="0"/>
        <w:ind w:left="851" w:hanging="851"/>
        <w:rPr>
          <w:rFonts w:eastAsia="TimesNewRoman,Bold"/>
          <w:i/>
          <w:iCs/>
          <w:color w:val="000000"/>
          <w:sz w:val="24"/>
          <w:szCs w:val="24"/>
        </w:rPr>
      </w:pPr>
    </w:p>
    <w:p w14:paraId="0CD64821" w14:textId="77777777" w:rsidR="0097462C" w:rsidRPr="0097462C" w:rsidRDefault="0097462C" w:rsidP="0097462C">
      <w:pPr>
        <w:autoSpaceDE w:val="0"/>
        <w:autoSpaceDN w:val="0"/>
        <w:adjustRightInd w:val="0"/>
        <w:ind w:left="851"/>
        <w:rPr>
          <w:rFonts w:eastAsia="TimesNewRoman,Bold"/>
          <w:i/>
          <w:iCs/>
          <w:color w:val="000000"/>
          <w:sz w:val="24"/>
          <w:szCs w:val="24"/>
        </w:rPr>
      </w:pPr>
      <w:r w:rsidRPr="0097462C">
        <w:rPr>
          <w:rFonts w:eastAsia="TimesNewRoman,Bold"/>
          <w:i/>
          <w:iCs/>
          <w:color w:val="000000"/>
          <w:sz w:val="24"/>
          <w:szCs w:val="24"/>
        </w:rPr>
        <w:t>Følsomhed</w:t>
      </w:r>
    </w:p>
    <w:p w14:paraId="1399C560"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Resistensprævalensen kan variere geografisk og tidsmæssigt for udvalgte arter og lokal information om resistens er ønskelig, især når svære infektioner behandles. Ekspertvejledning bør indhentes, hvis den lokale resistensprævalens er af en sådan beskaffenhed, at der må stilles spørgsmål ved virkestoffets nytte i det mindste i nogle af infektionstyperne.</w:t>
      </w:r>
    </w:p>
    <w:p w14:paraId="0D35ADDF" w14:textId="77777777" w:rsidR="0097462C" w:rsidRPr="0097462C" w:rsidRDefault="0097462C" w:rsidP="0097462C">
      <w:pPr>
        <w:rPr>
          <w:rFonts w:eastAsia="TimesNewRoman"/>
          <w:color w:val="000000"/>
          <w:sz w:val="24"/>
          <w:szCs w:val="24"/>
        </w:rPr>
      </w:pPr>
    </w:p>
    <w:tbl>
      <w:tblPr>
        <w:tblStyle w:val="Tabel-Gitter"/>
        <w:tblW w:w="8788" w:type="dxa"/>
        <w:tblInd w:w="846" w:type="dxa"/>
        <w:tblLook w:val="04A0" w:firstRow="1" w:lastRow="0" w:firstColumn="1" w:lastColumn="0" w:noHBand="0" w:noVBand="1"/>
      </w:tblPr>
      <w:tblGrid>
        <w:gridCol w:w="8788"/>
      </w:tblGrid>
      <w:tr w:rsidR="0097462C" w:rsidRPr="0097462C" w14:paraId="69966106" w14:textId="77777777" w:rsidTr="0097462C">
        <w:tc>
          <w:tcPr>
            <w:tcW w:w="8788" w:type="dxa"/>
            <w:tcBorders>
              <w:top w:val="single" w:sz="4" w:space="0" w:color="auto"/>
              <w:left w:val="single" w:sz="4" w:space="0" w:color="auto"/>
              <w:bottom w:val="single" w:sz="4" w:space="0" w:color="auto"/>
              <w:right w:val="single" w:sz="4" w:space="0" w:color="auto"/>
            </w:tcBorders>
            <w:hideMark/>
          </w:tcPr>
          <w:p w14:paraId="5F5C0E1D" w14:textId="77777777" w:rsidR="0097462C" w:rsidRPr="0097462C" w:rsidRDefault="0097462C" w:rsidP="0097462C">
            <w:pPr>
              <w:autoSpaceDE w:val="0"/>
              <w:autoSpaceDN w:val="0"/>
              <w:adjustRightInd w:val="0"/>
              <w:ind w:left="851" w:hanging="851"/>
              <w:rPr>
                <w:rFonts w:ascii="Times New Roman" w:eastAsia="TimesNewRoman,Bold" w:hAnsi="Times New Roman" w:cs="Times New Roman"/>
                <w:b/>
                <w:bCs/>
                <w:color w:val="000000"/>
                <w:sz w:val="24"/>
                <w:szCs w:val="24"/>
              </w:rPr>
            </w:pPr>
            <w:r w:rsidRPr="0097462C">
              <w:rPr>
                <w:rFonts w:ascii="Times New Roman" w:eastAsia="TimesNewRoman,Bold" w:hAnsi="Times New Roman" w:cs="Times New Roman"/>
                <w:b/>
                <w:bCs/>
                <w:color w:val="000000"/>
                <w:sz w:val="24"/>
                <w:szCs w:val="24"/>
              </w:rPr>
              <w:t>Sædvanligvis følsomme arter</w:t>
            </w:r>
          </w:p>
        </w:tc>
      </w:tr>
      <w:tr w:rsidR="0097462C" w:rsidRPr="0097462C" w14:paraId="48605647" w14:textId="77777777" w:rsidTr="0097462C">
        <w:tc>
          <w:tcPr>
            <w:tcW w:w="8788" w:type="dxa"/>
            <w:tcBorders>
              <w:top w:val="single" w:sz="4" w:space="0" w:color="auto"/>
              <w:left w:val="single" w:sz="4" w:space="0" w:color="auto"/>
              <w:bottom w:val="single" w:sz="4" w:space="0" w:color="auto"/>
              <w:right w:val="single" w:sz="4" w:space="0" w:color="auto"/>
            </w:tcBorders>
            <w:hideMark/>
          </w:tcPr>
          <w:p w14:paraId="49151200" w14:textId="77777777" w:rsidR="0097462C" w:rsidRPr="0097462C" w:rsidRDefault="0097462C" w:rsidP="0097462C">
            <w:pPr>
              <w:autoSpaceDE w:val="0"/>
              <w:autoSpaceDN w:val="0"/>
              <w:adjustRightInd w:val="0"/>
              <w:ind w:left="851" w:hanging="851"/>
              <w:rPr>
                <w:rFonts w:ascii="Times New Roman" w:eastAsia="TimesNewRoman,Bold" w:hAnsi="Times New Roman" w:cs="Times New Roman"/>
                <w:b/>
                <w:bCs/>
                <w:color w:val="000000"/>
                <w:sz w:val="24"/>
                <w:szCs w:val="24"/>
              </w:rPr>
            </w:pPr>
            <w:r w:rsidRPr="0097462C">
              <w:rPr>
                <w:rFonts w:ascii="Times New Roman" w:eastAsia="TimesNewRoman,Bold" w:hAnsi="Times New Roman" w:cs="Times New Roman"/>
                <w:i/>
                <w:iCs/>
                <w:color w:val="000000"/>
                <w:sz w:val="24"/>
                <w:szCs w:val="24"/>
              </w:rPr>
              <w:t xml:space="preserve">Staphylococcus aureus </w:t>
            </w:r>
            <w:r w:rsidRPr="0097462C">
              <w:rPr>
                <w:rFonts w:ascii="Times New Roman" w:eastAsia="TimesNewRoman" w:hAnsi="Times New Roman" w:cs="Times New Roman"/>
                <w:color w:val="000000"/>
                <w:sz w:val="24"/>
                <w:szCs w:val="24"/>
              </w:rPr>
              <w:t>*</w:t>
            </w:r>
          </w:p>
        </w:tc>
      </w:tr>
      <w:tr w:rsidR="0097462C" w:rsidRPr="0097462C" w14:paraId="0BD8CD7A" w14:textId="77777777" w:rsidTr="0097462C">
        <w:tc>
          <w:tcPr>
            <w:tcW w:w="8788" w:type="dxa"/>
            <w:tcBorders>
              <w:top w:val="single" w:sz="4" w:space="0" w:color="auto"/>
              <w:left w:val="single" w:sz="4" w:space="0" w:color="auto"/>
              <w:bottom w:val="single" w:sz="4" w:space="0" w:color="auto"/>
              <w:right w:val="single" w:sz="4" w:space="0" w:color="auto"/>
            </w:tcBorders>
            <w:hideMark/>
          </w:tcPr>
          <w:p w14:paraId="32DAB830" w14:textId="77777777" w:rsidR="0097462C" w:rsidRPr="0097462C" w:rsidRDefault="0097462C" w:rsidP="0097462C">
            <w:pPr>
              <w:autoSpaceDE w:val="0"/>
              <w:autoSpaceDN w:val="0"/>
              <w:adjustRightInd w:val="0"/>
              <w:ind w:left="851" w:hanging="851"/>
              <w:rPr>
                <w:rFonts w:ascii="Times New Roman" w:eastAsia="TimesNewRoman,Bold" w:hAnsi="Times New Roman" w:cs="Times New Roman"/>
                <w:i/>
                <w:iCs/>
                <w:color w:val="000000"/>
                <w:sz w:val="24"/>
                <w:szCs w:val="24"/>
              </w:rPr>
            </w:pPr>
            <w:r w:rsidRPr="0097462C">
              <w:rPr>
                <w:rFonts w:ascii="Times New Roman" w:eastAsia="TimesNewRoman,Bold" w:hAnsi="Times New Roman" w:cs="Times New Roman"/>
                <w:i/>
                <w:iCs/>
                <w:color w:val="000000"/>
                <w:sz w:val="24"/>
                <w:szCs w:val="24"/>
              </w:rPr>
              <w:t>Staphylococcus haemolyticus</w:t>
            </w:r>
          </w:p>
        </w:tc>
      </w:tr>
      <w:tr w:rsidR="0097462C" w:rsidRPr="0097462C" w14:paraId="5DD90C6F" w14:textId="77777777" w:rsidTr="0097462C">
        <w:tc>
          <w:tcPr>
            <w:tcW w:w="8788" w:type="dxa"/>
            <w:tcBorders>
              <w:top w:val="single" w:sz="4" w:space="0" w:color="auto"/>
              <w:left w:val="single" w:sz="4" w:space="0" w:color="auto"/>
              <w:bottom w:val="single" w:sz="4" w:space="0" w:color="auto"/>
              <w:right w:val="single" w:sz="4" w:space="0" w:color="auto"/>
            </w:tcBorders>
            <w:hideMark/>
          </w:tcPr>
          <w:p w14:paraId="174F721A" w14:textId="77777777" w:rsidR="0097462C" w:rsidRPr="0097462C" w:rsidRDefault="0097462C" w:rsidP="0097462C">
            <w:pPr>
              <w:autoSpaceDE w:val="0"/>
              <w:autoSpaceDN w:val="0"/>
              <w:adjustRightInd w:val="0"/>
              <w:ind w:left="851" w:hanging="851"/>
              <w:rPr>
                <w:rFonts w:ascii="Times New Roman" w:eastAsia="TimesNewRoman,Bold" w:hAnsi="Times New Roman" w:cs="Times New Roman"/>
                <w:b/>
                <w:bCs/>
                <w:color w:val="000000"/>
                <w:sz w:val="24"/>
                <w:szCs w:val="24"/>
              </w:rPr>
            </w:pPr>
            <w:r w:rsidRPr="0097462C">
              <w:rPr>
                <w:rFonts w:ascii="Times New Roman" w:eastAsia="TimesNewRoman" w:hAnsi="Times New Roman" w:cs="Times New Roman"/>
                <w:color w:val="000000"/>
                <w:sz w:val="24"/>
                <w:szCs w:val="24"/>
              </w:rPr>
              <w:t>Coagulase negative stafylokokker</w:t>
            </w:r>
          </w:p>
        </w:tc>
      </w:tr>
      <w:tr w:rsidR="0097462C" w:rsidRPr="0097462C" w14:paraId="3B629C49" w14:textId="77777777" w:rsidTr="0097462C">
        <w:tc>
          <w:tcPr>
            <w:tcW w:w="8788" w:type="dxa"/>
            <w:tcBorders>
              <w:top w:val="single" w:sz="4" w:space="0" w:color="auto"/>
              <w:left w:val="single" w:sz="4" w:space="0" w:color="auto"/>
              <w:bottom w:val="single" w:sz="4" w:space="0" w:color="auto"/>
              <w:right w:val="single" w:sz="4" w:space="0" w:color="auto"/>
            </w:tcBorders>
            <w:hideMark/>
          </w:tcPr>
          <w:p w14:paraId="6ABEF8FB" w14:textId="77777777" w:rsidR="0097462C" w:rsidRPr="0097462C" w:rsidRDefault="0097462C" w:rsidP="0097462C">
            <w:pPr>
              <w:autoSpaceDE w:val="0"/>
              <w:autoSpaceDN w:val="0"/>
              <w:adjustRightInd w:val="0"/>
              <w:ind w:left="851" w:hanging="851"/>
              <w:rPr>
                <w:rFonts w:ascii="Times New Roman" w:eastAsia="TimesNewRoman,Bold" w:hAnsi="Times New Roman" w:cs="Times New Roman"/>
                <w:b/>
                <w:bCs/>
                <w:color w:val="000000"/>
                <w:sz w:val="24"/>
                <w:szCs w:val="24"/>
              </w:rPr>
            </w:pPr>
            <w:r w:rsidRPr="0097462C">
              <w:rPr>
                <w:rFonts w:ascii="Times New Roman" w:eastAsia="TimesNewRoman,Bold" w:hAnsi="Times New Roman" w:cs="Times New Roman"/>
                <w:i/>
                <w:iCs/>
                <w:color w:val="000000"/>
                <w:sz w:val="24"/>
                <w:szCs w:val="24"/>
              </w:rPr>
              <w:t>Streptococcus agalactiae</w:t>
            </w:r>
            <w:r w:rsidRPr="0097462C">
              <w:rPr>
                <w:rFonts w:ascii="Times New Roman" w:eastAsia="TimesNewRoman" w:hAnsi="Times New Roman" w:cs="Times New Roman"/>
                <w:color w:val="000000"/>
                <w:sz w:val="24"/>
                <w:szCs w:val="24"/>
              </w:rPr>
              <w:t>*</w:t>
            </w:r>
          </w:p>
        </w:tc>
      </w:tr>
      <w:tr w:rsidR="0097462C" w:rsidRPr="0097462C" w14:paraId="4BF77D3B" w14:textId="77777777" w:rsidTr="0097462C">
        <w:tc>
          <w:tcPr>
            <w:tcW w:w="8788" w:type="dxa"/>
            <w:tcBorders>
              <w:top w:val="single" w:sz="4" w:space="0" w:color="auto"/>
              <w:left w:val="single" w:sz="4" w:space="0" w:color="auto"/>
              <w:bottom w:val="single" w:sz="4" w:space="0" w:color="auto"/>
              <w:right w:val="single" w:sz="4" w:space="0" w:color="auto"/>
            </w:tcBorders>
            <w:hideMark/>
          </w:tcPr>
          <w:p w14:paraId="511273F6" w14:textId="77777777" w:rsidR="0097462C" w:rsidRPr="0097462C" w:rsidRDefault="0097462C" w:rsidP="0097462C">
            <w:pPr>
              <w:autoSpaceDE w:val="0"/>
              <w:autoSpaceDN w:val="0"/>
              <w:adjustRightInd w:val="0"/>
              <w:ind w:left="851" w:hanging="851"/>
              <w:rPr>
                <w:rFonts w:ascii="Times New Roman" w:eastAsia="TimesNewRoman,Bold" w:hAnsi="Times New Roman" w:cs="Times New Roman"/>
                <w:b/>
                <w:bCs/>
                <w:color w:val="000000"/>
                <w:sz w:val="24"/>
                <w:szCs w:val="24"/>
              </w:rPr>
            </w:pPr>
            <w:r w:rsidRPr="0097462C">
              <w:rPr>
                <w:rFonts w:ascii="Times New Roman" w:eastAsia="TimesNewRoman,Bold" w:hAnsi="Times New Roman" w:cs="Times New Roman"/>
                <w:i/>
                <w:iCs/>
                <w:color w:val="000000"/>
                <w:sz w:val="24"/>
                <w:szCs w:val="24"/>
              </w:rPr>
              <w:t xml:space="preserve">Streptococcus dysgalactiae </w:t>
            </w:r>
            <w:r w:rsidRPr="0097462C">
              <w:rPr>
                <w:rFonts w:ascii="Times New Roman" w:eastAsia="TimesNewRoman" w:hAnsi="Times New Roman" w:cs="Times New Roman"/>
                <w:color w:val="000000"/>
                <w:sz w:val="24"/>
                <w:szCs w:val="24"/>
              </w:rPr>
              <w:t xml:space="preserve">subsp </w:t>
            </w:r>
            <w:r w:rsidRPr="0097462C">
              <w:rPr>
                <w:rFonts w:ascii="Times New Roman" w:eastAsia="TimesNewRoman,Bold" w:hAnsi="Times New Roman" w:cs="Times New Roman"/>
                <w:i/>
                <w:iCs/>
                <w:color w:val="000000"/>
                <w:sz w:val="24"/>
                <w:szCs w:val="24"/>
              </w:rPr>
              <w:t>equisimilis</w:t>
            </w:r>
            <w:r w:rsidRPr="0097462C">
              <w:rPr>
                <w:rFonts w:ascii="Times New Roman" w:eastAsia="TimesNewRoman" w:hAnsi="Times New Roman" w:cs="Times New Roman"/>
                <w:color w:val="000000"/>
                <w:sz w:val="24"/>
                <w:szCs w:val="24"/>
              </w:rPr>
              <w:t>*</w:t>
            </w:r>
          </w:p>
        </w:tc>
      </w:tr>
      <w:tr w:rsidR="0097462C" w:rsidRPr="0097462C" w14:paraId="4C4B64E8" w14:textId="77777777" w:rsidTr="0097462C">
        <w:tc>
          <w:tcPr>
            <w:tcW w:w="8788" w:type="dxa"/>
            <w:tcBorders>
              <w:top w:val="single" w:sz="4" w:space="0" w:color="auto"/>
              <w:left w:val="single" w:sz="4" w:space="0" w:color="auto"/>
              <w:bottom w:val="single" w:sz="4" w:space="0" w:color="auto"/>
              <w:right w:val="single" w:sz="4" w:space="0" w:color="auto"/>
            </w:tcBorders>
            <w:hideMark/>
          </w:tcPr>
          <w:p w14:paraId="708C2A9B" w14:textId="77777777" w:rsidR="0097462C" w:rsidRPr="0097462C" w:rsidRDefault="0097462C" w:rsidP="0097462C">
            <w:pPr>
              <w:autoSpaceDE w:val="0"/>
              <w:autoSpaceDN w:val="0"/>
              <w:adjustRightInd w:val="0"/>
              <w:ind w:left="851" w:hanging="851"/>
              <w:rPr>
                <w:rFonts w:ascii="Times New Roman" w:eastAsia="TimesNewRoman,Bold" w:hAnsi="Times New Roman" w:cs="Times New Roman"/>
                <w:b/>
                <w:bCs/>
                <w:color w:val="000000"/>
                <w:sz w:val="24"/>
                <w:szCs w:val="24"/>
              </w:rPr>
            </w:pPr>
            <w:r w:rsidRPr="0097462C">
              <w:rPr>
                <w:rFonts w:ascii="Times New Roman" w:eastAsia="TimesNewRoman,Bold" w:hAnsi="Times New Roman" w:cs="Times New Roman"/>
                <w:i/>
                <w:iCs/>
                <w:color w:val="000000"/>
                <w:sz w:val="24"/>
                <w:szCs w:val="24"/>
              </w:rPr>
              <w:t>Streptococcus pyogenes</w:t>
            </w:r>
            <w:r w:rsidRPr="0097462C">
              <w:rPr>
                <w:rFonts w:ascii="Times New Roman" w:eastAsia="TimesNewRoman" w:hAnsi="Times New Roman" w:cs="Times New Roman"/>
                <w:color w:val="000000"/>
                <w:sz w:val="24"/>
                <w:szCs w:val="24"/>
              </w:rPr>
              <w:t>*</w:t>
            </w:r>
          </w:p>
        </w:tc>
      </w:tr>
      <w:tr w:rsidR="0097462C" w:rsidRPr="0097462C" w14:paraId="3C1EBB2C" w14:textId="77777777" w:rsidTr="0097462C">
        <w:tc>
          <w:tcPr>
            <w:tcW w:w="8788" w:type="dxa"/>
            <w:tcBorders>
              <w:top w:val="single" w:sz="4" w:space="0" w:color="auto"/>
              <w:left w:val="single" w:sz="4" w:space="0" w:color="auto"/>
              <w:bottom w:val="single" w:sz="4" w:space="0" w:color="auto"/>
              <w:right w:val="single" w:sz="4" w:space="0" w:color="auto"/>
            </w:tcBorders>
            <w:hideMark/>
          </w:tcPr>
          <w:p w14:paraId="036B0801" w14:textId="77777777" w:rsidR="0097462C" w:rsidRPr="0097462C" w:rsidRDefault="0097462C" w:rsidP="0097462C">
            <w:pPr>
              <w:autoSpaceDE w:val="0"/>
              <w:autoSpaceDN w:val="0"/>
              <w:adjustRightInd w:val="0"/>
              <w:ind w:left="851" w:hanging="851"/>
              <w:rPr>
                <w:rFonts w:ascii="Times New Roman" w:eastAsia="TimesNewRoman,Bold" w:hAnsi="Times New Roman" w:cs="Times New Roman"/>
                <w:b/>
                <w:bCs/>
                <w:color w:val="000000"/>
                <w:sz w:val="24"/>
                <w:szCs w:val="24"/>
              </w:rPr>
            </w:pPr>
            <w:r w:rsidRPr="0097462C">
              <w:rPr>
                <w:rFonts w:ascii="Times New Roman" w:eastAsia="TimesNewRoman" w:hAnsi="Times New Roman" w:cs="Times New Roman"/>
                <w:color w:val="000000"/>
                <w:sz w:val="24"/>
                <w:szCs w:val="24"/>
              </w:rPr>
              <w:t>Gruppe G streptokokker</w:t>
            </w:r>
          </w:p>
        </w:tc>
      </w:tr>
      <w:tr w:rsidR="0097462C" w:rsidRPr="0097462C" w14:paraId="3B04A96A" w14:textId="77777777" w:rsidTr="0097462C">
        <w:tc>
          <w:tcPr>
            <w:tcW w:w="8788" w:type="dxa"/>
            <w:tcBorders>
              <w:top w:val="single" w:sz="4" w:space="0" w:color="auto"/>
              <w:left w:val="single" w:sz="4" w:space="0" w:color="auto"/>
              <w:bottom w:val="single" w:sz="4" w:space="0" w:color="auto"/>
              <w:right w:val="single" w:sz="4" w:space="0" w:color="auto"/>
            </w:tcBorders>
            <w:hideMark/>
          </w:tcPr>
          <w:p w14:paraId="01FF524B" w14:textId="77777777" w:rsidR="0097462C" w:rsidRPr="0097462C" w:rsidRDefault="0097462C" w:rsidP="0097462C">
            <w:pPr>
              <w:autoSpaceDE w:val="0"/>
              <w:autoSpaceDN w:val="0"/>
              <w:adjustRightInd w:val="0"/>
              <w:ind w:left="851" w:hanging="851"/>
              <w:rPr>
                <w:rFonts w:ascii="Times New Roman" w:eastAsia="TimesNewRoman" w:hAnsi="Times New Roman" w:cs="Times New Roman"/>
                <w:color w:val="000000"/>
                <w:sz w:val="24"/>
                <w:szCs w:val="24"/>
              </w:rPr>
            </w:pPr>
            <w:r w:rsidRPr="0097462C">
              <w:rPr>
                <w:rFonts w:ascii="Times New Roman" w:eastAsia="TimesNewRoman,Bold" w:hAnsi="Times New Roman" w:cs="Times New Roman"/>
                <w:i/>
                <w:iCs/>
                <w:color w:val="000000"/>
                <w:sz w:val="24"/>
                <w:szCs w:val="24"/>
              </w:rPr>
              <w:t>Clostridium perfringens</w:t>
            </w:r>
          </w:p>
        </w:tc>
      </w:tr>
      <w:tr w:rsidR="0097462C" w:rsidRPr="0097462C" w14:paraId="15E34764" w14:textId="77777777" w:rsidTr="0097462C">
        <w:tc>
          <w:tcPr>
            <w:tcW w:w="8788" w:type="dxa"/>
            <w:tcBorders>
              <w:top w:val="single" w:sz="4" w:space="0" w:color="auto"/>
              <w:left w:val="single" w:sz="4" w:space="0" w:color="auto"/>
              <w:bottom w:val="single" w:sz="4" w:space="0" w:color="auto"/>
              <w:right w:val="single" w:sz="4" w:space="0" w:color="auto"/>
            </w:tcBorders>
            <w:hideMark/>
          </w:tcPr>
          <w:p w14:paraId="3CE41AC2" w14:textId="77777777" w:rsidR="0097462C" w:rsidRPr="0097462C" w:rsidRDefault="0097462C" w:rsidP="0097462C">
            <w:pPr>
              <w:autoSpaceDE w:val="0"/>
              <w:autoSpaceDN w:val="0"/>
              <w:adjustRightInd w:val="0"/>
              <w:ind w:left="851" w:hanging="851"/>
              <w:rPr>
                <w:rFonts w:ascii="Times New Roman" w:eastAsia="TimesNewRoman,Bold" w:hAnsi="Times New Roman" w:cs="Times New Roman"/>
                <w:i/>
                <w:iCs/>
                <w:color w:val="000000"/>
                <w:sz w:val="24"/>
                <w:szCs w:val="24"/>
              </w:rPr>
            </w:pPr>
            <w:r w:rsidRPr="0097462C">
              <w:rPr>
                <w:rFonts w:ascii="Times New Roman" w:eastAsia="TimesNewRoman,Bold" w:hAnsi="Times New Roman" w:cs="Times New Roman"/>
                <w:i/>
                <w:iCs/>
                <w:color w:val="000000"/>
                <w:sz w:val="24"/>
                <w:szCs w:val="24"/>
              </w:rPr>
              <w:t>Peptostreptococcus spp</w:t>
            </w:r>
          </w:p>
        </w:tc>
      </w:tr>
      <w:tr w:rsidR="0097462C" w:rsidRPr="0097462C" w14:paraId="053FD4EF" w14:textId="77777777" w:rsidTr="0097462C">
        <w:tc>
          <w:tcPr>
            <w:tcW w:w="8788" w:type="dxa"/>
            <w:tcBorders>
              <w:top w:val="single" w:sz="4" w:space="0" w:color="auto"/>
              <w:left w:val="single" w:sz="4" w:space="0" w:color="auto"/>
              <w:bottom w:val="single" w:sz="4" w:space="0" w:color="auto"/>
              <w:right w:val="single" w:sz="4" w:space="0" w:color="auto"/>
            </w:tcBorders>
            <w:hideMark/>
          </w:tcPr>
          <w:p w14:paraId="4B3682AC" w14:textId="77777777" w:rsidR="0097462C" w:rsidRPr="0097462C" w:rsidRDefault="0097462C" w:rsidP="0097462C">
            <w:pPr>
              <w:autoSpaceDE w:val="0"/>
              <w:autoSpaceDN w:val="0"/>
              <w:adjustRightInd w:val="0"/>
              <w:ind w:left="851" w:hanging="851"/>
              <w:rPr>
                <w:rFonts w:ascii="Times New Roman" w:eastAsia="TimesNewRoman,Bold" w:hAnsi="Times New Roman" w:cs="Times New Roman"/>
                <w:i/>
                <w:iCs/>
                <w:color w:val="000000"/>
                <w:sz w:val="24"/>
                <w:szCs w:val="24"/>
              </w:rPr>
            </w:pPr>
            <w:r w:rsidRPr="0097462C">
              <w:rPr>
                <w:rFonts w:ascii="Times New Roman" w:eastAsia="TimesNewRoman,Bold" w:hAnsi="Times New Roman" w:cs="Times New Roman"/>
                <w:b/>
                <w:bCs/>
                <w:color w:val="000000"/>
                <w:sz w:val="24"/>
                <w:szCs w:val="24"/>
              </w:rPr>
              <w:t>Naturligt resistente organismer</w:t>
            </w:r>
          </w:p>
        </w:tc>
      </w:tr>
      <w:tr w:rsidR="0097462C" w:rsidRPr="0097462C" w14:paraId="184576EB" w14:textId="77777777" w:rsidTr="0097462C">
        <w:tc>
          <w:tcPr>
            <w:tcW w:w="8788" w:type="dxa"/>
            <w:tcBorders>
              <w:top w:val="single" w:sz="4" w:space="0" w:color="auto"/>
              <w:left w:val="single" w:sz="4" w:space="0" w:color="auto"/>
              <w:bottom w:val="single" w:sz="4" w:space="0" w:color="auto"/>
              <w:right w:val="single" w:sz="4" w:space="0" w:color="auto"/>
            </w:tcBorders>
            <w:hideMark/>
          </w:tcPr>
          <w:p w14:paraId="7CD87D22" w14:textId="77777777" w:rsidR="0097462C" w:rsidRPr="0097462C" w:rsidRDefault="0097462C" w:rsidP="0097462C">
            <w:pPr>
              <w:autoSpaceDE w:val="0"/>
              <w:autoSpaceDN w:val="0"/>
              <w:adjustRightInd w:val="0"/>
              <w:ind w:left="851" w:hanging="851"/>
              <w:rPr>
                <w:rFonts w:ascii="Times New Roman" w:eastAsia="TimesNewRoman,Bold" w:hAnsi="Times New Roman" w:cs="Times New Roman"/>
                <w:b/>
                <w:bCs/>
                <w:color w:val="000000"/>
                <w:sz w:val="24"/>
                <w:szCs w:val="24"/>
              </w:rPr>
            </w:pPr>
            <w:r w:rsidRPr="0097462C">
              <w:rPr>
                <w:rFonts w:ascii="Times New Roman" w:eastAsia="TimesNewRoman" w:hAnsi="Times New Roman" w:cs="Times New Roman"/>
                <w:color w:val="000000"/>
                <w:sz w:val="24"/>
                <w:szCs w:val="24"/>
              </w:rPr>
              <w:t>Gramnegative organismer</w:t>
            </w:r>
          </w:p>
        </w:tc>
      </w:tr>
    </w:tbl>
    <w:p w14:paraId="3BEFC8B3"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Bold"/>
          <w:b/>
          <w:bCs/>
          <w:color w:val="000000"/>
          <w:sz w:val="24"/>
          <w:szCs w:val="24"/>
        </w:rPr>
        <w:t xml:space="preserve">* </w:t>
      </w:r>
      <w:r w:rsidRPr="0097462C">
        <w:rPr>
          <w:rFonts w:eastAsia="TimesNewRoman"/>
          <w:color w:val="000000"/>
          <w:sz w:val="24"/>
          <w:szCs w:val="24"/>
        </w:rPr>
        <w:t>betegner arter, hvor aktivitet anses for at være påvist på tilfredsstillende måde i kliniske studier.</w:t>
      </w:r>
    </w:p>
    <w:p w14:paraId="78F33EC2"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4D501EB3" w14:textId="77777777" w:rsidR="00D0791C" w:rsidRDefault="00D0791C">
      <w:pPr>
        <w:rPr>
          <w:rFonts w:eastAsia="TimesNewRoman"/>
          <w:color w:val="000000"/>
          <w:sz w:val="24"/>
          <w:szCs w:val="24"/>
          <w:u w:val="single"/>
        </w:rPr>
      </w:pPr>
      <w:r>
        <w:rPr>
          <w:rFonts w:eastAsia="TimesNewRoman"/>
          <w:color w:val="000000"/>
          <w:sz w:val="24"/>
          <w:szCs w:val="24"/>
          <w:u w:val="single"/>
        </w:rPr>
        <w:br w:type="page"/>
      </w:r>
    </w:p>
    <w:p w14:paraId="26BBA079" w14:textId="4290EFE6" w:rsidR="0097462C" w:rsidRPr="0097462C" w:rsidRDefault="0097462C" w:rsidP="0097462C">
      <w:pPr>
        <w:autoSpaceDE w:val="0"/>
        <w:autoSpaceDN w:val="0"/>
        <w:adjustRightInd w:val="0"/>
        <w:ind w:left="851"/>
        <w:rPr>
          <w:rFonts w:eastAsia="TimesNewRoman"/>
          <w:color w:val="000000"/>
          <w:sz w:val="24"/>
          <w:szCs w:val="24"/>
          <w:u w:val="single"/>
        </w:rPr>
      </w:pPr>
      <w:r w:rsidRPr="0097462C">
        <w:rPr>
          <w:rFonts w:eastAsia="TimesNewRoman"/>
          <w:color w:val="000000"/>
          <w:sz w:val="24"/>
          <w:szCs w:val="24"/>
          <w:u w:val="single"/>
        </w:rPr>
        <w:lastRenderedPageBreak/>
        <w:t>Klinisk virkning hos voksne</w:t>
      </w:r>
    </w:p>
    <w:p w14:paraId="07080F83"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I to kliniske studier med voksne med komplicerede hud- og bløddelsinfektioner opfyldte 36 % af patienterne behandlet med daptomycin kriteriet for systemisk inflammatorisk responssyndrom (SIRS). Den mest almindelige infektion, der blev behandlet, var sårinfektion (38 % af patienterne), mens 21 % havde store abscesser. Disse begrænsninger i patientpopulationerne bør tages i betragtning, når der træffes afgørelse om brug af daptomycin.</w:t>
      </w:r>
    </w:p>
    <w:p w14:paraId="5B47C7FD" w14:textId="77777777" w:rsidR="0097462C" w:rsidRPr="0097462C" w:rsidRDefault="0097462C" w:rsidP="0097462C">
      <w:pPr>
        <w:autoSpaceDE w:val="0"/>
        <w:autoSpaceDN w:val="0"/>
        <w:adjustRightInd w:val="0"/>
        <w:ind w:left="851" w:hanging="851"/>
        <w:rPr>
          <w:rFonts w:eastAsia="TimesNewRoman,Bold"/>
          <w:color w:val="000000"/>
          <w:sz w:val="24"/>
          <w:szCs w:val="24"/>
        </w:rPr>
      </w:pPr>
    </w:p>
    <w:p w14:paraId="6BD025F9" w14:textId="317D7DC3"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 xml:space="preserve">I et randomiseret, kontrolleret, åbent studie med 235 voksne patienter med </w:t>
      </w:r>
      <w:r w:rsidRPr="0097462C">
        <w:rPr>
          <w:rFonts w:eastAsia="TimesNewRoman,Bold"/>
          <w:i/>
          <w:iCs/>
          <w:color w:val="000000"/>
          <w:sz w:val="24"/>
          <w:szCs w:val="24"/>
        </w:rPr>
        <w:t xml:space="preserve">Staphylococcus aureus </w:t>
      </w:r>
      <w:r w:rsidRPr="0097462C">
        <w:rPr>
          <w:rFonts w:eastAsia="TimesNewRoman"/>
          <w:color w:val="000000"/>
          <w:sz w:val="24"/>
          <w:szCs w:val="24"/>
        </w:rPr>
        <w:t xml:space="preserve">bakteriæmi (dvs. mindst </w:t>
      </w:r>
      <w:r w:rsidR="00104B3C">
        <w:rPr>
          <w:rFonts w:eastAsia="TimesNewRoman"/>
          <w:color w:val="000000"/>
          <w:sz w:val="24"/>
          <w:szCs w:val="24"/>
        </w:rPr>
        <w:t>en</w:t>
      </w:r>
      <w:r w:rsidRPr="0097462C">
        <w:rPr>
          <w:rFonts w:eastAsia="TimesNewRoman"/>
          <w:color w:val="000000"/>
          <w:sz w:val="24"/>
          <w:szCs w:val="24"/>
        </w:rPr>
        <w:t xml:space="preserve"> positiv blodkultur af </w:t>
      </w:r>
      <w:r w:rsidRPr="0097462C">
        <w:rPr>
          <w:rFonts w:eastAsia="TimesNewRoman,Bold"/>
          <w:i/>
          <w:iCs/>
          <w:color w:val="000000"/>
          <w:sz w:val="24"/>
          <w:szCs w:val="24"/>
        </w:rPr>
        <w:t xml:space="preserve">Staphylococcus aureus </w:t>
      </w:r>
      <w:r w:rsidRPr="0097462C">
        <w:rPr>
          <w:rFonts w:eastAsia="TimesNewRoman"/>
          <w:color w:val="000000"/>
          <w:sz w:val="24"/>
          <w:szCs w:val="24"/>
        </w:rPr>
        <w:t xml:space="preserve">før modtagelsen af første dosis), opfyldte 19 ud af 120 patienter behandlet med daptomycin kriteriet for RIE. Af disse 19 patienter var 11 inficerede med methicillin-følsom og 8 med methicillin-resistent </w:t>
      </w:r>
      <w:r w:rsidRPr="0097462C">
        <w:rPr>
          <w:rFonts w:eastAsia="TimesNewRoman,Bold"/>
          <w:i/>
          <w:iCs/>
          <w:color w:val="000000"/>
          <w:sz w:val="24"/>
          <w:szCs w:val="24"/>
        </w:rPr>
        <w:t>Staphylococcus aureus</w:t>
      </w:r>
      <w:r w:rsidRPr="0097462C">
        <w:rPr>
          <w:rFonts w:eastAsia="TimesNewRoman"/>
          <w:color w:val="000000"/>
          <w:sz w:val="24"/>
          <w:szCs w:val="24"/>
        </w:rPr>
        <w:t>. Succesraten for RIE-patienterne er vist i nedenstående tabel.</w:t>
      </w:r>
    </w:p>
    <w:p w14:paraId="2B4DC555" w14:textId="77777777" w:rsidR="0097462C" w:rsidRPr="0097462C" w:rsidRDefault="0097462C" w:rsidP="0097462C">
      <w:pPr>
        <w:autoSpaceDE w:val="0"/>
        <w:autoSpaceDN w:val="0"/>
        <w:adjustRightInd w:val="0"/>
        <w:ind w:left="851" w:hanging="851"/>
        <w:rPr>
          <w:rFonts w:eastAsia="TimesNewRoman,Bold"/>
          <w:bCs/>
          <w:color w:val="000000"/>
          <w:sz w:val="24"/>
          <w:szCs w:val="24"/>
        </w:rPr>
      </w:pPr>
    </w:p>
    <w:tbl>
      <w:tblPr>
        <w:tblStyle w:val="Tabel-Gitter"/>
        <w:tblW w:w="4561" w:type="pct"/>
        <w:tblInd w:w="846" w:type="dxa"/>
        <w:tblLook w:val="04A0" w:firstRow="1" w:lastRow="0" w:firstColumn="1" w:lastColumn="0" w:noHBand="0" w:noVBand="1"/>
      </w:tblPr>
      <w:tblGrid>
        <w:gridCol w:w="2525"/>
        <w:gridCol w:w="2013"/>
        <w:gridCol w:w="1851"/>
        <w:gridCol w:w="2394"/>
      </w:tblGrid>
      <w:tr w:rsidR="0097462C" w:rsidRPr="0097462C" w14:paraId="740128E0" w14:textId="77777777" w:rsidTr="0097462C">
        <w:tc>
          <w:tcPr>
            <w:tcW w:w="1437" w:type="pct"/>
            <w:vMerge w:val="restart"/>
            <w:tcBorders>
              <w:top w:val="single" w:sz="4" w:space="0" w:color="auto"/>
              <w:left w:val="single" w:sz="4" w:space="0" w:color="auto"/>
              <w:bottom w:val="single" w:sz="4" w:space="0" w:color="auto"/>
              <w:right w:val="single" w:sz="4" w:space="0" w:color="auto"/>
            </w:tcBorders>
            <w:hideMark/>
          </w:tcPr>
          <w:p w14:paraId="61981BBA" w14:textId="77777777" w:rsidR="0097462C" w:rsidRPr="0097462C" w:rsidRDefault="0097462C" w:rsidP="0097462C">
            <w:pPr>
              <w:autoSpaceDE w:val="0"/>
              <w:autoSpaceDN w:val="0"/>
              <w:adjustRightInd w:val="0"/>
              <w:rPr>
                <w:rFonts w:ascii="Times New Roman" w:eastAsia="TimesNewRoman,Bold" w:hAnsi="Times New Roman" w:cs="Times New Roman"/>
                <w:b/>
                <w:bCs/>
                <w:color w:val="000000"/>
                <w:sz w:val="24"/>
                <w:szCs w:val="24"/>
              </w:rPr>
            </w:pPr>
            <w:r w:rsidRPr="0097462C">
              <w:rPr>
                <w:rFonts w:ascii="Times New Roman" w:eastAsia="TimesNewRoman,Bold" w:hAnsi="Times New Roman" w:cs="Times New Roman"/>
                <w:b/>
                <w:bCs/>
                <w:color w:val="000000"/>
                <w:sz w:val="24"/>
                <w:szCs w:val="24"/>
              </w:rPr>
              <w:t>Population</w:t>
            </w:r>
          </w:p>
        </w:tc>
        <w:tc>
          <w:tcPr>
            <w:tcW w:w="1146" w:type="pct"/>
            <w:tcBorders>
              <w:top w:val="single" w:sz="4" w:space="0" w:color="auto"/>
              <w:left w:val="single" w:sz="4" w:space="0" w:color="auto"/>
              <w:bottom w:val="single" w:sz="4" w:space="0" w:color="auto"/>
              <w:right w:val="single" w:sz="4" w:space="0" w:color="auto"/>
            </w:tcBorders>
            <w:hideMark/>
          </w:tcPr>
          <w:p w14:paraId="236CA436"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rPr>
            </w:pPr>
            <w:r w:rsidRPr="0097462C">
              <w:rPr>
                <w:rFonts w:ascii="Times New Roman" w:eastAsia="TimesNewRoman,Bold" w:hAnsi="Times New Roman" w:cs="Times New Roman"/>
                <w:b/>
                <w:bCs/>
                <w:color w:val="000000"/>
                <w:sz w:val="24"/>
                <w:szCs w:val="24"/>
              </w:rPr>
              <w:t>Daptomycin</w:t>
            </w:r>
          </w:p>
        </w:tc>
        <w:tc>
          <w:tcPr>
            <w:tcW w:w="1054" w:type="pct"/>
            <w:tcBorders>
              <w:top w:val="single" w:sz="4" w:space="0" w:color="auto"/>
              <w:left w:val="single" w:sz="4" w:space="0" w:color="auto"/>
              <w:bottom w:val="single" w:sz="4" w:space="0" w:color="auto"/>
              <w:right w:val="single" w:sz="4" w:space="0" w:color="auto"/>
            </w:tcBorders>
            <w:hideMark/>
          </w:tcPr>
          <w:p w14:paraId="19E465D7"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rPr>
            </w:pPr>
            <w:r w:rsidRPr="0097462C">
              <w:rPr>
                <w:rFonts w:ascii="Times New Roman" w:eastAsia="TimesNewRoman,Bold" w:hAnsi="Times New Roman" w:cs="Times New Roman"/>
                <w:b/>
                <w:bCs/>
                <w:color w:val="000000"/>
                <w:sz w:val="24"/>
                <w:szCs w:val="24"/>
              </w:rPr>
              <w:t>Komparator</w:t>
            </w:r>
          </w:p>
        </w:tc>
        <w:tc>
          <w:tcPr>
            <w:tcW w:w="1363" w:type="pct"/>
            <w:tcBorders>
              <w:top w:val="single" w:sz="4" w:space="0" w:color="auto"/>
              <w:left w:val="single" w:sz="4" w:space="0" w:color="auto"/>
              <w:bottom w:val="single" w:sz="4" w:space="0" w:color="auto"/>
              <w:right w:val="single" w:sz="4" w:space="0" w:color="auto"/>
            </w:tcBorders>
          </w:tcPr>
          <w:p w14:paraId="6A23A1C0"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rPr>
            </w:pPr>
            <w:r w:rsidRPr="0097462C">
              <w:rPr>
                <w:rFonts w:ascii="Times New Roman" w:eastAsia="TimesNewRoman,Bold" w:hAnsi="Times New Roman" w:cs="Times New Roman"/>
                <w:b/>
                <w:bCs/>
                <w:color w:val="000000"/>
                <w:sz w:val="24"/>
                <w:szCs w:val="24"/>
              </w:rPr>
              <w:t>Forskel i succesrate</w:t>
            </w:r>
          </w:p>
        </w:tc>
      </w:tr>
      <w:tr w:rsidR="0097462C" w:rsidRPr="0097462C" w14:paraId="2F6637C0" w14:textId="77777777" w:rsidTr="0097462C">
        <w:tc>
          <w:tcPr>
            <w:tcW w:w="1437" w:type="pct"/>
            <w:vMerge/>
            <w:tcBorders>
              <w:top w:val="single" w:sz="4" w:space="0" w:color="auto"/>
              <w:left w:val="single" w:sz="4" w:space="0" w:color="auto"/>
              <w:bottom w:val="single" w:sz="4" w:space="0" w:color="auto"/>
              <w:right w:val="single" w:sz="4" w:space="0" w:color="auto"/>
            </w:tcBorders>
            <w:vAlign w:val="center"/>
            <w:hideMark/>
          </w:tcPr>
          <w:p w14:paraId="6B8A0951" w14:textId="77777777" w:rsidR="0097462C" w:rsidRPr="0097462C" w:rsidRDefault="0097462C" w:rsidP="0097462C">
            <w:pPr>
              <w:rPr>
                <w:rFonts w:ascii="Times New Roman" w:eastAsia="TimesNewRoman,Bold" w:hAnsi="Times New Roman" w:cs="Times New Roman"/>
                <w:b/>
                <w:bCs/>
                <w:color w:val="000000"/>
                <w:sz w:val="24"/>
                <w:szCs w:val="24"/>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299450A7"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rPr>
            </w:pPr>
            <w:r w:rsidRPr="0097462C">
              <w:rPr>
                <w:rFonts w:ascii="Times New Roman" w:eastAsia="TimesNewRoman,Bold" w:hAnsi="Times New Roman" w:cs="Times New Roman"/>
                <w:b/>
                <w:bCs/>
                <w:color w:val="000000"/>
                <w:sz w:val="24"/>
                <w:szCs w:val="24"/>
              </w:rPr>
              <w:t>n/N (%)</w:t>
            </w:r>
          </w:p>
        </w:tc>
        <w:tc>
          <w:tcPr>
            <w:tcW w:w="1054" w:type="pct"/>
            <w:tcBorders>
              <w:top w:val="single" w:sz="4" w:space="0" w:color="auto"/>
              <w:left w:val="single" w:sz="4" w:space="0" w:color="auto"/>
              <w:bottom w:val="single" w:sz="4" w:space="0" w:color="auto"/>
              <w:right w:val="single" w:sz="4" w:space="0" w:color="auto"/>
            </w:tcBorders>
            <w:vAlign w:val="center"/>
            <w:hideMark/>
          </w:tcPr>
          <w:p w14:paraId="39E6E39F"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rPr>
            </w:pPr>
            <w:r w:rsidRPr="0097462C">
              <w:rPr>
                <w:rFonts w:ascii="Times New Roman" w:eastAsia="TimesNewRoman,Bold" w:hAnsi="Times New Roman" w:cs="Times New Roman"/>
                <w:b/>
                <w:bCs/>
                <w:color w:val="000000"/>
                <w:sz w:val="24"/>
                <w:szCs w:val="24"/>
              </w:rPr>
              <w:t>n/N (%)</w:t>
            </w:r>
          </w:p>
        </w:tc>
        <w:tc>
          <w:tcPr>
            <w:tcW w:w="1363" w:type="pct"/>
            <w:tcBorders>
              <w:top w:val="single" w:sz="4" w:space="0" w:color="auto"/>
              <w:left w:val="single" w:sz="4" w:space="0" w:color="auto"/>
              <w:bottom w:val="single" w:sz="4" w:space="0" w:color="auto"/>
              <w:right w:val="single" w:sz="4" w:space="0" w:color="auto"/>
            </w:tcBorders>
            <w:vAlign w:val="center"/>
            <w:hideMark/>
          </w:tcPr>
          <w:p w14:paraId="69B71324" w14:textId="0396FE8A"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rPr>
            </w:pPr>
            <w:r w:rsidRPr="0097462C">
              <w:rPr>
                <w:rFonts w:ascii="Times New Roman" w:eastAsia="TimesNewRoman,Bold" w:hAnsi="Times New Roman" w:cs="Times New Roman"/>
                <w:b/>
                <w:bCs/>
                <w:color w:val="000000"/>
                <w:sz w:val="24"/>
                <w:szCs w:val="24"/>
              </w:rPr>
              <w:t>(</w:t>
            </w:r>
            <w:r w:rsidR="00D0791C" w:rsidRPr="00E95F9F">
              <w:rPr>
                <w:rFonts w:ascii="Times New Roman" w:eastAsia="TimesNewRoman,Bold" w:hAnsi="Times New Roman" w:cs="Times New Roman"/>
                <w:b/>
                <w:bCs/>
                <w:color w:val="000000"/>
                <w:szCs w:val="24"/>
              </w:rPr>
              <w:t>95 %</w:t>
            </w:r>
            <w:r w:rsidR="00D0791C">
              <w:rPr>
                <w:rFonts w:ascii="Times New Roman" w:eastAsia="TimesNewRoman,Bold" w:hAnsi="Times New Roman" w:cs="Times New Roman"/>
                <w:b/>
                <w:bCs/>
                <w:color w:val="000000"/>
                <w:szCs w:val="24"/>
              </w:rPr>
              <w:t xml:space="preserve"> </w:t>
            </w:r>
            <w:r w:rsidR="00D0791C" w:rsidRPr="00E95F9F">
              <w:rPr>
                <w:rFonts w:ascii="Times New Roman" w:eastAsia="TimesNewRoman,Bold" w:hAnsi="Times New Roman" w:cs="Times New Roman"/>
                <w:b/>
                <w:bCs/>
                <w:color w:val="000000"/>
                <w:szCs w:val="24"/>
              </w:rPr>
              <w:t>KI</w:t>
            </w:r>
            <w:r w:rsidRPr="0097462C">
              <w:rPr>
                <w:rFonts w:ascii="Times New Roman" w:eastAsia="TimesNewRoman,Bold" w:hAnsi="Times New Roman" w:cs="Times New Roman"/>
                <w:b/>
                <w:bCs/>
                <w:color w:val="000000"/>
                <w:sz w:val="24"/>
                <w:szCs w:val="24"/>
              </w:rPr>
              <w:t>)</w:t>
            </w:r>
          </w:p>
        </w:tc>
      </w:tr>
      <w:tr w:rsidR="0097462C" w:rsidRPr="0084400F" w14:paraId="70D8412F" w14:textId="77777777" w:rsidTr="0097462C">
        <w:tc>
          <w:tcPr>
            <w:tcW w:w="1437" w:type="pct"/>
            <w:tcBorders>
              <w:top w:val="single" w:sz="4" w:space="0" w:color="auto"/>
              <w:left w:val="single" w:sz="4" w:space="0" w:color="auto"/>
              <w:bottom w:val="single" w:sz="4" w:space="0" w:color="auto"/>
              <w:right w:val="single" w:sz="4" w:space="0" w:color="auto"/>
            </w:tcBorders>
          </w:tcPr>
          <w:p w14:paraId="7F759B43" w14:textId="77777777" w:rsidR="0097462C" w:rsidRPr="0097462C" w:rsidRDefault="0097462C" w:rsidP="0097462C">
            <w:pPr>
              <w:autoSpaceDE w:val="0"/>
              <w:autoSpaceDN w:val="0"/>
              <w:adjustRightInd w:val="0"/>
              <w:rPr>
                <w:rFonts w:ascii="Times New Roman" w:eastAsia="TimesNewRoman,Bold" w:hAnsi="Times New Roman" w:cs="Times New Roman"/>
                <w:b/>
                <w:bCs/>
                <w:color w:val="000000"/>
                <w:sz w:val="24"/>
                <w:szCs w:val="24"/>
                <w:lang w:val="en-US"/>
              </w:rPr>
            </w:pPr>
            <w:r w:rsidRPr="0097462C">
              <w:rPr>
                <w:rFonts w:eastAsia="TimesNewRoman"/>
                <w:color w:val="000000"/>
                <w:sz w:val="24"/>
                <w:szCs w:val="24"/>
                <w:lang w:val="en-US"/>
              </w:rPr>
              <w:t>ITT- (intention to treat) Population</w:t>
            </w:r>
          </w:p>
        </w:tc>
        <w:tc>
          <w:tcPr>
            <w:tcW w:w="1146" w:type="pct"/>
            <w:tcBorders>
              <w:top w:val="single" w:sz="4" w:space="0" w:color="auto"/>
              <w:left w:val="single" w:sz="4" w:space="0" w:color="auto"/>
              <w:bottom w:val="single" w:sz="4" w:space="0" w:color="auto"/>
              <w:right w:val="single" w:sz="4" w:space="0" w:color="auto"/>
            </w:tcBorders>
          </w:tcPr>
          <w:p w14:paraId="5DD2435D"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lang w:val="en-US"/>
              </w:rPr>
            </w:pPr>
          </w:p>
        </w:tc>
        <w:tc>
          <w:tcPr>
            <w:tcW w:w="1054" w:type="pct"/>
            <w:tcBorders>
              <w:top w:val="single" w:sz="4" w:space="0" w:color="auto"/>
              <w:left w:val="single" w:sz="4" w:space="0" w:color="auto"/>
              <w:bottom w:val="single" w:sz="4" w:space="0" w:color="auto"/>
              <w:right w:val="single" w:sz="4" w:space="0" w:color="auto"/>
            </w:tcBorders>
          </w:tcPr>
          <w:p w14:paraId="666F2185"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lang w:val="en-US"/>
              </w:rPr>
            </w:pPr>
          </w:p>
        </w:tc>
        <w:tc>
          <w:tcPr>
            <w:tcW w:w="1363" w:type="pct"/>
            <w:tcBorders>
              <w:top w:val="single" w:sz="4" w:space="0" w:color="auto"/>
              <w:left w:val="single" w:sz="4" w:space="0" w:color="auto"/>
              <w:bottom w:val="single" w:sz="4" w:space="0" w:color="auto"/>
              <w:right w:val="single" w:sz="4" w:space="0" w:color="auto"/>
            </w:tcBorders>
          </w:tcPr>
          <w:p w14:paraId="5065EA3F"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lang w:val="en-US"/>
              </w:rPr>
            </w:pPr>
          </w:p>
        </w:tc>
      </w:tr>
      <w:tr w:rsidR="0097462C" w:rsidRPr="0097462C" w14:paraId="00DB55B0" w14:textId="77777777" w:rsidTr="0097462C">
        <w:tc>
          <w:tcPr>
            <w:tcW w:w="1437" w:type="pct"/>
            <w:tcBorders>
              <w:top w:val="single" w:sz="4" w:space="0" w:color="auto"/>
              <w:left w:val="single" w:sz="4" w:space="0" w:color="auto"/>
              <w:bottom w:val="single" w:sz="4" w:space="0" w:color="auto"/>
              <w:right w:val="single" w:sz="4" w:space="0" w:color="auto"/>
            </w:tcBorders>
            <w:hideMark/>
          </w:tcPr>
          <w:p w14:paraId="3349A129" w14:textId="77777777" w:rsidR="0097462C" w:rsidRPr="0097462C" w:rsidRDefault="0097462C" w:rsidP="0097462C">
            <w:pPr>
              <w:autoSpaceDE w:val="0"/>
              <w:autoSpaceDN w:val="0"/>
              <w:adjustRightInd w:val="0"/>
              <w:rPr>
                <w:rFonts w:ascii="Times New Roman" w:eastAsia="TimesNewRoman,Bold" w:hAnsi="Times New Roman" w:cs="Times New Roman"/>
                <w:b/>
                <w:bCs/>
                <w:color w:val="000000"/>
                <w:sz w:val="24"/>
                <w:szCs w:val="24"/>
              </w:rPr>
            </w:pPr>
            <w:r w:rsidRPr="0097462C">
              <w:rPr>
                <w:rFonts w:ascii="Times New Roman" w:eastAsia="TimesNewRoman" w:hAnsi="Times New Roman" w:cs="Times New Roman"/>
                <w:color w:val="000000"/>
                <w:sz w:val="24"/>
                <w:szCs w:val="24"/>
              </w:rPr>
              <w:t>RIE</w:t>
            </w:r>
          </w:p>
        </w:tc>
        <w:tc>
          <w:tcPr>
            <w:tcW w:w="1146" w:type="pct"/>
            <w:tcBorders>
              <w:top w:val="single" w:sz="4" w:space="0" w:color="auto"/>
              <w:left w:val="single" w:sz="4" w:space="0" w:color="auto"/>
              <w:bottom w:val="single" w:sz="4" w:space="0" w:color="auto"/>
              <w:right w:val="single" w:sz="4" w:space="0" w:color="auto"/>
            </w:tcBorders>
            <w:hideMark/>
          </w:tcPr>
          <w:p w14:paraId="2AB869C1"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rPr>
            </w:pPr>
            <w:r w:rsidRPr="0097462C">
              <w:rPr>
                <w:rFonts w:ascii="Times New Roman" w:eastAsia="TimesNewRoman" w:hAnsi="Times New Roman" w:cs="Times New Roman"/>
                <w:color w:val="000000"/>
                <w:sz w:val="24"/>
                <w:szCs w:val="24"/>
              </w:rPr>
              <w:t>8/19 (42,1 %)</w:t>
            </w:r>
          </w:p>
        </w:tc>
        <w:tc>
          <w:tcPr>
            <w:tcW w:w="1054" w:type="pct"/>
            <w:tcBorders>
              <w:top w:val="single" w:sz="4" w:space="0" w:color="auto"/>
              <w:left w:val="single" w:sz="4" w:space="0" w:color="auto"/>
              <w:bottom w:val="single" w:sz="4" w:space="0" w:color="auto"/>
              <w:right w:val="single" w:sz="4" w:space="0" w:color="auto"/>
            </w:tcBorders>
            <w:hideMark/>
          </w:tcPr>
          <w:p w14:paraId="7FBDCC01"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rPr>
            </w:pPr>
            <w:r w:rsidRPr="0097462C">
              <w:rPr>
                <w:rFonts w:ascii="Times New Roman" w:eastAsia="TimesNewRoman" w:hAnsi="Times New Roman" w:cs="Times New Roman"/>
                <w:color w:val="000000"/>
                <w:sz w:val="24"/>
                <w:szCs w:val="24"/>
              </w:rPr>
              <w:t>7/16 (43,8 %)</w:t>
            </w:r>
          </w:p>
        </w:tc>
        <w:tc>
          <w:tcPr>
            <w:tcW w:w="1363" w:type="pct"/>
            <w:tcBorders>
              <w:top w:val="single" w:sz="4" w:space="0" w:color="auto"/>
              <w:left w:val="single" w:sz="4" w:space="0" w:color="auto"/>
              <w:bottom w:val="single" w:sz="4" w:space="0" w:color="auto"/>
              <w:right w:val="single" w:sz="4" w:space="0" w:color="auto"/>
            </w:tcBorders>
          </w:tcPr>
          <w:p w14:paraId="2F4839BA"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rPr>
            </w:pPr>
            <w:r w:rsidRPr="0097462C">
              <w:rPr>
                <w:rFonts w:ascii="Times New Roman" w:eastAsia="TimesNewRoman" w:hAnsi="Times New Roman" w:cs="Times New Roman"/>
                <w:color w:val="000000"/>
                <w:sz w:val="24"/>
                <w:szCs w:val="24"/>
              </w:rPr>
              <w:t>−1,6 % (-34,6, 31,3)</w:t>
            </w:r>
          </w:p>
        </w:tc>
      </w:tr>
      <w:tr w:rsidR="0097462C" w:rsidRPr="0097462C" w14:paraId="72C42623" w14:textId="77777777" w:rsidTr="0097462C">
        <w:tc>
          <w:tcPr>
            <w:tcW w:w="1437" w:type="pct"/>
            <w:tcBorders>
              <w:top w:val="single" w:sz="4" w:space="0" w:color="auto"/>
              <w:left w:val="single" w:sz="4" w:space="0" w:color="auto"/>
              <w:bottom w:val="single" w:sz="4" w:space="0" w:color="auto"/>
              <w:right w:val="single" w:sz="4" w:space="0" w:color="auto"/>
            </w:tcBorders>
          </w:tcPr>
          <w:p w14:paraId="7972EE7E" w14:textId="77777777" w:rsidR="0097462C" w:rsidRPr="0097462C" w:rsidRDefault="0097462C" w:rsidP="0097462C">
            <w:pPr>
              <w:autoSpaceDE w:val="0"/>
              <w:autoSpaceDN w:val="0"/>
              <w:adjustRightInd w:val="0"/>
              <w:rPr>
                <w:rFonts w:ascii="Times New Roman" w:eastAsia="TimesNewRoman,Bold" w:hAnsi="Times New Roman" w:cs="Times New Roman"/>
                <w:b/>
                <w:bCs/>
                <w:color w:val="000000"/>
                <w:sz w:val="24"/>
                <w:szCs w:val="24"/>
              </w:rPr>
            </w:pPr>
            <w:r w:rsidRPr="0097462C">
              <w:rPr>
                <w:rFonts w:ascii="Times New Roman" w:eastAsia="TimesNewRoman" w:hAnsi="Times New Roman" w:cs="Times New Roman"/>
                <w:color w:val="000000"/>
                <w:sz w:val="24"/>
                <w:szCs w:val="24"/>
              </w:rPr>
              <w:t>PP- (per protocol) Population</w:t>
            </w:r>
          </w:p>
        </w:tc>
        <w:tc>
          <w:tcPr>
            <w:tcW w:w="1146" w:type="pct"/>
            <w:tcBorders>
              <w:top w:val="single" w:sz="4" w:space="0" w:color="auto"/>
              <w:left w:val="single" w:sz="4" w:space="0" w:color="auto"/>
              <w:bottom w:val="single" w:sz="4" w:space="0" w:color="auto"/>
              <w:right w:val="single" w:sz="4" w:space="0" w:color="auto"/>
            </w:tcBorders>
          </w:tcPr>
          <w:p w14:paraId="49344266"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rPr>
            </w:pPr>
          </w:p>
        </w:tc>
        <w:tc>
          <w:tcPr>
            <w:tcW w:w="1054" w:type="pct"/>
            <w:tcBorders>
              <w:top w:val="single" w:sz="4" w:space="0" w:color="auto"/>
              <w:left w:val="single" w:sz="4" w:space="0" w:color="auto"/>
              <w:bottom w:val="single" w:sz="4" w:space="0" w:color="auto"/>
              <w:right w:val="single" w:sz="4" w:space="0" w:color="auto"/>
            </w:tcBorders>
          </w:tcPr>
          <w:p w14:paraId="74E41459"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rPr>
            </w:pPr>
          </w:p>
        </w:tc>
        <w:tc>
          <w:tcPr>
            <w:tcW w:w="1363" w:type="pct"/>
            <w:tcBorders>
              <w:top w:val="single" w:sz="4" w:space="0" w:color="auto"/>
              <w:left w:val="single" w:sz="4" w:space="0" w:color="auto"/>
              <w:bottom w:val="single" w:sz="4" w:space="0" w:color="auto"/>
              <w:right w:val="single" w:sz="4" w:space="0" w:color="auto"/>
            </w:tcBorders>
          </w:tcPr>
          <w:p w14:paraId="6CED9D9B"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rPr>
            </w:pPr>
          </w:p>
        </w:tc>
      </w:tr>
      <w:tr w:rsidR="0097462C" w:rsidRPr="0097462C" w14:paraId="12035D88" w14:textId="77777777" w:rsidTr="0097462C">
        <w:tc>
          <w:tcPr>
            <w:tcW w:w="1437" w:type="pct"/>
            <w:tcBorders>
              <w:top w:val="single" w:sz="4" w:space="0" w:color="auto"/>
              <w:left w:val="single" w:sz="4" w:space="0" w:color="auto"/>
              <w:bottom w:val="single" w:sz="4" w:space="0" w:color="auto"/>
              <w:right w:val="single" w:sz="4" w:space="0" w:color="auto"/>
            </w:tcBorders>
            <w:hideMark/>
          </w:tcPr>
          <w:p w14:paraId="69F7FD08" w14:textId="77777777" w:rsidR="0097462C" w:rsidRPr="0097462C" w:rsidRDefault="0097462C" w:rsidP="0097462C">
            <w:pPr>
              <w:autoSpaceDE w:val="0"/>
              <w:autoSpaceDN w:val="0"/>
              <w:adjustRightInd w:val="0"/>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RIE</w:t>
            </w:r>
          </w:p>
        </w:tc>
        <w:tc>
          <w:tcPr>
            <w:tcW w:w="1146" w:type="pct"/>
            <w:tcBorders>
              <w:top w:val="single" w:sz="4" w:space="0" w:color="auto"/>
              <w:left w:val="single" w:sz="4" w:space="0" w:color="auto"/>
              <w:bottom w:val="single" w:sz="4" w:space="0" w:color="auto"/>
              <w:right w:val="single" w:sz="4" w:space="0" w:color="auto"/>
            </w:tcBorders>
            <w:hideMark/>
          </w:tcPr>
          <w:p w14:paraId="69B30088"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rPr>
            </w:pPr>
            <w:r w:rsidRPr="0097462C">
              <w:rPr>
                <w:rFonts w:ascii="Times New Roman" w:eastAsia="TimesNewRoman" w:hAnsi="Times New Roman" w:cs="Times New Roman"/>
                <w:color w:val="000000"/>
                <w:sz w:val="24"/>
                <w:szCs w:val="24"/>
              </w:rPr>
              <w:t>6/12 (50,0 %)</w:t>
            </w:r>
          </w:p>
        </w:tc>
        <w:tc>
          <w:tcPr>
            <w:tcW w:w="1054" w:type="pct"/>
            <w:tcBorders>
              <w:top w:val="single" w:sz="4" w:space="0" w:color="auto"/>
              <w:left w:val="single" w:sz="4" w:space="0" w:color="auto"/>
              <w:bottom w:val="single" w:sz="4" w:space="0" w:color="auto"/>
              <w:right w:val="single" w:sz="4" w:space="0" w:color="auto"/>
            </w:tcBorders>
            <w:hideMark/>
          </w:tcPr>
          <w:p w14:paraId="13285F70"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rPr>
            </w:pPr>
            <w:r w:rsidRPr="0097462C">
              <w:rPr>
                <w:rFonts w:ascii="Times New Roman" w:eastAsia="TimesNewRoman" w:hAnsi="Times New Roman" w:cs="Times New Roman"/>
                <w:color w:val="000000"/>
                <w:sz w:val="24"/>
                <w:szCs w:val="24"/>
              </w:rPr>
              <w:t>4/8 (50,0 %)</w:t>
            </w:r>
          </w:p>
        </w:tc>
        <w:tc>
          <w:tcPr>
            <w:tcW w:w="1363" w:type="pct"/>
            <w:tcBorders>
              <w:top w:val="single" w:sz="4" w:space="0" w:color="auto"/>
              <w:left w:val="single" w:sz="4" w:space="0" w:color="auto"/>
              <w:bottom w:val="single" w:sz="4" w:space="0" w:color="auto"/>
              <w:right w:val="single" w:sz="4" w:space="0" w:color="auto"/>
            </w:tcBorders>
            <w:hideMark/>
          </w:tcPr>
          <w:p w14:paraId="0EE21319"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rPr>
            </w:pPr>
            <w:r w:rsidRPr="0097462C">
              <w:rPr>
                <w:rFonts w:ascii="Times New Roman" w:eastAsia="TimesNewRoman" w:hAnsi="Times New Roman" w:cs="Times New Roman"/>
                <w:color w:val="000000"/>
                <w:sz w:val="24"/>
                <w:szCs w:val="24"/>
              </w:rPr>
              <w:t>0,0 % (−44,7, 44,7)</w:t>
            </w:r>
          </w:p>
        </w:tc>
      </w:tr>
    </w:tbl>
    <w:p w14:paraId="2627EDC5" w14:textId="77777777" w:rsidR="0097462C" w:rsidRPr="0097462C" w:rsidRDefault="0097462C" w:rsidP="0097462C">
      <w:pPr>
        <w:autoSpaceDE w:val="0"/>
        <w:autoSpaceDN w:val="0"/>
        <w:adjustRightInd w:val="0"/>
        <w:ind w:left="851"/>
        <w:rPr>
          <w:rFonts w:eastAsia="TimesNewRoman"/>
          <w:color w:val="000000"/>
          <w:sz w:val="24"/>
          <w:szCs w:val="24"/>
        </w:rPr>
      </w:pPr>
    </w:p>
    <w:p w14:paraId="64D95D5B" w14:textId="52AFA74F"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 xml:space="preserve">Fejlslagen behandling på grund af vedvarende eller tilbagevendende </w:t>
      </w:r>
      <w:r w:rsidRPr="0097462C">
        <w:rPr>
          <w:rFonts w:eastAsia="TimesNewRoman,Bold"/>
          <w:i/>
          <w:iCs/>
          <w:color w:val="000000"/>
          <w:sz w:val="24"/>
          <w:szCs w:val="24"/>
        </w:rPr>
        <w:t xml:space="preserve">Staphylococcus aureus </w:t>
      </w:r>
      <w:r w:rsidRPr="0097462C">
        <w:rPr>
          <w:rFonts w:eastAsia="TimesNewRoman"/>
          <w:color w:val="000000"/>
          <w:sz w:val="24"/>
          <w:szCs w:val="24"/>
        </w:rPr>
        <w:t>infektioner blev set hos 19/120 (15,8 %) af patienterne, der blev behandlet med daptomycin, 9/53 (16,7 %) af patienterne, der blev behandlet med vancomycin og 2/62 (3,2 %) af patienterne, der blev behandlet med anti-staphylococcus semi-syntetisk penicillin. Blandt disse fejlslagne behandlinger var 6 daptomycin</w:t>
      </w:r>
      <w:r w:rsidR="00D0791C">
        <w:rPr>
          <w:rFonts w:eastAsia="TimesNewRoman"/>
          <w:color w:val="000000"/>
          <w:sz w:val="24"/>
          <w:szCs w:val="24"/>
        </w:rPr>
        <w:t>-</w:t>
      </w:r>
      <w:r w:rsidRPr="0097462C">
        <w:rPr>
          <w:rFonts w:eastAsia="TimesNewRoman"/>
          <w:color w:val="000000"/>
          <w:sz w:val="24"/>
          <w:szCs w:val="24"/>
        </w:rPr>
        <w:t xml:space="preserve">behandlede patienter og 1 vancomycin-behandlet patient </w:t>
      </w:r>
      <w:r w:rsidRPr="0097462C">
        <w:rPr>
          <w:sz w:val="24"/>
          <w:szCs w:val="24"/>
        </w:rPr>
        <w:t xml:space="preserve">inficeret med </w:t>
      </w:r>
      <w:r w:rsidRPr="0097462C">
        <w:rPr>
          <w:i/>
          <w:sz w:val="24"/>
          <w:szCs w:val="24"/>
        </w:rPr>
        <w:t>Staphylococcus aureus</w:t>
      </w:r>
      <w:r w:rsidRPr="0097462C">
        <w:rPr>
          <w:rFonts w:eastAsia="TimesNewRoman"/>
          <w:color w:val="000000"/>
          <w:sz w:val="24"/>
          <w:szCs w:val="24"/>
        </w:rPr>
        <w:t xml:space="preserve">, som udviklede tiltagende MICer på eller efter behandling (se ”Resistensmekanisme” ovenfor). De fleste patienter, hvor behandlingen slog fejl på grund af vedvarende eller tilbagevendende </w:t>
      </w:r>
      <w:r w:rsidRPr="0097462C">
        <w:rPr>
          <w:rFonts w:eastAsia="TimesNewRoman,Bold"/>
          <w:i/>
          <w:iCs/>
          <w:color w:val="000000"/>
          <w:sz w:val="24"/>
          <w:szCs w:val="24"/>
        </w:rPr>
        <w:t xml:space="preserve">Staphylococcus aureus </w:t>
      </w:r>
      <w:r w:rsidRPr="0097462C">
        <w:rPr>
          <w:rFonts w:eastAsia="TimesNewRoman"/>
          <w:color w:val="000000"/>
          <w:sz w:val="24"/>
          <w:szCs w:val="24"/>
        </w:rPr>
        <w:t>infektioner, havde dybtsiddende infektion og fik ikke det nødvendige kirurgiske indgreb.</w:t>
      </w:r>
    </w:p>
    <w:p w14:paraId="01DF4E25"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6EC58C00" w14:textId="77777777" w:rsidR="0097462C" w:rsidRPr="0097462C" w:rsidRDefault="0097462C" w:rsidP="0097462C">
      <w:pPr>
        <w:keepNext/>
        <w:ind w:left="851"/>
        <w:rPr>
          <w:sz w:val="24"/>
          <w:szCs w:val="24"/>
          <w:u w:val="single"/>
        </w:rPr>
      </w:pPr>
      <w:r w:rsidRPr="0097462C">
        <w:rPr>
          <w:sz w:val="24"/>
          <w:szCs w:val="24"/>
          <w:u w:val="single" w:color="000000"/>
        </w:rPr>
        <w:t>Klinisk virkning hos pædiatriske patienter</w:t>
      </w:r>
    </w:p>
    <w:p w14:paraId="2B98BC70"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Daptomycins sikkerhed og virkning blev evalueret hos pædiatriske patienter i alderen 1 til 17 år med cSSTI forårsaget af grampositive patogener (studie DAP-PEDS-07-03). Patienterne blev opdelt og inkluderet i veldefinerede aldersgrupper og fik en aldersafhængig dosis en gang om dagen i op til 14 dage:</w:t>
      </w:r>
    </w:p>
    <w:p w14:paraId="1D81D667" w14:textId="77777777" w:rsidR="0097462C" w:rsidRPr="0097462C" w:rsidRDefault="0097462C" w:rsidP="0097462C">
      <w:pPr>
        <w:pStyle w:val="Listeafsnit"/>
        <w:numPr>
          <w:ilvl w:val="1"/>
          <w:numId w:val="13"/>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Aldersgruppe 1 (n = 113): 12 til 17 år blev behandlet med daptomycindoser på 5 mg/kg eller standardbehandling-komparator (SOC).</w:t>
      </w:r>
    </w:p>
    <w:p w14:paraId="190AEC5C" w14:textId="77777777" w:rsidR="0097462C" w:rsidRPr="0097462C" w:rsidRDefault="0097462C" w:rsidP="0097462C">
      <w:pPr>
        <w:pStyle w:val="Listeafsnit"/>
        <w:numPr>
          <w:ilvl w:val="0"/>
          <w:numId w:val="11"/>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Aldersgruppe 2 (n = 113): 7 til 11 år blev behandlet med daptomycindoser på 7 mg/kg eller SOC.</w:t>
      </w:r>
    </w:p>
    <w:p w14:paraId="531A4F13" w14:textId="77777777" w:rsidR="0097462C" w:rsidRPr="0097462C" w:rsidRDefault="0097462C" w:rsidP="0097462C">
      <w:pPr>
        <w:pStyle w:val="Listeafsnit"/>
        <w:numPr>
          <w:ilvl w:val="0"/>
          <w:numId w:val="11"/>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Aldersgruppe 3 (n = 125): 2 til 6 år blev behandlet med daptomycindoser på 9 mg/kg eller SOC.</w:t>
      </w:r>
    </w:p>
    <w:p w14:paraId="33587AF2" w14:textId="77777777" w:rsidR="0097462C" w:rsidRPr="0097462C" w:rsidRDefault="0097462C" w:rsidP="0097462C">
      <w:pPr>
        <w:pStyle w:val="Listeafsnit"/>
        <w:numPr>
          <w:ilvl w:val="0"/>
          <w:numId w:val="11"/>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Aldersgruppe 4 (n = 45): 1 til &lt; 2 år blev behandlet med daptomycindoser på 10 mg/kg eller SOC.</w:t>
      </w:r>
    </w:p>
    <w:p w14:paraId="64717718"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6FF2C41C"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 xml:space="preserve">Det primære mål med studie DAP-PEDS-07-03 var at vurdere sikkerheden af behandlingen. Det sekundære mål inkluderede en vurdering af virkningen af </w:t>
      </w:r>
      <w:r w:rsidRPr="0097462C">
        <w:rPr>
          <w:rFonts w:eastAsia="TimesNewRoman"/>
          <w:color w:val="000000"/>
          <w:sz w:val="24"/>
          <w:szCs w:val="24"/>
        </w:rPr>
        <w:lastRenderedPageBreak/>
        <w:t xml:space="preserve">aldersrelaterede intravenøse doser af daptomycin sammenlignet med standardbehandling. Vigtige virkningsendepunkter var det sponsor-definerede kliniske udfald af </w:t>
      </w:r>
      <w:r w:rsidRPr="0097462C">
        <w:rPr>
          <w:rFonts w:eastAsia="TimesNewRoman,Bold"/>
          <w:i/>
          <w:iCs/>
          <w:color w:val="000000"/>
          <w:sz w:val="24"/>
          <w:szCs w:val="24"/>
        </w:rPr>
        <w:t xml:space="preserve">test-of-cure </w:t>
      </w:r>
      <w:r w:rsidRPr="0097462C">
        <w:rPr>
          <w:rFonts w:eastAsia="TimesNewRoman"/>
          <w:color w:val="000000"/>
          <w:sz w:val="24"/>
          <w:szCs w:val="24"/>
        </w:rPr>
        <w:t>(TOC), som blev defineret af en blindet medicinsk direktør.</w:t>
      </w:r>
    </w:p>
    <w:p w14:paraId="4F5A51B2"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56FCE651"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 xml:space="preserve">I alt blev 389 patienter behandlet i studiet, 256 patienter fik daptomycin, og 133 patienter fik standardbehandling. I alle populationer var de kliniske succesrater sammenlignelige mellem daptomycin-armen og SOC-armen, hvilket understøtter den primære virkningsanalyse i ITT-populationen. </w:t>
      </w:r>
    </w:p>
    <w:p w14:paraId="3F1C844C"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440C2D67"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 xml:space="preserve">Oversigt over klinisk udfald bedømt ved sponsordefineret </w:t>
      </w:r>
      <w:r w:rsidRPr="0097462C">
        <w:rPr>
          <w:rFonts w:eastAsia="TimesNewRoman,Bold"/>
          <w:color w:val="000000"/>
          <w:sz w:val="24"/>
          <w:szCs w:val="24"/>
        </w:rPr>
        <w:t>TOC</w:t>
      </w:r>
      <w:r w:rsidRPr="0097462C">
        <w:rPr>
          <w:rFonts w:eastAsia="TimesNewRoman"/>
          <w:color w:val="000000"/>
          <w:sz w:val="24"/>
          <w:szCs w:val="24"/>
        </w:rPr>
        <w:t>.</w:t>
      </w:r>
    </w:p>
    <w:tbl>
      <w:tblPr>
        <w:tblStyle w:val="Tabel-Gitter"/>
        <w:tblW w:w="4561" w:type="pct"/>
        <w:tblInd w:w="846" w:type="dxa"/>
        <w:tblLook w:val="04A0" w:firstRow="1" w:lastRow="0" w:firstColumn="1" w:lastColumn="0" w:noHBand="0" w:noVBand="1"/>
      </w:tblPr>
      <w:tblGrid>
        <w:gridCol w:w="2142"/>
        <w:gridCol w:w="2568"/>
        <w:gridCol w:w="2285"/>
        <w:gridCol w:w="1788"/>
      </w:tblGrid>
      <w:tr w:rsidR="0097462C" w:rsidRPr="0097462C" w14:paraId="24BC1FE6" w14:textId="77777777" w:rsidTr="0097462C">
        <w:tc>
          <w:tcPr>
            <w:tcW w:w="1219" w:type="pct"/>
            <w:tcBorders>
              <w:top w:val="single" w:sz="4" w:space="0" w:color="auto"/>
              <w:left w:val="single" w:sz="4" w:space="0" w:color="auto"/>
              <w:bottom w:val="single" w:sz="4" w:space="0" w:color="auto"/>
              <w:right w:val="single" w:sz="4" w:space="0" w:color="auto"/>
            </w:tcBorders>
          </w:tcPr>
          <w:p w14:paraId="2236A16F" w14:textId="77777777" w:rsidR="0097462C" w:rsidRPr="0097462C" w:rsidRDefault="0097462C" w:rsidP="0097462C">
            <w:pPr>
              <w:autoSpaceDE w:val="0"/>
              <w:autoSpaceDN w:val="0"/>
              <w:adjustRightInd w:val="0"/>
              <w:rPr>
                <w:rFonts w:ascii="Times New Roman" w:eastAsia="TimesNewRoman" w:hAnsi="Times New Roman" w:cs="Times New Roman"/>
                <w:color w:val="000000"/>
                <w:sz w:val="24"/>
                <w:szCs w:val="24"/>
              </w:rPr>
            </w:pPr>
          </w:p>
        </w:tc>
        <w:tc>
          <w:tcPr>
            <w:tcW w:w="3781" w:type="pct"/>
            <w:gridSpan w:val="3"/>
            <w:tcBorders>
              <w:top w:val="single" w:sz="4" w:space="0" w:color="auto"/>
              <w:left w:val="single" w:sz="4" w:space="0" w:color="auto"/>
              <w:bottom w:val="single" w:sz="4" w:space="0" w:color="auto"/>
              <w:right w:val="single" w:sz="4" w:space="0" w:color="auto"/>
            </w:tcBorders>
            <w:hideMark/>
          </w:tcPr>
          <w:p w14:paraId="24DBF113" w14:textId="77777777" w:rsidR="0097462C" w:rsidRPr="0097462C" w:rsidRDefault="0097462C" w:rsidP="0097462C">
            <w:pPr>
              <w:autoSpaceDE w:val="0"/>
              <w:autoSpaceDN w:val="0"/>
              <w:adjustRightInd w:val="0"/>
              <w:jc w:val="center"/>
              <w:rPr>
                <w:rFonts w:ascii="Times New Roman" w:eastAsia="TimesNewRoman" w:hAnsi="Times New Roman" w:cs="Times New Roman"/>
                <w:color w:val="000000"/>
                <w:sz w:val="24"/>
                <w:szCs w:val="24"/>
              </w:rPr>
            </w:pPr>
            <w:r w:rsidRPr="0097462C">
              <w:rPr>
                <w:rFonts w:ascii="Times New Roman" w:eastAsia="TimesNewRoman" w:hAnsi="Times New Roman" w:cs="Times New Roman"/>
                <w:b/>
                <w:bCs/>
                <w:color w:val="000000"/>
                <w:sz w:val="24"/>
                <w:szCs w:val="24"/>
              </w:rPr>
              <w:t>Klinisk succes</w:t>
            </w:r>
            <w:r w:rsidRPr="0097462C">
              <w:rPr>
                <w:rFonts w:ascii="Times New Roman" w:eastAsia="TimesNewRoman" w:hAnsi="Times New Roman" w:cs="Times New Roman"/>
                <w:color w:val="000000"/>
                <w:sz w:val="24"/>
                <w:szCs w:val="24"/>
              </w:rPr>
              <w:t xml:space="preserve"> </w:t>
            </w:r>
            <w:r w:rsidRPr="0097462C">
              <w:rPr>
                <w:rFonts w:ascii="Times New Roman" w:hAnsi="Times New Roman" w:cs="Times New Roman"/>
                <w:b/>
                <w:sz w:val="24"/>
                <w:szCs w:val="24"/>
              </w:rPr>
              <w:t>hos pædiatriske patienter med cSSTI</w:t>
            </w:r>
          </w:p>
        </w:tc>
      </w:tr>
      <w:tr w:rsidR="0097462C" w:rsidRPr="0097462C" w14:paraId="25070137" w14:textId="77777777" w:rsidTr="0097462C">
        <w:tc>
          <w:tcPr>
            <w:tcW w:w="1219" w:type="pct"/>
            <w:tcBorders>
              <w:top w:val="single" w:sz="4" w:space="0" w:color="auto"/>
              <w:left w:val="single" w:sz="4" w:space="0" w:color="auto"/>
              <w:bottom w:val="single" w:sz="4" w:space="0" w:color="auto"/>
              <w:right w:val="single" w:sz="4" w:space="0" w:color="auto"/>
            </w:tcBorders>
          </w:tcPr>
          <w:p w14:paraId="602084A8" w14:textId="77777777" w:rsidR="0097462C" w:rsidRPr="0097462C" w:rsidRDefault="0097462C" w:rsidP="0097462C">
            <w:pPr>
              <w:autoSpaceDE w:val="0"/>
              <w:autoSpaceDN w:val="0"/>
              <w:adjustRightInd w:val="0"/>
              <w:rPr>
                <w:rFonts w:ascii="Times New Roman" w:eastAsia="TimesNewRoman" w:hAnsi="Times New Roman" w:cs="Times New Roman"/>
                <w:color w:val="000000"/>
                <w:sz w:val="24"/>
                <w:szCs w:val="24"/>
              </w:rPr>
            </w:pPr>
          </w:p>
        </w:tc>
        <w:tc>
          <w:tcPr>
            <w:tcW w:w="1462" w:type="pct"/>
            <w:tcBorders>
              <w:top w:val="single" w:sz="4" w:space="0" w:color="auto"/>
              <w:left w:val="single" w:sz="4" w:space="0" w:color="auto"/>
              <w:bottom w:val="single" w:sz="4" w:space="0" w:color="auto"/>
              <w:right w:val="single" w:sz="4" w:space="0" w:color="auto"/>
            </w:tcBorders>
            <w:hideMark/>
          </w:tcPr>
          <w:p w14:paraId="5A8E1385" w14:textId="77777777" w:rsidR="0097462C" w:rsidRPr="0097462C" w:rsidRDefault="0097462C" w:rsidP="0097462C">
            <w:pPr>
              <w:autoSpaceDE w:val="0"/>
              <w:autoSpaceDN w:val="0"/>
              <w:adjustRightInd w:val="0"/>
              <w:jc w:val="center"/>
              <w:rPr>
                <w:rFonts w:ascii="Times New Roman" w:eastAsia="TimesNewRoman" w:hAnsi="Times New Roman" w:cs="Times New Roman"/>
                <w:b/>
                <w:bCs/>
                <w:color w:val="000000"/>
                <w:sz w:val="24"/>
                <w:szCs w:val="24"/>
              </w:rPr>
            </w:pPr>
            <w:r w:rsidRPr="0097462C">
              <w:rPr>
                <w:rFonts w:ascii="Times New Roman" w:eastAsia="TimesNewRoman" w:hAnsi="Times New Roman" w:cs="Times New Roman"/>
                <w:b/>
                <w:bCs/>
                <w:color w:val="000000"/>
                <w:sz w:val="24"/>
                <w:szCs w:val="24"/>
              </w:rPr>
              <w:t>Daptomycin</w:t>
            </w:r>
          </w:p>
          <w:p w14:paraId="178FC423" w14:textId="77777777" w:rsidR="0097462C" w:rsidRPr="0097462C" w:rsidRDefault="0097462C" w:rsidP="0097462C">
            <w:pPr>
              <w:autoSpaceDE w:val="0"/>
              <w:autoSpaceDN w:val="0"/>
              <w:adjustRightInd w:val="0"/>
              <w:jc w:val="center"/>
              <w:rPr>
                <w:rFonts w:ascii="Times New Roman" w:eastAsia="TimesNewRoman" w:hAnsi="Times New Roman" w:cs="Times New Roman"/>
                <w:b/>
                <w:bCs/>
                <w:color w:val="000000"/>
                <w:sz w:val="24"/>
                <w:szCs w:val="24"/>
              </w:rPr>
            </w:pPr>
            <w:r w:rsidRPr="0097462C">
              <w:rPr>
                <w:rFonts w:ascii="Times New Roman" w:eastAsia="TimesNewRoman" w:hAnsi="Times New Roman" w:cs="Times New Roman"/>
                <w:b/>
                <w:bCs/>
                <w:color w:val="000000"/>
                <w:sz w:val="24"/>
                <w:szCs w:val="24"/>
              </w:rPr>
              <w:t>n/N (%)</w:t>
            </w:r>
          </w:p>
        </w:tc>
        <w:tc>
          <w:tcPr>
            <w:tcW w:w="1301" w:type="pct"/>
            <w:tcBorders>
              <w:top w:val="single" w:sz="4" w:space="0" w:color="auto"/>
              <w:left w:val="single" w:sz="4" w:space="0" w:color="auto"/>
              <w:bottom w:val="single" w:sz="4" w:space="0" w:color="auto"/>
              <w:right w:val="single" w:sz="4" w:space="0" w:color="auto"/>
            </w:tcBorders>
            <w:hideMark/>
          </w:tcPr>
          <w:p w14:paraId="01643EFF" w14:textId="77777777" w:rsidR="0097462C" w:rsidRPr="0097462C" w:rsidRDefault="0097462C" w:rsidP="0097462C">
            <w:pPr>
              <w:autoSpaceDE w:val="0"/>
              <w:autoSpaceDN w:val="0"/>
              <w:adjustRightInd w:val="0"/>
              <w:jc w:val="center"/>
              <w:rPr>
                <w:rFonts w:ascii="Times New Roman" w:eastAsia="TimesNewRoman" w:hAnsi="Times New Roman" w:cs="Times New Roman"/>
                <w:b/>
                <w:bCs/>
                <w:color w:val="000000"/>
                <w:sz w:val="24"/>
                <w:szCs w:val="24"/>
              </w:rPr>
            </w:pPr>
            <w:r w:rsidRPr="0097462C">
              <w:rPr>
                <w:rFonts w:ascii="Times New Roman" w:eastAsia="TimesNewRoman" w:hAnsi="Times New Roman" w:cs="Times New Roman"/>
                <w:b/>
                <w:bCs/>
                <w:color w:val="000000"/>
                <w:sz w:val="24"/>
                <w:szCs w:val="24"/>
              </w:rPr>
              <w:t>Komparator</w:t>
            </w:r>
          </w:p>
          <w:p w14:paraId="7DD16CAA" w14:textId="77777777" w:rsidR="0097462C" w:rsidRPr="0097462C" w:rsidRDefault="0097462C" w:rsidP="0097462C">
            <w:pPr>
              <w:autoSpaceDE w:val="0"/>
              <w:autoSpaceDN w:val="0"/>
              <w:adjustRightInd w:val="0"/>
              <w:jc w:val="center"/>
              <w:rPr>
                <w:rFonts w:ascii="Times New Roman" w:eastAsia="TimesNewRoman" w:hAnsi="Times New Roman" w:cs="Times New Roman"/>
                <w:b/>
                <w:bCs/>
                <w:color w:val="000000"/>
                <w:sz w:val="24"/>
                <w:szCs w:val="24"/>
              </w:rPr>
            </w:pPr>
            <w:r w:rsidRPr="0097462C">
              <w:rPr>
                <w:rFonts w:ascii="Times New Roman" w:eastAsia="TimesNewRoman" w:hAnsi="Times New Roman" w:cs="Times New Roman"/>
                <w:b/>
                <w:bCs/>
                <w:color w:val="000000"/>
                <w:sz w:val="24"/>
                <w:szCs w:val="24"/>
              </w:rPr>
              <w:t>n/N (%)</w:t>
            </w:r>
          </w:p>
        </w:tc>
        <w:tc>
          <w:tcPr>
            <w:tcW w:w="1019" w:type="pct"/>
            <w:tcBorders>
              <w:top w:val="single" w:sz="4" w:space="0" w:color="auto"/>
              <w:left w:val="single" w:sz="4" w:space="0" w:color="auto"/>
              <w:bottom w:val="single" w:sz="4" w:space="0" w:color="auto"/>
              <w:right w:val="single" w:sz="4" w:space="0" w:color="auto"/>
            </w:tcBorders>
          </w:tcPr>
          <w:p w14:paraId="6642A028" w14:textId="77777777" w:rsidR="0097462C" w:rsidRPr="0097462C" w:rsidRDefault="0097462C" w:rsidP="0097462C">
            <w:pPr>
              <w:autoSpaceDE w:val="0"/>
              <w:autoSpaceDN w:val="0"/>
              <w:adjustRightInd w:val="0"/>
              <w:jc w:val="center"/>
              <w:rPr>
                <w:rFonts w:ascii="Times New Roman" w:eastAsia="TimesNewRoman" w:hAnsi="Times New Roman" w:cs="Times New Roman"/>
                <w:b/>
                <w:bCs/>
                <w:color w:val="000000"/>
                <w:sz w:val="24"/>
                <w:szCs w:val="24"/>
              </w:rPr>
            </w:pPr>
            <w:r w:rsidRPr="0097462C">
              <w:rPr>
                <w:rFonts w:ascii="Times New Roman" w:eastAsia="TimesNewRoman" w:hAnsi="Times New Roman" w:cs="Times New Roman"/>
                <w:b/>
                <w:bCs/>
                <w:color w:val="000000"/>
                <w:sz w:val="24"/>
                <w:szCs w:val="24"/>
              </w:rPr>
              <w:t>% forskel</w:t>
            </w:r>
          </w:p>
        </w:tc>
      </w:tr>
      <w:tr w:rsidR="0097462C" w:rsidRPr="0097462C" w14:paraId="11EA7FEB" w14:textId="77777777" w:rsidTr="0097462C">
        <w:tc>
          <w:tcPr>
            <w:tcW w:w="1219" w:type="pct"/>
            <w:tcBorders>
              <w:top w:val="single" w:sz="4" w:space="0" w:color="auto"/>
              <w:left w:val="single" w:sz="4" w:space="0" w:color="auto"/>
              <w:bottom w:val="single" w:sz="4" w:space="0" w:color="auto"/>
              <w:right w:val="single" w:sz="4" w:space="0" w:color="auto"/>
            </w:tcBorders>
            <w:hideMark/>
          </w:tcPr>
          <w:p w14:paraId="18C656ED" w14:textId="77777777" w:rsidR="0097462C" w:rsidRPr="0097462C" w:rsidRDefault="0097462C" w:rsidP="0097462C">
            <w:pPr>
              <w:autoSpaceDE w:val="0"/>
              <w:autoSpaceDN w:val="0"/>
              <w:adjustRightInd w:val="0"/>
              <w:rPr>
                <w:rFonts w:ascii="Times New Roman" w:eastAsia="TimesNewRoman" w:hAnsi="Times New Roman" w:cs="Times New Roman"/>
                <w:color w:val="000000"/>
                <w:sz w:val="24"/>
                <w:szCs w:val="24"/>
              </w:rPr>
            </w:pPr>
            <w:r w:rsidRPr="0097462C">
              <w:rPr>
                <w:rFonts w:ascii="Times New Roman" w:eastAsia="TimesNewRoman,Bold" w:hAnsi="Times New Roman" w:cs="Times New Roman"/>
                <w:i/>
                <w:iCs/>
                <w:color w:val="000000"/>
                <w:sz w:val="24"/>
                <w:szCs w:val="24"/>
              </w:rPr>
              <w:t>Intent-to-treat</w:t>
            </w:r>
          </w:p>
        </w:tc>
        <w:tc>
          <w:tcPr>
            <w:tcW w:w="1462" w:type="pct"/>
            <w:tcBorders>
              <w:top w:val="single" w:sz="4" w:space="0" w:color="auto"/>
              <w:left w:val="single" w:sz="4" w:space="0" w:color="auto"/>
              <w:bottom w:val="single" w:sz="4" w:space="0" w:color="auto"/>
              <w:right w:val="single" w:sz="4" w:space="0" w:color="auto"/>
            </w:tcBorders>
            <w:hideMark/>
          </w:tcPr>
          <w:p w14:paraId="0C018191" w14:textId="77777777" w:rsidR="0097462C" w:rsidRPr="0097462C" w:rsidRDefault="0097462C" w:rsidP="0097462C">
            <w:pPr>
              <w:autoSpaceDE w:val="0"/>
              <w:autoSpaceDN w:val="0"/>
              <w:adjustRightInd w:val="0"/>
              <w:jc w:val="center"/>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227/257 (88,3 %)</w:t>
            </w:r>
          </w:p>
        </w:tc>
        <w:tc>
          <w:tcPr>
            <w:tcW w:w="1301" w:type="pct"/>
            <w:tcBorders>
              <w:top w:val="single" w:sz="4" w:space="0" w:color="auto"/>
              <w:left w:val="single" w:sz="4" w:space="0" w:color="auto"/>
              <w:bottom w:val="single" w:sz="4" w:space="0" w:color="auto"/>
              <w:right w:val="single" w:sz="4" w:space="0" w:color="auto"/>
            </w:tcBorders>
            <w:hideMark/>
          </w:tcPr>
          <w:p w14:paraId="30D44562" w14:textId="77777777" w:rsidR="0097462C" w:rsidRPr="0097462C" w:rsidRDefault="0097462C" w:rsidP="0097462C">
            <w:pPr>
              <w:autoSpaceDE w:val="0"/>
              <w:autoSpaceDN w:val="0"/>
              <w:adjustRightInd w:val="0"/>
              <w:jc w:val="center"/>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114/132 (86,4 %)</w:t>
            </w:r>
          </w:p>
        </w:tc>
        <w:tc>
          <w:tcPr>
            <w:tcW w:w="1019" w:type="pct"/>
            <w:tcBorders>
              <w:top w:val="single" w:sz="4" w:space="0" w:color="auto"/>
              <w:left w:val="single" w:sz="4" w:space="0" w:color="auto"/>
              <w:bottom w:val="single" w:sz="4" w:space="0" w:color="auto"/>
              <w:right w:val="single" w:sz="4" w:space="0" w:color="auto"/>
            </w:tcBorders>
            <w:hideMark/>
          </w:tcPr>
          <w:p w14:paraId="5A7692CC" w14:textId="77777777" w:rsidR="0097462C" w:rsidRPr="0097462C" w:rsidRDefault="0097462C" w:rsidP="0097462C">
            <w:pPr>
              <w:autoSpaceDE w:val="0"/>
              <w:autoSpaceDN w:val="0"/>
              <w:adjustRightInd w:val="0"/>
              <w:jc w:val="center"/>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2,0</w:t>
            </w:r>
          </w:p>
        </w:tc>
      </w:tr>
      <w:tr w:rsidR="0097462C" w:rsidRPr="0097462C" w14:paraId="79E1314E" w14:textId="77777777" w:rsidTr="0097462C">
        <w:tc>
          <w:tcPr>
            <w:tcW w:w="1219" w:type="pct"/>
            <w:tcBorders>
              <w:top w:val="single" w:sz="4" w:space="0" w:color="auto"/>
              <w:left w:val="single" w:sz="4" w:space="0" w:color="auto"/>
              <w:bottom w:val="single" w:sz="4" w:space="0" w:color="auto"/>
              <w:right w:val="single" w:sz="4" w:space="0" w:color="auto"/>
            </w:tcBorders>
            <w:hideMark/>
          </w:tcPr>
          <w:p w14:paraId="6C3A0BBF" w14:textId="77777777" w:rsidR="0097462C" w:rsidRPr="0097462C" w:rsidRDefault="0097462C" w:rsidP="0097462C">
            <w:pPr>
              <w:autoSpaceDE w:val="0"/>
              <w:autoSpaceDN w:val="0"/>
              <w:adjustRightInd w:val="0"/>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 xml:space="preserve">Modificeret </w:t>
            </w:r>
            <w:r w:rsidRPr="0097462C">
              <w:rPr>
                <w:rFonts w:ascii="Times New Roman" w:eastAsia="TimesNewRoman,Bold" w:hAnsi="Times New Roman" w:cs="Times New Roman"/>
                <w:i/>
                <w:iCs/>
                <w:color w:val="000000"/>
                <w:sz w:val="24"/>
                <w:szCs w:val="24"/>
              </w:rPr>
              <w:t>intent-to-treat</w:t>
            </w:r>
          </w:p>
        </w:tc>
        <w:tc>
          <w:tcPr>
            <w:tcW w:w="1462" w:type="pct"/>
            <w:tcBorders>
              <w:top w:val="single" w:sz="4" w:space="0" w:color="auto"/>
              <w:left w:val="single" w:sz="4" w:space="0" w:color="auto"/>
              <w:bottom w:val="single" w:sz="4" w:space="0" w:color="auto"/>
              <w:right w:val="single" w:sz="4" w:space="0" w:color="auto"/>
            </w:tcBorders>
            <w:hideMark/>
          </w:tcPr>
          <w:p w14:paraId="09E19321" w14:textId="77777777" w:rsidR="0097462C" w:rsidRPr="0097462C" w:rsidRDefault="0097462C" w:rsidP="0097462C">
            <w:pPr>
              <w:autoSpaceDE w:val="0"/>
              <w:autoSpaceDN w:val="0"/>
              <w:adjustRightInd w:val="0"/>
              <w:jc w:val="center"/>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186/210 (88,6 %)</w:t>
            </w:r>
          </w:p>
        </w:tc>
        <w:tc>
          <w:tcPr>
            <w:tcW w:w="1301" w:type="pct"/>
            <w:tcBorders>
              <w:top w:val="single" w:sz="4" w:space="0" w:color="auto"/>
              <w:left w:val="single" w:sz="4" w:space="0" w:color="auto"/>
              <w:bottom w:val="single" w:sz="4" w:space="0" w:color="auto"/>
              <w:right w:val="single" w:sz="4" w:space="0" w:color="auto"/>
            </w:tcBorders>
            <w:hideMark/>
          </w:tcPr>
          <w:p w14:paraId="2DD60C77" w14:textId="77777777" w:rsidR="0097462C" w:rsidRPr="0097462C" w:rsidRDefault="0097462C" w:rsidP="0097462C">
            <w:pPr>
              <w:autoSpaceDE w:val="0"/>
              <w:autoSpaceDN w:val="0"/>
              <w:adjustRightInd w:val="0"/>
              <w:jc w:val="center"/>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92/105 (87,6 %)</w:t>
            </w:r>
          </w:p>
        </w:tc>
        <w:tc>
          <w:tcPr>
            <w:tcW w:w="1019" w:type="pct"/>
            <w:tcBorders>
              <w:top w:val="single" w:sz="4" w:space="0" w:color="auto"/>
              <w:left w:val="single" w:sz="4" w:space="0" w:color="auto"/>
              <w:bottom w:val="single" w:sz="4" w:space="0" w:color="auto"/>
              <w:right w:val="single" w:sz="4" w:space="0" w:color="auto"/>
            </w:tcBorders>
          </w:tcPr>
          <w:p w14:paraId="07A902E8" w14:textId="77777777" w:rsidR="0097462C" w:rsidRPr="0097462C" w:rsidRDefault="0097462C" w:rsidP="0097462C">
            <w:pPr>
              <w:autoSpaceDE w:val="0"/>
              <w:autoSpaceDN w:val="0"/>
              <w:adjustRightInd w:val="0"/>
              <w:jc w:val="center"/>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0,9</w:t>
            </w:r>
          </w:p>
        </w:tc>
      </w:tr>
      <w:tr w:rsidR="0097462C" w:rsidRPr="0097462C" w14:paraId="74D7EC2A" w14:textId="77777777" w:rsidTr="0097462C">
        <w:tc>
          <w:tcPr>
            <w:tcW w:w="1219" w:type="pct"/>
            <w:tcBorders>
              <w:top w:val="single" w:sz="4" w:space="0" w:color="auto"/>
              <w:left w:val="single" w:sz="4" w:space="0" w:color="auto"/>
              <w:bottom w:val="single" w:sz="4" w:space="0" w:color="auto"/>
              <w:right w:val="single" w:sz="4" w:space="0" w:color="auto"/>
            </w:tcBorders>
            <w:hideMark/>
          </w:tcPr>
          <w:p w14:paraId="4F2D71EC" w14:textId="77777777" w:rsidR="0097462C" w:rsidRPr="0097462C" w:rsidRDefault="0097462C" w:rsidP="0097462C">
            <w:pPr>
              <w:autoSpaceDE w:val="0"/>
              <w:autoSpaceDN w:val="0"/>
              <w:adjustRightInd w:val="0"/>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Klinisk evaluerbar</w:t>
            </w:r>
          </w:p>
        </w:tc>
        <w:tc>
          <w:tcPr>
            <w:tcW w:w="1462" w:type="pct"/>
            <w:tcBorders>
              <w:top w:val="single" w:sz="4" w:space="0" w:color="auto"/>
              <w:left w:val="single" w:sz="4" w:space="0" w:color="auto"/>
              <w:bottom w:val="single" w:sz="4" w:space="0" w:color="auto"/>
              <w:right w:val="single" w:sz="4" w:space="0" w:color="auto"/>
            </w:tcBorders>
            <w:hideMark/>
          </w:tcPr>
          <w:p w14:paraId="1D785CDA" w14:textId="77777777" w:rsidR="0097462C" w:rsidRPr="0097462C" w:rsidRDefault="0097462C" w:rsidP="0097462C">
            <w:pPr>
              <w:autoSpaceDE w:val="0"/>
              <w:autoSpaceDN w:val="0"/>
              <w:adjustRightInd w:val="0"/>
              <w:jc w:val="center"/>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204/207 (98,6 %)</w:t>
            </w:r>
          </w:p>
        </w:tc>
        <w:tc>
          <w:tcPr>
            <w:tcW w:w="1301" w:type="pct"/>
            <w:tcBorders>
              <w:top w:val="single" w:sz="4" w:space="0" w:color="auto"/>
              <w:left w:val="single" w:sz="4" w:space="0" w:color="auto"/>
              <w:bottom w:val="single" w:sz="4" w:space="0" w:color="auto"/>
              <w:right w:val="single" w:sz="4" w:space="0" w:color="auto"/>
            </w:tcBorders>
            <w:hideMark/>
          </w:tcPr>
          <w:p w14:paraId="2D8EE32D" w14:textId="77777777" w:rsidR="0097462C" w:rsidRPr="0097462C" w:rsidRDefault="0097462C" w:rsidP="0097462C">
            <w:pPr>
              <w:autoSpaceDE w:val="0"/>
              <w:autoSpaceDN w:val="0"/>
              <w:adjustRightInd w:val="0"/>
              <w:jc w:val="center"/>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99/99 (100 %)</w:t>
            </w:r>
          </w:p>
        </w:tc>
        <w:tc>
          <w:tcPr>
            <w:tcW w:w="1019" w:type="pct"/>
            <w:tcBorders>
              <w:top w:val="single" w:sz="4" w:space="0" w:color="auto"/>
              <w:left w:val="single" w:sz="4" w:space="0" w:color="auto"/>
              <w:bottom w:val="single" w:sz="4" w:space="0" w:color="auto"/>
              <w:right w:val="single" w:sz="4" w:space="0" w:color="auto"/>
            </w:tcBorders>
            <w:hideMark/>
          </w:tcPr>
          <w:p w14:paraId="5DADEFDD" w14:textId="77777777" w:rsidR="0097462C" w:rsidRPr="0097462C" w:rsidRDefault="0097462C" w:rsidP="0097462C">
            <w:pPr>
              <w:autoSpaceDE w:val="0"/>
              <w:autoSpaceDN w:val="0"/>
              <w:adjustRightInd w:val="0"/>
              <w:jc w:val="center"/>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−1,5</w:t>
            </w:r>
          </w:p>
        </w:tc>
      </w:tr>
      <w:tr w:rsidR="0097462C" w:rsidRPr="0097462C" w14:paraId="6D841392" w14:textId="77777777" w:rsidTr="0097462C">
        <w:tc>
          <w:tcPr>
            <w:tcW w:w="1219" w:type="pct"/>
            <w:tcBorders>
              <w:top w:val="single" w:sz="4" w:space="0" w:color="auto"/>
              <w:left w:val="single" w:sz="4" w:space="0" w:color="auto"/>
              <w:bottom w:val="single" w:sz="4" w:space="0" w:color="auto"/>
              <w:right w:val="single" w:sz="4" w:space="0" w:color="auto"/>
            </w:tcBorders>
            <w:hideMark/>
          </w:tcPr>
          <w:p w14:paraId="1A8C0344" w14:textId="77777777" w:rsidR="0097462C" w:rsidRPr="0097462C" w:rsidRDefault="0097462C" w:rsidP="0097462C">
            <w:pPr>
              <w:autoSpaceDE w:val="0"/>
              <w:autoSpaceDN w:val="0"/>
              <w:adjustRightInd w:val="0"/>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Mikrobiologisk evaluerbar (ME)</w:t>
            </w:r>
          </w:p>
        </w:tc>
        <w:tc>
          <w:tcPr>
            <w:tcW w:w="1462" w:type="pct"/>
            <w:tcBorders>
              <w:top w:val="single" w:sz="4" w:space="0" w:color="auto"/>
              <w:left w:val="single" w:sz="4" w:space="0" w:color="auto"/>
              <w:bottom w:val="single" w:sz="4" w:space="0" w:color="auto"/>
              <w:right w:val="single" w:sz="4" w:space="0" w:color="auto"/>
            </w:tcBorders>
            <w:hideMark/>
          </w:tcPr>
          <w:p w14:paraId="086612DC" w14:textId="77777777" w:rsidR="0097462C" w:rsidRPr="0097462C" w:rsidRDefault="0097462C" w:rsidP="0097462C">
            <w:pPr>
              <w:autoSpaceDE w:val="0"/>
              <w:autoSpaceDN w:val="0"/>
              <w:adjustRightInd w:val="0"/>
              <w:jc w:val="center"/>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164/167 (98,2 %)</w:t>
            </w:r>
          </w:p>
        </w:tc>
        <w:tc>
          <w:tcPr>
            <w:tcW w:w="1301" w:type="pct"/>
            <w:tcBorders>
              <w:top w:val="single" w:sz="4" w:space="0" w:color="auto"/>
              <w:left w:val="single" w:sz="4" w:space="0" w:color="auto"/>
              <w:bottom w:val="single" w:sz="4" w:space="0" w:color="auto"/>
              <w:right w:val="single" w:sz="4" w:space="0" w:color="auto"/>
            </w:tcBorders>
            <w:hideMark/>
          </w:tcPr>
          <w:p w14:paraId="4EEE3C84" w14:textId="77777777" w:rsidR="0097462C" w:rsidRPr="0097462C" w:rsidRDefault="0097462C" w:rsidP="0097462C">
            <w:pPr>
              <w:autoSpaceDE w:val="0"/>
              <w:autoSpaceDN w:val="0"/>
              <w:adjustRightInd w:val="0"/>
              <w:jc w:val="center"/>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78/78 (100 %)</w:t>
            </w:r>
          </w:p>
        </w:tc>
        <w:tc>
          <w:tcPr>
            <w:tcW w:w="1019" w:type="pct"/>
            <w:tcBorders>
              <w:top w:val="single" w:sz="4" w:space="0" w:color="auto"/>
              <w:left w:val="single" w:sz="4" w:space="0" w:color="auto"/>
              <w:bottom w:val="single" w:sz="4" w:space="0" w:color="auto"/>
              <w:right w:val="single" w:sz="4" w:space="0" w:color="auto"/>
            </w:tcBorders>
            <w:hideMark/>
          </w:tcPr>
          <w:p w14:paraId="24946F71" w14:textId="77777777" w:rsidR="0097462C" w:rsidRPr="0097462C" w:rsidRDefault="0097462C" w:rsidP="0097462C">
            <w:pPr>
              <w:autoSpaceDE w:val="0"/>
              <w:autoSpaceDN w:val="0"/>
              <w:adjustRightInd w:val="0"/>
              <w:jc w:val="center"/>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−1,8</w:t>
            </w:r>
          </w:p>
        </w:tc>
      </w:tr>
    </w:tbl>
    <w:p w14:paraId="7EEFB9DA"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4DB9DD1A"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 xml:space="preserve">Den samlede terapeutiske responsrate var sammenlignelig i daptomycin-armen og SOC-armen for infektioner forårsaget af MRSA, MSSA og </w:t>
      </w:r>
      <w:r w:rsidRPr="0097462C">
        <w:rPr>
          <w:rFonts w:eastAsia="TimesNewRoman,Bold"/>
          <w:i/>
          <w:iCs/>
          <w:color w:val="000000"/>
          <w:sz w:val="24"/>
          <w:szCs w:val="24"/>
        </w:rPr>
        <w:t xml:space="preserve">Streptococcus pyogenes </w:t>
      </w:r>
      <w:r w:rsidRPr="0097462C">
        <w:rPr>
          <w:rFonts w:eastAsia="TimesNewRoman"/>
          <w:color w:val="000000"/>
          <w:sz w:val="24"/>
          <w:szCs w:val="24"/>
        </w:rPr>
        <w:t>(se nedenstående tabel; ME-populationer); responsraterne var &gt; 94 % for begge behandlingsarme for disse almindelige patogener.</w:t>
      </w:r>
    </w:p>
    <w:p w14:paraId="6E64007D" w14:textId="77777777" w:rsidR="0097462C" w:rsidRPr="0097462C" w:rsidRDefault="0097462C" w:rsidP="0097462C">
      <w:pPr>
        <w:rPr>
          <w:rFonts w:eastAsia="TimesNewRoman"/>
          <w:color w:val="000000"/>
          <w:sz w:val="24"/>
          <w:szCs w:val="24"/>
        </w:rPr>
      </w:pPr>
    </w:p>
    <w:p w14:paraId="0D73B7A5"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 xml:space="preserve">Oversigt over samlet terapeutisk respons i henhold til type af </w:t>
      </w:r>
      <w:r w:rsidRPr="0097462C">
        <w:rPr>
          <w:rFonts w:eastAsia="TimesNewRoman,Bold"/>
          <w:i/>
          <w:iCs/>
          <w:color w:val="000000"/>
          <w:sz w:val="24"/>
          <w:szCs w:val="24"/>
        </w:rPr>
        <w:t>baseline</w:t>
      </w:r>
      <w:r w:rsidRPr="0097462C">
        <w:rPr>
          <w:rFonts w:eastAsia="TimesNewRoman"/>
          <w:color w:val="000000"/>
          <w:sz w:val="24"/>
          <w:szCs w:val="24"/>
        </w:rPr>
        <w:t>-patogen (ME-population):</w:t>
      </w:r>
    </w:p>
    <w:p w14:paraId="2B58EEB6" w14:textId="77777777" w:rsidR="0097462C" w:rsidRPr="0097462C" w:rsidRDefault="0097462C" w:rsidP="0097462C">
      <w:pPr>
        <w:autoSpaceDE w:val="0"/>
        <w:autoSpaceDN w:val="0"/>
        <w:adjustRightInd w:val="0"/>
        <w:ind w:left="851" w:hanging="851"/>
        <w:rPr>
          <w:rFonts w:eastAsia="TimesNewRoman,Bold"/>
          <w:b/>
          <w:bCs/>
          <w:color w:val="000000"/>
          <w:sz w:val="24"/>
          <w:szCs w:val="24"/>
        </w:rPr>
      </w:pPr>
    </w:p>
    <w:tbl>
      <w:tblPr>
        <w:tblStyle w:val="Tabel-Gitter"/>
        <w:tblW w:w="4561" w:type="pct"/>
        <w:tblInd w:w="846" w:type="dxa"/>
        <w:tblLook w:val="04A0" w:firstRow="1" w:lastRow="0" w:firstColumn="1" w:lastColumn="0" w:noHBand="0" w:noVBand="1"/>
      </w:tblPr>
      <w:tblGrid>
        <w:gridCol w:w="3403"/>
        <w:gridCol w:w="2689"/>
        <w:gridCol w:w="2691"/>
      </w:tblGrid>
      <w:tr w:rsidR="0097462C" w:rsidRPr="0097462C" w14:paraId="4113C60D" w14:textId="77777777" w:rsidTr="0097462C">
        <w:tc>
          <w:tcPr>
            <w:tcW w:w="1937" w:type="pct"/>
            <w:tcBorders>
              <w:top w:val="single" w:sz="4" w:space="0" w:color="auto"/>
              <w:left w:val="single" w:sz="4" w:space="0" w:color="auto"/>
              <w:bottom w:val="single" w:sz="4" w:space="0" w:color="auto"/>
              <w:right w:val="single" w:sz="4" w:space="0" w:color="auto"/>
            </w:tcBorders>
            <w:vAlign w:val="center"/>
          </w:tcPr>
          <w:p w14:paraId="0DCA97AF" w14:textId="77777777" w:rsidR="0097462C" w:rsidRPr="0097462C" w:rsidRDefault="0097462C" w:rsidP="0097462C">
            <w:pPr>
              <w:autoSpaceDE w:val="0"/>
              <w:autoSpaceDN w:val="0"/>
              <w:adjustRightInd w:val="0"/>
              <w:rPr>
                <w:rFonts w:ascii="Times New Roman" w:eastAsia="TimesNewRoman,Bold" w:hAnsi="Times New Roman" w:cs="Times New Roman"/>
                <w:b/>
                <w:bCs/>
                <w:color w:val="000000"/>
                <w:sz w:val="24"/>
                <w:szCs w:val="24"/>
              </w:rPr>
            </w:pPr>
            <w:r w:rsidRPr="0097462C">
              <w:rPr>
                <w:rFonts w:ascii="Times New Roman" w:eastAsia="TimesNewRoman,Bold" w:hAnsi="Times New Roman" w:cs="Times New Roman"/>
                <w:b/>
                <w:bCs/>
                <w:color w:val="000000"/>
                <w:sz w:val="24"/>
                <w:szCs w:val="24"/>
              </w:rPr>
              <w:t>Patogen</w:t>
            </w:r>
          </w:p>
        </w:tc>
        <w:tc>
          <w:tcPr>
            <w:tcW w:w="3063" w:type="pct"/>
            <w:gridSpan w:val="2"/>
            <w:tcBorders>
              <w:top w:val="single" w:sz="4" w:space="0" w:color="auto"/>
              <w:left w:val="single" w:sz="4" w:space="0" w:color="auto"/>
              <w:bottom w:val="single" w:sz="4" w:space="0" w:color="auto"/>
              <w:right w:val="single" w:sz="4" w:space="0" w:color="auto"/>
            </w:tcBorders>
            <w:vAlign w:val="center"/>
            <w:hideMark/>
          </w:tcPr>
          <w:p w14:paraId="3029C6B4" w14:textId="77777777" w:rsidR="0097462C" w:rsidRPr="0097462C" w:rsidRDefault="0097462C" w:rsidP="0097462C">
            <w:pPr>
              <w:autoSpaceDE w:val="0"/>
              <w:autoSpaceDN w:val="0"/>
              <w:adjustRightInd w:val="0"/>
              <w:jc w:val="center"/>
              <w:rPr>
                <w:rFonts w:ascii="Times New Roman" w:eastAsia="TimesNewRoman" w:hAnsi="Times New Roman" w:cs="Times New Roman"/>
                <w:color w:val="000000"/>
                <w:sz w:val="24"/>
                <w:szCs w:val="24"/>
              </w:rPr>
            </w:pPr>
            <w:r w:rsidRPr="0097462C">
              <w:rPr>
                <w:rFonts w:ascii="Times New Roman" w:hAnsi="Times New Roman" w:cs="Times New Roman"/>
                <w:b/>
                <w:sz w:val="24"/>
                <w:szCs w:val="24"/>
              </w:rPr>
              <w:t>Samlet succesrate</w:t>
            </w:r>
            <w:r w:rsidRPr="0097462C">
              <w:rPr>
                <w:rFonts w:ascii="Times New Roman" w:hAnsi="Times New Roman" w:cs="Times New Roman"/>
                <w:b/>
                <w:sz w:val="24"/>
                <w:szCs w:val="24"/>
                <w:vertAlign w:val="superscript"/>
              </w:rPr>
              <w:t>a</w:t>
            </w:r>
            <w:r w:rsidRPr="0097462C">
              <w:rPr>
                <w:rFonts w:ascii="Times New Roman" w:hAnsi="Times New Roman" w:cs="Times New Roman"/>
                <w:b/>
                <w:sz w:val="24"/>
                <w:szCs w:val="24"/>
              </w:rPr>
              <w:t xml:space="preserve"> hos pædiatriske patienter med cSSTI</w:t>
            </w:r>
          </w:p>
          <w:p w14:paraId="4DB8AEB9" w14:textId="77777777" w:rsidR="0097462C" w:rsidRPr="0097462C" w:rsidRDefault="0097462C" w:rsidP="0097462C">
            <w:pPr>
              <w:autoSpaceDE w:val="0"/>
              <w:autoSpaceDN w:val="0"/>
              <w:adjustRightInd w:val="0"/>
              <w:jc w:val="center"/>
              <w:rPr>
                <w:rFonts w:ascii="Times New Roman" w:eastAsia="TimesNewRoman,Bold" w:hAnsi="Times New Roman" w:cs="Times New Roman"/>
                <w:b/>
                <w:bCs/>
                <w:color w:val="000000"/>
                <w:sz w:val="24"/>
                <w:szCs w:val="24"/>
              </w:rPr>
            </w:pPr>
            <w:r w:rsidRPr="0097462C">
              <w:rPr>
                <w:rFonts w:ascii="Times New Roman" w:eastAsia="TimesNewRoman,Bold" w:hAnsi="Times New Roman" w:cs="Times New Roman"/>
                <w:b/>
                <w:bCs/>
                <w:color w:val="000000"/>
                <w:sz w:val="24"/>
                <w:szCs w:val="24"/>
              </w:rPr>
              <w:t>n/N (%)</w:t>
            </w:r>
          </w:p>
        </w:tc>
      </w:tr>
      <w:tr w:rsidR="0097462C" w:rsidRPr="0097462C" w14:paraId="75BD9EBB" w14:textId="77777777" w:rsidTr="0097462C">
        <w:tc>
          <w:tcPr>
            <w:tcW w:w="1937" w:type="pct"/>
            <w:tcBorders>
              <w:top w:val="single" w:sz="4" w:space="0" w:color="auto"/>
              <w:left w:val="single" w:sz="4" w:space="0" w:color="auto"/>
              <w:bottom w:val="single" w:sz="4" w:space="0" w:color="auto"/>
              <w:right w:val="single" w:sz="4" w:space="0" w:color="auto"/>
            </w:tcBorders>
          </w:tcPr>
          <w:p w14:paraId="2EA1A835" w14:textId="77777777" w:rsidR="0097462C" w:rsidRPr="0097462C" w:rsidRDefault="0097462C" w:rsidP="0097462C">
            <w:pPr>
              <w:autoSpaceDE w:val="0"/>
              <w:autoSpaceDN w:val="0"/>
              <w:adjustRightInd w:val="0"/>
              <w:rPr>
                <w:rFonts w:ascii="Times New Roman" w:eastAsia="TimesNewRoman,Bold" w:hAnsi="Times New Roman" w:cs="Times New Roman"/>
                <w:b/>
                <w:bCs/>
                <w:color w:val="000000"/>
                <w:sz w:val="24"/>
                <w:szCs w:val="24"/>
              </w:rPr>
            </w:pPr>
          </w:p>
        </w:tc>
        <w:tc>
          <w:tcPr>
            <w:tcW w:w="1531" w:type="pct"/>
            <w:tcBorders>
              <w:top w:val="single" w:sz="4" w:space="0" w:color="auto"/>
              <w:left w:val="single" w:sz="4" w:space="0" w:color="auto"/>
              <w:bottom w:val="single" w:sz="4" w:space="0" w:color="auto"/>
              <w:right w:val="single" w:sz="4" w:space="0" w:color="auto"/>
            </w:tcBorders>
            <w:hideMark/>
          </w:tcPr>
          <w:p w14:paraId="0ABEB7AC" w14:textId="77777777" w:rsidR="0097462C" w:rsidRPr="0097462C" w:rsidRDefault="0097462C" w:rsidP="0097462C">
            <w:pPr>
              <w:autoSpaceDE w:val="0"/>
              <w:autoSpaceDN w:val="0"/>
              <w:adjustRightInd w:val="0"/>
              <w:rPr>
                <w:rFonts w:ascii="Times New Roman" w:eastAsia="TimesNewRoman,Bold" w:hAnsi="Times New Roman" w:cs="Times New Roman"/>
                <w:b/>
                <w:bCs/>
                <w:color w:val="000000"/>
                <w:sz w:val="24"/>
                <w:szCs w:val="24"/>
              </w:rPr>
            </w:pPr>
            <w:r w:rsidRPr="0097462C">
              <w:rPr>
                <w:rFonts w:ascii="Times New Roman" w:eastAsia="TimesNewRoman,Bold" w:hAnsi="Times New Roman" w:cs="Times New Roman"/>
                <w:b/>
                <w:bCs/>
                <w:color w:val="000000"/>
                <w:sz w:val="24"/>
                <w:szCs w:val="24"/>
              </w:rPr>
              <w:t>Daptomycin</w:t>
            </w:r>
          </w:p>
        </w:tc>
        <w:tc>
          <w:tcPr>
            <w:tcW w:w="1532" w:type="pct"/>
            <w:tcBorders>
              <w:top w:val="single" w:sz="4" w:space="0" w:color="auto"/>
              <w:left w:val="single" w:sz="4" w:space="0" w:color="auto"/>
              <w:bottom w:val="single" w:sz="4" w:space="0" w:color="auto"/>
              <w:right w:val="single" w:sz="4" w:space="0" w:color="auto"/>
            </w:tcBorders>
            <w:hideMark/>
          </w:tcPr>
          <w:p w14:paraId="519900B9" w14:textId="77777777" w:rsidR="0097462C" w:rsidRPr="0097462C" w:rsidRDefault="0097462C" w:rsidP="0097462C">
            <w:pPr>
              <w:autoSpaceDE w:val="0"/>
              <w:autoSpaceDN w:val="0"/>
              <w:adjustRightInd w:val="0"/>
              <w:rPr>
                <w:rFonts w:ascii="Times New Roman" w:eastAsia="TimesNewRoman,Bold" w:hAnsi="Times New Roman" w:cs="Times New Roman"/>
                <w:b/>
                <w:bCs/>
                <w:color w:val="000000"/>
                <w:sz w:val="24"/>
                <w:szCs w:val="24"/>
              </w:rPr>
            </w:pPr>
            <w:r w:rsidRPr="0097462C">
              <w:rPr>
                <w:rFonts w:ascii="Times New Roman" w:eastAsia="TimesNewRoman,Bold" w:hAnsi="Times New Roman" w:cs="Times New Roman"/>
                <w:b/>
                <w:bCs/>
                <w:color w:val="000000"/>
                <w:sz w:val="24"/>
                <w:szCs w:val="24"/>
              </w:rPr>
              <w:t>Komparator</w:t>
            </w:r>
          </w:p>
        </w:tc>
      </w:tr>
      <w:tr w:rsidR="0097462C" w:rsidRPr="0097462C" w14:paraId="38EB4CED" w14:textId="77777777" w:rsidTr="0097462C">
        <w:tc>
          <w:tcPr>
            <w:tcW w:w="1937" w:type="pct"/>
            <w:tcBorders>
              <w:top w:val="single" w:sz="4" w:space="0" w:color="auto"/>
              <w:left w:val="single" w:sz="4" w:space="0" w:color="auto"/>
              <w:bottom w:val="single" w:sz="4" w:space="0" w:color="auto"/>
              <w:right w:val="single" w:sz="4" w:space="0" w:color="auto"/>
            </w:tcBorders>
          </w:tcPr>
          <w:p w14:paraId="067F70DC" w14:textId="77777777" w:rsidR="0097462C" w:rsidRPr="0097462C" w:rsidRDefault="0097462C" w:rsidP="0097462C">
            <w:pPr>
              <w:autoSpaceDE w:val="0"/>
              <w:autoSpaceDN w:val="0"/>
              <w:adjustRightInd w:val="0"/>
              <w:rPr>
                <w:rFonts w:ascii="Times New Roman" w:eastAsia="TimesNewRoman,Bold" w:hAnsi="Times New Roman" w:cs="Times New Roman"/>
                <w:b/>
                <w:bCs/>
                <w:color w:val="000000"/>
                <w:sz w:val="24"/>
                <w:szCs w:val="24"/>
              </w:rPr>
            </w:pPr>
            <w:r w:rsidRPr="0097462C">
              <w:rPr>
                <w:rFonts w:ascii="Times New Roman" w:eastAsia="TimesNewRoman" w:hAnsi="Times New Roman" w:cs="Times New Roman"/>
                <w:color w:val="000000"/>
                <w:sz w:val="24"/>
                <w:szCs w:val="24"/>
              </w:rPr>
              <w:t xml:space="preserve">Methicillin-modtagelig </w:t>
            </w:r>
            <w:r w:rsidRPr="0097462C">
              <w:rPr>
                <w:rFonts w:ascii="Times New Roman" w:eastAsia="TimesNewRoman,Bold" w:hAnsi="Times New Roman" w:cs="Times New Roman"/>
                <w:i/>
                <w:iCs/>
                <w:color w:val="000000"/>
                <w:sz w:val="24"/>
                <w:szCs w:val="24"/>
              </w:rPr>
              <w:t>Staphylococcus aureus</w:t>
            </w:r>
            <w:r w:rsidRPr="0097462C">
              <w:rPr>
                <w:rFonts w:ascii="Times New Roman" w:eastAsia="TimesNewRoman" w:hAnsi="Times New Roman" w:cs="Times New Roman"/>
                <w:color w:val="000000"/>
                <w:sz w:val="24"/>
                <w:szCs w:val="24"/>
              </w:rPr>
              <w:t xml:space="preserve"> (MSSA)</w:t>
            </w:r>
          </w:p>
        </w:tc>
        <w:tc>
          <w:tcPr>
            <w:tcW w:w="1531" w:type="pct"/>
            <w:tcBorders>
              <w:top w:val="single" w:sz="4" w:space="0" w:color="auto"/>
              <w:left w:val="single" w:sz="4" w:space="0" w:color="auto"/>
              <w:bottom w:val="single" w:sz="4" w:space="0" w:color="auto"/>
              <w:right w:val="single" w:sz="4" w:space="0" w:color="auto"/>
            </w:tcBorders>
            <w:hideMark/>
          </w:tcPr>
          <w:p w14:paraId="62196463" w14:textId="77777777" w:rsidR="0097462C" w:rsidRPr="0097462C" w:rsidRDefault="0097462C" w:rsidP="0097462C">
            <w:pPr>
              <w:autoSpaceDE w:val="0"/>
              <w:autoSpaceDN w:val="0"/>
              <w:adjustRightInd w:val="0"/>
              <w:rPr>
                <w:rFonts w:ascii="Times New Roman" w:eastAsia="TimesNewRoman,Bold" w:hAnsi="Times New Roman" w:cs="Times New Roman"/>
                <w:b/>
                <w:bCs/>
                <w:color w:val="000000"/>
                <w:sz w:val="24"/>
                <w:szCs w:val="24"/>
              </w:rPr>
            </w:pPr>
            <w:r w:rsidRPr="0097462C">
              <w:rPr>
                <w:rFonts w:ascii="Times New Roman" w:eastAsia="TimesNewRoman" w:hAnsi="Times New Roman" w:cs="Times New Roman"/>
                <w:color w:val="000000"/>
                <w:sz w:val="24"/>
                <w:szCs w:val="24"/>
              </w:rPr>
              <w:t>68/69 (99 %)</w:t>
            </w:r>
          </w:p>
        </w:tc>
        <w:tc>
          <w:tcPr>
            <w:tcW w:w="1532" w:type="pct"/>
            <w:tcBorders>
              <w:top w:val="single" w:sz="4" w:space="0" w:color="auto"/>
              <w:left w:val="single" w:sz="4" w:space="0" w:color="auto"/>
              <w:bottom w:val="single" w:sz="4" w:space="0" w:color="auto"/>
              <w:right w:val="single" w:sz="4" w:space="0" w:color="auto"/>
            </w:tcBorders>
          </w:tcPr>
          <w:p w14:paraId="032D1A36" w14:textId="77777777" w:rsidR="0097462C" w:rsidRPr="0097462C" w:rsidRDefault="0097462C" w:rsidP="0097462C">
            <w:pPr>
              <w:autoSpaceDE w:val="0"/>
              <w:autoSpaceDN w:val="0"/>
              <w:adjustRightInd w:val="0"/>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28/29 (97 %)</w:t>
            </w:r>
          </w:p>
          <w:p w14:paraId="745340D6" w14:textId="77777777" w:rsidR="0097462C" w:rsidRPr="0097462C" w:rsidRDefault="0097462C" w:rsidP="0097462C">
            <w:pPr>
              <w:autoSpaceDE w:val="0"/>
              <w:autoSpaceDN w:val="0"/>
              <w:adjustRightInd w:val="0"/>
              <w:rPr>
                <w:rFonts w:ascii="Times New Roman" w:eastAsia="TimesNewRoman,Bold" w:hAnsi="Times New Roman" w:cs="Times New Roman"/>
                <w:b/>
                <w:bCs/>
                <w:color w:val="000000"/>
                <w:sz w:val="24"/>
                <w:szCs w:val="24"/>
              </w:rPr>
            </w:pPr>
          </w:p>
        </w:tc>
      </w:tr>
      <w:tr w:rsidR="0097462C" w:rsidRPr="0097462C" w14:paraId="0AA024F7" w14:textId="77777777" w:rsidTr="0097462C">
        <w:tc>
          <w:tcPr>
            <w:tcW w:w="1937" w:type="pct"/>
            <w:tcBorders>
              <w:top w:val="single" w:sz="4" w:space="0" w:color="auto"/>
              <w:left w:val="single" w:sz="4" w:space="0" w:color="auto"/>
              <w:bottom w:val="single" w:sz="4" w:space="0" w:color="auto"/>
              <w:right w:val="single" w:sz="4" w:space="0" w:color="auto"/>
            </w:tcBorders>
            <w:hideMark/>
          </w:tcPr>
          <w:p w14:paraId="35F30254" w14:textId="77777777" w:rsidR="0097462C" w:rsidRPr="0097462C" w:rsidRDefault="0097462C" w:rsidP="0097462C">
            <w:pPr>
              <w:autoSpaceDE w:val="0"/>
              <w:autoSpaceDN w:val="0"/>
              <w:adjustRightInd w:val="0"/>
              <w:rPr>
                <w:rFonts w:ascii="Times New Roman" w:eastAsia="TimesNewRoman,Bold" w:hAnsi="Times New Roman" w:cs="Times New Roman"/>
                <w:b/>
                <w:bCs/>
                <w:color w:val="000000"/>
                <w:sz w:val="24"/>
                <w:szCs w:val="24"/>
                <w:lang w:val="en-US"/>
              </w:rPr>
            </w:pPr>
            <w:r w:rsidRPr="0097462C">
              <w:rPr>
                <w:rFonts w:eastAsia="TimesNewRoman"/>
                <w:color w:val="000000"/>
                <w:sz w:val="24"/>
                <w:szCs w:val="24"/>
                <w:lang w:val="en-US"/>
              </w:rPr>
              <w:t xml:space="preserve">Methicillin-resistent </w:t>
            </w:r>
            <w:r w:rsidRPr="0097462C">
              <w:rPr>
                <w:rFonts w:eastAsia="TimesNewRoman,Bold"/>
                <w:i/>
                <w:iCs/>
                <w:color w:val="000000"/>
                <w:sz w:val="24"/>
                <w:szCs w:val="24"/>
                <w:lang w:val="en-US"/>
              </w:rPr>
              <w:t xml:space="preserve">Staphylococcus aureus </w:t>
            </w:r>
            <w:r w:rsidRPr="0097462C">
              <w:rPr>
                <w:rFonts w:eastAsia="TimesNewRoman"/>
                <w:color w:val="000000"/>
                <w:sz w:val="24"/>
                <w:szCs w:val="24"/>
                <w:lang w:val="en-US"/>
              </w:rPr>
              <w:t>(MRSA)</w:t>
            </w:r>
          </w:p>
        </w:tc>
        <w:tc>
          <w:tcPr>
            <w:tcW w:w="1531" w:type="pct"/>
            <w:tcBorders>
              <w:top w:val="single" w:sz="4" w:space="0" w:color="auto"/>
              <w:left w:val="single" w:sz="4" w:space="0" w:color="auto"/>
              <w:bottom w:val="single" w:sz="4" w:space="0" w:color="auto"/>
              <w:right w:val="single" w:sz="4" w:space="0" w:color="auto"/>
            </w:tcBorders>
            <w:hideMark/>
          </w:tcPr>
          <w:p w14:paraId="46AD2F60" w14:textId="77777777" w:rsidR="0097462C" w:rsidRPr="0097462C" w:rsidRDefault="0097462C" w:rsidP="0097462C">
            <w:pPr>
              <w:autoSpaceDE w:val="0"/>
              <w:autoSpaceDN w:val="0"/>
              <w:adjustRightInd w:val="0"/>
              <w:rPr>
                <w:rFonts w:ascii="Times New Roman" w:eastAsia="TimesNewRoman,Bold" w:hAnsi="Times New Roman" w:cs="Times New Roman"/>
                <w:b/>
                <w:bCs/>
                <w:color w:val="000000"/>
                <w:sz w:val="24"/>
                <w:szCs w:val="24"/>
              </w:rPr>
            </w:pPr>
            <w:r w:rsidRPr="0097462C">
              <w:rPr>
                <w:rFonts w:ascii="Times New Roman" w:eastAsia="TimesNewRoman" w:hAnsi="Times New Roman" w:cs="Times New Roman"/>
                <w:color w:val="000000"/>
                <w:sz w:val="24"/>
                <w:szCs w:val="24"/>
              </w:rPr>
              <w:t>63/66 (96 %)</w:t>
            </w:r>
          </w:p>
        </w:tc>
        <w:tc>
          <w:tcPr>
            <w:tcW w:w="1532" w:type="pct"/>
            <w:tcBorders>
              <w:top w:val="single" w:sz="4" w:space="0" w:color="auto"/>
              <w:left w:val="single" w:sz="4" w:space="0" w:color="auto"/>
              <w:bottom w:val="single" w:sz="4" w:space="0" w:color="auto"/>
              <w:right w:val="single" w:sz="4" w:space="0" w:color="auto"/>
            </w:tcBorders>
          </w:tcPr>
          <w:p w14:paraId="7CFF4E10" w14:textId="77777777" w:rsidR="0097462C" w:rsidRPr="0097462C" w:rsidRDefault="0097462C" w:rsidP="0097462C">
            <w:pPr>
              <w:autoSpaceDE w:val="0"/>
              <w:autoSpaceDN w:val="0"/>
              <w:adjustRightInd w:val="0"/>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34/34 (100 %)</w:t>
            </w:r>
          </w:p>
          <w:p w14:paraId="6962B3FF" w14:textId="77777777" w:rsidR="0097462C" w:rsidRPr="0097462C" w:rsidRDefault="0097462C" w:rsidP="0097462C">
            <w:pPr>
              <w:autoSpaceDE w:val="0"/>
              <w:autoSpaceDN w:val="0"/>
              <w:adjustRightInd w:val="0"/>
              <w:rPr>
                <w:rFonts w:ascii="Times New Roman" w:eastAsia="TimesNewRoman,Bold" w:hAnsi="Times New Roman" w:cs="Times New Roman"/>
                <w:b/>
                <w:bCs/>
                <w:color w:val="000000"/>
                <w:sz w:val="24"/>
                <w:szCs w:val="24"/>
              </w:rPr>
            </w:pPr>
          </w:p>
        </w:tc>
      </w:tr>
      <w:tr w:rsidR="0097462C" w:rsidRPr="0097462C" w14:paraId="7BD0FDB7" w14:textId="77777777" w:rsidTr="0097462C">
        <w:tc>
          <w:tcPr>
            <w:tcW w:w="1937" w:type="pct"/>
            <w:tcBorders>
              <w:top w:val="single" w:sz="4" w:space="0" w:color="auto"/>
              <w:left w:val="single" w:sz="4" w:space="0" w:color="auto"/>
              <w:bottom w:val="single" w:sz="4" w:space="0" w:color="auto"/>
              <w:right w:val="single" w:sz="4" w:space="0" w:color="auto"/>
            </w:tcBorders>
            <w:hideMark/>
          </w:tcPr>
          <w:p w14:paraId="3CB6DDB7" w14:textId="77777777" w:rsidR="0097462C" w:rsidRPr="0097462C" w:rsidRDefault="0097462C" w:rsidP="0097462C">
            <w:pPr>
              <w:autoSpaceDE w:val="0"/>
              <w:autoSpaceDN w:val="0"/>
              <w:adjustRightInd w:val="0"/>
              <w:rPr>
                <w:rFonts w:ascii="Times New Roman" w:eastAsia="TimesNewRoman" w:hAnsi="Times New Roman" w:cs="Times New Roman"/>
                <w:color w:val="000000"/>
                <w:sz w:val="24"/>
                <w:szCs w:val="24"/>
              </w:rPr>
            </w:pPr>
            <w:r w:rsidRPr="0097462C">
              <w:rPr>
                <w:rFonts w:ascii="Times New Roman" w:eastAsia="TimesNewRoman,Bold" w:hAnsi="Times New Roman" w:cs="Times New Roman"/>
                <w:i/>
                <w:iCs/>
                <w:color w:val="000000"/>
                <w:sz w:val="24"/>
                <w:szCs w:val="24"/>
              </w:rPr>
              <w:t>Streptococcus pyogenes</w:t>
            </w:r>
          </w:p>
        </w:tc>
        <w:tc>
          <w:tcPr>
            <w:tcW w:w="1531" w:type="pct"/>
            <w:tcBorders>
              <w:top w:val="single" w:sz="4" w:space="0" w:color="auto"/>
              <w:left w:val="single" w:sz="4" w:space="0" w:color="auto"/>
              <w:bottom w:val="single" w:sz="4" w:space="0" w:color="auto"/>
              <w:right w:val="single" w:sz="4" w:space="0" w:color="auto"/>
            </w:tcBorders>
            <w:hideMark/>
          </w:tcPr>
          <w:p w14:paraId="4E6481FB" w14:textId="77777777" w:rsidR="0097462C" w:rsidRPr="0097462C" w:rsidRDefault="0097462C" w:rsidP="0097462C">
            <w:pPr>
              <w:autoSpaceDE w:val="0"/>
              <w:autoSpaceDN w:val="0"/>
              <w:adjustRightInd w:val="0"/>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17/18 (94 %)</w:t>
            </w:r>
          </w:p>
        </w:tc>
        <w:tc>
          <w:tcPr>
            <w:tcW w:w="1532" w:type="pct"/>
            <w:tcBorders>
              <w:top w:val="single" w:sz="4" w:space="0" w:color="auto"/>
              <w:left w:val="single" w:sz="4" w:space="0" w:color="auto"/>
              <w:bottom w:val="single" w:sz="4" w:space="0" w:color="auto"/>
              <w:right w:val="single" w:sz="4" w:space="0" w:color="auto"/>
            </w:tcBorders>
            <w:hideMark/>
          </w:tcPr>
          <w:p w14:paraId="00DB657C" w14:textId="77777777" w:rsidR="0097462C" w:rsidRPr="0097462C" w:rsidRDefault="0097462C" w:rsidP="0097462C">
            <w:pPr>
              <w:autoSpaceDE w:val="0"/>
              <w:autoSpaceDN w:val="0"/>
              <w:adjustRightInd w:val="0"/>
              <w:rPr>
                <w:rFonts w:ascii="Times New Roman" w:eastAsia="TimesNewRoman" w:hAnsi="Times New Roman" w:cs="Times New Roman"/>
                <w:color w:val="000000"/>
                <w:sz w:val="24"/>
                <w:szCs w:val="24"/>
              </w:rPr>
            </w:pPr>
            <w:r w:rsidRPr="0097462C">
              <w:rPr>
                <w:rFonts w:ascii="Times New Roman" w:eastAsia="TimesNewRoman" w:hAnsi="Times New Roman" w:cs="Times New Roman"/>
                <w:color w:val="000000"/>
                <w:sz w:val="24"/>
                <w:szCs w:val="24"/>
              </w:rPr>
              <w:t>5/5 (100 %)</w:t>
            </w:r>
          </w:p>
        </w:tc>
      </w:tr>
    </w:tbl>
    <w:p w14:paraId="1BA2541D" w14:textId="4F7FA4CD" w:rsidR="0097462C" w:rsidRPr="0097462C" w:rsidRDefault="0097462C" w:rsidP="0097462C">
      <w:pPr>
        <w:autoSpaceDE w:val="0"/>
        <w:autoSpaceDN w:val="0"/>
        <w:adjustRightInd w:val="0"/>
        <w:ind w:left="1418" w:hanging="567"/>
        <w:rPr>
          <w:rFonts w:eastAsia="TimesNewRoman"/>
          <w:color w:val="000000"/>
          <w:sz w:val="24"/>
          <w:szCs w:val="24"/>
        </w:rPr>
      </w:pPr>
      <w:r w:rsidRPr="0097462C">
        <w:rPr>
          <w:rFonts w:eastAsia="TimesNewRoman"/>
          <w:color w:val="000000"/>
          <w:sz w:val="24"/>
          <w:szCs w:val="24"/>
          <w:vertAlign w:val="superscript"/>
        </w:rPr>
        <w:t>a</w:t>
      </w:r>
      <w:r w:rsidRPr="0097462C">
        <w:rPr>
          <w:rFonts w:eastAsia="TimesNewRoman"/>
          <w:color w:val="000000"/>
          <w:sz w:val="24"/>
          <w:szCs w:val="24"/>
        </w:rPr>
        <w:t xml:space="preserve"> </w:t>
      </w:r>
      <w:r w:rsidRPr="0097462C">
        <w:rPr>
          <w:rFonts w:eastAsia="TimesNewRoman"/>
          <w:color w:val="000000"/>
          <w:sz w:val="24"/>
          <w:szCs w:val="24"/>
        </w:rPr>
        <w:tab/>
        <w:t>Patienter, som opnår klinisk succes (klinisk respons ”helbredt” eller ”forbedret”) og mikrobiologisk succes (niveau af patogen ”udryddet” eller ”formodet udryddet”</w:t>
      </w:r>
      <w:r w:rsidR="00EF1528">
        <w:rPr>
          <w:rFonts w:eastAsia="TimesNewRoman"/>
          <w:color w:val="000000"/>
          <w:sz w:val="24"/>
          <w:szCs w:val="24"/>
        </w:rPr>
        <w:t>)</w:t>
      </w:r>
      <w:r w:rsidRPr="0097462C">
        <w:rPr>
          <w:rFonts w:eastAsia="TimesNewRoman"/>
          <w:color w:val="000000"/>
          <w:sz w:val="24"/>
          <w:szCs w:val="24"/>
        </w:rPr>
        <w:t xml:space="preserve"> er klassificeret som overordnet terapeutisk succes.</w:t>
      </w:r>
    </w:p>
    <w:p w14:paraId="3D819A80" w14:textId="77777777" w:rsidR="0097462C" w:rsidRPr="0097462C" w:rsidRDefault="0097462C" w:rsidP="0097462C">
      <w:pPr>
        <w:ind w:left="851" w:hanging="851"/>
        <w:rPr>
          <w:sz w:val="24"/>
          <w:szCs w:val="24"/>
        </w:rPr>
      </w:pPr>
    </w:p>
    <w:p w14:paraId="301102A8" w14:textId="77777777" w:rsidR="0097462C" w:rsidRPr="0097462C" w:rsidRDefault="0097462C" w:rsidP="0097462C">
      <w:pPr>
        <w:keepNext/>
        <w:ind w:left="851"/>
        <w:rPr>
          <w:sz w:val="24"/>
          <w:szCs w:val="24"/>
        </w:rPr>
      </w:pPr>
      <w:r w:rsidRPr="0097462C">
        <w:rPr>
          <w:sz w:val="24"/>
          <w:szCs w:val="24"/>
        </w:rPr>
        <w:t xml:space="preserve">Daptomycins sikkerhed og virkning blev evalueret hos pædiatriske patienter i alderen 1 til 17 år (studie DAP-PEDBAC-11-02) med bakteriæmi forårsaget af </w:t>
      </w:r>
      <w:r w:rsidRPr="0097462C">
        <w:rPr>
          <w:i/>
          <w:sz w:val="24"/>
          <w:szCs w:val="24"/>
        </w:rPr>
        <w:t>Staphylococcus aureus</w:t>
      </w:r>
      <w:r w:rsidRPr="0097462C">
        <w:rPr>
          <w:sz w:val="24"/>
          <w:szCs w:val="24"/>
        </w:rPr>
        <w:t>. Patienterne blev randomiseret i forholdet 2:1 til følgende aldersgrupper og fik en aldersafhængig dosis en gang om dagen i op til 42 dage:</w:t>
      </w:r>
    </w:p>
    <w:p w14:paraId="179FBEED" w14:textId="77777777" w:rsidR="0097462C" w:rsidRPr="0097462C" w:rsidRDefault="0097462C" w:rsidP="0097462C">
      <w:pPr>
        <w:ind w:left="1418" w:hanging="567"/>
        <w:rPr>
          <w:sz w:val="24"/>
          <w:szCs w:val="24"/>
        </w:rPr>
      </w:pPr>
      <w:r w:rsidRPr="0097462C">
        <w:rPr>
          <w:sz w:val="24"/>
          <w:szCs w:val="24"/>
        </w:rPr>
        <w:t>•</w:t>
      </w:r>
      <w:r w:rsidRPr="0097462C">
        <w:rPr>
          <w:sz w:val="24"/>
          <w:szCs w:val="24"/>
        </w:rPr>
        <w:tab/>
        <w:t>Aldersgruppe 1 (n = 21): 12 til 17 år blev behandlet med daptomycindoser på 7 mg/kg eller SOC-komparator.</w:t>
      </w:r>
    </w:p>
    <w:p w14:paraId="666C400B" w14:textId="77777777" w:rsidR="0097462C" w:rsidRPr="0097462C" w:rsidRDefault="0097462C" w:rsidP="0097462C">
      <w:pPr>
        <w:ind w:left="1418" w:hanging="567"/>
        <w:rPr>
          <w:sz w:val="24"/>
          <w:szCs w:val="24"/>
        </w:rPr>
      </w:pPr>
      <w:r w:rsidRPr="0097462C">
        <w:rPr>
          <w:sz w:val="24"/>
          <w:szCs w:val="24"/>
        </w:rPr>
        <w:t>•</w:t>
      </w:r>
      <w:r w:rsidRPr="0097462C">
        <w:rPr>
          <w:sz w:val="24"/>
          <w:szCs w:val="24"/>
        </w:rPr>
        <w:tab/>
        <w:t>Aldersgruppe 2 (n = 28): 7 til 11 år blev behandlet med daptomycindoser på 9 mg/kg eller SOC.</w:t>
      </w:r>
    </w:p>
    <w:p w14:paraId="61E1DDCE" w14:textId="77777777" w:rsidR="0097462C" w:rsidRPr="0097462C" w:rsidRDefault="0097462C" w:rsidP="0097462C">
      <w:pPr>
        <w:ind w:left="1418" w:hanging="567"/>
        <w:rPr>
          <w:sz w:val="24"/>
          <w:szCs w:val="24"/>
        </w:rPr>
      </w:pPr>
      <w:r w:rsidRPr="0097462C">
        <w:rPr>
          <w:sz w:val="24"/>
          <w:szCs w:val="24"/>
        </w:rPr>
        <w:t>•</w:t>
      </w:r>
      <w:r w:rsidRPr="0097462C">
        <w:rPr>
          <w:sz w:val="24"/>
          <w:szCs w:val="24"/>
        </w:rPr>
        <w:tab/>
        <w:t>Aldersgruppe 3 (n = 32): 1 til 6 år blev behandlet med daptomycindoser på 12 mg/kg eller SOC.</w:t>
      </w:r>
    </w:p>
    <w:p w14:paraId="310712AF" w14:textId="77777777" w:rsidR="0097462C" w:rsidRPr="0097462C" w:rsidRDefault="0097462C" w:rsidP="0097462C">
      <w:pPr>
        <w:ind w:left="851"/>
        <w:rPr>
          <w:sz w:val="24"/>
          <w:szCs w:val="24"/>
        </w:rPr>
      </w:pPr>
    </w:p>
    <w:p w14:paraId="77649E29" w14:textId="77777777" w:rsidR="0097462C" w:rsidRPr="0097462C" w:rsidRDefault="0097462C" w:rsidP="0097462C">
      <w:pPr>
        <w:ind w:left="851"/>
        <w:rPr>
          <w:sz w:val="24"/>
          <w:szCs w:val="24"/>
        </w:rPr>
      </w:pPr>
      <w:r w:rsidRPr="0097462C">
        <w:rPr>
          <w:sz w:val="24"/>
          <w:szCs w:val="24"/>
        </w:rPr>
        <w:t xml:space="preserve">Det primære mål med studie DAP-PEDBAC-11-02 var at vurdere sikkerheden af intravenøst daptomycin </w:t>
      </w:r>
      <w:r w:rsidRPr="0097462C">
        <w:rPr>
          <w:i/>
          <w:sz w:val="24"/>
          <w:szCs w:val="24"/>
        </w:rPr>
        <w:t xml:space="preserve">versus </w:t>
      </w:r>
      <w:r w:rsidRPr="0097462C">
        <w:rPr>
          <w:sz w:val="24"/>
          <w:szCs w:val="24"/>
        </w:rPr>
        <w:t xml:space="preserve">SOC-antibiotika. Sekundære mål inkluderede: Klinisk udfald baseret på den blindede evaluators vurdering af klinisk respons (succes [helbredelse, forbedret], </w:t>
      </w:r>
      <w:r w:rsidRPr="0097462C">
        <w:rPr>
          <w:i/>
          <w:sz w:val="24"/>
          <w:szCs w:val="24"/>
        </w:rPr>
        <w:t xml:space="preserve">failure </w:t>
      </w:r>
      <w:r w:rsidRPr="0097462C">
        <w:rPr>
          <w:sz w:val="24"/>
          <w:szCs w:val="24"/>
        </w:rPr>
        <w:t xml:space="preserve">eller ikke- evaluerbar) ved TOC-besøget; og mikrobiologisk respons (succes, </w:t>
      </w:r>
      <w:r w:rsidRPr="0097462C">
        <w:rPr>
          <w:i/>
          <w:sz w:val="24"/>
          <w:szCs w:val="24"/>
        </w:rPr>
        <w:t xml:space="preserve">failure </w:t>
      </w:r>
      <w:r w:rsidRPr="0097462C">
        <w:rPr>
          <w:sz w:val="24"/>
          <w:szCs w:val="24"/>
        </w:rPr>
        <w:t xml:space="preserve">eller ikke-evaluerbar) baseret på vurdering af infektiøst patogen ved </w:t>
      </w:r>
      <w:r w:rsidRPr="0097462C">
        <w:rPr>
          <w:i/>
          <w:sz w:val="24"/>
          <w:szCs w:val="24"/>
        </w:rPr>
        <w:t xml:space="preserve">baseline </w:t>
      </w:r>
      <w:r w:rsidRPr="0097462C">
        <w:rPr>
          <w:sz w:val="24"/>
          <w:szCs w:val="24"/>
        </w:rPr>
        <w:t>i TOC.</w:t>
      </w:r>
    </w:p>
    <w:p w14:paraId="6A147BE2" w14:textId="77777777" w:rsidR="0097462C" w:rsidRPr="0097462C" w:rsidRDefault="0097462C" w:rsidP="0097462C">
      <w:pPr>
        <w:ind w:left="851"/>
        <w:rPr>
          <w:sz w:val="24"/>
          <w:szCs w:val="24"/>
        </w:rPr>
      </w:pPr>
    </w:p>
    <w:p w14:paraId="2EE18A02" w14:textId="77777777" w:rsidR="0097462C" w:rsidRPr="0097462C" w:rsidRDefault="0097462C" w:rsidP="0097462C">
      <w:pPr>
        <w:ind w:left="851"/>
        <w:rPr>
          <w:sz w:val="24"/>
          <w:szCs w:val="24"/>
        </w:rPr>
      </w:pPr>
      <w:r w:rsidRPr="0097462C">
        <w:rPr>
          <w:sz w:val="24"/>
          <w:szCs w:val="24"/>
        </w:rPr>
        <w:t xml:space="preserve">I alt blev 81 forsøgspersoner behandlet i studiet, inklusive 55 forsøgspersoner, som fik daptomycin og 26 forsøgspersoner, som fik standardbehandling. Der blev ikke indrulleret patienter i alderen 1 til &lt; 2 år i studiet. I alle populationer var de kliniske succesrater sammenlignelige i daptomycin-armen </w:t>
      </w:r>
      <w:r w:rsidRPr="0097462C">
        <w:rPr>
          <w:i/>
          <w:sz w:val="24"/>
          <w:szCs w:val="24"/>
        </w:rPr>
        <w:t xml:space="preserve">versus </w:t>
      </w:r>
      <w:r w:rsidRPr="0097462C">
        <w:rPr>
          <w:sz w:val="24"/>
          <w:szCs w:val="24"/>
        </w:rPr>
        <w:t>SOC-armen.</w:t>
      </w:r>
    </w:p>
    <w:p w14:paraId="1D7840B3" w14:textId="77777777" w:rsidR="0097462C" w:rsidRPr="0097462C" w:rsidRDefault="0097462C" w:rsidP="0097462C">
      <w:pPr>
        <w:ind w:left="851"/>
        <w:rPr>
          <w:sz w:val="24"/>
          <w:szCs w:val="24"/>
        </w:rPr>
      </w:pPr>
    </w:p>
    <w:p w14:paraId="2956E1EE" w14:textId="77777777" w:rsidR="0097462C" w:rsidRPr="0097462C" w:rsidRDefault="0097462C" w:rsidP="0097462C">
      <w:pPr>
        <w:keepNext/>
        <w:ind w:left="851"/>
        <w:rPr>
          <w:sz w:val="24"/>
          <w:szCs w:val="24"/>
        </w:rPr>
      </w:pPr>
      <w:r w:rsidRPr="0097462C">
        <w:rPr>
          <w:sz w:val="24"/>
          <w:szCs w:val="24"/>
        </w:rPr>
        <w:t>Oversigt over klinisk udfald bedømt af blindet evaluator ved TOC:</w:t>
      </w:r>
    </w:p>
    <w:p w14:paraId="05262535" w14:textId="77777777" w:rsidR="0097462C" w:rsidRPr="0097462C" w:rsidRDefault="0097462C" w:rsidP="0097462C">
      <w:pPr>
        <w:keepNext/>
        <w:ind w:left="851"/>
        <w:rPr>
          <w:sz w:val="24"/>
          <w:szCs w:val="24"/>
        </w:rPr>
      </w:pPr>
    </w:p>
    <w:tbl>
      <w:tblPr>
        <w:tblStyle w:val="Tabel-Gitter"/>
        <w:tblW w:w="4502" w:type="pct"/>
        <w:tblInd w:w="846" w:type="dxa"/>
        <w:tblLook w:val="04A0" w:firstRow="1" w:lastRow="0" w:firstColumn="1" w:lastColumn="0" w:noHBand="0" w:noVBand="1"/>
      </w:tblPr>
      <w:tblGrid>
        <w:gridCol w:w="2211"/>
        <w:gridCol w:w="2152"/>
        <w:gridCol w:w="2153"/>
        <w:gridCol w:w="2153"/>
      </w:tblGrid>
      <w:tr w:rsidR="0097462C" w:rsidRPr="0097462C" w14:paraId="6C9E2E10" w14:textId="77777777" w:rsidTr="0097462C">
        <w:tc>
          <w:tcPr>
            <w:tcW w:w="2211" w:type="dxa"/>
          </w:tcPr>
          <w:p w14:paraId="236E0925" w14:textId="77777777" w:rsidR="0097462C" w:rsidRPr="0097462C" w:rsidRDefault="0097462C" w:rsidP="0097462C">
            <w:pPr>
              <w:pStyle w:val="Brdtekst"/>
              <w:ind w:left="0"/>
              <w:rPr>
                <w:rFonts w:ascii="Times New Roman" w:hAnsi="Times New Roman" w:cs="Times New Roman"/>
                <w:sz w:val="24"/>
                <w:szCs w:val="24"/>
              </w:rPr>
            </w:pPr>
          </w:p>
        </w:tc>
        <w:tc>
          <w:tcPr>
            <w:tcW w:w="6458" w:type="dxa"/>
            <w:gridSpan w:val="3"/>
          </w:tcPr>
          <w:p w14:paraId="4F618E55" w14:textId="77777777" w:rsidR="0097462C" w:rsidRPr="0097462C" w:rsidRDefault="0097462C" w:rsidP="0097462C">
            <w:pPr>
              <w:jc w:val="center"/>
              <w:rPr>
                <w:rFonts w:ascii="Times New Roman" w:hAnsi="Times New Roman" w:cs="Times New Roman"/>
                <w:b/>
                <w:sz w:val="24"/>
                <w:szCs w:val="24"/>
              </w:rPr>
            </w:pPr>
            <w:r w:rsidRPr="0097462C">
              <w:rPr>
                <w:rFonts w:ascii="Times New Roman" w:hAnsi="Times New Roman" w:cs="Times New Roman"/>
                <w:b/>
                <w:sz w:val="24"/>
                <w:szCs w:val="24"/>
              </w:rPr>
              <w:t>Klinisk succes hos pædiatriske patienter med SAB</w:t>
            </w:r>
          </w:p>
        </w:tc>
      </w:tr>
      <w:tr w:rsidR="0097462C" w:rsidRPr="0097462C" w14:paraId="2DD0C91E" w14:textId="77777777" w:rsidTr="0097462C">
        <w:tc>
          <w:tcPr>
            <w:tcW w:w="2211" w:type="dxa"/>
          </w:tcPr>
          <w:p w14:paraId="0B5A1E31" w14:textId="77777777" w:rsidR="0097462C" w:rsidRPr="0097462C" w:rsidRDefault="0097462C" w:rsidP="0097462C">
            <w:pPr>
              <w:pStyle w:val="Brdtekst"/>
              <w:ind w:left="0"/>
              <w:rPr>
                <w:rFonts w:ascii="Times New Roman" w:hAnsi="Times New Roman" w:cs="Times New Roman"/>
                <w:sz w:val="24"/>
                <w:szCs w:val="24"/>
              </w:rPr>
            </w:pPr>
          </w:p>
        </w:tc>
        <w:tc>
          <w:tcPr>
            <w:tcW w:w="2152" w:type="dxa"/>
            <w:vAlign w:val="bottom"/>
          </w:tcPr>
          <w:p w14:paraId="1B44F361" w14:textId="77777777" w:rsidR="0097462C" w:rsidRPr="0097462C" w:rsidRDefault="0097462C" w:rsidP="0097462C">
            <w:pPr>
              <w:jc w:val="center"/>
              <w:rPr>
                <w:rFonts w:ascii="Times New Roman" w:hAnsi="Times New Roman" w:cs="Times New Roman"/>
                <w:b/>
                <w:sz w:val="24"/>
                <w:szCs w:val="24"/>
              </w:rPr>
            </w:pPr>
            <w:r w:rsidRPr="0097462C">
              <w:rPr>
                <w:rFonts w:ascii="Times New Roman" w:hAnsi="Times New Roman" w:cs="Times New Roman"/>
                <w:b/>
                <w:sz w:val="24"/>
                <w:szCs w:val="24"/>
              </w:rPr>
              <w:t>Daptomycin</w:t>
            </w:r>
          </w:p>
          <w:p w14:paraId="3F397ED8" w14:textId="77777777" w:rsidR="0097462C" w:rsidRPr="0097462C" w:rsidRDefault="0097462C" w:rsidP="0097462C">
            <w:pPr>
              <w:jc w:val="center"/>
              <w:rPr>
                <w:rFonts w:ascii="Times New Roman" w:hAnsi="Times New Roman" w:cs="Times New Roman"/>
                <w:b/>
                <w:sz w:val="24"/>
                <w:szCs w:val="24"/>
              </w:rPr>
            </w:pPr>
            <w:r w:rsidRPr="0097462C">
              <w:rPr>
                <w:rFonts w:ascii="Times New Roman" w:hAnsi="Times New Roman" w:cs="Times New Roman"/>
                <w:b/>
                <w:sz w:val="24"/>
                <w:szCs w:val="24"/>
              </w:rPr>
              <w:t>n/N (%)</w:t>
            </w:r>
          </w:p>
        </w:tc>
        <w:tc>
          <w:tcPr>
            <w:tcW w:w="2153" w:type="dxa"/>
            <w:vAlign w:val="bottom"/>
          </w:tcPr>
          <w:p w14:paraId="1BC3FD90" w14:textId="77777777" w:rsidR="0097462C" w:rsidRPr="0097462C" w:rsidRDefault="0097462C" w:rsidP="0097462C">
            <w:pPr>
              <w:jc w:val="center"/>
              <w:rPr>
                <w:rFonts w:ascii="Times New Roman" w:hAnsi="Times New Roman" w:cs="Times New Roman"/>
                <w:b/>
                <w:sz w:val="24"/>
                <w:szCs w:val="24"/>
              </w:rPr>
            </w:pPr>
            <w:r w:rsidRPr="0097462C">
              <w:rPr>
                <w:rFonts w:ascii="Times New Roman" w:hAnsi="Times New Roman" w:cs="Times New Roman"/>
                <w:b/>
                <w:sz w:val="24"/>
                <w:szCs w:val="24"/>
              </w:rPr>
              <w:t>Komparator</w:t>
            </w:r>
          </w:p>
          <w:p w14:paraId="48E32FAA" w14:textId="77777777" w:rsidR="0097462C" w:rsidRPr="0097462C" w:rsidRDefault="0097462C" w:rsidP="0097462C">
            <w:pPr>
              <w:jc w:val="center"/>
              <w:rPr>
                <w:rFonts w:ascii="Times New Roman" w:hAnsi="Times New Roman" w:cs="Times New Roman"/>
                <w:b/>
                <w:sz w:val="24"/>
                <w:szCs w:val="24"/>
              </w:rPr>
            </w:pPr>
            <w:r w:rsidRPr="0097462C">
              <w:rPr>
                <w:rFonts w:ascii="Times New Roman" w:hAnsi="Times New Roman" w:cs="Times New Roman"/>
                <w:b/>
                <w:sz w:val="24"/>
                <w:szCs w:val="24"/>
              </w:rPr>
              <w:t>n/N (%)</w:t>
            </w:r>
          </w:p>
        </w:tc>
        <w:tc>
          <w:tcPr>
            <w:tcW w:w="2153" w:type="dxa"/>
            <w:vAlign w:val="bottom"/>
          </w:tcPr>
          <w:p w14:paraId="4EA868FE" w14:textId="77777777" w:rsidR="0097462C" w:rsidRPr="0097462C" w:rsidRDefault="0097462C" w:rsidP="0097462C">
            <w:pPr>
              <w:jc w:val="center"/>
              <w:rPr>
                <w:rFonts w:ascii="Times New Roman" w:hAnsi="Times New Roman" w:cs="Times New Roman"/>
                <w:b/>
                <w:sz w:val="24"/>
                <w:szCs w:val="24"/>
              </w:rPr>
            </w:pPr>
            <w:r w:rsidRPr="0097462C">
              <w:rPr>
                <w:rFonts w:ascii="Times New Roman" w:hAnsi="Times New Roman" w:cs="Times New Roman"/>
                <w:b/>
                <w:sz w:val="24"/>
                <w:szCs w:val="24"/>
              </w:rPr>
              <w:t>% forskel</w:t>
            </w:r>
          </w:p>
        </w:tc>
      </w:tr>
      <w:tr w:rsidR="0097462C" w:rsidRPr="0097462C" w14:paraId="49B66221" w14:textId="77777777" w:rsidTr="0097462C">
        <w:tc>
          <w:tcPr>
            <w:tcW w:w="2211" w:type="dxa"/>
          </w:tcPr>
          <w:p w14:paraId="3DC04C81" w14:textId="77777777" w:rsidR="0097462C" w:rsidRPr="0097462C" w:rsidRDefault="0097462C" w:rsidP="0097462C">
            <w:pPr>
              <w:rPr>
                <w:rFonts w:ascii="Times New Roman" w:hAnsi="Times New Roman" w:cs="Times New Roman"/>
                <w:sz w:val="24"/>
                <w:szCs w:val="24"/>
                <w:lang w:val="en-US"/>
              </w:rPr>
            </w:pPr>
            <w:r w:rsidRPr="0097462C">
              <w:rPr>
                <w:sz w:val="24"/>
                <w:szCs w:val="24"/>
                <w:lang w:val="en-US"/>
              </w:rPr>
              <w:t xml:space="preserve">Modificeret </w:t>
            </w:r>
            <w:r w:rsidRPr="0097462C">
              <w:rPr>
                <w:i/>
                <w:sz w:val="24"/>
                <w:szCs w:val="24"/>
                <w:lang w:val="en-US"/>
              </w:rPr>
              <w:t>intent-to-treat</w:t>
            </w:r>
            <w:r w:rsidRPr="0097462C">
              <w:rPr>
                <w:sz w:val="24"/>
                <w:szCs w:val="24"/>
                <w:lang w:val="en-US"/>
              </w:rPr>
              <w:t xml:space="preserve"> (MITT)</w:t>
            </w:r>
          </w:p>
        </w:tc>
        <w:tc>
          <w:tcPr>
            <w:tcW w:w="2152" w:type="dxa"/>
            <w:vAlign w:val="bottom"/>
          </w:tcPr>
          <w:p w14:paraId="1543CB14" w14:textId="77777777" w:rsidR="0097462C" w:rsidRPr="0097462C" w:rsidRDefault="0097462C" w:rsidP="0097462C">
            <w:pPr>
              <w:jc w:val="center"/>
              <w:rPr>
                <w:rFonts w:ascii="Times New Roman" w:hAnsi="Times New Roman" w:cs="Times New Roman"/>
                <w:sz w:val="24"/>
                <w:szCs w:val="24"/>
              </w:rPr>
            </w:pPr>
            <w:r w:rsidRPr="0097462C">
              <w:rPr>
                <w:rFonts w:ascii="Times New Roman" w:hAnsi="Times New Roman" w:cs="Times New Roman"/>
                <w:sz w:val="24"/>
                <w:szCs w:val="24"/>
              </w:rPr>
              <w:t>46/52 (88,5 %)</w:t>
            </w:r>
          </w:p>
        </w:tc>
        <w:tc>
          <w:tcPr>
            <w:tcW w:w="2153" w:type="dxa"/>
            <w:vAlign w:val="bottom"/>
          </w:tcPr>
          <w:p w14:paraId="64D28C6A" w14:textId="77777777" w:rsidR="0097462C" w:rsidRPr="0097462C" w:rsidRDefault="0097462C" w:rsidP="0097462C">
            <w:pPr>
              <w:jc w:val="center"/>
              <w:rPr>
                <w:rFonts w:ascii="Times New Roman" w:hAnsi="Times New Roman" w:cs="Times New Roman"/>
                <w:sz w:val="24"/>
                <w:szCs w:val="24"/>
              </w:rPr>
            </w:pPr>
            <w:r w:rsidRPr="0097462C">
              <w:rPr>
                <w:rFonts w:ascii="Times New Roman" w:hAnsi="Times New Roman" w:cs="Times New Roman"/>
                <w:sz w:val="24"/>
                <w:szCs w:val="24"/>
              </w:rPr>
              <w:t>19/24 (79,2 %)</w:t>
            </w:r>
          </w:p>
        </w:tc>
        <w:tc>
          <w:tcPr>
            <w:tcW w:w="2153" w:type="dxa"/>
            <w:vAlign w:val="bottom"/>
          </w:tcPr>
          <w:p w14:paraId="7C61A9A7" w14:textId="77777777" w:rsidR="0097462C" w:rsidRPr="0097462C" w:rsidRDefault="0097462C" w:rsidP="0097462C">
            <w:pPr>
              <w:jc w:val="center"/>
              <w:rPr>
                <w:rFonts w:ascii="Times New Roman" w:hAnsi="Times New Roman" w:cs="Times New Roman"/>
                <w:b/>
                <w:sz w:val="24"/>
                <w:szCs w:val="24"/>
              </w:rPr>
            </w:pPr>
            <w:r w:rsidRPr="0097462C">
              <w:rPr>
                <w:rFonts w:ascii="Times New Roman" w:hAnsi="Times New Roman" w:cs="Times New Roman"/>
                <w:sz w:val="24"/>
                <w:szCs w:val="24"/>
              </w:rPr>
              <w:t>9,3 %</w:t>
            </w:r>
          </w:p>
        </w:tc>
      </w:tr>
      <w:tr w:rsidR="0097462C" w:rsidRPr="0097462C" w14:paraId="45BA73FC" w14:textId="77777777" w:rsidTr="0097462C">
        <w:tc>
          <w:tcPr>
            <w:tcW w:w="2211" w:type="dxa"/>
          </w:tcPr>
          <w:p w14:paraId="74DF6C91"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sz w:val="24"/>
                <w:szCs w:val="24"/>
              </w:rPr>
              <w:t xml:space="preserve">Mikrobiologisk modificeret </w:t>
            </w:r>
            <w:r w:rsidRPr="0097462C">
              <w:rPr>
                <w:rFonts w:ascii="Times New Roman" w:hAnsi="Times New Roman" w:cs="Times New Roman"/>
                <w:i/>
                <w:sz w:val="24"/>
                <w:szCs w:val="24"/>
              </w:rPr>
              <w:t>intent-to-treat</w:t>
            </w:r>
            <w:r w:rsidRPr="0097462C">
              <w:rPr>
                <w:rFonts w:ascii="Times New Roman" w:hAnsi="Times New Roman" w:cs="Times New Roman"/>
                <w:sz w:val="24"/>
                <w:szCs w:val="24"/>
              </w:rPr>
              <w:t xml:space="preserve"> (mMITT)</w:t>
            </w:r>
          </w:p>
        </w:tc>
        <w:tc>
          <w:tcPr>
            <w:tcW w:w="2152" w:type="dxa"/>
            <w:vAlign w:val="bottom"/>
          </w:tcPr>
          <w:p w14:paraId="3A54FC0C" w14:textId="77777777" w:rsidR="0097462C" w:rsidRPr="0097462C" w:rsidRDefault="0097462C" w:rsidP="0097462C">
            <w:pPr>
              <w:jc w:val="center"/>
              <w:rPr>
                <w:rFonts w:ascii="Times New Roman" w:hAnsi="Times New Roman" w:cs="Times New Roman"/>
                <w:sz w:val="24"/>
                <w:szCs w:val="24"/>
              </w:rPr>
            </w:pPr>
            <w:r w:rsidRPr="0097462C">
              <w:rPr>
                <w:rFonts w:ascii="Times New Roman" w:hAnsi="Times New Roman" w:cs="Times New Roman"/>
                <w:sz w:val="24"/>
                <w:szCs w:val="24"/>
              </w:rPr>
              <w:t>45/51 (88,2 %)</w:t>
            </w:r>
          </w:p>
        </w:tc>
        <w:tc>
          <w:tcPr>
            <w:tcW w:w="2153" w:type="dxa"/>
            <w:vAlign w:val="bottom"/>
          </w:tcPr>
          <w:p w14:paraId="69563E7C" w14:textId="77777777" w:rsidR="0097462C" w:rsidRPr="0097462C" w:rsidRDefault="0097462C" w:rsidP="0097462C">
            <w:pPr>
              <w:jc w:val="center"/>
              <w:rPr>
                <w:rFonts w:ascii="Times New Roman" w:hAnsi="Times New Roman" w:cs="Times New Roman"/>
                <w:sz w:val="24"/>
                <w:szCs w:val="24"/>
              </w:rPr>
            </w:pPr>
            <w:r w:rsidRPr="0097462C">
              <w:rPr>
                <w:rFonts w:ascii="Times New Roman" w:hAnsi="Times New Roman" w:cs="Times New Roman"/>
                <w:sz w:val="24"/>
                <w:szCs w:val="24"/>
              </w:rPr>
              <w:t>17/22 (77,3 %)</w:t>
            </w:r>
          </w:p>
        </w:tc>
        <w:tc>
          <w:tcPr>
            <w:tcW w:w="2153" w:type="dxa"/>
            <w:vAlign w:val="bottom"/>
          </w:tcPr>
          <w:p w14:paraId="2CA80AFE" w14:textId="77777777" w:rsidR="0097462C" w:rsidRPr="0097462C" w:rsidRDefault="0097462C" w:rsidP="0097462C">
            <w:pPr>
              <w:jc w:val="center"/>
              <w:rPr>
                <w:rFonts w:ascii="Times New Roman" w:hAnsi="Times New Roman" w:cs="Times New Roman"/>
                <w:sz w:val="24"/>
                <w:szCs w:val="24"/>
              </w:rPr>
            </w:pPr>
            <w:r w:rsidRPr="0097462C">
              <w:rPr>
                <w:rFonts w:ascii="Times New Roman" w:hAnsi="Times New Roman" w:cs="Times New Roman"/>
                <w:sz w:val="24"/>
                <w:szCs w:val="24"/>
              </w:rPr>
              <w:t>11,0 %</w:t>
            </w:r>
          </w:p>
        </w:tc>
      </w:tr>
      <w:tr w:rsidR="0097462C" w:rsidRPr="0097462C" w14:paraId="720ACFFA" w14:textId="77777777" w:rsidTr="0097462C">
        <w:tc>
          <w:tcPr>
            <w:tcW w:w="2211" w:type="dxa"/>
          </w:tcPr>
          <w:p w14:paraId="1D006FDA" w14:textId="77777777" w:rsidR="0097462C" w:rsidRPr="0097462C" w:rsidRDefault="0097462C" w:rsidP="0097462C">
            <w:pPr>
              <w:rPr>
                <w:rFonts w:ascii="Times New Roman" w:hAnsi="Times New Roman" w:cs="Times New Roman"/>
                <w:sz w:val="24"/>
                <w:szCs w:val="24"/>
              </w:rPr>
            </w:pPr>
            <w:r w:rsidRPr="0097462C">
              <w:rPr>
                <w:rFonts w:ascii="Times New Roman" w:hAnsi="Times New Roman" w:cs="Times New Roman"/>
                <w:sz w:val="24"/>
                <w:szCs w:val="24"/>
              </w:rPr>
              <w:t>Klinisk evaluerbar (CE)</w:t>
            </w:r>
          </w:p>
        </w:tc>
        <w:tc>
          <w:tcPr>
            <w:tcW w:w="2152" w:type="dxa"/>
            <w:vAlign w:val="bottom"/>
          </w:tcPr>
          <w:p w14:paraId="34CFC7DA" w14:textId="77777777" w:rsidR="0097462C" w:rsidRPr="0097462C" w:rsidRDefault="0097462C" w:rsidP="0097462C">
            <w:pPr>
              <w:jc w:val="center"/>
              <w:rPr>
                <w:rFonts w:ascii="Times New Roman" w:hAnsi="Times New Roman" w:cs="Times New Roman"/>
                <w:sz w:val="24"/>
                <w:szCs w:val="24"/>
              </w:rPr>
            </w:pPr>
            <w:r w:rsidRPr="0097462C">
              <w:rPr>
                <w:rFonts w:ascii="Times New Roman" w:hAnsi="Times New Roman" w:cs="Times New Roman"/>
                <w:sz w:val="24"/>
                <w:szCs w:val="24"/>
              </w:rPr>
              <w:t>36/40 (90,0 %)</w:t>
            </w:r>
          </w:p>
        </w:tc>
        <w:tc>
          <w:tcPr>
            <w:tcW w:w="2153" w:type="dxa"/>
            <w:vAlign w:val="bottom"/>
          </w:tcPr>
          <w:p w14:paraId="2232BEE1" w14:textId="77777777" w:rsidR="0097462C" w:rsidRPr="0097462C" w:rsidRDefault="0097462C" w:rsidP="0097462C">
            <w:pPr>
              <w:jc w:val="center"/>
              <w:rPr>
                <w:rFonts w:ascii="Times New Roman" w:hAnsi="Times New Roman" w:cs="Times New Roman"/>
                <w:sz w:val="24"/>
                <w:szCs w:val="24"/>
              </w:rPr>
            </w:pPr>
            <w:r w:rsidRPr="0097462C">
              <w:rPr>
                <w:rFonts w:ascii="Times New Roman" w:hAnsi="Times New Roman" w:cs="Times New Roman"/>
                <w:sz w:val="24"/>
                <w:szCs w:val="24"/>
              </w:rPr>
              <w:t>9/12 (75,0 %)</w:t>
            </w:r>
          </w:p>
        </w:tc>
        <w:tc>
          <w:tcPr>
            <w:tcW w:w="2153" w:type="dxa"/>
            <w:vAlign w:val="bottom"/>
          </w:tcPr>
          <w:p w14:paraId="0FD1788F" w14:textId="77777777" w:rsidR="0097462C" w:rsidRPr="0097462C" w:rsidRDefault="0097462C" w:rsidP="0097462C">
            <w:pPr>
              <w:jc w:val="center"/>
              <w:rPr>
                <w:rFonts w:ascii="Times New Roman" w:hAnsi="Times New Roman" w:cs="Times New Roman"/>
                <w:sz w:val="24"/>
                <w:szCs w:val="24"/>
              </w:rPr>
            </w:pPr>
            <w:r w:rsidRPr="0097462C">
              <w:rPr>
                <w:rFonts w:ascii="Times New Roman" w:hAnsi="Times New Roman" w:cs="Times New Roman"/>
                <w:sz w:val="24"/>
                <w:szCs w:val="24"/>
              </w:rPr>
              <w:t>15,0 %</w:t>
            </w:r>
          </w:p>
        </w:tc>
      </w:tr>
    </w:tbl>
    <w:p w14:paraId="23D99558" w14:textId="77777777" w:rsidR="0097462C" w:rsidRPr="0097462C" w:rsidRDefault="0097462C" w:rsidP="0097462C">
      <w:pPr>
        <w:ind w:left="851"/>
        <w:rPr>
          <w:sz w:val="24"/>
          <w:szCs w:val="24"/>
        </w:rPr>
      </w:pPr>
    </w:p>
    <w:p w14:paraId="6D431D9E" w14:textId="77777777" w:rsidR="0097462C" w:rsidRPr="0097462C" w:rsidRDefault="0097462C" w:rsidP="0097462C">
      <w:pPr>
        <w:ind w:left="851"/>
        <w:rPr>
          <w:sz w:val="24"/>
          <w:szCs w:val="24"/>
        </w:rPr>
      </w:pPr>
      <w:r w:rsidRPr="0097462C">
        <w:rPr>
          <w:sz w:val="24"/>
          <w:szCs w:val="24"/>
        </w:rPr>
        <w:t>Det mikrobiologiske udfald af TOC for daptomycin-armen og SOC-armen for infektioner, der er forårsaget af MRSA og MSSA, er vist i tabellen nedenfor (mMITT-population).</w:t>
      </w:r>
    </w:p>
    <w:p w14:paraId="42D42FA2" w14:textId="77777777" w:rsidR="0097462C" w:rsidRPr="0097462C" w:rsidRDefault="0097462C" w:rsidP="0097462C">
      <w:pPr>
        <w:ind w:left="851"/>
        <w:rPr>
          <w:sz w:val="24"/>
          <w:szCs w:val="24"/>
        </w:rPr>
      </w:pPr>
    </w:p>
    <w:tbl>
      <w:tblPr>
        <w:tblStyle w:val="TableNormal1"/>
        <w:tblW w:w="4561"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2619"/>
        <w:gridCol w:w="2620"/>
      </w:tblGrid>
      <w:tr w:rsidR="0097462C" w:rsidRPr="0097462C" w14:paraId="3FF73B83" w14:textId="77777777" w:rsidTr="0097462C">
        <w:tc>
          <w:tcPr>
            <w:tcW w:w="3544" w:type="dxa"/>
            <w:vMerge w:val="restart"/>
            <w:vAlign w:val="center"/>
          </w:tcPr>
          <w:p w14:paraId="61342FCB" w14:textId="77777777" w:rsidR="0097462C" w:rsidRPr="0097462C" w:rsidRDefault="0097462C" w:rsidP="0097462C">
            <w:pPr>
              <w:keepNext/>
              <w:widowControl/>
              <w:jc w:val="center"/>
              <w:rPr>
                <w:b/>
                <w:sz w:val="24"/>
                <w:szCs w:val="24"/>
              </w:rPr>
            </w:pPr>
            <w:r w:rsidRPr="0097462C">
              <w:rPr>
                <w:b/>
                <w:sz w:val="24"/>
                <w:szCs w:val="24"/>
              </w:rPr>
              <w:t>Patogen</w:t>
            </w:r>
          </w:p>
        </w:tc>
        <w:tc>
          <w:tcPr>
            <w:tcW w:w="5239" w:type="dxa"/>
            <w:gridSpan w:val="2"/>
          </w:tcPr>
          <w:p w14:paraId="2A1A65B3" w14:textId="77777777" w:rsidR="0097462C" w:rsidRPr="0097462C" w:rsidRDefault="0097462C" w:rsidP="0097462C">
            <w:pPr>
              <w:jc w:val="center"/>
              <w:rPr>
                <w:b/>
                <w:sz w:val="24"/>
                <w:szCs w:val="24"/>
              </w:rPr>
            </w:pPr>
            <w:r w:rsidRPr="0097462C">
              <w:rPr>
                <w:b/>
                <w:sz w:val="24"/>
                <w:szCs w:val="24"/>
              </w:rPr>
              <w:t>Mikrobiologisk succesrate hos pædiatriske patienter med SAB</w:t>
            </w:r>
          </w:p>
          <w:p w14:paraId="51BC4D88" w14:textId="77777777" w:rsidR="0097462C" w:rsidRPr="0097462C" w:rsidRDefault="0097462C" w:rsidP="0097462C">
            <w:pPr>
              <w:jc w:val="center"/>
              <w:rPr>
                <w:b/>
                <w:sz w:val="24"/>
                <w:szCs w:val="24"/>
              </w:rPr>
            </w:pPr>
            <w:r w:rsidRPr="0097462C">
              <w:rPr>
                <w:b/>
                <w:sz w:val="24"/>
                <w:szCs w:val="24"/>
              </w:rPr>
              <w:t>n/N (%)</w:t>
            </w:r>
          </w:p>
        </w:tc>
      </w:tr>
      <w:tr w:rsidR="0097462C" w:rsidRPr="0097462C" w14:paraId="617CE9EC" w14:textId="77777777" w:rsidTr="0097462C">
        <w:tc>
          <w:tcPr>
            <w:tcW w:w="3544" w:type="dxa"/>
            <w:vMerge/>
          </w:tcPr>
          <w:p w14:paraId="0AB2FA04" w14:textId="77777777" w:rsidR="0097462C" w:rsidRPr="0097462C" w:rsidRDefault="0097462C" w:rsidP="0097462C">
            <w:pPr>
              <w:rPr>
                <w:sz w:val="24"/>
                <w:szCs w:val="24"/>
              </w:rPr>
            </w:pPr>
          </w:p>
        </w:tc>
        <w:tc>
          <w:tcPr>
            <w:tcW w:w="2619" w:type="dxa"/>
            <w:vAlign w:val="center"/>
          </w:tcPr>
          <w:p w14:paraId="0F2E34BC" w14:textId="77777777" w:rsidR="0097462C" w:rsidRPr="0097462C" w:rsidRDefault="0097462C" w:rsidP="0097462C">
            <w:pPr>
              <w:jc w:val="center"/>
              <w:rPr>
                <w:b/>
                <w:sz w:val="24"/>
                <w:szCs w:val="24"/>
              </w:rPr>
            </w:pPr>
            <w:r w:rsidRPr="0097462C">
              <w:rPr>
                <w:b/>
                <w:sz w:val="24"/>
                <w:szCs w:val="24"/>
              </w:rPr>
              <w:t>Daptomycin</w:t>
            </w:r>
          </w:p>
        </w:tc>
        <w:tc>
          <w:tcPr>
            <w:tcW w:w="2620" w:type="dxa"/>
            <w:vAlign w:val="center"/>
          </w:tcPr>
          <w:p w14:paraId="7AA9DC7F" w14:textId="77777777" w:rsidR="0097462C" w:rsidRPr="0097462C" w:rsidRDefault="0097462C" w:rsidP="0097462C">
            <w:pPr>
              <w:jc w:val="center"/>
              <w:rPr>
                <w:b/>
                <w:sz w:val="24"/>
                <w:szCs w:val="24"/>
              </w:rPr>
            </w:pPr>
            <w:r w:rsidRPr="0097462C">
              <w:rPr>
                <w:b/>
                <w:sz w:val="24"/>
                <w:szCs w:val="24"/>
              </w:rPr>
              <w:t>Komparator</w:t>
            </w:r>
          </w:p>
        </w:tc>
      </w:tr>
      <w:tr w:rsidR="0097462C" w:rsidRPr="0097462C" w14:paraId="42B1DA6F" w14:textId="77777777" w:rsidTr="0097462C">
        <w:tc>
          <w:tcPr>
            <w:tcW w:w="3544" w:type="dxa"/>
          </w:tcPr>
          <w:p w14:paraId="1026F142" w14:textId="77777777" w:rsidR="0097462C" w:rsidRPr="0097462C" w:rsidRDefault="0097462C" w:rsidP="0097462C">
            <w:pPr>
              <w:rPr>
                <w:sz w:val="24"/>
                <w:szCs w:val="24"/>
              </w:rPr>
            </w:pPr>
            <w:r w:rsidRPr="0097462C">
              <w:rPr>
                <w:sz w:val="24"/>
                <w:szCs w:val="24"/>
              </w:rPr>
              <w:t xml:space="preserve">Methicillin-modtagelig </w:t>
            </w:r>
            <w:r w:rsidRPr="0097462C">
              <w:rPr>
                <w:i/>
                <w:sz w:val="24"/>
                <w:szCs w:val="24"/>
              </w:rPr>
              <w:t xml:space="preserve">Staphylococcus aureus </w:t>
            </w:r>
            <w:r w:rsidRPr="0097462C">
              <w:rPr>
                <w:sz w:val="24"/>
                <w:szCs w:val="24"/>
              </w:rPr>
              <w:t>(MSSA)</w:t>
            </w:r>
          </w:p>
        </w:tc>
        <w:tc>
          <w:tcPr>
            <w:tcW w:w="2619" w:type="dxa"/>
            <w:vAlign w:val="center"/>
          </w:tcPr>
          <w:p w14:paraId="41022161" w14:textId="77777777" w:rsidR="0097462C" w:rsidRPr="0097462C" w:rsidRDefault="0097462C" w:rsidP="0097462C">
            <w:pPr>
              <w:jc w:val="center"/>
              <w:rPr>
                <w:sz w:val="24"/>
                <w:szCs w:val="24"/>
              </w:rPr>
            </w:pPr>
            <w:r w:rsidRPr="0097462C">
              <w:rPr>
                <w:sz w:val="24"/>
                <w:szCs w:val="24"/>
              </w:rPr>
              <w:t>43/44 (97,7 %)</w:t>
            </w:r>
          </w:p>
        </w:tc>
        <w:tc>
          <w:tcPr>
            <w:tcW w:w="2620" w:type="dxa"/>
            <w:vAlign w:val="center"/>
          </w:tcPr>
          <w:p w14:paraId="09C76D1E" w14:textId="77777777" w:rsidR="0097462C" w:rsidRPr="0097462C" w:rsidRDefault="0097462C" w:rsidP="0097462C">
            <w:pPr>
              <w:jc w:val="center"/>
              <w:rPr>
                <w:sz w:val="24"/>
                <w:szCs w:val="24"/>
              </w:rPr>
            </w:pPr>
            <w:r w:rsidRPr="0097462C">
              <w:rPr>
                <w:sz w:val="24"/>
                <w:szCs w:val="24"/>
              </w:rPr>
              <w:t>19/19 (100,0 %)</w:t>
            </w:r>
          </w:p>
        </w:tc>
      </w:tr>
      <w:tr w:rsidR="0097462C" w:rsidRPr="0097462C" w14:paraId="6C98113D" w14:textId="77777777" w:rsidTr="0097462C">
        <w:tc>
          <w:tcPr>
            <w:tcW w:w="3544" w:type="dxa"/>
          </w:tcPr>
          <w:p w14:paraId="3C15B98E" w14:textId="77777777" w:rsidR="0097462C" w:rsidRPr="0097462C" w:rsidRDefault="0097462C" w:rsidP="0097462C">
            <w:pPr>
              <w:rPr>
                <w:sz w:val="24"/>
                <w:szCs w:val="24"/>
                <w:lang w:val="en-US"/>
              </w:rPr>
            </w:pPr>
            <w:r w:rsidRPr="0097462C">
              <w:rPr>
                <w:sz w:val="24"/>
                <w:szCs w:val="24"/>
                <w:lang w:val="en-US"/>
              </w:rPr>
              <w:t xml:space="preserve">Methicillin-resistent </w:t>
            </w:r>
            <w:r w:rsidRPr="0097462C">
              <w:rPr>
                <w:i/>
                <w:sz w:val="24"/>
                <w:szCs w:val="24"/>
                <w:lang w:val="en-US"/>
              </w:rPr>
              <w:t xml:space="preserve">Staphylococcus aureus </w:t>
            </w:r>
            <w:r w:rsidRPr="0097462C">
              <w:rPr>
                <w:sz w:val="24"/>
                <w:szCs w:val="24"/>
                <w:lang w:val="en-US"/>
              </w:rPr>
              <w:t>(MRSA)</w:t>
            </w:r>
          </w:p>
        </w:tc>
        <w:tc>
          <w:tcPr>
            <w:tcW w:w="2619" w:type="dxa"/>
            <w:vAlign w:val="center"/>
          </w:tcPr>
          <w:p w14:paraId="287C3F46" w14:textId="77777777" w:rsidR="0097462C" w:rsidRPr="0097462C" w:rsidRDefault="0097462C" w:rsidP="0097462C">
            <w:pPr>
              <w:jc w:val="center"/>
              <w:rPr>
                <w:sz w:val="24"/>
                <w:szCs w:val="24"/>
              </w:rPr>
            </w:pPr>
            <w:r w:rsidRPr="0097462C">
              <w:rPr>
                <w:sz w:val="24"/>
                <w:szCs w:val="24"/>
              </w:rPr>
              <w:t>6/7 (85,7 %)</w:t>
            </w:r>
          </w:p>
        </w:tc>
        <w:tc>
          <w:tcPr>
            <w:tcW w:w="2620" w:type="dxa"/>
            <w:vAlign w:val="center"/>
          </w:tcPr>
          <w:p w14:paraId="41942D3B" w14:textId="77777777" w:rsidR="0097462C" w:rsidRPr="0097462C" w:rsidRDefault="0097462C" w:rsidP="0097462C">
            <w:pPr>
              <w:jc w:val="center"/>
              <w:rPr>
                <w:sz w:val="24"/>
                <w:szCs w:val="24"/>
              </w:rPr>
            </w:pPr>
            <w:r w:rsidRPr="0097462C">
              <w:rPr>
                <w:sz w:val="24"/>
                <w:szCs w:val="24"/>
              </w:rPr>
              <w:t>3/3 (100,0 %)</w:t>
            </w:r>
          </w:p>
        </w:tc>
      </w:tr>
    </w:tbl>
    <w:p w14:paraId="20DA4514" w14:textId="77777777" w:rsidR="0097462C" w:rsidRPr="0097462C" w:rsidRDefault="0097462C" w:rsidP="0097462C">
      <w:pPr>
        <w:rPr>
          <w:sz w:val="24"/>
          <w:szCs w:val="24"/>
        </w:rPr>
      </w:pPr>
    </w:p>
    <w:p w14:paraId="7098C3BD" w14:textId="77777777" w:rsidR="00E62E19" w:rsidRPr="00326899" w:rsidRDefault="00E62E19" w:rsidP="00E62E19">
      <w:pPr>
        <w:ind w:left="851" w:hanging="851"/>
        <w:rPr>
          <w:sz w:val="24"/>
          <w:szCs w:val="24"/>
        </w:rPr>
      </w:pPr>
    </w:p>
    <w:p w14:paraId="2F9A21B2" w14:textId="77777777" w:rsidR="0097462C" w:rsidRPr="0097462C" w:rsidRDefault="00E62E19" w:rsidP="0097462C">
      <w:pPr>
        <w:keepNext/>
        <w:ind w:left="851" w:hanging="851"/>
        <w:rPr>
          <w:b/>
          <w:sz w:val="24"/>
          <w:szCs w:val="24"/>
        </w:rPr>
      </w:pPr>
      <w:r w:rsidRPr="00326899">
        <w:rPr>
          <w:b/>
          <w:sz w:val="24"/>
          <w:szCs w:val="24"/>
        </w:rPr>
        <w:t>5.2</w:t>
      </w:r>
      <w:r w:rsidRPr="00326899">
        <w:rPr>
          <w:b/>
          <w:sz w:val="24"/>
          <w:szCs w:val="24"/>
        </w:rPr>
        <w:tab/>
        <w:t>Farmakokinetiske egenskaber</w:t>
      </w:r>
    </w:p>
    <w:p w14:paraId="470B8334" w14:textId="7A8FC38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 xml:space="preserve">Daptomycins farmakokinetik er generelt lineær og uafhængig af tid ved doser på 4 til 12 mg/kg administreret </w:t>
      </w:r>
      <w:r w:rsidR="00104B3C">
        <w:rPr>
          <w:rFonts w:eastAsia="TimesNewRoman"/>
          <w:color w:val="000000"/>
          <w:sz w:val="24"/>
          <w:szCs w:val="24"/>
        </w:rPr>
        <w:t>en</w:t>
      </w:r>
      <w:r w:rsidRPr="0097462C">
        <w:rPr>
          <w:rFonts w:eastAsia="TimesNewRoman"/>
          <w:color w:val="000000"/>
          <w:sz w:val="24"/>
          <w:szCs w:val="24"/>
        </w:rPr>
        <w:t xml:space="preserve"> gang dagligt som intravenøs infusion over 30 minutter i op til 14 dage i raske voksne frivillige. </w:t>
      </w:r>
      <w:r w:rsidRPr="0097462C">
        <w:rPr>
          <w:rFonts w:eastAsia="TimesNewRoman,Bold"/>
          <w:i/>
          <w:iCs/>
          <w:color w:val="000000"/>
          <w:sz w:val="24"/>
          <w:szCs w:val="24"/>
        </w:rPr>
        <w:t>Steady-state</w:t>
      </w:r>
      <w:r w:rsidRPr="0097462C">
        <w:rPr>
          <w:rFonts w:eastAsia="TimesNewRoman"/>
          <w:color w:val="000000"/>
          <w:sz w:val="24"/>
          <w:szCs w:val="24"/>
        </w:rPr>
        <w:t>-koncentrationer opnås ved den tredje daglige dosis.</w:t>
      </w:r>
    </w:p>
    <w:p w14:paraId="1FB53E0E"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071A629A" w14:textId="30B3E7BE"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Administration af daptomycin som en 2 minutters intravenøs injektion viste også dosis-prop</w:t>
      </w:r>
      <w:r w:rsidR="00D246A9">
        <w:rPr>
          <w:rFonts w:eastAsia="TimesNewRoman"/>
          <w:color w:val="000000"/>
          <w:sz w:val="24"/>
          <w:szCs w:val="24"/>
        </w:rPr>
        <w:t>o</w:t>
      </w:r>
      <w:r w:rsidRPr="0097462C">
        <w:rPr>
          <w:rFonts w:eastAsia="TimesNewRoman"/>
          <w:color w:val="000000"/>
          <w:sz w:val="24"/>
          <w:szCs w:val="24"/>
        </w:rPr>
        <w:t>rtionel farmakokinetik i det godkendte doseringsinterval på 4 til 6 mg/kg. Sammenlignelig eksponering (AUC og C</w:t>
      </w:r>
      <w:r w:rsidRPr="0097462C">
        <w:rPr>
          <w:rFonts w:eastAsia="TimesNewRoman"/>
          <w:color w:val="000000"/>
          <w:sz w:val="24"/>
          <w:szCs w:val="24"/>
          <w:vertAlign w:val="subscript"/>
        </w:rPr>
        <w:t>max</w:t>
      </w:r>
      <w:r w:rsidRPr="0097462C">
        <w:rPr>
          <w:rFonts w:eastAsia="TimesNewRoman"/>
          <w:color w:val="000000"/>
          <w:sz w:val="24"/>
          <w:szCs w:val="24"/>
        </w:rPr>
        <w:t>) blev vist i raske voksne frivillige efter administration af daptomycin som 30 minutters infusion eller som 2 minutters intravenøs injektion.</w:t>
      </w:r>
    </w:p>
    <w:p w14:paraId="1A455450"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70C03489"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lastRenderedPageBreak/>
        <w:t>Dyreforsøg viste, at daptomycin ikke absorberes i nogen særlig udstrækning efter oral administration.</w:t>
      </w:r>
    </w:p>
    <w:p w14:paraId="18AC63CF"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287DAF61" w14:textId="77777777" w:rsidR="0097462C" w:rsidRPr="0097462C" w:rsidRDefault="0097462C" w:rsidP="0097462C">
      <w:pPr>
        <w:autoSpaceDE w:val="0"/>
        <w:autoSpaceDN w:val="0"/>
        <w:adjustRightInd w:val="0"/>
        <w:ind w:left="851"/>
        <w:rPr>
          <w:rFonts w:eastAsia="TimesNewRoman"/>
          <w:color w:val="000000"/>
          <w:sz w:val="24"/>
          <w:szCs w:val="24"/>
          <w:u w:val="single"/>
        </w:rPr>
      </w:pPr>
      <w:r w:rsidRPr="0097462C">
        <w:rPr>
          <w:rFonts w:eastAsia="TimesNewRoman"/>
          <w:color w:val="000000"/>
          <w:sz w:val="24"/>
          <w:szCs w:val="24"/>
          <w:u w:val="single"/>
        </w:rPr>
        <w:t>Fordeling</w:t>
      </w:r>
    </w:p>
    <w:p w14:paraId="78BDD209" w14:textId="7F98E08B"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 xml:space="preserve">Daptomycins fordelingsvolumen ved </w:t>
      </w:r>
      <w:r w:rsidR="00D246A9" w:rsidRPr="00E95F9F">
        <w:rPr>
          <w:rFonts w:eastAsia="TimesNewRoman"/>
          <w:color w:val="000000"/>
          <w:szCs w:val="24"/>
        </w:rPr>
        <w:t>steady</w:t>
      </w:r>
      <w:r w:rsidR="00D246A9">
        <w:rPr>
          <w:rFonts w:eastAsia="TimesNewRoman"/>
          <w:color w:val="000000"/>
          <w:szCs w:val="24"/>
        </w:rPr>
        <w:t xml:space="preserve"> </w:t>
      </w:r>
      <w:r w:rsidR="00D246A9" w:rsidRPr="00E95F9F">
        <w:rPr>
          <w:rFonts w:eastAsia="TimesNewRoman"/>
          <w:color w:val="000000"/>
          <w:szCs w:val="24"/>
        </w:rPr>
        <w:t xml:space="preserve">state </w:t>
      </w:r>
      <w:r w:rsidRPr="0097462C">
        <w:rPr>
          <w:rFonts w:eastAsia="TimesNewRoman"/>
          <w:color w:val="000000"/>
          <w:sz w:val="24"/>
          <w:szCs w:val="24"/>
        </w:rPr>
        <w:t>hos raske, voksne personer var ca. 0,1 l/kg og var uafhængig af dosis. Vævsdistributionsforsøg i rotter viste, at daptomycin kun synes at penetrere blod-hjerne-barrieren og placentabarrieren minimalt efter enkelt- og multiple doser.</w:t>
      </w:r>
    </w:p>
    <w:p w14:paraId="252F8D25"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2C46913F"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Daptomycin bindes på en koncentrationsuafhængig måde, reversibelt til humane plasmaproteiner. Hos voksne frivillige og hos voksne patienter, som blev behandlet med daptomycin, var gennemsnitlig proteinbinding ca. 90 % inklusive patienter med nedsat nyrefunktion.</w:t>
      </w:r>
    </w:p>
    <w:p w14:paraId="2A3ED855"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47FE026E" w14:textId="77777777" w:rsidR="0097462C" w:rsidRPr="0097462C" w:rsidRDefault="0097462C" w:rsidP="0097462C">
      <w:pPr>
        <w:autoSpaceDE w:val="0"/>
        <w:autoSpaceDN w:val="0"/>
        <w:adjustRightInd w:val="0"/>
        <w:ind w:left="851"/>
        <w:rPr>
          <w:rFonts w:eastAsia="TimesNewRoman"/>
          <w:color w:val="000000"/>
          <w:sz w:val="24"/>
          <w:szCs w:val="24"/>
          <w:u w:val="single"/>
        </w:rPr>
      </w:pPr>
      <w:r w:rsidRPr="0097462C">
        <w:rPr>
          <w:rFonts w:eastAsia="TimesNewRoman"/>
          <w:color w:val="000000"/>
          <w:sz w:val="24"/>
          <w:szCs w:val="24"/>
          <w:u w:val="single"/>
        </w:rPr>
        <w:t>Biotransformation</w:t>
      </w:r>
    </w:p>
    <w:p w14:paraId="76B00FB9" w14:textId="0EB03E7A"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 xml:space="preserve">I </w:t>
      </w:r>
      <w:r w:rsidRPr="0097462C">
        <w:rPr>
          <w:rFonts w:eastAsia="TimesNewRoman,Bold"/>
          <w:i/>
          <w:iCs/>
          <w:color w:val="000000"/>
          <w:sz w:val="24"/>
          <w:szCs w:val="24"/>
        </w:rPr>
        <w:t>in </w:t>
      </w:r>
      <w:r w:rsidR="00D246A9" w:rsidRPr="00E95F9F">
        <w:rPr>
          <w:rFonts w:eastAsia="TimesNewRoman,Bold"/>
          <w:i/>
          <w:iCs/>
          <w:color w:val="000000"/>
          <w:szCs w:val="24"/>
        </w:rPr>
        <w:t>vitro</w:t>
      </w:r>
      <w:r w:rsidR="00D246A9">
        <w:rPr>
          <w:rFonts w:eastAsia="TimesNewRoman,Bold"/>
          <w:i/>
          <w:iCs/>
          <w:color w:val="000000"/>
          <w:szCs w:val="24"/>
        </w:rPr>
        <w:t xml:space="preserve"> </w:t>
      </w:r>
      <w:r w:rsidR="00D246A9" w:rsidRPr="00E95F9F">
        <w:rPr>
          <w:rFonts w:eastAsia="TimesNewRoman"/>
          <w:color w:val="000000"/>
          <w:szCs w:val="24"/>
        </w:rPr>
        <w:t xml:space="preserve">studier </w:t>
      </w:r>
      <w:r w:rsidRPr="0097462C">
        <w:rPr>
          <w:rFonts w:eastAsia="TimesNewRoman"/>
          <w:color w:val="000000"/>
          <w:sz w:val="24"/>
          <w:szCs w:val="24"/>
        </w:rPr>
        <w:t xml:space="preserve">blev daptomycin ikke metaboliseret af humane levermikrosomer. </w:t>
      </w:r>
      <w:r w:rsidRPr="0097462C">
        <w:rPr>
          <w:rFonts w:eastAsia="TimesNewRoman,Bold"/>
          <w:i/>
          <w:iCs/>
          <w:color w:val="000000"/>
          <w:sz w:val="24"/>
          <w:szCs w:val="24"/>
        </w:rPr>
        <w:t>In vitro-</w:t>
      </w:r>
      <w:r w:rsidRPr="0097462C">
        <w:rPr>
          <w:rFonts w:eastAsia="TimesNewRoman"/>
          <w:color w:val="000000"/>
          <w:sz w:val="24"/>
          <w:szCs w:val="24"/>
        </w:rPr>
        <w:t>studier med humane hepatocytter indikerer, at daptomycin ikke hæmmer eller inducerer aktiviteten af følgende humane CYP-isoformer: 1A2, 2A6, 2C9, 2C19, 2D6, 2E1 og 3A4. Det er ikke sandsynligt, at daptomycin vil hæmme eller inducere metabolismen af lægemidler, der metaboliseres af CYP-systemet.</w:t>
      </w:r>
    </w:p>
    <w:p w14:paraId="5B581D46"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5E67E403"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Efter infusion af 14C-daptomycin hos raske voksne var plasmaradioaktiviteten sammenlignelig med koncentrationen målt ved mikrobiologisk analyse. Inaktive metabolitter blev detekteret i urinen, målt som forskellen i total radioaktiv koncentration og mikrobiologisk aktiv koncentration. I et særskilt studie blev ingen metabolitter detekteret i plasma, og mindre mængder af tre oxidative metabolitter og et uidentificeret stof blev målt i urinen. Det er ikke blevet identificeret, hvor metabolismen finder sted.</w:t>
      </w:r>
    </w:p>
    <w:p w14:paraId="52A34245" w14:textId="77777777" w:rsidR="0097462C" w:rsidRPr="0097462C" w:rsidRDefault="0097462C" w:rsidP="0097462C">
      <w:pPr>
        <w:autoSpaceDE w:val="0"/>
        <w:autoSpaceDN w:val="0"/>
        <w:adjustRightInd w:val="0"/>
        <w:ind w:left="851" w:hanging="851"/>
        <w:rPr>
          <w:rFonts w:eastAsia="TimesNewRoman,Bold"/>
          <w:color w:val="000000"/>
          <w:sz w:val="24"/>
          <w:szCs w:val="24"/>
        </w:rPr>
      </w:pPr>
    </w:p>
    <w:p w14:paraId="5C324295" w14:textId="77777777" w:rsidR="0097462C" w:rsidRPr="0097462C" w:rsidRDefault="0097462C" w:rsidP="0097462C">
      <w:pPr>
        <w:autoSpaceDE w:val="0"/>
        <w:autoSpaceDN w:val="0"/>
        <w:adjustRightInd w:val="0"/>
        <w:ind w:left="851"/>
        <w:rPr>
          <w:rFonts w:eastAsia="TimesNewRoman"/>
          <w:color w:val="000000"/>
          <w:sz w:val="24"/>
          <w:szCs w:val="24"/>
          <w:u w:val="single"/>
        </w:rPr>
      </w:pPr>
      <w:r w:rsidRPr="0097462C">
        <w:rPr>
          <w:rFonts w:eastAsia="TimesNewRoman"/>
          <w:color w:val="000000"/>
          <w:sz w:val="24"/>
          <w:szCs w:val="24"/>
          <w:u w:val="single"/>
        </w:rPr>
        <w:t>Elimination</w:t>
      </w:r>
    </w:p>
    <w:p w14:paraId="0F312F17"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Daptomycin udskilles primært via nyrerne. Samtidig administration af probenecid og daptomycin har ingen effekt på daptomycins farmakokinetik hos mennesker, hvilket tyder på minimal eller ingen tubulær sekretion af daptomycin.</w:t>
      </w:r>
    </w:p>
    <w:p w14:paraId="6CE83A7A"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24185235"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Efter intravenøs administration, er plasma clearance af daptomycin ca. 7 til 9 ml/t/kg og renal clearance er 4 til 7 ml/t/kg.</w:t>
      </w:r>
    </w:p>
    <w:p w14:paraId="541686B5"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7F3AA438"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I en undersøgelse af massebalance med radioaktivt mærket materiale blev 78 % af administreret dosis genfundet i urin, baseret på total radioaktiv mærkning, mens ca. 50 % af dosis blev genfundet i urin som uomdannet daptomycin. Omkring 5 % af det indgivne radioaktivt mærkede materiale blev udskilt i fæces.</w:t>
      </w:r>
    </w:p>
    <w:p w14:paraId="07BAE9B7"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28A4BE37" w14:textId="77777777" w:rsidR="0097462C" w:rsidRPr="0097462C" w:rsidRDefault="0097462C" w:rsidP="0097462C">
      <w:pPr>
        <w:autoSpaceDE w:val="0"/>
        <w:autoSpaceDN w:val="0"/>
        <w:adjustRightInd w:val="0"/>
        <w:ind w:left="851"/>
        <w:rPr>
          <w:rFonts w:eastAsia="TimesNewRoman"/>
          <w:color w:val="000000"/>
          <w:sz w:val="24"/>
          <w:szCs w:val="24"/>
          <w:u w:val="single"/>
        </w:rPr>
      </w:pPr>
      <w:r w:rsidRPr="0097462C">
        <w:rPr>
          <w:rFonts w:eastAsia="TimesNewRoman"/>
          <w:color w:val="000000"/>
          <w:sz w:val="24"/>
          <w:szCs w:val="24"/>
          <w:u w:val="single"/>
        </w:rPr>
        <w:t>Specielle populationer</w:t>
      </w:r>
    </w:p>
    <w:p w14:paraId="53220850" w14:textId="77777777" w:rsidR="0097462C" w:rsidRPr="0097462C" w:rsidRDefault="0097462C" w:rsidP="0097462C">
      <w:pPr>
        <w:autoSpaceDE w:val="0"/>
        <w:autoSpaceDN w:val="0"/>
        <w:adjustRightInd w:val="0"/>
        <w:ind w:left="851" w:hanging="851"/>
        <w:rPr>
          <w:rFonts w:eastAsia="TimesNewRoman,Bold"/>
          <w:i/>
          <w:iCs/>
          <w:color w:val="000000"/>
          <w:sz w:val="24"/>
          <w:szCs w:val="24"/>
        </w:rPr>
      </w:pPr>
    </w:p>
    <w:p w14:paraId="5BA5D813" w14:textId="77777777" w:rsidR="0097462C" w:rsidRPr="0097462C" w:rsidRDefault="0097462C" w:rsidP="0097462C">
      <w:pPr>
        <w:autoSpaceDE w:val="0"/>
        <w:autoSpaceDN w:val="0"/>
        <w:adjustRightInd w:val="0"/>
        <w:ind w:left="851"/>
        <w:rPr>
          <w:rFonts w:eastAsia="TimesNewRoman,Bold"/>
          <w:i/>
          <w:iCs/>
          <w:color w:val="000000"/>
          <w:sz w:val="24"/>
          <w:szCs w:val="24"/>
        </w:rPr>
      </w:pPr>
      <w:r w:rsidRPr="0097462C">
        <w:rPr>
          <w:rFonts w:eastAsia="TimesNewRoman,Bold"/>
          <w:i/>
          <w:iCs/>
          <w:color w:val="000000"/>
          <w:sz w:val="24"/>
          <w:szCs w:val="24"/>
        </w:rPr>
        <w:t>Ældre</w:t>
      </w:r>
    </w:p>
    <w:p w14:paraId="045F4A24"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Efter administration af en enkelt daptomycindosis på 4 mg/kg intravenøst over 30 minutter var middel-total-clearance af daptomycin omkring 35 % lavere, og middel-AUC</w:t>
      </w:r>
      <w:r w:rsidRPr="0097462C">
        <w:rPr>
          <w:rFonts w:eastAsia="TimesNewRoman"/>
          <w:color w:val="000000"/>
          <w:sz w:val="24"/>
          <w:szCs w:val="24"/>
          <w:vertAlign w:val="subscript"/>
        </w:rPr>
        <w:t>0-∞</w:t>
      </w:r>
      <w:r w:rsidRPr="0097462C">
        <w:rPr>
          <w:rFonts w:eastAsia="TimesNewRoman"/>
          <w:color w:val="000000"/>
          <w:sz w:val="24"/>
          <w:szCs w:val="24"/>
        </w:rPr>
        <w:t xml:space="preserve"> var omkring 58 % højere hos ældre personer (≥ 75 år) sammenlignet med raske unge personer (18 til 30 år). Der var ingen forskel i C</w:t>
      </w:r>
      <w:r w:rsidRPr="0097462C">
        <w:rPr>
          <w:rFonts w:eastAsia="TimesNewRoman"/>
          <w:color w:val="000000"/>
          <w:sz w:val="24"/>
          <w:szCs w:val="24"/>
          <w:vertAlign w:val="subscript"/>
        </w:rPr>
        <w:t>max</w:t>
      </w:r>
      <w:r w:rsidRPr="0097462C">
        <w:rPr>
          <w:rFonts w:eastAsia="TimesNewRoman"/>
          <w:color w:val="000000"/>
          <w:sz w:val="24"/>
          <w:szCs w:val="24"/>
        </w:rPr>
        <w:t>-værdier. Forskellene skyldes sandsynligvis den normale nyrefunktionsnedsættelse, der ses i den geriatriske population.</w:t>
      </w:r>
    </w:p>
    <w:p w14:paraId="56ABF682" w14:textId="77777777" w:rsidR="0097462C" w:rsidRPr="0097462C" w:rsidRDefault="0097462C" w:rsidP="0097462C">
      <w:pPr>
        <w:autoSpaceDE w:val="0"/>
        <w:autoSpaceDN w:val="0"/>
        <w:adjustRightInd w:val="0"/>
        <w:ind w:left="851"/>
        <w:rPr>
          <w:rFonts w:eastAsia="TimesNewRoman"/>
          <w:color w:val="000000"/>
          <w:sz w:val="24"/>
          <w:szCs w:val="24"/>
        </w:rPr>
      </w:pPr>
    </w:p>
    <w:p w14:paraId="1E1CB23E"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lastRenderedPageBreak/>
        <w:t>En dosisjustering baseret på alder er ikke nødvendig. Nyrefunktionen bør dog bestemmes og dosis bør reduceres, hvis der er tegn på svært nedsat nyrefunktion.</w:t>
      </w:r>
    </w:p>
    <w:p w14:paraId="4DEEC645" w14:textId="77777777" w:rsidR="0097462C" w:rsidRPr="0097462C" w:rsidRDefault="0097462C" w:rsidP="0097462C">
      <w:pPr>
        <w:autoSpaceDE w:val="0"/>
        <w:autoSpaceDN w:val="0"/>
        <w:adjustRightInd w:val="0"/>
        <w:ind w:left="851" w:hanging="851"/>
        <w:rPr>
          <w:rFonts w:eastAsia="TimesNewRoman,Bold"/>
          <w:i/>
          <w:iCs/>
          <w:color w:val="000000"/>
          <w:sz w:val="24"/>
          <w:szCs w:val="24"/>
        </w:rPr>
      </w:pPr>
    </w:p>
    <w:p w14:paraId="5C39256C" w14:textId="77777777" w:rsidR="0097462C" w:rsidRPr="0097462C" w:rsidRDefault="0097462C" w:rsidP="0097462C">
      <w:pPr>
        <w:autoSpaceDE w:val="0"/>
        <w:autoSpaceDN w:val="0"/>
        <w:adjustRightInd w:val="0"/>
        <w:ind w:left="851"/>
        <w:rPr>
          <w:rFonts w:eastAsia="TimesNewRoman,Bold"/>
          <w:i/>
          <w:iCs/>
          <w:color w:val="000000"/>
          <w:sz w:val="24"/>
          <w:szCs w:val="24"/>
        </w:rPr>
      </w:pPr>
      <w:r w:rsidRPr="0097462C">
        <w:rPr>
          <w:rFonts w:eastAsia="TimesNewRoman,Bold"/>
          <w:i/>
          <w:iCs/>
          <w:color w:val="000000"/>
          <w:sz w:val="24"/>
          <w:szCs w:val="24"/>
        </w:rPr>
        <w:t>Børn og unge (i alderen 1 til 17 år)</w:t>
      </w:r>
    </w:p>
    <w:p w14:paraId="175D90B4" w14:textId="77777777" w:rsidR="0097462C" w:rsidRPr="0097462C" w:rsidRDefault="0097462C" w:rsidP="0097462C">
      <w:pPr>
        <w:ind w:left="851"/>
        <w:rPr>
          <w:sz w:val="24"/>
          <w:szCs w:val="24"/>
        </w:rPr>
      </w:pPr>
      <w:r w:rsidRPr="0097462C">
        <w:rPr>
          <w:sz w:val="24"/>
          <w:szCs w:val="24"/>
        </w:rPr>
        <w:t>Daptomycins farmakokinetik hos pædiatriske patienter blev vurderet i 3 farmakokinetiske enkeltdosisstudier. Efter en enkelt 4 mg/kg dosis daptomycin var total-</w:t>
      </w:r>
      <w:r w:rsidRPr="0097462C">
        <w:rPr>
          <w:i/>
          <w:sz w:val="24"/>
          <w:szCs w:val="24"/>
        </w:rPr>
        <w:t xml:space="preserve">clearance </w:t>
      </w:r>
      <w:r w:rsidRPr="0097462C">
        <w:rPr>
          <w:sz w:val="24"/>
          <w:szCs w:val="24"/>
        </w:rPr>
        <w:t>normaliseret efter vægt og eliminationshalveringstid for daptomycin hos unge (12-17 år) med grampositiv infektion sammenlignelig med den hos voksne. Efter en enkelt 4 mg/kg dosis daptomycin var total-</w:t>
      </w:r>
      <w:r w:rsidRPr="0097462C">
        <w:rPr>
          <w:i/>
          <w:sz w:val="24"/>
          <w:szCs w:val="24"/>
        </w:rPr>
        <w:t xml:space="preserve">clearance </w:t>
      </w:r>
      <w:r w:rsidRPr="0097462C">
        <w:rPr>
          <w:sz w:val="24"/>
          <w:szCs w:val="24"/>
        </w:rPr>
        <w:t>for daptomycin hos børn i alderen 7-11 år med grampositiv infektion højere end den hos unge, hvorimod eliminationshalveringstiden var kortere. Efter en enkelt 4, 8 eller 10 mg/kg dosis daptomycin var total-</w:t>
      </w:r>
      <w:r w:rsidRPr="0097462C">
        <w:rPr>
          <w:i/>
          <w:sz w:val="24"/>
          <w:szCs w:val="24"/>
        </w:rPr>
        <w:t xml:space="preserve">clearance </w:t>
      </w:r>
      <w:r w:rsidRPr="0097462C">
        <w:rPr>
          <w:sz w:val="24"/>
          <w:szCs w:val="24"/>
        </w:rPr>
        <w:t>og eliminationshalveringstid for daptomycin hos børn i alderen 2-6 år sammenlignelige ved forskellige doser. Total-</w:t>
      </w:r>
      <w:r w:rsidRPr="0097462C">
        <w:rPr>
          <w:i/>
          <w:sz w:val="24"/>
          <w:szCs w:val="24"/>
        </w:rPr>
        <w:t xml:space="preserve">clearance </w:t>
      </w:r>
      <w:r w:rsidRPr="0097462C">
        <w:rPr>
          <w:sz w:val="24"/>
          <w:szCs w:val="24"/>
        </w:rPr>
        <w:t xml:space="preserve">var højere og eliminationshalveringstiden var kortere end hos unge. Efter en enkelt 6 mg/kg dosis daptomycin var </w:t>
      </w:r>
      <w:r w:rsidRPr="0097462C">
        <w:rPr>
          <w:i/>
          <w:sz w:val="24"/>
          <w:szCs w:val="24"/>
        </w:rPr>
        <w:t xml:space="preserve">clearance </w:t>
      </w:r>
      <w:r w:rsidRPr="0097462C">
        <w:rPr>
          <w:sz w:val="24"/>
          <w:szCs w:val="24"/>
        </w:rPr>
        <w:t>og eliminationshalveringstid for daptomycin hos børn i alderen 13-24 måneder sammenlignelig med dem hos børn i alderen 2-6 år, som fik en enkelt 4-10 mg/kg dosis. Resultaterne fra disse studier viste, at eksponeringen (AUC) hos pædiatriske patienter på tværs af alle doser generelt lå lavere end eksponeringen hos voksne ved sammenlignelige doser.</w:t>
      </w:r>
    </w:p>
    <w:p w14:paraId="7B851584" w14:textId="77777777" w:rsidR="0097462C" w:rsidRPr="0097462C" w:rsidRDefault="0097462C" w:rsidP="0097462C">
      <w:pPr>
        <w:ind w:left="851"/>
        <w:rPr>
          <w:sz w:val="24"/>
          <w:szCs w:val="24"/>
        </w:rPr>
      </w:pPr>
    </w:p>
    <w:p w14:paraId="3B9757C6" w14:textId="77777777" w:rsidR="0097462C" w:rsidRPr="0097462C" w:rsidRDefault="0097462C" w:rsidP="0097462C">
      <w:pPr>
        <w:keepNext/>
        <w:ind w:left="851"/>
        <w:rPr>
          <w:sz w:val="24"/>
          <w:szCs w:val="24"/>
        </w:rPr>
      </w:pPr>
      <w:r w:rsidRPr="0097462C">
        <w:rPr>
          <w:i/>
          <w:sz w:val="24"/>
          <w:szCs w:val="24"/>
        </w:rPr>
        <w:t>Pædiatriske patienter med cSSTI</w:t>
      </w:r>
    </w:p>
    <w:p w14:paraId="380F1348" w14:textId="3FADAD77" w:rsidR="0097462C" w:rsidRPr="0097462C" w:rsidRDefault="0097462C" w:rsidP="0097462C">
      <w:pPr>
        <w:ind w:left="851"/>
        <w:rPr>
          <w:sz w:val="24"/>
          <w:szCs w:val="24"/>
        </w:rPr>
      </w:pPr>
      <w:r w:rsidRPr="0097462C">
        <w:rPr>
          <w:rFonts w:eastAsia="TimesNewRoman"/>
          <w:color w:val="000000"/>
          <w:sz w:val="24"/>
          <w:szCs w:val="24"/>
        </w:rPr>
        <w:t xml:space="preserve">Et fase 4-studie </w:t>
      </w:r>
      <w:r w:rsidRPr="0097462C">
        <w:rPr>
          <w:sz w:val="24"/>
          <w:szCs w:val="24"/>
        </w:rPr>
        <w:t xml:space="preserve">(DAP-PEDS-07-03) </w:t>
      </w:r>
      <w:r w:rsidRPr="0097462C">
        <w:rPr>
          <w:rFonts w:eastAsia="TimesNewRoman"/>
          <w:color w:val="000000"/>
          <w:sz w:val="24"/>
          <w:szCs w:val="24"/>
        </w:rPr>
        <w:t xml:space="preserve">blev udført for at vurdere daptomycins sikkerhed, virkning og farmakokinetik hos pædiatriske patienter (1 til 17 år, inklusive) med cSSTI forårsaget af grampositive patogener. </w:t>
      </w:r>
      <w:r w:rsidRPr="0097462C">
        <w:rPr>
          <w:sz w:val="24"/>
          <w:szCs w:val="24"/>
        </w:rPr>
        <w:t>Daptomycins farmakokinetik hos patienter i dette studie er opsummeret</w:t>
      </w:r>
      <w:r w:rsidRPr="0097462C" w:rsidDel="00B423CC">
        <w:rPr>
          <w:rFonts w:eastAsia="TimesNewRoman"/>
          <w:color w:val="000000"/>
          <w:sz w:val="24"/>
          <w:szCs w:val="24"/>
        </w:rPr>
        <w:t xml:space="preserve"> </w:t>
      </w:r>
      <w:r w:rsidRPr="0097462C">
        <w:rPr>
          <w:rFonts w:eastAsia="TimesNewRoman"/>
          <w:color w:val="000000"/>
          <w:sz w:val="24"/>
          <w:szCs w:val="24"/>
        </w:rPr>
        <w:t xml:space="preserve">i tabel 2. Efter administration af flere doser var eksponeringen for daptomycin sammenlignelig på tværs af forskellige aldersgrupper efter dosisjustering på basis af kropsvægt og alder. </w:t>
      </w:r>
      <w:r w:rsidRPr="0097462C">
        <w:rPr>
          <w:sz w:val="24"/>
          <w:szCs w:val="24"/>
        </w:rPr>
        <w:t>Plasmaeksponeringen, som blev opnået med disse doser, var konsistent</w:t>
      </w:r>
      <w:r w:rsidRPr="0097462C">
        <w:rPr>
          <w:rFonts w:eastAsia="TimesNewRoman"/>
          <w:color w:val="000000"/>
          <w:sz w:val="24"/>
          <w:szCs w:val="24"/>
        </w:rPr>
        <w:t xml:space="preserve"> med </w:t>
      </w:r>
      <w:r w:rsidRPr="0097462C">
        <w:rPr>
          <w:sz w:val="24"/>
          <w:szCs w:val="24"/>
        </w:rPr>
        <w:t xml:space="preserve">plasmaeksponeringen, som blev opnået </w:t>
      </w:r>
      <w:r w:rsidRPr="0097462C">
        <w:rPr>
          <w:rFonts w:eastAsia="TimesNewRoman"/>
          <w:color w:val="000000"/>
          <w:sz w:val="24"/>
          <w:szCs w:val="24"/>
        </w:rPr>
        <w:t xml:space="preserve">i cSSTI-studiet med voksne </w:t>
      </w:r>
      <w:r w:rsidRPr="0097462C">
        <w:rPr>
          <w:sz w:val="24"/>
          <w:szCs w:val="24"/>
        </w:rPr>
        <w:t xml:space="preserve">(efter en dosis på 4 mg/kg </w:t>
      </w:r>
      <w:r w:rsidR="00104B3C">
        <w:rPr>
          <w:sz w:val="24"/>
          <w:szCs w:val="24"/>
        </w:rPr>
        <w:t>en</w:t>
      </w:r>
      <w:r w:rsidRPr="0097462C">
        <w:rPr>
          <w:sz w:val="24"/>
          <w:szCs w:val="24"/>
        </w:rPr>
        <w:t xml:space="preserve"> gang dagligt hos voksne).</w:t>
      </w:r>
    </w:p>
    <w:p w14:paraId="35638E85" w14:textId="77777777" w:rsidR="0097462C" w:rsidRPr="0097462C" w:rsidRDefault="0097462C" w:rsidP="0097462C">
      <w:pPr>
        <w:ind w:left="851"/>
        <w:rPr>
          <w:sz w:val="24"/>
          <w:szCs w:val="24"/>
        </w:rPr>
      </w:pPr>
    </w:p>
    <w:p w14:paraId="475F443B" w14:textId="77777777" w:rsidR="0097462C" w:rsidRPr="0097462C" w:rsidRDefault="0097462C" w:rsidP="0097462C">
      <w:pPr>
        <w:keepNext/>
        <w:ind w:left="1985" w:hanging="1134"/>
        <w:rPr>
          <w:sz w:val="24"/>
          <w:szCs w:val="24"/>
        </w:rPr>
      </w:pPr>
      <w:r w:rsidRPr="0097462C">
        <w:rPr>
          <w:sz w:val="24"/>
          <w:szCs w:val="24"/>
        </w:rPr>
        <w:t>Tabel 2</w:t>
      </w:r>
      <w:r w:rsidRPr="0097462C">
        <w:rPr>
          <w:sz w:val="24"/>
          <w:szCs w:val="24"/>
        </w:rPr>
        <w:tab/>
        <w:t>Den gennemsnitlige (standardafvigelse) farmakokinetik for daptomycin hos pædiatriske patienter med cSSTI (1 til 17 år) i studiet DAP-PEDS-07-03</w:t>
      </w:r>
    </w:p>
    <w:p w14:paraId="2CC962F4" w14:textId="77777777" w:rsidR="0097462C" w:rsidRPr="0097462C" w:rsidRDefault="0097462C" w:rsidP="0097462C">
      <w:pPr>
        <w:keepNext/>
        <w:ind w:left="1985" w:hanging="1134"/>
        <w:rPr>
          <w:sz w:val="24"/>
          <w:szCs w:val="24"/>
        </w:rPr>
      </w:pPr>
    </w:p>
    <w:tbl>
      <w:tblPr>
        <w:tblStyle w:val="TableNormal1"/>
        <w:tblW w:w="5000" w:type="pct"/>
        <w:tblInd w:w="851" w:type="dxa"/>
        <w:tblLayout w:type="fixed"/>
        <w:tblLook w:val="01E0" w:firstRow="1" w:lastRow="1" w:firstColumn="1" w:lastColumn="1" w:noHBand="0" w:noVBand="0"/>
      </w:tblPr>
      <w:tblGrid>
        <w:gridCol w:w="2758"/>
        <w:gridCol w:w="1717"/>
        <w:gridCol w:w="1717"/>
        <w:gridCol w:w="1717"/>
        <w:gridCol w:w="1717"/>
      </w:tblGrid>
      <w:tr w:rsidR="0097462C" w:rsidRPr="0097462C" w14:paraId="52B77F5B" w14:textId="77777777" w:rsidTr="0097462C">
        <w:tc>
          <w:tcPr>
            <w:tcW w:w="2758" w:type="dxa"/>
            <w:tcBorders>
              <w:top w:val="single" w:sz="5" w:space="0" w:color="000000"/>
              <w:left w:val="single" w:sz="5" w:space="0" w:color="000000"/>
              <w:bottom w:val="single" w:sz="5" w:space="0" w:color="000000"/>
              <w:right w:val="single" w:sz="5" w:space="0" w:color="000000"/>
            </w:tcBorders>
            <w:vAlign w:val="center"/>
          </w:tcPr>
          <w:p w14:paraId="44E5E41C" w14:textId="77777777" w:rsidR="0097462C" w:rsidRPr="0097462C" w:rsidRDefault="0097462C" w:rsidP="0097462C">
            <w:pPr>
              <w:jc w:val="center"/>
              <w:rPr>
                <w:b/>
                <w:sz w:val="24"/>
                <w:szCs w:val="24"/>
              </w:rPr>
            </w:pPr>
            <w:r w:rsidRPr="0097462C">
              <w:rPr>
                <w:b/>
                <w:sz w:val="24"/>
                <w:szCs w:val="24"/>
              </w:rPr>
              <w:t>Aldersklasse</w:t>
            </w:r>
          </w:p>
        </w:tc>
        <w:tc>
          <w:tcPr>
            <w:tcW w:w="1717" w:type="dxa"/>
            <w:tcBorders>
              <w:top w:val="single" w:sz="5" w:space="0" w:color="000000"/>
              <w:left w:val="single" w:sz="5" w:space="0" w:color="000000"/>
              <w:bottom w:val="single" w:sz="5" w:space="0" w:color="000000"/>
              <w:right w:val="single" w:sz="5" w:space="0" w:color="000000"/>
            </w:tcBorders>
            <w:vAlign w:val="center"/>
          </w:tcPr>
          <w:p w14:paraId="426CEC39" w14:textId="77777777" w:rsidR="0097462C" w:rsidRPr="0097462C" w:rsidRDefault="0097462C" w:rsidP="0097462C">
            <w:pPr>
              <w:jc w:val="center"/>
              <w:rPr>
                <w:b/>
                <w:sz w:val="24"/>
                <w:szCs w:val="24"/>
              </w:rPr>
            </w:pPr>
            <w:r w:rsidRPr="0097462C">
              <w:rPr>
                <w:b/>
                <w:sz w:val="24"/>
                <w:szCs w:val="24"/>
              </w:rPr>
              <w:t>12-17 år</w:t>
            </w:r>
          </w:p>
          <w:p w14:paraId="67AF2FAE" w14:textId="77777777" w:rsidR="0097462C" w:rsidRPr="0097462C" w:rsidRDefault="0097462C" w:rsidP="0097462C">
            <w:pPr>
              <w:jc w:val="center"/>
              <w:rPr>
                <w:b/>
                <w:sz w:val="24"/>
                <w:szCs w:val="24"/>
              </w:rPr>
            </w:pPr>
            <w:r w:rsidRPr="0097462C">
              <w:rPr>
                <w:b/>
                <w:sz w:val="24"/>
                <w:szCs w:val="24"/>
              </w:rPr>
              <w:t>(N = 6)</w:t>
            </w:r>
          </w:p>
        </w:tc>
        <w:tc>
          <w:tcPr>
            <w:tcW w:w="1717" w:type="dxa"/>
            <w:tcBorders>
              <w:top w:val="single" w:sz="5" w:space="0" w:color="000000"/>
              <w:left w:val="single" w:sz="5" w:space="0" w:color="000000"/>
              <w:bottom w:val="single" w:sz="5" w:space="0" w:color="000000"/>
              <w:right w:val="single" w:sz="5" w:space="0" w:color="000000"/>
            </w:tcBorders>
            <w:vAlign w:val="center"/>
          </w:tcPr>
          <w:p w14:paraId="46C51268" w14:textId="77777777" w:rsidR="0097462C" w:rsidRPr="0097462C" w:rsidRDefault="0097462C" w:rsidP="0097462C">
            <w:pPr>
              <w:jc w:val="center"/>
              <w:rPr>
                <w:b/>
                <w:sz w:val="24"/>
                <w:szCs w:val="24"/>
              </w:rPr>
            </w:pPr>
            <w:r w:rsidRPr="0097462C">
              <w:rPr>
                <w:b/>
                <w:sz w:val="24"/>
                <w:szCs w:val="24"/>
              </w:rPr>
              <w:t>7-11 år</w:t>
            </w:r>
          </w:p>
          <w:p w14:paraId="116004B6" w14:textId="77777777" w:rsidR="0097462C" w:rsidRPr="0097462C" w:rsidRDefault="0097462C" w:rsidP="0097462C">
            <w:pPr>
              <w:jc w:val="center"/>
              <w:rPr>
                <w:b/>
                <w:sz w:val="24"/>
                <w:szCs w:val="24"/>
              </w:rPr>
            </w:pPr>
            <w:r w:rsidRPr="0097462C">
              <w:rPr>
                <w:b/>
                <w:sz w:val="24"/>
                <w:szCs w:val="24"/>
              </w:rPr>
              <w:t>(N = </w:t>
            </w:r>
            <w:proofErr w:type="gramStart"/>
            <w:r w:rsidRPr="0097462C">
              <w:rPr>
                <w:b/>
                <w:sz w:val="24"/>
                <w:szCs w:val="24"/>
              </w:rPr>
              <w:t>2)</w:t>
            </w:r>
            <w:r w:rsidRPr="0097462C">
              <w:rPr>
                <w:b/>
                <w:sz w:val="24"/>
                <w:szCs w:val="24"/>
                <w:vertAlign w:val="superscript"/>
              </w:rPr>
              <w:t>a</w:t>
            </w:r>
            <w:proofErr w:type="gramEnd"/>
          </w:p>
        </w:tc>
        <w:tc>
          <w:tcPr>
            <w:tcW w:w="1717" w:type="dxa"/>
            <w:tcBorders>
              <w:top w:val="single" w:sz="5" w:space="0" w:color="000000"/>
              <w:left w:val="single" w:sz="5" w:space="0" w:color="000000"/>
              <w:bottom w:val="single" w:sz="5" w:space="0" w:color="000000"/>
              <w:right w:val="single" w:sz="5" w:space="0" w:color="000000"/>
            </w:tcBorders>
            <w:vAlign w:val="center"/>
          </w:tcPr>
          <w:p w14:paraId="2BA1874B" w14:textId="77777777" w:rsidR="0097462C" w:rsidRPr="0097462C" w:rsidRDefault="0097462C" w:rsidP="0097462C">
            <w:pPr>
              <w:jc w:val="center"/>
              <w:rPr>
                <w:b/>
                <w:sz w:val="24"/>
                <w:szCs w:val="24"/>
              </w:rPr>
            </w:pPr>
            <w:r w:rsidRPr="0097462C">
              <w:rPr>
                <w:b/>
                <w:sz w:val="24"/>
                <w:szCs w:val="24"/>
              </w:rPr>
              <w:t>2-6 år</w:t>
            </w:r>
          </w:p>
          <w:p w14:paraId="6ED02587" w14:textId="77777777" w:rsidR="0097462C" w:rsidRPr="0097462C" w:rsidRDefault="0097462C" w:rsidP="0097462C">
            <w:pPr>
              <w:jc w:val="center"/>
              <w:rPr>
                <w:b/>
                <w:sz w:val="24"/>
                <w:szCs w:val="24"/>
              </w:rPr>
            </w:pPr>
            <w:r w:rsidRPr="0097462C">
              <w:rPr>
                <w:b/>
                <w:sz w:val="24"/>
                <w:szCs w:val="24"/>
              </w:rPr>
              <w:t>(N = 7)</w:t>
            </w:r>
          </w:p>
        </w:tc>
        <w:tc>
          <w:tcPr>
            <w:tcW w:w="1717" w:type="dxa"/>
            <w:tcBorders>
              <w:top w:val="single" w:sz="5" w:space="0" w:color="000000"/>
              <w:left w:val="single" w:sz="5" w:space="0" w:color="000000"/>
              <w:bottom w:val="single" w:sz="5" w:space="0" w:color="000000"/>
              <w:right w:val="single" w:sz="5" w:space="0" w:color="000000"/>
            </w:tcBorders>
            <w:vAlign w:val="center"/>
          </w:tcPr>
          <w:p w14:paraId="423CB1B7" w14:textId="77777777" w:rsidR="0097462C" w:rsidRPr="0097462C" w:rsidRDefault="0097462C" w:rsidP="0097462C">
            <w:pPr>
              <w:jc w:val="center"/>
              <w:rPr>
                <w:b/>
                <w:sz w:val="24"/>
                <w:szCs w:val="24"/>
              </w:rPr>
            </w:pPr>
            <w:r w:rsidRPr="0097462C">
              <w:rPr>
                <w:b/>
                <w:sz w:val="24"/>
                <w:szCs w:val="24"/>
              </w:rPr>
              <w:t>1 til &lt; 2 år</w:t>
            </w:r>
          </w:p>
          <w:p w14:paraId="2D7A951F" w14:textId="77777777" w:rsidR="0097462C" w:rsidRPr="0097462C" w:rsidRDefault="0097462C" w:rsidP="0097462C">
            <w:pPr>
              <w:jc w:val="center"/>
              <w:rPr>
                <w:b/>
                <w:sz w:val="24"/>
                <w:szCs w:val="24"/>
              </w:rPr>
            </w:pPr>
            <w:r w:rsidRPr="0097462C">
              <w:rPr>
                <w:b/>
                <w:sz w:val="24"/>
                <w:szCs w:val="24"/>
              </w:rPr>
              <w:t>(N = </w:t>
            </w:r>
            <w:proofErr w:type="gramStart"/>
            <w:r w:rsidRPr="0097462C">
              <w:rPr>
                <w:b/>
                <w:sz w:val="24"/>
                <w:szCs w:val="24"/>
              </w:rPr>
              <w:t>30)</w:t>
            </w:r>
            <w:r w:rsidRPr="0097462C">
              <w:rPr>
                <w:b/>
                <w:sz w:val="24"/>
                <w:szCs w:val="24"/>
                <w:vertAlign w:val="superscript"/>
              </w:rPr>
              <w:t>b</w:t>
            </w:r>
            <w:proofErr w:type="gramEnd"/>
          </w:p>
        </w:tc>
      </w:tr>
      <w:tr w:rsidR="0097462C" w:rsidRPr="0097462C" w14:paraId="38E9B5C6" w14:textId="77777777" w:rsidTr="0097462C">
        <w:tc>
          <w:tcPr>
            <w:tcW w:w="2758" w:type="dxa"/>
            <w:tcBorders>
              <w:top w:val="single" w:sz="5" w:space="0" w:color="000000"/>
              <w:left w:val="single" w:sz="5" w:space="0" w:color="000000"/>
              <w:bottom w:val="single" w:sz="5" w:space="0" w:color="000000"/>
              <w:right w:val="single" w:sz="5" w:space="0" w:color="000000"/>
            </w:tcBorders>
            <w:vAlign w:val="center"/>
          </w:tcPr>
          <w:p w14:paraId="649DAFA1" w14:textId="77777777" w:rsidR="0097462C" w:rsidRPr="0097462C" w:rsidRDefault="0097462C" w:rsidP="0097462C">
            <w:pPr>
              <w:jc w:val="center"/>
              <w:rPr>
                <w:sz w:val="24"/>
                <w:szCs w:val="24"/>
              </w:rPr>
            </w:pPr>
            <w:r w:rsidRPr="0097462C">
              <w:rPr>
                <w:sz w:val="24"/>
                <w:szCs w:val="24"/>
              </w:rPr>
              <w:t xml:space="preserve">Dosis </w:t>
            </w:r>
          </w:p>
          <w:p w14:paraId="1067B112" w14:textId="77777777" w:rsidR="0097462C" w:rsidRPr="0097462C" w:rsidRDefault="0097462C" w:rsidP="0097462C">
            <w:pPr>
              <w:jc w:val="center"/>
              <w:rPr>
                <w:sz w:val="24"/>
                <w:szCs w:val="24"/>
              </w:rPr>
            </w:pPr>
            <w:r w:rsidRPr="0097462C">
              <w:rPr>
                <w:sz w:val="24"/>
                <w:szCs w:val="24"/>
              </w:rPr>
              <w:t>Infusionstid</w:t>
            </w:r>
          </w:p>
        </w:tc>
        <w:tc>
          <w:tcPr>
            <w:tcW w:w="1717" w:type="dxa"/>
            <w:tcBorders>
              <w:top w:val="single" w:sz="5" w:space="0" w:color="000000"/>
              <w:left w:val="single" w:sz="5" w:space="0" w:color="000000"/>
              <w:bottom w:val="single" w:sz="5" w:space="0" w:color="000000"/>
              <w:right w:val="single" w:sz="5" w:space="0" w:color="000000"/>
            </w:tcBorders>
            <w:vAlign w:val="center"/>
          </w:tcPr>
          <w:p w14:paraId="7500C37F" w14:textId="77777777" w:rsidR="0097462C" w:rsidRPr="0097462C" w:rsidRDefault="0097462C" w:rsidP="0097462C">
            <w:pPr>
              <w:jc w:val="center"/>
              <w:rPr>
                <w:sz w:val="24"/>
                <w:szCs w:val="24"/>
              </w:rPr>
            </w:pPr>
            <w:r w:rsidRPr="0097462C">
              <w:rPr>
                <w:sz w:val="24"/>
                <w:szCs w:val="24"/>
              </w:rPr>
              <w:t>5 mg/kg</w:t>
            </w:r>
          </w:p>
          <w:p w14:paraId="3958D5AD" w14:textId="77777777" w:rsidR="0097462C" w:rsidRPr="0097462C" w:rsidRDefault="0097462C" w:rsidP="0097462C">
            <w:pPr>
              <w:jc w:val="center"/>
              <w:rPr>
                <w:sz w:val="24"/>
                <w:szCs w:val="24"/>
              </w:rPr>
            </w:pPr>
            <w:r w:rsidRPr="0097462C">
              <w:rPr>
                <w:sz w:val="24"/>
                <w:szCs w:val="24"/>
              </w:rPr>
              <w:t>30 minutter</w:t>
            </w:r>
          </w:p>
        </w:tc>
        <w:tc>
          <w:tcPr>
            <w:tcW w:w="1717" w:type="dxa"/>
            <w:tcBorders>
              <w:top w:val="single" w:sz="5" w:space="0" w:color="000000"/>
              <w:left w:val="single" w:sz="5" w:space="0" w:color="000000"/>
              <w:bottom w:val="single" w:sz="5" w:space="0" w:color="000000"/>
              <w:right w:val="single" w:sz="5" w:space="0" w:color="000000"/>
            </w:tcBorders>
            <w:vAlign w:val="center"/>
          </w:tcPr>
          <w:p w14:paraId="200A0F1D" w14:textId="77777777" w:rsidR="0097462C" w:rsidRPr="0097462C" w:rsidRDefault="0097462C" w:rsidP="0097462C">
            <w:pPr>
              <w:jc w:val="center"/>
              <w:rPr>
                <w:sz w:val="24"/>
                <w:szCs w:val="24"/>
              </w:rPr>
            </w:pPr>
            <w:r w:rsidRPr="0097462C">
              <w:rPr>
                <w:sz w:val="24"/>
                <w:szCs w:val="24"/>
              </w:rPr>
              <w:t>7 mg/kg</w:t>
            </w:r>
          </w:p>
          <w:p w14:paraId="3CF28707" w14:textId="77777777" w:rsidR="0097462C" w:rsidRPr="0097462C" w:rsidRDefault="0097462C" w:rsidP="0097462C">
            <w:pPr>
              <w:jc w:val="center"/>
              <w:rPr>
                <w:sz w:val="24"/>
                <w:szCs w:val="24"/>
              </w:rPr>
            </w:pPr>
            <w:r w:rsidRPr="0097462C">
              <w:rPr>
                <w:sz w:val="24"/>
                <w:szCs w:val="24"/>
              </w:rPr>
              <w:t>30 minutter</w:t>
            </w:r>
          </w:p>
        </w:tc>
        <w:tc>
          <w:tcPr>
            <w:tcW w:w="1717" w:type="dxa"/>
            <w:tcBorders>
              <w:top w:val="single" w:sz="5" w:space="0" w:color="000000"/>
              <w:left w:val="single" w:sz="5" w:space="0" w:color="000000"/>
              <w:bottom w:val="single" w:sz="5" w:space="0" w:color="000000"/>
              <w:right w:val="single" w:sz="5" w:space="0" w:color="000000"/>
            </w:tcBorders>
            <w:vAlign w:val="center"/>
          </w:tcPr>
          <w:p w14:paraId="3F32F9ED" w14:textId="77777777" w:rsidR="0097462C" w:rsidRPr="0097462C" w:rsidRDefault="0097462C" w:rsidP="0097462C">
            <w:pPr>
              <w:jc w:val="center"/>
              <w:rPr>
                <w:sz w:val="24"/>
                <w:szCs w:val="24"/>
              </w:rPr>
            </w:pPr>
            <w:r w:rsidRPr="0097462C">
              <w:rPr>
                <w:sz w:val="24"/>
                <w:szCs w:val="24"/>
              </w:rPr>
              <w:t>9 mg/kg</w:t>
            </w:r>
          </w:p>
          <w:p w14:paraId="21AABF88" w14:textId="77777777" w:rsidR="0097462C" w:rsidRPr="0097462C" w:rsidRDefault="0097462C" w:rsidP="0097462C">
            <w:pPr>
              <w:jc w:val="center"/>
              <w:rPr>
                <w:sz w:val="24"/>
                <w:szCs w:val="24"/>
              </w:rPr>
            </w:pPr>
            <w:r w:rsidRPr="0097462C">
              <w:rPr>
                <w:sz w:val="24"/>
                <w:szCs w:val="24"/>
              </w:rPr>
              <w:t>60 minutter</w:t>
            </w:r>
          </w:p>
        </w:tc>
        <w:tc>
          <w:tcPr>
            <w:tcW w:w="1717" w:type="dxa"/>
            <w:tcBorders>
              <w:top w:val="single" w:sz="5" w:space="0" w:color="000000"/>
              <w:left w:val="single" w:sz="5" w:space="0" w:color="000000"/>
              <w:bottom w:val="single" w:sz="5" w:space="0" w:color="000000"/>
              <w:right w:val="single" w:sz="5" w:space="0" w:color="000000"/>
            </w:tcBorders>
            <w:vAlign w:val="center"/>
          </w:tcPr>
          <w:p w14:paraId="2E82945B" w14:textId="77777777" w:rsidR="0097462C" w:rsidRPr="0097462C" w:rsidRDefault="0097462C" w:rsidP="0097462C">
            <w:pPr>
              <w:jc w:val="center"/>
              <w:rPr>
                <w:sz w:val="24"/>
                <w:szCs w:val="24"/>
              </w:rPr>
            </w:pPr>
            <w:r w:rsidRPr="0097462C">
              <w:rPr>
                <w:sz w:val="24"/>
                <w:szCs w:val="24"/>
              </w:rPr>
              <w:t>10 mg/kg</w:t>
            </w:r>
          </w:p>
          <w:p w14:paraId="628239A1" w14:textId="77777777" w:rsidR="0097462C" w:rsidRPr="0097462C" w:rsidRDefault="0097462C" w:rsidP="0097462C">
            <w:pPr>
              <w:jc w:val="center"/>
              <w:rPr>
                <w:sz w:val="24"/>
                <w:szCs w:val="24"/>
              </w:rPr>
            </w:pPr>
            <w:r w:rsidRPr="0097462C">
              <w:rPr>
                <w:sz w:val="24"/>
                <w:szCs w:val="24"/>
              </w:rPr>
              <w:t>60 minutter</w:t>
            </w:r>
          </w:p>
        </w:tc>
      </w:tr>
      <w:tr w:rsidR="0097462C" w:rsidRPr="0097462C" w14:paraId="7E1B6A0D" w14:textId="77777777" w:rsidTr="0097462C">
        <w:tc>
          <w:tcPr>
            <w:tcW w:w="2758" w:type="dxa"/>
            <w:tcBorders>
              <w:top w:val="single" w:sz="5" w:space="0" w:color="000000"/>
              <w:left w:val="single" w:sz="5" w:space="0" w:color="000000"/>
              <w:bottom w:val="single" w:sz="5" w:space="0" w:color="000000"/>
              <w:right w:val="single" w:sz="5" w:space="0" w:color="000000"/>
            </w:tcBorders>
            <w:vAlign w:val="center"/>
          </w:tcPr>
          <w:p w14:paraId="78EF3010" w14:textId="77777777" w:rsidR="0097462C" w:rsidRPr="0097462C" w:rsidRDefault="0097462C" w:rsidP="0097462C">
            <w:pPr>
              <w:jc w:val="center"/>
              <w:rPr>
                <w:sz w:val="24"/>
                <w:szCs w:val="24"/>
                <w:vertAlign w:val="superscript"/>
              </w:rPr>
            </w:pPr>
            <w:r w:rsidRPr="0097462C">
              <w:rPr>
                <w:sz w:val="24"/>
                <w:szCs w:val="24"/>
              </w:rPr>
              <w:t>AUC</w:t>
            </w:r>
            <w:r w:rsidRPr="0097462C">
              <w:rPr>
                <w:sz w:val="24"/>
                <w:szCs w:val="24"/>
                <w:vertAlign w:val="subscript"/>
              </w:rPr>
              <w:t>0-24 timer</w:t>
            </w:r>
          </w:p>
          <w:p w14:paraId="0B13CC6D" w14:textId="77777777" w:rsidR="0097462C" w:rsidRPr="0097462C" w:rsidRDefault="0097462C" w:rsidP="0097462C">
            <w:pPr>
              <w:jc w:val="center"/>
              <w:rPr>
                <w:sz w:val="24"/>
                <w:szCs w:val="24"/>
              </w:rPr>
            </w:pPr>
            <w:r w:rsidRPr="0097462C">
              <w:rPr>
                <w:sz w:val="24"/>
                <w:szCs w:val="24"/>
              </w:rPr>
              <w:t>(</w:t>
            </w:r>
            <w:r w:rsidRPr="0097462C">
              <w:rPr>
                <w:rFonts w:eastAsia="Symbol"/>
                <w:sz w:val="24"/>
                <w:szCs w:val="24"/>
              </w:rPr>
              <w:t>µ</w:t>
            </w:r>
            <w:r w:rsidRPr="0097462C">
              <w:rPr>
                <w:sz w:val="24"/>
                <w:szCs w:val="24"/>
              </w:rPr>
              <w:t>g×timer/ml)</w:t>
            </w:r>
          </w:p>
        </w:tc>
        <w:tc>
          <w:tcPr>
            <w:tcW w:w="1717" w:type="dxa"/>
            <w:tcBorders>
              <w:top w:val="single" w:sz="5" w:space="0" w:color="000000"/>
              <w:left w:val="single" w:sz="5" w:space="0" w:color="000000"/>
              <w:bottom w:val="single" w:sz="5" w:space="0" w:color="000000"/>
              <w:right w:val="single" w:sz="5" w:space="0" w:color="000000"/>
            </w:tcBorders>
            <w:vAlign w:val="center"/>
          </w:tcPr>
          <w:p w14:paraId="119639C2" w14:textId="77777777" w:rsidR="0097462C" w:rsidRPr="0097462C" w:rsidRDefault="0097462C" w:rsidP="0097462C">
            <w:pPr>
              <w:jc w:val="center"/>
              <w:rPr>
                <w:sz w:val="24"/>
                <w:szCs w:val="24"/>
              </w:rPr>
            </w:pPr>
            <w:r w:rsidRPr="0097462C">
              <w:rPr>
                <w:sz w:val="24"/>
                <w:szCs w:val="24"/>
              </w:rPr>
              <w:t>387 (81)</w:t>
            </w:r>
          </w:p>
        </w:tc>
        <w:tc>
          <w:tcPr>
            <w:tcW w:w="1717" w:type="dxa"/>
            <w:tcBorders>
              <w:top w:val="single" w:sz="5" w:space="0" w:color="000000"/>
              <w:left w:val="single" w:sz="5" w:space="0" w:color="000000"/>
              <w:bottom w:val="single" w:sz="5" w:space="0" w:color="000000"/>
              <w:right w:val="single" w:sz="5" w:space="0" w:color="000000"/>
            </w:tcBorders>
            <w:vAlign w:val="center"/>
          </w:tcPr>
          <w:p w14:paraId="4B3277E1" w14:textId="77777777" w:rsidR="0097462C" w:rsidRPr="0097462C" w:rsidRDefault="0097462C" w:rsidP="0097462C">
            <w:pPr>
              <w:jc w:val="center"/>
              <w:rPr>
                <w:sz w:val="24"/>
                <w:szCs w:val="24"/>
              </w:rPr>
            </w:pPr>
            <w:r w:rsidRPr="0097462C">
              <w:rPr>
                <w:sz w:val="24"/>
                <w:szCs w:val="24"/>
              </w:rPr>
              <w:t>438</w:t>
            </w:r>
          </w:p>
        </w:tc>
        <w:tc>
          <w:tcPr>
            <w:tcW w:w="1717" w:type="dxa"/>
            <w:tcBorders>
              <w:top w:val="single" w:sz="5" w:space="0" w:color="000000"/>
              <w:left w:val="single" w:sz="5" w:space="0" w:color="000000"/>
              <w:bottom w:val="single" w:sz="5" w:space="0" w:color="000000"/>
              <w:right w:val="single" w:sz="5" w:space="0" w:color="000000"/>
            </w:tcBorders>
            <w:vAlign w:val="center"/>
          </w:tcPr>
          <w:p w14:paraId="6A2DD99D" w14:textId="77777777" w:rsidR="0097462C" w:rsidRPr="0097462C" w:rsidRDefault="0097462C" w:rsidP="0097462C">
            <w:pPr>
              <w:jc w:val="center"/>
              <w:rPr>
                <w:sz w:val="24"/>
                <w:szCs w:val="24"/>
              </w:rPr>
            </w:pPr>
            <w:r w:rsidRPr="0097462C">
              <w:rPr>
                <w:sz w:val="24"/>
                <w:szCs w:val="24"/>
              </w:rPr>
              <w:t>439 (102)</w:t>
            </w:r>
          </w:p>
        </w:tc>
        <w:tc>
          <w:tcPr>
            <w:tcW w:w="1717" w:type="dxa"/>
            <w:tcBorders>
              <w:top w:val="single" w:sz="5" w:space="0" w:color="000000"/>
              <w:left w:val="single" w:sz="5" w:space="0" w:color="000000"/>
              <w:bottom w:val="single" w:sz="5" w:space="0" w:color="000000"/>
              <w:right w:val="single" w:sz="5" w:space="0" w:color="000000"/>
            </w:tcBorders>
            <w:vAlign w:val="center"/>
          </w:tcPr>
          <w:p w14:paraId="7C0244EE" w14:textId="77777777" w:rsidR="0097462C" w:rsidRPr="0097462C" w:rsidRDefault="0097462C" w:rsidP="0097462C">
            <w:pPr>
              <w:jc w:val="center"/>
              <w:rPr>
                <w:sz w:val="24"/>
                <w:szCs w:val="24"/>
              </w:rPr>
            </w:pPr>
            <w:r w:rsidRPr="0097462C">
              <w:rPr>
                <w:sz w:val="24"/>
                <w:szCs w:val="24"/>
              </w:rPr>
              <w:t>466</w:t>
            </w:r>
          </w:p>
        </w:tc>
      </w:tr>
      <w:tr w:rsidR="0097462C" w:rsidRPr="0097462C" w14:paraId="34A752B2" w14:textId="77777777" w:rsidTr="0097462C">
        <w:tc>
          <w:tcPr>
            <w:tcW w:w="2758" w:type="dxa"/>
            <w:tcBorders>
              <w:top w:val="single" w:sz="5" w:space="0" w:color="000000"/>
              <w:left w:val="single" w:sz="5" w:space="0" w:color="000000"/>
              <w:bottom w:val="single" w:sz="5" w:space="0" w:color="000000"/>
              <w:right w:val="single" w:sz="5" w:space="0" w:color="000000"/>
            </w:tcBorders>
            <w:vAlign w:val="center"/>
          </w:tcPr>
          <w:p w14:paraId="7CC05DD8" w14:textId="77777777" w:rsidR="0097462C" w:rsidRPr="0097462C" w:rsidRDefault="0097462C" w:rsidP="0097462C">
            <w:pPr>
              <w:jc w:val="center"/>
              <w:rPr>
                <w:sz w:val="24"/>
                <w:szCs w:val="24"/>
              </w:rPr>
            </w:pPr>
            <w:r w:rsidRPr="0097462C">
              <w:rPr>
                <w:sz w:val="24"/>
                <w:szCs w:val="24"/>
              </w:rPr>
              <w:t>C</w:t>
            </w:r>
            <w:r w:rsidRPr="0097462C">
              <w:rPr>
                <w:sz w:val="24"/>
                <w:szCs w:val="24"/>
                <w:vertAlign w:val="subscript"/>
              </w:rPr>
              <w:t>max</w:t>
            </w:r>
            <w:r w:rsidRPr="0097462C">
              <w:rPr>
                <w:sz w:val="24"/>
                <w:szCs w:val="24"/>
              </w:rPr>
              <w:t xml:space="preserve"> (</w:t>
            </w:r>
            <w:r w:rsidRPr="0097462C">
              <w:rPr>
                <w:rFonts w:eastAsia="Symbol"/>
                <w:sz w:val="24"/>
                <w:szCs w:val="24"/>
              </w:rPr>
              <w:t>µ</w:t>
            </w:r>
            <w:r w:rsidRPr="0097462C">
              <w:rPr>
                <w:sz w:val="24"/>
                <w:szCs w:val="24"/>
              </w:rPr>
              <w:t>g/ml)</w:t>
            </w:r>
          </w:p>
        </w:tc>
        <w:tc>
          <w:tcPr>
            <w:tcW w:w="1717" w:type="dxa"/>
            <w:tcBorders>
              <w:top w:val="single" w:sz="5" w:space="0" w:color="000000"/>
              <w:left w:val="single" w:sz="5" w:space="0" w:color="000000"/>
              <w:bottom w:val="single" w:sz="5" w:space="0" w:color="000000"/>
              <w:right w:val="single" w:sz="5" w:space="0" w:color="000000"/>
            </w:tcBorders>
            <w:vAlign w:val="center"/>
          </w:tcPr>
          <w:p w14:paraId="7ADD21AC" w14:textId="77777777" w:rsidR="0097462C" w:rsidRPr="0097462C" w:rsidRDefault="0097462C" w:rsidP="0097462C">
            <w:pPr>
              <w:jc w:val="center"/>
              <w:rPr>
                <w:sz w:val="24"/>
                <w:szCs w:val="24"/>
              </w:rPr>
            </w:pPr>
            <w:r w:rsidRPr="0097462C">
              <w:rPr>
                <w:sz w:val="24"/>
                <w:szCs w:val="24"/>
              </w:rPr>
              <w:t>62,4 (10,4)</w:t>
            </w:r>
          </w:p>
        </w:tc>
        <w:tc>
          <w:tcPr>
            <w:tcW w:w="1717" w:type="dxa"/>
            <w:tcBorders>
              <w:top w:val="single" w:sz="5" w:space="0" w:color="000000"/>
              <w:left w:val="single" w:sz="5" w:space="0" w:color="000000"/>
              <w:bottom w:val="single" w:sz="5" w:space="0" w:color="000000"/>
              <w:right w:val="single" w:sz="5" w:space="0" w:color="000000"/>
            </w:tcBorders>
            <w:vAlign w:val="center"/>
          </w:tcPr>
          <w:p w14:paraId="1061CD95" w14:textId="77777777" w:rsidR="0097462C" w:rsidRPr="0097462C" w:rsidRDefault="0097462C" w:rsidP="0097462C">
            <w:pPr>
              <w:jc w:val="center"/>
              <w:rPr>
                <w:sz w:val="24"/>
                <w:szCs w:val="24"/>
              </w:rPr>
            </w:pPr>
            <w:r w:rsidRPr="0097462C">
              <w:rPr>
                <w:sz w:val="24"/>
                <w:szCs w:val="24"/>
              </w:rPr>
              <w:t>64,9; 74,4</w:t>
            </w:r>
          </w:p>
        </w:tc>
        <w:tc>
          <w:tcPr>
            <w:tcW w:w="1717" w:type="dxa"/>
            <w:tcBorders>
              <w:top w:val="single" w:sz="5" w:space="0" w:color="000000"/>
              <w:left w:val="single" w:sz="5" w:space="0" w:color="000000"/>
              <w:bottom w:val="single" w:sz="5" w:space="0" w:color="000000"/>
              <w:right w:val="single" w:sz="5" w:space="0" w:color="000000"/>
            </w:tcBorders>
            <w:vAlign w:val="center"/>
          </w:tcPr>
          <w:p w14:paraId="1318779E" w14:textId="77777777" w:rsidR="0097462C" w:rsidRPr="0097462C" w:rsidRDefault="0097462C" w:rsidP="0097462C">
            <w:pPr>
              <w:jc w:val="center"/>
              <w:rPr>
                <w:sz w:val="24"/>
                <w:szCs w:val="24"/>
              </w:rPr>
            </w:pPr>
            <w:r w:rsidRPr="0097462C">
              <w:rPr>
                <w:sz w:val="24"/>
                <w:szCs w:val="24"/>
              </w:rPr>
              <w:t>81,9 (21,6)</w:t>
            </w:r>
          </w:p>
        </w:tc>
        <w:tc>
          <w:tcPr>
            <w:tcW w:w="1717" w:type="dxa"/>
            <w:tcBorders>
              <w:top w:val="single" w:sz="5" w:space="0" w:color="000000"/>
              <w:left w:val="single" w:sz="5" w:space="0" w:color="000000"/>
              <w:bottom w:val="single" w:sz="5" w:space="0" w:color="000000"/>
              <w:right w:val="single" w:sz="5" w:space="0" w:color="000000"/>
            </w:tcBorders>
            <w:vAlign w:val="center"/>
          </w:tcPr>
          <w:p w14:paraId="2CB19B80" w14:textId="77777777" w:rsidR="0097462C" w:rsidRPr="0097462C" w:rsidRDefault="0097462C" w:rsidP="0097462C">
            <w:pPr>
              <w:jc w:val="center"/>
              <w:rPr>
                <w:sz w:val="24"/>
                <w:szCs w:val="24"/>
              </w:rPr>
            </w:pPr>
            <w:r w:rsidRPr="0097462C">
              <w:rPr>
                <w:sz w:val="24"/>
                <w:szCs w:val="24"/>
              </w:rPr>
              <w:t>79,2</w:t>
            </w:r>
          </w:p>
        </w:tc>
      </w:tr>
      <w:tr w:rsidR="0097462C" w:rsidRPr="0097462C" w14:paraId="2C4DB62B" w14:textId="77777777" w:rsidTr="0097462C">
        <w:tc>
          <w:tcPr>
            <w:tcW w:w="2758" w:type="dxa"/>
            <w:tcBorders>
              <w:top w:val="single" w:sz="5" w:space="0" w:color="000000"/>
              <w:left w:val="single" w:sz="5" w:space="0" w:color="000000"/>
              <w:bottom w:val="single" w:sz="5" w:space="0" w:color="000000"/>
              <w:right w:val="single" w:sz="5" w:space="0" w:color="000000"/>
            </w:tcBorders>
            <w:vAlign w:val="center"/>
          </w:tcPr>
          <w:p w14:paraId="121C3E4C" w14:textId="77777777" w:rsidR="0097462C" w:rsidRPr="0097462C" w:rsidRDefault="0097462C" w:rsidP="0097462C">
            <w:pPr>
              <w:jc w:val="center"/>
              <w:rPr>
                <w:sz w:val="24"/>
                <w:szCs w:val="24"/>
              </w:rPr>
            </w:pPr>
            <w:r w:rsidRPr="0097462C">
              <w:rPr>
                <w:sz w:val="24"/>
                <w:szCs w:val="24"/>
              </w:rPr>
              <w:t>Tilsyneladende t</w:t>
            </w:r>
            <w:r w:rsidRPr="0097462C">
              <w:rPr>
                <w:sz w:val="24"/>
                <w:szCs w:val="24"/>
                <w:vertAlign w:val="subscript"/>
              </w:rPr>
              <w:t>1/2</w:t>
            </w:r>
            <w:r w:rsidRPr="0097462C">
              <w:rPr>
                <w:sz w:val="24"/>
                <w:szCs w:val="24"/>
              </w:rPr>
              <w:t xml:space="preserve"> (timer)</w:t>
            </w:r>
          </w:p>
        </w:tc>
        <w:tc>
          <w:tcPr>
            <w:tcW w:w="1717" w:type="dxa"/>
            <w:tcBorders>
              <w:top w:val="single" w:sz="5" w:space="0" w:color="000000"/>
              <w:left w:val="single" w:sz="5" w:space="0" w:color="000000"/>
              <w:bottom w:val="single" w:sz="5" w:space="0" w:color="000000"/>
              <w:right w:val="single" w:sz="5" w:space="0" w:color="000000"/>
            </w:tcBorders>
            <w:vAlign w:val="center"/>
          </w:tcPr>
          <w:p w14:paraId="608EB5F6" w14:textId="77777777" w:rsidR="0097462C" w:rsidRPr="0097462C" w:rsidRDefault="0097462C" w:rsidP="0097462C">
            <w:pPr>
              <w:jc w:val="center"/>
              <w:rPr>
                <w:sz w:val="24"/>
                <w:szCs w:val="24"/>
              </w:rPr>
            </w:pPr>
            <w:r w:rsidRPr="0097462C">
              <w:rPr>
                <w:sz w:val="24"/>
                <w:szCs w:val="24"/>
              </w:rPr>
              <w:t>5,3 (1,6)</w:t>
            </w:r>
          </w:p>
        </w:tc>
        <w:tc>
          <w:tcPr>
            <w:tcW w:w="1717" w:type="dxa"/>
            <w:tcBorders>
              <w:top w:val="single" w:sz="5" w:space="0" w:color="000000"/>
              <w:left w:val="single" w:sz="5" w:space="0" w:color="000000"/>
              <w:bottom w:val="single" w:sz="5" w:space="0" w:color="000000"/>
              <w:right w:val="single" w:sz="5" w:space="0" w:color="000000"/>
            </w:tcBorders>
            <w:vAlign w:val="center"/>
          </w:tcPr>
          <w:p w14:paraId="5DE77BBA" w14:textId="77777777" w:rsidR="0097462C" w:rsidRPr="0097462C" w:rsidRDefault="0097462C" w:rsidP="0097462C">
            <w:pPr>
              <w:jc w:val="center"/>
              <w:rPr>
                <w:sz w:val="24"/>
                <w:szCs w:val="24"/>
              </w:rPr>
            </w:pPr>
            <w:r w:rsidRPr="0097462C">
              <w:rPr>
                <w:sz w:val="24"/>
                <w:szCs w:val="24"/>
              </w:rPr>
              <w:t>4,6</w:t>
            </w:r>
          </w:p>
        </w:tc>
        <w:tc>
          <w:tcPr>
            <w:tcW w:w="1717" w:type="dxa"/>
            <w:tcBorders>
              <w:top w:val="single" w:sz="5" w:space="0" w:color="000000"/>
              <w:left w:val="single" w:sz="5" w:space="0" w:color="000000"/>
              <w:bottom w:val="single" w:sz="5" w:space="0" w:color="000000"/>
              <w:right w:val="single" w:sz="5" w:space="0" w:color="000000"/>
            </w:tcBorders>
            <w:vAlign w:val="center"/>
          </w:tcPr>
          <w:p w14:paraId="148274DA" w14:textId="77777777" w:rsidR="0097462C" w:rsidRPr="0097462C" w:rsidRDefault="0097462C" w:rsidP="0097462C">
            <w:pPr>
              <w:jc w:val="center"/>
              <w:rPr>
                <w:sz w:val="24"/>
                <w:szCs w:val="24"/>
              </w:rPr>
            </w:pPr>
            <w:r w:rsidRPr="0097462C">
              <w:rPr>
                <w:sz w:val="24"/>
                <w:szCs w:val="24"/>
              </w:rPr>
              <w:t>3,8 (0,3)</w:t>
            </w:r>
          </w:p>
        </w:tc>
        <w:tc>
          <w:tcPr>
            <w:tcW w:w="1717" w:type="dxa"/>
            <w:tcBorders>
              <w:top w:val="single" w:sz="5" w:space="0" w:color="000000"/>
              <w:left w:val="single" w:sz="5" w:space="0" w:color="000000"/>
              <w:bottom w:val="single" w:sz="5" w:space="0" w:color="000000"/>
              <w:right w:val="single" w:sz="5" w:space="0" w:color="000000"/>
            </w:tcBorders>
            <w:vAlign w:val="center"/>
          </w:tcPr>
          <w:p w14:paraId="6BC98059" w14:textId="77777777" w:rsidR="0097462C" w:rsidRPr="0097462C" w:rsidRDefault="0097462C" w:rsidP="0097462C">
            <w:pPr>
              <w:jc w:val="center"/>
              <w:rPr>
                <w:sz w:val="24"/>
                <w:szCs w:val="24"/>
              </w:rPr>
            </w:pPr>
            <w:r w:rsidRPr="0097462C">
              <w:rPr>
                <w:sz w:val="24"/>
                <w:szCs w:val="24"/>
              </w:rPr>
              <w:t>5,04</w:t>
            </w:r>
          </w:p>
        </w:tc>
      </w:tr>
      <w:tr w:rsidR="0097462C" w:rsidRPr="0097462C" w14:paraId="744B4BCD" w14:textId="77777777" w:rsidTr="0097462C">
        <w:tc>
          <w:tcPr>
            <w:tcW w:w="2758" w:type="dxa"/>
            <w:tcBorders>
              <w:top w:val="single" w:sz="5" w:space="0" w:color="000000"/>
              <w:left w:val="single" w:sz="5" w:space="0" w:color="000000"/>
              <w:bottom w:val="single" w:sz="5" w:space="0" w:color="000000"/>
              <w:right w:val="single" w:sz="5" w:space="0" w:color="000000"/>
            </w:tcBorders>
            <w:vAlign w:val="center"/>
          </w:tcPr>
          <w:p w14:paraId="3C524F63" w14:textId="77777777" w:rsidR="0097462C" w:rsidRPr="0097462C" w:rsidRDefault="0097462C" w:rsidP="0097462C">
            <w:pPr>
              <w:jc w:val="center"/>
              <w:rPr>
                <w:sz w:val="24"/>
                <w:szCs w:val="24"/>
              </w:rPr>
            </w:pPr>
            <w:r w:rsidRPr="0097462C">
              <w:rPr>
                <w:i/>
                <w:sz w:val="24"/>
                <w:szCs w:val="24"/>
              </w:rPr>
              <w:t xml:space="preserve">Clearance </w:t>
            </w:r>
            <w:r w:rsidRPr="0097462C">
              <w:rPr>
                <w:sz w:val="24"/>
                <w:szCs w:val="24"/>
              </w:rPr>
              <w:t>(CL)/vægt (ml/timer/kg)</w:t>
            </w:r>
          </w:p>
        </w:tc>
        <w:tc>
          <w:tcPr>
            <w:tcW w:w="1717" w:type="dxa"/>
            <w:tcBorders>
              <w:top w:val="single" w:sz="5" w:space="0" w:color="000000"/>
              <w:left w:val="single" w:sz="5" w:space="0" w:color="000000"/>
              <w:bottom w:val="single" w:sz="5" w:space="0" w:color="000000"/>
              <w:right w:val="single" w:sz="5" w:space="0" w:color="000000"/>
            </w:tcBorders>
            <w:vAlign w:val="center"/>
          </w:tcPr>
          <w:p w14:paraId="3CBC528C" w14:textId="77777777" w:rsidR="0097462C" w:rsidRPr="0097462C" w:rsidRDefault="0097462C" w:rsidP="0097462C">
            <w:pPr>
              <w:jc w:val="center"/>
              <w:rPr>
                <w:sz w:val="24"/>
                <w:szCs w:val="24"/>
              </w:rPr>
            </w:pPr>
            <w:r w:rsidRPr="0097462C">
              <w:rPr>
                <w:sz w:val="24"/>
                <w:szCs w:val="24"/>
              </w:rPr>
              <w:t>13,3 (2,9)</w:t>
            </w:r>
          </w:p>
        </w:tc>
        <w:tc>
          <w:tcPr>
            <w:tcW w:w="1717" w:type="dxa"/>
            <w:tcBorders>
              <w:top w:val="single" w:sz="5" w:space="0" w:color="000000"/>
              <w:left w:val="single" w:sz="5" w:space="0" w:color="000000"/>
              <w:bottom w:val="single" w:sz="5" w:space="0" w:color="000000"/>
              <w:right w:val="single" w:sz="5" w:space="0" w:color="000000"/>
            </w:tcBorders>
            <w:vAlign w:val="center"/>
          </w:tcPr>
          <w:p w14:paraId="1FB78693" w14:textId="77777777" w:rsidR="0097462C" w:rsidRPr="0097462C" w:rsidRDefault="0097462C" w:rsidP="0097462C">
            <w:pPr>
              <w:jc w:val="center"/>
              <w:rPr>
                <w:sz w:val="24"/>
                <w:szCs w:val="24"/>
              </w:rPr>
            </w:pPr>
            <w:r w:rsidRPr="0097462C">
              <w:rPr>
                <w:sz w:val="24"/>
                <w:szCs w:val="24"/>
              </w:rPr>
              <w:t>16,0</w:t>
            </w:r>
          </w:p>
        </w:tc>
        <w:tc>
          <w:tcPr>
            <w:tcW w:w="1717" w:type="dxa"/>
            <w:tcBorders>
              <w:top w:val="single" w:sz="5" w:space="0" w:color="000000"/>
              <w:left w:val="single" w:sz="5" w:space="0" w:color="000000"/>
              <w:bottom w:val="single" w:sz="5" w:space="0" w:color="000000"/>
              <w:right w:val="single" w:sz="5" w:space="0" w:color="000000"/>
            </w:tcBorders>
            <w:vAlign w:val="center"/>
          </w:tcPr>
          <w:p w14:paraId="5EB27457" w14:textId="77777777" w:rsidR="0097462C" w:rsidRPr="0097462C" w:rsidRDefault="0097462C" w:rsidP="0097462C">
            <w:pPr>
              <w:jc w:val="center"/>
              <w:rPr>
                <w:sz w:val="24"/>
                <w:szCs w:val="24"/>
              </w:rPr>
            </w:pPr>
            <w:r w:rsidRPr="0097462C">
              <w:rPr>
                <w:sz w:val="24"/>
                <w:szCs w:val="24"/>
              </w:rPr>
              <w:t>21,4 (5,0)</w:t>
            </w:r>
          </w:p>
        </w:tc>
        <w:tc>
          <w:tcPr>
            <w:tcW w:w="1717" w:type="dxa"/>
            <w:tcBorders>
              <w:top w:val="single" w:sz="5" w:space="0" w:color="000000"/>
              <w:left w:val="single" w:sz="5" w:space="0" w:color="000000"/>
              <w:bottom w:val="single" w:sz="5" w:space="0" w:color="000000"/>
              <w:right w:val="single" w:sz="5" w:space="0" w:color="000000"/>
            </w:tcBorders>
            <w:vAlign w:val="center"/>
          </w:tcPr>
          <w:p w14:paraId="7F261D9F" w14:textId="77777777" w:rsidR="0097462C" w:rsidRPr="0097462C" w:rsidRDefault="0097462C" w:rsidP="0097462C">
            <w:pPr>
              <w:jc w:val="center"/>
              <w:rPr>
                <w:sz w:val="24"/>
                <w:szCs w:val="24"/>
              </w:rPr>
            </w:pPr>
            <w:r w:rsidRPr="0097462C">
              <w:rPr>
                <w:sz w:val="24"/>
                <w:szCs w:val="24"/>
              </w:rPr>
              <w:t>21,5</w:t>
            </w:r>
          </w:p>
        </w:tc>
      </w:tr>
    </w:tbl>
    <w:p w14:paraId="07A7FF2C" w14:textId="77777777" w:rsidR="0097462C" w:rsidRPr="0097462C" w:rsidRDefault="0097462C" w:rsidP="0097462C">
      <w:pPr>
        <w:ind w:left="851"/>
        <w:rPr>
          <w:sz w:val="24"/>
          <w:szCs w:val="24"/>
        </w:rPr>
      </w:pPr>
      <w:r w:rsidRPr="0097462C">
        <w:rPr>
          <w:sz w:val="24"/>
          <w:szCs w:val="24"/>
        </w:rPr>
        <w:t>Farmakokinetiske parameterværdier estimeret ud fra nonkompartmental analyse</w:t>
      </w:r>
    </w:p>
    <w:p w14:paraId="52F4ECA9" w14:textId="77777777" w:rsidR="0097462C" w:rsidRPr="0097462C" w:rsidRDefault="0097462C" w:rsidP="0097462C">
      <w:pPr>
        <w:ind w:left="1418" w:hanging="567"/>
        <w:rPr>
          <w:sz w:val="24"/>
          <w:szCs w:val="24"/>
        </w:rPr>
      </w:pPr>
      <w:r w:rsidRPr="0097462C">
        <w:rPr>
          <w:sz w:val="24"/>
          <w:szCs w:val="24"/>
          <w:vertAlign w:val="superscript"/>
        </w:rPr>
        <w:t>a</w:t>
      </w:r>
      <w:r w:rsidRPr="0097462C">
        <w:rPr>
          <w:sz w:val="24"/>
          <w:szCs w:val="24"/>
          <w:vertAlign w:val="superscript"/>
        </w:rPr>
        <w:tab/>
      </w:r>
      <w:r w:rsidRPr="0097462C">
        <w:rPr>
          <w:sz w:val="24"/>
          <w:szCs w:val="24"/>
        </w:rPr>
        <w:t>Individuelle værdier, som blev rapporteret, da kun to patienter i denne aldersgruppe indleverede de nødvendige prøver til farmakokinetisk analyse; AUC, tilsyneladende t</w:t>
      </w:r>
      <w:r w:rsidRPr="0097462C">
        <w:rPr>
          <w:sz w:val="24"/>
          <w:szCs w:val="24"/>
          <w:vertAlign w:val="subscript"/>
        </w:rPr>
        <w:t>1/2</w:t>
      </w:r>
      <w:r w:rsidRPr="0097462C">
        <w:rPr>
          <w:sz w:val="24"/>
          <w:szCs w:val="24"/>
        </w:rPr>
        <w:t xml:space="preserve"> og CL</w:t>
      </w:r>
      <w:r w:rsidRPr="0097462C">
        <w:rPr>
          <w:i/>
          <w:sz w:val="24"/>
          <w:szCs w:val="24"/>
        </w:rPr>
        <w:t>/</w:t>
      </w:r>
      <w:r w:rsidRPr="0097462C">
        <w:rPr>
          <w:sz w:val="24"/>
          <w:szCs w:val="24"/>
        </w:rPr>
        <w:t>vægt kunne kun bestemmes for en af de to patienter</w:t>
      </w:r>
    </w:p>
    <w:p w14:paraId="1927F9A5" w14:textId="77777777" w:rsidR="0097462C" w:rsidRPr="0097462C" w:rsidRDefault="0097462C" w:rsidP="0097462C">
      <w:pPr>
        <w:ind w:left="1418" w:hanging="567"/>
        <w:rPr>
          <w:sz w:val="24"/>
          <w:szCs w:val="24"/>
        </w:rPr>
      </w:pPr>
      <w:r w:rsidRPr="0097462C">
        <w:rPr>
          <w:sz w:val="24"/>
          <w:szCs w:val="24"/>
          <w:vertAlign w:val="superscript"/>
        </w:rPr>
        <w:t>b</w:t>
      </w:r>
      <w:r w:rsidRPr="0097462C">
        <w:rPr>
          <w:sz w:val="24"/>
          <w:szCs w:val="24"/>
          <w:vertAlign w:val="superscript"/>
        </w:rPr>
        <w:tab/>
      </w:r>
      <w:r w:rsidRPr="0097462C">
        <w:rPr>
          <w:sz w:val="24"/>
          <w:szCs w:val="24"/>
        </w:rPr>
        <w:t>Farmakokinetisk analyse udført på poolet farmakokinetisk profil med gennemsnitlige koncentrationer på tværs af forsøgspersoner på hvert tidspunkt</w:t>
      </w:r>
    </w:p>
    <w:p w14:paraId="2DA0F826" w14:textId="77777777" w:rsidR="0097462C" w:rsidRPr="0097462C" w:rsidRDefault="0097462C" w:rsidP="0097462C">
      <w:pPr>
        <w:ind w:left="851"/>
        <w:rPr>
          <w:sz w:val="24"/>
          <w:szCs w:val="24"/>
        </w:rPr>
      </w:pPr>
    </w:p>
    <w:p w14:paraId="135C8F0B" w14:textId="77777777" w:rsidR="0097462C" w:rsidRPr="0097462C" w:rsidRDefault="0097462C" w:rsidP="0097462C">
      <w:pPr>
        <w:keepNext/>
        <w:ind w:left="851"/>
        <w:rPr>
          <w:sz w:val="24"/>
          <w:szCs w:val="24"/>
        </w:rPr>
      </w:pPr>
      <w:r w:rsidRPr="0097462C">
        <w:rPr>
          <w:i/>
          <w:sz w:val="24"/>
          <w:szCs w:val="24"/>
        </w:rPr>
        <w:lastRenderedPageBreak/>
        <w:t>Pædiatriske patienter med SAB</w:t>
      </w:r>
    </w:p>
    <w:p w14:paraId="60E8462D" w14:textId="77777777" w:rsidR="0097462C" w:rsidRPr="0097462C" w:rsidRDefault="0097462C" w:rsidP="0097462C">
      <w:pPr>
        <w:ind w:left="851"/>
        <w:rPr>
          <w:sz w:val="24"/>
          <w:szCs w:val="24"/>
        </w:rPr>
      </w:pPr>
      <w:r w:rsidRPr="0097462C">
        <w:rPr>
          <w:sz w:val="24"/>
          <w:szCs w:val="24"/>
        </w:rPr>
        <w:t>Et fase 4-studie (DAP-PEDBAC-11-02) blev udført for at vurdere daptomycins sikkerhed, virkning og farmakokinetik hos pædiatriske patienter (1 til 17 år, inklusive) med SAB. Daptomycins farmakokinetik hos patienter i dette studie er opsummeret i tabel 3. Efter administration af flere doser var eksponeringen for daptomycin sammenlignelig på tværs af forskellige aldersgrupper efter dosisjustering på basis af kropsvægt og alder. Plasmaeksponeringen, som blev opnået med disse doser, var konsistent med plasmaeksponeringen, som blev opnået i SAB-studiet med voksne (efter en dosis på 6 mg/kg en gang dagligt hos voksne).</w:t>
      </w:r>
    </w:p>
    <w:p w14:paraId="49D91A7E" w14:textId="77777777" w:rsidR="0097462C" w:rsidRPr="0097462C" w:rsidRDefault="0097462C" w:rsidP="0097462C">
      <w:pPr>
        <w:ind w:left="851"/>
        <w:rPr>
          <w:sz w:val="24"/>
          <w:szCs w:val="24"/>
        </w:rPr>
      </w:pPr>
    </w:p>
    <w:p w14:paraId="28DA2E10" w14:textId="77777777" w:rsidR="0097462C" w:rsidRPr="0097462C" w:rsidRDefault="0097462C" w:rsidP="0097462C">
      <w:pPr>
        <w:keepNext/>
        <w:ind w:left="1985" w:hanging="1134"/>
        <w:rPr>
          <w:sz w:val="24"/>
          <w:szCs w:val="24"/>
        </w:rPr>
      </w:pPr>
      <w:r w:rsidRPr="0097462C">
        <w:rPr>
          <w:sz w:val="24"/>
          <w:szCs w:val="24"/>
        </w:rPr>
        <w:t>Tabel 3</w:t>
      </w:r>
      <w:r w:rsidRPr="0097462C">
        <w:rPr>
          <w:sz w:val="24"/>
          <w:szCs w:val="24"/>
        </w:rPr>
        <w:tab/>
        <w:t>Den gennemsnitlige (standardafvigelse) farmakokinetik for daptomycin hos pædiatriske patienter med SAB (1 til 17 år) i studiet DAP-PEDBAC-11-02</w:t>
      </w:r>
    </w:p>
    <w:tbl>
      <w:tblPr>
        <w:tblStyle w:val="TableNormal1"/>
        <w:tblW w:w="5000" w:type="pct"/>
        <w:tblInd w:w="851" w:type="dxa"/>
        <w:tblLayout w:type="fixed"/>
        <w:tblLook w:val="01E0" w:firstRow="1" w:lastRow="1" w:firstColumn="1" w:lastColumn="1" w:noHBand="0" w:noVBand="0"/>
      </w:tblPr>
      <w:tblGrid>
        <w:gridCol w:w="2756"/>
        <w:gridCol w:w="2290"/>
        <w:gridCol w:w="2290"/>
        <w:gridCol w:w="2290"/>
      </w:tblGrid>
      <w:tr w:rsidR="0097462C" w:rsidRPr="0097462C" w14:paraId="26832ED2" w14:textId="77777777" w:rsidTr="0097462C">
        <w:tc>
          <w:tcPr>
            <w:tcW w:w="2756" w:type="dxa"/>
            <w:tcBorders>
              <w:top w:val="single" w:sz="5" w:space="0" w:color="000000"/>
              <w:left w:val="single" w:sz="5" w:space="0" w:color="000000"/>
              <w:bottom w:val="single" w:sz="5" w:space="0" w:color="000000"/>
              <w:right w:val="single" w:sz="5" w:space="0" w:color="000000"/>
            </w:tcBorders>
            <w:vAlign w:val="center"/>
          </w:tcPr>
          <w:p w14:paraId="5525F0EE" w14:textId="77777777" w:rsidR="0097462C" w:rsidRPr="0097462C" w:rsidRDefault="0097462C" w:rsidP="0097462C">
            <w:pPr>
              <w:jc w:val="center"/>
              <w:rPr>
                <w:b/>
                <w:sz w:val="24"/>
                <w:szCs w:val="24"/>
              </w:rPr>
            </w:pPr>
            <w:r w:rsidRPr="0097462C">
              <w:rPr>
                <w:b/>
                <w:sz w:val="24"/>
                <w:szCs w:val="24"/>
              </w:rPr>
              <w:t>Aldersklasse</w:t>
            </w:r>
          </w:p>
        </w:tc>
        <w:tc>
          <w:tcPr>
            <w:tcW w:w="2290" w:type="dxa"/>
            <w:tcBorders>
              <w:top w:val="single" w:sz="5" w:space="0" w:color="000000"/>
              <w:left w:val="single" w:sz="5" w:space="0" w:color="000000"/>
              <w:bottom w:val="single" w:sz="5" w:space="0" w:color="000000"/>
              <w:right w:val="single" w:sz="5" w:space="0" w:color="000000"/>
            </w:tcBorders>
            <w:vAlign w:val="center"/>
          </w:tcPr>
          <w:p w14:paraId="2B98C17D" w14:textId="77777777" w:rsidR="0097462C" w:rsidRPr="0097462C" w:rsidRDefault="0097462C" w:rsidP="0097462C">
            <w:pPr>
              <w:jc w:val="center"/>
              <w:rPr>
                <w:b/>
                <w:sz w:val="24"/>
                <w:szCs w:val="24"/>
              </w:rPr>
            </w:pPr>
            <w:r w:rsidRPr="0097462C">
              <w:rPr>
                <w:b/>
                <w:sz w:val="24"/>
                <w:szCs w:val="24"/>
              </w:rPr>
              <w:t>12-17 år</w:t>
            </w:r>
          </w:p>
          <w:p w14:paraId="1E43A8E3" w14:textId="77777777" w:rsidR="0097462C" w:rsidRPr="0097462C" w:rsidRDefault="0097462C" w:rsidP="0097462C">
            <w:pPr>
              <w:jc w:val="center"/>
              <w:rPr>
                <w:b/>
                <w:sz w:val="24"/>
                <w:szCs w:val="24"/>
              </w:rPr>
            </w:pPr>
            <w:r w:rsidRPr="0097462C">
              <w:rPr>
                <w:b/>
                <w:sz w:val="24"/>
                <w:szCs w:val="24"/>
              </w:rPr>
              <w:t>(N = 13)</w:t>
            </w:r>
          </w:p>
        </w:tc>
        <w:tc>
          <w:tcPr>
            <w:tcW w:w="2290" w:type="dxa"/>
            <w:tcBorders>
              <w:top w:val="single" w:sz="5" w:space="0" w:color="000000"/>
              <w:left w:val="single" w:sz="5" w:space="0" w:color="000000"/>
              <w:bottom w:val="single" w:sz="5" w:space="0" w:color="000000"/>
              <w:right w:val="single" w:sz="5" w:space="0" w:color="000000"/>
            </w:tcBorders>
            <w:vAlign w:val="center"/>
          </w:tcPr>
          <w:p w14:paraId="24B2C317" w14:textId="77777777" w:rsidR="0097462C" w:rsidRPr="0097462C" w:rsidRDefault="0097462C" w:rsidP="0097462C">
            <w:pPr>
              <w:jc w:val="center"/>
              <w:rPr>
                <w:b/>
                <w:sz w:val="24"/>
                <w:szCs w:val="24"/>
              </w:rPr>
            </w:pPr>
            <w:r w:rsidRPr="0097462C">
              <w:rPr>
                <w:b/>
                <w:sz w:val="24"/>
                <w:szCs w:val="24"/>
              </w:rPr>
              <w:t>7-11 år</w:t>
            </w:r>
          </w:p>
          <w:p w14:paraId="78F30CCA" w14:textId="77777777" w:rsidR="0097462C" w:rsidRPr="0097462C" w:rsidRDefault="0097462C" w:rsidP="0097462C">
            <w:pPr>
              <w:jc w:val="center"/>
              <w:rPr>
                <w:b/>
                <w:sz w:val="24"/>
                <w:szCs w:val="24"/>
              </w:rPr>
            </w:pPr>
            <w:r w:rsidRPr="0097462C">
              <w:rPr>
                <w:b/>
                <w:sz w:val="24"/>
                <w:szCs w:val="24"/>
              </w:rPr>
              <w:t>(N = 19)</w:t>
            </w:r>
          </w:p>
        </w:tc>
        <w:tc>
          <w:tcPr>
            <w:tcW w:w="2290" w:type="dxa"/>
            <w:tcBorders>
              <w:top w:val="single" w:sz="5" w:space="0" w:color="000000"/>
              <w:left w:val="single" w:sz="5" w:space="0" w:color="000000"/>
              <w:bottom w:val="single" w:sz="5" w:space="0" w:color="000000"/>
              <w:right w:val="single" w:sz="5" w:space="0" w:color="000000"/>
            </w:tcBorders>
            <w:vAlign w:val="center"/>
          </w:tcPr>
          <w:p w14:paraId="1F3E8D82" w14:textId="77777777" w:rsidR="0097462C" w:rsidRPr="0097462C" w:rsidRDefault="0097462C" w:rsidP="0097462C">
            <w:pPr>
              <w:jc w:val="center"/>
              <w:rPr>
                <w:b/>
                <w:sz w:val="24"/>
                <w:szCs w:val="24"/>
              </w:rPr>
            </w:pPr>
            <w:r w:rsidRPr="0097462C">
              <w:rPr>
                <w:b/>
                <w:sz w:val="24"/>
                <w:szCs w:val="24"/>
              </w:rPr>
              <w:t>1 til 6 år</w:t>
            </w:r>
          </w:p>
          <w:p w14:paraId="3DC76BE6" w14:textId="77777777" w:rsidR="0097462C" w:rsidRPr="0097462C" w:rsidRDefault="0097462C" w:rsidP="0097462C">
            <w:pPr>
              <w:jc w:val="center"/>
              <w:rPr>
                <w:b/>
                <w:sz w:val="24"/>
                <w:szCs w:val="24"/>
              </w:rPr>
            </w:pPr>
            <w:r w:rsidRPr="0097462C">
              <w:rPr>
                <w:b/>
                <w:sz w:val="24"/>
                <w:szCs w:val="24"/>
              </w:rPr>
              <w:t>(N = </w:t>
            </w:r>
            <w:proofErr w:type="gramStart"/>
            <w:r w:rsidRPr="0097462C">
              <w:rPr>
                <w:b/>
                <w:sz w:val="24"/>
                <w:szCs w:val="24"/>
              </w:rPr>
              <w:t>19)*</w:t>
            </w:r>
            <w:proofErr w:type="gramEnd"/>
          </w:p>
        </w:tc>
      </w:tr>
      <w:tr w:rsidR="0097462C" w:rsidRPr="0097462C" w14:paraId="6FD27993" w14:textId="77777777" w:rsidTr="0097462C">
        <w:tc>
          <w:tcPr>
            <w:tcW w:w="2756" w:type="dxa"/>
            <w:tcBorders>
              <w:top w:val="single" w:sz="5" w:space="0" w:color="000000"/>
              <w:left w:val="single" w:sz="5" w:space="0" w:color="000000"/>
              <w:bottom w:val="single" w:sz="5" w:space="0" w:color="000000"/>
              <w:right w:val="single" w:sz="5" w:space="0" w:color="000000"/>
            </w:tcBorders>
            <w:vAlign w:val="center"/>
          </w:tcPr>
          <w:p w14:paraId="11A80715" w14:textId="77777777" w:rsidR="0097462C" w:rsidRPr="0097462C" w:rsidRDefault="0097462C" w:rsidP="0097462C">
            <w:pPr>
              <w:jc w:val="center"/>
              <w:rPr>
                <w:sz w:val="24"/>
                <w:szCs w:val="24"/>
              </w:rPr>
            </w:pPr>
            <w:r w:rsidRPr="0097462C">
              <w:rPr>
                <w:sz w:val="24"/>
                <w:szCs w:val="24"/>
              </w:rPr>
              <w:t>Dosis Infusionstid</w:t>
            </w:r>
          </w:p>
        </w:tc>
        <w:tc>
          <w:tcPr>
            <w:tcW w:w="2290" w:type="dxa"/>
            <w:tcBorders>
              <w:top w:val="single" w:sz="5" w:space="0" w:color="000000"/>
              <w:left w:val="single" w:sz="5" w:space="0" w:color="000000"/>
              <w:bottom w:val="single" w:sz="5" w:space="0" w:color="000000"/>
              <w:right w:val="single" w:sz="5" w:space="0" w:color="000000"/>
            </w:tcBorders>
            <w:vAlign w:val="center"/>
          </w:tcPr>
          <w:p w14:paraId="76246D78" w14:textId="77777777" w:rsidR="0097462C" w:rsidRPr="0097462C" w:rsidRDefault="0097462C" w:rsidP="0097462C">
            <w:pPr>
              <w:jc w:val="center"/>
              <w:rPr>
                <w:sz w:val="24"/>
                <w:szCs w:val="24"/>
              </w:rPr>
            </w:pPr>
            <w:r w:rsidRPr="0097462C">
              <w:rPr>
                <w:sz w:val="24"/>
                <w:szCs w:val="24"/>
              </w:rPr>
              <w:t>7 mg/kg</w:t>
            </w:r>
          </w:p>
          <w:p w14:paraId="6E888150" w14:textId="77777777" w:rsidR="0097462C" w:rsidRPr="0097462C" w:rsidRDefault="0097462C" w:rsidP="0097462C">
            <w:pPr>
              <w:jc w:val="center"/>
              <w:rPr>
                <w:sz w:val="24"/>
                <w:szCs w:val="24"/>
              </w:rPr>
            </w:pPr>
            <w:r w:rsidRPr="0097462C">
              <w:rPr>
                <w:sz w:val="24"/>
                <w:szCs w:val="24"/>
              </w:rPr>
              <w:t>30 minutter</w:t>
            </w:r>
          </w:p>
        </w:tc>
        <w:tc>
          <w:tcPr>
            <w:tcW w:w="2290" w:type="dxa"/>
            <w:tcBorders>
              <w:top w:val="single" w:sz="5" w:space="0" w:color="000000"/>
              <w:left w:val="single" w:sz="5" w:space="0" w:color="000000"/>
              <w:bottom w:val="single" w:sz="5" w:space="0" w:color="000000"/>
              <w:right w:val="single" w:sz="5" w:space="0" w:color="000000"/>
            </w:tcBorders>
            <w:vAlign w:val="center"/>
          </w:tcPr>
          <w:p w14:paraId="05D5C97C" w14:textId="77777777" w:rsidR="0097462C" w:rsidRPr="0097462C" w:rsidRDefault="0097462C" w:rsidP="0097462C">
            <w:pPr>
              <w:jc w:val="center"/>
              <w:rPr>
                <w:sz w:val="24"/>
                <w:szCs w:val="24"/>
              </w:rPr>
            </w:pPr>
            <w:r w:rsidRPr="0097462C">
              <w:rPr>
                <w:sz w:val="24"/>
                <w:szCs w:val="24"/>
              </w:rPr>
              <w:t>9 mg/kg</w:t>
            </w:r>
          </w:p>
          <w:p w14:paraId="759F516A" w14:textId="77777777" w:rsidR="0097462C" w:rsidRPr="0097462C" w:rsidRDefault="0097462C" w:rsidP="0097462C">
            <w:pPr>
              <w:jc w:val="center"/>
              <w:rPr>
                <w:sz w:val="24"/>
                <w:szCs w:val="24"/>
              </w:rPr>
            </w:pPr>
            <w:r w:rsidRPr="0097462C">
              <w:rPr>
                <w:sz w:val="24"/>
                <w:szCs w:val="24"/>
              </w:rPr>
              <w:t>30 minutter</w:t>
            </w:r>
          </w:p>
        </w:tc>
        <w:tc>
          <w:tcPr>
            <w:tcW w:w="2290" w:type="dxa"/>
            <w:tcBorders>
              <w:top w:val="single" w:sz="5" w:space="0" w:color="000000"/>
              <w:left w:val="single" w:sz="5" w:space="0" w:color="000000"/>
              <w:bottom w:val="single" w:sz="5" w:space="0" w:color="000000"/>
              <w:right w:val="single" w:sz="5" w:space="0" w:color="000000"/>
            </w:tcBorders>
            <w:vAlign w:val="center"/>
          </w:tcPr>
          <w:p w14:paraId="7C0358A0" w14:textId="77777777" w:rsidR="0097462C" w:rsidRPr="0097462C" w:rsidRDefault="0097462C" w:rsidP="0097462C">
            <w:pPr>
              <w:jc w:val="center"/>
              <w:rPr>
                <w:sz w:val="24"/>
                <w:szCs w:val="24"/>
              </w:rPr>
            </w:pPr>
            <w:r w:rsidRPr="0097462C">
              <w:rPr>
                <w:sz w:val="24"/>
                <w:szCs w:val="24"/>
              </w:rPr>
              <w:t>12 mg/kg</w:t>
            </w:r>
          </w:p>
          <w:p w14:paraId="276BDB8D" w14:textId="77777777" w:rsidR="0097462C" w:rsidRPr="0097462C" w:rsidRDefault="0097462C" w:rsidP="0097462C">
            <w:pPr>
              <w:jc w:val="center"/>
              <w:rPr>
                <w:sz w:val="24"/>
                <w:szCs w:val="24"/>
              </w:rPr>
            </w:pPr>
            <w:r w:rsidRPr="0097462C">
              <w:rPr>
                <w:sz w:val="24"/>
                <w:szCs w:val="24"/>
              </w:rPr>
              <w:t>60 minutter</w:t>
            </w:r>
          </w:p>
        </w:tc>
      </w:tr>
      <w:tr w:rsidR="0097462C" w:rsidRPr="0097462C" w14:paraId="6C9860C4" w14:textId="77777777" w:rsidTr="0097462C">
        <w:tc>
          <w:tcPr>
            <w:tcW w:w="2756" w:type="dxa"/>
            <w:tcBorders>
              <w:top w:val="single" w:sz="5" w:space="0" w:color="000000"/>
              <w:left w:val="single" w:sz="5" w:space="0" w:color="000000"/>
              <w:bottom w:val="single" w:sz="5" w:space="0" w:color="000000"/>
              <w:right w:val="single" w:sz="5" w:space="0" w:color="000000"/>
            </w:tcBorders>
            <w:vAlign w:val="center"/>
          </w:tcPr>
          <w:p w14:paraId="788EF5EF" w14:textId="77777777" w:rsidR="0097462C" w:rsidRPr="0097462C" w:rsidRDefault="0097462C" w:rsidP="0097462C">
            <w:pPr>
              <w:jc w:val="center"/>
              <w:rPr>
                <w:sz w:val="24"/>
                <w:szCs w:val="24"/>
              </w:rPr>
            </w:pPr>
            <w:r w:rsidRPr="0097462C">
              <w:rPr>
                <w:sz w:val="24"/>
                <w:szCs w:val="24"/>
              </w:rPr>
              <w:t>AUC</w:t>
            </w:r>
            <w:r w:rsidRPr="0097462C">
              <w:rPr>
                <w:sz w:val="24"/>
                <w:szCs w:val="24"/>
                <w:vertAlign w:val="subscript"/>
              </w:rPr>
              <w:t>0-24 timer</w:t>
            </w:r>
          </w:p>
          <w:p w14:paraId="1F7DC3A5" w14:textId="77777777" w:rsidR="0097462C" w:rsidRPr="0097462C" w:rsidRDefault="0097462C" w:rsidP="0097462C">
            <w:pPr>
              <w:jc w:val="center"/>
              <w:rPr>
                <w:sz w:val="24"/>
                <w:szCs w:val="24"/>
              </w:rPr>
            </w:pPr>
            <w:r w:rsidRPr="0097462C">
              <w:rPr>
                <w:sz w:val="24"/>
                <w:szCs w:val="24"/>
              </w:rPr>
              <w:t>(</w:t>
            </w:r>
            <w:r w:rsidRPr="0097462C">
              <w:rPr>
                <w:rFonts w:eastAsia="Symbol"/>
                <w:sz w:val="24"/>
                <w:szCs w:val="24"/>
              </w:rPr>
              <w:t>µ</w:t>
            </w:r>
            <w:r w:rsidRPr="0097462C">
              <w:rPr>
                <w:sz w:val="24"/>
                <w:szCs w:val="24"/>
              </w:rPr>
              <w:t>g×timer/ml)</w:t>
            </w:r>
          </w:p>
        </w:tc>
        <w:tc>
          <w:tcPr>
            <w:tcW w:w="2290" w:type="dxa"/>
            <w:tcBorders>
              <w:top w:val="single" w:sz="5" w:space="0" w:color="000000"/>
              <w:left w:val="single" w:sz="5" w:space="0" w:color="000000"/>
              <w:bottom w:val="single" w:sz="5" w:space="0" w:color="000000"/>
              <w:right w:val="single" w:sz="5" w:space="0" w:color="000000"/>
            </w:tcBorders>
            <w:vAlign w:val="center"/>
          </w:tcPr>
          <w:p w14:paraId="36C7411F" w14:textId="77777777" w:rsidR="0097462C" w:rsidRPr="0097462C" w:rsidRDefault="0097462C" w:rsidP="0097462C">
            <w:pPr>
              <w:jc w:val="center"/>
              <w:rPr>
                <w:sz w:val="24"/>
                <w:szCs w:val="24"/>
              </w:rPr>
            </w:pPr>
            <w:r w:rsidRPr="0097462C">
              <w:rPr>
                <w:sz w:val="24"/>
                <w:szCs w:val="24"/>
              </w:rPr>
              <w:t>656 (334)</w:t>
            </w:r>
          </w:p>
        </w:tc>
        <w:tc>
          <w:tcPr>
            <w:tcW w:w="2290" w:type="dxa"/>
            <w:tcBorders>
              <w:top w:val="single" w:sz="5" w:space="0" w:color="000000"/>
              <w:left w:val="single" w:sz="5" w:space="0" w:color="000000"/>
              <w:bottom w:val="single" w:sz="5" w:space="0" w:color="000000"/>
              <w:right w:val="single" w:sz="5" w:space="0" w:color="000000"/>
            </w:tcBorders>
            <w:vAlign w:val="center"/>
          </w:tcPr>
          <w:p w14:paraId="151A143C" w14:textId="77777777" w:rsidR="0097462C" w:rsidRPr="0097462C" w:rsidRDefault="0097462C" w:rsidP="0097462C">
            <w:pPr>
              <w:jc w:val="center"/>
              <w:rPr>
                <w:sz w:val="24"/>
                <w:szCs w:val="24"/>
              </w:rPr>
            </w:pPr>
            <w:r w:rsidRPr="0097462C">
              <w:rPr>
                <w:sz w:val="24"/>
                <w:szCs w:val="24"/>
              </w:rPr>
              <w:t>579 (116)</w:t>
            </w:r>
          </w:p>
        </w:tc>
        <w:tc>
          <w:tcPr>
            <w:tcW w:w="2290" w:type="dxa"/>
            <w:tcBorders>
              <w:top w:val="single" w:sz="5" w:space="0" w:color="000000"/>
              <w:left w:val="single" w:sz="5" w:space="0" w:color="000000"/>
              <w:bottom w:val="single" w:sz="5" w:space="0" w:color="000000"/>
              <w:right w:val="single" w:sz="5" w:space="0" w:color="000000"/>
            </w:tcBorders>
            <w:vAlign w:val="center"/>
          </w:tcPr>
          <w:p w14:paraId="248710B3" w14:textId="77777777" w:rsidR="0097462C" w:rsidRPr="0097462C" w:rsidRDefault="0097462C" w:rsidP="0097462C">
            <w:pPr>
              <w:jc w:val="center"/>
              <w:rPr>
                <w:sz w:val="24"/>
                <w:szCs w:val="24"/>
              </w:rPr>
            </w:pPr>
            <w:r w:rsidRPr="0097462C">
              <w:rPr>
                <w:sz w:val="24"/>
                <w:szCs w:val="24"/>
              </w:rPr>
              <w:t>620 (109)</w:t>
            </w:r>
          </w:p>
        </w:tc>
      </w:tr>
      <w:tr w:rsidR="0097462C" w:rsidRPr="0097462C" w14:paraId="149EE4D2" w14:textId="77777777" w:rsidTr="0097462C">
        <w:tc>
          <w:tcPr>
            <w:tcW w:w="2756" w:type="dxa"/>
            <w:tcBorders>
              <w:top w:val="single" w:sz="5" w:space="0" w:color="000000"/>
              <w:left w:val="single" w:sz="5" w:space="0" w:color="000000"/>
              <w:bottom w:val="single" w:sz="5" w:space="0" w:color="000000"/>
              <w:right w:val="single" w:sz="5" w:space="0" w:color="000000"/>
            </w:tcBorders>
            <w:vAlign w:val="center"/>
          </w:tcPr>
          <w:p w14:paraId="2CC532D2" w14:textId="77777777" w:rsidR="0097462C" w:rsidRPr="0097462C" w:rsidRDefault="0097462C" w:rsidP="0097462C">
            <w:pPr>
              <w:jc w:val="center"/>
              <w:rPr>
                <w:sz w:val="24"/>
                <w:szCs w:val="24"/>
              </w:rPr>
            </w:pPr>
            <w:r w:rsidRPr="0097462C">
              <w:rPr>
                <w:sz w:val="24"/>
                <w:szCs w:val="24"/>
              </w:rPr>
              <w:t>C</w:t>
            </w:r>
            <w:r w:rsidRPr="0097462C">
              <w:rPr>
                <w:sz w:val="24"/>
                <w:szCs w:val="24"/>
                <w:vertAlign w:val="subscript"/>
              </w:rPr>
              <w:t>max</w:t>
            </w:r>
            <w:r w:rsidRPr="0097462C">
              <w:rPr>
                <w:sz w:val="24"/>
                <w:szCs w:val="24"/>
              </w:rPr>
              <w:t xml:space="preserve"> (</w:t>
            </w:r>
            <w:r w:rsidRPr="0097462C">
              <w:rPr>
                <w:rFonts w:eastAsia="Symbol"/>
                <w:sz w:val="24"/>
                <w:szCs w:val="24"/>
              </w:rPr>
              <w:t>µ</w:t>
            </w:r>
            <w:r w:rsidRPr="0097462C">
              <w:rPr>
                <w:sz w:val="24"/>
                <w:szCs w:val="24"/>
              </w:rPr>
              <w:t>g/ml)</w:t>
            </w:r>
          </w:p>
        </w:tc>
        <w:tc>
          <w:tcPr>
            <w:tcW w:w="2290" w:type="dxa"/>
            <w:tcBorders>
              <w:top w:val="single" w:sz="5" w:space="0" w:color="000000"/>
              <w:left w:val="single" w:sz="5" w:space="0" w:color="000000"/>
              <w:bottom w:val="single" w:sz="5" w:space="0" w:color="000000"/>
              <w:right w:val="single" w:sz="5" w:space="0" w:color="000000"/>
            </w:tcBorders>
            <w:vAlign w:val="center"/>
          </w:tcPr>
          <w:p w14:paraId="243B6042" w14:textId="77777777" w:rsidR="0097462C" w:rsidRPr="0097462C" w:rsidRDefault="0097462C" w:rsidP="0097462C">
            <w:pPr>
              <w:jc w:val="center"/>
              <w:rPr>
                <w:sz w:val="24"/>
                <w:szCs w:val="24"/>
              </w:rPr>
            </w:pPr>
            <w:r w:rsidRPr="0097462C">
              <w:rPr>
                <w:sz w:val="24"/>
                <w:szCs w:val="24"/>
              </w:rPr>
              <w:t>104 (35,5)</w:t>
            </w:r>
          </w:p>
        </w:tc>
        <w:tc>
          <w:tcPr>
            <w:tcW w:w="2290" w:type="dxa"/>
            <w:tcBorders>
              <w:top w:val="single" w:sz="5" w:space="0" w:color="000000"/>
              <w:left w:val="single" w:sz="5" w:space="0" w:color="000000"/>
              <w:bottom w:val="single" w:sz="5" w:space="0" w:color="000000"/>
              <w:right w:val="single" w:sz="5" w:space="0" w:color="000000"/>
            </w:tcBorders>
            <w:vAlign w:val="center"/>
          </w:tcPr>
          <w:p w14:paraId="14E87FC6" w14:textId="77777777" w:rsidR="0097462C" w:rsidRPr="0097462C" w:rsidRDefault="0097462C" w:rsidP="0097462C">
            <w:pPr>
              <w:jc w:val="center"/>
              <w:rPr>
                <w:sz w:val="24"/>
                <w:szCs w:val="24"/>
              </w:rPr>
            </w:pPr>
            <w:r w:rsidRPr="0097462C">
              <w:rPr>
                <w:sz w:val="24"/>
                <w:szCs w:val="24"/>
              </w:rPr>
              <w:t>104 (14,5)</w:t>
            </w:r>
          </w:p>
        </w:tc>
        <w:tc>
          <w:tcPr>
            <w:tcW w:w="2290" w:type="dxa"/>
            <w:tcBorders>
              <w:top w:val="single" w:sz="5" w:space="0" w:color="000000"/>
              <w:left w:val="single" w:sz="5" w:space="0" w:color="000000"/>
              <w:bottom w:val="single" w:sz="5" w:space="0" w:color="000000"/>
              <w:right w:val="single" w:sz="5" w:space="0" w:color="000000"/>
            </w:tcBorders>
            <w:vAlign w:val="center"/>
          </w:tcPr>
          <w:p w14:paraId="367A8075" w14:textId="77777777" w:rsidR="0097462C" w:rsidRPr="0097462C" w:rsidRDefault="0097462C" w:rsidP="0097462C">
            <w:pPr>
              <w:jc w:val="center"/>
              <w:rPr>
                <w:sz w:val="24"/>
                <w:szCs w:val="24"/>
              </w:rPr>
            </w:pPr>
            <w:r w:rsidRPr="0097462C">
              <w:rPr>
                <w:sz w:val="24"/>
                <w:szCs w:val="24"/>
              </w:rPr>
              <w:t>106 (12,8)</w:t>
            </w:r>
          </w:p>
        </w:tc>
      </w:tr>
      <w:tr w:rsidR="0097462C" w:rsidRPr="0097462C" w14:paraId="27AAC063" w14:textId="77777777" w:rsidTr="0097462C">
        <w:tc>
          <w:tcPr>
            <w:tcW w:w="2756" w:type="dxa"/>
            <w:tcBorders>
              <w:top w:val="single" w:sz="5" w:space="0" w:color="000000"/>
              <w:left w:val="single" w:sz="5" w:space="0" w:color="000000"/>
              <w:bottom w:val="single" w:sz="5" w:space="0" w:color="000000"/>
              <w:right w:val="single" w:sz="5" w:space="0" w:color="000000"/>
            </w:tcBorders>
            <w:vAlign w:val="center"/>
          </w:tcPr>
          <w:p w14:paraId="2EBCF760" w14:textId="77777777" w:rsidR="0097462C" w:rsidRPr="0097462C" w:rsidRDefault="0097462C" w:rsidP="0097462C">
            <w:pPr>
              <w:jc w:val="center"/>
              <w:rPr>
                <w:sz w:val="24"/>
                <w:szCs w:val="24"/>
              </w:rPr>
            </w:pPr>
            <w:r w:rsidRPr="0097462C">
              <w:rPr>
                <w:sz w:val="24"/>
                <w:szCs w:val="24"/>
              </w:rPr>
              <w:t>Tilsyneladende t</w:t>
            </w:r>
            <w:r w:rsidRPr="0097462C">
              <w:rPr>
                <w:sz w:val="24"/>
                <w:szCs w:val="24"/>
                <w:vertAlign w:val="subscript"/>
              </w:rPr>
              <w:t>1/2</w:t>
            </w:r>
            <w:r w:rsidRPr="0097462C">
              <w:rPr>
                <w:sz w:val="24"/>
                <w:szCs w:val="24"/>
              </w:rPr>
              <w:t xml:space="preserve"> (timer)</w:t>
            </w:r>
          </w:p>
        </w:tc>
        <w:tc>
          <w:tcPr>
            <w:tcW w:w="2290" w:type="dxa"/>
            <w:tcBorders>
              <w:top w:val="single" w:sz="5" w:space="0" w:color="000000"/>
              <w:left w:val="single" w:sz="5" w:space="0" w:color="000000"/>
              <w:bottom w:val="single" w:sz="5" w:space="0" w:color="000000"/>
              <w:right w:val="single" w:sz="5" w:space="0" w:color="000000"/>
            </w:tcBorders>
            <w:vAlign w:val="center"/>
          </w:tcPr>
          <w:p w14:paraId="226AE25D" w14:textId="77777777" w:rsidR="0097462C" w:rsidRPr="0097462C" w:rsidRDefault="0097462C" w:rsidP="0097462C">
            <w:pPr>
              <w:jc w:val="center"/>
              <w:rPr>
                <w:sz w:val="24"/>
                <w:szCs w:val="24"/>
              </w:rPr>
            </w:pPr>
            <w:r w:rsidRPr="0097462C">
              <w:rPr>
                <w:sz w:val="24"/>
                <w:szCs w:val="24"/>
              </w:rPr>
              <w:t>7,5 (2,3)</w:t>
            </w:r>
          </w:p>
        </w:tc>
        <w:tc>
          <w:tcPr>
            <w:tcW w:w="2290" w:type="dxa"/>
            <w:tcBorders>
              <w:top w:val="single" w:sz="5" w:space="0" w:color="000000"/>
              <w:left w:val="single" w:sz="5" w:space="0" w:color="000000"/>
              <w:bottom w:val="single" w:sz="5" w:space="0" w:color="000000"/>
              <w:right w:val="single" w:sz="5" w:space="0" w:color="000000"/>
            </w:tcBorders>
            <w:vAlign w:val="center"/>
          </w:tcPr>
          <w:p w14:paraId="797ABE02" w14:textId="77777777" w:rsidR="0097462C" w:rsidRPr="0097462C" w:rsidRDefault="0097462C" w:rsidP="0097462C">
            <w:pPr>
              <w:jc w:val="center"/>
              <w:rPr>
                <w:sz w:val="24"/>
                <w:szCs w:val="24"/>
              </w:rPr>
            </w:pPr>
            <w:r w:rsidRPr="0097462C">
              <w:rPr>
                <w:sz w:val="24"/>
                <w:szCs w:val="24"/>
              </w:rPr>
              <w:t>6,0 (0,8)</w:t>
            </w:r>
          </w:p>
        </w:tc>
        <w:tc>
          <w:tcPr>
            <w:tcW w:w="2290" w:type="dxa"/>
            <w:tcBorders>
              <w:top w:val="single" w:sz="5" w:space="0" w:color="000000"/>
              <w:left w:val="single" w:sz="5" w:space="0" w:color="000000"/>
              <w:bottom w:val="single" w:sz="5" w:space="0" w:color="000000"/>
              <w:right w:val="single" w:sz="5" w:space="0" w:color="000000"/>
            </w:tcBorders>
            <w:vAlign w:val="center"/>
          </w:tcPr>
          <w:p w14:paraId="74D843B7" w14:textId="77777777" w:rsidR="0097462C" w:rsidRPr="0097462C" w:rsidRDefault="0097462C" w:rsidP="0097462C">
            <w:pPr>
              <w:keepNext/>
              <w:widowControl/>
              <w:jc w:val="center"/>
              <w:rPr>
                <w:sz w:val="24"/>
                <w:szCs w:val="24"/>
              </w:rPr>
            </w:pPr>
            <w:r w:rsidRPr="0097462C">
              <w:rPr>
                <w:sz w:val="24"/>
                <w:szCs w:val="24"/>
              </w:rPr>
              <w:t>5,1 (0,6)</w:t>
            </w:r>
          </w:p>
        </w:tc>
      </w:tr>
      <w:tr w:rsidR="0097462C" w:rsidRPr="0097462C" w14:paraId="0326F982" w14:textId="77777777" w:rsidTr="0097462C">
        <w:tc>
          <w:tcPr>
            <w:tcW w:w="2756" w:type="dxa"/>
            <w:tcBorders>
              <w:top w:val="single" w:sz="5" w:space="0" w:color="000000"/>
              <w:left w:val="single" w:sz="5" w:space="0" w:color="000000"/>
              <w:bottom w:val="single" w:sz="5" w:space="0" w:color="000000"/>
              <w:right w:val="single" w:sz="5" w:space="0" w:color="000000"/>
            </w:tcBorders>
            <w:vAlign w:val="center"/>
          </w:tcPr>
          <w:p w14:paraId="5CA36803" w14:textId="77777777" w:rsidR="0097462C" w:rsidRPr="0097462C" w:rsidRDefault="0097462C" w:rsidP="0097462C">
            <w:pPr>
              <w:jc w:val="center"/>
              <w:rPr>
                <w:sz w:val="24"/>
                <w:szCs w:val="24"/>
              </w:rPr>
            </w:pPr>
            <w:r w:rsidRPr="0097462C">
              <w:rPr>
                <w:sz w:val="24"/>
                <w:szCs w:val="24"/>
              </w:rPr>
              <w:t>CL/vægt (ml/timer/kg)</w:t>
            </w:r>
          </w:p>
        </w:tc>
        <w:tc>
          <w:tcPr>
            <w:tcW w:w="2290" w:type="dxa"/>
            <w:tcBorders>
              <w:top w:val="single" w:sz="5" w:space="0" w:color="000000"/>
              <w:left w:val="single" w:sz="5" w:space="0" w:color="000000"/>
              <w:bottom w:val="single" w:sz="5" w:space="0" w:color="000000"/>
              <w:right w:val="single" w:sz="5" w:space="0" w:color="000000"/>
            </w:tcBorders>
            <w:vAlign w:val="center"/>
          </w:tcPr>
          <w:p w14:paraId="03DA10F6" w14:textId="77777777" w:rsidR="0097462C" w:rsidRPr="0097462C" w:rsidRDefault="0097462C" w:rsidP="0097462C">
            <w:pPr>
              <w:keepNext/>
              <w:widowControl/>
              <w:jc w:val="center"/>
              <w:rPr>
                <w:sz w:val="24"/>
                <w:szCs w:val="24"/>
              </w:rPr>
            </w:pPr>
            <w:r w:rsidRPr="0097462C">
              <w:rPr>
                <w:sz w:val="24"/>
                <w:szCs w:val="24"/>
              </w:rPr>
              <w:t>12,4 (3,9)</w:t>
            </w:r>
          </w:p>
        </w:tc>
        <w:tc>
          <w:tcPr>
            <w:tcW w:w="2290" w:type="dxa"/>
            <w:tcBorders>
              <w:top w:val="single" w:sz="5" w:space="0" w:color="000000"/>
              <w:left w:val="single" w:sz="5" w:space="0" w:color="000000"/>
              <w:bottom w:val="single" w:sz="5" w:space="0" w:color="000000"/>
              <w:right w:val="single" w:sz="5" w:space="0" w:color="000000"/>
            </w:tcBorders>
            <w:vAlign w:val="center"/>
          </w:tcPr>
          <w:p w14:paraId="5FC966FC" w14:textId="77777777" w:rsidR="0097462C" w:rsidRPr="0097462C" w:rsidRDefault="0097462C" w:rsidP="0097462C">
            <w:pPr>
              <w:jc w:val="center"/>
              <w:rPr>
                <w:sz w:val="24"/>
                <w:szCs w:val="24"/>
              </w:rPr>
            </w:pPr>
            <w:r w:rsidRPr="0097462C">
              <w:rPr>
                <w:sz w:val="24"/>
                <w:szCs w:val="24"/>
              </w:rPr>
              <w:t>15,9 (2,8)</w:t>
            </w:r>
          </w:p>
        </w:tc>
        <w:tc>
          <w:tcPr>
            <w:tcW w:w="2290" w:type="dxa"/>
            <w:tcBorders>
              <w:top w:val="single" w:sz="5" w:space="0" w:color="000000"/>
              <w:left w:val="single" w:sz="5" w:space="0" w:color="000000"/>
              <w:bottom w:val="single" w:sz="5" w:space="0" w:color="000000"/>
              <w:right w:val="single" w:sz="5" w:space="0" w:color="000000"/>
            </w:tcBorders>
            <w:vAlign w:val="center"/>
          </w:tcPr>
          <w:p w14:paraId="4C80C589" w14:textId="77777777" w:rsidR="0097462C" w:rsidRPr="0097462C" w:rsidRDefault="0097462C" w:rsidP="0097462C">
            <w:pPr>
              <w:jc w:val="center"/>
              <w:rPr>
                <w:sz w:val="24"/>
                <w:szCs w:val="24"/>
              </w:rPr>
            </w:pPr>
            <w:r w:rsidRPr="0097462C">
              <w:rPr>
                <w:sz w:val="24"/>
                <w:szCs w:val="24"/>
              </w:rPr>
              <w:t>19,9 (3,4)</w:t>
            </w:r>
          </w:p>
        </w:tc>
      </w:tr>
    </w:tbl>
    <w:p w14:paraId="093E9073" w14:textId="77777777" w:rsidR="0097462C" w:rsidRPr="0097462C" w:rsidRDefault="0097462C" w:rsidP="0097462C">
      <w:pPr>
        <w:keepNext/>
        <w:ind w:left="851"/>
        <w:rPr>
          <w:sz w:val="24"/>
          <w:szCs w:val="24"/>
        </w:rPr>
      </w:pPr>
      <w:r w:rsidRPr="0097462C">
        <w:rPr>
          <w:sz w:val="24"/>
          <w:szCs w:val="24"/>
        </w:rPr>
        <w:t>Farmakokinetiske parameterværdier estimeret ved brug af en modelbaseret metode med sparsomt antal indsamlede farmakokinetiske prøver fra de enkelte patienter i studiet</w:t>
      </w:r>
    </w:p>
    <w:p w14:paraId="4038434D" w14:textId="77777777" w:rsidR="0097462C" w:rsidRPr="0097462C" w:rsidRDefault="0097462C" w:rsidP="0097462C">
      <w:pPr>
        <w:ind w:left="1418" w:hanging="567"/>
        <w:rPr>
          <w:sz w:val="24"/>
          <w:szCs w:val="24"/>
        </w:rPr>
      </w:pPr>
      <w:r w:rsidRPr="0097462C">
        <w:rPr>
          <w:sz w:val="24"/>
          <w:szCs w:val="24"/>
        </w:rPr>
        <w:t>*</w:t>
      </w:r>
      <w:r w:rsidRPr="0097462C">
        <w:rPr>
          <w:sz w:val="24"/>
          <w:szCs w:val="24"/>
        </w:rPr>
        <w:tab/>
        <w:t>Gennemsnit (standardafvigelse) beregnet for patienter i alderen 2 til 6 år, eftersom der ikke blev indrulleret patienter i alderen 1 til &lt; 2 år i studiet. Simulering ved hjælp af en farmakokinetisk populationsmodel viste, at AUC</w:t>
      </w:r>
      <w:r w:rsidRPr="0097462C">
        <w:rPr>
          <w:sz w:val="24"/>
          <w:szCs w:val="24"/>
          <w:vertAlign w:val="subscript"/>
        </w:rPr>
        <w:t>ss</w:t>
      </w:r>
      <w:r w:rsidRPr="0097462C">
        <w:rPr>
          <w:sz w:val="24"/>
          <w:szCs w:val="24"/>
        </w:rPr>
        <w:t xml:space="preserve"> (areal under kurven for koncentration over tid ved </w:t>
      </w:r>
      <w:r w:rsidRPr="0097462C">
        <w:rPr>
          <w:i/>
          <w:sz w:val="24"/>
          <w:szCs w:val="24"/>
        </w:rPr>
        <w:t>steady state</w:t>
      </w:r>
      <w:r w:rsidRPr="0097462C">
        <w:rPr>
          <w:sz w:val="24"/>
          <w:szCs w:val="24"/>
        </w:rPr>
        <w:t>) for daptomycin hos pædiatriske patienter i alderen 1 til &lt; 2 år, der fik 12 mg/kg en gang dagligt, kunne sammenlignes med AUC</w:t>
      </w:r>
      <w:r w:rsidRPr="0097462C">
        <w:rPr>
          <w:sz w:val="24"/>
          <w:szCs w:val="24"/>
          <w:vertAlign w:val="subscript"/>
        </w:rPr>
        <w:t>ss</w:t>
      </w:r>
      <w:r w:rsidRPr="0097462C">
        <w:rPr>
          <w:sz w:val="24"/>
          <w:szCs w:val="24"/>
        </w:rPr>
        <w:t xml:space="preserve"> hos voksne patienter, der fik 6 mg/kg en gang dagligt.</w:t>
      </w:r>
    </w:p>
    <w:p w14:paraId="497AC24B" w14:textId="77777777" w:rsidR="0097462C" w:rsidRPr="0097462C" w:rsidRDefault="0097462C" w:rsidP="0097462C">
      <w:pPr>
        <w:autoSpaceDE w:val="0"/>
        <w:autoSpaceDN w:val="0"/>
        <w:adjustRightInd w:val="0"/>
        <w:ind w:left="851" w:hanging="851"/>
        <w:rPr>
          <w:rFonts w:eastAsia="TimesNewRoman,Bold"/>
          <w:i/>
          <w:iCs/>
          <w:color w:val="000000"/>
          <w:sz w:val="24"/>
          <w:szCs w:val="24"/>
        </w:rPr>
      </w:pPr>
    </w:p>
    <w:p w14:paraId="057CA64B" w14:textId="77777777" w:rsidR="0097462C" w:rsidRPr="0097462C" w:rsidRDefault="0097462C" w:rsidP="0097462C">
      <w:pPr>
        <w:keepNext/>
        <w:autoSpaceDE w:val="0"/>
        <w:autoSpaceDN w:val="0"/>
        <w:adjustRightInd w:val="0"/>
        <w:ind w:left="851"/>
        <w:rPr>
          <w:rFonts w:eastAsia="TimesNewRoman,Bold"/>
          <w:i/>
          <w:iCs/>
          <w:color w:val="000000"/>
          <w:sz w:val="24"/>
          <w:szCs w:val="24"/>
        </w:rPr>
      </w:pPr>
      <w:r w:rsidRPr="0097462C">
        <w:rPr>
          <w:rFonts w:eastAsia="TimesNewRoman,Bold"/>
          <w:i/>
          <w:iCs/>
          <w:color w:val="000000"/>
          <w:sz w:val="24"/>
          <w:szCs w:val="24"/>
        </w:rPr>
        <w:t>Adipositas</w:t>
      </w:r>
    </w:p>
    <w:p w14:paraId="1A044611"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I forhold til ikke-adipøse patienter var daptomycins systemiske eksponering målt ved AUC ca. 28 % højere hos moderat adipøse patienter (</w:t>
      </w:r>
      <w:r w:rsidRPr="0097462C">
        <w:rPr>
          <w:rFonts w:eastAsia="TimesNewRoman,Bold"/>
          <w:i/>
          <w:iCs/>
          <w:color w:val="000000"/>
          <w:sz w:val="24"/>
          <w:szCs w:val="24"/>
        </w:rPr>
        <w:t xml:space="preserve">Body Mass Index </w:t>
      </w:r>
      <w:r w:rsidRPr="0097462C">
        <w:rPr>
          <w:rFonts w:eastAsia="TimesNewRoman"/>
          <w:color w:val="000000"/>
          <w:sz w:val="24"/>
          <w:szCs w:val="24"/>
        </w:rPr>
        <w:t>på 25-40 kg/m</w:t>
      </w:r>
      <w:r w:rsidRPr="0097462C">
        <w:rPr>
          <w:rFonts w:eastAsia="TimesNewRoman"/>
          <w:color w:val="000000"/>
          <w:sz w:val="24"/>
          <w:szCs w:val="24"/>
          <w:vertAlign w:val="superscript"/>
        </w:rPr>
        <w:t>2</w:t>
      </w:r>
      <w:r w:rsidRPr="0097462C">
        <w:rPr>
          <w:rFonts w:eastAsia="TimesNewRoman"/>
          <w:color w:val="000000"/>
          <w:sz w:val="24"/>
          <w:szCs w:val="24"/>
        </w:rPr>
        <w:t>) og 42 % højere hos ekstremt adipøse patienter (</w:t>
      </w:r>
      <w:r w:rsidRPr="0097462C">
        <w:rPr>
          <w:rFonts w:eastAsia="TimesNewRoman,Bold"/>
          <w:i/>
          <w:iCs/>
          <w:color w:val="000000"/>
          <w:sz w:val="24"/>
          <w:szCs w:val="24"/>
        </w:rPr>
        <w:t xml:space="preserve">Body Mass Index </w:t>
      </w:r>
      <w:r w:rsidRPr="0097462C">
        <w:rPr>
          <w:rFonts w:eastAsia="TimesNewRoman"/>
          <w:color w:val="000000"/>
          <w:sz w:val="24"/>
          <w:szCs w:val="24"/>
        </w:rPr>
        <w:t>på &gt; 40 kg/m2). En dosisjustering baserende udelukkende på adipositas anses dog ikke for at være nødvendig.</w:t>
      </w:r>
    </w:p>
    <w:p w14:paraId="3100C435" w14:textId="77777777" w:rsidR="0097462C" w:rsidRPr="0097462C" w:rsidRDefault="0097462C" w:rsidP="0097462C">
      <w:pPr>
        <w:autoSpaceDE w:val="0"/>
        <w:autoSpaceDN w:val="0"/>
        <w:adjustRightInd w:val="0"/>
        <w:ind w:left="851" w:hanging="851"/>
        <w:rPr>
          <w:rFonts w:eastAsia="TimesNewRoman,Bold"/>
          <w:i/>
          <w:iCs/>
          <w:color w:val="000000"/>
          <w:sz w:val="24"/>
          <w:szCs w:val="24"/>
        </w:rPr>
      </w:pPr>
    </w:p>
    <w:p w14:paraId="0573EA6B" w14:textId="77777777" w:rsidR="0097462C" w:rsidRPr="0097462C" w:rsidRDefault="0097462C" w:rsidP="0097462C">
      <w:pPr>
        <w:autoSpaceDE w:val="0"/>
        <w:autoSpaceDN w:val="0"/>
        <w:adjustRightInd w:val="0"/>
        <w:ind w:left="851"/>
        <w:rPr>
          <w:rFonts w:eastAsia="TimesNewRoman,Bold"/>
          <w:i/>
          <w:iCs/>
          <w:color w:val="000000"/>
          <w:sz w:val="24"/>
          <w:szCs w:val="24"/>
        </w:rPr>
      </w:pPr>
      <w:r w:rsidRPr="0097462C">
        <w:rPr>
          <w:rFonts w:eastAsia="TimesNewRoman,Bold"/>
          <w:i/>
          <w:iCs/>
          <w:color w:val="000000"/>
          <w:sz w:val="24"/>
          <w:szCs w:val="24"/>
        </w:rPr>
        <w:t>Køn</w:t>
      </w:r>
    </w:p>
    <w:p w14:paraId="4AF4B116"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Der er ikke observeret forskelle med hensyn til køn i daptomycins farmakokinetik.</w:t>
      </w:r>
    </w:p>
    <w:p w14:paraId="283A64E5"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633D7F1B" w14:textId="77777777" w:rsidR="0097462C" w:rsidRPr="0097462C" w:rsidRDefault="0097462C" w:rsidP="0097462C">
      <w:pPr>
        <w:autoSpaceDE w:val="0"/>
        <w:autoSpaceDN w:val="0"/>
        <w:adjustRightInd w:val="0"/>
        <w:ind w:left="851"/>
        <w:rPr>
          <w:rFonts w:eastAsia="TimesNewRoman,Bold"/>
          <w:i/>
          <w:iCs/>
          <w:color w:val="000000"/>
          <w:sz w:val="24"/>
          <w:szCs w:val="24"/>
        </w:rPr>
      </w:pPr>
      <w:r w:rsidRPr="0097462C">
        <w:rPr>
          <w:rFonts w:eastAsia="TimesNewRoman,Bold"/>
          <w:i/>
          <w:iCs/>
          <w:color w:val="000000"/>
          <w:sz w:val="24"/>
          <w:szCs w:val="24"/>
        </w:rPr>
        <w:t>Nedsat nyrefunktion</w:t>
      </w:r>
    </w:p>
    <w:p w14:paraId="49420773"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Efter administration af en enkelt intravenøs dosis på 4 mg/kg eller 6 mg/kg daptomycin over 30 minutter til voksne patienter med forskellige grader af nedsat nyrefunktion var total-daptomycin-clearance nedsat, og den systemiske eksponering (AUC) steg med faldende nyrefunktion (kreatininclearance).</w:t>
      </w:r>
    </w:p>
    <w:p w14:paraId="05249C0D" w14:textId="77777777" w:rsidR="0097462C" w:rsidRPr="0097462C" w:rsidRDefault="0097462C" w:rsidP="0097462C">
      <w:pPr>
        <w:autoSpaceDE w:val="0"/>
        <w:autoSpaceDN w:val="0"/>
        <w:adjustRightInd w:val="0"/>
        <w:ind w:left="851" w:hanging="851"/>
        <w:rPr>
          <w:rFonts w:eastAsia="TimesNewRoman"/>
          <w:color w:val="000000"/>
          <w:sz w:val="24"/>
          <w:szCs w:val="24"/>
        </w:rPr>
      </w:pPr>
    </w:p>
    <w:p w14:paraId="688346F5" w14:textId="4CC97D48"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 xml:space="preserve">Baseret på farmakokinetiske data og modellering var AUC for daptomycin i løbet af den første dag efter administration af en dosis på 6 mg/kg til voksne patienter, som fik HD eller CAPD, 2 gange højere end observeret hos voksne patienter med normal nyrefunktion, der fik den samme dosis. På den anden dag efter administration af en dosis på 6 mg/kg til voksne patienter, som fik HD og CAPD, var daptomycins AUC omkring 1,3 gange højere end observeret efter den anden dosis på 6 mg/kg hos voksne patienter med normal </w:t>
      </w:r>
      <w:r w:rsidRPr="0097462C">
        <w:rPr>
          <w:rFonts w:eastAsia="TimesNewRoman"/>
          <w:color w:val="000000"/>
          <w:sz w:val="24"/>
          <w:szCs w:val="24"/>
        </w:rPr>
        <w:lastRenderedPageBreak/>
        <w:t xml:space="preserve">nyrefunktion. På basis heraf anbefales det, at voksne patienter, som får HD eller CAPD, får daptomycin </w:t>
      </w:r>
      <w:r w:rsidR="00104B3C">
        <w:rPr>
          <w:rFonts w:eastAsia="TimesNewRoman"/>
          <w:color w:val="000000"/>
          <w:sz w:val="24"/>
          <w:szCs w:val="24"/>
        </w:rPr>
        <w:t>en</w:t>
      </w:r>
      <w:r w:rsidRPr="0097462C">
        <w:rPr>
          <w:rFonts w:eastAsia="TimesNewRoman"/>
          <w:color w:val="000000"/>
          <w:sz w:val="24"/>
          <w:szCs w:val="24"/>
        </w:rPr>
        <w:t xml:space="preserve"> gang hver 48. time i den anbefalede dosis for den type infektion, som skal behandles (se pkt. 4.2).</w:t>
      </w:r>
    </w:p>
    <w:p w14:paraId="0F46139A" w14:textId="77777777" w:rsidR="0097462C" w:rsidRPr="0097462C" w:rsidRDefault="0097462C" w:rsidP="0097462C">
      <w:pPr>
        <w:autoSpaceDE w:val="0"/>
        <w:autoSpaceDN w:val="0"/>
        <w:adjustRightInd w:val="0"/>
        <w:ind w:left="851" w:hanging="851"/>
        <w:rPr>
          <w:rFonts w:eastAsia="TimesNewRoman,Bold"/>
          <w:i/>
          <w:iCs/>
          <w:color w:val="000000"/>
          <w:sz w:val="24"/>
          <w:szCs w:val="24"/>
        </w:rPr>
      </w:pPr>
    </w:p>
    <w:p w14:paraId="0E6AB252" w14:textId="77777777" w:rsidR="0097462C" w:rsidRPr="0097462C" w:rsidRDefault="0097462C" w:rsidP="0097462C">
      <w:pPr>
        <w:ind w:left="851"/>
        <w:rPr>
          <w:sz w:val="24"/>
          <w:szCs w:val="24"/>
        </w:rPr>
      </w:pPr>
      <w:r w:rsidRPr="0097462C">
        <w:rPr>
          <w:sz w:val="24"/>
          <w:szCs w:val="24"/>
        </w:rPr>
        <w:t>Doseringsregimet for daptomycin hos pædiatriske patienter med nedsat nyrefunktion er ikke fastlagt.</w:t>
      </w:r>
    </w:p>
    <w:p w14:paraId="2E47B02F" w14:textId="77777777" w:rsidR="0097462C" w:rsidRPr="0097462C" w:rsidRDefault="0097462C" w:rsidP="0097462C">
      <w:pPr>
        <w:rPr>
          <w:sz w:val="24"/>
          <w:szCs w:val="24"/>
        </w:rPr>
      </w:pPr>
    </w:p>
    <w:p w14:paraId="0F3EBDFD" w14:textId="77777777" w:rsidR="0097462C" w:rsidRPr="0097462C" w:rsidRDefault="0097462C" w:rsidP="0097462C">
      <w:pPr>
        <w:autoSpaceDE w:val="0"/>
        <w:autoSpaceDN w:val="0"/>
        <w:adjustRightInd w:val="0"/>
        <w:ind w:left="851"/>
        <w:rPr>
          <w:rFonts w:eastAsia="TimesNewRoman,Bold"/>
          <w:i/>
          <w:iCs/>
          <w:color w:val="000000"/>
          <w:sz w:val="24"/>
          <w:szCs w:val="24"/>
        </w:rPr>
      </w:pPr>
      <w:r w:rsidRPr="0097462C">
        <w:rPr>
          <w:rFonts w:eastAsia="TimesNewRoman,Bold"/>
          <w:i/>
          <w:iCs/>
          <w:color w:val="000000"/>
          <w:sz w:val="24"/>
          <w:szCs w:val="24"/>
        </w:rPr>
        <w:t>Nedsat leverfunktion</w:t>
      </w:r>
    </w:p>
    <w:p w14:paraId="750B4E40" w14:textId="77777777" w:rsidR="0097462C" w:rsidRPr="0097462C" w:rsidRDefault="0097462C" w:rsidP="0097462C">
      <w:pPr>
        <w:autoSpaceDE w:val="0"/>
        <w:autoSpaceDN w:val="0"/>
        <w:adjustRightInd w:val="0"/>
        <w:ind w:left="851"/>
        <w:rPr>
          <w:rFonts w:eastAsia="TimesNewRoman"/>
          <w:color w:val="000000"/>
          <w:sz w:val="24"/>
          <w:szCs w:val="24"/>
        </w:rPr>
      </w:pPr>
      <w:r w:rsidRPr="0097462C">
        <w:rPr>
          <w:rFonts w:eastAsia="TimesNewRoman"/>
          <w:color w:val="000000"/>
          <w:sz w:val="24"/>
          <w:szCs w:val="24"/>
        </w:rPr>
        <w:t>Daptomycins farmakokinetik ændres ikke hos patienter med moderat nedsat leverfunktion (Child-Pugh nedsat leverfunktion klasse B) sammenlignet med raske frivillige, matchede mht. køn, alder og vægt, efter administration af en enkeltdosis på 4 mg/kg. En dosisjustering er ikke nødvendig, når daptomycin administreres til patienter med moderat nedsat leverfunktion. Daptomycins farmakokinetik hos patienter med svært nedsat leverfunktion (Child-Pugh klasse C) er ikke evalueret.</w:t>
      </w:r>
    </w:p>
    <w:p w14:paraId="4DC5E80F" w14:textId="77777777" w:rsidR="00E62E19" w:rsidRPr="00326899" w:rsidRDefault="00E62E19" w:rsidP="00E62E19">
      <w:pPr>
        <w:ind w:left="851" w:hanging="851"/>
        <w:rPr>
          <w:sz w:val="24"/>
          <w:szCs w:val="24"/>
        </w:rPr>
      </w:pPr>
    </w:p>
    <w:p w14:paraId="3C645633" w14:textId="77777777" w:rsidR="00E62E19" w:rsidRPr="00326899" w:rsidRDefault="00E62E19" w:rsidP="00E62E19">
      <w:pPr>
        <w:ind w:left="851" w:hanging="851"/>
        <w:rPr>
          <w:b/>
          <w:sz w:val="24"/>
          <w:szCs w:val="24"/>
        </w:rPr>
      </w:pPr>
      <w:r w:rsidRPr="00326899">
        <w:rPr>
          <w:b/>
          <w:sz w:val="24"/>
          <w:szCs w:val="24"/>
        </w:rPr>
        <w:t>5.3</w:t>
      </w:r>
      <w:r w:rsidRPr="00326899">
        <w:rPr>
          <w:b/>
          <w:sz w:val="24"/>
          <w:szCs w:val="24"/>
        </w:rPr>
        <w:tab/>
      </w:r>
      <w:r w:rsidR="0097462C">
        <w:rPr>
          <w:b/>
          <w:sz w:val="24"/>
          <w:szCs w:val="24"/>
        </w:rPr>
        <w:t>Non-</w:t>
      </w:r>
      <w:r w:rsidRPr="00326899">
        <w:rPr>
          <w:b/>
          <w:sz w:val="24"/>
          <w:szCs w:val="24"/>
        </w:rPr>
        <w:t>kliniske sikkerhedsdata</w:t>
      </w:r>
    </w:p>
    <w:p w14:paraId="704BB8B1" w14:textId="77777777" w:rsidR="00E62E19" w:rsidRPr="00326899" w:rsidRDefault="0097462C" w:rsidP="00E62E19">
      <w:pPr>
        <w:autoSpaceDE w:val="0"/>
        <w:autoSpaceDN w:val="0"/>
        <w:adjustRightInd w:val="0"/>
        <w:ind w:left="851"/>
        <w:rPr>
          <w:rFonts w:eastAsia="TimesNewRoman"/>
          <w:color w:val="000000"/>
          <w:sz w:val="24"/>
          <w:szCs w:val="24"/>
        </w:rPr>
      </w:pPr>
      <w:r>
        <w:rPr>
          <w:rFonts w:eastAsia="TimesNewRoman"/>
          <w:color w:val="000000"/>
          <w:sz w:val="24"/>
          <w:szCs w:val="24"/>
        </w:rPr>
        <w:t>A</w:t>
      </w:r>
      <w:r w:rsidR="00E62E19" w:rsidRPr="00326899">
        <w:rPr>
          <w:rFonts w:eastAsia="TimesNewRoman"/>
          <w:color w:val="000000"/>
          <w:sz w:val="24"/>
          <w:szCs w:val="24"/>
        </w:rPr>
        <w:t xml:space="preserve">dministration af daptomycin </w:t>
      </w:r>
      <w:r>
        <w:rPr>
          <w:rFonts w:eastAsia="TimesNewRoman"/>
          <w:color w:val="000000"/>
          <w:sz w:val="24"/>
          <w:szCs w:val="24"/>
        </w:rPr>
        <w:t xml:space="preserve">blev </w:t>
      </w:r>
      <w:r w:rsidR="00E62E19" w:rsidRPr="00326899">
        <w:rPr>
          <w:rFonts w:eastAsia="TimesNewRoman"/>
          <w:color w:val="000000"/>
          <w:sz w:val="24"/>
          <w:szCs w:val="24"/>
        </w:rPr>
        <w:t>associeret med minimale til lette degenerative/regenerative forandringer i skelet</w:t>
      </w:r>
      <w:r w:rsidR="00E62E19">
        <w:rPr>
          <w:rFonts w:eastAsia="TimesNewRoman"/>
          <w:color w:val="000000"/>
          <w:sz w:val="24"/>
          <w:szCs w:val="24"/>
        </w:rPr>
        <w:softHyphen/>
      </w:r>
      <w:r w:rsidR="00E62E19" w:rsidRPr="00326899">
        <w:rPr>
          <w:rFonts w:eastAsia="TimesNewRoman"/>
          <w:color w:val="000000"/>
          <w:sz w:val="24"/>
          <w:szCs w:val="24"/>
        </w:rPr>
        <w:t>muskulaturen hos rotter og hunde. De mikroskopiske forandringer i skeletmuskulaturen var minimale (ca. 0,05</w:t>
      </w:r>
      <w:r>
        <w:rPr>
          <w:rFonts w:eastAsia="TimesNewRoman"/>
          <w:color w:val="000000"/>
          <w:sz w:val="24"/>
          <w:szCs w:val="24"/>
        </w:rPr>
        <w:t xml:space="preserve"> </w:t>
      </w:r>
      <w:r w:rsidR="00E62E19" w:rsidRPr="00326899">
        <w:rPr>
          <w:rFonts w:eastAsia="TimesNewRoman"/>
          <w:color w:val="000000"/>
          <w:sz w:val="24"/>
          <w:szCs w:val="24"/>
        </w:rPr>
        <w:t>% af myofibre blev påvirket) og var ved højere doser ledsaget af stigninger i CK. Der blev ikke observeret fibrose eller rabdomyolyse. Alle muskel</w:t>
      </w:r>
      <w:r w:rsidR="00E62E19">
        <w:rPr>
          <w:rFonts w:eastAsia="TimesNewRoman"/>
          <w:color w:val="000000"/>
          <w:sz w:val="24"/>
          <w:szCs w:val="24"/>
        </w:rPr>
        <w:softHyphen/>
      </w:r>
      <w:r w:rsidR="00E62E19" w:rsidRPr="00326899">
        <w:rPr>
          <w:rFonts w:eastAsia="TimesNewRoman"/>
          <w:color w:val="000000"/>
          <w:sz w:val="24"/>
          <w:szCs w:val="24"/>
        </w:rPr>
        <w:t>forandringer, inklusive mikroskopiske forandringer, var fuldt reversible inden for 1 til 3 måneder efter seponering af dosis afhængig af studiets varighed. Der blev ikke observeret funktionelle eller patologiske forandringer i glatte muskler eller hjertemuskulatur.</w:t>
      </w:r>
    </w:p>
    <w:p w14:paraId="23F95A29" w14:textId="77777777" w:rsidR="00E62E19" w:rsidRPr="00326899" w:rsidRDefault="00E62E19" w:rsidP="00E62E19">
      <w:pPr>
        <w:autoSpaceDE w:val="0"/>
        <w:autoSpaceDN w:val="0"/>
        <w:adjustRightInd w:val="0"/>
        <w:ind w:left="851" w:hanging="851"/>
        <w:rPr>
          <w:rFonts w:eastAsia="TimesNewRoman"/>
          <w:color w:val="000000"/>
          <w:sz w:val="24"/>
          <w:szCs w:val="24"/>
        </w:rPr>
      </w:pPr>
    </w:p>
    <w:p w14:paraId="3004941D"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LOEL-niveauet (lowest observable effect level) for myopati i rotter og hunde fremkom ved</w:t>
      </w:r>
      <w:r>
        <w:rPr>
          <w:rFonts w:eastAsia="TimesNewRoman"/>
          <w:color w:val="000000"/>
          <w:sz w:val="24"/>
          <w:szCs w:val="24"/>
        </w:rPr>
        <w:t xml:space="preserve"> </w:t>
      </w:r>
      <w:r w:rsidRPr="00326899">
        <w:rPr>
          <w:rFonts w:eastAsia="TimesNewRoman"/>
          <w:color w:val="000000"/>
          <w:sz w:val="24"/>
          <w:szCs w:val="24"/>
        </w:rPr>
        <w:t>eksponeringsværdier på 0,8 til 2,3 gange det humanterapeutiske niveau på 6 mg/kg (intravenøs</w:t>
      </w:r>
      <w:r>
        <w:rPr>
          <w:rFonts w:eastAsia="TimesNewRoman"/>
          <w:color w:val="000000"/>
          <w:sz w:val="24"/>
          <w:szCs w:val="24"/>
        </w:rPr>
        <w:t xml:space="preserve"> </w:t>
      </w:r>
      <w:r w:rsidRPr="00326899">
        <w:rPr>
          <w:rFonts w:eastAsia="TimesNewRoman"/>
          <w:color w:val="000000"/>
          <w:sz w:val="24"/>
          <w:szCs w:val="24"/>
        </w:rPr>
        <w:t>infusion over 30 minutter) for patienter med normal nyrefunktion. Da farmakokinetikken (se pkt. 5.2) er sammenlignelig, er sikkerhedsmarginerne for begge administrationsmetoder meget ens.</w:t>
      </w:r>
    </w:p>
    <w:p w14:paraId="3AB2DF5F" w14:textId="77777777" w:rsidR="00E62E19" w:rsidRPr="00326899" w:rsidRDefault="00E62E19" w:rsidP="00E62E19">
      <w:pPr>
        <w:autoSpaceDE w:val="0"/>
        <w:autoSpaceDN w:val="0"/>
        <w:adjustRightInd w:val="0"/>
        <w:ind w:left="851" w:hanging="851"/>
        <w:rPr>
          <w:rFonts w:eastAsia="TimesNewRoman"/>
          <w:color w:val="000000"/>
          <w:sz w:val="24"/>
          <w:szCs w:val="24"/>
        </w:rPr>
      </w:pPr>
    </w:p>
    <w:p w14:paraId="7B301A3F" w14:textId="446E9930" w:rsidR="00E62E19" w:rsidRPr="00326899" w:rsidRDefault="00E55B5C" w:rsidP="00E62E19">
      <w:pPr>
        <w:autoSpaceDE w:val="0"/>
        <w:autoSpaceDN w:val="0"/>
        <w:adjustRightInd w:val="0"/>
        <w:ind w:left="851"/>
        <w:rPr>
          <w:rFonts w:eastAsia="TimesNewRoman"/>
          <w:color w:val="000000"/>
          <w:sz w:val="24"/>
          <w:szCs w:val="24"/>
        </w:rPr>
      </w:pPr>
      <w:r>
        <w:rPr>
          <w:rFonts w:eastAsia="TimesNewRoman"/>
          <w:color w:val="000000"/>
          <w:sz w:val="24"/>
          <w:szCs w:val="24"/>
        </w:rPr>
        <w:t>Et studie</w:t>
      </w:r>
      <w:r w:rsidR="00E62E19" w:rsidRPr="00326899">
        <w:rPr>
          <w:rFonts w:eastAsia="TimesNewRoman"/>
          <w:color w:val="000000"/>
          <w:sz w:val="24"/>
          <w:szCs w:val="24"/>
        </w:rPr>
        <w:t xml:space="preserve"> i hunde viste, at skeletal myopati blev reduceret efter </w:t>
      </w:r>
      <w:r w:rsidR="00104B3C">
        <w:rPr>
          <w:rFonts w:eastAsia="TimesNewRoman"/>
          <w:color w:val="000000"/>
          <w:sz w:val="24"/>
          <w:szCs w:val="24"/>
        </w:rPr>
        <w:t>en</w:t>
      </w:r>
      <w:r w:rsidR="00E62E19" w:rsidRPr="00326899">
        <w:rPr>
          <w:rFonts w:eastAsia="TimesNewRoman"/>
          <w:color w:val="000000"/>
          <w:sz w:val="24"/>
          <w:szCs w:val="24"/>
        </w:rPr>
        <w:t xml:space="preserve"> gang daglig administration sammenlignet med delte doseringer med samme totale dagsdosis, hvilket indikerer, at myopatieffekter i dyr primært er relateret til tid mellem dosis.</w:t>
      </w:r>
    </w:p>
    <w:p w14:paraId="7F6BE1D0" w14:textId="77777777" w:rsidR="00E62E19" w:rsidRPr="00326899" w:rsidRDefault="00E62E19" w:rsidP="00E62E19">
      <w:pPr>
        <w:autoSpaceDE w:val="0"/>
        <w:autoSpaceDN w:val="0"/>
        <w:adjustRightInd w:val="0"/>
        <w:ind w:left="851" w:hanging="851"/>
        <w:rPr>
          <w:rFonts w:eastAsia="TimesNewRoman"/>
          <w:color w:val="000000"/>
          <w:sz w:val="24"/>
          <w:szCs w:val="24"/>
        </w:rPr>
      </w:pPr>
    </w:p>
    <w:p w14:paraId="68C2DD60" w14:textId="725CA604" w:rsidR="00E55B5C" w:rsidRPr="00E55B5C" w:rsidRDefault="00E55B5C" w:rsidP="00E55B5C">
      <w:pPr>
        <w:autoSpaceDE w:val="0"/>
        <w:autoSpaceDN w:val="0"/>
        <w:adjustRightInd w:val="0"/>
        <w:ind w:left="851"/>
        <w:rPr>
          <w:rFonts w:eastAsia="TimesNewRoman"/>
          <w:color w:val="000000"/>
          <w:sz w:val="24"/>
          <w:szCs w:val="24"/>
        </w:rPr>
      </w:pPr>
      <w:r w:rsidRPr="00E55B5C">
        <w:rPr>
          <w:rFonts w:eastAsia="TimesNewRoman"/>
          <w:color w:val="000000"/>
          <w:sz w:val="24"/>
          <w:szCs w:val="24"/>
        </w:rPr>
        <w:t>Der blev observeret påvirkning af perifere nerver ved doser, der var større end dem, der blev associeret med påvirkning af skeletmuskulatur, hos voksne rotter og hunde. Denne påvirkning blev primært relateret til plasma C</w:t>
      </w:r>
      <w:r w:rsidRPr="00E55B5C">
        <w:rPr>
          <w:rFonts w:eastAsia="TimesNewRoman"/>
          <w:color w:val="000000"/>
          <w:sz w:val="24"/>
          <w:szCs w:val="24"/>
          <w:vertAlign w:val="subscript"/>
        </w:rPr>
        <w:t>max</w:t>
      </w:r>
      <w:r w:rsidRPr="00E55B5C">
        <w:rPr>
          <w:rFonts w:eastAsia="TimesNewRoman"/>
          <w:color w:val="000000"/>
          <w:sz w:val="24"/>
          <w:szCs w:val="24"/>
        </w:rPr>
        <w:t>. Forandringer i de perifere nerver var karakteriseret af minimal til let aksonal degeneration og blev ofte ledsaget af funktionelle forandringer. Reversering af både mikroskopisk og funktionel effekt var komplet inden for 6 måneder efter sidste dosis. Sikkerhedsmarginer for perifere nervevirkninger i rotter og hunde er henholdsvis 8 til 6 gange større, baseret på sammenligning af C</w:t>
      </w:r>
      <w:r w:rsidRPr="00E55B5C">
        <w:rPr>
          <w:rFonts w:eastAsia="TimesNewRoman"/>
          <w:color w:val="000000"/>
          <w:sz w:val="24"/>
          <w:szCs w:val="24"/>
          <w:vertAlign w:val="subscript"/>
        </w:rPr>
        <w:t>max</w:t>
      </w:r>
      <w:r w:rsidRPr="00E55B5C">
        <w:rPr>
          <w:rFonts w:eastAsia="TimesNewRoman"/>
          <w:color w:val="000000"/>
          <w:sz w:val="24"/>
          <w:szCs w:val="24"/>
        </w:rPr>
        <w:t>-værdier ved NOEL (</w:t>
      </w:r>
      <w:r w:rsidRPr="00E55B5C">
        <w:rPr>
          <w:rFonts w:eastAsia="TimesNewRoman,Bold"/>
          <w:i/>
          <w:iCs/>
          <w:color w:val="000000"/>
          <w:sz w:val="24"/>
          <w:szCs w:val="24"/>
        </w:rPr>
        <w:t>No Observed Effect Level</w:t>
      </w:r>
      <w:r w:rsidRPr="00E55B5C">
        <w:rPr>
          <w:rFonts w:eastAsia="TimesNewRoman"/>
          <w:color w:val="000000"/>
          <w:sz w:val="24"/>
          <w:szCs w:val="24"/>
        </w:rPr>
        <w:t>) med C</w:t>
      </w:r>
      <w:r w:rsidRPr="00E55B5C">
        <w:rPr>
          <w:rFonts w:eastAsia="TimesNewRoman"/>
          <w:color w:val="000000"/>
          <w:sz w:val="24"/>
          <w:szCs w:val="24"/>
          <w:vertAlign w:val="subscript"/>
        </w:rPr>
        <w:t>max</w:t>
      </w:r>
      <w:r w:rsidRPr="00E55B5C">
        <w:rPr>
          <w:rFonts w:eastAsia="TimesNewRoman"/>
          <w:color w:val="000000"/>
          <w:sz w:val="24"/>
          <w:szCs w:val="24"/>
        </w:rPr>
        <w:t xml:space="preserve"> opnået ved dosering med 30 minutters infusion af 6 mg/kg </w:t>
      </w:r>
      <w:r w:rsidR="00104B3C">
        <w:rPr>
          <w:rFonts w:eastAsia="TimesNewRoman"/>
          <w:color w:val="000000"/>
          <w:sz w:val="24"/>
          <w:szCs w:val="24"/>
        </w:rPr>
        <w:t>en</w:t>
      </w:r>
      <w:r w:rsidRPr="00E55B5C">
        <w:rPr>
          <w:rFonts w:eastAsia="TimesNewRoman"/>
          <w:color w:val="000000"/>
          <w:sz w:val="24"/>
          <w:szCs w:val="24"/>
        </w:rPr>
        <w:t xml:space="preserve"> gang dagligt hos patienter med normal nyrefunktion.</w:t>
      </w:r>
    </w:p>
    <w:p w14:paraId="16B38C9C" w14:textId="77777777" w:rsidR="00E55B5C" w:rsidRPr="00E55B5C" w:rsidRDefault="00E55B5C" w:rsidP="00E55B5C">
      <w:pPr>
        <w:autoSpaceDE w:val="0"/>
        <w:autoSpaceDN w:val="0"/>
        <w:adjustRightInd w:val="0"/>
        <w:ind w:left="851" w:hanging="851"/>
        <w:rPr>
          <w:rFonts w:eastAsia="TimesNewRoman"/>
          <w:color w:val="000000"/>
          <w:sz w:val="24"/>
          <w:szCs w:val="24"/>
        </w:rPr>
      </w:pPr>
    </w:p>
    <w:p w14:paraId="01260342" w14:textId="77777777" w:rsidR="00E55B5C" w:rsidRPr="00E55B5C" w:rsidRDefault="00E55B5C" w:rsidP="00E55B5C">
      <w:pPr>
        <w:autoSpaceDE w:val="0"/>
        <w:autoSpaceDN w:val="0"/>
        <w:adjustRightInd w:val="0"/>
        <w:ind w:left="851"/>
        <w:rPr>
          <w:rFonts w:eastAsia="TimesNewRoman"/>
          <w:color w:val="000000"/>
          <w:sz w:val="24"/>
          <w:szCs w:val="24"/>
        </w:rPr>
      </w:pPr>
      <w:r w:rsidRPr="00E55B5C">
        <w:rPr>
          <w:rFonts w:eastAsia="TimesNewRoman"/>
          <w:color w:val="000000"/>
          <w:sz w:val="24"/>
          <w:szCs w:val="24"/>
        </w:rPr>
        <w:t xml:space="preserve">Resultater fra </w:t>
      </w:r>
      <w:r w:rsidRPr="00E55B5C">
        <w:rPr>
          <w:rFonts w:eastAsia="TimesNewRoman,Bold"/>
          <w:i/>
          <w:iCs/>
          <w:color w:val="000000"/>
          <w:sz w:val="24"/>
          <w:szCs w:val="24"/>
        </w:rPr>
        <w:t>in vitro</w:t>
      </w:r>
      <w:r w:rsidRPr="00E55B5C">
        <w:rPr>
          <w:rFonts w:eastAsia="TimesNewRoman"/>
          <w:color w:val="000000"/>
          <w:sz w:val="24"/>
          <w:szCs w:val="24"/>
        </w:rPr>
        <w:t xml:space="preserve">- og nogle </w:t>
      </w:r>
      <w:r w:rsidRPr="00E55B5C">
        <w:rPr>
          <w:rFonts w:eastAsia="TimesNewRoman,Bold"/>
          <w:i/>
          <w:iCs/>
          <w:color w:val="000000"/>
          <w:sz w:val="24"/>
          <w:szCs w:val="24"/>
        </w:rPr>
        <w:t>in vivo</w:t>
      </w:r>
      <w:r w:rsidRPr="00E55B5C">
        <w:rPr>
          <w:rFonts w:eastAsia="TimesNewRoman"/>
          <w:color w:val="000000"/>
          <w:sz w:val="24"/>
          <w:szCs w:val="24"/>
        </w:rPr>
        <w:t>-studier designet til at undersøge mekanismen for daptomycins myotoksicitet indikerer, at plasmamembranen af differentierede spontant sammentrækkende skeletmuskelceller er målet for toksicitet. Det direkte måls specifikke celleoverfladekomponent er ikke blevet identificeret. Tab af eller skade på mitokondrier blev også observeret, men betydningen og signifikansen af dette fund i den samlede patologi er ukendt. Dette fund var ikke forbundet med en virkning på muskelkontraktion.</w:t>
      </w:r>
    </w:p>
    <w:p w14:paraId="2A57B280" w14:textId="77777777" w:rsidR="00E55B5C" w:rsidRPr="00E55B5C" w:rsidRDefault="00E55B5C" w:rsidP="00E55B5C">
      <w:pPr>
        <w:autoSpaceDE w:val="0"/>
        <w:autoSpaceDN w:val="0"/>
        <w:adjustRightInd w:val="0"/>
        <w:ind w:left="851"/>
        <w:rPr>
          <w:rFonts w:eastAsia="TimesNewRoman"/>
          <w:color w:val="000000"/>
          <w:sz w:val="24"/>
          <w:szCs w:val="24"/>
        </w:rPr>
      </w:pPr>
    </w:p>
    <w:p w14:paraId="0167A2D6" w14:textId="77777777" w:rsidR="00E55B5C" w:rsidRPr="00E55B5C" w:rsidRDefault="00E55B5C" w:rsidP="00E55B5C">
      <w:pPr>
        <w:autoSpaceDE w:val="0"/>
        <w:autoSpaceDN w:val="0"/>
        <w:adjustRightInd w:val="0"/>
        <w:ind w:left="851"/>
        <w:rPr>
          <w:rFonts w:eastAsia="TimesNewRoman"/>
          <w:color w:val="000000"/>
          <w:sz w:val="24"/>
          <w:szCs w:val="24"/>
        </w:rPr>
      </w:pPr>
      <w:r w:rsidRPr="00E55B5C">
        <w:rPr>
          <w:rFonts w:eastAsia="TimesNewRoman"/>
          <w:color w:val="000000"/>
          <w:sz w:val="24"/>
          <w:szCs w:val="24"/>
        </w:rPr>
        <w:t>Til forskel fra voksne hunde syntes unge hunde at være mere følsomme for perifere nervelæsioner end for myopati i skeletmuskulaturen. Unge hunde udviklede perifere og spinale nervelæsioner ved doser, der var lavere end dem, der blev associeret med skeletmuskulaturtoksicitet.</w:t>
      </w:r>
    </w:p>
    <w:p w14:paraId="7FDE8B8C" w14:textId="77777777" w:rsidR="00E55B5C" w:rsidRPr="00E55B5C" w:rsidRDefault="00E55B5C" w:rsidP="00E55B5C">
      <w:pPr>
        <w:autoSpaceDE w:val="0"/>
        <w:autoSpaceDN w:val="0"/>
        <w:adjustRightInd w:val="0"/>
        <w:ind w:left="851"/>
        <w:rPr>
          <w:rFonts w:eastAsia="TimesNewRoman"/>
          <w:color w:val="000000"/>
          <w:sz w:val="24"/>
          <w:szCs w:val="24"/>
        </w:rPr>
      </w:pPr>
    </w:p>
    <w:p w14:paraId="179C6AF8" w14:textId="77777777" w:rsidR="00E55B5C" w:rsidRPr="00E55B5C" w:rsidRDefault="00E55B5C" w:rsidP="00E55B5C">
      <w:pPr>
        <w:autoSpaceDE w:val="0"/>
        <w:autoSpaceDN w:val="0"/>
        <w:adjustRightInd w:val="0"/>
        <w:ind w:left="851"/>
        <w:rPr>
          <w:rFonts w:eastAsia="TimesNewRoman"/>
          <w:color w:val="000000"/>
          <w:sz w:val="24"/>
          <w:szCs w:val="24"/>
        </w:rPr>
      </w:pPr>
      <w:r w:rsidRPr="00E55B5C">
        <w:rPr>
          <w:rFonts w:eastAsia="TimesNewRoman"/>
          <w:color w:val="000000"/>
          <w:sz w:val="24"/>
          <w:szCs w:val="24"/>
        </w:rPr>
        <w:t>Hos neonatale hunde forårsagede daptomycin udtalte kliniske tegn på muskelsitren, muskelrigiditet i lemmerne samt hæmmet brug af lemmerne, hvilket resulterede i nedsat legemsvægt og generelt nedsat almentilstand ved doser ≥ 50 mg/kg/dag og nødvendiggjorde tidlig seponering i disse dosisgrupper. Ved lavere doser (25 mg/kg/dag) blev der observeret lette og reversible kliniske tegn på muskelsitren samt et tilfælde af muskelrigiditet uden påvirkning af legemsvægten. Der var ingen histopatologisk korrelation i vævet i det perifere og centrale nervesystem eller i skeletmuskulaturen på noget dosisniveau. Mekanismen bag og den kliniske relevans af de kliniske bivirkninger er derfor ukendte.</w:t>
      </w:r>
    </w:p>
    <w:p w14:paraId="66C05F1E" w14:textId="77777777" w:rsidR="00E55B5C" w:rsidRPr="00E55B5C" w:rsidRDefault="00E55B5C" w:rsidP="00E55B5C">
      <w:pPr>
        <w:autoSpaceDE w:val="0"/>
        <w:autoSpaceDN w:val="0"/>
        <w:adjustRightInd w:val="0"/>
        <w:ind w:left="851" w:hanging="851"/>
        <w:rPr>
          <w:rFonts w:eastAsia="TimesNewRoman"/>
          <w:color w:val="000000"/>
          <w:sz w:val="24"/>
          <w:szCs w:val="24"/>
        </w:rPr>
      </w:pPr>
    </w:p>
    <w:p w14:paraId="7D0DF67C" w14:textId="77777777" w:rsidR="00E55B5C" w:rsidRPr="00E55B5C" w:rsidRDefault="00E55B5C" w:rsidP="00E55B5C">
      <w:pPr>
        <w:autoSpaceDE w:val="0"/>
        <w:autoSpaceDN w:val="0"/>
        <w:adjustRightInd w:val="0"/>
        <w:ind w:left="851"/>
        <w:rPr>
          <w:rFonts w:eastAsia="TimesNewRoman"/>
          <w:color w:val="000000"/>
          <w:sz w:val="24"/>
          <w:szCs w:val="24"/>
        </w:rPr>
      </w:pPr>
      <w:r w:rsidRPr="00E55B5C">
        <w:rPr>
          <w:rFonts w:eastAsia="TimesNewRoman"/>
          <w:color w:val="000000"/>
          <w:sz w:val="24"/>
          <w:szCs w:val="24"/>
        </w:rPr>
        <w:t>Toksicitetstest i forbindelse med reproduktion viste ingen tegn på effekt på fertilitet, embryoføtal eller postnatal udvikling. Hos gravide rotter kan daptomycin dog passerer placenta (se pkt. 5.2). Udskillelse af daptomycin i modermælk hos diegivende dyr er ikke undersøgt.</w:t>
      </w:r>
    </w:p>
    <w:p w14:paraId="1BB5E52A" w14:textId="77777777" w:rsidR="00E55B5C" w:rsidRPr="00E55B5C" w:rsidRDefault="00E55B5C" w:rsidP="00E55B5C">
      <w:pPr>
        <w:autoSpaceDE w:val="0"/>
        <w:autoSpaceDN w:val="0"/>
        <w:adjustRightInd w:val="0"/>
        <w:ind w:left="851" w:hanging="851"/>
        <w:rPr>
          <w:rFonts w:eastAsia="TimesNewRoman"/>
          <w:color w:val="000000"/>
          <w:sz w:val="24"/>
          <w:szCs w:val="24"/>
        </w:rPr>
      </w:pPr>
    </w:p>
    <w:p w14:paraId="2C254850" w14:textId="01556EEA" w:rsidR="00E55B5C" w:rsidRPr="00E55B5C" w:rsidRDefault="00E55B5C" w:rsidP="00E55B5C">
      <w:pPr>
        <w:autoSpaceDE w:val="0"/>
        <w:autoSpaceDN w:val="0"/>
        <w:adjustRightInd w:val="0"/>
        <w:ind w:left="851"/>
        <w:rPr>
          <w:rFonts w:eastAsia="TimesNewRoman"/>
          <w:color w:val="000000"/>
          <w:sz w:val="24"/>
          <w:szCs w:val="24"/>
        </w:rPr>
      </w:pPr>
      <w:r w:rsidRPr="00E55B5C">
        <w:rPr>
          <w:rFonts w:eastAsia="TimesNewRoman"/>
          <w:color w:val="000000"/>
          <w:sz w:val="24"/>
          <w:szCs w:val="24"/>
        </w:rPr>
        <w:t xml:space="preserve">Der er ikke udført langtidsstudier af karcinogent potentiale hos gnavere. Daptomycin viste ingen mutagen eller clastogen effekt i en række </w:t>
      </w:r>
      <w:r w:rsidRPr="00E55B5C">
        <w:rPr>
          <w:rFonts w:eastAsia="TimesNewRoman,Bold"/>
          <w:i/>
          <w:iCs/>
          <w:color w:val="000000"/>
          <w:sz w:val="24"/>
          <w:szCs w:val="24"/>
        </w:rPr>
        <w:t>in </w:t>
      </w:r>
      <w:r w:rsidR="00D246A9" w:rsidRPr="00E95F9F">
        <w:rPr>
          <w:rFonts w:eastAsia="TimesNewRoman,Bold"/>
          <w:i/>
          <w:iCs/>
          <w:color w:val="000000"/>
          <w:szCs w:val="24"/>
        </w:rPr>
        <w:t xml:space="preserve">vivo </w:t>
      </w:r>
      <w:r w:rsidR="00D246A9" w:rsidRPr="00E95F9F">
        <w:rPr>
          <w:rFonts w:eastAsia="TimesNewRoman"/>
          <w:color w:val="000000"/>
          <w:szCs w:val="24"/>
        </w:rPr>
        <w:t xml:space="preserve">og </w:t>
      </w:r>
      <w:r w:rsidR="00D246A9" w:rsidRPr="00E95F9F">
        <w:rPr>
          <w:rFonts w:eastAsia="TimesNewRoman,Bold"/>
          <w:i/>
          <w:iCs/>
          <w:color w:val="000000"/>
          <w:szCs w:val="24"/>
        </w:rPr>
        <w:t>in vitro</w:t>
      </w:r>
      <w:r w:rsidR="00D246A9">
        <w:rPr>
          <w:rFonts w:eastAsia="TimesNewRoman,Bold"/>
          <w:i/>
          <w:iCs/>
          <w:color w:val="000000"/>
          <w:szCs w:val="24"/>
        </w:rPr>
        <w:t xml:space="preserve"> </w:t>
      </w:r>
      <w:r w:rsidR="00D246A9" w:rsidRPr="00E95F9F">
        <w:rPr>
          <w:rFonts w:eastAsia="TimesNewRoman"/>
          <w:color w:val="000000"/>
          <w:szCs w:val="24"/>
        </w:rPr>
        <w:t>genotoksicitetstest</w:t>
      </w:r>
      <w:r w:rsidRPr="00E55B5C">
        <w:rPr>
          <w:rFonts w:eastAsia="TimesNewRoman"/>
          <w:color w:val="000000"/>
          <w:sz w:val="24"/>
          <w:szCs w:val="24"/>
        </w:rPr>
        <w:t>.</w:t>
      </w:r>
    </w:p>
    <w:p w14:paraId="2D53E68D" w14:textId="77777777" w:rsidR="00E62E19" w:rsidRPr="00326899" w:rsidRDefault="00E62E19" w:rsidP="00E62E19">
      <w:pPr>
        <w:ind w:left="851" w:hanging="851"/>
        <w:rPr>
          <w:sz w:val="24"/>
          <w:szCs w:val="24"/>
        </w:rPr>
      </w:pPr>
    </w:p>
    <w:p w14:paraId="06C07FA0" w14:textId="77777777" w:rsidR="00E62E19" w:rsidRPr="00326899" w:rsidRDefault="00E62E19" w:rsidP="00E62E19">
      <w:pPr>
        <w:ind w:left="851" w:hanging="851"/>
        <w:rPr>
          <w:sz w:val="24"/>
          <w:szCs w:val="24"/>
        </w:rPr>
      </w:pPr>
    </w:p>
    <w:p w14:paraId="21ECCCC8" w14:textId="77777777" w:rsidR="00E62E19" w:rsidRPr="00326899" w:rsidRDefault="00E62E19" w:rsidP="00E62E19">
      <w:pPr>
        <w:ind w:left="851" w:hanging="851"/>
        <w:rPr>
          <w:b/>
          <w:sz w:val="24"/>
          <w:szCs w:val="24"/>
        </w:rPr>
      </w:pPr>
      <w:r w:rsidRPr="00326899">
        <w:rPr>
          <w:b/>
          <w:sz w:val="24"/>
          <w:szCs w:val="24"/>
        </w:rPr>
        <w:t>6.</w:t>
      </w:r>
      <w:r w:rsidRPr="00326899">
        <w:rPr>
          <w:b/>
          <w:sz w:val="24"/>
          <w:szCs w:val="24"/>
        </w:rPr>
        <w:tab/>
        <w:t>FARMACEUTISKE OPLYSNINGER</w:t>
      </w:r>
    </w:p>
    <w:p w14:paraId="1478DC37" w14:textId="77777777" w:rsidR="00E62E19" w:rsidRPr="00326899" w:rsidRDefault="00E62E19" w:rsidP="00E62E19">
      <w:pPr>
        <w:ind w:left="851" w:hanging="851"/>
        <w:rPr>
          <w:sz w:val="24"/>
          <w:szCs w:val="24"/>
        </w:rPr>
      </w:pPr>
    </w:p>
    <w:p w14:paraId="7BA4EF5C" w14:textId="77777777" w:rsidR="00E62E19" w:rsidRPr="00326899" w:rsidRDefault="00E62E19" w:rsidP="00E62E19">
      <w:pPr>
        <w:ind w:left="851" w:hanging="851"/>
        <w:rPr>
          <w:b/>
          <w:sz w:val="24"/>
          <w:szCs w:val="24"/>
        </w:rPr>
      </w:pPr>
      <w:r w:rsidRPr="00326899">
        <w:rPr>
          <w:b/>
          <w:sz w:val="24"/>
          <w:szCs w:val="24"/>
        </w:rPr>
        <w:t>6.1</w:t>
      </w:r>
      <w:r w:rsidRPr="00326899">
        <w:rPr>
          <w:b/>
          <w:sz w:val="24"/>
          <w:szCs w:val="24"/>
        </w:rPr>
        <w:tab/>
        <w:t>Hjælpestoffer</w:t>
      </w:r>
    </w:p>
    <w:p w14:paraId="017FA445"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Natriumhydroxid</w:t>
      </w:r>
    </w:p>
    <w:p w14:paraId="18CDAAAF" w14:textId="77777777" w:rsidR="000F0E20" w:rsidRDefault="000F0E20" w:rsidP="00781ABD"/>
    <w:p w14:paraId="2519B738" w14:textId="77777777" w:rsidR="00E62E19" w:rsidRPr="00326899" w:rsidRDefault="00E62E19" w:rsidP="00E62E19">
      <w:pPr>
        <w:keepNext/>
        <w:ind w:left="851" w:hanging="851"/>
        <w:rPr>
          <w:b/>
          <w:sz w:val="24"/>
          <w:szCs w:val="24"/>
        </w:rPr>
      </w:pPr>
      <w:r w:rsidRPr="00326899">
        <w:rPr>
          <w:b/>
          <w:sz w:val="24"/>
          <w:szCs w:val="24"/>
        </w:rPr>
        <w:t>6.2</w:t>
      </w:r>
      <w:r w:rsidRPr="00326899">
        <w:rPr>
          <w:b/>
          <w:sz w:val="24"/>
          <w:szCs w:val="24"/>
        </w:rPr>
        <w:tab/>
        <w:t>Uforligeligheder</w:t>
      </w:r>
    </w:p>
    <w:p w14:paraId="6696B4CC" w14:textId="77777777" w:rsidR="00E62E19" w:rsidRPr="00326899" w:rsidRDefault="00E62E19" w:rsidP="00E62E19">
      <w:pPr>
        <w:autoSpaceDE w:val="0"/>
        <w:autoSpaceDN w:val="0"/>
        <w:adjustRightInd w:val="0"/>
        <w:ind w:left="851"/>
        <w:rPr>
          <w:rFonts w:eastAsia="TimesNewRoman"/>
          <w:color w:val="000000"/>
          <w:sz w:val="24"/>
          <w:szCs w:val="24"/>
        </w:rPr>
      </w:pPr>
      <w:r>
        <w:rPr>
          <w:rFonts w:eastAsia="TimesNewRoman"/>
          <w:color w:val="000000"/>
          <w:sz w:val="24"/>
          <w:szCs w:val="24"/>
        </w:rPr>
        <w:t>Daptomycin "</w:t>
      </w:r>
      <w:r w:rsidR="00EE225B">
        <w:rPr>
          <w:rFonts w:eastAsia="TimesNewRoman"/>
          <w:color w:val="000000"/>
          <w:sz w:val="24"/>
          <w:szCs w:val="24"/>
        </w:rPr>
        <w:t>Reddy</w:t>
      </w:r>
      <w:r>
        <w:rPr>
          <w:rFonts w:eastAsia="TimesNewRoman"/>
          <w:color w:val="000000"/>
          <w:sz w:val="24"/>
          <w:szCs w:val="24"/>
        </w:rPr>
        <w:t>"</w:t>
      </w:r>
      <w:r w:rsidRPr="00326899">
        <w:rPr>
          <w:rFonts w:eastAsia="TimesNewRoman"/>
          <w:color w:val="000000"/>
          <w:sz w:val="24"/>
          <w:szCs w:val="24"/>
        </w:rPr>
        <w:t xml:space="preserve"> er hverken fysisk eller kemisk kompatibel med opløsninger, der indeholder glucose. Dette lægemiddel må ikke blandes med andre lægemidler end dem, der er anført under pkt. 6.6.</w:t>
      </w:r>
    </w:p>
    <w:p w14:paraId="3EA2E950" w14:textId="77777777" w:rsidR="00E62E19" w:rsidRPr="00326899" w:rsidRDefault="00E62E19" w:rsidP="00E62E19">
      <w:pPr>
        <w:ind w:left="851" w:hanging="851"/>
        <w:rPr>
          <w:sz w:val="24"/>
          <w:szCs w:val="24"/>
        </w:rPr>
      </w:pPr>
    </w:p>
    <w:p w14:paraId="0ADD7323" w14:textId="77777777" w:rsidR="00E62E19" w:rsidRPr="00326899" w:rsidRDefault="00E62E19" w:rsidP="00E62E19">
      <w:pPr>
        <w:ind w:left="851" w:hanging="851"/>
        <w:rPr>
          <w:b/>
          <w:sz w:val="24"/>
          <w:szCs w:val="24"/>
        </w:rPr>
      </w:pPr>
      <w:r w:rsidRPr="00326899">
        <w:rPr>
          <w:b/>
          <w:sz w:val="24"/>
          <w:szCs w:val="24"/>
        </w:rPr>
        <w:t>6.3</w:t>
      </w:r>
      <w:r w:rsidRPr="00326899">
        <w:rPr>
          <w:b/>
          <w:sz w:val="24"/>
          <w:szCs w:val="24"/>
        </w:rPr>
        <w:tab/>
        <w:t>Opbevaringstid</w:t>
      </w:r>
    </w:p>
    <w:p w14:paraId="6C96CDB8" w14:textId="77777777" w:rsidR="00E62E19" w:rsidRPr="00326899" w:rsidRDefault="00E62E19" w:rsidP="00E62E19">
      <w:pPr>
        <w:autoSpaceDE w:val="0"/>
        <w:autoSpaceDN w:val="0"/>
        <w:adjustRightInd w:val="0"/>
        <w:ind w:left="851" w:hanging="851"/>
        <w:rPr>
          <w:rFonts w:eastAsia="TimesNewRoman"/>
          <w:color w:val="000000"/>
          <w:sz w:val="24"/>
          <w:szCs w:val="24"/>
        </w:rPr>
      </w:pPr>
      <w:r w:rsidRPr="00326899">
        <w:rPr>
          <w:sz w:val="24"/>
          <w:szCs w:val="24"/>
        </w:rPr>
        <w:tab/>
      </w:r>
      <w:r w:rsidRPr="00326899">
        <w:rPr>
          <w:rFonts w:eastAsia="TimesNewRoman"/>
          <w:color w:val="000000"/>
          <w:sz w:val="24"/>
          <w:szCs w:val="24"/>
        </w:rPr>
        <w:t>2 år</w:t>
      </w:r>
      <w:r>
        <w:rPr>
          <w:rFonts w:eastAsia="TimesNewRoman"/>
          <w:color w:val="000000"/>
          <w:sz w:val="24"/>
          <w:szCs w:val="24"/>
        </w:rPr>
        <w:t>.</w:t>
      </w:r>
    </w:p>
    <w:p w14:paraId="705EFB09" w14:textId="77777777" w:rsidR="00E62E19" w:rsidRPr="00326899" w:rsidRDefault="00E62E19" w:rsidP="00E62E19">
      <w:pPr>
        <w:autoSpaceDE w:val="0"/>
        <w:autoSpaceDN w:val="0"/>
        <w:adjustRightInd w:val="0"/>
        <w:ind w:left="851" w:hanging="851"/>
        <w:rPr>
          <w:rFonts w:eastAsia="TimesNewRoman"/>
          <w:color w:val="000000"/>
          <w:sz w:val="24"/>
          <w:szCs w:val="24"/>
        </w:rPr>
      </w:pPr>
    </w:p>
    <w:p w14:paraId="06D17764"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Efter rekonstitution: Der er påvist kemisk og fysisk stabilitet under brug af den rekonstituerede</w:t>
      </w:r>
      <w:r>
        <w:rPr>
          <w:rFonts w:eastAsia="TimesNewRoman"/>
          <w:color w:val="000000"/>
          <w:sz w:val="24"/>
          <w:szCs w:val="24"/>
        </w:rPr>
        <w:t xml:space="preserve"> </w:t>
      </w:r>
      <w:r w:rsidRPr="00326899">
        <w:rPr>
          <w:rFonts w:eastAsia="TimesNewRoman"/>
          <w:color w:val="000000"/>
          <w:sz w:val="24"/>
          <w:szCs w:val="24"/>
        </w:rPr>
        <w:t>opløsning i hætteglasset i 12 timer ved 25 °C og i op til 48 timer ved 2 °C</w:t>
      </w:r>
      <w:r>
        <w:rPr>
          <w:rFonts w:eastAsia="TimesNewRoman"/>
          <w:color w:val="000000"/>
          <w:sz w:val="24"/>
          <w:szCs w:val="24"/>
        </w:rPr>
        <w:t>-</w:t>
      </w:r>
      <w:r w:rsidRPr="00326899">
        <w:rPr>
          <w:rFonts w:eastAsia="TimesNewRoman"/>
          <w:color w:val="000000"/>
          <w:sz w:val="24"/>
          <w:szCs w:val="24"/>
        </w:rPr>
        <w:t>8 °C. Kemisk og fysisk</w:t>
      </w:r>
      <w:r>
        <w:rPr>
          <w:rFonts w:eastAsia="TimesNewRoman"/>
          <w:color w:val="000000"/>
          <w:sz w:val="24"/>
          <w:szCs w:val="24"/>
        </w:rPr>
        <w:t xml:space="preserve"> </w:t>
      </w:r>
      <w:r w:rsidRPr="00326899">
        <w:rPr>
          <w:rFonts w:eastAsia="TimesNewRoman"/>
          <w:color w:val="000000"/>
          <w:sz w:val="24"/>
          <w:szCs w:val="24"/>
        </w:rPr>
        <w:t>stabilitet af den fortyndede opløsning i infusionsbeholdere er fastsat til 12 timer ved 25 °C eller</w:t>
      </w:r>
      <w:r>
        <w:rPr>
          <w:rFonts w:eastAsia="TimesNewRoman"/>
          <w:color w:val="000000"/>
          <w:sz w:val="24"/>
          <w:szCs w:val="24"/>
        </w:rPr>
        <w:t xml:space="preserve"> </w:t>
      </w:r>
      <w:r w:rsidRPr="00326899">
        <w:rPr>
          <w:rFonts w:eastAsia="TimesNewRoman"/>
          <w:color w:val="000000"/>
          <w:sz w:val="24"/>
          <w:szCs w:val="24"/>
        </w:rPr>
        <w:t>24 timer ved 2 °C</w:t>
      </w:r>
      <w:r>
        <w:rPr>
          <w:rFonts w:eastAsia="TimesNewRoman"/>
          <w:color w:val="000000"/>
          <w:sz w:val="24"/>
          <w:szCs w:val="24"/>
        </w:rPr>
        <w:t>-</w:t>
      </w:r>
      <w:r w:rsidRPr="00326899">
        <w:rPr>
          <w:rFonts w:eastAsia="TimesNewRoman"/>
          <w:color w:val="000000"/>
          <w:sz w:val="24"/>
          <w:szCs w:val="24"/>
        </w:rPr>
        <w:t>8 °C.</w:t>
      </w:r>
    </w:p>
    <w:p w14:paraId="2CDDF931" w14:textId="77777777" w:rsidR="00E62E19" w:rsidRPr="00326899" w:rsidRDefault="00E62E19" w:rsidP="00E62E19">
      <w:pPr>
        <w:autoSpaceDE w:val="0"/>
        <w:autoSpaceDN w:val="0"/>
        <w:adjustRightInd w:val="0"/>
        <w:ind w:left="851" w:hanging="851"/>
        <w:rPr>
          <w:rFonts w:eastAsia="TimesNewRoman,Bold"/>
          <w:color w:val="000000"/>
          <w:sz w:val="24"/>
          <w:szCs w:val="24"/>
        </w:rPr>
      </w:pPr>
    </w:p>
    <w:p w14:paraId="5AAD99AD"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Ved intravenøs infusion over 30 minutter må den samlede opbevaringstid (rekonstitueret opløsning i hætteglas og fortyndet opløsning i infusionsbeholder, se pkt. 6.6) ved 25 °C ikke overstige 12 timer (eller 24 timer ved 2 °C</w:t>
      </w:r>
      <w:r>
        <w:rPr>
          <w:rFonts w:eastAsia="TimesNewRoman"/>
          <w:color w:val="000000"/>
          <w:sz w:val="24"/>
          <w:szCs w:val="24"/>
        </w:rPr>
        <w:t>-</w:t>
      </w:r>
      <w:r w:rsidRPr="00326899">
        <w:rPr>
          <w:rFonts w:eastAsia="TimesNewRoman"/>
          <w:color w:val="000000"/>
          <w:sz w:val="24"/>
          <w:szCs w:val="24"/>
        </w:rPr>
        <w:t>8 °C).</w:t>
      </w:r>
    </w:p>
    <w:p w14:paraId="50ED699F" w14:textId="77777777" w:rsidR="00E62E19" w:rsidRPr="00326899" w:rsidRDefault="00E62E19" w:rsidP="00E62E19">
      <w:pPr>
        <w:autoSpaceDE w:val="0"/>
        <w:autoSpaceDN w:val="0"/>
        <w:adjustRightInd w:val="0"/>
        <w:ind w:left="851" w:hanging="851"/>
        <w:rPr>
          <w:rFonts w:eastAsia="TimesNewRoman"/>
          <w:color w:val="000000"/>
          <w:sz w:val="24"/>
          <w:szCs w:val="24"/>
        </w:rPr>
      </w:pPr>
    </w:p>
    <w:p w14:paraId="3EF9E88E"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Ved intravenøs injektion over 2 minutter må opbevaringstiden for den rekonstituerede opløsning i</w:t>
      </w:r>
      <w:r>
        <w:rPr>
          <w:rFonts w:eastAsia="TimesNewRoman"/>
          <w:color w:val="000000"/>
          <w:sz w:val="24"/>
          <w:szCs w:val="24"/>
        </w:rPr>
        <w:t xml:space="preserve"> </w:t>
      </w:r>
      <w:r w:rsidRPr="00326899">
        <w:rPr>
          <w:rFonts w:eastAsia="TimesNewRoman"/>
          <w:color w:val="000000"/>
          <w:sz w:val="24"/>
          <w:szCs w:val="24"/>
        </w:rPr>
        <w:t>hætteglas (se pkt. 6.6) ved 25 °C ikke overstige 12 timer (eller 48 timer ved 2 °C</w:t>
      </w:r>
      <w:r>
        <w:rPr>
          <w:rFonts w:eastAsia="TimesNewRoman"/>
          <w:color w:val="000000"/>
          <w:sz w:val="24"/>
          <w:szCs w:val="24"/>
        </w:rPr>
        <w:t>-</w:t>
      </w:r>
      <w:r w:rsidRPr="00326899">
        <w:rPr>
          <w:rFonts w:eastAsia="TimesNewRoman"/>
          <w:color w:val="000000"/>
          <w:sz w:val="24"/>
          <w:szCs w:val="24"/>
        </w:rPr>
        <w:t>8 °C).</w:t>
      </w:r>
    </w:p>
    <w:p w14:paraId="145B69BA" w14:textId="77777777" w:rsidR="00E62E19" w:rsidRPr="00326899" w:rsidRDefault="00E62E19" w:rsidP="00E62E19">
      <w:pPr>
        <w:autoSpaceDE w:val="0"/>
        <w:autoSpaceDN w:val="0"/>
        <w:adjustRightInd w:val="0"/>
        <w:ind w:left="851" w:hanging="851"/>
        <w:rPr>
          <w:rFonts w:eastAsia="TimesNewRoman"/>
          <w:color w:val="000000"/>
          <w:sz w:val="24"/>
          <w:szCs w:val="24"/>
        </w:rPr>
      </w:pPr>
    </w:p>
    <w:p w14:paraId="11F3CBC1"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lastRenderedPageBreak/>
        <w:t>Ud fra et mikrobiologisk synspunkt bør præparatet dog anvendes med det samme. Der er ikke tilsat</w:t>
      </w:r>
      <w:r>
        <w:rPr>
          <w:rFonts w:eastAsia="TimesNewRoman"/>
          <w:color w:val="000000"/>
          <w:sz w:val="24"/>
          <w:szCs w:val="24"/>
        </w:rPr>
        <w:t xml:space="preserve"> </w:t>
      </w:r>
      <w:r w:rsidRPr="00326899">
        <w:rPr>
          <w:rFonts w:eastAsia="TimesNewRoman"/>
          <w:color w:val="000000"/>
          <w:sz w:val="24"/>
          <w:szCs w:val="24"/>
        </w:rPr>
        <w:t>konserveringsmiddel eller bakteriostatisk middel i dette præparat. Anvendes opløsningen ikke med det samme, har brugeren ansvar for opbevaringsbetingelser og holdbarhed, som normalt kun er 24 timer ved 2 °C</w:t>
      </w:r>
      <w:r>
        <w:rPr>
          <w:rFonts w:eastAsia="TimesNewRoman"/>
          <w:color w:val="000000"/>
          <w:sz w:val="24"/>
          <w:szCs w:val="24"/>
        </w:rPr>
        <w:t>-</w:t>
      </w:r>
      <w:r w:rsidRPr="00326899">
        <w:rPr>
          <w:rFonts w:eastAsia="TimesNewRoman"/>
          <w:color w:val="000000"/>
          <w:sz w:val="24"/>
          <w:szCs w:val="24"/>
        </w:rPr>
        <w:t>8 °C, medmindre rekonstitution/for</w:t>
      </w:r>
      <w:r w:rsidR="00781ABD">
        <w:rPr>
          <w:rFonts w:eastAsia="TimesNewRoman"/>
          <w:color w:val="000000"/>
          <w:sz w:val="24"/>
          <w:szCs w:val="24"/>
        </w:rPr>
        <w:softHyphen/>
      </w:r>
      <w:r w:rsidRPr="00326899">
        <w:rPr>
          <w:rFonts w:eastAsia="TimesNewRoman"/>
          <w:color w:val="000000"/>
          <w:sz w:val="24"/>
          <w:szCs w:val="24"/>
        </w:rPr>
        <w:t>tynding har fundet sted under anvendelse af</w:t>
      </w:r>
      <w:r>
        <w:rPr>
          <w:rFonts w:eastAsia="TimesNewRoman"/>
          <w:color w:val="000000"/>
          <w:sz w:val="24"/>
          <w:szCs w:val="24"/>
        </w:rPr>
        <w:t xml:space="preserve"> </w:t>
      </w:r>
      <w:r w:rsidRPr="00326899">
        <w:rPr>
          <w:rFonts w:eastAsia="TimesNewRoman"/>
          <w:color w:val="000000"/>
          <w:sz w:val="24"/>
          <w:szCs w:val="24"/>
        </w:rPr>
        <w:t>kontrolleret og godkendt aseptisk teknik.</w:t>
      </w:r>
    </w:p>
    <w:p w14:paraId="50DC7405" w14:textId="77777777" w:rsidR="00E62E19" w:rsidRPr="00326899" w:rsidRDefault="00E62E19" w:rsidP="00E62E19">
      <w:pPr>
        <w:ind w:left="851" w:hanging="851"/>
        <w:rPr>
          <w:sz w:val="24"/>
          <w:szCs w:val="24"/>
        </w:rPr>
      </w:pPr>
    </w:p>
    <w:p w14:paraId="345BB38B" w14:textId="77777777" w:rsidR="00E62E19" w:rsidRPr="00326899" w:rsidRDefault="00E62E19" w:rsidP="00E62E19">
      <w:pPr>
        <w:ind w:left="851" w:hanging="851"/>
        <w:rPr>
          <w:b/>
          <w:sz w:val="24"/>
          <w:szCs w:val="24"/>
        </w:rPr>
      </w:pPr>
      <w:r w:rsidRPr="00326899">
        <w:rPr>
          <w:b/>
          <w:sz w:val="24"/>
          <w:szCs w:val="24"/>
        </w:rPr>
        <w:t>6.4</w:t>
      </w:r>
      <w:r w:rsidRPr="00326899">
        <w:rPr>
          <w:b/>
          <w:sz w:val="24"/>
          <w:szCs w:val="24"/>
        </w:rPr>
        <w:tab/>
        <w:t>Særlige opbevaringsforhold</w:t>
      </w:r>
    </w:p>
    <w:p w14:paraId="3D03992A"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Opbevares i køleskab (2 °C</w:t>
      </w:r>
      <w:r>
        <w:rPr>
          <w:rFonts w:eastAsia="TimesNewRoman"/>
          <w:color w:val="000000"/>
          <w:sz w:val="24"/>
          <w:szCs w:val="24"/>
        </w:rPr>
        <w:t>-</w:t>
      </w:r>
      <w:r w:rsidRPr="00326899">
        <w:rPr>
          <w:rFonts w:eastAsia="TimesNewRoman"/>
          <w:color w:val="000000"/>
          <w:sz w:val="24"/>
          <w:szCs w:val="24"/>
        </w:rPr>
        <w:t>8 °C).</w:t>
      </w:r>
    </w:p>
    <w:p w14:paraId="4E17A68A" w14:textId="77777777" w:rsidR="00E62E19" w:rsidRPr="00326899" w:rsidRDefault="00E62E19" w:rsidP="00E62E19">
      <w:pPr>
        <w:autoSpaceDE w:val="0"/>
        <w:autoSpaceDN w:val="0"/>
        <w:adjustRightInd w:val="0"/>
        <w:ind w:left="851" w:hanging="851"/>
        <w:rPr>
          <w:rFonts w:eastAsia="TimesNewRoman"/>
          <w:color w:val="000000"/>
          <w:sz w:val="24"/>
          <w:szCs w:val="24"/>
        </w:rPr>
      </w:pPr>
    </w:p>
    <w:p w14:paraId="7C5CE481"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Opbevaringsforhold efter rekonstitution eller rekonstitution og fortynding af lægemidlet, se pkt. 6.3.</w:t>
      </w:r>
    </w:p>
    <w:p w14:paraId="12B72A0B" w14:textId="77777777" w:rsidR="00E62E19" w:rsidRPr="00326899" w:rsidRDefault="00E62E19" w:rsidP="00E62E19">
      <w:pPr>
        <w:ind w:left="851" w:hanging="851"/>
        <w:rPr>
          <w:sz w:val="24"/>
          <w:szCs w:val="24"/>
        </w:rPr>
      </w:pPr>
    </w:p>
    <w:p w14:paraId="17D4A12B" w14:textId="77777777" w:rsidR="00E62E19" w:rsidRPr="00326899" w:rsidRDefault="00E62E19" w:rsidP="00E62E19">
      <w:pPr>
        <w:ind w:left="851" w:hanging="851"/>
        <w:rPr>
          <w:b/>
          <w:sz w:val="24"/>
          <w:szCs w:val="24"/>
        </w:rPr>
      </w:pPr>
      <w:r w:rsidRPr="00326899">
        <w:rPr>
          <w:b/>
          <w:sz w:val="24"/>
          <w:szCs w:val="24"/>
        </w:rPr>
        <w:t>6.5</w:t>
      </w:r>
      <w:r w:rsidRPr="00326899">
        <w:rPr>
          <w:b/>
          <w:sz w:val="24"/>
          <w:szCs w:val="24"/>
        </w:rPr>
        <w:tab/>
        <w:t>Emballagetype og pakningsstørrelser</w:t>
      </w:r>
    </w:p>
    <w:p w14:paraId="5337B8CD" w14:textId="77777777" w:rsidR="00E62E19" w:rsidRDefault="00E62E19" w:rsidP="00E62E19">
      <w:pPr>
        <w:autoSpaceDE w:val="0"/>
        <w:autoSpaceDN w:val="0"/>
        <w:adjustRightInd w:val="0"/>
        <w:ind w:left="851"/>
        <w:rPr>
          <w:rFonts w:eastAsia="TimesNewRoman"/>
          <w:color w:val="000000"/>
          <w:sz w:val="24"/>
          <w:szCs w:val="24"/>
        </w:rPr>
      </w:pPr>
    </w:p>
    <w:p w14:paraId="1BB96392" w14:textId="77777777" w:rsidR="00E62E19" w:rsidRPr="00F02E9E" w:rsidRDefault="00E62E19" w:rsidP="00E62E19">
      <w:pPr>
        <w:autoSpaceDE w:val="0"/>
        <w:autoSpaceDN w:val="0"/>
        <w:adjustRightInd w:val="0"/>
        <w:ind w:left="851"/>
        <w:rPr>
          <w:rFonts w:eastAsia="TimesNewRoman"/>
          <w:color w:val="000000"/>
          <w:sz w:val="24"/>
          <w:szCs w:val="24"/>
          <w:u w:val="single"/>
        </w:rPr>
      </w:pPr>
      <w:r w:rsidRPr="00F02E9E">
        <w:rPr>
          <w:rFonts w:eastAsia="TimesNewRoman"/>
          <w:color w:val="000000"/>
          <w:sz w:val="24"/>
          <w:szCs w:val="24"/>
          <w:u w:val="single"/>
        </w:rPr>
        <w:t>Daptomycin "</w:t>
      </w:r>
      <w:r w:rsidR="00EE225B">
        <w:rPr>
          <w:rFonts w:eastAsia="TimesNewRoman"/>
          <w:color w:val="000000"/>
          <w:sz w:val="24"/>
          <w:szCs w:val="24"/>
          <w:u w:val="single"/>
        </w:rPr>
        <w:t>Reddy</w:t>
      </w:r>
      <w:r w:rsidRPr="00F02E9E">
        <w:rPr>
          <w:rFonts w:eastAsia="TimesNewRoman"/>
          <w:color w:val="000000"/>
          <w:sz w:val="24"/>
          <w:szCs w:val="24"/>
          <w:u w:val="single"/>
        </w:rPr>
        <w:t xml:space="preserve">" 350 mg pulver til </w:t>
      </w:r>
      <w:r>
        <w:rPr>
          <w:rFonts w:eastAsia="TimesNewRoman"/>
          <w:color w:val="000000"/>
          <w:sz w:val="24"/>
          <w:szCs w:val="24"/>
          <w:u w:val="single"/>
        </w:rPr>
        <w:t>injektions-/infusionsvæske, opløsning</w:t>
      </w:r>
    </w:p>
    <w:p w14:paraId="322D9C60"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Engangshætteglas af type I glas med 15 ml og med bromobutyl gummiprop og forsegling af 20 mm aluminium med gult plastik flip-off låg.</w:t>
      </w:r>
    </w:p>
    <w:p w14:paraId="1AD4DB87" w14:textId="77777777" w:rsidR="00E62E19" w:rsidRPr="00326899" w:rsidRDefault="00E62E19" w:rsidP="00E62E19">
      <w:pPr>
        <w:autoSpaceDE w:val="0"/>
        <w:autoSpaceDN w:val="0"/>
        <w:adjustRightInd w:val="0"/>
        <w:ind w:left="851" w:hanging="851"/>
        <w:rPr>
          <w:rFonts w:eastAsia="TimesNewRoman"/>
          <w:color w:val="000000"/>
          <w:sz w:val="24"/>
          <w:szCs w:val="24"/>
        </w:rPr>
      </w:pPr>
    </w:p>
    <w:p w14:paraId="72F69CE9" w14:textId="77777777" w:rsidR="00E62E19" w:rsidRPr="00F02E9E" w:rsidRDefault="00E62E19" w:rsidP="00E62E19">
      <w:pPr>
        <w:autoSpaceDE w:val="0"/>
        <w:autoSpaceDN w:val="0"/>
        <w:adjustRightInd w:val="0"/>
        <w:ind w:left="851"/>
        <w:rPr>
          <w:rFonts w:eastAsia="TimesNewRoman"/>
          <w:color w:val="000000"/>
          <w:sz w:val="24"/>
          <w:szCs w:val="24"/>
          <w:u w:val="single"/>
        </w:rPr>
      </w:pPr>
      <w:r w:rsidRPr="00F02E9E">
        <w:rPr>
          <w:rFonts w:eastAsia="TimesNewRoman"/>
          <w:color w:val="000000"/>
          <w:sz w:val="24"/>
          <w:szCs w:val="24"/>
          <w:u w:val="single"/>
        </w:rPr>
        <w:t>Daptomycin "</w:t>
      </w:r>
      <w:r w:rsidR="00EE225B">
        <w:rPr>
          <w:rFonts w:eastAsia="TimesNewRoman"/>
          <w:color w:val="000000"/>
          <w:sz w:val="24"/>
          <w:szCs w:val="24"/>
          <w:u w:val="single"/>
        </w:rPr>
        <w:t>Reddy</w:t>
      </w:r>
      <w:r w:rsidRPr="00F02E9E">
        <w:rPr>
          <w:rFonts w:eastAsia="TimesNewRoman"/>
          <w:color w:val="000000"/>
          <w:sz w:val="24"/>
          <w:szCs w:val="24"/>
          <w:u w:val="single"/>
        </w:rPr>
        <w:t xml:space="preserve">" 500 mg pulver til </w:t>
      </w:r>
      <w:r>
        <w:rPr>
          <w:rFonts w:eastAsia="TimesNewRoman"/>
          <w:color w:val="000000"/>
          <w:sz w:val="24"/>
          <w:szCs w:val="24"/>
          <w:u w:val="single"/>
        </w:rPr>
        <w:t>injektions-/infusionsvæske, opløsning</w:t>
      </w:r>
    </w:p>
    <w:p w14:paraId="79EE92CC"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Engangshætteglas af type I glas med 15 ml og med bromobutyl gummiprop og forsegling af 20 mm aluminium med blåt plastik flip-off låg.</w:t>
      </w:r>
    </w:p>
    <w:p w14:paraId="50829B90" w14:textId="77777777" w:rsidR="00E62E19" w:rsidRPr="00326899" w:rsidRDefault="00E62E19" w:rsidP="00E62E19">
      <w:pPr>
        <w:autoSpaceDE w:val="0"/>
        <w:autoSpaceDN w:val="0"/>
        <w:adjustRightInd w:val="0"/>
        <w:ind w:left="851" w:hanging="851"/>
        <w:rPr>
          <w:rFonts w:eastAsia="TimesNewRoman"/>
          <w:color w:val="000000"/>
          <w:sz w:val="24"/>
          <w:szCs w:val="24"/>
        </w:rPr>
      </w:pPr>
    </w:p>
    <w:p w14:paraId="3D96BC1A" w14:textId="77777777" w:rsidR="00E62E19" w:rsidRPr="00326899" w:rsidRDefault="00E62E19" w:rsidP="00E62E19">
      <w:pPr>
        <w:autoSpaceDE w:val="0"/>
        <w:autoSpaceDN w:val="0"/>
        <w:adjustRightInd w:val="0"/>
        <w:ind w:left="851"/>
        <w:rPr>
          <w:rFonts w:eastAsia="TimesNewRoman"/>
          <w:color w:val="000000"/>
          <w:sz w:val="24"/>
          <w:szCs w:val="24"/>
        </w:rPr>
      </w:pPr>
      <w:r>
        <w:rPr>
          <w:rFonts w:eastAsia="TimesNewRoman"/>
          <w:color w:val="000000"/>
          <w:sz w:val="24"/>
          <w:szCs w:val="24"/>
        </w:rPr>
        <w:t>Pakningsstørrelser:</w:t>
      </w:r>
      <w:r w:rsidRPr="00326899">
        <w:rPr>
          <w:rFonts w:eastAsia="TimesNewRoman"/>
          <w:color w:val="000000"/>
          <w:sz w:val="24"/>
          <w:szCs w:val="24"/>
        </w:rPr>
        <w:t xml:space="preserve"> 1 hætteglas </w:t>
      </w:r>
      <w:r>
        <w:rPr>
          <w:rFonts w:eastAsia="TimesNewRoman"/>
          <w:color w:val="000000"/>
          <w:sz w:val="24"/>
          <w:szCs w:val="24"/>
        </w:rPr>
        <w:t>og</w:t>
      </w:r>
      <w:r w:rsidRPr="00326899">
        <w:rPr>
          <w:rFonts w:eastAsia="TimesNewRoman"/>
          <w:color w:val="000000"/>
          <w:sz w:val="24"/>
          <w:szCs w:val="24"/>
        </w:rPr>
        <w:t xml:space="preserve"> 5 hætteglas.</w:t>
      </w:r>
    </w:p>
    <w:p w14:paraId="5ABB14A6" w14:textId="77777777" w:rsidR="00E62E19" w:rsidRPr="00326899" w:rsidRDefault="00E62E19" w:rsidP="00E62E19">
      <w:pPr>
        <w:autoSpaceDE w:val="0"/>
        <w:autoSpaceDN w:val="0"/>
        <w:adjustRightInd w:val="0"/>
        <w:ind w:left="851"/>
        <w:rPr>
          <w:rFonts w:eastAsia="TimesNewRoman"/>
          <w:color w:val="000000"/>
          <w:sz w:val="24"/>
          <w:szCs w:val="24"/>
        </w:rPr>
      </w:pPr>
      <w:r w:rsidRPr="00326899">
        <w:rPr>
          <w:rFonts w:eastAsia="TimesNewRoman"/>
          <w:color w:val="000000"/>
          <w:sz w:val="24"/>
          <w:szCs w:val="24"/>
        </w:rPr>
        <w:t>Ikke alle pakningsstørrelser er nødvendigvis markedsført.</w:t>
      </w:r>
    </w:p>
    <w:p w14:paraId="56141106" w14:textId="77777777" w:rsidR="00E62E19" w:rsidRPr="00326899" w:rsidRDefault="00E62E19" w:rsidP="00E62E19">
      <w:pPr>
        <w:ind w:left="851" w:hanging="851"/>
        <w:rPr>
          <w:sz w:val="24"/>
          <w:szCs w:val="24"/>
        </w:rPr>
      </w:pPr>
    </w:p>
    <w:p w14:paraId="5ADE0286" w14:textId="77777777" w:rsidR="00E55B5C" w:rsidRPr="00E55B5C" w:rsidRDefault="00E62E19" w:rsidP="00E55B5C">
      <w:pPr>
        <w:ind w:left="851" w:hanging="851"/>
        <w:rPr>
          <w:b/>
          <w:sz w:val="24"/>
          <w:szCs w:val="24"/>
        </w:rPr>
      </w:pPr>
      <w:r w:rsidRPr="00326899">
        <w:rPr>
          <w:b/>
          <w:sz w:val="24"/>
          <w:szCs w:val="24"/>
        </w:rPr>
        <w:t>6.6</w:t>
      </w:r>
      <w:r w:rsidRPr="00326899">
        <w:rPr>
          <w:b/>
          <w:sz w:val="24"/>
          <w:szCs w:val="24"/>
        </w:rPr>
        <w:tab/>
        <w:t xml:space="preserve">Regler for </w:t>
      </w:r>
      <w:r w:rsidR="00E55B5C">
        <w:rPr>
          <w:b/>
          <w:sz w:val="24"/>
          <w:szCs w:val="24"/>
        </w:rPr>
        <w:t>bortskaffelse</w:t>
      </w:r>
      <w:r w:rsidRPr="00326899">
        <w:rPr>
          <w:b/>
          <w:sz w:val="24"/>
          <w:szCs w:val="24"/>
        </w:rPr>
        <w:t xml:space="preserve"> og anden håndtering</w:t>
      </w:r>
    </w:p>
    <w:p w14:paraId="1213A560" w14:textId="77777777" w:rsidR="00E55B5C" w:rsidRPr="00E55B5C" w:rsidRDefault="00E55B5C" w:rsidP="00E55B5C">
      <w:pPr>
        <w:autoSpaceDE w:val="0"/>
        <w:autoSpaceDN w:val="0"/>
        <w:adjustRightInd w:val="0"/>
        <w:ind w:left="851"/>
        <w:rPr>
          <w:rFonts w:eastAsia="TimesNewRoman"/>
          <w:color w:val="000000"/>
          <w:sz w:val="24"/>
          <w:szCs w:val="24"/>
        </w:rPr>
      </w:pPr>
      <w:r w:rsidRPr="00E55B5C">
        <w:rPr>
          <w:rFonts w:eastAsia="TimesNewRoman"/>
          <w:color w:val="000000"/>
          <w:sz w:val="24"/>
          <w:szCs w:val="24"/>
        </w:rPr>
        <w:t xml:space="preserve">Hos voksne kan daptomycin administreres intravenøst som infusion over 30 minutter eller som injektion over 2 minutter. </w:t>
      </w:r>
      <w:r w:rsidRPr="00E55B5C">
        <w:rPr>
          <w:sz w:val="24"/>
          <w:szCs w:val="24"/>
        </w:rPr>
        <w:t>Daptomycin må ikke administreres som en 2-minutters injektion til pædiatriske patienter. Pædiatriske patienter i alderen 7 til 17 år skal have administreret daptomycin som en infusion over 30 minutter. Hos pædiatriske patienter under 7 år, der skal have en dosis på 9-12 mg/kg, skal daptomycin administreres over 60 minutter</w:t>
      </w:r>
      <w:r w:rsidRPr="00E55B5C">
        <w:rPr>
          <w:rFonts w:eastAsia="TimesNewRoman"/>
          <w:color w:val="000000"/>
          <w:sz w:val="24"/>
          <w:szCs w:val="24"/>
        </w:rPr>
        <w:t xml:space="preserve"> (se pkt. 4.2 og 5.2). Fremstilling af infusionsvæske kræver et ekstra trin til fortynding, som beskrevet herunder.</w:t>
      </w:r>
    </w:p>
    <w:p w14:paraId="16BC0D6C" w14:textId="77777777" w:rsidR="00E55B5C" w:rsidRPr="00E55B5C" w:rsidRDefault="00E55B5C" w:rsidP="00E55B5C">
      <w:pPr>
        <w:autoSpaceDE w:val="0"/>
        <w:autoSpaceDN w:val="0"/>
        <w:adjustRightInd w:val="0"/>
        <w:ind w:left="851" w:hanging="851"/>
        <w:rPr>
          <w:rFonts w:eastAsia="TimesNewRoman"/>
          <w:color w:val="000000"/>
          <w:sz w:val="24"/>
          <w:szCs w:val="24"/>
        </w:rPr>
      </w:pPr>
    </w:p>
    <w:p w14:paraId="475BAEE4" w14:textId="77777777" w:rsidR="00E55B5C" w:rsidRPr="00E55B5C" w:rsidRDefault="00E55B5C" w:rsidP="00E55B5C">
      <w:pPr>
        <w:autoSpaceDE w:val="0"/>
        <w:autoSpaceDN w:val="0"/>
        <w:adjustRightInd w:val="0"/>
        <w:ind w:left="851"/>
        <w:rPr>
          <w:rFonts w:eastAsia="TimesNewRoman"/>
          <w:i/>
          <w:color w:val="000000"/>
          <w:sz w:val="24"/>
          <w:szCs w:val="24"/>
        </w:rPr>
      </w:pPr>
      <w:r w:rsidRPr="00E55B5C">
        <w:rPr>
          <w:rFonts w:eastAsia="TimesNewRoman"/>
          <w:color w:val="000000"/>
          <w:sz w:val="24"/>
          <w:szCs w:val="24"/>
          <w:u w:val="single"/>
        </w:rPr>
        <w:t>Daptomycin Reddy</w:t>
      </w:r>
      <w:r w:rsidRPr="00E55B5C">
        <w:rPr>
          <w:rFonts w:eastAsia="TimesNewRoman"/>
          <w:iCs/>
          <w:color w:val="000000"/>
          <w:sz w:val="24"/>
          <w:szCs w:val="24"/>
          <w:u w:val="single"/>
        </w:rPr>
        <w:t xml:space="preserve"> givet som 30 eller 60 minutters intravenøs infusion</w:t>
      </w:r>
    </w:p>
    <w:p w14:paraId="235145AF" w14:textId="77777777" w:rsidR="00E55B5C" w:rsidRPr="00E55B5C" w:rsidRDefault="00E55B5C" w:rsidP="00E55B5C">
      <w:pPr>
        <w:autoSpaceDE w:val="0"/>
        <w:autoSpaceDN w:val="0"/>
        <w:adjustRightInd w:val="0"/>
        <w:ind w:left="851" w:hanging="851"/>
        <w:rPr>
          <w:rFonts w:eastAsia="TimesNewRoman"/>
          <w:color w:val="000000"/>
          <w:sz w:val="24"/>
          <w:szCs w:val="24"/>
        </w:rPr>
      </w:pPr>
    </w:p>
    <w:p w14:paraId="7FEB10C7" w14:textId="41302C3B" w:rsidR="00E55B5C" w:rsidRPr="00E55B5C" w:rsidRDefault="00E55B5C" w:rsidP="00E55B5C">
      <w:pPr>
        <w:autoSpaceDE w:val="0"/>
        <w:autoSpaceDN w:val="0"/>
        <w:adjustRightInd w:val="0"/>
        <w:ind w:left="851"/>
        <w:rPr>
          <w:rFonts w:eastAsia="TimesNewRoman"/>
          <w:color w:val="000000"/>
          <w:sz w:val="24"/>
          <w:szCs w:val="24"/>
        </w:rPr>
      </w:pPr>
      <w:r w:rsidRPr="00E55B5C">
        <w:rPr>
          <w:rFonts w:eastAsia="TimesNewRoman"/>
          <w:color w:val="000000"/>
          <w:sz w:val="24"/>
          <w:szCs w:val="24"/>
        </w:rPr>
        <w:t>En 50 mg/ml</w:t>
      </w:r>
      <w:r w:rsidR="00EC6098">
        <w:rPr>
          <w:rFonts w:eastAsia="TimesNewRoman"/>
          <w:color w:val="000000"/>
          <w:sz w:val="24"/>
          <w:szCs w:val="24"/>
        </w:rPr>
        <w:t xml:space="preserve"> </w:t>
      </w:r>
      <w:r w:rsidRPr="00E55B5C">
        <w:rPr>
          <w:rFonts w:eastAsia="TimesNewRoman"/>
          <w:color w:val="000000"/>
          <w:sz w:val="24"/>
          <w:szCs w:val="24"/>
        </w:rPr>
        <w:t xml:space="preserve">koncentration af </w:t>
      </w:r>
      <w:r w:rsidRPr="00E55B5C">
        <w:rPr>
          <w:sz w:val="24"/>
          <w:szCs w:val="24"/>
        </w:rPr>
        <w:t>Daptomycin Reddy 350 mg pulver til infusionsvæske, opløsning,</w:t>
      </w:r>
      <w:r w:rsidRPr="00E55B5C">
        <w:rPr>
          <w:rFonts w:eastAsia="TimesNewRoman"/>
          <w:color w:val="000000"/>
          <w:sz w:val="24"/>
          <w:szCs w:val="24"/>
        </w:rPr>
        <w:t xml:space="preserve"> opnås ved rekonstitution af det lyofiliserede produkt med 7 ml natriumchlorid 9 mg/ml (0,9 %) injektionsvæske.</w:t>
      </w:r>
    </w:p>
    <w:p w14:paraId="77EFAA0F" w14:textId="77777777" w:rsidR="00E55B5C" w:rsidRPr="00E55B5C" w:rsidRDefault="00E55B5C" w:rsidP="00E55B5C">
      <w:pPr>
        <w:autoSpaceDE w:val="0"/>
        <w:autoSpaceDN w:val="0"/>
        <w:adjustRightInd w:val="0"/>
        <w:ind w:left="851" w:hanging="851"/>
        <w:rPr>
          <w:rFonts w:eastAsia="TimesNewRoman"/>
          <w:color w:val="000000"/>
          <w:sz w:val="24"/>
          <w:szCs w:val="24"/>
        </w:rPr>
      </w:pPr>
    </w:p>
    <w:p w14:paraId="405C06BF" w14:textId="77777777" w:rsidR="00E55B5C" w:rsidRPr="00E55B5C" w:rsidRDefault="00E55B5C" w:rsidP="00E55B5C">
      <w:pPr>
        <w:autoSpaceDE w:val="0"/>
        <w:autoSpaceDN w:val="0"/>
        <w:adjustRightInd w:val="0"/>
        <w:ind w:left="851"/>
        <w:rPr>
          <w:sz w:val="24"/>
          <w:szCs w:val="24"/>
        </w:rPr>
      </w:pPr>
      <w:r w:rsidRPr="00E55B5C">
        <w:rPr>
          <w:sz w:val="24"/>
          <w:szCs w:val="24"/>
        </w:rPr>
        <w:t>En 50 mg/ml koncentration af Daptomycin Reddy 500 mg pulver til infusionsvæske, opløsning, opnås ved rekonstitution af</w:t>
      </w:r>
      <w:r w:rsidRPr="00E55B5C">
        <w:rPr>
          <w:rFonts w:eastAsia="TimesNewRoman"/>
          <w:color w:val="000000"/>
          <w:sz w:val="24"/>
          <w:szCs w:val="24"/>
        </w:rPr>
        <w:t>det lyofiliserede produkt</w:t>
      </w:r>
      <w:bookmarkStart w:id="1" w:name="_Hlk47970191"/>
      <w:r w:rsidRPr="00E55B5C">
        <w:rPr>
          <w:rFonts w:eastAsia="TimesNewRoman"/>
          <w:color w:val="000000"/>
          <w:sz w:val="24"/>
          <w:szCs w:val="24"/>
        </w:rPr>
        <w:t xml:space="preserve"> </w:t>
      </w:r>
      <w:r w:rsidRPr="00E55B5C">
        <w:rPr>
          <w:sz w:val="24"/>
          <w:szCs w:val="24"/>
        </w:rPr>
        <w:t>med 10 ml natriumchlorid 9 mg/ml (0,9 %) injektionsvæske</w:t>
      </w:r>
      <w:bookmarkEnd w:id="1"/>
      <w:r w:rsidRPr="00E55B5C">
        <w:rPr>
          <w:rFonts w:eastAsia="TimesNewRoman"/>
          <w:color w:val="000000"/>
          <w:sz w:val="24"/>
          <w:szCs w:val="24"/>
        </w:rPr>
        <w:t>.</w:t>
      </w:r>
    </w:p>
    <w:p w14:paraId="257BAC9F" w14:textId="77777777" w:rsidR="00E55B5C" w:rsidRPr="00E55B5C" w:rsidRDefault="00E55B5C" w:rsidP="00E55B5C">
      <w:pPr>
        <w:autoSpaceDE w:val="0"/>
        <w:autoSpaceDN w:val="0"/>
        <w:adjustRightInd w:val="0"/>
        <w:ind w:left="851" w:hanging="851"/>
        <w:rPr>
          <w:rFonts w:eastAsia="TimesNewRoman"/>
          <w:color w:val="000000"/>
          <w:sz w:val="24"/>
          <w:szCs w:val="24"/>
        </w:rPr>
      </w:pPr>
    </w:p>
    <w:p w14:paraId="149A246F" w14:textId="77777777" w:rsidR="00E55B5C" w:rsidRPr="00E55B5C" w:rsidRDefault="00E55B5C" w:rsidP="00E55B5C">
      <w:pPr>
        <w:autoSpaceDE w:val="0"/>
        <w:autoSpaceDN w:val="0"/>
        <w:adjustRightInd w:val="0"/>
        <w:ind w:left="851"/>
        <w:rPr>
          <w:rFonts w:eastAsia="TimesNewRoman"/>
          <w:color w:val="000000"/>
          <w:sz w:val="24"/>
          <w:szCs w:val="24"/>
        </w:rPr>
      </w:pPr>
      <w:r w:rsidRPr="00E55B5C">
        <w:rPr>
          <w:rFonts w:eastAsia="TimesNewRoman"/>
          <w:color w:val="000000"/>
          <w:sz w:val="24"/>
          <w:szCs w:val="24"/>
        </w:rPr>
        <w:t>Det tager ca. 15 minutter at opløse det lyofiliserede produkt. Det fuldt rekonstituerede produkt fremstår klart, og der er eventuelt et par små bobler eller skum langs kanten på hætteglasset.</w:t>
      </w:r>
    </w:p>
    <w:p w14:paraId="7874738A" w14:textId="77777777" w:rsidR="00E55B5C" w:rsidRPr="00E55B5C" w:rsidRDefault="00E55B5C" w:rsidP="00E55B5C">
      <w:pPr>
        <w:autoSpaceDE w:val="0"/>
        <w:autoSpaceDN w:val="0"/>
        <w:adjustRightInd w:val="0"/>
        <w:ind w:left="851"/>
        <w:rPr>
          <w:rFonts w:eastAsia="TimesNewRoman"/>
          <w:color w:val="000000"/>
          <w:sz w:val="24"/>
          <w:szCs w:val="24"/>
        </w:rPr>
      </w:pPr>
    </w:p>
    <w:p w14:paraId="26815E56" w14:textId="77777777" w:rsidR="00E55B5C" w:rsidRPr="00E55B5C" w:rsidRDefault="00E55B5C" w:rsidP="00E55B5C">
      <w:pPr>
        <w:ind w:left="851"/>
        <w:rPr>
          <w:sz w:val="24"/>
          <w:szCs w:val="24"/>
        </w:rPr>
      </w:pPr>
      <w:r w:rsidRPr="00E55B5C">
        <w:rPr>
          <w:i/>
          <w:sz w:val="24"/>
          <w:szCs w:val="24"/>
        </w:rPr>
        <w:t>Daptomycin Reddy 350 mg pulver til injektions-/infusionsvæske, opløsning</w:t>
      </w:r>
    </w:p>
    <w:p w14:paraId="4C0CBD9E" w14:textId="77777777" w:rsidR="00E55B5C" w:rsidRPr="00E55B5C" w:rsidRDefault="00E55B5C" w:rsidP="00E55B5C">
      <w:pPr>
        <w:autoSpaceDE w:val="0"/>
        <w:autoSpaceDN w:val="0"/>
        <w:adjustRightInd w:val="0"/>
        <w:ind w:left="851"/>
        <w:rPr>
          <w:rFonts w:eastAsia="TimesNewRoman"/>
          <w:color w:val="000000"/>
          <w:sz w:val="24"/>
          <w:szCs w:val="24"/>
        </w:rPr>
      </w:pPr>
    </w:p>
    <w:p w14:paraId="1FD32EF7" w14:textId="77777777" w:rsidR="00E55B5C" w:rsidRPr="00E55B5C" w:rsidRDefault="00E55B5C" w:rsidP="00E55B5C">
      <w:pPr>
        <w:autoSpaceDE w:val="0"/>
        <w:autoSpaceDN w:val="0"/>
        <w:adjustRightInd w:val="0"/>
        <w:ind w:left="851"/>
        <w:rPr>
          <w:rFonts w:eastAsia="TimesNewRoman"/>
          <w:color w:val="000000"/>
          <w:sz w:val="24"/>
          <w:szCs w:val="24"/>
        </w:rPr>
      </w:pPr>
      <w:r w:rsidRPr="00E55B5C">
        <w:rPr>
          <w:rFonts w:eastAsia="TimesNewRoman"/>
          <w:color w:val="000000"/>
          <w:sz w:val="24"/>
          <w:szCs w:val="24"/>
        </w:rPr>
        <w:lastRenderedPageBreak/>
        <w:t>Ved fremstilling af Daptomycin Reddy til intravenøs infusion skal følgende instruktioner følges:</w:t>
      </w:r>
    </w:p>
    <w:p w14:paraId="03BD8809" w14:textId="77777777" w:rsidR="00E55B5C" w:rsidRPr="00E55B5C" w:rsidRDefault="00E55B5C" w:rsidP="00E55B5C">
      <w:pPr>
        <w:autoSpaceDE w:val="0"/>
        <w:autoSpaceDN w:val="0"/>
        <w:adjustRightInd w:val="0"/>
        <w:ind w:left="851"/>
        <w:rPr>
          <w:rFonts w:eastAsia="TimesNewRoman"/>
          <w:color w:val="000000"/>
          <w:sz w:val="24"/>
          <w:szCs w:val="24"/>
        </w:rPr>
      </w:pPr>
      <w:r w:rsidRPr="00E55B5C">
        <w:rPr>
          <w:rFonts w:eastAsia="TimesNewRoman"/>
          <w:color w:val="000000"/>
          <w:sz w:val="24"/>
          <w:szCs w:val="24"/>
        </w:rPr>
        <w:t>Der skal anvendes aseptisk teknik, når lyofiliseret Daptomycin Reddy rekonstitueres eller fortyndes.</w:t>
      </w:r>
    </w:p>
    <w:p w14:paraId="19186DA1" w14:textId="77777777" w:rsidR="00E55B5C" w:rsidRPr="00E55B5C" w:rsidRDefault="00E55B5C" w:rsidP="00E55B5C">
      <w:pPr>
        <w:autoSpaceDE w:val="0"/>
        <w:autoSpaceDN w:val="0"/>
        <w:adjustRightInd w:val="0"/>
        <w:ind w:left="851" w:hanging="851"/>
        <w:rPr>
          <w:rFonts w:eastAsia="TimesNewRoman"/>
          <w:color w:val="000000"/>
          <w:sz w:val="24"/>
          <w:szCs w:val="24"/>
        </w:rPr>
      </w:pPr>
    </w:p>
    <w:p w14:paraId="59328158" w14:textId="77777777" w:rsidR="00E55B5C" w:rsidRPr="00E55B5C" w:rsidRDefault="00E55B5C" w:rsidP="00E55B5C">
      <w:pPr>
        <w:keepNext/>
        <w:ind w:left="851"/>
        <w:rPr>
          <w:rFonts w:eastAsia="TimesNewRoman"/>
          <w:color w:val="000000"/>
          <w:sz w:val="24"/>
          <w:szCs w:val="24"/>
          <w:u w:val="single"/>
        </w:rPr>
      </w:pPr>
      <w:r w:rsidRPr="00E55B5C">
        <w:rPr>
          <w:rFonts w:eastAsiaTheme="minorHAnsi"/>
          <w:sz w:val="24"/>
          <w:szCs w:val="24"/>
          <w:u w:val="single"/>
        </w:rPr>
        <w:t>Til rekonstitution:</w:t>
      </w:r>
    </w:p>
    <w:p w14:paraId="0198EE3B" w14:textId="77777777" w:rsidR="00E55B5C" w:rsidRPr="00E55B5C" w:rsidRDefault="00E55B5C" w:rsidP="00E55B5C">
      <w:pPr>
        <w:pStyle w:val="Listeafsnit"/>
        <w:numPr>
          <w:ilvl w:val="0"/>
          <w:numId w:val="14"/>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t>Flip-off låget af polypropylen skal fjernes, så gummiproppens midte kan ses. Tør toppen af gummiproppen af med en spritserviet eller et andet desinfektionsmiddel og lad den tørre. Efter rensning må gummiproppen ikke berøres eller komme i kontakt med noget andet. Træk 7 ml af 9 mg/ml (0,9 %) natriumchloridinjektionsvæske op i en sprøjte ved anvendelse af en steril kanyle på 21 G eller mindre i diameter eller anvend en anordning uden kanyle til overførslen og injicer derefter injektionsvæsken langsomt gennem gummiproppens centrum ind i hætteglasset. Kanylen skal have retning mod hætteglassets væg.</w:t>
      </w:r>
    </w:p>
    <w:p w14:paraId="62F7F811" w14:textId="77777777" w:rsidR="00E55B5C" w:rsidRPr="00E55B5C" w:rsidRDefault="00E55B5C" w:rsidP="00E55B5C">
      <w:pPr>
        <w:pStyle w:val="Listeafsnit"/>
        <w:numPr>
          <w:ilvl w:val="0"/>
          <w:numId w:val="14"/>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t>Hætteglasset skal roteres forsigtigt for at sikre komplet gennemfugtning af pulveret og derefter hvile i 10 minutter.</w:t>
      </w:r>
    </w:p>
    <w:p w14:paraId="5DF48B94" w14:textId="77777777" w:rsidR="00E55B5C" w:rsidRPr="00E55B5C" w:rsidRDefault="00E55B5C" w:rsidP="00E55B5C">
      <w:pPr>
        <w:pStyle w:val="Listeafsnit"/>
        <w:numPr>
          <w:ilvl w:val="0"/>
          <w:numId w:val="14"/>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t>Til slut skal hætteglasset roteres forsigtigt i et par minutter, så der opnås en klar rekonstitueret opløsning. Det bør undgås at ryste kraftigt, så præparatet ikke skummer.</w:t>
      </w:r>
    </w:p>
    <w:p w14:paraId="099B852F" w14:textId="77777777" w:rsidR="00E55B5C" w:rsidRPr="00E55B5C" w:rsidRDefault="00E55B5C" w:rsidP="00E55B5C">
      <w:pPr>
        <w:pStyle w:val="Listeafsnit"/>
        <w:numPr>
          <w:ilvl w:val="0"/>
          <w:numId w:val="14"/>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t>Den rekonstituerede opløsning skal undersøges nøje for at sikre, at præparatet er opløst og inspiceres visuelt for partikler før brug. Rekonstituerede opløsninger af Daptomycin Reddy har en lysegul til let brun farve.</w:t>
      </w:r>
    </w:p>
    <w:p w14:paraId="2E511C70" w14:textId="77777777" w:rsidR="00E55B5C" w:rsidRPr="00E55B5C" w:rsidRDefault="00E55B5C" w:rsidP="00E55B5C">
      <w:pPr>
        <w:pStyle w:val="Listeafsnit"/>
        <w:numPr>
          <w:ilvl w:val="0"/>
          <w:numId w:val="14"/>
        </w:numPr>
        <w:ind w:left="1276" w:hanging="425"/>
        <w:rPr>
          <w:rFonts w:ascii="Times New Roman" w:hAnsi="Times New Roman" w:cs="Times New Roman"/>
          <w:sz w:val="24"/>
          <w:szCs w:val="24"/>
        </w:rPr>
      </w:pPr>
      <w:r w:rsidRPr="00E55B5C">
        <w:rPr>
          <w:rFonts w:ascii="Times New Roman" w:hAnsi="Times New Roman" w:cs="Times New Roman"/>
          <w:sz w:val="24"/>
          <w:szCs w:val="24"/>
        </w:rPr>
        <w:t>Den rekonstituerede opløsning skal derefter fortyndes med natriumchlorid 9 mg/ml (0,9 %) (typisk mængde 50 ml).</w:t>
      </w:r>
    </w:p>
    <w:p w14:paraId="78BCCFA6" w14:textId="77777777" w:rsidR="00E55B5C" w:rsidRPr="00E55B5C" w:rsidRDefault="00E55B5C" w:rsidP="00E55B5C">
      <w:pPr>
        <w:ind w:left="360"/>
        <w:rPr>
          <w:sz w:val="24"/>
          <w:szCs w:val="24"/>
        </w:rPr>
      </w:pPr>
    </w:p>
    <w:p w14:paraId="7E7700C5" w14:textId="77777777" w:rsidR="00E55B5C" w:rsidRPr="00E55B5C" w:rsidRDefault="00E55B5C" w:rsidP="00E55B5C">
      <w:pPr>
        <w:keepNext/>
        <w:ind w:left="360"/>
        <w:rPr>
          <w:sz w:val="24"/>
          <w:szCs w:val="24"/>
          <w:u w:val="single"/>
        </w:rPr>
      </w:pPr>
      <w:r w:rsidRPr="00E55B5C">
        <w:rPr>
          <w:sz w:val="24"/>
          <w:szCs w:val="24"/>
          <w:u w:val="single"/>
        </w:rPr>
        <w:t>Til fortynding:</w:t>
      </w:r>
    </w:p>
    <w:p w14:paraId="3665944E" w14:textId="77777777" w:rsidR="00E55B5C" w:rsidRPr="00E55B5C" w:rsidRDefault="00E55B5C" w:rsidP="00E55B5C">
      <w:pPr>
        <w:pStyle w:val="Listeafsnit"/>
        <w:numPr>
          <w:ilvl w:val="0"/>
          <w:numId w:val="22"/>
        </w:numPr>
        <w:spacing w:line="240" w:lineRule="auto"/>
        <w:rPr>
          <w:sz w:val="24"/>
          <w:szCs w:val="24"/>
        </w:rPr>
      </w:pPr>
      <w:r w:rsidRPr="00E55B5C">
        <w:rPr>
          <w:rFonts w:ascii="Times New Roman" w:eastAsia="TimesNewRoman" w:hAnsi="Times New Roman" w:cs="Times New Roman"/>
          <w:color w:val="000000"/>
          <w:sz w:val="24"/>
          <w:szCs w:val="24"/>
        </w:rPr>
        <w:t xml:space="preserve">Fjern den rekonstituerede væske (50 mg daptomycin/ml) langsomt fra hætteglasset </w:t>
      </w:r>
      <w:r w:rsidRPr="00E55B5C">
        <w:rPr>
          <w:rFonts w:ascii="Times New Roman" w:hAnsi="Times New Roman" w:cs="Times New Roman"/>
          <w:sz w:val="24"/>
          <w:szCs w:val="24"/>
        </w:rPr>
        <w:t>med en ny steril kanyle, som er 21 G eller mindre i diameter, ved at vende hætteglasset på hovedet for at lade opløsningen løbe mod gummiproppen. Brug en injektionssprøjte og stik kanylen ind i hætteglasset. Mens hætteglasset stadig holdes på hovedet, skal du anbringe kanylespidsen i bunden af opløsningen i hætteglasset, mens du trækker opløsningen op i injektionssprøjten. Før du fjerner kanylen fra hætteglasset, skal du trække stemplet helt tilbage i injektionssprøjten for at få den påkrævede mængde opløsning ud af hætteglasset.</w:t>
      </w:r>
    </w:p>
    <w:p w14:paraId="71F74F39" w14:textId="77777777" w:rsidR="00E55B5C" w:rsidRPr="00E55B5C" w:rsidRDefault="00E55B5C" w:rsidP="00E55B5C">
      <w:pPr>
        <w:ind w:left="1276" w:hanging="567"/>
        <w:rPr>
          <w:sz w:val="24"/>
          <w:szCs w:val="24"/>
        </w:rPr>
      </w:pPr>
      <w:r w:rsidRPr="00E55B5C">
        <w:rPr>
          <w:sz w:val="24"/>
          <w:szCs w:val="24"/>
        </w:rPr>
        <w:t>2.</w:t>
      </w:r>
      <w:r w:rsidRPr="00E55B5C">
        <w:rPr>
          <w:sz w:val="24"/>
          <w:szCs w:val="24"/>
        </w:rPr>
        <w:tab/>
        <w:t>Fjern luft, store luftbobler og eventuel overskydende opløsning for at få den korrekte dosis.</w:t>
      </w:r>
    </w:p>
    <w:p w14:paraId="37A72436" w14:textId="77777777" w:rsidR="00E55B5C" w:rsidRPr="00E55B5C" w:rsidRDefault="00E55B5C" w:rsidP="00E55B5C">
      <w:pPr>
        <w:ind w:left="1276" w:hanging="567"/>
        <w:rPr>
          <w:sz w:val="24"/>
          <w:szCs w:val="24"/>
        </w:rPr>
      </w:pPr>
      <w:r w:rsidRPr="00E55B5C">
        <w:rPr>
          <w:sz w:val="24"/>
          <w:szCs w:val="24"/>
        </w:rPr>
        <w:t>3.</w:t>
      </w:r>
      <w:r w:rsidRPr="00E55B5C">
        <w:rPr>
          <w:sz w:val="24"/>
          <w:szCs w:val="24"/>
        </w:rPr>
        <w:tab/>
        <w:t>Overfør den påkrævede rekonstituerede dosis til 50 ml natriumchlorid 9 mg/ml (0,9 %).</w:t>
      </w:r>
    </w:p>
    <w:p w14:paraId="2224F1AD" w14:textId="77777777" w:rsidR="00E55B5C" w:rsidRPr="00E55B5C" w:rsidRDefault="00E55B5C" w:rsidP="00E55B5C">
      <w:pPr>
        <w:ind w:left="1276" w:hanging="567"/>
        <w:rPr>
          <w:sz w:val="24"/>
          <w:szCs w:val="24"/>
        </w:rPr>
      </w:pPr>
      <w:r w:rsidRPr="00E55B5C">
        <w:rPr>
          <w:sz w:val="24"/>
          <w:szCs w:val="24"/>
        </w:rPr>
        <w:t>4.</w:t>
      </w:r>
      <w:r w:rsidRPr="00E55B5C">
        <w:rPr>
          <w:sz w:val="24"/>
          <w:szCs w:val="24"/>
        </w:rPr>
        <w:tab/>
        <w:t>Den rekonstituerede og fortyndede opløsning skal gives som intravenøs infusion over 30 eller 60 minutter som anført i pkt. 4.2.</w:t>
      </w:r>
    </w:p>
    <w:p w14:paraId="7E584D50" w14:textId="77777777" w:rsidR="00E55B5C" w:rsidRPr="00E55B5C" w:rsidRDefault="00E55B5C" w:rsidP="00E55B5C">
      <w:pPr>
        <w:ind w:left="360"/>
        <w:rPr>
          <w:sz w:val="24"/>
          <w:szCs w:val="24"/>
        </w:rPr>
      </w:pPr>
    </w:p>
    <w:p w14:paraId="1C9B039B" w14:textId="77777777" w:rsidR="00E55B5C" w:rsidRPr="00E55B5C" w:rsidRDefault="00E55B5C" w:rsidP="00E55B5C">
      <w:pPr>
        <w:keepNext/>
        <w:ind w:left="360"/>
        <w:rPr>
          <w:sz w:val="24"/>
          <w:szCs w:val="24"/>
        </w:rPr>
      </w:pPr>
      <w:r w:rsidRPr="00E55B5C">
        <w:rPr>
          <w:i/>
          <w:sz w:val="24"/>
          <w:szCs w:val="24"/>
        </w:rPr>
        <w:t>Daptomycin Reddy 500 mg pulver til injektions-/infusionsvæske, opløsning</w:t>
      </w:r>
    </w:p>
    <w:p w14:paraId="01E6096F" w14:textId="77777777" w:rsidR="00E55B5C" w:rsidRPr="00E55B5C" w:rsidRDefault="00E55B5C" w:rsidP="00E55B5C">
      <w:pPr>
        <w:ind w:left="360"/>
        <w:rPr>
          <w:sz w:val="24"/>
          <w:szCs w:val="24"/>
        </w:rPr>
      </w:pPr>
    </w:p>
    <w:p w14:paraId="71049CAC" w14:textId="77777777" w:rsidR="00E55B5C" w:rsidRPr="00E55B5C" w:rsidRDefault="00E55B5C" w:rsidP="00E55B5C">
      <w:pPr>
        <w:ind w:left="360"/>
        <w:rPr>
          <w:sz w:val="24"/>
          <w:szCs w:val="24"/>
        </w:rPr>
      </w:pPr>
      <w:r w:rsidRPr="00E55B5C">
        <w:rPr>
          <w:sz w:val="24"/>
          <w:szCs w:val="24"/>
        </w:rPr>
        <w:t>Ved fremstilling af Daptomycin Reddy til intravenøs infusion skal følgende instruktioner følges:</w:t>
      </w:r>
    </w:p>
    <w:p w14:paraId="58FB58EA" w14:textId="77777777" w:rsidR="00E55B5C" w:rsidRPr="00E55B5C" w:rsidRDefault="00E55B5C" w:rsidP="00E55B5C">
      <w:pPr>
        <w:keepNext/>
        <w:ind w:left="360"/>
        <w:rPr>
          <w:sz w:val="24"/>
          <w:szCs w:val="24"/>
        </w:rPr>
      </w:pPr>
      <w:r w:rsidRPr="00E55B5C">
        <w:rPr>
          <w:sz w:val="24"/>
          <w:szCs w:val="24"/>
        </w:rPr>
        <w:t>Der skal anvendes aseptisk teknik, når lyofiliseret Daptomycin Reddy rekonstitueres eller fortyndes.</w:t>
      </w:r>
    </w:p>
    <w:p w14:paraId="3D8EDF1A" w14:textId="77777777" w:rsidR="00E55B5C" w:rsidRPr="00E55B5C" w:rsidRDefault="00E55B5C" w:rsidP="00E55B5C">
      <w:pPr>
        <w:keepNext/>
        <w:ind w:left="360"/>
        <w:rPr>
          <w:sz w:val="24"/>
          <w:szCs w:val="24"/>
        </w:rPr>
      </w:pPr>
    </w:p>
    <w:p w14:paraId="2D11B6F9" w14:textId="77777777" w:rsidR="00E55B5C" w:rsidRPr="00E55B5C" w:rsidRDefault="00E55B5C" w:rsidP="00E55B5C">
      <w:pPr>
        <w:keepNext/>
        <w:ind w:left="360"/>
        <w:rPr>
          <w:sz w:val="24"/>
          <w:szCs w:val="24"/>
          <w:u w:val="single"/>
        </w:rPr>
      </w:pPr>
      <w:r w:rsidRPr="00E55B5C">
        <w:rPr>
          <w:sz w:val="24"/>
          <w:szCs w:val="24"/>
          <w:u w:val="single"/>
        </w:rPr>
        <w:t>Til rekonstitution:</w:t>
      </w:r>
    </w:p>
    <w:p w14:paraId="1BA52FB9" w14:textId="77777777" w:rsidR="00E55B5C" w:rsidRPr="00E55B5C" w:rsidRDefault="00E55B5C" w:rsidP="00E55B5C">
      <w:pPr>
        <w:ind w:left="927" w:hanging="567"/>
        <w:rPr>
          <w:sz w:val="24"/>
          <w:szCs w:val="24"/>
        </w:rPr>
      </w:pPr>
      <w:r w:rsidRPr="00E55B5C">
        <w:rPr>
          <w:sz w:val="24"/>
          <w:szCs w:val="24"/>
        </w:rPr>
        <w:t>1.</w:t>
      </w:r>
      <w:r w:rsidRPr="00E55B5C">
        <w:rPr>
          <w:sz w:val="24"/>
          <w:szCs w:val="24"/>
        </w:rPr>
        <w:tab/>
        <w:t xml:space="preserve">Flip-off låget af polypropylen skal fjernes, så gummiproppens midte kan ses. Tør toppen af gummiproppen af med en spritserviet eller et andet desinfektionsmiddel og lad den tørre. Efter rensning må gummiproppen ikke berøres eller komme i kontakt med noget </w:t>
      </w:r>
      <w:r w:rsidRPr="00E55B5C">
        <w:rPr>
          <w:sz w:val="24"/>
          <w:szCs w:val="24"/>
        </w:rPr>
        <w:lastRenderedPageBreak/>
        <w:t>andet. Træk 10 ml af 9 mg/ml (0,9 %) natriumchloridinjektionsvæske op i en sprøjte ved anvendelse af en steril kanyle på 21 G eller mindre i diameter eller anvend en anordning uden kanyle til overførslen og injicer derefter injektionsvæsken langsomt gennem gummiproppens centrum ind i hætteglasset. Kanylen skal have retning mod hætteglassets væg.</w:t>
      </w:r>
    </w:p>
    <w:p w14:paraId="2B2487B4" w14:textId="77777777" w:rsidR="00E55B5C" w:rsidRPr="00E55B5C" w:rsidRDefault="00E55B5C" w:rsidP="00E55B5C">
      <w:pPr>
        <w:ind w:left="927" w:hanging="567"/>
        <w:rPr>
          <w:sz w:val="24"/>
          <w:szCs w:val="24"/>
        </w:rPr>
      </w:pPr>
      <w:r w:rsidRPr="00E55B5C">
        <w:rPr>
          <w:sz w:val="24"/>
          <w:szCs w:val="24"/>
        </w:rPr>
        <w:t>2.</w:t>
      </w:r>
      <w:r w:rsidRPr="00E55B5C">
        <w:rPr>
          <w:sz w:val="24"/>
          <w:szCs w:val="24"/>
        </w:rPr>
        <w:tab/>
        <w:t>Hætteglasset skal roteres forsigtigt for at sikre komplet gennemfugtning af pulveret og derefter hvile i 10 minutter.</w:t>
      </w:r>
    </w:p>
    <w:p w14:paraId="3376C069" w14:textId="77777777" w:rsidR="00E55B5C" w:rsidRPr="00E55B5C" w:rsidRDefault="00E55B5C" w:rsidP="00E55B5C">
      <w:pPr>
        <w:ind w:left="927" w:hanging="567"/>
        <w:rPr>
          <w:sz w:val="24"/>
          <w:szCs w:val="24"/>
        </w:rPr>
      </w:pPr>
      <w:r w:rsidRPr="00E55B5C">
        <w:rPr>
          <w:sz w:val="24"/>
          <w:szCs w:val="24"/>
        </w:rPr>
        <w:t>3.</w:t>
      </w:r>
      <w:r w:rsidRPr="00E55B5C">
        <w:rPr>
          <w:sz w:val="24"/>
          <w:szCs w:val="24"/>
        </w:rPr>
        <w:tab/>
        <w:t>Til slut skal hætteglasset roteres forsigtigt i et par minutter, så der opnås en klar rekonstitueret opløsning. Det bør undgås at ryste kraftigt, så præparatet ikke skummer.</w:t>
      </w:r>
    </w:p>
    <w:p w14:paraId="6DC04293" w14:textId="77777777" w:rsidR="00E55B5C" w:rsidRPr="00E55B5C" w:rsidRDefault="00E55B5C" w:rsidP="00E55B5C">
      <w:pPr>
        <w:ind w:left="927" w:hanging="567"/>
        <w:rPr>
          <w:sz w:val="24"/>
          <w:szCs w:val="24"/>
        </w:rPr>
      </w:pPr>
      <w:r w:rsidRPr="00E55B5C">
        <w:rPr>
          <w:sz w:val="24"/>
          <w:szCs w:val="24"/>
        </w:rPr>
        <w:t>4.</w:t>
      </w:r>
      <w:r w:rsidRPr="00E55B5C">
        <w:rPr>
          <w:sz w:val="24"/>
          <w:szCs w:val="24"/>
        </w:rPr>
        <w:tab/>
        <w:t>Den rekonstituerede opløsning skal undersøges nøje for at sikre, at præparatet er opløst og inspiceres visuelt for partikler før brug. Rekonstituerede opløsninger af Daptomycin Reddy har en lysegul til let brun farve.</w:t>
      </w:r>
    </w:p>
    <w:p w14:paraId="03C6F7B8" w14:textId="77777777" w:rsidR="00E55B5C" w:rsidRPr="00E55B5C" w:rsidRDefault="00E55B5C" w:rsidP="00E55B5C">
      <w:pPr>
        <w:ind w:left="927" w:hanging="567"/>
        <w:rPr>
          <w:sz w:val="24"/>
          <w:szCs w:val="24"/>
        </w:rPr>
      </w:pPr>
      <w:r w:rsidRPr="00E55B5C">
        <w:rPr>
          <w:sz w:val="24"/>
          <w:szCs w:val="24"/>
        </w:rPr>
        <w:t>5.</w:t>
      </w:r>
      <w:r w:rsidRPr="00E55B5C">
        <w:rPr>
          <w:sz w:val="24"/>
          <w:szCs w:val="24"/>
        </w:rPr>
        <w:tab/>
        <w:t>Den rekonstituerede opløsning skal derefter fortyndes med natriumchlorid 9 mg/ml (0,9 %) (typisk mængde 50 ml).</w:t>
      </w:r>
    </w:p>
    <w:p w14:paraId="0319FA21" w14:textId="77777777" w:rsidR="00E55B5C" w:rsidRPr="00E55B5C" w:rsidRDefault="00E55B5C" w:rsidP="00E55B5C">
      <w:pPr>
        <w:ind w:left="360"/>
        <w:rPr>
          <w:sz w:val="24"/>
          <w:szCs w:val="24"/>
        </w:rPr>
      </w:pPr>
    </w:p>
    <w:p w14:paraId="169D84E1" w14:textId="77777777" w:rsidR="00E55B5C" w:rsidRPr="00E55B5C" w:rsidRDefault="00E55B5C" w:rsidP="00E55B5C">
      <w:pPr>
        <w:keepNext/>
        <w:ind w:left="360"/>
        <w:rPr>
          <w:sz w:val="24"/>
          <w:szCs w:val="24"/>
        </w:rPr>
      </w:pPr>
      <w:r w:rsidRPr="00E55B5C">
        <w:rPr>
          <w:i/>
          <w:sz w:val="24"/>
          <w:szCs w:val="24"/>
        </w:rPr>
        <w:t>Til fortynding</w:t>
      </w:r>
      <w:r w:rsidRPr="00E55B5C">
        <w:rPr>
          <w:sz w:val="24"/>
          <w:szCs w:val="24"/>
        </w:rPr>
        <w:t>:</w:t>
      </w:r>
    </w:p>
    <w:p w14:paraId="33FF6AC2" w14:textId="77777777" w:rsidR="00E55B5C" w:rsidRPr="00E55B5C" w:rsidRDefault="00E55B5C" w:rsidP="00E55B5C">
      <w:pPr>
        <w:ind w:left="927" w:hanging="567"/>
        <w:rPr>
          <w:sz w:val="24"/>
          <w:szCs w:val="24"/>
        </w:rPr>
      </w:pPr>
      <w:r w:rsidRPr="00E55B5C">
        <w:rPr>
          <w:sz w:val="24"/>
          <w:szCs w:val="24"/>
        </w:rPr>
        <w:t>1.</w:t>
      </w:r>
      <w:r w:rsidRPr="00E55B5C">
        <w:rPr>
          <w:sz w:val="24"/>
          <w:szCs w:val="24"/>
        </w:rPr>
        <w:tab/>
        <w:t>Fjern den rekonstituerede væske (50 mg daptomycin/ml) langsomt fra hætteglasset med en ny steril kanyle, som er 21 G eller mindre i diameter, ved at vende hætteglasset på hovedet for at lade opløsningen løbe mod gummiproppen. Brug en injektionssprøjte og stik kanylen ind i hætteglasset. Mens hætteglasset stadig holdes på hovedet, skal du anbringe kanylespidsen i bunden af opløsningen i hætteglasset, mens du trækker opløsningen op i injektionssprøjten. Før du fjerner kanylen fra hætteglasset, skal du trække stemplet helt tilbage i injektionssprøjten for at få den påkrævede mængde opløsning ud af hætteglasset.</w:t>
      </w:r>
    </w:p>
    <w:p w14:paraId="68AF55BD" w14:textId="77777777" w:rsidR="00E55B5C" w:rsidRPr="00E55B5C" w:rsidRDefault="00E55B5C" w:rsidP="00E55B5C">
      <w:pPr>
        <w:ind w:left="927" w:hanging="567"/>
        <w:rPr>
          <w:sz w:val="24"/>
          <w:szCs w:val="24"/>
        </w:rPr>
      </w:pPr>
      <w:r w:rsidRPr="00E55B5C">
        <w:rPr>
          <w:sz w:val="24"/>
          <w:szCs w:val="24"/>
        </w:rPr>
        <w:t>2.</w:t>
      </w:r>
      <w:r w:rsidRPr="00E55B5C">
        <w:rPr>
          <w:sz w:val="24"/>
          <w:szCs w:val="24"/>
        </w:rPr>
        <w:tab/>
        <w:t>Fjern luft, store luftbobler og eventuel overskydende opløsning for at få den korrekte dosis.</w:t>
      </w:r>
    </w:p>
    <w:p w14:paraId="29791585" w14:textId="77777777" w:rsidR="00E55B5C" w:rsidRPr="00E55B5C" w:rsidRDefault="00E55B5C" w:rsidP="00E55B5C">
      <w:pPr>
        <w:ind w:left="927" w:hanging="567"/>
        <w:rPr>
          <w:sz w:val="24"/>
          <w:szCs w:val="24"/>
        </w:rPr>
      </w:pPr>
      <w:r w:rsidRPr="00E55B5C">
        <w:rPr>
          <w:sz w:val="24"/>
          <w:szCs w:val="24"/>
        </w:rPr>
        <w:t>3.</w:t>
      </w:r>
      <w:r w:rsidRPr="00E55B5C">
        <w:rPr>
          <w:sz w:val="24"/>
          <w:szCs w:val="24"/>
        </w:rPr>
        <w:tab/>
        <w:t>Overfør den påkrævede rekonstituerede dosis til 50 ml natriumchlorid 9 mg/ml (0,9 %).</w:t>
      </w:r>
    </w:p>
    <w:p w14:paraId="253B4B56" w14:textId="77777777" w:rsidR="00E55B5C" w:rsidRPr="00E55B5C" w:rsidRDefault="00E55B5C" w:rsidP="00E55B5C">
      <w:pPr>
        <w:ind w:left="927" w:hanging="567"/>
        <w:rPr>
          <w:sz w:val="24"/>
          <w:szCs w:val="24"/>
        </w:rPr>
      </w:pPr>
      <w:r w:rsidRPr="00E55B5C">
        <w:rPr>
          <w:sz w:val="24"/>
          <w:szCs w:val="24"/>
        </w:rPr>
        <w:t>4.</w:t>
      </w:r>
      <w:r w:rsidRPr="00E55B5C">
        <w:rPr>
          <w:sz w:val="24"/>
          <w:szCs w:val="24"/>
        </w:rPr>
        <w:tab/>
        <w:t>Den rekonstituerede og fortyndede opløsning skal gives som intravenøs infusion over 30 eller 60 minutter som anført i pkt. 4.2.</w:t>
      </w:r>
    </w:p>
    <w:p w14:paraId="6EC5E8AC" w14:textId="77777777" w:rsidR="00E55B5C" w:rsidRPr="00E55B5C" w:rsidRDefault="00E55B5C" w:rsidP="00E55B5C">
      <w:pPr>
        <w:ind w:left="360"/>
        <w:rPr>
          <w:sz w:val="24"/>
          <w:szCs w:val="24"/>
        </w:rPr>
      </w:pPr>
    </w:p>
    <w:p w14:paraId="397C04CC" w14:textId="77777777" w:rsidR="00E55B5C" w:rsidRPr="00E55B5C" w:rsidRDefault="00E55B5C" w:rsidP="00E55B5C">
      <w:pPr>
        <w:ind w:left="360"/>
        <w:rPr>
          <w:sz w:val="24"/>
          <w:szCs w:val="24"/>
        </w:rPr>
      </w:pPr>
      <w:r w:rsidRPr="00E55B5C">
        <w:rPr>
          <w:sz w:val="24"/>
          <w:szCs w:val="24"/>
        </w:rPr>
        <w:t>Følgende virkestoffer har vist sig at være kompatible, når de tilsættes infusionsopløsninger, der indeholder daptomycin: aztreonam, ceftazidim, ceftriaxon, gentamycin, fluconazol, levofloxacin, dopamin, heparin og lidocain.</w:t>
      </w:r>
    </w:p>
    <w:p w14:paraId="65D0D8C1" w14:textId="77777777" w:rsidR="00E55B5C" w:rsidRPr="00E55B5C" w:rsidRDefault="00E55B5C" w:rsidP="00E55B5C">
      <w:pPr>
        <w:ind w:left="360"/>
        <w:rPr>
          <w:sz w:val="24"/>
          <w:szCs w:val="24"/>
        </w:rPr>
      </w:pPr>
    </w:p>
    <w:p w14:paraId="18184B5E" w14:textId="77777777" w:rsidR="00E55B5C" w:rsidRPr="00E55B5C" w:rsidRDefault="00E55B5C" w:rsidP="00E55B5C">
      <w:pPr>
        <w:keepNext/>
        <w:ind w:left="360"/>
        <w:rPr>
          <w:sz w:val="24"/>
          <w:szCs w:val="24"/>
          <w:u w:val="single"/>
        </w:rPr>
      </w:pPr>
      <w:r w:rsidRPr="00E55B5C">
        <w:rPr>
          <w:sz w:val="24"/>
          <w:szCs w:val="24"/>
          <w:u w:val="single" w:color="000000"/>
        </w:rPr>
        <w:t>Daptomycin Reddy givet som 2 minutters intravenøs injektion (kun voksne patienter)</w:t>
      </w:r>
    </w:p>
    <w:p w14:paraId="77101429" w14:textId="77777777" w:rsidR="00E55B5C" w:rsidRPr="00E55B5C" w:rsidRDefault="00E55B5C" w:rsidP="00E55B5C">
      <w:pPr>
        <w:keepNext/>
        <w:ind w:left="360"/>
        <w:rPr>
          <w:sz w:val="24"/>
          <w:szCs w:val="24"/>
        </w:rPr>
      </w:pPr>
    </w:p>
    <w:p w14:paraId="3EE25FE2" w14:textId="77777777" w:rsidR="00E55B5C" w:rsidRPr="00E55B5C" w:rsidRDefault="00E55B5C" w:rsidP="00E55B5C">
      <w:pPr>
        <w:keepNext/>
        <w:ind w:left="360"/>
        <w:rPr>
          <w:sz w:val="24"/>
          <w:szCs w:val="24"/>
        </w:rPr>
      </w:pPr>
      <w:r w:rsidRPr="00E55B5C">
        <w:rPr>
          <w:sz w:val="24"/>
          <w:szCs w:val="24"/>
        </w:rPr>
        <w:t>Vand må ikke anvendes til rekonstitution af Daptomycin Reddy til intravenøs injektion. Daptomycin Reddy må kun rekonstitueres med natriumchlorid 9 mg/ml (0,9 %).</w:t>
      </w:r>
    </w:p>
    <w:p w14:paraId="0D8525AA" w14:textId="77777777" w:rsidR="00E55B5C" w:rsidRPr="00E55B5C" w:rsidRDefault="00E55B5C" w:rsidP="00E55B5C">
      <w:pPr>
        <w:ind w:left="360"/>
        <w:rPr>
          <w:sz w:val="24"/>
          <w:szCs w:val="24"/>
        </w:rPr>
      </w:pPr>
    </w:p>
    <w:p w14:paraId="4802A5F3" w14:textId="77777777" w:rsidR="00E55B5C" w:rsidRPr="00E55B5C" w:rsidRDefault="00E55B5C" w:rsidP="00E55B5C">
      <w:pPr>
        <w:ind w:left="360"/>
        <w:rPr>
          <w:sz w:val="24"/>
          <w:szCs w:val="24"/>
        </w:rPr>
      </w:pPr>
      <w:r w:rsidRPr="00E55B5C">
        <w:rPr>
          <w:sz w:val="24"/>
          <w:szCs w:val="24"/>
        </w:rPr>
        <w:t>En 50 mg/ml koncentration af Daptomycin Reddy 350 mg pulver til injektionsvæske, opløsning, opnås ved rekonstitution af det lyofiliserede produkt med 7 ml natriumchlorid 9 mg/ml (0,9 %) injektionsvæske.</w:t>
      </w:r>
    </w:p>
    <w:p w14:paraId="28A54826" w14:textId="77777777" w:rsidR="00E55B5C" w:rsidRPr="00E55B5C" w:rsidRDefault="00E55B5C" w:rsidP="00E55B5C">
      <w:pPr>
        <w:ind w:left="360"/>
        <w:rPr>
          <w:sz w:val="24"/>
          <w:szCs w:val="24"/>
        </w:rPr>
      </w:pPr>
    </w:p>
    <w:p w14:paraId="67CDB0B8" w14:textId="77777777" w:rsidR="00E55B5C" w:rsidRPr="00E55B5C" w:rsidRDefault="00E55B5C" w:rsidP="00E55B5C">
      <w:pPr>
        <w:ind w:left="360"/>
        <w:rPr>
          <w:sz w:val="24"/>
          <w:szCs w:val="24"/>
        </w:rPr>
      </w:pPr>
      <w:r w:rsidRPr="00E55B5C">
        <w:rPr>
          <w:sz w:val="24"/>
          <w:szCs w:val="24"/>
        </w:rPr>
        <w:t>En 50 mg/ml koncentration af Daptomycin Reddy 500 mg pulver til injektionsvæske, opløsning, opnås ved rekonstitution af det lyofiliserede produkt med 10 ml natriumchlorid 9 mg/ml (0,9 %) injektionsvæske.</w:t>
      </w:r>
    </w:p>
    <w:p w14:paraId="590177A8" w14:textId="77777777" w:rsidR="00E55B5C" w:rsidRPr="00E55B5C" w:rsidRDefault="00E55B5C" w:rsidP="00E55B5C">
      <w:pPr>
        <w:ind w:left="360"/>
        <w:rPr>
          <w:sz w:val="24"/>
          <w:szCs w:val="24"/>
        </w:rPr>
      </w:pPr>
    </w:p>
    <w:p w14:paraId="285848B1" w14:textId="77777777" w:rsidR="00E55B5C" w:rsidRPr="00E55B5C" w:rsidRDefault="00E55B5C" w:rsidP="00E55B5C">
      <w:pPr>
        <w:ind w:left="360"/>
        <w:rPr>
          <w:sz w:val="24"/>
          <w:szCs w:val="24"/>
        </w:rPr>
      </w:pPr>
      <w:r w:rsidRPr="00E55B5C">
        <w:rPr>
          <w:sz w:val="24"/>
          <w:szCs w:val="24"/>
        </w:rPr>
        <w:t>Det tager ca. 15 minutter at opløse det lyofiliserede produkt. Det fuldt rekonstituerede produkt fremstår klart, og der er eventuelt et par små bobler eller skum langs kanten på hætteglasset.</w:t>
      </w:r>
    </w:p>
    <w:p w14:paraId="5DE96DEA" w14:textId="77777777" w:rsidR="00E55B5C" w:rsidRPr="00E55B5C" w:rsidRDefault="00E55B5C" w:rsidP="00E55B5C">
      <w:pPr>
        <w:ind w:left="360"/>
        <w:rPr>
          <w:sz w:val="24"/>
          <w:szCs w:val="24"/>
        </w:rPr>
      </w:pPr>
    </w:p>
    <w:p w14:paraId="5F2A8C03" w14:textId="77777777" w:rsidR="00E55B5C" w:rsidRPr="00E55B5C" w:rsidRDefault="00E55B5C" w:rsidP="00E55B5C">
      <w:pPr>
        <w:keepNext/>
        <w:ind w:left="360"/>
        <w:rPr>
          <w:sz w:val="24"/>
          <w:szCs w:val="24"/>
        </w:rPr>
      </w:pPr>
      <w:r w:rsidRPr="00E55B5C">
        <w:rPr>
          <w:i/>
          <w:sz w:val="24"/>
          <w:szCs w:val="24"/>
        </w:rPr>
        <w:lastRenderedPageBreak/>
        <w:t>Daptomycin Reddy 350 mg pulver til injektions-/infusionsvæske, opløsning</w:t>
      </w:r>
    </w:p>
    <w:p w14:paraId="7E4A3F67" w14:textId="77777777" w:rsidR="00E55B5C" w:rsidRPr="00E55B5C" w:rsidRDefault="00E55B5C" w:rsidP="00E55B5C">
      <w:pPr>
        <w:ind w:left="360"/>
        <w:rPr>
          <w:sz w:val="24"/>
          <w:szCs w:val="24"/>
        </w:rPr>
      </w:pPr>
    </w:p>
    <w:p w14:paraId="016F5D57" w14:textId="77777777" w:rsidR="00E55B5C" w:rsidRPr="00E55B5C" w:rsidRDefault="00E55B5C" w:rsidP="00E55B5C">
      <w:pPr>
        <w:ind w:left="360"/>
        <w:rPr>
          <w:sz w:val="24"/>
          <w:szCs w:val="24"/>
        </w:rPr>
      </w:pPr>
      <w:r w:rsidRPr="00E55B5C">
        <w:rPr>
          <w:sz w:val="24"/>
          <w:szCs w:val="24"/>
        </w:rPr>
        <w:t>Ved fremstilling af Daptomycin Reddy til intravenøs injektion skal følgende instruktioner følges:</w:t>
      </w:r>
    </w:p>
    <w:p w14:paraId="285C7D17" w14:textId="77777777" w:rsidR="00E55B5C" w:rsidRPr="00E55B5C" w:rsidRDefault="00E55B5C" w:rsidP="00E55B5C">
      <w:pPr>
        <w:ind w:left="360"/>
        <w:rPr>
          <w:sz w:val="24"/>
          <w:szCs w:val="24"/>
        </w:rPr>
      </w:pPr>
      <w:r w:rsidRPr="00E55B5C">
        <w:rPr>
          <w:sz w:val="24"/>
          <w:szCs w:val="24"/>
        </w:rPr>
        <w:t>Der skal anvendes aseptisk teknik, når lyofiliseret Daptomycin Reddy rekonstitueres.</w:t>
      </w:r>
    </w:p>
    <w:p w14:paraId="7F37B4D1" w14:textId="77777777" w:rsidR="00E55B5C" w:rsidRPr="00E55B5C" w:rsidRDefault="00E55B5C" w:rsidP="00E55B5C">
      <w:pPr>
        <w:ind w:left="360"/>
        <w:rPr>
          <w:sz w:val="24"/>
          <w:szCs w:val="24"/>
        </w:rPr>
      </w:pPr>
    </w:p>
    <w:p w14:paraId="1720BCFD" w14:textId="77777777" w:rsidR="00E55B5C" w:rsidRPr="00E55B5C" w:rsidRDefault="00E55B5C" w:rsidP="00E55B5C">
      <w:pPr>
        <w:ind w:left="927" w:hanging="567"/>
        <w:rPr>
          <w:sz w:val="24"/>
          <w:szCs w:val="24"/>
        </w:rPr>
      </w:pPr>
      <w:r w:rsidRPr="00E55B5C">
        <w:rPr>
          <w:sz w:val="24"/>
          <w:szCs w:val="24"/>
        </w:rPr>
        <w:t>1.</w:t>
      </w:r>
      <w:r w:rsidRPr="00E55B5C">
        <w:rPr>
          <w:sz w:val="24"/>
          <w:szCs w:val="24"/>
        </w:rPr>
        <w:tab/>
        <w:t>Flip-off låget af polypropylen skal fjernes, så gummiproppens midte kan ses. Tør toppen af gummiproppen af med en spritserviet eller et andet desinfektionsmiddel og lad den tørre. Efter rensning må gummiproppen ikke berøres eller komme i kontakt med noget andet. Træk 7 ml natriumchloridinjektionsvæske 9 mg/ml (0,9 %) op i en sprøjte ved anvendelse af en steril kanyle på 21 G eller mindre i diameter eller anvend en anordning uden kanyle til overførslen og injicer derefter injektionsvæsken langsomt gennem gummiproppens centrum ind i hætteglasset. Kanylen skal have retning mod hætteglassets væg.</w:t>
      </w:r>
    </w:p>
    <w:p w14:paraId="5DFEE5F0" w14:textId="77777777" w:rsidR="00E55B5C" w:rsidRPr="00E55B5C" w:rsidRDefault="00E55B5C" w:rsidP="00E55B5C">
      <w:pPr>
        <w:ind w:left="927" w:hanging="567"/>
        <w:rPr>
          <w:sz w:val="24"/>
          <w:szCs w:val="24"/>
        </w:rPr>
      </w:pPr>
      <w:r w:rsidRPr="00E55B5C">
        <w:rPr>
          <w:sz w:val="24"/>
          <w:szCs w:val="24"/>
        </w:rPr>
        <w:t>2.</w:t>
      </w:r>
      <w:r w:rsidRPr="00E55B5C">
        <w:rPr>
          <w:sz w:val="24"/>
          <w:szCs w:val="24"/>
        </w:rPr>
        <w:tab/>
        <w:t>Hætteglasset skal roteres forsigtigt for at sikre komplet gennemfugtning af pulveret og derefter hvile i 10 minutter.</w:t>
      </w:r>
    </w:p>
    <w:p w14:paraId="16C81297" w14:textId="77777777" w:rsidR="00E55B5C" w:rsidRPr="00E55B5C" w:rsidRDefault="00E55B5C" w:rsidP="00E55B5C">
      <w:pPr>
        <w:keepNext/>
        <w:ind w:left="927" w:hanging="567"/>
        <w:rPr>
          <w:sz w:val="24"/>
          <w:szCs w:val="24"/>
        </w:rPr>
      </w:pPr>
      <w:r w:rsidRPr="00E55B5C">
        <w:rPr>
          <w:sz w:val="24"/>
          <w:szCs w:val="24"/>
        </w:rPr>
        <w:t>3.</w:t>
      </w:r>
      <w:r w:rsidRPr="00E55B5C">
        <w:rPr>
          <w:sz w:val="24"/>
          <w:szCs w:val="24"/>
        </w:rPr>
        <w:tab/>
        <w:t>Til slut skal hætteglasset roteres forsigtigt i et par minutter, så der opnås en klar rekonstitueret opløsning. Det bør undgås at ryste kraftigt, så præparatet ikke skummer.</w:t>
      </w:r>
    </w:p>
    <w:p w14:paraId="147DDBA3" w14:textId="77777777" w:rsidR="00E55B5C" w:rsidRPr="00E55B5C" w:rsidRDefault="00E55B5C" w:rsidP="00E55B5C">
      <w:pPr>
        <w:ind w:left="927" w:hanging="567"/>
        <w:rPr>
          <w:sz w:val="24"/>
          <w:szCs w:val="24"/>
        </w:rPr>
      </w:pPr>
      <w:r w:rsidRPr="00E55B5C">
        <w:rPr>
          <w:sz w:val="24"/>
          <w:szCs w:val="24"/>
        </w:rPr>
        <w:t>4.</w:t>
      </w:r>
      <w:r w:rsidRPr="00E55B5C">
        <w:rPr>
          <w:sz w:val="24"/>
          <w:szCs w:val="24"/>
        </w:rPr>
        <w:tab/>
        <w:t>Den rekonstituerede opløsning skal undersøges nøje for at sikre, at præparatet er opløst og inspiceres visuelt for partikler før brug. Rekonstituerede opløsninger af Daptomycin Reddy har en lysegul til let brun farve.</w:t>
      </w:r>
    </w:p>
    <w:p w14:paraId="3B5FB935" w14:textId="77777777" w:rsidR="00E55B5C" w:rsidRPr="00E55B5C" w:rsidRDefault="00E55B5C" w:rsidP="00E55B5C">
      <w:pPr>
        <w:ind w:left="927" w:hanging="567"/>
        <w:rPr>
          <w:sz w:val="24"/>
          <w:szCs w:val="24"/>
        </w:rPr>
      </w:pPr>
      <w:r w:rsidRPr="00E55B5C">
        <w:rPr>
          <w:sz w:val="24"/>
          <w:szCs w:val="24"/>
        </w:rPr>
        <w:t>5.</w:t>
      </w:r>
      <w:r w:rsidRPr="00E55B5C">
        <w:rPr>
          <w:sz w:val="24"/>
          <w:szCs w:val="24"/>
        </w:rPr>
        <w:tab/>
        <w:t>Fjern den rekonstituerede væske (50 mg daptomycin/ml) langsomt fra hætteglasset ved anvendelse af en steril kanyle på 21 G eller mindre i diameter.</w:t>
      </w:r>
    </w:p>
    <w:p w14:paraId="6250FA8C" w14:textId="77777777" w:rsidR="00E55B5C" w:rsidRPr="00E55B5C" w:rsidRDefault="00E55B5C" w:rsidP="00E55B5C">
      <w:pPr>
        <w:pStyle w:val="Listeafsnit"/>
        <w:numPr>
          <w:ilvl w:val="0"/>
          <w:numId w:val="23"/>
        </w:numPr>
        <w:ind w:left="993" w:hanging="709"/>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t>Vend hætteglasset på hovedet for at lade opløsningen løbe mod gummiproppen. Brug en ny sprøjte og stik kanylen ind i hætteglasset. Mens hætteglasset stadig holdes på hovedet, skal du anbringe kanylespidsen i bunden af opløsningen i hætteglasset, mens du trækker opløsningen op i sprøjten. Før du fjerner kanylen fra hætteglasset, skal du trække stemplet helt tilbage i sprøjten for at få al opløsningen ud af hætteglasset.</w:t>
      </w:r>
    </w:p>
    <w:p w14:paraId="57A8B3F6" w14:textId="77777777" w:rsidR="00E55B5C" w:rsidRPr="00E55B5C" w:rsidRDefault="00E55B5C" w:rsidP="00E55B5C">
      <w:pPr>
        <w:pStyle w:val="Listeafsnit"/>
        <w:numPr>
          <w:ilvl w:val="0"/>
          <w:numId w:val="24"/>
        </w:numPr>
        <w:autoSpaceDE w:val="0"/>
        <w:autoSpaceDN w:val="0"/>
        <w:adjustRightInd w:val="0"/>
        <w:spacing w:after="0" w:line="240" w:lineRule="auto"/>
        <w:ind w:left="993" w:hanging="709"/>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t>Erstat kanylen med en ny kanyle inden den intravenøse injektion.</w:t>
      </w:r>
    </w:p>
    <w:p w14:paraId="7E0CBBCE" w14:textId="77777777" w:rsidR="00E55B5C" w:rsidRPr="00E55B5C" w:rsidRDefault="00E55B5C" w:rsidP="00E55B5C">
      <w:pPr>
        <w:pStyle w:val="Listeafsnit"/>
        <w:numPr>
          <w:ilvl w:val="0"/>
          <w:numId w:val="24"/>
        </w:numPr>
        <w:autoSpaceDE w:val="0"/>
        <w:autoSpaceDN w:val="0"/>
        <w:adjustRightInd w:val="0"/>
        <w:spacing w:after="0" w:line="240" w:lineRule="auto"/>
        <w:ind w:left="993" w:hanging="709"/>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t>Fjern luft, store luftbobler og eventuel overflødig opløsning for at få den korrekte dosis.</w:t>
      </w:r>
    </w:p>
    <w:p w14:paraId="498DCD10" w14:textId="77777777" w:rsidR="00E55B5C" w:rsidRPr="00E55B5C" w:rsidRDefault="00E55B5C" w:rsidP="00E55B5C">
      <w:pPr>
        <w:pStyle w:val="Listeafsnit"/>
        <w:numPr>
          <w:ilvl w:val="0"/>
          <w:numId w:val="24"/>
        </w:numPr>
        <w:autoSpaceDE w:val="0"/>
        <w:autoSpaceDN w:val="0"/>
        <w:adjustRightInd w:val="0"/>
        <w:spacing w:after="0" w:line="240" w:lineRule="auto"/>
        <w:ind w:left="993" w:hanging="709"/>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t>Den rekonstituerede opløsning skal injiceres intravenøst langsomt over 2 minutter som anført i pkt. 4.2.</w:t>
      </w:r>
    </w:p>
    <w:p w14:paraId="6000C922" w14:textId="77777777" w:rsidR="00E55B5C" w:rsidRPr="00E55B5C" w:rsidRDefault="00E55B5C" w:rsidP="00E55B5C">
      <w:pPr>
        <w:autoSpaceDE w:val="0"/>
        <w:autoSpaceDN w:val="0"/>
        <w:adjustRightInd w:val="0"/>
        <w:ind w:left="851" w:hanging="851"/>
        <w:rPr>
          <w:rFonts w:eastAsia="TimesNewRoman"/>
          <w:color w:val="000000"/>
          <w:sz w:val="24"/>
          <w:szCs w:val="24"/>
        </w:rPr>
      </w:pPr>
    </w:p>
    <w:p w14:paraId="193113E4" w14:textId="77777777" w:rsidR="00E55B5C" w:rsidRPr="00E55B5C" w:rsidRDefault="00E55B5C" w:rsidP="00E55B5C">
      <w:pPr>
        <w:keepNext/>
        <w:autoSpaceDE w:val="0"/>
        <w:autoSpaceDN w:val="0"/>
        <w:adjustRightInd w:val="0"/>
        <w:ind w:left="851"/>
        <w:rPr>
          <w:rFonts w:eastAsia="TimesNewRoman"/>
          <w:i/>
          <w:color w:val="000000"/>
          <w:sz w:val="24"/>
          <w:szCs w:val="24"/>
        </w:rPr>
      </w:pPr>
      <w:r w:rsidRPr="00E55B5C">
        <w:rPr>
          <w:rFonts w:eastAsia="TimesNewRoman"/>
          <w:i/>
          <w:color w:val="000000"/>
          <w:sz w:val="24"/>
          <w:szCs w:val="24"/>
        </w:rPr>
        <w:t>Daptomycin Reddy 500 mg pulver til injektions-/infusionsvæske, opløsning</w:t>
      </w:r>
    </w:p>
    <w:p w14:paraId="0AD4D2F2" w14:textId="77777777" w:rsidR="00E55B5C" w:rsidRPr="00E55B5C" w:rsidRDefault="00E55B5C" w:rsidP="00E55B5C">
      <w:pPr>
        <w:autoSpaceDE w:val="0"/>
        <w:autoSpaceDN w:val="0"/>
        <w:adjustRightInd w:val="0"/>
        <w:ind w:left="851" w:hanging="851"/>
        <w:rPr>
          <w:rFonts w:eastAsia="TimesNewRoman"/>
          <w:color w:val="000000"/>
          <w:sz w:val="24"/>
          <w:szCs w:val="24"/>
        </w:rPr>
      </w:pPr>
    </w:p>
    <w:p w14:paraId="21AD3B79" w14:textId="77777777" w:rsidR="00E55B5C" w:rsidRPr="00E55B5C" w:rsidRDefault="00E55B5C" w:rsidP="00E55B5C">
      <w:pPr>
        <w:autoSpaceDE w:val="0"/>
        <w:autoSpaceDN w:val="0"/>
        <w:adjustRightInd w:val="0"/>
        <w:ind w:left="851"/>
        <w:rPr>
          <w:rFonts w:eastAsia="TimesNewRoman"/>
          <w:color w:val="000000"/>
          <w:sz w:val="24"/>
          <w:szCs w:val="24"/>
        </w:rPr>
      </w:pPr>
      <w:r w:rsidRPr="00E55B5C">
        <w:rPr>
          <w:rFonts w:eastAsia="TimesNewRoman"/>
          <w:color w:val="000000"/>
          <w:sz w:val="24"/>
          <w:szCs w:val="24"/>
        </w:rPr>
        <w:t>Ved fremstilling af Daptomycin Reddy til intravenøs injektion skal følgende instruktioner følges:</w:t>
      </w:r>
    </w:p>
    <w:p w14:paraId="0DCF5538" w14:textId="77777777" w:rsidR="00E55B5C" w:rsidRPr="00E55B5C" w:rsidRDefault="00E55B5C" w:rsidP="00E55B5C">
      <w:pPr>
        <w:autoSpaceDE w:val="0"/>
        <w:autoSpaceDN w:val="0"/>
        <w:adjustRightInd w:val="0"/>
        <w:ind w:left="851"/>
        <w:rPr>
          <w:rFonts w:eastAsia="TimesNewRoman"/>
          <w:color w:val="000000"/>
          <w:sz w:val="24"/>
          <w:szCs w:val="24"/>
        </w:rPr>
      </w:pPr>
      <w:r w:rsidRPr="00E55B5C">
        <w:rPr>
          <w:rFonts w:eastAsia="TimesNewRoman"/>
          <w:color w:val="000000"/>
          <w:sz w:val="24"/>
          <w:szCs w:val="24"/>
        </w:rPr>
        <w:t>Der skal anvendes aseptisk teknik, når lyofiliseret Daptomycin Reddy rekonstitueres.</w:t>
      </w:r>
    </w:p>
    <w:p w14:paraId="66050B06" w14:textId="77777777" w:rsidR="00E55B5C" w:rsidRPr="00E55B5C" w:rsidRDefault="00E55B5C" w:rsidP="00E55B5C">
      <w:pPr>
        <w:autoSpaceDE w:val="0"/>
        <w:autoSpaceDN w:val="0"/>
        <w:adjustRightInd w:val="0"/>
        <w:ind w:left="851" w:hanging="851"/>
        <w:rPr>
          <w:rFonts w:eastAsia="TimesNewRoman"/>
          <w:color w:val="000000"/>
          <w:sz w:val="24"/>
          <w:szCs w:val="24"/>
        </w:rPr>
      </w:pPr>
    </w:p>
    <w:p w14:paraId="6A84E288" w14:textId="77777777" w:rsidR="00E55B5C" w:rsidRPr="00E55B5C" w:rsidRDefault="00E55B5C" w:rsidP="00E55B5C">
      <w:pPr>
        <w:pStyle w:val="Listeafsnit"/>
        <w:numPr>
          <w:ilvl w:val="0"/>
          <w:numId w:val="16"/>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t>Flip-off låget af polypropylen skal fjernes, så gummiproppens midte kan ses. Tør toppen af gummiproppen af med en spritserviet eller et andet desinfektionsmiddel og lad den tørre. Efter rensning må gummiproppen ikke berøres eller komme i kontakt med noget andet. Træk 10 ml natriumchloridinjektionsvæske 9 mg/ml (0,9 %) op i en sprøjte ved anvendelse af en steril kanyle på 21 G eller mindre i diameter eller anvend en anordning uden kanyle til overførslen og injicer derefter injektionsvæsken langsomt gennem gummiproppens centrum ind i hætteglasset. Kanylen skal have retning mod hætteglassets væg.</w:t>
      </w:r>
    </w:p>
    <w:p w14:paraId="06F37731" w14:textId="77777777" w:rsidR="00E55B5C" w:rsidRPr="00E55B5C" w:rsidRDefault="00E55B5C" w:rsidP="00E55B5C">
      <w:pPr>
        <w:pStyle w:val="Listeafsnit"/>
        <w:numPr>
          <w:ilvl w:val="0"/>
          <w:numId w:val="16"/>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t>Hætteglasset skal roteres forsigtigt for at sikre komplet gennemfugtning af pulveret og derefter hvile i 10 minutter.</w:t>
      </w:r>
    </w:p>
    <w:p w14:paraId="453048F9" w14:textId="77777777" w:rsidR="00E55B5C" w:rsidRPr="00E55B5C" w:rsidRDefault="00E55B5C" w:rsidP="00E55B5C">
      <w:pPr>
        <w:pStyle w:val="Listeafsnit"/>
        <w:numPr>
          <w:ilvl w:val="0"/>
          <w:numId w:val="16"/>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t>Til slut skal hætteglasset roteres forsigtigt i et par minutter, så der opnås en klar rekonstitueret opløsning. Det bør undgås at ryste kraftigt, så præparatet ikke skummer.</w:t>
      </w:r>
    </w:p>
    <w:p w14:paraId="686C5ECF" w14:textId="77777777" w:rsidR="00E55B5C" w:rsidRPr="00E55B5C" w:rsidRDefault="00E55B5C" w:rsidP="00E55B5C">
      <w:pPr>
        <w:pStyle w:val="Listeafsnit"/>
        <w:numPr>
          <w:ilvl w:val="0"/>
          <w:numId w:val="16"/>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lastRenderedPageBreak/>
        <w:t>Den rekonstituerede opløsning skal undersøges nøje for at sikre, at præparatet er opløst og inspiceres visuelt for partikler før brug. Rekonstituerede opløsninger af Daptomycin Reddy har en lysegul til let brun farve.</w:t>
      </w:r>
    </w:p>
    <w:p w14:paraId="207E09B0" w14:textId="77777777" w:rsidR="00E55B5C" w:rsidRPr="00E55B5C" w:rsidRDefault="00E55B5C" w:rsidP="00E55B5C">
      <w:pPr>
        <w:pStyle w:val="Listeafsnit"/>
        <w:numPr>
          <w:ilvl w:val="0"/>
          <w:numId w:val="16"/>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t xml:space="preserve">Fjern den rekonstituerede væske (50 mg daptomycin/ml) langsomt fra hætteglasset ved anvendelse af en steril kanyle på 21 G eller mindre i diameter. </w:t>
      </w:r>
    </w:p>
    <w:p w14:paraId="1E465A4A" w14:textId="77777777" w:rsidR="00E55B5C" w:rsidRPr="00E55B5C" w:rsidRDefault="00E55B5C" w:rsidP="00E55B5C">
      <w:pPr>
        <w:pStyle w:val="Listeafsnit"/>
        <w:numPr>
          <w:ilvl w:val="0"/>
          <w:numId w:val="16"/>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t>Vend hætteglasset på hovedet for at lade opløsningen løbe mod gummiproppen. Brug en ny sprøjte og stik kanylen ind i hætteglasset. Mens hætteglasset stadig holdes på hovedet, skal du anbringe kanylespidsen i bunden af opløsningen i hætteglasset, mens du trækker opløsningen op i sprøjten. Før du fjerner kanylen fra hætteglasset, skal du trække stemplet helt tilbage i sprøjten for at få al opløsningen ud af hætteglasset.</w:t>
      </w:r>
    </w:p>
    <w:p w14:paraId="0C0288F3" w14:textId="77777777" w:rsidR="00E55B5C" w:rsidRPr="00E55B5C" w:rsidRDefault="00E55B5C" w:rsidP="00E55B5C">
      <w:pPr>
        <w:pStyle w:val="Listeafsnit"/>
        <w:numPr>
          <w:ilvl w:val="0"/>
          <w:numId w:val="16"/>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t>Erstat kanylen med en ny kanyle inden den intravenøse injektion.</w:t>
      </w:r>
    </w:p>
    <w:p w14:paraId="584C915E" w14:textId="77777777" w:rsidR="00E55B5C" w:rsidRPr="00E55B5C" w:rsidRDefault="00E55B5C" w:rsidP="00E55B5C">
      <w:pPr>
        <w:pStyle w:val="Listeafsnit"/>
        <w:numPr>
          <w:ilvl w:val="0"/>
          <w:numId w:val="16"/>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t>Fjern luft, store luftbobler og eventuel overflødig opløsning for at få den korrekte dosis.</w:t>
      </w:r>
    </w:p>
    <w:p w14:paraId="0C719ABE" w14:textId="77777777" w:rsidR="00E55B5C" w:rsidRPr="00E55B5C" w:rsidRDefault="00E55B5C" w:rsidP="00E55B5C">
      <w:pPr>
        <w:pStyle w:val="Listeafsnit"/>
        <w:numPr>
          <w:ilvl w:val="0"/>
          <w:numId w:val="16"/>
        </w:numPr>
        <w:autoSpaceDE w:val="0"/>
        <w:autoSpaceDN w:val="0"/>
        <w:adjustRightInd w:val="0"/>
        <w:spacing w:after="0" w:line="240" w:lineRule="auto"/>
        <w:ind w:left="1276" w:hanging="425"/>
        <w:rPr>
          <w:rFonts w:ascii="Times New Roman" w:eastAsia="TimesNewRoman" w:hAnsi="Times New Roman" w:cs="Times New Roman"/>
          <w:color w:val="000000"/>
          <w:sz w:val="24"/>
          <w:szCs w:val="24"/>
        </w:rPr>
      </w:pPr>
      <w:r w:rsidRPr="00E55B5C">
        <w:rPr>
          <w:rFonts w:ascii="Times New Roman" w:eastAsia="TimesNewRoman" w:hAnsi="Times New Roman" w:cs="Times New Roman"/>
          <w:color w:val="000000"/>
          <w:sz w:val="24"/>
          <w:szCs w:val="24"/>
        </w:rPr>
        <w:t>Den rekonstituerede opløsning skal injiceres intravenøst langsomt over 2 minutter som anført i pkt. 4.2.</w:t>
      </w:r>
    </w:p>
    <w:p w14:paraId="7D4A2B75" w14:textId="77777777" w:rsidR="00E55B5C" w:rsidRPr="00E55B5C" w:rsidRDefault="00E55B5C" w:rsidP="00E55B5C">
      <w:pPr>
        <w:autoSpaceDE w:val="0"/>
        <w:autoSpaceDN w:val="0"/>
        <w:adjustRightInd w:val="0"/>
        <w:ind w:left="851" w:hanging="851"/>
        <w:rPr>
          <w:rFonts w:eastAsia="TimesNewRoman"/>
          <w:color w:val="000000"/>
          <w:sz w:val="24"/>
          <w:szCs w:val="24"/>
        </w:rPr>
      </w:pPr>
    </w:p>
    <w:p w14:paraId="21722FCD" w14:textId="77777777" w:rsidR="00E55B5C" w:rsidRPr="00E55B5C" w:rsidRDefault="00E55B5C" w:rsidP="00E55B5C">
      <w:pPr>
        <w:autoSpaceDE w:val="0"/>
        <w:autoSpaceDN w:val="0"/>
        <w:adjustRightInd w:val="0"/>
        <w:ind w:left="851"/>
        <w:rPr>
          <w:rFonts w:eastAsia="TimesNewRoman"/>
          <w:color w:val="000000"/>
          <w:sz w:val="24"/>
          <w:szCs w:val="24"/>
        </w:rPr>
      </w:pPr>
      <w:r w:rsidRPr="00E55B5C">
        <w:rPr>
          <w:rFonts w:eastAsia="TimesNewRoman"/>
          <w:color w:val="000000"/>
          <w:sz w:val="24"/>
          <w:szCs w:val="24"/>
        </w:rPr>
        <w:t>Daptomycin Reddy hætteglas er kun til engangsbrug.</w:t>
      </w:r>
    </w:p>
    <w:p w14:paraId="34A08E89" w14:textId="77777777" w:rsidR="00E55B5C" w:rsidRPr="00E55B5C" w:rsidRDefault="00E55B5C" w:rsidP="00E55B5C">
      <w:pPr>
        <w:autoSpaceDE w:val="0"/>
        <w:autoSpaceDN w:val="0"/>
        <w:adjustRightInd w:val="0"/>
        <w:ind w:left="851" w:hanging="851"/>
        <w:rPr>
          <w:rFonts w:eastAsia="TimesNewRoman"/>
          <w:color w:val="000000"/>
          <w:sz w:val="24"/>
          <w:szCs w:val="24"/>
        </w:rPr>
      </w:pPr>
    </w:p>
    <w:p w14:paraId="0E88E70E" w14:textId="77777777" w:rsidR="00E55B5C" w:rsidRPr="00E55B5C" w:rsidRDefault="00E55B5C" w:rsidP="00E55B5C">
      <w:pPr>
        <w:autoSpaceDE w:val="0"/>
        <w:autoSpaceDN w:val="0"/>
        <w:adjustRightInd w:val="0"/>
        <w:ind w:left="851"/>
        <w:rPr>
          <w:rFonts w:eastAsia="TimesNewRoman"/>
          <w:color w:val="000000"/>
          <w:sz w:val="24"/>
          <w:szCs w:val="24"/>
        </w:rPr>
      </w:pPr>
      <w:r w:rsidRPr="00E55B5C">
        <w:rPr>
          <w:rFonts w:eastAsia="TimesNewRoman"/>
          <w:color w:val="000000"/>
          <w:sz w:val="24"/>
          <w:szCs w:val="24"/>
        </w:rPr>
        <w:t>Ud fra et mikrobiologisk synspunkt skal præparatet anvendes med det samme efter rekonstitution (se pkt. 6.3).</w:t>
      </w:r>
    </w:p>
    <w:p w14:paraId="3514A9ED" w14:textId="77777777" w:rsidR="00E55B5C" w:rsidRPr="00E55B5C" w:rsidRDefault="00E55B5C" w:rsidP="00E55B5C">
      <w:pPr>
        <w:autoSpaceDE w:val="0"/>
        <w:autoSpaceDN w:val="0"/>
        <w:adjustRightInd w:val="0"/>
        <w:ind w:left="851" w:hanging="851"/>
        <w:rPr>
          <w:rFonts w:eastAsia="TimesNewRoman"/>
          <w:color w:val="000000"/>
          <w:sz w:val="24"/>
          <w:szCs w:val="24"/>
        </w:rPr>
      </w:pPr>
    </w:p>
    <w:p w14:paraId="74C7B885" w14:textId="77777777" w:rsidR="00E55B5C" w:rsidRPr="00E55B5C" w:rsidRDefault="00E55B5C" w:rsidP="00E55B5C">
      <w:pPr>
        <w:autoSpaceDE w:val="0"/>
        <w:autoSpaceDN w:val="0"/>
        <w:adjustRightInd w:val="0"/>
        <w:ind w:left="851"/>
        <w:rPr>
          <w:rFonts w:eastAsia="TimesNewRoman"/>
          <w:color w:val="000000"/>
          <w:sz w:val="24"/>
          <w:szCs w:val="24"/>
        </w:rPr>
      </w:pPr>
      <w:r w:rsidRPr="00E55B5C">
        <w:rPr>
          <w:rFonts w:eastAsia="TimesNewRoman"/>
          <w:color w:val="000000"/>
          <w:sz w:val="24"/>
          <w:szCs w:val="24"/>
        </w:rPr>
        <w:t>Ikke anvendt lægemiddel samt affald heraf skal bortskaffes i henhold til lokale retningslinjer.</w:t>
      </w:r>
    </w:p>
    <w:p w14:paraId="2CFEB4D6" w14:textId="77777777" w:rsidR="00E62E19" w:rsidRPr="00326899" w:rsidRDefault="00E62E19" w:rsidP="00E62E19">
      <w:pPr>
        <w:ind w:left="851" w:hanging="851"/>
        <w:jc w:val="both"/>
        <w:rPr>
          <w:sz w:val="24"/>
          <w:szCs w:val="24"/>
        </w:rPr>
      </w:pPr>
    </w:p>
    <w:p w14:paraId="426C4C96" w14:textId="77777777" w:rsidR="00E62E19" w:rsidRPr="00326899" w:rsidRDefault="00E62E19" w:rsidP="00E62E19">
      <w:pPr>
        <w:ind w:left="851" w:hanging="851"/>
        <w:rPr>
          <w:b/>
          <w:sz w:val="24"/>
          <w:szCs w:val="24"/>
        </w:rPr>
      </w:pPr>
      <w:r w:rsidRPr="00326899">
        <w:rPr>
          <w:b/>
          <w:sz w:val="24"/>
          <w:szCs w:val="24"/>
        </w:rPr>
        <w:t>7.</w:t>
      </w:r>
      <w:r w:rsidRPr="00326899">
        <w:rPr>
          <w:b/>
          <w:sz w:val="24"/>
          <w:szCs w:val="24"/>
        </w:rPr>
        <w:tab/>
        <w:t>INDEHAVER AF MARKEDSFØRINGSTILLADELSEN</w:t>
      </w:r>
    </w:p>
    <w:p w14:paraId="4FC2DDF9" w14:textId="77777777" w:rsidR="00EE225B" w:rsidRPr="00EE225B" w:rsidRDefault="00EE225B" w:rsidP="00EE225B">
      <w:pPr>
        <w:autoSpaceDE w:val="0"/>
        <w:autoSpaceDN w:val="0"/>
        <w:adjustRightInd w:val="0"/>
        <w:ind w:left="851"/>
        <w:rPr>
          <w:rFonts w:eastAsia="TimesNewRoman,Bold"/>
          <w:bCs/>
          <w:color w:val="000000"/>
          <w:sz w:val="24"/>
          <w:szCs w:val="24"/>
        </w:rPr>
      </w:pPr>
      <w:r w:rsidRPr="00EE225B">
        <w:rPr>
          <w:rFonts w:eastAsia="TimesNewRoman,Bold"/>
          <w:bCs/>
          <w:color w:val="000000"/>
          <w:sz w:val="24"/>
          <w:szCs w:val="24"/>
        </w:rPr>
        <w:t>Reddy Holding GmbH</w:t>
      </w:r>
    </w:p>
    <w:p w14:paraId="01CA7E3D" w14:textId="77777777" w:rsidR="00EE225B" w:rsidRPr="00EE225B" w:rsidRDefault="00EE225B" w:rsidP="00EE225B">
      <w:pPr>
        <w:autoSpaceDE w:val="0"/>
        <w:autoSpaceDN w:val="0"/>
        <w:adjustRightInd w:val="0"/>
        <w:ind w:left="851"/>
        <w:rPr>
          <w:rFonts w:eastAsia="TimesNewRoman,Bold"/>
          <w:bCs/>
          <w:color w:val="000000"/>
          <w:sz w:val="24"/>
          <w:szCs w:val="24"/>
        </w:rPr>
      </w:pPr>
      <w:r w:rsidRPr="00EE225B">
        <w:rPr>
          <w:rFonts w:eastAsia="TimesNewRoman,Bold"/>
          <w:bCs/>
          <w:color w:val="000000"/>
          <w:sz w:val="24"/>
          <w:szCs w:val="24"/>
        </w:rPr>
        <w:t>Kobelweg 95</w:t>
      </w:r>
    </w:p>
    <w:p w14:paraId="5059A966" w14:textId="77777777" w:rsidR="00EE225B" w:rsidRPr="00EE225B" w:rsidRDefault="00EE225B" w:rsidP="00EE225B">
      <w:pPr>
        <w:autoSpaceDE w:val="0"/>
        <w:autoSpaceDN w:val="0"/>
        <w:adjustRightInd w:val="0"/>
        <w:ind w:left="851"/>
        <w:rPr>
          <w:rFonts w:eastAsia="TimesNewRoman,Bold"/>
          <w:bCs/>
          <w:color w:val="000000"/>
          <w:sz w:val="24"/>
          <w:szCs w:val="24"/>
        </w:rPr>
      </w:pPr>
      <w:r w:rsidRPr="00EE225B">
        <w:rPr>
          <w:rFonts w:eastAsia="TimesNewRoman,Bold"/>
          <w:bCs/>
          <w:color w:val="000000"/>
          <w:sz w:val="24"/>
          <w:szCs w:val="24"/>
        </w:rPr>
        <w:t>86156 Augsburg</w:t>
      </w:r>
    </w:p>
    <w:p w14:paraId="1AC49396" w14:textId="77777777" w:rsidR="00E62E19" w:rsidRDefault="00EE225B" w:rsidP="00EE225B">
      <w:pPr>
        <w:autoSpaceDE w:val="0"/>
        <w:autoSpaceDN w:val="0"/>
        <w:adjustRightInd w:val="0"/>
        <w:ind w:left="851"/>
        <w:rPr>
          <w:rFonts w:eastAsia="TimesNewRoman,Bold"/>
          <w:bCs/>
          <w:color w:val="000000"/>
          <w:sz w:val="24"/>
          <w:szCs w:val="24"/>
        </w:rPr>
      </w:pPr>
      <w:r w:rsidRPr="00EE225B">
        <w:rPr>
          <w:rFonts w:eastAsia="TimesNewRoman,Bold"/>
          <w:bCs/>
          <w:color w:val="000000"/>
          <w:sz w:val="24"/>
          <w:szCs w:val="24"/>
        </w:rPr>
        <w:t>Tyskland</w:t>
      </w:r>
    </w:p>
    <w:p w14:paraId="025EB0B2" w14:textId="77777777" w:rsidR="00EE225B" w:rsidRPr="00326899" w:rsidRDefault="00EE225B" w:rsidP="00EE225B">
      <w:pPr>
        <w:autoSpaceDE w:val="0"/>
        <w:autoSpaceDN w:val="0"/>
        <w:adjustRightInd w:val="0"/>
        <w:ind w:left="851"/>
        <w:rPr>
          <w:rFonts w:eastAsia="TimesNewRoman,Bold"/>
          <w:bCs/>
          <w:color w:val="000000"/>
          <w:sz w:val="24"/>
          <w:szCs w:val="24"/>
        </w:rPr>
      </w:pPr>
    </w:p>
    <w:p w14:paraId="05AD4FEB" w14:textId="77777777" w:rsidR="00E62E19" w:rsidRPr="00326899" w:rsidRDefault="00E62E19" w:rsidP="00E62E19">
      <w:pPr>
        <w:ind w:left="851" w:hanging="851"/>
        <w:rPr>
          <w:b/>
          <w:sz w:val="24"/>
          <w:szCs w:val="24"/>
        </w:rPr>
      </w:pPr>
      <w:r w:rsidRPr="00326899">
        <w:rPr>
          <w:b/>
          <w:sz w:val="24"/>
          <w:szCs w:val="24"/>
        </w:rPr>
        <w:t>8.</w:t>
      </w:r>
      <w:r w:rsidRPr="00326899">
        <w:rPr>
          <w:b/>
          <w:sz w:val="24"/>
          <w:szCs w:val="24"/>
        </w:rPr>
        <w:tab/>
        <w:t>MARKEDSFØRINGSTILLADELSESNUMMER (</w:t>
      </w:r>
      <w:r w:rsidR="00F210AB">
        <w:rPr>
          <w:b/>
          <w:sz w:val="24"/>
          <w:szCs w:val="24"/>
        </w:rPr>
        <w:t>-</w:t>
      </w:r>
      <w:r w:rsidRPr="00326899">
        <w:rPr>
          <w:b/>
          <w:sz w:val="24"/>
          <w:szCs w:val="24"/>
        </w:rPr>
        <w:t>NUMRE)</w:t>
      </w:r>
    </w:p>
    <w:p w14:paraId="64DFA723" w14:textId="77777777" w:rsidR="00E62E19" w:rsidRPr="00326899" w:rsidRDefault="00E62E19" w:rsidP="00E62E19">
      <w:pPr>
        <w:ind w:left="851"/>
        <w:rPr>
          <w:sz w:val="24"/>
          <w:szCs w:val="24"/>
        </w:rPr>
      </w:pPr>
      <w:r w:rsidRPr="00326899">
        <w:rPr>
          <w:sz w:val="24"/>
          <w:szCs w:val="24"/>
        </w:rPr>
        <w:t>350 mg: 57956</w:t>
      </w:r>
    </w:p>
    <w:p w14:paraId="731BE675" w14:textId="77777777" w:rsidR="00F35D3F" w:rsidRDefault="00E62E19" w:rsidP="00E55B5C">
      <w:pPr>
        <w:ind w:left="851"/>
        <w:rPr>
          <w:sz w:val="24"/>
          <w:szCs w:val="24"/>
        </w:rPr>
      </w:pPr>
      <w:r w:rsidRPr="00326899">
        <w:rPr>
          <w:sz w:val="24"/>
          <w:szCs w:val="24"/>
        </w:rPr>
        <w:t>500 mg: 57957</w:t>
      </w:r>
    </w:p>
    <w:p w14:paraId="106517FC" w14:textId="77777777" w:rsidR="00E62E19" w:rsidRPr="00326899" w:rsidRDefault="00E62E19" w:rsidP="00E62E19">
      <w:pPr>
        <w:ind w:left="851" w:hanging="851"/>
        <w:jc w:val="both"/>
        <w:rPr>
          <w:sz w:val="24"/>
          <w:szCs w:val="24"/>
        </w:rPr>
      </w:pPr>
    </w:p>
    <w:p w14:paraId="1155CD3B" w14:textId="77777777" w:rsidR="00E62E19" w:rsidRPr="00326899" w:rsidRDefault="00E62E19" w:rsidP="00E62E19">
      <w:pPr>
        <w:ind w:left="851" w:hanging="851"/>
        <w:rPr>
          <w:b/>
          <w:sz w:val="24"/>
          <w:szCs w:val="24"/>
        </w:rPr>
      </w:pPr>
      <w:r w:rsidRPr="00326899">
        <w:rPr>
          <w:b/>
          <w:sz w:val="24"/>
          <w:szCs w:val="24"/>
        </w:rPr>
        <w:t>9.</w:t>
      </w:r>
      <w:r w:rsidRPr="00326899">
        <w:rPr>
          <w:b/>
          <w:sz w:val="24"/>
          <w:szCs w:val="24"/>
        </w:rPr>
        <w:tab/>
        <w:t>DATO FOR FØRSTE MARKEDSFØRINGSTILLADELSE</w:t>
      </w:r>
    </w:p>
    <w:p w14:paraId="23AF0A21" w14:textId="77777777" w:rsidR="00E62E19" w:rsidRPr="00326899" w:rsidRDefault="00E62E19" w:rsidP="00E62E19">
      <w:pPr>
        <w:ind w:left="851"/>
        <w:rPr>
          <w:sz w:val="24"/>
          <w:szCs w:val="24"/>
        </w:rPr>
      </w:pPr>
      <w:r>
        <w:rPr>
          <w:sz w:val="24"/>
          <w:szCs w:val="24"/>
        </w:rPr>
        <w:t>13. juli 2017</w:t>
      </w:r>
    </w:p>
    <w:p w14:paraId="0D246896" w14:textId="77777777" w:rsidR="00E62E19" w:rsidRPr="00326899" w:rsidRDefault="00E62E19" w:rsidP="00E62E19">
      <w:pPr>
        <w:ind w:left="851" w:hanging="851"/>
        <w:rPr>
          <w:sz w:val="24"/>
          <w:szCs w:val="24"/>
        </w:rPr>
      </w:pPr>
    </w:p>
    <w:p w14:paraId="48CCF8BD" w14:textId="77777777" w:rsidR="00E62E19" w:rsidRPr="00326899" w:rsidRDefault="00E62E19" w:rsidP="00E62E19">
      <w:pPr>
        <w:ind w:left="851" w:hanging="851"/>
        <w:rPr>
          <w:b/>
          <w:sz w:val="24"/>
          <w:szCs w:val="24"/>
        </w:rPr>
      </w:pPr>
      <w:r w:rsidRPr="00326899">
        <w:rPr>
          <w:b/>
          <w:sz w:val="24"/>
          <w:szCs w:val="24"/>
        </w:rPr>
        <w:t>10.</w:t>
      </w:r>
      <w:r w:rsidRPr="00326899">
        <w:rPr>
          <w:b/>
          <w:sz w:val="24"/>
          <w:szCs w:val="24"/>
        </w:rPr>
        <w:tab/>
        <w:t>DATO FOR ÆNDRING AF TEKSTEN</w:t>
      </w:r>
    </w:p>
    <w:p w14:paraId="7A6F57FA" w14:textId="348356B6" w:rsidR="00E62E19" w:rsidRPr="00CE46CB" w:rsidRDefault="00EC6098" w:rsidP="00F35D3F">
      <w:pPr>
        <w:ind w:firstLine="851"/>
      </w:pPr>
      <w:r>
        <w:rPr>
          <w:sz w:val="24"/>
          <w:szCs w:val="24"/>
        </w:rPr>
        <w:t>2. juli 2024</w:t>
      </w:r>
    </w:p>
    <w:p w14:paraId="1C8F128D" w14:textId="77777777" w:rsidR="00E62E19" w:rsidRPr="003725DB" w:rsidRDefault="00E62E19" w:rsidP="00E62E19"/>
    <w:p w14:paraId="37C76119" w14:textId="77777777" w:rsidR="009260DE" w:rsidRPr="00E62E19" w:rsidRDefault="009260DE" w:rsidP="00E62E19"/>
    <w:sectPr w:rsidR="009260DE" w:rsidRPr="00E62E19"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F15ABE" w14:textId="77777777" w:rsidR="001572D9" w:rsidRDefault="001572D9">
      <w:r>
        <w:separator/>
      </w:r>
    </w:p>
  </w:endnote>
  <w:endnote w:type="continuationSeparator" w:id="0">
    <w:p w14:paraId="104AAA9D" w14:textId="77777777" w:rsidR="001572D9" w:rsidRDefault="0015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TimesNewRoman,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C17FD7" w14:textId="77777777" w:rsidR="001572D9" w:rsidRDefault="001572D9">
    <w:pPr>
      <w:pStyle w:val="Sidefod"/>
      <w:pBdr>
        <w:bottom w:val="single" w:sz="6" w:space="1" w:color="auto"/>
      </w:pBdr>
    </w:pPr>
  </w:p>
  <w:p w14:paraId="0C520A2A" w14:textId="77777777" w:rsidR="001572D9" w:rsidRDefault="001572D9" w:rsidP="00C42586">
    <w:pPr>
      <w:pStyle w:val="Sidefod"/>
      <w:tabs>
        <w:tab w:val="clear" w:pos="4819"/>
        <w:tab w:val="left" w:pos="8505"/>
      </w:tabs>
      <w:rPr>
        <w:i/>
        <w:sz w:val="18"/>
        <w:szCs w:val="18"/>
      </w:rPr>
    </w:pPr>
  </w:p>
  <w:p w14:paraId="425CA36E" w14:textId="77777777" w:rsidR="001572D9" w:rsidRPr="00B373D7" w:rsidRDefault="001572D9"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Daptomycin Reddy, pulver til injektions--infusionsvæske, opløsning 350 mg og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E5C59" w14:textId="77777777" w:rsidR="001572D9" w:rsidRDefault="001572D9">
      <w:r>
        <w:separator/>
      </w:r>
    </w:p>
  </w:footnote>
  <w:footnote w:type="continuationSeparator" w:id="0">
    <w:p w14:paraId="46E1F595" w14:textId="77777777" w:rsidR="001572D9" w:rsidRDefault="00157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05E52"/>
    <w:multiLevelType w:val="hybridMultilevel"/>
    <w:tmpl w:val="6AD8441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4A6D8D"/>
    <w:multiLevelType w:val="hybridMultilevel"/>
    <w:tmpl w:val="EFC2A9C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1241701B"/>
    <w:multiLevelType w:val="hybridMultilevel"/>
    <w:tmpl w:val="323A5C8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2724825"/>
    <w:multiLevelType w:val="hybridMultilevel"/>
    <w:tmpl w:val="50F2D5DE"/>
    <w:lvl w:ilvl="0" w:tplc="DF9C2254">
      <w:start w:val="1"/>
      <w:numFmt w:val="decimal"/>
      <w:lvlText w:val="%1."/>
      <w:lvlJc w:val="left"/>
      <w:pPr>
        <w:ind w:left="1215" w:hanging="85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E8D41A1"/>
    <w:multiLevelType w:val="hybridMultilevel"/>
    <w:tmpl w:val="A09AA75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6" w15:restartNumberingAfterBreak="0">
    <w:nsid w:val="1EF376D5"/>
    <w:multiLevelType w:val="hybridMultilevel"/>
    <w:tmpl w:val="1146EE28"/>
    <w:lvl w:ilvl="0" w:tplc="75A25E4E">
      <w:start w:val="6"/>
      <w:numFmt w:val="decimal"/>
      <w:lvlText w:val="%1."/>
      <w:lvlJc w:val="left"/>
      <w:pPr>
        <w:ind w:left="1287"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7162750"/>
    <w:multiLevelType w:val="hybridMultilevel"/>
    <w:tmpl w:val="B71AEA74"/>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0F551BD"/>
    <w:multiLevelType w:val="hybridMultilevel"/>
    <w:tmpl w:val="A4B0A2DC"/>
    <w:lvl w:ilvl="0" w:tplc="966C2666">
      <w:start w:val="1"/>
      <w:numFmt w:val="decimal"/>
      <w:lvlText w:val="%1."/>
      <w:lvlJc w:val="left"/>
      <w:pPr>
        <w:ind w:left="1215" w:hanging="85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3C747D75"/>
    <w:multiLevelType w:val="hybridMultilevel"/>
    <w:tmpl w:val="5404AEF4"/>
    <w:lvl w:ilvl="0" w:tplc="0406000F">
      <w:start w:val="1"/>
      <w:numFmt w:val="decimal"/>
      <w:lvlText w:val="%1."/>
      <w:lvlJc w:val="left"/>
      <w:pPr>
        <w:ind w:left="1287" w:hanging="360"/>
      </w:p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12" w15:restartNumberingAfterBreak="0">
    <w:nsid w:val="3E9E6A56"/>
    <w:multiLevelType w:val="hybridMultilevel"/>
    <w:tmpl w:val="C66EE9F6"/>
    <w:lvl w:ilvl="0" w:tplc="E9AE4C12">
      <w:numFmt w:val="bullet"/>
      <w:lvlText w:val="•"/>
      <w:lvlJc w:val="left"/>
      <w:pPr>
        <w:ind w:left="1215" w:hanging="855"/>
      </w:pPr>
      <w:rPr>
        <w:rFonts w:ascii="Times New Roman" w:eastAsia="TimesNew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EAB69AE"/>
    <w:multiLevelType w:val="hybridMultilevel"/>
    <w:tmpl w:val="7D7A19E6"/>
    <w:lvl w:ilvl="0" w:tplc="F286B864">
      <w:start w:val="1"/>
      <w:numFmt w:val="decimal"/>
      <w:lvlText w:val="%1."/>
      <w:lvlJc w:val="left"/>
      <w:pPr>
        <w:ind w:left="1215" w:hanging="85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5"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47346577"/>
    <w:multiLevelType w:val="hybridMultilevel"/>
    <w:tmpl w:val="A83A396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8" w15:restartNumberingAfterBreak="0">
    <w:nsid w:val="534B2188"/>
    <w:multiLevelType w:val="hybridMultilevel"/>
    <w:tmpl w:val="37F88FDA"/>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E4D51E5"/>
    <w:multiLevelType w:val="hybridMultilevel"/>
    <w:tmpl w:val="2CFE9300"/>
    <w:lvl w:ilvl="0" w:tplc="CC0C7C58">
      <w:start w:val="7"/>
      <w:numFmt w:val="decimal"/>
      <w:lvlText w:val="%1."/>
      <w:lvlJc w:val="left"/>
      <w:pPr>
        <w:ind w:left="1287"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9114092"/>
    <w:multiLevelType w:val="hybridMultilevel"/>
    <w:tmpl w:val="8572D3A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3" w15:restartNumberingAfterBreak="0">
    <w:nsid w:val="7F3C706F"/>
    <w:multiLevelType w:val="hybridMultilevel"/>
    <w:tmpl w:val="85D24194"/>
    <w:lvl w:ilvl="0" w:tplc="D67CE5D4">
      <w:start w:val="1"/>
      <w:numFmt w:val="decimal"/>
      <w:lvlText w:val="%1."/>
      <w:lvlJc w:val="left"/>
      <w:pPr>
        <w:ind w:left="1215" w:hanging="855"/>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5"/>
  </w:num>
  <w:num w:numId="8">
    <w:abstractNumId w:val="17"/>
  </w:num>
  <w:num w:numId="9">
    <w:abstractNumId w:val="22"/>
  </w:num>
  <w:num w:numId="10">
    <w:abstractNumId w:val="5"/>
  </w:num>
  <w:num w:numId="11">
    <w:abstractNumId w:val="16"/>
  </w:num>
  <w:num w:numId="12">
    <w:abstractNumId w:val="12"/>
  </w:num>
  <w:num w:numId="13">
    <w:abstractNumId w:val="18"/>
  </w:num>
  <w:num w:numId="14">
    <w:abstractNumId w:val="7"/>
  </w:num>
  <w:num w:numId="15">
    <w:abstractNumId w:val="13"/>
  </w:num>
  <w:num w:numId="16">
    <w:abstractNumId w:val="0"/>
  </w:num>
  <w:num w:numId="17">
    <w:abstractNumId w:val="8"/>
  </w:num>
  <w:num w:numId="18">
    <w:abstractNumId w:val="2"/>
  </w:num>
  <w:num w:numId="19">
    <w:abstractNumId w:val="23"/>
  </w:num>
  <w:num w:numId="20">
    <w:abstractNumId w:val="1"/>
  </w:num>
  <w:num w:numId="21">
    <w:abstractNumId w:val="3"/>
  </w:num>
  <w:num w:numId="22">
    <w:abstractNumId w:val="11"/>
  </w:num>
  <w:num w:numId="23">
    <w:abstractNumId w:val="6"/>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2E19"/>
    <w:rsid w:val="000259B9"/>
    <w:rsid w:val="00041491"/>
    <w:rsid w:val="00044674"/>
    <w:rsid w:val="00050D16"/>
    <w:rsid w:val="000668D6"/>
    <w:rsid w:val="00074F2A"/>
    <w:rsid w:val="00075F35"/>
    <w:rsid w:val="00080626"/>
    <w:rsid w:val="000A1CA8"/>
    <w:rsid w:val="000A466B"/>
    <w:rsid w:val="000B058C"/>
    <w:rsid w:val="000E4EE6"/>
    <w:rsid w:val="000F0E20"/>
    <w:rsid w:val="00104B3C"/>
    <w:rsid w:val="001454E2"/>
    <w:rsid w:val="001572D9"/>
    <w:rsid w:val="001D7879"/>
    <w:rsid w:val="00206CE8"/>
    <w:rsid w:val="0021526C"/>
    <w:rsid w:val="00283A2B"/>
    <w:rsid w:val="002B30AD"/>
    <w:rsid w:val="002C2C01"/>
    <w:rsid w:val="002F76E5"/>
    <w:rsid w:val="003A29AE"/>
    <w:rsid w:val="003A32D7"/>
    <w:rsid w:val="003B4074"/>
    <w:rsid w:val="003C4A51"/>
    <w:rsid w:val="003C769A"/>
    <w:rsid w:val="003F1838"/>
    <w:rsid w:val="0045746C"/>
    <w:rsid w:val="0049104B"/>
    <w:rsid w:val="004E3B12"/>
    <w:rsid w:val="00532310"/>
    <w:rsid w:val="00560ECC"/>
    <w:rsid w:val="00565F0F"/>
    <w:rsid w:val="00594A86"/>
    <w:rsid w:val="00596D86"/>
    <w:rsid w:val="006063A0"/>
    <w:rsid w:val="006237BF"/>
    <w:rsid w:val="00637F5A"/>
    <w:rsid w:val="00641F2A"/>
    <w:rsid w:val="006560B1"/>
    <w:rsid w:val="006756DD"/>
    <w:rsid w:val="00737275"/>
    <w:rsid w:val="00740EEC"/>
    <w:rsid w:val="0078011A"/>
    <w:rsid w:val="00781ABD"/>
    <w:rsid w:val="00782AF4"/>
    <w:rsid w:val="00790EE7"/>
    <w:rsid w:val="007B6649"/>
    <w:rsid w:val="007D237B"/>
    <w:rsid w:val="0081546F"/>
    <w:rsid w:val="0082576E"/>
    <w:rsid w:val="0084400F"/>
    <w:rsid w:val="00855450"/>
    <w:rsid w:val="00907F75"/>
    <w:rsid w:val="009260DE"/>
    <w:rsid w:val="0093258A"/>
    <w:rsid w:val="0097462C"/>
    <w:rsid w:val="009C7BA3"/>
    <w:rsid w:val="009D1F5A"/>
    <w:rsid w:val="00A8207C"/>
    <w:rsid w:val="00B003BF"/>
    <w:rsid w:val="00B373D7"/>
    <w:rsid w:val="00B775BD"/>
    <w:rsid w:val="00C161F7"/>
    <w:rsid w:val="00C214A4"/>
    <w:rsid w:val="00C36276"/>
    <w:rsid w:val="00C42586"/>
    <w:rsid w:val="00C60CCD"/>
    <w:rsid w:val="00C84483"/>
    <w:rsid w:val="00C95551"/>
    <w:rsid w:val="00CB20D7"/>
    <w:rsid w:val="00D020B0"/>
    <w:rsid w:val="00D0791C"/>
    <w:rsid w:val="00D11748"/>
    <w:rsid w:val="00D22C91"/>
    <w:rsid w:val="00D246A9"/>
    <w:rsid w:val="00D366CF"/>
    <w:rsid w:val="00DA1396"/>
    <w:rsid w:val="00DE77E4"/>
    <w:rsid w:val="00E108AA"/>
    <w:rsid w:val="00E31812"/>
    <w:rsid w:val="00E3749A"/>
    <w:rsid w:val="00E55B5C"/>
    <w:rsid w:val="00E62E19"/>
    <w:rsid w:val="00E7437F"/>
    <w:rsid w:val="00E865B8"/>
    <w:rsid w:val="00EC0B9B"/>
    <w:rsid w:val="00EC6098"/>
    <w:rsid w:val="00ED50EC"/>
    <w:rsid w:val="00ED5E9F"/>
    <w:rsid w:val="00EE225B"/>
    <w:rsid w:val="00EF1528"/>
    <w:rsid w:val="00F210AB"/>
    <w:rsid w:val="00F35D3F"/>
    <w:rsid w:val="00F66D4F"/>
    <w:rsid w:val="00FA525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897E7D"/>
  <w15:chartTrackingRefBased/>
  <w15:docId w15:val="{75F84CE2-1603-455A-BD9D-A061A473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E62E19"/>
    <w:rPr>
      <w:color w:val="808080"/>
    </w:rPr>
  </w:style>
  <w:style w:type="paragraph" w:styleId="Listeafsnit">
    <w:name w:val="List Paragraph"/>
    <w:basedOn w:val="Normal"/>
    <w:uiPriority w:val="34"/>
    <w:qFormat/>
    <w:rsid w:val="00E62E19"/>
    <w:pPr>
      <w:spacing w:after="160" w:line="256" w:lineRule="auto"/>
      <w:ind w:left="720"/>
      <w:contextualSpacing/>
    </w:pPr>
    <w:rPr>
      <w:rFonts w:asciiTheme="minorHAnsi" w:eastAsiaTheme="minorHAnsi" w:hAnsiTheme="minorHAnsi" w:cstheme="minorBidi"/>
      <w:sz w:val="22"/>
      <w:szCs w:val="22"/>
    </w:rPr>
  </w:style>
  <w:style w:type="table" w:styleId="Tabel-Gitter">
    <w:name w:val="Table Grid"/>
    <w:basedOn w:val="Tabel-Normal"/>
    <w:uiPriority w:val="39"/>
    <w:rsid w:val="00E62E1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semiHidden/>
    <w:unhideWhenUsed/>
    <w:rsid w:val="00E62E19"/>
    <w:rPr>
      <w:color w:val="0563C1" w:themeColor="hyperlink"/>
      <w:u w:val="single"/>
    </w:rPr>
  </w:style>
  <w:style w:type="table" w:customStyle="1" w:styleId="TableNormal1">
    <w:name w:val="Table Normal1"/>
    <w:uiPriority w:val="2"/>
    <w:semiHidden/>
    <w:unhideWhenUsed/>
    <w:qFormat/>
    <w:rsid w:val="0097462C"/>
    <w:pPr>
      <w:widowControl w:val="0"/>
    </w:pPr>
    <w:rPr>
      <w:sz w:val="22"/>
      <w:szCs w:val="22"/>
    </w:rPr>
    <w:tblPr>
      <w:tblInd w:w="0" w:type="dxa"/>
      <w:tblCellMar>
        <w:top w:w="0" w:type="dxa"/>
        <w:left w:w="0" w:type="dxa"/>
        <w:bottom w:w="0" w:type="dxa"/>
        <w:right w:w="0" w:type="dxa"/>
      </w:tblCellMar>
    </w:tblPr>
  </w:style>
  <w:style w:type="paragraph" w:styleId="Brdtekst">
    <w:name w:val="Body Text"/>
    <w:basedOn w:val="Normal"/>
    <w:link w:val="BrdtekstTegn"/>
    <w:uiPriority w:val="1"/>
    <w:qFormat/>
    <w:rsid w:val="0097462C"/>
    <w:pPr>
      <w:widowControl w:val="0"/>
      <w:ind w:left="118"/>
    </w:pPr>
    <w:rPr>
      <w:sz w:val="22"/>
      <w:szCs w:val="22"/>
      <w:lang w:eastAsia="da-DK"/>
    </w:rPr>
  </w:style>
  <w:style w:type="character" w:customStyle="1" w:styleId="BrdtekstTegn">
    <w:name w:val="Brødtekst Tegn"/>
    <w:basedOn w:val="Standardskrifttypeiafsnit"/>
    <w:link w:val="Brdtekst"/>
    <w:uiPriority w:val="1"/>
    <w:rsid w:val="0097462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26</Pages>
  <Words>9472</Words>
  <Characters>59037</Characters>
  <Application>Microsoft Office Word</Application>
  <DocSecurity>0</DocSecurity>
  <Lines>491</Lines>
  <Paragraphs>136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Venn</dc:creator>
  <cp:keywords/>
  <dc:description>2021072536 - forlængelse af MFT_x000d_
SPC opdat. pkt. 4.4, 4.8 samt redaktionelle ændringer</dc:description>
  <cp:lastModifiedBy>Helle Venn</cp:lastModifiedBy>
  <cp:revision>10</cp:revision>
  <cp:lastPrinted>2012-08-22T08:53:00Z</cp:lastPrinted>
  <dcterms:created xsi:type="dcterms:W3CDTF">2024-07-02T11:28:00Z</dcterms:created>
  <dcterms:modified xsi:type="dcterms:W3CDTF">2024-07-02T12:13:00Z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