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372" w:rsidRPr="008F49E1" w:rsidRDefault="00B91372" w:rsidP="00B91372">
      <w:pPr>
        <w:rPr>
          <w:sz w:val="24"/>
          <w:szCs w:val="24"/>
        </w:rPr>
      </w:pPr>
      <w:r w:rsidRPr="009260DE">
        <w:rPr>
          <w:noProof/>
          <w:sz w:val="24"/>
          <w:szCs w:val="24"/>
          <w:lang w:eastAsia="da-DK"/>
        </w:rPr>
        <w:drawing>
          <wp:anchor distT="0" distB="0" distL="114300" distR="114300" simplePos="0" relativeHeight="251659264" behindDoc="0" locked="0" layoutInCell="1" allowOverlap="1" wp14:anchorId="32B05F67" wp14:editId="3348CE48">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91372" w:rsidRPr="00C84483" w:rsidRDefault="00B91372" w:rsidP="00B91372">
      <w:pPr>
        <w:pStyle w:val="Titel"/>
        <w:tabs>
          <w:tab w:val="right" w:pos="9356"/>
        </w:tabs>
        <w:jc w:val="left"/>
        <w:rPr>
          <w:b w:val="0"/>
          <w:szCs w:val="24"/>
          <w:lang w:eastAsia="en-US"/>
        </w:rPr>
      </w:pPr>
      <w:r w:rsidRPr="00C84483">
        <w:rPr>
          <w:b w:val="0"/>
          <w:szCs w:val="24"/>
          <w:lang w:eastAsia="en-US"/>
        </w:rPr>
        <w:tab/>
      </w:r>
      <w:r w:rsidR="004C1A1B">
        <w:rPr>
          <w:szCs w:val="24"/>
        </w:rPr>
        <w:t>1</w:t>
      </w:r>
      <w:r w:rsidR="00815FE0">
        <w:rPr>
          <w:szCs w:val="24"/>
        </w:rPr>
        <w:t>6</w:t>
      </w:r>
      <w:r w:rsidR="00625309">
        <w:rPr>
          <w:szCs w:val="24"/>
        </w:rPr>
        <w:t xml:space="preserve">. </w:t>
      </w:r>
      <w:r w:rsidR="004C1A1B">
        <w:rPr>
          <w:szCs w:val="24"/>
        </w:rPr>
        <w:t>juli</w:t>
      </w:r>
      <w:r w:rsidR="00625309">
        <w:rPr>
          <w:szCs w:val="24"/>
        </w:rPr>
        <w:t xml:space="preserve"> 202</w:t>
      </w:r>
      <w:r w:rsidR="004C1A1B">
        <w:rPr>
          <w:szCs w:val="24"/>
        </w:rPr>
        <w:t>4</w:t>
      </w:r>
    </w:p>
    <w:p w:rsidR="00B91372" w:rsidRDefault="00B91372" w:rsidP="00B91372">
      <w:pPr>
        <w:pStyle w:val="Titel"/>
        <w:jc w:val="left"/>
        <w:rPr>
          <w:b w:val="0"/>
          <w:szCs w:val="24"/>
        </w:rPr>
      </w:pPr>
    </w:p>
    <w:p w:rsidR="001A630F" w:rsidRPr="00C84483" w:rsidRDefault="001A630F" w:rsidP="00B91372">
      <w:pPr>
        <w:pStyle w:val="Titel"/>
        <w:jc w:val="left"/>
        <w:rPr>
          <w:b w:val="0"/>
          <w:szCs w:val="24"/>
        </w:rPr>
      </w:pPr>
    </w:p>
    <w:p w:rsidR="00B91372" w:rsidRPr="00C84483" w:rsidRDefault="00B91372" w:rsidP="00B91372">
      <w:pPr>
        <w:jc w:val="center"/>
        <w:rPr>
          <w:b/>
          <w:sz w:val="24"/>
          <w:szCs w:val="24"/>
        </w:rPr>
      </w:pPr>
      <w:r w:rsidRPr="00C84483">
        <w:rPr>
          <w:b/>
          <w:sz w:val="24"/>
          <w:szCs w:val="24"/>
        </w:rPr>
        <w:t>PRODUKTRESUMÉ</w:t>
      </w:r>
    </w:p>
    <w:p w:rsidR="00B91372" w:rsidRPr="00C84483" w:rsidRDefault="00B91372" w:rsidP="00B91372">
      <w:pPr>
        <w:jc w:val="center"/>
        <w:rPr>
          <w:b/>
          <w:sz w:val="24"/>
          <w:szCs w:val="24"/>
        </w:rPr>
      </w:pPr>
    </w:p>
    <w:p w:rsidR="00B91372" w:rsidRDefault="00B91372" w:rsidP="00B91372">
      <w:pPr>
        <w:jc w:val="center"/>
        <w:rPr>
          <w:b/>
          <w:sz w:val="24"/>
          <w:szCs w:val="24"/>
        </w:rPr>
      </w:pPr>
      <w:r w:rsidRPr="00C84483">
        <w:rPr>
          <w:b/>
          <w:sz w:val="24"/>
          <w:szCs w:val="24"/>
        </w:rPr>
        <w:t>for</w:t>
      </w:r>
    </w:p>
    <w:p w:rsidR="00B91372" w:rsidRPr="00C84483" w:rsidRDefault="00B91372" w:rsidP="00B91372">
      <w:pPr>
        <w:jc w:val="center"/>
        <w:rPr>
          <w:b/>
          <w:sz w:val="24"/>
          <w:szCs w:val="24"/>
        </w:rPr>
      </w:pPr>
    </w:p>
    <w:p w:rsidR="00B91372" w:rsidRPr="00C84483" w:rsidRDefault="00B91372" w:rsidP="00B91372">
      <w:pPr>
        <w:jc w:val="center"/>
        <w:rPr>
          <w:b/>
          <w:sz w:val="24"/>
          <w:szCs w:val="24"/>
        </w:rPr>
      </w:pPr>
      <w:r>
        <w:rPr>
          <w:b/>
          <w:sz w:val="24"/>
          <w:szCs w:val="24"/>
        </w:rPr>
        <w:t>Darunavir "STADA", filmovertrukne tabletter 600 mg</w:t>
      </w:r>
    </w:p>
    <w:p w:rsidR="00B91372" w:rsidRPr="00C84483" w:rsidRDefault="00B91372" w:rsidP="00B91372">
      <w:pPr>
        <w:jc w:val="both"/>
        <w:rPr>
          <w:sz w:val="24"/>
          <w:szCs w:val="24"/>
        </w:rPr>
      </w:pPr>
    </w:p>
    <w:p w:rsidR="00B91372" w:rsidRPr="00ED0DE7" w:rsidRDefault="00B91372" w:rsidP="00B91372">
      <w:pPr>
        <w:jc w:val="both"/>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0.</w:t>
      </w:r>
      <w:r w:rsidRPr="00ED0DE7">
        <w:rPr>
          <w:b/>
          <w:sz w:val="24"/>
          <w:szCs w:val="24"/>
        </w:rPr>
        <w:tab/>
        <w:t>D.SP.NR.</w:t>
      </w:r>
    </w:p>
    <w:p w:rsidR="00B91372" w:rsidRPr="00ED0DE7" w:rsidRDefault="00B91372" w:rsidP="00B91372">
      <w:pPr>
        <w:tabs>
          <w:tab w:val="left" w:pos="851"/>
        </w:tabs>
        <w:ind w:left="851"/>
        <w:rPr>
          <w:sz w:val="24"/>
          <w:szCs w:val="24"/>
        </w:rPr>
      </w:pPr>
      <w:r w:rsidRPr="00ED0DE7">
        <w:rPr>
          <w:sz w:val="24"/>
          <w:szCs w:val="24"/>
        </w:rPr>
        <w:t>30042</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1.</w:t>
      </w:r>
      <w:r w:rsidRPr="00ED0DE7">
        <w:rPr>
          <w:b/>
          <w:sz w:val="24"/>
          <w:szCs w:val="24"/>
        </w:rPr>
        <w:tab/>
        <w:t>LÆGEMIDLETS NAVN</w:t>
      </w:r>
    </w:p>
    <w:p w:rsidR="00B91372" w:rsidRPr="00ED0DE7" w:rsidRDefault="00B91372" w:rsidP="00B91372">
      <w:pPr>
        <w:tabs>
          <w:tab w:val="left" w:pos="851"/>
        </w:tabs>
        <w:ind w:left="851"/>
        <w:rPr>
          <w:sz w:val="24"/>
          <w:szCs w:val="24"/>
        </w:rPr>
      </w:pPr>
      <w:r w:rsidRPr="00ED0DE7">
        <w:rPr>
          <w:sz w:val="24"/>
          <w:szCs w:val="24"/>
        </w:rPr>
        <w:t xml:space="preserve">Darunavir </w:t>
      </w:r>
      <w:r>
        <w:rPr>
          <w:sz w:val="24"/>
          <w:szCs w:val="24"/>
        </w:rPr>
        <w:t>"STADA"</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2.</w:t>
      </w:r>
      <w:r w:rsidRPr="00ED0DE7">
        <w:rPr>
          <w:b/>
          <w:sz w:val="24"/>
          <w:szCs w:val="24"/>
        </w:rPr>
        <w:tab/>
        <w:t>KVALITATIV OG KVANTITATIV SAMMENSÆTNING</w:t>
      </w:r>
    </w:p>
    <w:p w:rsidR="00B91372" w:rsidRPr="00ED0DE7" w:rsidRDefault="00B91372" w:rsidP="00B91372">
      <w:pPr>
        <w:tabs>
          <w:tab w:val="left" w:pos="851"/>
        </w:tabs>
        <w:ind w:left="851"/>
        <w:rPr>
          <w:sz w:val="24"/>
          <w:szCs w:val="24"/>
        </w:rPr>
      </w:pPr>
      <w:r w:rsidRPr="00ED0DE7">
        <w:rPr>
          <w:sz w:val="24"/>
          <w:szCs w:val="24"/>
        </w:rPr>
        <w:t>Hver filmovertrukket tablet indeholder 600 mg darunavir.</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Hjælpestoffer, som behandleren skal være opmærksom på:</w:t>
      </w:r>
    </w:p>
    <w:p w:rsidR="00B91372" w:rsidRPr="00ED0DE7" w:rsidRDefault="00B91372" w:rsidP="00B91372">
      <w:pPr>
        <w:tabs>
          <w:tab w:val="left" w:pos="851"/>
        </w:tabs>
        <w:ind w:left="851"/>
        <w:rPr>
          <w:sz w:val="24"/>
          <w:szCs w:val="24"/>
        </w:rPr>
      </w:pPr>
      <w:r w:rsidRPr="00ED0DE7">
        <w:rPr>
          <w:sz w:val="24"/>
          <w:szCs w:val="24"/>
        </w:rPr>
        <w:t xml:space="preserve">Darunavir </w:t>
      </w:r>
      <w:r>
        <w:rPr>
          <w:sz w:val="24"/>
          <w:szCs w:val="24"/>
        </w:rPr>
        <w:t>"STADA"</w:t>
      </w:r>
      <w:r w:rsidRPr="00ED0DE7">
        <w:rPr>
          <w:sz w:val="24"/>
          <w:szCs w:val="24"/>
        </w:rPr>
        <w:t xml:space="preserve"> 600 mg: Hver tablet indeholder 2592 mg sunset yellow FCF (E110)</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Alle hjælpestoffer er anført under pkt. 6.1.</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3.</w:t>
      </w:r>
      <w:r w:rsidRPr="00ED0DE7">
        <w:rPr>
          <w:b/>
          <w:sz w:val="24"/>
          <w:szCs w:val="24"/>
        </w:rPr>
        <w:tab/>
        <w:t>LÆGEMIDDELFORM</w:t>
      </w:r>
    </w:p>
    <w:p w:rsidR="00B91372" w:rsidRPr="00ED0DE7" w:rsidRDefault="00B91372" w:rsidP="00B91372">
      <w:pPr>
        <w:tabs>
          <w:tab w:val="left" w:pos="851"/>
        </w:tabs>
        <w:ind w:left="851"/>
        <w:rPr>
          <w:sz w:val="24"/>
          <w:szCs w:val="24"/>
        </w:rPr>
      </w:pPr>
      <w:r w:rsidRPr="00ED0DE7">
        <w:rPr>
          <w:sz w:val="24"/>
          <w:szCs w:val="24"/>
        </w:rPr>
        <w:t>Filmovertrukne tabletter</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 xml:space="preserve">Darunavir </w:t>
      </w:r>
      <w:r>
        <w:rPr>
          <w:sz w:val="24"/>
          <w:szCs w:val="24"/>
        </w:rPr>
        <w:t>"STADA"</w:t>
      </w:r>
      <w:r w:rsidRPr="00ED0DE7">
        <w:rPr>
          <w:sz w:val="24"/>
          <w:szCs w:val="24"/>
        </w:rPr>
        <w:t xml:space="preserve"> 600 mg: Orange, oval filmovertrukke</w:t>
      </w:r>
      <w:r>
        <w:rPr>
          <w:sz w:val="24"/>
          <w:szCs w:val="24"/>
        </w:rPr>
        <w:t>t</w:t>
      </w:r>
      <w:r w:rsidRPr="00ED0DE7">
        <w:rPr>
          <w:sz w:val="24"/>
          <w:szCs w:val="24"/>
        </w:rPr>
        <w:t xml:space="preserve"> tablet præget med </w:t>
      </w:r>
      <w:r>
        <w:rPr>
          <w:sz w:val="24"/>
          <w:szCs w:val="24"/>
        </w:rPr>
        <w:t>"</w:t>
      </w:r>
      <w:r w:rsidRPr="00ED0DE7">
        <w:rPr>
          <w:sz w:val="24"/>
          <w:szCs w:val="24"/>
        </w:rPr>
        <w:t>600</w:t>
      </w:r>
      <w:r>
        <w:rPr>
          <w:sz w:val="24"/>
          <w:szCs w:val="24"/>
        </w:rPr>
        <w:t>"</w:t>
      </w:r>
      <w:r w:rsidRPr="00ED0DE7">
        <w:rPr>
          <w:sz w:val="24"/>
          <w:szCs w:val="24"/>
        </w:rPr>
        <w:t xml:space="preserve"> på den ene side og uden prægning på den anden side og med en størrelse på ca. 20,1 mm x 10,1 mm.</w:t>
      </w:r>
    </w:p>
    <w:p w:rsidR="00B91372"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w:t>
      </w:r>
      <w:r w:rsidRPr="00ED0DE7">
        <w:rPr>
          <w:b/>
          <w:sz w:val="24"/>
          <w:szCs w:val="24"/>
        </w:rPr>
        <w:tab/>
        <w:t>KLINISKE OPLYSNINGER</w:t>
      </w:r>
    </w:p>
    <w:p w:rsidR="00B91372" w:rsidRPr="00ED0DE7" w:rsidRDefault="00B91372" w:rsidP="00B91372">
      <w:pPr>
        <w:tabs>
          <w:tab w:val="left" w:pos="851"/>
        </w:tabs>
        <w:ind w:left="851"/>
        <w:rPr>
          <w:b/>
          <w:sz w:val="24"/>
          <w:szCs w:val="24"/>
        </w:rPr>
      </w:pPr>
    </w:p>
    <w:p w:rsidR="00B91372" w:rsidRPr="00ED0DE7" w:rsidRDefault="00B91372" w:rsidP="00B91372">
      <w:pPr>
        <w:tabs>
          <w:tab w:val="left" w:pos="851"/>
        </w:tabs>
        <w:ind w:left="851" w:hanging="851"/>
        <w:rPr>
          <w:b/>
          <w:sz w:val="24"/>
          <w:szCs w:val="24"/>
          <w:u w:val="single"/>
        </w:rPr>
      </w:pPr>
      <w:r w:rsidRPr="00ED0DE7">
        <w:rPr>
          <w:b/>
          <w:sz w:val="24"/>
          <w:szCs w:val="24"/>
        </w:rPr>
        <w:t>4.1</w:t>
      </w:r>
      <w:r w:rsidRPr="00ED0DE7">
        <w:rPr>
          <w:b/>
          <w:sz w:val="24"/>
          <w:szCs w:val="24"/>
        </w:rPr>
        <w:tab/>
        <w:t>Terapeutiske indikationer</w:t>
      </w:r>
    </w:p>
    <w:p w:rsidR="00B64DBB" w:rsidRPr="00ED0DE7" w:rsidRDefault="00B64DBB" w:rsidP="00B64DBB">
      <w:pPr>
        <w:tabs>
          <w:tab w:val="left" w:pos="851"/>
        </w:tabs>
        <w:ind w:left="851"/>
        <w:rPr>
          <w:sz w:val="24"/>
          <w:szCs w:val="24"/>
        </w:rPr>
      </w:pPr>
      <w:r w:rsidRPr="00ED0DE7">
        <w:rPr>
          <w:sz w:val="24"/>
          <w:szCs w:val="24"/>
        </w:rPr>
        <w:t xml:space="preserve">Darunavir </w:t>
      </w:r>
      <w:r>
        <w:rPr>
          <w:sz w:val="24"/>
          <w:szCs w:val="24"/>
        </w:rPr>
        <w:t>"STADA"</w:t>
      </w:r>
      <w:r w:rsidRPr="00ED0DE7">
        <w:rPr>
          <w:sz w:val="24"/>
          <w:szCs w:val="24"/>
        </w:rPr>
        <w:t>, administreret sammen med lavdosis ritonavir, er i kombination med andre antiretrovirale lægemidler indiceret til behandling af patienter med human immundefektvirus (</w:t>
      </w:r>
      <w:r>
        <w:rPr>
          <w:sz w:val="24"/>
          <w:szCs w:val="24"/>
        </w:rPr>
        <w:t>HIV</w:t>
      </w:r>
      <w:r w:rsidRPr="00ED0DE7">
        <w:rPr>
          <w:sz w:val="24"/>
          <w:szCs w:val="24"/>
        </w:rPr>
        <w:t>-</w:t>
      </w:r>
      <w:proofErr w:type="gramStart"/>
      <w:r w:rsidRPr="00ED0DE7">
        <w:rPr>
          <w:sz w:val="24"/>
          <w:szCs w:val="24"/>
        </w:rPr>
        <w:t>1)-</w:t>
      </w:r>
      <w:proofErr w:type="gramEnd"/>
      <w:r>
        <w:rPr>
          <w:sz w:val="24"/>
          <w:szCs w:val="24"/>
        </w:rPr>
        <w:t xml:space="preserve">infektion (se pkt. 4.2). </w:t>
      </w:r>
      <w:r w:rsidRPr="00ED0DE7">
        <w:rPr>
          <w:sz w:val="24"/>
          <w:szCs w:val="24"/>
        </w:rPr>
        <w:t xml:space="preserve"> </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rPr>
      </w:pPr>
      <w:r w:rsidRPr="00ED0DE7">
        <w:rPr>
          <w:sz w:val="24"/>
          <w:szCs w:val="24"/>
        </w:rPr>
        <w:t xml:space="preserve">Darunavir </w:t>
      </w:r>
      <w:r>
        <w:rPr>
          <w:sz w:val="24"/>
          <w:szCs w:val="24"/>
        </w:rPr>
        <w:t>"STADA"</w:t>
      </w:r>
      <w:r w:rsidRPr="00ED0DE7">
        <w:rPr>
          <w:sz w:val="24"/>
          <w:szCs w:val="24"/>
        </w:rPr>
        <w:t xml:space="preserve"> 600 mg tabletter kan anvendes til at sammensætte passende behandlingsregimer (se pkt. 4.2):</w:t>
      </w:r>
    </w:p>
    <w:p w:rsidR="00B64DBB" w:rsidRPr="004623FF" w:rsidRDefault="00B64DBB" w:rsidP="00B64DBB">
      <w:pPr>
        <w:pStyle w:val="Listeafsnit"/>
        <w:numPr>
          <w:ilvl w:val="0"/>
          <w:numId w:val="26"/>
        </w:numPr>
        <w:tabs>
          <w:tab w:val="left" w:pos="1134"/>
        </w:tabs>
        <w:ind w:left="1134" w:hanging="283"/>
        <w:rPr>
          <w:sz w:val="24"/>
          <w:szCs w:val="24"/>
        </w:rPr>
      </w:pPr>
      <w:r w:rsidRPr="004623FF">
        <w:rPr>
          <w:sz w:val="24"/>
          <w:szCs w:val="24"/>
        </w:rPr>
        <w:t xml:space="preserve">Til behandling af </w:t>
      </w:r>
      <w:r>
        <w:rPr>
          <w:sz w:val="24"/>
          <w:szCs w:val="24"/>
        </w:rPr>
        <w:t>HIV</w:t>
      </w:r>
      <w:r w:rsidRPr="004623FF">
        <w:rPr>
          <w:sz w:val="24"/>
          <w:szCs w:val="24"/>
        </w:rPr>
        <w:t>-1-infektion hos voksne patienter, som tidligere har været i antiretroviral behandling (ART-erfarne), inklusive patienter, der tidligere har fået omfattende præmedicinering.</w:t>
      </w:r>
    </w:p>
    <w:p w:rsidR="00B64DBB" w:rsidRPr="004623FF" w:rsidRDefault="00B64DBB" w:rsidP="00B64DBB">
      <w:pPr>
        <w:pStyle w:val="Listeafsnit"/>
        <w:numPr>
          <w:ilvl w:val="0"/>
          <w:numId w:val="26"/>
        </w:numPr>
        <w:tabs>
          <w:tab w:val="left" w:pos="1134"/>
        </w:tabs>
        <w:ind w:left="1134" w:hanging="283"/>
        <w:rPr>
          <w:sz w:val="24"/>
          <w:szCs w:val="24"/>
        </w:rPr>
      </w:pPr>
      <w:r w:rsidRPr="004623FF">
        <w:rPr>
          <w:sz w:val="24"/>
          <w:szCs w:val="24"/>
        </w:rPr>
        <w:t xml:space="preserve">Til behandling af </w:t>
      </w:r>
      <w:r>
        <w:rPr>
          <w:sz w:val="24"/>
          <w:szCs w:val="24"/>
        </w:rPr>
        <w:t>HIV</w:t>
      </w:r>
      <w:r w:rsidRPr="004623FF">
        <w:rPr>
          <w:sz w:val="24"/>
          <w:szCs w:val="24"/>
        </w:rPr>
        <w:t>-1-infektion hos pædiatriske patienter fra 3 år med en legemsvægt på mindst 15 kg.</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rPr>
      </w:pPr>
      <w:r w:rsidRPr="00ED0DE7">
        <w:rPr>
          <w:sz w:val="24"/>
          <w:szCs w:val="24"/>
        </w:rPr>
        <w:t xml:space="preserve">I forbindelse med beslutningen om at påbegynde behandling med Darunavir </w:t>
      </w:r>
      <w:r>
        <w:rPr>
          <w:sz w:val="24"/>
          <w:szCs w:val="24"/>
        </w:rPr>
        <w:t>"STADA"</w:t>
      </w:r>
      <w:r w:rsidRPr="00ED0DE7">
        <w:rPr>
          <w:sz w:val="24"/>
          <w:szCs w:val="24"/>
        </w:rPr>
        <w:t xml:space="preserve">, administreret sammen med lavdosis ritonavir, skal den enkelte patients behandlingsanamnese og de mutationsmønstre, der er forbundet med forskellige lægemidler, overvejes nøje. Genotype- og fænotypebestemmelse (hvor det er muligt) og behandlingsanamnese skal være vejledende for brugen af Darunavir </w:t>
      </w:r>
      <w:r>
        <w:rPr>
          <w:sz w:val="24"/>
          <w:szCs w:val="24"/>
        </w:rPr>
        <w:t>"STADA" (se pkt. 4.2, 4.4 og 5.1).</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4.2</w:t>
      </w:r>
      <w:r w:rsidRPr="00ED0DE7">
        <w:rPr>
          <w:b/>
          <w:sz w:val="24"/>
          <w:szCs w:val="24"/>
        </w:rPr>
        <w:tab/>
        <w:t xml:space="preserve">Dosering og </w:t>
      </w:r>
      <w:r w:rsidR="00B64DBB">
        <w:rPr>
          <w:b/>
          <w:sz w:val="24"/>
          <w:szCs w:val="24"/>
        </w:rPr>
        <w:t>administration</w:t>
      </w:r>
    </w:p>
    <w:p w:rsidR="00B91372" w:rsidRPr="00ED0DE7" w:rsidRDefault="00B91372" w:rsidP="00B91372">
      <w:pPr>
        <w:tabs>
          <w:tab w:val="left" w:pos="851"/>
        </w:tabs>
        <w:ind w:left="851"/>
        <w:rPr>
          <w:sz w:val="24"/>
          <w:szCs w:val="24"/>
        </w:rPr>
      </w:pPr>
      <w:r w:rsidRPr="00ED0DE7">
        <w:rPr>
          <w:sz w:val="24"/>
          <w:szCs w:val="24"/>
        </w:rPr>
        <w:t xml:space="preserve">Behandlingen skal påbegyndes af en læge, der har erfaring med håndtering af </w:t>
      </w:r>
      <w:r w:rsidR="00B64DBB">
        <w:rPr>
          <w:sz w:val="24"/>
          <w:szCs w:val="24"/>
        </w:rPr>
        <w:t>HIV</w:t>
      </w:r>
      <w:r w:rsidRPr="00ED0DE7">
        <w:rPr>
          <w:sz w:val="24"/>
          <w:szCs w:val="24"/>
        </w:rPr>
        <w:t xml:space="preserve">-infektion. Efter indledning af behandling med Darunavir </w:t>
      </w:r>
      <w:r>
        <w:rPr>
          <w:sz w:val="24"/>
          <w:szCs w:val="24"/>
        </w:rPr>
        <w:t>"STADA"</w:t>
      </w:r>
      <w:r w:rsidRPr="00ED0DE7">
        <w:rPr>
          <w:sz w:val="24"/>
          <w:szCs w:val="24"/>
        </w:rPr>
        <w:t xml:space="preserve"> skal patienterne rådgives om ikke at ændre doseringen eller lægemiddelformen eller stoppe med behandlingen uden forudgående aftale med lægen.</w:t>
      </w:r>
    </w:p>
    <w:p w:rsidR="00B91372" w:rsidRPr="00ED0DE7" w:rsidRDefault="00B91372" w:rsidP="00B91372">
      <w:pPr>
        <w:tabs>
          <w:tab w:val="left" w:pos="851"/>
        </w:tabs>
        <w:ind w:left="851"/>
        <w:rPr>
          <w:sz w:val="24"/>
          <w:szCs w:val="24"/>
        </w:rPr>
      </w:pPr>
    </w:p>
    <w:p w:rsidR="00B64DBB" w:rsidRPr="00ED0DE7" w:rsidRDefault="00B64DBB" w:rsidP="00B64DBB">
      <w:pPr>
        <w:tabs>
          <w:tab w:val="left" w:pos="851"/>
        </w:tabs>
        <w:ind w:left="851"/>
        <w:rPr>
          <w:b/>
          <w:sz w:val="24"/>
          <w:szCs w:val="24"/>
        </w:rPr>
      </w:pPr>
      <w:r w:rsidRPr="00ED0DE7">
        <w:rPr>
          <w:b/>
          <w:sz w:val="24"/>
          <w:szCs w:val="24"/>
        </w:rPr>
        <w:t>Dosering</w:t>
      </w:r>
    </w:p>
    <w:p w:rsidR="00B64DBB" w:rsidRPr="00ED0DE7" w:rsidRDefault="00B64DBB" w:rsidP="00B64DBB">
      <w:pPr>
        <w:tabs>
          <w:tab w:val="left" w:pos="851"/>
        </w:tabs>
        <w:ind w:left="851"/>
        <w:rPr>
          <w:sz w:val="24"/>
          <w:szCs w:val="24"/>
        </w:rPr>
      </w:pPr>
      <w:r w:rsidRPr="00ED0DE7">
        <w:rPr>
          <w:sz w:val="24"/>
          <w:szCs w:val="24"/>
        </w:rPr>
        <w:t xml:space="preserve">Darunavir </w:t>
      </w:r>
      <w:r>
        <w:rPr>
          <w:sz w:val="24"/>
          <w:szCs w:val="24"/>
        </w:rPr>
        <w:t>"STADA"</w:t>
      </w:r>
      <w:r w:rsidRPr="00ED0DE7">
        <w:rPr>
          <w:sz w:val="24"/>
          <w:szCs w:val="24"/>
        </w:rPr>
        <w:t xml:space="preserve"> skal altid gives oralt med lavdosis ritonavir som en farmakokinetisk forstærker og i kombination med andre antiretrovirale lægemidler. Produktresuméet for ritonavir skal derfor læses, inden behandling med Darunavir </w:t>
      </w:r>
      <w:r>
        <w:rPr>
          <w:sz w:val="24"/>
          <w:szCs w:val="24"/>
        </w:rPr>
        <w:t>"STADA"</w:t>
      </w:r>
      <w:r w:rsidRPr="00ED0DE7">
        <w:rPr>
          <w:sz w:val="24"/>
          <w:szCs w:val="24"/>
        </w:rPr>
        <w:t xml:space="preserve"> påbegyndes.</w:t>
      </w:r>
    </w:p>
    <w:p w:rsidR="00B64DBB" w:rsidRPr="00ED0DE7" w:rsidRDefault="00B64DBB" w:rsidP="00B64DBB">
      <w:pPr>
        <w:tabs>
          <w:tab w:val="left" w:pos="851"/>
        </w:tabs>
        <w:ind w:left="851"/>
        <w:rPr>
          <w:sz w:val="24"/>
          <w:szCs w:val="24"/>
        </w:rPr>
      </w:pPr>
    </w:p>
    <w:p w:rsidR="00B64DBB" w:rsidRPr="00ED0DE7" w:rsidRDefault="00B64DBB" w:rsidP="00B64DBB">
      <w:pPr>
        <w:autoSpaceDE w:val="0"/>
        <w:autoSpaceDN w:val="0"/>
        <w:adjustRightInd w:val="0"/>
        <w:spacing w:line="260" w:lineRule="exact"/>
        <w:ind w:left="851"/>
        <w:rPr>
          <w:rFonts w:eastAsia="TimesNewRoman"/>
          <w:sz w:val="24"/>
          <w:szCs w:val="24"/>
          <w:lang w:eastAsia="da-DK"/>
        </w:rPr>
      </w:pPr>
      <w:r w:rsidRPr="00ED0DE7">
        <w:rPr>
          <w:rFonts w:eastAsia="TimesNewRoman"/>
          <w:sz w:val="24"/>
          <w:szCs w:val="24"/>
          <w:lang w:eastAsia="da-DK"/>
        </w:rPr>
        <w:t xml:space="preserve">Darunavir </w:t>
      </w:r>
      <w:r>
        <w:rPr>
          <w:rFonts w:eastAsia="TimesNewRoman"/>
          <w:sz w:val="24"/>
          <w:szCs w:val="24"/>
          <w:lang w:eastAsia="da-DK"/>
        </w:rPr>
        <w:t>"STADA"</w:t>
      </w:r>
      <w:r w:rsidRPr="00ED0DE7">
        <w:rPr>
          <w:rFonts w:eastAsia="TimesNewRoman"/>
          <w:sz w:val="24"/>
          <w:szCs w:val="24"/>
          <w:lang w:eastAsia="da-DK"/>
        </w:rPr>
        <w:t xml:space="preserve"> er ikke tilgængelige i alle nedenstående styrker. For disse styrker bør andre lægemidler der indeholder darunavir anvendes.</w:t>
      </w:r>
    </w:p>
    <w:p w:rsidR="00B64DBB" w:rsidRPr="00ED0DE7" w:rsidRDefault="00B64DBB" w:rsidP="00B64DBB">
      <w:pPr>
        <w:tabs>
          <w:tab w:val="left" w:pos="851"/>
        </w:tabs>
        <w:ind w:left="851"/>
        <w:rPr>
          <w:sz w:val="24"/>
          <w:szCs w:val="24"/>
        </w:rPr>
      </w:pPr>
    </w:p>
    <w:p w:rsidR="00B64DBB" w:rsidRPr="004623FF" w:rsidRDefault="00B64DBB" w:rsidP="00B64DBB">
      <w:pPr>
        <w:tabs>
          <w:tab w:val="left" w:pos="851"/>
        </w:tabs>
        <w:ind w:left="851"/>
        <w:rPr>
          <w:i/>
          <w:sz w:val="24"/>
          <w:szCs w:val="24"/>
        </w:rPr>
      </w:pPr>
      <w:r w:rsidRPr="004623FF">
        <w:rPr>
          <w:i/>
          <w:sz w:val="24"/>
          <w:szCs w:val="24"/>
        </w:rPr>
        <w:t>ART-erfarne voksne patienter</w:t>
      </w:r>
    </w:p>
    <w:p w:rsidR="00B64DBB" w:rsidRPr="00ED0DE7" w:rsidRDefault="00B64DBB" w:rsidP="00B64DBB">
      <w:pPr>
        <w:tabs>
          <w:tab w:val="left" w:pos="851"/>
        </w:tabs>
        <w:ind w:left="851"/>
        <w:rPr>
          <w:sz w:val="24"/>
          <w:szCs w:val="24"/>
        </w:rPr>
      </w:pPr>
      <w:r w:rsidRPr="00ED0DE7">
        <w:rPr>
          <w:sz w:val="24"/>
          <w:szCs w:val="24"/>
        </w:rPr>
        <w:t xml:space="preserve">Den anbefalede dosis er 600 mg to gange daglig sammen med ritonavir 100 mg to gange daglig taget i forbindelse med et måltid. Darunavir </w:t>
      </w:r>
      <w:r>
        <w:rPr>
          <w:sz w:val="24"/>
          <w:szCs w:val="24"/>
        </w:rPr>
        <w:t>"STADA"</w:t>
      </w:r>
      <w:r w:rsidRPr="00ED0DE7">
        <w:rPr>
          <w:sz w:val="24"/>
          <w:szCs w:val="24"/>
        </w:rPr>
        <w:t xml:space="preserve"> 600 mg tabletter kan anvendes til at sammensætte regimet med 600 mg to gange daglig.</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rPr>
      </w:pPr>
      <w:r w:rsidRPr="00ED0DE7">
        <w:rPr>
          <w:sz w:val="24"/>
          <w:szCs w:val="24"/>
        </w:rPr>
        <w:t>Man kan anvende 75 mg og 150 mg-tabletter til at opnå den anbefalede dosis, hvis der er risiko for allergi overfor specifikke farvestoffer eller hvis patienten har besvær med at synke tabletterne på 300 mg eller 600 mg.</w:t>
      </w:r>
    </w:p>
    <w:p w:rsidR="00B64DBB" w:rsidRPr="0010753A" w:rsidRDefault="00B64DBB" w:rsidP="00B64DBB">
      <w:pPr>
        <w:tabs>
          <w:tab w:val="left" w:pos="851"/>
        </w:tabs>
        <w:ind w:left="851"/>
        <w:rPr>
          <w:iCs/>
          <w:sz w:val="24"/>
          <w:szCs w:val="24"/>
        </w:rPr>
      </w:pPr>
    </w:p>
    <w:p w:rsidR="00B64DBB" w:rsidRPr="004623FF" w:rsidRDefault="00B64DBB" w:rsidP="00B64DBB">
      <w:pPr>
        <w:tabs>
          <w:tab w:val="left" w:pos="851"/>
        </w:tabs>
        <w:ind w:left="851"/>
        <w:rPr>
          <w:i/>
          <w:sz w:val="24"/>
          <w:szCs w:val="24"/>
        </w:rPr>
      </w:pPr>
      <w:r w:rsidRPr="004623FF">
        <w:rPr>
          <w:i/>
          <w:sz w:val="24"/>
          <w:szCs w:val="24"/>
        </w:rPr>
        <w:t>ART-naive voksne patienter</w:t>
      </w:r>
    </w:p>
    <w:p w:rsidR="00B64DBB" w:rsidRPr="00ED0DE7" w:rsidRDefault="00B64DBB" w:rsidP="00B64DBB">
      <w:pPr>
        <w:tabs>
          <w:tab w:val="left" w:pos="851"/>
        </w:tabs>
        <w:ind w:left="851"/>
        <w:rPr>
          <w:sz w:val="24"/>
          <w:szCs w:val="24"/>
        </w:rPr>
      </w:pPr>
      <w:r w:rsidRPr="00ED0DE7">
        <w:rPr>
          <w:sz w:val="24"/>
          <w:szCs w:val="24"/>
        </w:rPr>
        <w:t xml:space="preserve">Se doseringsanbefalingerne til ART-naive patienter i produktresuméet for Darunavir </w:t>
      </w:r>
      <w:r>
        <w:rPr>
          <w:sz w:val="24"/>
          <w:szCs w:val="24"/>
        </w:rPr>
        <w:t>"STADA"</w:t>
      </w:r>
      <w:r w:rsidRPr="00ED0DE7">
        <w:rPr>
          <w:sz w:val="24"/>
          <w:szCs w:val="24"/>
        </w:rPr>
        <w:t xml:space="preserve"> 400 mg og 800 mg filmovertrukne tabletter.</w:t>
      </w:r>
    </w:p>
    <w:p w:rsidR="00B64DBB" w:rsidRPr="00ED0DE7" w:rsidRDefault="00B64DBB" w:rsidP="00B64DBB">
      <w:pPr>
        <w:tabs>
          <w:tab w:val="left" w:pos="851"/>
        </w:tabs>
        <w:ind w:left="851"/>
        <w:rPr>
          <w:i/>
          <w:iCs/>
          <w:sz w:val="24"/>
          <w:szCs w:val="24"/>
        </w:rPr>
      </w:pPr>
    </w:p>
    <w:p w:rsidR="00B64DBB" w:rsidRPr="004623FF" w:rsidRDefault="00B64DBB" w:rsidP="00B64DBB">
      <w:pPr>
        <w:tabs>
          <w:tab w:val="left" w:pos="851"/>
        </w:tabs>
        <w:ind w:left="851"/>
        <w:rPr>
          <w:i/>
          <w:sz w:val="24"/>
          <w:szCs w:val="24"/>
        </w:rPr>
      </w:pPr>
      <w:r w:rsidRPr="004623FF">
        <w:rPr>
          <w:i/>
          <w:sz w:val="24"/>
          <w:szCs w:val="24"/>
        </w:rPr>
        <w:t>ART-naive pædiatriske patienter (3 til 17 år med en legemsvægt på mindst 15 kg)</w:t>
      </w:r>
    </w:p>
    <w:p w:rsidR="00B64DBB" w:rsidRPr="00ED0DE7" w:rsidRDefault="00B64DBB" w:rsidP="00B64DBB">
      <w:pPr>
        <w:tabs>
          <w:tab w:val="left" w:pos="851"/>
        </w:tabs>
        <w:ind w:left="851"/>
        <w:rPr>
          <w:sz w:val="24"/>
          <w:szCs w:val="24"/>
        </w:rPr>
      </w:pPr>
      <w:r w:rsidRPr="00ED0DE7">
        <w:rPr>
          <w:sz w:val="24"/>
          <w:szCs w:val="24"/>
        </w:rPr>
        <w:t xml:space="preserve">Den vægtbaserede dosis af Darunavir </w:t>
      </w:r>
      <w:r>
        <w:rPr>
          <w:sz w:val="24"/>
          <w:szCs w:val="24"/>
        </w:rPr>
        <w:t>"STADA"</w:t>
      </w:r>
      <w:r w:rsidRPr="00ED0DE7">
        <w:rPr>
          <w:sz w:val="24"/>
          <w:szCs w:val="24"/>
        </w:rPr>
        <w:t xml:space="preserve"> og ritonavir til pædiatriske patienter fremgår af tabellen nedenfor.</w:t>
      </w:r>
    </w:p>
    <w:p w:rsidR="00B64DBB" w:rsidRPr="00ED0DE7" w:rsidRDefault="00B64DBB" w:rsidP="00B64DBB">
      <w:pPr>
        <w:tabs>
          <w:tab w:val="left" w:pos="851"/>
        </w:tabs>
        <w:rPr>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3209"/>
        <w:gridCol w:w="6034"/>
      </w:tblGrid>
      <w:tr w:rsidR="00B64DBB" w:rsidRPr="00ED0DE7" w:rsidTr="00B64DBB">
        <w:trPr>
          <w:trHeight w:hRule="exact" w:val="516"/>
        </w:trPr>
        <w:tc>
          <w:tcPr>
            <w:tcW w:w="9243" w:type="dxa"/>
            <w:gridSpan w:val="2"/>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line="249" w:lineRule="exact"/>
              <w:ind w:left="287" w:right="269"/>
              <w:jc w:val="center"/>
              <w:rPr>
                <w:b/>
                <w:bCs/>
                <w:position w:val="-1"/>
                <w:sz w:val="24"/>
                <w:szCs w:val="24"/>
              </w:rPr>
            </w:pPr>
            <w:r w:rsidRPr="00ED0DE7">
              <w:rPr>
                <w:b/>
                <w:bCs/>
                <w:position w:val="-1"/>
                <w:sz w:val="24"/>
                <w:szCs w:val="24"/>
              </w:rPr>
              <w:t>Anbefalet dosis af darunavirtabletter og ritonavir</w:t>
            </w:r>
            <w:r w:rsidRPr="00ED0DE7">
              <w:rPr>
                <w:b/>
                <w:bCs/>
                <w:position w:val="-1"/>
                <w:sz w:val="24"/>
                <w:szCs w:val="24"/>
                <w:vertAlign w:val="superscript"/>
              </w:rPr>
              <w:t>a</w:t>
            </w:r>
            <w:r w:rsidRPr="00ED0DE7">
              <w:rPr>
                <w:b/>
                <w:bCs/>
                <w:position w:val="-1"/>
                <w:sz w:val="24"/>
                <w:szCs w:val="24"/>
              </w:rPr>
              <w:t xml:space="preserve"> til ART-erfarne pædiatriske patienter</w:t>
            </w:r>
          </w:p>
          <w:p w:rsidR="00B64DBB" w:rsidRPr="00ED0DE7" w:rsidRDefault="00B64DBB" w:rsidP="00B64DBB">
            <w:pPr>
              <w:spacing w:before="12" w:line="249" w:lineRule="exact"/>
              <w:ind w:left="287" w:right="269"/>
              <w:jc w:val="center"/>
              <w:rPr>
                <w:sz w:val="24"/>
                <w:szCs w:val="24"/>
              </w:rPr>
            </w:pPr>
            <w:r w:rsidRPr="00ED0DE7">
              <w:rPr>
                <w:b/>
                <w:bCs/>
                <w:position w:val="-1"/>
                <w:sz w:val="24"/>
                <w:szCs w:val="24"/>
              </w:rPr>
              <w:t>(3 til 17 år)</w:t>
            </w:r>
          </w:p>
        </w:tc>
      </w:tr>
      <w:tr w:rsidR="00B64DBB" w:rsidRPr="00ED0DE7" w:rsidTr="00B64DBB">
        <w:trPr>
          <w:trHeight w:hRule="exact" w:val="626"/>
        </w:trPr>
        <w:tc>
          <w:tcPr>
            <w:tcW w:w="3209"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line="252" w:lineRule="exact"/>
              <w:ind w:left="798" w:right="-20"/>
              <w:rPr>
                <w:sz w:val="24"/>
                <w:szCs w:val="24"/>
              </w:rPr>
            </w:pPr>
            <w:r w:rsidRPr="00ED0DE7">
              <w:rPr>
                <w:b/>
                <w:bCs/>
                <w:sz w:val="24"/>
                <w:szCs w:val="24"/>
              </w:rPr>
              <w:t>Legemsvægt (kg)</w:t>
            </w:r>
          </w:p>
        </w:tc>
        <w:tc>
          <w:tcPr>
            <w:tcW w:w="6034"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line="252" w:lineRule="exact"/>
              <w:ind w:left="1739" w:right="-20"/>
              <w:rPr>
                <w:b/>
                <w:bCs/>
                <w:sz w:val="24"/>
                <w:szCs w:val="24"/>
              </w:rPr>
            </w:pPr>
            <w:r w:rsidRPr="00ED0DE7">
              <w:rPr>
                <w:b/>
                <w:bCs/>
                <w:sz w:val="24"/>
                <w:szCs w:val="24"/>
              </w:rPr>
              <w:t>Dosis (en gang daglig i</w:t>
            </w:r>
          </w:p>
          <w:p w:rsidR="00B64DBB" w:rsidRPr="00ED0DE7" w:rsidRDefault="00B64DBB" w:rsidP="00B64DBB">
            <w:pPr>
              <w:spacing w:before="12" w:line="252" w:lineRule="exact"/>
              <w:ind w:left="1739" w:right="-20"/>
              <w:rPr>
                <w:sz w:val="24"/>
                <w:szCs w:val="24"/>
              </w:rPr>
            </w:pPr>
            <w:r w:rsidRPr="00ED0DE7">
              <w:rPr>
                <w:b/>
                <w:bCs/>
                <w:sz w:val="24"/>
                <w:szCs w:val="24"/>
              </w:rPr>
              <w:t>forbindelse med et måltid)</w:t>
            </w:r>
          </w:p>
        </w:tc>
      </w:tr>
      <w:tr w:rsidR="00B64DBB" w:rsidRPr="00ED0DE7" w:rsidTr="00B64DBB">
        <w:trPr>
          <w:trHeight w:hRule="exact" w:val="281"/>
        </w:trPr>
        <w:tc>
          <w:tcPr>
            <w:tcW w:w="3209"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ind w:left="102" w:right="-20"/>
              <w:rPr>
                <w:sz w:val="24"/>
                <w:szCs w:val="24"/>
              </w:rPr>
            </w:pPr>
            <w:r>
              <w:rPr>
                <w:spacing w:val="1"/>
                <w:sz w:val="24"/>
                <w:szCs w:val="24"/>
              </w:rPr>
              <w:t>≥</w:t>
            </w:r>
            <w:r w:rsidRPr="00ED0DE7">
              <w:rPr>
                <w:spacing w:val="1"/>
                <w:sz w:val="24"/>
                <w:szCs w:val="24"/>
              </w:rPr>
              <w:t xml:space="preserve"> </w:t>
            </w:r>
            <w:r w:rsidRPr="00ED0DE7">
              <w:rPr>
                <w:sz w:val="24"/>
                <w:szCs w:val="24"/>
              </w:rPr>
              <w:t xml:space="preserve">15 </w:t>
            </w:r>
            <w:r w:rsidRPr="00ED0DE7">
              <w:rPr>
                <w:spacing w:val="-1"/>
                <w:sz w:val="24"/>
                <w:szCs w:val="24"/>
              </w:rPr>
              <w:t>k</w:t>
            </w:r>
            <w:r w:rsidRPr="00ED0DE7">
              <w:rPr>
                <w:sz w:val="24"/>
                <w:szCs w:val="24"/>
              </w:rPr>
              <w:t>g</w:t>
            </w:r>
            <w:r w:rsidRPr="00ED0DE7">
              <w:rPr>
                <w:spacing w:val="-1"/>
                <w:sz w:val="24"/>
                <w:szCs w:val="24"/>
              </w:rPr>
              <w:t xml:space="preserve"> t</w:t>
            </w:r>
            <w:r w:rsidRPr="00ED0DE7">
              <w:rPr>
                <w:sz w:val="24"/>
                <w:szCs w:val="24"/>
              </w:rPr>
              <w:t>il</w:t>
            </w:r>
            <w:r w:rsidRPr="00ED0DE7">
              <w:rPr>
                <w:spacing w:val="-1"/>
                <w:sz w:val="24"/>
                <w:szCs w:val="24"/>
              </w:rPr>
              <w:t xml:space="preserve"> </w:t>
            </w:r>
            <w:r w:rsidRPr="00ED0DE7">
              <w:rPr>
                <w:sz w:val="24"/>
                <w:szCs w:val="24"/>
              </w:rPr>
              <w:t xml:space="preserve">&lt; 30 </w:t>
            </w:r>
            <w:r w:rsidRPr="00ED0DE7">
              <w:rPr>
                <w:spacing w:val="-2"/>
                <w:sz w:val="24"/>
                <w:szCs w:val="24"/>
              </w:rPr>
              <w:t>kg</w:t>
            </w:r>
          </w:p>
        </w:tc>
        <w:tc>
          <w:tcPr>
            <w:tcW w:w="6034"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0"/>
              <w:ind w:left="102" w:right="-20"/>
              <w:rPr>
                <w:sz w:val="24"/>
                <w:szCs w:val="24"/>
              </w:rPr>
            </w:pPr>
            <w:r w:rsidRPr="00ED0DE7">
              <w:rPr>
                <w:sz w:val="24"/>
                <w:szCs w:val="24"/>
              </w:rPr>
              <w:t>600 mg</w:t>
            </w:r>
            <w:r w:rsidRPr="00ED0DE7">
              <w:rPr>
                <w:spacing w:val="-1"/>
                <w:sz w:val="24"/>
                <w:szCs w:val="24"/>
              </w:rPr>
              <w:t xml:space="preserve"> d</w:t>
            </w:r>
            <w:r w:rsidRPr="00ED0DE7">
              <w:rPr>
                <w:sz w:val="24"/>
                <w:szCs w:val="24"/>
              </w:rPr>
              <w:t>arunavir / 100 mg ritonavir en gang daglig</w:t>
            </w:r>
          </w:p>
        </w:tc>
      </w:tr>
      <w:tr w:rsidR="00B64DBB" w:rsidRPr="00ED0DE7" w:rsidTr="00B64DBB">
        <w:trPr>
          <w:trHeight w:hRule="exact" w:val="316"/>
        </w:trPr>
        <w:tc>
          <w:tcPr>
            <w:tcW w:w="3209"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8"/>
              <w:ind w:left="102" w:right="-20"/>
              <w:rPr>
                <w:sz w:val="24"/>
                <w:szCs w:val="24"/>
              </w:rPr>
            </w:pPr>
            <w:r>
              <w:rPr>
                <w:spacing w:val="1"/>
                <w:sz w:val="24"/>
                <w:szCs w:val="24"/>
              </w:rPr>
              <w:t>≥</w:t>
            </w:r>
            <w:r w:rsidRPr="00ED0DE7">
              <w:rPr>
                <w:spacing w:val="1"/>
                <w:sz w:val="24"/>
                <w:szCs w:val="24"/>
              </w:rPr>
              <w:t xml:space="preserve"> </w:t>
            </w:r>
            <w:r w:rsidRPr="00ED0DE7">
              <w:rPr>
                <w:sz w:val="24"/>
                <w:szCs w:val="24"/>
              </w:rPr>
              <w:t xml:space="preserve">30 </w:t>
            </w:r>
            <w:r w:rsidRPr="00ED0DE7">
              <w:rPr>
                <w:spacing w:val="-1"/>
                <w:sz w:val="24"/>
                <w:szCs w:val="24"/>
              </w:rPr>
              <w:t>k</w:t>
            </w:r>
            <w:r w:rsidRPr="00ED0DE7">
              <w:rPr>
                <w:sz w:val="24"/>
                <w:szCs w:val="24"/>
              </w:rPr>
              <w:t>g</w:t>
            </w:r>
            <w:r w:rsidRPr="00ED0DE7">
              <w:rPr>
                <w:spacing w:val="-1"/>
                <w:sz w:val="24"/>
                <w:szCs w:val="24"/>
              </w:rPr>
              <w:t xml:space="preserve"> t</w:t>
            </w:r>
            <w:r w:rsidRPr="00ED0DE7">
              <w:rPr>
                <w:sz w:val="24"/>
                <w:szCs w:val="24"/>
              </w:rPr>
              <w:t>il</w:t>
            </w:r>
            <w:r w:rsidRPr="00ED0DE7">
              <w:rPr>
                <w:spacing w:val="-1"/>
                <w:sz w:val="24"/>
                <w:szCs w:val="24"/>
              </w:rPr>
              <w:t xml:space="preserve"> </w:t>
            </w:r>
            <w:r w:rsidRPr="00ED0DE7">
              <w:rPr>
                <w:sz w:val="24"/>
                <w:szCs w:val="24"/>
              </w:rPr>
              <w:t xml:space="preserve">&lt; 40 </w:t>
            </w:r>
            <w:r w:rsidRPr="00ED0DE7">
              <w:rPr>
                <w:spacing w:val="-2"/>
                <w:sz w:val="24"/>
                <w:szCs w:val="24"/>
              </w:rPr>
              <w:t>kg</w:t>
            </w:r>
          </w:p>
        </w:tc>
        <w:tc>
          <w:tcPr>
            <w:tcW w:w="6034"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7"/>
              <w:ind w:left="102" w:right="-20"/>
              <w:rPr>
                <w:sz w:val="24"/>
                <w:szCs w:val="24"/>
              </w:rPr>
            </w:pPr>
            <w:r w:rsidRPr="00ED0DE7">
              <w:rPr>
                <w:sz w:val="24"/>
                <w:szCs w:val="24"/>
              </w:rPr>
              <w:t>675 mg</w:t>
            </w:r>
            <w:r w:rsidRPr="00ED0DE7">
              <w:rPr>
                <w:spacing w:val="-1"/>
                <w:sz w:val="24"/>
                <w:szCs w:val="24"/>
              </w:rPr>
              <w:t xml:space="preserve"> d</w:t>
            </w:r>
            <w:r w:rsidRPr="00ED0DE7">
              <w:rPr>
                <w:sz w:val="24"/>
                <w:szCs w:val="24"/>
              </w:rPr>
              <w:t>arunavir / 100 mg ritonavir en gang daglig</w:t>
            </w:r>
          </w:p>
        </w:tc>
      </w:tr>
      <w:tr w:rsidR="00B64DBB" w:rsidRPr="00ED0DE7" w:rsidTr="00B64DBB">
        <w:trPr>
          <w:trHeight w:hRule="exact" w:val="281"/>
        </w:trPr>
        <w:tc>
          <w:tcPr>
            <w:tcW w:w="3209"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8"/>
              <w:ind w:left="102" w:right="-20"/>
              <w:rPr>
                <w:sz w:val="24"/>
                <w:szCs w:val="24"/>
              </w:rPr>
            </w:pPr>
            <w:r>
              <w:rPr>
                <w:spacing w:val="1"/>
                <w:sz w:val="24"/>
                <w:szCs w:val="24"/>
              </w:rPr>
              <w:t>≥</w:t>
            </w:r>
            <w:r w:rsidRPr="00ED0DE7">
              <w:rPr>
                <w:spacing w:val="1"/>
                <w:sz w:val="24"/>
                <w:szCs w:val="24"/>
              </w:rPr>
              <w:t xml:space="preserve"> </w:t>
            </w:r>
            <w:r w:rsidRPr="00ED0DE7">
              <w:rPr>
                <w:sz w:val="24"/>
                <w:szCs w:val="24"/>
              </w:rPr>
              <w:t xml:space="preserve">40 </w:t>
            </w:r>
            <w:r w:rsidRPr="00ED0DE7">
              <w:rPr>
                <w:spacing w:val="-2"/>
                <w:sz w:val="24"/>
                <w:szCs w:val="24"/>
              </w:rPr>
              <w:t>kg</w:t>
            </w:r>
          </w:p>
        </w:tc>
        <w:tc>
          <w:tcPr>
            <w:tcW w:w="6034"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7"/>
              <w:ind w:left="102" w:right="-20"/>
              <w:rPr>
                <w:sz w:val="24"/>
                <w:szCs w:val="24"/>
              </w:rPr>
            </w:pPr>
            <w:r w:rsidRPr="00ED0DE7">
              <w:rPr>
                <w:sz w:val="24"/>
                <w:szCs w:val="24"/>
              </w:rPr>
              <w:t>800 mg</w:t>
            </w:r>
            <w:r w:rsidRPr="00ED0DE7">
              <w:rPr>
                <w:spacing w:val="-1"/>
                <w:sz w:val="24"/>
                <w:szCs w:val="24"/>
              </w:rPr>
              <w:t xml:space="preserve"> d</w:t>
            </w:r>
            <w:r w:rsidRPr="00ED0DE7">
              <w:rPr>
                <w:sz w:val="24"/>
                <w:szCs w:val="24"/>
              </w:rPr>
              <w:t>arunavir /100 mg ritonavir en gang daglig</w:t>
            </w:r>
          </w:p>
        </w:tc>
      </w:tr>
    </w:tbl>
    <w:p w:rsidR="00B64DBB" w:rsidRPr="00ED0DE7" w:rsidRDefault="00B64DBB" w:rsidP="00B64DBB">
      <w:pPr>
        <w:tabs>
          <w:tab w:val="left" w:pos="851"/>
        </w:tabs>
        <w:ind w:left="851"/>
        <w:rPr>
          <w:sz w:val="24"/>
          <w:szCs w:val="24"/>
        </w:rPr>
      </w:pPr>
      <w:r w:rsidRPr="00ED0DE7">
        <w:rPr>
          <w:sz w:val="24"/>
          <w:szCs w:val="24"/>
          <w:vertAlign w:val="superscript"/>
        </w:rPr>
        <w:t>a</w:t>
      </w:r>
      <w:r w:rsidRPr="000867A0">
        <w:rPr>
          <w:sz w:val="24"/>
          <w:szCs w:val="24"/>
        </w:rPr>
        <w:t xml:space="preserve"> </w:t>
      </w:r>
      <w:r>
        <w:rPr>
          <w:sz w:val="24"/>
          <w:szCs w:val="24"/>
        </w:rPr>
        <w:t>r</w:t>
      </w:r>
      <w:r w:rsidRPr="00ED0DE7">
        <w:rPr>
          <w:sz w:val="24"/>
          <w:szCs w:val="24"/>
        </w:rPr>
        <w:t>itonavir oral opløsning: 80 mg/ml.</w:t>
      </w:r>
    </w:p>
    <w:p w:rsidR="00B64DBB" w:rsidRPr="00ED0DE7" w:rsidRDefault="00B64DBB" w:rsidP="00B64DBB">
      <w:pPr>
        <w:tabs>
          <w:tab w:val="left" w:pos="851"/>
        </w:tabs>
        <w:ind w:left="851"/>
        <w:rPr>
          <w:b/>
          <w:bCs/>
          <w:sz w:val="24"/>
          <w:szCs w:val="24"/>
        </w:rPr>
      </w:pPr>
    </w:p>
    <w:p w:rsidR="00B64DBB" w:rsidRPr="00ED0DE7" w:rsidRDefault="00B64DBB" w:rsidP="00B64DBB">
      <w:pPr>
        <w:keepNext/>
        <w:tabs>
          <w:tab w:val="left" w:pos="851"/>
        </w:tabs>
        <w:ind w:left="851"/>
        <w:rPr>
          <w:i/>
          <w:iCs/>
          <w:sz w:val="24"/>
          <w:szCs w:val="24"/>
          <w:u w:val="single"/>
        </w:rPr>
      </w:pPr>
      <w:r w:rsidRPr="00ED0DE7">
        <w:rPr>
          <w:i/>
          <w:iCs/>
          <w:sz w:val="24"/>
          <w:szCs w:val="24"/>
          <w:u w:val="single"/>
        </w:rPr>
        <w:t>ART-erfarne pædiatriske patienter (3 til 17 år og med en legemsvægt på mindst 15 kg)</w:t>
      </w:r>
    </w:p>
    <w:p w:rsidR="00B64DBB" w:rsidRPr="00ED0DE7" w:rsidRDefault="00B64DBB" w:rsidP="00B64DBB">
      <w:pPr>
        <w:tabs>
          <w:tab w:val="left" w:pos="851"/>
        </w:tabs>
        <w:ind w:left="851"/>
        <w:rPr>
          <w:sz w:val="24"/>
          <w:szCs w:val="24"/>
        </w:rPr>
      </w:pPr>
      <w:r w:rsidRPr="00ED0DE7">
        <w:rPr>
          <w:sz w:val="24"/>
          <w:szCs w:val="24"/>
        </w:rPr>
        <w:t xml:space="preserve">Det anbefales sædvanligvis at tage Darunavir </w:t>
      </w:r>
      <w:r>
        <w:rPr>
          <w:sz w:val="24"/>
          <w:szCs w:val="24"/>
        </w:rPr>
        <w:t>"STADA"</w:t>
      </w:r>
      <w:r w:rsidRPr="00ED0DE7">
        <w:rPr>
          <w:sz w:val="24"/>
          <w:szCs w:val="24"/>
        </w:rPr>
        <w:t xml:space="preserve"> to gange daglig med ritonavir i forbindelse med et måltid.</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rPr>
      </w:pPr>
      <w:r w:rsidRPr="00ED0DE7">
        <w:rPr>
          <w:sz w:val="24"/>
          <w:szCs w:val="24"/>
        </w:rPr>
        <w:t>Et dosisregime med darunavir taget med ritonavir en gang daglig i forbindelse med et måltid kan anvendes til patienter, der tidligere har været eksponeret for antiretrovirale lægemidler, men som ikke havde mutationer associeret med darunavir resistens (DRV-</w:t>
      </w:r>
      <w:proofErr w:type="gramStart"/>
      <w:r w:rsidRPr="00ED0DE7">
        <w:rPr>
          <w:sz w:val="24"/>
          <w:szCs w:val="24"/>
        </w:rPr>
        <w:t>RAMs)*</w:t>
      </w:r>
      <w:proofErr w:type="gramEnd"/>
      <w:r w:rsidRPr="00ED0DE7">
        <w:rPr>
          <w:sz w:val="24"/>
          <w:szCs w:val="24"/>
        </w:rPr>
        <w:t>, og som har plasma-</w:t>
      </w:r>
      <w:r>
        <w:rPr>
          <w:sz w:val="24"/>
          <w:szCs w:val="24"/>
        </w:rPr>
        <w:t>HIV</w:t>
      </w:r>
      <w:r w:rsidRPr="00ED0DE7">
        <w:rPr>
          <w:sz w:val="24"/>
          <w:szCs w:val="24"/>
        </w:rPr>
        <w:t>-1-RNA &lt; 100.000 kopier/ml og CD4+-celletal ≥ 100 x 10</w:t>
      </w:r>
      <w:r w:rsidRPr="00ED0DE7">
        <w:rPr>
          <w:sz w:val="24"/>
          <w:szCs w:val="24"/>
          <w:vertAlign w:val="superscript"/>
        </w:rPr>
        <w:t>6</w:t>
      </w:r>
      <w:r w:rsidRPr="00ED0DE7">
        <w:rPr>
          <w:sz w:val="24"/>
          <w:szCs w:val="24"/>
        </w:rPr>
        <w:t xml:space="preserve"> celler /l.</w:t>
      </w:r>
    </w:p>
    <w:p w:rsidR="00B64DBB" w:rsidRDefault="00B64DBB" w:rsidP="00B64DBB">
      <w:pPr>
        <w:tabs>
          <w:tab w:val="left" w:pos="851"/>
        </w:tabs>
        <w:ind w:left="851"/>
        <w:rPr>
          <w:sz w:val="24"/>
          <w:szCs w:val="24"/>
        </w:rPr>
      </w:pPr>
      <w:r w:rsidRPr="00ED0DE7">
        <w:rPr>
          <w:sz w:val="24"/>
          <w:szCs w:val="24"/>
        </w:rPr>
        <w:t>* DRV-RAMs: V11I, V32I, L33F, I47V, I50V, I54M, I54L, T74P, L76V, I84V og L89V.</w:t>
      </w:r>
    </w:p>
    <w:p w:rsidR="00B64DBB" w:rsidRDefault="00B64DBB" w:rsidP="00B64DBB">
      <w:pPr>
        <w:tabs>
          <w:tab w:val="left" w:pos="851"/>
        </w:tabs>
        <w:ind w:left="851"/>
        <w:rPr>
          <w:sz w:val="24"/>
          <w:szCs w:val="24"/>
        </w:rPr>
      </w:pPr>
    </w:p>
    <w:p w:rsidR="00B64DBB" w:rsidRPr="00452E07" w:rsidRDefault="00B64DBB" w:rsidP="00B64DBB">
      <w:pPr>
        <w:tabs>
          <w:tab w:val="left" w:pos="851"/>
        </w:tabs>
        <w:ind w:left="851"/>
        <w:rPr>
          <w:sz w:val="24"/>
          <w:szCs w:val="24"/>
        </w:rPr>
      </w:pPr>
      <w:r w:rsidRPr="00452E07">
        <w:rPr>
          <w:sz w:val="24"/>
          <w:szCs w:val="24"/>
        </w:rPr>
        <w:t xml:space="preserve">Den vægtbaserede dosis af </w:t>
      </w:r>
      <w:r w:rsidRPr="004623FF">
        <w:rPr>
          <w:sz w:val="24"/>
          <w:szCs w:val="24"/>
        </w:rPr>
        <w:t>d</w:t>
      </w:r>
      <w:r>
        <w:rPr>
          <w:sz w:val="24"/>
          <w:szCs w:val="24"/>
        </w:rPr>
        <w:t>arunavir</w:t>
      </w:r>
      <w:r w:rsidRPr="00452E07">
        <w:rPr>
          <w:sz w:val="24"/>
          <w:szCs w:val="24"/>
        </w:rPr>
        <w:t xml:space="preserve"> taget sammen med ritonavir til pædiatriske</w:t>
      </w:r>
    </w:p>
    <w:p w:rsidR="00B64DBB" w:rsidRPr="00B64DBB" w:rsidRDefault="00B64DBB" w:rsidP="00B64DBB">
      <w:pPr>
        <w:tabs>
          <w:tab w:val="left" w:pos="851"/>
        </w:tabs>
        <w:ind w:left="851"/>
        <w:rPr>
          <w:sz w:val="24"/>
          <w:szCs w:val="24"/>
        </w:rPr>
      </w:pPr>
      <w:r w:rsidRPr="00452E07">
        <w:rPr>
          <w:sz w:val="24"/>
          <w:szCs w:val="24"/>
        </w:rPr>
        <w:t xml:space="preserve">patienter fremgår af tabellen nedenfor. Den anbefalede dosis af </w:t>
      </w:r>
      <w:r>
        <w:rPr>
          <w:sz w:val="24"/>
          <w:szCs w:val="24"/>
        </w:rPr>
        <w:t>D</w:t>
      </w:r>
      <w:r w:rsidRPr="004623FF">
        <w:rPr>
          <w:sz w:val="24"/>
          <w:szCs w:val="24"/>
        </w:rPr>
        <w:t>arunavir</w:t>
      </w:r>
      <w:r>
        <w:rPr>
          <w:sz w:val="24"/>
          <w:szCs w:val="24"/>
        </w:rPr>
        <w:t xml:space="preserve"> ”STADA”</w:t>
      </w:r>
      <w:r w:rsidRPr="00452E07">
        <w:rPr>
          <w:sz w:val="24"/>
          <w:szCs w:val="24"/>
        </w:rPr>
        <w:t xml:space="preserve"> sammen med lavdosis</w:t>
      </w:r>
      <w:r>
        <w:rPr>
          <w:sz w:val="24"/>
          <w:szCs w:val="24"/>
        </w:rPr>
        <w:t xml:space="preserve"> </w:t>
      </w:r>
      <w:r w:rsidRPr="00452E07">
        <w:rPr>
          <w:sz w:val="24"/>
          <w:szCs w:val="24"/>
        </w:rPr>
        <w:t>ritonavir bør ikke overstige den anbefalede dosis til voksne (600/100 mg to gange dagligt eller</w:t>
      </w:r>
      <w:r>
        <w:rPr>
          <w:sz w:val="24"/>
          <w:szCs w:val="24"/>
        </w:rPr>
        <w:t xml:space="preserve"> </w:t>
      </w:r>
      <w:r w:rsidRPr="00452E07">
        <w:rPr>
          <w:sz w:val="24"/>
          <w:szCs w:val="24"/>
        </w:rPr>
        <w:t>800/100 mg en gang dagligt).</w:t>
      </w:r>
    </w:p>
    <w:p w:rsidR="00B64DBB" w:rsidRPr="00ED0DE7" w:rsidRDefault="00B64DBB" w:rsidP="00B64DBB">
      <w:pPr>
        <w:tabs>
          <w:tab w:val="left" w:pos="851"/>
        </w:tabs>
        <w:ind w:left="851"/>
        <w:rPr>
          <w:b/>
          <w:bCs/>
          <w:sz w:val="24"/>
          <w:szCs w:val="24"/>
        </w:rPr>
      </w:pPr>
    </w:p>
    <w:tbl>
      <w:tblPr>
        <w:tblW w:w="0" w:type="auto"/>
        <w:tblInd w:w="5" w:type="dxa"/>
        <w:tblLayout w:type="fixed"/>
        <w:tblCellMar>
          <w:left w:w="0" w:type="dxa"/>
          <w:right w:w="0" w:type="dxa"/>
        </w:tblCellMar>
        <w:tblLook w:val="01E0" w:firstRow="1" w:lastRow="1" w:firstColumn="1" w:lastColumn="1" w:noHBand="0" w:noVBand="0"/>
      </w:tblPr>
      <w:tblGrid>
        <w:gridCol w:w="2083"/>
        <w:gridCol w:w="3578"/>
        <w:gridCol w:w="3581"/>
      </w:tblGrid>
      <w:tr w:rsidR="00B64DBB" w:rsidRPr="00ED0DE7" w:rsidTr="00B64DBB">
        <w:trPr>
          <w:trHeight w:hRule="exact" w:val="516"/>
        </w:trPr>
        <w:tc>
          <w:tcPr>
            <w:tcW w:w="9242" w:type="dxa"/>
            <w:gridSpan w:val="3"/>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line="250" w:lineRule="exact"/>
              <w:ind w:right="295"/>
              <w:jc w:val="center"/>
              <w:rPr>
                <w:sz w:val="24"/>
                <w:szCs w:val="24"/>
              </w:rPr>
            </w:pPr>
            <w:r w:rsidRPr="00ED0DE7">
              <w:rPr>
                <w:b/>
                <w:bCs/>
                <w:sz w:val="24"/>
                <w:szCs w:val="24"/>
              </w:rPr>
              <w:t>Anbefalet dosis af darunavirtabletter og ritonavir</w:t>
            </w:r>
            <w:r w:rsidRPr="00ED0DE7">
              <w:rPr>
                <w:b/>
                <w:bCs/>
                <w:sz w:val="24"/>
                <w:szCs w:val="24"/>
                <w:vertAlign w:val="superscript"/>
              </w:rPr>
              <w:t>a</w:t>
            </w:r>
            <w:r w:rsidRPr="00ED0DE7">
              <w:rPr>
                <w:b/>
                <w:bCs/>
                <w:sz w:val="24"/>
                <w:szCs w:val="24"/>
              </w:rPr>
              <w:t xml:space="preserve"> til behandlingserfarne pædiatriske patienter (3 til 17 </w:t>
            </w:r>
            <w:proofErr w:type="gramStart"/>
            <w:r w:rsidRPr="00ED0DE7">
              <w:rPr>
                <w:b/>
                <w:bCs/>
                <w:sz w:val="24"/>
                <w:szCs w:val="24"/>
              </w:rPr>
              <w:t>år)</w:t>
            </w:r>
            <w:r w:rsidRPr="00ED0DE7">
              <w:rPr>
                <w:b/>
                <w:bCs/>
                <w:sz w:val="24"/>
                <w:szCs w:val="24"/>
                <w:vertAlign w:val="superscript"/>
              </w:rPr>
              <w:t>a</w:t>
            </w:r>
            <w:proofErr w:type="gramEnd"/>
          </w:p>
        </w:tc>
      </w:tr>
      <w:tr w:rsidR="00B64DBB" w:rsidRPr="00ED0DE7" w:rsidTr="00B64DBB">
        <w:trPr>
          <w:trHeight w:hRule="exact" w:val="603"/>
        </w:trPr>
        <w:tc>
          <w:tcPr>
            <w:tcW w:w="2083"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ind w:right="-20"/>
              <w:jc w:val="center"/>
              <w:rPr>
                <w:sz w:val="24"/>
                <w:szCs w:val="24"/>
              </w:rPr>
            </w:pPr>
            <w:r w:rsidRPr="00ED0DE7">
              <w:rPr>
                <w:b/>
                <w:bCs/>
                <w:sz w:val="24"/>
                <w:szCs w:val="24"/>
              </w:rPr>
              <w:t>Legemsvægt (kg)</w:t>
            </w:r>
          </w:p>
        </w:tc>
        <w:tc>
          <w:tcPr>
            <w:tcW w:w="3578"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ind w:right="-20"/>
              <w:jc w:val="center"/>
              <w:rPr>
                <w:sz w:val="24"/>
                <w:szCs w:val="24"/>
              </w:rPr>
            </w:pPr>
            <w:r w:rsidRPr="00ED0DE7">
              <w:rPr>
                <w:b/>
                <w:bCs/>
                <w:sz w:val="24"/>
                <w:szCs w:val="24"/>
              </w:rPr>
              <w:t>Dosis (en gang daglig i forbindelse med et måltid)</w:t>
            </w:r>
          </w:p>
        </w:tc>
        <w:tc>
          <w:tcPr>
            <w:tcW w:w="3581"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2"/>
              <w:ind w:right="-20"/>
              <w:jc w:val="center"/>
              <w:rPr>
                <w:sz w:val="24"/>
                <w:szCs w:val="24"/>
              </w:rPr>
            </w:pPr>
            <w:r w:rsidRPr="00ED0DE7">
              <w:rPr>
                <w:b/>
                <w:bCs/>
                <w:sz w:val="24"/>
                <w:szCs w:val="24"/>
              </w:rPr>
              <w:t>Dosis (to gange daglig i forbindelse med et måltid)</w:t>
            </w:r>
          </w:p>
        </w:tc>
      </w:tr>
      <w:tr w:rsidR="00B64DBB" w:rsidRPr="00ED0DE7" w:rsidTr="00B64DBB">
        <w:trPr>
          <w:trHeight w:hRule="exact" w:val="516"/>
        </w:trPr>
        <w:tc>
          <w:tcPr>
            <w:tcW w:w="2083"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7"/>
              <w:ind w:left="142" w:right="-20"/>
              <w:rPr>
                <w:sz w:val="24"/>
                <w:szCs w:val="24"/>
              </w:rPr>
            </w:pPr>
            <w:r w:rsidRPr="00ED0DE7">
              <w:rPr>
                <w:sz w:val="24"/>
                <w:szCs w:val="24"/>
              </w:rPr>
              <w:t>≥</w:t>
            </w:r>
            <w:r w:rsidRPr="00ED0DE7">
              <w:rPr>
                <w:spacing w:val="1"/>
                <w:sz w:val="24"/>
                <w:szCs w:val="24"/>
              </w:rPr>
              <w:t xml:space="preserve"> </w:t>
            </w:r>
            <w:r w:rsidRPr="00ED0DE7">
              <w:rPr>
                <w:sz w:val="24"/>
                <w:szCs w:val="24"/>
              </w:rPr>
              <w:t xml:space="preserve">15 </w:t>
            </w:r>
            <w:r w:rsidRPr="00ED0DE7">
              <w:rPr>
                <w:spacing w:val="-2"/>
                <w:sz w:val="24"/>
                <w:szCs w:val="24"/>
              </w:rPr>
              <w:t>kg</w:t>
            </w:r>
            <w:r w:rsidRPr="00ED0DE7">
              <w:rPr>
                <w:sz w:val="24"/>
                <w:szCs w:val="24"/>
              </w:rPr>
              <w:t xml:space="preserve">–&lt; 30 </w:t>
            </w:r>
            <w:r w:rsidRPr="00ED0DE7">
              <w:rPr>
                <w:spacing w:val="-2"/>
                <w:sz w:val="24"/>
                <w:szCs w:val="24"/>
              </w:rPr>
              <w:t>kg</w:t>
            </w:r>
          </w:p>
        </w:tc>
        <w:tc>
          <w:tcPr>
            <w:tcW w:w="3578"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line="252" w:lineRule="exact"/>
              <w:ind w:left="142" w:right="118"/>
              <w:rPr>
                <w:sz w:val="24"/>
                <w:szCs w:val="24"/>
              </w:rPr>
            </w:pPr>
            <w:r w:rsidRPr="00ED0DE7">
              <w:rPr>
                <w:sz w:val="24"/>
                <w:szCs w:val="24"/>
              </w:rPr>
              <w:t>600 mg</w:t>
            </w:r>
            <w:r w:rsidRPr="00ED0DE7">
              <w:rPr>
                <w:spacing w:val="-1"/>
                <w:sz w:val="24"/>
                <w:szCs w:val="24"/>
              </w:rPr>
              <w:t xml:space="preserve"> d</w:t>
            </w:r>
            <w:r w:rsidRPr="00ED0DE7">
              <w:rPr>
                <w:sz w:val="24"/>
                <w:szCs w:val="24"/>
              </w:rPr>
              <w:t>arunavir /100 mg ritonavir en gang daglig</w:t>
            </w:r>
          </w:p>
        </w:tc>
        <w:tc>
          <w:tcPr>
            <w:tcW w:w="3581"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line="252" w:lineRule="exact"/>
              <w:ind w:left="142" w:right="229"/>
              <w:rPr>
                <w:sz w:val="24"/>
                <w:szCs w:val="24"/>
              </w:rPr>
            </w:pPr>
            <w:r w:rsidRPr="00ED0DE7">
              <w:rPr>
                <w:sz w:val="24"/>
                <w:szCs w:val="24"/>
              </w:rPr>
              <w:t>375 mg</w:t>
            </w:r>
            <w:r w:rsidRPr="00ED0DE7">
              <w:rPr>
                <w:spacing w:val="-1"/>
                <w:sz w:val="24"/>
                <w:szCs w:val="24"/>
              </w:rPr>
              <w:t xml:space="preserve"> </w:t>
            </w:r>
            <w:r w:rsidRPr="00ED0DE7">
              <w:rPr>
                <w:sz w:val="24"/>
                <w:szCs w:val="24"/>
              </w:rPr>
              <w:t>darunavir /50 mg ritonavir to gange daglig</w:t>
            </w:r>
          </w:p>
        </w:tc>
      </w:tr>
      <w:tr w:rsidR="00B64DBB" w:rsidRPr="00ED0DE7" w:rsidTr="00B64DBB">
        <w:trPr>
          <w:trHeight w:hRule="exact" w:val="516"/>
        </w:trPr>
        <w:tc>
          <w:tcPr>
            <w:tcW w:w="2083"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7"/>
              <w:ind w:left="142" w:right="-20"/>
              <w:rPr>
                <w:sz w:val="24"/>
                <w:szCs w:val="24"/>
              </w:rPr>
            </w:pPr>
            <w:r w:rsidRPr="00ED0DE7">
              <w:rPr>
                <w:sz w:val="24"/>
                <w:szCs w:val="24"/>
              </w:rPr>
              <w:t>≥</w:t>
            </w:r>
            <w:r w:rsidRPr="00ED0DE7">
              <w:rPr>
                <w:spacing w:val="1"/>
                <w:sz w:val="24"/>
                <w:szCs w:val="24"/>
              </w:rPr>
              <w:t xml:space="preserve"> </w:t>
            </w:r>
            <w:r w:rsidRPr="00ED0DE7">
              <w:rPr>
                <w:sz w:val="24"/>
                <w:szCs w:val="24"/>
              </w:rPr>
              <w:t xml:space="preserve">30 </w:t>
            </w:r>
            <w:r w:rsidRPr="00ED0DE7">
              <w:rPr>
                <w:spacing w:val="-2"/>
                <w:sz w:val="24"/>
                <w:szCs w:val="24"/>
              </w:rPr>
              <w:t>kg</w:t>
            </w:r>
            <w:r w:rsidRPr="00ED0DE7">
              <w:rPr>
                <w:sz w:val="24"/>
                <w:szCs w:val="24"/>
              </w:rPr>
              <w:t xml:space="preserve">–&lt; 40 </w:t>
            </w:r>
            <w:r w:rsidRPr="00ED0DE7">
              <w:rPr>
                <w:spacing w:val="-2"/>
                <w:sz w:val="24"/>
                <w:szCs w:val="24"/>
              </w:rPr>
              <w:t>kg</w:t>
            </w:r>
          </w:p>
        </w:tc>
        <w:tc>
          <w:tcPr>
            <w:tcW w:w="3578"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line="252" w:lineRule="exact"/>
              <w:ind w:left="142" w:right="118"/>
              <w:rPr>
                <w:sz w:val="24"/>
                <w:szCs w:val="24"/>
              </w:rPr>
            </w:pPr>
            <w:r w:rsidRPr="00ED0DE7">
              <w:rPr>
                <w:sz w:val="24"/>
                <w:szCs w:val="24"/>
              </w:rPr>
              <w:t>675 mg</w:t>
            </w:r>
            <w:r w:rsidRPr="00ED0DE7">
              <w:rPr>
                <w:spacing w:val="-1"/>
                <w:sz w:val="24"/>
                <w:szCs w:val="24"/>
              </w:rPr>
              <w:t xml:space="preserve"> </w:t>
            </w:r>
            <w:r w:rsidRPr="00ED0DE7">
              <w:rPr>
                <w:sz w:val="24"/>
                <w:szCs w:val="24"/>
              </w:rPr>
              <w:t>darunavir /100 mg ritonavir en gang daglig</w:t>
            </w:r>
          </w:p>
        </w:tc>
        <w:tc>
          <w:tcPr>
            <w:tcW w:w="3581"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line="252" w:lineRule="exact"/>
              <w:ind w:left="142" w:right="229"/>
              <w:rPr>
                <w:sz w:val="24"/>
                <w:szCs w:val="24"/>
              </w:rPr>
            </w:pPr>
            <w:r w:rsidRPr="00ED0DE7">
              <w:rPr>
                <w:sz w:val="24"/>
                <w:szCs w:val="24"/>
              </w:rPr>
              <w:t>450 mg</w:t>
            </w:r>
            <w:r w:rsidRPr="00ED0DE7">
              <w:rPr>
                <w:spacing w:val="-1"/>
                <w:sz w:val="24"/>
                <w:szCs w:val="24"/>
              </w:rPr>
              <w:t xml:space="preserve"> </w:t>
            </w:r>
            <w:r w:rsidRPr="00ED0DE7">
              <w:rPr>
                <w:sz w:val="24"/>
                <w:szCs w:val="24"/>
              </w:rPr>
              <w:t>Darunavir “</w:t>
            </w:r>
            <w:r>
              <w:rPr>
                <w:sz w:val="24"/>
                <w:szCs w:val="24"/>
              </w:rPr>
              <w:t>STADA"</w:t>
            </w:r>
            <w:r w:rsidRPr="00ED0DE7">
              <w:rPr>
                <w:sz w:val="24"/>
                <w:szCs w:val="24"/>
              </w:rPr>
              <w:t>/60 mg ritonavir to gange daglig</w:t>
            </w:r>
          </w:p>
        </w:tc>
      </w:tr>
      <w:tr w:rsidR="00B64DBB" w:rsidRPr="00ED0DE7" w:rsidTr="00B64DBB">
        <w:trPr>
          <w:trHeight w:hRule="exact" w:val="516"/>
        </w:trPr>
        <w:tc>
          <w:tcPr>
            <w:tcW w:w="2083"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7"/>
              <w:ind w:left="142" w:right="-20"/>
              <w:rPr>
                <w:sz w:val="24"/>
                <w:szCs w:val="24"/>
              </w:rPr>
            </w:pPr>
            <w:r w:rsidRPr="00ED0DE7">
              <w:rPr>
                <w:sz w:val="24"/>
                <w:szCs w:val="24"/>
              </w:rPr>
              <w:t>≥</w:t>
            </w:r>
            <w:r w:rsidRPr="00ED0DE7">
              <w:rPr>
                <w:spacing w:val="1"/>
                <w:sz w:val="24"/>
                <w:szCs w:val="24"/>
              </w:rPr>
              <w:t xml:space="preserve"> </w:t>
            </w:r>
            <w:r w:rsidRPr="00ED0DE7">
              <w:rPr>
                <w:sz w:val="24"/>
                <w:szCs w:val="24"/>
              </w:rPr>
              <w:t xml:space="preserve">40 </w:t>
            </w:r>
            <w:r w:rsidRPr="00ED0DE7">
              <w:rPr>
                <w:spacing w:val="-2"/>
                <w:sz w:val="24"/>
                <w:szCs w:val="24"/>
              </w:rPr>
              <w:t>kg</w:t>
            </w:r>
          </w:p>
        </w:tc>
        <w:tc>
          <w:tcPr>
            <w:tcW w:w="3578"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line="252" w:lineRule="exact"/>
              <w:ind w:left="142" w:right="118"/>
              <w:rPr>
                <w:sz w:val="24"/>
                <w:szCs w:val="24"/>
              </w:rPr>
            </w:pPr>
            <w:r w:rsidRPr="00ED0DE7">
              <w:rPr>
                <w:sz w:val="24"/>
                <w:szCs w:val="24"/>
              </w:rPr>
              <w:t>800 mg darunavir /100 mg ritonavir en gang daglig</w:t>
            </w:r>
          </w:p>
        </w:tc>
        <w:tc>
          <w:tcPr>
            <w:tcW w:w="3581" w:type="dxa"/>
            <w:tcBorders>
              <w:top w:val="single" w:sz="4" w:space="0" w:color="000000"/>
              <w:left w:val="single" w:sz="4" w:space="0" w:color="000000"/>
              <w:bottom w:val="single" w:sz="4" w:space="0" w:color="000000"/>
              <w:right w:val="single" w:sz="4" w:space="0" w:color="000000"/>
            </w:tcBorders>
          </w:tcPr>
          <w:p w:rsidR="00B64DBB" w:rsidRPr="00ED0DE7" w:rsidRDefault="00B64DBB" w:rsidP="00B64DBB">
            <w:pPr>
              <w:spacing w:before="11" w:line="252" w:lineRule="exact"/>
              <w:ind w:left="142" w:right="118"/>
              <w:rPr>
                <w:sz w:val="24"/>
                <w:szCs w:val="24"/>
              </w:rPr>
            </w:pPr>
            <w:r w:rsidRPr="00ED0DE7">
              <w:rPr>
                <w:sz w:val="24"/>
                <w:szCs w:val="24"/>
              </w:rPr>
              <w:t>600 mg</w:t>
            </w:r>
            <w:r w:rsidRPr="00ED0DE7">
              <w:rPr>
                <w:spacing w:val="-1"/>
                <w:sz w:val="24"/>
                <w:szCs w:val="24"/>
              </w:rPr>
              <w:t xml:space="preserve"> </w:t>
            </w:r>
            <w:r w:rsidRPr="00ED0DE7">
              <w:rPr>
                <w:sz w:val="24"/>
                <w:szCs w:val="24"/>
              </w:rPr>
              <w:t>Darunavir “</w:t>
            </w:r>
            <w:r>
              <w:rPr>
                <w:sz w:val="24"/>
                <w:szCs w:val="24"/>
              </w:rPr>
              <w:t>STADA"</w:t>
            </w:r>
            <w:r w:rsidRPr="00ED0DE7">
              <w:rPr>
                <w:sz w:val="24"/>
                <w:szCs w:val="24"/>
              </w:rPr>
              <w:t>/100 mg ritonavir to gange daglig</w:t>
            </w:r>
          </w:p>
        </w:tc>
      </w:tr>
    </w:tbl>
    <w:p w:rsidR="00B64DBB" w:rsidRPr="00ED0DE7" w:rsidRDefault="00B64DBB" w:rsidP="00B64DBB">
      <w:pPr>
        <w:tabs>
          <w:tab w:val="left" w:pos="851"/>
        </w:tabs>
        <w:ind w:left="851"/>
        <w:rPr>
          <w:b/>
          <w:bCs/>
          <w:sz w:val="24"/>
          <w:szCs w:val="24"/>
        </w:rPr>
      </w:pPr>
      <w:r w:rsidRPr="00ED0DE7">
        <w:rPr>
          <w:sz w:val="24"/>
          <w:szCs w:val="24"/>
          <w:vertAlign w:val="superscript"/>
        </w:rPr>
        <w:t>a</w:t>
      </w:r>
      <w:r>
        <w:rPr>
          <w:sz w:val="24"/>
          <w:szCs w:val="24"/>
        </w:rPr>
        <w:t xml:space="preserve"> r</w:t>
      </w:r>
      <w:r w:rsidRPr="00ED0DE7">
        <w:rPr>
          <w:sz w:val="24"/>
          <w:szCs w:val="24"/>
        </w:rPr>
        <w:t>itonavir oral opløsning: 80 mg/ml.</w:t>
      </w:r>
    </w:p>
    <w:p w:rsidR="00B64DBB" w:rsidRPr="00ED0DE7" w:rsidRDefault="00B64DBB" w:rsidP="00B64DBB">
      <w:pPr>
        <w:tabs>
          <w:tab w:val="left" w:pos="851"/>
        </w:tabs>
        <w:rPr>
          <w:b/>
          <w:bCs/>
          <w:sz w:val="24"/>
          <w:szCs w:val="24"/>
        </w:rPr>
      </w:pPr>
    </w:p>
    <w:p w:rsidR="00B64DBB" w:rsidRPr="00ED0DE7" w:rsidRDefault="00B64DBB" w:rsidP="00B64DBB">
      <w:pPr>
        <w:tabs>
          <w:tab w:val="left" w:pos="851"/>
        </w:tabs>
        <w:ind w:left="851"/>
        <w:rPr>
          <w:sz w:val="24"/>
          <w:szCs w:val="24"/>
        </w:rPr>
      </w:pPr>
      <w:r w:rsidRPr="00ED0DE7">
        <w:rPr>
          <w:sz w:val="24"/>
          <w:szCs w:val="24"/>
        </w:rPr>
        <w:t xml:space="preserve">Bestemmelse af </w:t>
      </w:r>
      <w:r>
        <w:rPr>
          <w:sz w:val="24"/>
          <w:szCs w:val="24"/>
        </w:rPr>
        <w:t>HIV</w:t>
      </w:r>
      <w:r w:rsidRPr="00ED0DE7">
        <w:rPr>
          <w:sz w:val="24"/>
          <w:szCs w:val="24"/>
        </w:rPr>
        <w:t xml:space="preserve">-genotype anbefales hos ART-erfarne pædiatriske patienter. Hvis </w:t>
      </w:r>
      <w:r>
        <w:rPr>
          <w:sz w:val="24"/>
          <w:szCs w:val="24"/>
        </w:rPr>
        <w:t>HIV</w:t>
      </w:r>
      <w:r w:rsidRPr="00ED0DE7">
        <w:rPr>
          <w:sz w:val="24"/>
          <w:szCs w:val="24"/>
        </w:rPr>
        <w:t xml:space="preserve">-genotypebestemmelse ikke er gennemførlig, anbefales dosisregimet med darunavir/ritonavir en gang daglig til </w:t>
      </w:r>
      <w:r>
        <w:rPr>
          <w:sz w:val="24"/>
          <w:szCs w:val="24"/>
        </w:rPr>
        <w:t>HIV</w:t>
      </w:r>
      <w:r w:rsidRPr="00ED0DE7">
        <w:rPr>
          <w:sz w:val="24"/>
          <w:szCs w:val="24"/>
        </w:rPr>
        <w:t xml:space="preserve">-proteasehæmmer-naive pædiatriske patienter, og regimet med to daglige til </w:t>
      </w:r>
      <w:r>
        <w:rPr>
          <w:sz w:val="24"/>
          <w:szCs w:val="24"/>
        </w:rPr>
        <w:t>HIV</w:t>
      </w:r>
      <w:r w:rsidRPr="00ED0DE7">
        <w:rPr>
          <w:sz w:val="24"/>
          <w:szCs w:val="24"/>
        </w:rPr>
        <w:t>-proteasehæmmer-erfarne patienter.</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rPr>
      </w:pPr>
      <w:r w:rsidRPr="00ED0DE7">
        <w:rPr>
          <w:sz w:val="24"/>
          <w:szCs w:val="24"/>
        </w:rPr>
        <w:t>Man kan anvende 75 mg og 150 mg-tabletter til at opnå den anbefalede dosis af darunavir, hvis der er risiko for allergi overfor specifikke farvestoffer</w:t>
      </w:r>
    </w:p>
    <w:p w:rsidR="00B64DBB" w:rsidRPr="00ED0DE7" w:rsidRDefault="00B64DBB" w:rsidP="00B64DBB">
      <w:pPr>
        <w:tabs>
          <w:tab w:val="left" w:pos="851"/>
        </w:tabs>
        <w:ind w:left="851"/>
        <w:rPr>
          <w:i/>
          <w:iCs/>
          <w:sz w:val="24"/>
          <w:szCs w:val="24"/>
        </w:rPr>
      </w:pPr>
    </w:p>
    <w:p w:rsidR="00B64DBB" w:rsidRPr="00ED0DE7" w:rsidRDefault="00B64DBB" w:rsidP="00B64DBB">
      <w:pPr>
        <w:tabs>
          <w:tab w:val="left" w:pos="851"/>
        </w:tabs>
        <w:ind w:left="851"/>
        <w:rPr>
          <w:i/>
          <w:iCs/>
          <w:sz w:val="24"/>
          <w:szCs w:val="24"/>
        </w:rPr>
      </w:pPr>
      <w:r w:rsidRPr="00ED0DE7">
        <w:rPr>
          <w:i/>
          <w:iCs/>
          <w:sz w:val="24"/>
          <w:szCs w:val="24"/>
        </w:rPr>
        <w:t>Rådgivning om glemte doser</w:t>
      </w:r>
    </w:p>
    <w:p w:rsidR="00B64DBB" w:rsidRPr="00ED0DE7" w:rsidRDefault="00B64DBB" w:rsidP="00B64DBB">
      <w:pPr>
        <w:tabs>
          <w:tab w:val="left" w:pos="851"/>
        </w:tabs>
        <w:ind w:left="851"/>
        <w:rPr>
          <w:sz w:val="24"/>
          <w:szCs w:val="24"/>
        </w:rPr>
      </w:pPr>
      <w:r w:rsidRPr="00ED0DE7">
        <w:rPr>
          <w:sz w:val="24"/>
          <w:szCs w:val="24"/>
        </w:rPr>
        <w:t xml:space="preserve">Hvis en dosis darunavir og/eller ritonavir glemmes i op til 6 timer efter det tidspunkt, hvor den sædvanligvis tages, skal patienterne informeres om snarest muligt at tage den ordinerede dosis darunavir og ritonavir sammen med et måltid. Hvis det </w:t>
      </w:r>
      <w:r>
        <w:rPr>
          <w:sz w:val="24"/>
          <w:szCs w:val="24"/>
        </w:rPr>
        <w:t xml:space="preserve">er </w:t>
      </w:r>
      <w:r w:rsidRPr="00ED0DE7">
        <w:rPr>
          <w:sz w:val="24"/>
          <w:szCs w:val="24"/>
        </w:rPr>
        <w:t>blev</w:t>
      </w:r>
      <w:r>
        <w:rPr>
          <w:sz w:val="24"/>
          <w:szCs w:val="24"/>
        </w:rPr>
        <w:t>et</w:t>
      </w:r>
      <w:r w:rsidRPr="00ED0DE7">
        <w:rPr>
          <w:sz w:val="24"/>
          <w:szCs w:val="24"/>
        </w:rPr>
        <w:t xml:space="preserve"> opdaget senere end 6 timer efter det sædvanlige tidspunkt for indtagelse af en dosis, skal den glemte dosis springes over, og patienten skal fortsætte efter den sædvanlige behandlingsplan.</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rPr>
      </w:pPr>
      <w:r w:rsidRPr="00ED0DE7">
        <w:rPr>
          <w:sz w:val="24"/>
          <w:szCs w:val="24"/>
        </w:rPr>
        <w:t>Denne vejledning er baseret på halveringstiden for darunavir i tilstedeværelse af ritonavir på 15 timer og på et anbefalet dosisinterval på ca. 12 timer.</w:t>
      </w:r>
    </w:p>
    <w:p w:rsidR="00B64DBB" w:rsidRDefault="00B64DBB" w:rsidP="00B64DBB">
      <w:pPr>
        <w:tabs>
          <w:tab w:val="left" w:pos="851"/>
        </w:tabs>
        <w:ind w:left="851"/>
        <w:rPr>
          <w:sz w:val="24"/>
          <w:szCs w:val="24"/>
        </w:rPr>
      </w:pPr>
    </w:p>
    <w:p w:rsidR="00B64DBB" w:rsidRDefault="00B64DBB" w:rsidP="00B64DBB">
      <w:pPr>
        <w:tabs>
          <w:tab w:val="left" w:pos="851"/>
        </w:tabs>
        <w:ind w:left="851"/>
        <w:rPr>
          <w:sz w:val="24"/>
          <w:szCs w:val="24"/>
        </w:rPr>
      </w:pPr>
      <w:r w:rsidRPr="002B738A">
        <w:rPr>
          <w:sz w:val="24"/>
          <w:szCs w:val="24"/>
        </w:rPr>
        <w:t>Hvis patienten kaster op inden for 4 timer efter at have taget medicinen, skal patienten tage en ny dosis</w:t>
      </w:r>
      <w:r w:rsidRPr="004623FF">
        <w:rPr>
          <w:sz w:val="24"/>
          <w:szCs w:val="24"/>
        </w:rPr>
        <w:t xml:space="preserve"> </w:t>
      </w:r>
      <w:r w:rsidRPr="002B738A">
        <w:rPr>
          <w:sz w:val="24"/>
          <w:szCs w:val="24"/>
        </w:rPr>
        <w:t xml:space="preserve">af </w:t>
      </w:r>
      <w:r w:rsidRPr="004623FF">
        <w:rPr>
          <w:sz w:val="24"/>
          <w:szCs w:val="24"/>
        </w:rPr>
        <w:t>da</w:t>
      </w:r>
      <w:r>
        <w:rPr>
          <w:sz w:val="24"/>
          <w:szCs w:val="24"/>
        </w:rPr>
        <w:t>runavir</w:t>
      </w:r>
      <w:r w:rsidRPr="002B738A">
        <w:rPr>
          <w:sz w:val="24"/>
          <w:szCs w:val="24"/>
        </w:rPr>
        <w:t xml:space="preserve"> med ritonavir snarest muligt i forbindelse med et måltid. Hvis patienten</w:t>
      </w:r>
      <w:r>
        <w:rPr>
          <w:sz w:val="24"/>
          <w:szCs w:val="24"/>
        </w:rPr>
        <w:t xml:space="preserve"> </w:t>
      </w:r>
      <w:r w:rsidRPr="002B738A">
        <w:rPr>
          <w:sz w:val="24"/>
          <w:szCs w:val="24"/>
        </w:rPr>
        <w:t>kaster op mere end 4 timer efter at have taget medicinen, skal patienten ikke tage en ny dosis af</w:t>
      </w:r>
      <w:r>
        <w:rPr>
          <w:sz w:val="24"/>
          <w:szCs w:val="24"/>
        </w:rPr>
        <w:t xml:space="preserve"> </w:t>
      </w:r>
      <w:r w:rsidRPr="004623FF">
        <w:rPr>
          <w:sz w:val="24"/>
          <w:szCs w:val="24"/>
        </w:rPr>
        <w:t>da</w:t>
      </w:r>
      <w:r>
        <w:rPr>
          <w:sz w:val="24"/>
          <w:szCs w:val="24"/>
        </w:rPr>
        <w:t>runavir</w:t>
      </w:r>
      <w:r w:rsidRPr="002B738A">
        <w:rPr>
          <w:sz w:val="24"/>
          <w:szCs w:val="24"/>
        </w:rPr>
        <w:t xml:space="preserve"> med ritonavir, før det er tid til den næste planlagte dosis.</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sz w:val="24"/>
          <w:szCs w:val="24"/>
          <w:u w:val="single"/>
        </w:rPr>
      </w:pPr>
      <w:r w:rsidRPr="00ED0DE7">
        <w:rPr>
          <w:sz w:val="24"/>
          <w:szCs w:val="24"/>
          <w:u w:val="single"/>
        </w:rPr>
        <w:t xml:space="preserve">Særlige populationer </w:t>
      </w:r>
    </w:p>
    <w:p w:rsidR="00B64DBB" w:rsidRPr="00ED0DE7" w:rsidRDefault="00B64DBB" w:rsidP="00B64DBB">
      <w:pPr>
        <w:tabs>
          <w:tab w:val="left" w:pos="851"/>
        </w:tabs>
        <w:ind w:left="851"/>
        <w:rPr>
          <w:sz w:val="24"/>
          <w:szCs w:val="24"/>
        </w:rPr>
      </w:pPr>
    </w:p>
    <w:p w:rsidR="00B64DBB" w:rsidRPr="00ED0DE7" w:rsidRDefault="00B64DBB" w:rsidP="00B64DBB">
      <w:pPr>
        <w:tabs>
          <w:tab w:val="left" w:pos="851"/>
        </w:tabs>
        <w:ind w:left="851"/>
        <w:rPr>
          <w:i/>
          <w:iCs/>
          <w:sz w:val="24"/>
          <w:szCs w:val="24"/>
        </w:rPr>
      </w:pPr>
      <w:r w:rsidRPr="00ED0DE7">
        <w:rPr>
          <w:i/>
          <w:iCs/>
          <w:sz w:val="24"/>
          <w:szCs w:val="24"/>
        </w:rPr>
        <w:t>Ældre</w:t>
      </w:r>
    </w:p>
    <w:p w:rsidR="00B64DBB" w:rsidRPr="00ED0DE7" w:rsidRDefault="00B64DBB" w:rsidP="00B64DBB">
      <w:pPr>
        <w:tabs>
          <w:tab w:val="left" w:pos="851"/>
        </w:tabs>
        <w:ind w:left="851"/>
        <w:rPr>
          <w:i/>
          <w:iCs/>
          <w:sz w:val="24"/>
          <w:szCs w:val="24"/>
        </w:rPr>
      </w:pPr>
      <w:r w:rsidRPr="00ED0DE7">
        <w:rPr>
          <w:sz w:val="24"/>
          <w:szCs w:val="24"/>
        </w:rPr>
        <w:lastRenderedPageBreak/>
        <w:t xml:space="preserve">Der foreligger kun begrænsede oplysninger om denne population, og Darunavir </w:t>
      </w:r>
      <w:r>
        <w:rPr>
          <w:sz w:val="24"/>
          <w:szCs w:val="24"/>
        </w:rPr>
        <w:t>"STADA"</w:t>
      </w:r>
      <w:r w:rsidRPr="00ED0DE7">
        <w:rPr>
          <w:sz w:val="24"/>
          <w:szCs w:val="24"/>
        </w:rPr>
        <w:t xml:space="preserve"> skal derfor anvendes med forsigtighed til denne aldersgruppe (se pkt. 4.4 og 5.2).</w:t>
      </w:r>
    </w:p>
    <w:p w:rsidR="00B64DBB" w:rsidRPr="00ED0DE7" w:rsidRDefault="00B64DBB" w:rsidP="00B64DBB">
      <w:pPr>
        <w:tabs>
          <w:tab w:val="left" w:pos="851"/>
        </w:tabs>
        <w:ind w:left="851"/>
        <w:rPr>
          <w:i/>
          <w:iCs/>
          <w:sz w:val="24"/>
          <w:szCs w:val="24"/>
        </w:rPr>
      </w:pPr>
    </w:p>
    <w:p w:rsidR="00B64DBB" w:rsidRPr="00ED0DE7" w:rsidRDefault="00B64DBB" w:rsidP="00B64DBB">
      <w:pPr>
        <w:tabs>
          <w:tab w:val="left" w:pos="851"/>
        </w:tabs>
        <w:ind w:left="851"/>
        <w:rPr>
          <w:i/>
          <w:iCs/>
          <w:sz w:val="24"/>
          <w:szCs w:val="24"/>
        </w:rPr>
      </w:pPr>
      <w:r w:rsidRPr="00ED0DE7">
        <w:rPr>
          <w:i/>
          <w:iCs/>
          <w:sz w:val="24"/>
          <w:szCs w:val="24"/>
        </w:rPr>
        <w:t>Nedsat leverfunktion</w:t>
      </w:r>
    </w:p>
    <w:p w:rsidR="00B64DBB" w:rsidRPr="00ED0DE7" w:rsidRDefault="00B64DBB" w:rsidP="00B64DBB">
      <w:pPr>
        <w:tabs>
          <w:tab w:val="left" w:pos="851"/>
        </w:tabs>
        <w:ind w:left="851"/>
        <w:rPr>
          <w:sz w:val="24"/>
          <w:szCs w:val="24"/>
        </w:rPr>
      </w:pPr>
      <w:r w:rsidRPr="00ED0DE7">
        <w:rPr>
          <w:sz w:val="24"/>
          <w:szCs w:val="24"/>
        </w:rPr>
        <w:t xml:space="preserve">Darunavir metaboliseres i leveren. Dosisjustering anbefales ikke til patienter med mild (Child-Pugh klasse A) eller moderat (Child-Pugh klasse B) nedsat leverfunktion. Dog skal Darunavir </w:t>
      </w:r>
      <w:r>
        <w:rPr>
          <w:sz w:val="24"/>
          <w:szCs w:val="24"/>
        </w:rPr>
        <w:t>"STADA"</w:t>
      </w:r>
      <w:r w:rsidRPr="00ED0DE7">
        <w:rPr>
          <w:sz w:val="24"/>
          <w:szCs w:val="24"/>
        </w:rPr>
        <w:t xml:space="preserve"> anvendes med forsigtighed til disse patienter. Der foreligger ingen farmakokinetiske data for patienter med svært nedsat leverfunktion. En alvorlig leverfunktionsnedsættelse kan medføre et øget niveau af darunavir og en forværring af stoffets sikkerhedsprofil. Darunavir </w:t>
      </w:r>
      <w:r>
        <w:rPr>
          <w:sz w:val="24"/>
          <w:szCs w:val="24"/>
        </w:rPr>
        <w:t>"STADA"</w:t>
      </w:r>
      <w:r w:rsidRPr="00ED0DE7">
        <w:rPr>
          <w:sz w:val="24"/>
          <w:szCs w:val="24"/>
        </w:rPr>
        <w:t xml:space="preserve"> må derfor ikke anvendes til patienter med svært nedsat leverfunktion (Child-Pugh klasse C) (se pkt. 4.3, 4.4 og 5.2).</w:t>
      </w:r>
    </w:p>
    <w:p w:rsidR="00B64DBB" w:rsidRPr="00ED0DE7" w:rsidRDefault="00B64DBB" w:rsidP="00B64DBB">
      <w:pPr>
        <w:tabs>
          <w:tab w:val="left" w:pos="851"/>
        </w:tabs>
        <w:ind w:left="851"/>
        <w:rPr>
          <w:i/>
          <w:iCs/>
          <w:sz w:val="24"/>
          <w:szCs w:val="24"/>
        </w:rPr>
      </w:pPr>
    </w:p>
    <w:p w:rsidR="00B64DBB" w:rsidRPr="00ED0DE7" w:rsidRDefault="00B64DBB" w:rsidP="00B64DBB">
      <w:pPr>
        <w:tabs>
          <w:tab w:val="left" w:pos="851"/>
        </w:tabs>
        <w:ind w:left="851"/>
        <w:rPr>
          <w:i/>
          <w:iCs/>
          <w:sz w:val="24"/>
          <w:szCs w:val="24"/>
        </w:rPr>
      </w:pPr>
      <w:r w:rsidRPr="00ED0DE7">
        <w:rPr>
          <w:i/>
          <w:iCs/>
          <w:sz w:val="24"/>
          <w:szCs w:val="24"/>
        </w:rPr>
        <w:t>Nedsat nyrefunktion</w:t>
      </w:r>
    </w:p>
    <w:p w:rsidR="00B64DBB" w:rsidRPr="00ED0DE7" w:rsidRDefault="00B64DBB" w:rsidP="00B64DBB">
      <w:pPr>
        <w:tabs>
          <w:tab w:val="left" w:pos="851"/>
        </w:tabs>
        <w:ind w:left="851"/>
        <w:rPr>
          <w:sz w:val="24"/>
          <w:szCs w:val="24"/>
        </w:rPr>
      </w:pPr>
      <w:r w:rsidRPr="00ED0DE7">
        <w:rPr>
          <w:sz w:val="24"/>
          <w:szCs w:val="24"/>
        </w:rPr>
        <w:t>Der er ikke behov for dosisjustering hos patienter med nedsat nyrefunktion (se pkt. 4.4 og 5.2).</w:t>
      </w:r>
    </w:p>
    <w:p w:rsidR="00B64DBB" w:rsidRPr="00ED0DE7" w:rsidRDefault="00B64DBB" w:rsidP="00B64DBB">
      <w:pPr>
        <w:tabs>
          <w:tab w:val="left" w:pos="851"/>
        </w:tabs>
        <w:ind w:left="851"/>
        <w:rPr>
          <w:i/>
          <w:iCs/>
          <w:sz w:val="24"/>
          <w:szCs w:val="24"/>
        </w:rPr>
      </w:pPr>
    </w:p>
    <w:p w:rsidR="00B64DBB" w:rsidRDefault="00B64DBB" w:rsidP="00B64DBB">
      <w:pPr>
        <w:tabs>
          <w:tab w:val="left" w:pos="851"/>
        </w:tabs>
        <w:ind w:left="851"/>
        <w:rPr>
          <w:i/>
          <w:iCs/>
          <w:sz w:val="24"/>
          <w:szCs w:val="24"/>
        </w:rPr>
      </w:pPr>
      <w:r>
        <w:rPr>
          <w:i/>
          <w:iCs/>
          <w:sz w:val="24"/>
          <w:szCs w:val="24"/>
        </w:rPr>
        <w:t>Pædiatriske population</w:t>
      </w:r>
    </w:p>
    <w:p w:rsidR="00B64DBB" w:rsidRDefault="00B64DBB" w:rsidP="00B64DBB">
      <w:pPr>
        <w:tabs>
          <w:tab w:val="left" w:pos="851"/>
        </w:tabs>
        <w:ind w:left="851"/>
        <w:rPr>
          <w:sz w:val="24"/>
          <w:szCs w:val="24"/>
        </w:rPr>
      </w:pPr>
      <w:r>
        <w:rPr>
          <w:sz w:val="24"/>
          <w:szCs w:val="24"/>
        </w:rPr>
        <w:t>Darunavir/ritonavir bør ikke anvendes til børn med en legemsvægt på under 15 kg, da doseringen til denne population ikke er påvist hos tilstrækkeligt mange patienter (se pkt. 5.1). Darunavir/ritonavir bør ikke anvendes til børn under 3 år af sikkerhedsmæssige grunde (se pkt. 4.4 og 5.3)</w:t>
      </w:r>
      <w:r>
        <w:rPr>
          <w:i/>
          <w:iCs/>
          <w:sz w:val="24"/>
          <w:szCs w:val="24"/>
        </w:rPr>
        <w:t>.</w:t>
      </w:r>
    </w:p>
    <w:p w:rsidR="00B64DBB" w:rsidRDefault="00B64DBB" w:rsidP="00B64DBB">
      <w:pPr>
        <w:tabs>
          <w:tab w:val="left" w:pos="851"/>
        </w:tabs>
        <w:ind w:left="851"/>
        <w:rPr>
          <w:sz w:val="24"/>
          <w:szCs w:val="24"/>
        </w:rPr>
      </w:pPr>
    </w:p>
    <w:p w:rsidR="00B64DBB" w:rsidRDefault="00B64DBB" w:rsidP="00B64DBB">
      <w:pPr>
        <w:tabs>
          <w:tab w:val="left" w:pos="851"/>
        </w:tabs>
        <w:ind w:left="851"/>
        <w:rPr>
          <w:sz w:val="24"/>
          <w:szCs w:val="24"/>
        </w:rPr>
      </w:pPr>
      <w:r>
        <w:rPr>
          <w:sz w:val="24"/>
          <w:szCs w:val="24"/>
        </w:rPr>
        <w:t xml:space="preserve">Darunavirs og ritonavirs vægtbaserede dosisinterval kan findes i tabellen ovenover. </w:t>
      </w:r>
    </w:p>
    <w:p w:rsidR="00B64DBB" w:rsidRDefault="00B64DBB" w:rsidP="00B64DBB">
      <w:pPr>
        <w:tabs>
          <w:tab w:val="left" w:pos="851"/>
        </w:tabs>
        <w:ind w:left="851"/>
        <w:rPr>
          <w:i/>
          <w:iCs/>
          <w:sz w:val="24"/>
          <w:szCs w:val="24"/>
        </w:rPr>
      </w:pPr>
    </w:p>
    <w:p w:rsidR="00B64DBB" w:rsidRDefault="00B64DBB" w:rsidP="00B64DBB">
      <w:pPr>
        <w:tabs>
          <w:tab w:val="left" w:pos="851"/>
        </w:tabs>
        <w:ind w:left="851"/>
        <w:rPr>
          <w:iCs/>
          <w:sz w:val="24"/>
          <w:szCs w:val="24"/>
          <w:u w:val="single"/>
        </w:rPr>
      </w:pPr>
      <w:r>
        <w:rPr>
          <w:iCs/>
          <w:sz w:val="24"/>
          <w:szCs w:val="24"/>
          <w:u w:val="single"/>
        </w:rPr>
        <w:t>Graviditet og post partum</w:t>
      </w:r>
    </w:p>
    <w:p w:rsidR="00B64DBB" w:rsidRDefault="00B64DBB" w:rsidP="00B64DBB">
      <w:pPr>
        <w:tabs>
          <w:tab w:val="left" w:pos="851"/>
        </w:tabs>
        <w:ind w:left="851"/>
        <w:rPr>
          <w:sz w:val="24"/>
          <w:szCs w:val="24"/>
        </w:rPr>
      </w:pPr>
      <w:r>
        <w:rPr>
          <w:sz w:val="24"/>
          <w:szCs w:val="24"/>
        </w:rPr>
        <w:t xml:space="preserve">Dosisjustering af darunavir/ritonavir er ikke nødvendig under graviditet og </w:t>
      </w:r>
      <w:r>
        <w:rPr>
          <w:i/>
          <w:iCs/>
          <w:sz w:val="24"/>
          <w:szCs w:val="24"/>
        </w:rPr>
        <w:t>post partum</w:t>
      </w:r>
      <w:r>
        <w:rPr>
          <w:sz w:val="24"/>
          <w:szCs w:val="24"/>
        </w:rPr>
        <w:t>. Darunavir/ritonavir bør kun anvendes under graviditet, hvis den mulige fordel opvejer den mulige risiko (se pkt. 4.4, 4.6 og 5.2).</w:t>
      </w:r>
    </w:p>
    <w:p w:rsidR="00B64DBB" w:rsidRPr="00ED0DE7" w:rsidRDefault="00B64DBB" w:rsidP="00B64DBB">
      <w:pPr>
        <w:tabs>
          <w:tab w:val="left" w:pos="851"/>
        </w:tabs>
        <w:ind w:left="851"/>
        <w:rPr>
          <w:sz w:val="24"/>
          <w:szCs w:val="24"/>
        </w:rPr>
      </w:pPr>
    </w:p>
    <w:p w:rsidR="00B64DBB" w:rsidRPr="004623FF" w:rsidRDefault="00B64DBB" w:rsidP="00B64DBB">
      <w:pPr>
        <w:tabs>
          <w:tab w:val="left" w:pos="851"/>
        </w:tabs>
        <w:ind w:left="851"/>
        <w:rPr>
          <w:bCs/>
          <w:sz w:val="24"/>
          <w:szCs w:val="24"/>
          <w:u w:val="single"/>
        </w:rPr>
      </w:pPr>
      <w:r w:rsidRPr="004623FF">
        <w:rPr>
          <w:bCs/>
          <w:sz w:val="24"/>
          <w:szCs w:val="24"/>
          <w:u w:val="single"/>
        </w:rPr>
        <w:t>Administration</w:t>
      </w:r>
    </w:p>
    <w:p w:rsidR="00B64DBB" w:rsidRPr="00ED0DE7" w:rsidRDefault="00B64DBB" w:rsidP="00B64DBB">
      <w:pPr>
        <w:tabs>
          <w:tab w:val="left" w:pos="851"/>
        </w:tabs>
        <w:ind w:left="851"/>
        <w:rPr>
          <w:sz w:val="24"/>
          <w:szCs w:val="24"/>
        </w:rPr>
      </w:pPr>
      <w:r w:rsidRPr="00ED0DE7">
        <w:rPr>
          <w:sz w:val="24"/>
          <w:szCs w:val="24"/>
        </w:rPr>
        <w:t xml:space="preserve">Patienterne bør vejledes i at tage Darunavir </w:t>
      </w:r>
      <w:r>
        <w:rPr>
          <w:sz w:val="24"/>
          <w:szCs w:val="24"/>
        </w:rPr>
        <w:t>"STADA"</w:t>
      </w:r>
      <w:r w:rsidRPr="00ED0DE7">
        <w:rPr>
          <w:sz w:val="24"/>
          <w:szCs w:val="24"/>
        </w:rPr>
        <w:t xml:space="preserve"> sammen med lavdosis ritonavir inden for 30 minutter efter indtagelse af et måltid. Måltidets sammensætning påvirker ikke eksponeringen for darunavir (se pkt. 4.4, 4.5 og 5.2).</w:t>
      </w:r>
    </w:p>
    <w:p w:rsidR="00B64DBB" w:rsidRPr="00ED0DE7" w:rsidRDefault="00B64DBB" w:rsidP="00B64DBB">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4.3</w:t>
      </w:r>
      <w:r w:rsidRPr="00ED0DE7">
        <w:rPr>
          <w:b/>
          <w:sz w:val="24"/>
          <w:szCs w:val="24"/>
        </w:rPr>
        <w:tab/>
        <w:t>Kontraindikationer</w:t>
      </w:r>
    </w:p>
    <w:p w:rsidR="00B91372" w:rsidRPr="00ED0DE7" w:rsidRDefault="00B91372" w:rsidP="00B91372">
      <w:pPr>
        <w:tabs>
          <w:tab w:val="left" w:pos="851"/>
        </w:tabs>
        <w:ind w:left="851"/>
        <w:rPr>
          <w:sz w:val="24"/>
          <w:szCs w:val="24"/>
        </w:rPr>
      </w:pPr>
      <w:r w:rsidRPr="00ED0DE7">
        <w:rPr>
          <w:sz w:val="24"/>
          <w:szCs w:val="24"/>
        </w:rPr>
        <w:t>Overfølsomhed over for det aktive stof eller over for et eller flere af hjælpestofferne anført i pkt</w:t>
      </w:r>
      <w:r>
        <w:rPr>
          <w:sz w:val="24"/>
          <w:szCs w:val="24"/>
        </w:rPr>
        <w:t>.</w:t>
      </w:r>
      <w:r w:rsidRPr="00ED0DE7">
        <w:rPr>
          <w:sz w:val="24"/>
          <w:szCs w:val="24"/>
        </w:rPr>
        <w:t xml:space="preserve"> 6.1.</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Patienter med svært (Child-Pugh klasse C) nedsat leverfunktion.</w:t>
      </w:r>
    </w:p>
    <w:p w:rsidR="00B91372" w:rsidRPr="00ED0DE7" w:rsidRDefault="00B91372" w:rsidP="00B91372">
      <w:pPr>
        <w:tabs>
          <w:tab w:val="left" w:pos="851"/>
        </w:tabs>
        <w:ind w:left="851"/>
        <w:rPr>
          <w:sz w:val="24"/>
          <w:szCs w:val="24"/>
        </w:rPr>
      </w:pPr>
    </w:p>
    <w:p w:rsidR="00B91372" w:rsidRPr="00ED0DE7" w:rsidRDefault="000B4EE5" w:rsidP="00B91372">
      <w:pPr>
        <w:tabs>
          <w:tab w:val="left" w:pos="851"/>
        </w:tabs>
        <w:ind w:left="851"/>
        <w:rPr>
          <w:sz w:val="24"/>
          <w:szCs w:val="24"/>
        </w:rPr>
      </w:pPr>
      <w:r w:rsidRPr="000B4EE5">
        <w:rPr>
          <w:sz w:val="24"/>
          <w:szCs w:val="24"/>
        </w:rPr>
        <w:t>Kombination af stærke CYP3A-induktorer såsom rifampicin og darunavir samtidig med lavdosis ritonavir (se pkt. 4.5).</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Samtidig administration af kombinationsproduktet lopinavir/ritonavir (se pkt. 4.5).</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Samtidig administration af naturlægemidler, der indeholder perikon (</w:t>
      </w:r>
      <w:r w:rsidRPr="00ED0DE7">
        <w:rPr>
          <w:i/>
          <w:sz w:val="24"/>
          <w:szCs w:val="24"/>
        </w:rPr>
        <w:t xml:space="preserve">Hypericum perforatum) </w:t>
      </w:r>
      <w:r w:rsidRPr="00ED0DE7">
        <w:rPr>
          <w:sz w:val="24"/>
          <w:szCs w:val="24"/>
        </w:rPr>
        <w:t>(se pkt. 4.5).</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Samtidig administration af darunavir med lavdosis ritonavir, og aktive stoffer, der er meget afhængige af CYP3A for eliminering, og for hvilke forhøjede plasmakoncentrationer er forbundet med alvorlige og/eller livstruende hændelser. Disse aktive stoffer omfatter f.eks.:</w:t>
      </w:r>
    </w:p>
    <w:p w:rsidR="00B64DBB" w:rsidRPr="004623FF" w:rsidRDefault="00B64DBB" w:rsidP="00B64DBB">
      <w:pPr>
        <w:pStyle w:val="Listeafsnit"/>
        <w:numPr>
          <w:ilvl w:val="0"/>
          <w:numId w:val="28"/>
        </w:numPr>
        <w:tabs>
          <w:tab w:val="left" w:pos="851"/>
        </w:tabs>
        <w:ind w:left="1276" w:hanging="359"/>
        <w:rPr>
          <w:sz w:val="24"/>
          <w:szCs w:val="24"/>
        </w:rPr>
      </w:pPr>
      <w:r w:rsidRPr="004623FF">
        <w:rPr>
          <w:sz w:val="24"/>
          <w:szCs w:val="24"/>
        </w:rPr>
        <w:lastRenderedPageBreak/>
        <w:t xml:space="preserve">alfuzosin </w:t>
      </w:r>
    </w:p>
    <w:p w:rsidR="00B64DBB" w:rsidRDefault="00B64DBB" w:rsidP="00B64DBB">
      <w:pPr>
        <w:numPr>
          <w:ilvl w:val="0"/>
          <w:numId w:val="27"/>
        </w:numPr>
        <w:tabs>
          <w:tab w:val="left" w:pos="851"/>
        </w:tabs>
        <w:ind w:left="1276" w:hanging="359"/>
        <w:rPr>
          <w:sz w:val="24"/>
          <w:szCs w:val="24"/>
          <w:lang w:val="en-US"/>
        </w:rPr>
      </w:pPr>
      <w:r>
        <w:rPr>
          <w:sz w:val="24"/>
          <w:szCs w:val="24"/>
          <w:lang w:val="en-US"/>
        </w:rPr>
        <w:t>amiodaron, bepridil, dronedaron, ivabradin, quinidin, ranolazin</w:t>
      </w:r>
    </w:p>
    <w:p w:rsidR="00B64DBB" w:rsidRDefault="00B64DBB" w:rsidP="00B64DBB">
      <w:pPr>
        <w:numPr>
          <w:ilvl w:val="0"/>
          <w:numId w:val="27"/>
        </w:numPr>
        <w:tabs>
          <w:tab w:val="left" w:pos="851"/>
        </w:tabs>
        <w:ind w:left="1276" w:hanging="359"/>
        <w:rPr>
          <w:sz w:val="24"/>
          <w:szCs w:val="24"/>
        </w:rPr>
      </w:pPr>
      <w:r>
        <w:rPr>
          <w:sz w:val="24"/>
          <w:szCs w:val="24"/>
        </w:rPr>
        <w:t xml:space="preserve">astemizol, terfenadin </w:t>
      </w:r>
    </w:p>
    <w:p w:rsidR="00B64DBB" w:rsidRDefault="00B64DBB" w:rsidP="00B64DBB">
      <w:pPr>
        <w:numPr>
          <w:ilvl w:val="0"/>
          <w:numId w:val="27"/>
        </w:numPr>
        <w:tabs>
          <w:tab w:val="left" w:pos="851"/>
        </w:tabs>
        <w:ind w:left="1276" w:hanging="359"/>
        <w:rPr>
          <w:sz w:val="24"/>
          <w:szCs w:val="24"/>
        </w:rPr>
      </w:pPr>
      <w:r>
        <w:rPr>
          <w:sz w:val="24"/>
          <w:szCs w:val="24"/>
        </w:rPr>
        <w:t>colchicin ved anvendelse til patienter med nedsat nyre- og/eller leverfunktion (se pkt. 4.5)</w:t>
      </w:r>
    </w:p>
    <w:p w:rsidR="00B64DBB" w:rsidRDefault="00B64DBB" w:rsidP="00B64DBB">
      <w:pPr>
        <w:numPr>
          <w:ilvl w:val="0"/>
          <w:numId w:val="27"/>
        </w:numPr>
        <w:tabs>
          <w:tab w:val="left" w:pos="851"/>
        </w:tabs>
        <w:ind w:left="1276" w:hanging="359"/>
        <w:rPr>
          <w:sz w:val="24"/>
          <w:szCs w:val="24"/>
        </w:rPr>
      </w:pPr>
      <w:r>
        <w:rPr>
          <w:sz w:val="24"/>
          <w:szCs w:val="24"/>
        </w:rPr>
        <w:t>ergotderivater (f.eks. dihydroergotamin, ergometrin, ergotamin, methylergometrin)</w:t>
      </w:r>
    </w:p>
    <w:p w:rsidR="00B64DBB" w:rsidRDefault="00B64DBB" w:rsidP="00B64DBB">
      <w:pPr>
        <w:numPr>
          <w:ilvl w:val="0"/>
          <w:numId w:val="27"/>
        </w:numPr>
        <w:tabs>
          <w:tab w:val="left" w:pos="851"/>
        </w:tabs>
        <w:ind w:left="1276" w:hanging="359"/>
        <w:rPr>
          <w:sz w:val="24"/>
          <w:szCs w:val="24"/>
        </w:rPr>
      </w:pPr>
      <w:r>
        <w:rPr>
          <w:sz w:val="24"/>
          <w:szCs w:val="24"/>
        </w:rPr>
        <w:t xml:space="preserve">elbasvir/grazoprevir </w:t>
      </w:r>
    </w:p>
    <w:p w:rsidR="00B64DBB" w:rsidRDefault="00B64DBB" w:rsidP="00B64DBB">
      <w:pPr>
        <w:numPr>
          <w:ilvl w:val="0"/>
          <w:numId w:val="27"/>
        </w:numPr>
        <w:tabs>
          <w:tab w:val="left" w:pos="851"/>
        </w:tabs>
        <w:ind w:left="1276" w:hanging="359"/>
        <w:rPr>
          <w:sz w:val="24"/>
          <w:szCs w:val="24"/>
        </w:rPr>
      </w:pPr>
      <w:r>
        <w:rPr>
          <w:sz w:val="24"/>
          <w:szCs w:val="24"/>
        </w:rPr>
        <w:t xml:space="preserve">cisaprid </w:t>
      </w:r>
    </w:p>
    <w:p w:rsidR="00B64DBB" w:rsidRDefault="00B64DBB" w:rsidP="00B64DBB">
      <w:pPr>
        <w:numPr>
          <w:ilvl w:val="0"/>
          <w:numId w:val="27"/>
        </w:numPr>
        <w:tabs>
          <w:tab w:val="left" w:pos="851"/>
        </w:tabs>
        <w:ind w:left="1276" w:hanging="359"/>
        <w:rPr>
          <w:sz w:val="24"/>
          <w:szCs w:val="24"/>
        </w:rPr>
      </w:pPr>
      <w:r>
        <w:rPr>
          <w:sz w:val="24"/>
          <w:szCs w:val="24"/>
        </w:rPr>
        <w:t>dapoxetin</w:t>
      </w:r>
    </w:p>
    <w:p w:rsidR="00B64DBB" w:rsidRDefault="00B64DBB" w:rsidP="00B64DBB">
      <w:pPr>
        <w:numPr>
          <w:ilvl w:val="0"/>
          <w:numId w:val="27"/>
        </w:numPr>
        <w:tabs>
          <w:tab w:val="left" w:pos="851"/>
        </w:tabs>
        <w:ind w:left="1276" w:hanging="359"/>
        <w:rPr>
          <w:sz w:val="24"/>
          <w:szCs w:val="24"/>
        </w:rPr>
      </w:pPr>
      <w:r>
        <w:rPr>
          <w:sz w:val="24"/>
          <w:szCs w:val="24"/>
        </w:rPr>
        <w:t>domperidon</w:t>
      </w:r>
    </w:p>
    <w:p w:rsidR="00B64DBB" w:rsidRDefault="00B64DBB" w:rsidP="00B64DBB">
      <w:pPr>
        <w:numPr>
          <w:ilvl w:val="0"/>
          <w:numId w:val="27"/>
        </w:numPr>
        <w:tabs>
          <w:tab w:val="left" w:pos="851"/>
        </w:tabs>
        <w:ind w:left="1276" w:hanging="359"/>
        <w:rPr>
          <w:sz w:val="24"/>
          <w:szCs w:val="24"/>
        </w:rPr>
      </w:pPr>
      <w:r>
        <w:rPr>
          <w:sz w:val="24"/>
          <w:szCs w:val="24"/>
        </w:rPr>
        <w:t>naloxegol</w:t>
      </w:r>
    </w:p>
    <w:p w:rsidR="00B64DBB" w:rsidRDefault="00B64DBB" w:rsidP="00B64DBB">
      <w:pPr>
        <w:numPr>
          <w:ilvl w:val="0"/>
          <w:numId w:val="27"/>
        </w:numPr>
        <w:tabs>
          <w:tab w:val="left" w:pos="851"/>
        </w:tabs>
        <w:ind w:left="1276" w:hanging="359"/>
        <w:rPr>
          <w:sz w:val="24"/>
          <w:szCs w:val="24"/>
          <w:lang w:val="en-US"/>
        </w:rPr>
      </w:pPr>
      <w:r>
        <w:rPr>
          <w:sz w:val="24"/>
          <w:szCs w:val="24"/>
          <w:lang w:val="en-US"/>
        </w:rPr>
        <w:t>lurasidone, pimozid, quetiapin, sertindol (se pkt. 4.5)</w:t>
      </w:r>
    </w:p>
    <w:p w:rsidR="00B64DBB" w:rsidRDefault="00B64DBB" w:rsidP="00B64DBB">
      <w:pPr>
        <w:numPr>
          <w:ilvl w:val="0"/>
          <w:numId w:val="27"/>
        </w:numPr>
        <w:tabs>
          <w:tab w:val="left" w:pos="851"/>
        </w:tabs>
        <w:ind w:left="1276" w:hanging="359"/>
        <w:rPr>
          <w:sz w:val="24"/>
          <w:szCs w:val="24"/>
        </w:rPr>
      </w:pPr>
      <w:r>
        <w:rPr>
          <w:sz w:val="24"/>
          <w:szCs w:val="24"/>
        </w:rPr>
        <w:t>triazolam, midazolam administreret oralt (vedr. forsigtighed ved parenteral administration af midazolam, se pkt. 4.5)</w:t>
      </w:r>
    </w:p>
    <w:p w:rsidR="00B64DBB" w:rsidRDefault="00B64DBB" w:rsidP="00B64DBB">
      <w:pPr>
        <w:numPr>
          <w:ilvl w:val="0"/>
          <w:numId w:val="27"/>
        </w:numPr>
        <w:tabs>
          <w:tab w:val="left" w:pos="851"/>
        </w:tabs>
        <w:ind w:left="1276" w:hanging="359"/>
        <w:rPr>
          <w:sz w:val="24"/>
          <w:szCs w:val="24"/>
        </w:rPr>
      </w:pPr>
      <w:r>
        <w:rPr>
          <w:sz w:val="24"/>
          <w:szCs w:val="24"/>
        </w:rPr>
        <w:t xml:space="preserve">sildenafil - ved behandling af pulmonal arteriel hypertension, avanafil </w:t>
      </w:r>
    </w:p>
    <w:p w:rsidR="00B64DBB" w:rsidRDefault="00B64DBB" w:rsidP="00B64DBB">
      <w:pPr>
        <w:numPr>
          <w:ilvl w:val="0"/>
          <w:numId w:val="27"/>
        </w:numPr>
        <w:tabs>
          <w:tab w:val="left" w:pos="851"/>
        </w:tabs>
        <w:ind w:left="1276" w:hanging="359"/>
        <w:rPr>
          <w:sz w:val="24"/>
          <w:szCs w:val="24"/>
        </w:rPr>
      </w:pPr>
      <w:r>
        <w:rPr>
          <w:sz w:val="24"/>
          <w:szCs w:val="24"/>
        </w:rPr>
        <w:t>simvastatin, lovastatin og lomitapid (se pkt. 4.5)</w:t>
      </w:r>
    </w:p>
    <w:p w:rsidR="00B64DBB" w:rsidRDefault="00B64DBB" w:rsidP="00B64DBB">
      <w:pPr>
        <w:numPr>
          <w:ilvl w:val="0"/>
          <w:numId w:val="27"/>
        </w:numPr>
        <w:tabs>
          <w:tab w:val="left" w:pos="851"/>
        </w:tabs>
        <w:ind w:left="1276" w:hanging="359"/>
        <w:rPr>
          <w:sz w:val="24"/>
          <w:szCs w:val="24"/>
        </w:rPr>
      </w:pPr>
      <w:r>
        <w:rPr>
          <w:sz w:val="24"/>
          <w:szCs w:val="24"/>
        </w:rPr>
        <w:t>ticagrelor (se pkt. 4.5).</w:t>
      </w:r>
    </w:p>
    <w:p w:rsidR="00B91372" w:rsidRPr="00ED0DE7" w:rsidRDefault="00B91372" w:rsidP="00B64DBB">
      <w:pPr>
        <w:tabs>
          <w:tab w:val="left" w:pos="851"/>
        </w:tabs>
        <w:rPr>
          <w:sz w:val="24"/>
          <w:szCs w:val="24"/>
        </w:rPr>
      </w:pPr>
    </w:p>
    <w:p w:rsidR="00B91372" w:rsidRPr="000B4EE5" w:rsidRDefault="00B91372" w:rsidP="000B4EE5">
      <w:pPr>
        <w:tabs>
          <w:tab w:val="left" w:pos="851"/>
        </w:tabs>
        <w:ind w:left="851" w:hanging="851"/>
        <w:rPr>
          <w:b/>
          <w:sz w:val="24"/>
          <w:szCs w:val="24"/>
        </w:rPr>
      </w:pPr>
      <w:r w:rsidRPr="00ED0DE7">
        <w:rPr>
          <w:b/>
          <w:sz w:val="24"/>
          <w:szCs w:val="24"/>
        </w:rPr>
        <w:t>4.4</w:t>
      </w:r>
      <w:r w:rsidRPr="00ED0DE7">
        <w:rPr>
          <w:b/>
          <w:sz w:val="24"/>
          <w:szCs w:val="24"/>
        </w:rPr>
        <w:tab/>
        <w:t>Særlige advarsler og forsigtighedsregler vedrørende brugen</w:t>
      </w:r>
    </w:p>
    <w:p w:rsidR="00B91372" w:rsidRDefault="00B91372" w:rsidP="00B91372">
      <w:pPr>
        <w:tabs>
          <w:tab w:val="left" w:pos="851"/>
        </w:tabs>
        <w:ind w:left="851"/>
        <w:rPr>
          <w:sz w:val="24"/>
          <w:szCs w:val="24"/>
        </w:rPr>
      </w:pPr>
      <w:r>
        <w:rPr>
          <w:sz w:val="24"/>
          <w:szCs w:val="24"/>
        </w:rPr>
        <w:t>Regelmæssig kontrol af virologisk respons anbefales. Ved manglende eller tab af virologisk respons bør patienten testes for resistens.</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Darunavir må kun gives oralt med lavdosis ritonavir som en farmakokinetisk forstærker og i kombination med andre aniretrovirale medicinske lægemidler (se pkt. 5.2). Hvis relevant, bør produktresumeet for ritonavir læses inden behandlingen med darunavir påbegyndes.</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Forhøjelse af dosis af ritonavir i forhold til den anbefalede i pkt. 4.2 påvirkede ikke koncentrationen af darunavir i signifikant grad. Det anbefales ikke at ændre dosis af ritonavir.</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Darunavir bindes hovedsageligt til α</w:t>
      </w:r>
      <w:r>
        <w:rPr>
          <w:sz w:val="24"/>
          <w:szCs w:val="24"/>
          <w:vertAlign w:val="subscript"/>
        </w:rPr>
        <w:t xml:space="preserve">1 </w:t>
      </w:r>
      <w:r>
        <w:rPr>
          <w:sz w:val="24"/>
          <w:szCs w:val="24"/>
        </w:rPr>
        <w:t>syre-glykoprotein. Denne proteinbinding er koncentrationsafhængig, hvilket indicerer, at bindingskapaciteten mættes. Derfor kan fortrængning af lægemidler, der i udstrakt grad bindes til α</w:t>
      </w:r>
      <w:r>
        <w:rPr>
          <w:sz w:val="24"/>
          <w:szCs w:val="24"/>
          <w:vertAlign w:val="subscript"/>
        </w:rPr>
        <w:t xml:space="preserve">1 </w:t>
      </w:r>
      <w:r>
        <w:rPr>
          <w:sz w:val="24"/>
          <w:szCs w:val="24"/>
        </w:rPr>
        <w:t>syre-glykoprotein, ikke udelukkes (se pkt. 4.5).</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ART-erfarne patienter – dosering en gang daglig</w:t>
      </w:r>
    </w:p>
    <w:p w:rsidR="00B91372" w:rsidRDefault="00B91372" w:rsidP="00B91372">
      <w:pPr>
        <w:tabs>
          <w:tab w:val="left" w:pos="851"/>
        </w:tabs>
        <w:ind w:left="851"/>
        <w:rPr>
          <w:sz w:val="24"/>
          <w:szCs w:val="24"/>
        </w:rPr>
      </w:pPr>
      <w:r>
        <w:rPr>
          <w:sz w:val="24"/>
          <w:szCs w:val="24"/>
        </w:rPr>
        <w:t xml:space="preserve">Darunavir anvendt i kombination med cobicistat eller lavdosis ritonavir en gang daglig til ART-erfarne patienter bør ikke anvendes til patienter med en eller flere mutationer associeret med darunavirresistens (DRV-RAMs) eller </w:t>
      </w:r>
      <w:r w:rsidR="00B64DBB">
        <w:rPr>
          <w:sz w:val="24"/>
          <w:szCs w:val="24"/>
        </w:rPr>
        <w:t>HIV</w:t>
      </w:r>
      <w:r>
        <w:rPr>
          <w:sz w:val="24"/>
          <w:szCs w:val="24"/>
        </w:rPr>
        <w:t>-1-RNA ≥ 100.000 kopier/ml eller CD4+ -celletal &lt; 100 x 10</w:t>
      </w:r>
      <w:r>
        <w:rPr>
          <w:sz w:val="24"/>
          <w:szCs w:val="24"/>
          <w:vertAlign w:val="superscript"/>
        </w:rPr>
        <w:t>6</w:t>
      </w:r>
      <w:r>
        <w:rPr>
          <w:sz w:val="24"/>
          <w:szCs w:val="24"/>
        </w:rPr>
        <w:t xml:space="preserve"> celler/l (se pkt. 4.2). Kombinationer med andre optimerede baggrundsregimer (OBR'er) end ≥ 2 NRTI’er er ikke undersøgt hos denne population. Der foreligger begrænsede data for patienter med andre </w:t>
      </w:r>
      <w:r w:rsidR="00B64DBB">
        <w:rPr>
          <w:sz w:val="24"/>
          <w:szCs w:val="24"/>
        </w:rPr>
        <w:t>HIV</w:t>
      </w:r>
      <w:r>
        <w:rPr>
          <w:sz w:val="24"/>
          <w:szCs w:val="24"/>
        </w:rPr>
        <w:t>-1-subtyper end subtype B (se pkt. 5.1).</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Pædiatrisk population</w:t>
      </w:r>
    </w:p>
    <w:p w:rsidR="00B91372" w:rsidRDefault="00B91372" w:rsidP="00B91372">
      <w:pPr>
        <w:tabs>
          <w:tab w:val="left" w:pos="851"/>
        </w:tabs>
        <w:ind w:left="851"/>
        <w:rPr>
          <w:sz w:val="24"/>
          <w:szCs w:val="24"/>
        </w:rPr>
      </w:pPr>
      <w:r>
        <w:rPr>
          <w:sz w:val="24"/>
          <w:szCs w:val="24"/>
        </w:rPr>
        <w:t>Darunavir anbefales ikke til brug til pædiatriske patienter under 3 år eller med en legemsvægt på under 15 kg (se pkt. 4.2 og 5.3).</w:t>
      </w:r>
    </w:p>
    <w:p w:rsidR="00B91372" w:rsidRDefault="00B91372" w:rsidP="00B91372">
      <w:pPr>
        <w:tabs>
          <w:tab w:val="left" w:pos="851"/>
        </w:tabs>
        <w:ind w:left="851"/>
        <w:rPr>
          <w:sz w:val="24"/>
          <w:szCs w:val="24"/>
        </w:rPr>
      </w:pPr>
    </w:p>
    <w:p w:rsidR="00B91372" w:rsidRDefault="00B91372" w:rsidP="000B4EE5">
      <w:pPr>
        <w:keepNext/>
        <w:tabs>
          <w:tab w:val="left" w:pos="851"/>
        </w:tabs>
        <w:ind w:left="851"/>
        <w:rPr>
          <w:sz w:val="24"/>
          <w:szCs w:val="24"/>
          <w:u w:val="single"/>
        </w:rPr>
      </w:pPr>
      <w:r>
        <w:rPr>
          <w:sz w:val="24"/>
          <w:szCs w:val="24"/>
          <w:u w:val="single"/>
        </w:rPr>
        <w:lastRenderedPageBreak/>
        <w:t>Graviditet</w:t>
      </w:r>
    </w:p>
    <w:p w:rsidR="00B91372" w:rsidRDefault="00B91372" w:rsidP="00B91372">
      <w:pPr>
        <w:tabs>
          <w:tab w:val="left" w:pos="851"/>
        </w:tabs>
        <w:ind w:left="851"/>
        <w:rPr>
          <w:sz w:val="24"/>
          <w:szCs w:val="24"/>
        </w:rPr>
      </w:pPr>
      <w:r>
        <w:rPr>
          <w:sz w:val="24"/>
          <w:szCs w:val="24"/>
        </w:rPr>
        <w:t>Darunavir/ritonavir bør kun anvendes under graviditet, hvis den mulige fordel opvejer den mulige risiko. Der skal udvises forsigtighed ved behandling af gravide kvinder, som kræver samtidig medicinsk behandling, der kan medføre en yderligere nedsat eksponering for darunavir (se pkt. 4.5 og 5.2).</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Ældre</w:t>
      </w:r>
    </w:p>
    <w:p w:rsidR="00B91372" w:rsidRDefault="00B91372" w:rsidP="00B91372">
      <w:pPr>
        <w:tabs>
          <w:tab w:val="left" w:pos="851"/>
        </w:tabs>
        <w:ind w:left="851"/>
        <w:rPr>
          <w:sz w:val="24"/>
          <w:szCs w:val="24"/>
        </w:rPr>
      </w:pPr>
      <w:r>
        <w:rPr>
          <w:sz w:val="24"/>
          <w:szCs w:val="24"/>
        </w:rPr>
        <w:t>Da der kun foreligger begrænsede oplysninger om brug af darunavir til patienter over 65 år, skal der udvises forsigtighed ved administration af darunavir til ældre patienter, for hvilke der skal tages højde for den højere forekomst af nedsat leverfunktion, samtidige sygdomme og andre behandlinger (se pkt. 4.2 og 5.2).</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Alvorlige hudreaktioner</w:t>
      </w:r>
    </w:p>
    <w:p w:rsidR="00B91372" w:rsidRDefault="00B91372" w:rsidP="00B91372">
      <w:pPr>
        <w:tabs>
          <w:tab w:val="left" w:pos="851"/>
        </w:tabs>
        <w:ind w:left="851"/>
        <w:rPr>
          <w:sz w:val="24"/>
          <w:szCs w:val="24"/>
        </w:rPr>
      </w:pPr>
      <w:r>
        <w:rPr>
          <w:sz w:val="24"/>
          <w:szCs w:val="24"/>
        </w:rPr>
        <w:t>I løbet af det kliniske udviklingsprogram (N=3.063) for darunavir/ritonavir, blev der rapporteret alvorlige hudreaktioner, som kunne være ledsaget af feber og/eller forhøjede aminotransferaser, hos 0,4 % af patienterne. DRESS (hududslæt med eosinofili og systemiske symptomer) og Stevens-Johnsons syndrom er rapporteret i sjældne tilfælde (&lt; 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Udslæt forekom hyppigere hos behandlingserfarne patienter, der blev behandlet med darunavir/ritonavir + raltegravir, end hos patienter, der fik darunavir/ritonavir uden raltegravir eller raltegravir uden darunavir (se pkt. 4.8).</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Darunavir indeholder en sulfonamid-del. Darunavir skal anvendes med forsigtighed hos patienter med kendt sulfonamidallergi.</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Hepatotoksicitet</w:t>
      </w:r>
    </w:p>
    <w:p w:rsidR="00B91372" w:rsidRDefault="00B91372" w:rsidP="00B91372">
      <w:pPr>
        <w:tabs>
          <w:tab w:val="left" w:pos="851"/>
        </w:tabs>
        <w:ind w:left="851"/>
        <w:rPr>
          <w:sz w:val="24"/>
          <w:szCs w:val="24"/>
        </w:rPr>
      </w:pPr>
      <w:r>
        <w:rPr>
          <w:sz w:val="24"/>
          <w:szCs w:val="24"/>
        </w:rPr>
        <w:t>Lægemiddelinduceret hepatitis (f.eks. akut hepatitis, cytolytisk hepatitis) er blevet rapporteret efter anvendelse af darunavir/ritonavir. Under det kliniske udviklingsprogram (N=3.063) rapporteredes hepatitis hos 0,5 % af patienterne, der fik antiretroviral kombinations</w:t>
      </w:r>
      <w:r>
        <w:rPr>
          <w:sz w:val="24"/>
          <w:szCs w:val="24"/>
        </w:rPr>
        <w:softHyphen/>
        <w:t>behandling med darunavir/ritonavir. 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Relevante laboratorieundersøgelser bør udføres før indledning af behandling med darunavir/ritonavir,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darunavir/ritonavir.</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Ved nye tilfælde eller forværring af leverdysfunktion (med klinisk signifikant forhøjelse af leverenzymer og/eller symptomer såsom træthed, appetitløshed, kvalme, gulsot, mørkfarvning af urinen, ømhed over leveren, hepatomegali) hos patienter, der anvender darunavir/ritonavir, bør det overvejes omgående at seponere behandlingen eller indstille den midlertidigt.</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Patienter med co-eksisterende tilstande</w:t>
      </w:r>
    </w:p>
    <w:p w:rsidR="00B91372" w:rsidRDefault="00B91372" w:rsidP="00B91372">
      <w:pPr>
        <w:tabs>
          <w:tab w:val="left" w:pos="851"/>
        </w:tabs>
        <w:ind w:left="851"/>
        <w:rPr>
          <w:sz w:val="24"/>
          <w:szCs w:val="24"/>
        </w:rPr>
      </w:pPr>
    </w:p>
    <w:p w:rsidR="00B91372" w:rsidRDefault="00B91372" w:rsidP="00B91372">
      <w:pPr>
        <w:tabs>
          <w:tab w:val="left" w:pos="851"/>
        </w:tabs>
        <w:ind w:left="851"/>
        <w:rPr>
          <w:i/>
          <w:sz w:val="24"/>
          <w:szCs w:val="24"/>
        </w:rPr>
      </w:pPr>
      <w:r>
        <w:rPr>
          <w:i/>
          <w:sz w:val="24"/>
          <w:szCs w:val="24"/>
        </w:rPr>
        <w:t>Nedsat leverfunktion</w:t>
      </w:r>
    </w:p>
    <w:p w:rsidR="00B91372" w:rsidRDefault="00B91372" w:rsidP="00B91372">
      <w:pPr>
        <w:tabs>
          <w:tab w:val="left" w:pos="851"/>
        </w:tabs>
        <w:ind w:left="851"/>
        <w:rPr>
          <w:sz w:val="24"/>
          <w:szCs w:val="24"/>
        </w:rPr>
      </w:pPr>
      <w:r>
        <w:rPr>
          <w:sz w:val="24"/>
          <w:szCs w:val="24"/>
        </w:rPr>
        <w:t>Sikkerheden og virkningen af darunavir er ikke blevet fastslået hos patienter med alvorlige, underliggende leversygdomme, og darunavir er derfor kontraindiceret til patienter med svært nedsat leverfunktion. På grund af en stigning i plasmakoncentrationen af ubundet darunavir bør darunavir anvendes med forsigtighed hos patienter med let eller moderat nedsat leverfunktion (se pkt. 4.2, 4.3 og 5.2).</w:t>
      </w:r>
    </w:p>
    <w:p w:rsidR="00B91372" w:rsidRDefault="00B91372" w:rsidP="00B91372">
      <w:pPr>
        <w:tabs>
          <w:tab w:val="left" w:pos="851"/>
        </w:tabs>
        <w:ind w:left="851"/>
        <w:rPr>
          <w:i/>
          <w:sz w:val="24"/>
          <w:szCs w:val="24"/>
        </w:rPr>
      </w:pPr>
    </w:p>
    <w:p w:rsidR="00B91372" w:rsidRDefault="00B91372" w:rsidP="00B91372">
      <w:pPr>
        <w:tabs>
          <w:tab w:val="left" w:pos="851"/>
        </w:tabs>
        <w:ind w:left="851"/>
        <w:rPr>
          <w:i/>
          <w:sz w:val="24"/>
          <w:szCs w:val="24"/>
        </w:rPr>
      </w:pPr>
      <w:r>
        <w:rPr>
          <w:i/>
          <w:sz w:val="24"/>
          <w:szCs w:val="24"/>
        </w:rPr>
        <w:t>Nedsat nyrefunktion</w:t>
      </w:r>
    </w:p>
    <w:p w:rsidR="00B91372" w:rsidRDefault="00B91372" w:rsidP="00B91372">
      <w:pPr>
        <w:tabs>
          <w:tab w:val="left" w:pos="851"/>
        </w:tabs>
        <w:ind w:left="851"/>
        <w:rPr>
          <w:sz w:val="24"/>
          <w:szCs w:val="24"/>
        </w:rPr>
      </w:pPr>
      <w:r>
        <w:rPr>
          <w:sz w:val="24"/>
          <w:szCs w:val="24"/>
        </w:rPr>
        <w:t>Der gælder ingen særlige sikkerhedsregler eller dosisjusteringer for patienter med nedsat nyrefunktion. Da darunavir/ritonavir i høj grad binder sig til plasmaproteiner, er det usandsynligt, at disse lægemidler vil blive fjernet i signifikant grad ved hæmodialyse eller peritonealdialyse. Derfor er der ingen særlige sikkerhedsregler eller dosisjusteringer for disse patienter (se pkt. 4.2 og 5.2).</w:t>
      </w:r>
    </w:p>
    <w:p w:rsidR="00B91372" w:rsidRDefault="00B91372" w:rsidP="00B91372">
      <w:pPr>
        <w:tabs>
          <w:tab w:val="left" w:pos="851"/>
        </w:tabs>
        <w:ind w:left="851"/>
        <w:rPr>
          <w:sz w:val="24"/>
          <w:szCs w:val="24"/>
        </w:rPr>
      </w:pPr>
    </w:p>
    <w:p w:rsidR="00B91372" w:rsidRDefault="00B91372" w:rsidP="00B91372">
      <w:pPr>
        <w:tabs>
          <w:tab w:val="left" w:pos="851"/>
        </w:tabs>
        <w:ind w:left="851"/>
        <w:rPr>
          <w:i/>
          <w:sz w:val="24"/>
          <w:szCs w:val="24"/>
        </w:rPr>
      </w:pPr>
      <w:r>
        <w:rPr>
          <w:i/>
          <w:sz w:val="24"/>
          <w:szCs w:val="24"/>
        </w:rPr>
        <w:t>Patienter med hæmofili</w:t>
      </w:r>
    </w:p>
    <w:p w:rsidR="00B91372" w:rsidRDefault="00B91372" w:rsidP="00B91372">
      <w:pPr>
        <w:tabs>
          <w:tab w:val="left" w:pos="851"/>
        </w:tabs>
        <w:ind w:left="851"/>
        <w:rPr>
          <w:sz w:val="24"/>
          <w:szCs w:val="24"/>
        </w:rPr>
      </w:pPr>
      <w:r>
        <w:rPr>
          <w:sz w:val="24"/>
          <w:szCs w:val="24"/>
        </w:rPr>
        <w:t>Der har været rapporter om øget blødningstendens, herunder spontane hudhæmatomer og hæmartrose hos patienter med type A- og B-hæmofili, der behandles med PI’er (proteasehæmmere). Hos nogle patienter blev der givet supplerende faktor VIII. I mere end halvdelen af de rapporterede tilfælde fortsatte behandlingen med PI’er eller blev genoptaget, hvis den havde været afbrudt. En kausal sammenhæng har været foreslået, selvom virkningsmekanismen ikke er blevet belyst. Patienter med hæmofili skal derfor oplyses om muligheden for øget blødningstendens.</w:t>
      </w:r>
    </w:p>
    <w:p w:rsidR="00B91372" w:rsidRDefault="00B91372" w:rsidP="00B91372">
      <w:pPr>
        <w:tabs>
          <w:tab w:val="left" w:pos="851"/>
        </w:tabs>
        <w:ind w:left="851"/>
        <w:rPr>
          <w:sz w:val="24"/>
          <w:szCs w:val="24"/>
        </w:rPr>
      </w:pPr>
    </w:p>
    <w:p w:rsidR="00B91372" w:rsidRDefault="00B91372" w:rsidP="00B91372">
      <w:pPr>
        <w:tabs>
          <w:tab w:val="left" w:pos="851"/>
        </w:tabs>
        <w:ind w:left="851"/>
        <w:rPr>
          <w:i/>
          <w:sz w:val="24"/>
          <w:szCs w:val="24"/>
        </w:rPr>
      </w:pPr>
      <w:r>
        <w:rPr>
          <w:i/>
          <w:sz w:val="24"/>
          <w:szCs w:val="24"/>
        </w:rPr>
        <w:t>Vægt og metaboliske parametre</w:t>
      </w:r>
    </w:p>
    <w:p w:rsidR="00B91372" w:rsidRDefault="00B91372" w:rsidP="00B91372">
      <w:pPr>
        <w:tabs>
          <w:tab w:val="left" w:pos="851"/>
        </w:tabs>
        <w:ind w:left="851"/>
        <w:rPr>
          <w:sz w:val="24"/>
          <w:szCs w:val="24"/>
        </w:rPr>
      </w:pPr>
      <w:r>
        <w:rPr>
          <w:sz w:val="24"/>
          <w:szCs w:val="24"/>
        </w:rPr>
        <w:t xml:space="preserve">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w:t>
      </w:r>
      <w:r w:rsidR="00B64DBB">
        <w:rPr>
          <w:sz w:val="24"/>
          <w:szCs w:val="24"/>
        </w:rPr>
        <w:t>HIV</w:t>
      </w:r>
      <w:r>
        <w:rPr>
          <w:sz w:val="24"/>
          <w:szCs w:val="24"/>
        </w:rPr>
        <w:t>. Tilstande med forhøjet lipid skal behandles som klinisk indiceret.</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Osteonekrose</w:t>
      </w:r>
    </w:p>
    <w:p w:rsidR="00B91372" w:rsidRDefault="00B91372" w:rsidP="00B91372">
      <w:pPr>
        <w:tabs>
          <w:tab w:val="left" w:pos="851"/>
        </w:tabs>
        <w:ind w:left="851"/>
        <w:rPr>
          <w:sz w:val="24"/>
          <w:szCs w:val="24"/>
        </w:rPr>
      </w:pPr>
      <w:r>
        <w:rPr>
          <w:sz w:val="24"/>
          <w:szCs w:val="24"/>
        </w:rPr>
        <w:t xml:space="preserve">Selvom ætiologien anses for at være multifaktoriel (herunder kortikosteroidbehandling, alkoholforbrug, alvorlig immunsuppression, højt BMI), er der rapporteret tilfælde af osteonekrose, især hos patienter med fremskreden </w:t>
      </w:r>
      <w:r w:rsidR="00B64DBB">
        <w:rPr>
          <w:sz w:val="24"/>
          <w:szCs w:val="24"/>
        </w:rPr>
        <w:t>HIV</w:t>
      </w:r>
      <w:r>
        <w:rPr>
          <w:sz w:val="24"/>
          <w:szCs w:val="24"/>
        </w:rPr>
        <w:t>-sygdom og/eller langvarig eksponering for antiretroviral kombinationsbehandling (CART). Patienterne skal rådes til at søge lægelig rådgivning, hvis de oplever ømhed og smerter i led, stivhed i led eller bevægelsesbesvær.</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u w:val="single"/>
        </w:rPr>
      </w:pPr>
      <w:r>
        <w:rPr>
          <w:sz w:val="24"/>
          <w:szCs w:val="24"/>
          <w:u w:val="single"/>
        </w:rPr>
        <w:t>Immunrekonstitutionsinflammatorisk syndrom</w:t>
      </w:r>
    </w:p>
    <w:p w:rsidR="00B91372" w:rsidRDefault="00B91372" w:rsidP="00B91372">
      <w:pPr>
        <w:tabs>
          <w:tab w:val="left" w:pos="851"/>
        </w:tabs>
        <w:ind w:left="851"/>
        <w:rPr>
          <w:sz w:val="24"/>
          <w:szCs w:val="24"/>
        </w:rPr>
      </w:pPr>
      <w:r>
        <w:rPr>
          <w:sz w:val="24"/>
          <w:szCs w:val="24"/>
        </w:rPr>
        <w:t xml:space="preserve">Hos </w:t>
      </w:r>
      <w:r w:rsidR="000B4EE5">
        <w:rPr>
          <w:sz w:val="24"/>
          <w:szCs w:val="24"/>
        </w:rPr>
        <w:t>HIV</w:t>
      </w:r>
      <w:r>
        <w:rPr>
          <w:sz w:val="24"/>
          <w:szCs w:val="24"/>
        </w:rPr>
        <w:t xml:space="preserve">-inficerede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Pr>
          <w:i/>
          <w:sz w:val="24"/>
          <w:szCs w:val="24"/>
        </w:rPr>
        <w:t>Pneumocystis jirovecii</w:t>
      </w:r>
      <w:r>
        <w:rPr>
          <w:sz w:val="24"/>
          <w:szCs w:val="24"/>
        </w:rPr>
        <w:t xml:space="preserve"> (tidligere </w:t>
      </w:r>
      <w:r>
        <w:rPr>
          <w:sz w:val="24"/>
          <w:szCs w:val="24"/>
        </w:rPr>
        <w:lastRenderedPageBreak/>
        <w:t xml:space="preserve">kendt som </w:t>
      </w:r>
      <w:r>
        <w:rPr>
          <w:i/>
          <w:sz w:val="24"/>
          <w:szCs w:val="24"/>
        </w:rPr>
        <w:t>Pneumocystis carinii</w:t>
      </w:r>
      <w:r>
        <w:rPr>
          <w:sz w:val="24"/>
          <w:szCs w:val="24"/>
        </w:rPr>
        <w:t>). Et hvilket som helst inflammatorisk symptom skal vurderes, og behandling påbegyndes ved behov. Derudover er der observeret reaktivering af herpes simplex og herpes zoster i kliniske studier med darunavir, co-administreret med lavdosis ritonavir.</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Autoimmune lidelser (f.eks. Graves sygdom og autoimmun hepatitis) er også set i forbindelse med immunreaktivering. Tiden til udbrud er mere variabel og kan være mange måneder efter initiering af behandling (se pkt. 4.8).</w:t>
      </w:r>
    </w:p>
    <w:p w:rsidR="00B91372" w:rsidRDefault="00B91372" w:rsidP="00B91372">
      <w:pPr>
        <w:tabs>
          <w:tab w:val="left" w:pos="851"/>
        </w:tabs>
        <w:ind w:left="851"/>
        <w:rPr>
          <w:sz w:val="24"/>
          <w:szCs w:val="24"/>
          <w:u w:val="single"/>
        </w:rPr>
      </w:pPr>
    </w:p>
    <w:p w:rsidR="00B91372" w:rsidRDefault="00B91372" w:rsidP="00B91372">
      <w:pPr>
        <w:tabs>
          <w:tab w:val="left" w:pos="851"/>
        </w:tabs>
        <w:ind w:left="851"/>
        <w:rPr>
          <w:sz w:val="24"/>
          <w:szCs w:val="24"/>
          <w:u w:val="single"/>
        </w:rPr>
      </w:pPr>
      <w:r>
        <w:rPr>
          <w:sz w:val="24"/>
          <w:szCs w:val="24"/>
          <w:u w:val="single"/>
        </w:rPr>
        <w:t>Interaktioner med lægemidler</w:t>
      </w:r>
    </w:p>
    <w:p w:rsidR="00B91372" w:rsidRDefault="00B91372" w:rsidP="00B91372">
      <w:pPr>
        <w:tabs>
          <w:tab w:val="left" w:pos="851"/>
        </w:tabs>
        <w:ind w:left="851"/>
        <w:rPr>
          <w:sz w:val="24"/>
          <w:szCs w:val="24"/>
        </w:rPr>
      </w:pPr>
      <w:r>
        <w:rPr>
          <w:sz w:val="24"/>
          <w:szCs w:val="24"/>
        </w:rPr>
        <w:t>Adskillige af interaktionsstudierne er blevet udført med darunavir ved lavere doser end anbefalet. Effekten på co-administreret medicin er derfor muligvis undervurderet, og klinisk sikkerhedsmonitorering kan være indiceret. For fuldstændig information om interaktioner med anden medicin, se pkt. 4.5.</w:t>
      </w:r>
    </w:p>
    <w:p w:rsidR="00B91372" w:rsidRDefault="00B91372" w:rsidP="00B91372">
      <w:pPr>
        <w:tabs>
          <w:tab w:val="left" w:pos="851"/>
        </w:tabs>
        <w:ind w:left="851"/>
        <w:rPr>
          <w:sz w:val="24"/>
          <w:szCs w:val="24"/>
        </w:rPr>
      </w:pPr>
    </w:p>
    <w:p w:rsidR="00B91372" w:rsidRDefault="00B91372" w:rsidP="00B91372">
      <w:pPr>
        <w:tabs>
          <w:tab w:val="left" w:pos="851"/>
        </w:tabs>
        <w:ind w:left="851"/>
        <w:rPr>
          <w:i/>
          <w:sz w:val="24"/>
          <w:szCs w:val="24"/>
        </w:rPr>
      </w:pPr>
      <w:r>
        <w:rPr>
          <w:sz w:val="24"/>
          <w:szCs w:val="24"/>
        </w:rPr>
        <w:t>Efavirenz i kombination med boostet darunavir en gang daglig kan medføre suboptimal darunavir C</w:t>
      </w:r>
      <w:r>
        <w:rPr>
          <w:sz w:val="24"/>
          <w:szCs w:val="24"/>
          <w:vertAlign w:val="subscript"/>
        </w:rPr>
        <w:t>min</w:t>
      </w:r>
      <w:r>
        <w:rPr>
          <w:sz w:val="24"/>
          <w:szCs w:val="24"/>
        </w:rPr>
        <w:t>. Hvis efavirenz skal anvendes i kombination med darunavir, bør der anvendes et regime med darunavir/ritonavir 600/100 mg to gange daglig (se pkt. 4.5).</w:t>
      </w:r>
    </w:p>
    <w:p w:rsidR="00B91372" w:rsidRDefault="00B91372" w:rsidP="00B91372">
      <w:pPr>
        <w:tabs>
          <w:tab w:val="left" w:pos="851"/>
        </w:tabs>
        <w:rPr>
          <w:sz w:val="24"/>
          <w:szCs w:val="24"/>
        </w:rPr>
      </w:pPr>
    </w:p>
    <w:p w:rsidR="00B91372" w:rsidRDefault="00B91372" w:rsidP="00B91372">
      <w:pPr>
        <w:tabs>
          <w:tab w:val="left" w:pos="851"/>
        </w:tabs>
        <w:ind w:left="851"/>
        <w:rPr>
          <w:sz w:val="24"/>
          <w:szCs w:val="24"/>
        </w:rPr>
      </w:pPr>
      <w:r>
        <w:rPr>
          <w:sz w:val="24"/>
          <w:szCs w:val="24"/>
        </w:rPr>
        <w:t>Der er indberettet livstruende og letale lægemiddelinteraktioner hos patienter, der blev behandlet med colchicin og stærke CYP3A- og P-glykoprotein (P-</w:t>
      </w:r>
      <w:proofErr w:type="gramStart"/>
      <w:r>
        <w:rPr>
          <w:sz w:val="24"/>
          <w:szCs w:val="24"/>
        </w:rPr>
        <w:t>gp)-</w:t>
      </w:r>
      <w:proofErr w:type="gramEnd"/>
      <w:r>
        <w:rPr>
          <w:sz w:val="24"/>
          <w:szCs w:val="24"/>
        </w:rPr>
        <w:t>hæmmere (se pkt. 4.3 og 4.5).</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 xml:space="preserve">Darunavir ”STADA” 600 mg filovertrukne tabletter indeholder sunset yellow FCF (E110), som kan give allergiske reaktioner. </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4.5</w:t>
      </w:r>
      <w:r w:rsidRPr="00ED0DE7">
        <w:rPr>
          <w:b/>
          <w:sz w:val="24"/>
          <w:szCs w:val="24"/>
        </w:rPr>
        <w:tab/>
        <w:t>Interaktion med andre lægemidler og andre former for interaktion</w:t>
      </w:r>
    </w:p>
    <w:p w:rsidR="00B91372" w:rsidRDefault="00B91372" w:rsidP="00B91372">
      <w:pPr>
        <w:tabs>
          <w:tab w:val="left" w:pos="851"/>
        </w:tabs>
        <w:ind w:left="851"/>
        <w:rPr>
          <w:sz w:val="24"/>
          <w:szCs w:val="24"/>
        </w:rPr>
      </w:pPr>
      <w:r>
        <w:rPr>
          <w:sz w:val="24"/>
          <w:szCs w:val="24"/>
        </w:rPr>
        <w:t>Interaktionsstudier er kun udført hos voksne.</w:t>
      </w:r>
    </w:p>
    <w:p w:rsidR="00B91372" w:rsidRDefault="00B91372" w:rsidP="00B91372">
      <w:pPr>
        <w:tabs>
          <w:tab w:val="left" w:pos="851"/>
        </w:tabs>
        <w:ind w:left="851"/>
        <w:rPr>
          <w:sz w:val="24"/>
          <w:szCs w:val="24"/>
        </w:rPr>
      </w:pPr>
    </w:p>
    <w:p w:rsidR="00B91372" w:rsidRDefault="00B91372" w:rsidP="00B91372">
      <w:pPr>
        <w:tabs>
          <w:tab w:val="left" w:pos="851"/>
        </w:tabs>
        <w:ind w:left="851"/>
        <w:rPr>
          <w:i/>
          <w:sz w:val="24"/>
          <w:szCs w:val="24"/>
          <w:u w:val="single"/>
        </w:rPr>
      </w:pPr>
      <w:r>
        <w:rPr>
          <w:i/>
          <w:sz w:val="24"/>
          <w:szCs w:val="24"/>
          <w:u w:val="single"/>
        </w:rPr>
        <w:t>Medicinske produkter der kan være påvirket af darunavir boostet med ritonavir</w:t>
      </w:r>
    </w:p>
    <w:p w:rsidR="00B91372" w:rsidRDefault="00B91372" w:rsidP="00B91372">
      <w:pPr>
        <w:tabs>
          <w:tab w:val="left" w:pos="851"/>
        </w:tabs>
        <w:ind w:left="851"/>
        <w:rPr>
          <w:sz w:val="24"/>
          <w:szCs w:val="24"/>
        </w:rPr>
      </w:pPr>
      <w:r>
        <w:rPr>
          <w:sz w:val="24"/>
          <w:szCs w:val="24"/>
        </w:rPr>
        <w:t>Darunavir og ritonavir er hæmmere af CYP3A, CYP2D6 og P-gp. Co-administration af darunavir, ritonavir og med lægemidler, der især metaboliseres af CYP3A og/eller CYP2D6 eller transporteres af Pgp, kan forårsage øget systemisk eksponering for sådanne lægemidler, hvilket kan øge eller forlænge både den terapeutiske virkning og bivirkninger.</w:t>
      </w:r>
    </w:p>
    <w:p w:rsidR="00B91372" w:rsidRDefault="00B91372" w:rsidP="00B91372">
      <w:pPr>
        <w:tabs>
          <w:tab w:val="left" w:pos="851"/>
        </w:tabs>
        <w:ind w:left="851"/>
        <w:rPr>
          <w:sz w:val="24"/>
          <w:szCs w:val="24"/>
        </w:rPr>
      </w:pPr>
    </w:p>
    <w:p w:rsidR="00B64DBB" w:rsidRPr="00D40121" w:rsidRDefault="00B64DBB" w:rsidP="00B64DBB">
      <w:pPr>
        <w:tabs>
          <w:tab w:val="left" w:pos="851"/>
        </w:tabs>
        <w:ind w:left="851"/>
        <w:rPr>
          <w:sz w:val="24"/>
          <w:szCs w:val="24"/>
        </w:rPr>
      </w:pPr>
      <w:r w:rsidRPr="00D40121">
        <w:rPr>
          <w:sz w:val="24"/>
          <w:szCs w:val="24"/>
        </w:rPr>
        <w:t>Co-administration a</w:t>
      </w:r>
      <w:r w:rsidRPr="00F60F22">
        <w:rPr>
          <w:sz w:val="24"/>
          <w:szCs w:val="24"/>
        </w:rPr>
        <w:t>f darunavir/</w:t>
      </w:r>
      <w:r w:rsidRPr="004623FF">
        <w:rPr>
          <w:sz w:val="24"/>
          <w:szCs w:val="24"/>
        </w:rPr>
        <w:t xml:space="preserve">ritonavir med </w:t>
      </w:r>
      <w:r>
        <w:rPr>
          <w:sz w:val="24"/>
          <w:szCs w:val="24"/>
        </w:rPr>
        <w:t xml:space="preserve">andre </w:t>
      </w:r>
      <w:r w:rsidRPr="004623FF">
        <w:rPr>
          <w:sz w:val="24"/>
          <w:szCs w:val="24"/>
        </w:rPr>
        <w:t>lægemidle</w:t>
      </w:r>
      <w:r>
        <w:rPr>
          <w:sz w:val="24"/>
          <w:szCs w:val="24"/>
        </w:rPr>
        <w:t>r, der har aktive metabolitter dannet af CYP3A, kan medføre reducerede plasmakoncentrationer af disse aktive metabolitter, hvilket potentielt kan føre til tab af deres terapeutiske virkning (se interaktionstabellen nedenfor).</w:t>
      </w:r>
    </w:p>
    <w:p w:rsidR="00B64DBB" w:rsidRDefault="00B64DBB"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Den samlede farmakokinetiske, forstærkende effekt af ritonavir medførte en stigning på ca. 14 gange i den systemiske eksponering for darunavir ved administration af en oral enkeltdosis darunavir på 600 mg i kombination med ritonavir 100 mg to gange daglig. Derfor bør Darunavir "STADA" kun anvendes i kombination med lavdosis ritonavir som en farmakokinetisk forstærker (se pkt. 4.4 og 5.2).</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lastRenderedPageBreak/>
        <w:t>Et klinisk studie, hvor der anvendtes flere forskellige lægemidler, der metaboliseres af cytochrom, CYP2C9, CYP2C19 og CYP2D6, viste en stigning i CYP2C9- og CYP2C19-aktiviteten og en hæmning af CYP2D6-aktiviteten ved tilstedeværelse af darunavir/ritonavir.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med lægemidler, som primært metaboliseres af CYP2C9 (såsom warfarin) og CYP2C19 (såsom methadon) kan resultere i nedsat systemisk eksponering af disse lægemidler, hvilket kan nedsætte eller forkorte deres terapeutiske effekt.</w:t>
      </w:r>
    </w:p>
    <w:p w:rsidR="00B91372"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 xml:space="preserve">Selvom effekten på CYP2C8 kun er blevet undersøgt </w:t>
      </w:r>
      <w:r>
        <w:rPr>
          <w:i/>
          <w:sz w:val="24"/>
          <w:szCs w:val="24"/>
        </w:rPr>
        <w:t>in vitro</w:t>
      </w:r>
      <w:r>
        <w:rPr>
          <w:sz w:val="24"/>
          <w:szCs w:val="24"/>
        </w:rPr>
        <w:t>,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B91372" w:rsidRDefault="00B91372" w:rsidP="00B91372">
      <w:pPr>
        <w:tabs>
          <w:tab w:val="left" w:pos="851"/>
        </w:tabs>
        <w:ind w:left="851"/>
        <w:rPr>
          <w:sz w:val="24"/>
          <w:szCs w:val="24"/>
        </w:rPr>
      </w:pPr>
    </w:p>
    <w:p w:rsidR="00B91372" w:rsidRDefault="00B91372" w:rsidP="00B913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r>
        <w:rPr>
          <w:color w:val="222222"/>
          <w:sz w:val="24"/>
          <w:szCs w:val="24"/>
          <w:lang w:eastAsia="da-DK"/>
        </w:rPr>
        <w:t>Ritonavir hæmmer transportørerne P-glycoprotein, OATP1B1 og OATP1B3 og samtidig administration af lægemidler der er substrater for disse transportører kan resultere i øgede plasmakoncentrationer af disse lægemidler (Fx dabigatranethexilat, digoxin, statiner og bosentan, se Interaktionstabel nedenfor).</w:t>
      </w:r>
    </w:p>
    <w:p w:rsidR="00B91372" w:rsidRDefault="00B91372" w:rsidP="00B91372">
      <w:pPr>
        <w:tabs>
          <w:tab w:val="left" w:pos="851"/>
        </w:tabs>
        <w:ind w:left="851"/>
        <w:rPr>
          <w:sz w:val="24"/>
          <w:szCs w:val="24"/>
        </w:rPr>
      </w:pPr>
    </w:p>
    <w:p w:rsidR="00B91372" w:rsidRDefault="00B91372" w:rsidP="00B91372">
      <w:pPr>
        <w:tabs>
          <w:tab w:val="left" w:pos="851"/>
        </w:tabs>
        <w:ind w:left="851"/>
        <w:rPr>
          <w:i/>
          <w:sz w:val="24"/>
          <w:szCs w:val="24"/>
        </w:rPr>
      </w:pPr>
      <w:r>
        <w:rPr>
          <w:i/>
          <w:sz w:val="24"/>
          <w:szCs w:val="24"/>
        </w:rPr>
        <w:t>Lægemidler, der påvirker eksponeringen for darunavir/ritonavir</w:t>
      </w:r>
    </w:p>
    <w:p w:rsidR="00B91372" w:rsidRDefault="00B91372" w:rsidP="00B91372">
      <w:pPr>
        <w:tabs>
          <w:tab w:val="left" w:pos="851"/>
        </w:tabs>
        <w:ind w:left="851"/>
        <w:rPr>
          <w:sz w:val="24"/>
          <w:szCs w:val="24"/>
        </w:rPr>
      </w:pPr>
      <w:r>
        <w:rPr>
          <w:sz w:val="24"/>
          <w:szCs w:val="24"/>
        </w:rPr>
        <w:t>Darunavir og ritonavir metaboliseres via CYP3A. Lægemidler, der inducerer CYP3A-aktivitet, ville forventes at øge clearance af darunavir og ritonavir, hvilket medfører en lavere plasmakoncentration af darunavir og ritonavir (f.eks. rifampicin, perikon, lopinavir). Co-administration af darunavir og ritonavir og andre lægemidler, der hæmmer CYP3A, kan nedsætte clearance af darunavir og ritonavir og kan medføre øgede plasma</w:t>
      </w:r>
      <w:r>
        <w:rPr>
          <w:sz w:val="24"/>
          <w:szCs w:val="24"/>
        </w:rPr>
        <w:softHyphen/>
        <w:t>koncentrationer af darunavir og ritonavir (f.eks. indinavir, azoler (antimykotika) såsom clotrimazol). Disse interaktioner er beskrevet i interaktionstabellen nedenfor.</w:t>
      </w:r>
    </w:p>
    <w:p w:rsidR="00B91372" w:rsidRDefault="00B91372" w:rsidP="00B91372">
      <w:pPr>
        <w:tabs>
          <w:tab w:val="left" w:pos="851"/>
        </w:tabs>
        <w:ind w:left="851"/>
        <w:rPr>
          <w:sz w:val="24"/>
          <w:szCs w:val="24"/>
        </w:rPr>
      </w:pPr>
    </w:p>
    <w:p w:rsidR="00B64DBB" w:rsidRDefault="00B64DBB" w:rsidP="00B64DBB">
      <w:pPr>
        <w:tabs>
          <w:tab w:val="left" w:pos="851"/>
        </w:tabs>
        <w:ind w:left="851"/>
        <w:rPr>
          <w:sz w:val="24"/>
          <w:szCs w:val="24"/>
          <w:u w:val="single"/>
        </w:rPr>
      </w:pPr>
      <w:r>
        <w:rPr>
          <w:sz w:val="24"/>
          <w:szCs w:val="24"/>
          <w:u w:val="single"/>
        </w:rPr>
        <w:t>Interaktionstabel</w:t>
      </w:r>
    </w:p>
    <w:p w:rsidR="00B64DBB" w:rsidRDefault="00B64DBB" w:rsidP="00B64DBB">
      <w:pPr>
        <w:tabs>
          <w:tab w:val="left" w:pos="851"/>
        </w:tabs>
        <w:ind w:left="851"/>
        <w:rPr>
          <w:sz w:val="24"/>
          <w:szCs w:val="24"/>
        </w:rPr>
      </w:pPr>
      <w:r>
        <w:rPr>
          <w:sz w:val="24"/>
          <w:szCs w:val="24"/>
        </w:rPr>
        <w:t>Interaktioner mellem darunavir/ritonavir og antiretrovirale midler og non-antiretrovirale lægemidler er opført i tabellen nedenfor. Retningen af pilen ud for hver farmakokinetisk parameter er baseret på 90 % konfidensintervallet for den geometriske middelværdi værende inden for (↔), under (↓) eller over (↑) 80-125 % intervallet</w:t>
      </w:r>
      <w:r w:rsidRPr="00C36920">
        <w:rPr>
          <w:sz w:val="24"/>
          <w:szCs w:val="24"/>
        </w:rPr>
        <w:t xml:space="preserve"> </w:t>
      </w:r>
      <w:r>
        <w:rPr>
          <w:sz w:val="24"/>
          <w:szCs w:val="24"/>
        </w:rPr>
        <w:t>(ikke fastsat (not determined) som "ND").</w:t>
      </w:r>
    </w:p>
    <w:p w:rsidR="00B64DBB" w:rsidRDefault="00B64DBB" w:rsidP="00B64DBB">
      <w:pPr>
        <w:tabs>
          <w:tab w:val="left" w:pos="851"/>
        </w:tabs>
        <w:ind w:left="851"/>
        <w:rPr>
          <w:sz w:val="24"/>
          <w:szCs w:val="24"/>
        </w:rPr>
      </w:pPr>
    </w:p>
    <w:p w:rsidR="00B64DBB" w:rsidRDefault="00B64DBB" w:rsidP="00B64DBB">
      <w:pPr>
        <w:tabs>
          <w:tab w:val="left" w:pos="851"/>
        </w:tabs>
        <w:ind w:left="851"/>
        <w:rPr>
          <w:sz w:val="24"/>
          <w:szCs w:val="24"/>
        </w:rPr>
      </w:pPr>
      <w:r>
        <w:rPr>
          <w:sz w:val="24"/>
          <w:szCs w:val="24"/>
        </w:rPr>
        <w:t>Adskillige af interaktionsstudierne (markeret med # i tabellen nedenfor) er gennemført med doser af darunavir, der er lavere end den anbefalede dosis, eller med et andet doseringsregime (se pkt. 4.2). Virkningen på co-administrerede lægemidler kan således være undervurderet, og klinisk monitorering af sikkerhed kan være indiceret.</w:t>
      </w:r>
    </w:p>
    <w:p w:rsidR="00B64DBB" w:rsidRDefault="00B64DBB" w:rsidP="00B64DBB">
      <w:pPr>
        <w:tabs>
          <w:tab w:val="left" w:pos="851"/>
        </w:tabs>
        <w:ind w:left="851"/>
        <w:rPr>
          <w:sz w:val="24"/>
          <w:szCs w:val="24"/>
        </w:rPr>
      </w:pPr>
    </w:p>
    <w:p w:rsidR="00B64DBB" w:rsidRPr="004623FF" w:rsidRDefault="00B64DBB" w:rsidP="00B64DBB">
      <w:pPr>
        <w:tabs>
          <w:tab w:val="left" w:pos="851"/>
        </w:tabs>
        <w:ind w:left="851"/>
        <w:rPr>
          <w:sz w:val="24"/>
          <w:szCs w:val="24"/>
        </w:rPr>
      </w:pPr>
      <w:r w:rsidRPr="00C8235A">
        <w:rPr>
          <w:sz w:val="24"/>
          <w:szCs w:val="24"/>
        </w:rPr>
        <w:t>Listen nedenfor med eksempler på lægemiddelinteraktioner er ikke fyldestgørende. Derfor skal</w:t>
      </w:r>
      <w:r>
        <w:rPr>
          <w:sz w:val="24"/>
          <w:szCs w:val="24"/>
        </w:rPr>
        <w:t xml:space="preserve"> </w:t>
      </w:r>
      <w:r w:rsidRPr="00C8235A">
        <w:rPr>
          <w:sz w:val="24"/>
          <w:szCs w:val="24"/>
        </w:rPr>
        <w:t xml:space="preserve">mærkningen af hvert lægemiddel, som administreres sammen med </w:t>
      </w:r>
      <w:r w:rsidRPr="004623FF">
        <w:rPr>
          <w:sz w:val="24"/>
          <w:szCs w:val="24"/>
        </w:rPr>
        <w:t>da</w:t>
      </w:r>
      <w:r>
        <w:rPr>
          <w:sz w:val="24"/>
          <w:szCs w:val="24"/>
        </w:rPr>
        <w:t>runavir</w:t>
      </w:r>
      <w:r w:rsidRPr="00C8235A">
        <w:rPr>
          <w:sz w:val="24"/>
          <w:szCs w:val="24"/>
        </w:rPr>
        <w:t>, gennemgås for</w:t>
      </w:r>
      <w:r>
        <w:rPr>
          <w:sz w:val="24"/>
          <w:szCs w:val="24"/>
        </w:rPr>
        <w:t xml:space="preserve"> </w:t>
      </w:r>
      <w:r w:rsidRPr="00C8235A">
        <w:rPr>
          <w:sz w:val="24"/>
          <w:szCs w:val="24"/>
        </w:rPr>
        <w:t>information rel</w:t>
      </w:r>
      <w:r w:rsidRPr="004623FF">
        <w:rPr>
          <w:sz w:val="24"/>
          <w:szCs w:val="24"/>
        </w:rPr>
        <w:t>a</w:t>
      </w:r>
      <w:r w:rsidRPr="00C8235A">
        <w:rPr>
          <w:sz w:val="24"/>
          <w:szCs w:val="24"/>
        </w:rPr>
        <w:t>teret til metabolismevejen, interaktionsmekanismerne, potentielle riscici og konkrete</w:t>
      </w:r>
      <w:r w:rsidRPr="004623FF">
        <w:rPr>
          <w:sz w:val="24"/>
          <w:szCs w:val="24"/>
        </w:rPr>
        <w:t xml:space="preserve"> </w:t>
      </w:r>
      <w:r w:rsidRPr="00C8235A">
        <w:rPr>
          <w:sz w:val="24"/>
          <w:szCs w:val="24"/>
        </w:rPr>
        <w:t>forholdsregler, som skal tages i forbindelse med co-administration.</w:t>
      </w:r>
    </w:p>
    <w:p w:rsidR="00603CB3" w:rsidRDefault="00603CB3" w:rsidP="00603CB3">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2519"/>
        <w:gridCol w:w="48"/>
        <w:gridCol w:w="3722"/>
        <w:gridCol w:w="54"/>
        <w:gridCol w:w="25"/>
        <w:gridCol w:w="3187"/>
        <w:gridCol w:w="73"/>
      </w:tblGrid>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br w:type="page"/>
            </w:r>
            <w:r w:rsidRPr="00A22D75">
              <w:rPr>
                <w:b/>
                <w:bCs/>
                <w:sz w:val="22"/>
                <w:szCs w:val="22"/>
              </w:rPr>
              <w:t>INTERAKTIONER OG DOSISANBEFALINGER MED ANDRE LÆGEMIDLER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0B4EE5" w:rsidP="00603CB3">
            <w:pPr>
              <w:ind w:left="137" w:right="56"/>
              <w:rPr>
                <w:sz w:val="22"/>
                <w:szCs w:val="22"/>
              </w:rPr>
            </w:pPr>
            <w:r>
              <w:rPr>
                <w:b/>
                <w:bCs/>
                <w:sz w:val="22"/>
                <w:szCs w:val="22"/>
              </w:rPr>
              <w:lastRenderedPageBreak/>
              <w:t>Eksempler på l</w:t>
            </w:r>
            <w:r w:rsidR="00603CB3" w:rsidRPr="00A22D75">
              <w:rPr>
                <w:b/>
                <w:bCs/>
                <w:sz w:val="22"/>
                <w:szCs w:val="22"/>
              </w:rPr>
              <w:t>ægemidler efter terapeutisk område</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b/>
                <w:bCs/>
                <w:sz w:val="22"/>
                <w:szCs w:val="22"/>
              </w:rPr>
            </w:pPr>
            <w:r w:rsidRPr="00A22D75">
              <w:rPr>
                <w:b/>
                <w:bCs/>
                <w:sz w:val="22"/>
                <w:szCs w:val="22"/>
              </w:rPr>
              <w:t>Interaktioner</w:t>
            </w:r>
          </w:p>
          <w:p w:rsidR="00603CB3" w:rsidRPr="00A22D75" w:rsidRDefault="00603CB3" w:rsidP="00603CB3">
            <w:pPr>
              <w:ind w:left="137" w:right="56"/>
              <w:rPr>
                <w:sz w:val="22"/>
                <w:szCs w:val="22"/>
              </w:rPr>
            </w:pPr>
            <w:r w:rsidRPr="00A22D75">
              <w:rPr>
                <w:b/>
                <w:bCs/>
                <w:sz w:val="22"/>
                <w:szCs w:val="22"/>
              </w:rPr>
              <w:t>Geometrisk middelændring</w:t>
            </w:r>
            <w:r w:rsidRPr="00A22D75">
              <w:rPr>
                <w:b/>
                <w:bCs/>
                <w:spacing w:val="-6"/>
                <w:sz w:val="22"/>
                <w:szCs w:val="22"/>
              </w:rPr>
              <w:t xml:space="preserve"> </w:t>
            </w:r>
            <w:r w:rsidRPr="00A22D75">
              <w:rPr>
                <w:b/>
                <w:bCs/>
                <w:sz w:val="22"/>
                <w:szCs w:val="22"/>
              </w:rPr>
              <w: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Anbefalinger vedrørende co-administration</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ANTIRETROVIRALE MIDLER MOD HIV</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i/>
                <w:sz w:val="22"/>
                <w:szCs w:val="22"/>
              </w:rPr>
              <w:t>Integrasehæmmere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Dolutegravir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815FE0" w:rsidRDefault="00603CB3" w:rsidP="00603CB3">
            <w:pPr>
              <w:ind w:left="137" w:right="56"/>
              <w:rPr>
                <w:sz w:val="22"/>
                <w:szCs w:val="22"/>
                <w:lang w:val="en-US"/>
              </w:rPr>
            </w:pPr>
            <w:r w:rsidRPr="00815FE0">
              <w:rPr>
                <w:sz w:val="22"/>
                <w:szCs w:val="22"/>
                <w:lang w:val="en-US"/>
              </w:rPr>
              <w:t>dolutegravir</w:t>
            </w:r>
            <w:r w:rsidRPr="00815FE0">
              <w:rPr>
                <w:spacing w:val="-10"/>
                <w:sz w:val="22"/>
                <w:szCs w:val="22"/>
                <w:lang w:val="en-US"/>
              </w:rPr>
              <w:t xml:space="preserve"> </w:t>
            </w:r>
            <w:r w:rsidRPr="00815FE0">
              <w:rPr>
                <w:sz w:val="22"/>
                <w:szCs w:val="22"/>
                <w:lang w:val="en-US"/>
              </w:rPr>
              <w:t>AUC</w:t>
            </w:r>
            <w:r w:rsidRPr="00815FE0">
              <w:rPr>
                <w:spacing w:val="-1"/>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22 %</w:t>
            </w:r>
          </w:p>
          <w:p w:rsidR="00603CB3" w:rsidRPr="00815FE0" w:rsidRDefault="00603CB3" w:rsidP="00603CB3">
            <w:pPr>
              <w:ind w:left="137" w:right="56"/>
              <w:rPr>
                <w:spacing w:val="1"/>
                <w:sz w:val="22"/>
                <w:szCs w:val="22"/>
                <w:lang w:val="en-US"/>
              </w:rPr>
            </w:pPr>
            <w:r w:rsidRPr="00815FE0">
              <w:rPr>
                <w:sz w:val="22"/>
                <w:szCs w:val="22"/>
                <w:lang w:val="en-US"/>
              </w:rPr>
              <w:t>dolutegravir</w:t>
            </w:r>
            <w:r w:rsidRPr="00815FE0">
              <w:rPr>
                <w:spacing w:val="-10"/>
                <w:sz w:val="22"/>
                <w:szCs w:val="22"/>
                <w:lang w:val="en-US"/>
              </w:rPr>
              <w:t xml:space="preserve"> </w:t>
            </w:r>
            <w:r w:rsidRPr="00815FE0">
              <w:rPr>
                <w:spacing w:val="-1"/>
                <w:sz w:val="22"/>
                <w:szCs w:val="22"/>
                <w:lang w:val="en-US"/>
              </w:rPr>
              <w:t>C</w:t>
            </w:r>
            <w:r w:rsidRPr="00815FE0">
              <w:rPr>
                <w:spacing w:val="-1"/>
                <w:sz w:val="22"/>
                <w:szCs w:val="22"/>
                <w:vertAlign w:val="subscript"/>
                <w:lang w:val="en-US"/>
              </w:rPr>
              <w:t>24t</w:t>
            </w:r>
            <w:r w:rsidRPr="00815FE0">
              <w:rPr>
                <w:spacing w:val="14"/>
                <w:position w:val="-3"/>
                <w:sz w:val="22"/>
                <w:szCs w:val="22"/>
                <w:lang w:val="en-US"/>
              </w:rPr>
              <w:t xml:space="preserve"> </w:t>
            </w:r>
            <w:r w:rsidRPr="00815FE0">
              <w:rPr>
                <w:spacing w:val="1"/>
                <w:sz w:val="22"/>
                <w:szCs w:val="22"/>
                <w:lang w:val="en-US"/>
              </w:rPr>
              <w:t xml:space="preserve">38 % </w:t>
            </w:r>
          </w:p>
          <w:p w:rsidR="00603CB3" w:rsidRPr="00815FE0" w:rsidRDefault="00603CB3" w:rsidP="00603CB3">
            <w:pPr>
              <w:ind w:left="137" w:right="56"/>
              <w:rPr>
                <w:sz w:val="22"/>
                <w:szCs w:val="22"/>
                <w:lang w:val="en-US"/>
              </w:rPr>
            </w:pPr>
            <w:r w:rsidRPr="00815FE0">
              <w:rPr>
                <w:sz w:val="22"/>
                <w:szCs w:val="22"/>
                <w:lang w:val="en-US"/>
              </w:rPr>
              <w:t>dolutegravir</w:t>
            </w:r>
            <w:r w:rsidRPr="00815FE0">
              <w:rPr>
                <w:spacing w:val="-9"/>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 xml:space="preserve">11 % </w:t>
            </w:r>
          </w:p>
          <w:p w:rsidR="00603CB3" w:rsidRPr="00A22D75" w:rsidRDefault="00603CB3" w:rsidP="00603CB3">
            <w:pPr>
              <w:ind w:left="137" w:right="56"/>
              <w:rPr>
                <w:sz w:val="22"/>
                <w:szCs w:val="22"/>
              </w:rPr>
            </w:pPr>
            <w:r w:rsidRPr="00A22D75">
              <w:rPr>
                <w:sz w:val="22"/>
                <w:szCs w:val="22"/>
              </w:rPr>
              <w:t>darunavir</w:t>
            </w:r>
            <w:r w:rsidRPr="00A22D75">
              <w:rPr>
                <w:spacing w:val="-7"/>
                <w:sz w:val="22"/>
                <w:szCs w:val="22"/>
              </w:rPr>
              <w:t xml:space="preserve"> </w:t>
            </w:r>
            <w:r w:rsidRPr="00A22D75">
              <w:rPr>
                <w:spacing w:val="2"/>
                <w:sz w:val="22"/>
                <w:szCs w:val="22"/>
              </w:rPr>
              <w:t>↔*</w:t>
            </w:r>
          </w:p>
          <w:p w:rsidR="00603CB3" w:rsidRPr="00A22D75" w:rsidRDefault="00603CB3" w:rsidP="00603CB3">
            <w:pPr>
              <w:ind w:left="137" w:right="56"/>
              <w:rPr>
                <w:spacing w:val="2"/>
                <w:sz w:val="22"/>
                <w:szCs w:val="22"/>
              </w:rPr>
            </w:pPr>
            <w:r w:rsidRPr="00A22D75">
              <w:rPr>
                <w:sz w:val="22"/>
                <w:szCs w:val="22"/>
              </w:rPr>
              <w:t xml:space="preserve">* </w:t>
            </w:r>
            <w:r w:rsidRPr="004623FF">
              <w:rPr>
                <w:sz w:val="22"/>
                <w:szCs w:val="22"/>
              </w:rPr>
              <w:t>Ved brug af historisk farmakokinetisk data på tværs af studier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i/>
                <w:sz w:val="22"/>
                <w:szCs w:val="22"/>
              </w:rPr>
            </w:pPr>
            <w:r w:rsidRPr="00A22D75">
              <w:rPr>
                <w:sz w:val="22"/>
                <w:szCs w:val="22"/>
              </w:rPr>
              <w:t>Darunavir co-administreret med lavdosis ritonavir og dolutegravir kan bruges uden dosisjustering</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Raltegravir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Nogle kliniske studier tyder på, at raltegravir kan forårsage et beskedent fald i darunavirs plasmakoncentration.</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pacing w:val="-4"/>
                <w:sz w:val="22"/>
                <w:szCs w:val="22"/>
              </w:rPr>
            </w:pPr>
            <w:r w:rsidRPr="00A22D75">
              <w:rPr>
                <w:spacing w:val="-4"/>
                <w:sz w:val="22"/>
                <w:szCs w:val="22"/>
              </w:rPr>
              <w:t>Aktuelt synes raltegravirs påvirkning af darunavirs plasmakoncentration ikke at være klinisk relevant. Darunavir kan administreres sammen med lavdosis ritonavir og raltegravir uden dosisjusteringer.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i/>
                <w:sz w:val="22"/>
                <w:szCs w:val="22"/>
              </w:rPr>
              <w:t>Nuklosid-revers-transkriptase-hæmmere</w:t>
            </w:r>
            <w:r w:rsidRPr="00A22D75">
              <w:rPr>
                <w:b/>
                <w:bCs/>
                <w:i/>
                <w:spacing w:val="-8"/>
                <w:sz w:val="22"/>
                <w:szCs w:val="22"/>
              </w:rPr>
              <w:t xml:space="preserve"> </w:t>
            </w:r>
            <w:r w:rsidRPr="00A22D75">
              <w:rPr>
                <w:b/>
                <w:bCs/>
                <w:i/>
                <w:sz w:val="22"/>
                <w:szCs w:val="22"/>
              </w:rPr>
              <w:t>(NRTI’er)</w:t>
            </w:r>
          </w:p>
        </w:tc>
      </w:tr>
      <w:tr w:rsidR="00603CB3" w:rsidRPr="001054C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Didanosin</w:t>
            </w:r>
          </w:p>
          <w:p w:rsidR="00603CB3" w:rsidRPr="00A22D75" w:rsidRDefault="00603CB3" w:rsidP="00603CB3">
            <w:pPr>
              <w:ind w:left="137" w:right="56"/>
              <w:rPr>
                <w:sz w:val="22"/>
                <w:szCs w:val="22"/>
              </w:rPr>
            </w:pPr>
            <w:r w:rsidRPr="00A22D75">
              <w:rPr>
                <w:spacing w:val="1"/>
                <w:sz w:val="22"/>
                <w:szCs w:val="22"/>
              </w:rPr>
              <w:t>40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4"/>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lang w:val="en-US"/>
              </w:rPr>
            </w:pPr>
            <w:r w:rsidRPr="00A22D75">
              <w:rPr>
                <w:sz w:val="22"/>
                <w:szCs w:val="22"/>
                <w:lang w:val="en-US"/>
              </w:rPr>
              <w:t>didanosin</w:t>
            </w:r>
            <w:r w:rsidRPr="00A22D75">
              <w:rPr>
                <w:spacing w:val="-9"/>
                <w:sz w:val="22"/>
                <w:szCs w:val="22"/>
                <w:lang w:val="en-US"/>
              </w:rPr>
              <w:t xml:space="preserve"> </w:t>
            </w:r>
            <w:r w:rsidRPr="00A22D75">
              <w:rPr>
                <w:sz w:val="22"/>
                <w:szCs w:val="22"/>
                <w:lang w:val="en-US"/>
              </w:rPr>
              <w:t>AUC</w:t>
            </w:r>
            <w:r w:rsidRPr="00A22D75">
              <w:rPr>
                <w:spacing w:val="-1"/>
                <w:sz w:val="22"/>
                <w:szCs w:val="22"/>
                <w:lang w:val="en-US"/>
              </w:rPr>
              <w:t xml:space="preserve"> </w:t>
            </w:r>
            <w:r w:rsidRPr="00A22D75">
              <w:rPr>
                <w:sz w:val="22"/>
                <w:szCs w:val="22"/>
                <w:lang w:val="en-US"/>
              </w:rPr>
              <w:t>↓</w:t>
            </w:r>
            <w:r w:rsidRPr="00A22D75">
              <w:rPr>
                <w:spacing w:val="-2"/>
                <w:sz w:val="22"/>
                <w:szCs w:val="22"/>
                <w:lang w:val="en-US"/>
              </w:rPr>
              <w:t xml:space="preserve"> </w:t>
            </w:r>
            <w:r w:rsidRPr="00A22D75">
              <w:rPr>
                <w:spacing w:val="-1"/>
                <w:sz w:val="22"/>
                <w:szCs w:val="22"/>
                <w:lang w:val="en-US"/>
              </w:rPr>
              <w:t>9 %</w:t>
            </w:r>
          </w:p>
          <w:p w:rsidR="00603CB3" w:rsidRPr="00A22D75" w:rsidRDefault="00603CB3" w:rsidP="00603CB3">
            <w:pPr>
              <w:ind w:left="137" w:right="56"/>
              <w:rPr>
                <w:sz w:val="22"/>
                <w:szCs w:val="22"/>
                <w:lang w:val="en-US"/>
              </w:rPr>
            </w:pPr>
            <w:r w:rsidRPr="00A22D75">
              <w:rPr>
                <w:sz w:val="22"/>
                <w:szCs w:val="22"/>
                <w:lang w:val="en-US"/>
              </w:rPr>
              <w:t>didanosin</w:t>
            </w:r>
            <w:r w:rsidRPr="00A22D75">
              <w:rPr>
                <w:spacing w:val="-9"/>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4"/>
                <w:position w:val="-3"/>
                <w:sz w:val="22"/>
                <w:szCs w:val="22"/>
                <w:lang w:val="en-US"/>
              </w:rPr>
              <w:t xml:space="preserve"> </w:t>
            </w:r>
            <w:r w:rsidRPr="00A22D75">
              <w:rPr>
                <w:sz w:val="22"/>
                <w:szCs w:val="22"/>
                <w:lang w:val="en-US"/>
              </w:rPr>
              <w:t xml:space="preserve">ND </w:t>
            </w:r>
          </w:p>
          <w:p w:rsidR="00603CB3" w:rsidRPr="00A22D75" w:rsidRDefault="00603CB3" w:rsidP="00603CB3">
            <w:pPr>
              <w:ind w:left="137" w:right="56"/>
              <w:rPr>
                <w:sz w:val="22"/>
                <w:szCs w:val="22"/>
                <w:lang w:val="en-US"/>
              </w:rPr>
            </w:pPr>
            <w:r w:rsidRPr="00A22D75">
              <w:rPr>
                <w:sz w:val="22"/>
                <w:szCs w:val="22"/>
                <w:lang w:val="en-US"/>
              </w:rPr>
              <w:t>didanosin</w:t>
            </w:r>
            <w:r w:rsidRPr="00A22D75">
              <w:rPr>
                <w:spacing w:val="-8"/>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 xml:space="preserve">16 % </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8"/>
                <w:sz w:val="22"/>
                <w:szCs w:val="22"/>
                <w:lang w:val="en-US"/>
              </w:rPr>
              <w:t xml:space="preserve"> </w:t>
            </w:r>
            <w:r w:rsidRPr="00A22D75">
              <w:rPr>
                <w:sz w:val="22"/>
                <w:szCs w:val="22"/>
                <w:lang w:val="en-US"/>
              </w:rPr>
              <w:t>AUC</w:t>
            </w:r>
            <w:r w:rsidRPr="00A22D75">
              <w:rPr>
                <w:spacing w:val="-3"/>
                <w:sz w:val="22"/>
                <w:szCs w:val="22"/>
                <w:lang w:val="en-US"/>
              </w:rPr>
              <w:t xml:space="preserve"> </w:t>
            </w:r>
            <w:r w:rsidRPr="00A22D75">
              <w:rPr>
                <w:sz w:val="22"/>
                <w:szCs w:val="22"/>
                <w:lang w:val="en-US"/>
              </w:rPr>
              <w:t xml:space="preserve">↔ </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7"/>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4"/>
                <w:position w:val="-3"/>
                <w:sz w:val="22"/>
                <w:szCs w:val="22"/>
                <w:lang w:val="en-US"/>
              </w:rPr>
              <w:t xml:space="preserve"> </w:t>
            </w:r>
            <w:r w:rsidRPr="00A22D75">
              <w:rPr>
                <w:sz w:val="22"/>
                <w:szCs w:val="22"/>
                <w:lang w:val="en-US"/>
              </w:rPr>
              <w:t xml:space="preserve">↔ </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8"/>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4"/>
                <w:position w:val="-3"/>
                <w:sz w:val="22"/>
                <w:szCs w:val="22"/>
                <w:lang w:val="en-US"/>
              </w:rPr>
              <w:t xml:space="preserve"> </w:t>
            </w:r>
            <w:r w:rsidRPr="00A22D75">
              <w:rPr>
                <w:sz w:val="22"/>
                <w:szCs w:val="22"/>
                <w:lang w:val="en-US"/>
              </w:rPr>
              <w: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815FE0" w:rsidRDefault="00603CB3" w:rsidP="00603CB3">
            <w:pPr>
              <w:ind w:left="137" w:right="56"/>
              <w:rPr>
                <w:sz w:val="22"/>
                <w:szCs w:val="22"/>
              </w:rPr>
            </w:pPr>
            <w:r w:rsidRPr="00815FE0">
              <w:rPr>
                <w:sz w:val="22"/>
                <w:szCs w:val="22"/>
              </w:rPr>
              <w:t xml:space="preserve">Darunavir kan administreres sammen med lavdosis ritonavir og didanosin uden dosisjusteringer. </w:t>
            </w:r>
          </w:p>
          <w:p w:rsidR="00603CB3" w:rsidRPr="00815FE0" w:rsidRDefault="00603CB3" w:rsidP="00603CB3">
            <w:pPr>
              <w:ind w:left="137" w:right="56"/>
              <w:rPr>
                <w:sz w:val="22"/>
                <w:szCs w:val="22"/>
              </w:rPr>
            </w:pPr>
            <w:r w:rsidRPr="00815FE0">
              <w:rPr>
                <w:sz w:val="22"/>
                <w:szCs w:val="22"/>
              </w:rPr>
              <w:t>Didanosin skal administreres på tom mave, således at det bliver administreret 1 time før eller 2 timer efter darunavir/ritonavir, hvilket tages med et måltid.</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Tenofovirdisoproxil</w:t>
            </w:r>
          </w:p>
          <w:p w:rsidR="00603CB3" w:rsidRPr="00A22D75" w:rsidRDefault="00603CB3" w:rsidP="00603CB3">
            <w:pPr>
              <w:ind w:left="137" w:right="56"/>
              <w:rPr>
                <w:sz w:val="22"/>
                <w:szCs w:val="22"/>
              </w:rPr>
            </w:pPr>
            <w:r w:rsidRPr="00A22D75">
              <w:rPr>
                <w:spacing w:val="1"/>
                <w:sz w:val="22"/>
                <w:szCs w:val="22"/>
              </w:rPr>
              <w:t>245</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4"/>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tenofovir</w:t>
            </w:r>
            <w:r w:rsidRPr="00A22D75">
              <w:rPr>
                <w:spacing w:val="-7"/>
                <w:sz w:val="22"/>
                <w:szCs w:val="22"/>
              </w:rPr>
              <w:t xml:space="preserve"> </w:t>
            </w:r>
            <w:r w:rsidRPr="00A22D75">
              <w:rPr>
                <w:sz w:val="22"/>
                <w:szCs w:val="22"/>
              </w:rPr>
              <w:t>AUC</w:t>
            </w:r>
            <w:r w:rsidRPr="00A22D75">
              <w:rPr>
                <w:spacing w:val="-1"/>
                <w:sz w:val="22"/>
                <w:szCs w:val="22"/>
              </w:rPr>
              <w:t xml:space="preserve"> </w:t>
            </w:r>
            <w:r w:rsidRPr="00A22D75">
              <w:rPr>
                <w:sz w:val="22"/>
                <w:szCs w:val="22"/>
              </w:rPr>
              <w:t>↑ 22 %</w:t>
            </w:r>
          </w:p>
          <w:p w:rsidR="00603CB3" w:rsidRPr="00A22D75" w:rsidRDefault="00603CB3" w:rsidP="00603CB3">
            <w:pPr>
              <w:ind w:left="137" w:right="56"/>
              <w:rPr>
                <w:sz w:val="22"/>
                <w:szCs w:val="22"/>
              </w:rPr>
            </w:pPr>
            <w:r w:rsidRPr="00A22D75">
              <w:rPr>
                <w:sz w:val="22"/>
                <w:szCs w:val="22"/>
              </w:rPr>
              <w:t>tenofovir</w:t>
            </w:r>
            <w:r w:rsidRPr="00A22D75">
              <w:rPr>
                <w:spacing w:val="-7"/>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 37 %</w:t>
            </w:r>
          </w:p>
          <w:p w:rsidR="00603CB3" w:rsidRPr="00A22D75" w:rsidRDefault="00603CB3" w:rsidP="00603CB3">
            <w:pPr>
              <w:ind w:left="137" w:right="56"/>
              <w:rPr>
                <w:sz w:val="22"/>
                <w:szCs w:val="22"/>
              </w:rPr>
            </w:pPr>
            <w:r w:rsidRPr="00A22D75">
              <w:rPr>
                <w:sz w:val="22"/>
                <w:szCs w:val="22"/>
              </w:rPr>
              <w:t>tenofovir</w:t>
            </w:r>
            <w:r w:rsidRPr="00A22D75">
              <w:rPr>
                <w:spacing w:val="-7"/>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 24 %</w:t>
            </w:r>
          </w:p>
          <w:p w:rsidR="00603CB3" w:rsidRPr="00A22D75" w:rsidRDefault="00603CB3" w:rsidP="00603CB3">
            <w:pPr>
              <w:ind w:left="137"/>
              <w:rPr>
                <w:sz w:val="22"/>
                <w:szCs w:val="22"/>
              </w:rPr>
            </w:pPr>
            <w:r w:rsidRPr="00A22D75">
              <w:rPr>
                <w:sz w:val="22"/>
                <w:szCs w:val="22"/>
                <w:vertAlign w:val="superscript"/>
              </w:rPr>
              <w:t>#</w:t>
            </w:r>
            <w:r w:rsidRPr="00A22D75">
              <w:rPr>
                <w:sz w:val="22"/>
                <w:szCs w:val="22"/>
              </w:rPr>
              <w:t>darunavir</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 21 %</w:t>
            </w:r>
          </w:p>
          <w:p w:rsidR="00603CB3" w:rsidRPr="00A22D75" w:rsidRDefault="00603CB3" w:rsidP="00603CB3">
            <w:pPr>
              <w:ind w:left="137"/>
              <w:rPr>
                <w:sz w:val="22"/>
                <w:szCs w:val="22"/>
              </w:rPr>
            </w:pPr>
            <w:r w:rsidRPr="00A22D75">
              <w:rPr>
                <w:position w:val="-5"/>
                <w:sz w:val="22"/>
                <w:szCs w:val="22"/>
                <w:vertAlign w:val="superscript"/>
              </w:rPr>
              <w:t>#</w:t>
            </w:r>
            <w:r w:rsidRPr="00A22D75">
              <w:rPr>
                <w:position w:val="-5"/>
                <w:sz w:val="22"/>
                <w:szCs w:val="22"/>
              </w:rPr>
              <w:t>darunavir</w:t>
            </w:r>
            <w:r w:rsidRPr="00A22D75">
              <w:rPr>
                <w:spacing w:val="-8"/>
                <w:position w:val="-5"/>
                <w:sz w:val="22"/>
                <w:szCs w:val="22"/>
              </w:rPr>
              <w:t xml:space="preserve"> </w:t>
            </w:r>
            <w:r w:rsidRPr="00A22D75">
              <w:rPr>
                <w:spacing w:val="1"/>
                <w:sz w:val="22"/>
                <w:szCs w:val="22"/>
              </w:rPr>
              <w:t>C</w:t>
            </w:r>
            <w:r w:rsidRPr="00A22D75">
              <w:rPr>
                <w:spacing w:val="1"/>
                <w:sz w:val="22"/>
                <w:szCs w:val="22"/>
                <w:vertAlign w:val="subscript"/>
              </w:rPr>
              <w:t>min</w:t>
            </w:r>
            <w:r w:rsidRPr="00A22D75">
              <w:rPr>
                <w:spacing w:val="1"/>
                <w:sz w:val="22"/>
                <w:szCs w:val="22"/>
              </w:rPr>
              <w:t xml:space="preserve"> </w:t>
            </w:r>
            <w:r w:rsidRPr="00A22D75">
              <w:rPr>
                <w:position w:val="-5"/>
                <w:sz w:val="22"/>
                <w:szCs w:val="22"/>
              </w:rPr>
              <w:t>↑ 24 %</w:t>
            </w:r>
          </w:p>
          <w:p w:rsidR="00603CB3" w:rsidRPr="00A22D75" w:rsidRDefault="00603CB3" w:rsidP="00603CB3">
            <w:pPr>
              <w:ind w:left="137"/>
              <w:rPr>
                <w:position w:val="-5"/>
                <w:sz w:val="22"/>
                <w:szCs w:val="22"/>
              </w:rPr>
            </w:pPr>
            <w:r w:rsidRPr="00A22D75">
              <w:rPr>
                <w:position w:val="-5"/>
                <w:sz w:val="22"/>
                <w:szCs w:val="22"/>
                <w:vertAlign w:val="superscript"/>
              </w:rPr>
              <w:t>#</w:t>
            </w:r>
            <w:r w:rsidRPr="00A22D75">
              <w:rPr>
                <w:position w:val="-5"/>
                <w:sz w:val="22"/>
                <w:szCs w:val="22"/>
              </w:rPr>
              <w:t>darunavir</w:t>
            </w:r>
            <w:r w:rsidRPr="00A22D75">
              <w:rPr>
                <w:spacing w:val="-8"/>
                <w:position w:val="-5"/>
                <w:sz w:val="22"/>
                <w:szCs w:val="22"/>
              </w:rPr>
              <w:t xml:space="preserve"> </w:t>
            </w:r>
            <w:r w:rsidRPr="00A22D75">
              <w:rPr>
                <w:spacing w:val="2"/>
                <w:sz w:val="22"/>
                <w:szCs w:val="22"/>
              </w:rPr>
              <w:t>C</w:t>
            </w:r>
            <w:r w:rsidRPr="00A22D75">
              <w:rPr>
                <w:spacing w:val="2"/>
                <w:sz w:val="22"/>
                <w:szCs w:val="22"/>
                <w:vertAlign w:val="subscript"/>
              </w:rPr>
              <w:t>max</w:t>
            </w:r>
            <w:r w:rsidRPr="00A22D75">
              <w:rPr>
                <w:position w:val="-5"/>
                <w:sz w:val="22"/>
                <w:szCs w:val="22"/>
              </w:rPr>
              <w:t xml:space="preserve"> ↑</w:t>
            </w:r>
            <w:r w:rsidRPr="00A22D75">
              <w:rPr>
                <w:spacing w:val="-1"/>
                <w:position w:val="-5"/>
                <w:sz w:val="22"/>
                <w:szCs w:val="22"/>
              </w:rPr>
              <w:t xml:space="preserve"> </w:t>
            </w:r>
            <w:r w:rsidRPr="00A22D75">
              <w:rPr>
                <w:position w:val="-5"/>
                <w:sz w:val="22"/>
                <w:szCs w:val="22"/>
              </w:rPr>
              <w:t>16 %</w:t>
            </w:r>
          </w:p>
          <w:p w:rsidR="00603CB3" w:rsidRPr="00A22D75" w:rsidRDefault="00603CB3" w:rsidP="00603CB3">
            <w:pPr>
              <w:ind w:left="137" w:right="56"/>
              <w:rPr>
                <w:sz w:val="22"/>
                <w:szCs w:val="22"/>
              </w:rPr>
            </w:pPr>
            <w:r w:rsidRPr="00A22D75">
              <w:rPr>
                <w:sz w:val="22"/>
                <w:szCs w:val="22"/>
              </w:rPr>
              <w:t>(</w:t>
            </w:r>
            <w:r w:rsidRPr="00A22D75">
              <w:rPr>
                <w:position w:val="-5"/>
                <w:sz w:val="22"/>
                <w:szCs w:val="22"/>
              </w:rPr>
              <w:t>↑</w:t>
            </w:r>
            <w:r w:rsidRPr="00A22D75">
              <w:rPr>
                <w:sz w:val="22"/>
                <w:szCs w:val="22"/>
              </w:rPr>
              <w:t xml:space="preserve"> tenofovir fra effekten på MDR-1 transport i de renale tubuli)</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Monitorering af nyrefunktionen kan være indiceret, når darunavir administreret sammen med lavdosis ritonavir gives i kombination med tenofovir disoproxil, især hos patienter med underliggende systemisk eller renal sygdom eller hos patienter, der tager nefrotoksiske 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lang w:val="en-US"/>
              </w:rPr>
            </w:pPr>
            <w:r w:rsidRPr="00A22D75">
              <w:rPr>
                <w:sz w:val="22"/>
                <w:szCs w:val="22"/>
                <w:lang w:val="en-US"/>
              </w:rPr>
              <w:t>Emtricitabine/tenofovir alafenamide</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Tenofovir alafenamide </w:t>
            </w:r>
            <m:oMath>
              <m:r>
                <w:rPr>
                  <w:rFonts w:ascii="Cambria Math" w:hAnsi="Cambria Math"/>
                  <w:sz w:val="22"/>
                  <w:szCs w:val="22"/>
                </w:rPr>
                <m:t>↔</m:t>
              </m:r>
            </m:oMath>
          </w:p>
          <w:p w:rsidR="00603CB3" w:rsidRPr="00A22D75" w:rsidRDefault="00603CB3" w:rsidP="00603CB3">
            <w:pPr>
              <w:ind w:left="137" w:right="56"/>
              <w:rPr>
                <w:sz w:val="22"/>
                <w:szCs w:val="22"/>
              </w:rPr>
            </w:pPr>
            <w:r w:rsidRPr="00A22D75">
              <w:rPr>
                <w:sz w:val="22"/>
                <w:szCs w:val="22"/>
              </w:rPr>
              <w:t xml:space="preserve">Tenofovir </w:t>
            </w:r>
            <m:oMath>
              <m:r>
                <w:rPr>
                  <w:rFonts w:ascii="Cambria Math" w:hAnsi="Cambria Math"/>
                  <w:sz w:val="22"/>
                  <w:szCs w:val="22"/>
                </w:rPr>
                <m:t>↑</m:t>
              </m:r>
            </m:oMath>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Den anbefalede dosis af emtricitabine/tenofovir alafenamide er 200/10 mg, en gang dagligt, når den anvendes med lav dosis ritonavir.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lang w:val="en-US"/>
              </w:rPr>
            </w:pPr>
            <w:r w:rsidRPr="00A22D75">
              <w:rPr>
                <w:sz w:val="22"/>
                <w:szCs w:val="22"/>
                <w:lang w:val="en-US"/>
              </w:rPr>
              <w:t>Abacavir</w:t>
            </w:r>
          </w:p>
          <w:p w:rsidR="00603CB3" w:rsidRPr="00A22D75" w:rsidRDefault="00603CB3" w:rsidP="00603CB3">
            <w:pPr>
              <w:ind w:left="137" w:right="56"/>
              <w:rPr>
                <w:sz w:val="22"/>
                <w:szCs w:val="22"/>
                <w:lang w:val="en-US"/>
              </w:rPr>
            </w:pPr>
            <w:r w:rsidRPr="00A22D75">
              <w:rPr>
                <w:spacing w:val="3"/>
                <w:sz w:val="22"/>
                <w:szCs w:val="22"/>
                <w:lang w:val="en-US"/>
              </w:rPr>
              <w:t>E</w:t>
            </w:r>
            <w:r w:rsidRPr="00A22D75">
              <w:rPr>
                <w:spacing w:val="-4"/>
                <w:sz w:val="22"/>
                <w:szCs w:val="22"/>
                <w:lang w:val="en-US"/>
              </w:rPr>
              <w:t>m</w:t>
            </w:r>
            <w:r w:rsidRPr="00A22D75">
              <w:rPr>
                <w:sz w:val="22"/>
                <w:szCs w:val="22"/>
                <w:lang w:val="en-US"/>
              </w:rPr>
              <w:t xml:space="preserve">tricitabin </w:t>
            </w:r>
          </w:p>
          <w:p w:rsidR="00603CB3" w:rsidRPr="00A22D75" w:rsidRDefault="00603CB3" w:rsidP="00603CB3">
            <w:pPr>
              <w:ind w:left="137" w:right="56"/>
              <w:rPr>
                <w:sz w:val="22"/>
                <w:szCs w:val="22"/>
                <w:lang w:val="en-US"/>
              </w:rPr>
            </w:pPr>
            <w:r w:rsidRPr="00A22D75">
              <w:rPr>
                <w:sz w:val="22"/>
                <w:szCs w:val="22"/>
                <w:lang w:val="en-US"/>
              </w:rPr>
              <w:t xml:space="preserve">Lamivudin </w:t>
            </w:r>
          </w:p>
          <w:p w:rsidR="00603CB3" w:rsidRPr="00A22D75" w:rsidRDefault="00603CB3" w:rsidP="00603CB3">
            <w:pPr>
              <w:ind w:left="137" w:right="56"/>
              <w:rPr>
                <w:sz w:val="22"/>
                <w:szCs w:val="22"/>
                <w:lang w:val="en-US"/>
              </w:rPr>
            </w:pPr>
            <w:r w:rsidRPr="00A22D75">
              <w:rPr>
                <w:sz w:val="22"/>
                <w:szCs w:val="22"/>
                <w:lang w:val="en-US"/>
              </w:rPr>
              <w:t xml:space="preserve">Stavudin </w:t>
            </w:r>
          </w:p>
          <w:p w:rsidR="00603CB3" w:rsidRPr="00A22D75" w:rsidRDefault="00603CB3" w:rsidP="00603CB3">
            <w:pPr>
              <w:ind w:left="137" w:right="56"/>
              <w:rPr>
                <w:sz w:val="22"/>
                <w:szCs w:val="22"/>
                <w:lang w:val="en-US"/>
              </w:rPr>
            </w:pPr>
            <w:r w:rsidRPr="00A22D75">
              <w:rPr>
                <w:sz w:val="22"/>
                <w:szCs w:val="22"/>
                <w:lang w:val="en-US"/>
              </w:rPr>
              <w:t>Zidovudin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På baggrund af de forskellige eliminationsveje for de andre NRTI’er, zidovudin, emtricitabin, stavudin, lamivudin, der primært udskilles via nyrerne, og abacavir, som ikke metaboliseres via CYP450, forventes der ingen lægemiddelinteraktioner for disse lægemidler og darunavir administreret sammen med lavdosis ritonavir.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kan administreres sammen med lavdosis ritonavir og disse NRTI’er uden dosisjusteringer.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i/>
                <w:spacing w:val="1"/>
                <w:sz w:val="22"/>
                <w:szCs w:val="22"/>
              </w:rPr>
              <w:t>No</w:t>
            </w:r>
            <w:r w:rsidRPr="00A22D75">
              <w:rPr>
                <w:b/>
                <w:bCs/>
                <w:i/>
                <w:sz w:val="22"/>
                <w:szCs w:val="22"/>
              </w:rPr>
              <w:t>n</w:t>
            </w:r>
            <w:r w:rsidRPr="00A22D75">
              <w:rPr>
                <w:b/>
                <w:bCs/>
                <w:i/>
                <w:spacing w:val="1"/>
                <w:sz w:val="22"/>
                <w:szCs w:val="22"/>
              </w:rPr>
              <w:t>-</w:t>
            </w:r>
            <w:r w:rsidRPr="00A22D75">
              <w:rPr>
                <w:b/>
                <w:bCs/>
                <w:i/>
                <w:sz w:val="22"/>
                <w:szCs w:val="22"/>
              </w:rPr>
              <w:t>nukleotid-revers-transkriptase-hæmmere</w:t>
            </w:r>
            <w:r w:rsidRPr="00A22D75">
              <w:rPr>
                <w:b/>
                <w:bCs/>
                <w:i/>
                <w:spacing w:val="-8"/>
                <w:sz w:val="22"/>
                <w:szCs w:val="22"/>
              </w:rPr>
              <w:t xml:space="preserve"> </w:t>
            </w:r>
            <w:r w:rsidRPr="00A22D75">
              <w:rPr>
                <w:b/>
                <w:bCs/>
                <w:i/>
                <w:sz w:val="22"/>
                <w:szCs w:val="22"/>
              </w:rPr>
              <w:t>(NNRTI’er)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Efavirenz</w:t>
            </w:r>
          </w:p>
          <w:p w:rsidR="00603CB3" w:rsidRPr="00A22D75" w:rsidRDefault="00603CB3" w:rsidP="00603CB3">
            <w:pPr>
              <w:ind w:left="137" w:right="56"/>
              <w:rPr>
                <w:sz w:val="22"/>
                <w:szCs w:val="22"/>
              </w:rPr>
            </w:pPr>
            <w:r w:rsidRPr="00A22D75">
              <w:rPr>
                <w:spacing w:val="1"/>
                <w:sz w:val="22"/>
                <w:szCs w:val="22"/>
              </w:rPr>
              <w:t>60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4"/>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efavirenz</w:t>
            </w:r>
            <w:r w:rsidRPr="00A22D75">
              <w:rPr>
                <w:spacing w:val="-7"/>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21 %</w:t>
            </w:r>
          </w:p>
          <w:p w:rsidR="00603CB3" w:rsidRPr="00A22D75" w:rsidRDefault="00603CB3" w:rsidP="00603CB3">
            <w:pPr>
              <w:ind w:left="137" w:right="56"/>
              <w:rPr>
                <w:sz w:val="22"/>
                <w:szCs w:val="22"/>
              </w:rPr>
            </w:pPr>
            <w:r w:rsidRPr="00A22D75">
              <w:rPr>
                <w:sz w:val="22"/>
                <w:szCs w:val="22"/>
              </w:rPr>
              <w:t>efavirenz</w:t>
            </w:r>
            <w:r w:rsidRPr="00A22D75">
              <w:rPr>
                <w:spacing w:val="-7"/>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17 %</w:t>
            </w:r>
          </w:p>
          <w:p w:rsidR="00603CB3" w:rsidRPr="00A22D75" w:rsidRDefault="00603CB3" w:rsidP="00603CB3">
            <w:pPr>
              <w:ind w:left="137" w:right="56"/>
              <w:rPr>
                <w:sz w:val="22"/>
                <w:szCs w:val="22"/>
              </w:rPr>
            </w:pPr>
            <w:r w:rsidRPr="00A22D75">
              <w:rPr>
                <w:sz w:val="22"/>
                <w:szCs w:val="22"/>
              </w:rPr>
              <w:lastRenderedPageBreak/>
              <w:t>efavirenz</w:t>
            </w:r>
            <w:r w:rsidRPr="00A22D75">
              <w:rPr>
                <w:spacing w:val="-7"/>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15 %</w:t>
            </w:r>
          </w:p>
          <w:p w:rsidR="00603CB3" w:rsidRPr="00A22D75" w:rsidRDefault="00603CB3" w:rsidP="00603CB3">
            <w:pPr>
              <w:ind w:left="137" w:right="56"/>
              <w:rPr>
                <w:sz w:val="22"/>
                <w:szCs w:val="22"/>
              </w:rPr>
            </w:pPr>
            <w:r w:rsidRPr="00A22D75">
              <w:rPr>
                <w:position w:val="-1"/>
                <w:sz w:val="22"/>
                <w:szCs w:val="22"/>
                <w:vertAlign w:val="superscript"/>
              </w:rPr>
              <w:t>#</w:t>
            </w:r>
            <w:r w:rsidRPr="00A22D75">
              <w:rPr>
                <w:position w:val="-1"/>
                <w:sz w:val="22"/>
                <w:szCs w:val="22"/>
              </w:rPr>
              <w:t>darunavir</w:t>
            </w:r>
            <w:r w:rsidRPr="00A22D75">
              <w:rPr>
                <w:spacing w:val="-8"/>
                <w:position w:val="-1"/>
                <w:sz w:val="22"/>
                <w:szCs w:val="22"/>
              </w:rPr>
              <w:t xml:space="preserve"> </w:t>
            </w:r>
            <w:r w:rsidRPr="00A22D75">
              <w:rPr>
                <w:position w:val="-1"/>
                <w:sz w:val="22"/>
                <w:szCs w:val="22"/>
              </w:rPr>
              <w:t>AUC</w:t>
            </w:r>
            <w:r w:rsidRPr="00A22D75">
              <w:rPr>
                <w:spacing w:val="-1"/>
                <w:position w:val="-1"/>
                <w:sz w:val="22"/>
                <w:szCs w:val="22"/>
              </w:rPr>
              <w:t xml:space="preserve"> </w:t>
            </w:r>
            <w:r w:rsidRPr="00A22D75">
              <w:rPr>
                <w:position w:val="-1"/>
                <w:sz w:val="22"/>
                <w:szCs w:val="22"/>
              </w:rPr>
              <w:t>↓ 13 %</w:t>
            </w:r>
          </w:p>
          <w:p w:rsidR="00603CB3" w:rsidRPr="00A22D75" w:rsidRDefault="00603CB3" w:rsidP="00603CB3">
            <w:pPr>
              <w:tabs>
                <w:tab w:val="left" w:pos="1360"/>
              </w:tabs>
              <w:ind w:left="137" w:right="56"/>
              <w:rPr>
                <w:sz w:val="22"/>
                <w:szCs w:val="22"/>
              </w:rPr>
            </w:pPr>
            <w:r w:rsidRPr="00A22D75">
              <w:rPr>
                <w:position w:val="-1"/>
                <w:sz w:val="22"/>
                <w:szCs w:val="22"/>
                <w:vertAlign w:val="superscript"/>
              </w:rPr>
              <w:t>#</w:t>
            </w:r>
            <w:r w:rsidRPr="00A22D75">
              <w:rPr>
                <w:position w:val="-5"/>
                <w:sz w:val="22"/>
                <w:szCs w:val="22"/>
              </w:rPr>
              <w:t>darunavir</w:t>
            </w:r>
            <w:r w:rsidRPr="00A22D75">
              <w:rPr>
                <w:spacing w:val="-8"/>
                <w:position w:val="-5"/>
                <w:sz w:val="22"/>
                <w:szCs w:val="22"/>
              </w:rPr>
              <w:t xml:space="preserve"> </w:t>
            </w:r>
            <w:r w:rsidRPr="00A22D75">
              <w:rPr>
                <w:spacing w:val="1"/>
                <w:sz w:val="22"/>
                <w:szCs w:val="22"/>
              </w:rPr>
              <w:t>C</w:t>
            </w:r>
            <w:r w:rsidRPr="00A22D75">
              <w:rPr>
                <w:spacing w:val="1"/>
                <w:sz w:val="22"/>
                <w:szCs w:val="22"/>
                <w:vertAlign w:val="subscript"/>
              </w:rPr>
              <w:t>min</w:t>
            </w:r>
            <w:r w:rsidRPr="00A22D75">
              <w:rPr>
                <w:position w:val="-5"/>
                <w:sz w:val="22"/>
                <w:szCs w:val="22"/>
              </w:rPr>
              <w:tab/>
              <w:t>↓ 31 %</w:t>
            </w:r>
          </w:p>
          <w:p w:rsidR="00603CB3" w:rsidRPr="00A22D75" w:rsidRDefault="00603CB3" w:rsidP="00603CB3">
            <w:pPr>
              <w:tabs>
                <w:tab w:val="left" w:pos="1360"/>
              </w:tabs>
              <w:ind w:left="137" w:right="56"/>
              <w:rPr>
                <w:sz w:val="22"/>
                <w:szCs w:val="22"/>
              </w:rPr>
            </w:pPr>
            <w:r w:rsidRPr="00A22D75">
              <w:rPr>
                <w:position w:val="-1"/>
                <w:sz w:val="22"/>
                <w:szCs w:val="22"/>
                <w:vertAlign w:val="superscript"/>
              </w:rPr>
              <w:t>#</w:t>
            </w:r>
            <w:r w:rsidRPr="00A22D75">
              <w:rPr>
                <w:position w:val="-5"/>
                <w:sz w:val="22"/>
                <w:szCs w:val="22"/>
              </w:rPr>
              <w:t>daruna</w:t>
            </w:r>
            <w:r w:rsidRPr="00A22D75">
              <w:rPr>
                <w:spacing w:val="-1"/>
                <w:position w:val="-5"/>
                <w:sz w:val="22"/>
                <w:szCs w:val="22"/>
              </w:rPr>
              <w:t>v</w:t>
            </w:r>
            <w:r w:rsidRPr="00A22D75">
              <w:rPr>
                <w:position w:val="-5"/>
                <w:sz w:val="22"/>
                <w:szCs w:val="22"/>
              </w:rPr>
              <w:t>ir</w:t>
            </w:r>
            <w:r w:rsidRPr="00A22D75">
              <w:rPr>
                <w:spacing w:val="-7"/>
                <w:position w:val="-5"/>
                <w:sz w:val="22"/>
                <w:szCs w:val="22"/>
              </w:rPr>
              <w:t xml:space="preserve"> </w:t>
            </w:r>
            <w:r w:rsidRPr="00A22D75">
              <w:rPr>
                <w:spacing w:val="2"/>
                <w:sz w:val="22"/>
                <w:szCs w:val="22"/>
              </w:rPr>
              <w:t>C</w:t>
            </w:r>
            <w:r w:rsidRPr="00A22D75">
              <w:rPr>
                <w:spacing w:val="2"/>
                <w:sz w:val="22"/>
                <w:szCs w:val="22"/>
                <w:vertAlign w:val="subscript"/>
              </w:rPr>
              <w:t>max</w:t>
            </w:r>
            <w:r w:rsidRPr="00A22D75">
              <w:rPr>
                <w:position w:val="-5"/>
                <w:sz w:val="22"/>
                <w:szCs w:val="22"/>
              </w:rPr>
              <w:tab/>
              <w:t>↓</w:t>
            </w:r>
            <w:r w:rsidRPr="00A22D75">
              <w:rPr>
                <w:spacing w:val="-1"/>
                <w:position w:val="-5"/>
                <w:sz w:val="22"/>
                <w:szCs w:val="22"/>
              </w:rPr>
              <w:t xml:space="preserve"> </w:t>
            </w:r>
            <w:r w:rsidRPr="00A22D75">
              <w:rPr>
                <w:position w:val="-5"/>
                <w:sz w:val="22"/>
                <w:szCs w:val="22"/>
              </w:rPr>
              <w:t>15 %</w:t>
            </w:r>
          </w:p>
          <w:p w:rsidR="00603CB3" w:rsidRPr="00A22D75" w:rsidRDefault="00603CB3" w:rsidP="00603CB3">
            <w:pPr>
              <w:ind w:left="137" w:right="56"/>
              <w:rPr>
                <w:sz w:val="22"/>
                <w:szCs w:val="22"/>
              </w:rPr>
            </w:pPr>
            <w:r w:rsidRPr="00A22D75">
              <w:rPr>
                <w:spacing w:val="1"/>
                <w:sz w:val="22"/>
                <w:szCs w:val="22"/>
              </w:rPr>
              <w:t>(</w:t>
            </w:r>
            <w:r w:rsidRPr="00A22D75">
              <w:rPr>
                <w:sz w:val="22"/>
                <w:szCs w:val="22"/>
              </w:rPr>
              <w:t>↑</w:t>
            </w:r>
            <w:r w:rsidRPr="00A22D75">
              <w:rPr>
                <w:spacing w:val="-2"/>
                <w:sz w:val="22"/>
                <w:szCs w:val="22"/>
              </w:rPr>
              <w:t xml:space="preserve"> </w:t>
            </w:r>
            <w:r w:rsidRPr="00A22D75">
              <w:rPr>
                <w:sz w:val="22"/>
                <w:szCs w:val="22"/>
              </w:rPr>
              <w:t>efavirenz</w:t>
            </w:r>
            <w:r w:rsidRPr="00A22D75">
              <w:rPr>
                <w:spacing w:val="-7"/>
                <w:sz w:val="22"/>
                <w:szCs w:val="22"/>
              </w:rPr>
              <w:t xml:space="preserve"> </w:t>
            </w:r>
            <w:r w:rsidRPr="00A22D75">
              <w:rPr>
                <w:sz w:val="22"/>
                <w:szCs w:val="22"/>
              </w:rPr>
              <w:t>fra CYP3A</w:t>
            </w:r>
            <w:r w:rsidRPr="00A22D75">
              <w:rPr>
                <w:spacing w:val="-6"/>
                <w:sz w:val="22"/>
                <w:szCs w:val="22"/>
              </w:rPr>
              <w:t>-</w:t>
            </w:r>
            <w:r w:rsidRPr="00A22D75">
              <w:rPr>
                <w:sz w:val="22"/>
                <w:szCs w:val="22"/>
              </w:rPr>
              <w:t>hæmning)</w:t>
            </w:r>
          </w:p>
          <w:p w:rsidR="00603CB3" w:rsidRPr="00A22D75" w:rsidRDefault="00603CB3" w:rsidP="00603CB3">
            <w:pPr>
              <w:ind w:left="137" w:right="56"/>
              <w:rPr>
                <w:sz w:val="22"/>
                <w:szCs w:val="22"/>
              </w:rPr>
            </w:pPr>
            <w:r w:rsidRPr="00A22D75">
              <w:rPr>
                <w:spacing w:val="1"/>
                <w:sz w:val="22"/>
                <w:szCs w:val="22"/>
              </w:rPr>
              <w:t>(</w:t>
            </w:r>
            <w:r w:rsidRPr="00A22D75">
              <w:rPr>
                <w:sz w:val="22"/>
                <w:szCs w:val="22"/>
              </w:rPr>
              <w:t>↓</w:t>
            </w:r>
            <w:r w:rsidRPr="00A22D75">
              <w:rPr>
                <w:spacing w:val="-2"/>
                <w:sz w:val="22"/>
                <w:szCs w:val="22"/>
              </w:rPr>
              <w:t xml:space="preserve"> </w:t>
            </w:r>
            <w:r w:rsidRPr="00A22D75">
              <w:rPr>
                <w:sz w:val="22"/>
                <w:szCs w:val="22"/>
              </w:rPr>
              <w:t>darunavir</w:t>
            </w:r>
            <w:r w:rsidRPr="00A22D75">
              <w:rPr>
                <w:spacing w:val="-8"/>
                <w:sz w:val="22"/>
                <w:szCs w:val="22"/>
              </w:rPr>
              <w:t xml:space="preserve"> </w:t>
            </w:r>
            <w:r w:rsidRPr="00A22D75">
              <w:rPr>
                <w:sz w:val="22"/>
                <w:szCs w:val="22"/>
              </w:rPr>
              <w:t>fra</w:t>
            </w:r>
            <w:r w:rsidRPr="00A22D75">
              <w:rPr>
                <w:spacing w:val="-4"/>
                <w:sz w:val="22"/>
                <w:szCs w:val="22"/>
              </w:rPr>
              <w:t xml:space="preserve"> </w:t>
            </w:r>
            <w:r w:rsidRPr="00A22D75">
              <w:rPr>
                <w:sz w:val="22"/>
                <w:szCs w:val="22"/>
              </w:rPr>
              <w:t>CYP3A</w:t>
            </w:r>
            <w:r w:rsidRPr="00A22D75">
              <w:rPr>
                <w:spacing w:val="-6"/>
                <w:sz w:val="22"/>
                <w:szCs w:val="22"/>
              </w:rPr>
              <w:t>-</w:t>
            </w:r>
            <w:r w:rsidRPr="00A22D75">
              <w:rPr>
                <w:sz w:val="22"/>
                <w:szCs w:val="22"/>
              </w:rPr>
              <w:t>induktion)</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lastRenderedPageBreak/>
              <w:t xml:space="preserve">Klinisk monitorering for centralnervesystemstoksicitet i </w:t>
            </w:r>
            <w:r w:rsidRPr="00A22D75">
              <w:rPr>
                <w:sz w:val="22"/>
                <w:szCs w:val="22"/>
              </w:rPr>
              <w:lastRenderedPageBreak/>
              <w:t>forbindelse med øget eksponering for efavirenz kan være indiceret, når darunavir administreret sammen med lavdosis ritonavir gives i kombination med efavirenz.</w:t>
            </w:r>
          </w:p>
          <w:p w:rsidR="00603CB3" w:rsidRPr="00A22D75" w:rsidRDefault="00603CB3" w:rsidP="00603CB3">
            <w:pPr>
              <w:ind w:left="137" w:right="56"/>
              <w:rPr>
                <w:sz w:val="22"/>
                <w:szCs w:val="22"/>
              </w:rPr>
            </w:pPr>
          </w:p>
          <w:p w:rsidR="00603CB3" w:rsidRPr="00A22D75" w:rsidRDefault="00603CB3" w:rsidP="00603CB3">
            <w:pPr>
              <w:ind w:left="137" w:right="56"/>
              <w:rPr>
                <w:i/>
                <w:sz w:val="22"/>
                <w:szCs w:val="22"/>
              </w:rPr>
            </w:pPr>
            <w:r w:rsidRPr="00A22D75">
              <w:rPr>
                <w:sz w:val="22"/>
                <w:szCs w:val="22"/>
              </w:rPr>
              <w:t>Efavirenz i kombination med darunavir/ritonavir 800/100 mg en gang daglig kan medføre suboptimal darunavir C</w:t>
            </w:r>
            <w:r w:rsidRPr="00A22D75">
              <w:rPr>
                <w:sz w:val="22"/>
                <w:szCs w:val="22"/>
                <w:vertAlign w:val="subscript"/>
              </w:rPr>
              <w:t>min</w:t>
            </w:r>
            <w:r w:rsidRPr="00A22D75">
              <w:rPr>
                <w:sz w:val="22"/>
                <w:szCs w:val="22"/>
              </w:rPr>
              <w:t>. Hvis efavirenz skal anvendes i kombination med darunavir/ritonavir, bør der anvendes et regime med darunavir/ritonavir 600/100 mg 2 gange daglig (se pkt. 4.4).</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Etravirin</w:t>
            </w:r>
          </w:p>
          <w:p w:rsidR="00603CB3" w:rsidRPr="00A22D75" w:rsidRDefault="00603CB3" w:rsidP="00603CB3">
            <w:pPr>
              <w:ind w:left="137" w:right="56"/>
              <w:rPr>
                <w:sz w:val="22"/>
                <w:szCs w:val="22"/>
              </w:rPr>
            </w:pPr>
            <w:r w:rsidRPr="00A22D75">
              <w:rPr>
                <w:spacing w:val="1"/>
                <w:sz w:val="22"/>
                <w:szCs w:val="22"/>
              </w:rPr>
              <w:t>10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5"/>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etravirin</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37 %</w:t>
            </w:r>
          </w:p>
          <w:p w:rsidR="00603CB3" w:rsidRPr="00A22D75" w:rsidRDefault="00603CB3" w:rsidP="00603CB3">
            <w:pPr>
              <w:ind w:left="137" w:right="56"/>
              <w:rPr>
                <w:sz w:val="22"/>
                <w:szCs w:val="22"/>
              </w:rPr>
            </w:pPr>
            <w:r w:rsidRPr="00A22D75">
              <w:rPr>
                <w:sz w:val="22"/>
                <w:szCs w:val="22"/>
              </w:rPr>
              <w:t>etravirin</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49 % etravirin</w:t>
            </w:r>
            <w:r w:rsidRPr="00A22D75">
              <w:rPr>
                <w:spacing w:val="-8"/>
                <w:sz w:val="22"/>
                <w:szCs w:val="22"/>
              </w:rPr>
              <w:t xml:space="preserve"> </w:t>
            </w:r>
            <w:r w:rsidRPr="00A22D75">
              <w:rPr>
                <w:spacing w:val="2"/>
                <w:sz w:val="22"/>
                <w:szCs w:val="22"/>
              </w:rPr>
              <w:t>C</w:t>
            </w:r>
            <w:r w:rsidRPr="00A22D75">
              <w:rPr>
                <w:spacing w:val="2"/>
                <w:sz w:val="22"/>
                <w:szCs w:val="22"/>
                <w:vertAlign w:val="subscript"/>
              </w:rPr>
              <w:t>max</w:t>
            </w:r>
            <w:r w:rsidRPr="00A22D75">
              <w:rPr>
                <w:spacing w:val="-1"/>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32 % darunavir</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15 % darunavir</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4"/>
                <w:position w:val="-3"/>
                <w:sz w:val="22"/>
                <w:szCs w:val="22"/>
              </w:rPr>
              <w:t xml:space="preserve"> </w:t>
            </w:r>
            <w:r w:rsidRPr="00A22D75">
              <w:rPr>
                <w:sz w:val="22"/>
                <w:szCs w:val="22"/>
              </w:rPr>
              <w:t>↔ darunavir</w:t>
            </w:r>
            <w:r w:rsidRPr="00A22D75">
              <w:rPr>
                <w:spacing w:val="-8"/>
                <w:sz w:val="22"/>
                <w:szCs w:val="22"/>
              </w:rPr>
              <w:t xml:space="preserve"> </w:t>
            </w:r>
            <w:r w:rsidRPr="00A22D75">
              <w:rPr>
                <w:spacing w:val="2"/>
                <w:sz w:val="22"/>
                <w:szCs w:val="22"/>
              </w:rPr>
              <w:t>C</w:t>
            </w:r>
            <w:r w:rsidRPr="00A22D75">
              <w:rPr>
                <w:spacing w:val="2"/>
                <w:sz w:val="22"/>
                <w:szCs w:val="22"/>
                <w:vertAlign w:val="subscript"/>
              </w:rPr>
              <w:t>max</w:t>
            </w:r>
            <w:r w:rsidRPr="00A22D75">
              <w:rPr>
                <w:spacing w:val="14"/>
                <w:position w:val="-3"/>
                <w:sz w:val="22"/>
                <w:szCs w:val="22"/>
              </w:rPr>
              <w:t xml:space="preserve"> </w:t>
            </w:r>
            <w:r w:rsidRPr="00A22D75">
              <w:rPr>
                <w:sz w:val="22"/>
                <w:szCs w:val="22"/>
              </w:rPr>
              <w: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Darunavir kan administreres sammen med lavdosis ritonavir og etravirin </w:t>
            </w:r>
            <w:r w:rsidRPr="00A22D75">
              <w:rPr>
                <w:b/>
                <w:bCs/>
                <w:sz w:val="22"/>
                <w:szCs w:val="22"/>
                <w:u w:val="single"/>
              </w:rPr>
              <w:t>200 mg to gange daglig</w:t>
            </w:r>
            <w:r w:rsidRPr="00A22D75">
              <w:rPr>
                <w:b/>
                <w:bCs/>
                <w:sz w:val="22"/>
                <w:szCs w:val="22"/>
              </w:rPr>
              <w:t xml:space="preserve"> </w:t>
            </w:r>
            <w:r w:rsidRPr="00A22D75">
              <w:rPr>
                <w:sz w:val="22"/>
                <w:szCs w:val="22"/>
              </w:rPr>
              <w:t>uden dosisjusteringer.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Nevirapin</w:t>
            </w:r>
          </w:p>
          <w:p w:rsidR="00603CB3" w:rsidRPr="00A22D75" w:rsidRDefault="00603CB3" w:rsidP="00603CB3">
            <w:pPr>
              <w:ind w:left="137" w:right="56"/>
              <w:rPr>
                <w:sz w:val="22"/>
                <w:szCs w:val="22"/>
              </w:rPr>
            </w:pPr>
            <w:r w:rsidRPr="00A22D75">
              <w:rPr>
                <w:spacing w:val="1"/>
                <w:sz w:val="22"/>
                <w:szCs w:val="22"/>
              </w:rPr>
              <w:t>20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5"/>
                <w:sz w:val="22"/>
                <w:szCs w:val="22"/>
              </w:rPr>
              <w:t>2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nevirapin</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27 %</w:t>
            </w:r>
          </w:p>
          <w:p w:rsidR="00603CB3" w:rsidRPr="00A22D75" w:rsidRDefault="00603CB3" w:rsidP="00603CB3">
            <w:pPr>
              <w:ind w:left="137" w:right="56"/>
              <w:rPr>
                <w:sz w:val="22"/>
                <w:szCs w:val="22"/>
              </w:rPr>
            </w:pPr>
            <w:r w:rsidRPr="00A22D75">
              <w:rPr>
                <w:position w:val="1"/>
                <w:sz w:val="22"/>
                <w:szCs w:val="22"/>
              </w:rPr>
              <w:t>nevirapin</w:t>
            </w:r>
            <w:r w:rsidRPr="00A22D75">
              <w:rPr>
                <w:spacing w:val="-8"/>
                <w:position w:val="1"/>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2"/>
                <w:sz w:val="22"/>
                <w:szCs w:val="22"/>
              </w:rPr>
              <w:t xml:space="preserve"> </w:t>
            </w:r>
            <w:r w:rsidRPr="00A22D75">
              <w:rPr>
                <w:position w:val="1"/>
                <w:sz w:val="22"/>
                <w:szCs w:val="22"/>
              </w:rPr>
              <w:t>↑ 47 %</w:t>
            </w:r>
          </w:p>
          <w:p w:rsidR="00603CB3" w:rsidRPr="00A22D75" w:rsidRDefault="00603CB3" w:rsidP="00603CB3">
            <w:pPr>
              <w:ind w:left="137" w:right="56"/>
              <w:rPr>
                <w:sz w:val="22"/>
                <w:szCs w:val="22"/>
              </w:rPr>
            </w:pPr>
            <w:r w:rsidRPr="00A22D75">
              <w:rPr>
                <w:sz w:val="22"/>
                <w:szCs w:val="22"/>
              </w:rPr>
              <w:t>nevirapin</w:t>
            </w:r>
            <w:r w:rsidRPr="00A22D75">
              <w:rPr>
                <w:spacing w:val="-8"/>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 18 %</w:t>
            </w:r>
          </w:p>
          <w:p w:rsidR="00603CB3" w:rsidRPr="00A22D75" w:rsidRDefault="00603CB3" w:rsidP="00603CB3">
            <w:pPr>
              <w:ind w:left="137" w:right="56"/>
              <w:rPr>
                <w:sz w:val="22"/>
                <w:szCs w:val="22"/>
              </w:rPr>
            </w:pPr>
            <w:r w:rsidRPr="00A22D75">
              <w:rPr>
                <w:sz w:val="22"/>
                <w:szCs w:val="22"/>
                <w:vertAlign w:val="superscript"/>
              </w:rPr>
              <w:t>#</w:t>
            </w:r>
            <w:r w:rsidRPr="00A22D75">
              <w:rPr>
                <w:position w:val="-1"/>
                <w:sz w:val="22"/>
                <w:szCs w:val="22"/>
              </w:rPr>
              <w:t>darunavir:</w:t>
            </w:r>
            <w:r w:rsidRPr="00A22D75">
              <w:rPr>
                <w:spacing w:val="-9"/>
                <w:position w:val="-1"/>
                <w:sz w:val="22"/>
                <w:szCs w:val="22"/>
              </w:rPr>
              <w:t xml:space="preserve"> </w:t>
            </w:r>
            <w:r w:rsidRPr="00A22D75">
              <w:rPr>
                <w:position w:val="-1"/>
                <w:sz w:val="22"/>
                <w:szCs w:val="22"/>
              </w:rPr>
              <w:t>koncentrationerne var i overensstemmelse med historiske data</w:t>
            </w:r>
          </w:p>
          <w:p w:rsidR="00603CB3" w:rsidRPr="00A22D75" w:rsidRDefault="00603CB3" w:rsidP="00603CB3">
            <w:pPr>
              <w:ind w:left="137" w:right="56"/>
              <w:rPr>
                <w:sz w:val="22"/>
                <w:szCs w:val="22"/>
              </w:rPr>
            </w:pPr>
            <w:r w:rsidRPr="00A22D75">
              <w:rPr>
                <w:spacing w:val="1"/>
                <w:sz w:val="22"/>
                <w:szCs w:val="22"/>
              </w:rPr>
              <w:t>(</w:t>
            </w:r>
            <w:r w:rsidRPr="00A22D75">
              <w:rPr>
                <w:sz w:val="22"/>
                <w:szCs w:val="22"/>
              </w:rPr>
              <w:t>↑</w:t>
            </w:r>
            <w:r w:rsidRPr="00A22D75">
              <w:rPr>
                <w:spacing w:val="-3"/>
                <w:sz w:val="22"/>
                <w:szCs w:val="22"/>
              </w:rPr>
              <w:t xml:space="preserve"> </w:t>
            </w:r>
            <w:r w:rsidRPr="00A22D75">
              <w:rPr>
                <w:sz w:val="22"/>
                <w:szCs w:val="22"/>
              </w:rPr>
              <w:t>nevirapin fra</w:t>
            </w:r>
            <w:r w:rsidRPr="00A22D75">
              <w:rPr>
                <w:spacing w:val="-4"/>
                <w:sz w:val="22"/>
                <w:szCs w:val="22"/>
              </w:rPr>
              <w:t xml:space="preserve"> </w:t>
            </w:r>
            <w:r w:rsidRPr="00A22D75">
              <w:rPr>
                <w:sz w:val="22"/>
                <w:szCs w:val="22"/>
              </w:rPr>
              <w:t>CYP3A</w:t>
            </w:r>
            <w:r w:rsidRPr="00A22D75">
              <w:rPr>
                <w:spacing w:val="-6"/>
                <w:sz w:val="22"/>
                <w:szCs w:val="22"/>
              </w:rPr>
              <w:t>-</w:t>
            </w:r>
            <w:r w:rsidRPr="00A22D75">
              <w:rPr>
                <w:sz w:val="22"/>
                <w:szCs w:val="22"/>
              </w:rPr>
              <w:t>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kan administreres sammen med lavdosis ritonavir og nevirapin uden dosisjusteringer.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Rilpivirin</w:t>
            </w:r>
          </w:p>
          <w:p w:rsidR="00603CB3" w:rsidRPr="00A22D75" w:rsidRDefault="00603CB3" w:rsidP="00603CB3">
            <w:pPr>
              <w:ind w:left="137" w:right="56"/>
              <w:rPr>
                <w:sz w:val="22"/>
                <w:szCs w:val="22"/>
              </w:rPr>
            </w:pPr>
            <w:r w:rsidRPr="00A22D75">
              <w:rPr>
                <w:spacing w:val="1"/>
                <w:sz w:val="22"/>
                <w:szCs w:val="22"/>
              </w:rPr>
              <w:t>15</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4"/>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rilpivirin</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130 %</w:t>
            </w:r>
          </w:p>
          <w:p w:rsidR="00603CB3" w:rsidRPr="00A22D75" w:rsidRDefault="00603CB3" w:rsidP="00603CB3">
            <w:pPr>
              <w:ind w:left="137" w:right="56"/>
              <w:rPr>
                <w:sz w:val="22"/>
                <w:szCs w:val="22"/>
              </w:rPr>
            </w:pPr>
            <w:r w:rsidRPr="00A22D75">
              <w:rPr>
                <w:sz w:val="22"/>
                <w:szCs w:val="22"/>
              </w:rPr>
              <w:t>rilpivirin</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 xml:space="preserve">178 % </w:t>
            </w:r>
          </w:p>
          <w:p w:rsidR="00603CB3" w:rsidRPr="00A22D75" w:rsidRDefault="00603CB3" w:rsidP="00603CB3">
            <w:pPr>
              <w:ind w:left="137" w:right="56"/>
              <w:rPr>
                <w:sz w:val="22"/>
                <w:szCs w:val="22"/>
              </w:rPr>
            </w:pPr>
            <w:r w:rsidRPr="00A22D75">
              <w:rPr>
                <w:sz w:val="22"/>
                <w:szCs w:val="22"/>
              </w:rPr>
              <w:t>rilpivirin</w:t>
            </w:r>
            <w:r w:rsidRPr="00A22D75">
              <w:rPr>
                <w:spacing w:val="-8"/>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 xml:space="preserve">79 % </w:t>
            </w:r>
          </w:p>
          <w:p w:rsidR="00603CB3" w:rsidRPr="00A22D75" w:rsidRDefault="00603CB3" w:rsidP="00603CB3">
            <w:pPr>
              <w:ind w:left="137" w:right="56"/>
              <w:rPr>
                <w:sz w:val="22"/>
                <w:szCs w:val="22"/>
              </w:rPr>
            </w:pPr>
            <w:r w:rsidRPr="00A22D75">
              <w:rPr>
                <w:sz w:val="22"/>
                <w:szCs w:val="22"/>
              </w:rPr>
              <w:t>darunavir</w:t>
            </w:r>
            <w:r w:rsidRPr="00A22D75">
              <w:rPr>
                <w:spacing w:val="-8"/>
                <w:sz w:val="22"/>
                <w:szCs w:val="22"/>
              </w:rPr>
              <w:t xml:space="preserve"> </w:t>
            </w:r>
            <w:r w:rsidRPr="00A22D75">
              <w:rPr>
                <w:sz w:val="22"/>
                <w:szCs w:val="22"/>
              </w:rPr>
              <w:t>AUC</w:t>
            </w:r>
            <w:r w:rsidRPr="00A22D75">
              <w:rPr>
                <w:spacing w:val="-3"/>
                <w:sz w:val="22"/>
                <w:szCs w:val="22"/>
              </w:rPr>
              <w:t xml:space="preserve"> </w:t>
            </w:r>
            <w:r w:rsidRPr="00A22D75">
              <w:rPr>
                <w:sz w:val="22"/>
                <w:szCs w:val="22"/>
              </w:rPr>
              <w:t xml:space="preserve">↔ </w:t>
            </w:r>
          </w:p>
          <w:p w:rsidR="00603CB3" w:rsidRPr="00A22D75" w:rsidRDefault="00603CB3" w:rsidP="00603CB3">
            <w:pPr>
              <w:ind w:left="137" w:right="56"/>
              <w:rPr>
                <w:sz w:val="22"/>
                <w:szCs w:val="22"/>
              </w:rPr>
            </w:pPr>
            <w:r w:rsidRPr="00A22D75">
              <w:rPr>
                <w:sz w:val="22"/>
                <w:szCs w:val="22"/>
              </w:rPr>
              <w:t>darunavir</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 xml:space="preserve">11 % </w:t>
            </w:r>
          </w:p>
          <w:p w:rsidR="00603CB3" w:rsidRPr="00A22D75" w:rsidRDefault="00603CB3" w:rsidP="00603CB3">
            <w:pPr>
              <w:ind w:left="137" w:right="56"/>
              <w:rPr>
                <w:sz w:val="22"/>
                <w:szCs w:val="22"/>
              </w:rPr>
            </w:pPr>
            <w:r w:rsidRPr="00A22D75">
              <w:rPr>
                <w:sz w:val="22"/>
                <w:szCs w:val="22"/>
              </w:rPr>
              <w:t>darunavir</w:t>
            </w:r>
            <w:r w:rsidRPr="00A22D75">
              <w:rPr>
                <w:spacing w:val="-8"/>
                <w:sz w:val="22"/>
                <w:szCs w:val="22"/>
              </w:rPr>
              <w:t xml:space="preserve"> </w:t>
            </w:r>
            <w:r w:rsidRPr="00A22D75">
              <w:rPr>
                <w:spacing w:val="2"/>
                <w:sz w:val="22"/>
                <w:szCs w:val="22"/>
              </w:rPr>
              <w:t>C</w:t>
            </w:r>
            <w:r w:rsidRPr="00A22D75">
              <w:rPr>
                <w:spacing w:val="2"/>
                <w:sz w:val="22"/>
                <w:szCs w:val="22"/>
                <w:vertAlign w:val="subscript"/>
              </w:rPr>
              <w:t>max</w:t>
            </w:r>
            <w:r w:rsidRPr="00A22D75">
              <w:rPr>
                <w:spacing w:val="14"/>
                <w:position w:val="-3"/>
                <w:sz w:val="22"/>
                <w:szCs w:val="22"/>
              </w:rPr>
              <w:t xml:space="preserve"> </w:t>
            </w:r>
            <w:r w:rsidRPr="00A22D75">
              <w:rPr>
                <w:sz w:val="22"/>
                <w:szCs w:val="22"/>
              </w:rPr>
              <w:t>↔</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rsidR="00603CB3" w:rsidRPr="00A22D75" w:rsidRDefault="00603CB3" w:rsidP="00603CB3">
            <w:pPr>
              <w:ind w:left="137" w:right="56"/>
              <w:rPr>
                <w:sz w:val="22"/>
                <w:szCs w:val="22"/>
              </w:rPr>
            </w:pPr>
            <w:r w:rsidRPr="00A22D75">
              <w:rPr>
                <w:sz w:val="22"/>
                <w:szCs w:val="22"/>
              </w:rPr>
              <w:t>Darunavir kan administreres sammen med lavdosis ritonavir og rilpivirin uden dosisjusteringer.</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Pr>
                <w:b/>
                <w:i/>
                <w:sz w:val="22"/>
                <w:szCs w:val="22"/>
              </w:rPr>
            </w:pPr>
            <w:r w:rsidRPr="00A22D75">
              <w:rPr>
                <w:b/>
                <w:i/>
                <w:sz w:val="22"/>
                <w:szCs w:val="22"/>
              </w:rPr>
              <w:t>HIV-proteasehæmmere</w:t>
            </w:r>
            <w:r w:rsidRPr="00A22D75">
              <w:rPr>
                <w:b/>
                <w:i/>
                <w:spacing w:val="-8"/>
                <w:sz w:val="22"/>
                <w:szCs w:val="22"/>
              </w:rPr>
              <w:t xml:space="preserve"> </w:t>
            </w:r>
            <w:r w:rsidRPr="00A22D75">
              <w:rPr>
                <w:b/>
                <w:i/>
                <w:sz w:val="22"/>
                <w:szCs w:val="22"/>
              </w:rPr>
              <w:t>(PI’er)</w:t>
            </w:r>
            <w:r w:rsidRPr="00A22D75">
              <w:rPr>
                <w:b/>
                <w:i/>
                <w:spacing w:val="-3"/>
                <w:sz w:val="22"/>
                <w:szCs w:val="22"/>
              </w:rPr>
              <w:t xml:space="preserve"> </w:t>
            </w:r>
            <w:r w:rsidRPr="00A22D75">
              <w:rPr>
                <w:b/>
                <w:i/>
                <w:sz w:val="22"/>
                <w:szCs w:val="22"/>
              </w:rPr>
              <w:t>– uden yderligere</w:t>
            </w:r>
            <w:r w:rsidRPr="00A22D75">
              <w:rPr>
                <w:b/>
                <w:i/>
                <w:spacing w:val="-8"/>
                <w:sz w:val="22"/>
                <w:szCs w:val="22"/>
              </w:rPr>
              <w:t xml:space="preserve"> </w:t>
            </w:r>
            <w:r w:rsidRPr="00A22D75">
              <w:rPr>
                <w:b/>
                <w:i/>
                <w:sz w:val="22"/>
                <w:szCs w:val="22"/>
              </w:rPr>
              <w:t>c</w:t>
            </w:r>
            <w:r w:rsidRPr="00A22D75">
              <w:rPr>
                <w:b/>
                <w:i/>
                <w:spacing w:val="1"/>
                <w:sz w:val="22"/>
                <w:szCs w:val="22"/>
              </w:rPr>
              <w:t>o-</w:t>
            </w:r>
            <w:r w:rsidRPr="00A22D75">
              <w:rPr>
                <w:b/>
                <w:i/>
                <w:sz w:val="22"/>
                <w:szCs w:val="22"/>
              </w:rPr>
              <w:t>administration</w:t>
            </w:r>
            <w:r w:rsidRPr="00A22D75">
              <w:rPr>
                <w:b/>
                <w:i/>
                <w:spacing w:val="-15"/>
                <w:sz w:val="22"/>
                <w:szCs w:val="22"/>
              </w:rPr>
              <w:t xml:space="preserve"> af lavdosis</w:t>
            </w:r>
            <w:r w:rsidRPr="00A22D75">
              <w:rPr>
                <w:b/>
                <w:i/>
                <w:spacing w:val="-4"/>
                <w:sz w:val="22"/>
                <w:szCs w:val="22"/>
              </w:rPr>
              <w:t xml:space="preserve"> </w:t>
            </w:r>
            <w:r w:rsidRPr="00A22D75">
              <w:rPr>
                <w:b/>
                <w:i/>
                <w:sz w:val="22"/>
                <w:szCs w:val="22"/>
              </w:rPr>
              <w:t>ritonavir</w:t>
            </w:r>
            <w:r w:rsidRPr="00A22D75">
              <w:rPr>
                <w:b/>
                <w:i/>
                <w:position w:val="9"/>
                <w:sz w:val="22"/>
                <w:szCs w:val="22"/>
              </w:rPr>
              <w:t>†</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Atazanavir</w:t>
            </w:r>
          </w:p>
          <w:p w:rsidR="00603CB3" w:rsidRPr="00A22D75" w:rsidRDefault="00603CB3" w:rsidP="00603CB3">
            <w:pPr>
              <w:ind w:left="137" w:right="56"/>
              <w:rPr>
                <w:sz w:val="22"/>
                <w:szCs w:val="22"/>
              </w:rPr>
            </w:pPr>
            <w:r w:rsidRPr="00A22D75">
              <w:rPr>
                <w:spacing w:val="1"/>
                <w:sz w:val="22"/>
                <w:szCs w:val="22"/>
              </w:rPr>
              <w:t>30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4"/>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atazanavir</w:t>
            </w:r>
            <w:r w:rsidRPr="00A22D75">
              <w:rPr>
                <w:spacing w:val="-8"/>
                <w:sz w:val="22"/>
                <w:szCs w:val="22"/>
              </w:rPr>
              <w:t xml:space="preserve"> </w:t>
            </w:r>
            <w:r w:rsidRPr="00A22D75">
              <w:rPr>
                <w:sz w:val="22"/>
                <w:szCs w:val="22"/>
              </w:rPr>
              <w:t>AUC</w:t>
            </w:r>
            <w:r w:rsidRPr="00A22D75">
              <w:rPr>
                <w:spacing w:val="-4"/>
                <w:sz w:val="22"/>
                <w:szCs w:val="22"/>
              </w:rPr>
              <w:t xml:space="preserve"> </w:t>
            </w:r>
            <w:r w:rsidRPr="00A22D75">
              <w:rPr>
                <w:sz w:val="22"/>
                <w:szCs w:val="22"/>
              </w:rPr>
              <w:t>↔</w:t>
            </w:r>
          </w:p>
          <w:p w:rsidR="00603CB3" w:rsidRPr="00A22D75" w:rsidRDefault="00603CB3" w:rsidP="00603CB3">
            <w:pPr>
              <w:ind w:left="137" w:right="56"/>
              <w:rPr>
                <w:sz w:val="22"/>
                <w:szCs w:val="22"/>
              </w:rPr>
            </w:pPr>
            <w:r w:rsidRPr="00A22D75">
              <w:rPr>
                <w:sz w:val="22"/>
                <w:szCs w:val="22"/>
              </w:rPr>
              <w:t>atazanavir</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52 %</w:t>
            </w:r>
          </w:p>
          <w:p w:rsidR="00603CB3" w:rsidRPr="00A22D75" w:rsidRDefault="00603CB3" w:rsidP="00603CB3">
            <w:pPr>
              <w:ind w:left="137" w:right="56"/>
              <w:rPr>
                <w:sz w:val="22"/>
                <w:szCs w:val="22"/>
              </w:rPr>
            </w:pPr>
            <w:r w:rsidRPr="00A22D75">
              <w:rPr>
                <w:sz w:val="22"/>
                <w:szCs w:val="22"/>
              </w:rPr>
              <w:t>atazanavir</w:t>
            </w:r>
            <w:r w:rsidRPr="00A22D75">
              <w:rPr>
                <w:spacing w:val="-8"/>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11 %</w:t>
            </w:r>
          </w:p>
          <w:p w:rsidR="00603CB3" w:rsidRPr="00A22D75" w:rsidRDefault="00603CB3" w:rsidP="00603CB3">
            <w:pPr>
              <w:ind w:left="137" w:right="56"/>
              <w:rPr>
                <w:sz w:val="22"/>
                <w:szCs w:val="22"/>
              </w:rPr>
            </w:pPr>
            <w:r w:rsidRPr="00A22D75">
              <w:rPr>
                <w:position w:val="-1"/>
                <w:sz w:val="22"/>
                <w:szCs w:val="22"/>
                <w:vertAlign w:val="superscript"/>
              </w:rPr>
              <w:t>#</w:t>
            </w:r>
            <w:r w:rsidRPr="00A22D75">
              <w:rPr>
                <w:position w:val="-1"/>
                <w:sz w:val="22"/>
                <w:szCs w:val="22"/>
              </w:rPr>
              <w:t>darunavir</w:t>
            </w:r>
            <w:r w:rsidRPr="00A22D75">
              <w:rPr>
                <w:spacing w:val="-8"/>
                <w:position w:val="-1"/>
                <w:sz w:val="22"/>
                <w:szCs w:val="22"/>
              </w:rPr>
              <w:t xml:space="preserve"> </w:t>
            </w:r>
            <w:r w:rsidRPr="00A22D75">
              <w:rPr>
                <w:position w:val="-1"/>
                <w:sz w:val="22"/>
                <w:szCs w:val="22"/>
              </w:rPr>
              <w:t>AUC</w:t>
            </w:r>
            <w:r w:rsidRPr="00A22D75">
              <w:rPr>
                <w:spacing w:val="-3"/>
                <w:position w:val="-1"/>
                <w:sz w:val="22"/>
                <w:szCs w:val="22"/>
              </w:rPr>
              <w:t xml:space="preserve"> </w:t>
            </w:r>
            <w:r w:rsidRPr="00A22D75">
              <w:rPr>
                <w:position w:val="-1"/>
                <w:sz w:val="22"/>
                <w:szCs w:val="22"/>
              </w:rPr>
              <w:t>↔</w:t>
            </w:r>
          </w:p>
          <w:p w:rsidR="00603CB3" w:rsidRPr="00A22D75" w:rsidRDefault="00603CB3" w:rsidP="00603CB3">
            <w:pPr>
              <w:tabs>
                <w:tab w:val="left" w:pos="1360"/>
              </w:tabs>
              <w:ind w:left="137" w:right="56"/>
              <w:rPr>
                <w:sz w:val="22"/>
                <w:szCs w:val="22"/>
              </w:rPr>
            </w:pPr>
            <w:r w:rsidRPr="00A22D75">
              <w:rPr>
                <w:sz w:val="22"/>
                <w:szCs w:val="22"/>
                <w:vertAlign w:val="superscript"/>
              </w:rPr>
              <w:t>#</w:t>
            </w:r>
            <w:r w:rsidRPr="00A22D75">
              <w:rPr>
                <w:sz w:val="22"/>
                <w:szCs w:val="22"/>
              </w:rPr>
              <w:t xml:space="preserve">darunavir </w:t>
            </w:r>
            <w:r w:rsidRPr="00A22D75">
              <w:rPr>
                <w:spacing w:val="1"/>
                <w:sz w:val="22"/>
                <w:szCs w:val="22"/>
              </w:rPr>
              <w:t>C</w:t>
            </w:r>
            <w:r w:rsidRPr="00A22D75">
              <w:rPr>
                <w:spacing w:val="1"/>
                <w:sz w:val="22"/>
                <w:szCs w:val="22"/>
                <w:vertAlign w:val="subscript"/>
              </w:rPr>
              <w:t>min</w:t>
            </w:r>
            <w:r w:rsidRPr="00A22D75">
              <w:rPr>
                <w:spacing w:val="1"/>
                <w:sz w:val="22"/>
                <w:szCs w:val="22"/>
              </w:rPr>
              <w:t xml:space="preserve"> </w:t>
            </w:r>
            <w:r w:rsidRPr="00A22D75">
              <w:rPr>
                <w:position w:val="-5"/>
                <w:sz w:val="22"/>
                <w:szCs w:val="22"/>
              </w:rPr>
              <w:t>↔</w:t>
            </w:r>
          </w:p>
          <w:p w:rsidR="00603CB3" w:rsidRPr="00A22D75" w:rsidRDefault="00603CB3" w:rsidP="00603CB3">
            <w:pPr>
              <w:tabs>
                <w:tab w:val="left" w:pos="1380"/>
              </w:tabs>
              <w:ind w:left="137" w:right="56"/>
              <w:rPr>
                <w:sz w:val="22"/>
                <w:szCs w:val="22"/>
              </w:rPr>
            </w:pPr>
            <w:r w:rsidRPr="004623FF">
              <w:rPr>
                <w:sz w:val="22"/>
                <w:szCs w:val="22"/>
                <w:vertAlign w:val="superscript"/>
              </w:rPr>
              <w:t>#</w:t>
            </w:r>
            <w:r w:rsidRPr="004623FF">
              <w:rPr>
                <w:sz w:val="22"/>
                <w:szCs w:val="22"/>
              </w:rPr>
              <w:t>darunavir</w:t>
            </w:r>
            <w:r w:rsidRPr="00A22D75">
              <w:rPr>
                <w:spacing w:val="-7"/>
                <w:position w:val="-5"/>
                <w:sz w:val="22"/>
                <w:szCs w:val="22"/>
              </w:rPr>
              <w:t xml:space="preserve"> </w:t>
            </w:r>
            <w:r w:rsidRPr="00A22D75">
              <w:rPr>
                <w:spacing w:val="2"/>
                <w:sz w:val="22"/>
                <w:szCs w:val="22"/>
              </w:rPr>
              <w:t>C</w:t>
            </w:r>
            <w:r w:rsidRPr="00A22D75">
              <w:rPr>
                <w:spacing w:val="2"/>
                <w:sz w:val="22"/>
                <w:szCs w:val="22"/>
                <w:vertAlign w:val="subscript"/>
              </w:rPr>
              <w:t>max</w:t>
            </w:r>
            <w:r w:rsidRPr="00A22D75">
              <w:rPr>
                <w:spacing w:val="2"/>
                <w:sz w:val="22"/>
                <w:szCs w:val="22"/>
              </w:rPr>
              <w:t xml:space="preserve"> </w:t>
            </w:r>
            <w:r w:rsidRPr="00A22D75">
              <w:rPr>
                <w:position w:val="-5"/>
                <w:sz w:val="22"/>
                <w:szCs w:val="22"/>
              </w:rPr>
              <w:t>↔</w:t>
            </w:r>
          </w:p>
          <w:p w:rsidR="00603CB3" w:rsidRPr="00A22D75" w:rsidRDefault="00603CB3" w:rsidP="00603CB3">
            <w:pPr>
              <w:ind w:left="137" w:right="56"/>
              <w:rPr>
                <w:sz w:val="22"/>
                <w:szCs w:val="22"/>
              </w:rPr>
            </w:pPr>
          </w:p>
          <w:p w:rsidR="00603CB3" w:rsidRPr="00A22D75" w:rsidRDefault="00603CB3" w:rsidP="00603CB3">
            <w:pPr>
              <w:ind w:left="137" w:right="56"/>
              <w:rPr>
                <w:spacing w:val="-5"/>
                <w:sz w:val="22"/>
                <w:szCs w:val="22"/>
              </w:rPr>
            </w:pPr>
            <w:r w:rsidRPr="00A22D75">
              <w:rPr>
                <w:spacing w:val="-5"/>
                <w:sz w:val="22"/>
                <w:szCs w:val="22"/>
              </w:rPr>
              <w:t>Atazanavir: sammenligning af atazanavir/ritonavir 300/100 mg en gang daglig vs atazanavir 300 mg en gang daglig i kombination med darunavir/ritonavir 400/100 mg to gange daglig.</w:t>
            </w:r>
          </w:p>
          <w:p w:rsidR="00603CB3" w:rsidRPr="00A22D75" w:rsidRDefault="00603CB3" w:rsidP="00603CB3">
            <w:pPr>
              <w:ind w:left="137" w:right="56"/>
              <w:rPr>
                <w:spacing w:val="-5"/>
                <w:sz w:val="22"/>
                <w:szCs w:val="22"/>
              </w:rPr>
            </w:pPr>
          </w:p>
          <w:p w:rsidR="00603CB3" w:rsidRPr="00A22D75" w:rsidRDefault="00603CB3" w:rsidP="00603CB3">
            <w:pPr>
              <w:ind w:left="137" w:right="56"/>
              <w:rPr>
                <w:sz w:val="22"/>
                <w:szCs w:val="22"/>
              </w:rPr>
            </w:pPr>
            <w:r w:rsidRPr="00A22D75">
              <w:rPr>
                <w:sz w:val="22"/>
                <w:szCs w:val="22"/>
              </w:rPr>
              <w:t>Darunavir: sammenligning af darunavir/ritonavir 400/100 mg to gange daglig vs darunavir/ritonavir 400/100 mg to gange daglig i kombination med atazanavir 300 mg en gang daglig.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kan administreres sammen med lavdosis ritonavir og atazanavir uden dosisjusteringer.</w:t>
            </w:r>
          </w:p>
        </w:tc>
      </w:tr>
      <w:tr w:rsidR="00603CB3" w:rsidRPr="001054C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Indinavir</w:t>
            </w:r>
          </w:p>
          <w:p w:rsidR="00603CB3" w:rsidRPr="00A22D75" w:rsidRDefault="00603CB3" w:rsidP="00603CB3">
            <w:pPr>
              <w:ind w:left="137" w:right="56"/>
              <w:rPr>
                <w:sz w:val="22"/>
                <w:szCs w:val="22"/>
              </w:rPr>
            </w:pPr>
            <w:r w:rsidRPr="00A22D75">
              <w:rPr>
                <w:spacing w:val="1"/>
                <w:sz w:val="22"/>
                <w:szCs w:val="22"/>
              </w:rPr>
              <w:t>80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5"/>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lang w:val="en-US"/>
              </w:rPr>
            </w:pPr>
            <w:r w:rsidRPr="00A22D75">
              <w:rPr>
                <w:sz w:val="22"/>
                <w:szCs w:val="22"/>
                <w:lang w:val="en-US"/>
              </w:rPr>
              <w:t>indinavir</w:t>
            </w:r>
            <w:r w:rsidRPr="00A22D75">
              <w:rPr>
                <w:spacing w:val="-7"/>
                <w:sz w:val="22"/>
                <w:szCs w:val="22"/>
                <w:lang w:val="en-US"/>
              </w:rPr>
              <w:t xml:space="preserve"> </w:t>
            </w:r>
            <w:r w:rsidRPr="00A22D75">
              <w:rPr>
                <w:sz w:val="22"/>
                <w:szCs w:val="22"/>
                <w:lang w:val="en-US"/>
              </w:rPr>
              <w:t>AUC</w:t>
            </w:r>
            <w:r w:rsidRPr="00A22D75">
              <w:rPr>
                <w:spacing w:val="-1"/>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23 %</w:t>
            </w:r>
          </w:p>
          <w:p w:rsidR="00603CB3" w:rsidRPr="00A22D75" w:rsidRDefault="00603CB3" w:rsidP="00603CB3">
            <w:pPr>
              <w:ind w:left="137" w:right="56"/>
              <w:rPr>
                <w:sz w:val="22"/>
                <w:szCs w:val="22"/>
                <w:lang w:val="en-US"/>
              </w:rPr>
            </w:pPr>
            <w:r w:rsidRPr="00A22D75">
              <w:rPr>
                <w:sz w:val="22"/>
                <w:szCs w:val="22"/>
                <w:lang w:val="en-US"/>
              </w:rPr>
              <w:t>indinavir</w:t>
            </w:r>
            <w:r w:rsidRPr="00A22D75">
              <w:rPr>
                <w:spacing w:val="-7"/>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7"/>
                <w:position w:val="-3"/>
                <w:sz w:val="22"/>
                <w:szCs w:val="22"/>
                <w:lang w:val="en-US"/>
              </w:rPr>
              <w:t xml:space="preserve"> </w:t>
            </w:r>
            <w:r w:rsidRPr="00A22D75">
              <w:rPr>
                <w:sz w:val="22"/>
                <w:szCs w:val="22"/>
                <w:lang w:val="en-US"/>
              </w:rPr>
              <w:t>↑</w:t>
            </w:r>
            <w:r w:rsidRPr="00A22D75">
              <w:rPr>
                <w:spacing w:val="-4"/>
                <w:sz w:val="22"/>
                <w:szCs w:val="22"/>
                <w:lang w:val="en-US"/>
              </w:rPr>
              <w:t xml:space="preserve"> </w:t>
            </w:r>
            <w:r w:rsidRPr="00A22D75">
              <w:rPr>
                <w:spacing w:val="1"/>
                <w:sz w:val="22"/>
                <w:szCs w:val="22"/>
                <w:lang w:val="en-US"/>
              </w:rPr>
              <w:t>125 %</w:t>
            </w:r>
          </w:p>
          <w:p w:rsidR="00603CB3" w:rsidRPr="00A22D75" w:rsidRDefault="00603CB3" w:rsidP="00603CB3">
            <w:pPr>
              <w:ind w:left="137" w:right="56"/>
              <w:rPr>
                <w:sz w:val="22"/>
                <w:szCs w:val="22"/>
                <w:lang w:val="en-US"/>
              </w:rPr>
            </w:pPr>
            <w:r w:rsidRPr="00A22D75">
              <w:rPr>
                <w:sz w:val="22"/>
                <w:szCs w:val="22"/>
                <w:lang w:val="en-US"/>
              </w:rPr>
              <w:t>indinavir</w:t>
            </w:r>
            <w:r w:rsidRPr="00A22D75">
              <w:rPr>
                <w:spacing w:val="-7"/>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4"/>
                <w:position w:val="-3"/>
                <w:sz w:val="22"/>
                <w:szCs w:val="22"/>
                <w:lang w:val="en-US"/>
              </w:rPr>
              <w:t xml:space="preserve"> </w:t>
            </w:r>
            <w:r w:rsidRPr="00A22D75">
              <w:rPr>
                <w:sz w:val="22"/>
                <w:szCs w:val="22"/>
                <w:lang w:val="en-US"/>
              </w:rPr>
              <w:t>↔</w:t>
            </w:r>
          </w:p>
          <w:p w:rsidR="00603CB3" w:rsidRPr="00A22D75" w:rsidRDefault="00603CB3" w:rsidP="00603CB3">
            <w:pPr>
              <w:ind w:left="137" w:right="56"/>
              <w:rPr>
                <w:sz w:val="22"/>
                <w:szCs w:val="22"/>
                <w:lang w:val="en-US"/>
              </w:rPr>
            </w:pPr>
            <w:r w:rsidRPr="00A22D75">
              <w:rPr>
                <w:position w:val="-1"/>
                <w:sz w:val="22"/>
                <w:szCs w:val="22"/>
                <w:vertAlign w:val="superscript"/>
                <w:lang w:val="en-US"/>
              </w:rPr>
              <w:t>#</w:t>
            </w:r>
            <w:r w:rsidRPr="00A22D75">
              <w:rPr>
                <w:position w:val="-1"/>
                <w:sz w:val="22"/>
                <w:szCs w:val="22"/>
                <w:lang w:val="en-US"/>
              </w:rPr>
              <w:t>darunavir</w:t>
            </w:r>
            <w:r w:rsidRPr="00A22D75">
              <w:rPr>
                <w:spacing w:val="-8"/>
                <w:position w:val="-1"/>
                <w:sz w:val="22"/>
                <w:szCs w:val="22"/>
                <w:lang w:val="en-US"/>
              </w:rPr>
              <w:t xml:space="preserve"> </w:t>
            </w:r>
            <w:r w:rsidRPr="00A22D75">
              <w:rPr>
                <w:position w:val="-1"/>
                <w:sz w:val="22"/>
                <w:szCs w:val="22"/>
                <w:lang w:val="en-US"/>
              </w:rPr>
              <w:t>AUC</w:t>
            </w:r>
            <w:r w:rsidRPr="00A22D75">
              <w:rPr>
                <w:spacing w:val="-1"/>
                <w:position w:val="-1"/>
                <w:sz w:val="22"/>
                <w:szCs w:val="22"/>
                <w:lang w:val="en-US"/>
              </w:rPr>
              <w:t xml:space="preserve"> </w:t>
            </w:r>
            <w:r w:rsidRPr="00A22D75">
              <w:rPr>
                <w:position w:val="-1"/>
                <w:sz w:val="22"/>
                <w:szCs w:val="22"/>
                <w:lang w:val="en-US"/>
              </w:rPr>
              <w:t>↑ 24 %</w:t>
            </w:r>
          </w:p>
          <w:p w:rsidR="00603CB3" w:rsidRPr="00A22D75" w:rsidRDefault="00603CB3" w:rsidP="00603CB3">
            <w:pPr>
              <w:ind w:left="137" w:right="56"/>
              <w:rPr>
                <w:sz w:val="22"/>
                <w:szCs w:val="22"/>
                <w:lang w:val="en-US"/>
              </w:rPr>
            </w:pPr>
            <w:r w:rsidRPr="00A22D75">
              <w:rPr>
                <w:position w:val="-1"/>
                <w:sz w:val="22"/>
                <w:szCs w:val="22"/>
                <w:vertAlign w:val="superscript"/>
                <w:lang w:val="en-US"/>
              </w:rPr>
              <w:t>#</w:t>
            </w:r>
            <w:r w:rsidRPr="00A22D75">
              <w:rPr>
                <w:sz w:val="22"/>
                <w:szCs w:val="22"/>
                <w:lang w:val="en-US"/>
              </w:rPr>
              <w:t>darunavir</w:t>
            </w:r>
            <w:r w:rsidRPr="00A22D75">
              <w:rPr>
                <w:spacing w:val="-8"/>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44 %</w:t>
            </w:r>
          </w:p>
          <w:p w:rsidR="00603CB3" w:rsidRPr="00A22D75" w:rsidRDefault="00603CB3" w:rsidP="00603CB3">
            <w:pPr>
              <w:ind w:left="137" w:right="56"/>
              <w:rPr>
                <w:sz w:val="22"/>
                <w:szCs w:val="22"/>
                <w:lang w:val="en-US"/>
              </w:rPr>
            </w:pPr>
            <w:r w:rsidRPr="00A22D75">
              <w:rPr>
                <w:position w:val="-1"/>
                <w:sz w:val="22"/>
                <w:szCs w:val="22"/>
                <w:vertAlign w:val="superscript"/>
                <w:lang w:val="en-US"/>
              </w:rPr>
              <w:t>#</w:t>
            </w:r>
            <w:r w:rsidRPr="00A22D75">
              <w:rPr>
                <w:position w:val="1"/>
                <w:sz w:val="22"/>
                <w:szCs w:val="22"/>
                <w:lang w:val="en-US"/>
              </w:rPr>
              <w:t>darunavir</w:t>
            </w:r>
            <w:r w:rsidRPr="00A22D75">
              <w:rPr>
                <w:spacing w:val="-8"/>
                <w:position w:val="1"/>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7"/>
                <w:position w:val="-2"/>
                <w:sz w:val="22"/>
                <w:szCs w:val="22"/>
                <w:lang w:val="en-US"/>
              </w:rPr>
              <w:t xml:space="preserve"> </w:t>
            </w:r>
            <w:r w:rsidRPr="00A22D75">
              <w:rPr>
                <w:position w:val="1"/>
                <w:sz w:val="22"/>
                <w:szCs w:val="22"/>
                <w:lang w:val="en-US"/>
              </w:rPr>
              <w:t>↑</w:t>
            </w:r>
            <w:r w:rsidRPr="00A22D75">
              <w:rPr>
                <w:spacing w:val="-1"/>
                <w:position w:val="1"/>
                <w:sz w:val="22"/>
                <w:szCs w:val="22"/>
                <w:lang w:val="en-US"/>
              </w:rPr>
              <w:t xml:space="preserve"> </w:t>
            </w:r>
            <w:r w:rsidRPr="00A22D75">
              <w:rPr>
                <w:position w:val="1"/>
                <w:sz w:val="22"/>
                <w:szCs w:val="22"/>
                <w:lang w:val="en-US"/>
              </w:rPr>
              <w:t>11 %</w:t>
            </w:r>
          </w:p>
          <w:p w:rsidR="00603CB3" w:rsidRPr="00A22D75" w:rsidRDefault="00603CB3" w:rsidP="00603CB3">
            <w:pPr>
              <w:ind w:left="137" w:right="56"/>
              <w:rPr>
                <w:sz w:val="22"/>
                <w:szCs w:val="22"/>
                <w:lang w:val="en-US"/>
              </w:rPr>
            </w:pPr>
          </w:p>
          <w:p w:rsidR="00603CB3" w:rsidRPr="00815FE0" w:rsidRDefault="00603CB3" w:rsidP="00603CB3">
            <w:pPr>
              <w:ind w:left="137" w:right="56"/>
              <w:rPr>
                <w:spacing w:val="-5"/>
                <w:sz w:val="22"/>
                <w:szCs w:val="22"/>
              </w:rPr>
            </w:pPr>
            <w:r w:rsidRPr="00815FE0">
              <w:rPr>
                <w:spacing w:val="-5"/>
                <w:sz w:val="22"/>
                <w:szCs w:val="22"/>
              </w:rPr>
              <w:t>Indinavir: sammenligning af indinavir/ritonavir 800/100 mg to gange daglig vs indinavir/darunavir/ritonavir 800/400/100 mg to gange daglig.</w:t>
            </w:r>
          </w:p>
          <w:p w:rsidR="00603CB3" w:rsidRPr="00815FE0" w:rsidRDefault="00603CB3" w:rsidP="00603CB3">
            <w:pPr>
              <w:ind w:left="137" w:right="56"/>
              <w:rPr>
                <w:spacing w:val="-5"/>
                <w:sz w:val="22"/>
                <w:szCs w:val="22"/>
              </w:rPr>
            </w:pPr>
          </w:p>
          <w:p w:rsidR="00603CB3" w:rsidRPr="00815FE0" w:rsidRDefault="00603CB3" w:rsidP="00603CB3">
            <w:pPr>
              <w:ind w:left="137" w:right="56"/>
              <w:rPr>
                <w:sz w:val="22"/>
                <w:szCs w:val="22"/>
              </w:rPr>
            </w:pPr>
            <w:r w:rsidRPr="00815FE0">
              <w:rPr>
                <w:sz w:val="22"/>
                <w:szCs w:val="22"/>
              </w:rPr>
              <w:t>Darunavir: sammenligning af darunavir/ritonavir 400/100 mg to gange daglig vs darunavir/ritonavir 400/100 mg i kombination med indinavir 800 mg to gange daglig.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815FE0" w:rsidRDefault="00603CB3" w:rsidP="00603CB3">
            <w:pPr>
              <w:ind w:left="137" w:right="56"/>
              <w:rPr>
                <w:sz w:val="22"/>
                <w:szCs w:val="22"/>
              </w:rPr>
            </w:pPr>
            <w:r w:rsidRPr="00815FE0">
              <w:rPr>
                <w:sz w:val="22"/>
                <w:szCs w:val="22"/>
              </w:rPr>
              <w:t>Ved kombination af indinavir og darunavir administreret sammen med lavdosis ritonavir kan dosisjustering af indinavir fra 800 mg to gange daglig til 600 mg to gange daglig være nødvendig pga. intolerans.</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Saquinavir</w:t>
            </w:r>
          </w:p>
          <w:p w:rsidR="00603CB3" w:rsidRPr="00A22D75" w:rsidRDefault="00603CB3" w:rsidP="00603CB3">
            <w:pPr>
              <w:ind w:left="137" w:right="56"/>
              <w:rPr>
                <w:sz w:val="22"/>
                <w:szCs w:val="22"/>
              </w:rPr>
            </w:pPr>
            <w:r w:rsidRPr="00A22D75">
              <w:rPr>
                <w:spacing w:val="1"/>
                <w:sz w:val="22"/>
                <w:szCs w:val="22"/>
              </w:rPr>
              <w:t>1.00</w:t>
            </w:r>
            <w:r w:rsidRPr="00A22D75">
              <w:rPr>
                <w:sz w:val="22"/>
                <w:szCs w:val="22"/>
              </w:rPr>
              <w:t>0</w:t>
            </w:r>
            <w:r w:rsidRPr="00A22D75">
              <w:rPr>
                <w:spacing w:val="-5"/>
                <w:sz w:val="22"/>
                <w:szCs w:val="22"/>
              </w:rPr>
              <w:t xml:space="preserve"> </w:t>
            </w:r>
            <w:r w:rsidRPr="00A22D75">
              <w:rPr>
                <w:sz w:val="22"/>
                <w:szCs w:val="22"/>
              </w:rPr>
              <w:t>mg</w:t>
            </w:r>
            <w:r w:rsidRPr="00A22D75">
              <w:rPr>
                <w:spacing w:val="-3"/>
                <w:sz w:val="22"/>
                <w:szCs w:val="22"/>
              </w:rPr>
              <w:t xml:space="preserve"> </w:t>
            </w:r>
            <w:r w:rsidRPr="00A22D75">
              <w:rPr>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position w:val="-1"/>
                <w:sz w:val="22"/>
                <w:szCs w:val="22"/>
                <w:vertAlign w:val="superscript"/>
              </w:rPr>
              <w:t>#</w:t>
            </w:r>
            <w:r w:rsidRPr="00A22D75">
              <w:rPr>
                <w:sz w:val="22"/>
                <w:szCs w:val="22"/>
              </w:rPr>
              <w:t>darunavir</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 26 %</w:t>
            </w:r>
          </w:p>
          <w:p w:rsidR="00603CB3" w:rsidRPr="00A22D75" w:rsidRDefault="00603CB3" w:rsidP="00603CB3">
            <w:pPr>
              <w:ind w:left="137" w:right="56"/>
              <w:rPr>
                <w:sz w:val="22"/>
                <w:szCs w:val="22"/>
              </w:rPr>
            </w:pPr>
            <w:r w:rsidRPr="00A22D75">
              <w:rPr>
                <w:position w:val="-1"/>
                <w:sz w:val="22"/>
                <w:szCs w:val="22"/>
                <w:vertAlign w:val="superscript"/>
              </w:rPr>
              <w:t>#</w:t>
            </w:r>
            <w:r w:rsidRPr="00A22D75">
              <w:rPr>
                <w:sz w:val="22"/>
                <w:szCs w:val="22"/>
              </w:rPr>
              <w:t>darunavir</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42 %</w:t>
            </w:r>
          </w:p>
          <w:p w:rsidR="00603CB3" w:rsidRPr="00A22D75" w:rsidRDefault="00603CB3" w:rsidP="00603CB3">
            <w:pPr>
              <w:ind w:left="137" w:right="56"/>
              <w:rPr>
                <w:sz w:val="22"/>
                <w:szCs w:val="22"/>
              </w:rPr>
            </w:pPr>
            <w:r w:rsidRPr="00A22D75">
              <w:rPr>
                <w:position w:val="-1"/>
                <w:sz w:val="22"/>
                <w:szCs w:val="22"/>
                <w:vertAlign w:val="superscript"/>
              </w:rPr>
              <w:t>#</w:t>
            </w:r>
            <w:r w:rsidRPr="00A22D75">
              <w:rPr>
                <w:position w:val="1"/>
                <w:sz w:val="22"/>
                <w:szCs w:val="22"/>
              </w:rPr>
              <w:t>darunavir</w:t>
            </w:r>
            <w:r w:rsidRPr="00A22D75">
              <w:rPr>
                <w:spacing w:val="-8"/>
                <w:position w:val="1"/>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2"/>
                <w:sz w:val="22"/>
                <w:szCs w:val="22"/>
              </w:rPr>
              <w:t xml:space="preserve"> </w:t>
            </w:r>
            <w:r w:rsidRPr="00A22D75">
              <w:rPr>
                <w:position w:val="1"/>
                <w:sz w:val="22"/>
                <w:szCs w:val="22"/>
              </w:rPr>
              <w:t>↓</w:t>
            </w:r>
            <w:r w:rsidRPr="00A22D75">
              <w:rPr>
                <w:spacing w:val="-1"/>
                <w:position w:val="1"/>
                <w:sz w:val="22"/>
                <w:szCs w:val="22"/>
              </w:rPr>
              <w:t xml:space="preserve"> </w:t>
            </w:r>
            <w:r w:rsidRPr="00A22D75">
              <w:rPr>
                <w:position w:val="1"/>
                <w:sz w:val="22"/>
                <w:szCs w:val="22"/>
              </w:rPr>
              <w:t>17 %</w:t>
            </w:r>
          </w:p>
          <w:p w:rsidR="00603CB3" w:rsidRPr="00A22D75" w:rsidRDefault="00603CB3" w:rsidP="00603CB3">
            <w:pPr>
              <w:ind w:left="137" w:right="56"/>
              <w:rPr>
                <w:sz w:val="22"/>
                <w:szCs w:val="22"/>
              </w:rPr>
            </w:pPr>
            <w:r w:rsidRPr="00A22D75">
              <w:rPr>
                <w:sz w:val="22"/>
                <w:szCs w:val="22"/>
              </w:rPr>
              <w:t>saquinavir</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2"/>
                <w:sz w:val="22"/>
                <w:szCs w:val="22"/>
              </w:rPr>
              <w:t xml:space="preserve"> </w:t>
            </w:r>
            <w:r w:rsidRPr="00A22D75">
              <w:rPr>
                <w:spacing w:val="-1"/>
                <w:sz w:val="22"/>
                <w:szCs w:val="22"/>
              </w:rPr>
              <w:t>6 %</w:t>
            </w:r>
          </w:p>
          <w:p w:rsidR="00603CB3" w:rsidRPr="00A22D75" w:rsidRDefault="00603CB3" w:rsidP="00603CB3">
            <w:pPr>
              <w:ind w:left="137" w:right="56"/>
              <w:rPr>
                <w:sz w:val="22"/>
                <w:szCs w:val="22"/>
              </w:rPr>
            </w:pPr>
            <w:r w:rsidRPr="00A22D75">
              <w:rPr>
                <w:sz w:val="22"/>
                <w:szCs w:val="22"/>
              </w:rPr>
              <w:t>saquinavir</w:t>
            </w:r>
            <w:r w:rsidRPr="00A22D75">
              <w:rPr>
                <w:spacing w:val="-8"/>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1"/>
                <w:sz w:val="22"/>
                <w:szCs w:val="22"/>
              </w:rPr>
              <w:t xml:space="preserve"> </w:t>
            </w:r>
            <w:r w:rsidRPr="00A22D75">
              <w:rPr>
                <w:sz w:val="22"/>
                <w:szCs w:val="22"/>
              </w:rPr>
              <w:t>18 %</w:t>
            </w:r>
          </w:p>
          <w:p w:rsidR="00603CB3" w:rsidRPr="00A22D75" w:rsidRDefault="00603CB3" w:rsidP="00603CB3">
            <w:pPr>
              <w:ind w:left="137" w:right="56"/>
              <w:rPr>
                <w:sz w:val="22"/>
                <w:szCs w:val="22"/>
              </w:rPr>
            </w:pPr>
            <w:r w:rsidRPr="00A22D75">
              <w:rPr>
                <w:position w:val="1"/>
                <w:sz w:val="22"/>
                <w:szCs w:val="22"/>
              </w:rPr>
              <w:t>saquinavir</w:t>
            </w:r>
            <w:r w:rsidRPr="00A22D75">
              <w:rPr>
                <w:spacing w:val="-8"/>
                <w:position w:val="1"/>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2"/>
                <w:sz w:val="22"/>
                <w:szCs w:val="22"/>
              </w:rPr>
              <w:t xml:space="preserve"> </w:t>
            </w:r>
            <w:r w:rsidRPr="00A22D75">
              <w:rPr>
                <w:position w:val="1"/>
                <w:sz w:val="22"/>
                <w:szCs w:val="22"/>
              </w:rPr>
              <w:t>↓</w:t>
            </w:r>
            <w:r w:rsidRPr="00A22D75">
              <w:rPr>
                <w:spacing w:val="-2"/>
                <w:position w:val="1"/>
                <w:sz w:val="22"/>
                <w:szCs w:val="22"/>
              </w:rPr>
              <w:t xml:space="preserve"> </w:t>
            </w:r>
            <w:r w:rsidRPr="00A22D75">
              <w:rPr>
                <w:spacing w:val="-1"/>
                <w:position w:val="1"/>
                <w:sz w:val="22"/>
                <w:szCs w:val="22"/>
              </w:rPr>
              <w:t>6 %</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Saquinavir: sammenligning af saquinavir/ritonavir 1.000/100 mg to gange daglig vs saquinavir/darunavir/ritonavir 1.000/400/100 mg to gange daglig.</w:t>
            </w:r>
          </w:p>
          <w:p w:rsidR="00603CB3" w:rsidRPr="00A22D75" w:rsidRDefault="00603CB3" w:rsidP="00603CB3">
            <w:pPr>
              <w:ind w:left="137" w:right="56"/>
              <w:rPr>
                <w:spacing w:val="-3"/>
                <w:sz w:val="22"/>
                <w:szCs w:val="22"/>
              </w:rPr>
            </w:pPr>
          </w:p>
          <w:p w:rsidR="00603CB3" w:rsidRPr="00A22D75" w:rsidRDefault="00603CB3" w:rsidP="00603CB3">
            <w:pPr>
              <w:ind w:left="137" w:right="56"/>
              <w:rPr>
                <w:sz w:val="22"/>
                <w:szCs w:val="22"/>
              </w:rPr>
            </w:pPr>
            <w:r w:rsidRPr="00A22D75">
              <w:rPr>
                <w:sz w:val="22"/>
                <w:szCs w:val="22"/>
              </w:rPr>
              <w:t>Darunavir: sammenligning af darunavir/ritonavir 400/100 mg to gange daglig vs darunavir/ritonavir 400/100 mg i kombination med saquinavir 1.000 mg to gange daglig.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Det anbefales ikke at kombinere saquinavir med darunavir, når det administreres sammen med lavdosis ritonavir.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i/>
                <w:sz w:val="22"/>
                <w:szCs w:val="22"/>
              </w:rPr>
              <w:t>HIV-proteasehæmmere</w:t>
            </w:r>
            <w:r w:rsidRPr="00A22D75">
              <w:rPr>
                <w:b/>
                <w:bCs/>
                <w:i/>
                <w:spacing w:val="-8"/>
                <w:sz w:val="22"/>
                <w:szCs w:val="22"/>
              </w:rPr>
              <w:t xml:space="preserve"> </w:t>
            </w:r>
            <w:r w:rsidRPr="00A22D75">
              <w:rPr>
                <w:b/>
                <w:bCs/>
                <w:i/>
                <w:sz w:val="22"/>
                <w:szCs w:val="22"/>
              </w:rPr>
              <w:t>(PI’er)</w:t>
            </w:r>
            <w:r w:rsidRPr="00A22D75">
              <w:rPr>
                <w:b/>
                <w:bCs/>
                <w:i/>
                <w:spacing w:val="-3"/>
                <w:sz w:val="22"/>
                <w:szCs w:val="22"/>
              </w:rPr>
              <w:t xml:space="preserve"> </w:t>
            </w:r>
            <w:r w:rsidRPr="00A22D75">
              <w:rPr>
                <w:b/>
                <w:bCs/>
                <w:i/>
                <w:sz w:val="22"/>
                <w:szCs w:val="22"/>
              </w:rPr>
              <w:t>- med</w:t>
            </w:r>
            <w:r w:rsidRPr="00A22D75">
              <w:rPr>
                <w:b/>
                <w:bCs/>
                <w:i/>
                <w:spacing w:val="-4"/>
                <w:sz w:val="22"/>
                <w:szCs w:val="22"/>
              </w:rPr>
              <w:t xml:space="preserve"> </w:t>
            </w:r>
            <w:r w:rsidRPr="00A22D75">
              <w:rPr>
                <w:b/>
                <w:bCs/>
                <w:i/>
                <w:sz w:val="22"/>
                <w:szCs w:val="22"/>
              </w:rPr>
              <w:t>c</w:t>
            </w:r>
            <w:r w:rsidRPr="00A22D75">
              <w:rPr>
                <w:b/>
                <w:bCs/>
                <w:i/>
                <w:spacing w:val="1"/>
                <w:sz w:val="22"/>
                <w:szCs w:val="22"/>
              </w:rPr>
              <w:t>o-</w:t>
            </w:r>
            <w:r w:rsidRPr="00A22D75">
              <w:rPr>
                <w:b/>
                <w:bCs/>
                <w:i/>
                <w:sz w:val="22"/>
                <w:szCs w:val="22"/>
              </w:rPr>
              <w:t>administration</w:t>
            </w:r>
            <w:r w:rsidRPr="00A22D75">
              <w:rPr>
                <w:b/>
                <w:bCs/>
                <w:i/>
                <w:spacing w:val="-15"/>
                <w:sz w:val="22"/>
                <w:szCs w:val="22"/>
              </w:rPr>
              <w:t xml:space="preserve"> </w:t>
            </w:r>
            <w:r w:rsidRPr="00A22D75">
              <w:rPr>
                <w:b/>
                <w:bCs/>
                <w:i/>
                <w:sz w:val="22"/>
                <w:szCs w:val="22"/>
              </w:rPr>
              <w:t>af lavdosis</w:t>
            </w:r>
            <w:r w:rsidRPr="00A22D75">
              <w:rPr>
                <w:b/>
                <w:bCs/>
                <w:i/>
                <w:spacing w:val="-4"/>
                <w:sz w:val="22"/>
                <w:szCs w:val="22"/>
              </w:rPr>
              <w:t xml:space="preserve"> </w:t>
            </w:r>
            <w:r w:rsidRPr="00A22D75">
              <w:rPr>
                <w:b/>
                <w:bCs/>
                <w:i/>
                <w:sz w:val="22"/>
                <w:szCs w:val="22"/>
              </w:rPr>
              <w:t>ritonavir</w:t>
            </w:r>
            <w:r w:rsidRPr="00A22D75">
              <w:rPr>
                <w:b/>
                <w:bCs/>
                <w:position w:val="9"/>
                <w:sz w:val="22"/>
                <w:szCs w:val="22"/>
              </w:rPr>
              <w:t>†</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1054C5" w:rsidRDefault="00603CB3" w:rsidP="00603CB3">
            <w:pPr>
              <w:ind w:left="137" w:right="56"/>
              <w:rPr>
                <w:sz w:val="22"/>
                <w:szCs w:val="22"/>
                <w:lang w:val="nb-NO"/>
              </w:rPr>
            </w:pPr>
            <w:r w:rsidRPr="001054C5">
              <w:rPr>
                <w:sz w:val="22"/>
                <w:szCs w:val="22"/>
                <w:lang w:val="nb-NO"/>
              </w:rPr>
              <w:t>Lopinavir/ritonavir</w:t>
            </w:r>
          </w:p>
          <w:p w:rsidR="00603CB3" w:rsidRPr="001054C5" w:rsidRDefault="00603CB3" w:rsidP="00603CB3">
            <w:pPr>
              <w:ind w:left="137" w:right="56"/>
              <w:rPr>
                <w:sz w:val="22"/>
                <w:szCs w:val="22"/>
                <w:lang w:val="nb-NO"/>
              </w:rPr>
            </w:pPr>
            <w:r w:rsidRPr="001054C5">
              <w:rPr>
                <w:spacing w:val="1"/>
                <w:sz w:val="22"/>
                <w:szCs w:val="22"/>
                <w:lang w:val="nb-NO"/>
              </w:rPr>
              <w:t>400/10</w:t>
            </w:r>
            <w:r w:rsidRPr="001054C5">
              <w:rPr>
                <w:sz w:val="22"/>
                <w:szCs w:val="22"/>
                <w:lang w:val="nb-NO"/>
              </w:rPr>
              <w:t>0</w:t>
            </w:r>
            <w:r w:rsidRPr="001054C5">
              <w:rPr>
                <w:spacing w:val="-5"/>
                <w:sz w:val="22"/>
                <w:szCs w:val="22"/>
                <w:lang w:val="nb-NO"/>
              </w:rPr>
              <w:t xml:space="preserve"> </w:t>
            </w:r>
            <w:r w:rsidRPr="001054C5">
              <w:rPr>
                <w:sz w:val="22"/>
                <w:szCs w:val="22"/>
                <w:lang w:val="nb-NO"/>
              </w:rPr>
              <w:t>mg</w:t>
            </w:r>
            <w:r w:rsidRPr="001054C5">
              <w:rPr>
                <w:spacing w:val="-3"/>
                <w:sz w:val="22"/>
                <w:szCs w:val="22"/>
                <w:lang w:val="nb-NO"/>
              </w:rPr>
              <w:t xml:space="preserve"> </w:t>
            </w:r>
            <w:r w:rsidRPr="001054C5">
              <w:rPr>
                <w:sz w:val="22"/>
                <w:szCs w:val="22"/>
                <w:lang w:val="nb-NO"/>
              </w:rPr>
              <w:t>to gange daglig</w:t>
            </w:r>
          </w:p>
          <w:p w:rsidR="00603CB3" w:rsidRPr="001054C5" w:rsidRDefault="00603CB3" w:rsidP="00603CB3">
            <w:pPr>
              <w:ind w:left="137" w:right="56"/>
              <w:rPr>
                <w:sz w:val="22"/>
                <w:szCs w:val="22"/>
                <w:lang w:val="nb-NO"/>
              </w:rPr>
            </w:pPr>
          </w:p>
          <w:p w:rsidR="00603CB3" w:rsidRPr="001054C5" w:rsidRDefault="00603CB3" w:rsidP="00603CB3">
            <w:pPr>
              <w:ind w:left="137" w:right="56"/>
              <w:rPr>
                <w:sz w:val="22"/>
                <w:szCs w:val="22"/>
                <w:lang w:val="nb-NO"/>
              </w:rPr>
            </w:pPr>
          </w:p>
          <w:p w:rsidR="00603CB3" w:rsidRPr="001054C5" w:rsidRDefault="00603CB3" w:rsidP="00603CB3">
            <w:pPr>
              <w:ind w:left="137" w:right="56"/>
              <w:rPr>
                <w:sz w:val="22"/>
                <w:szCs w:val="22"/>
                <w:lang w:val="nb-NO"/>
              </w:rPr>
            </w:pPr>
          </w:p>
          <w:p w:rsidR="00603CB3" w:rsidRPr="001054C5" w:rsidRDefault="00603CB3" w:rsidP="00603CB3">
            <w:pPr>
              <w:ind w:left="137" w:right="56"/>
              <w:rPr>
                <w:sz w:val="22"/>
                <w:szCs w:val="22"/>
                <w:lang w:val="nb-NO"/>
              </w:rPr>
            </w:pPr>
          </w:p>
          <w:p w:rsidR="00603CB3" w:rsidRPr="001054C5" w:rsidRDefault="00603CB3" w:rsidP="00603CB3">
            <w:pPr>
              <w:ind w:left="137" w:right="56"/>
              <w:rPr>
                <w:sz w:val="22"/>
                <w:szCs w:val="22"/>
                <w:lang w:val="nb-NO"/>
              </w:rPr>
            </w:pPr>
          </w:p>
          <w:p w:rsidR="00603CB3" w:rsidRPr="001054C5" w:rsidRDefault="00603CB3" w:rsidP="00603CB3">
            <w:pPr>
              <w:ind w:left="137" w:right="56"/>
              <w:rPr>
                <w:sz w:val="22"/>
                <w:szCs w:val="22"/>
                <w:lang w:val="nb-NO"/>
              </w:rPr>
            </w:pPr>
            <w:r w:rsidRPr="001054C5">
              <w:rPr>
                <w:sz w:val="22"/>
                <w:szCs w:val="22"/>
                <w:lang w:val="nb-NO"/>
              </w:rPr>
              <w:t>Lopinavir/ritonavir</w:t>
            </w:r>
          </w:p>
          <w:p w:rsidR="00603CB3" w:rsidRPr="00A22D75" w:rsidRDefault="00603CB3" w:rsidP="00603CB3">
            <w:pPr>
              <w:ind w:left="137" w:right="56"/>
              <w:rPr>
                <w:sz w:val="22"/>
                <w:szCs w:val="22"/>
              </w:rPr>
            </w:pPr>
            <w:r w:rsidRPr="00A22D75">
              <w:rPr>
                <w:spacing w:val="1"/>
                <w:sz w:val="22"/>
                <w:szCs w:val="22"/>
              </w:rPr>
              <w:t>533/133,</w:t>
            </w:r>
            <w:r w:rsidRPr="00A22D75">
              <w:rPr>
                <w:sz w:val="22"/>
                <w:szCs w:val="22"/>
              </w:rPr>
              <w:t>3</w:t>
            </w:r>
            <w:r w:rsidRPr="00A22D75">
              <w:rPr>
                <w:spacing w:val="-6"/>
                <w:sz w:val="22"/>
                <w:szCs w:val="22"/>
              </w:rPr>
              <w:t xml:space="preserve"> </w:t>
            </w:r>
            <w:r w:rsidRPr="00A22D75">
              <w:rPr>
                <w:sz w:val="22"/>
                <w:szCs w:val="22"/>
              </w:rPr>
              <w:t>mg</w:t>
            </w:r>
            <w:r w:rsidRPr="00A22D75">
              <w:rPr>
                <w:spacing w:val="-4"/>
                <w:sz w:val="22"/>
                <w:szCs w:val="22"/>
              </w:rPr>
              <w:t xml:space="preserve"> 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815FE0" w:rsidRDefault="00603CB3" w:rsidP="00603CB3">
            <w:pPr>
              <w:ind w:left="137" w:right="56"/>
              <w:rPr>
                <w:sz w:val="22"/>
                <w:szCs w:val="22"/>
                <w:lang w:val="en-US"/>
              </w:rPr>
            </w:pPr>
            <w:r w:rsidRPr="00815FE0">
              <w:rPr>
                <w:sz w:val="22"/>
                <w:szCs w:val="22"/>
                <w:lang w:val="en-US"/>
              </w:rPr>
              <w:t>lopinavir</w:t>
            </w:r>
            <w:r w:rsidRPr="00815FE0">
              <w:rPr>
                <w:spacing w:val="-7"/>
                <w:sz w:val="22"/>
                <w:szCs w:val="22"/>
                <w:lang w:val="en-US"/>
              </w:rPr>
              <w:t xml:space="preserve"> </w:t>
            </w:r>
            <w:r w:rsidRPr="00815FE0">
              <w:rPr>
                <w:sz w:val="22"/>
                <w:szCs w:val="22"/>
                <w:lang w:val="en-US"/>
              </w:rPr>
              <w:t>AUC</w:t>
            </w:r>
            <w:r w:rsidRPr="00815FE0">
              <w:rPr>
                <w:spacing w:val="-1"/>
                <w:sz w:val="22"/>
                <w:szCs w:val="22"/>
                <w:lang w:val="en-US"/>
              </w:rPr>
              <w:t xml:space="preserve"> </w:t>
            </w:r>
            <w:r w:rsidRPr="00815FE0">
              <w:rPr>
                <w:sz w:val="22"/>
                <w:szCs w:val="22"/>
                <w:lang w:val="en-US"/>
              </w:rPr>
              <w:t>↑</w:t>
            </w:r>
            <w:r w:rsidRPr="00815FE0">
              <w:rPr>
                <w:spacing w:val="-2"/>
                <w:sz w:val="22"/>
                <w:szCs w:val="22"/>
                <w:lang w:val="en-US"/>
              </w:rPr>
              <w:t xml:space="preserve"> </w:t>
            </w:r>
            <w:r w:rsidRPr="00815FE0">
              <w:rPr>
                <w:spacing w:val="-1"/>
                <w:sz w:val="22"/>
                <w:szCs w:val="22"/>
                <w:lang w:val="en-US"/>
              </w:rPr>
              <w:t>9 %</w:t>
            </w:r>
          </w:p>
          <w:p w:rsidR="00603CB3" w:rsidRPr="00815FE0" w:rsidRDefault="00603CB3" w:rsidP="00603CB3">
            <w:pPr>
              <w:ind w:left="137" w:right="56"/>
              <w:rPr>
                <w:sz w:val="22"/>
                <w:szCs w:val="22"/>
                <w:lang w:val="en-US"/>
              </w:rPr>
            </w:pPr>
            <w:r w:rsidRPr="00815FE0">
              <w:rPr>
                <w:sz w:val="22"/>
                <w:szCs w:val="22"/>
                <w:lang w:val="en-US"/>
              </w:rPr>
              <w:t>lopinavir</w:t>
            </w:r>
            <w:r w:rsidRPr="00815FE0">
              <w:rPr>
                <w:spacing w:val="-7"/>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 xml:space="preserve">23 % </w:t>
            </w:r>
          </w:p>
          <w:p w:rsidR="00603CB3" w:rsidRPr="00815FE0" w:rsidRDefault="00603CB3" w:rsidP="00603CB3">
            <w:pPr>
              <w:ind w:left="137" w:right="56"/>
              <w:rPr>
                <w:spacing w:val="-1"/>
                <w:sz w:val="22"/>
                <w:szCs w:val="22"/>
                <w:lang w:val="en-US"/>
              </w:rPr>
            </w:pPr>
            <w:r w:rsidRPr="00815FE0">
              <w:rPr>
                <w:sz w:val="22"/>
                <w:szCs w:val="22"/>
                <w:lang w:val="en-US"/>
              </w:rPr>
              <w:t>lopinavir</w:t>
            </w:r>
            <w:r w:rsidRPr="00815FE0">
              <w:rPr>
                <w:spacing w:val="-7"/>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w:t>
            </w:r>
            <w:r w:rsidRPr="00815FE0">
              <w:rPr>
                <w:spacing w:val="-2"/>
                <w:sz w:val="22"/>
                <w:szCs w:val="22"/>
                <w:lang w:val="en-US"/>
              </w:rPr>
              <w:t xml:space="preserve"> </w:t>
            </w:r>
            <w:r w:rsidRPr="00815FE0">
              <w:rPr>
                <w:spacing w:val="-1"/>
                <w:sz w:val="22"/>
                <w:szCs w:val="22"/>
                <w:lang w:val="en-US"/>
              </w:rPr>
              <w:t xml:space="preserve">2 % </w:t>
            </w:r>
          </w:p>
          <w:p w:rsidR="00603CB3" w:rsidRPr="00815FE0" w:rsidRDefault="00603CB3" w:rsidP="00603CB3">
            <w:pPr>
              <w:ind w:left="137" w:right="56"/>
              <w:rPr>
                <w:position w:val="9"/>
                <w:sz w:val="22"/>
                <w:szCs w:val="22"/>
                <w:lang w:val="en-US"/>
              </w:rPr>
            </w:pPr>
            <w:r w:rsidRPr="00815FE0">
              <w:rPr>
                <w:sz w:val="22"/>
                <w:szCs w:val="22"/>
                <w:lang w:val="en-US"/>
              </w:rPr>
              <w:t>darunavir</w:t>
            </w:r>
            <w:r w:rsidRPr="00815FE0">
              <w:rPr>
                <w:spacing w:val="-8"/>
                <w:sz w:val="22"/>
                <w:szCs w:val="22"/>
                <w:lang w:val="en-US"/>
              </w:rPr>
              <w:t xml:space="preserve"> </w:t>
            </w:r>
            <w:r w:rsidRPr="00815FE0">
              <w:rPr>
                <w:sz w:val="22"/>
                <w:szCs w:val="22"/>
                <w:lang w:val="en-US"/>
              </w:rPr>
              <w:t>AUC</w:t>
            </w:r>
            <w:r w:rsidRPr="00815FE0">
              <w:rPr>
                <w:spacing w:val="-1"/>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38 %</w:t>
            </w:r>
            <w:r w:rsidRPr="00815FE0">
              <w:rPr>
                <w:position w:val="9"/>
                <w:sz w:val="22"/>
                <w:szCs w:val="22"/>
                <w:lang w:val="en-US"/>
              </w:rPr>
              <w:t xml:space="preserve">‡ </w:t>
            </w:r>
          </w:p>
          <w:p w:rsidR="00603CB3" w:rsidRPr="00815FE0" w:rsidRDefault="00603CB3" w:rsidP="00603CB3">
            <w:pPr>
              <w:ind w:left="137" w:right="56"/>
              <w:rPr>
                <w:position w:val="9"/>
                <w:sz w:val="22"/>
                <w:szCs w:val="22"/>
                <w:lang w:val="en-US"/>
              </w:rPr>
            </w:pPr>
            <w:r w:rsidRPr="00815FE0">
              <w:rPr>
                <w:sz w:val="22"/>
                <w:szCs w:val="22"/>
                <w:lang w:val="en-US"/>
              </w:rPr>
              <w:t>darunavir</w:t>
            </w:r>
            <w:r w:rsidRPr="00815FE0">
              <w:rPr>
                <w:spacing w:val="-7"/>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51 %</w:t>
            </w:r>
            <w:r w:rsidRPr="00815FE0">
              <w:rPr>
                <w:position w:val="9"/>
                <w:sz w:val="22"/>
                <w:szCs w:val="22"/>
                <w:lang w:val="en-US"/>
              </w:rPr>
              <w:t xml:space="preserve">‡ </w:t>
            </w:r>
          </w:p>
          <w:p w:rsidR="00603CB3" w:rsidRPr="00815FE0" w:rsidRDefault="00603CB3" w:rsidP="00603CB3">
            <w:pPr>
              <w:ind w:left="137" w:right="56"/>
              <w:rPr>
                <w:position w:val="9"/>
                <w:sz w:val="22"/>
                <w:szCs w:val="22"/>
                <w:lang w:val="en-US"/>
              </w:rPr>
            </w:pPr>
            <w:r w:rsidRPr="00815FE0">
              <w:rPr>
                <w:sz w:val="22"/>
                <w:szCs w:val="22"/>
                <w:lang w:val="en-US"/>
              </w:rPr>
              <w:t>darunavir</w:t>
            </w:r>
            <w:r w:rsidRPr="00815FE0">
              <w:rPr>
                <w:spacing w:val="-7"/>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21 %</w:t>
            </w:r>
            <w:r w:rsidRPr="00815FE0">
              <w:rPr>
                <w:position w:val="9"/>
                <w:sz w:val="22"/>
                <w:szCs w:val="22"/>
                <w:lang w:val="en-US"/>
              </w:rPr>
              <w:t xml:space="preserve">‡ </w:t>
            </w:r>
          </w:p>
          <w:p w:rsidR="00603CB3" w:rsidRPr="00815FE0" w:rsidRDefault="00603CB3" w:rsidP="00603CB3">
            <w:pPr>
              <w:ind w:left="137" w:right="56"/>
              <w:rPr>
                <w:sz w:val="22"/>
                <w:szCs w:val="22"/>
                <w:lang w:val="en-US"/>
              </w:rPr>
            </w:pPr>
            <w:r w:rsidRPr="00815FE0">
              <w:rPr>
                <w:sz w:val="22"/>
                <w:szCs w:val="22"/>
                <w:lang w:val="en-US"/>
              </w:rPr>
              <w:t>lopinavir</w:t>
            </w:r>
            <w:r w:rsidRPr="00815FE0">
              <w:rPr>
                <w:spacing w:val="-7"/>
                <w:sz w:val="22"/>
                <w:szCs w:val="22"/>
                <w:lang w:val="en-US"/>
              </w:rPr>
              <w:t xml:space="preserve"> </w:t>
            </w:r>
            <w:r w:rsidRPr="00815FE0">
              <w:rPr>
                <w:sz w:val="22"/>
                <w:szCs w:val="22"/>
                <w:lang w:val="en-US"/>
              </w:rPr>
              <w:t>AUC</w:t>
            </w:r>
            <w:r w:rsidRPr="00815FE0">
              <w:rPr>
                <w:spacing w:val="-3"/>
                <w:sz w:val="22"/>
                <w:szCs w:val="22"/>
                <w:lang w:val="en-US"/>
              </w:rPr>
              <w:t xml:space="preserve"> </w:t>
            </w:r>
            <w:r w:rsidRPr="00815FE0">
              <w:rPr>
                <w:sz w:val="22"/>
                <w:szCs w:val="22"/>
                <w:lang w:val="en-US"/>
              </w:rPr>
              <w:t xml:space="preserve">↔ </w:t>
            </w:r>
          </w:p>
          <w:p w:rsidR="00603CB3" w:rsidRPr="00815FE0" w:rsidRDefault="00603CB3" w:rsidP="00603CB3">
            <w:pPr>
              <w:ind w:left="137" w:right="56"/>
              <w:rPr>
                <w:sz w:val="22"/>
                <w:szCs w:val="22"/>
                <w:lang w:val="en-US"/>
              </w:rPr>
            </w:pPr>
            <w:r w:rsidRPr="00815FE0">
              <w:rPr>
                <w:sz w:val="22"/>
                <w:szCs w:val="22"/>
                <w:lang w:val="en-US"/>
              </w:rPr>
              <w:t>lopinavir</w:t>
            </w:r>
            <w:r w:rsidRPr="00815FE0">
              <w:rPr>
                <w:spacing w:val="-7"/>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 xml:space="preserve">13 % </w:t>
            </w:r>
          </w:p>
          <w:p w:rsidR="00603CB3" w:rsidRPr="00815FE0" w:rsidRDefault="00603CB3" w:rsidP="00603CB3">
            <w:pPr>
              <w:ind w:left="137" w:right="56"/>
              <w:rPr>
                <w:sz w:val="22"/>
                <w:szCs w:val="22"/>
                <w:lang w:val="en-US"/>
              </w:rPr>
            </w:pPr>
            <w:r w:rsidRPr="00815FE0">
              <w:rPr>
                <w:sz w:val="22"/>
                <w:szCs w:val="22"/>
                <w:lang w:val="en-US"/>
              </w:rPr>
              <w:t>lopinavir</w:t>
            </w:r>
            <w:r w:rsidRPr="00815FE0">
              <w:rPr>
                <w:spacing w:val="-7"/>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 xml:space="preserve">11 % </w:t>
            </w:r>
          </w:p>
          <w:p w:rsidR="00603CB3" w:rsidRPr="00815FE0" w:rsidRDefault="00603CB3" w:rsidP="00603CB3">
            <w:pPr>
              <w:ind w:left="137" w:right="56"/>
              <w:rPr>
                <w:sz w:val="22"/>
                <w:szCs w:val="22"/>
                <w:lang w:val="en-US"/>
              </w:rPr>
            </w:pPr>
            <w:r w:rsidRPr="00815FE0">
              <w:rPr>
                <w:sz w:val="22"/>
                <w:szCs w:val="22"/>
                <w:lang w:val="en-US"/>
              </w:rPr>
              <w:t>darunavir</w:t>
            </w:r>
            <w:r w:rsidRPr="00815FE0">
              <w:rPr>
                <w:spacing w:val="-8"/>
                <w:sz w:val="22"/>
                <w:szCs w:val="22"/>
                <w:lang w:val="en-US"/>
              </w:rPr>
              <w:t xml:space="preserve"> </w:t>
            </w:r>
            <w:r w:rsidRPr="00815FE0">
              <w:rPr>
                <w:sz w:val="22"/>
                <w:szCs w:val="22"/>
                <w:lang w:val="en-US"/>
              </w:rPr>
              <w:t>AUC</w:t>
            </w:r>
            <w:r w:rsidRPr="00815FE0">
              <w:rPr>
                <w:spacing w:val="-1"/>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 xml:space="preserve">41 % </w:t>
            </w:r>
          </w:p>
          <w:p w:rsidR="00603CB3" w:rsidRPr="00815FE0" w:rsidRDefault="00603CB3" w:rsidP="00603CB3">
            <w:pPr>
              <w:ind w:left="137" w:right="56"/>
              <w:rPr>
                <w:sz w:val="22"/>
                <w:szCs w:val="22"/>
                <w:lang w:val="en-US"/>
              </w:rPr>
            </w:pPr>
            <w:r w:rsidRPr="00815FE0">
              <w:rPr>
                <w:sz w:val="22"/>
                <w:szCs w:val="22"/>
                <w:lang w:val="en-US"/>
              </w:rPr>
              <w:t>darunavir</w:t>
            </w:r>
            <w:r w:rsidRPr="00815FE0">
              <w:rPr>
                <w:spacing w:val="-7"/>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 xml:space="preserve">55 % </w:t>
            </w:r>
          </w:p>
          <w:p w:rsidR="00603CB3" w:rsidRPr="00815FE0" w:rsidRDefault="00603CB3" w:rsidP="00603CB3">
            <w:pPr>
              <w:ind w:left="137" w:right="56"/>
              <w:rPr>
                <w:sz w:val="22"/>
                <w:szCs w:val="22"/>
                <w:lang w:val="en-US"/>
              </w:rPr>
            </w:pPr>
            <w:r w:rsidRPr="00815FE0">
              <w:rPr>
                <w:sz w:val="22"/>
                <w:szCs w:val="22"/>
                <w:lang w:val="en-US"/>
              </w:rPr>
              <w:t>darunavir</w:t>
            </w:r>
            <w:r w:rsidRPr="00815FE0">
              <w:rPr>
                <w:spacing w:val="-7"/>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21 %</w:t>
            </w:r>
          </w:p>
          <w:p w:rsidR="00603CB3" w:rsidRPr="00A22D75" w:rsidRDefault="00603CB3" w:rsidP="00603CB3">
            <w:pPr>
              <w:ind w:left="137" w:right="56"/>
              <w:rPr>
                <w:sz w:val="22"/>
                <w:szCs w:val="22"/>
              </w:rPr>
            </w:pPr>
            <w:r w:rsidRPr="00A22D75">
              <w:rPr>
                <w:position w:val="8"/>
                <w:sz w:val="22"/>
                <w:szCs w:val="22"/>
              </w:rPr>
              <w:t>‡</w:t>
            </w:r>
            <w:r w:rsidRPr="00A22D75">
              <w:rPr>
                <w:spacing w:val="7"/>
                <w:position w:val="8"/>
                <w:sz w:val="22"/>
                <w:szCs w:val="22"/>
              </w:rPr>
              <w:t xml:space="preserve"> </w:t>
            </w:r>
            <w:r w:rsidRPr="004623FF">
              <w:rPr>
                <w:position w:val="-1"/>
                <w:sz w:val="22"/>
                <w:szCs w:val="22"/>
              </w:rPr>
              <w:t>baseret på ikke-dosisnormaliseret værdier</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B3" w:rsidRPr="00A22D75" w:rsidRDefault="00603CB3" w:rsidP="00603CB3">
            <w:pPr>
              <w:tabs>
                <w:tab w:val="left" w:pos="2502"/>
              </w:tabs>
              <w:ind w:left="137" w:right="56"/>
              <w:rPr>
                <w:sz w:val="22"/>
                <w:szCs w:val="22"/>
              </w:rPr>
            </w:pPr>
            <w:r w:rsidRPr="00A22D75">
              <w:rPr>
                <w:sz w:val="22"/>
                <w:szCs w:val="22"/>
              </w:rPr>
              <w:t>På grund af et fald i eksponering (AUC) af darunavir med 40 % er de rette doser af kombinationen ikke blevet fastlagt. Derfor er samtidig brug af kombinationsproduktet lopinavir/ritonavir og darunavir administreret sammen med lavdosis ritonavir kontraindiceret (se pkt. 4.3).</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CCR5</w:t>
            </w:r>
            <w:r w:rsidRPr="00A22D75">
              <w:rPr>
                <w:b/>
                <w:bCs/>
                <w:spacing w:val="-4"/>
                <w:sz w:val="22"/>
                <w:szCs w:val="22"/>
              </w:rPr>
              <w:t>-</w:t>
            </w:r>
            <w:r w:rsidRPr="00A22D75">
              <w:rPr>
                <w:b/>
                <w:bCs/>
                <w:sz w:val="22"/>
                <w:szCs w:val="22"/>
              </w:rPr>
              <w:t>HÆMMERE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Maraviroc</w:t>
            </w:r>
          </w:p>
          <w:p w:rsidR="00603CB3" w:rsidRPr="00A22D75" w:rsidRDefault="00603CB3" w:rsidP="00603CB3">
            <w:pPr>
              <w:ind w:left="137" w:right="56"/>
              <w:rPr>
                <w:sz w:val="22"/>
                <w:szCs w:val="22"/>
              </w:rPr>
            </w:pPr>
            <w:r w:rsidRPr="00A22D75">
              <w:rPr>
                <w:spacing w:val="1"/>
                <w:sz w:val="22"/>
                <w:szCs w:val="22"/>
              </w:rPr>
              <w:t>15</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5"/>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maraviroc</w:t>
            </w:r>
            <w:r w:rsidRPr="00A22D75">
              <w:rPr>
                <w:spacing w:val="-5"/>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305 %</w:t>
            </w:r>
          </w:p>
          <w:p w:rsidR="00603CB3" w:rsidRPr="00A22D75" w:rsidRDefault="00603CB3" w:rsidP="00603CB3">
            <w:pPr>
              <w:ind w:left="137" w:right="56"/>
              <w:rPr>
                <w:sz w:val="22"/>
                <w:szCs w:val="22"/>
              </w:rPr>
            </w:pPr>
            <w:r w:rsidRPr="00A22D75">
              <w:rPr>
                <w:position w:val="1"/>
                <w:sz w:val="22"/>
                <w:szCs w:val="22"/>
              </w:rPr>
              <w:t>maraviroc</w:t>
            </w:r>
            <w:r w:rsidRPr="00A22D75">
              <w:rPr>
                <w:spacing w:val="-7"/>
                <w:position w:val="1"/>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2"/>
                <w:sz w:val="22"/>
                <w:szCs w:val="22"/>
              </w:rPr>
              <w:t xml:space="preserve"> </w:t>
            </w:r>
            <w:r w:rsidRPr="00A22D75">
              <w:rPr>
                <w:position w:val="1"/>
                <w:sz w:val="22"/>
                <w:szCs w:val="22"/>
              </w:rPr>
              <w:t>ND</w:t>
            </w:r>
          </w:p>
          <w:p w:rsidR="00603CB3" w:rsidRPr="00A22D75" w:rsidRDefault="00603CB3" w:rsidP="00603CB3">
            <w:pPr>
              <w:ind w:left="137" w:right="56"/>
              <w:rPr>
                <w:sz w:val="22"/>
                <w:szCs w:val="22"/>
              </w:rPr>
            </w:pPr>
            <w:r w:rsidRPr="00A22D75">
              <w:rPr>
                <w:position w:val="1"/>
                <w:sz w:val="22"/>
                <w:szCs w:val="22"/>
              </w:rPr>
              <w:t>maraviroc</w:t>
            </w:r>
            <w:r w:rsidRPr="00A22D75">
              <w:rPr>
                <w:spacing w:val="-7"/>
                <w:position w:val="1"/>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2"/>
                <w:sz w:val="22"/>
                <w:szCs w:val="22"/>
              </w:rPr>
              <w:t xml:space="preserve"> </w:t>
            </w:r>
            <w:r w:rsidRPr="00A22D75">
              <w:rPr>
                <w:position w:val="1"/>
                <w:sz w:val="22"/>
                <w:szCs w:val="22"/>
              </w:rPr>
              <w:t xml:space="preserve">↑ </w:t>
            </w:r>
            <w:r w:rsidRPr="00A22D75">
              <w:rPr>
                <w:spacing w:val="1"/>
                <w:position w:val="1"/>
                <w:sz w:val="22"/>
                <w:szCs w:val="22"/>
              </w:rPr>
              <w:t>129 %</w:t>
            </w:r>
          </w:p>
          <w:p w:rsidR="00603CB3" w:rsidRPr="00A22D75" w:rsidRDefault="00603CB3" w:rsidP="00603CB3">
            <w:pPr>
              <w:ind w:left="137" w:right="56"/>
              <w:rPr>
                <w:sz w:val="22"/>
                <w:szCs w:val="22"/>
              </w:rPr>
            </w:pPr>
            <w:r w:rsidRPr="00A22D75">
              <w:rPr>
                <w:sz w:val="22"/>
                <w:szCs w:val="22"/>
              </w:rPr>
              <w:lastRenderedPageBreak/>
              <w:t>Darunavir,</w:t>
            </w:r>
            <w:r w:rsidRPr="00A22D75">
              <w:rPr>
                <w:spacing w:val="-8"/>
                <w:sz w:val="22"/>
                <w:szCs w:val="22"/>
              </w:rPr>
              <w:t xml:space="preserve"> </w:t>
            </w:r>
            <w:r w:rsidRPr="00A22D75">
              <w:rPr>
                <w:sz w:val="22"/>
                <w:szCs w:val="22"/>
              </w:rPr>
              <w:t>ritonavir</w:t>
            </w:r>
            <w:r w:rsidRPr="00A22D75">
              <w:rPr>
                <w:spacing w:val="-7"/>
                <w:sz w:val="22"/>
                <w:szCs w:val="22"/>
              </w:rPr>
              <w:t>-koncentrationer er i overensstemmelse med de historiske data.</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 xml:space="preserve">Maraviroc-dosis skal være 150 mg to gange daglig, når det </w:t>
            </w:r>
            <w:r w:rsidRPr="00A22D75">
              <w:rPr>
                <w:sz w:val="22"/>
                <w:szCs w:val="22"/>
              </w:rPr>
              <w:lastRenderedPageBreak/>
              <w:t>administreres sammen med darunavir og lavdosis ritonavir.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4623FF" w:rsidRDefault="00603CB3" w:rsidP="00603CB3">
            <w:pPr>
              <w:keepNext/>
              <w:tabs>
                <w:tab w:val="left" w:pos="567"/>
              </w:tabs>
              <w:rPr>
                <w:noProof/>
                <w:snapToGrid w:val="0"/>
                <w:sz w:val="22"/>
                <w:szCs w:val="22"/>
                <w:lang w:eastAsia="nl-NL"/>
              </w:rPr>
            </w:pPr>
            <w:r w:rsidRPr="004623FF">
              <w:rPr>
                <w:b/>
                <w:bCs/>
                <w:noProof/>
                <w:sz w:val="22"/>
                <w:szCs w:val="22"/>
              </w:rPr>
              <w:lastRenderedPageBreak/>
              <w:t>α1-ADRENORECEPTOR ANTAGONIST</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noProof/>
                <w:sz w:val="22"/>
                <w:szCs w:val="22"/>
              </w:rPr>
              <w:t>Alfuzosin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color w:val="222222"/>
                <w:sz w:val="22"/>
                <w:szCs w:val="22"/>
              </w:rPr>
              <w:t>Baseret på teoretiske overvejelser forventes darunavir at øge plasmakoncentrationen af ​​alfuzosin. (CYP3A inhibering)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color w:val="222222"/>
                <w:sz w:val="22"/>
                <w:szCs w:val="22"/>
              </w:rPr>
              <w:t>Samtidig administration af darunavir med lavdosis ritonavir og alfuzosin er kontraindiceret (se pkt. 4.3).</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b/>
                <w:bCs/>
                <w:spacing w:val="1"/>
                <w:sz w:val="22"/>
                <w:szCs w:val="22"/>
              </w:rPr>
            </w:pPr>
            <w:r w:rsidRPr="00A22D75">
              <w:rPr>
                <w:b/>
                <w:bCs/>
                <w:sz w:val="22"/>
                <w:szCs w:val="22"/>
              </w:rPr>
              <w:t>ANÆSTETIKA</w:t>
            </w:r>
          </w:p>
        </w:tc>
      </w:tr>
      <w:tr w:rsidR="00603CB3" w:rsidRPr="00A22D75" w:rsidTr="00603CB3">
        <w:trPr>
          <w:gridAfter w:val="1"/>
          <w:wAfter w:w="38" w:type="pct"/>
          <w:trHeight w:val="20"/>
        </w:trPr>
        <w:tc>
          <w:tcPr>
            <w:tcW w:w="1308" w:type="pct"/>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b/>
                <w:bCs/>
                <w:sz w:val="22"/>
                <w:szCs w:val="22"/>
              </w:rPr>
            </w:pPr>
            <w:r w:rsidRPr="00A22D75">
              <w:rPr>
                <w:sz w:val="22"/>
                <w:szCs w:val="22"/>
              </w:rPr>
              <w:t>Alfentanil</w:t>
            </w:r>
          </w:p>
        </w:tc>
        <w:tc>
          <w:tcPr>
            <w:tcW w:w="1999" w:type="pct"/>
            <w:gridSpan w:val="4"/>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bCs/>
                <w:sz w:val="22"/>
                <w:szCs w:val="22"/>
              </w:rPr>
            </w:pPr>
            <w:r w:rsidRPr="00A22D75">
              <w:rPr>
                <w:bCs/>
                <w:sz w:val="22"/>
                <w:szCs w:val="22"/>
              </w:rPr>
              <w:t>Ikke undersøgt. Alfentanil metaboliseres via CYP3A og kan dermed hæmmes af darunavir co-administreret med lavdosis ritonavir.</w:t>
            </w:r>
          </w:p>
        </w:tc>
        <w:tc>
          <w:tcPr>
            <w:tcW w:w="1655" w:type="pct"/>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b/>
                <w:bCs/>
                <w:sz w:val="22"/>
                <w:szCs w:val="22"/>
              </w:rPr>
            </w:pPr>
            <w:r w:rsidRPr="00A22D75">
              <w:rPr>
                <w:bCs/>
                <w:sz w:val="22"/>
                <w:szCs w:val="22"/>
              </w:rPr>
              <w:t>Samtidig brug af darunavir og lavdosis ritonavir kan nødvendiggøre nedsættelse af alfentanildosis og kræver monitorering for risici i forbindelse med forlænget eller forsinket respirationsdepression.</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pacing w:val="1"/>
                <w:sz w:val="22"/>
                <w:szCs w:val="22"/>
              </w:rPr>
              <w:t>MIDLER MOD ANGINA PECTORIS/ANTIARITMIKA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1054C5" w:rsidRDefault="00603CB3" w:rsidP="00603CB3">
            <w:pPr>
              <w:ind w:left="137" w:right="56"/>
              <w:rPr>
                <w:sz w:val="22"/>
                <w:szCs w:val="22"/>
                <w:lang w:val="sv-SE"/>
              </w:rPr>
            </w:pPr>
            <w:r w:rsidRPr="001054C5">
              <w:rPr>
                <w:sz w:val="22"/>
                <w:szCs w:val="22"/>
                <w:lang w:val="sv-SE"/>
              </w:rPr>
              <w:t>Disopyramid</w:t>
            </w:r>
          </w:p>
          <w:p w:rsidR="00603CB3" w:rsidRPr="001054C5" w:rsidRDefault="00603CB3" w:rsidP="00603CB3">
            <w:pPr>
              <w:ind w:left="137" w:right="56"/>
              <w:rPr>
                <w:sz w:val="22"/>
                <w:szCs w:val="22"/>
                <w:lang w:val="sv-SE"/>
              </w:rPr>
            </w:pPr>
            <w:r w:rsidRPr="001054C5">
              <w:rPr>
                <w:sz w:val="22"/>
                <w:szCs w:val="22"/>
                <w:lang w:val="sv-SE"/>
              </w:rPr>
              <w:t xml:space="preserve">Flecainid </w:t>
            </w:r>
          </w:p>
          <w:p w:rsidR="00603CB3" w:rsidRPr="001054C5" w:rsidRDefault="00603CB3" w:rsidP="00603CB3">
            <w:pPr>
              <w:ind w:left="137" w:right="56"/>
              <w:rPr>
                <w:sz w:val="22"/>
                <w:szCs w:val="22"/>
                <w:lang w:val="sv-SE"/>
              </w:rPr>
            </w:pPr>
            <w:r w:rsidRPr="001054C5">
              <w:rPr>
                <w:sz w:val="22"/>
                <w:szCs w:val="22"/>
                <w:lang w:val="sv-SE"/>
              </w:rPr>
              <w:t>Lidocain (systemisk)</w:t>
            </w:r>
          </w:p>
          <w:p w:rsidR="00603CB3" w:rsidRPr="001054C5" w:rsidRDefault="00603CB3" w:rsidP="00603CB3">
            <w:pPr>
              <w:ind w:left="137" w:right="56"/>
              <w:rPr>
                <w:sz w:val="22"/>
                <w:szCs w:val="22"/>
                <w:lang w:val="sv-SE"/>
              </w:rPr>
            </w:pPr>
            <w:r w:rsidRPr="001054C5">
              <w:rPr>
                <w:sz w:val="22"/>
                <w:szCs w:val="22"/>
                <w:lang w:val="sv-SE"/>
              </w:rPr>
              <w:t xml:space="preserve">Mexiletin </w:t>
            </w:r>
          </w:p>
          <w:p w:rsidR="00603CB3" w:rsidRPr="001054C5" w:rsidRDefault="00603CB3" w:rsidP="00603CB3">
            <w:pPr>
              <w:ind w:left="137" w:right="56"/>
              <w:rPr>
                <w:sz w:val="22"/>
                <w:szCs w:val="22"/>
                <w:lang w:val="sv-SE"/>
              </w:rPr>
            </w:pPr>
            <w:r w:rsidRPr="001054C5">
              <w:rPr>
                <w:sz w:val="22"/>
                <w:szCs w:val="22"/>
                <w:lang w:val="sv-SE"/>
              </w:rPr>
              <w:t>Propafenon</w:t>
            </w:r>
          </w:p>
          <w:p w:rsidR="00603CB3" w:rsidRPr="001054C5" w:rsidRDefault="00603CB3" w:rsidP="00603CB3">
            <w:pPr>
              <w:ind w:left="137" w:right="56"/>
              <w:rPr>
                <w:sz w:val="22"/>
                <w:szCs w:val="22"/>
                <w:lang w:val="sv-SE"/>
              </w:rPr>
            </w:pPr>
          </w:p>
          <w:p w:rsidR="00603CB3" w:rsidRPr="001054C5" w:rsidRDefault="00603CB3" w:rsidP="00603CB3">
            <w:pPr>
              <w:ind w:left="137" w:right="56"/>
              <w:rPr>
                <w:sz w:val="22"/>
                <w:szCs w:val="22"/>
                <w:lang w:val="sv-SE"/>
              </w:rPr>
            </w:pPr>
          </w:p>
          <w:p w:rsidR="00603CB3" w:rsidRPr="001054C5" w:rsidRDefault="00603CB3" w:rsidP="00603CB3">
            <w:pPr>
              <w:ind w:left="137" w:right="56"/>
              <w:rPr>
                <w:sz w:val="22"/>
                <w:szCs w:val="22"/>
                <w:lang w:val="sv-SE"/>
              </w:rPr>
            </w:pPr>
          </w:p>
          <w:p w:rsidR="00603CB3" w:rsidRPr="001054C5" w:rsidRDefault="00603CB3" w:rsidP="00603CB3">
            <w:pPr>
              <w:ind w:left="137" w:right="56"/>
              <w:rPr>
                <w:sz w:val="22"/>
                <w:szCs w:val="22"/>
                <w:lang w:val="sv-SE"/>
              </w:rPr>
            </w:pPr>
          </w:p>
          <w:p w:rsidR="00603CB3" w:rsidRPr="001054C5" w:rsidRDefault="00603CB3" w:rsidP="00603CB3">
            <w:pPr>
              <w:ind w:left="137" w:right="56"/>
              <w:rPr>
                <w:sz w:val="22"/>
                <w:szCs w:val="22"/>
                <w:lang w:val="sv-SE"/>
              </w:rPr>
            </w:pPr>
          </w:p>
          <w:p w:rsidR="00603CB3" w:rsidRPr="00A22D75" w:rsidRDefault="00603CB3" w:rsidP="00603CB3">
            <w:pPr>
              <w:ind w:left="137" w:right="56"/>
              <w:rPr>
                <w:sz w:val="22"/>
                <w:szCs w:val="22"/>
                <w:lang w:val="en-US"/>
              </w:rPr>
            </w:pPr>
            <w:r w:rsidRPr="00A22D75">
              <w:rPr>
                <w:sz w:val="22"/>
                <w:szCs w:val="22"/>
                <w:lang w:val="en-US"/>
              </w:rPr>
              <w:t xml:space="preserve">Amiodaron </w:t>
            </w:r>
          </w:p>
          <w:p w:rsidR="00603CB3" w:rsidRPr="00A22D75" w:rsidRDefault="00603CB3" w:rsidP="00603CB3">
            <w:pPr>
              <w:ind w:left="137" w:right="56"/>
              <w:rPr>
                <w:spacing w:val="1"/>
                <w:sz w:val="22"/>
                <w:szCs w:val="22"/>
                <w:lang w:val="en-US"/>
              </w:rPr>
            </w:pPr>
            <w:r w:rsidRPr="00A22D75">
              <w:rPr>
                <w:spacing w:val="1"/>
                <w:sz w:val="22"/>
                <w:szCs w:val="22"/>
                <w:lang w:val="en-US"/>
              </w:rPr>
              <w:t xml:space="preserve">Bepridil </w:t>
            </w:r>
          </w:p>
          <w:p w:rsidR="00603CB3" w:rsidRPr="00A22D75" w:rsidRDefault="00603CB3" w:rsidP="00603CB3">
            <w:pPr>
              <w:ind w:left="137" w:right="56"/>
              <w:rPr>
                <w:sz w:val="22"/>
                <w:szCs w:val="22"/>
                <w:lang w:val="en-US"/>
              </w:rPr>
            </w:pPr>
            <w:r w:rsidRPr="00A22D75">
              <w:rPr>
                <w:sz w:val="22"/>
                <w:szCs w:val="22"/>
                <w:lang w:val="en-US"/>
              </w:rPr>
              <w:t>Dronedaron</w:t>
            </w:r>
          </w:p>
          <w:p w:rsidR="00603CB3" w:rsidRPr="00A22D75" w:rsidRDefault="00603CB3" w:rsidP="00603CB3">
            <w:pPr>
              <w:ind w:left="137" w:right="56"/>
              <w:rPr>
                <w:sz w:val="22"/>
                <w:szCs w:val="22"/>
                <w:lang w:val="en-US"/>
              </w:rPr>
            </w:pPr>
            <w:r w:rsidRPr="00A22D75">
              <w:rPr>
                <w:sz w:val="22"/>
                <w:szCs w:val="22"/>
                <w:lang w:val="en-US"/>
              </w:rPr>
              <w:t>Ivabradin</w:t>
            </w:r>
          </w:p>
          <w:p w:rsidR="00603CB3" w:rsidRPr="00A22D75" w:rsidRDefault="00603CB3" w:rsidP="00603CB3">
            <w:pPr>
              <w:ind w:left="137" w:right="56"/>
              <w:rPr>
                <w:sz w:val="22"/>
                <w:szCs w:val="22"/>
                <w:lang w:val="en-US"/>
              </w:rPr>
            </w:pPr>
            <w:r w:rsidRPr="00A22D75">
              <w:rPr>
                <w:sz w:val="22"/>
                <w:szCs w:val="22"/>
                <w:lang w:val="en-US"/>
              </w:rPr>
              <w:t>Quinidin</w:t>
            </w:r>
          </w:p>
          <w:p w:rsidR="00603CB3" w:rsidRPr="00A22D75" w:rsidRDefault="00603CB3" w:rsidP="00603CB3">
            <w:pPr>
              <w:ind w:left="137" w:right="56"/>
              <w:rPr>
                <w:sz w:val="22"/>
                <w:szCs w:val="22"/>
                <w:lang w:val="en-US"/>
              </w:rPr>
            </w:pPr>
            <w:r w:rsidRPr="00A22D75">
              <w:rPr>
                <w:sz w:val="22"/>
                <w:szCs w:val="22"/>
                <w:lang w:val="en-US"/>
              </w:rPr>
              <w:t>Ranolazin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Darunavir forventes at øge plasmakoncentrationen af disse antiarytmika.</w:t>
            </w:r>
          </w:p>
          <w:p w:rsidR="00603CB3" w:rsidRPr="00A22D75" w:rsidRDefault="00603CB3" w:rsidP="00603CB3">
            <w:pPr>
              <w:spacing w:line="222" w:lineRule="exact"/>
              <w:ind w:left="102" w:right="-20"/>
              <w:rPr>
                <w:sz w:val="22"/>
                <w:szCs w:val="22"/>
              </w:rPr>
            </w:pPr>
            <w:r w:rsidRPr="00A22D75">
              <w:rPr>
                <w:sz w:val="22"/>
                <w:szCs w:val="22"/>
              </w:rPr>
              <w:t xml:space="preserve">(CYP3A- </w:t>
            </w:r>
            <w:r w:rsidRPr="004623FF">
              <w:rPr>
                <w:sz w:val="22"/>
                <w:szCs w:val="22"/>
              </w:rPr>
              <w:t xml:space="preserve">og/eller CYP2D6 </w:t>
            </w:r>
            <w:r w:rsidRPr="00A22D75">
              <w:rPr>
                <w:sz w:val="22"/>
                <w:szCs w:val="22"/>
              </w:rPr>
              <w:t>hæmning)</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rsidR="00603CB3" w:rsidRPr="00A22D75" w:rsidRDefault="00603CB3" w:rsidP="00603CB3">
            <w:pPr>
              <w:ind w:left="137" w:right="56"/>
              <w:rPr>
                <w:sz w:val="22"/>
                <w:szCs w:val="22"/>
              </w:rPr>
            </w:pPr>
            <w:r w:rsidRPr="00A22D75">
              <w:rPr>
                <w:sz w:val="22"/>
                <w:szCs w:val="22"/>
              </w:rPr>
              <w:t>Der skal udvises forsigtighed, og om muligt anbefales monitorering af terapeutisk koncentration for disse antiarytmika ved co-administration med darunavir med lavdosis ritonavir.</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Darunavir co-administreret med lavdosis ritonavir og amiodaron, bepridil, dronedaron, ivabradin, quinidin eller ranolazin er kontraindiceret (se pkt. 4.3).</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Digoxin</w:t>
            </w:r>
          </w:p>
          <w:p w:rsidR="00603CB3" w:rsidRPr="00A22D75" w:rsidRDefault="00603CB3" w:rsidP="00603CB3">
            <w:pPr>
              <w:ind w:left="137" w:right="56"/>
              <w:rPr>
                <w:sz w:val="22"/>
                <w:szCs w:val="22"/>
              </w:rPr>
            </w:pPr>
            <w:r w:rsidRPr="00A22D75">
              <w:rPr>
                <w:spacing w:val="1"/>
                <w:sz w:val="22"/>
                <w:szCs w:val="22"/>
              </w:rPr>
              <w:t>0,</w:t>
            </w:r>
            <w:r w:rsidRPr="00A22D75">
              <w:rPr>
                <w:sz w:val="22"/>
                <w:szCs w:val="22"/>
              </w:rPr>
              <w:t>4</w:t>
            </w:r>
            <w:r w:rsidRPr="00A22D75">
              <w:rPr>
                <w:spacing w:val="-1"/>
                <w:sz w:val="22"/>
                <w:szCs w:val="22"/>
              </w:rPr>
              <w:t xml:space="preserve"> </w:t>
            </w:r>
            <w:r w:rsidRPr="00A22D75">
              <w:rPr>
                <w:sz w:val="22"/>
                <w:szCs w:val="22"/>
              </w:rPr>
              <w:t>mg</w:t>
            </w:r>
            <w:r w:rsidRPr="00A22D75">
              <w:rPr>
                <w:spacing w:val="-3"/>
                <w:sz w:val="22"/>
                <w:szCs w:val="22"/>
              </w:rPr>
              <w:t xml:space="preserve"> </w:t>
            </w:r>
            <w:r w:rsidRPr="00A22D75">
              <w:rPr>
                <w:sz w:val="22"/>
                <w:szCs w:val="22"/>
              </w:rPr>
              <w:t>enkeltdosis</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digoxin</w:t>
            </w:r>
            <w:r w:rsidRPr="00A22D75">
              <w:rPr>
                <w:spacing w:val="-6"/>
                <w:sz w:val="22"/>
                <w:szCs w:val="22"/>
              </w:rPr>
              <w:t xml:space="preserve"> </w:t>
            </w:r>
            <w:r w:rsidRPr="00A22D75">
              <w:rPr>
                <w:sz w:val="22"/>
                <w:szCs w:val="22"/>
              </w:rPr>
              <w:t>AUC</w:t>
            </w:r>
            <w:r w:rsidRPr="00A22D75">
              <w:rPr>
                <w:spacing w:val="-1"/>
                <w:sz w:val="22"/>
                <w:szCs w:val="22"/>
              </w:rPr>
              <w:t xml:space="preserve"> </w:t>
            </w:r>
            <w:r w:rsidRPr="00A22D75">
              <w:rPr>
                <w:sz w:val="22"/>
                <w:szCs w:val="22"/>
              </w:rPr>
              <w:t>↑ 61 %</w:t>
            </w:r>
          </w:p>
          <w:p w:rsidR="00603CB3" w:rsidRPr="00A22D75" w:rsidRDefault="00603CB3" w:rsidP="00603CB3">
            <w:pPr>
              <w:ind w:left="137" w:right="56"/>
              <w:rPr>
                <w:sz w:val="22"/>
                <w:szCs w:val="22"/>
              </w:rPr>
            </w:pPr>
            <w:r w:rsidRPr="00A22D75">
              <w:rPr>
                <w:sz w:val="22"/>
                <w:szCs w:val="22"/>
              </w:rPr>
              <w:t>digoxin</w:t>
            </w:r>
            <w:r w:rsidRPr="00A22D75">
              <w:rPr>
                <w:spacing w:val="-5"/>
                <w:sz w:val="22"/>
                <w:szCs w:val="22"/>
              </w:rPr>
              <w:t xml:space="preserve"> </w:t>
            </w:r>
            <w:r w:rsidRPr="00A22D75">
              <w:rPr>
                <w:spacing w:val="1"/>
                <w:sz w:val="22"/>
                <w:szCs w:val="22"/>
              </w:rPr>
              <w:t>C</w:t>
            </w:r>
            <w:r w:rsidRPr="00A22D75">
              <w:rPr>
                <w:spacing w:val="1"/>
                <w:sz w:val="22"/>
                <w:szCs w:val="22"/>
                <w:vertAlign w:val="subscript"/>
              </w:rPr>
              <w:t>min</w:t>
            </w:r>
            <w:r w:rsidRPr="00A22D75">
              <w:rPr>
                <w:spacing w:val="14"/>
                <w:position w:val="-3"/>
                <w:sz w:val="22"/>
                <w:szCs w:val="22"/>
              </w:rPr>
              <w:t xml:space="preserve"> </w:t>
            </w:r>
            <w:r w:rsidRPr="00A22D75">
              <w:rPr>
                <w:spacing w:val="3"/>
                <w:sz w:val="22"/>
                <w:szCs w:val="22"/>
              </w:rPr>
              <w:t>ND</w:t>
            </w:r>
          </w:p>
          <w:p w:rsidR="00603CB3" w:rsidRPr="00A22D75" w:rsidRDefault="00603CB3" w:rsidP="00603CB3">
            <w:pPr>
              <w:ind w:left="137" w:right="56"/>
              <w:rPr>
                <w:sz w:val="22"/>
                <w:szCs w:val="22"/>
              </w:rPr>
            </w:pPr>
            <w:r w:rsidRPr="00A22D75">
              <w:rPr>
                <w:position w:val="1"/>
                <w:sz w:val="22"/>
                <w:szCs w:val="22"/>
              </w:rPr>
              <w:t>digoxin</w:t>
            </w:r>
            <w:r w:rsidRPr="00A22D75">
              <w:rPr>
                <w:spacing w:val="-5"/>
                <w:position w:val="1"/>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2"/>
                <w:sz w:val="22"/>
                <w:szCs w:val="22"/>
              </w:rPr>
              <w:t xml:space="preserve"> </w:t>
            </w:r>
            <w:r w:rsidRPr="00A22D75">
              <w:rPr>
                <w:position w:val="1"/>
                <w:sz w:val="22"/>
                <w:szCs w:val="22"/>
              </w:rPr>
              <w:t>↑ 29 %</w:t>
            </w:r>
          </w:p>
          <w:p w:rsidR="00603CB3" w:rsidRPr="00A22D75" w:rsidRDefault="00603CB3" w:rsidP="00603CB3">
            <w:pPr>
              <w:ind w:left="137" w:right="56"/>
              <w:rPr>
                <w:sz w:val="22"/>
                <w:szCs w:val="22"/>
              </w:rPr>
            </w:pPr>
            <w:r w:rsidRPr="00A22D75">
              <w:rPr>
                <w:spacing w:val="1"/>
                <w:sz w:val="22"/>
                <w:szCs w:val="22"/>
              </w:rPr>
              <w:t>(</w:t>
            </w:r>
            <w:r w:rsidRPr="00A22D75">
              <w:rPr>
                <w:sz w:val="22"/>
                <w:szCs w:val="22"/>
              </w:rPr>
              <w:t>↑</w:t>
            </w:r>
            <w:r w:rsidRPr="00A22D75">
              <w:rPr>
                <w:spacing w:val="-2"/>
                <w:sz w:val="22"/>
                <w:szCs w:val="22"/>
              </w:rPr>
              <w:t xml:space="preserve"> </w:t>
            </w:r>
            <w:r w:rsidRPr="00A22D75">
              <w:rPr>
                <w:sz w:val="22"/>
                <w:szCs w:val="22"/>
              </w:rPr>
              <w:t>digoxin</w:t>
            </w:r>
            <w:r w:rsidRPr="00A22D75">
              <w:rPr>
                <w:spacing w:val="-6"/>
                <w:sz w:val="22"/>
                <w:szCs w:val="22"/>
              </w:rPr>
              <w:t xml:space="preserve"> </w:t>
            </w:r>
            <w:r w:rsidRPr="00A22D75">
              <w:rPr>
                <w:sz w:val="22"/>
                <w:szCs w:val="22"/>
              </w:rPr>
              <w:t xml:space="preserve">fra en sandsynlig hæmning af </w:t>
            </w:r>
            <w:r w:rsidRPr="00A22D75">
              <w:rPr>
                <w:spacing w:val="1"/>
                <w:sz w:val="22"/>
                <w:szCs w:val="22"/>
              </w:rPr>
              <w:t>P-gp)</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B3" w:rsidRPr="00A22D75" w:rsidRDefault="00603CB3" w:rsidP="00603CB3">
            <w:pPr>
              <w:ind w:left="137" w:right="56"/>
              <w:rPr>
                <w:sz w:val="22"/>
                <w:szCs w:val="22"/>
              </w:rPr>
            </w:pPr>
            <w:r w:rsidRPr="00A22D75">
              <w:rPr>
                <w:sz w:val="22"/>
                <w:szCs w:val="22"/>
              </w:rPr>
              <w:t>Da digoxin har et snævert terapeutisk indeks, anbefales det at starte med at udskrive den lavest mulige dosis digoxin, hvis der skal gives digoxin til patienter i behandling med darunavir/ritonavir.</w:t>
            </w:r>
          </w:p>
          <w:p w:rsidR="00603CB3" w:rsidRPr="00A22D75" w:rsidRDefault="00603CB3" w:rsidP="00603CB3">
            <w:pPr>
              <w:ind w:left="137" w:right="56"/>
              <w:rPr>
                <w:sz w:val="22"/>
                <w:szCs w:val="22"/>
              </w:rPr>
            </w:pPr>
            <w:r w:rsidRPr="00A22D75">
              <w:rPr>
                <w:sz w:val="22"/>
                <w:szCs w:val="22"/>
              </w:rPr>
              <w:t>Dosis af digoxin skal titreres forsigtigt for at opnå den ønskede kliniske effekt samtidig med, at patientens generelle kliniske tilstand vurderes.</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ANTIBIOTIKA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Clarithromycin</w:t>
            </w:r>
          </w:p>
          <w:p w:rsidR="00603CB3" w:rsidRPr="00A22D75" w:rsidRDefault="00603CB3" w:rsidP="00603CB3">
            <w:pPr>
              <w:ind w:left="137" w:right="56"/>
              <w:rPr>
                <w:sz w:val="22"/>
                <w:szCs w:val="22"/>
              </w:rPr>
            </w:pPr>
            <w:r w:rsidRPr="00A22D75">
              <w:rPr>
                <w:spacing w:val="1"/>
                <w:sz w:val="22"/>
                <w:szCs w:val="22"/>
              </w:rPr>
              <w:t>50</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5"/>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815FE0" w:rsidRDefault="00603CB3" w:rsidP="00603CB3">
            <w:pPr>
              <w:ind w:left="137" w:right="56"/>
              <w:rPr>
                <w:sz w:val="22"/>
                <w:szCs w:val="22"/>
                <w:lang w:val="en-US"/>
              </w:rPr>
            </w:pPr>
            <w:r w:rsidRPr="00815FE0">
              <w:rPr>
                <w:sz w:val="22"/>
                <w:szCs w:val="22"/>
                <w:lang w:val="en-US"/>
              </w:rPr>
              <w:t>clarithromycin</w:t>
            </w:r>
            <w:r w:rsidRPr="00815FE0">
              <w:rPr>
                <w:spacing w:val="-12"/>
                <w:sz w:val="22"/>
                <w:szCs w:val="22"/>
                <w:lang w:val="en-US"/>
              </w:rPr>
              <w:t xml:space="preserve"> </w:t>
            </w:r>
            <w:r w:rsidRPr="00815FE0">
              <w:rPr>
                <w:sz w:val="22"/>
                <w:szCs w:val="22"/>
                <w:lang w:val="en-US"/>
              </w:rPr>
              <w:t>AUC</w:t>
            </w:r>
            <w:r w:rsidRPr="00815FE0">
              <w:rPr>
                <w:spacing w:val="-1"/>
                <w:sz w:val="22"/>
                <w:szCs w:val="22"/>
                <w:lang w:val="en-US"/>
              </w:rPr>
              <w:t xml:space="preserve"> </w:t>
            </w:r>
            <w:r w:rsidRPr="00815FE0">
              <w:rPr>
                <w:sz w:val="22"/>
                <w:szCs w:val="22"/>
                <w:lang w:val="en-US"/>
              </w:rPr>
              <w:t>↑ 57 %</w:t>
            </w:r>
          </w:p>
          <w:p w:rsidR="00603CB3" w:rsidRPr="00815FE0" w:rsidRDefault="00603CB3" w:rsidP="00603CB3">
            <w:pPr>
              <w:ind w:left="137" w:right="56"/>
              <w:rPr>
                <w:sz w:val="22"/>
                <w:szCs w:val="22"/>
                <w:lang w:val="en-US"/>
              </w:rPr>
            </w:pPr>
            <w:r w:rsidRPr="00815FE0">
              <w:rPr>
                <w:sz w:val="22"/>
                <w:szCs w:val="22"/>
                <w:lang w:val="en-US"/>
              </w:rPr>
              <w:t>clarithromycin</w:t>
            </w:r>
            <w:r w:rsidRPr="00815FE0">
              <w:rPr>
                <w:spacing w:val="-12"/>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 xml:space="preserve">↑ </w:t>
            </w:r>
            <w:r w:rsidRPr="00815FE0">
              <w:rPr>
                <w:spacing w:val="1"/>
                <w:sz w:val="22"/>
                <w:szCs w:val="22"/>
                <w:lang w:val="en-US"/>
              </w:rPr>
              <w:t>174 %</w:t>
            </w:r>
          </w:p>
          <w:p w:rsidR="00603CB3" w:rsidRPr="00815FE0" w:rsidRDefault="00603CB3" w:rsidP="00603CB3">
            <w:pPr>
              <w:ind w:left="137" w:right="56"/>
              <w:rPr>
                <w:sz w:val="22"/>
                <w:szCs w:val="22"/>
                <w:lang w:val="en-US"/>
              </w:rPr>
            </w:pPr>
            <w:r w:rsidRPr="00815FE0">
              <w:rPr>
                <w:sz w:val="22"/>
                <w:szCs w:val="22"/>
                <w:lang w:val="en-US"/>
              </w:rPr>
              <w:t>clarithromycin</w:t>
            </w:r>
            <w:r w:rsidRPr="00815FE0">
              <w:rPr>
                <w:spacing w:val="-12"/>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 26 %</w:t>
            </w:r>
          </w:p>
          <w:p w:rsidR="00603CB3" w:rsidRPr="00815FE0" w:rsidRDefault="00603CB3" w:rsidP="00603CB3">
            <w:pPr>
              <w:ind w:left="137" w:right="56"/>
              <w:rPr>
                <w:sz w:val="22"/>
                <w:szCs w:val="22"/>
                <w:lang w:val="en-US"/>
              </w:rPr>
            </w:pPr>
            <w:r w:rsidRPr="00815FE0">
              <w:rPr>
                <w:position w:val="-1"/>
                <w:sz w:val="22"/>
                <w:szCs w:val="22"/>
                <w:vertAlign w:val="superscript"/>
                <w:lang w:val="en-US"/>
              </w:rPr>
              <w:t>#</w:t>
            </w:r>
            <w:r w:rsidRPr="00815FE0">
              <w:rPr>
                <w:position w:val="-1"/>
                <w:sz w:val="22"/>
                <w:szCs w:val="22"/>
                <w:lang w:val="en-US"/>
              </w:rPr>
              <w:t>darunavir</w:t>
            </w:r>
            <w:r w:rsidRPr="00815FE0">
              <w:rPr>
                <w:spacing w:val="-8"/>
                <w:position w:val="-1"/>
                <w:sz w:val="22"/>
                <w:szCs w:val="22"/>
                <w:lang w:val="en-US"/>
              </w:rPr>
              <w:t xml:space="preserve"> </w:t>
            </w:r>
            <w:r w:rsidRPr="00815FE0">
              <w:rPr>
                <w:position w:val="-1"/>
                <w:sz w:val="22"/>
                <w:szCs w:val="22"/>
                <w:lang w:val="en-US"/>
              </w:rPr>
              <w:t>AUC</w:t>
            </w:r>
            <w:r w:rsidRPr="00815FE0">
              <w:rPr>
                <w:spacing w:val="-1"/>
                <w:position w:val="-1"/>
                <w:sz w:val="22"/>
                <w:szCs w:val="22"/>
                <w:lang w:val="en-US"/>
              </w:rPr>
              <w:t xml:space="preserve"> </w:t>
            </w:r>
            <w:r w:rsidRPr="00815FE0">
              <w:rPr>
                <w:position w:val="-1"/>
                <w:sz w:val="22"/>
                <w:szCs w:val="22"/>
                <w:lang w:val="en-US"/>
              </w:rPr>
              <w:t>↓ 13 %</w:t>
            </w:r>
          </w:p>
          <w:p w:rsidR="00603CB3" w:rsidRPr="00815FE0" w:rsidRDefault="00603CB3" w:rsidP="00603CB3">
            <w:pPr>
              <w:tabs>
                <w:tab w:val="left" w:pos="1360"/>
              </w:tabs>
              <w:ind w:left="137" w:right="56"/>
              <w:rPr>
                <w:sz w:val="22"/>
                <w:szCs w:val="22"/>
                <w:lang w:val="en-US"/>
              </w:rPr>
            </w:pPr>
            <w:r w:rsidRPr="00815FE0">
              <w:rPr>
                <w:position w:val="-1"/>
                <w:sz w:val="22"/>
                <w:szCs w:val="22"/>
                <w:vertAlign w:val="superscript"/>
                <w:lang w:val="en-US"/>
              </w:rPr>
              <w:t>#</w:t>
            </w:r>
            <w:r w:rsidRPr="00815FE0">
              <w:rPr>
                <w:sz w:val="22"/>
                <w:szCs w:val="22"/>
                <w:lang w:val="en-US"/>
              </w:rPr>
              <w:t>darunavir C</w:t>
            </w:r>
            <w:r w:rsidRPr="00815FE0">
              <w:rPr>
                <w:sz w:val="22"/>
                <w:szCs w:val="22"/>
                <w:vertAlign w:val="subscript"/>
                <w:lang w:val="en-US"/>
              </w:rPr>
              <w:t>min</w:t>
            </w:r>
            <w:r w:rsidRPr="00815FE0">
              <w:rPr>
                <w:position w:val="-5"/>
                <w:sz w:val="22"/>
                <w:szCs w:val="22"/>
                <w:lang w:val="en-US"/>
              </w:rPr>
              <w:t xml:space="preserve"> ↑</w:t>
            </w:r>
            <w:r w:rsidRPr="00815FE0">
              <w:rPr>
                <w:spacing w:val="-1"/>
                <w:position w:val="-5"/>
                <w:sz w:val="22"/>
                <w:szCs w:val="22"/>
                <w:lang w:val="en-US"/>
              </w:rPr>
              <w:t xml:space="preserve"> </w:t>
            </w:r>
            <w:r w:rsidRPr="00815FE0">
              <w:rPr>
                <w:position w:val="-5"/>
                <w:sz w:val="22"/>
                <w:szCs w:val="22"/>
                <w:lang w:val="en-US"/>
              </w:rPr>
              <w:t>1 %</w:t>
            </w:r>
          </w:p>
          <w:p w:rsidR="00603CB3" w:rsidRPr="00815FE0" w:rsidRDefault="00603CB3" w:rsidP="00603CB3">
            <w:pPr>
              <w:ind w:left="137"/>
              <w:rPr>
                <w:sz w:val="22"/>
                <w:szCs w:val="22"/>
                <w:lang w:val="en-US"/>
              </w:rPr>
            </w:pPr>
            <w:r w:rsidRPr="00815FE0">
              <w:rPr>
                <w:position w:val="-1"/>
                <w:sz w:val="22"/>
                <w:szCs w:val="22"/>
                <w:vertAlign w:val="superscript"/>
                <w:lang w:val="en-US"/>
              </w:rPr>
              <w:t>#</w:t>
            </w:r>
            <w:r w:rsidRPr="00815FE0">
              <w:rPr>
                <w:sz w:val="22"/>
                <w:szCs w:val="22"/>
                <w:lang w:val="en-US"/>
              </w:rPr>
              <w:t>darunavir</w:t>
            </w:r>
            <w:r w:rsidRPr="00815FE0">
              <w:rPr>
                <w:spacing w:val="-7"/>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z w:val="22"/>
                <w:szCs w:val="22"/>
                <w:lang w:val="en-US"/>
              </w:rPr>
              <w:t xml:space="preserve"> ↓ 17 %</w:t>
            </w:r>
          </w:p>
          <w:p w:rsidR="00603CB3" w:rsidRPr="00A22D75" w:rsidRDefault="00603CB3" w:rsidP="00603CB3">
            <w:pPr>
              <w:ind w:left="137" w:right="56"/>
              <w:rPr>
                <w:sz w:val="22"/>
                <w:szCs w:val="22"/>
              </w:rPr>
            </w:pPr>
            <w:r w:rsidRPr="00A22D75">
              <w:rPr>
                <w:sz w:val="22"/>
                <w:szCs w:val="22"/>
              </w:rPr>
              <w:t>14-OH-clarithromycin-koncentrationerne var ikke målbare ved kombination med darunavir/ritonavir.</w:t>
            </w:r>
          </w:p>
          <w:p w:rsidR="00603CB3" w:rsidRPr="00A22D75" w:rsidRDefault="00603CB3" w:rsidP="00603CB3">
            <w:pPr>
              <w:ind w:left="137" w:right="56"/>
              <w:rPr>
                <w:sz w:val="22"/>
                <w:szCs w:val="22"/>
              </w:rPr>
            </w:pPr>
            <w:r w:rsidRPr="00A22D75">
              <w:rPr>
                <w:sz w:val="22"/>
                <w:szCs w:val="22"/>
              </w:rPr>
              <w:lastRenderedPageBreak/>
              <w:t>(↑ clarithromycin fra CYP3A-hæmning og mulige P-gp-hæmning)</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lastRenderedPageBreak/>
              <w:t>Der skal udvises forsigtighed, når clarithromycin kombineres med darunavir administreret sammen med lavdosis ritonavir.</w:t>
            </w:r>
          </w:p>
          <w:p w:rsidR="00603CB3" w:rsidRPr="00A22D75" w:rsidRDefault="00603CB3" w:rsidP="00603CB3">
            <w:pPr>
              <w:ind w:left="137" w:right="56"/>
              <w:rPr>
                <w:sz w:val="22"/>
                <w:szCs w:val="22"/>
              </w:rPr>
            </w:pPr>
          </w:p>
          <w:p w:rsidR="00603CB3" w:rsidRPr="00A22D75" w:rsidRDefault="00603CB3" w:rsidP="00603CB3">
            <w:pPr>
              <w:ind w:left="137" w:right="56"/>
              <w:rPr>
                <w:i/>
                <w:sz w:val="22"/>
                <w:szCs w:val="22"/>
              </w:rPr>
            </w:pPr>
            <w:r w:rsidRPr="00A22D75">
              <w:rPr>
                <w:sz w:val="22"/>
                <w:szCs w:val="22"/>
              </w:rPr>
              <w:t xml:space="preserve">For patienter med nedsat nyrefunktion, henvises der til produktresumé for clarithromycin for oplysninger om en anbefalet dosis. </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ANTIKOAGULANTIA/TROMBOCYT HÆMMENDE 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Apixaban</w:t>
            </w:r>
          </w:p>
          <w:p w:rsidR="00603CB3" w:rsidRPr="00A22D75" w:rsidRDefault="00603CB3" w:rsidP="000B4EE5">
            <w:pPr>
              <w:ind w:right="56"/>
              <w:rPr>
                <w:sz w:val="22"/>
                <w:szCs w:val="22"/>
              </w:rPr>
            </w:pPr>
          </w:p>
          <w:p w:rsidR="00603CB3" w:rsidRPr="00A22D75" w:rsidRDefault="00603CB3" w:rsidP="00603CB3">
            <w:pPr>
              <w:ind w:left="137" w:right="56"/>
              <w:rPr>
                <w:sz w:val="22"/>
                <w:szCs w:val="22"/>
              </w:rPr>
            </w:pPr>
            <w:r w:rsidRPr="00A22D75">
              <w:rPr>
                <w:sz w:val="22"/>
                <w:szCs w:val="22"/>
              </w:rPr>
              <w:t>Rivaroxaban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0B4EE5" w:rsidRDefault="000B4EE5" w:rsidP="000B4EE5">
            <w:pPr>
              <w:ind w:left="137" w:right="56"/>
              <w:rPr>
                <w:sz w:val="22"/>
                <w:szCs w:val="22"/>
              </w:rPr>
            </w:pPr>
            <w:r>
              <w:rPr>
                <w:sz w:val="22"/>
                <w:szCs w:val="22"/>
              </w:rPr>
              <w:t>Ikke undersøgt. Co-administration af boostet darunavir med disse antikoagulantia kan øge koncentrationerne af antikoagulansmedicinen</w:t>
            </w:r>
          </w:p>
          <w:p w:rsidR="00603CB3" w:rsidRPr="00A22D75" w:rsidRDefault="000B4EE5" w:rsidP="000B4EE5">
            <w:pPr>
              <w:ind w:left="137" w:right="56"/>
              <w:rPr>
                <w:sz w:val="22"/>
                <w:szCs w:val="22"/>
              </w:rPr>
            </w:pPr>
            <w:r>
              <w:rPr>
                <w:sz w:val="22"/>
                <w:szCs w:val="22"/>
              </w:rPr>
              <w:t>(CYP3A- og/eller P-gp-hæmning).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0B4EE5" w:rsidRDefault="000B4EE5" w:rsidP="000B4EE5">
            <w:pPr>
              <w:rPr>
                <w:sz w:val="24"/>
                <w:szCs w:val="24"/>
                <w:lang w:eastAsia="da-DK"/>
              </w:rPr>
            </w:pPr>
            <w:r>
              <w:rPr>
                <w:sz w:val="22"/>
                <w:szCs w:val="22"/>
              </w:rPr>
              <w:t xml:space="preserve">Brugen af darunavir sammen med et direkte oralt </w:t>
            </w:r>
            <w:proofErr w:type="gramStart"/>
            <w:r>
              <w:rPr>
                <w:sz w:val="22"/>
                <w:szCs w:val="22"/>
              </w:rPr>
              <w:t>antikoagulans(</w:t>
            </w:r>
            <w:proofErr w:type="gramEnd"/>
            <w:r>
              <w:rPr>
                <w:sz w:val="22"/>
                <w:szCs w:val="22"/>
              </w:rPr>
              <w:t>DOAK), der metaboliseres af CYP3A4 og transporteres af P-gp frarådes, da det kan medføre en øget blødningsrisiko.</w:t>
            </w:r>
            <w:r>
              <w:rPr>
                <w:sz w:val="24"/>
                <w:szCs w:val="24"/>
                <w:lang w:eastAsia="da-DK"/>
              </w:rPr>
              <w:t xml:space="preserve"> </w:t>
            </w:r>
          </w:p>
          <w:p w:rsidR="000B4EE5" w:rsidRDefault="000B4EE5" w:rsidP="000B4EE5">
            <w:pPr>
              <w:pStyle w:val="Kommentartekst"/>
            </w:pPr>
            <w:r>
              <w:rPr>
                <w:rStyle w:val="Kommentarhenvisning"/>
              </w:rPr>
              <w:t/>
            </w:r>
            <w:r>
              <w:t>Amended during IB017</w:t>
            </w:r>
          </w:p>
          <w:p w:rsidR="00603CB3" w:rsidRPr="00A22D75" w:rsidRDefault="00603CB3" w:rsidP="00603CB3">
            <w:pPr>
              <w:ind w:left="137" w:right="56"/>
              <w:rPr>
                <w:sz w:val="22"/>
                <w:szCs w:val="22"/>
              </w:rPr>
            </w:pP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0B4EE5" w:rsidRDefault="000B4EE5" w:rsidP="000B4EE5">
            <w:pPr>
              <w:ind w:left="137" w:right="56"/>
              <w:rPr>
                <w:sz w:val="22"/>
                <w:szCs w:val="22"/>
              </w:rPr>
            </w:pPr>
            <w:r>
              <w:rPr>
                <w:sz w:val="22"/>
                <w:szCs w:val="22"/>
              </w:rPr>
              <w:t>Dabigatranetexilat</w:t>
            </w:r>
          </w:p>
          <w:p w:rsidR="000B4EE5" w:rsidRDefault="000B4EE5" w:rsidP="000B4EE5">
            <w:pPr>
              <w:ind w:left="137" w:right="56"/>
              <w:rPr>
                <w:sz w:val="22"/>
                <w:szCs w:val="22"/>
              </w:rPr>
            </w:pPr>
            <w:r>
              <w:rPr>
                <w:sz w:val="22"/>
                <w:szCs w:val="22"/>
              </w:rPr>
              <w:t>Edoxaban</w:t>
            </w: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0B4EE5" w:rsidP="000B4EE5">
            <w:pPr>
              <w:ind w:left="137" w:right="56"/>
              <w:rPr>
                <w:sz w:val="22"/>
                <w:szCs w:val="22"/>
              </w:rPr>
            </w:pPr>
          </w:p>
          <w:p w:rsidR="000B4EE5" w:rsidRDefault="00506317" w:rsidP="000B4EE5">
            <w:pPr>
              <w:rPr>
                <w:sz w:val="24"/>
                <w:szCs w:val="24"/>
                <w:lang w:eastAsia="da-DK"/>
              </w:rPr>
            </w:pPr>
            <w:r>
              <w:rPr>
                <w:sz w:val="22"/>
                <w:szCs w:val="22"/>
              </w:rPr>
              <w:t xml:space="preserve">  </w:t>
            </w:r>
            <w:r w:rsidR="000B4EE5">
              <w:rPr>
                <w:sz w:val="22"/>
                <w:szCs w:val="22"/>
              </w:rPr>
              <w:t>Ticagrelor</w:t>
            </w:r>
            <w:r w:rsidR="000B4EE5">
              <w:rPr>
                <w:sz w:val="24"/>
                <w:szCs w:val="24"/>
                <w:lang w:eastAsia="da-DK"/>
              </w:rPr>
              <w:t xml:space="preserve"> </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Default="00603CB3" w:rsidP="00603CB3">
            <w:pPr>
              <w:ind w:left="137" w:right="56"/>
              <w:rPr>
                <w:sz w:val="22"/>
                <w:szCs w:val="22"/>
              </w:rPr>
            </w:pPr>
          </w:p>
          <w:p w:rsidR="00506317" w:rsidRDefault="00506317" w:rsidP="00603CB3">
            <w:pPr>
              <w:ind w:left="137" w:right="56"/>
              <w:rPr>
                <w:sz w:val="22"/>
                <w:szCs w:val="22"/>
              </w:rPr>
            </w:pPr>
          </w:p>
          <w:p w:rsidR="00506317" w:rsidRPr="00A22D75" w:rsidRDefault="00506317"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Clopidogrel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506317" w:rsidRPr="00815FE0" w:rsidRDefault="00506317" w:rsidP="00506317">
            <w:pPr>
              <w:tabs>
                <w:tab w:val="left" w:pos="567"/>
              </w:tabs>
              <w:rPr>
                <w:sz w:val="22"/>
                <w:lang w:val="en-US"/>
              </w:rPr>
            </w:pPr>
            <w:r w:rsidRPr="00815FE0">
              <w:rPr>
                <w:lang w:val="en-US"/>
              </w:rPr>
              <w:t>Dabigatranetexilate (150 mg):</w:t>
            </w:r>
          </w:p>
          <w:p w:rsidR="00506317" w:rsidRPr="00815FE0" w:rsidRDefault="00506317" w:rsidP="00506317">
            <w:pPr>
              <w:tabs>
                <w:tab w:val="left" w:pos="567"/>
              </w:tabs>
              <w:rPr>
                <w:u w:val="single"/>
                <w:lang w:val="en-US"/>
              </w:rPr>
            </w:pPr>
            <w:r w:rsidRPr="00815FE0">
              <w:rPr>
                <w:u w:val="single"/>
                <w:lang w:val="en-US"/>
              </w:rPr>
              <w:t>darunavir/ritonavir 800/100 mg enkeltdosis:</w:t>
            </w:r>
          </w:p>
          <w:p w:rsidR="00506317" w:rsidRPr="00815FE0" w:rsidRDefault="00506317" w:rsidP="00506317">
            <w:pPr>
              <w:tabs>
                <w:tab w:val="left" w:pos="567"/>
              </w:tabs>
              <w:rPr>
                <w:lang w:val="en-US"/>
              </w:rPr>
            </w:pPr>
            <w:r w:rsidRPr="00815FE0">
              <w:rPr>
                <w:lang w:val="en-US"/>
              </w:rPr>
              <w:t>dabigatran AUC ↑ 72 %</w:t>
            </w:r>
          </w:p>
          <w:p w:rsidR="00506317" w:rsidRDefault="00506317" w:rsidP="00506317">
            <w:pPr>
              <w:tabs>
                <w:tab w:val="left" w:pos="567"/>
              </w:tabs>
            </w:pPr>
            <w:r>
              <w:t>dabigatran Cmax ↑ 64 %</w:t>
            </w:r>
          </w:p>
          <w:p w:rsidR="00506317" w:rsidRDefault="00506317" w:rsidP="00506317">
            <w:pPr>
              <w:tabs>
                <w:tab w:val="left" w:pos="567"/>
              </w:tabs>
            </w:pPr>
          </w:p>
          <w:p w:rsidR="00506317" w:rsidRDefault="00506317" w:rsidP="00506317">
            <w:pPr>
              <w:tabs>
                <w:tab w:val="left" w:pos="567"/>
              </w:tabs>
              <w:rPr>
                <w:u w:val="single"/>
              </w:rPr>
            </w:pPr>
            <w:r>
              <w:rPr>
                <w:u w:val="single"/>
              </w:rPr>
              <w:t>darunavir/ritonavir 800/100 mg én gang dagligt:</w:t>
            </w:r>
          </w:p>
          <w:p w:rsidR="00506317" w:rsidRDefault="00506317" w:rsidP="00506317">
            <w:pPr>
              <w:tabs>
                <w:tab w:val="left" w:pos="567"/>
              </w:tabs>
            </w:pPr>
            <w:r>
              <w:t>dabigatran AUC ↑ 18 %</w:t>
            </w:r>
          </w:p>
          <w:p w:rsidR="00506317" w:rsidRDefault="00506317" w:rsidP="00506317">
            <w:pPr>
              <w:tabs>
                <w:tab w:val="left" w:pos="567"/>
              </w:tabs>
            </w:pPr>
            <w:r>
              <w:t>dabigatran C</w:t>
            </w:r>
            <w:r>
              <w:rPr>
                <w:vertAlign w:val="subscript"/>
              </w:rPr>
              <w:t>max</w:t>
            </w:r>
            <w:r>
              <w:t xml:space="preserve"> ↑ 22 %</w:t>
            </w:r>
          </w:p>
          <w:p w:rsidR="00506317" w:rsidRDefault="00506317" w:rsidP="00506317">
            <w:pPr>
              <w:ind w:left="137" w:right="56"/>
              <w:rPr>
                <w:sz w:val="22"/>
                <w:szCs w:val="22"/>
              </w:rPr>
            </w:pPr>
          </w:p>
          <w:p w:rsidR="00506317" w:rsidRDefault="00506317" w:rsidP="00506317">
            <w:pPr>
              <w:ind w:left="137" w:right="56"/>
              <w:rPr>
                <w:sz w:val="22"/>
                <w:szCs w:val="22"/>
              </w:rPr>
            </w:pPr>
            <w:r>
              <w:rPr>
                <w:sz w:val="22"/>
                <w:szCs w:val="22"/>
              </w:rPr>
              <w:t xml:space="preserve">Baseret på teoretiske overvejelser kan coadministration af boostet darunavir med ticagrelor øge koncentrationen af ticagrelor (CYP3A-og/eller P-glykoproteinhæmning). </w:t>
            </w:r>
          </w:p>
          <w:p w:rsidR="00506317" w:rsidRDefault="00506317" w:rsidP="00506317">
            <w:pPr>
              <w:ind w:left="137" w:right="56"/>
              <w:rPr>
                <w:sz w:val="22"/>
                <w:szCs w:val="22"/>
              </w:rPr>
            </w:pPr>
          </w:p>
          <w:p w:rsidR="00506317" w:rsidRDefault="00506317" w:rsidP="00506317">
            <w:pPr>
              <w:ind w:left="137" w:right="56"/>
              <w:rPr>
                <w:sz w:val="22"/>
                <w:szCs w:val="22"/>
              </w:rPr>
            </w:pPr>
          </w:p>
          <w:p w:rsidR="00506317" w:rsidRDefault="00506317" w:rsidP="00506317">
            <w:pPr>
              <w:ind w:left="137" w:right="56"/>
              <w:rPr>
                <w:sz w:val="22"/>
                <w:szCs w:val="22"/>
              </w:rPr>
            </w:pPr>
            <w:r>
              <w:rPr>
                <w:sz w:val="22"/>
                <w:szCs w:val="22"/>
              </w:rPr>
              <w:t>Ikke undersøgt. Co-administration af clopidogrel med boostet darunavir forventes at nedsætte plasmakoncentrationen af clopidogrels aktive metabolit, hvilket kan reducere clopidogrels trombocythæmmende aktivitet.</w:t>
            </w:r>
          </w:p>
          <w:p w:rsidR="00506317" w:rsidRDefault="00506317" w:rsidP="00506317">
            <w:pPr>
              <w:ind w:left="137" w:right="56"/>
              <w:rPr>
                <w:sz w:val="22"/>
                <w:szCs w:val="22"/>
              </w:rPr>
            </w:pPr>
          </w:p>
          <w:p w:rsidR="00506317" w:rsidRDefault="00506317" w:rsidP="00506317">
            <w:pPr>
              <w:ind w:left="137" w:right="56"/>
              <w:rPr>
                <w:sz w:val="22"/>
                <w:szCs w:val="22"/>
              </w:rPr>
            </w:pPr>
          </w:p>
          <w:p w:rsidR="00603CB3" w:rsidRPr="00A22D75" w:rsidRDefault="00603CB3" w:rsidP="00603CB3">
            <w:pPr>
              <w:ind w:left="137" w:right="56"/>
              <w:rPr>
                <w:sz w:val="22"/>
                <w:szCs w:val="22"/>
              </w:rPr>
            </w:pPr>
          </w:p>
        </w:tc>
        <w:tc>
          <w:tcPr>
            <w:tcW w:w="1668" w:type="pct"/>
            <w:gridSpan w:val="2"/>
            <w:tcBorders>
              <w:top w:val="single" w:sz="4" w:space="0" w:color="000000"/>
              <w:left w:val="single" w:sz="4" w:space="0" w:color="000000"/>
              <w:bottom w:val="single" w:sz="4" w:space="0" w:color="000000"/>
              <w:right w:val="single" w:sz="4" w:space="0" w:color="000000"/>
            </w:tcBorders>
          </w:tcPr>
          <w:p w:rsidR="00506317" w:rsidRDefault="00506317" w:rsidP="00506317">
            <w:pPr>
              <w:ind w:left="137" w:right="56"/>
              <w:rPr>
                <w:sz w:val="22"/>
                <w:szCs w:val="22"/>
              </w:rPr>
            </w:pPr>
            <w:r>
              <w:rPr>
                <w:sz w:val="22"/>
                <w:szCs w:val="22"/>
              </w:rPr>
              <w:t>Darunavir/ritonavir: Klinisk monitorering og/eller dosisreduktion af DOAK’et skal overvejes ved co-administration af darunavir/ritonavirog et DOAK, som transporteres af P-gp, men som ikke metaboliseres af CYP3A4, herunder dabigatranetexilat og edoxaban, administreres sammen med darunavir/rtv.</w:t>
            </w:r>
          </w:p>
          <w:p w:rsidR="00506317" w:rsidRDefault="00506317" w:rsidP="00506317">
            <w:pPr>
              <w:ind w:left="137" w:right="56"/>
              <w:rPr>
                <w:sz w:val="22"/>
                <w:szCs w:val="22"/>
              </w:rPr>
            </w:pPr>
            <w:r>
              <w:rPr>
                <w:sz w:val="22"/>
                <w:szCs w:val="22"/>
              </w:rPr>
              <w:t xml:space="preserve"> </w:t>
            </w:r>
          </w:p>
          <w:p w:rsidR="00506317" w:rsidRDefault="00506317" w:rsidP="00506317">
            <w:pPr>
              <w:ind w:left="137" w:right="56"/>
              <w:rPr>
                <w:sz w:val="22"/>
                <w:szCs w:val="22"/>
              </w:rPr>
            </w:pPr>
            <w:r>
              <w:rPr>
                <w:sz w:val="22"/>
                <w:szCs w:val="22"/>
              </w:rPr>
              <w:t xml:space="preserve">Sideløbende behandling med boostet darunavir med ticagrelor er kontraindiceret (se pkt. 4.3). </w:t>
            </w:r>
          </w:p>
          <w:p w:rsidR="00506317" w:rsidRDefault="00506317" w:rsidP="00506317">
            <w:pPr>
              <w:ind w:left="137" w:right="56"/>
              <w:rPr>
                <w:sz w:val="22"/>
                <w:szCs w:val="22"/>
              </w:rPr>
            </w:pPr>
          </w:p>
          <w:p w:rsidR="00506317" w:rsidRDefault="00506317" w:rsidP="00506317">
            <w:pPr>
              <w:ind w:left="137" w:right="56"/>
              <w:rPr>
                <w:sz w:val="22"/>
                <w:szCs w:val="22"/>
              </w:rPr>
            </w:pPr>
          </w:p>
          <w:p w:rsidR="00506317" w:rsidRDefault="00506317" w:rsidP="00506317">
            <w:pPr>
              <w:ind w:right="56"/>
              <w:rPr>
                <w:sz w:val="22"/>
                <w:szCs w:val="22"/>
              </w:rPr>
            </w:pPr>
          </w:p>
          <w:p w:rsidR="00506317" w:rsidRDefault="00506317" w:rsidP="00506317">
            <w:pPr>
              <w:ind w:right="56"/>
              <w:rPr>
                <w:sz w:val="22"/>
                <w:szCs w:val="22"/>
              </w:rPr>
            </w:pPr>
            <w:r>
              <w:rPr>
                <w:sz w:val="22"/>
                <w:szCs w:val="22"/>
              </w:rPr>
              <w:t>Co-administration af clopidogrel   med boostet darunavir frarådes.</w:t>
            </w:r>
          </w:p>
          <w:p w:rsidR="00506317" w:rsidRDefault="00506317" w:rsidP="00506317">
            <w:pPr>
              <w:ind w:left="137" w:right="56"/>
              <w:rPr>
                <w:sz w:val="22"/>
                <w:szCs w:val="22"/>
              </w:rPr>
            </w:pPr>
          </w:p>
          <w:p w:rsidR="00603CB3" w:rsidRPr="00A22D75" w:rsidRDefault="00506317" w:rsidP="00506317">
            <w:pPr>
              <w:ind w:left="137" w:right="56"/>
              <w:rPr>
                <w:sz w:val="22"/>
                <w:szCs w:val="22"/>
              </w:rPr>
            </w:pPr>
            <w:r>
              <w:rPr>
                <w:sz w:val="22"/>
                <w:szCs w:val="22"/>
              </w:rPr>
              <w:t xml:space="preserve">Brug af andre antikoagulerende midler, som ikke påvirkes af CYP hæmning eller inducerende effekt (f.eks. prasugrel) anbefales. </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Warfarin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i/>
                <w:sz w:val="22"/>
                <w:szCs w:val="22"/>
              </w:rPr>
            </w:pPr>
            <w:r w:rsidRPr="00A22D75">
              <w:rPr>
                <w:sz w:val="22"/>
                <w:szCs w:val="22"/>
              </w:rPr>
              <w:t>Ikke undersøgt. Warfarinkoncentrationer kan blive påvirket ved samtidig administration af darunavir med lavdosis ritonavir.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Det anbefales at monitorere INR (International normaliseret ratio), når warfarin kombineres med darunavir administreret sammen med lavdosis ritonavir.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ANTIEPILEPTIKA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Phenobarbital</w:t>
            </w:r>
          </w:p>
          <w:p w:rsidR="00603CB3" w:rsidRPr="00A22D75" w:rsidRDefault="00603CB3" w:rsidP="00603CB3">
            <w:pPr>
              <w:ind w:left="137" w:right="56"/>
              <w:rPr>
                <w:sz w:val="22"/>
                <w:szCs w:val="22"/>
              </w:rPr>
            </w:pPr>
            <w:r w:rsidRPr="00A22D75">
              <w:rPr>
                <w:sz w:val="22"/>
                <w:szCs w:val="22"/>
              </w:rPr>
              <w:t>Phenytoin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Phenobarbital og phenytoin forventes at nedsætte plasmakoncentrationen af darunavir og dens farmakoforstærker.</w:t>
            </w:r>
          </w:p>
          <w:p w:rsidR="00603CB3" w:rsidRPr="00A22D75" w:rsidRDefault="00603CB3" w:rsidP="00603CB3">
            <w:pPr>
              <w:ind w:left="137" w:right="56"/>
              <w:rPr>
                <w:sz w:val="22"/>
                <w:szCs w:val="22"/>
              </w:rPr>
            </w:pPr>
            <w:r w:rsidRPr="00A22D75">
              <w:rPr>
                <w:sz w:val="22"/>
                <w:szCs w:val="22"/>
              </w:rPr>
              <w:t>(induktion af CYP-enzymer)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administreret sammen med lavdosis ritonavir bør ikke anvendes i kombination med disse lægemidler.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Carbamazepin</w:t>
            </w:r>
          </w:p>
          <w:p w:rsidR="00603CB3" w:rsidRPr="00A22D75" w:rsidRDefault="00603CB3" w:rsidP="00603CB3">
            <w:pPr>
              <w:ind w:left="137" w:right="56"/>
              <w:rPr>
                <w:sz w:val="22"/>
                <w:szCs w:val="22"/>
              </w:rPr>
            </w:pPr>
            <w:r w:rsidRPr="00A22D75">
              <w:rPr>
                <w:sz w:val="22"/>
                <w:szCs w:val="22"/>
              </w:rPr>
              <w:t>200 mg 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carbamazepin AUC ↑ 45 %</w:t>
            </w:r>
          </w:p>
          <w:p w:rsidR="00603CB3" w:rsidRPr="00A22D75" w:rsidRDefault="00603CB3" w:rsidP="00603CB3">
            <w:pPr>
              <w:ind w:left="137" w:right="56"/>
              <w:rPr>
                <w:sz w:val="22"/>
                <w:szCs w:val="22"/>
              </w:rPr>
            </w:pPr>
            <w:r w:rsidRPr="00A22D75">
              <w:rPr>
                <w:sz w:val="22"/>
                <w:szCs w:val="22"/>
              </w:rPr>
              <w:t xml:space="preserve">carbamazepin </w:t>
            </w:r>
            <w:r w:rsidRPr="00A22D75">
              <w:rPr>
                <w:spacing w:val="1"/>
                <w:sz w:val="22"/>
                <w:szCs w:val="22"/>
              </w:rPr>
              <w:t>C</w:t>
            </w:r>
            <w:r w:rsidRPr="00A22D75">
              <w:rPr>
                <w:spacing w:val="1"/>
                <w:sz w:val="22"/>
                <w:szCs w:val="22"/>
                <w:vertAlign w:val="subscript"/>
              </w:rPr>
              <w:t>min</w:t>
            </w:r>
            <w:r w:rsidRPr="00A22D75">
              <w:rPr>
                <w:sz w:val="22"/>
                <w:szCs w:val="22"/>
              </w:rPr>
              <w:t xml:space="preserve"> ↑ 54 %</w:t>
            </w:r>
          </w:p>
          <w:p w:rsidR="00603CB3" w:rsidRPr="00A22D75" w:rsidRDefault="00603CB3" w:rsidP="00603CB3">
            <w:pPr>
              <w:ind w:left="137" w:right="56"/>
              <w:rPr>
                <w:sz w:val="22"/>
                <w:szCs w:val="22"/>
              </w:rPr>
            </w:pPr>
            <w:r w:rsidRPr="00A22D75">
              <w:rPr>
                <w:sz w:val="22"/>
                <w:szCs w:val="22"/>
              </w:rPr>
              <w:t>carbamazepin C</w:t>
            </w:r>
            <w:r w:rsidRPr="00A22D75">
              <w:rPr>
                <w:sz w:val="22"/>
                <w:szCs w:val="22"/>
                <w:vertAlign w:val="subscript"/>
              </w:rPr>
              <w:t xml:space="preserve">max </w:t>
            </w:r>
            <w:r w:rsidRPr="00A22D75">
              <w:rPr>
                <w:sz w:val="22"/>
                <w:szCs w:val="22"/>
              </w:rPr>
              <w:t xml:space="preserve">↑ 43 % </w:t>
            </w:r>
          </w:p>
          <w:p w:rsidR="00603CB3" w:rsidRPr="00A22D75" w:rsidRDefault="00603CB3" w:rsidP="00603CB3">
            <w:pPr>
              <w:ind w:left="137" w:right="56"/>
              <w:rPr>
                <w:sz w:val="22"/>
                <w:szCs w:val="22"/>
              </w:rPr>
            </w:pPr>
            <w:r w:rsidRPr="00A22D75">
              <w:rPr>
                <w:sz w:val="22"/>
                <w:szCs w:val="22"/>
              </w:rPr>
              <w:t xml:space="preserve">darunavir AUC ↔ </w:t>
            </w:r>
          </w:p>
          <w:p w:rsidR="00603CB3" w:rsidRPr="00A22D75" w:rsidRDefault="00603CB3" w:rsidP="00603CB3">
            <w:pPr>
              <w:ind w:left="137" w:right="56"/>
              <w:rPr>
                <w:sz w:val="22"/>
                <w:szCs w:val="22"/>
              </w:rPr>
            </w:pPr>
            <w:r w:rsidRPr="00A22D75">
              <w:rPr>
                <w:sz w:val="22"/>
                <w:szCs w:val="22"/>
              </w:rPr>
              <w:t xml:space="preserve">darunavir </w:t>
            </w:r>
            <w:r w:rsidRPr="00A22D75">
              <w:rPr>
                <w:spacing w:val="1"/>
                <w:sz w:val="22"/>
                <w:szCs w:val="22"/>
              </w:rPr>
              <w:t>C</w:t>
            </w:r>
            <w:r w:rsidRPr="00A22D75">
              <w:rPr>
                <w:spacing w:val="1"/>
                <w:sz w:val="22"/>
                <w:szCs w:val="22"/>
                <w:vertAlign w:val="subscript"/>
              </w:rPr>
              <w:t>min</w:t>
            </w:r>
            <w:r w:rsidRPr="00A22D75">
              <w:rPr>
                <w:sz w:val="22"/>
                <w:szCs w:val="22"/>
              </w:rPr>
              <w:t xml:space="preserve"> ↓ 15 % </w:t>
            </w:r>
          </w:p>
          <w:p w:rsidR="00603CB3" w:rsidRPr="00A22D75" w:rsidRDefault="00603CB3" w:rsidP="00603CB3">
            <w:pPr>
              <w:ind w:left="137" w:right="56"/>
              <w:rPr>
                <w:sz w:val="22"/>
                <w:szCs w:val="22"/>
              </w:rPr>
            </w:pPr>
            <w:r w:rsidRPr="00A22D75">
              <w:rPr>
                <w:sz w:val="22"/>
                <w:szCs w:val="22"/>
              </w:rPr>
              <w:t>darunavir C</w:t>
            </w:r>
            <w:r w:rsidRPr="00A22D75">
              <w:rPr>
                <w:sz w:val="22"/>
                <w:szCs w:val="22"/>
                <w:vertAlign w:val="subscript"/>
              </w:rPr>
              <w:t>max</w:t>
            </w:r>
            <w:r w:rsidRPr="00A22D75">
              <w:rPr>
                <w:sz w:val="22"/>
                <w:szCs w:val="22"/>
              </w:rPr>
              <w:t xml:space="preserve"> ↔</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 xml:space="preserve">Der er ikke anbefalet dosisjustering af darunavir/ritonavir. Hvis der er behov for at kombinere darunavir/ritonavir med carbamazepin, skal patienterne </w:t>
            </w:r>
            <w:r w:rsidRPr="00A22D75">
              <w:rPr>
                <w:sz w:val="22"/>
                <w:szCs w:val="22"/>
              </w:rPr>
              <w:lastRenderedPageBreak/>
              <w:t>monitoreres for potentielle carbamazepinrelaterede bivirkninger. Carbamazepin-koncentrationer skal monitoreres, og der dosistitreres til et passende respons. På baggrund af observationer kan der være behov for, at carbamazepindoseringen skal reduceres med 25-50 % ved samtidig behandling med darunavir/ritonavir.</w:t>
            </w:r>
          </w:p>
          <w:p w:rsidR="00603CB3" w:rsidRPr="00A22D75" w:rsidRDefault="00603CB3" w:rsidP="00603CB3">
            <w:pPr>
              <w:ind w:left="137" w:right="56"/>
              <w:rPr>
                <w:sz w:val="22"/>
                <w:szCs w:val="22"/>
              </w:rPr>
            </w:pP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Clonazepam</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Co-administration med boostet darunavir med clonazepam kan øge koncentrationerne af clonazepam (CYP3A 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Klinisk monitorering anbefales når boostet darunavir administreres sammen med clonazepam.</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b/>
                <w:bCs/>
                <w:sz w:val="22"/>
                <w:szCs w:val="22"/>
              </w:rPr>
            </w:pPr>
            <w:r w:rsidRPr="00A22D75">
              <w:rPr>
                <w:b/>
                <w:bCs/>
                <w:sz w:val="22"/>
                <w:szCs w:val="22"/>
              </w:rPr>
              <w:t>ANTIDEPRESSIVA</w:t>
            </w:r>
          </w:p>
        </w:tc>
      </w:tr>
      <w:tr w:rsidR="00603CB3" w:rsidRPr="00A22D75" w:rsidTr="00603CB3">
        <w:trPr>
          <w:trHeight w:val="20"/>
        </w:trPr>
        <w:tc>
          <w:tcPr>
            <w:tcW w:w="1308" w:type="pct"/>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Paroxetin</w:t>
            </w:r>
          </w:p>
          <w:p w:rsidR="00603CB3" w:rsidRPr="00A22D75" w:rsidRDefault="00603CB3" w:rsidP="00603CB3">
            <w:pPr>
              <w:ind w:left="137" w:right="56"/>
              <w:rPr>
                <w:sz w:val="22"/>
                <w:szCs w:val="22"/>
              </w:rPr>
            </w:pPr>
            <w:r w:rsidRPr="00A22D75">
              <w:rPr>
                <w:spacing w:val="1"/>
                <w:sz w:val="22"/>
                <w:szCs w:val="22"/>
              </w:rPr>
              <w:t>2</w:t>
            </w:r>
            <w:r w:rsidRPr="00A22D75">
              <w:rPr>
                <w:sz w:val="22"/>
                <w:szCs w:val="22"/>
              </w:rPr>
              <w:t>0 mg</w:t>
            </w:r>
            <w:r w:rsidRPr="00A22D75">
              <w:rPr>
                <w:spacing w:val="-3"/>
                <w:sz w:val="22"/>
                <w:szCs w:val="22"/>
              </w:rPr>
              <w:t xml:space="preserve"> </w:t>
            </w:r>
            <w:r w:rsidRPr="00A22D75">
              <w:rPr>
                <w:sz w:val="22"/>
                <w:szCs w:val="22"/>
              </w:rPr>
              <w:t>en gang daglig</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Sertralin</w:t>
            </w:r>
          </w:p>
          <w:p w:rsidR="00603CB3" w:rsidRPr="00A22D75" w:rsidRDefault="00603CB3" w:rsidP="00603CB3">
            <w:pPr>
              <w:ind w:left="137" w:right="56"/>
              <w:rPr>
                <w:sz w:val="22"/>
                <w:szCs w:val="22"/>
              </w:rPr>
            </w:pPr>
            <w:r w:rsidRPr="00A22D75">
              <w:rPr>
                <w:spacing w:val="1"/>
                <w:sz w:val="22"/>
                <w:szCs w:val="22"/>
              </w:rPr>
              <w:t>5</w:t>
            </w:r>
            <w:r w:rsidRPr="00A22D75">
              <w:rPr>
                <w:sz w:val="22"/>
                <w:szCs w:val="22"/>
              </w:rPr>
              <w:t>0 mg</w:t>
            </w:r>
            <w:r w:rsidRPr="00A22D75">
              <w:rPr>
                <w:spacing w:val="-3"/>
                <w:sz w:val="22"/>
                <w:szCs w:val="22"/>
              </w:rPr>
              <w:t xml:space="preserve"> </w:t>
            </w:r>
            <w:r w:rsidRPr="00A22D75">
              <w:rPr>
                <w:sz w:val="22"/>
                <w:szCs w:val="22"/>
              </w:rPr>
              <w:t>en gang daglig</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 xml:space="preserve">Amitriptylin </w:t>
            </w:r>
          </w:p>
          <w:p w:rsidR="00603CB3" w:rsidRPr="00A22D75" w:rsidRDefault="00603CB3" w:rsidP="00603CB3">
            <w:pPr>
              <w:ind w:left="137" w:right="56"/>
              <w:rPr>
                <w:sz w:val="22"/>
                <w:szCs w:val="22"/>
              </w:rPr>
            </w:pPr>
            <w:r w:rsidRPr="00A22D75">
              <w:rPr>
                <w:sz w:val="22"/>
                <w:szCs w:val="22"/>
              </w:rPr>
              <w:t xml:space="preserve">Desipramin </w:t>
            </w:r>
          </w:p>
          <w:p w:rsidR="00603CB3" w:rsidRPr="00A22D75" w:rsidRDefault="00603CB3" w:rsidP="00603CB3">
            <w:pPr>
              <w:ind w:left="137" w:right="56"/>
              <w:rPr>
                <w:spacing w:val="1"/>
                <w:sz w:val="22"/>
                <w:szCs w:val="22"/>
              </w:rPr>
            </w:pPr>
            <w:r w:rsidRPr="00A22D75">
              <w:rPr>
                <w:spacing w:val="3"/>
                <w:sz w:val="22"/>
                <w:szCs w:val="22"/>
              </w:rPr>
              <w:t>I</w:t>
            </w:r>
            <w:r w:rsidRPr="00A22D75">
              <w:rPr>
                <w:spacing w:val="-4"/>
                <w:sz w:val="22"/>
                <w:szCs w:val="22"/>
              </w:rPr>
              <w:t>m</w:t>
            </w:r>
            <w:r w:rsidRPr="00A22D75">
              <w:rPr>
                <w:spacing w:val="1"/>
                <w:sz w:val="22"/>
                <w:szCs w:val="22"/>
              </w:rPr>
              <w:t>ipra</w:t>
            </w:r>
            <w:r w:rsidRPr="00A22D75">
              <w:rPr>
                <w:spacing w:val="-4"/>
                <w:sz w:val="22"/>
                <w:szCs w:val="22"/>
              </w:rPr>
              <w:t>m</w:t>
            </w:r>
            <w:r w:rsidRPr="00A22D75">
              <w:rPr>
                <w:spacing w:val="1"/>
                <w:sz w:val="22"/>
                <w:szCs w:val="22"/>
              </w:rPr>
              <w:t xml:space="preserve">in </w:t>
            </w:r>
          </w:p>
          <w:p w:rsidR="00603CB3" w:rsidRPr="00A22D75" w:rsidRDefault="00603CB3" w:rsidP="00603CB3">
            <w:pPr>
              <w:ind w:left="137" w:right="56"/>
              <w:rPr>
                <w:sz w:val="22"/>
                <w:szCs w:val="22"/>
              </w:rPr>
            </w:pPr>
            <w:r w:rsidRPr="00A22D75">
              <w:rPr>
                <w:sz w:val="22"/>
                <w:szCs w:val="22"/>
              </w:rPr>
              <w:t xml:space="preserve">Nortriptylin </w:t>
            </w:r>
          </w:p>
          <w:p w:rsidR="00603CB3" w:rsidRPr="00A22D75" w:rsidRDefault="00603CB3" w:rsidP="00603CB3">
            <w:pPr>
              <w:ind w:left="137" w:right="56"/>
              <w:rPr>
                <w:b/>
                <w:bCs/>
                <w:sz w:val="22"/>
                <w:szCs w:val="22"/>
              </w:rPr>
            </w:pPr>
            <w:r w:rsidRPr="00A22D75">
              <w:rPr>
                <w:spacing w:val="1"/>
                <w:sz w:val="22"/>
                <w:szCs w:val="22"/>
              </w:rPr>
              <w:t>Trazodon</w:t>
            </w:r>
          </w:p>
        </w:tc>
        <w:tc>
          <w:tcPr>
            <w:tcW w:w="195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lang w:val="en-US"/>
              </w:rPr>
            </w:pPr>
            <w:r w:rsidRPr="00A22D75">
              <w:rPr>
                <w:sz w:val="22"/>
                <w:szCs w:val="22"/>
                <w:lang w:val="en-US"/>
              </w:rPr>
              <w:t>paroxetin AUC ↓ 39 %</w:t>
            </w:r>
          </w:p>
          <w:p w:rsidR="00603CB3" w:rsidRPr="00A22D75" w:rsidRDefault="00603CB3" w:rsidP="00603CB3">
            <w:pPr>
              <w:ind w:left="137" w:right="56"/>
              <w:rPr>
                <w:sz w:val="22"/>
                <w:szCs w:val="22"/>
                <w:lang w:val="en-US"/>
              </w:rPr>
            </w:pPr>
            <w:r w:rsidRPr="00A22D75">
              <w:rPr>
                <w:sz w:val="22"/>
                <w:szCs w:val="22"/>
                <w:lang w:val="en-US"/>
              </w:rPr>
              <w:t>paroxetin C</w:t>
            </w:r>
            <w:r w:rsidRPr="00A22D75">
              <w:rPr>
                <w:sz w:val="22"/>
                <w:szCs w:val="22"/>
                <w:vertAlign w:val="subscript"/>
                <w:lang w:val="en-US"/>
              </w:rPr>
              <w:t xml:space="preserve">min </w:t>
            </w:r>
            <w:r w:rsidRPr="00A22D75">
              <w:rPr>
                <w:sz w:val="22"/>
                <w:szCs w:val="22"/>
                <w:lang w:val="en-US"/>
              </w:rPr>
              <w:t>↓ 37 %</w:t>
            </w:r>
          </w:p>
          <w:p w:rsidR="00603CB3" w:rsidRPr="00A22D75" w:rsidRDefault="00603CB3" w:rsidP="00603CB3">
            <w:pPr>
              <w:ind w:left="137" w:right="56"/>
              <w:rPr>
                <w:sz w:val="22"/>
                <w:szCs w:val="22"/>
                <w:lang w:val="en-US"/>
              </w:rPr>
            </w:pPr>
            <w:r w:rsidRPr="00A22D75">
              <w:rPr>
                <w:sz w:val="22"/>
                <w:szCs w:val="22"/>
                <w:lang w:val="en-US"/>
              </w:rPr>
              <w:t xml:space="preserve">paroxetin </w:t>
            </w:r>
            <w:r w:rsidRPr="00A22D75">
              <w:rPr>
                <w:spacing w:val="2"/>
                <w:sz w:val="22"/>
                <w:szCs w:val="22"/>
                <w:lang w:val="en-US"/>
              </w:rPr>
              <w:t>C</w:t>
            </w:r>
            <w:r w:rsidRPr="00A22D75">
              <w:rPr>
                <w:spacing w:val="2"/>
                <w:sz w:val="22"/>
                <w:szCs w:val="22"/>
                <w:vertAlign w:val="subscript"/>
                <w:lang w:val="en-US"/>
              </w:rPr>
              <w:t>max</w:t>
            </w:r>
            <w:r w:rsidRPr="00A22D75">
              <w:rPr>
                <w:sz w:val="22"/>
                <w:szCs w:val="22"/>
                <w:lang w:val="en-US"/>
              </w:rPr>
              <w:t xml:space="preserve"> ↓ 36 %</w:t>
            </w:r>
          </w:p>
          <w:p w:rsidR="00603CB3" w:rsidRPr="00A22D75" w:rsidRDefault="00603CB3" w:rsidP="00603CB3">
            <w:pPr>
              <w:ind w:left="137" w:right="56"/>
              <w:rPr>
                <w:sz w:val="22"/>
                <w:szCs w:val="22"/>
                <w:lang w:val="en-US"/>
              </w:rPr>
            </w:pPr>
            <w:r w:rsidRPr="00A22D75">
              <w:rPr>
                <w:sz w:val="22"/>
                <w:szCs w:val="22"/>
                <w:vertAlign w:val="superscript"/>
                <w:lang w:val="en-US"/>
              </w:rPr>
              <w:t>#</w:t>
            </w:r>
            <w:r w:rsidRPr="00A22D75">
              <w:rPr>
                <w:sz w:val="22"/>
                <w:szCs w:val="22"/>
                <w:lang w:val="en-US"/>
              </w:rPr>
              <w:t>darunavir AUC ↔</w:t>
            </w:r>
          </w:p>
          <w:p w:rsidR="00603CB3" w:rsidRPr="00A22D75" w:rsidRDefault="00603CB3" w:rsidP="00603CB3">
            <w:pPr>
              <w:ind w:left="137" w:right="56"/>
              <w:rPr>
                <w:sz w:val="22"/>
                <w:szCs w:val="22"/>
                <w:lang w:val="en-US"/>
              </w:rPr>
            </w:pPr>
            <w:r w:rsidRPr="00A22D75">
              <w:rPr>
                <w:sz w:val="22"/>
                <w:szCs w:val="22"/>
                <w:vertAlign w:val="superscript"/>
                <w:lang w:val="en-US"/>
              </w:rPr>
              <w:t>#</w:t>
            </w:r>
            <w:r w:rsidRPr="00A22D75">
              <w:rPr>
                <w:sz w:val="22"/>
                <w:szCs w:val="22"/>
                <w:lang w:val="en-US"/>
              </w:rPr>
              <w:t xml:space="preserve">darunavir </w:t>
            </w:r>
            <w:r w:rsidRPr="00A22D75">
              <w:rPr>
                <w:spacing w:val="1"/>
                <w:sz w:val="22"/>
                <w:szCs w:val="22"/>
                <w:lang w:val="en-US"/>
              </w:rPr>
              <w:t>C</w:t>
            </w:r>
            <w:r w:rsidRPr="00A22D75">
              <w:rPr>
                <w:spacing w:val="1"/>
                <w:sz w:val="22"/>
                <w:szCs w:val="22"/>
                <w:vertAlign w:val="subscript"/>
                <w:lang w:val="en-US"/>
              </w:rPr>
              <w:t>min</w:t>
            </w:r>
            <w:r w:rsidRPr="00A22D75">
              <w:rPr>
                <w:sz w:val="22"/>
                <w:szCs w:val="22"/>
                <w:lang w:val="en-US"/>
              </w:rPr>
              <w:t xml:space="preserve"> ↔</w:t>
            </w:r>
          </w:p>
          <w:p w:rsidR="00603CB3" w:rsidRPr="00A22D75" w:rsidRDefault="00603CB3" w:rsidP="00603CB3">
            <w:pPr>
              <w:ind w:left="137" w:right="56"/>
              <w:rPr>
                <w:sz w:val="22"/>
                <w:szCs w:val="22"/>
                <w:lang w:val="en-US"/>
              </w:rPr>
            </w:pPr>
            <w:r w:rsidRPr="00A22D75">
              <w:rPr>
                <w:sz w:val="22"/>
                <w:szCs w:val="22"/>
                <w:vertAlign w:val="superscript"/>
                <w:lang w:val="en-US"/>
              </w:rPr>
              <w:t>#</w:t>
            </w:r>
            <w:r w:rsidRPr="00A22D75">
              <w:rPr>
                <w:sz w:val="22"/>
                <w:szCs w:val="22"/>
                <w:lang w:val="en-US"/>
              </w:rPr>
              <w:t xml:space="preserve">darunavir </w:t>
            </w:r>
            <w:r w:rsidRPr="00A22D75">
              <w:rPr>
                <w:spacing w:val="2"/>
                <w:sz w:val="22"/>
                <w:szCs w:val="22"/>
                <w:lang w:val="en-US"/>
              </w:rPr>
              <w:t>C</w:t>
            </w:r>
            <w:r w:rsidRPr="00A22D75">
              <w:rPr>
                <w:spacing w:val="2"/>
                <w:sz w:val="22"/>
                <w:szCs w:val="22"/>
                <w:vertAlign w:val="subscript"/>
                <w:lang w:val="en-US"/>
              </w:rPr>
              <w:t>max</w:t>
            </w:r>
            <w:r w:rsidRPr="00A22D75">
              <w:rPr>
                <w:sz w:val="22"/>
                <w:szCs w:val="22"/>
                <w:lang w:val="en-US"/>
              </w:rPr>
              <w:t xml:space="preserve"> ↔</w:t>
            </w:r>
          </w:p>
          <w:p w:rsidR="00603CB3" w:rsidRPr="00A22D75" w:rsidRDefault="00603CB3" w:rsidP="00603CB3">
            <w:pPr>
              <w:ind w:left="137" w:right="56"/>
              <w:rPr>
                <w:sz w:val="22"/>
                <w:szCs w:val="22"/>
                <w:lang w:val="en-US"/>
              </w:rPr>
            </w:pPr>
            <w:r w:rsidRPr="00A22D75">
              <w:rPr>
                <w:sz w:val="22"/>
                <w:szCs w:val="22"/>
                <w:lang w:val="en-US"/>
              </w:rPr>
              <w:t>sertralin AUC ↓ 49 %</w:t>
            </w:r>
          </w:p>
          <w:p w:rsidR="00603CB3" w:rsidRPr="00A22D75" w:rsidRDefault="00603CB3" w:rsidP="00603CB3">
            <w:pPr>
              <w:ind w:left="137" w:right="56"/>
              <w:rPr>
                <w:sz w:val="22"/>
                <w:szCs w:val="22"/>
                <w:lang w:val="en-US"/>
              </w:rPr>
            </w:pPr>
            <w:r w:rsidRPr="00A22D75">
              <w:rPr>
                <w:sz w:val="22"/>
                <w:szCs w:val="22"/>
                <w:lang w:val="en-US"/>
              </w:rPr>
              <w:t>sertralin C</w:t>
            </w:r>
            <w:r w:rsidRPr="00A22D75">
              <w:rPr>
                <w:sz w:val="22"/>
                <w:szCs w:val="22"/>
                <w:vertAlign w:val="subscript"/>
                <w:lang w:val="en-US"/>
              </w:rPr>
              <w:t>min</w:t>
            </w:r>
            <w:r w:rsidRPr="00A22D75">
              <w:rPr>
                <w:sz w:val="22"/>
                <w:szCs w:val="22"/>
                <w:lang w:val="en-US"/>
              </w:rPr>
              <w:t xml:space="preserve"> ↓ 49 %</w:t>
            </w:r>
          </w:p>
          <w:p w:rsidR="00603CB3" w:rsidRPr="00A22D75" w:rsidRDefault="00603CB3" w:rsidP="00603CB3">
            <w:pPr>
              <w:ind w:left="137" w:right="56"/>
              <w:rPr>
                <w:sz w:val="22"/>
                <w:szCs w:val="22"/>
                <w:lang w:val="en-US"/>
              </w:rPr>
            </w:pPr>
            <w:r w:rsidRPr="00A22D75">
              <w:rPr>
                <w:sz w:val="22"/>
                <w:szCs w:val="22"/>
                <w:lang w:val="en-US"/>
              </w:rPr>
              <w:t xml:space="preserve">sertralin </w:t>
            </w:r>
            <w:r w:rsidRPr="00A22D75">
              <w:rPr>
                <w:spacing w:val="2"/>
                <w:sz w:val="22"/>
                <w:szCs w:val="22"/>
                <w:lang w:val="en-US"/>
              </w:rPr>
              <w:t>C</w:t>
            </w:r>
            <w:r w:rsidRPr="00A22D75">
              <w:rPr>
                <w:spacing w:val="2"/>
                <w:sz w:val="22"/>
                <w:szCs w:val="22"/>
                <w:vertAlign w:val="subscript"/>
                <w:lang w:val="en-US"/>
              </w:rPr>
              <w:t>max</w:t>
            </w:r>
            <w:r w:rsidRPr="00A22D75">
              <w:rPr>
                <w:sz w:val="22"/>
                <w:szCs w:val="22"/>
                <w:lang w:val="en-US"/>
              </w:rPr>
              <w:t xml:space="preserve"> ↓ 44 %</w:t>
            </w:r>
          </w:p>
          <w:p w:rsidR="00603CB3" w:rsidRPr="00A22D75" w:rsidRDefault="00603CB3" w:rsidP="00603CB3">
            <w:pPr>
              <w:ind w:left="137" w:right="56"/>
              <w:rPr>
                <w:sz w:val="22"/>
                <w:szCs w:val="22"/>
                <w:lang w:val="en-US"/>
              </w:rPr>
            </w:pPr>
            <w:r w:rsidRPr="00A22D75">
              <w:rPr>
                <w:sz w:val="22"/>
                <w:szCs w:val="22"/>
                <w:vertAlign w:val="superscript"/>
                <w:lang w:val="en-US"/>
              </w:rPr>
              <w:t>#</w:t>
            </w:r>
            <w:r w:rsidRPr="00A22D75">
              <w:rPr>
                <w:sz w:val="22"/>
                <w:szCs w:val="22"/>
                <w:lang w:val="en-US"/>
              </w:rPr>
              <w:t>darunavir AUC ↔</w:t>
            </w:r>
          </w:p>
          <w:p w:rsidR="00603CB3" w:rsidRPr="00A22D75" w:rsidRDefault="00603CB3" w:rsidP="00603CB3">
            <w:pPr>
              <w:ind w:left="137" w:right="56"/>
              <w:rPr>
                <w:sz w:val="22"/>
                <w:szCs w:val="22"/>
                <w:lang w:val="en-US"/>
              </w:rPr>
            </w:pPr>
            <w:r w:rsidRPr="00A22D75">
              <w:rPr>
                <w:sz w:val="22"/>
                <w:szCs w:val="22"/>
                <w:vertAlign w:val="superscript"/>
                <w:lang w:val="en-US"/>
              </w:rPr>
              <w:t>#</w:t>
            </w:r>
            <w:r w:rsidRPr="00A22D75">
              <w:rPr>
                <w:sz w:val="22"/>
                <w:szCs w:val="22"/>
                <w:lang w:val="en-US"/>
              </w:rPr>
              <w:t xml:space="preserve">darunavir </w:t>
            </w:r>
            <w:r w:rsidRPr="00A22D75">
              <w:rPr>
                <w:spacing w:val="1"/>
                <w:sz w:val="22"/>
                <w:szCs w:val="22"/>
                <w:lang w:val="en-US"/>
              </w:rPr>
              <w:t>C</w:t>
            </w:r>
            <w:r w:rsidRPr="00A22D75">
              <w:rPr>
                <w:spacing w:val="1"/>
                <w:sz w:val="22"/>
                <w:szCs w:val="22"/>
                <w:vertAlign w:val="subscript"/>
                <w:lang w:val="en-US"/>
              </w:rPr>
              <w:t>min</w:t>
            </w:r>
            <w:r w:rsidRPr="00A22D75">
              <w:rPr>
                <w:sz w:val="22"/>
                <w:szCs w:val="22"/>
                <w:lang w:val="en-US"/>
              </w:rPr>
              <w:t xml:space="preserve"> ↓ 6 %</w:t>
            </w:r>
          </w:p>
          <w:p w:rsidR="00603CB3" w:rsidRPr="00815FE0" w:rsidRDefault="00603CB3" w:rsidP="00603CB3">
            <w:pPr>
              <w:ind w:left="137" w:right="56"/>
              <w:rPr>
                <w:sz w:val="22"/>
                <w:szCs w:val="22"/>
                <w:lang w:val="en-US"/>
              </w:rPr>
            </w:pPr>
            <w:r w:rsidRPr="00815FE0">
              <w:rPr>
                <w:sz w:val="22"/>
                <w:szCs w:val="22"/>
                <w:vertAlign w:val="superscript"/>
                <w:lang w:val="en-US"/>
              </w:rPr>
              <w:t>#</w:t>
            </w:r>
            <w:r w:rsidRPr="00815FE0">
              <w:rPr>
                <w:sz w:val="22"/>
                <w:szCs w:val="22"/>
                <w:lang w:val="en-US"/>
              </w:rPr>
              <w:t xml:space="preserve">darunavir </w:t>
            </w:r>
            <w:r w:rsidRPr="00815FE0">
              <w:rPr>
                <w:spacing w:val="2"/>
                <w:sz w:val="22"/>
                <w:szCs w:val="22"/>
                <w:lang w:val="en-US"/>
              </w:rPr>
              <w:t>C</w:t>
            </w:r>
            <w:r w:rsidRPr="00815FE0">
              <w:rPr>
                <w:spacing w:val="2"/>
                <w:sz w:val="22"/>
                <w:szCs w:val="22"/>
                <w:vertAlign w:val="subscript"/>
                <w:lang w:val="en-US"/>
              </w:rPr>
              <w:t>max</w:t>
            </w:r>
            <w:r w:rsidRPr="00815FE0">
              <w:rPr>
                <w:sz w:val="22"/>
                <w:szCs w:val="22"/>
                <w:lang w:val="en-US"/>
              </w:rPr>
              <w:t xml:space="preserve"> ↔</w:t>
            </w:r>
          </w:p>
          <w:p w:rsidR="00603CB3" w:rsidRPr="00815FE0" w:rsidRDefault="00603CB3" w:rsidP="00603CB3">
            <w:pPr>
              <w:ind w:left="137" w:right="56"/>
              <w:rPr>
                <w:sz w:val="22"/>
                <w:szCs w:val="22"/>
                <w:lang w:val="en-US"/>
              </w:rPr>
            </w:pPr>
          </w:p>
          <w:p w:rsidR="00603CB3" w:rsidRPr="00815FE0" w:rsidRDefault="00603CB3" w:rsidP="00603CB3">
            <w:pPr>
              <w:ind w:left="137" w:right="56"/>
              <w:rPr>
                <w:sz w:val="22"/>
                <w:szCs w:val="22"/>
                <w:lang w:val="en-US"/>
              </w:rPr>
            </w:pPr>
          </w:p>
          <w:p w:rsidR="00603CB3" w:rsidRPr="00A22D75" w:rsidRDefault="00603CB3" w:rsidP="00603CB3">
            <w:pPr>
              <w:ind w:left="137" w:right="56"/>
              <w:rPr>
                <w:bCs/>
                <w:sz w:val="22"/>
                <w:szCs w:val="22"/>
              </w:rPr>
            </w:pPr>
            <w:r w:rsidRPr="00A22D75">
              <w:rPr>
                <w:bCs/>
                <w:sz w:val="22"/>
                <w:szCs w:val="22"/>
              </w:rPr>
              <w:t>Samtidig brug af darunavir co-administreret med lavdosis ritonavir og disse antidepressiva kan øge koncentrationerne af antidepressivummet.</w:t>
            </w:r>
          </w:p>
          <w:p w:rsidR="00603CB3" w:rsidRPr="00A22D75" w:rsidRDefault="00603CB3" w:rsidP="00603CB3">
            <w:pPr>
              <w:ind w:left="137" w:right="56"/>
              <w:rPr>
                <w:b/>
                <w:bCs/>
                <w:sz w:val="22"/>
                <w:szCs w:val="22"/>
              </w:rPr>
            </w:pPr>
            <w:r w:rsidRPr="00A22D75">
              <w:rPr>
                <w:bCs/>
                <w:sz w:val="22"/>
                <w:szCs w:val="22"/>
              </w:rPr>
              <w:t>(CYP2D6- og/eller CYP3A-hæmning)</w:t>
            </w:r>
          </w:p>
        </w:tc>
        <w:tc>
          <w:tcPr>
            <w:tcW w:w="1734" w:type="pct"/>
            <w:gridSpan w:val="4"/>
            <w:tcBorders>
              <w:top w:val="single" w:sz="4" w:space="0" w:color="000000"/>
              <w:left w:val="single" w:sz="4" w:space="0" w:color="000000"/>
              <w:bottom w:val="single" w:sz="4" w:space="0" w:color="000000"/>
              <w:right w:val="single" w:sz="4" w:space="0" w:color="000000"/>
            </w:tcBorders>
            <w:shd w:val="clear" w:color="auto" w:fill="FFFFFF"/>
          </w:tcPr>
          <w:p w:rsidR="00603CB3" w:rsidRPr="00A22D75" w:rsidRDefault="00603CB3" w:rsidP="00603CB3">
            <w:pPr>
              <w:ind w:left="137" w:right="56"/>
              <w:rPr>
                <w:sz w:val="22"/>
                <w:szCs w:val="22"/>
              </w:rPr>
            </w:pPr>
            <w:r w:rsidRPr="00A22D75">
              <w:rPr>
                <w:sz w:val="22"/>
                <w:szCs w:val="22"/>
              </w:rPr>
              <w:t xml:space="preserve">Hvis antidepressiva co-administreres med darunavir med lavdosis ritonavir, anbefales dosistitrering af antidepressivummet ud fra en klinisk vurdering af antidepressivt respons. Ydermere skal patienter, der får en stabil dosis af disse antidepressiva, og som starter behandling med darunavir med lavdosis ritonavir, monitoreres for antidepressivt respons. </w:t>
            </w:r>
          </w:p>
          <w:p w:rsidR="00603CB3" w:rsidRPr="00A22D75" w:rsidRDefault="00603CB3" w:rsidP="00603CB3">
            <w:pPr>
              <w:tabs>
                <w:tab w:val="left" w:pos="3261"/>
              </w:tabs>
              <w:ind w:left="137" w:right="56"/>
              <w:rPr>
                <w:i/>
                <w:sz w:val="22"/>
                <w:szCs w:val="22"/>
              </w:rPr>
            </w:pPr>
          </w:p>
          <w:p w:rsidR="00603CB3" w:rsidRPr="00A22D75" w:rsidRDefault="00603CB3" w:rsidP="00603CB3">
            <w:pPr>
              <w:tabs>
                <w:tab w:val="left" w:pos="3261"/>
              </w:tabs>
              <w:ind w:left="137" w:right="56"/>
              <w:rPr>
                <w:bCs/>
                <w:sz w:val="22"/>
                <w:szCs w:val="22"/>
              </w:rPr>
            </w:pPr>
            <w:r w:rsidRPr="00A22D75">
              <w:rPr>
                <w:bCs/>
                <w:sz w:val="22"/>
                <w:szCs w:val="22"/>
              </w:rPr>
              <w:t>Klinisk monitorering anbefales ved co-administration af darunavir med lavdosis ritonavir og disse antidepressiva, og det kan være nødvendigt at justere dosis af antidepressivummet.</w:t>
            </w:r>
          </w:p>
        </w:tc>
      </w:tr>
      <w:tr w:rsidR="00603CB3" w:rsidRPr="00A22D75" w:rsidTr="00603CB3">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b/>
                <w:bCs/>
                <w:sz w:val="22"/>
                <w:szCs w:val="22"/>
              </w:rPr>
            </w:pPr>
            <w:r w:rsidRPr="004623FF">
              <w:rPr>
                <w:b/>
                <w:bCs/>
                <w:sz w:val="22"/>
                <w:szCs w:val="22"/>
              </w:rPr>
              <w:t>ANTIEMETIKA</w:t>
            </w:r>
          </w:p>
        </w:tc>
      </w:tr>
      <w:tr w:rsidR="00603CB3" w:rsidRPr="00A22D75" w:rsidTr="00603CB3">
        <w:trPr>
          <w:trHeight w:val="20"/>
        </w:trPr>
        <w:tc>
          <w:tcPr>
            <w:tcW w:w="1308" w:type="pct"/>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Domperidon</w:t>
            </w:r>
          </w:p>
        </w:tc>
        <w:tc>
          <w:tcPr>
            <w:tcW w:w="195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right="56"/>
              <w:rPr>
                <w:sz w:val="22"/>
                <w:szCs w:val="22"/>
                <w:lang w:val="en-US"/>
              </w:rPr>
            </w:pPr>
            <w:r w:rsidRPr="00A22D75">
              <w:rPr>
                <w:sz w:val="22"/>
                <w:szCs w:val="22"/>
                <w:lang w:val="en-US"/>
              </w:rPr>
              <w:t>Ikke undersøgt</w:t>
            </w:r>
          </w:p>
        </w:tc>
        <w:tc>
          <w:tcPr>
            <w:tcW w:w="1734" w:type="pct"/>
            <w:gridSpan w:val="4"/>
            <w:tcBorders>
              <w:top w:val="single" w:sz="4" w:space="0" w:color="000000"/>
              <w:left w:val="single" w:sz="4" w:space="0" w:color="000000"/>
              <w:bottom w:val="single" w:sz="4" w:space="0" w:color="000000"/>
              <w:right w:val="single" w:sz="4" w:space="0" w:color="000000"/>
            </w:tcBorders>
            <w:shd w:val="clear" w:color="auto" w:fill="FFFFFF"/>
          </w:tcPr>
          <w:p w:rsidR="00603CB3" w:rsidRPr="00A22D75" w:rsidRDefault="00603CB3" w:rsidP="00603CB3">
            <w:pPr>
              <w:ind w:left="137" w:right="56"/>
              <w:rPr>
                <w:sz w:val="22"/>
                <w:szCs w:val="22"/>
              </w:rPr>
            </w:pPr>
            <w:r w:rsidRPr="00A22D75">
              <w:rPr>
                <w:sz w:val="22"/>
                <w:szCs w:val="22"/>
              </w:rPr>
              <w:t>Co-administration af domperidon med boostet darunavir er kontraindikeret.</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ANTIMYKOTIKA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Voriconazol</w:t>
            </w:r>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B3" w:rsidRPr="00A22D75" w:rsidRDefault="00603CB3" w:rsidP="00603CB3">
            <w:pPr>
              <w:ind w:left="137" w:right="56"/>
              <w:rPr>
                <w:sz w:val="22"/>
                <w:szCs w:val="22"/>
              </w:rPr>
            </w:pPr>
            <w:r w:rsidRPr="00A22D75">
              <w:rPr>
                <w:sz w:val="22"/>
                <w:szCs w:val="22"/>
              </w:rPr>
              <w:t>Ikke undersøgt. Ritonavir kan nedsætte plasmakoncentrationen af voriconazol.</w:t>
            </w:r>
          </w:p>
          <w:p w:rsidR="00603CB3" w:rsidRPr="00A22D75" w:rsidRDefault="00603CB3" w:rsidP="00603CB3">
            <w:pPr>
              <w:ind w:left="137" w:right="56"/>
              <w:rPr>
                <w:sz w:val="22"/>
                <w:szCs w:val="22"/>
              </w:rPr>
            </w:pPr>
            <w:r w:rsidRPr="00A22D75">
              <w:rPr>
                <w:sz w:val="22"/>
                <w:szCs w:val="22"/>
              </w:rPr>
              <w:t xml:space="preserve">(induktion af </w:t>
            </w:r>
            <w:proofErr w:type="gramStart"/>
            <w:r w:rsidRPr="00A22D75">
              <w:rPr>
                <w:sz w:val="22"/>
                <w:szCs w:val="22"/>
              </w:rPr>
              <w:t>CYP enzymerne</w:t>
            </w:r>
            <w:proofErr w:type="gramEnd"/>
            <w:r w:rsidRPr="00A22D75">
              <w:rPr>
                <w:sz w:val="22"/>
                <w:szCs w:val="22"/>
              </w:rPr>
              <w:t>)</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B3" w:rsidRPr="00A22D75" w:rsidRDefault="00603CB3" w:rsidP="00603CB3">
            <w:pPr>
              <w:ind w:left="137" w:right="56"/>
              <w:rPr>
                <w:sz w:val="22"/>
                <w:szCs w:val="22"/>
              </w:rPr>
            </w:pPr>
            <w:r w:rsidRPr="00A22D75">
              <w:rPr>
                <w:sz w:val="22"/>
                <w:szCs w:val="22"/>
              </w:rPr>
              <w:t>Voriconazol bør ikke kombineres med darunavir administreret sammen med lavdosis ritonavir, medmindre en risk/benefit-vurdering retfærdiggør brug af voriconazol.</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815FE0" w:rsidRDefault="00603CB3" w:rsidP="00603CB3">
            <w:pPr>
              <w:ind w:left="137" w:right="56"/>
              <w:rPr>
                <w:sz w:val="22"/>
                <w:szCs w:val="22"/>
                <w:lang w:val="en-US"/>
              </w:rPr>
            </w:pPr>
            <w:r w:rsidRPr="00815FE0">
              <w:rPr>
                <w:sz w:val="22"/>
                <w:szCs w:val="22"/>
                <w:lang w:val="en-US"/>
              </w:rPr>
              <w:t xml:space="preserve">Fluconazol </w:t>
            </w:r>
          </w:p>
          <w:p w:rsidR="00603CB3" w:rsidRPr="00815FE0" w:rsidRDefault="00603CB3" w:rsidP="00603CB3">
            <w:pPr>
              <w:ind w:left="137" w:right="56"/>
              <w:rPr>
                <w:sz w:val="22"/>
                <w:szCs w:val="22"/>
                <w:lang w:val="en-US"/>
              </w:rPr>
            </w:pPr>
            <w:r w:rsidRPr="00815FE0">
              <w:rPr>
                <w:sz w:val="22"/>
                <w:szCs w:val="22"/>
                <w:lang w:val="en-US"/>
              </w:rPr>
              <w:t xml:space="preserve">Isavuconazol </w:t>
            </w:r>
          </w:p>
          <w:p w:rsidR="00603CB3" w:rsidRPr="00815FE0" w:rsidRDefault="00603CB3" w:rsidP="00603CB3">
            <w:pPr>
              <w:ind w:left="137" w:right="56"/>
              <w:rPr>
                <w:sz w:val="22"/>
                <w:szCs w:val="22"/>
                <w:lang w:val="en-US"/>
              </w:rPr>
            </w:pPr>
            <w:r w:rsidRPr="00815FE0">
              <w:rPr>
                <w:sz w:val="22"/>
                <w:szCs w:val="22"/>
                <w:lang w:val="en-US"/>
              </w:rPr>
              <w:t xml:space="preserve">Itraconazol </w:t>
            </w:r>
          </w:p>
          <w:p w:rsidR="00603CB3" w:rsidRPr="00815FE0" w:rsidRDefault="00603CB3" w:rsidP="00603CB3">
            <w:pPr>
              <w:ind w:left="137" w:right="56"/>
              <w:rPr>
                <w:sz w:val="22"/>
                <w:szCs w:val="22"/>
                <w:lang w:val="en-US"/>
              </w:rPr>
            </w:pPr>
            <w:r w:rsidRPr="00815FE0">
              <w:rPr>
                <w:sz w:val="22"/>
                <w:szCs w:val="22"/>
                <w:lang w:val="en-US"/>
              </w:rPr>
              <w:t>Posaconazol</w:t>
            </w:r>
          </w:p>
          <w:p w:rsidR="00603CB3" w:rsidRPr="00815FE0" w:rsidRDefault="00603CB3" w:rsidP="00603CB3">
            <w:pPr>
              <w:ind w:left="137" w:right="56"/>
              <w:rPr>
                <w:sz w:val="22"/>
                <w:szCs w:val="22"/>
                <w:lang w:val="en-US"/>
              </w:rPr>
            </w:pPr>
          </w:p>
          <w:p w:rsidR="00603CB3" w:rsidRPr="00815FE0" w:rsidRDefault="00603CB3" w:rsidP="00603CB3">
            <w:pPr>
              <w:ind w:left="137" w:right="56"/>
              <w:rPr>
                <w:sz w:val="22"/>
                <w:szCs w:val="22"/>
                <w:lang w:val="en-US"/>
              </w:rPr>
            </w:pPr>
          </w:p>
          <w:p w:rsidR="00603CB3" w:rsidRPr="00815FE0" w:rsidRDefault="00603CB3" w:rsidP="00603CB3">
            <w:pPr>
              <w:ind w:left="137" w:right="56"/>
              <w:rPr>
                <w:sz w:val="22"/>
                <w:szCs w:val="22"/>
                <w:lang w:val="en-US"/>
              </w:rPr>
            </w:pPr>
          </w:p>
          <w:p w:rsidR="00603CB3" w:rsidRPr="00815FE0" w:rsidRDefault="00603CB3" w:rsidP="00603CB3">
            <w:pPr>
              <w:ind w:left="137" w:right="56"/>
              <w:rPr>
                <w:sz w:val="22"/>
                <w:szCs w:val="22"/>
                <w:lang w:val="en-US"/>
              </w:rPr>
            </w:pPr>
            <w:r w:rsidRPr="00815FE0">
              <w:rPr>
                <w:sz w:val="22"/>
                <w:szCs w:val="22"/>
                <w:lang w:val="en-US"/>
              </w:rPr>
              <w:t>Clotrimazol</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sz w:val="22"/>
                <w:szCs w:val="22"/>
              </w:rPr>
            </w:pPr>
            <w:r w:rsidRPr="004623FF">
              <w:rPr>
                <w:sz w:val="22"/>
                <w:szCs w:val="22"/>
              </w:rPr>
              <w:t xml:space="preserve">Ikke undersøgt. Darunavir kan øge plasmakoncentrationen af antimykotika og posaconazol, isavuconazol, itraconazol eller fluconazol kan øge koncentrationerne af darunavir. (CYP3A- og/eller P-gp-hæmning) </w:t>
            </w:r>
          </w:p>
          <w:p w:rsidR="00603CB3" w:rsidRPr="004623FF" w:rsidRDefault="00603CB3" w:rsidP="00603CB3">
            <w:pPr>
              <w:ind w:left="137" w:right="56"/>
              <w:rPr>
                <w:sz w:val="22"/>
                <w:szCs w:val="22"/>
              </w:rPr>
            </w:pPr>
          </w:p>
          <w:p w:rsidR="00603CB3" w:rsidRPr="004623FF" w:rsidRDefault="00603CB3" w:rsidP="00603CB3">
            <w:pPr>
              <w:ind w:left="137"/>
              <w:rPr>
                <w:sz w:val="22"/>
                <w:szCs w:val="22"/>
              </w:rPr>
            </w:pPr>
            <w:r w:rsidRPr="004623FF">
              <w:rPr>
                <w:sz w:val="22"/>
                <w:szCs w:val="22"/>
              </w:rPr>
              <w:lastRenderedPageBreak/>
              <w:t>Ikke undersøgt. Samtidig systemisk brug af clotrimazol og darunavir med samtidigt administreret lavdosis ritonavir kan øge plasmakoncentrationen af darunavir og/eller clotrimazol. Darunavir AUC</w:t>
            </w:r>
            <w:r w:rsidRPr="004623FF">
              <w:rPr>
                <w:sz w:val="22"/>
                <w:szCs w:val="22"/>
                <w:vertAlign w:val="subscript"/>
              </w:rPr>
              <w:t>24h</w:t>
            </w:r>
            <w:r w:rsidRPr="004623FF">
              <w:rPr>
                <w:sz w:val="22"/>
                <w:szCs w:val="22"/>
              </w:rPr>
              <w:t xml:space="preserve"> ↑ 33 % (baseret på en populationsfarmakokinetisk model)</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pacing w:val="-1"/>
                <w:sz w:val="22"/>
                <w:szCs w:val="22"/>
              </w:rPr>
              <w:lastRenderedPageBreak/>
              <w:t>Der skal udvises forsigtighed, og klinisk monitorering anbefales. Ved behov for co-administration bør den daglige dosis af itraconazolikke overskride 200 mg.</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MIDLER MOD ARTHRITIS URICA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Colchicin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Samtidig anvendelse af cochicin og darunavir administreret sammen med lavdosis ritonavir kan øge eksponeringen for colchicin.</w:t>
            </w:r>
          </w:p>
          <w:p w:rsidR="00603CB3" w:rsidRPr="00A22D75" w:rsidRDefault="00603CB3" w:rsidP="00603CB3">
            <w:pPr>
              <w:ind w:left="137" w:right="56"/>
              <w:rPr>
                <w:sz w:val="22"/>
                <w:szCs w:val="22"/>
              </w:rPr>
            </w:pPr>
            <w:r w:rsidRPr="00A22D75">
              <w:rPr>
                <w:sz w:val="22"/>
                <w:szCs w:val="22"/>
              </w:rPr>
              <w:t>(CYP3A og/ eller P-gp 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Dosisreduktion eller seponering af colchicin anbefales hos patienter med normal nyre- og leverfunktion, hvis behandling med darunavir administreret sammen med lavdosis ritonavir er nødvendig. Colchicin sammen med darunavir administreret sammen med lavdosis ritonavir er kontraindiceret til patienter med nedsat nyre- eller leverfunktion (se pkt. 4.3 og 4.4).</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MALARIAMIDLER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Artemether/lumefantrin</w:t>
            </w:r>
          </w:p>
          <w:p w:rsidR="00603CB3" w:rsidRPr="00A22D75" w:rsidRDefault="00603CB3" w:rsidP="00603CB3">
            <w:pPr>
              <w:ind w:left="137" w:right="56"/>
              <w:rPr>
                <w:sz w:val="22"/>
                <w:szCs w:val="22"/>
              </w:rPr>
            </w:pPr>
            <w:r w:rsidRPr="00A22D75">
              <w:rPr>
                <w:spacing w:val="1"/>
                <w:sz w:val="22"/>
                <w:szCs w:val="22"/>
              </w:rPr>
              <w:t>80/48</w:t>
            </w:r>
            <w:r w:rsidRPr="00A22D75">
              <w:rPr>
                <w:sz w:val="22"/>
                <w:szCs w:val="22"/>
              </w:rPr>
              <w:t>0</w:t>
            </w:r>
            <w:r w:rsidRPr="00A22D75">
              <w:rPr>
                <w:spacing w:val="-7"/>
                <w:sz w:val="22"/>
                <w:szCs w:val="22"/>
              </w:rPr>
              <w:t xml:space="preserve"> </w:t>
            </w:r>
            <w:r w:rsidRPr="00A22D75">
              <w:rPr>
                <w:sz w:val="22"/>
                <w:szCs w:val="22"/>
              </w:rPr>
              <w:t>mg,</w:t>
            </w:r>
            <w:r w:rsidRPr="00A22D75">
              <w:rPr>
                <w:spacing w:val="-4"/>
                <w:sz w:val="22"/>
                <w:szCs w:val="22"/>
              </w:rPr>
              <w:t xml:space="preserve"> </w:t>
            </w:r>
            <w:r w:rsidRPr="00A22D75">
              <w:rPr>
                <w:sz w:val="22"/>
                <w:szCs w:val="22"/>
              </w:rPr>
              <w:t>6</w:t>
            </w:r>
            <w:r w:rsidRPr="00A22D75">
              <w:rPr>
                <w:spacing w:val="1"/>
                <w:sz w:val="22"/>
                <w:szCs w:val="22"/>
              </w:rPr>
              <w:t xml:space="preserve"> </w:t>
            </w:r>
            <w:r w:rsidRPr="00A22D75">
              <w:rPr>
                <w:sz w:val="22"/>
                <w:szCs w:val="22"/>
              </w:rPr>
              <w:t>doser efter 0, 8,</w:t>
            </w:r>
            <w:r w:rsidRPr="00A22D75">
              <w:rPr>
                <w:spacing w:val="-1"/>
                <w:sz w:val="22"/>
                <w:szCs w:val="22"/>
              </w:rPr>
              <w:t xml:space="preserve"> </w:t>
            </w:r>
            <w:r w:rsidRPr="00A22D75">
              <w:rPr>
                <w:sz w:val="22"/>
                <w:szCs w:val="22"/>
              </w:rPr>
              <w:t>24,</w:t>
            </w:r>
            <w:r w:rsidRPr="00A22D75">
              <w:rPr>
                <w:spacing w:val="-3"/>
                <w:sz w:val="22"/>
                <w:szCs w:val="22"/>
              </w:rPr>
              <w:t xml:space="preserve"> </w:t>
            </w:r>
            <w:r w:rsidRPr="00A22D75">
              <w:rPr>
                <w:sz w:val="22"/>
                <w:szCs w:val="22"/>
              </w:rPr>
              <w:t>36,</w:t>
            </w:r>
            <w:r w:rsidRPr="00A22D75">
              <w:rPr>
                <w:spacing w:val="-3"/>
                <w:sz w:val="22"/>
                <w:szCs w:val="22"/>
              </w:rPr>
              <w:t xml:space="preserve"> </w:t>
            </w:r>
            <w:r w:rsidRPr="00A22D75">
              <w:rPr>
                <w:sz w:val="22"/>
                <w:szCs w:val="22"/>
              </w:rPr>
              <w:t>48,</w:t>
            </w:r>
            <w:r w:rsidRPr="00A22D75">
              <w:rPr>
                <w:spacing w:val="-3"/>
                <w:sz w:val="22"/>
                <w:szCs w:val="22"/>
              </w:rPr>
              <w:t xml:space="preserve"> </w:t>
            </w:r>
            <w:r w:rsidRPr="00A22D75">
              <w:rPr>
                <w:sz w:val="22"/>
                <w:szCs w:val="22"/>
              </w:rPr>
              <w:t xml:space="preserve">og </w:t>
            </w:r>
            <w:r w:rsidRPr="00A22D75">
              <w:rPr>
                <w:spacing w:val="1"/>
                <w:sz w:val="22"/>
                <w:szCs w:val="22"/>
              </w:rPr>
              <w:t>6</w:t>
            </w:r>
            <w:r w:rsidRPr="00A22D75">
              <w:rPr>
                <w:sz w:val="22"/>
                <w:szCs w:val="22"/>
              </w:rPr>
              <w:t>0 timer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lang w:val="en-US"/>
              </w:rPr>
            </w:pPr>
            <w:r w:rsidRPr="00A22D75">
              <w:rPr>
                <w:sz w:val="22"/>
                <w:szCs w:val="22"/>
                <w:lang w:val="en-US"/>
              </w:rPr>
              <w:t>artemether</w:t>
            </w:r>
            <w:r w:rsidRPr="00A22D75">
              <w:rPr>
                <w:spacing w:val="-9"/>
                <w:sz w:val="22"/>
                <w:szCs w:val="22"/>
                <w:lang w:val="en-US"/>
              </w:rPr>
              <w:t xml:space="preserve"> </w:t>
            </w:r>
            <w:r w:rsidRPr="00A22D75">
              <w:rPr>
                <w:sz w:val="22"/>
                <w:szCs w:val="22"/>
                <w:lang w:val="en-US"/>
              </w:rPr>
              <w:t>AUC</w:t>
            </w:r>
            <w:r w:rsidRPr="00A22D75">
              <w:rPr>
                <w:spacing w:val="-1"/>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16 %</w:t>
            </w:r>
          </w:p>
          <w:p w:rsidR="00603CB3" w:rsidRPr="00A22D75" w:rsidRDefault="00603CB3" w:rsidP="00603CB3">
            <w:pPr>
              <w:ind w:left="137" w:right="56"/>
              <w:rPr>
                <w:spacing w:val="-3"/>
                <w:sz w:val="22"/>
                <w:szCs w:val="22"/>
                <w:lang w:val="en-US"/>
              </w:rPr>
            </w:pPr>
            <w:r w:rsidRPr="00A22D75">
              <w:rPr>
                <w:sz w:val="22"/>
                <w:szCs w:val="22"/>
                <w:lang w:val="en-US"/>
              </w:rPr>
              <w:t>artemether</w:t>
            </w:r>
            <w:r w:rsidRPr="00A22D75">
              <w:rPr>
                <w:spacing w:val="-9"/>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4"/>
                <w:position w:val="-3"/>
                <w:sz w:val="22"/>
                <w:szCs w:val="22"/>
                <w:lang w:val="en-US"/>
              </w:rPr>
              <w:t xml:space="preserve"> </w:t>
            </w:r>
            <w:r w:rsidRPr="00A22D75">
              <w:rPr>
                <w:sz w:val="22"/>
                <w:szCs w:val="22"/>
                <w:lang w:val="en-US"/>
              </w:rPr>
              <w:t>↔</w:t>
            </w:r>
            <w:r w:rsidRPr="00A22D75">
              <w:rPr>
                <w:spacing w:val="-3"/>
                <w:sz w:val="22"/>
                <w:szCs w:val="22"/>
                <w:lang w:val="en-US"/>
              </w:rPr>
              <w:t xml:space="preserve"> </w:t>
            </w:r>
          </w:p>
          <w:p w:rsidR="00603CB3" w:rsidRPr="00A22D75" w:rsidRDefault="00603CB3" w:rsidP="00603CB3">
            <w:pPr>
              <w:ind w:left="137" w:right="56"/>
              <w:rPr>
                <w:spacing w:val="-4"/>
                <w:sz w:val="22"/>
                <w:szCs w:val="22"/>
                <w:lang w:val="en-US"/>
              </w:rPr>
            </w:pPr>
            <w:r w:rsidRPr="00A22D75">
              <w:rPr>
                <w:sz w:val="22"/>
                <w:szCs w:val="22"/>
                <w:lang w:val="en-US"/>
              </w:rPr>
              <w:t xml:space="preserve">artemether </w:t>
            </w:r>
            <w:r w:rsidRPr="00A22D75">
              <w:rPr>
                <w:spacing w:val="2"/>
                <w:sz w:val="22"/>
                <w:szCs w:val="22"/>
                <w:lang w:val="en-US"/>
              </w:rPr>
              <w:t>C</w:t>
            </w:r>
            <w:r w:rsidRPr="00A22D75">
              <w:rPr>
                <w:spacing w:val="2"/>
                <w:sz w:val="22"/>
                <w:szCs w:val="22"/>
                <w:vertAlign w:val="subscript"/>
                <w:lang w:val="en-US"/>
              </w:rPr>
              <w:t>max</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18 %</w:t>
            </w:r>
            <w:r w:rsidRPr="00A22D75">
              <w:rPr>
                <w:spacing w:val="-4"/>
                <w:sz w:val="22"/>
                <w:szCs w:val="22"/>
                <w:lang w:val="en-US"/>
              </w:rPr>
              <w:t xml:space="preserve"> </w:t>
            </w:r>
          </w:p>
          <w:p w:rsidR="00603CB3" w:rsidRPr="00A22D75" w:rsidRDefault="00603CB3" w:rsidP="00603CB3">
            <w:pPr>
              <w:ind w:left="137" w:right="56"/>
              <w:rPr>
                <w:spacing w:val="-4"/>
                <w:sz w:val="22"/>
                <w:szCs w:val="22"/>
                <w:lang w:val="en-US"/>
              </w:rPr>
            </w:pPr>
            <w:r w:rsidRPr="00A22D75">
              <w:rPr>
                <w:sz w:val="22"/>
                <w:szCs w:val="22"/>
                <w:lang w:val="en-US"/>
              </w:rPr>
              <w:t>dihydroartemisinin AUC</w:t>
            </w:r>
            <w:r w:rsidRPr="00A22D75">
              <w:rPr>
                <w:spacing w:val="-1"/>
                <w:sz w:val="22"/>
                <w:szCs w:val="22"/>
                <w:lang w:val="en-US"/>
              </w:rPr>
              <w:t xml:space="preserve"> </w:t>
            </w:r>
            <w:r w:rsidRPr="00A22D75">
              <w:rPr>
                <w:sz w:val="22"/>
                <w:szCs w:val="22"/>
                <w:lang w:val="en-US"/>
              </w:rPr>
              <w:t>↓ 18 %</w:t>
            </w:r>
            <w:r w:rsidRPr="00A22D75">
              <w:rPr>
                <w:spacing w:val="-4"/>
                <w:sz w:val="22"/>
                <w:szCs w:val="22"/>
                <w:lang w:val="en-US"/>
              </w:rPr>
              <w:t xml:space="preserve"> </w:t>
            </w:r>
          </w:p>
          <w:p w:rsidR="00603CB3" w:rsidRPr="00A22D75" w:rsidRDefault="00603CB3" w:rsidP="00603CB3">
            <w:pPr>
              <w:ind w:left="137" w:right="56"/>
              <w:rPr>
                <w:spacing w:val="-3"/>
                <w:sz w:val="22"/>
                <w:szCs w:val="22"/>
                <w:lang w:val="en-US"/>
              </w:rPr>
            </w:pPr>
            <w:r w:rsidRPr="00A22D75">
              <w:rPr>
                <w:sz w:val="22"/>
                <w:szCs w:val="22"/>
                <w:lang w:val="en-US"/>
              </w:rPr>
              <w:t xml:space="preserve">dihydroartemisinin </w:t>
            </w:r>
            <w:r w:rsidRPr="00A22D75">
              <w:rPr>
                <w:spacing w:val="1"/>
                <w:sz w:val="22"/>
                <w:szCs w:val="22"/>
                <w:lang w:val="en-US"/>
              </w:rPr>
              <w:t>C</w:t>
            </w:r>
            <w:r w:rsidRPr="00A22D75">
              <w:rPr>
                <w:spacing w:val="1"/>
                <w:sz w:val="22"/>
                <w:szCs w:val="22"/>
                <w:vertAlign w:val="subscript"/>
                <w:lang w:val="en-US"/>
              </w:rPr>
              <w:t>min</w:t>
            </w:r>
            <w:r w:rsidRPr="00A22D75">
              <w:rPr>
                <w:spacing w:val="14"/>
                <w:position w:val="-3"/>
                <w:sz w:val="22"/>
                <w:szCs w:val="22"/>
                <w:lang w:val="en-US"/>
              </w:rPr>
              <w:t xml:space="preserve"> </w:t>
            </w:r>
            <w:r w:rsidRPr="00A22D75">
              <w:rPr>
                <w:sz w:val="22"/>
                <w:szCs w:val="22"/>
                <w:lang w:val="en-US"/>
              </w:rPr>
              <w:t>↔</w:t>
            </w:r>
            <w:r w:rsidRPr="00A22D75">
              <w:rPr>
                <w:spacing w:val="-3"/>
                <w:sz w:val="22"/>
                <w:szCs w:val="22"/>
                <w:lang w:val="en-US"/>
              </w:rPr>
              <w:t xml:space="preserve"> </w:t>
            </w:r>
          </w:p>
          <w:p w:rsidR="00603CB3" w:rsidRPr="00A22D75" w:rsidRDefault="00603CB3" w:rsidP="00603CB3">
            <w:pPr>
              <w:ind w:left="137" w:right="56"/>
              <w:rPr>
                <w:spacing w:val="-2"/>
                <w:sz w:val="22"/>
                <w:szCs w:val="22"/>
                <w:lang w:val="en-US"/>
              </w:rPr>
            </w:pPr>
            <w:r w:rsidRPr="00A22D75">
              <w:rPr>
                <w:sz w:val="22"/>
                <w:szCs w:val="22"/>
                <w:lang w:val="en-US"/>
              </w:rPr>
              <w:t>dihydroartemisinin</w:t>
            </w:r>
            <w:r w:rsidRPr="00A22D75">
              <w:rPr>
                <w:spacing w:val="-15"/>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2"/>
                <w:position w:val="-3"/>
                <w:sz w:val="22"/>
                <w:szCs w:val="22"/>
                <w:lang w:val="en-US"/>
              </w:rPr>
              <w:t xml:space="preserve"> </w:t>
            </w:r>
            <w:r w:rsidRPr="00A22D75">
              <w:rPr>
                <w:sz w:val="22"/>
                <w:szCs w:val="22"/>
                <w:lang w:val="en-US"/>
              </w:rPr>
              <w:t>↓</w:t>
            </w:r>
            <w:r w:rsidRPr="00A22D75">
              <w:rPr>
                <w:spacing w:val="-4"/>
                <w:sz w:val="22"/>
                <w:szCs w:val="22"/>
                <w:lang w:val="en-US"/>
              </w:rPr>
              <w:t xml:space="preserve"> </w:t>
            </w:r>
            <w:r w:rsidRPr="00A22D75">
              <w:rPr>
                <w:spacing w:val="2"/>
                <w:sz w:val="22"/>
                <w:szCs w:val="22"/>
                <w:lang w:val="en-US"/>
              </w:rPr>
              <w:t>18 %</w:t>
            </w:r>
            <w:r w:rsidRPr="00A22D75">
              <w:rPr>
                <w:spacing w:val="-2"/>
                <w:sz w:val="22"/>
                <w:szCs w:val="22"/>
                <w:lang w:val="en-US"/>
              </w:rPr>
              <w:t xml:space="preserve"> </w:t>
            </w:r>
          </w:p>
          <w:p w:rsidR="00603CB3" w:rsidRPr="00A22D75" w:rsidRDefault="00603CB3" w:rsidP="00603CB3">
            <w:pPr>
              <w:ind w:left="137" w:right="56"/>
              <w:rPr>
                <w:spacing w:val="-5"/>
                <w:sz w:val="22"/>
                <w:szCs w:val="22"/>
                <w:lang w:val="en-US"/>
              </w:rPr>
            </w:pPr>
            <w:r w:rsidRPr="00A22D75">
              <w:rPr>
                <w:sz w:val="22"/>
                <w:szCs w:val="22"/>
                <w:lang w:val="en-US"/>
              </w:rPr>
              <w:t>lumefantrin</w:t>
            </w:r>
            <w:r w:rsidRPr="00A22D75">
              <w:rPr>
                <w:spacing w:val="-10"/>
                <w:sz w:val="22"/>
                <w:szCs w:val="22"/>
                <w:lang w:val="en-US"/>
              </w:rPr>
              <w:t xml:space="preserve"> </w:t>
            </w:r>
            <w:r w:rsidRPr="00A22D75">
              <w:rPr>
                <w:sz w:val="22"/>
                <w:szCs w:val="22"/>
                <w:lang w:val="en-US"/>
              </w:rPr>
              <w:t>AUC</w:t>
            </w:r>
            <w:r w:rsidRPr="00A22D75">
              <w:rPr>
                <w:spacing w:val="-1"/>
                <w:sz w:val="22"/>
                <w:szCs w:val="22"/>
                <w:lang w:val="en-US"/>
              </w:rPr>
              <w:t xml:space="preserve"> </w:t>
            </w:r>
            <w:r w:rsidRPr="00A22D75">
              <w:rPr>
                <w:sz w:val="22"/>
                <w:szCs w:val="22"/>
                <w:lang w:val="en-US"/>
              </w:rPr>
              <w:t>↑ 175 %</w:t>
            </w:r>
            <w:r w:rsidRPr="00A22D75">
              <w:rPr>
                <w:spacing w:val="-5"/>
                <w:sz w:val="22"/>
                <w:szCs w:val="22"/>
                <w:lang w:val="en-US"/>
              </w:rPr>
              <w:t xml:space="preserve"> </w:t>
            </w:r>
          </w:p>
          <w:p w:rsidR="00603CB3" w:rsidRPr="00A22D75" w:rsidRDefault="00603CB3" w:rsidP="00603CB3">
            <w:pPr>
              <w:ind w:left="137" w:right="56"/>
              <w:rPr>
                <w:spacing w:val="1"/>
                <w:sz w:val="22"/>
                <w:szCs w:val="22"/>
                <w:lang w:val="en-US"/>
              </w:rPr>
            </w:pPr>
            <w:r w:rsidRPr="00A22D75">
              <w:rPr>
                <w:sz w:val="22"/>
                <w:szCs w:val="22"/>
                <w:lang w:val="en-US"/>
              </w:rPr>
              <w:t>lumefantrin</w:t>
            </w:r>
            <w:r w:rsidRPr="00A22D75">
              <w:rPr>
                <w:spacing w:val="-10"/>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7"/>
                <w:position w:val="-3"/>
                <w:sz w:val="22"/>
                <w:szCs w:val="22"/>
                <w:lang w:val="en-US"/>
              </w:rPr>
              <w:t xml:space="preserve"> </w:t>
            </w:r>
            <w:r w:rsidRPr="00A22D75">
              <w:rPr>
                <w:sz w:val="22"/>
                <w:szCs w:val="22"/>
                <w:lang w:val="en-US"/>
              </w:rPr>
              <w:t xml:space="preserve">↑ </w:t>
            </w:r>
            <w:r w:rsidRPr="00A22D75">
              <w:rPr>
                <w:spacing w:val="1"/>
                <w:sz w:val="22"/>
                <w:szCs w:val="22"/>
                <w:lang w:val="en-US"/>
              </w:rPr>
              <w:t xml:space="preserve">126 % </w:t>
            </w:r>
          </w:p>
          <w:p w:rsidR="00603CB3" w:rsidRPr="00A22D75" w:rsidRDefault="00603CB3" w:rsidP="00603CB3">
            <w:pPr>
              <w:ind w:left="137" w:right="56"/>
              <w:rPr>
                <w:sz w:val="22"/>
                <w:szCs w:val="22"/>
                <w:lang w:val="en-US"/>
              </w:rPr>
            </w:pPr>
            <w:r w:rsidRPr="00A22D75">
              <w:rPr>
                <w:sz w:val="22"/>
                <w:szCs w:val="22"/>
                <w:lang w:val="en-US"/>
              </w:rPr>
              <w:t>lumefantrin</w:t>
            </w:r>
            <w:r w:rsidRPr="00A22D75">
              <w:rPr>
                <w:spacing w:val="-10"/>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7"/>
                <w:position w:val="-3"/>
                <w:sz w:val="22"/>
                <w:szCs w:val="22"/>
                <w:lang w:val="en-US"/>
              </w:rPr>
              <w:t xml:space="preserve"> </w:t>
            </w:r>
            <w:r w:rsidRPr="00A22D75">
              <w:rPr>
                <w:sz w:val="22"/>
                <w:szCs w:val="22"/>
                <w:lang w:val="en-US"/>
              </w:rPr>
              <w:t xml:space="preserve">↑ 65 % </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8"/>
                <w:sz w:val="22"/>
                <w:szCs w:val="22"/>
                <w:lang w:val="en-US"/>
              </w:rPr>
              <w:t xml:space="preserve"> </w:t>
            </w:r>
            <w:r w:rsidRPr="00A22D75">
              <w:rPr>
                <w:sz w:val="22"/>
                <w:szCs w:val="22"/>
                <w:lang w:val="en-US"/>
              </w:rPr>
              <w:t>AUC</w:t>
            </w:r>
            <w:r w:rsidRPr="00A22D75">
              <w:rPr>
                <w:spacing w:val="-3"/>
                <w:sz w:val="22"/>
                <w:szCs w:val="22"/>
                <w:lang w:val="en-US"/>
              </w:rPr>
              <w:t xml:space="preserve"> </w:t>
            </w:r>
            <w:r w:rsidRPr="00A22D75">
              <w:rPr>
                <w:sz w:val="22"/>
                <w:szCs w:val="22"/>
                <w:lang w:val="en-US"/>
              </w:rPr>
              <w:t>↔</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8"/>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13 %</w:t>
            </w:r>
          </w:p>
          <w:p w:rsidR="00603CB3" w:rsidRPr="00A22D75" w:rsidRDefault="00603CB3" w:rsidP="00603CB3">
            <w:pPr>
              <w:ind w:left="137" w:right="56"/>
              <w:rPr>
                <w:sz w:val="22"/>
                <w:szCs w:val="22"/>
                <w:lang w:val="en-US"/>
              </w:rPr>
            </w:pPr>
            <w:r w:rsidRPr="00A22D75">
              <w:rPr>
                <w:position w:val="1"/>
                <w:sz w:val="22"/>
                <w:szCs w:val="22"/>
                <w:lang w:val="en-US"/>
              </w:rPr>
              <w:t>darunavir</w:t>
            </w:r>
            <w:r w:rsidRPr="00A22D75">
              <w:rPr>
                <w:spacing w:val="-8"/>
                <w:position w:val="1"/>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4"/>
                <w:position w:val="-3"/>
                <w:sz w:val="22"/>
                <w:szCs w:val="22"/>
                <w:lang w:val="en-US"/>
              </w:rPr>
              <w:t xml:space="preserve"> </w:t>
            </w:r>
            <w:r w:rsidRPr="00A22D75">
              <w:rPr>
                <w:position w:val="1"/>
                <w:sz w:val="22"/>
                <w:szCs w:val="22"/>
                <w:lang w:val="en-US"/>
              </w:rPr>
              <w: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Kombinationen af darunavir og artemether/lumefantrin kan anvendes uden dosisjusteringer. Der skal dog udvises forsigtighed på grund af den øgede eksponering for lumefantrin.</w:t>
            </w:r>
          </w:p>
          <w:p w:rsidR="00603CB3" w:rsidRPr="00A22D75" w:rsidRDefault="00603CB3" w:rsidP="00603CB3">
            <w:pPr>
              <w:ind w:left="137" w:right="56"/>
              <w:rPr>
                <w:sz w:val="22"/>
                <w:szCs w:val="22"/>
              </w:rPr>
            </w:pPr>
            <w:r w:rsidRPr="00A22D75">
              <w:rPr>
                <w:sz w:val="22"/>
                <w:szCs w:val="22"/>
              </w:rPr>
              <w:t>Kombinationen skal anvendes med forsigtighed.</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ANTIMYKOBAKTERIELLE 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Rifampicin</w:t>
            </w:r>
          </w:p>
          <w:p w:rsidR="00603CB3" w:rsidRPr="00A22D75" w:rsidRDefault="00603CB3" w:rsidP="00603CB3">
            <w:pPr>
              <w:ind w:left="137" w:right="56"/>
              <w:rPr>
                <w:sz w:val="22"/>
                <w:szCs w:val="22"/>
              </w:rPr>
            </w:pPr>
            <w:r w:rsidRPr="00A22D75">
              <w:rPr>
                <w:sz w:val="22"/>
                <w:szCs w:val="22"/>
              </w:rPr>
              <w:t>Rifapentin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Rifapentin og rifampicin er potente CYP3A-induktorer, som har vist at forårsage et væsentligt fald i koncentrationen af andre proteasehæmmere. Dette kan resultere i tab af virologisk respons og resistensudvikling (CYP-enzymhæmning). Under forsøg på at imødegå den nedsatte eksponering, ved at øge dosis af andre proteasehæmmere med lavdosis ritonavir, blev der set en høj frekvens af leverreaktioner med rifampicin.</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rsidR="00603CB3" w:rsidRPr="00A22D75" w:rsidRDefault="00603CB3" w:rsidP="00603CB3">
            <w:pPr>
              <w:ind w:left="137" w:right="56"/>
              <w:rPr>
                <w:sz w:val="22"/>
                <w:szCs w:val="22"/>
              </w:rPr>
            </w:pPr>
            <w:r w:rsidRPr="00A22D75">
              <w:rPr>
                <w:sz w:val="22"/>
                <w:szCs w:val="22"/>
              </w:rPr>
              <w:t>Kombinationen af rifapentin og darunavir med samtidig lavdosis ritonavir frarådes.</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Kombinationen af rifampicin og darunavir med lavdosis ritonavir er kontraindiceret (se pkt. 4.3).</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Rifabutin</w:t>
            </w:r>
          </w:p>
          <w:p w:rsidR="00603CB3" w:rsidRPr="00A22D75" w:rsidRDefault="00603CB3" w:rsidP="00603CB3">
            <w:pPr>
              <w:ind w:left="137" w:right="56"/>
              <w:rPr>
                <w:sz w:val="22"/>
                <w:szCs w:val="22"/>
              </w:rPr>
            </w:pPr>
            <w:r w:rsidRPr="00A22D75">
              <w:rPr>
                <w:spacing w:val="1"/>
                <w:sz w:val="22"/>
                <w:szCs w:val="22"/>
              </w:rPr>
              <w:t>15</w:t>
            </w:r>
            <w:r w:rsidRPr="00A22D75">
              <w:rPr>
                <w:sz w:val="22"/>
                <w:szCs w:val="22"/>
              </w:rPr>
              <w:t>0</w:t>
            </w:r>
            <w:r w:rsidRPr="00A22D75">
              <w:rPr>
                <w:spacing w:val="-1"/>
                <w:sz w:val="22"/>
                <w:szCs w:val="22"/>
              </w:rPr>
              <w:t xml:space="preserve"> m</w:t>
            </w:r>
            <w:r w:rsidRPr="00A22D75">
              <w:rPr>
                <w:sz w:val="22"/>
                <w:szCs w:val="22"/>
              </w:rPr>
              <w:t>g</w:t>
            </w:r>
            <w:r w:rsidRPr="00A22D75">
              <w:rPr>
                <w:spacing w:val="-6"/>
                <w:sz w:val="22"/>
                <w:szCs w:val="22"/>
              </w:rPr>
              <w:t xml:space="preserve"> </w:t>
            </w:r>
            <w:r w:rsidRPr="00A22D75">
              <w:rPr>
                <w:spacing w:val="4"/>
                <w:sz w:val="22"/>
                <w:szCs w:val="22"/>
              </w:rPr>
              <w:t>hver anden dag</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lang w:val="en-US"/>
              </w:rPr>
            </w:pPr>
            <w:r w:rsidRPr="00A22D75">
              <w:rPr>
                <w:sz w:val="22"/>
                <w:szCs w:val="22"/>
                <w:lang w:val="en-US"/>
              </w:rPr>
              <w:t>rifabutin</w:t>
            </w:r>
            <w:r w:rsidRPr="00A22D75">
              <w:rPr>
                <w:spacing w:val="-7"/>
                <w:sz w:val="22"/>
                <w:szCs w:val="22"/>
                <w:lang w:val="en-US"/>
              </w:rPr>
              <w:t xml:space="preserve"> </w:t>
            </w:r>
            <w:r w:rsidRPr="00A22D75">
              <w:rPr>
                <w:sz w:val="22"/>
                <w:szCs w:val="22"/>
                <w:lang w:val="en-US"/>
              </w:rPr>
              <w:t>AU</w:t>
            </w:r>
            <w:r w:rsidRPr="00A22D75">
              <w:rPr>
                <w:spacing w:val="-1"/>
                <w:sz w:val="22"/>
                <w:szCs w:val="22"/>
                <w:lang w:val="en-US"/>
              </w:rPr>
              <w:t>C</w:t>
            </w:r>
            <w:r w:rsidRPr="00A22D75">
              <w:rPr>
                <w:sz w:val="22"/>
                <w:szCs w:val="22"/>
                <w:lang w:val="en-US"/>
              </w:rPr>
              <w:t>** ↑</w:t>
            </w:r>
            <w:r w:rsidRPr="00A22D75">
              <w:rPr>
                <w:spacing w:val="-1"/>
                <w:sz w:val="22"/>
                <w:szCs w:val="22"/>
                <w:lang w:val="en-US"/>
              </w:rPr>
              <w:t xml:space="preserve"> </w:t>
            </w:r>
            <w:r w:rsidRPr="00A22D75">
              <w:rPr>
                <w:sz w:val="22"/>
                <w:szCs w:val="22"/>
                <w:lang w:val="en-US"/>
              </w:rPr>
              <w:t>55 %</w:t>
            </w:r>
          </w:p>
          <w:p w:rsidR="00603CB3" w:rsidRPr="00A22D75" w:rsidRDefault="00603CB3" w:rsidP="00603CB3">
            <w:pPr>
              <w:tabs>
                <w:tab w:val="left" w:pos="972"/>
              </w:tabs>
              <w:ind w:left="137" w:right="56"/>
              <w:rPr>
                <w:position w:val="1"/>
                <w:sz w:val="22"/>
                <w:szCs w:val="22"/>
                <w:lang w:val="en-US"/>
              </w:rPr>
            </w:pPr>
            <w:r w:rsidRPr="00A22D75">
              <w:rPr>
                <w:position w:val="1"/>
                <w:sz w:val="22"/>
                <w:szCs w:val="22"/>
                <w:lang w:val="en-US"/>
              </w:rPr>
              <w:tab/>
              <w:t>**</w:t>
            </w:r>
          </w:p>
          <w:p w:rsidR="00603CB3" w:rsidRPr="00A22D75" w:rsidRDefault="00603CB3" w:rsidP="00603CB3">
            <w:pPr>
              <w:ind w:left="137" w:right="56"/>
              <w:rPr>
                <w:sz w:val="22"/>
                <w:szCs w:val="22"/>
                <w:lang w:val="en-US"/>
              </w:rPr>
            </w:pPr>
            <w:r w:rsidRPr="00A22D75">
              <w:rPr>
                <w:position w:val="1"/>
                <w:sz w:val="22"/>
                <w:szCs w:val="22"/>
                <w:lang w:val="en-US"/>
              </w:rPr>
              <w:t>rifabutin</w:t>
            </w:r>
            <w:r w:rsidRPr="00A22D75">
              <w:rPr>
                <w:spacing w:val="-7"/>
                <w:position w:val="1"/>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6"/>
                <w:position w:val="-2"/>
                <w:sz w:val="22"/>
                <w:szCs w:val="22"/>
                <w:lang w:val="en-US"/>
              </w:rPr>
              <w:t xml:space="preserve"> </w:t>
            </w:r>
            <w:r w:rsidRPr="00A22D75">
              <w:rPr>
                <w:position w:val="1"/>
                <w:sz w:val="22"/>
                <w:szCs w:val="22"/>
                <w:lang w:val="en-US"/>
              </w:rPr>
              <w:t>↑</w:t>
            </w:r>
            <w:r w:rsidRPr="00A22D75">
              <w:rPr>
                <w:spacing w:val="-1"/>
                <w:position w:val="1"/>
                <w:sz w:val="22"/>
                <w:szCs w:val="22"/>
                <w:lang w:val="en-US"/>
              </w:rPr>
              <w:t xml:space="preserve"> </w:t>
            </w:r>
            <w:r w:rsidRPr="00A22D75">
              <w:rPr>
                <w:position w:val="1"/>
                <w:sz w:val="22"/>
                <w:szCs w:val="22"/>
                <w:lang w:val="en-US"/>
              </w:rPr>
              <w:t>ND</w:t>
            </w:r>
          </w:p>
          <w:p w:rsidR="00603CB3" w:rsidRPr="00A22D75" w:rsidRDefault="00603CB3" w:rsidP="00603CB3">
            <w:pPr>
              <w:tabs>
                <w:tab w:val="left" w:pos="972"/>
              </w:tabs>
              <w:ind w:left="137" w:right="56"/>
              <w:rPr>
                <w:position w:val="2"/>
                <w:sz w:val="22"/>
                <w:szCs w:val="22"/>
                <w:lang w:val="en-US"/>
              </w:rPr>
            </w:pPr>
            <w:r w:rsidRPr="00A22D75">
              <w:rPr>
                <w:position w:val="2"/>
                <w:sz w:val="22"/>
                <w:szCs w:val="22"/>
                <w:lang w:val="en-US"/>
              </w:rPr>
              <w:tab/>
              <w:t>**</w:t>
            </w:r>
          </w:p>
          <w:p w:rsidR="00603CB3" w:rsidRPr="00A22D75" w:rsidRDefault="00603CB3" w:rsidP="00603CB3">
            <w:pPr>
              <w:ind w:left="137" w:right="56"/>
              <w:rPr>
                <w:sz w:val="22"/>
                <w:szCs w:val="22"/>
                <w:lang w:val="en-US"/>
              </w:rPr>
            </w:pPr>
            <w:r w:rsidRPr="00A22D75">
              <w:rPr>
                <w:position w:val="2"/>
                <w:sz w:val="22"/>
                <w:szCs w:val="22"/>
                <w:lang w:val="en-US"/>
              </w:rPr>
              <w:t>rifabutin</w:t>
            </w:r>
            <w:r w:rsidRPr="00A22D75">
              <w:rPr>
                <w:spacing w:val="-7"/>
                <w:position w:val="2"/>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position w:val="-1"/>
                <w:sz w:val="22"/>
                <w:szCs w:val="22"/>
                <w:lang w:val="en-US"/>
              </w:rPr>
              <w:t xml:space="preserve"> </w:t>
            </w:r>
            <w:r w:rsidRPr="00A22D75">
              <w:rPr>
                <w:position w:val="2"/>
                <w:sz w:val="22"/>
                <w:szCs w:val="22"/>
                <w:lang w:val="en-US"/>
              </w:rPr>
              <w:t>↔</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8"/>
                <w:sz w:val="22"/>
                <w:szCs w:val="22"/>
                <w:lang w:val="en-US"/>
              </w:rPr>
              <w:t xml:space="preserve"> </w:t>
            </w:r>
            <w:r w:rsidRPr="00A22D75">
              <w:rPr>
                <w:sz w:val="22"/>
                <w:szCs w:val="22"/>
                <w:lang w:val="en-US"/>
              </w:rPr>
              <w:t>AUC</w:t>
            </w:r>
            <w:r w:rsidRPr="00A22D75">
              <w:rPr>
                <w:spacing w:val="-1"/>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53 %</w:t>
            </w:r>
          </w:p>
          <w:p w:rsidR="00603CB3" w:rsidRPr="00A22D75" w:rsidRDefault="00603CB3" w:rsidP="00603CB3">
            <w:pPr>
              <w:ind w:left="137" w:right="56"/>
              <w:rPr>
                <w:sz w:val="22"/>
                <w:szCs w:val="22"/>
                <w:lang w:val="en-US"/>
              </w:rPr>
            </w:pPr>
            <w:r w:rsidRPr="00A22D75">
              <w:rPr>
                <w:sz w:val="22"/>
                <w:szCs w:val="22"/>
                <w:lang w:val="en-US"/>
              </w:rPr>
              <w:t>darunavir</w:t>
            </w:r>
            <w:r w:rsidRPr="00A22D75">
              <w:rPr>
                <w:spacing w:val="-7"/>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7"/>
                <w:position w:val="-3"/>
                <w:sz w:val="22"/>
                <w:szCs w:val="22"/>
                <w:lang w:val="en-US"/>
              </w:rPr>
              <w:t xml:space="preserve"> </w:t>
            </w:r>
            <w:r w:rsidRPr="00A22D75">
              <w:rPr>
                <w:sz w:val="22"/>
                <w:szCs w:val="22"/>
                <w:lang w:val="en-US"/>
              </w:rPr>
              <w:t>↑</w:t>
            </w:r>
            <w:r w:rsidRPr="00A22D75">
              <w:rPr>
                <w:spacing w:val="-2"/>
                <w:sz w:val="22"/>
                <w:szCs w:val="22"/>
                <w:lang w:val="en-US"/>
              </w:rPr>
              <w:t xml:space="preserve"> </w:t>
            </w:r>
            <w:r w:rsidRPr="00A22D75">
              <w:rPr>
                <w:spacing w:val="-1"/>
                <w:sz w:val="22"/>
                <w:szCs w:val="22"/>
                <w:lang w:val="en-US"/>
              </w:rPr>
              <w:t>6</w:t>
            </w:r>
            <w:r w:rsidRPr="00A22D75">
              <w:rPr>
                <w:spacing w:val="1"/>
                <w:sz w:val="22"/>
                <w:szCs w:val="22"/>
                <w:lang w:val="en-US"/>
              </w:rPr>
              <w:t xml:space="preserve">8 </w:t>
            </w:r>
            <w:r w:rsidRPr="00A22D75">
              <w:rPr>
                <w:sz w:val="22"/>
                <w:szCs w:val="22"/>
                <w:lang w:val="en-US"/>
              </w:rPr>
              <w:t>%</w:t>
            </w:r>
          </w:p>
          <w:p w:rsidR="00603CB3" w:rsidRPr="00815FE0" w:rsidRDefault="00603CB3" w:rsidP="00603CB3">
            <w:pPr>
              <w:ind w:left="137" w:right="56"/>
              <w:rPr>
                <w:sz w:val="22"/>
                <w:szCs w:val="22"/>
              </w:rPr>
            </w:pPr>
            <w:r w:rsidRPr="00815FE0">
              <w:rPr>
                <w:sz w:val="22"/>
                <w:szCs w:val="22"/>
              </w:rPr>
              <w:t>darunavir</w:t>
            </w:r>
            <w:r w:rsidRPr="00815FE0">
              <w:rPr>
                <w:spacing w:val="-7"/>
                <w:sz w:val="22"/>
                <w:szCs w:val="22"/>
              </w:rPr>
              <w:t xml:space="preserve"> </w:t>
            </w:r>
            <w:r w:rsidRPr="00815FE0">
              <w:rPr>
                <w:spacing w:val="2"/>
                <w:sz w:val="22"/>
                <w:szCs w:val="22"/>
              </w:rPr>
              <w:t>C</w:t>
            </w:r>
            <w:r w:rsidRPr="00815FE0">
              <w:rPr>
                <w:spacing w:val="2"/>
                <w:sz w:val="22"/>
                <w:szCs w:val="22"/>
                <w:vertAlign w:val="subscript"/>
              </w:rPr>
              <w:t>max</w:t>
            </w:r>
            <w:r w:rsidRPr="00815FE0">
              <w:rPr>
                <w:spacing w:val="17"/>
                <w:position w:val="-3"/>
                <w:sz w:val="22"/>
                <w:szCs w:val="22"/>
              </w:rPr>
              <w:t xml:space="preserve"> </w:t>
            </w:r>
            <w:r w:rsidRPr="00815FE0">
              <w:rPr>
                <w:sz w:val="22"/>
                <w:szCs w:val="22"/>
              </w:rPr>
              <w:t>↑</w:t>
            </w:r>
            <w:r w:rsidRPr="00815FE0">
              <w:rPr>
                <w:spacing w:val="-1"/>
                <w:sz w:val="22"/>
                <w:szCs w:val="22"/>
              </w:rPr>
              <w:t xml:space="preserve"> </w:t>
            </w:r>
            <w:r w:rsidRPr="00815FE0">
              <w:rPr>
                <w:sz w:val="22"/>
                <w:szCs w:val="22"/>
              </w:rPr>
              <w:t>39 %</w:t>
            </w:r>
          </w:p>
          <w:p w:rsidR="00603CB3" w:rsidRPr="00815FE0" w:rsidRDefault="00603CB3" w:rsidP="00603CB3">
            <w:pPr>
              <w:ind w:left="137" w:right="56"/>
              <w:rPr>
                <w:sz w:val="22"/>
                <w:szCs w:val="22"/>
              </w:rPr>
            </w:pPr>
            <w:r w:rsidRPr="00815FE0">
              <w:rPr>
                <w:position w:val="-1"/>
                <w:sz w:val="22"/>
                <w:szCs w:val="22"/>
              </w:rPr>
              <w:lastRenderedPageBreak/>
              <w:t xml:space="preserve">**totalt aktivt rifabutin (moderstof </w:t>
            </w:r>
            <w:r w:rsidRPr="00815FE0">
              <w:rPr>
                <w:sz w:val="22"/>
                <w:szCs w:val="22"/>
              </w:rPr>
              <w:t>+</w:t>
            </w:r>
            <w:r w:rsidRPr="00815FE0">
              <w:rPr>
                <w:spacing w:val="1"/>
                <w:sz w:val="22"/>
                <w:szCs w:val="22"/>
              </w:rPr>
              <w:t xml:space="preserve"> </w:t>
            </w:r>
            <w:r w:rsidRPr="00815FE0">
              <w:rPr>
                <w:spacing w:val="-1"/>
                <w:sz w:val="22"/>
                <w:szCs w:val="22"/>
              </w:rPr>
              <w:t>2</w:t>
            </w:r>
            <w:r w:rsidRPr="00815FE0">
              <w:rPr>
                <w:spacing w:val="1"/>
                <w:sz w:val="22"/>
                <w:szCs w:val="22"/>
              </w:rPr>
              <w:t>5</w:t>
            </w:r>
            <w:r w:rsidRPr="00815FE0">
              <w:rPr>
                <w:spacing w:val="-1"/>
                <w:sz w:val="22"/>
                <w:szCs w:val="22"/>
              </w:rPr>
              <w:t>-</w:t>
            </w:r>
            <w:r w:rsidRPr="00815FE0">
              <w:rPr>
                <w:i/>
                <w:spacing w:val="-1"/>
                <w:sz w:val="22"/>
                <w:szCs w:val="22"/>
              </w:rPr>
              <w:t>O-</w:t>
            </w:r>
            <w:r w:rsidRPr="00815FE0">
              <w:rPr>
                <w:sz w:val="22"/>
                <w:szCs w:val="22"/>
              </w:rPr>
              <w:t>desacetyl metabolit)</w:t>
            </w:r>
          </w:p>
          <w:p w:rsidR="00603CB3" w:rsidRPr="00815FE0" w:rsidRDefault="00603CB3" w:rsidP="00603CB3">
            <w:pPr>
              <w:ind w:left="137" w:right="56"/>
              <w:rPr>
                <w:sz w:val="22"/>
                <w:szCs w:val="22"/>
              </w:rPr>
            </w:pPr>
          </w:p>
          <w:p w:rsidR="00603CB3" w:rsidRPr="00A22D75" w:rsidRDefault="00603CB3" w:rsidP="00603CB3">
            <w:pPr>
              <w:ind w:left="137" w:right="56"/>
              <w:rPr>
                <w:sz w:val="22"/>
                <w:szCs w:val="22"/>
              </w:rPr>
            </w:pPr>
            <w:r w:rsidRPr="00815FE0">
              <w:rPr>
                <w:sz w:val="22"/>
                <w:szCs w:val="22"/>
              </w:rPr>
              <w:t xml:space="preserve">Interaktionsstudiet viste en sammenlignelig daglig systemisk eksponering af rifabutin imellem behandling med 300 mg en gang daglig og 150 mg hver anden dag i kombination med darunavir/ritonavir (600/100 mg to gange daglig). </w:t>
            </w:r>
            <w:r w:rsidRPr="00A22D75">
              <w:rPr>
                <w:sz w:val="22"/>
                <w:szCs w:val="22"/>
              </w:rPr>
              <w:t>Studiet viste samtidig en ca. 10 gange forøgelse af den daglige eksponering af den aktive metabolit 25-</w:t>
            </w:r>
            <w:r w:rsidRPr="00A22D75">
              <w:rPr>
                <w:i/>
                <w:iCs/>
                <w:sz w:val="22"/>
                <w:szCs w:val="22"/>
              </w:rPr>
              <w:t>O</w:t>
            </w:r>
            <w:r w:rsidRPr="00A22D75">
              <w:rPr>
                <w:sz w:val="22"/>
                <w:szCs w:val="22"/>
              </w:rPr>
              <w:t>desacetylrifabutin. Desuden blev AUC for totalt aktivt rifabutin (moderstof + 25-</w:t>
            </w:r>
            <w:r w:rsidRPr="00A22D75">
              <w:rPr>
                <w:i/>
                <w:iCs/>
                <w:sz w:val="22"/>
                <w:szCs w:val="22"/>
              </w:rPr>
              <w:t>O</w:t>
            </w:r>
            <w:r w:rsidRPr="00A22D75">
              <w:rPr>
                <w:sz w:val="22"/>
                <w:szCs w:val="22"/>
              </w:rPr>
              <w:t>desacetyl metabolit) forøget 1,6 gange, mens C</w:t>
            </w:r>
            <w:r w:rsidRPr="00A22D75">
              <w:rPr>
                <w:sz w:val="22"/>
                <w:szCs w:val="22"/>
                <w:vertAlign w:val="subscript"/>
              </w:rPr>
              <w:t>max</w:t>
            </w:r>
            <w:r w:rsidRPr="00A22D75">
              <w:rPr>
                <w:sz w:val="22"/>
                <w:szCs w:val="22"/>
              </w:rPr>
              <w:t xml:space="preserve"> forblev sammenlignelig. Der mangler data på sammenligning med en referencedosis på 150 mg en gang daglig. </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(Rifabutin er en induktor af og substrat for CYP3A.) Der er observeret øget systemisk eksponering af darunavir ved samtidig brug af rifabutin (150 mg hver anden dag) og darunavir administreret sammen med 100 mg ritonavir.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 xml:space="preserve">For patienter, der får kombinationsbehandling, er det nødvendigt at reducere dosis af rifabutin med 75 % af den sædvanlige dosis på 300 mg/dag (f.eks. rifabutin 150 mg hver anden dag) samt en skærpelse i overvågningen af bivirkninger hos patienter der får </w:t>
            </w:r>
            <w:r w:rsidRPr="00A22D75">
              <w:rPr>
                <w:sz w:val="22"/>
                <w:szCs w:val="22"/>
              </w:rPr>
              <w:lastRenderedPageBreak/>
              <w:t>kombinationen af darunavir co-administreret med ritonavir. I tilfælde af sikkerhedsmæssige risici skal det overvejes at forlænge doseringsintervallet yderligere og/eller monitorere rifabutinniveauerne. Der skal tages højde for de officielle retningslinjer for korrekt behandling af tuberkulose hos HIV-inficerede patienter. På baggrund af sikkerhedsprofilen for darunavir/ritonavir giver denne øgede eksponering af darunavir ved samtidig administration af rifabutin ikke anledning til en justering af dosis for darunavir/ritonavir. På baggrund af en farmakokinetisk model er det også relevant at reducere dosis med 75 % hos patienter, der får rifabutin i andre doser end 300 mg/dag.</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lastRenderedPageBreak/>
              <w:t>ANTINEOPLASTIKA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sz w:val="22"/>
                <w:szCs w:val="22"/>
                <w:lang w:val="en-US"/>
              </w:rPr>
            </w:pPr>
            <w:r w:rsidRPr="004623FF">
              <w:rPr>
                <w:sz w:val="22"/>
                <w:szCs w:val="22"/>
                <w:lang w:val="en-US"/>
              </w:rPr>
              <w:t>Dasatinib</w:t>
            </w:r>
          </w:p>
          <w:p w:rsidR="00603CB3" w:rsidRPr="004623FF" w:rsidRDefault="00603CB3" w:rsidP="00603CB3">
            <w:pPr>
              <w:ind w:left="137" w:right="56"/>
              <w:rPr>
                <w:sz w:val="22"/>
                <w:szCs w:val="22"/>
                <w:lang w:val="en-US"/>
              </w:rPr>
            </w:pPr>
            <w:r w:rsidRPr="004623FF">
              <w:rPr>
                <w:sz w:val="22"/>
                <w:szCs w:val="22"/>
                <w:lang w:val="en-US"/>
              </w:rPr>
              <w:t xml:space="preserve">Nilotinib </w:t>
            </w:r>
          </w:p>
          <w:p w:rsidR="00603CB3" w:rsidRPr="004623FF" w:rsidRDefault="00603CB3" w:rsidP="00603CB3">
            <w:pPr>
              <w:ind w:left="137" w:right="56"/>
              <w:rPr>
                <w:sz w:val="22"/>
                <w:szCs w:val="22"/>
                <w:lang w:val="en-US"/>
              </w:rPr>
            </w:pPr>
            <w:r w:rsidRPr="004623FF">
              <w:rPr>
                <w:sz w:val="22"/>
                <w:szCs w:val="22"/>
                <w:lang w:val="en-US"/>
              </w:rPr>
              <w:t xml:space="preserve">Vinblastin </w:t>
            </w:r>
          </w:p>
          <w:p w:rsidR="00603CB3" w:rsidRPr="004623FF" w:rsidRDefault="00603CB3" w:rsidP="00603CB3">
            <w:pPr>
              <w:ind w:left="137" w:right="56"/>
              <w:rPr>
                <w:sz w:val="22"/>
                <w:szCs w:val="22"/>
                <w:lang w:val="en-US"/>
              </w:rPr>
            </w:pPr>
            <w:r w:rsidRPr="004623FF">
              <w:rPr>
                <w:sz w:val="22"/>
                <w:szCs w:val="22"/>
                <w:lang w:val="en-US"/>
              </w:rPr>
              <w:t>Vincristin</w:t>
            </w: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p>
          <w:p w:rsidR="00603CB3" w:rsidRPr="004623FF" w:rsidRDefault="00603CB3" w:rsidP="00603CB3">
            <w:pPr>
              <w:ind w:left="137" w:right="56"/>
              <w:rPr>
                <w:sz w:val="22"/>
                <w:szCs w:val="22"/>
                <w:lang w:val="en-US"/>
              </w:rPr>
            </w:pPr>
            <w:r w:rsidRPr="004623FF">
              <w:rPr>
                <w:sz w:val="22"/>
                <w:szCs w:val="22"/>
                <w:lang w:val="en-US"/>
              </w:rPr>
              <w:t>Everolimus</w:t>
            </w:r>
          </w:p>
          <w:p w:rsidR="00603CB3" w:rsidRPr="004623FF" w:rsidRDefault="00603CB3" w:rsidP="00603CB3">
            <w:pPr>
              <w:ind w:left="137" w:right="56"/>
              <w:rPr>
                <w:sz w:val="22"/>
                <w:szCs w:val="22"/>
                <w:lang w:val="en-US"/>
              </w:rPr>
            </w:pPr>
            <w:r w:rsidRPr="004623FF">
              <w:rPr>
                <w:sz w:val="22"/>
                <w:szCs w:val="22"/>
                <w:lang w:val="en-US"/>
              </w:rPr>
              <w:t>Irinotecan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Darunavir forventes at øge plasmakoncentrationen af disse antineoplastika.</w:t>
            </w:r>
          </w:p>
          <w:p w:rsidR="00603CB3" w:rsidRPr="00A22D75" w:rsidRDefault="00603CB3" w:rsidP="00603CB3">
            <w:pPr>
              <w:ind w:left="137" w:right="56"/>
              <w:rPr>
                <w:sz w:val="22"/>
                <w:szCs w:val="22"/>
              </w:rPr>
            </w:pPr>
            <w:r w:rsidRPr="00A22D75">
              <w:rPr>
                <w:sz w:val="22"/>
                <w:szCs w:val="22"/>
              </w:rPr>
              <w:t>(CYP3A-hæmning).</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Koncentrationerne af disse lægemidler kan øges ved co-administration med darunavir med lavdosis ritonavir, hvilket kan øge risikoen for de bivirkninger, der normalt ses med disse midler. Der skal udvises forsigtighed ved kombination af et af disse antineoplastiske midler og darunavir med lavdosis ritonavir.</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Samtidig brug af everolimus eller irinotecan og darunavir co-administreret med lavdosis ritonavir frarådes.</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4623FF" w:rsidRDefault="00603CB3" w:rsidP="00603CB3">
            <w:pPr>
              <w:rPr>
                <w:sz w:val="22"/>
                <w:szCs w:val="22"/>
              </w:rPr>
            </w:pP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ANTIPSYKOTIKA/NEUROLEPTIKA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Quetiapin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Ikke undersøgt. Darunavir forventes at øge antipsykotikas plasma koncentrationer (CYP3A hæmmere). </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Samtidig administration af darunavir med lavdosis ritonavir og quetiapin er kontraindiceret, da quetiapin-relateret toksicitet derved kan øges. En øget koncentration af quetiapin kan føre til koma</w:t>
            </w:r>
            <w:r w:rsidRPr="004623FF">
              <w:rPr>
                <w:sz w:val="22"/>
                <w:szCs w:val="22"/>
              </w:rPr>
              <w:t xml:space="preserve"> (se pkt. 4.3)</w:t>
            </w:r>
            <w:r w:rsidRPr="00A22D75">
              <w:rPr>
                <w:sz w:val="22"/>
                <w:szCs w:val="22"/>
              </w:rPr>
              <w:t>.</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lang w:val="en-US"/>
              </w:rPr>
            </w:pPr>
            <w:r w:rsidRPr="00A22D75">
              <w:rPr>
                <w:sz w:val="22"/>
                <w:szCs w:val="22"/>
                <w:lang w:val="en-US"/>
              </w:rPr>
              <w:t xml:space="preserve">Perphenazine </w:t>
            </w:r>
          </w:p>
          <w:p w:rsidR="00603CB3" w:rsidRPr="00A22D75" w:rsidRDefault="00603CB3" w:rsidP="00603CB3">
            <w:pPr>
              <w:ind w:left="137" w:right="56"/>
              <w:rPr>
                <w:sz w:val="22"/>
                <w:szCs w:val="22"/>
                <w:lang w:val="en-US"/>
              </w:rPr>
            </w:pPr>
            <w:r w:rsidRPr="00A22D75">
              <w:rPr>
                <w:sz w:val="22"/>
                <w:szCs w:val="22"/>
                <w:lang w:val="en-US"/>
              </w:rPr>
              <w:t>Risperidon</w:t>
            </w:r>
          </w:p>
          <w:p w:rsidR="00603CB3" w:rsidRPr="00A22D75" w:rsidRDefault="00603CB3" w:rsidP="00603CB3">
            <w:pPr>
              <w:ind w:left="137" w:right="56"/>
              <w:rPr>
                <w:sz w:val="22"/>
                <w:szCs w:val="22"/>
                <w:lang w:val="en-US"/>
              </w:rPr>
            </w:pPr>
            <w:r w:rsidRPr="00A22D75">
              <w:rPr>
                <w:sz w:val="22"/>
                <w:szCs w:val="22"/>
                <w:lang w:val="en-US"/>
              </w:rPr>
              <w:t>Thioridazin</w:t>
            </w:r>
          </w:p>
          <w:p w:rsidR="00603CB3" w:rsidRPr="00A22D75" w:rsidRDefault="00603CB3" w:rsidP="00603CB3">
            <w:pPr>
              <w:ind w:left="137" w:right="56"/>
              <w:rPr>
                <w:sz w:val="22"/>
                <w:szCs w:val="22"/>
                <w:lang w:val="en-US"/>
              </w:rPr>
            </w:pPr>
          </w:p>
          <w:p w:rsidR="00603CB3" w:rsidRPr="00A22D75" w:rsidRDefault="00603CB3" w:rsidP="00603CB3">
            <w:pPr>
              <w:ind w:left="137" w:right="56"/>
              <w:rPr>
                <w:sz w:val="22"/>
                <w:szCs w:val="22"/>
                <w:lang w:val="en-US"/>
              </w:rPr>
            </w:pPr>
          </w:p>
          <w:p w:rsidR="00603CB3" w:rsidRPr="00A22D75" w:rsidRDefault="00603CB3" w:rsidP="00603CB3">
            <w:pPr>
              <w:ind w:left="137" w:right="56"/>
              <w:rPr>
                <w:sz w:val="22"/>
                <w:szCs w:val="22"/>
                <w:lang w:val="en-US"/>
              </w:rPr>
            </w:pPr>
          </w:p>
          <w:p w:rsidR="00603CB3" w:rsidRPr="00A22D75" w:rsidRDefault="00603CB3" w:rsidP="00603CB3">
            <w:pPr>
              <w:ind w:left="137" w:right="56"/>
              <w:rPr>
                <w:sz w:val="22"/>
                <w:szCs w:val="22"/>
                <w:lang w:val="en-US"/>
              </w:rPr>
            </w:pPr>
          </w:p>
          <w:p w:rsidR="00603CB3" w:rsidRPr="00A22D75" w:rsidRDefault="00603CB3" w:rsidP="00603CB3">
            <w:pPr>
              <w:ind w:left="137" w:right="56"/>
              <w:rPr>
                <w:sz w:val="22"/>
                <w:szCs w:val="22"/>
                <w:lang w:val="en-US"/>
              </w:rPr>
            </w:pPr>
            <w:r w:rsidRPr="00A22D75">
              <w:rPr>
                <w:sz w:val="22"/>
                <w:szCs w:val="22"/>
                <w:lang w:val="en-US"/>
              </w:rPr>
              <w:t>Pimozid</w:t>
            </w:r>
          </w:p>
          <w:p w:rsidR="00603CB3" w:rsidRPr="00A22D75" w:rsidRDefault="00603CB3" w:rsidP="00603CB3">
            <w:pPr>
              <w:ind w:left="137" w:right="56"/>
              <w:rPr>
                <w:sz w:val="22"/>
                <w:szCs w:val="22"/>
                <w:lang w:val="en-US"/>
              </w:rPr>
            </w:pPr>
            <w:r w:rsidRPr="00A22D75">
              <w:rPr>
                <w:sz w:val="22"/>
                <w:szCs w:val="22"/>
                <w:lang w:val="en-US"/>
              </w:rPr>
              <w:t>Sertindol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Ikke undersøgt. Darunavir forventes at øge plasmakoncentrationen af disse antipsykotika.</w:t>
            </w:r>
          </w:p>
          <w:p w:rsidR="00603CB3" w:rsidRPr="00A22D75" w:rsidRDefault="00603CB3" w:rsidP="00603CB3">
            <w:pPr>
              <w:ind w:left="137" w:right="56"/>
              <w:rPr>
                <w:i/>
                <w:sz w:val="22"/>
                <w:szCs w:val="22"/>
              </w:rPr>
            </w:pPr>
            <w:r w:rsidRPr="00A22D75">
              <w:rPr>
                <w:sz w:val="22"/>
                <w:szCs w:val="22"/>
              </w:rPr>
              <w:lastRenderedPageBreak/>
              <w:t>(CYP3A, CYP2D6- og/eller P-gp hæmning)</w:t>
            </w:r>
          </w:p>
        </w:tc>
        <w:tc>
          <w:tcPr>
            <w:tcW w:w="1668" w:type="pct"/>
            <w:gridSpan w:val="2"/>
            <w:tcBorders>
              <w:top w:val="single" w:sz="4" w:space="0" w:color="000000"/>
              <w:left w:val="single" w:sz="4" w:space="0" w:color="000000"/>
              <w:bottom w:val="single" w:sz="4" w:space="0" w:color="000000"/>
              <w:right w:val="single" w:sz="4" w:space="0" w:color="000000"/>
            </w:tcBorders>
            <w:shd w:val="clear" w:color="auto" w:fill="FFFFFF"/>
          </w:tcPr>
          <w:p w:rsidR="00603CB3" w:rsidRPr="00A22D75" w:rsidRDefault="00603CB3" w:rsidP="00603CB3">
            <w:pPr>
              <w:ind w:left="137" w:right="56"/>
              <w:rPr>
                <w:sz w:val="22"/>
                <w:szCs w:val="22"/>
              </w:rPr>
            </w:pPr>
            <w:r w:rsidRPr="00A22D75">
              <w:rPr>
                <w:sz w:val="22"/>
                <w:szCs w:val="22"/>
              </w:rPr>
              <w:lastRenderedPageBreak/>
              <w:t xml:space="preserve">Det kan være nødvendigt at nedsætte dosis af disse lægemidler ved co-administration </w:t>
            </w:r>
            <w:r w:rsidRPr="00A22D75">
              <w:rPr>
                <w:sz w:val="22"/>
                <w:szCs w:val="22"/>
              </w:rPr>
              <w:lastRenderedPageBreak/>
              <w:t>med darunavir co-administreret med lavdosis ritonavir.</w:t>
            </w:r>
          </w:p>
          <w:p w:rsidR="00603CB3" w:rsidRPr="00A22D75" w:rsidRDefault="00603CB3" w:rsidP="00603CB3">
            <w:pPr>
              <w:ind w:left="137" w:right="56"/>
              <w:rPr>
                <w:sz w:val="22"/>
                <w:szCs w:val="22"/>
              </w:rPr>
            </w:pPr>
          </w:p>
          <w:p w:rsidR="00603CB3" w:rsidRPr="00A22D75" w:rsidRDefault="00603CB3" w:rsidP="00603CB3">
            <w:pPr>
              <w:ind w:left="137" w:right="56"/>
              <w:rPr>
                <w:i/>
                <w:sz w:val="22"/>
                <w:szCs w:val="22"/>
              </w:rPr>
            </w:pPr>
            <w:r w:rsidRPr="00A22D75">
              <w:rPr>
                <w:sz w:val="22"/>
                <w:szCs w:val="22"/>
              </w:rPr>
              <w:t xml:space="preserve">Samtidig administration af darunavir med lavdosis ritonavir </w:t>
            </w:r>
            <w:r w:rsidRPr="004623FF">
              <w:rPr>
                <w:sz w:val="22"/>
                <w:szCs w:val="22"/>
              </w:rPr>
              <w:t xml:space="preserve">og lurasidone, </w:t>
            </w:r>
            <w:r w:rsidRPr="00A22D75">
              <w:rPr>
                <w:sz w:val="22"/>
                <w:szCs w:val="22"/>
              </w:rPr>
              <w:t>pimozid eller sertindol er kontraindiceret</w:t>
            </w:r>
            <w:r w:rsidRPr="004623FF">
              <w:rPr>
                <w:sz w:val="22"/>
                <w:szCs w:val="22"/>
              </w:rPr>
              <w:t xml:space="preserve"> (se pkt. 4.3)</w:t>
            </w:r>
            <w:r w:rsidRPr="00A22D75">
              <w:rPr>
                <w:sz w:val="22"/>
                <w:szCs w:val="22"/>
              </w:rPr>
              <w:t>.</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pacing w:val="1"/>
                <w:sz w:val="22"/>
                <w:szCs w:val="22"/>
              </w:rPr>
              <w:lastRenderedPageBreak/>
              <w:t>BETABLOKKERE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Carvedilol</w:t>
            </w:r>
          </w:p>
          <w:p w:rsidR="00603CB3" w:rsidRPr="00A22D75" w:rsidRDefault="00603CB3" w:rsidP="00603CB3">
            <w:pPr>
              <w:ind w:left="137" w:right="56"/>
              <w:rPr>
                <w:sz w:val="22"/>
                <w:szCs w:val="22"/>
              </w:rPr>
            </w:pPr>
            <w:r w:rsidRPr="00A22D75">
              <w:rPr>
                <w:spacing w:val="1"/>
                <w:sz w:val="22"/>
                <w:szCs w:val="22"/>
              </w:rPr>
              <w:t>Metoprolol</w:t>
            </w:r>
          </w:p>
          <w:p w:rsidR="00603CB3" w:rsidRPr="00A22D75" w:rsidRDefault="00603CB3" w:rsidP="00603CB3">
            <w:pPr>
              <w:ind w:left="137" w:right="56"/>
              <w:rPr>
                <w:sz w:val="22"/>
                <w:szCs w:val="22"/>
              </w:rPr>
            </w:pPr>
            <w:r w:rsidRPr="00A22D75">
              <w:rPr>
                <w:spacing w:val="1"/>
                <w:sz w:val="22"/>
                <w:szCs w:val="22"/>
              </w:rPr>
              <w:t>Ti</w:t>
            </w:r>
            <w:r w:rsidRPr="00A22D75">
              <w:rPr>
                <w:spacing w:val="-4"/>
                <w:sz w:val="22"/>
                <w:szCs w:val="22"/>
              </w:rPr>
              <w:t>m</w:t>
            </w:r>
            <w:r w:rsidRPr="00A22D75">
              <w:rPr>
                <w:spacing w:val="1"/>
                <w:sz w:val="22"/>
                <w:szCs w:val="22"/>
              </w:rPr>
              <w:t>olol</w:t>
            </w:r>
          </w:p>
        </w:tc>
        <w:tc>
          <w:tcPr>
            <w:tcW w:w="1961" w:type="pct"/>
            <w:gridSpan w:val="2"/>
            <w:tcBorders>
              <w:top w:val="single" w:sz="4" w:space="0" w:color="000000"/>
              <w:left w:val="single" w:sz="4" w:space="0" w:color="000000"/>
              <w:bottom w:val="single" w:sz="4" w:space="0" w:color="000000"/>
              <w:right w:val="single" w:sz="4" w:space="0" w:color="000000"/>
            </w:tcBorders>
            <w:shd w:val="clear" w:color="auto" w:fill="FFFFFF"/>
            <w:hideMark/>
          </w:tcPr>
          <w:p w:rsidR="00603CB3" w:rsidRPr="00A22D75" w:rsidRDefault="00603CB3" w:rsidP="00603CB3">
            <w:pPr>
              <w:tabs>
                <w:tab w:val="left" w:pos="2179"/>
              </w:tabs>
              <w:ind w:left="137" w:right="56"/>
              <w:rPr>
                <w:sz w:val="22"/>
                <w:szCs w:val="22"/>
              </w:rPr>
            </w:pPr>
            <w:r w:rsidRPr="00A22D75">
              <w:rPr>
                <w:sz w:val="22"/>
                <w:szCs w:val="22"/>
              </w:rPr>
              <w:t>Ikke undersøgt. Darunavir forventes at øge plasmakoncentrationen af disse betablokkere.</w:t>
            </w:r>
          </w:p>
          <w:p w:rsidR="00603CB3" w:rsidRPr="00A22D75" w:rsidRDefault="00603CB3" w:rsidP="00603CB3">
            <w:pPr>
              <w:tabs>
                <w:tab w:val="left" w:pos="2179"/>
              </w:tabs>
              <w:ind w:left="137" w:right="56"/>
              <w:rPr>
                <w:sz w:val="22"/>
                <w:szCs w:val="22"/>
              </w:rPr>
            </w:pPr>
            <w:r w:rsidRPr="00A22D75">
              <w:rPr>
                <w:sz w:val="22"/>
                <w:szCs w:val="22"/>
              </w:rPr>
              <w:t>(CYP2D6-hæmning).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Klinisk monitorering anbefales ved co-administration af darunavir med betablokkere. En lavere dosis af betablokkeren bør overvejes.</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B52AAE" w:rsidRDefault="00603CB3" w:rsidP="00603CB3">
            <w:pPr>
              <w:ind w:left="137" w:right="56"/>
              <w:rPr>
                <w:sz w:val="22"/>
                <w:szCs w:val="22"/>
              </w:rPr>
            </w:pPr>
            <w:r w:rsidRPr="00A22D75">
              <w:rPr>
                <w:b/>
                <w:bCs/>
                <w:sz w:val="22"/>
                <w:szCs w:val="22"/>
              </w:rPr>
              <w:t>CALCIUM</w:t>
            </w:r>
            <w:r w:rsidRPr="00A22D75">
              <w:rPr>
                <w:b/>
                <w:bCs/>
                <w:spacing w:val="-9"/>
                <w:sz w:val="22"/>
                <w:szCs w:val="22"/>
              </w:rPr>
              <w:t>ANTAGONISTER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lang w:val="en-US"/>
              </w:rPr>
            </w:pPr>
            <w:r w:rsidRPr="00A22D75">
              <w:rPr>
                <w:sz w:val="22"/>
                <w:szCs w:val="22"/>
                <w:lang w:val="en-US"/>
              </w:rPr>
              <w:t>Amlodipin</w:t>
            </w:r>
          </w:p>
          <w:p w:rsidR="00603CB3" w:rsidRPr="00A22D75" w:rsidRDefault="00603CB3" w:rsidP="00603CB3">
            <w:pPr>
              <w:ind w:left="137" w:right="56"/>
              <w:rPr>
                <w:spacing w:val="1"/>
                <w:sz w:val="22"/>
                <w:szCs w:val="22"/>
                <w:lang w:val="en-US"/>
              </w:rPr>
            </w:pPr>
            <w:r w:rsidRPr="00A22D75">
              <w:rPr>
                <w:sz w:val="22"/>
                <w:szCs w:val="22"/>
                <w:lang w:val="en-US"/>
              </w:rPr>
              <w:t>Di</w:t>
            </w:r>
            <w:r w:rsidRPr="00A22D75">
              <w:rPr>
                <w:spacing w:val="1"/>
                <w:sz w:val="22"/>
                <w:szCs w:val="22"/>
                <w:lang w:val="en-US"/>
              </w:rPr>
              <w:t xml:space="preserve">ltiazem </w:t>
            </w:r>
          </w:p>
          <w:p w:rsidR="00603CB3" w:rsidRPr="00A22D75" w:rsidRDefault="00603CB3" w:rsidP="00603CB3">
            <w:pPr>
              <w:ind w:left="137" w:right="56"/>
              <w:rPr>
                <w:sz w:val="22"/>
                <w:szCs w:val="22"/>
                <w:lang w:val="en-US"/>
              </w:rPr>
            </w:pPr>
            <w:r w:rsidRPr="00A22D75">
              <w:rPr>
                <w:sz w:val="22"/>
                <w:szCs w:val="22"/>
                <w:lang w:val="en-US"/>
              </w:rPr>
              <w:t>Felodipin</w:t>
            </w:r>
          </w:p>
          <w:p w:rsidR="00603CB3" w:rsidRPr="00A22D75" w:rsidRDefault="00603CB3" w:rsidP="00603CB3">
            <w:pPr>
              <w:ind w:left="137" w:right="56"/>
              <w:rPr>
                <w:sz w:val="22"/>
                <w:szCs w:val="22"/>
                <w:lang w:val="en-US"/>
              </w:rPr>
            </w:pPr>
            <w:r w:rsidRPr="00A22D75">
              <w:rPr>
                <w:sz w:val="22"/>
                <w:szCs w:val="22"/>
                <w:lang w:val="en-US"/>
              </w:rPr>
              <w:t>Nicardipin</w:t>
            </w:r>
          </w:p>
          <w:p w:rsidR="00603CB3" w:rsidRPr="00A22D75" w:rsidRDefault="00603CB3" w:rsidP="00603CB3">
            <w:pPr>
              <w:ind w:left="137" w:right="56"/>
              <w:rPr>
                <w:sz w:val="22"/>
                <w:szCs w:val="22"/>
                <w:lang w:val="en-US"/>
              </w:rPr>
            </w:pPr>
            <w:r w:rsidRPr="00A22D75">
              <w:rPr>
                <w:sz w:val="22"/>
                <w:szCs w:val="22"/>
                <w:lang w:val="en-US"/>
              </w:rPr>
              <w:t>Nifedipin</w:t>
            </w:r>
          </w:p>
          <w:p w:rsidR="00603CB3" w:rsidRPr="00A22D75" w:rsidRDefault="00603CB3" w:rsidP="00603CB3">
            <w:pPr>
              <w:ind w:left="137" w:right="56"/>
              <w:rPr>
                <w:sz w:val="22"/>
                <w:szCs w:val="22"/>
                <w:lang w:val="en-US"/>
              </w:rPr>
            </w:pPr>
            <w:r w:rsidRPr="00A22D75">
              <w:rPr>
                <w:sz w:val="22"/>
                <w:szCs w:val="22"/>
                <w:lang w:val="en-US"/>
              </w:rPr>
              <w:t>Verapamil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Darunavir, co-administereret med lavdosis ritonavir kan forventes at øge plasmakoncentrationen af calciumantagonisterne.</w:t>
            </w:r>
          </w:p>
          <w:p w:rsidR="00603CB3" w:rsidRPr="00A22D75" w:rsidRDefault="00603CB3" w:rsidP="00603CB3">
            <w:pPr>
              <w:ind w:left="137" w:right="56"/>
              <w:rPr>
                <w:sz w:val="22"/>
                <w:szCs w:val="22"/>
              </w:rPr>
            </w:pPr>
            <w:r w:rsidRPr="00A22D75">
              <w:rPr>
                <w:sz w:val="22"/>
                <w:szCs w:val="22"/>
              </w:rPr>
              <w:t>(CYP3A- og/eller CYP2D6-hæmning).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Klinisk monitorering af terapeutiske og uønskede virkninger anbefales, når disse lægemidler administreres sammen med darunavir og lavdosis ritonavir.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shd w:val="clear" w:color="auto" w:fill="FFFFFF"/>
            <w:hideMark/>
          </w:tcPr>
          <w:p w:rsidR="00603CB3" w:rsidRPr="00A22D75" w:rsidRDefault="00603CB3" w:rsidP="00603CB3">
            <w:pPr>
              <w:ind w:left="137" w:right="56"/>
              <w:rPr>
                <w:sz w:val="22"/>
                <w:szCs w:val="22"/>
              </w:rPr>
            </w:pPr>
            <w:r w:rsidRPr="00A22D75">
              <w:rPr>
                <w:b/>
                <w:bCs/>
                <w:sz w:val="22"/>
                <w:szCs w:val="22"/>
              </w:rPr>
              <w:t>KORTIKOSTEROIDER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color w:val="222222"/>
                <w:sz w:val="22"/>
                <w:szCs w:val="22"/>
              </w:rPr>
              <w:t>Kortikosteroider metaboliseres primært af CYP3A (herunder betamethason, budesonid, fluticason, mometason, prednison, triamcinolon)</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4623FF">
              <w:rPr>
                <w:sz w:val="22"/>
                <w:szCs w:val="22"/>
              </w:rPr>
              <w:t xml:space="preserve">Fluticason: </w:t>
            </w:r>
            <w:r w:rsidRPr="00A22D75">
              <w:rPr>
                <w:sz w:val="22"/>
                <w:szCs w:val="22"/>
              </w:rPr>
              <w:t>I et klinisk studie, hvor ritonavir 100 mg kapsler to gange daglig blev administreret samtidig med 50 μg intranasalt fluticasonpropionat (4 gange daglig) i 7 dage hos raske forsøgspersoner, steg plasmaniveauerne af fluticasonpropionat signifikant, hvorimod de naturlige kortisolniveauer faldt med ca. 86 % (90 % konfidensinterval 82-89 %). Der kan forventes en større effekt, når fluticason inhaleres. Der er blevet rapporteret systemiske kortikosteroidvirkninger, herunder Cushings syndrom og adrenal suppression, hos patienter, der får ritonavir samt inhaleret eller intranasalt administreret fluticason. Virkningerne af høj systemisk eksponering for fluticason på plasmaniveauerne af ritonavir kendes endnu ikke.</w:t>
            </w:r>
          </w:p>
          <w:p w:rsidR="00603CB3" w:rsidRPr="00A22D75" w:rsidRDefault="00603CB3" w:rsidP="00603CB3">
            <w:pPr>
              <w:ind w:left="137" w:right="56"/>
              <w:rPr>
                <w:sz w:val="22"/>
                <w:szCs w:val="22"/>
              </w:rPr>
            </w:pPr>
          </w:p>
          <w:p w:rsidR="00603CB3" w:rsidRPr="004623FF" w:rsidRDefault="00603CB3" w:rsidP="00603CB3">
            <w:pPr>
              <w:spacing w:line="225" w:lineRule="exact"/>
              <w:ind w:left="102" w:right="-20"/>
              <w:rPr>
                <w:sz w:val="22"/>
                <w:szCs w:val="22"/>
              </w:rPr>
            </w:pPr>
            <w:r w:rsidRPr="004623FF">
              <w:rPr>
                <w:color w:val="222222"/>
                <w:sz w:val="22"/>
                <w:szCs w:val="22"/>
              </w:rPr>
              <w:t>Andre kortikosteroider: interaktion er ikke undersøgt. Plasmakoncentrationerne af disse lægemidler kan øges, når de samtidig administreres sammen med darunavir med lavdosis ritonavir, hvilket resulterer i reducerede serumkortisolkoncentrationer.</w:t>
            </w:r>
          </w:p>
          <w:p w:rsidR="00603CB3" w:rsidRPr="00A22D75" w:rsidRDefault="00603CB3" w:rsidP="00603CB3">
            <w:pPr>
              <w:ind w:left="137" w:right="56"/>
              <w:rPr>
                <w:sz w:val="22"/>
                <w:szCs w:val="22"/>
              </w:rPr>
            </w:pPr>
          </w:p>
        </w:tc>
        <w:tc>
          <w:tcPr>
            <w:tcW w:w="1668" w:type="pct"/>
            <w:gridSpan w:val="2"/>
            <w:tcBorders>
              <w:top w:val="single" w:sz="4" w:space="0" w:color="000000"/>
              <w:left w:val="single" w:sz="4" w:space="0" w:color="000000"/>
              <w:bottom w:val="single" w:sz="4" w:space="0" w:color="000000"/>
              <w:right w:val="single" w:sz="4" w:space="0" w:color="000000"/>
            </w:tcBorders>
            <w:hideMark/>
          </w:tcPr>
          <w:p w:rsidR="00506317" w:rsidRDefault="00506317" w:rsidP="005063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6"/>
              <w:rPr>
                <w:color w:val="222222"/>
                <w:sz w:val="22"/>
                <w:szCs w:val="22"/>
                <w:lang w:eastAsia="da-DK"/>
              </w:rPr>
            </w:pPr>
            <w:r>
              <w:rPr>
                <w:color w:val="222222"/>
                <w:sz w:val="22"/>
                <w:szCs w:val="22"/>
                <w:lang w:eastAsia="da-DK"/>
              </w:rPr>
              <w:t>Samtidig brug af darunavir med      lavdosis ritonavir og kortikosteroider (alle adminsteringesveje), der metaboliseres af CYP3A (kan øge risikoen for udvikling af systemiske kortikosteroide effekter, herunder Cushings syndrom og adrenal suppression.</w:t>
            </w:r>
          </w:p>
          <w:p w:rsidR="00506317" w:rsidRDefault="00506317" w:rsidP="00B762BC">
            <w:pPr>
              <w:ind w:left="176"/>
              <w:rPr>
                <w:sz w:val="24"/>
                <w:szCs w:val="24"/>
                <w:lang w:eastAsia="da-DK"/>
              </w:rPr>
            </w:pPr>
            <w:r>
              <w:rPr>
                <w:color w:val="222222"/>
                <w:sz w:val="22"/>
                <w:szCs w:val="22"/>
                <w:lang w:eastAsia="da-DK"/>
              </w:rPr>
              <w:t>Samtidig administration med CYP3A-metaboliserede kortikosteroider anbefales ikke, medmindre den potentielle fordel for patienten opvejer risikoen, i hvilket tilfælde patienter skal overvåges for systemiske kortikosteroide virkninger. Alternative kortikosteroider, der er mindre afhængige af CYP3A-metabolisme, f.eks. beclomethason bør overvejes, især ved længerevarende brug.</w:t>
            </w:r>
            <w:r>
              <w:rPr>
                <w:sz w:val="24"/>
                <w:szCs w:val="24"/>
                <w:lang w:eastAsia="da-DK"/>
              </w:rPr>
              <w:t xml:space="preserve"> </w:t>
            </w:r>
          </w:p>
          <w:p w:rsidR="00603CB3" w:rsidRPr="00A22D75" w:rsidRDefault="00506317" w:rsidP="00B762BC">
            <w:pPr>
              <w:pStyle w:val="Kommentartekst"/>
              <w:rPr>
                <w:i/>
                <w:sz w:val="22"/>
                <w:szCs w:val="22"/>
              </w:rPr>
            </w:pPr>
            <w:r>
              <w:rPr>
                <w:rStyle w:val="Kommentarhenvisning"/>
              </w:rPr>
              <w:t/>
            </w:r>
            <w:r w:rsidR="00B762BC" w:rsidRPr="00A22D75">
              <w:rPr>
                <w:i/>
                <w:sz w:val="22"/>
                <w:szCs w:val="22"/>
              </w:rPr>
              <w:t xml:space="preserve"> </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Dexamethason</w:t>
            </w:r>
          </w:p>
          <w:p w:rsidR="00603CB3" w:rsidRPr="00A22D75" w:rsidRDefault="00603CB3" w:rsidP="00603CB3">
            <w:pPr>
              <w:ind w:left="137" w:right="56"/>
              <w:rPr>
                <w:sz w:val="22"/>
                <w:szCs w:val="22"/>
              </w:rPr>
            </w:pPr>
            <w:r w:rsidRPr="00A22D75">
              <w:rPr>
                <w:spacing w:val="1"/>
                <w:sz w:val="22"/>
                <w:szCs w:val="22"/>
              </w:rPr>
              <w:t>(s</w:t>
            </w:r>
            <w:r w:rsidRPr="00A22D75">
              <w:rPr>
                <w:spacing w:val="-4"/>
                <w:sz w:val="22"/>
                <w:szCs w:val="22"/>
              </w:rPr>
              <w:t>y</w:t>
            </w:r>
            <w:r w:rsidRPr="00A22D75">
              <w:rPr>
                <w:sz w:val="22"/>
                <w:szCs w:val="22"/>
              </w:rPr>
              <w:t>stemisk)</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Dexamethason kan nedsætte plasmakoncentrationen af darunavir.</w:t>
            </w:r>
          </w:p>
          <w:p w:rsidR="00603CB3" w:rsidRPr="00A22D75" w:rsidRDefault="00603CB3" w:rsidP="00603CB3">
            <w:pPr>
              <w:ind w:left="137" w:right="56"/>
              <w:rPr>
                <w:sz w:val="22"/>
                <w:szCs w:val="22"/>
              </w:rPr>
            </w:pPr>
            <w:r w:rsidRPr="00A22D75">
              <w:rPr>
                <w:sz w:val="22"/>
                <w:szCs w:val="22"/>
              </w:rPr>
              <w:t>(CYP3A-induktion).</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Systemisk dexamethason skal bruges med forsigtighed ved kombination med darunavir administreret sammen med lavdosis ritonavir.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i/>
                <w:sz w:val="22"/>
                <w:szCs w:val="22"/>
              </w:rPr>
            </w:pP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pacing w:val="1"/>
                <w:sz w:val="22"/>
                <w:szCs w:val="22"/>
              </w:rPr>
              <w:t>ENDOTELLINRECEPTOR-ANTAGONISTER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Bosentan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Samtidig anvendelse af bosentan og darunavir administreret sammen med lavdosis ritonavir kan øge plasmakoncentrationen af bosentan.</w:t>
            </w:r>
          </w:p>
          <w:p w:rsidR="00603CB3" w:rsidRPr="00A22D75" w:rsidRDefault="00603CB3" w:rsidP="00603CB3">
            <w:pPr>
              <w:ind w:left="137" w:right="56"/>
              <w:rPr>
                <w:sz w:val="22"/>
                <w:szCs w:val="22"/>
              </w:rPr>
            </w:pPr>
            <w:r w:rsidRPr="00A22D75">
              <w:rPr>
                <w:sz w:val="22"/>
                <w:szCs w:val="22"/>
              </w:rPr>
              <w:t xml:space="preserve">Bosentan forventes at sænke </w:t>
            </w:r>
            <w:proofErr w:type="gramStart"/>
            <w:r w:rsidRPr="00A22D75">
              <w:rPr>
                <w:sz w:val="22"/>
                <w:szCs w:val="22"/>
              </w:rPr>
              <w:t>plasma koncentrationen</w:t>
            </w:r>
            <w:proofErr w:type="gramEnd"/>
            <w:r w:rsidRPr="00A22D75">
              <w:rPr>
                <w:sz w:val="22"/>
                <w:szCs w:val="22"/>
              </w:rPr>
              <w:t xml:space="preserve"> af darunavir og/eller dets farmakofremmer (CYP3A inducering).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i/>
                <w:sz w:val="22"/>
                <w:szCs w:val="22"/>
              </w:rPr>
            </w:pPr>
            <w:r w:rsidRPr="00A22D75">
              <w:rPr>
                <w:sz w:val="22"/>
                <w:szCs w:val="22"/>
              </w:rPr>
              <w:t>Ved samtidig administration af darunavir og lavdosis ritonavir skal patienten monitoreres for tolerabilitet af bosentan.</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DIREKTE VIRKENDE ANTIVIRALE MIDLER MOD HEPATITIS C-VIRUS (HCV)</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i/>
                <w:sz w:val="22"/>
                <w:szCs w:val="22"/>
              </w:rPr>
              <w:t>NS</w:t>
            </w:r>
            <w:r w:rsidRPr="00A22D75">
              <w:rPr>
                <w:b/>
                <w:bCs/>
                <w:i/>
                <w:spacing w:val="1"/>
                <w:sz w:val="22"/>
                <w:szCs w:val="22"/>
              </w:rPr>
              <w:t>3-4</w:t>
            </w:r>
            <w:r w:rsidRPr="00A22D75">
              <w:rPr>
                <w:b/>
                <w:bCs/>
                <w:i/>
                <w:sz w:val="22"/>
                <w:szCs w:val="22"/>
              </w:rPr>
              <w:t>A</w:t>
            </w:r>
            <w:r w:rsidRPr="00A22D75">
              <w:rPr>
                <w:b/>
                <w:bCs/>
                <w:i/>
                <w:spacing w:val="-7"/>
                <w:sz w:val="22"/>
                <w:szCs w:val="22"/>
              </w:rPr>
              <w:t xml:space="preserve"> </w:t>
            </w:r>
            <w:r w:rsidRPr="00A22D75">
              <w:rPr>
                <w:b/>
                <w:bCs/>
                <w:i/>
                <w:sz w:val="22"/>
                <w:szCs w:val="22"/>
              </w:rPr>
              <w:t>proteasehæmmere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noProof/>
                <w:sz w:val="22"/>
                <w:szCs w:val="22"/>
              </w:rPr>
              <w:t>Elbasvir/grazoprevir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color w:val="222222"/>
                <w:sz w:val="22"/>
                <w:szCs w:val="22"/>
              </w:rPr>
              <w:t>Darunavir med lavdosis ritonavir kan øge eksponeringen for grazoprevir. (CYP3A og OATP1B 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4623FF">
              <w:rPr>
                <w:color w:val="222222"/>
                <w:sz w:val="22"/>
                <w:szCs w:val="22"/>
              </w:rPr>
              <w:t>Samtidig brug af darunavir med lavdosis ritonavir og elbasvir / grazoprevir er kontraindiceret (se pkt. 4.3).</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Glecaprevir/pibrenatasvir</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Baseret på teoretiske overvejelser, kan boostet darunavir øge eksponeringen for glecaprevir og pibrentasvir. (p-gp, BCRP og/eller OATP1B1/3 hæmning) </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Det anbefales ikke, at co-administrere boostet darunavir med glecaprevir/pibrentasvir.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NATURPRODUKTER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Perikon</w:t>
            </w:r>
          </w:p>
          <w:p w:rsidR="00603CB3" w:rsidRPr="00A22D75" w:rsidRDefault="00603CB3" w:rsidP="00603CB3">
            <w:pPr>
              <w:ind w:left="137" w:right="56"/>
              <w:rPr>
                <w:sz w:val="22"/>
                <w:szCs w:val="22"/>
              </w:rPr>
            </w:pPr>
            <w:r w:rsidRPr="00A22D75">
              <w:rPr>
                <w:i/>
                <w:sz w:val="22"/>
                <w:szCs w:val="22"/>
              </w:rPr>
              <w:t>(Hypericum</w:t>
            </w:r>
            <w:r w:rsidRPr="00A22D75">
              <w:rPr>
                <w:i/>
                <w:spacing w:val="-9"/>
                <w:sz w:val="22"/>
                <w:szCs w:val="22"/>
              </w:rPr>
              <w:t xml:space="preserve"> </w:t>
            </w:r>
            <w:r w:rsidRPr="00A22D75">
              <w:rPr>
                <w:i/>
                <w:spacing w:val="1"/>
                <w:sz w:val="22"/>
                <w:szCs w:val="22"/>
              </w:rPr>
              <w:t>perforatum)</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Perikon forventes at nedsætte plasmakoncentrationen af darunavir og ritonavir.</w:t>
            </w:r>
          </w:p>
          <w:p w:rsidR="00603CB3" w:rsidRPr="00A22D75" w:rsidRDefault="00603CB3" w:rsidP="00603CB3">
            <w:pPr>
              <w:ind w:left="137" w:right="56"/>
              <w:rPr>
                <w:sz w:val="22"/>
                <w:szCs w:val="22"/>
              </w:rPr>
            </w:pPr>
            <w:r w:rsidRPr="00A22D75">
              <w:rPr>
                <w:sz w:val="22"/>
                <w:szCs w:val="22"/>
              </w:rPr>
              <w:t>(CYP450-induktion).</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administreret sammen med lavdosis ritonavir må ikke anvendes samtidig med produkter, der indeholder perikon (</w:t>
            </w:r>
            <w:r w:rsidRPr="00A22D75">
              <w:rPr>
                <w:i/>
                <w:iCs/>
                <w:sz w:val="22"/>
                <w:szCs w:val="22"/>
              </w:rPr>
              <w:t xml:space="preserve">Hypericum perforatum) </w:t>
            </w:r>
            <w:r w:rsidRPr="00A22D75">
              <w:rPr>
                <w:sz w:val="22"/>
                <w:szCs w:val="22"/>
              </w:rPr>
              <w:t>(se pkt. 4.3). 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pacing w:val="-1"/>
                <w:sz w:val="22"/>
                <w:szCs w:val="22"/>
              </w:rPr>
              <w:t>H</w:t>
            </w:r>
            <w:r w:rsidRPr="00A22D75">
              <w:rPr>
                <w:b/>
                <w:bCs/>
                <w:spacing w:val="4"/>
                <w:sz w:val="22"/>
                <w:szCs w:val="22"/>
              </w:rPr>
              <w:t>M</w:t>
            </w:r>
            <w:r w:rsidRPr="00A22D75">
              <w:rPr>
                <w:b/>
                <w:bCs/>
                <w:sz w:val="22"/>
                <w:szCs w:val="22"/>
              </w:rPr>
              <w:t>G-C</w:t>
            </w:r>
            <w:r w:rsidRPr="00A22D75">
              <w:rPr>
                <w:b/>
                <w:bCs/>
                <w:spacing w:val="1"/>
                <w:sz w:val="22"/>
                <w:szCs w:val="22"/>
              </w:rPr>
              <w:t>O-</w:t>
            </w:r>
            <w:r w:rsidRPr="00A22D75">
              <w:rPr>
                <w:b/>
                <w:bCs/>
                <w:sz w:val="22"/>
                <w:szCs w:val="22"/>
              </w:rPr>
              <w:t>A-REDUKTASEHÆMMERE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Lovastatin</w:t>
            </w:r>
          </w:p>
          <w:p w:rsidR="00603CB3" w:rsidRPr="00A22D75" w:rsidRDefault="00603CB3" w:rsidP="00603CB3">
            <w:pPr>
              <w:ind w:left="137" w:right="56"/>
              <w:rPr>
                <w:sz w:val="22"/>
                <w:szCs w:val="22"/>
              </w:rPr>
            </w:pPr>
            <w:r w:rsidRPr="00A22D75">
              <w:rPr>
                <w:sz w:val="22"/>
                <w:szCs w:val="22"/>
              </w:rPr>
              <w:t>Simvastatin</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Plasmakoncentrationen af lovastatin og simvastatin forventes at stige markant, når de gives sammen med darunavir administreret sammen med lavdosis ritonavir.</w:t>
            </w:r>
          </w:p>
          <w:p w:rsidR="00603CB3" w:rsidRPr="00A22D75" w:rsidRDefault="00603CB3" w:rsidP="00603CB3">
            <w:pPr>
              <w:ind w:left="137" w:right="56"/>
              <w:rPr>
                <w:i/>
                <w:sz w:val="22"/>
                <w:szCs w:val="22"/>
              </w:rPr>
            </w:pPr>
            <w:r w:rsidRPr="00A22D75">
              <w:rPr>
                <w:sz w:val="22"/>
                <w:szCs w:val="22"/>
              </w:rPr>
              <w:t>(CYP3A-hæmning).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Øgede plasmakoncentrationer af lovastatin eller simvastatin kan forårsage myopati, herunder rhabdomyolyse. Samtidig brug af lovastatin eller simvastatin og darunavir administreret sammen med lavdosis ritonavir er derfor kontraindiceret (se pkt. 4.3).</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Atorvastatin</w:t>
            </w:r>
          </w:p>
          <w:p w:rsidR="00603CB3" w:rsidRPr="00A22D75" w:rsidRDefault="00603CB3" w:rsidP="00603CB3">
            <w:pPr>
              <w:ind w:left="137" w:right="56"/>
              <w:rPr>
                <w:sz w:val="22"/>
                <w:szCs w:val="22"/>
              </w:rPr>
            </w:pPr>
            <w:r w:rsidRPr="00A22D75">
              <w:rPr>
                <w:spacing w:val="1"/>
                <w:sz w:val="22"/>
                <w:szCs w:val="22"/>
              </w:rPr>
              <w:t>1</w:t>
            </w:r>
            <w:r w:rsidRPr="00A22D75">
              <w:rPr>
                <w:sz w:val="22"/>
                <w:szCs w:val="22"/>
              </w:rPr>
              <w:t>0 mg</w:t>
            </w:r>
            <w:r w:rsidRPr="00A22D75">
              <w:rPr>
                <w:spacing w:val="-3"/>
                <w:sz w:val="22"/>
                <w:szCs w:val="22"/>
              </w:rPr>
              <w:t xml:space="preserve"> </w:t>
            </w:r>
            <w:r w:rsidRPr="00A22D75">
              <w:rPr>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atorvastatin</w:t>
            </w:r>
            <w:r w:rsidRPr="00A22D75">
              <w:rPr>
                <w:spacing w:val="-8"/>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4"/>
                <w:sz w:val="22"/>
                <w:szCs w:val="22"/>
              </w:rPr>
              <w:t xml:space="preserve"> </w:t>
            </w:r>
            <w:r w:rsidRPr="00A22D75">
              <w:rPr>
                <w:spacing w:val="1"/>
                <w:sz w:val="22"/>
                <w:szCs w:val="22"/>
              </w:rPr>
              <w:t>3</w:t>
            </w:r>
            <w:r w:rsidRPr="00A22D75">
              <w:rPr>
                <w:spacing w:val="-2"/>
                <w:sz w:val="22"/>
                <w:szCs w:val="22"/>
              </w:rPr>
              <w:t>-</w:t>
            </w:r>
            <w:r w:rsidRPr="00A22D75">
              <w:rPr>
                <w:sz w:val="22"/>
                <w:szCs w:val="22"/>
              </w:rPr>
              <w:t>4</w:t>
            </w:r>
            <w:r w:rsidRPr="00A22D75">
              <w:rPr>
                <w:spacing w:val="-2"/>
                <w:sz w:val="22"/>
                <w:szCs w:val="22"/>
              </w:rPr>
              <w:t xml:space="preserve"> </w:t>
            </w:r>
            <w:r w:rsidRPr="00A22D75">
              <w:rPr>
                <w:spacing w:val="1"/>
                <w:sz w:val="22"/>
                <w:szCs w:val="22"/>
              </w:rPr>
              <w:t>gange</w:t>
            </w:r>
          </w:p>
          <w:p w:rsidR="00603CB3" w:rsidRPr="00A22D75" w:rsidRDefault="00603CB3" w:rsidP="00603CB3">
            <w:pPr>
              <w:tabs>
                <w:tab w:val="left" w:pos="3356"/>
              </w:tabs>
              <w:ind w:left="137" w:right="56"/>
              <w:rPr>
                <w:spacing w:val="1"/>
                <w:sz w:val="22"/>
                <w:szCs w:val="22"/>
              </w:rPr>
            </w:pPr>
            <w:r w:rsidRPr="00A22D75">
              <w:rPr>
                <w:sz w:val="22"/>
                <w:szCs w:val="22"/>
              </w:rPr>
              <w:t>atorvastatin</w:t>
            </w:r>
            <w:r w:rsidRPr="00A22D75">
              <w:rPr>
                <w:spacing w:val="-10"/>
                <w:sz w:val="22"/>
                <w:szCs w:val="22"/>
              </w:rPr>
              <w:t xml:space="preserve"> </w:t>
            </w:r>
            <w:r w:rsidRPr="00A22D75">
              <w:rPr>
                <w:spacing w:val="1"/>
                <w:sz w:val="22"/>
                <w:szCs w:val="22"/>
              </w:rPr>
              <w:t>C</w:t>
            </w:r>
            <w:r w:rsidRPr="00A22D75">
              <w:rPr>
                <w:spacing w:val="1"/>
                <w:sz w:val="22"/>
                <w:szCs w:val="22"/>
                <w:vertAlign w:val="subscript"/>
              </w:rPr>
              <w:t>min</w:t>
            </w:r>
            <w:r w:rsidRPr="00A22D75">
              <w:rPr>
                <w:spacing w:val="17"/>
                <w:position w:val="-3"/>
                <w:sz w:val="22"/>
                <w:szCs w:val="22"/>
              </w:rPr>
              <w:t xml:space="preserve"> </w:t>
            </w:r>
            <w:r w:rsidRPr="00A22D75">
              <w:rPr>
                <w:sz w:val="22"/>
                <w:szCs w:val="22"/>
              </w:rPr>
              <w:t>↑</w:t>
            </w:r>
            <w:r w:rsidRPr="00A22D75">
              <w:rPr>
                <w:spacing w:val="-2"/>
                <w:sz w:val="22"/>
                <w:szCs w:val="22"/>
              </w:rPr>
              <w:t xml:space="preserve"> </w:t>
            </w:r>
            <w:r w:rsidRPr="00A22D75">
              <w:rPr>
                <w:sz w:val="22"/>
                <w:szCs w:val="22"/>
              </w:rPr>
              <w:t xml:space="preserve">≈ </w:t>
            </w:r>
            <w:r w:rsidRPr="00A22D75">
              <w:rPr>
                <w:spacing w:val="1"/>
                <w:sz w:val="22"/>
                <w:szCs w:val="22"/>
              </w:rPr>
              <w:t>5.5</w:t>
            </w:r>
            <w:r w:rsidRPr="00A22D75">
              <w:rPr>
                <w:spacing w:val="-2"/>
                <w:sz w:val="22"/>
                <w:szCs w:val="22"/>
              </w:rPr>
              <w:t>-</w:t>
            </w:r>
            <w:r w:rsidRPr="00A22D75">
              <w:rPr>
                <w:spacing w:val="1"/>
                <w:sz w:val="22"/>
                <w:szCs w:val="22"/>
              </w:rPr>
              <w:t>1</w:t>
            </w:r>
            <w:r w:rsidRPr="00A22D75">
              <w:rPr>
                <w:sz w:val="22"/>
                <w:szCs w:val="22"/>
              </w:rPr>
              <w:t>0</w:t>
            </w:r>
            <w:r w:rsidRPr="00A22D75">
              <w:rPr>
                <w:spacing w:val="-4"/>
                <w:sz w:val="22"/>
                <w:szCs w:val="22"/>
              </w:rPr>
              <w:t xml:space="preserve"> </w:t>
            </w:r>
            <w:r w:rsidRPr="00A22D75">
              <w:rPr>
                <w:spacing w:val="1"/>
                <w:sz w:val="22"/>
                <w:szCs w:val="22"/>
              </w:rPr>
              <w:t>gange</w:t>
            </w:r>
          </w:p>
          <w:p w:rsidR="00603CB3" w:rsidRPr="00A22D75" w:rsidRDefault="00603CB3" w:rsidP="00603CB3">
            <w:pPr>
              <w:ind w:left="137" w:right="56"/>
              <w:rPr>
                <w:sz w:val="22"/>
                <w:szCs w:val="22"/>
                <w:lang w:val="en-US"/>
              </w:rPr>
            </w:pPr>
            <w:r w:rsidRPr="00A22D75">
              <w:rPr>
                <w:sz w:val="22"/>
                <w:szCs w:val="22"/>
                <w:lang w:val="en-US"/>
              </w:rPr>
              <w:t>atorvastatin</w:t>
            </w:r>
            <w:r w:rsidRPr="00A22D75">
              <w:rPr>
                <w:spacing w:val="-10"/>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 2</w:t>
            </w:r>
            <w:r w:rsidRPr="00A22D75">
              <w:rPr>
                <w:spacing w:val="-2"/>
                <w:sz w:val="22"/>
                <w:szCs w:val="22"/>
                <w:lang w:val="en-US"/>
              </w:rPr>
              <w:t xml:space="preserve"> </w:t>
            </w:r>
            <w:r w:rsidRPr="00A22D75">
              <w:rPr>
                <w:sz w:val="22"/>
                <w:szCs w:val="22"/>
                <w:lang w:val="en-US"/>
              </w:rPr>
              <w:t>gange</w:t>
            </w:r>
          </w:p>
          <w:p w:rsidR="00603CB3" w:rsidRPr="00A22D75" w:rsidRDefault="00603CB3" w:rsidP="00603CB3">
            <w:pPr>
              <w:ind w:left="137" w:right="56"/>
              <w:rPr>
                <w:sz w:val="22"/>
                <w:szCs w:val="22"/>
                <w:lang w:val="en-US"/>
              </w:rPr>
            </w:pPr>
            <w:r w:rsidRPr="00A22D75">
              <w:rPr>
                <w:sz w:val="22"/>
                <w:szCs w:val="22"/>
                <w:vertAlign w:val="superscript"/>
                <w:lang w:val="en-US"/>
              </w:rPr>
              <w:t>#</w:t>
            </w:r>
            <w:r w:rsidRPr="00A22D75">
              <w:rPr>
                <w:position w:val="-1"/>
                <w:sz w:val="22"/>
                <w:szCs w:val="22"/>
                <w:lang w:val="en-US"/>
              </w:rPr>
              <w:t>darunavir/ritonavir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815FE0" w:rsidRDefault="00603CB3" w:rsidP="00603CB3">
            <w:pPr>
              <w:ind w:left="137" w:right="56"/>
              <w:rPr>
                <w:sz w:val="22"/>
                <w:szCs w:val="22"/>
              </w:rPr>
            </w:pPr>
            <w:r w:rsidRPr="00815FE0">
              <w:rPr>
                <w:sz w:val="22"/>
                <w:szCs w:val="22"/>
              </w:rPr>
              <w:t>Hvis der er behov for administration af atorvastatin og darunavir administreret sammen med lavdosis ritonavir, anbefales det at starte med en atorvastatindosis på 10 mg en gang daglig.</w:t>
            </w:r>
          </w:p>
          <w:p w:rsidR="00603CB3" w:rsidRPr="00A22D75" w:rsidRDefault="00603CB3" w:rsidP="00603CB3">
            <w:pPr>
              <w:ind w:left="137" w:right="56"/>
              <w:rPr>
                <w:sz w:val="22"/>
                <w:szCs w:val="22"/>
              </w:rPr>
            </w:pPr>
            <w:r w:rsidRPr="00A22D75">
              <w:rPr>
                <w:sz w:val="22"/>
                <w:szCs w:val="22"/>
              </w:rPr>
              <w:t>Derefter kan dosis af atorvastatin øges gradvist på grundlag af det kliniske respons.</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Pravastatin</w:t>
            </w:r>
          </w:p>
          <w:p w:rsidR="00603CB3" w:rsidRPr="00A22D75" w:rsidRDefault="00603CB3" w:rsidP="00603CB3">
            <w:pPr>
              <w:ind w:left="137" w:right="56"/>
              <w:rPr>
                <w:sz w:val="22"/>
                <w:szCs w:val="22"/>
              </w:rPr>
            </w:pPr>
            <w:r w:rsidRPr="00A22D75">
              <w:rPr>
                <w:spacing w:val="1"/>
                <w:sz w:val="22"/>
                <w:szCs w:val="22"/>
              </w:rPr>
              <w:t>4</w:t>
            </w:r>
            <w:r w:rsidRPr="00A22D75">
              <w:rPr>
                <w:sz w:val="22"/>
                <w:szCs w:val="22"/>
              </w:rPr>
              <w:t>0 mg som</w:t>
            </w:r>
            <w:r w:rsidRPr="00A22D75">
              <w:rPr>
                <w:spacing w:val="-3"/>
                <w:sz w:val="22"/>
                <w:szCs w:val="22"/>
              </w:rPr>
              <w:t xml:space="preserve"> </w:t>
            </w:r>
            <w:r w:rsidRPr="00A22D75">
              <w:rPr>
                <w:sz w:val="22"/>
                <w:szCs w:val="22"/>
              </w:rPr>
              <w:t>enkeltdosis</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5B2C08" w:rsidRDefault="00603CB3" w:rsidP="00603CB3">
            <w:pPr>
              <w:ind w:left="137" w:right="56"/>
              <w:rPr>
                <w:sz w:val="22"/>
                <w:szCs w:val="22"/>
                <w:lang w:val="sv-SE"/>
              </w:rPr>
            </w:pPr>
            <w:r w:rsidRPr="005B2C08">
              <w:rPr>
                <w:sz w:val="22"/>
                <w:szCs w:val="22"/>
                <w:lang w:val="sv-SE"/>
              </w:rPr>
              <w:t>pravastatin</w:t>
            </w:r>
            <w:r w:rsidRPr="005B2C08">
              <w:rPr>
                <w:spacing w:val="-9"/>
                <w:sz w:val="22"/>
                <w:szCs w:val="22"/>
                <w:lang w:val="sv-SE"/>
              </w:rPr>
              <w:t xml:space="preserve"> </w:t>
            </w:r>
            <w:r w:rsidRPr="005B2C08">
              <w:rPr>
                <w:sz w:val="22"/>
                <w:szCs w:val="22"/>
                <w:lang w:val="sv-SE"/>
              </w:rPr>
              <w:t>AUC</w:t>
            </w:r>
            <w:r w:rsidRPr="005B2C08">
              <w:rPr>
                <w:spacing w:val="-2"/>
                <w:sz w:val="22"/>
                <w:szCs w:val="22"/>
                <w:lang w:val="sv-SE"/>
              </w:rPr>
              <w:t xml:space="preserve"> </w:t>
            </w:r>
            <w:r w:rsidRPr="005B2C08">
              <w:rPr>
                <w:sz w:val="22"/>
                <w:szCs w:val="22"/>
                <w:lang w:val="sv-SE"/>
              </w:rPr>
              <w:t>↑ 81 %</w:t>
            </w:r>
            <w:r w:rsidRPr="005B2C08">
              <w:rPr>
                <w:position w:val="9"/>
                <w:sz w:val="22"/>
                <w:szCs w:val="22"/>
                <w:lang w:val="sv-SE"/>
              </w:rPr>
              <w:t>¶</w:t>
            </w:r>
          </w:p>
          <w:p w:rsidR="00603CB3" w:rsidRPr="005B2C08" w:rsidRDefault="00603CB3" w:rsidP="00603CB3">
            <w:pPr>
              <w:ind w:left="137" w:right="56"/>
              <w:rPr>
                <w:sz w:val="22"/>
                <w:szCs w:val="22"/>
                <w:lang w:val="sv-SE"/>
              </w:rPr>
            </w:pPr>
            <w:r w:rsidRPr="005B2C08">
              <w:rPr>
                <w:sz w:val="22"/>
                <w:szCs w:val="22"/>
                <w:lang w:val="sv-SE"/>
              </w:rPr>
              <w:t>pravastatin</w:t>
            </w:r>
            <w:r w:rsidRPr="005B2C08">
              <w:rPr>
                <w:spacing w:val="-8"/>
                <w:sz w:val="22"/>
                <w:szCs w:val="22"/>
                <w:lang w:val="sv-SE"/>
              </w:rPr>
              <w:t xml:space="preserve"> </w:t>
            </w:r>
            <w:r w:rsidRPr="005B2C08">
              <w:rPr>
                <w:spacing w:val="1"/>
                <w:sz w:val="22"/>
                <w:szCs w:val="22"/>
                <w:lang w:val="sv-SE"/>
              </w:rPr>
              <w:t>C</w:t>
            </w:r>
            <w:r w:rsidRPr="005B2C08">
              <w:rPr>
                <w:spacing w:val="1"/>
                <w:sz w:val="22"/>
                <w:szCs w:val="22"/>
                <w:vertAlign w:val="subscript"/>
                <w:lang w:val="sv-SE"/>
              </w:rPr>
              <w:t>min</w:t>
            </w:r>
            <w:r w:rsidRPr="005B2C08">
              <w:rPr>
                <w:spacing w:val="14"/>
                <w:position w:val="-3"/>
                <w:sz w:val="22"/>
                <w:szCs w:val="22"/>
                <w:lang w:val="sv-SE"/>
              </w:rPr>
              <w:t xml:space="preserve"> </w:t>
            </w:r>
            <w:r w:rsidRPr="005B2C08">
              <w:rPr>
                <w:spacing w:val="3"/>
                <w:sz w:val="22"/>
                <w:szCs w:val="22"/>
                <w:lang w:val="sv-SE"/>
              </w:rPr>
              <w:t>ND</w:t>
            </w:r>
          </w:p>
          <w:p w:rsidR="00603CB3" w:rsidRPr="005B2C08" w:rsidRDefault="00603CB3" w:rsidP="00603CB3">
            <w:pPr>
              <w:ind w:left="137" w:right="56"/>
              <w:rPr>
                <w:sz w:val="22"/>
                <w:szCs w:val="22"/>
                <w:lang w:val="sv-SE"/>
              </w:rPr>
            </w:pPr>
            <w:r w:rsidRPr="005B2C08">
              <w:rPr>
                <w:sz w:val="22"/>
                <w:szCs w:val="22"/>
                <w:lang w:val="sv-SE"/>
              </w:rPr>
              <w:t>pravastatin</w:t>
            </w:r>
            <w:r w:rsidRPr="005B2C08">
              <w:rPr>
                <w:spacing w:val="-8"/>
                <w:sz w:val="22"/>
                <w:szCs w:val="22"/>
                <w:lang w:val="sv-SE"/>
              </w:rPr>
              <w:t xml:space="preserve"> </w:t>
            </w:r>
            <w:r w:rsidRPr="005B2C08">
              <w:rPr>
                <w:spacing w:val="2"/>
                <w:sz w:val="22"/>
                <w:szCs w:val="22"/>
                <w:lang w:val="sv-SE"/>
              </w:rPr>
              <w:t>C</w:t>
            </w:r>
            <w:r w:rsidRPr="005B2C08">
              <w:rPr>
                <w:spacing w:val="2"/>
                <w:sz w:val="22"/>
                <w:szCs w:val="22"/>
                <w:vertAlign w:val="subscript"/>
                <w:lang w:val="sv-SE"/>
              </w:rPr>
              <w:t>max</w:t>
            </w:r>
            <w:r w:rsidRPr="005B2C08">
              <w:rPr>
                <w:spacing w:val="17"/>
                <w:position w:val="-3"/>
                <w:sz w:val="22"/>
                <w:szCs w:val="22"/>
                <w:lang w:val="sv-SE"/>
              </w:rPr>
              <w:t xml:space="preserve"> </w:t>
            </w:r>
            <w:r w:rsidRPr="005B2C08">
              <w:rPr>
                <w:sz w:val="22"/>
                <w:szCs w:val="22"/>
                <w:lang w:val="sv-SE"/>
              </w:rPr>
              <w:t>↑ 63 %</w:t>
            </w:r>
          </w:p>
          <w:p w:rsidR="00603CB3" w:rsidRPr="00A22D75" w:rsidRDefault="00603CB3" w:rsidP="00603CB3">
            <w:pPr>
              <w:ind w:left="137" w:right="56"/>
              <w:rPr>
                <w:sz w:val="22"/>
                <w:szCs w:val="22"/>
              </w:rPr>
            </w:pPr>
            <w:r w:rsidRPr="00A22D75">
              <w:rPr>
                <w:position w:val="8"/>
                <w:sz w:val="22"/>
                <w:szCs w:val="22"/>
              </w:rPr>
              <w:t>¶</w:t>
            </w:r>
            <w:r w:rsidRPr="00A22D75">
              <w:rPr>
                <w:spacing w:val="6"/>
                <w:position w:val="8"/>
                <w:sz w:val="22"/>
                <w:szCs w:val="22"/>
              </w:rPr>
              <w:t xml:space="preserve"> </w:t>
            </w:r>
            <w:r w:rsidRPr="00A22D75">
              <w:rPr>
                <w:position w:val="-1"/>
                <w:sz w:val="22"/>
                <w:szCs w:val="22"/>
              </w:rPr>
              <w:t>en stigning på op til 5 gange blev set hos en begrænset undergruppe af forsøgspersoner.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Hvis der er behov for administration af pravastatin og darunavir administreret sammen med lavdosis ritonavir, anbefales det at starte med den lavest mulige dosis af pravastatin og optitrere til den ønskede kliniske effekt samtidig med overvågning af sikkerhed/bivirkninger.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Rosuvastatin</w:t>
            </w:r>
          </w:p>
          <w:p w:rsidR="00603CB3" w:rsidRPr="005B68F0" w:rsidRDefault="00603CB3" w:rsidP="00603CB3">
            <w:pPr>
              <w:ind w:left="137" w:right="56"/>
              <w:rPr>
                <w:sz w:val="22"/>
                <w:szCs w:val="22"/>
              </w:rPr>
            </w:pPr>
            <w:r w:rsidRPr="00A22D75">
              <w:rPr>
                <w:spacing w:val="1"/>
                <w:sz w:val="22"/>
                <w:szCs w:val="22"/>
              </w:rPr>
              <w:t>1</w:t>
            </w:r>
            <w:r w:rsidRPr="00A22D75">
              <w:rPr>
                <w:sz w:val="22"/>
                <w:szCs w:val="22"/>
              </w:rPr>
              <w:t>0 mg</w:t>
            </w:r>
            <w:r w:rsidRPr="00A22D75">
              <w:rPr>
                <w:spacing w:val="-3"/>
                <w:sz w:val="22"/>
                <w:szCs w:val="22"/>
              </w:rPr>
              <w:t xml:space="preserve"> </w:t>
            </w:r>
            <w:r w:rsidRPr="00A22D75">
              <w:rPr>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rosuvastatin</w:t>
            </w:r>
            <w:r w:rsidRPr="00A22D75">
              <w:rPr>
                <w:spacing w:val="-10"/>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48 %</w:t>
            </w:r>
            <w:r w:rsidRPr="00A22D75">
              <w:rPr>
                <w:position w:val="9"/>
                <w:sz w:val="22"/>
                <w:szCs w:val="22"/>
              </w:rPr>
              <w:t>║</w:t>
            </w:r>
          </w:p>
          <w:p w:rsidR="00603CB3" w:rsidRPr="00A22D75" w:rsidRDefault="00603CB3" w:rsidP="00603CB3">
            <w:pPr>
              <w:ind w:left="137" w:right="56"/>
              <w:rPr>
                <w:sz w:val="22"/>
                <w:szCs w:val="22"/>
              </w:rPr>
            </w:pPr>
            <w:r w:rsidRPr="00A22D75">
              <w:rPr>
                <w:sz w:val="22"/>
                <w:szCs w:val="22"/>
              </w:rPr>
              <w:t>rosuvastatin</w:t>
            </w:r>
            <w:r w:rsidRPr="00A22D75">
              <w:rPr>
                <w:spacing w:val="-10"/>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 xml:space="preserve">↑ </w:t>
            </w:r>
            <w:r w:rsidRPr="00A22D75">
              <w:rPr>
                <w:spacing w:val="1"/>
                <w:sz w:val="22"/>
                <w:szCs w:val="22"/>
              </w:rPr>
              <w:t xml:space="preserve">144 </w:t>
            </w:r>
            <w:r w:rsidRPr="00A22D75">
              <w:rPr>
                <w:sz w:val="22"/>
                <w:szCs w:val="22"/>
              </w:rPr>
              <w:t>%</w:t>
            </w:r>
            <w:r w:rsidRPr="00A22D75">
              <w:rPr>
                <w:position w:val="9"/>
                <w:sz w:val="22"/>
                <w:szCs w:val="22"/>
              </w:rPr>
              <w:t>║</w:t>
            </w:r>
          </w:p>
          <w:p w:rsidR="00603CB3" w:rsidRPr="00A22D75" w:rsidRDefault="00603CB3" w:rsidP="00603CB3">
            <w:pPr>
              <w:ind w:left="137" w:right="56"/>
              <w:rPr>
                <w:sz w:val="22"/>
                <w:szCs w:val="22"/>
              </w:rPr>
            </w:pPr>
            <w:r w:rsidRPr="00A22D75">
              <w:rPr>
                <w:position w:val="8"/>
                <w:sz w:val="22"/>
                <w:szCs w:val="22"/>
              </w:rPr>
              <w:t>║</w:t>
            </w:r>
            <w:r w:rsidRPr="00A22D75">
              <w:rPr>
                <w:spacing w:val="7"/>
                <w:position w:val="8"/>
                <w:sz w:val="22"/>
                <w:szCs w:val="22"/>
              </w:rPr>
              <w:t xml:space="preserve"> </w:t>
            </w:r>
            <w:r w:rsidRPr="00A22D75">
              <w:rPr>
                <w:position w:val="-1"/>
                <w:sz w:val="22"/>
                <w:szCs w:val="22"/>
              </w:rPr>
              <w:t>baseret på offentliggjort data med darunavir/ritonavir.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Hvis der er behov for administration af rosuvastatin og darunavir administreret sammen med lavdosis ritonavir, anbefales det at starte med den lavest mulige dosis af rosuvastatin og optitrere til den ønskede kliniske effekt samtidig med overvågning af sikkerhed/bivirkninger.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sz w:val="22"/>
                <w:szCs w:val="22"/>
              </w:rPr>
              <w:t>Andre lipid modificerende 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Lomitapid</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Baseret på teoretiske overvejelser, forventes boostet darunavir at øge eksponeringen af lomitapid ved co-administrering. (CYP3A 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Co-administrering er kontraindiceret (se pkt. 4.3).</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pacing w:val="1"/>
                <w:sz w:val="22"/>
                <w:szCs w:val="22"/>
              </w:rPr>
              <w:t>H</w:t>
            </w:r>
            <w:r w:rsidRPr="00A22D75">
              <w:rPr>
                <w:b/>
                <w:bCs/>
                <w:spacing w:val="1"/>
                <w:sz w:val="22"/>
                <w:szCs w:val="22"/>
                <w:vertAlign w:val="subscript"/>
              </w:rPr>
              <w:t>2</w:t>
            </w:r>
            <w:r w:rsidRPr="00A22D75">
              <w:rPr>
                <w:b/>
                <w:bCs/>
                <w:spacing w:val="1"/>
                <w:sz w:val="22"/>
                <w:szCs w:val="22"/>
              </w:rPr>
              <w:t>-</w:t>
            </w:r>
            <w:r w:rsidRPr="00A22D75">
              <w:rPr>
                <w:b/>
                <w:bCs/>
                <w:sz w:val="22"/>
                <w:szCs w:val="22"/>
              </w:rPr>
              <w:t>RECEPTORANTAGONISTER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Ranitidin</w:t>
            </w:r>
          </w:p>
          <w:p w:rsidR="00603CB3" w:rsidRPr="005B68F0" w:rsidRDefault="00603CB3" w:rsidP="00603CB3">
            <w:pPr>
              <w:ind w:left="137" w:right="56"/>
              <w:rPr>
                <w:sz w:val="22"/>
                <w:szCs w:val="22"/>
              </w:rPr>
            </w:pPr>
            <w:r w:rsidRPr="00A22D75">
              <w:rPr>
                <w:spacing w:val="1"/>
                <w:sz w:val="22"/>
                <w:szCs w:val="22"/>
              </w:rPr>
              <w:t>15</w:t>
            </w:r>
            <w:r w:rsidRPr="00A22D75">
              <w:rPr>
                <w:sz w:val="22"/>
                <w:szCs w:val="22"/>
              </w:rPr>
              <w:t>0</w:t>
            </w:r>
            <w:r w:rsidRPr="00A22D75">
              <w:rPr>
                <w:spacing w:val="-1"/>
                <w:sz w:val="22"/>
                <w:szCs w:val="22"/>
              </w:rPr>
              <w:t xml:space="preserve"> m</w:t>
            </w:r>
            <w:r w:rsidRPr="00A22D75">
              <w:rPr>
                <w:sz w:val="22"/>
                <w:szCs w:val="22"/>
              </w:rPr>
              <w:t>g</w:t>
            </w:r>
            <w:r w:rsidRPr="005B68F0">
              <w:rPr>
                <w:spacing w:val="-6"/>
                <w:sz w:val="22"/>
                <w:szCs w:val="22"/>
              </w:rPr>
              <w:t xml:space="preserve"> </w:t>
            </w:r>
            <w:r w:rsidRPr="005B68F0">
              <w:rPr>
                <w:spacing w:val="5"/>
                <w:sz w:val="22"/>
                <w:szCs w:val="22"/>
              </w:rPr>
              <w:t>to gange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w:t>
            </w:r>
            <w:r w:rsidRPr="00A22D75">
              <w:rPr>
                <w:spacing w:val="-8"/>
                <w:position w:val="-1"/>
                <w:sz w:val="22"/>
                <w:szCs w:val="22"/>
              </w:rPr>
              <w:t xml:space="preserve"> </w:t>
            </w:r>
            <w:r w:rsidRPr="00A22D75">
              <w:rPr>
                <w:position w:val="-1"/>
                <w:sz w:val="22"/>
                <w:szCs w:val="22"/>
              </w:rPr>
              <w:t>AUC</w:t>
            </w:r>
            <w:r w:rsidRPr="00A22D75">
              <w:rPr>
                <w:spacing w:val="-3"/>
                <w:position w:val="-1"/>
                <w:sz w:val="22"/>
                <w:szCs w:val="22"/>
              </w:rPr>
              <w:t xml:space="preserve"> </w:t>
            </w:r>
            <w:r w:rsidRPr="00A22D75">
              <w:rPr>
                <w:position w:val="-1"/>
                <w:sz w:val="22"/>
                <w:szCs w:val="22"/>
              </w:rPr>
              <w:t>↔</w:t>
            </w:r>
          </w:p>
          <w:p w:rsidR="00603CB3" w:rsidRPr="00A22D75" w:rsidRDefault="00603CB3" w:rsidP="00603CB3">
            <w:pPr>
              <w:tabs>
                <w:tab w:val="left" w:pos="1360"/>
              </w:tabs>
              <w:ind w:left="137" w:right="56"/>
              <w:rPr>
                <w:sz w:val="22"/>
                <w:szCs w:val="22"/>
              </w:rPr>
            </w:pPr>
            <w:r w:rsidRPr="00A22D75">
              <w:rPr>
                <w:sz w:val="22"/>
                <w:szCs w:val="22"/>
              </w:rPr>
              <w:t xml:space="preserve">darunavir </w:t>
            </w:r>
            <w:r w:rsidRPr="00A22D75">
              <w:rPr>
                <w:spacing w:val="1"/>
                <w:sz w:val="22"/>
                <w:szCs w:val="22"/>
              </w:rPr>
              <w:t>C</w:t>
            </w:r>
            <w:r w:rsidRPr="00A22D75">
              <w:rPr>
                <w:spacing w:val="1"/>
                <w:sz w:val="22"/>
                <w:szCs w:val="22"/>
                <w:vertAlign w:val="subscript"/>
              </w:rPr>
              <w:t>min</w:t>
            </w:r>
            <w:r w:rsidRPr="00A22D75">
              <w:rPr>
                <w:position w:val="-5"/>
                <w:sz w:val="22"/>
                <w:szCs w:val="22"/>
              </w:rPr>
              <w:t xml:space="preserve"> ↔</w:t>
            </w:r>
          </w:p>
          <w:p w:rsidR="00603CB3" w:rsidRPr="00A22D75" w:rsidRDefault="00603CB3" w:rsidP="00603CB3">
            <w:pPr>
              <w:tabs>
                <w:tab w:val="left" w:pos="1380"/>
              </w:tabs>
              <w:ind w:left="137" w:right="56"/>
              <w:rPr>
                <w:sz w:val="22"/>
                <w:szCs w:val="22"/>
              </w:rPr>
            </w:pPr>
            <w:r w:rsidRPr="00A22D75">
              <w:rPr>
                <w:sz w:val="22"/>
                <w:szCs w:val="22"/>
              </w:rPr>
              <w:t xml:space="preserve">darunavir </w:t>
            </w:r>
            <w:r w:rsidRPr="00A22D75">
              <w:rPr>
                <w:spacing w:val="2"/>
                <w:sz w:val="22"/>
                <w:szCs w:val="22"/>
              </w:rPr>
              <w:t>C</w:t>
            </w:r>
            <w:r w:rsidRPr="00A22D75">
              <w:rPr>
                <w:spacing w:val="2"/>
                <w:sz w:val="22"/>
                <w:szCs w:val="22"/>
                <w:vertAlign w:val="subscript"/>
              </w:rPr>
              <w:t>max</w:t>
            </w:r>
            <w:r w:rsidRPr="00A22D75">
              <w:rPr>
                <w:position w:val="-5"/>
                <w:sz w:val="22"/>
                <w:szCs w:val="22"/>
              </w:rPr>
              <w:t xml:space="preserve"> ↔</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kan administreres sammen med lavdosis ritonavir og H2-receptorantagonister uden dosisjusteringer.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IMMUNOSUPPRIMERENDE 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pacing w:val="2"/>
                <w:sz w:val="22"/>
                <w:szCs w:val="22"/>
              </w:rPr>
              <w:t>C</w:t>
            </w:r>
            <w:r w:rsidRPr="00A22D75">
              <w:rPr>
                <w:spacing w:val="-4"/>
                <w:sz w:val="22"/>
                <w:szCs w:val="22"/>
              </w:rPr>
              <w:t>i</w:t>
            </w:r>
            <w:r w:rsidRPr="00A22D75">
              <w:rPr>
                <w:spacing w:val="1"/>
                <w:sz w:val="22"/>
                <w:szCs w:val="22"/>
              </w:rPr>
              <w:t>closporin</w:t>
            </w:r>
          </w:p>
          <w:p w:rsidR="00603CB3" w:rsidRPr="00A22D75" w:rsidRDefault="00603CB3" w:rsidP="00603CB3">
            <w:pPr>
              <w:ind w:left="137" w:right="56"/>
              <w:rPr>
                <w:sz w:val="22"/>
                <w:szCs w:val="22"/>
              </w:rPr>
            </w:pPr>
            <w:r w:rsidRPr="00A22D75">
              <w:rPr>
                <w:sz w:val="22"/>
                <w:szCs w:val="22"/>
              </w:rPr>
              <w:t>Sirolimus</w:t>
            </w:r>
          </w:p>
          <w:p w:rsidR="00603CB3" w:rsidRPr="00A22D75" w:rsidRDefault="00603CB3" w:rsidP="00603CB3">
            <w:pPr>
              <w:ind w:left="137" w:right="56"/>
              <w:rPr>
                <w:sz w:val="22"/>
                <w:szCs w:val="22"/>
              </w:rPr>
            </w:pPr>
            <w:r w:rsidRPr="00A22D75">
              <w:rPr>
                <w:sz w:val="22"/>
                <w:szCs w:val="22"/>
              </w:rPr>
              <w:t>Tacrolimus</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Everolimus</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Eksponeringen for disse immunsuppressiva vil øges ved samtidig administration af darunavir og lavdosis ritonavir.</w:t>
            </w:r>
          </w:p>
          <w:p w:rsidR="00603CB3" w:rsidRPr="00A22D75" w:rsidRDefault="00603CB3" w:rsidP="00603CB3">
            <w:pPr>
              <w:ind w:left="137" w:right="56"/>
              <w:rPr>
                <w:sz w:val="22"/>
                <w:szCs w:val="22"/>
              </w:rPr>
            </w:pPr>
            <w:r w:rsidRPr="00A22D75">
              <w:rPr>
                <w:sz w:val="22"/>
                <w:szCs w:val="22"/>
              </w:rPr>
              <w:t>(CYP3A-hæmning)</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Der skal i forbindelse med co-administration foretages terapeutisk lægemiddelmonitorering af det immunsupprimerende middel.</w:t>
            </w:r>
          </w:p>
          <w:p w:rsidR="00603CB3" w:rsidRPr="00A22D75" w:rsidRDefault="00603CB3" w:rsidP="00603CB3">
            <w:pPr>
              <w:ind w:left="137" w:right="56"/>
              <w:rPr>
                <w:sz w:val="22"/>
                <w:szCs w:val="22"/>
              </w:rPr>
            </w:pPr>
          </w:p>
          <w:p w:rsidR="00603CB3" w:rsidRPr="00A22D75" w:rsidRDefault="00603CB3" w:rsidP="00603CB3">
            <w:pPr>
              <w:ind w:left="137" w:right="56"/>
              <w:rPr>
                <w:i/>
                <w:sz w:val="22"/>
                <w:szCs w:val="22"/>
              </w:rPr>
            </w:pPr>
            <w:r w:rsidRPr="00A22D75">
              <w:rPr>
                <w:sz w:val="22"/>
                <w:szCs w:val="22"/>
              </w:rPr>
              <w:t>Samtidig brug af everolimus og darunavir co-administreret med lavdosis ritonavir frarådes.</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INHALEREDE BETA-AGONISTER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Salmeterol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Samtidig anvendelse af salmeterol og darunavir administreret sammen med lavdosis ritonavir kan øge plasmakoncentrationen af salmeterol.</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Samtidig anvendelse af salmeterol og darunavir administreret sammen med lavdosis ritonavir anbefales ikke. Kombinationen kan medføre en øget risiko for kardiovaskulære bivirkninger af salmeterol inklusive QT-forlængelse, palpitationer og sinustakykardi.</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NARCOTISKE ANALGETIKA / BEHANDLING AF OPIOIDAFHÆNGIGHED</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Methadon</w:t>
            </w:r>
          </w:p>
          <w:p w:rsidR="00603CB3" w:rsidRPr="00A22D75" w:rsidRDefault="00603CB3" w:rsidP="00603CB3">
            <w:pPr>
              <w:ind w:left="137" w:right="56"/>
              <w:rPr>
                <w:sz w:val="22"/>
                <w:szCs w:val="22"/>
              </w:rPr>
            </w:pPr>
            <w:r w:rsidRPr="00A22D75">
              <w:rPr>
                <w:sz w:val="22"/>
                <w:szCs w:val="22"/>
              </w:rPr>
              <w:t>Individuel dosering fra 55</w:t>
            </w:r>
            <w:r w:rsidRPr="00A22D75">
              <w:rPr>
                <w:spacing w:val="2"/>
                <w:sz w:val="22"/>
                <w:szCs w:val="22"/>
              </w:rPr>
              <w:t xml:space="preserve"> </w:t>
            </w:r>
            <w:r w:rsidRPr="00A22D75">
              <w:rPr>
                <w:sz w:val="22"/>
                <w:szCs w:val="22"/>
              </w:rPr>
              <w:t>mg</w:t>
            </w:r>
            <w:r w:rsidRPr="00A22D75">
              <w:rPr>
                <w:spacing w:val="-3"/>
                <w:sz w:val="22"/>
                <w:szCs w:val="22"/>
              </w:rPr>
              <w:t xml:space="preserve"> </w:t>
            </w:r>
            <w:r w:rsidRPr="00A22D75">
              <w:rPr>
                <w:sz w:val="22"/>
                <w:szCs w:val="22"/>
              </w:rPr>
              <w:t>til</w:t>
            </w:r>
            <w:r w:rsidRPr="00A22D75">
              <w:rPr>
                <w:spacing w:val="-2"/>
                <w:sz w:val="22"/>
                <w:szCs w:val="22"/>
              </w:rPr>
              <w:t xml:space="preserve"> </w:t>
            </w:r>
            <w:r w:rsidRPr="00A22D75">
              <w:rPr>
                <w:sz w:val="22"/>
                <w:szCs w:val="22"/>
              </w:rPr>
              <w:t>150</w:t>
            </w:r>
            <w:r w:rsidRPr="00A22D75">
              <w:rPr>
                <w:spacing w:val="-1"/>
                <w:sz w:val="22"/>
                <w:szCs w:val="22"/>
              </w:rPr>
              <w:t xml:space="preserve"> </w:t>
            </w:r>
            <w:r w:rsidRPr="00A22D75">
              <w:rPr>
                <w:spacing w:val="-2"/>
                <w:sz w:val="22"/>
                <w:szCs w:val="22"/>
              </w:rPr>
              <w:t>mg 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lang w:val="en-US"/>
              </w:rPr>
            </w:pPr>
            <w:proofErr w:type="gramStart"/>
            <w:r w:rsidRPr="00A22D75">
              <w:rPr>
                <w:spacing w:val="-1"/>
                <w:sz w:val="22"/>
                <w:szCs w:val="22"/>
                <w:lang w:val="en-US"/>
              </w:rPr>
              <w:t>R</w:t>
            </w:r>
            <w:r w:rsidRPr="00A22D75">
              <w:rPr>
                <w:spacing w:val="1"/>
                <w:sz w:val="22"/>
                <w:szCs w:val="22"/>
                <w:lang w:val="en-US"/>
              </w:rPr>
              <w:t>(</w:t>
            </w:r>
            <w:proofErr w:type="gramEnd"/>
            <w:r w:rsidRPr="00A22D75">
              <w:rPr>
                <w:spacing w:val="-2"/>
                <w:sz w:val="22"/>
                <w:szCs w:val="22"/>
                <w:lang w:val="en-US"/>
              </w:rPr>
              <w:t>-</w:t>
            </w:r>
            <w:r w:rsidRPr="00A22D75">
              <w:rPr>
                <w:sz w:val="22"/>
                <w:szCs w:val="22"/>
                <w:lang w:val="en-US"/>
              </w:rPr>
              <w:t>)</w:t>
            </w:r>
            <w:r w:rsidRPr="00A22D75">
              <w:rPr>
                <w:spacing w:val="1"/>
                <w:sz w:val="22"/>
                <w:szCs w:val="22"/>
                <w:lang w:val="en-US"/>
              </w:rPr>
              <w:t xml:space="preserve"> </w:t>
            </w:r>
            <w:r w:rsidRPr="00A22D75">
              <w:rPr>
                <w:spacing w:val="-4"/>
                <w:sz w:val="22"/>
                <w:szCs w:val="22"/>
                <w:lang w:val="en-US"/>
              </w:rPr>
              <w:t>m</w:t>
            </w:r>
            <w:r w:rsidRPr="00A22D75">
              <w:rPr>
                <w:spacing w:val="3"/>
                <w:sz w:val="22"/>
                <w:szCs w:val="22"/>
                <w:lang w:val="en-US"/>
              </w:rPr>
              <w:t>e</w:t>
            </w:r>
            <w:r w:rsidRPr="00A22D75">
              <w:rPr>
                <w:sz w:val="22"/>
                <w:szCs w:val="22"/>
                <w:lang w:val="en-US"/>
              </w:rPr>
              <w:t>thadon</w:t>
            </w:r>
            <w:r w:rsidRPr="00A22D75">
              <w:rPr>
                <w:spacing w:val="-6"/>
                <w:sz w:val="22"/>
                <w:szCs w:val="22"/>
                <w:lang w:val="en-US"/>
              </w:rPr>
              <w:t xml:space="preserve"> </w:t>
            </w:r>
            <w:r w:rsidRPr="00A22D75">
              <w:rPr>
                <w:sz w:val="22"/>
                <w:szCs w:val="22"/>
                <w:lang w:val="en-US"/>
              </w:rPr>
              <w:t>AUC</w:t>
            </w:r>
            <w:r w:rsidRPr="00A22D75">
              <w:rPr>
                <w:spacing w:val="-1"/>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16 %</w:t>
            </w:r>
          </w:p>
          <w:p w:rsidR="00603CB3" w:rsidRPr="00A22D75" w:rsidRDefault="00603CB3" w:rsidP="00603CB3">
            <w:pPr>
              <w:ind w:left="137" w:right="56"/>
              <w:rPr>
                <w:sz w:val="22"/>
                <w:szCs w:val="22"/>
                <w:lang w:val="en-US"/>
              </w:rPr>
            </w:pPr>
            <w:proofErr w:type="gramStart"/>
            <w:r w:rsidRPr="00A22D75">
              <w:rPr>
                <w:spacing w:val="-1"/>
                <w:sz w:val="22"/>
                <w:szCs w:val="22"/>
                <w:lang w:val="en-US"/>
              </w:rPr>
              <w:t>R</w:t>
            </w:r>
            <w:r w:rsidRPr="00A22D75">
              <w:rPr>
                <w:spacing w:val="1"/>
                <w:sz w:val="22"/>
                <w:szCs w:val="22"/>
                <w:lang w:val="en-US"/>
              </w:rPr>
              <w:t>(</w:t>
            </w:r>
            <w:proofErr w:type="gramEnd"/>
            <w:r w:rsidRPr="00A22D75">
              <w:rPr>
                <w:spacing w:val="-2"/>
                <w:sz w:val="22"/>
                <w:szCs w:val="22"/>
                <w:lang w:val="en-US"/>
              </w:rPr>
              <w:t>-</w:t>
            </w:r>
            <w:r w:rsidRPr="00A22D75">
              <w:rPr>
                <w:sz w:val="22"/>
                <w:szCs w:val="22"/>
                <w:lang w:val="en-US"/>
              </w:rPr>
              <w:t>)</w:t>
            </w:r>
            <w:r w:rsidRPr="00A22D75">
              <w:rPr>
                <w:spacing w:val="1"/>
                <w:sz w:val="22"/>
                <w:szCs w:val="22"/>
                <w:lang w:val="en-US"/>
              </w:rPr>
              <w:t xml:space="preserve"> </w:t>
            </w:r>
            <w:r w:rsidRPr="00A22D75">
              <w:rPr>
                <w:spacing w:val="-4"/>
                <w:sz w:val="22"/>
                <w:szCs w:val="22"/>
                <w:lang w:val="en-US"/>
              </w:rPr>
              <w:t>m</w:t>
            </w:r>
            <w:r w:rsidRPr="00A22D75">
              <w:rPr>
                <w:spacing w:val="3"/>
                <w:sz w:val="22"/>
                <w:szCs w:val="22"/>
                <w:lang w:val="en-US"/>
              </w:rPr>
              <w:t>e</w:t>
            </w:r>
            <w:r w:rsidRPr="00A22D75">
              <w:rPr>
                <w:sz w:val="22"/>
                <w:szCs w:val="22"/>
                <w:lang w:val="en-US"/>
              </w:rPr>
              <w:t>thadon</w:t>
            </w:r>
            <w:r w:rsidRPr="00A22D75">
              <w:rPr>
                <w:spacing w:val="-6"/>
                <w:sz w:val="22"/>
                <w:szCs w:val="22"/>
                <w:lang w:val="en-US"/>
              </w:rPr>
              <w:t xml:space="preserve"> </w:t>
            </w:r>
            <w:r w:rsidRPr="00A22D75">
              <w:rPr>
                <w:spacing w:val="1"/>
                <w:sz w:val="22"/>
                <w:szCs w:val="22"/>
                <w:lang w:val="en-US"/>
              </w:rPr>
              <w:t>C</w:t>
            </w:r>
            <w:r w:rsidRPr="00A22D75">
              <w:rPr>
                <w:spacing w:val="1"/>
                <w:sz w:val="22"/>
                <w:szCs w:val="22"/>
                <w:vertAlign w:val="subscript"/>
                <w:lang w:val="en-US"/>
              </w:rPr>
              <w:t>min</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 xml:space="preserve">15 % </w:t>
            </w:r>
          </w:p>
          <w:p w:rsidR="00603CB3" w:rsidRPr="00A22D75" w:rsidRDefault="00603CB3" w:rsidP="00603CB3">
            <w:pPr>
              <w:tabs>
                <w:tab w:val="left" w:pos="3498"/>
                <w:tab w:val="left" w:pos="3639"/>
              </w:tabs>
              <w:ind w:left="137" w:right="56"/>
              <w:rPr>
                <w:sz w:val="22"/>
                <w:szCs w:val="22"/>
                <w:lang w:val="en-US"/>
              </w:rPr>
            </w:pPr>
            <w:proofErr w:type="gramStart"/>
            <w:r w:rsidRPr="00A22D75">
              <w:rPr>
                <w:spacing w:val="-1"/>
                <w:sz w:val="22"/>
                <w:szCs w:val="22"/>
                <w:lang w:val="en-US"/>
              </w:rPr>
              <w:t>R</w:t>
            </w:r>
            <w:r w:rsidRPr="00A22D75">
              <w:rPr>
                <w:spacing w:val="1"/>
                <w:sz w:val="22"/>
                <w:szCs w:val="22"/>
                <w:lang w:val="en-US"/>
              </w:rPr>
              <w:t>(</w:t>
            </w:r>
            <w:proofErr w:type="gramEnd"/>
            <w:r w:rsidRPr="00A22D75">
              <w:rPr>
                <w:spacing w:val="-2"/>
                <w:sz w:val="22"/>
                <w:szCs w:val="22"/>
                <w:lang w:val="en-US"/>
              </w:rPr>
              <w:t>-</w:t>
            </w:r>
            <w:r w:rsidRPr="00A22D75">
              <w:rPr>
                <w:sz w:val="22"/>
                <w:szCs w:val="22"/>
                <w:lang w:val="en-US"/>
              </w:rPr>
              <w:t>)</w:t>
            </w:r>
            <w:r w:rsidRPr="00A22D75">
              <w:rPr>
                <w:spacing w:val="1"/>
                <w:sz w:val="22"/>
                <w:szCs w:val="22"/>
                <w:lang w:val="en-US"/>
              </w:rPr>
              <w:t xml:space="preserve"> </w:t>
            </w:r>
            <w:r w:rsidRPr="00A22D75">
              <w:rPr>
                <w:spacing w:val="-4"/>
                <w:sz w:val="22"/>
                <w:szCs w:val="22"/>
                <w:lang w:val="en-US"/>
              </w:rPr>
              <w:t>m</w:t>
            </w:r>
            <w:r w:rsidRPr="00A22D75">
              <w:rPr>
                <w:spacing w:val="3"/>
                <w:sz w:val="22"/>
                <w:szCs w:val="22"/>
                <w:lang w:val="en-US"/>
              </w:rPr>
              <w:t>e</w:t>
            </w:r>
            <w:r w:rsidRPr="00A22D75">
              <w:rPr>
                <w:sz w:val="22"/>
                <w:szCs w:val="22"/>
                <w:lang w:val="en-US"/>
              </w:rPr>
              <w:t>thadon</w:t>
            </w:r>
            <w:r w:rsidRPr="00A22D75">
              <w:rPr>
                <w:spacing w:val="-6"/>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7"/>
                <w:position w:val="-3"/>
                <w:sz w:val="22"/>
                <w:szCs w:val="22"/>
                <w:lang w:val="en-US"/>
              </w:rPr>
              <w:t xml:space="preserve"> </w:t>
            </w:r>
            <w:r w:rsidRPr="00A22D75">
              <w:rPr>
                <w:sz w:val="22"/>
                <w:szCs w:val="22"/>
                <w:lang w:val="en-US"/>
              </w:rPr>
              <w:t>↓</w:t>
            </w:r>
            <w:r w:rsidRPr="00A22D75">
              <w:rPr>
                <w:spacing w:val="-1"/>
                <w:sz w:val="22"/>
                <w:szCs w:val="22"/>
                <w:lang w:val="en-US"/>
              </w:rPr>
              <w:t xml:space="preserve"> </w:t>
            </w:r>
            <w:r w:rsidRPr="00A22D75">
              <w:rPr>
                <w:sz w:val="22"/>
                <w:szCs w:val="22"/>
                <w:lang w:val="en-US"/>
              </w:rPr>
              <w:t>24 %</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Det er ikke nødvendigt at justere methadondosis, når der påbegyndes behandling med darunavir/ritonavir. Dog kan det være nødvendigt at øge methadondosis ved samtidig </w:t>
            </w:r>
            <w:r w:rsidRPr="00A22D75">
              <w:rPr>
                <w:sz w:val="22"/>
                <w:szCs w:val="22"/>
              </w:rPr>
              <w:lastRenderedPageBreak/>
              <w:t>administration over en længere periode på grund af ritonavirs induktion af metabolisme. Derfor anbefales klinisk monitorering, da justering af vedligeholdelsesbehandling kan være nødvendig hos nogle patienter.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Buprenorphin/naloxon</w:t>
            </w:r>
          </w:p>
          <w:p w:rsidR="00603CB3" w:rsidRPr="00A22D75" w:rsidRDefault="00603CB3" w:rsidP="00603CB3">
            <w:pPr>
              <w:ind w:left="137" w:right="56"/>
              <w:rPr>
                <w:sz w:val="22"/>
                <w:szCs w:val="22"/>
              </w:rPr>
            </w:pPr>
            <w:r w:rsidRPr="00A22D75">
              <w:rPr>
                <w:spacing w:val="1"/>
                <w:sz w:val="22"/>
                <w:szCs w:val="22"/>
              </w:rPr>
              <w:t>8/</w:t>
            </w:r>
            <w:r w:rsidRPr="00A22D75">
              <w:rPr>
                <w:sz w:val="22"/>
                <w:szCs w:val="22"/>
              </w:rPr>
              <w:t>2</w:t>
            </w:r>
            <w:r w:rsidRPr="00A22D75">
              <w:rPr>
                <w:spacing w:val="-1"/>
                <w:sz w:val="22"/>
                <w:szCs w:val="22"/>
              </w:rPr>
              <w:t xml:space="preserve"> mg</w:t>
            </w:r>
            <w:r w:rsidRPr="005B68F0">
              <w:rPr>
                <w:spacing w:val="1"/>
                <w:sz w:val="22"/>
                <w:szCs w:val="22"/>
              </w:rPr>
              <w:t>-16/</w:t>
            </w:r>
            <w:r w:rsidRPr="00B52AAE">
              <w:rPr>
                <w:sz w:val="22"/>
                <w:szCs w:val="22"/>
              </w:rPr>
              <w:t>4</w:t>
            </w:r>
            <w:r w:rsidRPr="00E84C44">
              <w:rPr>
                <w:spacing w:val="-5"/>
                <w:sz w:val="22"/>
                <w:szCs w:val="22"/>
              </w:rPr>
              <w:t xml:space="preserve"> </w:t>
            </w:r>
            <w:r w:rsidRPr="00C81619">
              <w:rPr>
                <w:sz w:val="22"/>
                <w:szCs w:val="22"/>
              </w:rPr>
              <w:t>mg 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buprenorphin</w:t>
            </w:r>
            <w:r w:rsidRPr="00A22D75">
              <w:rPr>
                <w:spacing w:val="-12"/>
                <w:sz w:val="22"/>
                <w:szCs w:val="22"/>
              </w:rPr>
              <w:t xml:space="preserve"> </w:t>
            </w:r>
            <w:r w:rsidRPr="00A22D75">
              <w:rPr>
                <w:sz w:val="22"/>
                <w:szCs w:val="22"/>
              </w:rPr>
              <w:t>AUC</w:t>
            </w:r>
            <w:r w:rsidRPr="00A22D75">
              <w:rPr>
                <w:spacing w:val="-1"/>
                <w:sz w:val="22"/>
                <w:szCs w:val="22"/>
              </w:rPr>
              <w:t xml:space="preserve"> </w:t>
            </w:r>
            <w:r w:rsidRPr="00A22D75">
              <w:rPr>
                <w:sz w:val="22"/>
                <w:szCs w:val="22"/>
              </w:rPr>
              <w:t>↓</w:t>
            </w:r>
            <w:r w:rsidRPr="00A22D75">
              <w:rPr>
                <w:spacing w:val="-1"/>
                <w:sz w:val="22"/>
                <w:szCs w:val="22"/>
              </w:rPr>
              <w:t xml:space="preserve"> </w:t>
            </w:r>
            <w:r w:rsidRPr="00A22D75">
              <w:rPr>
                <w:sz w:val="22"/>
                <w:szCs w:val="22"/>
              </w:rPr>
              <w:t>11 %</w:t>
            </w:r>
          </w:p>
          <w:p w:rsidR="00603CB3" w:rsidRPr="00A22D75" w:rsidRDefault="00603CB3" w:rsidP="00603CB3">
            <w:pPr>
              <w:ind w:left="137" w:right="56"/>
              <w:rPr>
                <w:sz w:val="22"/>
                <w:szCs w:val="22"/>
              </w:rPr>
            </w:pPr>
            <w:r w:rsidRPr="00A22D75">
              <w:rPr>
                <w:spacing w:val="1"/>
                <w:sz w:val="22"/>
                <w:szCs w:val="22"/>
              </w:rPr>
              <w:t>b</w:t>
            </w:r>
            <w:r w:rsidRPr="00A22D75">
              <w:rPr>
                <w:spacing w:val="-1"/>
                <w:sz w:val="22"/>
                <w:szCs w:val="22"/>
              </w:rPr>
              <w:t>u</w:t>
            </w:r>
            <w:r w:rsidRPr="00A22D75">
              <w:rPr>
                <w:sz w:val="22"/>
                <w:szCs w:val="22"/>
              </w:rPr>
              <w:t>prenorphin</w:t>
            </w:r>
            <w:r w:rsidRPr="00A22D75">
              <w:rPr>
                <w:spacing w:val="-11"/>
                <w:sz w:val="22"/>
                <w:szCs w:val="22"/>
              </w:rPr>
              <w:t xml:space="preserve"> </w:t>
            </w:r>
            <w:r w:rsidRPr="00A22D75">
              <w:rPr>
                <w:spacing w:val="1"/>
                <w:sz w:val="22"/>
                <w:szCs w:val="22"/>
              </w:rPr>
              <w:t>C</w:t>
            </w:r>
            <w:r w:rsidRPr="00A22D75">
              <w:rPr>
                <w:spacing w:val="1"/>
                <w:sz w:val="22"/>
                <w:szCs w:val="22"/>
                <w:vertAlign w:val="subscript"/>
              </w:rPr>
              <w:t>min</w:t>
            </w:r>
            <w:r w:rsidRPr="00A22D75">
              <w:rPr>
                <w:spacing w:val="14"/>
                <w:position w:val="-3"/>
                <w:sz w:val="22"/>
                <w:szCs w:val="22"/>
              </w:rPr>
              <w:t xml:space="preserve"> </w:t>
            </w:r>
            <w:r w:rsidRPr="00A22D75">
              <w:rPr>
                <w:sz w:val="22"/>
                <w:szCs w:val="22"/>
              </w:rPr>
              <w:t xml:space="preserve">↔ </w:t>
            </w:r>
          </w:p>
          <w:p w:rsidR="00603CB3" w:rsidRPr="00A22D75" w:rsidRDefault="00603CB3" w:rsidP="00603CB3">
            <w:pPr>
              <w:ind w:left="137" w:right="56"/>
              <w:rPr>
                <w:spacing w:val="-1"/>
                <w:sz w:val="22"/>
                <w:szCs w:val="22"/>
              </w:rPr>
            </w:pPr>
            <w:r w:rsidRPr="00A22D75">
              <w:rPr>
                <w:sz w:val="22"/>
                <w:szCs w:val="22"/>
              </w:rPr>
              <w:t>buprenorphin</w:t>
            </w:r>
            <w:r w:rsidRPr="00A22D75">
              <w:rPr>
                <w:spacing w:val="-11"/>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w:t>
            </w:r>
            <w:r w:rsidRPr="00A22D75">
              <w:rPr>
                <w:spacing w:val="-2"/>
                <w:sz w:val="22"/>
                <w:szCs w:val="22"/>
              </w:rPr>
              <w:t xml:space="preserve"> </w:t>
            </w:r>
            <w:r w:rsidRPr="00A22D75">
              <w:rPr>
                <w:spacing w:val="-1"/>
                <w:sz w:val="22"/>
                <w:szCs w:val="22"/>
              </w:rPr>
              <w:t xml:space="preserve">8 % </w:t>
            </w:r>
          </w:p>
          <w:p w:rsidR="00603CB3" w:rsidRPr="00A22D75" w:rsidRDefault="00603CB3" w:rsidP="00603CB3">
            <w:pPr>
              <w:ind w:left="137" w:right="56"/>
              <w:rPr>
                <w:sz w:val="22"/>
                <w:szCs w:val="22"/>
              </w:rPr>
            </w:pPr>
            <w:r w:rsidRPr="00A22D75">
              <w:rPr>
                <w:sz w:val="22"/>
                <w:szCs w:val="22"/>
              </w:rPr>
              <w:t>norbuprenorphin</w:t>
            </w:r>
            <w:r w:rsidRPr="00A22D75">
              <w:rPr>
                <w:spacing w:val="-14"/>
                <w:sz w:val="22"/>
                <w:szCs w:val="22"/>
              </w:rPr>
              <w:t xml:space="preserve"> </w:t>
            </w:r>
            <w:r w:rsidRPr="00A22D75">
              <w:rPr>
                <w:sz w:val="22"/>
                <w:szCs w:val="22"/>
              </w:rPr>
              <w:t>AUC</w:t>
            </w:r>
            <w:r w:rsidRPr="00A22D75">
              <w:rPr>
                <w:spacing w:val="-1"/>
                <w:sz w:val="22"/>
                <w:szCs w:val="22"/>
              </w:rPr>
              <w:t xml:space="preserve"> </w:t>
            </w:r>
            <w:r w:rsidRPr="00A22D75">
              <w:rPr>
                <w:sz w:val="22"/>
                <w:szCs w:val="22"/>
              </w:rPr>
              <w:t xml:space="preserve">↑ 46 % </w:t>
            </w:r>
          </w:p>
          <w:p w:rsidR="00603CB3" w:rsidRPr="00A22D75" w:rsidRDefault="00603CB3" w:rsidP="00603CB3">
            <w:pPr>
              <w:ind w:left="137" w:right="56"/>
              <w:rPr>
                <w:spacing w:val="1"/>
                <w:sz w:val="22"/>
                <w:szCs w:val="22"/>
              </w:rPr>
            </w:pPr>
            <w:r w:rsidRPr="00A22D75">
              <w:rPr>
                <w:sz w:val="22"/>
                <w:szCs w:val="22"/>
              </w:rPr>
              <w:t>norbuprenorphin</w:t>
            </w:r>
            <w:r w:rsidRPr="00A22D75">
              <w:rPr>
                <w:spacing w:val="-11"/>
                <w:sz w:val="22"/>
                <w:szCs w:val="22"/>
              </w:rPr>
              <w:t xml:space="preserve"> </w:t>
            </w:r>
            <w:r w:rsidRPr="00A22D75">
              <w:rPr>
                <w:spacing w:val="1"/>
                <w:sz w:val="22"/>
                <w:szCs w:val="22"/>
              </w:rPr>
              <w:t>C</w:t>
            </w:r>
            <w:r w:rsidRPr="00A22D75">
              <w:rPr>
                <w:spacing w:val="1"/>
                <w:sz w:val="22"/>
                <w:szCs w:val="22"/>
                <w:vertAlign w:val="subscript"/>
              </w:rPr>
              <w:t>min</w:t>
            </w:r>
            <w:r w:rsidRPr="00A22D75">
              <w:rPr>
                <w:position w:val="-3"/>
                <w:sz w:val="22"/>
                <w:szCs w:val="22"/>
              </w:rPr>
              <w:t xml:space="preserve"> </w:t>
            </w:r>
            <w:r w:rsidRPr="00A22D75">
              <w:rPr>
                <w:sz w:val="22"/>
                <w:szCs w:val="22"/>
              </w:rPr>
              <w:t>↑</w:t>
            </w:r>
            <w:r w:rsidRPr="00A22D75">
              <w:rPr>
                <w:spacing w:val="-4"/>
                <w:sz w:val="22"/>
                <w:szCs w:val="22"/>
              </w:rPr>
              <w:t xml:space="preserve"> </w:t>
            </w:r>
            <w:r w:rsidRPr="00A22D75">
              <w:rPr>
                <w:spacing w:val="1"/>
                <w:sz w:val="22"/>
                <w:szCs w:val="22"/>
              </w:rPr>
              <w:t xml:space="preserve">71 % </w:t>
            </w:r>
          </w:p>
          <w:p w:rsidR="00603CB3" w:rsidRPr="00A22D75" w:rsidRDefault="00603CB3" w:rsidP="00603CB3">
            <w:pPr>
              <w:ind w:left="137" w:right="56"/>
              <w:rPr>
                <w:spacing w:val="1"/>
                <w:sz w:val="22"/>
                <w:szCs w:val="22"/>
              </w:rPr>
            </w:pPr>
            <w:r w:rsidRPr="00A22D75">
              <w:rPr>
                <w:sz w:val="22"/>
                <w:szCs w:val="22"/>
              </w:rPr>
              <w:t>norbuprenorphin</w:t>
            </w:r>
            <w:r w:rsidRPr="00A22D75">
              <w:rPr>
                <w:spacing w:val="-11"/>
                <w:sz w:val="22"/>
                <w:szCs w:val="22"/>
              </w:rPr>
              <w:t xml:space="preserve"> </w:t>
            </w:r>
            <w:r w:rsidRPr="00A22D75">
              <w:rPr>
                <w:spacing w:val="2"/>
                <w:sz w:val="22"/>
                <w:szCs w:val="22"/>
              </w:rPr>
              <w:t>C</w:t>
            </w:r>
            <w:r w:rsidRPr="00A22D75">
              <w:rPr>
                <w:spacing w:val="2"/>
                <w:sz w:val="22"/>
                <w:szCs w:val="22"/>
                <w:vertAlign w:val="subscript"/>
              </w:rPr>
              <w:t>max</w:t>
            </w:r>
            <w:r w:rsidRPr="00A22D75">
              <w:rPr>
                <w:spacing w:val="17"/>
                <w:position w:val="-3"/>
                <w:sz w:val="22"/>
                <w:szCs w:val="22"/>
              </w:rPr>
              <w:t xml:space="preserve"> </w:t>
            </w:r>
            <w:r w:rsidRPr="00A22D75">
              <w:rPr>
                <w:sz w:val="22"/>
                <w:szCs w:val="22"/>
              </w:rPr>
              <w:t>↑</w:t>
            </w:r>
            <w:r w:rsidRPr="00A22D75">
              <w:rPr>
                <w:spacing w:val="-4"/>
                <w:sz w:val="22"/>
                <w:szCs w:val="22"/>
              </w:rPr>
              <w:t xml:space="preserve"> </w:t>
            </w:r>
            <w:r w:rsidRPr="00A22D75">
              <w:rPr>
                <w:spacing w:val="1"/>
                <w:sz w:val="22"/>
                <w:szCs w:val="22"/>
              </w:rPr>
              <w:t xml:space="preserve">36 % </w:t>
            </w:r>
          </w:p>
          <w:p w:rsidR="00603CB3" w:rsidRPr="00A22D75" w:rsidRDefault="00603CB3" w:rsidP="00603CB3">
            <w:pPr>
              <w:ind w:left="137" w:right="56"/>
              <w:rPr>
                <w:sz w:val="22"/>
                <w:szCs w:val="22"/>
              </w:rPr>
            </w:pPr>
            <w:r w:rsidRPr="00A22D75">
              <w:rPr>
                <w:sz w:val="22"/>
                <w:szCs w:val="22"/>
              </w:rPr>
              <w:t>naloxon</w:t>
            </w:r>
            <w:r w:rsidRPr="00A22D75">
              <w:rPr>
                <w:spacing w:val="-7"/>
                <w:sz w:val="22"/>
                <w:szCs w:val="22"/>
              </w:rPr>
              <w:t xml:space="preserve"> </w:t>
            </w:r>
            <w:r w:rsidRPr="00A22D75">
              <w:rPr>
                <w:sz w:val="22"/>
                <w:szCs w:val="22"/>
              </w:rPr>
              <w:t>AUC</w:t>
            </w:r>
            <w:r w:rsidRPr="00A22D75">
              <w:rPr>
                <w:spacing w:val="-3"/>
                <w:sz w:val="22"/>
                <w:szCs w:val="22"/>
              </w:rPr>
              <w:t xml:space="preserve"> </w:t>
            </w:r>
            <w:r w:rsidRPr="00A22D75">
              <w:rPr>
                <w:sz w:val="22"/>
                <w:szCs w:val="22"/>
              </w:rPr>
              <w:t>↔</w:t>
            </w:r>
          </w:p>
          <w:p w:rsidR="00603CB3" w:rsidRPr="00A22D75" w:rsidRDefault="00603CB3" w:rsidP="00603CB3">
            <w:pPr>
              <w:ind w:left="137" w:right="56"/>
              <w:rPr>
                <w:sz w:val="22"/>
                <w:szCs w:val="22"/>
              </w:rPr>
            </w:pPr>
            <w:r w:rsidRPr="00A22D75">
              <w:rPr>
                <w:sz w:val="22"/>
                <w:szCs w:val="22"/>
              </w:rPr>
              <w:t>naloxon</w:t>
            </w:r>
            <w:r w:rsidRPr="00A22D75">
              <w:rPr>
                <w:spacing w:val="-7"/>
                <w:sz w:val="22"/>
                <w:szCs w:val="22"/>
              </w:rPr>
              <w:t xml:space="preserve"> </w:t>
            </w:r>
            <w:r w:rsidRPr="00A22D75">
              <w:rPr>
                <w:spacing w:val="1"/>
                <w:sz w:val="22"/>
                <w:szCs w:val="22"/>
              </w:rPr>
              <w:t>C</w:t>
            </w:r>
            <w:r w:rsidRPr="00A22D75">
              <w:rPr>
                <w:spacing w:val="1"/>
                <w:sz w:val="22"/>
                <w:szCs w:val="22"/>
                <w:vertAlign w:val="subscript"/>
              </w:rPr>
              <w:t>min</w:t>
            </w:r>
            <w:r w:rsidRPr="00A22D75">
              <w:rPr>
                <w:spacing w:val="14"/>
                <w:position w:val="-3"/>
                <w:sz w:val="22"/>
                <w:szCs w:val="22"/>
              </w:rPr>
              <w:t xml:space="preserve"> </w:t>
            </w:r>
            <w:r w:rsidRPr="00A22D75">
              <w:rPr>
                <w:sz w:val="22"/>
                <w:szCs w:val="22"/>
              </w:rPr>
              <w:t>ND</w:t>
            </w:r>
          </w:p>
          <w:p w:rsidR="00603CB3" w:rsidRPr="00A22D75" w:rsidRDefault="00603CB3" w:rsidP="00603CB3">
            <w:pPr>
              <w:ind w:left="137" w:right="56"/>
              <w:rPr>
                <w:sz w:val="22"/>
                <w:szCs w:val="22"/>
              </w:rPr>
            </w:pPr>
            <w:r w:rsidRPr="00A22D75">
              <w:rPr>
                <w:position w:val="1"/>
                <w:sz w:val="22"/>
                <w:szCs w:val="22"/>
              </w:rPr>
              <w:t>naloxon</w:t>
            </w:r>
            <w:r w:rsidRPr="00A22D75">
              <w:rPr>
                <w:spacing w:val="-7"/>
                <w:position w:val="1"/>
                <w:sz w:val="22"/>
                <w:szCs w:val="22"/>
              </w:rPr>
              <w:t xml:space="preserve"> </w:t>
            </w:r>
            <w:r w:rsidRPr="00A22D75">
              <w:rPr>
                <w:spacing w:val="2"/>
                <w:sz w:val="22"/>
                <w:szCs w:val="22"/>
              </w:rPr>
              <w:t>C</w:t>
            </w:r>
            <w:r w:rsidRPr="00A22D75">
              <w:rPr>
                <w:spacing w:val="2"/>
                <w:sz w:val="22"/>
                <w:szCs w:val="22"/>
                <w:vertAlign w:val="subscript"/>
              </w:rPr>
              <w:t>max</w:t>
            </w:r>
            <w:r w:rsidRPr="00A22D75">
              <w:rPr>
                <w:spacing w:val="14"/>
                <w:position w:val="-2"/>
                <w:sz w:val="22"/>
                <w:szCs w:val="22"/>
              </w:rPr>
              <w:t xml:space="preserve"> </w:t>
            </w:r>
            <w:r w:rsidRPr="00A22D75">
              <w:rPr>
                <w:position w:val="1"/>
                <w:sz w:val="22"/>
                <w:szCs w:val="22"/>
              </w:rPr>
              <w:t>↔</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Den kliniske relevans af stigningen i norbuprenorphins farmakokinetiske parametre er ikke fastlagt. Dosisjustering af buprenorphin er måske ikke nødvendig ved administration sammen med darunavir/ritonavir, men en omhyggelig klinisk monitorering for tegn på opioidtoksicitet anbefales.</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Fentanyl</w:t>
            </w:r>
          </w:p>
          <w:p w:rsidR="00603CB3" w:rsidRPr="00A22D75" w:rsidRDefault="00603CB3" w:rsidP="00603CB3">
            <w:pPr>
              <w:ind w:left="137" w:right="56"/>
              <w:rPr>
                <w:sz w:val="22"/>
                <w:szCs w:val="22"/>
              </w:rPr>
            </w:pPr>
            <w:r w:rsidRPr="00A22D75">
              <w:rPr>
                <w:sz w:val="22"/>
                <w:szCs w:val="22"/>
              </w:rPr>
              <w:t>Oxycodon</w:t>
            </w:r>
          </w:p>
          <w:p w:rsidR="00603CB3" w:rsidRPr="00A22D75" w:rsidRDefault="00603CB3" w:rsidP="00603CB3">
            <w:pPr>
              <w:ind w:left="137" w:right="56"/>
              <w:rPr>
                <w:sz w:val="22"/>
                <w:szCs w:val="22"/>
              </w:rPr>
            </w:pPr>
            <w:r w:rsidRPr="00A22D75">
              <w:rPr>
                <w:sz w:val="22"/>
                <w:szCs w:val="22"/>
              </w:rPr>
              <w:t>Tramadol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Baseret på teoretiske overvejelser, kan boostet darunavir øge plasmakoncentrationen af disse analgetika. </w:t>
            </w:r>
          </w:p>
          <w:p w:rsidR="00603CB3" w:rsidRPr="00A22D75" w:rsidRDefault="00603CB3" w:rsidP="00603CB3">
            <w:pPr>
              <w:ind w:left="137" w:right="56"/>
              <w:rPr>
                <w:sz w:val="22"/>
                <w:szCs w:val="22"/>
              </w:rPr>
            </w:pPr>
            <w:r w:rsidRPr="00A22D75">
              <w:rPr>
                <w:sz w:val="22"/>
                <w:szCs w:val="22"/>
              </w:rPr>
              <w:t>(CYP2D6 og/eller CYP3A 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Klinisk monitorering anbefales ved c</w:t>
            </w:r>
            <w:r w:rsidRPr="005B68F0">
              <w:rPr>
                <w:sz w:val="22"/>
                <w:szCs w:val="22"/>
              </w:rPr>
              <w:t xml:space="preserve">o-administrering af </w:t>
            </w:r>
            <w:r w:rsidRPr="00B52AAE">
              <w:rPr>
                <w:sz w:val="22"/>
                <w:szCs w:val="22"/>
              </w:rPr>
              <w:t xml:space="preserve">boostet </w:t>
            </w:r>
            <w:r w:rsidRPr="00A22D75">
              <w:rPr>
                <w:sz w:val="22"/>
                <w:szCs w:val="22"/>
              </w:rPr>
              <w:t>darunavir med disse analgetika.</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ØSTROGENBASERET PRÆVENTION</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Drospirenon</w:t>
            </w:r>
          </w:p>
          <w:p w:rsidR="00603CB3" w:rsidRPr="00A22D75" w:rsidRDefault="00603CB3" w:rsidP="00603CB3">
            <w:pPr>
              <w:ind w:left="137" w:right="56"/>
              <w:rPr>
                <w:sz w:val="22"/>
                <w:szCs w:val="22"/>
              </w:rPr>
            </w:pPr>
            <w:r w:rsidRPr="00A22D75">
              <w:rPr>
                <w:sz w:val="22"/>
                <w:szCs w:val="22"/>
              </w:rPr>
              <w:t>Ethinylestradiol</w:t>
            </w:r>
          </w:p>
          <w:p w:rsidR="00603CB3" w:rsidRPr="00A22D75" w:rsidRDefault="00603CB3" w:rsidP="00603CB3">
            <w:pPr>
              <w:ind w:left="137" w:right="56"/>
              <w:rPr>
                <w:sz w:val="22"/>
                <w:szCs w:val="22"/>
              </w:rPr>
            </w:pPr>
            <w:r w:rsidRPr="00A22D75">
              <w:rPr>
                <w:sz w:val="22"/>
                <w:szCs w:val="22"/>
              </w:rPr>
              <w:t>(3 mg/0,02 mg en gang dagligt)</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Ethinylestradi</w:t>
            </w:r>
            <w:r w:rsidRPr="00A22D75">
              <w:rPr>
                <w:spacing w:val="1"/>
                <w:sz w:val="22"/>
                <w:szCs w:val="22"/>
              </w:rPr>
              <w:t>ol</w:t>
            </w:r>
          </w:p>
          <w:p w:rsidR="00603CB3" w:rsidRPr="00A22D75" w:rsidRDefault="00603CB3" w:rsidP="00603CB3">
            <w:pPr>
              <w:ind w:left="137" w:right="56"/>
              <w:rPr>
                <w:sz w:val="22"/>
                <w:szCs w:val="22"/>
              </w:rPr>
            </w:pPr>
            <w:r w:rsidRPr="00A22D75">
              <w:rPr>
                <w:sz w:val="22"/>
                <w:szCs w:val="22"/>
              </w:rPr>
              <w:t>Norethindron</w:t>
            </w:r>
          </w:p>
          <w:p w:rsidR="00603CB3" w:rsidRPr="00A22D75" w:rsidRDefault="00603CB3" w:rsidP="00603CB3">
            <w:pPr>
              <w:ind w:left="137" w:right="56"/>
              <w:rPr>
                <w:sz w:val="22"/>
                <w:szCs w:val="22"/>
              </w:rPr>
            </w:pPr>
            <w:r w:rsidRPr="00A22D75">
              <w:rPr>
                <w:spacing w:val="1"/>
                <w:sz w:val="22"/>
                <w:szCs w:val="22"/>
              </w:rPr>
              <w:t>3</w:t>
            </w:r>
            <w:r w:rsidRPr="00A22D75">
              <w:rPr>
                <w:sz w:val="22"/>
                <w:szCs w:val="22"/>
              </w:rPr>
              <w:t>5 µ</w:t>
            </w:r>
            <w:r w:rsidRPr="00A22D75">
              <w:rPr>
                <w:spacing w:val="-1"/>
                <w:sz w:val="22"/>
                <w:szCs w:val="22"/>
              </w:rPr>
              <w:t>g/</w:t>
            </w:r>
            <w:r w:rsidRPr="00A22D75">
              <w:rPr>
                <w:sz w:val="22"/>
                <w:szCs w:val="22"/>
              </w:rPr>
              <w:t>1 mg</w:t>
            </w:r>
            <w:r w:rsidRPr="00A22D75">
              <w:rPr>
                <w:spacing w:val="-3"/>
                <w:sz w:val="22"/>
                <w:szCs w:val="22"/>
              </w:rPr>
              <w:t xml:space="preserve"> en gang daglig</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Ikke undersøgt med darunavir/ritonavir.</w:t>
            </w:r>
          </w:p>
          <w:p w:rsidR="00603CB3" w:rsidRPr="00A22D75" w:rsidRDefault="00603CB3" w:rsidP="00603CB3">
            <w:pPr>
              <w:ind w:left="137" w:right="56"/>
              <w:rPr>
                <w:sz w:val="22"/>
                <w:szCs w:val="22"/>
              </w:rPr>
            </w:pPr>
          </w:p>
          <w:p w:rsidR="00603CB3" w:rsidRPr="00815FE0" w:rsidRDefault="00603CB3" w:rsidP="00603CB3">
            <w:pPr>
              <w:ind w:left="137" w:right="56"/>
              <w:rPr>
                <w:sz w:val="22"/>
                <w:szCs w:val="22"/>
                <w:lang w:val="en-US"/>
              </w:rPr>
            </w:pPr>
            <w:r w:rsidRPr="00815FE0">
              <w:rPr>
                <w:sz w:val="22"/>
                <w:szCs w:val="22"/>
                <w:lang w:val="en-US"/>
              </w:rPr>
              <w:t>ethinylestradiol</w:t>
            </w:r>
            <w:r w:rsidRPr="00815FE0">
              <w:rPr>
                <w:spacing w:val="-12"/>
                <w:sz w:val="22"/>
                <w:szCs w:val="22"/>
                <w:lang w:val="en-US"/>
              </w:rPr>
              <w:t xml:space="preserve"> </w:t>
            </w:r>
            <w:r w:rsidRPr="00815FE0">
              <w:rPr>
                <w:sz w:val="22"/>
                <w:szCs w:val="22"/>
                <w:lang w:val="en-US"/>
              </w:rPr>
              <w:t>AUC</w:t>
            </w:r>
            <w:r w:rsidRPr="00815FE0">
              <w:rPr>
                <w:spacing w:val="-1"/>
                <w:sz w:val="22"/>
                <w:szCs w:val="22"/>
                <w:lang w:val="en-US"/>
              </w:rPr>
              <w:t xml:space="preserve"> </w:t>
            </w:r>
            <w:r w:rsidRPr="00815FE0">
              <w:rPr>
                <w:sz w:val="22"/>
                <w:szCs w:val="22"/>
                <w:lang w:val="en-US"/>
              </w:rPr>
              <w:t>↓ 44 %</w:t>
            </w:r>
            <w:r w:rsidRPr="00A22D75">
              <w:rPr>
                <w:sz w:val="22"/>
                <w:szCs w:val="22"/>
                <w:vertAlign w:val="superscript"/>
              </w:rPr>
              <w:t>β</w:t>
            </w:r>
          </w:p>
          <w:p w:rsidR="00603CB3" w:rsidRPr="00815FE0" w:rsidRDefault="00603CB3" w:rsidP="00603CB3">
            <w:pPr>
              <w:ind w:left="137" w:right="56"/>
              <w:rPr>
                <w:sz w:val="22"/>
                <w:szCs w:val="22"/>
                <w:lang w:val="en-US"/>
              </w:rPr>
            </w:pPr>
            <w:r w:rsidRPr="00815FE0">
              <w:rPr>
                <w:sz w:val="22"/>
                <w:szCs w:val="22"/>
                <w:lang w:val="en-US"/>
              </w:rPr>
              <w:t>ethinylestradiol</w:t>
            </w:r>
            <w:r w:rsidRPr="00815FE0">
              <w:rPr>
                <w:spacing w:val="-11"/>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62 %</w:t>
            </w:r>
            <w:r w:rsidRPr="00815FE0">
              <w:rPr>
                <w:sz w:val="22"/>
                <w:szCs w:val="22"/>
                <w:vertAlign w:val="superscript"/>
                <w:lang w:val="en-US"/>
              </w:rPr>
              <w:t xml:space="preserve"> </w:t>
            </w:r>
            <w:r w:rsidRPr="00A22D75">
              <w:rPr>
                <w:sz w:val="22"/>
                <w:szCs w:val="22"/>
                <w:vertAlign w:val="superscript"/>
              </w:rPr>
              <w:t>β</w:t>
            </w:r>
            <w:r w:rsidRPr="00815FE0">
              <w:rPr>
                <w:sz w:val="22"/>
                <w:szCs w:val="22"/>
                <w:lang w:val="en-US"/>
              </w:rPr>
              <w:t xml:space="preserve"> </w:t>
            </w:r>
          </w:p>
          <w:p w:rsidR="00603CB3" w:rsidRPr="00815FE0" w:rsidRDefault="00603CB3" w:rsidP="00603CB3">
            <w:pPr>
              <w:ind w:left="137" w:right="56"/>
              <w:rPr>
                <w:sz w:val="22"/>
                <w:szCs w:val="22"/>
                <w:lang w:val="en-US"/>
              </w:rPr>
            </w:pPr>
            <w:r w:rsidRPr="00815FE0">
              <w:rPr>
                <w:sz w:val="22"/>
                <w:szCs w:val="22"/>
                <w:lang w:val="en-US"/>
              </w:rPr>
              <w:t>ethinylestradiol</w:t>
            </w:r>
            <w:r w:rsidRPr="00815FE0">
              <w:rPr>
                <w:spacing w:val="-11"/>
                <w:sz w:val="22"/>
                <w:szCs w:val="22"/>
                <w:lang w:val="en-US"/>
              </w:rPr>
              <w:t xml:space="preserve"> </w:t>
            </w:r>
            <w:r w:rsidRPr="00815FE0">
              <w:rPr>
                <w:spacing w:val="2"/>
                <w:sz w:val="22"/>
                <w:szCs w:val="22"/>
                <w:lang w:val="en-US"/>
              </w:rPr>
              <w:t>C</w:t>
            </w:r>
            <w:r w:rsidRPr="00815FE0">
              <w:rPr>
                <w:spacing w:val="2"/>
                <w:sz w:val="22"/>
                <w:szCs w:val="22"/>
                <w:vertAlign w:val="subscript"/>
                <w:lang w:val="en-US"/>
              </w:rPr>
              <w:t>max</w:t>
            </w:r>
            <w:r w:rsidRPr="00815FE0">
              <w:rPr>
                <w:spacing w:val="17"/>
                <w:position w:val="-3"/>
                <w:sz w:val="22"/>
                <w:szCs w:val="22"/>
                <w:lang w:val="en-US"/>
              </w:rPr>
              <w:t xml:space="preserve"> </w:t>
            </w:r>
            <w:r w:rsidRPr="00815FE0">
              <w:rPr>
                <w:sz w:val="22"/>
                <w:szCs w:val="22"/>
                <w:lang w:val="en-US"/>
              </w:rPr>
              <w:t>↓</w:t>
            </w:r>
            <w:r w:rsidRPr="00815FE0">
              <w:rPr>
                <w:spacing w:val="-1"/>
                <w:sz w:val="22"/>
                <w:szCs w:val="22"/>
                <w:lang w:val="en-US"/>
              </w:rPr>
              <w:t xml:space="preserve"> </w:t>
            </w:r>
            <w:r w:rsidRPr="00815FE0">
              <w:rPr>
                <w:sz w:val="22"/>
                <w:szCs w:val="22"/>
                <w:lang w:val="en-US"/>
              </w:rPr>
              <w:t>32 %</w:t>
            </w:r>
            <w:r w:rsidRPr="00815FE0">
              <w:rPr>
                <w:sz w:val="22"/>
                <w:szCs w:val="22"/>
                <w:vertAlign w:val="superscript"/>
                <w:lang w:val="en-US"/>
              </w:rPr>
              <w:t xml:space="preserve"> </w:t>
            </w:r>
            <w:r w:rsidRPr="00A22D75">
              <w:rPr>
                <w:sz w:val="22"/>
                <w:szCs w:val="22"/>
                <w:vertAlign w:val="superscript"/>
              </w:rPr>
              <w:t>β</w:t>
            </w:r>
            <w:r w:rsidRPr="00815FE0">
              <w:rPr>
                <w:sz w:val="22"/>
                <w:szCs w:val="22"/>
                <w:lang w:val="en-US"/>
              </w:rPr>
              <w:t xml:space="preserve"> </w:t>
            </w:r>
          </w:p>
          <w:p w:rsidR="00603CB3" w:rsidRPr="00815FE0" w:rsidRDefault="00603CB3" w:rsidP="00603CB3">
            <w:pPr>
              <w:ind w:left="137" w:right="56"/>
              <w:rPr>
                <w:sz w:val="22"/>
                <w:szCs w:val="22"/>
                <w:lang w:val="en-US"/>
              </w:rPr>
            </w:pPr>
            <w:r w:rsidRPr="00815FE0">
              <w:rPr>
                <w:sz w:val="22"/>
                <w:szCs w:val="22"/>
                <w:lang w:val="en-US"/>
              </w:rPr>
              <w:t>norethindron</w:t>
            </w:r>
            <w:r w:rsidRPr="00815FE0">
              <w:rPr>
                <w:spacing w:val="-8"/>
                <w:sz w:val="22"/>
                <w:szCs w:val="22"/>
                <w:lang w:val="en-US"/>
              </w:rPr>
              <w:t xml:space="preserve"> </w:t>
            </w:r>
            <w:r w:rsidRPr="00815FE0">
              <w:rPr>
                <w:spacing w:val="-1"/>
                <w:sz w:val="22"/>
                <w:szCs w:val="22"/>
                <w:lang w:val="en-US"/>
              </w:rPr>
              <w:t>AU</w:t>
            </w:r>
            <w:r w:rsidRPr="00815FE0">
              <w:rPr>
                <w:sz w:val="22"/>
                <w:szCs w:val="22"/>
                <w:lang w:val="en-US"/>
              </w:rPr>
              <w:t>C</w:t>
            </w:r>
            <w:r w:rsidRPr="00815FE0">
              <w:rPr>
                <w:spacing w:val="-2"/>
                <w:sz w:val="22"/>
                <w:szCs w:val="22"/>
                <w:lang w:val="en-US"/>
              </w:rPr>
              <w:t xml:space="preserve"> </w:t>
            </w:r>
            <w:r w:rsidRPr="00815FE0">
              <w:rPr>
                <w:sz w:val="22"/>
                <w:szCs w:val="22"/>
                <w:lang w:val="en-US"/>
              </w:rPr>
              <w:t>↓ 14 %</w:t>
            </w:r>
            <w:r w:rsidRPr="00815FE0">
              <w:rPr>
                <w:sz w:val="22"/>
                <w:szCs w:val="22"/>
                <w:vertAlign w:val="superscript"/>
                <w:lang w:val="en-US"/>
              </w:rPr>
              <w:t xml:space="preserve"> </w:t>
            </w:r>
            <w:r w:rsidRPr="00A22D75">
              <w:rPr>
                <w:sz w:val="22"/>
                <w:szCs w:val="22"/>
                <w:vertAlign w:val="superscript"/>
              </w:rPr>
              <w:t>β</w:t>
            </w:r>
            <w:r w:rsidRPr="00815FE0">
              <w:rPr>
                <w:sz w:val="22"/>
                <w:szCs w:val="22"/>
                <w:lang w:val="en-US"/>
              </w:rPr>
              <w:t xml:space="preserve"> </w:t>
            </w:r>
          </w:p>
          <w:p w:rsidR="00603CB3" w:rsidRPr="00815FE0" w:rsidRDefault="00603CB3" w:rsidP="00603CB3">
            <w:pPr>
              <w:ind w:left="137" w:right="56"/>
              <w:rPr>
                <w:spacing w:val="1"/>
                <w:sz w:val="22"/>
                <w:szCs w:val="22"/>
                <w:lang w:val="en-US"/>
              </w:rPr>
            </w:pPr>
            <w:r w:rsidRPr="00815FE0">
              <w:rPr>
                <w:sz w:val="22"/>
                <w:szCs w:val="22"/>
                <w:lang w:val="en-US"/>
              </w:rPr>
              <w:t>norethindron</w:t>
            </w:r>
            <w:r w:rsidRPr="00815FE0">
              <w:rPr>
                <w:spacing w:val="-10"/>
                <w:sz w:val="22"/>
                <w:szCs w:val="22"/>
                <w:lang w:val="en-US"/>
              </w:rPr>
              <w:t xml:space="preserve"> </w:t>
            </w:r>
            <w:r w:rsidRPr="00815FE0">
              <w:rPr>
                <w:spacing w:val="1"/>
                <w:sz w:val="22"/>
                <w:szCs w:val="22"/>
                <w:lang w:val="en-US"/>
              </w:rPr>
              <w:t>C</w:t>
            </w:r>
            <w:r w:rsidRPr="00815FE0">
              <w:rPr>
                <w:spacing w:val="1"/>
                <w:sz w:val="22"/>
                <w:szCs w:val="22"/>
                <w:vertAlign w:val="subscript"/>
                <w:lang w:val="en-US"/>
              </w:rPr>
              <w:t>min</w:t>
            </w:r>
            <w:r w:rsidRPr="00815FE0">
              <w:rPr>
                <w:spacing w:val="17"/>
                <w:position w:val="-3"/>
                <w:sz w:val="22"/>
                <w:szCs w:val="22"/>
                <w:lang w:val="en-US"/>
              </w:rPr>
              <w:t xml:space="preserve"> </w:t>
            </w:r>
            <w:r w:rsidRPr="00815FE0">
              <w:rPr>
                <w:sz w:val="22"/>
                <w:szCs w:val="22"/>
                <w:lang w:val="en-US"/>
              </w:rPr>
              <w:t>↓</w:t>
            </w:r>
            <w:r w:rsidRPr="00815FE0">
              <w:rPr>
                <w:spacing w:val="-2"/>
                <w:sz w:val="22"/>
                <w:szCs w:val="22"/>
                <w:lang w:val="en-US"/>
              </w:rPr>
              <w:t xml:space="preserve"> </w:t>
            </w:r>
            <w:r w:rsidRPr="00815FE0">
              <w:rPr>
                <w:spacing w:val="1"/>
                <w:sz w:val="22"/>
                <w:szCs w:val="22"/>
                <w:lang w:val="en-US"/>
              </w:rPr>
              <w:t>30 %</w:t>
            </w:r>
            <w:r w:rsidRPr="00815FE0">
              <w:rPr>
                <w:sz w:val="22"/>
                <w:szCs w:val="22"/>
                <w:vertAlign w:val="superscript"/>
                <w:lang w:val="en-US"/>
              </w:rPr>
              <w:t xml:space="preserve"> </w:t>
            </w:r>
            <w:r w:rsidRPr="00A22D75">
              <w:rPr>
                <w:sz w:val="22"/>
                <w:szCs w:val="22"/>
                <w:vertAlign w:val="superscript"/>
              </w:rPr>
              <w:t>β</w:t>
            </w:r>
            <w:r w:rsidRPr="00815FE0">
              <w:rPr>
                <w:spacing w:val="1"/>
                <w:sz w:val="22"/>
                <w:szCs w:val="22"/>
                <w:lang w:val="en-US"/>
              </w:rPr>
              <w:t xml:space="preserve"> </w:t>
            </w:r>
          </w:p>
          <w:p w:rsidR="00603CB3" w:rsidRPr="00A22D75" w:rsidRDefault="00603CB3" w:rsidP="00603CB3">
            <w:pPr>
              <w:ind w:left="137" w:right="56"/>
              <w:rPr>
                <w:sz w:val="22"/>
                <w:szCs w:val="22"/>
                <w:lang w:val="en-US"/>
              </w:rPr>
            </w:pPr>
            <w:r w:rsidRPr="00A22D75">
              <w:rPr>
                <w:sz w:val="22"/>
                <w:szCs w:val="22"/>
                <w:lang w:val="en-US"/>
              </w:rPr>
              <w:t>norethindron</w:t>
            </w:r>
            <w:r w:rsidRPr="00A22D75">
              <w:rPr>
                <w:spacing w:val="-10"/>
                <w:sz w:val="22"/>
                <w:szCs w:val="22"/>
                <w:lang w:val="en-US"/>
              </w:rPr>
              <w:t xml:space="preserve"> </w:t>
            </w:r>
            <w:r w:rsidRPr="00A22D75">
              <w:rPr>
                <w:spacing w:val="2"/>
                <w:sz w:val="22"/>
                <w:szCs w:val="22"/>
                <w:lang w:val="en-US"/>
              </w:rPr>
              <w:t>C</w:t>
            </w:r>
            <w:r w:rsidRPr="00A22D75">
              <w:rPr>
                <w:spacing w:val="2"/>
                <w:sz w:val="22"/>
                <w:szCs w:val="22"/>
                <w:vertAlign w:val="subscript"/>
                <w:lang w:val="en-US"/>
              </w:rPr>
              <w:t>max</w:t>
            </w:r>
            <w:r w:rsidRPr="00A22D75">
              <w:rPr>
                <w:spacing w:val="14"/>
                <w:position w:val="-3"/>
                <w:sz w:val="22"/>
                <w:szCs w:val="22"/>
                <w:lang w:val="en-US"/>
              </w:rPr>
              <w:t xml:space="preserve"> </w:t>
            </w:r>
            <w:r w:rsidRPr="00A22D75">
              <w:rPr>
                <w:sz w:val="22"/>
                <w:szCs w:val="22"/>
                <w:lang w:val="en-US"/>
              </w:rPr>
              <w:t>↔</w:t>
            </w:r>
            <w:r w:rsidRPr="00A22D75">
              <w:rPr>
                <w:sz w:val="22"/>
                <w:szCs w:val="22"/>
                <w:vertAlign w:val="superscript"/>
                <w:lang w:val="en-US"/>
              </w:rPr>
              <w:t xml:space="preserve"> </w:t>
            </w:r>
            <w:r w:rsidRPr="00A22D75">
              <w:rPr>
                <w:sz w:val="22"/>
                <w:szCs w:val="22"/>
                <w:vertAlign w:val="superscript"/>
              </w:rPr>
              <w:t>β</w:t>
            </w:r>
          </w:p>
          <w:p w:rsidR="00603CB3" w:rsidRPr="00A22D75" w:rsidRDefault="00603CB3" w:rsidP="00603CB3">
            <w:pPr>
              <w:ind w:left="137" w:right="56"/>
              <w:rPr>
                <w:sz w:val="22"/>
                <w:szCs w:val="22"/>
                <w:lang w:val="en-US"/>
              </w:rPr>
            </w:pPr>
            <w:r w:rsidRPr="00A22D75">
              <w:rPr>
                <w:sz w:val="22"/>
                <w:szCs w:val="22"/>
                <w:vertAlign w:val="superscript"/>
              </w:rPr>
              <w:t>β</w:t>
            </w:r>
            <w:r w:rsidRPr="00A22D75">
              <w:rPr>
                <w:sz w:val="22"/>
                <w:szCs w:val="22"/>
              </w:rPr>
              <w:t>med darunavir/ritonavir</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815FE0" w:rsidRDefault="00603CB3" w:rsidP="00603CB3">
            <w:pPr>
              <w:ind w:left="137" w:right="56"/>
              <w:rPr>
                <w:sz w:val="22"/>
                <w:szCs w:val="22"/>
              </w:rPr>
            </w:pPr>
            <w:r w:rsidRPr="00815FE0">
              <w:rPr>
                <w:sz w:val="22"/>
                <w:szCs w:val="22"/>
              </w:rPr>
              <w:t xml:space="preserve">Når darunavir co-administreres med et produkt indeholdende drospirenon, anbefales klinisk monitorering grundet potentiel hyperkaliæmi. </w:t>
            </w:r>
          </w:p>
          <w:p w:rsidR="00603CB3" w:rsidRPr="00815FE0" w:rsidRDefault="00603CB3" w:rsidP="00603CB3">
            <w:pPr>
              <w:ind w:left="137" w:right="56"/>
              <w:rPr>
                <w:sz w:val="22"/>
                <w:szCs w:val="22"/>
              </w:rPr>
            </w:pPr>
          </w:p>
          <w:p w:rsidR="00603CB3" w:rsidRPr="00A22D75" w:rsidRDefault="00603CB3" w:rsidP="00603CB3">
            <w:pPr>
              <w:ind w:left="137" w:right="56"/>
              <w:rPr>
                <w:sz w:val="22"/>
                <w:szCs w:val="22"/>
              </w:rPr>
            </w:pPr>
            <w:r w:rsidRPr="00815FE0">
              <w:rPr>
                <w:sz w:val="22"/>
                <w:szCs w:val="22"/>
              </w:rPr>
              <w:t xml:space="preserve">Det anbefales at bruge andre eller Supplerende svangerskabsforebyggende metoder, når østrogenbaserede kontraceptiva gives sammen med darunavir og lavdosis ritonavir. </w:t>
            </w:r>
            <w:r w:rsidRPr="00A22D75">
              <w:rPr>
                <w:sz w:val="22"/>
                <w:szCs w:val="22"/>
              </w:rPr>
              <w:t>Patienter, der får hormonbehandling med østrogen, skal monitoreres klinisk for tegn på østrogenmangel.</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b/>
                <w:bCs/>
                <w:sz w:val="22"/>
                <w:szCs w:val="22"/>
              </w:rPr>
            </w:pPr>
            <w:r w:rsidRPr="004623FF">
              <w:rPr>
                <w:b/>
                <w:bCs/>
                <w:sz w:val="22"/>
                <w:szCs w:val="22"/>
              </w:rPr>
              <w:t>OPIOID ANTAG</w:t>
            </w:r>
            <w:r>
              <w:rPr>
                <w:b/>
                <w:bCs/>
                <w:sz w:val="22"/>
                <w:szCs w:val="22"/>
              </w:rPr>
              <w:t>O</w:t>
            </w:r>
            <w:r w:rsidRPr="004623FF">
              <w:rPr>
                <w:b/>
                <w:bCs/>
                <w:sz w:val="22"/>
                <w:szCs w:val="22"/>
              </w:rPr>
              <w:t>NISTER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Naloxegol</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Ikke undersøgt</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Co-administration af boostet darunavir og naloxegol er kontraindiceret.</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PHOSPHODIESTERASE-TYPE 5 (PDE-</w:t>
            </w:r>
            <w:proofErr w:type="gramStart"/>
            <w:r w:rsidRPr="00A22D75">
              <w:rPr>
                <w:b/>
                <w:bCs/>
                <w:sz w:val="22"/>
                <w:szCs w:val="22"/>
              </w:rPr>
              <w:t>5)-</w:t>
            </w:r>
            <w:proofErr w:type="gramEnd"/>
            <w:r w:rsidRPr="00A22D75">
              <w:rPr>
                <w:b/>
                <w:bCs/>
                <w:sz w:val="22"/>
                <w:szCs w:val="22"/>
              </w:rPr>
              <w:t>HÆMMERE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Til behandling af erektil dysfunktion</w:t>
            </w:r>
          </w:p>
          <w:p w:rsidR="00603CB3" w:rsidRPr="00A22D75" w:rsidRDefault="00603CB3" w:rsidP="00603CB3">
            <w:pPr>
              <w:ind w:left="137" w:right="56"/>
              <w:rPr>
                <w:sz w:val="22"/>
                <w:szCs w:val="22"/>
              </w:rPr>
            </w:pPr>
            <w:r w:rsidRPr="00A22D75">
              <w:rPr>
                <w:sz w:val="22"/>
                <w:szCs w:val="22"/>
              </w:rPr>
              <w:t>Avanafil</w:t>
            </w:r>
          </w:p>
          <w:p w:rsidR="00603CB3" w:rsidRPr="00A22D75" w:rsidRDefault="00603CB3" w:rsidP="00603CB3">
            <w:pPr>
              <w:ind w:left="137" w:right="56"/>
              <w:rPr>
                <w:sz w:val="22"/>
                <w:szCs w:val="22"/>
              </w:rPr>
            </w:pPr>
            <w:r w:rsidRPr="00A22D75">
              <w:rPr>
                <w:sz w:val="22"/>
                <w:szCs w:val="22"/>
              </w:rPr>
              <w:t xml:space="preserve">Sildenafil </w:t>
            </w:r>
          </w:p>
          <w:p w:rsidR="00603CB3" w:rsidRPr="00A22D75" w:rsidRDefault="00603CB3" w:rsidP="00603CB3">
            <w:pPr>
              <w:ind w:left="137" w:right="56"/>
              <w:rPr>
                <w:sz w:val="22"/>
                <w:szCs w:val="22"/>
              </w:rPr>
            </w:pPr>
            <w:r w:rsidRPr="00A22D75">
              <w:rPr>
                <w:sz w:val="22"/>
                <w:szCs w:val="22"/>
              </w:rPr>
              <w:t xml:space="preserve">Tadalafil </w:t>
            </w:r>
          </w:p>
          <w:p w:rsidR="00603CB3" w:rsidRPr="00A22D75" w:rsidRDefault="00603CB3" w:rsidP="00603CB3">
            <w:pPr>
              <w:ind w:left="137" w:right="56"/>
              <w:rPr>
                <w:sz w:val="22"/>
                <w:szCs w:val="22"/>
              </w:rPr>
            </w:pPr>
            <w:r w:rsidRPr="00A22D75">
              <w:rPr>
                <w:sz w:val="22"/>
                <w:szCs w:val="22"/>
              </w:rPr>
              <w:t>Vardenafil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 et interaktionsstudie</w:t>
            </w:r>
            <w:r w:rsidRPr="00A22D75">
              <w:rPr>
                <w:sz w:val="22"/>
                <w:szCs w:val="22"/>
                <w:vertAlign w:val="superscript"/>
              </w:rPr>
              <w:t>#</w:t>
            </w:r>
            <w:r w:rsidRPr="00A22D75">
              <w:rPr>
                <w:sz w:val="22"/>
                <w:szCs w:val="22"/>
              </w:rPr>
              <w:t xml:space="preserve"> blev der observeret samme systemiske eksponering for sildenafil ved en enkeltdosis sildenafil på 100 mg alene og en enkeltdosis sildenafil på 25 mg administreret sammen med darunavir og lavdosis ritonavir.</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 xml:space="preserve">Kombination af avanafil og darunavir med lavdosis ritonavir er kontraindiceret (se pkt. 4.3). Der skal udvises forsigtighed ved samtidig brug af andre PDE-5-hæmmere til behandling af erektil dysfunktion og darunavir administreret sammen med lavdosis ritonavir. Hvis samtidig brug af sildenafil, vardenafil eller tadalafil og darunavir </w:t>
            </w:r>
            <w:r w:rsidRPr="00A22D75">
              <w:rPr>
                <w:sz w:val="22"/>
                <w:szCs w:val="22"/>
              </w:rPr>
              <w:lastRenderedPageBreak/>
              <w:t>administreret sammen med lavdosis ritonavir er indiceret, anbefales det at give en enkeltdosis sildenafil på højst 25 mg i løbet af 48 timer, en enkeltdosis vardenafil på højst 2,5 mg i løbet af 72 timer eller en enkeltdosis tadalafil på 10 mg i løbet af 72 timer.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lastRenderedPageBreak/>
              <w:t>Til behandling af pulmonal arteriel hypertension</w:t>
            </w:r>
          </w:p>
          <w:p w:rsidR="00603CB3" w:rsidRPr="00A22D75" w:rsidRDefault="00603CB3" w:rsidP="00603CB3">
            <w:pPr>
              <w:ind w:left="137" w:right="56"/>
              <w:rPr>
                <w:sz w:val="22"/>
                <w:szCs w:val="22"/>
              </w:rPr>
            </w:pPr>
            <w:r w:rsidRPr="00A22D75">
              <w:rPr>
                <w:sz w:val="22"/>
                <w:szCs w:val="22"/>
              </w:rPr>
              <w:t>Sildenafil</w:t>
            </w:r>
          </w:p>
          <w:p w:rsidR="00603CB3" w:rsidRPr="00A22D75" w:rsidRDefault="00603CB3" w:rsidP="00603CB3">
            <w:pPr>
              <w:ind w:left="137" w:right="56"/>
              <w:rPr>
                <w:sz w:val="22"/>
                <w:szCs w:val="22"/>
              </w:rPr>
            </w:pPr>
            <w:r w:rsidRPr="00A22D75">
              <w:rPr>
                <w:sz w:val="22"/>
                <w:szCs w:val="22"/>
              </w:rPr>
              <w:t>Tadalafil</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Ikke undersøgt. Samtidig anvendelse af sildenafil eller tadalafil til behandling af pulmonal arteriel hypertension og darunavir administreret sammen med lavdosis ritonavir kan øge plasmakoncentrationen af sildenafil og tadalafil.</w:t>
            </w:r>
          </w:p>
          <w:p w:rsidR="00603CB3" w:rsidRPr="00A22D75" w:rsidRDefault="00603CB3" w:rsidP="00603CB3">
            <w:pPr>
              <w:ind w:left="137" w:right="56"/>
              <w:rPr>
                <w:sz w:val="22"/>
                <w:szCs w:val="22"/>
              </w:rPr>
            </w:pPr>
            <w:r w:rsidRPr="00A22D75">
              <w:rPr>
                <w:sz w:val="22"/>
                <w:szCs w:val="22"/>
              </w:rPr>
              <w:t>(CYP3A hæmning)</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i/>
                <w:sz w:val="22"/>
                <w:szCs w:val="22"/>
              </w:rPr>
            </w:pPr>
            <w:r w:rsidRPr="00A22D75">
              <w:rPr>
                <w:sz w:val="22"/>
                <w:szCs w:val="22"/>
              </w:rPr>
              <w:t>En sikker og effektiv dosis af sildenafil til behandling af pulmonal arteriel hypertension administreret sammen med darunavir og lavdosis ritonavir er ikke fastlagt. Der er øget risiko for sildenafil-relaterede bivirkninger (inklusive synsforstyrrelser, hypotension, forlænget erektion og synkope). Co-administration af darunavir, lavdosis ritonavir og sildenafil til behandling af pulmonal arteriel hypertension er derfor kontraindiceret (se pkt. 4.3). Co-administration af tadalafil til behandling af pulmonal arteriel hypertension, darunavir og lavdosis ritonavir anbefales ikke.</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PROTON</w:t>
            </w:r>
            <w:r w:rsidRPr="00A22D75">
              <w:rPr>
                <w:b/>
                <w:bCs/>
                <w:spacing w:val="-8"/>
                <w:sz w:val="22"/>
                <w:szCs w:val="22"/>
              </w:rPr>
              <w:t>PUMPEHÆMMERE</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pacing w:val="3"/>
                <w:sz w:val="22"/>
                <w:szCs w:val="22"/>
              </w:rPr>
              <w:t>O</w:t>
            </w:r>
            <w:r w:rsidRPr="00A22D75">
              <w:rPr>
                <w:spacing w:val="-4"/>
                <w:sz w:val="22"/>
                <w:szCs w:val="22"/>
              </w:rPr>
              <w:t>m</w:t>
            </w:r>
            <w:r w:rsidRPr="00A22D75">
              <w:rPr>
                <w:spacing w:val="1"/>
                <w:sz w:val="22"/>
                <w:szCs w:val="22"/>
              </w:rPr>
              <w:t>eprazol</w:t>
            </w:r>
          </w:p>
          <w:p w:rsidR="00603CB3" w:rsidRPr="00A22D75" w:rsidRDefault="00603CB3" w:rsidP="00603CB3">
            <w:pPr>
              <w:ind w:left="137" w:right="56"/>
              <w:rPr>
                <w:sz w:val="22"/>
                <w:szCs w:val="22"/>
              </w:rPr>
            </w:pPr>
            <w:r w:rsidRPr="00A22D75">
              <w:rPr>
                <w:spacing w:val="1"/>
                <w:sz w:val="22"/>
                <w:szCs w:val="22"/>
              </w:rPr>
              <w:t>2</w:t>
            </w:r>
            <w:r w:rsidRPr="00A22D75">
              <w:rPr>
                <w:sz w:val="22"/>
                <w:szCs w:val="22"/>
              </w:rPr>
              <w:t>0 mg</w:t>
            </w:r>
            <w:r w:rsidRPr="00A22D75">
              <w:rPr>
                <w:spacing w:val="-3"/>
                <w:sz w:val="22"/>
                <w:szCs w:val="22"/>
              </w:rPr>
              <w:t xml:space="preserve"> </w:t>
            </w:r>
            <w:r w:rsidRPr="00A22D75">
              <w:rPr>
                <w:sz w:val="22"/>
                <w:szCs w:val="22"/>
              </w:rPr>
              <w:t>en gang daglig</w:t>
            </w:r>
          </w:p>
        </w:tc>
        <w:tc>
          <w:tcPr>
            <w:tcW w:w="1961"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position w:val="-1"/>
                <w:sz w:val="22"/>
                <w:szCs w:val="22"/>
                <w:vertAlign w:val="superscript"/>
              </w:rPr>
              <w:t>#</w:t>
            </w:r>
            <w:r w:rsidRPr="00A22D75">
              <w:rPr>
                <w:position w:val="-1"/>
                <w:sz w:val="22"/>
                <w:szCs w:val="22"/>
              </w:rPr>
              <w:t>daru</w:t>
            </w:r>
            <w:r w:rsidRPr="00A22D75">
              <w:rPr>
                <w:spacing w:val="-1"/>
                <w:position w:val="-1"/>
                <w:sz w:val="22"/>
                <w:szCs w:val="22"/>
              </w:rPr>
              <w:t>n</w:t>
            </w:r>
            <w:r w:rsidRPr="00A22D75">
              <w:rPr>
                <w:position w:val="-1"/>
                <w:sz w:val="22"/>
                <w:szCs w:val="22"/>
              </w:rPr>
              <w:t>avir</w:t>
            </w:r>
            <w:r w:rsidRPr="00A22D75">
              <w:rPr>
                <w:spacing w:val="-8"/>
                <w:position w:val="-1"/>
                <w:sz w:val="22"/>
                <w:szCs w:val="22"/>
              </w:rPr>
              <w:t xml:space="preserve"> </w:t>
            </w:r>
            <w:r w:rsidRPr="00A22D75">
              <w:rPr>
                <w:position w:val="-1"/>
                <w:sz w:val="22"/>
                <w:szCs w:val="22"/>
              </w:rPr>
              <w:t>AUC</w:t>
            </w:r>
            <w:r w:rsidRPr="00A22D75">
              <w:rPr>
                <w:spacing w:val="-3"/>
                <w:position w:val="-1"/>
                <w:sz w:val="22"/>
                <w:szCs w:val="22"/>
              </w:rPr>
              <w:t xml:space="preserve"> </w:t>
            </w:r>
            <w:r w:rsidRPr="00A22D75">
              <w:rPr>
                <w:position w:val="-1"/>
                <w:sz w:val="22"/>
                <w:szCs w:val="22"/>
              </w:rPr>
              <w:t>↔</w:t>
            </w:r>
          </w:p>
          <w:p w:rsidR="00603CB3" w:rsidRPr="00A22D75" w:rsidRDefault="00603CB3" w:rsidP="00603CB3">
            <w:pPr>
              <w:tabs>
                <w:tab w:val="left" w:pos="1360"/>
              </w:tabs>
              <w:ind w:left="137" w:right="56"/>
              <w:rPr>
                <w:sz w:val="22"/>
                <w:szCs w:val="22"/>
              </w:rPr>
            </w:pPr>
            <w:r w:rsidRPr="00A22D75">
              <w:rPr>
                <w:position w:val="-1"/>
                <w:sz w:val="22"/>
                <w:szCs w:val="22"/>
                <w:vertAlign w:val="superscript"/>
              </w:rPr>
              <w:t>#</w:t>
            </w:r>
            <w:r w:rsidRPr="004623FF">
              <w:rPr>
                <w:sz w:val="22"/>
                <w:szCs w:val="22"/>
              </w:rPr>
              <w:t xml:space="preserve">darunavir </w:t>
            </w:r>
            <w:r w:rsidRPr="00A22D75">
              <w:rPr>
                <w:spacing w:val="1"/>
                <w:sz w:val="22"/>
                <w:szCs w:val="22"/>
              </w:rPr>
              <w:t>C</w:t>
            </w:r>
            <w:r w:rsidRPr="00A22D75">
              <w:rPr>
                <w:spacing w:val="1"/>
                <w:sz w:val="22"/>
                <w:szCs w:val="22"/>
                <w:vertAlign w:val="subscript"/>
              </w:rPr>
              <w:t>min</w:t>
            </w:r>
            <w:r w:rsidRPr="00A22D75">
              <w:rPr>
                <w:position w:val="-5"/>
                <w:sz w:val="22"/>
                <w:szCs w:val="22"/>
              </w:rPr>
              <w:t xml:space="preserve"> ↔</w:t>
            </w:r>
          </w:p>
          <w:p w:rsidR="00603CB3" w:rsidRPr="00A22D75" w:rsidRDefault="00603CB3" w:rsidP="00603CB3">
            <w:pPr>
              <w:tabs>
                <w:tab w:val="left" w:pos="1380"/>
              </w:tabs>
              <w:ind w:left="137" w:right="56"/>
              <w:rPr>
                <w:sz w:val="22"/>
                <w:szCs w:val="22"/>
              </w:rPr>
            </w:pPr>
            <w:r w:rsidRPr="00A22D75">
              <w:rPr>
                <w:position w:val="-1"/>
                <w:sz w:val="22"/>
                <w:szCs w:val="22"/>
                <w:vertAlign w:val="superscript"/>
              </w:rPr>
              <w:t>#</w:t>
            </w:r>
            <w:r w:rsidRPr="004623FF">
              <w:rPr>
                <w:sz w:val="22"/>
                <w:szCs w:val="22"/>
              </w:rPr>
              <w:t xml:space="preserve">darunavir </w:t>
            </w:r>
            <w:r w:rsidRPr="00A22D75">
              <w:rPr>
                <w:spacing w:val="2"/>
                <w:sz w:val="22"/>
                <w:szCs w:val="22"/>
              </w:rPr>
              <w:t>C</w:t>
            </w:r>
            <w:r w:rsidRPr="00A22D75">
              <w:rPr>
                <w:spacing w:val="2"/>
                <w:sz w:val="22"/>
                <w:szCs w:val="22"/>
                <w:vertAlign w:val="subscript"/>
              </w:rPr>
              <w:t>max</w:t>
            </w:r>
            <w:r w:rsidRPr="00A22D75">
              <w:rPr>
                <w:position w:val="-5"/>
                <w:sz w:val="22"/>
                <w:szCs w:val="22"/>
              </w:rPr>
              <w:t xml:space="preserve"> ↔</w:t>
            </w:r>
          </w:p>
        </w:tc>
        <w:tc>
          <w:tcPr>
            <w:tcW w:w="1668" w:type="pct"/>
            <w:gridSpan w:val="2"/>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sz w:val="22"/>
                <w:szCs w:val="22"/>
              </w:rPr>
              <w:t>Darunavir kan administreres sammen med lavdosis ritonavir og protonpumpehæmmere uden dosisjusteringer.</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hideMark/>
          </w:tcPr>
          <w:p w:rsidR="00603CB3" w:rsidRPr="00A22D75" w:rsidRDefault="00603CB3" w:rsidP="00603CB3">
            <w:pPr>
              <w:ind w:left="137" w:right="56"/>
              <w:rPr>
                <w:sz w:val="22"/>
                <w:szCs w:val="22"/>
              </w:rPr>
            </w:pPr>
            <w:r w:rsidRPr="00A22D75">
              <w:rPr>
                <w:b/>
                <w:bCs/>
                <w:sz w:val="22"/>
                <w:szCs w:val="22"/>
              </w:rPr>
              <w:t>SEDATIVA/HYPNOTIKA</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815FE0" w:rsidRDefault="00603CB3" w:rsidP="00603CB3">
            <w:pPr>
              <w:ind w:left="137" w:right="56"/>
              <w:rPr>
                <w:sz w:val="22"/>
                <w:szCs w:val="22"/>
                <w:lang w:val="en-US"/>
              </w:rPr>
            </w:pPr>
            <w:r w:rsidRPr="00815FE0">
              <w:rPr>
                <w:sz w:val="22"/>
                <w:szCs w:val="22"/>
                <w:lang w:val="en-US"/>
              </w:rPr>
              <w:t xml:space="preserve">Buspiron </w:t>
            </w:r>
          </w:p>
          <w:p w:rsidR="00603CB3" w:rsidRPr="00815FE0" w:rsidRDefault="00603CB3" w:rsidP="00603CB3">
            <w:pPr>
              <w:ind w:left="137" w:right="56"/>
              <w:rPr>
                <w:sz w:val="22"/>
                <w:szCs w:val="22"/>
                <w:lang w:val="en-US"/>
              </w:rPr>
            </w:pPr>
            <w:r w:rsidRPr="00815FE0">
              <w:rPr>
                <w:sz w:val="22"/>
                <w:szCs w:val="22"/>
                <w:lang w:val="en-US"/>
              </w:rPr>
              <w:t xml:space="preserve">Clorazepat </w:t>
            </w:r>
          </w:p>
          <w:p w:rsidR="00603CB3" w:rsidRPr="00815FE0" w:rsidRDefault="00603CB3" w:rsidP="00603CB3">
            <w:pPr>
              <w:ind w:left="137" w:right="56"/>
              <w:rPr>
                <w:sz w:val="22"/>
                <w:szCs w:val="22"/>
                <w:lang w:val="en-US"/>
              </w:rPr>
            </w:pPr>
            <w:r w:rsidRPr="00815FE0">
              <w:rPr>
                <w:sz w:val="22"/>
                <w:szCs w:val="22"/>
                <w:lang w:val="en-US"/>
              </w:rPr>
              <w:t xml:space="preserve">Diazepam </w:t>
            </w:r>
          </w:p>
          <w:p w:rsidR="00603CB3" w:rsidRPr="00815FE0" w:rsidRDefault="00603CB3" w:rsidP="00603CB3">
            <w:pPr>
              <w:ind w:left="137" w:right="56"/>
              <w:rPr>
                <w:sz w:val="22"/>
                <w:szCs w:val="22"/>
                <w:lang w:val="en-US"/>
              </w:rPr>
            </w:pPr>
            <w:r w:rsidRPr="00815FE0">
              <w:rPr>
                <w:sz w:val="22"/>
                <w:szCs w:val="22"/>
                <w:lang w:val="en-US"/>
              </w:rPr>
              <w:t xml:space="preserve">Estazolam </w:t>
            </w:r>
          </w:p>
          <w:p w:rsidR="00603CB3" w:rsidRPr="00815FE0" w:rsidRDefault="00603CB3" w:rsidP="00603CB3">
            <w:pPr>
              <w:ind w:left="137" w:right="56"/>
              <w:rPr>
                <w:sz w:val="22"/>
                <w:szCs w:val="22"/>
                <w:lang w:val="en-US"/>
              </w:rPr>
            </w:pPr>
            <w:r w:rsidRPr="00815FE0">
              <w:rPr>
                <w:sz w:val="22"/>
                <w:szCs w:val="22"/>
                <w:lang w:val="en-US"/>
              </w:rPr>
              <w:t xml:space="preserve">Flurazepam </w:t>
            </w:r>
          </w:p>
          <w:p w:rsidR="00603CB3" w:rsidRPr="00815FE0" w:rsidRDefault="00603CB3" w:rsidP="00603CB3">
            <w:pPr>
              <w:ind w:left="137" w:right="56"/>
              <w:rPr>
                <w:sz w:val="22"/>
                <w:szCs w:val="22"/>
                <w:lang w:val="en-US"/>
              </w:rPr>
            </w:pPr>
            <w:r w:rsidRPr="00815FE0">
              <w:rPr>
                <w:sz w:val="22"/>
                <w:szCs w:val="22"/>
                <w:lang w:val="en-US"/>
              </w:rPr>
              <w:t>Midazolam (parental)</w:t>
            </w:r>
          </w:p>
          <w:p w:rsidR="00603CB3" w:rsidRPr="005B2C08" w:rsidRDefault="00603CB3" w:rsidP="00603CB3">
            <w:pPr>
              <w:ind w:left="137" w:right="56"/>
              <w:rPr>
                <w:sz w:val="22"/>
                <w:szCs w:val="22"/>
              </w:rPr>
            </w:pPr>
            <w:r w:rsidRPr="005B2C08">
              <w:rPr>
                <w:sz w:val="22"/>
                <w:szCs w:val="22"/>
              </w:rPr>
              <w:t>Zolpidem</w:t>
            </w: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5B2C08" w:rsidRDefault="00603CB3" w:rsidP="00603CB3">
            <w:pPr>
              <w:ind w:left="137" w:right="56"/>
              <w:rPr>
                <w:sz w:val="22"/>
                <w:szCs w:val="22"/>
              </w:rPr>
            </w:pPr>
          </w:p>
          <w:p w:rsidR="00603CB3" w:rsidRPr="00A22D75" w:rsidRDefault="00603CB3" w:rsidP="00603CB3">
            <w:pPr>
              <w:ind w:left="137" w:right="56"/>
              <w:rPr>
                <w:sz w:val="22"/>
                <w:szCs w:val="22"/>
                <w:lang w:val="en-US"/>
              </w:rPr>
            </w:pPr>
            <w:r w:rsidRPr="00A22D75">
              <w:rPr>
                <w:sz w:val="22"/>
                <w:szCs w:val="22"/>
                <w:lang w:val="en-US"/>
              </w:rPr>
              <w:t>Midazolam (oral)</w:t>
            </w:r>
          </w:p>
          <w:p w:rsidR="00603CB3" w:rsidRPr="00A22D75" w:rsidRDefault="00603CB3" w:rsidP="00603CB3">
            <w:pPr>
              <w:ind w:left="137" w:right="56"/>
              <w:rPr>
                <w:sz w:val="22"/>
                <w:szCs w:val="22"/>
                <w:lang w:val="en-US"/>
              </w:rPr>
            </w:pPr>
            <w:r w:rsidRPr="00A22D75">
              <w:rPr>
                <w:sz w:val="22"/>
                <w:szCs w:val="22"/>
                <w:lang w:val="en-US"/>
              </w:rPr>
              <w:t xml:space="preserve">Triazolam </w:t>
            </w:r>
          </w:p>
          <w:p w:rsidR="00603CB3" w:rsidRPr="00A22D75" w:rsidRDefault="00603CB3" w:rsidP="00603CB3">
            <w:pPr>
              <w:ind w:left="137" w:right="56"/>
              <w:rPr>
                <w:sz w:val="22"/>
                <w:szCs w:val="22"/>
                <w:lang w:val="en-US"/>
              </w:rPr>
            </w:pPr>
          </w:p>
          <w:p w:rsidR="00603CB3" w:rsidRPr="00A22D75" w:rsidRDefault="00603CB3" w:rsidP="00603CB3">
            <w:pPr>
              <w:ind w:left="137" w:right="56"/>
              <w:rPr>
                <w:sz w:val="22"/>
                <w:szCs w:val="22"/>
                <w:lang w:val="en-US"/>
              </w:rPr>
            </w:pP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tabs>
                <w:tab w:val="left" w:pos="1380"/>
              </w:tabs>
              <w:ind w:left="137" w:right="56"/>
              <w:rPr>
                <w:sz w:val="22"/>
                <w:szCs w:val="22"/>
              </w:rPr>
            </w:pPr>
            <w:r w:rsidRPr="00A22D75">
              <w:rPr>
                <w:sz w:val="22"/>
                <w:szCs w:val="22"/>
              </w:rPr>
              <w:t>Ikke undersøgt. Sedativa/hypnotika metaboliseres i vid udstrækning af CYP3A. Co-administration med darunavir/ritonavir kan give anledning til en kraftig forøgelse af koncentrationen af disse lægemidler.</w:t>
            </w:r>
          </w:p>
          <w:p w:rsidR="00603CB3" w:rsidRPr="00A22D75" w:rsidRDefault="00603CB3" w:rsidP="00603CB3">
            <w:pPr>
              <w:tabs>
                <w:tab w:val="left" w:pos="1380"/>
              </w:tabs>
              <w:ind w:left="137" w:right="56"/>
              <w:rPr>
                <w:sz w:val="22"/>
                <w:szCs w:val="22"/>
              </w:rPr>
            </w:pPr>
          </w:p>
          <w:p w:rsidR="00603CB3" w:rsidRPr="00A22D75" w:rsidRDefault="00603CB3" w:rsidP="00603CB3">
            <w:pPr>
              <w:tabs>
                <w:tab w:val="left" w:pos="1380"/>
              </w:tabs>
              <w:ind w:left="137" w:right="56"/>
              <w:rPr>
                <w:sz w:val="22"/>
                <w:szCs w:val="22"/>
              </w:rPr>
            </w:pPr>
          </w:p>
          <w:p w:rsidR="00603CB3" w:rsidRPr="00A22D75" w:rsidRDefault="00603CB3" w:rsidP="00603CB3">
            <w:pPr>
              <w:tabs>
                <w:tab w:val="left" w:pos="1380"/>
              </w:tabs>
              <w:ind w:left="137" w:right="56"/>
              <w:rPr>
                <w:sz w:val="22"/>
                <w:szCs w:val="22"/>
              </w:rPr>
            </w:pPr>
          </w:p>
          <w:p w:rsidR="00603CB3" w:rsidRPr="00A22D75" w:rsidRDefault="00603CB3" w:rsidP="00603CB3">
            <w:pPr>
              <w:tabs>
                <w:tab w:val="left" w:pos="1380"/>
              </w:tabs>
              <w:ind w:left="137" w:right="56"/>
              <w:rPr>
                <w:sz w:val="22"/>
                <w:szCs w:val="22"/>
              </w:rPr>
            </w:pPr>
            <w:r w:rsidRPr="00A22D75">
              <w:rPr>
                <w:sz w:val="22"/>
                <w:szCs w:val="22"/>
              </w:rPr>
              <w:t xml:space="preserve">Co-administration af parenteral midazolam med darunavir co-administreret med lavdosis ritonavir kan give en kraftig forøgelse af koncentrationen af </w:t>
            </w:r>
            <w:proofErr w:type="gramStart"/>
            <w:r w:rsidRPr="00A22D75">
              <w:rPr>
                <w:sz w:val="22"/>
                <w:szCs w:val="22"/>
              </w:rPr>
              <w:t>dette benzodiazepin</w:t>
            </w:r>
            <w:proofErr w:type="gramEnd"/>
            <w:r w:rsidRPr="00A22D75">
              <w:rPr>
                <w:sz w:val="22"/>
                <w:szCs w:val="22"/>
              </w:rPr>
              <w:t>. Data for samtidig brug af parenteral midazolam med andre proteasehæmmere peger på en mulig 3-4 gange forøgelse af midazolams plasmaniveau.</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 xml:space="preserve">Klinisk monitorering anbefales ved co-administration af darunavir med disse sedativa/hypnotika, og en lavere dosis af sedativa/hypnotika bør overvejes. </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t>Hvis parenteral midazolam co-administreres med darunavir,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603CB3" w:rsidRPr="00A22D75" w:rsidRDefault="00603CB3" w:rsidP="00603CB3">
            <w:pPr>
              <w:ind w:left="137" w:right="56"/>
              <w:rPr>
                <w:sz w:val="22"/>
                <w:szCs w:val="22"/>
              </w:rPr>
            </w:pPr>
          </w:p>
          <w:p w:rsidR="00603CB3" w:rsidRPr="00A22D75" w:rsidRDefault="00603CB3" w:rsidP="00603CB3">
            <w:pPr>
              <w:ind w:left="137" w:right="56"/>
              <w:rPr>
                <w:sz w:val="22"/>
                <w:szCs w:val="22"/>
              </w:rPr>
            </w:pPr>
            <w:r w:rsidRPr="00A22D75">
              <w:rPr>
                <w:sz w:val="22"/>
                <w:szCs w:val="22"/>
              </w:rPr>
              <w:lastRenderedPageBreak/>
              <w:t>Darunavir med lavdosis ritonavir med triazolam eller oral midazolam er kontraindiceret (se pkt. 4.3)</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b/>
                <w:bCs/>
                <w:sz w:val="22"/>
                <w:szCs w:val="22"/>
              </w:rPr>
            </w:pPr>
            <w:r w:rsidRPr="00A22D75">
              <w:rPr>
                <w:b/>
                <w:bCs/>
                <w:sz w:val="22"/>
                <w:szCs w:val="22"/>
              </w:rPr>
              <w:lastRenderedPageBreak/>
              <w:t>BEHANDLING FOR FOR TIDLIG SÆDAFGANG</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sz w:val="22"/>
                <w:szCs w:val="22"/>
              </w:rPr>
            </w:pPr>
            <w:r w:rsidRPr="00A22D75">
              <w:rPr>
                <w:sz w:val="22"/>
                <w:szCs w:val="22"/>
              </w:rPr>
              <w:t>Dapoxetin</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tabs>
                <w:tab w:val="left" w:pos="1380"/>
              </w:tabs>
              <w:ind w:left="137" w:right="56"/>
              <w:rPr>
                <w:sz w:val="22"/>
                <w:szCs w:val="22"/>
              </w:rPr>
            </w:pPr>
            <w:r w:rsidRPr="00A22D75">
              <w:rPr>
                <w:sz w:val="22"/>
                <w:szCs w:val="22"/>
              </w:rPr>
              <w:t>Ikke undersøgt</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 xml:space="preserve">Co-administration af boostet darunavir med dapoxetin er kontraindiceret. </w:t>
            </w:r>
          </w:p>
        </w:tc>
      </w:tr>
      <w:tr w:rsidR="00603CB3" w:rsidRPr="00A22D75" w:rsidTr="00603CB3">
        <w:trPr>
          <w:gridAfter w:val="1"/>
          <w:wAfter w:w="38" w:type="pct"/>
          <w:trHeight w:val="20"/>
        </w:trPr>
        <w:tc>
          <w:tcPr>
            <w:tcW w:w="4962" w:type="pct"/>
            <w:gridSpan w:val="6"/>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b/>
                <w:bCs/>
                <w:sz w:val="22"/>
                <w:szCs w:val="22"/>
              </w:rPr>
            </w:pPr>
            <w:r w:rsidRPr="00A22D75">
              <w:rPr>
                <w:b/>
                <w:bCs/>
                <w:sz w:val="22"/>
                <w:szCs w:val="22"/>
              </w:rPr>
              <w:t>UROLOGISKE LÆGEMIDLER</w:t>
            </w:r>
          </w:p>
        </w:tc>
      </w:tr>
      <w:tr w:rsidR="00603CB3" w:rsidRPr="00A22D75" w:rsidTr="00603CB3">
        <w:trPr>
          <w:gridAfter w:val="1"/>
          <w:wAfter w:w="38" w:type="pct"/>
          <w:trHeight w:val="20"/>
        </w:trPr>
        <w:tc>
          <w:tcPr>
            <w:tcW w:w="1333" w:type="pct"/>
            <w:gridSpan w:val="2"/>
            <w:tcBorders>
              <w:top w:val="single" w:sz="4" w:space="0" w:color="000000"/>
              <w:left w:val="single" w:sz="4" w:space="0" w:color="000000"/>
              <w:bottom w:val="single" w:sz="4" w:space="0" w:color="000000"/>
              <w:right w:val="single" w:sz="4" w:space="0" w:color="000000"/>
            </w:tcBorders>
          </w:tcPr>
          <w:p w:rsidR="00603CB3" w:rsidRPr="004623FF" w:rsidRDefault="00603CB3" w:rsidP="00603CB3">
            <w:pPr>
              <w:ind w:left="137" w:right="56"/>
              <w:rPr>
                <w:sz w:val="22"/>
                <w:szCs w:val="22"/>
              </w:rPr>
            </w:pPr>
            <w:r w:rsidRPr="004623FF">
              <w:rPr>
                <w:sz w:val="22"/>
                <w:szCs w:val="22"/>
              </w:rPr>
              <w:t>Fest</w:t>
            </w:r>
            <w:r w:rsidRPr="00A22D75">
              <w:rPr>
                <w:sz w:val="22"/>
                <w:szCs w:val="22"/>
              </w:rPr>
              <w:t>o</w:t>
            </w:r>
            <w:r w:rsidRPr="004623FF">
              <w:rPr>
                <w:sz w:val="22"/>
                <w:szCs w:val="22"/>
              </w:rPr>
              <w:t>terodin</w:t>
            </w:r>
          </w:p>
          <w:p w:rsidR="00603CB3" w:rsidRPr="004623FF" w:rsidRDefault="00603CB3" w:rsidP="00603CB3">
            <w:pPr>
              <w:ind w:left="137" w:right="56"/>
              <w:rPr>
                <w:sz w:val="22"/>
                <w:szCs w:val="22"/>
              </w:rPr>
            </w:pPr>
            <w:r w:rsidRPr="004623FF">
              <w:rPr>
                <w:sz w:val="22"/>
                <w:szCs w:val="22"/>
              </w:rPr>
              <w:t>Solifenacin</w:t>
            </w:r>
          </w:p>
        </w:tc>
        <w:tc>
          <w:tcPr>
            <w:tcW w:w="1961"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tabs>
                <w:tab w:val="left" w:pos="1380"/>
              </w:tabs>
              <w:ind w:left="137" w:right="56"/>
              <w:rPr>
                <w:sz w:val="22"/>
                <w:szCs w:val="22"/>
              </w:rPr>
            </w:pPr>
            <w:r w:rsidRPr="00A22D75">
              <w:rPr>
                <w:sz w:val="22"/>
                <w:szCs w:val="22"/>
              </w:rPr>
              <w:t>Ikke undersøgt</w:t>
            </w:r>
          </w:p>
        </w:tc>
        <w:tc>
          <w:tcPr>
            <w:tcW w:w="1668" w:type="pct"/>
            <w:gridSpan w:val="2"/>
            <w:tcBorders>
              <w:top w:val="single" w:sz="4" w:space="0" w:color="000000"/>
              <w:left w:val="single" w:sz="4" w:space="0" w:color="000000"/>
              <w:bottom w:val="single" w:sz="4" w:space="0" w:color="000000"/>
              <w:right w:val="single" w:sz="4" w:space="0" w:color="000000"/>
            </w:tcBorders>
          </w:tcPr>
          <w:p w:rsidR="00603CB3" w:rsidRPr="00A22D75" w:rsidRDefault="00603CB3" w:rsidP="00603CB3">
            <w:pPr>
              <w:ind w:left="137" w:right="56"/>
              <w:rPr>
                <w:sz w:val="22"/>
                <w:szCs w:val="22"/>
              </w:rPr>
            </w:pPr>
            <w:r w:rsidRPr="00A22D75">
              <w:rPr>
                <w:sz w:val="22"/>
                <w:szCs w:val="22"/>
              </w:rPr>
              <w:t>Brug med forsigtighed. Monitorer for bivirkninger af fesoterodin eller solifenacin. Dosisreduktion af fesoterodin eller solifenacin kan være nødvendigt.</w:t>
            </w:r>
          </w:p>
        </w:tc>
      </w:tr>
    </w:tbl>
    <w:p w:rsidR="00603CB3" w:rsidRDefault="00603CB3" w:rsidP="00603CB3">
      <w:pPr>
        <w:ind w:left="851" w:hanging="283"/>
        <w:rPr>
          <w:bCs/>
          <w:sz w:val="24"/>
          <w:szCs w:val="24"/>
        </w:rPr>
      </w:pPr>
      <w:r>
        <w:rPr>
          <w:bCs/>
          <w:sz w:val="24"/>
          <w:szCs w:val="24"/>
          <w:vertAlign w:val="superscript"/>
        </w:rPr>
        <w:t>#</w:t>
      </w:r>
      <w:r>
        <w:rPr>
          <w:bCs/>
          <w:sz w:val="24"/>
          <w:szCs w:val="24"/>
        </w:rPr>
        <w:t xml:space="preserve"> </w:t>
      </w:r>
      <w:r>
        <w:rPr>
          <w:bCs/>
          <w:sz w:val="24"/>
          <w:szCs w:val="24"/>
        </w:rPr>
        <w:tab/>
        <w:t xml:space="preserve">Studier er udført med lavere end anbefalet dosis af darunavir eller med forskellige dosis intervaller (se pkt. 4.2 Dosering) </w:t>
      </w:r>
    </w:p>
    <w:p w:rsidR="00603CB3" w:rsidRDefault="00603CB3" w:rsidP="00603CB3">
      <w:pPr>
        <w:ind w:left="851" w:hanging="283"/>
        <w:rPr>
          <w:sz w:val="24"/>
          <w:szCs w:val="24"/>
        </w:rPr>
      </w:pPr>
      <w:r>
        <w:rPr>
          <w:b/>
          <w:bCs/>
          <w:sz w:val="24"/>
          <w:szCs w:val="24"/>
        </w:rPr>
        <w:t xml:space="preserve">† </w:t>
      </w:r>
      <w:r>
        <w:rPr>
          <w:b/>
          <w:bCs/>
          <w:sz w:val="24"/>
          <w:szCs w:val="24"/>
        </w:rPr>
        <w:tab/>
      </w:r>
      <w:r>
        <w:rPr>
          <w:sz w:val="24"/>
          <w:szCs w:val="24"/>
        </w:rPr>
        <w:t>Darunavirs sikkerhed og virkning sammen med 100 mg ritonavir og andre PI’er (f.eks. (fos)amprenavir og tipranavir) er ikke klarlagt hos HIV-patienter. Ifølge gældende retningslinjer for behandlingen kan samtidig behandling med flere proteasehæmmere generelt ikke anbefales.</w:t>
      </w:r>
    </w:p>
    <w:p w:rsidR="00603CB3" w:rsidRDefault="00603CB3" w:rsidP="00603CB3">
      <w:pPr>
        <w:ind w:left="851" w:hanging="283"/>
        <w:rPr>
          <w:sz w:val="24"/>
          <w:szCs w:val="24"/>
        </w:rPr>
      </w:pPr>
      <w:r>
        <w:rPr>
          <w:bCs/>
          <w:sz w:val="24"/>
          <w:szCs w:val="24"/>
        </w:rPr>
        <w:t>#</w:t>
      </w:r>
      <w:r>
        <w:rPr>
          <w:bCs/>
          <w:sz w:val="24"/>
          <w:szCs w:val="24"/>
        </w:rPr>
        <w:tab/>
        <w:t xml:space="preserve">Studier var udført med tenofovirdisoproxilfumarate 300 mg en gang dagligt. </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4.6</w:t>
      </w:r>
      <w:r w:rsidRPr="00ED0DE7">
        <w:rPr>
          <w:b/>
          <w:sz w:val="24"/>
          <w:szCs w:val="24"/>
        </w:rPr>
        <w:tab/>
      </w:r>
      <w:r w:rsidR="00603CB3">
        <w:rPr>
          <w:b/>
          <w:sz w:val="24"/>
          <w:szCs w:val="24"/>
        </w:rPr>
        <w:t>Fertilitet, g</w:t>
      </w:r>
      <w:r w:rsidRPr="00ED0DE7">
        <w:rPr>
          <w:b/>
          <w:sz w:val="24"/>
          <w:szCs w:val="24"/>
        </w:rPr>
        <w:t>raviditet og amning</w:t>
      </w:r>
    </w:p>
    <w:p w:rsidR="00B91372" w:rsidRDefault="00B91372" w:rsidP="00B91372">
      <w:pPr>
        <w:tabs>
          <w:tab w:val="left" w:pos="851"/>
        </w:tabs>
        <w:ind w:left="851"/>
        <w:rPr>
          <w:sz w:val="24"/>
          <w:szCs w:val="24"/>
          <w:u w:val="single"/>
        </w:rPr>
      </w:pPr>
    </w:p>
    <w:p w:rsidR="00B862A8" w:rsidRPr="00ED0DE7" w:rsidRDefault="00B862A8" w:rsidP="00B862A8">
      <w:pPr>
        <w:tabs>
          <w:tab w:val="left" w:pos="851"/>
        </w:tabs>
        <w:ind w:left="851"/>
        <w:rPr>
          <w:sz w:val="24"/>
          <w:szCs w:val="24"/>
          <w:u w:val="single"/>
        </w:rPr>
      </w:pPr>
      <w:r w:rsidRPr="00ED0DE7">
        <w:rPr>
          <w:sz w:val="24"/>
          <w:szCs w:val="24"/>
          <w:u w:val="single"/>
        </w:rPr>
        <w:t>Graviditet</w:t>
      </w:r>
    </w:p>
    <w:p w:rsidR="00B862A8" w:rsidRPr="00ED0DE7" w:rsidRDefault="00B862A8" w:rsidP="00B862A8">
      <w:pPr>
        <w:tabs>
          <w:tab w:val="left" w:pos="851"/>
        </w:tabs>
        <w:ind w:left="851"/>
        <w:rPr>
          <w:sz w:val="24"/>
          <w:szCs w:val="24"/>
        </w:rPr>
      </w:pPr>
      <w:r w:rsidRPr="00ED0DE7">
        <w:rPr>
          <w:sz w:val="24"/>
          <w:szCs w:val="24"/>
        </w:rPr>
        <w:t xml:space="preserve">Som hovedregel skal såvel dyredata som kliniske erfaringer hos gravide kvinder tages i betragtning, når det besluttes at anvende antiretrovirale lægemidler til behandling af </w:t>
      </w:r>
      <w:r>
        <w:rPr>
          <w:sz w:val="24"/>
          <w:szCs w:val="24"/>
        </w:rPr>
        <w:t>HIV</w:t>
      </w:r>
      <w:r w:rsidRPr="00ED0DE7">
        <w:rPr>
          <w:sz w:val="24"/>
          <w:szCs w:val="24"/>
        </w:rPr>
        <w:t xml:space="preserve">-infektion hos gravide kvinder og dermed til at reducere risikoen for vertikal transmission af </w:t>
      </w:r>
      <w:r>
        <w:rPr>
          <w:sz w:val="24"/>
          <w:szCs w:val="24"/>
        </w:rPr>
        <w:t>HIV</w:t>
      </w:r>
      <w:r w:rsidRPr="00ED0DE7">
        <w:rPr>
          <w:sz w:val="24"/>
          <w:szCs w:val="24"/>
        </w:rPr>
        <w:t xml:space="preserve"> til den nyfødte.</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Darunavir, co-administreret med lavdosis ritonavir, bør kun anvendes under graviditet, hvis den mulige fordel opvejer den mulige risiko.</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Amning</w:t>
      </w:r>
    </w:p>
    <w:p w:rsidR="00B762BC" w:rsidRDefault="00B862A8" w:rsidP="00B762BC">
      <w:pPr>
        <w:tabs>
          <w:tab w:val="left" w:pos="851"/>
        </w:tabs>
        <w:ind w:left="851"/>
        <w:rPr>
          <w:sz w:val="24"/>
          <w:szCs w:val="24"/>
        </w:rPr>
      </w:pPr>
      <w:r w:rsidRPr="00ED0DE7">
        <w:rPr>
          <w:sz w:val="24"/>
          <w:szCs w:val="24"/>
        </w:rPr>
        <w:t xml:space="preserve">Det vides ikke, om darunavir udskilles i human mælk. Studier med rotter har vist, at darunavir udskilles i mælk og medførte toksicitet ved høje niveauer (1.000 mg/kg/dag). Både på grund af risiko for overførsel af </w:t>
      </w:r>
      <w:r>
        <w:rPr>
          <w:sz w:val="24"/>
          <w:szCs w:val="24"/>
        </w:rPr>
        <w:t>HIV</w:t>
      </w:r>
      <w:r w:rsidRPr="00ED0DE7">
        <w:rPr>
          <w:sz w:val="24"/>
          <w:szCs w:val="24"/>
        </w:rPr>
        <w:t xml:space="preserve"> og risiko for bivirkninger hos de ammede spædbørn, skal mødre instrueres i, at de under ingen omstændigheder må amme, hvis de behandles med darunavir.</w:t>
      </w:r>
    </w:p>
    <w:p w:rsidR="00B762BC" w:rsidRDefault="00B762BC" w:rsidP="00B762BC">
      <w:pPr>
        <w:tabs>
          <w:tab w:val="left" w:pos="851"/>
        </w:tabs>
        <w:ind w:left="851"/>
        <w:rPr>
          <w:sz w:val="24"/>
          <w:szCs w:val="24"/>
        </w:rPr>
      </w:pPr>
    </w:p>
    <w:p w:rsidR="00B762BC" w:rsidRDefault="00B762BC" w:rsidP="00B762BC">
      <w:pPr>
        <w:tabs>
          <w:tab w:val="left" w:pos="851"/>
        </w:tabs>
        <w:ind w:left="851"/>
        <w:rPr>
          <w:sz w:val="24"/>
          <w:szCs w:val="24"/>
        </w:rPr>
      </w:pPr>
      <w:r>
        <w:rPr>
          <w:sz w:val="24"/>
          <w:szCs w:val="24"/>
        </w:rPr>
        <w:t xml:space="preserve">På grund af risikoenfor bivirkninger hos de ammede spædbørn skal kvinder instrueresi, at de ikke må amme, hvis de behandles med darunavir. </w:t>
      </w:r>
    </w:p>
    <w:p w:rsidR="00B762BC" w:rsidRDefault="00B762BC" w:rsidP="00B762BC">
      <w:pPr>
        <w:tabs>
          <w:tab w:val="left" w:pos="851"/>
        </w:tabs>
        <w:ind w:left="851"/>
        <w:rPr>
          <w:sz w:val="24"/>
          <w:szCs w:val="24"/>
        </w:rPr>
      </w:pPr>
    </w:p>
    <w:p w:rsidR="00B762BC" w:rsidRPr="00ED0DE7" w:rsidRDefault="00B762BC" w:rsidP="00B762BC">
      <w:pPr>
        <w:tabs>
          <w:tab w:val="left" w:pos="851"/>
        </w:tabs>
        <w:ind w:left="851"/>
        <w:rPr>
          <w:sz w:val="24"/>
          <w:szCs w:val="24"/>
        </w:rPr>
      </w:pPr>
      <w:r>
        <w:rPr>
          <w:sz w:val="24"/>
          <w:szCs w:val="24"/>
        </w:rPr>
        <w:t>For at undgå overførsel af HIV til spædbarnet anbefales det, at hiv-inficerede kvinder undlader at amme deres spædbørn.</w:t>
      </w:r>
    </w:p>
    <w:p w:rsidR="00B862A8" w:rsidRPr="00ED0DE7" w:rsidRDefault="00B862A8" w:rsidP="00B862A8">
      <w:pPr>
        <w:tabs>
          <w:tab w:val="left" w:pos="851"/>
        </w:tabs>
        <w:ind w:left="851"/>
        <w:rPr>
          <w:sz w:val="24"/>
          <w:szCs w:val="24"/>
        </w:rPr>
      </w:pPr>
    </w:p>
    <w:p w:rsidR="00B862A8" w:rsidRPr="00ED0DE7" w:rsidRDefault="00B862A8" w:rsidP="00B762BC">
      <w:pPr>
        <w:keepNext/>
        <w:tabs>
          <w:tab w:val="left" w:pos="851"/>
        </w:tabs>
        <w:ind w:left="851"/>
        <w:rPr>
          <w:sz w:val="24"/>
          <w:szCs w:val="24"/>
          <w:u w:val="single"/>
        </w:rPr>
      </w:pPr>
      <w:r w:rsidRPr="00ED0DE7">
        <w:rPr>
          <w:sz w:val="24"/>
          <w:szCs w:val="24"/>
          <w:u w:val="single"/>
        </w:rPr>
        <w:lastRenderedPageBreak/>
        <w:t>Fertilitet</w:t>
      </w:r>
    </w:p>
    <w:p w:rsidR="00B862A8" w:rsidRPr="00ED0DE7" w:rsidRDefault="00B862A8" w:rsidP="00B862A8">
      <w:pPr>
        <w:tabs>
          <w:tab w:val="left" w:pos="851"/>
        </w:tabs>
        <w:ind w:left="851"/>
        <w:rPr>
          <w:sz w:val="24"/>
          <w:szCs w:val="24"/>
        </w:rPr>
      </w:pPr>
      <w:r w:rsidRPr="00ED0DE7">
        <w:rPr>
          <w:sz w:val="24"/>
          <w:szCs w:val="24"/>
        </w:rPr>
        <w:t>Der foreligger ingen data om virkningen af darunavir på fertilitet hos mennesker. Der sås ingen virkning på parring eller fertilitet hos rotter i forbindelse med behandling med darunavir (se pkt. 5.3).</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4.7</w:t>
      </w:r>
      <w:r w:rsidRPr="00ED0DE7">
        <w:rPr>
          <w:b/>
          <w:sz w:val="24"/>
          <w:szCs w:val="24"/>
        </w:rPr>
        <w:tab/>
        <w:t xml:space="preserve">Virkning på evnen til at føre motorkøretøj </w:t>
      </w:r>
      <w:r w:rsidR="00603CB3">
        <w:rPr>
          <w:b/>
          <w:sz w:val="24"/>
          <w:szCs w:val="24"/>
        </w:rPr>
        <w:t>og</w:t>
      </w:r>
      <w:r w:rsidRPr="00ED0DE7">
        <w:rPr>
          <w:b/>
          <w:sz w:val="24"/>
          <w:szCs w:val="24"/>
        </w:rPr>
        <w:t xml:space="preserve"> betjene maskiner</w:t>
      </w:r>
    </w:p>
    <w:p w:rsidR="00B91372" w:rsidRPr="00ED0DE7" w:rsidRDefault="00B91372" w:rsidP="00B91372">
      <w:pPr>
        <w:tabs>
          <w:tab w:val="left" w:pos="851"/>
        </w:tabs>
        <w:ind w:left="851"/>
        <w:rPr>
          <w:sz w:val="24"/>
          <w:szCs w:val="24"/>
        </w:rPr>
      </w:pPr>
      <w:r w:rsidRPr="00ED0DE7">
        <w:rPr>
          <w:sz w:val="24"/>
          <w:szCs w:val="24"/>
        </w:rPr>
        <w:t>Ikke mærkning.</w:t>
      </w:r>
    </w:p>
    <w:p w:rsidR="00B91372" w:rsidRPr="00ED0DE7" w:rsidRDefault="00B91372" w:rsidP="00B91372">
      <w:pPr>
        <w:tabs>
          <w:tab w:val="left" w:pos="851"/>
          <w:tab w:val="left" w:pos="3256"/>
        </w:tabs>
        <w:ind w:left="851" w:hanging="851"/>
        <w:rPr>
          <w:sz w:val="24"/>
          <w:szCs w:val="24"/>
        </w:rPr>
      </w:pPr>
      <w:r w:rsidRPr="00ED0DE7">
        <w:rPr>
          <w:sz w:val="24"/>
          <w:szCs w:val="24"/>
        </w:rPr>
        <w:tab/>
        <w:t>Darunavir i kombination med ritonavir påvirker ikke eller kun i ubetydelig grad evnen til at føre motorkøretøj og betjene maskiner. Der er dog rapporteret om svimmelhed hos nogle patienter under behandlingen med regimer, der indeholder darunavir, co-administreret med lavdosis ritonavir. Dette skal der tages højde for ved vurdering af en patients evne til at føre motorkøretøj eller betjene maskiner (se pkt. 4.8).</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4.8</w:t>
      </w:r>
      <w:r w:rsidRPr="00ED0DE7">
        <w:rPr>
          <w:b/>
          <w:sz w:val="24"/>
          <w:szCs w:val="24"/>
        </w:rPr>
        <w:tab/>
        <w:t>Bivirkninger</w:t>
      </w:r>
    </w:p>
    <w:p w:rsidR="00B91372" w:rsidRDefault="00B91372" w:rsidP="00B91372">
      <w:pPr>
        <w:tabs>
          <w:tab w:val="left" w:pos="851"/>
        </w:tabs>
        <w:ind w:left="851"/>
        <w:rPr>
          <w:sz w:val="24"/>
          <w:szCs w:val="24"/>
          <w:u w:val="single"/>
        </w:rPr>
      </w:pPr>
    </w:p>
    <w:p w:rsidR="00B91372" w:rsidRPr="00ED0DE7" w:rsidRDefault="00B91372" w:rsidP="00B91372">
      <w:pPr>
        <w:tabs>
          <w:tab w:val="left" w:pos="851"/>
        </w:tabs>
        <w:ind w:left="851"/>
        <w:rPr>
          <w:sz w:val="24"/>
          <w:szCs w:val="24"/>
          <w:u w:val="single"/>
        </w:rPr>
      </w:pPr>
      <w:r w:rsidRPr="00ED0DE7">
        <w:rPr>
          <w:sz w:val="24"/>
          <w:szCs w:val="24"/>
          <w:u w:val="single"/>
        </w:rPr>
        <w:t>Oversigt over sikkerhedsprofilen</w:t>
      </w:r>
    </w:p>
    <w:p w:rsidR="00B91372" w:rsidRPr="00ED0DE7" w:rsidRDefault="00B91372" w:rsidP="00B91372">
      <w:pPr>
        <w:tabs>
          <w:tab w:val="left" w:pos="851"/>
        </w:tabs>
        <w:ind w:left="851"/>
        <w:rPr>
          <w:sz w:val="24"/>
          <w:szCs w:val="24"/>
        </w:rPr>
      </w:pPr>
      <w:r w:rsidRPr="00ED0DE7">
        <w:rPr>
          <w:sz w:val="24"/>
          <w:szCs w:val="24"/>
        </w:rPr>
        <w:t>I løbet af det kliniske udviklingsprogram (N=2.613 behandlingserfarne forsøgspersoner, som indledte behandling med darunavir/ritonavir 600/100 mg to gange daglig),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immunrekonstitutionsinflammatorisk syndrom (IRIS), trombocytopeni, osteonekrose, diarré, hepatitis og pyreksi.</w:t>
      </w:r>
    </w:p>
    <w:p w:rsidR="00B91372" w:rsidRPr="00ED0DE7" w:rsidRDefault="00B91372" w:rsidP="00B91372">
      <w:pPr>
        <w:pStyle w:val="Sidehoved"/>
        <w:tabs>
          <w:tab w:val="clear" w:pos="4819"/>
          <w:tab w:val="clear" w:pos="9638"/>
          <w:tab w:val="left" w:pos="851"/>
        </w:tabs>
        <w:ind w:left="851"/>
        <w:rPr>
          <w:szCs w:val="24"/>
        </w:rPr>
      </w:pPr>
    </w:p>
    <w:p w:rsidR="00B91372" w:rsidRPr="00ED0DE7" w:rsidRDefault="00B91372" w:rsidP="00B91372">
      <w:pPr>
        <w:pStyle w:val="Sidehoved"/>
        <w:tabs>
          <w:tab w:val="left" w:pos="851"/>
        </w:tabs>
        <w:ind w:left="851"/>
        <w:rPr>
          <w:szCs w:val="24"/>
        </w:rPr>
      </w:pPr>
      <w:r w:rsidRPr="00ED0DE7">
        <w:rPr>
          <w:szCs w:val="24"/>
        </w:rPr>
        <w:t>I 96-ugers-analysen svarede sikkerhedsprofilen for darunavir/ritonavir 800/100 mg en gang daglig hos behandlingsnaive patienter til profilen for darunavir/ritonavir 600/100 mg to gange daglig hos behandlingserfarne patienter med undtagelse af kvalme, der sås hyppigere hos behandlingsnaive patienter. Det drejede sig især om lettere kvalme. Ingen nye sikkerhedsfund blev identificeret i 192- ugers-analysen af behandlingsnaive patienter, hvor den gennemsnitlige behandlingstid med darunavir/ritonavir 800/100 mg en gang daglig var 162,5 uger.</w:t>
      </w:r>
    </w:p>
    <w:p w:rsidR="00B91372" w:rsidRPr="00ED0DE7" w:rsidRDefault="00B91372" w:rsidP="00B91372">
      <w:pPr>
        <w:pStyle w:val="Sidehoved"/>
        <w:tabs>
          <w:tab w:val="left" w:pos="851"/>
        </w:tabs>
        <w:ind w:left="851"/>
        <w:rPr>
          <w:szCs w:val="24"/>
        </w:rPr>
      </w:pPr>
    </w:p>
    <w:p w:rsidR="00B91372" w:rsidRPr="00ED0DE7" w:rsidRDefault="00B91372" w:rsidP="00B91372">
      <w:pPr>
        <w:pStyle w:val="Sidehoved"/>
        <w:tabs>
          <w:tab w:val="left" w:pos="851"/>
        </w:tabs>
        <w:ind w:left="851"/>
        <w:rPr>
          <w:szCs w:val="24"/>
          <w:u w:val="single"/>
        </w:rPr>
      </w:pPr>
      <w:r w:rsidRPr="00ED0DE7">
        <w:rPr>
          <w:szCs w:val="24"/>
          <w:u w:val="single"/>
        </w:rPr>
        <w:t>Oversigt over bivirkninger i tabelform</w:t>
      </w:r>
    </w:p>
    <w:p w:rsidR="00B91372" w:rsidRPr="00ED0DE7" w:rsidRDefault="00B91372" w:rsidP="00B91372">
      <w:pPr>
        <w:pStyle w:val="Sidehoved"/>
        <w:tabs>
          <w:tab w:val="left" w:pos="851"/>
        </w:tabs>
        <w:ind w:left="851"/>
        <w:rPr>
          <w:szCs w:val="24"/>
        </w:rPr>
      </w:pPr>
      <w:r w:rsidRPr="00ED0DE7">
        <w:rPr>
          <w:szCs w:val="24"/>
        </w:rPr>
        <w:t>Bivirkningerne er opstillet efter systemorganklasse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rsidR="00B91372" w:rsidRPr="00ED0DE7" w:rsidRDefault="00B91372" w:rsidP="00B91372">
      <w:pPr>
        <w:pStyle w:val="Sidehoved"/>
        <w:tabs>
          <w:tab w:val="left" w:pos="851"/>
        </w:tabs>
        <w:ind w:left="851"/>
        <w:rPr>
          <w:szCs w:val="24"/>
        </w:rPr>
      </w:pPr>
    </w:p>
    <w:p w:rsidR="00B91372" w:rsidRDefault="00B91372" w:rsidP="00B91372">
      <w:pPr>
        <w:pStyle w:val="Sidehoved"/>
        <w:tabs>
          <w:tab w:val="left" w:pos="851"/>
        </w:tabs>
        <w:ind w:left="851"/>
        <w:rPr>
          <w:i/>
          <w:iCs/>
          <w:szCs w:val="24"/>
        </w:rPr>
      </w:pPr>
      <w:r>
        <w:rPr>
          <w:i/>
          <w:iCs/>
          <w:szCs w:val="24"/>
        </w:rPr>
        <w:t>Bivirkninger indberettet med darunavir/ritonavir fra kliniske studier og efter markedsføring</w:t>
      </w:r>
    </w:p>
    <w:p w:rsidR="00B91372" w:rsidRPr="00ED0DE7" w:rsidRDefault="00B91372" w:rsidP="00B91372">
      <w:pPr>
        <w:rPr>
          <w:sz w:val="24"/>
          <w:szCs w:val="24"/>
        </w:rPr>
      </w:pPr>
    </w:p>
    <w:tbl>
      <w:tblPr>
        <w:tblW w:w="5000" w:type="pct"/>
        <w:tblCellMar>
          <w:left w:w="0" w:type="dxa"/>
          <w:right w:w="0" w:type="dxa"/>
        </w:tblCellMar>
        <w:tblLook w:val="01E0" w:firstRow="1" w:lastRow="1" w:firstColumn="1" w:lastColumn="1" w:noHBand="0" w:noVBand="0"/>
      </w:tblPr>
      <w:tblGrid>
        <w:gridCol w:w="4878"/>
        <w:gridCol w:w="19"/>
        <w:gridCol w:w="4731"/>
      </w:tblGrid>
      <w:tr w:rsidR="00B91372" w:rsidRPr="00ED0DE7" w:rsidTr="00B64DBB">
        <w:trPr>
          <w:trHeight w:hRule="exact" w:val="555"/>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b/>
                <w:sz w:val="24"/>
                <w:szCs w:val="24"/>
              </w:rPr>
            </w:pPr>
            <w:r w:rsidRPr="00ED0DE7">
              <w:rPr>
                <w:b/>
                <w:sz w:val="24"/>
                <w:szCs w:val="24"/>
              </w:rPr>
              <w:t>MedDRA-systemorganklasse</w:t>
            </w:r>
          </w:p>
          <w:p w:rsidR="00B91372" w:rsidRPr="00ED0DE7" w:rsidRDefault="00B91372" w:rsidP="00B64DBB">
            <w:pPr>
              <w:ind w:left="137" w:right="-20"/>
              <w:rPr>
                <w:b/>
                <w:sz w:val="24"/>
                <w:szCs w:val="24"/>
              </w:rPr>
            </w:pPr>
            <w:r w:rsidRPr="00ED0DE7">
              <w:rPr>
                <w:b/>
                <w:sz w:val="24"/>
                <w:szCs w:val="24"/>
              </w:rPr>
              <w:t>Hyppighedskategori</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b/>
                <w:sz w:val="24"/>
                <w:szCs w:val="24"/>
              </w:rPr>
            </w:pPr>
            <w:r w:rsidRPr="00ED0DE7">
              <w:rPr>
                <w:b/>
                <w:sz w:val="24"/>
                <w:szCs w:val="24"/>
              </w:rPr>
              <w:t>Bivirkninger</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Infektioner og parasitære sygdomme</w:t>
            </w:r>
          </w:p>
        </w:tc>
      </w:tr>
      <w:tr w:rsidR="00B91372" w:rsidRPr="00ED0DE7" w:rsidTr="00B64DBB">
        <w:trPr>
          <w:trHeight w:hRule="exact" w:val="262"/>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Herpes simplex</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Blod og lymfesystem</w:t>
            </w:r>
          </w:p>
        </w:tc>
      </w:tr>
      <w:tr w:rsidR="00B91372" w:rsidRPr="00ED0DE7" w:rsidTr="00B64DBB">
        <w:trPr>
          <w:trHeight w:hRule="exact" w:val="853"/>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pacing w:val="-1"/>
                <w:sz w:val="24"/>
                <w:szCs w:val="24"/>
              </w:rPr>
              <w:t>Ikke almindelig</w:t>
            </w:r>
          </w:p>
          <w:p w:rsidR="00B91372" w:rsidRPr="00ED0DE7" w:rsidRDefault="00B91372" w:rsidP="00B64DBB">
            <w:pPr>
              <w:ind w:left="137"/>
              <w:rPr>
                <w:sz w:val="24"/>
                <w:szCs w:val="24"/>
              </w:rPr>
            </w:pPr>
          </w:p>
          <w:p w:rsidR="00B91372" w:rsidRPr="00ED0DE7" w:rsidRDefault="00B91372" w:rsidP="00B64DBB">
            <w:pPr>
              <w:ind w:left="137" w:right="-20"/>
              <w:rPr>
                <w:sz w:val="24"/>
                <w:szCs w:val="24"/>
              </w:rPr>
            </w:pPr>
            <w:r w:rsidRPr="00ED0DE7">
              <w:rPr>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Trombocytopeni, neutropeni, anæmi, leukopeni</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Forøget eosinofiltal</w:t>
            </w:r>
          </w:p>
        </w:tc>
      </w:tr>
      <w:tr w:rsidR="00B91372" w:rsidRPr="00ED0DE7" w:rsidTr="00B64DBB">
        <w:trPr>
          <w:trHeight w:hRule="exact" w:val="262"/>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lastRenderedPageBreak/>
              <w:t>Immunsystemet</w:t>
            </w:r>
          </w:p>
        </w:tc>
      </w:tr>
      <w:tr w:rsidR="00B91372" w:rsidRPr="00ED0DE7" w:rsidTr="00B64DBB">
        <w:trPr>
          <w:trHeight w:hRule="exact" w:val="585"/>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 xml:space="preserve">Immunrekonstitutionsinflammatorisk syndrom (IRIS), overfølsomhed </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Det endokrine system</w:t>
            </w:r>
          </w:p>
        </w:tc>
      </w:tr>
      <w:tr w:rsidR="00B91372" w:rsidRPr="00ED0DE7" w:rsidTr="00B64DBB">
        <w:trPr>
          <w:trHeight w:hRule="exact" w:val="597"/>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Default="00B91372" w:rsidP="00B64DBB">
            <w:pPr>
              <w:ind w:left="137" w:right="-20"/>
              <w:rPr>
                <w:sz w:val="24"/>
                <w:szCs w:val="24"/>
              </w:rPr>
            </w:pPr>
            <w:r w:rsidRPr="00ED0DE7">
              <w:rPr>
                <w:sz w:val="24"/>
                <w:szCs w:val="24"/>
              </w:rPr>
              <w:t>Hypotyroidisme, forhøjet thyroideastimulerende hormon i blodet</w:t>
            </w:r>
          </w:p>
          <w:p w:rsidR="00B91372" w:rsidRDefault="00B91372" w:rsidP="00B64DBB">
            <w:pPr>
              <w:ind w:left="137" w:right="-20"/>
              <w:rPr>
                <w:sz w:val="24"/>
                <w:szCs w:val="24"/>
              </w:rPr>
            </w:pPr>
          </w:p>
          <w:p w:rsidR="00B91372" w:rsidRPr="00ED0DE7" w:rsidRDefault="00B91372" w:rsidP="00B64DBB">
            <w:pPr>
              <w:ind w:left="137" w:right="-20"/>
              <w:rPr>
                <w:sz w:val="24"/>
                <w:szCs w:val="24"/>
              </w:rPr>
            </w:pP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862A8">
            <w:pPr>
              <w:ind w:left="137" w:right="-20"/>
              <w:rPr>
                <w:sz w:val="24"/>
                <w:szCs w:val="24"/>
              </w:rPr>
            </w:pPr>
            <w:r w:rsidRPr="00ED0DE7">
              <w:rPr>
                <w:i/>
                <w:sz w:val="24"/>
                <w:szCs w:val="24"/>
              </w:rPr>
              <w:t>Metabolisme og ernæring</w:t>
            </w:r>
          </w:p>
        </w:tc>
      </w:tr>
      <w:tr w:rsidR="00B91372" w:rsidRPr="00ED0DE7" w:rsidTr="00B64DBB">
        <w:trPr>
          <w:trHeight w:hRule="exact" w:val="2282"/>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862A8">
            <w:pPr>
              <w:ind w:left="137" w:right="-20"/>
              <w:rPr>
                <w:spacing w:val="-1"/>
                <w:sz w:val="24"/>
                <w:szCs w:val="24"/>
              </w:rPr>
            </w:pPr>
            <w:r w:rsidRPr="00ED0DE7">
              <w:rPr>
                <w:spacing w:val="-1"/>
                <w:sz w:val="24"/>
                <w:szCs w:val="24"/>
              </w:rPr>
              <w:t>Almindelig</w:t>
            </w:r>
          </w:p>
          <w:p w:rsidR="00B91372" w:rsidRPr="00ED0DE7" w:rsidRDefault="00B91372" w:rsidP="00B862A8">
            <w:pPr>
              <w:ind w:left="137" w:right="-20"/>
              <w:rPr>
                <w:spacing w:val="-1"/>
                <w:sz w:val="24"/>
                <w:szCs w:val="24"/>
              </w:rPr>
            </w:pPr>
          </w:p>
          <w:p w:rsidR="00B91372" w:rsidRPr="00ED0DE7" w:rsidRDefault="00B91372" w:rsidP="00B862A8">
            <w:pPr>
              <w:ind w:left="137" w:right="-20"/>
              <w:rPr>
                <w:spacing w:val="-1"/>
                <w:sz w:val="24"/>
                <w:szCs w:val="24"/>
              </w:rPr>
            </w:pPr>
          </w:p>
          <w:p w:rsidR="00B91372" w:rsidRPr="00ED0DE7" w:rsidRDefault="00B91372" w:rsidP="00B862A8">
            <w:pPr>
              <w:ind w:left="137" w:right="-20"/>
              <w:rPr>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862A8">
            <w:pPr>
              <w:ind w:left="137" w:right="480"/>
              <w:rPr>
                <w:sz w:val="24"/>
                <w:szCs w:val="24"/>
              </w:rPr>
            </w:pPr>
            <w:r w:rsidRPr="00ED0DE7">
              <w:rPr>
                <w:sz w:val="24"/>
                <w:szCs w:val="24"/>
              </w:rPr>
              <w:t>Diabetes mellitus, hypertriglyceridæmi, hyperkolesterolæmi, hyperlipidæmi</w:t>
            </w:r>
          </w:p>
          <w:p w:rsidR="00B91372" w:rsidRPr="00ED0DE7" w:rsidRDefault="00B91372" w:rsidP="00B862A8">
            <w:pPr>
              <w:ind w:left="137" w:right="480"/>
              <w:rPr>
                <w:sz w:val="24"/>
                <w:szCs w:val="24"/>
              </w:rPr>
            </w:pPr>
          </w:p>
          <w:p w:rsidR="00B91372" w:rsidRPr="00ED0DE7" w:rsidRDefault="00B91372" w:rsidP="00B862A8">
            <w:pPr>
              <w:ind w:left="137" w:right="480"/>
              <w:rPr>
                <w:sz w:val="24"/>
                <w:szCs w:val="24"/>
              </w:rPr>
            </w:pPr>
            <w:r w:rsidRPr="00ED0DE7">
              <w:rPr>
                <w:sz w:val="24"/>
                <w:szCs w:val="24"/>
              </w:rPr>
              <w:t>Artritis urica, anoreksi, nedsat appetit, vægttab, vægtstigning, hyperglykæmi, insulinresistens, nedsat HDL, øget appetit, polydispsi, øget lactatdehydrogenase i blodet</w:t>
            </w:r>
          </w:p>
        </w:tc>
      </w:tr>
      <w:tr w:rsidR="00B91372" w:rsidRPr="00ED0DE7" w:rsidTr="00B64DBB">
        <w:trPr>
          <w:trHeight w:hRule="exact" w:val="262"/>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Psykiske forstyrrelser</w:t>
            </w:r>
          </w:p>
        </w:tc>
      </w:tr>
      <w:tr w:rsidR="00B91372" w:rsidRPr="00ED0DE7" w:rsidTr="00B64DBB">
        <w:trPr>
          <w:trHeight w:hRule="exact" w:val="2052"/>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Søvnløshed</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Depression, desorientering, angst, søvnforstyrrelser, unormale drømme, mareridt, nedsat libido</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Konfusion, humørændring, rastløshed</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Nervesystemet</w:t>
            </w:r>
          </w:p>
        </w:tc>
      </w:tr>
      <w:tr w:rsidR="00B91372" w:rsidRPr="00ED0DE7" w:rsidTr="00B64DBB">
        <w:trPr>
          <w:trHeight w:hRule="exact" w:val="2270"/>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75"/>
              <w:rPr>
                <w:sz w:val="24"/>
                <w:szCs w:val="24"/>
              </w:rPr>
            </w:pPr>
            <w:r w:rsidRPr="00ED0DE7">
              <w:rPr>
                <w:sz w:val="24"/>
                <w:szCs w:val="24"/>
              </w:rPr>
              <w:t>Hovedpine, perifer neuropati, svimmelhed</w:t>
            </w:r>
          </w:p>
          <w:p w:rsidR="00B91372" w:rsidRPr="00ED0DE7" w:rsidRDefault="00B91372" w:rsidP="00B64DBB">
            <w:pPr>
              <w:ind w:left="137" w:right="75"/>
              <w:rPr>
                <w:sz w:val="24"/>
                <w:szCs w:val="24"/>
              </w:rPr>
            </w:pPr>
          </w:p>
          <w:p w:rsidR="00B91372" w:rsidRPr="00ED0DE7" w:rsidRDefault="00B91372" w:rsidP="00B64DBB">
            <w:pPr>
              <w:ind w:left="137" w:right="75"/>
              <w:rPr>
                <w:sz w:val="24"/>
                <w:szCs w:val="24"/>
              </w:rPr>
            </w:pPr>
            <w:r w:rsidRPr="00ED0DE7">
              <w:rPr>
                <w:sz w:val="24"/>
                <w:szCs w:val="24"/>
              </w:rPr>
              <w:t>Letargi, parlæstesi, hypæstesi, dysgeusi, opmærksomhedsforstyrrelser, hukommelsestab, somnolens</w:t>
            </w:r>
          </w:p>
          <w:p w:rsidR="00B91372" w:rsidRPr="00ED0DE7" w:rsidRDefault="00B91372" w:rsidP="00B64DBB">
            <w:pPr>
              <w:ind w:left="137" w:right="75"/>
              <w:rPr>
                <w:sz w:val="24"/>
                <w:szCs w:val="24"/>
              </w:rPr>
            </w:pPr>
          </w:p>
          <w:p w:rsidR="00B91372" w:rsidRPr="00ED0DE7" w:rsidRDefault="00B91372" w:rsidP="00B64DBB">
            <w:pPr>
              <w:ind w:left="137" w:right="75"/>
              <w:rPr>
                <w:sz w:val="24"/>
                <w:szCs w:val="24"/>
              </w:rPr>
            </w:pPr>
            <w:r w:rsidRPr="00ED0DE7">
              <w:rPr>
                <w:sz w:val="24"/>
                <w:szCs w:val="24"/>
              </w:rPr>
              <w:t>Synkope, krampe, ageusi, forstyrrelser i søvnfaserytme</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Øjne</w:t>
            </w:r>
          </w:p>
        </w:tc>
      </w:tr>
      <w:tr w:rsidR="00B91372" w:rsidRPr="00ED0DE7" w:rsidTr="00B64DBB">
        <w:trPr>
          <w:trHeight w:hRule="exact" w:val="875"/>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Konjuktival hyperæmi, tørre øjne</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Synsforstyrrelser</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Øre og labyrint</w:t>
            </w:r>
          </w:p>
        </w:tc>
      </w:tr>
      <w:tr w:rsidR="00B91372" w:rsidRPr="00ED0DE7" w:rsidTr="00B64DBB">
        <w:trPr>
          <w:trHeight w:hRule="exact" w:val="257"/>
        </w:trPr>
        <w:tc>
          <w:tcPr>
            <w:tcW w:w="2533" w:type="pct"/>
            <w:tcBorders>
              <w:top w:val="single" w:sz="4" w:space="0" w:color="000000"/>
              <w:left w:val="single" w:sz="4" w:space="0" w:color="000000"/>
              <w:bottom w:val="nil"/>
              <w:right w:val="single" w:sz="4" w:space="0" w:color="000000"/>
            </w:tcBorders>
          </w:tcPr>
          <w:p w:rsidR="00B91372" w:rsidRPr="00ED0DE7" w:rsidRDefault="00B91372" w:rsidP="00B64DBB">
            <w:pPr>
              <w:ind w:left="137" w:right="-20"/>
              <w:rPr>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nil"/>
              <w:right w:val="single" w:sz="4" w:space="0" w:color="000000"/>
            </w:tcBorders>
          </w:tcPr>
          <w:p w:rsidR="00B91372" w:rsidRPr="00ED0DE7" w:rsidRDefault="00B91372" w:rsidP="00B64DBB">
            <w:pPr>
              <w:ind w:left="137" w:right="-20"/>
              <w:rPr>
                <w:sz w:val="24"/>
                <w:szCs w:val="24"/>
              </w:rPr>
            </w:pPr>
            <w:r w:rsidRPr="00ED0DE7">
              <w:rPr>
                <w:sz w:val="24"/>
                <w:szCs w:val="24"/>
              </w:rPr>
              <w:t>Vertigo</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 xml:space="preserve">Hjerte </w:t>
            </w:r>
          </w:p>
        </w:tc>
      </w:tr>
      <w:tr w:rsidR="00B91372" w:rsidRPr="00ED0DE7" w:rsidTr="00B64DBB">
        <w:trPr>
          <w:trHeight w:hRule="exact" w:val="1732"/>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314"/>
              <w:rPr>
                <w:sz w:val="24"/>
                <w:szCs w:val="24"/>
              </w:rPr>
            </w:pPr>
            <w:r w:rsidRPr="00ED0DE7">
              <w:rPr>
                <w:sz w:val="24"/>
                <w:szCs w:val="24"/>
              </w:rPr>
              <w:t>Myokardieinfarkt, angina pectoris,</w:t>
            </w:r>
            <w:r>
              <w:rPr>
                <w:sz w:val="24"/>
                <w:szCs w:val="24"/>
              </w:rPr>
              <w:t xml:space="preserve"> </w:t>
            </w:r>
            <w:r w:rsidRPr="00ED0DE7">
              <w:rPr>
                <w:sz w:val="24"/>
                <w:szCs w:val="24"/>
              </w:rPr>
              <w:t>elektrokardiogram, der viser QT-forlængelse, takykardi</w:t>
            </w:r>
          </w:p>
          <w:p w:rsidR="00B91372" w:rsidRPr="00ED0DE7" w:rsidRDefault="00B91372" w:rsidP="00B64DBB">
            <w:pPr>
              <w:tabs>
                <w:tab w:val="left" w:pos="4500"/>
              </w:tabs>
              <w:ind w:left="137" w:right="314"/>
              <w:rPr>
                <w:sz w:val="24"/>
                <w:szCs w:val="24"/>
              </w:rPr>
            </w:pPr>
          </w:p>
          <w:p w:rsidR="00B91372" w:rsidRPr="00ED0DE7" w:rsidRDefault="00B91372" w:rsidP="00B64DBB">
            <w:pPr>
              <w:tabs>
                <w:tab w:val="left" w:pos="4500"/>
              </w:tabs>
              <w:ind w:left="137" w:right="314"/>
              <w:rPr>
                <w:sz w:val="24"/>
                <w:szCs w:val="24"/>
              </w:rPr>
            </w:pPr>
            <w:r w:rsidRPr="00ED0DE7">
              <w:rPr>
                <w:sz w:val="24"/>
                <w:szCs w:val="24"/>
              </w:rPr>
              <w:t>Akut myokardieinfarkt, sinus bradykardi,</w:t>
            </w:r>
            <w:r>
              <w:rPr>
                <w:sz w:val="24"/>
                <w:szCs w:val="24"/>
              </w:rPr>
              <w:t xml:space="preserve"> </w:t>
            </w:r>
            <w:r w:rsidRPr="00ED0DE7">
              <w:rPr>
                <w:sz w:val="24"/>
                <w:szCs w:val="24"/>
              </w:rPr>
              <w:t>hjertebanken</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Vaskulære sygdomme</w:t>
            </w:r>
          </w:p>
        </w:tc>
      </w:tr>
      <w:tr w:rsidR="00B91372" w:rsidRPr="00ED0DE7" w:rsidTr="00B64DBB">
        <w:trPr>
          <w:trHeight w:hRule="exact" w:val="262"/>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Hypertension, rødme</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keepNext/>
              <w:ind w:left="136" w:right="-23"/>
              <w:rPr>
                <w:sz w:val="24"/>
                <w:szCs w:val="24"/>
              </w:rPr>
            </w:pPr>
            <w:r w:rsidRPr="00ED0DE7">
              <w:rPr>
                <w:i/>
                <w:sz w:val="24"/>
                <w:szCs w:val="24"/>
              </w:rPr>
              <w:lastRenderedPageBreak/>
              <w:t>Luftveje, thorax og mediastinum</w:t>
            </w:r>
          </w:p>
        </w:tc>
      </w:tr>
      <w:tr w:rsidR="00B91372" w:rsidRPr="00ED0DE7" w:rsidTr="00B64DBB">
        <w:trPr>
          <w:trHeight w:hRule="exact" w:val="892"/>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Dyspnø, hoste, næseblødning, halsirritation</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Næseflåd</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Mave-tarm-kanalen</w:t>
            </w:r>
          </w:p>
        </w:tc>
      </w:tr>
      <w:tr w:rsidR="00B91372" w:rsidRPr="00ED0DE7" w:rsidTr="00B64DBB">
        <w:trPr>
          <w:trHeight w:hRule="exact" w:val="3955"/>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Meget almindelige</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64"/>
              <w:rPr>
                <w:sz w:val="24"/>
                <w:szCs w:val="24"/>
              </w:rPr>
            </w:pPr>
            <w:r w:rsidRPr="00ED0DE7">
              <w:rPr>
                <w:sz w:val="24"/>
                <w:szCs w:val="24"/>
              </w:rPr>
              <w:t>Diarré</w:t>
            </w:r>
          </w:p>
          <w:p w:rsidR="00B91372" w:rsidRPr="00ED0DE7" w:rsidRDefault="00B91372" w:rsidP="00B64DBB">
            <w:pPr>
              <w:ind w:left="137" w:right="64"/>
              <w:rPr>
                <w:sz w:val="24"/>
                <w:szCs w:val="24"/>
              </w:rPr>
            </w:pPr>
          </w:p>
          <w:p w:rsidR="00B91372" w:rsidRPr="00ED0DE7" w:rsidRDefault="00B91372" w:rsidP="00B64DBB">
            <w:pPr>
              <w:ind w:left="137" w:right="64"/>
              <w:rPr>
                <w:sz w:val="24"/>
                <w:szCs w:val="24"/>
              </w:rPr>
            </w:pPr>
            <w:r w:rsidRPr="00ED0DE7">
              <w:rPr>
                <w:sz w:val="24"/>
                <w:szCs w:val="24"/>
              </w:rPr>
              <w:t>Opkastning, kvalme, abdominale smerter, forhøjet blodamylase, dyspepsi, abdominal distention, flatulens</w:t>
            </w:r>
          </w:p>
          <w:p w:rsidR="00B91372" w:rsidRPr="00ED0DE7" w:rsidRDefault="00B91372" w:rsidP="00B64DBB">
            <w:pPr>
              <w:ind w:left="137" w:right="64"/>
              <w:rPr>
                <w:sz w:val="24"/>
                <w:szCs w:val="24"/>
              </w:rPr>
            </w:pPr>
          </w:p>
          <w:p w:rsidR="00B91372" w:rsidRPr="00ED0DE7" w:rsidRDefault="00B91372" w:rsidP="00B64DBB">
            <w:pPr>
              <w:ind w:left="137" w:right="64"/>
              <w:rPr>
                <w:sz w:val="24"/>
                <w:szCs w:val="24"/>
              </w:rPr>
            </w:pPr>
            <w:r w:rsidRPr="00ED0DE7">
              <w:rPr>
                <w:sz w:val="24"/>
                <w:szCs w:val="24"/>
              </w:rPr>
              <w:t>Pankreatitis, gastritis, gastroøsofageal</w:t>
            </w:r>
            <w:r>
              <w:rPr>
                <w:sz w:val="24"/>
                <w:szCs w:val="24"/>
              </w:rPr>
              <w:t xml:space="preserve"> </w:t>
            </w:r>
            <w:r w:rsidRPr="00ED0DE7">
              <w:rPr>
                <w:sz w:val="24"/>
                <w:szCs w:val="24"/>
              </w:rPr>
              <w:t>reflukssygdom, aftøs stomatitis,</w:t>
            </w:r>
            <w:r>
              <w:rPr>
                <w:sz w:val="24"/>
                <w:szCs w:val="24"/>
              </w:rPr>
              <w:t xml:space="preserve"> </w:t>
            </w:r>
            <w:r w:rsidRPr="00ED0DE7">
              <w:rPr>
                <w:sz w:val="24"/>
                <w:szCs w:val="24"/>
              </w:rPr>
              <w:t>opkastningsfornemmelser, mundtørhed,</w:t>
            </w:r>
            <w:r>
              <w:rPr>
                <w:sz w:val="24"/>
                <w:szCs w:val="24"/>
              </w:rPr>
              <w:t xml:space="preserve"> </w:t>
            </w:r>
            <w:r w:rsidRPr="00ED0DE7">
              <w:rPr>
                <w:sz w:val="24"/>
                <w:szCs w:val="24"/>
              </w:rPr>
              <w:t>mavebesvær, forstoppelse, forhøjet lipase, ræben, oral dysæstesi</w:t>
            </w:r>
          </w:p>
          <w:p w:rsidR="00B91372" w:rsidRPr="00ED0DE7" w:rsidRDefault="00B91372" w:rsidP="00B64DBB">
            <w:pPr>
              <w:ind w:left="137" w:right="64"/>
              <w:rPr>
                <w:sz w:val="24"/>
                <w:szCs w:val="24"/>
              </w:rPr>
            </w:pPr>
          </w:p>
          <w:p w:rsidR="00B91372" w:rsidRPr="00ED0DE7" w:rsidRDefault="00B91372" w:rsidP="00B64DBB">
            <w:pPr>
              <w:ind w:left="137" w:right="64"/>
              <w:rPr>
                <w:sz w:val="24"/>
                <w:szCs w:val="24"/>
              </w:rPr>
            </w:pPr>
            <w:r w:rsidRPr="00ED0DE7">
              <w:rPr>
                <w:sz w:val="24"/>
                <w:szCs w:val="24"/>
              </w:rPr>
              <w:t>Stomatitis, hæmatemese, keilit, tørre læber,</w:t>
            </w:r>
            <w:r>
              <w:rPr>
                <w:sz w:val="24"/>
                <w:szCs w:val="24"/>
              </w:rPr>
              <w:t xml:space="preserve"> </w:t>
            </w:r>
            <w:r w:rsidRPr="00ED0DE7">
              <w:rPr>
                <w:sz w:val="24"/>
                <w:szCs w:val="24"/>
              </w:rPr>
              <w:t>belægninger på tungen</w:t>
            </w:r>
          </w:p>
        </w:tc>
      </w:tr>
      <w:tr w:rsidR="00B91372" w:rsidRPr="00ED0DE7" w:rsidTr="00B64DBB">
        <w:trPr>
          <w:trHeight w:hRule="exact" w:val="264"/>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Lever og galdeveje</w:t>
            </w:r>
          </w:p>
        </w:tc>
      </w:tr>
      <w:tr w:rsidR="00B91372" w:rsidRPr="00ED0DE7" w:rsidTr="00B64DBB">
        <w:trPr>
          <w:trHeight w:hRule="exact" w:val="2314"/>
        </w:trPr>
        <w:tc>
          <w:tcPr>
            <w:tcW w:w="2533"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Ikke almindelig</w:t>
            </w:r>
          </w:p>
        </w:tc>
        <w:tc>
          <w:tcPr>
            <w:tcW w:w="2467"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127"/>
              <w:rPr>
                <w:sz w:val="24"/>
                <w:szCs w:val="24"/>
              </w:rPr>
            </w:pPr>
            <w:r w:rsidRPr="00ED0DE7">
              <w:rPr>
                <w:sz w:val="24"/>
                <w:szCs w:val="24"/>
              </w:rPr>
              <w:t>Forhøjet alanin-aminotranferase</w:t>
            </w:r>
          </w:p>
          <w:p w:rsidR="00B91372" w:rsidRPr="00ED0DE7" w:rsidRDefault="00B91372" w:rsidP="00B64DBB">
            <w:pPr>
              <w:ind w:left="137" w:right="127"/>
              <w:rPr>
                <w:sz w:val="24"/>
                <w:szCs w:val="24"/>
              </w:rPr>
            </w:pPr>
          </w:p>
          <w:p w:rsidR="00B91372" w:rsidRPr="00ED0DE7" w:rsidRDefault="00B91372" w:rsidP="00B64DBB">
            <w:pPr>
              <w:ind w:left="137" w:right="127"/>
              <w:rPr>
                <w:sz w:val="24"/>
                <w:szCs w:val="24"/>
              </w:rPr>
            </w:pPr>
            <w:r w:rsidRPr="00ED0DE7">
              <w:rPr>
                <w:sz w:val="24"/>
                <w:szCs w:val="24"/>
              </w:rPr>
              <w:t>Hepatitis, cytolytisk hepatitis, hepatisk steatose, hepatomegali, forhøjet aminotransferase, forhøjet aspartat-aminotranferase, forhøjet bilirubin i</w:t>
            </w:r>
            <w:r>
              <w:rPr>
                <w:sz w:val="24"/>
                <w:szCs w:val="24"/>
              </w:rPr>
              <w:t xml:space="preserve"> </w:t>
            </w:r>
            <w:r w:rsidRPr="00ED0DE7">
              <w:rPr>
                <w:sz w:val="24"/>
                <w:szCs w:val="24"/>
              </w:rPr>
              <w:t>blodet, forhøjet alkalisk fosfatase, forhøjet</w:t>
            </w:r>
            <w:r>
              <w:rPr>
                <w:sz w:val="24"/>
                <w:szCs w:val="24"/>
              </w:rPr>
              <w:t xml:space="preserve"> </w:t>
            </w:r>
            <w:r w:rsidRPr="00ED0DE7">
              <w:rPr>
                <w:sz w:val="24"/>
                <w:szCs w:val="24"/>
              </w:rPr>
              <w:t>gamma-glutamyltransferase</w:t>
            </w:r>
          </w:p>
        </w:tc>
      </w:tr>
      <w:tr w:rsidR="00B91372" w:rsidRPr="00ED0DE7" w:rsidTr="00B64DBB">
        <w:trPr>
          <w:trHeight w:hRule="exact" w:val="266"/>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Hud og subkutane væv</w:t>
            </w:r>
          </w:p>
        </w:tc>
      </w:tr>
      <w:tr w:rsidR="00B91372" w:rsidRPr="00ED0DE7" w:rsidTr="00B64DBB">
        <w:trPr>
          <w:trHeight w:hRule="exact" w:val="4514"/>
        </w:trPr>
        <w:tc>
          <w:tcPr>
            <w:tcW w:w="2543"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Sjælden</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Ikke kendt</w:t>
            </w:r>
          </w:p>
        </w:tc>
        <w:tc>
          <w:tcPr>
            <w:tcW w:w="2457"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492"/>
              <w:rPr>
                <w:sz w:val="24"/>
                <w:szCs w:val="24"/>
              </w:rPr>
            </w:pPr>
            <w:r w:rsidRPr="00ED0DE7">
              <w:rPr>
                <w:sz w:val="24"/>
                <w:szCs w:val="24"/>
              </w:rPr>
              <w:t>Udslæt (herunder makuløst, makulopapuløst, papuløst, erytematøst og kløende udslæt), kløe</w:t>
            </w:r>
          </w:p>
          <w:p w:rsidR="00B91372" w:rsidRPr="00ED0DE7" w:rsidRDefault="00B91372" w:rsidP="00B64DBB">
            <w:pPr>
              <w:ind w:left="137" w:right="492"/>
              <w:rPr>
                <w:sz w:val="24"/>
                <w:szCs w:val="24"/>
              </w:rPr>
            </w:pPr>
          </w:p>
          <w:p w:rsidR="00B91372" w:rsidRPr="00ED0DE7" w:rsidRDefault="00B91372" w:rsidP="00B64DBB">
            <w:pPr>
              <w:ind w:left="137" w:right="492"/>
              <w:rPr>
                <w:sz w:val="24"/>
                <w:szCs w:val="24"/>
              </w:rPr>
            </w:pPr>
            <w:r w:rsidRPr="00ED0DE7">
              <w:rPr>
                <w:sz w:val="24"/>
                <w:szCs w:val="24"/>
              </w:rPr>
              <w:t>Angioødem, generaliseret udslæt, allergisk dermatitis, nældefeber, eksem, erytem, hyperhidrose, nattesved, alopeci, akne, tør hud, neglepigmentering</w:t>
            </w:r>
          </w:p>
          <w:p w:rsidR="00B91372" w:rsidRPr="00ED0DE7" w:rsidRDefault="00B91372" w:rsidP="00B64DBB">
            <w:pPr>
              <w:ind w:left="137" w:right="492"/>
              <w:rPr>
                <w:sz w:val="24"/>
                <w:szCs w:val="24"/>
              </w:rPr>
            </w:pPr>
          </w:p>
          <w:p w:rsidR="00B91372" w:rsidRPr="00ED0DE7" w:rsidRDefault="00B91372" w:rsidP="00B64DBB">
            <w:pPr>
              <w:ind w:left="137" w:right="492"/>
              <w:rPr>
                <w:sz w:val="24"/>
                <w:szCs w:val="24"/>
              </w:rPr>
            </w:pPr>
            <w:r w:rsidRPr="00ED0DE7">
              <w:rPr>
                <w:sz w:val="24"/>
                <w:szCs w:val="24"/>
              </w:rPr>
              <w:t>DRESS, Stevens-Johnson's syndrom, erythema, multiforme, dermatitis, seboroisk dermatitis, hudlæsioner, xeroderma,</w:t>
            </w:r>
          </w:p>
          <w:p w:rsidR="00B91372" w:rsidRPr="00ED0DE7" w:rsidRDefault="00B91372" w:rsidP="00B64DBB">
            <w:pPr>
              <w:ind w:left="137" w:right="492"/>
              <w:rPr>
                <w:sz w:val="24"/>
                <w:szCs w:val="24"/>
              </w:rPr>
            </w:pPr>
          </w:p>
          <w:p w:rsidR="00B91372" w:rsidRPr="00ED0DE7" w:rsidRDefault="00B91372" w:rsidP="00B64DBB">
            <w:pPr>
              <w:ind w:left="137" w:right="492"/>
              <w:rPr>
                <w:sz w:val="24"/>
                <w:szCs w:val="24"/>
              </w:rPr>
            </w:pPr>
            <w:r w:rsidRPr="00ED0DE7">
              <w:rPr>
                <w:sz w:val="24"/>
                <w:szCs w:val="24"/>
              </w:rPr>
              <w:t>Toksisk epidermal nekrolyse, akut generaliseret eksantematøs pustulose</w:t>
            </w:r>
          </w:p>
        </w:tc>
      </w:tr>
      <w:tr w:rsidR="00B91372" w:rsidRPr="00ED0DE7" w:rsidTr="00B64DBB">
        <w:trPr>
          <w:trHeight w:hRule="exact" w:val="266"/>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keepNext/>
              <w:ind w:left="136" w:right="-23"/>
              <w:rPr>
                <w:sz w:val="24"/>
                <w:szCs w:val="24"/>
              </w:rPr>
            </w:pPr>
            <w:r w:rsidRPr="00ED0DE7">
              <w:rPr>
                <w:i/>
                <w:spacing w:val="1"/>
                <w:sz w:val="24"/>
                <w:szCs w:val="24"/>
              </w:rPr>
              <w:lastRenderedPageBreak/>
              <w:t>Knogler, led, muskler og bindevæv</w:t>
            </w:r>
          </w:p>
        </w:tc>
      </w:tr>
      <w:tr w:rsidR="00B91372" w:rsidRPr="00ED0DE7" w:rsidTr="00B64DBB">
        <w:trPr>
          <w:trHeight w:hRule="exact" w:val="1718"/>
        </w:trPr>
        <w:tc>
          <w:tcPr>
            <w:tcW w:w="2543"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57"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Myalgi, osteonekrose, muskelspasmer,</w:t>
            </w:r>
            <w:r>
              <w:rPr>
                <w:sz w:val="24"/>
                <w:szCs w:val="24"/>
              </w:rPr>
              <w:t xml:space="preserve"> </w:t>
            </w:r>
            <w:r w:rsidRPr="00ED0DE7">
              <w:rPr>
                <w:sz w:val="24"/>
                <w:szCs w:val="24"/>
              </w:rPr>
              <w:t>muskelsvaghed, artralgi, smerter i ekstremiteter, osteoporose, forhøjet kreatinkinase i blodet, phosphokinase</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Stivhed i skeletmuskulaturen, artritis, ledstivhed</w:t>
            </w:r>
          </w:p>
        </w:tc>
      </w:tr>
      <w:tr w:rsidR="00B91372" w:rsidRPr="00ED0DE7" w:rsidTr="00B64DBB">
        <w:trPr>
          <w:trHeight w:hRule="exact" w:val="266"/>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Nyrer og urinveje</w:t>
            </w:r>
          </w:p>
        </w:tc>
      </w:tr>
      <w:tr w:rsidR="00B91372" w:rsidRPr="00ED0DE7" w:rsidTr="00B762BC">
        <w:trPr>
          <w:trHeight w:hRule="exact" w:val="1730"/>
        </w:trPr>
        <w:tc>
          <w:tcPr>
            <w:tcW w:w="2543" w:type="pct"/>
            <w:gridSpan w:val="2"/>
            <w:tcBorders>
              <w:top w:val="single" w:sz="4" w:space="0" w:color="000000"/>
              <w:left w:val="single" w:sz="4" w:space="0" w:color="000000"/>
              <w:bottom w:val="single" w:sz="4" w:space="0" w:color="000000"/>
              <w:right w:val="single" w:sz="4" w:space="0" w:color="000000"/>
            </w:tcBorders>
            <w:shd w:val="clear" w:color="auto" w:fill="auto"/>
          </w:tcPr>
          <w:p w:rsidR="00B91372" w:rsidRPr="00ED0DE7" w:rsidRDefault="00B91372" w:rsidP="00B64DBB">
            <w:pPr>
              <w:ind w:left="137"/>
              <w:rPr>
                <w:spacing w:val="-1"/>
                <w:sz w:val="24"/>
                <w:szCs w:val="24"/>
              </w:rPr>
            </w:pPr>
            <w:r w:rsidRPr="00ED0DE7">
              <w:rPr>
                <w:spacing w:val="-1"/>
                <w:sz w:val="24"/>
                <w:szCs w:val="24"/>
              </w:rPr>
              <w:t>Ikke almindelig</w:t>
            </w:r>
          </w:p>
          <w:p w:rsidR="00B91372" w:rsidRPr="00ED0DE7" w:rsidRDefault="00B91372" w:rsidP="00B64DBB">
            <w:pPr>
              <w:ind w:left="137"/>
              <w:rPr>
                <w:spacing w:val="-1"/>
                <w:sz w:val="24"/>
                <w:szCs w:val="24"/>
              </w:rPr>
            </w:pPr>
          </w:p>
          <w:p w:rsidR="00B91372" w:rsidRPr="00ED0DE7" w:rsidRDefault="00B91372" w:rsidP="00B64DBB">
            <w:pPr>
              <w:ind w:left="137"/>
              <w:rPr>
                <w:spacing w:val="-1"/>
                <w:sz w:val="24"/>
                <w:szCs w:val="24"/>
              </w:rPr>
            </w:pPr>
          </w:p>
          <w:p w:rsidR="00B91372" w:rsidRDefault="00B91372" w:rsidP="00B64DBB">
            <w:pPr>
              <w:ind w:left="137"/>
              <w:rPr>
                <w:spacing w:val="-1"/>
                <w:sz w:val="24"/>
                <w:szCs w:val="24"/>
              </w:rPr>
            </w:pPr>
          </w:p>
          <w:p w:rsidR="00B91372" w:rsidRPr="00ED0DE7" w:rsidRDefault="00B91372" w:rsidP="00B64DBB">
            <w:pPr>
              <w:ind w:left="137"/>
              <w:rPr>
                <w:sz w:val="24"/>
                <w:szCs w:val="24"/>
              </w:rPr>
            </w:pPr>
            <w:r w:rsidRPr="00ED0DE7">
              <w:rPr>
                <w:spacing w:val="-1"/>
                <w:sz w:val="24"/>
                <w:szCs w:val="24"/>
              </w:rPr>
              <w:t>Sjælden</w:t>
            </w:r>
          </w:p>
        </w:tc>
        <w:tc>
          <w:tcPr>
            <w:tcW w:w="2457" w:type="pct"/>
            <w:tcBorders>
              <w:top w:val="single" w:sz="4" w:space="0" w:color="000000"/>
              <w:left w:val="single" w:sz="4" w:space="0" w:color="000000"/>
              <w:bottom w:val="single" w:sz="4" w:space="0" w:color="000000"/>
              <w:right w:val="single" w:sz="4" w:space="0" w:color="000000"/>
            </w:tcBorders>
            <w:shd w:val="clear" w:color="auto" w:fill="auto"/>
          </w:tcPr>
          <w:p w:rsidR="00B91372" w:rsidRPr="00ED0DE7" w:rsidRDefault="00B91372" w:rsidP="00B64DBB">
            <w:pPr>
              <w:ind w:left="137"/>
              <w:rPr>
                <w:sz w:val="24"/>
                <w:szCs w:val="24"/>
              </w:rPr>
            </w:pPr>
            <w:r w:rsidRPr="00ED0DE7">
              <w:rPr>
                <w:sz w:val="24"/>
                <w:szCs w:val="24"/>
              </w:rPr>
              <w:t>Akut nyresvigt, nyresvigt, nephrolitiasis, forhøjet kreatinin i blodet, proteinuri, bilirubinuri, dysuri, nocturi, pollakisuri</w:t>
            </w:r>
          </w:p>
          <w:p w:rsidR="00B91372" w:rsidRPr="00ED0DE7" w:rsidRDefault="00B91372" w:rsidP="00B64DBB">
            <w:pPr>
              <w:ind w:left="137"/>
              <w:rPr>
                <w:sz w:val="24"/>
                <w:szCs w:val="24"/>
              </w:rPr>
            </w:pPr>
          </w:p>
          <w:p w:rsidR="00B762BC" w:rsidRDefault="00B762BC" w:rsidP="00B762BC">
            <w:pPr>
              <w:ind w:left="137"/>
              <w:rPr>
                <w:sz w:val="22"/>
                <w:szCs w:val="22"/>
              </w:rPr>
            </w:pPr>
            <w:r>
              <w:rPr>
                <w:sz w:val="22"/>
                <w:szCs w:val="22"/>
              </w:rPr>
              <w:t>Nedsat kreatininclearance i nyrerne</w:t>
            </w:r>
          </w:p>
          <w:p w:rsidR="00B762BC" w:rsidRDefault="00B762BC" w:rsidP="00B762BC">
            <w:pPr>
              <w:ind w:left="58"/>
              <w:rPr>
                <w:sz w:val="24"/>
                <w:szCs w:val="24"/>
                <w:lang w:eastAsia="da-DK"/>
              </w:rPr>
            </w:pPr>
            <w:r>
              <w:rPr>
                <w:sz w:val="22"/>
                <w:szCs w:val="22"/>
              </w:rPr>
              <w:t xml:space="preserve">  krystallinsk nefropati§</w:t>
            </w:r>
            <w:r>
              <w:rPr>
                <w:sz w:val="24"/>
                <w:szCs w:val="24"/>
                <w:lang w:eastAsia="da-DK"/>
              </w:rPr>
              <w:t xml:space="preserve"> </w:t>
            </w:r>
          </w:p>
          <w:p w:rsidR="00B91372" w:rsidRPr="00ED0DE7" w:rsidRDefault="00B91372" w:rsidP="00B64DBB">
            <w:pPr>
              <w:ind w:left="137"/>
              <w:rPr>
                <w:sz w:val="24"/>
                <w:szCs w:val="24"/>
              </w:rPr>
            </w:pPr>
          </w:p>
        </w:tc>
      </w:tr>
      <w:tr w:rsidR="00B91372" w:rsidRPr="00ED0DE7" w:rsidTr="00B64DBB">
        <w:trPr>
          <w:trHeight w:hRule="exact" w:val="266"/>
        </w:trPr>
        <w:tc>
          <w:tcPr>
            <w:tcW w:w="5000" w:type="pct"/>
            <w:gridSpan w:val="3"/>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i/>
                <w:sz w:val="24"/>
                <w:szCs w:val="24"/>
              </w:rPr>
              <w:t>Det reproduktive system og mammae</w:t>
            </w:r>
          </w:p>
        </w:tc>
      </w:tr>
      <w:tr w:rsidR="00B91372" w:rsidRPr="00ED0DE7" w:rsidTr="00B64DBB">
        <w:trPr>
          <w:trHeight w:hRule="exact" w:val="307"/>
        </w:trPr>
        <w:tc>
          <w:tcPr>
            <w:tcW w:w="2543" w:type="pct"/>
            <w:gridSpan w:val="2"/>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pacing w:val="-1"/>
                <w:sz w:val="24"/>
                <w:szCs w:val="24"/>
              </w:rPr>
              <w:t>Ikke almindelig</w:t>
            </w:r>
          </w:p>
        </w:tc>
        <w:tc>
          <w:tcPr>
            <w:tcW w:w="2457" w:type="pct"/>
            <w:tcBorders>
              <w:top w:val="single" w:sz="4" w:space="0" w:color="000000"/>
              <w:left w:val="single" w:sz="4" w:space="0" w:color="000000"/>
              <w:bottom w:val="single" w:sz="4" w:space="0" w:color="000000"/>
              <w:right w:val="single" w:sz="4" w:space="0" w:color="000000"/>
            </w:tcBorders>
          </w:tcPr>
          <w:p w:rsidR="00B91372" w:rsidRPr="00ED0DE7" w:rsidRDefault="00B91372" w:rsidP="00B64DBB">
            <w:pPr>
              <w:ind w:left="137" w:right="-20"/>
              <w:rPr>
                <w:sz w:val="24"/>
                <w:szCs w:val="24"/>
              </w:rPr>
            </w:pPr>
            <w:r w:rsidRPr="00ED0DE7">
              <w:rPr>
                <w:sz w:val="24"/>
                <w:szCs w:val="24"/>
              </w:rPr>
              <w:t>Erektil dysfunktion, gynækomasti</w:t>
            </w:r>
          </w:p>
        </w:tc>
      </w:tr>
      <w:tr w:rsidR="00B91372" w:rsidRPr="00ED0DE7" w:rsidTr="00B64DBB">
        <w:trPr>
          <w:trHeight w:hRule="exact" w:val="266"/>
        </w:trPr>
        <w:tc>
          <w:tcPr>
            <w:tcW w:w="5000" w:type="pct"/>
            <w:gridSpan w:val="3"/>
            <w:tcBorders>
              <w:top w:val="single" w:sz="4" w:space="0" w:color="000000"/>
              <w:left w:val="single" w:sz="4" w:space="0" w:color="000000"/>
              <w:bottom w:val="single" w:sz="4" w:space="0" w:color="auto"/>
              <w:right w:val="single" w:sz="4" w:space="0" w:color="000000"/>
            </w:tcBorders>
          </w:tcPr>
          <w:p w:rsidR="00B91372" w:rsidRPr="00ED0DE7" w:rsidRDefault="00B91372" w:rsidP="00B64DBB">
            <w:pPr>
              <w:ind w:left="137" w:right="-20"/>
              <w:rPr>
                <w:sz w:val="24"/>
                <w:szCs w:val="24"/>
              </w:rPr>
            </w:pPr>
            <w:r w:rsidRPr="00ED0DE7">
              <w:rPr>
                <w:i/>
                <w:sz w:val="24"/>
                <w:szCs w:val="24"/>
              </w:rPr>
              <w:t>Almene symptomer og reaktioner på administrationsstedet</w:t>
            </w:r>
          </w:p>
        </w:tc>
      </w:tr>
      <w:tr w:rsidR="00B91372" w:rsidRPr="00ED0DE7" w:rsidTr="00B64DBB">
        <w:trPr>
          <w:trHeight w:hRule="exact" w:val="1718"/>
        </w:trPr>
        <w:tc>
          <w:tcPr>
            <w:tcW w:w="2543" w:type="pct"/>
            <w:gridSpan w:val="2"/>
            <w:tcBorders>
              <w:top w:val="single" w:sz="4" w:space="0" w:color="auto"/>
              <w:left w:val="single" w:sz="4" w:space="0" w:color="auto"/>
              <w:bottom w:val="single" w:sz="4" w:space="0" w:color="auto"/>
              <w:right w:val="single" w:sz="4" w:space="0" w:color="auto"/>
            </w:tcBorders>
          </w:tcPr>
          <w:p w:rsidR="00B91372" w:rsidRPr="00ED0DE7" w:rsidRDefault="00B91372" w:rsidP="00B64DBB">
            <w:pPr>
              <w:ind w:left="137" w:right="-20"/>
              <w:rPr>
                <w:spacing w:val="-1"/>
                <w:sz w:val="24"/>
                <w:szCs w:val="24"/>
              </w:rPr>
            </w:pPr>
            <w:r w:rsidRPr="00ED0DE7">
              <w:rPr>
                <w:spacing w:val="-1"/>
                <w:sz w:val="24"/>
                <w:szCs w:val="24"/>
              </w:rPr>
              <w:t>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r w:rsidRPr="00ED0DE7">
              <w:rPr>
                <w:spacing w:val="-1"/>
                <w:sz w:val="24"/>
                <w:szCs w:val="24"/>
              </w:rPr>
              <w:t>Ikke almindelig</w:t>
            </w:r>
          </w:p>
          <w:p w:rsidR="00B91372" w:rsidRPr="00ED0DE7" w:rsidRDefault="00B91372" w:rsidP="00B64DBB">
            <w:pPr>
              <w:ind w:left="137" w:right="-20"/>
              <w:rPr>
                <w:spacing w:val="-1"/>
                <w:sz w:val="24"/>
                <w:szCs w:val="24"/>
              </w:rPr>
            </w:pPr>
          </w:p>
          <w:p w:rsidR="00B91372" w:rsidRPr="00ED0DE7" w:rsidRDefault="00B91372" w:rsidP="00B64DBB">
            <w:pPr>
              <w:ind w:left="137" w:right="-20"/>
              <w:rPr>
                <w:spacing w:val="-1"/>
                <w:sz w:val="24"/>
                <w:szCs w:val="24"/>
              </w:rPr>
            </w:pPr>
          </w:p>
          <w:p w:rsidR="00B91372" w:rsidRPr="00ED0DE7" w:rsidRDefault="00B91372" w:rsidP="00B64DBB">
            <w:pPr>
              <w:ind w:left="137" w:right="-20"/>
              <w:rPr>
                <w:sz w:val="24"/>
                <w:szCs w:val="24"/>
              </w:rPr>
            </w:pPr>
            <w:r w:rsidRPr="00ED0DE7">
              <w:rPr>
                <w:spacing w:val="-1"/>
                <w:sz w:val="24"/>
                <w:szCs w:val="24"/>
              </w:rPr>
              <w:t>Sjælden</w:t>
            </w:r>
          </w:p>
        </w:tc>
        <w:tc>
          <w:tcPr>
            <w:tcW w:w="2457" w:type="pct"/>
            <w:tcBorders>
              <w:top w:val="single" w:sz="4" w:space="0" w:color="auto"/>
              <w:left w:val="single" w:sz="4" w:space="0" w:color="auto"/>
              <w:bottom w:val="single" w:sz="4" w:space="0" w:color="auto"/>
              <w:right w:val="single" w:sz="4" w:space="0" w:color="auto"/>
            </w:tcBorders>
          </w:tcPr>
          <w:p w:rsidR="00B91372" w:rsidRPr="00ED0DE7" w:rsidRDefault="00B91372" w:rsidP="00B64DBB">
            <w:pPr>
              <w:ind w:left="137" w:right="-20"/>
              <w:rPr>
                <w:sz w:val="24"/>
                <w:szCs w:val="24"/>
              </w:rPr>
            </w:pPr>
            <w:r w:rsidRPr="00ED0DE7">
              <w:rPr>
                <w:sz w:val="24"/>
                <w:szCs w:val="24"/>
              </w:rPr>
              <w:t>Asteni, træthed</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Pyrexi, brystsmerter, perifert ødem, utilpashed, varmefølelse, irritabilitet, smerte</w:t>
            </w:r>
          </w:p>
          <w:p w:rsidR="00B91372" w:rsidRPr="00ED0DE7" w:rsidRDefault="00B91372" w:rsidP="00B64DBB">
            <w:pPr>
              <w:ind w:left="137" w:right="-20"/>
              <w:rPr>
                <w:sz w:val="24"/>
                <w:szCs w:val="24"/>
              </w:rPr>
            </w:pPr>
          </w:p>
          <w:p w:rsidR="00B91372" w:rsidRPr="00ED0DE7" w:rsidRDefault="00B91372" w:rsidP="00B64DBB">
            <w:pPr>
              <w:ind w:left="137" w:right="-20"/>
              <w:rPr>
                <w:sz w:val="24"/>
                <w:szCs w:val="24"/>
              </w:rPr>
            </w:pPr>
            <w:r w:rsidRPr="00ED0DE7">
              <w:rPr>
                <w:sz w:val="24"/>
                <w:szCs w:val="24"/>
              </w:rPr>
              <w:t>Kulderystelse, unormal følelse, tørhed</w:t>
            </w:r>
          </w:p>
        </w:tc>
      </w:tr>
    </w:tbl>
    <w:p w:rsidR="00B762BC" w:rsidRDefault="00B762BC" w:rsidP="00B762BC">
      <w:pPr>
        <w:pStyle w:val="Sidehoved"/>
        <w:tabs>
          <w:tab w:val="left" w:pos="851"/>
        </w:tabs>
        <w:ind w:left="851"/>
        <w:rPr>
          <w:iCs/>
          <w:szCs w:val="24"/>
        </w:rPr>
      </w:pPr>
      <w:r>
        <w:rPr>
          <w:iCs/>
          <w:szCs w:val="24"/>
          <w:vertAlign w:val="superscript"/>
        </w:rPr>
        <w:t>§</w:t>
      </w:r>
      <w:r>
        <w:rPr>
          <w:iCs/>
          <w:szCs w:val="24"/>
          <w:vertAlign w:val="superscript"/>
        </w:rPr>
        <w:tab/>
        <w:t xml:space="preserve"> </w:t>
      </w:r>
      <w:r>
        <w:rPr>
          <w:iCs/>
          <w:szCs w:val="24"/>
        </w:rPr>
        <w:t>bivirkning identificeret efter markedsføring. I overensstemmelse med retningslinjerne for produktresuméer (2. revision, september 2009) blev hyppigheden af denne bivirkning efter markedsføring fastsat ved hjælp af "Rule of 3".</w:t>
      </w:r>
    </w:p>
    <w:p w:rsidR="00B91372" w:rsidRPr="00ED0DE7" w:rsidRDefault="00B91372" w:rsidP="00B91372">
      <w:pPr>
        <w:pStyle w:val="Sidehoved"/>
        <w:tabs>
          <w:tab w:val="left" w:pos="851"/>
        </w:tabs>
        <w:ind w:left="851"/>
        <w:rPr>
          <w:iCs/>
          <w:szCs w:val="24"/>
        </w:rPr>
      </w:pPr>
    </w:p>
    <w:p w:rsidR="00B862A8" w:rsidRPr="00C47CB9" w:rsidRDefault="00B862A8" w:rsidP="00B862A8">
      <w:pPr>
        <w:ind w:left="851"/>
        <w:rPr>
          <w:sz w:val="24"/>
          <w:szCs w:val="24"/>
          <w:u w:val="single"/>
        </w:rPr>
      </w:pPr>
      <w:r w:rsidRPr="00C47CB9">
        <w:rPr>
          <w:sz w:val="24"/>
          <w:szCs w:val="24"/>
          <w:u w:val="single"/>
        </w:rPr>
        <w:t>Beskrivelse af udvalgte bivirkninger</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i/>
          <w:iCs/>
          <w:szCs w:val="24"/>
        </w:rPr>
      </w:pPr>
      <w:r w:rsidRPr="00ED0DE7">
        <w:rPr>
          <w:i/>
          <w:iCs/>
          <w:szCs w:val="24"/>
        </w:rPr>
        <w:t>Udslæt</w:t>
      </w:r>
    </w:p>
    <w:p w:rsidR="00B862A8" w:rsidRPr="00ED0DE7" w:rsidRDefault="00B862A8" w:rsidP="00B862A8">
      <w:pPr>
        <w:pStyle w:val="Sidehoved"/>
        <w:tabs>
          <w:tab w:val="left" w:pos="851"/>
        </w:tabs>
        <w:ind w:left="851"/>
        <w:rPr>
          <w:szCs w:val="24"/>
        </w:rPr>
      </w:pPr>
      <w:r w:rsidRPr="00ED0DE7">
        <w:rPr>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szCs w:val="24"/>
        </w:rPr>
      </w:pPr>
      <w:r w:rsidRPr="00ED0DE7">
        <w:rPr>
          <w:szCs w:val="24"/>
        </w:rPr>
        <w:t xml:space="preserve">I det kliniske udviklingsprogram med raltegravir hos behandlingserfarne patienter forekom udslæt uanset årsagssammenhæng hyppigere, når regimet indeholdt darunavir/ritonavir + raltegravir, end når det indeholdt darunavir/ritonavir uden raltegravir eller raltegravir uden darunavir/ritonavir. Udslæt, der af lægen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 </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i/>
          <w:iCs/>
          <w:szCs w:val="24"/>
        </w:rPr>
      </w:pPr>
      <w:r w:rsidRPr="00ED0DE7">
        <w:rPr>
          <w:i/>
          <w:iCs/>
          <w:szCs w:val="24"/>
        </w:rPr>
        <w:t>Metaboliske parametre</w:t>
      </w:r>
    </w:p>
    <w:p w:rsidR="00B862A8" w:rsidRPr="00ED0DE7" w:rsidRDefault="00B862A8" w:rsidP="00B862A8">
      <w:pPr>
        <w:pStyle w:val="Sidehoved"/>
        <w:tabs>
          <w:tab w:val="left" w:pos="851"/>
        </w:tabs>
        <w:ind w:left="851"/>
        <w:rPr>
          <w:szCs w:val="24"/>
        </w:rPr>
      </w:pPr>
      <w:r w:rsidRPr="00ED0DE7">
        <w:rPr>
          <w:szCs w:val="24"/>
        </w:rPr>
        <w:t>Legemsvægt og niveauerne af lipid og glucose i blodet kan stige under antiretroviral behandling (se pkt. 4.4).</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i/>
          <w:iCs/>
          <w:szCs w:val="24"/>
        </w:rPr>
      </w:pPr>
      <w:r w:rsidRPr="00ED0DE7">
        <w:rPr>
          <w:i/>
          <w:iCs/>
          <w:szCs w:val="24"/>
        </w:rPr>
        <w:t>Muskuloskeletale anomalier</w:t>
      </w:r>
    </w:p>
    <w:p w:rsidR="00B862A8" w:rsidRPr="00ED0DE7" w:rsidRDefault="00B862A8" w:rsidP="00B862A8">
      <w:pPr>
        <w:pStyle w:val="Sidehoved"/>
        <w:tabs>
          <w:tab w:val="left" w:pos="851"/>
        </w:tabs>
        <w:ind w:left="851"/>
        <w:rPr>
          <w:szCs w:val="24"/>
        </w:rPr>
      </w:pPr>
      <w:r w:rsidRPr="00ED0DE7">
        <w:rPr>
          <w:szCs w:val="24"/>
        </w:rPr>
        <w:t xml:space="preserve">Der har været rapporter om forhøjet CK (kreatinkinase), myalgi, myositis og, i sjældne tilfælde, rhabdomyolyse i forbindelse med brug af proteasehæmmere, især i kombination med NRTI’er. </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szCs w:val="24"/>
        </w:rPr>
      </w:pPr>
      <w:r w:rsidRPr="00ED0DE7">
        <w:rPr>
          <w:szCs w:val="24"/>
        </w:rPr>
        <w:t xml:space="preserve">Der er rapporteret tilfælde af osteonekrose, især hos patienter med generelt erkendte risikofaktorer, fremskreden </w:t>
      </w:r>
      <w:r>
        <w:rPr>
          <w:szCs w:val="24"/>
        </w:rPr>
        <w:t>HIV</w:t>
      </w:r>
      <w:r w:rsidRPr="00ED0DE7">
        <w:rPr>
          <w:szCs w:val="24"/>
        </w:rPr>
        <w:t>-sygdom eller langtidseksponering for antiretroviral kombinationsbehandling (CART). Hyppigheden af dette kendes ikke (se pkt. 4.4).</w:t>
      </w:r>
    </w:p>
    <w:p w:rsidR="00B862A8" w:rsidRPr="00ED0DE7" w:rsidRDefault="00B862A8" w:rsidP="00B862A8">
      <w:pPr>
        <w:pStyle w:val="Sidehoved"/>
        <w:tabs>
          <w:tab w:val="left" w:pos="851"/>
        </w:tabs>
        <w:ind w:left="851"/>
        <w:rPr>
          <w:i/>
          <w:iCs/>
          <w:szCs w:val="24"/>
        </w:rPr>
      </w:pPr>
    </w:p>
    <w:p w:rsidR="00B862A8" w:rsidRPr="00ED0DE7" w:rsidRDefault="00B862A8" w:rsidP="00B862A8">
      <w:pPr>
        <w:pStyle w:val="Sidehoved"/>
        <w:tabs>
          <w:tab w:val="left" w:pos="851"/>
        </w:tabs>
        <w:ind w:left="851"/>
        <w:rPr>
          <w:i/>
          <w:iCs/>
          <w:szCs w:val="24"/>
        </w:rPr>
      </w:pPr>
      <w:r w:rsidRPr="00ED0DE7">
        <w:rPr>
          <w:i/>
          <w:iCs/>
          <w:szCs w:val="24"/>
        </w:rPr>
        <w:t>Immunrekonstitutionsinflammatorisk syndrom (IRIS)</w:t>
      </w:r>
    </w:p>
    <w:p w:rsidR="00B862A8" w:rsidRPr="00ED0DE7" w:rsidRDefault="00B862A8" w:rsidP="00B862A8">
      <w:pPr>
        <w:pStyle w:val="Sidehoved"/>
        <w:tabs>
          <w:tab w:val="left" w:pos="851"/>
        </w:tabs>
        <w:ind w:left="851"/>
        <w:rPr>
          <w:szCs w:val="24"/>
        </w:rPr>
      </w:pPr>
      <w:r w:rsidRPr="00ED0DE7">
        <w:rPr>
          <w:szCs w:val="24"/>
        </w:rPr>
        <w:t xml:space="preserve">Hos </w:t>
      </w:r>
      <w:r>
        <w:rPr>
          <w:szCs w:val="24"/>
        </w:rPr>
        <w:t>HIV</w:t>
      </w:r>
      <w:r w:rsidRPr="00ED0DE7">
        <w:rPr>
          <w:szCs w:val="24"/>
        </w:rPr>
        <w:t>-inficerede patienter med alvorlig immundefekt på tidspunktet for påbegyndelse af</w:t>
      </w:r>
      <w:r>
        <w:rPr>
          <w:szCs w:val="24"/>
        </w:rPr>
        <w:t xml:space="preserve"> </w:t>
      </w:r>
      <w:r w:rsidRPr="00ED0DE7">
        <w:rPr>
          <w:szCs w:val="24"/>
        </w:rPr>
        <w:t>antiretroviral kombinationsbehandling (CART) kan der opstå en inflammatorisk reaktion på asymptomatiske eller resterende opportunistiske infektioner. Autoimmune lidelser (såsom Graves sygdom</w:t>
      </w:r>
      <w:r>
        <w:rPr>
          <w:szCs w:val="24"/>
        </w:rPr>
        <w:t xml:space="preserve"> og autoimmun hepatitis) </w:t>
      </w:r>
      <w:r w:rsidRPr="00ED0DE7">
        <w:rPr>
          <w:szCs w:val="24"/>
        </w:rPr>
        <w:t>er også set; tiden til udbrud er mere variabel og kan være mange måneder efter initiering af behandling (se pkt. 4.4).</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i/>
          <w:iCs/>
          <w:szCs w:val="24"/>
        </w:rPr>
      </w:pPr>
      <w:r w:rsidRPr="00ED0DE7">
        <w:rPr>
          <w:i/>
          <w:iCs/>
          <w:szCs w:val="24"/>
        </w:rPr>
        <w:t>Blødninger hos hæmofilipatienter</w:t>
      </w:r>
    </w:p>
    <w:p w:rsidR="00B862A8" w:rsidRPr="00ED0DE7" w:rsidRDefault="00B862A8" w:rsidP="00B862A8">
      <w:pPr>
        <w:pStyle w:val="Sidehoved"/>
        <w:tabs>
          <w:tab w:val="left" w:pos="851"/>
        </w:tabs>
        <w:ind w:left="851"/>
        <w:rPr>
          <w:szCs w:val="24"/>
        </w:rPr>
      </w:pPr>
      <w:r w:rsidRPr="00ED0DE7">
        <w:rPr>
          <w:szCs w:val="24"/>
        </w:rPr>
        <w:t>Der har været rapporter om øget spontan blødningstendens hos patienter med hæmofili, der fik antiretrovirale proteasehæmmere (se pkt. 4.4).</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szCs w:val="24"/>
          <w:u w:val="single"/>
        </w:rPr>
      </w:pPr>
      <w:r w:rsidRPr="00ED0DE7">
        <w:rPr>
          <w:szCs w:val="24"/>
          <w:u w:val="single"/>
        </w:rPr>
        <w:t>Pædiatrisk population</w:t>
      </w:r>
    </w:p>
    <w:p w:rsidR="00B862A8" w:rsidRPr="00ED0DE7" w:rsidRDefault="00B862A8" w:rsidP="00B862A8">
      <w:pPr>
        <w:pStyle w:val="Sidehoved"/>
        <w:tabs>
          <w:tab w:val="left" w:pos="851"/>
        </w:tabs>
        <w:ind w:left="851"/>
        <w:rPr>
          <w:szCs w:val="24"/>
        </w:rPr>
      </w:pPr>
      <w:r w:rsidRPr="00ED0DE7">
        <w:rPr>
          <w:szCs w:val="24"/>
        </w:rPr>
        <w:t>Sikkerhedsvurderingen for pædiatriske patienter er baseret på analysen af sikkerhedsdata efter 48 uger fra tre fase II–studier. Følgende patientpopulationer blev evalueret (se pkt. 5.1):</w:t>
      </w:r>
    </w:p>
    <w:p w:rsidR="00B862A8" w:rsidRPr="00ED0DE7" w:rsidRDefault="00B862A8" w:rsidP="00B862A8">
      <w:pPr>
        <w:pStyle w:val="Sidehoved"/>
        <w:numPr>
          <w:ilvl w:val="0"/>
          <w:numId w:val="24"/>
        </w:numPr>
        <w:tabs>
          <w:tab w:val="clear" w:pos="4819"/>
          <w:tab w:val="left" w:pos="1560"/>
        </w:tabs>
        <w:ind w:left="1276" w:hanging="425"/>
        <w:rPr>
          <w:szCs w:val="24"/>
        </w:rPr>
      </w:pPr>
      <w:r w:rsidRPr="00ED0DE7">
        <w:rPr>
          <w:szCs w:val="24"/>
        </w:rPr>
        <w:t xml:space="preserve">80 ART-erfarne </w:t>
      </w:r>
      <w:r>
        <w:rPr>
          <w:szCs w:val="24"/>
        </w:rPr>
        <w:t>HIV</w:t>
      </w:r>
      <w:r w:rsidRPr="00ED0DE7">
        <w:rPr>
          <w:szCs w:val="24"/>
        </w:rPr>
        <w:t>-1-smittede pædiatriske patienter i alderen 6 til 17 år med en legemsvægt på mindst 20 kg, som blev behandlet med darunavir-tabletter sammen med lavdosis ritonavir to gange daglig i kombination med andre antiretrovirale lægemidler.</w:t>
      </w:r>
    </w:p>
    <w:p w:rsidR="00B862A8" w:rsidRPr="00ED0DE7" w:rsidRDefault="00B862A8" w:rsidP="00B862A8">
      <w:pPr>
        <w:pStyle w:val="Sidehoved"/>
        <w:numPr>
          <w:ilvl w:val="0"/>
          <w:numId w:val="24"/>
        </w:numPr>
        <w:tabs>
          <w:tab w:val="clear" w:pos="4819"/>
          <w:tab w:val="left" w:pos="1560"/>
        </w:tabs>
        <w:ind w:left="1276" w:hanging="425"/>
        <w:rPr>
          <w:szCs w:val="24"/>
        </w:rPr>
      </w:pPr>
      <w:r w:rsidRPr="00ED0DE7">
        <w:rPr>
          <w:szCs w:val="24"/>
        </w:rPr>
        <w:t xml:space="preserve">21 ART-erfarne </w:t>
      </w:r>
      <w:r>
        <w:rPr>
          <w:szCs w:val="24"/>
        </w:rPr>
        <w:t>HIV</w:t>
      </w:r>
      <w:r w:rsidRPr="00ED0DE7">
        <w:rPr>
          <w:szCs w:val="24"/>
        </w:rPr>
        <w:t>-1-smittede pædiatriske patienter i alderen 3 til &lt; 6 år med en legemsvægt på 10 kg til &lt; 20 kg (16 deltagere fra 15 kg til &lt; 20 kg), som fik darunavir oral suspension med lavdosis ritonavir to gange daglig i kombination med andre antiretrovirale lægemidler.</w:t>
      </w:r>
    </w:p>
    <w:p w:rsidR="00B862A8" w:rsidRPr="00ED0DE7" w:rsidRDefault="00B862A8" w:rsidP="00B862A8">
      <w:pPr>
        <w:pStyle w:val="Sidehoved"/>
        <w:numPr>
          <w:ilvl w:val="0"/>
          <w:numId w:val="24"/>
        </w:numPr>
        <w:tabs>
          <w:tab w:val="clear" w:pos="4819"/>
          <w:tab w:val="left" w:pos="1560"/>
        </w:tabs>
        <w:ind w:left="1276" w:hanging="425"/>
        <w:rPr>
          <w:szCs w:val="24"/>
        </w:rPr>
      </w:pPr>
      <w:r w:rsidRPr="00ED0DE7">
        <w:rPr>
          <w:szCs w:val="24"/>
        </w:rPr>
        <w:t xml:space="preserve">12 ART-naive </w:t>
      </w:r>
      <w:r>
        <w:rPr>
          <w:szCs w:val="24"/>
        </w:rPr>
        <w:t>HIV</w:t>
      </w:r>
      <w:r w:rsidRPr="00ED0DE7">
        <w:rPr>
          <w:szCs w:val="24"/>
        </w:rPr>
        <w:t>-1-smittede pædiatriske patienter i alderen 12 til 17 år med en legemsvægt på mindst 40 kg, som fik darunavir tabletter sammen med lavdosis ritonavir en gang daglig i kombination med andre antiretrovirale lægemidler (se pkt. 5.1).</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szCs w:val="24"/>
        </w:rPr>
      </w:pPr>
      <w:r w:rsidRPr="00ED0DE7">
        <w:rPr>
          <w:szCs w:val="24"/>
        </w:rPr>
        <w:t>Sikkerhedsprofilen hos disse pædiatriske patienter var generelt sammenlignelig med den, der er observeret hos den voksne population.</w:t>
      </w:r>
    </w:p>
    <w:p w:rsidR="00B862A8" w:rsidRPr="00ED0DE7" w:rsidRDefault="00B862A8" w:rsidP="00B862A8">
      <w:pPr>
        <w:pStyle w:val="Sidehoved"/>
        <w:tabs>
          <w:tab w:val="left" w:pos="851"/>
        </w:tabs>
        <w:ind w:left="851"/>
        <w:rPr>
          <w:szCs w:val="24"/>
        </w:rPr>
      </w:pPr>
    </w:p>
    <w:p w:rsidR="00B862A8" w:rsidRPr="00ED0DE7" w:rsidRDefault="00B862A8" w:rsidP="00B862A8">
      <w:pPr>
        <w:pStyle w:val="Sidehoved"/>
        <w:tabs>
          <w:tab w:val="left" w:pos="851"/>
        </w:tabs>
        <w:ind w:left="851"/>
        <w:rPr>
          <w:szCs w:val="24"/>
          <w:u w:val="single"/>
        </w:rPr>
      </w:pPr>
      <w:r w:rsidRPr="00ED0DE7">
        <w:rPr>
          <w:szCs w:val="24"/>
          <w:u w:val="single"/>
        </w:rPr>
        <w:t>Andre særlige populationer</w:t>
      </w:r>
    </w:p>
    <w:p w:rsidR="00B862A8" w:rsidRPr="00ED0DE7" w:rsidRDefault="00B862A8" w:rsidP="00B862A8">
      <w:pPr>
        <w:pStyle w:val="Sidehoved"/>
        <w:tabs>
          <w:tab w:val="left" w:pos="851"/>
        </w:tabs>
        <w:ind w:left="851"/>
        <w:rPr>
          <w:i/>
          <w:iCs/>
          <w:szCs w:val="24"/>
        </w:rPr>
      </w:pPr>
    </w:p>
    <w:p w:rsidR="00B862A8" w:rsidRPr="00ED0DE7" w:rsidRDefault="00B862A8" w:rsidP="00B862A8">
      <w:pPr>
        <w:pStyle w:val="Sidehoved"/>
        <w:tabs>
          <w:tab w:val="left" w:pos="851"/>
        </w:tabs>
        <w:ind w:left="851"/>
        <w:rPr>
          <w:i/>
          <w:iCs/>
          <w:szCs w:val="24"/>
        </w:rPr>
      </w:pPr>
      <w:r w:rsidRPr="00ED0DE7">
        <w:rPr>
          <w:i/>
          <w:iCs/>
          <w:szCs w:val="24"/>
        </w:rPr>
        <w:t>Patienter co-inficeret med hepatitis B- og/eller hepatitis C-virus</w:t>
      </w:r>
    </w:p>
    <w:p w:rsidR="00B862A8" w:rsidRPr="00ED0DE7" w:rsidRDefault="00B862A8" w:rsidP="00B862A8">
      <w:pPr>
        <w:pStyle w:val="Sidehoved"/>
        <w:tabs>
          <w:tab w:val="left" w:pos="851"/>
        </w:tabs>
        <w:ind w:left="851"/>
        <w:rPr>
          <w:szCs w:val="24"/>
        </w:rPr>
      </w:pPr>
      <w:r w:rsidRPr="00ED0DE7">
        <w:rPr>
          <w:szCs w:val="24"/>
        </w:rPr>
        <w:t>Blandt 1.968 behandlingserfarne patienter, der fik darunavir, co-administreret med ritonavir 600/100 mg to gange daglig, havde 236 patienter også hepatitis B eller C. Disse patienter havde en større risiko for forhøjelse af hepatisk aminotransferase ved baseline og efter behandlingsstart end patienter uden kronisk viral hepatitis (se pkt. 4.4).</w:t>
      </w:r>
    </w:p>
    <w:p w:rsidR="00B862A8" w:rsidRPr="00ED0DE7" w:rsidRDefault="00B862A8" w:rsidP="00B862A8">
      <w:pPr>
        <w:pStyle w:val="Sidehoved"/>
        <w:tabs>
          <w:tab w:val="left" w:pos="851"/>
        </w:tabs>
        <w:ind w:left="851"/>
        <w:rPr>
          <w:szCs w:val="24"/>
        </w:rPr>
      </w:pPr>
    </w:p>
    <w:p w:rsidR="00B862A8" w:rsidRPr="00ED0DE7" w:rsidRDefault="00B862A8" w:rsidP="00B862A8">
      <w:pPr>
        <w:autoSpaceDE w:val="0"/>
        <w:autoSpaceDN w:val="0"/>
        <w:ind w:left="851"/>
        <w:rPr>
          <w:sz w:val="24"/>
          <w:szCs w:val="24"/>
          <w:u w:val="single"/>
          <w:lang w:eastAsia="da-DK"/>
        </w:rPr>
      </w:pPr>
      <w:r w:rsidRPr="00ED0DE7">
        <w:rPr>
          <w:sz w:val="24"/>
          <w:szCs w:val="24"/>
          <w:u w:val="single"/>
          <w:lang w:eastAsia="da-DK"/>
        </w:rPr>
        <w:t>Indberetning af formodede bivirkninger</w:t>
      </w:r>
    </w:p>
    <w:p w:rsidR="00B862A8" w:rsidRPr="00ED0DE7" w:rsidRDefault="00B862A8" w:rsidP="00B862A8">
      <w:pPr>
        <w:ind w:left="851"/>
        <w:rPr>
          <w:sz w:val="24"/>
          <w:szCs w:val="24"/>
          <w:lang w:eastAsia="da-DK"/>
        </w:rPr>
      </w:pPr>
      <w:r w:rsidRPr="00ED0DE7">
        <w:rPr>
          <w:sz w:val="24"/>
          <w:szCs w:val="24"/>
          <w:lang w:eastAsia="da-DK"/>
        </w:rPr>
        <w:t xml:space="preserve">Når lægemidlet er godkendt, er indberetning af formodede bivirkninger vigtig. Det muliggør løbende overvågning af benefit/risk-forholdet for lægemidlet. </w:t>
      </w:r>
      <w:r>
        <w:rPr>
          <w:sz w:val="24"/>
          <w:szCs w:val="24"/>
          <w:lang w:eastAsia="da-DK"/>
        </w:rPr>
        <w:t>Sundhedspersoner</w:t>
      </w:r>
      <w:r w:rsidRPr="00ED0DE7">
        <w:rPr>
          <w:sz w:val="24"/>
          <w:szCs w:val="24"/>
          <w:lang w:eastAsia="da-DK"/>
        </w:rPr>
        <w:t xml:space="preserve"> anmodes om at indberette alle formodede bivirkninger via:</w:t>
      </w:r>
    </w:p>
    <w:p w:rsidR="00B862A8" w:rsidRPr="00ED0DE7" w:rsidRDefault="00B862A8" w:rsidP="00B862A8">
      <w:pPr>
        <w:ind w:left="851"/>
        <w:rPr>
          <w:sz w:val="24"/>
          <w:szCs w:val="24"/>
          <w:lang w:eastAsia="da-DK"/>
        </w:rPr>
      </w:pPr>
    </w:p>
    <w:p w:rsidR="00B862A8" w:rsidRPr="00ED0DE7" w:rsidRDefault="00B862A8" w:rsidP="00B862A8">
      <w:pPr>
        <w:ind w:left="851"/>
        <w:rPr>
          <w:sz w:val="24"/>
          <w:szCs w:val="24"/>
          <w:lang w:eastAsia="da-DK"/>
        </w:rPr>
      </w:pPr>
      <w:r w:rsidRPr="00ED0DE7">
        <w:rPr>
          <w:sz w:val="24"/>
          <w:szCs w:val="24"/>
          <w:lang w:eastAsia="da-DK"/>
        </w:rPr>
        <w:t>Lægemiddelstyrelsen</w:t>
      </w:r>
    </w:p>
    <w:p w:rsidR="00B862A8" w:rsidRPr="00ED0DE7" w:rsidRDefault="00B862A8" w:rsidP="00B862A8">
      <w:pPr>
        <w:ind w:left="851"/>
        <w:rPr>
          <w:sz w:val="24"/>
          <w:szCs w:val="24"/>
          <w:lang w:eastAsia="da-DK"/>
        </w:rPr>
      </w:pPr>
      <w:r w:rsidRPr="00ED0DE7">
        <w:rPr>
          <w:sz w:val="24"/>
          <w:szCs w:val="24"/>
          <w:lang w:eastAsia="da-DK"/>
        </w:rPr>
        <w:t>Axel Heides Gade 1</w:t>
      </w:r>
    </w:p>
    <w:p w:rsidR="00B862A8" w:rsidRPr="00ED0DE7" w:rsidRDefault="00B862A8" w:rsidP="00B862A8">
      <w:pPr>
        <w:ind w:left="851"/>
        <w:rPr>
          <w:sz w:val="24"/>
          <w:szCs w:val="24"/>
          <w:lang w:eastAsia="da-DK"/>
        </w:rPr>
      </w:pPr>
      <w:r w:rsidRPr="00ED0DE7">
        <w:rPr>
          <w:sz w:val="24"/>
          <w:szCs w:val="24"/>
          <w:lang w:eastAsia="da-DK"/>
        </w:rPr>
        <w:lastRenderedPageBreak/>
        <w:t>DK-2300 København S</w:t>
      </w:r>
    </w:p>
    <w:p w:rsidR="00B862A8" w:rsidRPr="004623FF" w:rsidRDefault="00B862A8" w:rsidP="00B862A8">
      <w:pPr>
        <w:ind w:left="851"/>
        <w:rPr>
          <w:sz w:val="24"/>
          <w:szCs w:val="24"/>
          <w:lang w:eastAsia="da-DK"/>
        </w:rPr>
      </w:pPr>
      <w:r w:rsidRPr="004623FF">
        <w:rPr>
          <w:sz w:val="24"/>
          <w:szCs w:val="24"/>
          <w:lang w:eastAsia="da-DK"/>
        </w:rPr>
        <w:t xml:space="preserve">Websted: </w:t>
      </w:r>
      <w:hyperlink r:id="rId8" w:history="1">
        <w:r w:rsidRPr="004623FF">
          <w:rPr>
            <w:color w:val="0000FF"/>
            <w:sz w:val="24"/>
            <w:szCs w:val="24"/>
            <w:u w:val="single"/>
            <w:lang w:eastAsia="da-DK"/>
          </w:rPr>
          <w:t>www.meldenbivirkning.dk</w:t>
        </w:r>
      </w:hyperlink>
    </w:p>
    <w:p w:rsidR="00B91372" w:rsidRPr="004C1A1B" w:rsidRDefault="00B91372" w:rsidP="00B91372">
      <w:pPr>
        <w:pStyle w:val="Sidehoved"/>
        <w:tabs>
          <w:tab w:val="left" w:pos="851"/>
        </w:tabs>
        <w:ind w:left="851"/>
        <w:rPr>
          <w:szCs w:val="24"/>
        </w:rPr>
      </w:pPr>
    </w:p>
    <w:p w:rsidR="00B91372" w:rsidRPr="00ED0DE7" w:rsidRDefault="00B91372" w:rsidP="00B91372">
      <w:pPr>
        <w:tabs>
          <w:tab w:val="left" w:pos="851"/>
        </w:tabs>
        <w:ind w:left="851" w:hanging="851"/>
        <w:rPr>
          <w:b/>
          <w:sz w:val="24"/>
          <w:szCs w:val="24"/>
        </w:rPr>
      </w:pPr>
      <w:r w:rsidRPr="00ED0DE7">
        <w:rPr>
          <w:b/>
          <w:sz w:val="24"/>
          <w:szCs w:val="24"/>
        </w:rPr>
        <w:t>4.9</w:t>
      </w:r>
      <w:r w:rsidRPr="00ED0DE7">
        <w:rPr>
          <w:b/>
          <w:sz w:val="24"/>
          <w:szCs w:val="24"/>
        </w:rPr>
        <w:tab/>
        <w:t>Overdosering</w:t>
      </w:r>
    </w:p>
    <w:p w:rsidR="00B91372" w:rsidRPr="00ED0DE7" w:rsidRDefault="00B91372" w:rsidP="00B91372">
      <w:pPr>
        <w:tabs>
          <w:tab w:val="left" w:pos="851"/>
        </w:tabs>
        <w:ind w:left="851"/>
        <w:rPr>
          <w:sz w:val="24"/>
          <w:szCs w:val="24"/>
        </w:rPr>
      </w:pPr>
      <w:r w:rsidRPr="00ED0DE7">
        <w:rPr>
          <w:sz w:val="24"/>
          <w:szCs w:val="24"/>
        </w:rPr>
        <w:t xml:space="preserve">Der er kun begrænset erfaring med akut overdosering af darunavir, co-administreret med lavdosis ritonavir hos mennesker. Enkeltdoser op til 3.200 mg darunavir som oral opløsning alene og op til 1.600 mg som tabletformulering af darunavir i kombination med ritonavir er blevet givet til raske, frivillige forsøgspersoner uden nogen utilsigtede, symptomatiske virkninger. </w:t>
      </w:r>
    </w:p>
    <w:p w:rsidR="00B91372" w:rsidRPr="00ED0DE7" w:rsidRDefault="00B91372" w:rsidP="00B91372">
      <w:pPr>
        <w:tabs>
          <w:tab w:val="left" w:pos="851"/>
        </w:tabs>
        <w:ind w:left="851"/>
        <w:rPr>
          <w:sz w:val="24"/>
          <w:szCs w:val="24"/>
        </w:rPr>
      </w:pPr>
    </w:p>
    <w:p w:rsidR="00B91372" w:rsidRDefault="00B91372" w:rsidP="00B91372">
      <w:pPr>
        <w:tabs>
          <w:tab w:val="left" w:pos="851"/>
        </w:tabs>
        <w:ind w:left="851"/>
        <w:rPr>
          <w:sz w:val="24"/>
          <w:szCs w:val="24"/>
        </w:rPr>
      </w:pPr>
      <w:r>
        <w:rPr>
          <w:sz w:val="24"/>
          <w:szCs w:val="24"/>
        </w:rPr>
        <w:t xml:space="preserve">Der findes ingen specifik antidot mod darunavir. Behandling ved overdosering af darunavir består i generelle supportive foranstaltninger, herunder monitorering af vitaltegn og observation af patientens kliniske tilstand. </w:t>
      </w:r>
    </w:p>
    <w:p w:rsidR="00B91372" w:rsidRDefault="00B91372" w:rsidP="00B91372">
      <w:pPr>
        <w:tabs>
          <w:tab w:val="left" w:pos="851"/>
        </w:tabs>
        <w:ind w:left="851"/>
        <w:rPr>
          <w:sz w:val="24"/>
          <w:szCs w:val="24"/>
        </w:rPr>
      </w:pPr>
      <w:r>
        <w:rPr>
          <w:sz w:val="24"/>
          <w:szCs w:val="24"/>
        </w:rPr>
        <w:t>Da darunavir i høj grad er proteinbundet, vil dialyse højst sandsynligt ikke være effektivt til fjernelse af større mængder af det aktive stof.</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4.10</w:t>
      </w:r>
      <w:r w:rsidRPr="00ED0DE7">
        <w:rPr>
          <w:b/>
          <w:sz w:val="24"/>
          <w:szCs w:val="24"/>
        </w:rPr>
        <w:tab/>
        <w:t>Udlevering</w:t>
      </w:r>
    </w:p>
    <w:p w:rsidR="00B91372" w:rsidRDefault="00B91372" w:rsidP="00B91372">
      <w:pPr>
        <w:tabs>
          <w:tab w:val="left" w:pos="851"/>
        </w:tabs>
        <w:ind w:left="851"/>
        <w:rPr>
          <w:sz w:val="24"/>
          <w:szCs w:val="24"/>
        </w:rPr>
      </w:pPr>
      <w:r w:rsidRPr="00ED0DE7">
        <w:rPr>
          <w:sz w:val="24"/>
          <w:szCs w:val="24"/>
        </w:rPr>
        <w:t>BEGR (kun til sygehuse)</w:t>
      </w:r>
    </w:p>
    <w:p w:rsidR="00B91372"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5.</w:t>
      </w:r>
      <w:r w:rsidRPr="00ED0DE7">
        <w:rPr>
          <w:b/>
          <w:sz w:val="24"/>
          <w:szCs w:val="24"/>
        </w:rPr>
        <w:tab/>
        <w:t>FARMAKOLOGISKE EGENSKABER</w:t>
      </w:r>
    </w:p>
    <w:p w:rsidR="00B91372" w:rsidRPr="00ED0DE7" w:rsidRDefault="00B91372" w:rsidP="00B862A8">
      <w:pPr>
        <w:tabs>
          <w:tab w:val="left" w:pos="851"/>
        </w:tabs>
        <w:rPr>
          <w:sz w:val="24"/>
          <w:szCs w:val="24"/>
        </w:rPr>
      </w:pPr>
    </w:p>
    <w:p w:rsidR="00B91372" w:rsidRPr="00ED0DE7" w:rsidRDefault="00B91372" w:rsidP="00B91372">
      <w:pPr>
        <w:tabs>
          <w:tab w:val="num" w:pos="851"/>
        </w:tabs>
        <w:ind w:left="851" w:hanging="851"/>
        <w:rPr>
          <w:b/>
          <w:sz w:val="24"/>
          <w:szCs w:val="24"/>
        </w:rPr>
      </w:pPr>
      <w:r w:rsidRPr="00ED0DE7">
        <w:rPr>
          <w:b/>
          <w:sz w:val="24"/>
          <w:szCs w:val="24"/>
        </w:rPr>
        <w:t>5.1</w:t>
      </w:r>
      <w:r w:rsidRPr="00ED0DE7">
        <w:rPr>
          <w:b/>
          <w:sz w:val="24"/>
          <w:szCs w:val="24"/>
        </w:rPr>
        <w:tab/>
        <w:t>Farmakodynamiske egenskaber</w:t>
      </w:r>
    </w:p>
    <w:p w:rsidR="00B91372" w:rsidRDefault="00B862A8" w:rsidP="00B91372">
      <w:pPr>
        <w:tabs>
          <w:tab w:val="left" w:pos="851"/>
        </w:tabs>
        <w:ind w:left="851"/>
        <w:rPr>
          <w:sz w:val="24"/>
          <w:szCs w:val="24"/>
        </w:rPr>
      </w:pPr>
      <w:r w:rsidRPr="00B862A8">
        <w:rPr>
          <w:sz w:val="24"/>
          <w:szCs w:val="24"/>
        </w:rPr>
        <w:t>Farmakoterapeutisk klassifikation</w:t>
      </w:r>
      <w:r>
        <w:rPr>
          <w:sz w:val="24"/>
          <w:szCs w:val="24"/>
        </w:rPr>
        <w:t xml:space="preserve">: </w:t>
      </w:r>
      <w:r w:rsidRPr="00ED0DE7">
        <w:rPr>
          <w:sz w:val="24"/>
          <w:szCs w:val="24"/>
        </w:rPr>
        <w:t>Antivirale stoffer til systemisk brug, proteasehæmmere.</w:t>
      </w:r>
    </w:p>
    <w:p w:rsidR="00B862A8" w:rsidRPr="00B862A8" w:rsidRDefault="00B862A8" w:rsidP="00B91372">
      <w:pPr>
        <w:tabs>
          <w:tab w:val="left" w:pos="851"/>
        </w:tabs>
        <w:ind w:left="851"/>
        <w:rPr>
          <w:sz w:val="24"/>
          <w:szCs w:val="24"/>
        </w:rPr>
      </w:pPr>
      <w:r w:rsidRPr="00ED0DE7">
        <w:rPr>
          <w:sz w:val="24"/>
          <w:szCs w:val="24"/>
        </w:rPr>
        <w:t>ATC-kode: J 05 AE 10.</w:t>
      </w:r>
    </w:p>
    <w:p w:rsidR="00B862A8" w:rsidRDefault="00B862A8" w:rsidP="00B91372">
      <w:pPr>
        <w:tabs>
          <w:tab w:val="left" w:pos="851"/>
        </w:tabs>
        <w:ind w:left="851"/>
        <w:rPr>
          <w:sz w:val="24"/>
          <w:szCs w:val="24"/>
          <w:u w:val="single"/>
        </w:rPr>
      </w:pPr>
    </w:p>
    <w:p w:rsidR="00B862A8" w:rsidRPr="00ED0DE7" w:rsidRDefault="00B862A8" w:rsidP="00B862A8">
      <w:pPr>
        <w:tabs>
          <w:tab w:val="left" w:pos="851"/>
        </w:tabs>
        <w:ind w:left="851"/>
        <w:rPr>
          <w:sz w:val="24"/>
          <w:szCs w:val="24"/>
          <w:u w:val="single"/>
        </w:rPr>
      </w:pPr>
      <w:r w:rsidRPr="00ED0DE7">
        <w:rPr>
          <w:sz w:val="24"/>
          <w:szCs w:val="24"/>
          <w:u w:val="single"/>
        </w:rPr>
        <w:t>Virkningsmekanisme</w:t>
      </w:r>
    </w:p>
    <w:p w:rsidR="00B862A8" w:rsidRPr="00ED0DE7" w:rsidRDefault="00B862A8" w:rsidP="00B862A8">
      <w:pPr>
        <w:tabs>
          <w:tab w:val="left" w:pos="851"/>
        </w:tabs>
        <w:ind w:left="851"/>
        <w:rPr>
          <w:sz w:val="24"/>
          <w:szCs w:val="24"/>
        </w:rPr>
      </w:pPr>
      <w:r w:rsidRPr="00ED0DE7">
        <w:rPr>
          <w:sz w:val="24"/>
          <w:szCs w:val="24"/>
        </w:rPr>
        <w:t xml:space="preserve">Darunavir er en hæmmer af dimer-dannelsen og den katalytiske aktivitet af </w:t>
      </w:r>
      <w:r>
        <w:rPr>
          <w:sz w:val="24"/>
          <w:szCs w:val="24"/>
        </w:rPr>
        <w:t>HIV</w:t>
      </w:r>
      <w:r w:rsidRPr="00ED0DE7">
        <w:rPr>
          <w:sz w:val="24"/>
          <w:szCs w:val="24"/>
        </w:rPr>
        <w:t>-1-proteasen (K</w:t>
      </w:r>
      <w:r w:rsidRPr="00ED0DE7">
        <w:rPr>
          <w:sz w:val="24"/>
          <w:szCs w:val="24"/>
          <w:vertAlign w:val="subscript"/>
        </w:rPr>
        <w:t>D</w:t>
      </w:r>
      <w:r w:rsidRPr="00ED0DE7">
        <w:rPr>
          <w:sz w:val="24"/>
          <w:szCs w:val="24"/>
        </w:rPr>
        <w:t xml:space="preserve"> på 4,5 x 10</w:t>
      </w:r>
      <w:r w:rsidRPr="00ED0DE7">
        <w:rPr>
          <w:sz w:val="24"/>
          <w:szCs w:val="24"/>
          <w:vertAlign w:val="superscript"/>
        </w:rPr>
        <w:t>-12</w:t>
      </w:r>
      <w:r w:rsidRPr="00ED0DE7">
        <w:rPr>
          <w:sz w:val="24"/>
          <w:szCs w:val="24"/>
        </w:rPr>
        <w:t xml:space="preserve"> M). Det er en selektiv hæmmer af spaltningen af </w:t>
      </w:r>
      <w:r>
        <w:rPr>
          <w:sz w:val="24"/>
          <w:szCs w:val="24"/>
        </w:rPr>
        <w:t>HIV</w:t>
      </w:r>
      <w:r w:rsidRPr="00ED0DE7">
        <w:rPr>
          <w:sz w:val="24"/>
          <w:szCs w:val="24"/>
        </w:rPr>
        <w:t>-kodede Gag-Pol-polyproteiner i virusinficerede celler, hvorved dannelsen af modne, infektiøse viruspartikler forhindres.</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u w:val="single"/>
        </w:rPr>
      </w:pPr>
      <w:r w:rsidRPr="00ED0DE7">
        <w:rPr>
          <w:sz w:val="24"/>
          <w:szCs w:val="24"/>
          <w:u w:val="single"/>
        </w:rPr>
        <w:t xml:space="preserve">Antiviral aktivitet </w:t>
      </w:r>
      <w:r w:rsidRPr="00ED0DE7">
        <w:rPr>
          <w:i/>
          <w:iCs/>
          <w:sz w:val="24"/>
          <w:szCs w:val="24"/>
          <w:u w:val="single"/>
        </w:rPr>
        <w:t>in vitro</w:t>
      </w:r>
    </w:p>
    <w:p w:rsidR="00B862A8" w:rsidRPr="00ED0DE7" w:rsidRDefault="00B862A8" w:rsidP="00B862A8">
      <w:pPr>
        <w:tabs>
          <w:tab w:val="left" w:pos="851"/>
        </w:tabs>
        <w:ind w:left="851"/>
        <w:rPr>
          <w:sz w:val="24"/>
          <w:szCs w:val="24"/>
        </w:rPr>
      </w:pPr>
      <w:r w:rsidRPr="00ED0DE7">
        <w:rPr>
          <w:sz w:val="24"/>
          <w:szCs w:val="24"/>
        </w:rPr>
        <w:t xml:space="preserve">Darunavir udviser aktivitet mod laboratoriestammer og kliniske isolater af </w:t>
      </w:r>
      <w:r>
        <w:rPr>
          <w:sz w:val="24"/>
          <w:szCs w:val="24"/>
        </w:rPr>
        <w:t>HIV</w:t>
      </w:r>
      <w:r w:rsidRPr="00ED0DE7">
        <w:rPr>
          <w:sz w:val="24"/>
          <w:szCs w:val="24"/>
        </w:rPr>
        <w:t xml:space="preserve">-1 og laboratoriestammer af </w:t>
      </w:r>
      <w:r>
        <w:rPr>
          <w:sz w:val="24"/>
          <w:szCs w:val="24"/>
        </w:rPr>
        <w:t>HIV</w:t>
      </w:r>
      <w:r w:rsidRPr="00ED0DE7">
        <w:rPr>
          <w:sz w:val="24"/>
          <w:szCs w:val="24"/>
        </w:rPr>
        <w:t>-2 i akut inficerede T-cellelinjer, mononukleare celler fra perifert humant blod og humane monocytter/makrofager med mediane EC</w:t>
      </w:r>
      <w:r w:rsidRPr="00ED0DE7">
        <w:rPr>
          <w:sz w:val="24"/>
          <w:szCs w:val="24"/>
          <w:vertAlign w:val="subscript"/>
        </w:rPr>
        <w:t>50</w:t>
      </w:r>
      <w:r w:rsidRPr="00ED0DE7">
        <w:rPr>
          <w:sz w:val="24"/>
          <w:szCs w:val="24"/>
        </w:rPr>
        <w:t xml:space="preserve"> værdier fra 1,2 til 8,5 nM (0,7 til 5,0 ng/ml). Darunavir udviser antiviral aktivitet </w:t>
      </w:r>
      <w:r w:rsidRPr="00ED0DE7">
        <w:rPr>
          <w:i/>
          <w:iCs/>
          <w:sz w:val="24"/>
          <w:szCs w:val="24"/>
        </w:rPr>
        <w:t xml:space="preserve">in vitro </w:t>
      </w:r>
      <w:r w:rsidRPr="00ED0DE7">
        <w:rPr>
          <w:sz w:val="24"/>
          <w:szCs w:val="24"/>
        </w:rPr>
        <w:t xml:space="preserve">mod en bred række af </w:t>
      </w:r>
      <w:r>
        <w:rPr>
          <w:sz w:val="24"/>
          <w:szCs w:val="24"/>
        </w:rPr>
        <w:t>HIV</w:t>
      </w:r>
      <w:r w:rsidRPr="00ED0DE7">
        <w:rPr>
          <w:sz w:val="24"/>
          <w:szCs w:val="24"/>
        </w:rPr>
        <w:t>-1 gruppe M (A, B, C, D, E, F, G) og gruppe O primære isolater med EC50-værdier fra &lt; 0,1 til 4,3 nM.</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Disse EC</w:t>
      </w:r>
      <w:r w:rsidRPr="00ED0DE7">
        <w:rPr>
          <w:sz w:val="24"/>
          <w:szCs w:val="24"/>
          <w:vertAlign w:val="subscript"/>
        </w:rPr>
        <w:t>50</w:t>
      </w:r>
      <w:r w:rsidRPr="00ED0DE7">
        <w:rPr>
          <w:sz w:val="24"/>
          <w:szCs w:val="24"/>
        </w:rPr>
        <w:t>-værdier ligger et godt stykke under 50 % af koncentrationsområdet for cellulær toksicitet på 87 μM til &gt; 100 μM.</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Resistens</w:t>
      </w:r>
    </w:p>
    <w:p w:rsidR="00B862A8" w:rsidRPr="00ED0DE7" w:rsidRDefault="00B862A8" w:rsidP="00B862A8">
      <w:pPr>
        <w:tabs>
          <w:tab w:val="left" w:pos="851"/>
        </w:tabs>
        <w:ind w:left="851"/>
        <w:rPr>
          <w:sz w:val="24"/>
          <w:szCs w:val="24"/>
        </w:rPr>
      </w:pPr>
      <w:r w:rsidRPr="00ED0DE7">
        <w:rPr>
          <w:i/>
          <w:iCs/>
          <w:sz w:val="24"/>
          <w:szCs w:val="24"/>
        </w:rPr>
        <w:t>In vitro</w:t>
      </w:r>
      <w:r w:rsidRPr="00ED0DE7">
        <w:rPr>
          <w:sz w:val="24"/>
          <w:szCs w:val="24"/>
        </w:rPr>
        <w:t xml:space="preserve">-selektion af darunavirresistent virus fra vildtype </w:t>
      </w:r>
      <w:r>
        <w:rPr>
          <w:sz w:val="24"/>
          <w:szCs w:val="24"/>
        </w:rPr>
        <w:t>HIV</w:t>
      </w:r>
      <w:r w:rsidRPr="00ED0DE7">
        <w:rPr>
          <w:sz w:val="24"/>
          <w:szCs w:val="24"/>
        </w:rPr>
        <w:t>-1 tog lang tid (&gt; 3 år). De selekterede vira kunne ikke vokse ved tilstedeværelse af darunavir-koncentrationer over 400 nM. Vira, der blev selekteret under disse betingelser, og som viste reduceret følsomhed over for darunavir (område: 23- 50-gange), indeholdt 2 til 4 aminosyresubstitutioner i proteasegenet. Den reducerede følsomhed for darunavir, som vira fremkommet under studiet udviste, kunne ikke forklares med forekomsten af disse proteasemutationer.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 kliniske studiedata fra ART-erfarne patienter (</w:t>
      </w:r>
      <w:r w:rsidRPr="00ED0DE7">
        <w:rPr>
          <w:i/>
          <w:iCs/>
          <w:sz w:val="24"/>
          <w:szCs w:val="24"/>
        </w:rPr>
        <w:t>TITAN</w:t>
      </w:r>
      <w:r w:rsidRPr="00ED0DE7">
        <w:rPr>
          <w:sz w:val="24"/>
          <w:szCs w:val="24"/>
        </w:rPr>
        <w:t xml:space="preserve">-studiet og den samlede analyse af studierne </w:t>
      </w:r>
      <w:r w:rsidRPr="00ED0DE7">
        <w:rPr>
          <w:i/>
          <w:iCs/>
          <w:sz w:val="24"/>
          <w:szCs w:val="24"/>
        </w:rPr>
        <w:t>POWER 1</w:t>
      </w:r>
      <w:r w:rsidRPr="00ED0DE7">
        <w:rPr>
          <w:sz w:val="24"/>
          <w:szCs w:val="24"/>
        </w:rPr>
        <w:t xml:space="preserve">, </w:t>
      </w:r>
      <w:r w:rsidRPr="00ED0DE7">
        <w:rPr>
          <w:i/>
          <w:iCs/>
          <w:sz w:val="24"/>
          <w:szCs w:val="24"/>
        </w:rPr>
        <w:t xml:space="preserve">2 </w:t>
      </w:r>
      <w:r w:rsidRPr="00ED0DE7">
        <w:rPr>
          <w:sz w:val="24"/>
          <w:szCs w:val="24"/>
        </w:rPr>
        <w:t xml:space="preserve">og </w:t>
      </w:r>
      <w:r w:rsidRPr="00ED0DE7">
        <w:rPr>
          <w:i/>
          <w:iCs/>
          <w:sz w:val="24"/>
          <w:szCs w:val="24"/>
        </w:rPr>
        <w:t xml:space="preserve">3 </w:t>
      </w:r>
      <w:r w:rsidRPr="00ED0DE7">
        <w:rPr>
          <w:sz w:val="24"/>
          <w:szCs w:val="24"/>
        </w:rPr>
        <w:t xml:space="preserve">samt </w:t>
      </w:r>
      <w:r w:rsidRPr="00ED0DE7">
        <w:rPr>
          <w:i/>
          <w:iCs/>
          <w:sz w:val="24"/>
          <w:szCs w:val="24"/>
        </w:rPr>
        <w:t xml:space="preserve">DUET 1 </w:t>
      </w:r>
      <w:r w:rsidRPr="00ED0DE7">
        <w:rPr>
          <w:sz w:val="24"/>
          <w:szCs w:val="24"/>
        </w:rPr>
        <w:t xml:space="preserve">og </w:t>
      </w:r>
      <w:r w:rsidRPr="00ED0DE7">
        <w:rPr>
          <w:i/>
          <w:iCs/>
          <w:sz w:val="24"/>
          <w:szCs w:val="24"/>
        </w:rPr>
        <w:t>2</w:t>
      </w:r>
      <w:r w:rsidRPr="00ED0DE7">
        <w:rPr>
          <w:sz w:val="24"/>
          <w:szCs w:val="24"/>
        </w:rPr>
        <w:t>) viste, at det virologiske respons på darunavir, når det gives sammen med lavdosis ritonavir, blev nedsat ved tilstedeværelse af 3 eller flere darunavir-RAMs (V11I, V32I, L33F, I47V, I50V, I54L eller M, T74P, L76V, I84V og L89V) ved baseline eller ved udvikling af disse mutationer i løbet af behandlingen.</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Stigende EC</w:t>
      </w:r>
      <w:r w:rsidRPr="00ED0DE7">
        <w:rPr>
          <w:sz w:val="24"/>
          <w:szCs w:val="24"/>
          <w:vertAlign w:val="subscript"/>
        </w:rPr>
        <w:t>50</w:t>
      </w:r>
      <w:r w:rsidRPr="00ED0DE7">
        <w:rPr>
          <w:sz w:val="24"/>
          <w:szCs w:val="24"/>
        </w:rPr>
        <w:t>-værdi over for darunavir (målt som FC – gange stigning) ved baseline var associeret med faldende virologisk respons. Der blev identificeret en nedre- og øvre klinisk grænse (</w:t>
      </w:r>
      <w:r w:rsidRPr="00ED0DE7">
        <w:rPr>
          <w:i/>
          <w:iCs/>
          <w:sz w:val="24"/>
          <w:szCs w:val="24"/>
        </w:rPr>
        <w:t xml:space="preserve">cut-off) </w:t>
      </w:r>
      <w:r w:rsidRPr="00ED0DE7">
        <w:rPr>
          <w:sz w:val="24"/>
          <w:szCs w:val="24"/>
        </w:rPr>
        <w:t xml:space="preserve">på 10 og 40. Isolater med baseline FC ≤ 10 er følsomme; isolater med FC &gt; 10 til 40 har nedsat følsomhed; isolater med FC &gt; 40 er resistente (se </w:t>
      </w:r>
      <w:r>
        <w:rPr>
          <w:sz w:val="24"/>
          <w:szCs w:val="24"/>
        </w:rPr>
        <w:t>"</w:t>
      </w:r>
      <w:r w:rsidRPr="00ED0DE7">
        <w:rPr>
          <w:sz w:val="24"/>
          <w:szCs w:val="24"/>
        </w:rPr>
        <w:t>Kliniske resultater</w:t>
      </w:r>
      <w:r>
        <w:rPr>
          <w:sz w:val="24"/>
          <w:szCs w:val="24"/>
        </w:rPr>
        <w:t>"</w:t>
      </w:r>
      <w:r w:rsidRPr="00ED0DE7">
        <w:rPr>
          <w:sz w:val="24"/>
          <w:szCs w:val="24"/>
        </w:rPr>
        <w:t xml:space="preserve">). </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Virusisolater fra patienter i behandling med darunavir/ritonavir 600/100 mg to gange daglig, som fik virologisk svigt ved rebound, og som var følsomme for tipranavir ved baseline, forblev følsomme for tipranavir efter behandling i langt de fleste tilfælde.</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 xml:space="preserve">Den laveste forekomst af udvikling af resistent </w:t>
      </w:r>
      <w:r>
        <w:rPr>
          <w:sz w:val="24"/>
          <w:szCs w:val="24"/>
        </w:rPr>
        <w:t>HIV</w:t>
      </w:r>
      <w:r w:rsidRPr="00ED0DE7">
        <w:rPr>
          <w:sz w:val="24"/>
          <w:szCs w:val="24"/>
        </w:rPr>
        <w:t>-virus ses hos ART-naive patienter, som behandles for første gang med darunavir i kombination med et andet antiretroviralt middel.</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 xml:space="preserve">Tabellen nedenfor viser udvikling </w:t>
      </w:r>
      <w:r>
        <w:rPr>
          <w:sz w:val="24"/>
          <w:szCs w:val="24"/>
        </w:rPr>
        <w:t xml:space="preserve">af HIV-1 protease </w:t>
      </w:r>
      <w:r w:rsidRPr="00ED0DE7">
        <w:rPr>
          <w:sz w:val="24"/>
          <w:szCs w:val="24"/>
        </w:rPr>
        <w:t xml:space="preserve">mutationer og tab af følsomhed for PI’er i forbindelse med virologisk svigt ved endepunktet i studierne </w:t>
      </w:r>
      <w:r w:rsidRPr="00ED0DE7">
        <w:rPr>
          <w:i/>
          <w:iCs/>
          <w:sz w:val="24"/>
          <w:szCs w:val="24"/>
        </w:rPr>
        <w:t>ARTEMIS</w:t>
      </w:r>
      <w:r w:rsidRPr="00ED0DE7">
        <w:rPr>
          <w:sz w:val="24"/>
          <w:szCs w:val="24"/>
        </w:rPr>
        <w:t xml:space="preserve">, </w:t>
      </w:r>
      <w:r w:rsidRPr="00ED0DE7">
        <w:rPr>
          <w:i/>
          <w:iCs/>
          <w:sz w:val="24"/>
          <w:szCs w:val="24"/>
        </w:rPr>
        <w:t xml:space="preserve">ODIN </w:t>
      </w:r>
      <w:r w:rsidRPr="00ED0DE7">
        <w:rPr>
          <w:sz w:val="24"/>
          <w:szCs w:val="24"/>
        </w:rPr>
        <w:t xml:space="preserve">og </w:t>
      </w:r>
      <w:r w:rsidRPr="00ED0DE7">
        <w:rPr>
          <w:i/>
          <w:iCs/>
          <w:sz w:val="24"/>
          <w:szCs w:val="24"/>
        </w:rPr>
        <w:t>TITAN</w:t>
      </w:r>
      <w:r w:rsidRPr="00ED0DE7">
        <w:rPr>
          <w:sz w:val="24"/>
          <w:szCs w:val="24"/>
        </w:rPr>
        <w:t>.</w:t>
      </w:r>
    </w:p>
    <w:p w:rsidR="00B862A8" w:rsidRPr="00ED0DE7" w:rsidRDefault="00B862A8" w:rsidP="00B862A8">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2298"/>
        <w:gridCol w:w="1723"/>
        <w:gridCol w:w="1895"/>
        <w:gridCol w:w="1804"/>
        <w:gridCol w:w="1908"/>
      </w:tblGrid>
      <w:tr w:rsidR="00B862A8" w:rsidRPr="004E6C6F" w:rsidTr="00B862A8">
        <w:trPr>
          <w:trHeight w:val="20"/>
        </w:trPr>
        <w:tc>
          <w:tcPr>
            <w:tcW w:w="119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b/>
                <w:sz w:val="22"/>
                <w:szCs w:val="22"/>
              </w:rPr>
            </w:pPr>
          </w:p>
        </w:tc>
        <w:tc>
          <w:tcPr>
            <w:tcW w:w="895" w:type="pct"/>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376" w:right="-20"/>
              <w:rPr>
                <w:bCs/>
                <w:spacing w:val="1"/>
                <w:sz w:val="22"/>
                <w:szCs w:val="22"/>
              </w:rPr>
            </w:pPr>
            <w:r w:rsidRPr="004623FF">
              <w:rPr>
                <w:bCs/>
                <w:spacing w:val="1"/>
                <w:sz w:val="22"/>
                <w:szCs w:val="22"/>
              </w:rPr>
              <w:t>ARTEMIS</w:t>
            </w:r>
          </w:p>
          <w:p w:rsidR="00B862A8" w:rsidRPr="004E6C6F" w:rsidRDefault="00B862A8" w:rsidP="00B862A8">
            <w:pPr>
              <w:ind w:left="376" w:right="-20"/>
              <w:rPr>
                <w:b/>
                <w:sz w:val="22"/>
                <w:szCs w:val="22"/>
              </w:rPr>
            </w:pPr>
            <w:r>
              <w:rPr>
                <w:spacing w:val="1"/>
                <w:sz w:val="22"/>
                <w:szCs w:val="22"/>
              </w:rPr>
              <w:t>Uge 192</w:t>
            </w:r>
          </w:p>
        </w:tc>
        <w:tc>
          <w:tcPr>
            <w:tcW w:w="1921" w:type="pct"/>
            <w:gridSpan w:val="2"/>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376" w:right="-20"/>
              <w:jc w:val="center"/>
              <w:rPr>
                <w:bCs/>
                <w:spacing w:val="1"/>
                <w:sz w:val="22"/>
                <w:szCs w:val="22"/>
              </w:rPr>
            </w:pPr>
            <w:r w:rsidRPr="004623FF">
              <w:rPr>
                <w:bCs/>
                <w:spacing w:val="1"/>
                <w:sz w:val="22"/>
                <w:szCs w:val="22"/>
              </w:rPr>
              <w:t>ODIN</w:t>
            </w:r>
          </w:p>
          <w:p w:rsidR="00B862A8" w:rsidRPr="004E6C6F" w:rsidRDefault="00B862A8" w:rsidP="00B862A8">
            <w:pPr>
              <w:ind w:left="376" w:right="-20"/>
              <w:jc w:val="center"/>
              <w:rPr>
                <w:b/>
                <w:spacing w:val="1"/>
                <w:sz w:val="22"/>
                <w:szCs w:val="22"/>
              </w:rPr>
            </w:pPr>
            <w:r>
              <w:rPr>
                <w:spacing w:val="1"/>
                <w:sz w:val="22"/>
                <w:szCs w:val="22"/>
              </w:rPr>
              <w:t>Uge 48</w:t>
            </w:r>
          </w:p>
        </w:tc>
        <w:tc>
          <w:tcPr>
            <w:tcW w:w="991" w:type="pct"/>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376" w:right="-20"/>
              <w:jc w:val="center"/>
              <w:rPr>
                <w:bCs/>
                <w:spacing w:val="1"/>
                <w:sz w:val="22"/>
                <w:szCs w:val="22"/>
              </w:rPr>
            </w:pPr>
            <w:r w:rsidRPr="004623FF">
              <w:rPr>
                <w:bCs/>
                <w:spacing w:val="1"/>
                <w:sz w:val="22"/>
                <w:szCs w:val="22"/>
              </w:rPr>
              <w:t>TITAN</w:t>
            </w:r>
          </w:p>
          <w:p w:rsidR="00B862A8" w:rsidRPr="004E6C6F" w:rsidRDefault="00B862A8" w:rsidP="00B862A8">
            <w:pPr>
              <w:ind w:left="376" w:right="-20"/>
              <w:jc w:val="center"/>
              <w:rPr>
                <w:b/>
                <w:spacing w:val="1"/>
                <w:sz w:val="22"/>
                <w:szCs w:val="22"/>
              </w:rPr>
            </w:pPr>
            <w:r>
              <w:rPr>
                <w:spacing w:val="1"/>
                <w:sz w:val="22"/>
                <w:szCs w:val="22"/>
              </w:rPr>
              <w:t>Uge 48</w:t>
            </w:r>
          </w:p>
        </w:tc>
      </w:tr>
      <w:tr w:rsidR="00B862A8" w:rsidRPr="004E6C6F" w:rsidTr="00B862A8">
        <w:trPr>
          <w:trHeight w:val="20"/>
        </w:trPr>
        <w:tc>
          <w:tcPr>
            <w:tcW w:w="119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sz w:val="22"/>
                <w:szCs w:val="22"/>
              </w:rPr>
            </w:pPr>
          </w:p>
        </w:tc>
        <w:tc>
          <w:tcPr>
            <w:tcW w:w="895" w:type="pct"/>
            <w:tcBorders>
              <w:top w:val="single" w:sz="4" w:space="0" w:color="000000"/>
              <w:left w:val="single" w:sz="4" w:space="0" w:color="000000"/>
              <w:bottom w:val="single" w:sz="4" w:space="0" w:color="000000"/>
              <w:right w:val="single" w:sz="4" w:space="0" w:color="000000"/>
            </w:tcBorders>
          </w:tcPr>
          <w:p w:rsidR="00B862A8" w:rsidRPr="004C1A1B" w:rsidRDefault="00B862A8" w:rsidP="00B862A8">
            <w:pPr>
              <w:ind w:right="2"/>
              <w:rPr>
                <w:sz w:val="22"/>
                <w:szCs w:val="22"/>
                <w:lang w:val="nb-NO"/>
              </w:rPr>
            </w:pPr>
            <w:r w:rsidRPr="004C1A1B">
              <w:rPr>
                <w:sz w:val="22"/>
                <w:szCs w:val="22"/>
                <w:lang w:val="nb-NO"/>
              </w:rPr>
              <w:t>Darunavir/ritonavir</w:t>
            </w:r>
          </w:p>
          <w:p w:rsidR="00B862A8" w:rsidRPr="004C1A1B" w:rsidRDefault="00B862A8" w:rsidP="00B862A8">
            <w:pPr>
              <w:ind w:left="81" w:right="2"/>
              <w:jc w:val="center"/>
              <w:rPr>
                <w:sz w:val="22"/>
                <w:szCs w:val="22"/>
                <w:lang w:val="nb-NO"/>
              </w:rPr>
            </w:pPr>
            <w:r w:rsidRPr="004C1A1B">
              <w:rPr>
                <w:sz w:val="22"/>
                <w:szCs w:val="22"/>
                <w:lang w:val="nb-NO"/>
              </w:rPr>
              <w:t>800/100 mg</w:t>
            </w:r>
          </w:p>
          <w:p w:rsidR="00B862A8" w:rsidRPr="004C1A1B" w:rsidRDefault="00B862A8" w:rsidP="00B862A8">
            <w:pPr>
              <w:ind w:left="81" w:right="2"/>
              <w:jc w:val="center"/>
              <w:rPr>
                <w:sz w:val="22"/>
                <w:szCs w:val="22"/>
                <w:lang w:val="nb-NO"/>
              </w:rPr>
            </w:pPr>
            <w:r w:rsidRPr="004C1A1B">
              <w:rPr>
                <w:sz w:val="22"/>
                <w:szCs w:val="22"/>
                <w:lang w:val="nb-NO"/>
              </w:rPr>
              <w:t>en gang daglig</w:t>
            </w:r>
          </w:p>
          <w:p w:rsidR="00B862A8" w:rsidRPr="004E6C6F" w:rsidRDefault="00B862A8" w:rsidP="00B862A8">
            <w:pPr>
              <w:ind w:left="81" w:right="2"/>
              <w:jc w:val="center"/>
              <w:rPr>
                <w:sz w:val="22"/>
                <w:szCs w:val="22"/>
              </w:rPr>
            </w:pPr>
            <w:r w:rsidRPr="004E6C6F">
              <w:rPr>
                <w:sz w:val="22"/>
                <w:szCs w:val="22"/>
              </w:rPr>
              <w:t>N=343</w:t>
            </w:r>
          </w:p>
        </w:tc>
        <w:tc>
          <w:tcPr>
            <w:tcW w:w="984" w:type="pct"/>
            <w:tcBorders>
              <w:top w:val="single" w:sz="4" w:space="0" w:color="000000"/>
              <w:left w:val="single" w:sz="4" w:space="0" w:color="000000"/>
              <w:bottom w:val="single" w:sz="4" w:space="0" w:color="000000"/>
              <w:right w:val="single" w:sz="4" w:space="0" w:color="000000"/>
            </w:tcBorders>
          </w:tcPr>
          <w:p w:rsidR="00B862A8" w:rsidRPr="004C1A1B" w:rsidRDefault="00B862A8" w:rsidP="00B862A8">
            <w:pPr>
              <w:ind w:left="81" w:right="2" w:hanging="83"/>
              <w:jc w:val="center"/>
              <w:rPr>
                <w:sz w:val="22"/>
                <w:szCs w:val="22"/>
                <w:lang w:val="nb-NO"/>
              </w:rPr>
            </w:pPr>
            <w:r w:rsidRPr="004C1A1B">
              <w:rPr>
                <w:sz w:val="22"/>
                <w:szCs w:val="22"/>
                <w:lang w:val="nb-NO"/>
              </w:rPr>
              <w:t>Darunavir/ritonavir</w:t>
            </w:r>
          </w:p>
          <w:p w:rsidR="00B862A8" w:rsidRPr="004C1A1B" w:rsidRDefault="00B862A8" w:rsidP="00B862A8">
            <w:pPr>
              <w:ind w:left="81" w:right="2"/>
              <w:jc w:val="center"/>
              <w:rPr>
                <w:sz w:val="22"/>
                <w:szCs w:val="22"/>
                <w:lang w:val="nb-NO"/>
              </w:rPr>
            </w:pPr>
            <w:r w:rsidRPr="004C1A1B">
              <w:rPr>
                <w:sz w:val="22"/>
                <w:szCs w:val="22"/>
                <w:lang w:val="nb-NO"/>
              </w:rPr>
              <w:t>800/100 mg</w:t>
            </w:r>
          </w:p>
          <w:p w:rsidR="00B862A8" w:rsidRPr="004C1A1B" w:rsidRDefault="00B862A8" w:rsidP="00B862A8">
            <w:pPr>
              <w:ind w:left="81" w:right="2"/>
              <w:jc w:val="center"/>
              <w:rPr>
                <w:sz w:val="22"/>
                <w:szCs w:val="22"/>
                <w:lang w:val="nb-NO"/>
              </w:rPr>
            </w:pPr>
            <w:r w:rsidRPr="004C1A1B">
              <w:rPr>
                <w:sz w:val="22"/>
                <w:szCs w:val="22"/>
                <w:lang w:val="nb-NO"/>
              </w:rPr>
              <w:t>en gang daglig</w:t>
            </w:r>
          </w:p>
          <w:p w:rsidR="00B862A8" w:rsidRPr="004E6C6F" w:rsidRDefault="00B862A8" w:rsidP="00B862A8">
            <w:pPr>
              <w:ind w:left="81" w:right="2"/>
              <w:jc w:val="center"/>
              <w:rPr>
                <w:sz w:val="22"/>
                <w:szCs w:val="22"/>
              </w:rPr>
            </w:pPr>
            <w:r w:rsidRPr="004E6C6F">
              <w:rPr>
                <w:sz w:val="22"/>
                <w:szCs w:val="22"/>
              </w:rPr>
              <w:t>N=294</w:t>
            </w:r>
          </w:p>
        </w:tc>
        <w:tc>
          <w:tcPr>
            <w:tcW w:w="937"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81" w:right="2"/>
              <w:jc w:val="center"/>
              <w:rPr>
                <w:sz w:val="22"/>
                <w:szCs w:val="22"/>
              </w:rPr>
            </w:pPr>
            <w:r w:rsidRPr="004E6C6F">
              <w:rPr>
                <w:sz w:val="22"/>
                <w:szCs w:val="22"/>
              </w:rPr>
              <w:t>Darunavir/ritonavir</w:t>
            </w:r>
          </w:p>
          <w:p w:rsidR="00B862A8" w:rsidRPr="004E6C6F" w:rsidRDefault="00B862A8" w:rsidP="00B862A8">
            <w:pPr>
              <w:ind w:left="81" w:right="2"/>
              <w:jc w:val="center"/>
              <w:rPr>
                <w:sz w:val="22"/>
                <w:szCs w:val="22"/>
              </w:rPr>
            </w:pPr>
            <w:r w:rsidRPr="004E6C6F">
              <w:rPr>
                <w:sz w:val="22"/>
                <w:szCs w:val="22"/>
              </w:rPr>
              <w:t>600/100 mg</w:t>
            </w:r>
          </w:p>
          <w:p w:rsidR="00B862A8" w:rsidRPr="004E6C6F" w:rsidRDefault="00B862A8" w:rsidP="00B862A8">
            <w:pPr>
              <w:ind w:left="81" w:right="2"/>
              <w:jc w:val="center"/>
              <w:rPr>
                <w:sz w:val="22"/>
                <w:szCs w:val="22"/>
              </w:rPr>
            </w:pPr>
            <w:r w:rsidRPr="004E6C6F">
              <w:rPr>
                <w:sz w:val="22"/>
                <w:szCs w:val="22"/>
              </w:rPr>
              <w:t>to gange daglig</w:t>
            </w:r>
          </w:p>
          <w:p w:rsidR="00B862A8" w:rsidRPr="004E6C6F" w:rsidRDefault="00B862A8" w:rsidP="00B862A8">
            <w:pPr>
              <w:ind w:left="81" w:right="2"/>
              <w:jc w:val="center"/>
              <w:rPr>
                <w:sz w:val="22"/>
                <w:szCs w:val="22"/>
              </w:rPr>
            </w:pPr>
            <w:r w:rsidRPr="004E6C6F">
              <w:rPr>
                <w:sz w:val="22"/>
                <w:szCs w:val="22"/>
              </w:rPr>
              <w:t>N=296</w:t>
            </w:r>
          </w:p>
        </w:tc>
        <w:tc>
          <w:tcPr>
            <w:tcW w:w="99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81" w:right="2" w:hanging="89"/>
              <w:jc w:val="center"/>
              <w:rPr>
                <w:sz w:val="22"/>
                <w:szCs w:val="22"/>
              </w:rPr>
            </w:pPr>
            <w:r w:rsidRPr="004E6C6F">
              <w:rPr>
                <w:sz w:val="22"/>
                <w:szCs w:val="22"/>
              </w:rPr>
              <w:t>Darunavir/ritonavir</w:t>
            </w:r>
          </w:p>
          <w:p w:rsidR="00B862A8" w:rsidRPr="004E6C6F" w:rsidRDefault="00B862A8" w:rsidP="00B862A8">
            <w:pPr>
              <w:ind w:left="81" w:right="2"/>
              <w:jc w:val="center"/>
              <w:rPr>
                <w:sz w:val="22"/>
                <w:szCs w:val="22"/>
              </w:rPr>
            </w:pPr>
            <w:r w:rsidRPr="004E6C6F">
              <w:rPr>
                <w:sz w:val="22"/>
                <w:szCs w:val="22"/>
              </w:rPr>
              <w:t>600/100 mg</w:t>
            </w:r>
          </w:p>
          <w:p w:rsidR="00B862A8" w:rsidRPr="004E6C6F" w:rsidRDefault="00B862A8" w:rsidP="00B862A8">
            <w:pPr>
              <w:ind w:left="81" w:right="2"/>
              <w:jc w:val="center"/>
              <w:rPr>
                <w:sz w:val="22"/>
                <w:szCs w:val="22"/>
              </w:rPr>
            </w:pPr>
            <w:r w:rsidRPr="004E6C6F">
              <w:rPr>
                <w:sz w:val="22"/>
                <w:szCs w:val="22"/>
              </w:rPr>
              <w:t>to gange daglig</w:t>
            </w:r>
          </w:p>
          <w:p w:rsidR="00B862A8" w:rsidRPr="004E6C6F" w:rsidRDefault="00B862A8" w:rsidP="00B862A8">
            <w:pPr>
              <w:ind w:left="81" w:right="2"/>
              <w:jc w:val="center"/>
              <w:rPr>
                <w:sz w:val="22"/>
                <w:szCs w:val="22"/>
              </w:rPr>
            </w:pPr>
            <w:r w:rsidRPr="004E6C6F">
              <w:rPr>
                <w:sz w:val="22"/>
                <w:szCs w:val="22"/>
              </w:rPr>
              <w:t>N=298</w:t>
            </w:r>
          </w:p>
        </w:tc>
      </w:tr>
      <w:tr w:rsidR="00B862A8" w:rsidRPr="004E6C6F" w:rsidTr="00B862A8">
        <w:trPr>
          <w:trHeight w:val="20"/>
        </w:trPr>
        <w:tc>
          <w:tcPr>
            <w:tcW w:w="119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43" w:right="-20"/>
              <w:rPr>
                <w:sz w:val="22"/>
                <w:szCs w:val="22"/>
              </w:rPr>
            </w:pPr>
            <w:r w:rsidRPr="004E6C6F">
              <w:rPr>
                <w:sz w:val="22"/>
                <w:szCs w:val="22"/>
              </w:rPr>
              <w:t>Samlet antal virologiske svigt</w:t>
            </w:r>
            <w:r w:rsidRPr="004E6C6F">
              <w:rPr>
                <w:sz w:val="22"/>
                <w:szCs w:val="22"/>
                <w:vertAlign w:val="superscript"/>
              </w:rPr>
              <w:t>a</w:t>
            </w:r>
            <w:r w:rsidRPr="004E6C6F">
              <w:rPr>
                <w:sz w:val="22"/>
                <w:szCs w:val="22"/>
              </w:rPr>
              <w:t>, n (%)</w:t>
            </w:r>
          </w:p>
          <w:p w:rsidR="00B862A8" w:rsidRPr="004E6C6F" w:rsidRDefault="00B862A8" w:rsidP="00B862A8">
            <w:pPr>
              <w:ind w:left="385" w:right="-20"/>
              <w:rPr>
                <w:sz w:val="22"/>
                <w:szCs w:val="22"/>
              </w:rPr>
            </w:pPr>
            <w:r w:rsidRPr="004E6C6F">
              <w:rPr>
                <w:sz w:val="22"/>
                <w:szCs w:val="22"/>
              </w:rPr>
              <w:t>Rebounders</w:t>
            </w:r>
          </w:p>
          <w:p w:rsidR="00B862A8" w:rsidRPr="004E6C6F" w:rsidRDefault="00B862A8" w:rsidP="00B862A8">
            <w:pPr>
              <w:ind w:left="385" w:right="362"/>
              <w:rPr>
                <w:sz w:val="22"/>
                <w:szCs w:val="22"/>
              </w:rPr>
            </w:pPr>
            <w:r w:rsidRPr="004E6C6F">
              <w:rPr>
                <w:sz w:val="22"/>
                <w:szCs w:val="22"/>
              </w:rPr>
              <w:t>Individer, der aldrig har været supprimerede</w:t>
            </w:r>
          </w:p>
        </w:tc>
        <w:tc>
          <w:tcPr>
            <w:tcW w:w="89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5</w:t>
            </w:r>
            <w:r w:rsidRPr="004E6C6F">
              <w:rPr>
                <w:sz w:val="22"/>
                <w:szCs w:val="22"/>
              </w:rPr>
              <w:t>5 (16,0 %)</w:t>
            </w:r>
          </w:p>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3</w:t>
            </w:r>
            <w:r w:rsidRPr="004E6C6F">
              <w:rPr>
                <w:sz w:val="22"/>
                <w:szCs w:val="22"/>
              </w:rPr>
              <w:t>9 (11,4 %)</w:t>
            </w:r>
          </w:p>
          <w:p w:rsidR="00B862A8" w:rsidRPr="004E6C6F" w:rsidRDefault="00B862A8" w:rsidP="00B862A8">
            <w:pPr>
              <w:ind w:left="102" w:right="-20"/>
              <w:rPr>
                <w:sz w:val="22"/>
                <w:szCs w:val="22"/>
              </w:rPr>
            </w:pPr>
            <w:r w:rsidRPr="004E6C6F">
              <w:rPr>
                <w:spacing w:val="1"/>
                <w:sz w:val="22"/>
                <w:szCs w:val="22"/>
              </w:rPr>
              <w:t>1</w:t>
            </w:r>
            <w:r w:rsidRPr="004E6C6F">
              <w:rPr>
                <w:sz w:val="22"/>
                <w:szCs w:val="22"/>
              </w:rPr>
              <w:t>6 (4,7 %)</w:t>
            </w:r>
          </w:p>
        </w:tc>
        <w:tc>
          <w:tcPr>
            <w:tcW w:w="984"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6</w:t>
            </w:r>
            <w:r w:rsidRPr="004E6C6F">
              <w:rPr>
                <w:sz w:val="22"/>
                <w:szCs w:val="22"/>
              </w:rPr>
              <w:t>5 (22,1 %)</w:t>
            </w:r>
          </w:p>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1</w:t>
            </w:r>
            <w:r w:rsidRPr="004E6C6F">
              <w:rPr>
                <w:sz w:val="22"/>
                <w:szCs w:val="22"/>
              </w:rPr>
              <w:t>1 (3,7 %)</w:t>
            </w:r>
          </w:p>
          <w:p w:rsidR="00B862A8" w:rsidRPr="004E6C6F" w:rsidRDefault="00B862A8" w:rsidP="00B862A8">
            <w:pPr>
              <w:ind w:left="102" w:right="-20"/>
              <w:rPr>
                <w:sz w:val="22"/>
                <w:szCs w:val="22"/>
              </w:rPr>
            </w:pPr>
            <w:r w:rsidRPr="004E6C6F">
              <w:rPr>
                <w:spacing w:val="1"/>
                <w:sz w:val="22"/>
                <w:szCs w:val="22"/>
              </w:rPr>
              <w:t>5</w:t>
            </w:r>
            <w:r w:rsidRPr="004E6C6F">
              <w:rPr>
                <w:sz w:val="22"/>
                <w:szCs w:val="22"/>
              </w:rPr>
              <w:t>4 (18,4 %)</w:t>
            </w:r>
          </w:p>
        </w:tc>
        <w:tc>
          <w:tcPr>
            <w:tcW w:w="937"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5</w:t>
            </w:r>
            <w:r w:rsidRPr="004E6C6F">
              <w:rPr>
                <w:sz w:val="22"/>
                <w:szCs w:val="22"/>
              </w:rPr>
              <w:t>4 (18,2 %)</w:t>
            </w:r>
          </w:p>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1</w:t>
            </w:r>
            <w:r w:rsidRPr="004E6C6F">
              <w:rPr>
                <w:sz w:val="22"/>
                <w:szCs w:val="22"/>
              </w:rPr>
              <w:t>1 (3,7 %)</w:t>
            </w:r>
          </w:p>
          <w:p w:rsidR="00B862A8" w:rsidRPr="004E6C6F" w:rsidRDefault="00B862A8" w:rsidP="00B862A8">
            <w:pPr>
              <w:ind w:left="102" w:right="-20"/>
              <w:rPr>
                <w:sz w:val="22"/>
                <w:szCs w:val="22"/>
              </w:rPr>
            </w:pPr>
            <w:r w:rsidRPr="004E6C6F">
              <w:rPr>
                <w:spacing w:val="1"/>
                <w:sz w:val="22"/>
                <w:szCs w:val="22"/>
              </w:rPr>
              <w:t>4</w:t>
            </w:r>
            <w:r w:rsidRPr="004E6C6F">
              <w:rPr>
                <w:sz w:val="22"/>
                <w:szCs w:val="22"/>
              </w:rPr>
              <w:t>3 (14,5 %)</w:t>
            </w:r>
          </w:p>
        </w:tc>
        <w:tc>
          <w:tcPr>
            <w:tcW w:w="99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3</w:t>
            </w:r>
            <w:r w:rsidRPr="004E6C6F">
              <w:rPr>
                <w:sz w:val="22"/>
                <w:szCs w:val="22"/>
              </w:rPr>
              <w:t>1 (10,4 %)</w:t>
            </w:r>
          </w:p>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1</w:t>
            </w:r>
            <w:r w:rsidRPr="004E6C6F">
              <w:rPr>
                <w:sz w:val="22"/>
                <w:szCs w:val="22"/>
              </w:rPr>
              <w:t>6 (5,4 %)</w:t>
            </w:r>
          </w:p>
          <w:p w:rsidR="00B862A8" w:rsidRPr="004E6C6F" w:rsidRDefault="00B862A8" w:rsidP="00B862A8">
            <w:pPr>
              <w:ind w:left="102" w:right="-20"/>
              <w:rPr>
                <w:sz w:val="22"/>
                <w:szCs w:val="22"/>
              </w:rPr>
            </w:pPr>
            <w:r w:rsidRPr="004E6C6F">
              <w:rPr>
                <w:spacing w:val="1"/>
                <w:sz w:val="22"/>
                <w:szCs w:val="22"/>
              </w:rPr>
              <w:t>1</w:t>
            </w:r>
            <w:r w:rsidRPr="004E6C6F">
              <w:rPr>
                <w:sz w:val="22"/>
                <w:szCs w:val="22"/>
              </w:rPr>
              <w:t>5 (5,0 %)</w:t>
            </w:r>
          </w:p>
        </w:tc>
      </w:tr>
      <w:tr w:rsidR="00B862A8" w:rsidRPr="004E6C6F" w:rsidTr="00B862A8">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z w:val="22"/>
                <w:szCs w:val="22"/>
              </w:rPr>
              <w:t>Antal deltager med virologisk svigt og parrede genotyper ved baseline og endepunkt, der udviklede mutationer</w:t>
            </w:r>
            <w:r w:rsidRPr="004E6C6F">
              <w:rPr>
                <w:sz w:val="22"/>
                <w:szCs w:val="22"/>
                <w:vertAlign w:val="superscript"/>
              </w:rPr>
              <w:t>b</w:t>
            </w:r>
            <w:r w:rsidRPr="004E6C6F">
              <w:rPr>
                <w:sz w:val="22"/>
                <w:szCs w:val="22"/>
              </w:rPr>
              <w:t xml:space="preserve"> ved endepunktet,</w:t>
            </w:r>
            <w:r w:rsidRPr="004E6C6F">
              <w:rPr>
                <w:spacing w:val="-8"/>
                <w:sz w:val="22"/>
                <w:szCs w:val="22"/>
              </w:rPr>
              <w:t xml:space="preserve"> </w:t>
            </w:r>
            <w:r w:rsidRPr="004E6C6F">
              <w:rPr>
                <w:sz w:val="22"/>
                <w:szCs w:val="22"/>
              </w:rPr>
              <w:t>n/N</w:t>
            </w:r>
          </w:p>
        </w:tc>
      </w:tr>
      <w:tr w:rsidR="00B862A8" w:rsidRPr="004E6C6F" w:rsidTr="00B862A8">
        <w:trPr>
          <w:trHeight w:val="20"/>
        </w:trPr>
        <w:tc>
          <w:tcPr>
            <w:tcW w:w="1193" w:type="pct"/>
            <w:tcBorders>
              <w:top w:val="single" w:sz="4" w:space="0" w:color="000000"/>
              <w:left w:val="single" w:sz="4" w:space="0" w:color="000000"/>
              <w:bottom w:val="nil"/>
              <w:right w:val="single" w:sz="4" w:space="0" w:color="000000"/>
            </w:tcBorders>
          </w:tcPr>
          <w:p w:rsidR="00B862A8" w:rsidRPr="004E6C6F" w:rsidRDefault="00B862A8" w:rsidP="00B862A8">
            <w:pPr>
              <w:ind w:left="385" w:right="-20"/>
              <w:rPr>
                <w:sz w:val="22"/>
                <w:szCs w:val="22"/>
              </w:rPr>
            </w:pPr>
            <w:r w:rsidRPr="004E6C6F">
              <w:rPr>
                <w:sz w:val="22"/>
                <w:szCs w:val="22"/>
              </w:rPr>
              <w:t>Primære</w:t>
            </w:r>
            <w:r w:rsidRPr="004E6C6F">
              <w:rPr>
                <w:spacing w:val="-5"/>
                <w:sz w:val="22"/>
                <w:szCs w:val="22"/>
              </w:rPr>
              <w:t xml:space="preserve"> </w:t>
            </w:r>
            <w:r w:rsidRPr="004E6C6F">
              <w:rPr>
                <w:sz w:val="22"/>
                <w:szCs w:val="22"/>
              </w:rPr>
              <w:t>(major)</w:t>
            </w:r>
            <w:r w:rsidRPr="004E6C6F">
              <w:rPr>
                <w:spacing w:val="-5"/>
                <w:sz w:val="22"/>
                <w:szCs w:val="22"/>
              </w:rPr>
              <w:t xml:space="preserve"> </w:t>
            </w:r>
            <w:r w:rsidRPr="004E6C6F">
              <w:rPr>
                <w:sz w:val="22"/>
                <w:szCs w:val="22"/>
              </w:rPr>
              <w:t>PI</w:t>
            </w:r>
          </w:p>
          <w:p w:rsidR="00B862A8" w:rsidRPr="004E6C6F" w:rsidRDefault="00B862A8" w:rsidP="00B862A8">
            <w:pPr>
              <w:ind w:left="385" w:right="-20"/>
              <w:rPr>
                <w:sz w:val="22"/>
                <w:szCs w:val="22"/>
              </w:rPr>
            </w:pPr>
            <w:r w:rsidRPr="004E6C6F">
              <w:rPr>
                <w:sz w:val="22"/>
                <w:szCs w:val="22"/>
              </w:rPr>
              <w:t>Mutationer</w:t>
            </w:r>
          </w:p>
        </w:tc>
        <w:tc>
          <w:tcPr>
            <w:tcW w:w="895" w:type="pct"/>
            <w:tcBorders>
              <w:top w:val="single" w:sz="4" w:space="0" w:color="000000"/>
              <w:left w:val="single" w:sz="4" w:space="0" w:color="000000"/>
              <w:bottom w:val="nil"/>
              <w:right w:val="single" w:sz="4" w:space="0" w:color="000000"/>
            </w:tcBorders>
          </w:tcPr>
          <w:p w:rsidR="00B862A8" w:rsidRPr="004E6C6F" w:rsidRDefault="00B862A8" w:rsidP="00B862A8">
            <w:pPr>
              <w:ind w:left="102" w:right="-20"/>
              <w:rPr>
                <w:sz w:val="22"/>
                <w:szCs w:val="22"/>
              </w:rPr>
            </w:pPr>
            <w:r w:rsidRPr="004E6C6F">
              <w:rPr>
                <w:spacing w:val="1"/>
                <w:sz w:val="22"/>
                <w:szCs w:val="22"/>
              </w:rPr>
              <w:t>0/43</w:t>
            </w:r>
          </w:p>
        </w:tc>
        <w:tc>
          <w:tcPr>
            <w:tcW w:w="984" w:type="pct"/>
            <w:tcBorders>
              <w:top w:val="single" w:sz="4" w:space="0" w:color="000000"/>
              <w:left w:val="single" w:sz="4" w:space="0" w:color="000000"/>
              <w:bottom w:val="nil"/>
              <w:right w:val="single" w:sz="4" w:space="0" w:color="000000"/>
            </w:tcBorders>
          </w:tcPr>
          <w:p w:rsidR="00B862A8" w:rsidRPr="004E6C6F" w:rsidRDefault="00B862A8" w:rsidP="00B862A8">
            <w:pPr>
              <w:ind w:left="102" w:right="-20"/>
              <w:rPr>
                <w:sz w:val="22"/>
                <w:szCs w:val="22"/>
              </w:rPr>
            </w:pPr>
            <w:r w:rsidRPr="004E6C6F">
              <w:rPr>
                <w:spacing w:val="1"/>
                <w:sz w:val="22"/>
                <w:szCs w:val="22"/>
              </w:rPr>
              <w:t>1/60</w:t>
            </w:r>
          </w:p>
        </w:tc>
        <w:tc>
          <w:tcPr>
            <w:tcW w:w="937" w:type="pct"/>
            <w:tcBorders>
              <w:top w:val="single" w:sz="4" w:space="0" w:color="000000"/>
              <w:left w:val="single" w:sz="4" w:space="0" w:color="000000"/>
              <w:bottom w:val="nil"/>
              <w:right w:val="single" w:sz="4" w:space="0" w:color="000000"/>
            </w:tcBorders>
          </w:tcPr>
          <w:p w:rsidR="00B862A8" w:rsidRPr="004E6C6F" w:rsidRDefault="00B862A8" w:rsidP="00B862A8">
            <w:pPr>
              <w:ind w:left="102" w:right="-20"/>
              <w:rPr>
                <w:sz w:val="22"/>
                <w:szCs w:val="22"/>
              </w:rPr>
            </w:pPr>
            <w:r w:rsidRPr="004E6C6F">
              <w:rPr>
                <w:spacing w:val="1"/>
                <w:sz w:val="22"/>
                <w:szCs w:val="22"/>
              </w:rPr>
              <w:t>0/42</w:t>
            </w:r>
          </w:p>
        </w:tc>
        <w:tc>
          <w:tcPr>
            <w:tcW w:w="991" w:type="pct"/>
            <w:tcBorders>
              <w:top w:val="single" w:sz="4" w:space="0" w:color="000000"/>
              <w:left w:val="single" w:sz="4" w:space="0" w:color="000000"/>
              <w:bottom w:val="nil"/>
              <w:right w:val="single" w:sz="4" w:space="0" w:color="000000"/>
            </w:tcBorders>
          </w:tcPr>
          <w:p w:rsidR="00B862A8" w:rsidRPr="004E6C6F" w:rsidRDefault="00B862A8" w:rsidP="00B862A8">
            <w:pPr>
              <w:ind w:left="102" w:right="-20"/>
              <w:rPr>
                <w:sz w:val="22"/>
                <w:szCs w:val="22"/>
              </w:rPr>
            </w:pPr>
            <w:r w:rsidRPr="004E6C6F">
              <w:rPr>
                <w:spacing w:val="1"/>
                <w:sz w:val="22"/>
                <w:szCs w:val="22"/>
              </w:rPr>
              <w:t>6/28</w:t>
            </w:r>
          </w:p>
        </w:tc>
      </w:tr>
      <w:tr w:rsidR="00B862A8" w:rsidRPr="004E6C6F" w:rsidTr="00B862A8">
        <w:trPr>
          <w:trHeight w:val="20"/>
        </w:trPr>
        <w:tc>
          <w:tcPr>
            <w:tcW w:w="1193" w:type="pct"/>
            <w:tcBorders>
              <w:top w:val="nil"/>
              <w:left w:val="single" w:sz="4" w:space="0" w:color="000000"/>
              <w:bottom w:val="single" w:sz="4" w:space="0" w:color="000000"/>
              <w:right w:val="single" w:sz="4" w:space="0" w:color="000000"/>
            </w:tcBorders>
          </w:tcPr>
          <w:p w:rsidR="00B862A8" w:rsidRPr="004E6C6F" w:rsidRDefault="00B862A8" w:rsidP="00B862A8">
            <w:pPr>
              <w:ind w:left="385" w:right="-20"/>
              <w:rPr>
                <w:sz w:val="22"/>
                <w:szCs w:val="22"/>
              </w:rPr>
            </w:pPr>
            <w:r w:rsidRPr="004E6C6F">
              <w:rPr>
                <w:sz w:val="22"/>
                <w:szCs w:val="22"/>
              </w:rPr>
              <w:t>PI</w:t>
            </w:r>
            <w:r w:rsidRPr="004E6C6F">
              <w:rPr>
                <w:spacing w:val="-2"/>
                <w:sz w:val="22"/>
                <w:szCs w:val="22"/>
              </w:rPr>
              <w:t xml:space="preserve"> </w:t>
            </w:r>
            <w:r w:rsidRPr="004E6C6F">
              <w:rPr>
                <w:sz w:val="22"/>
                <w:szCs w:val="22"/>
              </w:rPr>
              <w:t>RAMs</w:t>
            </w:r>
          </w:p>
        </w:tc>
        <w:tc>
          <w:tcPr>
            <w:tcW w:w="895" w:type="pct"/>
            <w:tcBorders>
              <w:top w:val="nil"/>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4/43</w:t>
            </w:r>
          </w:p>
        </w:tc>
        <w:tc>
          <w:tcPr>
            <w:tcW w:w="984" w:type="pct"/>
            <w:tcBorders>
              <w:top w:val="nil"/>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7/60</w:t>
            </w:r>
          </w:p>
        </w:tc>
        <w:tc>
          <w:tcPr>
            <w:tcW w:w="937" w:type="pct"/>
            <w:tcBorders>
              <w:top w:val="nil"/>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4/42</w:t>
            </w:r>
          </w:p>
        </w:tc>
        <w:tc>
          <w:tcPr>
            <w:tcW w:w="991" w:type="pct"/>
            <w:tcBorders>
              <w:top w:val="nil"/>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10/28</w:t>
            </w:r>
          </w:p>
        </w:tc>
      </w:tr>
      <w:tr w:rsidR="00B862A8" w:rsidRPr="004E6C6F" w:rsidTr="00B862A8">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Pr>
                <w:sz w:val="22"/>
                <w:szCs w:val="22"/>
              </w:rPr>
            </w:pPr>
            <w:r w:rsidRPr="004E6C6F">
              <w:rPr>
                <w:sz w:val="22"/>
                <w:szCs w:val="22"/>
              </w:rPr>
              <w:t>Antal deltagere med virologisk svigt og parrede fænotyper ved baseline/endepunkt, der udviste tab af følsomhed over for PI’er ved endepunktet sammenlignet med baseline,</w:t>
            </w:r>
            <w:r w:rsidRPr="004E6C6F">
              <w:rPr>
                <w:spacing w:val="-7"/>
                <w:sz w:val="22"/>
                <w:szCs w:val="22"/>
              </w:rPr>
              <w:t xml:space="preserve"> </w:t>
            </w:r>
            <w:r w:rsidRPr="004E6C6F">
              <w:rPr>
                <w:sz w:val="22"/>
                <w:szCs w:val="22"/>
              </w:rPr>
              <w:t>n/N</w:t>
            </w:r>
          </w:p>
        </w:tc>
      </w:tr>
      <w:tr w:rsidR="00B862A8" w:rsidRPr="004E6C6F" w:rsidTr="00B862A8">
        <w:trPr>
          <w:trHeight w:val="20"/>
        </w:trPr>
        <w:tc>
          <w:tcPr>
            <w:tcW w:w="119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lang w:val="en-US"/>
              </w:rPr>
            </w:pPr>
            <w:r w:rsidRPr="004E6C6F">
              <w:rPr>
                <w:spacing w:val="2"/>
                <w:sz w:val="22"/>
                <w:szCs w:val="22"/>
                <w:lang w:val="en-US"/>
              </w:rPr>
              <w:t>PI</w:t>
            </w:r>
          </w:p>
          <w:p w:rsidR="00B862A8" w:rsidRPr="004E6C6F" w:rsidRDefault="00B862A8" w:rsidP="00B862A8">
            <w:pPr>
              <w:ind w:left="385" w:right="869"/>
              <w:rPr>
                <w:sz w:val="22"/>
                <w:szCs w:val="22"/>
                <w:lang w:val="en-US"/>
              </w:rPr>
            </w:pPr>
            <w:r w:rsidRPr="004E6C6F">
              <w:rPr>
                <w:sz w:val="22"/>
                <w:szCs w:val="22"/>
                <w:lang w:val="en-US"/>
              </w:rPr>
              <w:t xml:space="preserve">darunavir </w:t>
            </w:r>
          </w:p>
          <w:p w:rsidR="00B862A8" w:rsidRPr="004E6C6F" w:rsidRDefault="00B862A8" w:rsidP="00B862A8">
            <w:pPr>
              <w:ind w:left="385" w:right="869"/>
              <w:rPr>
                <w:sz w:val="22"/>
                <w:szCs w:val="22"/>
                <w:lang w:val="en-US"/>
              </w:rPr>
            </w:pPr>
            <w:r w:rsidRPr="004E6C6F">
              <w:rPr>
                <w:spacing w:val="3"/>
                <w:sz w:val="22"/>
                <w:szCs w:val="22"/>
                <w:lang w:val="en-US"/>
              </w:rPr>
              <w:t>a</w:t>
            </w:r>
            <w:r w:rsidRPr="004E6C6F">
              <w:rPr>
                <w:spacing w:val="-4"/>
                <w:sz w:val="22"/>
                <w:szCs w:val="22"/>
                <w:lang w:val="en-US"/>
              </w:rPr>
              <w:t>m</w:t>
            </w:r>
            <w:r w:rsidRPr="004E6C6F">
              <w:rPr>
                <w:sz w:val="22"/>
                <w:szCs w:val="22"/>
                <w:lang w:val="en-US"/>
              </w:rPr>
              <w:t xml:space="preserve">prenavir </w:t>
            </w:r>
          </w:p>
          <w:p w:rsidR="00B862A8" w:rsidRPr="004E6C6F" w:rsidRDefault="00B862A8" w:rsidP="00B862A8">
            <w:pPr>
              <w:ind w:left="385" w:right="869"/>
              <w:rPr>
                <w:sz w:val="22"/>
                <w:szCs w:val="22"/>
                <w:lang w:val="en-US"/>
              </w:rPr>
            </w:pPr>
            <w:r w:rsidRPr="004E6C6F">
              <w:rPr>
                <w:sz w:val="22"/>
                <w:szCs w:val="22"/>
                <w:lang w:val="en-US"/>
              </w:rPr>
              <w:t xml:space="preserve">atazanavir </w:t>
            </w:r>
          </w:p>
          <w:p w:rsidR="00B862A8" w:rsidRPr="004E6C6F" w:rsidRDefault="00B862A8" w:rsidP="00B862A8">
            <w:pPr>
              <w:ind w:left="385" w:right="869"/>
              <w:rPr>
                <w:sz w:val="22"/>
                <w:szCs w:val="22"/>
                <w:lang w:val="en-US"/>
              </w:rPr>
            </w:pPr>
            <w:r w:rsidRPr="004E6C6F">
              <w:rPr>
                <w:sz w:val="22"/>
                <w:szCs w:val="22"/>
                <w:lang w:val="en-US"/>
              </w:rPr>
              <w:t xml:space="preserve">indinavir </w:t>
            </w:r>
          </w:p>
          <w:p w:rsidR="00B862A8" w:rsidRPr="004E6C6F" w:rsidRDefault="00B862A8" w:rsidP="00B862A8">
            <w:pPr>
              <w:ind w:left="385" w:right="869"/>
              <w:rPr>
                <w:sz w:val="22"/>
                <w:szCs w:val="22"/>
                <w:lang w:val="en-US"/>
              </w:rPr>
            </w:pPr>
            <w:r w:rsidRPr="004E6C6F">
              <w:rPr>
                <w:sz w:val="22"/>
                <w:szCs w:val="22"/>
                <w:lang w:val="en-US"/>
              </w:rPr>
              <w:t xml:space="preserve">lopinavir </w:t>
            </w:r>
          </w:p>
          <w:p w:rsidR="00B862A8" w:rsidRPr="004E6C6F" w:rsidRDefault="00B862A8" w:rsidP="00B862A8">
            <w:pPr>
              <w:ind w:left="385" w:right="869"/>
              <w:rPr>
                <w:sz w:val="22"/>
                <w:szCs w:val="22"/>
              </w:rPr>
            </w:pPr>
            <w:r w:rsidRPr="004E6C6F">
              <w:rPr>
                <w:sz w:val="22"/>
                <w:szCs w:val="22"/>
              </w:rPr>
              <w:t xml:space="preserve">saquinavir </w:t>
            </w:r>
          </w:p>
          <w:p w:rsidR="00B862A8" w:rsidRPr="004E6C6F" w:rsidRDefault="00B862A8" w:rsidP="00B862A8">
            <w:pPr>
              <w:ind w:left="385" w:right="869"/>
              <w:rPr>
                <w:sz w:val="22"/>
                <w:szCs w:val="22"/>
              </w:rPr>
            </w:pPr>
            <w:r w:rsidRPr="004E6C6F">
              <w:rPr>
                <w:sz w:val="22"/>
                <w:szCs w:val="22"/>
              </w:rPr>
              <w:t>tipranavir</w:t>
            </w:r>
          </w:p>
        </w:tc>
        <w:tc>
          <w:tcPr>
            <w:tcW w:w="89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0/39</w:t>
            </w:r>
          </w:p>
          <w:p w:rsidR="00B862A8" w:rsidRPr="004E6C6F" w:rsidRDefault="00B862A8" w:rsidP="00B862A8">
            <w:pPr>
              <w:ind w:left="102" w:right="-20"/>
              <w:rPr>
                <w:sz w:val="22"/>
                <w:szCs w:val="22"/>
              </w:rPr>
            </w:pPr>
            <w:r w:rsidRPr="004E6C6F">
              <w:rPr>
                <w:spacing w:val="1"/>
                <w:sz w:val="22"/>
                <w:szCs w:val="22"/>
              </w:rPr>
              <w:t>0/39</w:t>
            </w:r>
          </w:p>
          <w:p w:rsidR="00B862A8" w:rsidRPr="004E6C6F" w:rsidRDefault="00B862A8" w:rsidP="00B862A8">
            <w:pPr>
              <w:ind w:left="102" w:right="-20"/>
              <w:rPr>
                <w:sz w:val="22"/>
                <w:szCs w:val="22"/>
              </w:rPr>
            </w:pPr>
            <w:r w:rsidRPr="004E6C6F">
              <w:rPr>
                <w:spacing w:val="1"/>
                <w:sz w:val="22"/>
                <w:szCs w:val="22"/>
              </w:rPr>
              <w:t>0/39</w:t>
            </w:r>
          </w:p>
          <w:p w:rsidR="00B862A8" w:rsidRPr="004E6C6F" w:rsidRDefault="00B862A8" w:rsidP="00B862A8">
            <w:pPr>
              <w:ind w:left="102" w:right="-20"/>
              <w:rPr>
                <w:sz w:val="22"/>
                <w:szCs w:val="22"/>
              </w:rPr>
            </w:pPr>
            <w:r w:rsidRPr="004E6C6F">
              <w:rPr>
                <w:spacing w:val="1"/>
                <w:sz w:val="22"/>
                <w:szCs w:val="22"/>
              </w:rPr>
              <w:t>0/39</w:t>
            </w:r>
          </w:p>
          <w:p w:rsidR="00B862A8" w:rsidRPr="004E6C6F" w:rsidRDefault="00B862A8" w:rsidP="00B862A8">
            <w:pPr>
              <w:ind w:left="102" w:right="-20"/>
              <w:rPr>
                <w:sz w:val="22"/>
                <w:szCs w:val="22"/>
              </w:rPr>
            </w:pPr>
            <w:r w:rsidRPr="004E6C6F">
              <w:rPr>
                <w:spacing w:val="1"/>
                <w:sz w:val="22"/>
                <w:szCs w:val="22"/>
              </w:rPr>
              <w:t>0/39</w:t>
            </w:r>
          </w:p>
          <w:p w:rsidR="00B862A8" w:rsidRPr="004E6C6F" w:rsidRDefault="00B862A8" w:rsidP="00B862A8">
            <w:pPr>
              <w:ind w:left="102" w:right="-20"/>
              <w:rPr>
                <w:sz w:val="22"/>
                <w:szCs w:val="22"/>
              </w:rPr>
            </w:pPr>
            <w:r w:rsidRPr="004E6C6F">
              <w:rPr>
                <w:spacing w:val="1"/>
                <w:sz w:val="22"/>
                <w:szCs w:val="22"/>
              </w:rPr>
              <w:t>0/39</w:t>
            </w:r>
          </w:p>
          <w:p w:rsidR="00B862A8" w:rsidRPr="004E6C6F" w:rsidRDefault="00B862A8" w:rsidP="00B862A8">
            <w:pPr>
              <w:ind w:left="102" w:right="-20"/>
              <w:rPr>
                <w:sz w:val="22"/>
                <w:szCs w:val="22"/>
              </w:rPr>
            </w:pPr>
            <w:r w:rsidRPr="004E6C6F">
              <w:rPr>
                <w:spacing w:val="1"/>
                <w:sz w:val="22"/>
                <w:szCs w:val="22"/>
              </w:rPr>
              <w:t>0/39</w:t>
            </w:r>
          </w:p>
        </w:tc>
        <w:tc>
          <w:tcPr>
            <w:tcW w:w="984"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1/58</w:t>
            </w:r>
          </w:p>
          <w:p w:rsidR="00B862A8" w:rsidRPr="004E6C6F" w:rsidRDefault="00B862A8" w:rsidP="00B862A8">
            <w:pPr>
              <w:ind w:left="102" w:right="-20"/>
              <w:rPr>
                <w:sz w:val="22"/>
                <w:szCs w:val="22"/>
              </w:rPr>
            </w:pPr>
            <w:r w:rsidRPr="004E6C6F">
              <w:rPr>
                <w:spacing w:val="1"/>
                <w:sz w:val="22"/>
                <w:szCs w:val="22"/>
              </w:rPr>
              <w:t>1/58</w:t>
            </w:r>
          </w:p>
          <w:p w:rsidR="00B862A8" w:rsidRPr="004E6C6F" w:rsidRDefault="00B862A8" w:rsidP="00B862A8">
            <w:pPr>
              <w:ind w:left="102" w:right="-20"/>
              <w:rPr>
                <w:sz w:val="22"/>
                <w:szCs w:val="22"/>
              </w:rPr>
            </w:pPr>
            <w:r w:rsidRPr="004E6C6F">
              <w:rPr>
                <w:spacing w:val="1"/>
                <w:sz w:val="22"/>
                <w:szCs w:val="22"/>
              </w:rPr>
              <w:t>2/56</w:t>
            </w:r>
          </w:p>
          <w:p w:rsidR="00B862A8" w:rsidRPr="004E6C6F" w:rsidRDefault="00B862A8" w:rsidP="00B862A8">
            <w:pPr>
              <w:ind w:left="102" w:right="-20"/>
              <w:rPr>
                <w:sz w:val="22"/>
                <w:szCs w:val="22"/>
              </w:rPr>
            </w:pPr>
            <w:r w:rsidRPr="004E6C6F">
              <w:rPr>
                <w:spacing w:val="1"/>
                <w:sz w:val="22"/>
                <w:szCs w:val="22"/>
              </w:rPr>
              <w:t>2/57</w:t>
            </w:r>
          </w:p>
          <w:p w:rsidR="00B862A8" w:rsidRPr="004E6C6F" w:rsidRDefault="00B862A8" w:rsidP="00B862A8">
            <w:pPr>
              <w:ind w:left="102" w:right="-20"/>
              <w:rPr>
                <w:sz w:val="22"/>
                <w:szCs w:val="22"/>
              </w:rPr>
            </w:pPr>
            <w:r w:rsidRPr="004E6C6F">
              <w:rPr>
                <w:spacing w:val="1"/>
                <w:sz w:val="22"/>
                <w:szCs w:val="22"/>
              </w:rPr>
              <w:t>1/58</w:t>
            </w:r>
          </w:p>
          <w:p w:rsidR="00B862A8" w:rsidRPr="004E6C6F" w:rsidRDefault="00B862A8" w:rsidP="00B862A8">
            <w:pPr>
              <w:ind w:left="102" w:right="-20"/>
              <w:rPr>
                <w:sz w:val="22"/>
                <w:szCs w:val="22"/>
              </w:rPr>
            </w:pPr>
            <w:r w:rsidRPr="004E6C6F">
              <w:rPr>
                <w:spacing w:val="1"/>
                <w:sz w:val="22"/>
                <w:szCs w:val="22"/>
              </w:rPr>
              <w:t>0/56</w:t>
            </w:r>
          </w:p>
          <w:p w:rsidR="00B862A8" w:rsidRPr="004E6C6F" w:rsidRDefault="00B862A8" w:rsidP="00B862A8">
            <w:pPr>
              <w:ind w:left="102" w:right="-20"/>
              <w:rPr>
                <w:sz w:val="22"/>
                <w:szCs w:val="22"/>
              </w:rPr>
            </w:pPr>
            <w:r w:rsidRPr="004E6C6F">
              <w:rPr>
                <w:spacing w:val="1"/>
                <w:sz w:val="22"/>
                <w:szCs w:val="22"/>
              </w:rPr>
              <w:t>0/58</w:t>
            </w:r>
          </w:p>
        </w:tc>
        <w:tc>
          <w:tcPr>
            <w:tcW w:w="937"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0/41</w:t>
            </w:r>
          </w:p>
          <w:p w:rsidR="00B862A8" w:rsidRPr="004E6C6F" w:rsidRDefault="00B862A8" w:rsidP="00B862A8">
            <w:pPr>
              <w:ind w:left="102" w:right="-20"/>
              <w:rPr>
                <w:sz w:val="22"/>
                <w:szCs w:val="22"/>
              </w:rPr>
            </w:pPr>
            <w:r w:rsidRPr="004E6C6F">
              <w:rPr>
                <w:spacing w:val="1"/>
                <w:sz w:val="22"/>
                <w:szCs w:val="22"/>
              </w:rPr>
              <w:t>0/40</w:t>
            </w:r>
          </w:p>
          <w:p w:rsidR="00B862A8" w:rsidRPr="004E6C6F" w:rsidRDefault="00B862A8" w:rsidP="00B862A8">
            <w:pPr>
              <w:ind w:left="102" w:right="-20"/>
              <w:rPr>
                <w:sz w:val="22"/>
                <w:szCs w:val="22"/>
              </w:rPr>
            </w:pPr>
            <w:r w:rsidRPr="004E6C6F">
              <w:rPr>
                <w:spacing w:val="1"/>
                <w:sz w:val="22"/>
                <w:szCs w:val="22"/>
              </w:rPr>
              <w:t>0/40</w:t>
            </w:r>
          </w:p>
          <w:p w:rsidR="00B862A8" w:rsidRPr="004E6C6F" w:rsidRDefault="00B862A8" w:rsidP="00B862A8">
            <w:pPr>
              <w:ind w:left="102" w:right="-20"/>
              <w:rPr>
                <w:sz w:val="22"/>
                <w:szCs w:val="22"/>
              </w:rPr>
            </w:pPr>
            <w:r w:rsidRPr="004E6C6F">
              <w:rPr>
                <w:spacing w:val="1"/>
                <w:sz w:val="22"/>
                <w:szCs w:val="22"/>
              </w:rPr>
              <w:t>0/40</w:t>
            </w:r>
          </w:p>
          <w:p w:rsidR="00B862A8" w:rsidRPr="004E6C6F" w:rsidRDefault="00B862A8" w:rsidP="00B862A8">
            <w:pPr>
              <w:ind w:left="102" w:right="-20"/>
              <w:rPr>
                <w:sz w:val="22"/>
                <w:szCs w:val="22"/>
              </w:rPr>
            </w:pPr>
            <w:r w:rsidRPr="004E6C6F">
              <w:rPr>
                <w:spacing w:val="1"/>
                <w:sz w:val="22"/>
                <w:szCs w:val="22"/>
              </w:rPr>
              <w:t>0/40</w:t>
            </w:r>
          </w:p>
          <w:p w:rsidR="00B862A8" w:rsidRPr="004E6C6F" w:rsidRDefault="00B862A8" w:rsidP="00B862A8">
            <w:pPr>
              <w:ind w:left="102" w:right="-20"/>
              <w:rPr>
                <w:sz w:val="22"/>
                <w:szCs w:val="22"/>
              </w:rPr>
            </w:pPr>
            <w:r w:rsidRPr="004E6C6F">
              <w:rPr>
                <w:spacing w:val="1"/>
                <w:sz w:val="22"/>
                <w:szCs w:val="22"/>
              </w:rPr>
              <w:t>0/40</w:t>
            </w:r>
          </w:p>
          <w:p w:rsidR="00B862A8" w:rsidRPr="004E6C6F" w:rsidRDefault="00B862A8" w:rsidP="00B862A8">
            <w:pPr>
              <w:ind w:left="102" w:right="-20"/>
              <w:rPr>
                <w:sz w:val="22"/>
                <w:szCs w:val="22"/>
              </w:rPr>
            </w:pPr>
            <w:r w:rsidRPr="004E6C6F">
              <w:rPr>
                <w:spacing w:val="1"/>
                <w:sz w:val="22"/>
                <w:szCs w:val="22"/>
              </w:rPr>
              <w:t>0/41</w:t>
            </w:r>
          </w:p>
        </w:tc>
        <w:tc>
          <w:tcPr>
            <w:tcW w:w="99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sz w:val="22"/>
                <w:szCs w:val="22"/>
              </w:rPr>
            </w:pPr>
          </w:p>
          <w:p w:rsidR="00B862A8" w:rsidRPr="004E6C6F" w:rsidRDefault="00B862A8" w:rsidP="00B862A8">
            <w:pPr>
              <w:ind w:left="102" w:right="-20"/>
              <w:rPr>
                <w:sz w:val="22"/>
                <w:szCs w:val="22"/>
              </w:rPr>
            </w:pPr>
            <w:r w:rsidRPr="004E6C6F">
              <w:rPr>
                <w:spacing w:val="1"/>
                <w:sz w:val="22"/>
                <w:szCs w:val="22"/>
              </w:rPr>
              <w:t>3/26</w:t>
            </w:r>
          </w:p>
          <w:p w:rsidR="00B862A8" w:rsidRPr="004E6C6F" w:rsidRDefault="00B862A8" w:rsidP="00B862A8">
            <w:pPr>
              <w:ind w:left="102" w:right="-20"/>
              <w:rPr>
                <w:sz w:val="22"/>
                <w:szCs w:val="22"/>
              </w:rPr>
            </w:pPr>
            <w:r w:rsidRPr="004E6C6F">
              <w:rPr>
                <w:spacing w:val="1"/>
                <w:sz w:val="22"/>
                <w:szCs w:val="22"/>
              </w:rPr>
              <w:t>0/22</w:t>
            </w:r>
          </w:p>
          <w:p w:rsidR="00B862A8" w:rsidRPr="004E6C6F" w:rsidRDefault="00B862A8" w:rsidP="00B862A8">
            <w:pPr>
              <w:ind w:left="102" w:right="-20"/>
              <w:rPr>
                <w:sz w:val="22"/>
                <w:szCs w:val="22"/>
              </w:rPr>
            </w:pPr>
            <w:r w:rsidRPr="004E6C6F">
              <w:rPr>
                <w:spacing w:val="1"/>
                <w:sz w:val="22"/>
                <w:szCs w:val="22"/>
              </w:rPr>
              <w:t>0/22</w:t>
            </w:r>
          </w:p>
          <w:p w:rsidR="00B862A8" w:rsidRPr="004E6C6F" w:rsidRDefault="00B862A8" w:rsidP="00B862A8">
            <w:pPr>
              <w:ind w:left="102" w:right="-20"/>
              <w:rPr>
                <w:sz w:val="22"/>
                <w:szCs w:val="22"/>
              </w:rPr>
            </w:pPr>
            <w:r w:rsidRPr="004E6C6F">
              <w:rPr>
                <w:spacing w:val="1"/>
                <w:sz w:val="22"/>
                <w:szCs w:val="22"/>
              </w:rPr>
              <w:t>1/24</w:t>
            </w:r>
          </w:p>
          <w:p w:rsidR="00B862A8" w:rsidRPr="004E6C6F" w:rsidRDefault="00B862A8" w:rsidP="00B862A8">
            <w:pPr>
              <w:ind w:left="102" w:right="-20"/>
              <w:rPr>
                <w:sz w:val="22"/>
                <w:szCs w:val="22"/>
              </w:rPr>
            </w:pPr>
            <w:r w:rsidRPr="004E6C6F">
              <w:rPr>
                <w:spacing w:val="1"/>
                <w:sz w:val="22"/>
                <w:szCs w:val="22"/>
              </w:rPr>
              <w:t>0/23</w:t>
            </w:r>
          </w:p>
          <w:p w:rsidR="00B862A8" w:rsidRPr="004E6C6F" w:rsidRDefault="00B862A8" w:rsidP="00B862A8">
            <w:pPr>
              <w:ind w:left="102" w:right="-20"/>
              <w:rPr>
                <w:sz w:val="22"/>
                <w:szCs w:val="22"/>
              </w:rPr>
            </w:pPr>
            <w:r w:rsidRPr="004E6C6F">
              <w:rPr>
                <w:spacing w:val="1"/>
                <w:sz w:val="22"/>
                <w:szCs w:val="22"/>
              </w:rPr>
              <w:t>0/22</w:t>
            </w:r>
          </w:p>
          <w:p w:rsidR="00B862A8" w:rsidRPr="004E6C6F" w:rsidRDefault="00B862A8" w:rsidP="00B862A8">
            <w:pPr>
              <w:ind w:left="102" w:right="-20"/>
              <w:rPr>
                <w:sz w:val="22"/>
                <w:szCs w:val="22"/>
              </w:rPr>
            </w:pPr>
            <w:r w:rsidRPr="004E6C6F">
              <w:rPr>
                <w:spacing w:val="1"/>
                <w:sz w:val="22"/>
                <w:szCs w:val="22"/>
              </w:rPr>
              <w:t>1/25</w:t>
            </w:r>
          </w:p>
        </w:tc>
      </w:tr>
    </w:tbl>
    <w:p w:rsidR="00B862A8" w:rsidRPr="004623FF" w:rsidRDefault="00B862A8" w:rsidP="00B862A8">
      <w:pPr>
        <w:ind w:left="851" w:hanging="283"/>
        <w:rPr>
          <w:sz w:val="22"/>
          <w:szCs w:val="22"/>
        </w:rPr>
      </w:pPr>
      <w:r w:rsidRPr="004623FF">
        <w:rPr>
          <w:sz w:val="22"/>
          <w:szCs w:val="22"/>
          <w:vertAlign w:val="superscript"/>
        </w:rPr>
        <w:lastRenderedPageBreak/>
        <w:t>a</w:t>
      </w:r>
      <w:r w:rsidRPr="004623FF">
        <w:rPr>
          <w:sz w:val="22"/>
          <w:szCs w:val="22"/>
        </w:rPr>
        <w:t xml:space="preserve"> </w:t>
      </w:r>
      <w:r w:rsidRPr="004623FF">
        <w:rPr>
          <w:sz w:val="22"/>
          <w:szCs w:val="22"/>
        </w:rPr>
        <w:tab/>
        <w:t>TLOVR non-VF censureret algoritme baseret på HIV-1-RNA &lt; 50 kopier/ml med undtagelse af TITAN (HIV-1 RNA&lt; 400 kopier/ml).</w:t>
      </w:r>
    </w:p>
    <w:p w:rsidR="00B862A8" w:rsidRPr="004623FF" w:rsidRDefault="00B862A8" w:rsidP="00B862A8">
      <w:pPr>
        <w:ind w:left="851" w:hanging="283"/>
        <w:rPr>
          <w:sz w:val="22"/>
          <w:szCs w:val="22"/>
        </w:rPr>
      </w:pPr>
      <w:r w:rsidRPr="004623FF">
        <w:rPr>
          <w:sz w:val="22"/>
          <w:szCs w:val="22"/>
          <w:vertAlign w:val="superscript"/>
        </w:rPr>
        <w:t>b</w:t>
      </w:r>
      <w:r w:rsidRPr="004623FF">
        <w:rPr>
          <w:sz w:val="22"/>
          <w:szCs w:val="22"/>
        </w:rPr>
        <w:t xml:space="preserve"> </w:t>
      </w:r>
      <w:r w:rsidRPr="004623FF">
        <w:rPr>
          <w:sz w:val="22"/>
          <w:szCs w:val="22"/>
        </w:rPr>
        <w:tab/>
        <w:t>IAS-USA-lister.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Krydsresistens</w:t>
      </w:r>
    </w:p>
    <w:p w:rsidR="00B862A8" w:rsidRPr="00ED0DE7" w:rsidRDefault="00B862A8" w:rsidP="00B862A8">
      <w:pPr>
        <w:tabs>
          <w:tab w:val="left" w:pos="851"/>
        </w:tabs>
        <w:ind w:left="851"/>
        <w:rPr>
          <w:sz w:val="24"/>
          <w:szCs w:val="24"/>
        </w:rPr>
      </w:pPr>
      <w:r w:rsidRPr="00ED0DE7">
        <w:rPr>
          <w:sz w:val="24"/>
          <w:szCs w:val="24"/>
        </w:rPr>
        <w:t xml:space="preserve">Darunavir FC var mindre end 10 for 90 % af 3.309 kliniske isolater, der var resistente over for amprenavir, atazanavir, indinavir, lopinavir, nelfinavir, ritonavir, saquinavir og/eller tipranavir. Dette viser, at vira, der er resistente over for de fleste PI’er, forbliver følsomme for darunavir. </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 xml:space="preserve">Der blev ikke observeret nogen krydsresistens med andre PI’er i de virologiske svigt fra </w:t>
      </w:r>
      <w:r w:rsidRPr="00ED0DE7">
        <w:rPr>
          <w:i/>
          <w:iCs/>
          <w:sz w:val="24"/>
          <w:szCs w:val="24"/>
        </w:rPr>
        <w:t>ARTEMIS-</w:t>
      </w:r>
      <w:r w:rsidRPr="00ED0DE7">
        <w:rPr>
          <w:sz w:val="24"/>
          <w:szCs w:val="24"/>
        </w:rPr>
        <w:t>studiet.</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Kliniske resultater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Voksne patienter</w:t>
      </w:r>
    </w:p>
    <w:p w:rsidR="00B862A8" w:rsidRDefault="00B862A8" w:rsidP="00B862A8">
      <w:pPr>
        <w:tabs>
          <w:tab w:val="left" w:pos="851"/>
        </w:tabs>
        <w:ind w:left="851"/>
        <w:rPr>
          <w:sz w:val="24"/>
          <w:szCs w:val="24"/>
        </w:rPr>
      </w:pPr>
      <w:r w:rsidRPr="00ED0DE7">
        <w:rPr>
          <w:sz w:val="24"/>
          <w:szCs w:val="24"/>
        </w:rPr>
        <w:t xml:space="preserve">Vedrørende kliniske studieresultater hos ART-naive voksne patienter henvises til produktresuméet for Darunavir </w:t>
      </w:r>
      <w:r>
        <w:rPr>
          <w:sz w:val="24"/>
          <w:szCs w:val="24"/>
        </w:rPr>
        <w:t>"STADA"</w:t>
      </w:r>
      <w:r w:rsidRPr="00ED0DE7">
        <w:rPr>
          <w:sz w:val="24"/>
          <w:szCs w:val="24"/>
        </w:rPr>
        <w:t xml:space="preserve"> 400 mg og 800 mg filmovertrukne tabletter.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u w:val="single"/>
        </w:rPr>
      </w:pPr>
      <w:r w:rsidRPr="00ED0DE7">
        <w:rPr>
          <w:i/>
          <w:iCs/>
          <w:sz w:val="24"/>
          <w:szCs w:val="24"/>
          <w:u w:val="single"/>
        </w:rPr>
        <w:t>Virkning af darunavir 600 mg to gange daglig co-administreret med 100 mg ritonavir to gange daglig hos ART-erfarne patienter</w:t>
      </w:r>
    </w:p>
    <w:p w:rsidR="00B862A8" w:rsidRPr="00ED0DE7" w:rsidRDefault="00B862A8" w:rsidP="00B862A8">
      <w:pPr>
        <w:tabs>
          <w:tab w:val="left" w:pos="851"/>
        </w:tabs>
        <w:ind w:left="851"/>
        <w:rPr>
          <w:sz w:val="24"/>
          <w:szCs w:val="24"/>
        </w:rPr>
      </w:pPr>
      <w:r w:rsidRPr="00ED0DE7">
        <w:rPr>
          <w:sz w:val="24"/>
          <w:szCs w:val="24"/>
        </w:rPr>
        <w:t xml:space="preserve">Dokumentationen for virkning af darunavir co-administreret med ritonavir (600/100 mg to gange daglig) hos ART-erfarne patienter er baseret på 96-ugers-analysen af fase III-studiet </w:t>
      </w:r>
      <w:r w:rsidRPr="00ED0DE7">
        <w:rPr>
          <w:i/>
          <w:iCs/>
          <w:sz w:val="24"/>
          <w:szCs w:val="24"/>
        </w:rPr>
        <w:t xml:space="preserve">TITAN </w:t>
      </w:r>
      <w:r w:rsidRPr="00ED0DE7">
        <w:rPr>
          <w:sz w:val="24"/>
          <w:szCs w:val="24"/>
        </w:rPr>
        <w:t xml:space="preserve">hos ART-erfarne, lopinavir-naive patienter, på analysen efter 48 uger i fase III-studiet </w:t>
      </w:r>
      <w:r w:rsidRPr="00ED0DE7">
        <w:rPr>
          <w:i/>
          <w:iCs/>
          <w:sz w:val="24"/>
          <w:szCs w:val="24"/>
        </w:rPr>
        <w:t xml:space="preserve">ODIN </w:t>
      </w:r>
      <w:r w:rsidRPr="00ED0DE7">
        <w:rPr>
          <w:sz w:val="24"/>
          <w:szCs w:val="24"/>
        </w:rPr>
        <w:t xml:space="preserve">hos ART-erfarne patienter uden DRV-RAMs og på analysen af 96-ugers-data fra fase IIb-studierne </w:t>
      </w:r>
      <w:r w:rsidRPr="00ED0DE7">
        <w:rPr>
          <w:i/>
          <w:iCs/>
          <w:sz w:val="24"/>
          <w:szCs w:val="24"/>
        </w:rPr>
        <w:t xml:space="preserve">POWER </w:t>
      </w:r>
      <w:r w:rsidRPr="00ED0DE7">
        <w:rPr>
          <w:sz w:val="24"/>
          <w:szCs w:val="24"/>
        </w:rPr>
        <w:t>1 og 2 hos ART-erfarne patienter med høj grad af PI-resistens.</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b/>
          <w:bCs/>
          <w:i/>
          <w:iCs/>
          <w:sz w:val="24"/>
          <w:szCs w:val="24"/>
        </w:rPr>
        <w:t xml:space="preserve">TITAN </w:t>
      </w:r>
      <w:r w:rsidRPr="00ED0DE7">
        <w:rPr>
          <w:sz w:val="24"/>
          <w:szCs w:val="24"/>
        </w:rPr>
        <w:t xml:space="preserve">er et randomiseret, kontrolleret, </w:t>
      </w:r>
      <w:proofErr w:type="gramStart"/>
      <w:r w:rsidRPr="00ED0DE7">
        <w:rPr>
          <w:sz w:val="24"/>
          <w:szCs w:val="24"/>
        </w:rPr>
        <w:t>åbent fase</w:t>
      </w:r>
      <w:proofErr w:type="gramEnd"/>
      <w:r w:rsidRPr="00ED0DE7">
        <w:rPr>
          <w:sz w:val="24"/>
          <w:szCs w:val="24"/>
        </w:rPr>
        <w:t xml:space="preserve"> III-studie, der sammenligner darunavir co-administreret med ritonavir (600/100 mg to gange daglig) med lopinavir/ritonavir (400/100 mg to gange daglig) hos ART-erfarne, lopinavir-naive </w:t>
      </w:r>
      <w:r>
        <w:rPr>
          <w:sz w:val="24"/>
          <w:szCs w:val="24"/>
        </w:rPr>
        <w:t>HIV</w:t>
      </w:r>
      <w:r w:rsidRPr="00ED0DE7">
        <w:rPr>
          <w:sz w:val="24"/>
          <w:szCs w:val="24"/>
        </w:rPr>
        <w:t>-1-inficerede voksne patienter. Begge behandlingsarme brugte et optimeret baggrundsregime (OBR) bestående af mindst 2 antiretrovirale midler (NRTI’er med eller uden NNRTI).</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 xml:space="preserve">Tabellen nedenfor viser effektdata af 48 ugers-analysen fra </w:t>
      </w:r>
      <w:r w:rsidRPr="00ED0DE7">
        <w:rPr>
          <w:i/>
          <w:iCs/>
          <w:sz w:val="24"/>
          <w:szCs w:val="24"/>
        </w:rPr>
        <w:t>TITAN</w:t>
      </w:r>
      <w:r w:rsidRPr="00ED0DE7">
        <w:rPr>
          <w:sz w:val="24"/>
          <w:szCs w:val="24"/>
        </w:rPr>
        <w:t xml:space="preserve">-studiet. </w:t>
      </w:r>
    </w:p>
    <w:p w:rsidR="00B862A8" w:rsidRPr="00ED0DE7" w:rsidRDefault="00B862A8" w:rsidP="00B862A8">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1797"/>
        <w:gridCol w:w="2609"/>
        <w:gridCol w:w="2611"/>
        <w:gridCol w:w="2611"/>
      </w:tblGrid>
      <w:tr w:rsidR="00B862A8" w:rsidRPr="004E6C6F" w:rsidTr="00B862A8">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102" w:right="-20"/>
              <w:jc w:val="center"/>
              <w:rPr>
                <w:bCs/>
                <w:sz w:val="22"/>
                <w:szCs w:val="22"/>
              </w:rPr>
            </w:pPr>
            <w:r w:rsidRPr="004623FF">
              <w:rPr>
                <w:bCs/>
                <w:sz w:val="22"/>
                <w:szCs w:val="22"/>
              </w:rPr>
              <w:t>TITAN</w:t>
            </w:r>
          </w:p>
        </w:tc>
      </w:tr>
      <w:tr w:rsidR="00B862A8" w:rsidRPr="004E6C6F" w:rsidTr="00B862A8">
        <w:trPr>
          <w:trHeight w:val="20"/>
        </w:trPr>
        <w:tc>
          <w:tcPr>
            <w:tcW w:w="93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z w:val="22"/>
                <w:szCs w:val="22"/>
              </w:rPr>
              <w:t>Resultater</w:t>
            </w:r>
          </w:p>
        </w:tc>
        <w:tc>
          <w:tcPr>
            <w:tcW w:w="135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0" w:right="-20"/>
              <w:rPr>
                <w:sz w:val="22"/>
                <w:szCs w:val="22"/>
              </w:rPr>
            </w:pPr>
            <w:r w:rsidRPr="004E6C6F">
              <w:rPr>
                <w:sz w:val="22"/>
                <w:szCs w:val="22"/>
              </w:rPr>
              <w:t>Darunavir/ritonavir</w:t>
            </w:r>
          </w:p>
          <w:p w:rsidR="00B862A8" w:rsidRPr="004E6C6F" w:rsidRDefault="00B862A8" w:rsidP="00B862A8">
            <w:pPr>
              <w:ind w:left="100" w:right="297"/>
              <w:rPr>
                <w:sz w:val="22"/>
                <w:szCs w:val="22"/>
              </w:rPr>
            </w:pPr>
            <w:r w:rsidRPr="004E6C6F">
              <w:rPr>
                <w:spacing w:val="1"/>
                <w:sz w:val="22"/>
                <w:szCs w:val="22"/>
              </w:rPr>
              <w:t>600/10</w:t>
            </w:r>
            <w:r w:rsidRPr="004E6C6F">
              <w:rPr>
                <w:sz w:val="22"/>
                <w:szCs w:val="22"/>
              </w:rPr>
              <w:t>0</w:t>
            </w:r>
            <w:r w:rsidRPr="004E6C6F">
              <w:rPr>
                <w:spacing w:val="-5"/>
                <w:sz w:val="22"/>
                <w:szCs w:val="22"/>
              </w:rPr>
              <w:t xml:space="preserve"> </w:t>
            </w:r>
            <w:r w:rsidRPr="004E6C6F">
              <w:rPr>
                <w:spacing w:val="-1"/>
                <w:sz w:val="22"/>
                <w:szCs w:val="22"/>
              </w:rPr>
              <w:t>m</w:t>
            </w:r>
            <w:r w:rsidRPr="004E6C6F">
              <w:rPr>
                <w:sz w:val="22"/>
                <w:szCs w:val="22"/>
              </w:rPr>
              <w:t>g</w:t>
            </w:r>
            <w:r w:rsidRPr="004E6C6F">
              <w:rPr>
                <w:spacing w:val="-4"/>
                <w:sz w:val="22"/>
                <w:szCs w:val="22"/>
              </w:rPr>
              <w:t xml:space="preserve"> </w:t>
            </w:r>
            <w:r w:rsidRPr="004E6C6F">
              <w:rPr>
                <w:sz w:val="22"/>
                <w:szCs w:val="22"/>
              </w:rPr>
              <w:t>to gange daglig</w:t>
            </w:r>
            <w:r w:rsidRPr="004E6C6F">
              <w:rPr>
                <w:spacing w:val="-4"/>
                <w:sz w:val="22"/>
                <w:szCs w:val="22"/>
              </w:rPr>
              <w:t xml:space="preserve"> </w:t>
            </w:r>
            <w:r w:rsidRPr="004E6C6F">
              <w:rPr>
                <w:sz w:val="22"/>
                <w:szCs w:val="22"/>
              </w:rPr>
              <w:t xml:space="preserve">+ </w:t>
            </w:r>
            <w:r w:rsidRPr="004E6C6F">
              <w:rPr>
                <w:spacing w:val="1"/>
                <w:sz w:val="22"/>
                <w:szCs w:val="22"/>
              </w:rPr>
              <w:t>OBR</w:t>
            </w:r>
          </w:p>
          <w:p w:rsidR="00B862A8" w:rsidRPr="004E6C6F" w:rsidRDefault="00B862A8" w:rsidP="00B862A8">
            <w:pPr>
              <w:ind w:left="100" w:right="-20"/>
              <w:rPr>
                <w:sz w:val="22"/>
                <w:szCs w:val="22"/>
              </w:rPr>
            </w:pPr>
            <w:r w:rsidRPr="004E6C6F">
              <w:rPr>
                <w:spacing w:val="1"/>
                <w:sz w:val="22"/>
                <w:szCs w:val="22"/>
              </w:rPr>
              <w:t>N=298</w:t>
            </w:r>
          </w:p>
        </w:tc>
        <w:tc>
          <w:tcPr>
            <w:tcW w:w="1356"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z w:val="22"/>
                <w:szCs w:val="22"/>
              </w:rPr>
              <w:t>Lopinavir/ritonavir</w:t>
            </w:r>
          </w:p>
          <w:p w:rsidR="00B862A8" w:rsidRPr="004E6C6F" w:rsidRDefault="00B862A8" w:rsidP="00B862A8">
            <w:pPr>
              <w:ind w:left="102" w:right="297"/>
              <w:rPr>
                <w:sz w:val="22"/>
                <w:szCs w:val="22"/>
              </w:rPr>
            </w:pPr>
            <w:r w:rsidRPr="004E6C6F">
              <w:rPr>
                <w:spacing w:val="1"/>
                <w:sz w:val="22"/>
                <w:szCs w:val="22"/>
              </w:rPr>
              <w:t>400/10</w:t>
            </w:r>
            <w:r w:rsidRPr="004E6C6F">
              <w:rPr>
                <w:sz w:val="22"/>
                <w:szCs w:val="22"/>
              </w:rPr>
              <w:t>0</w:t>
            </w:r>
            <w:r w:rsidRPr="004E6C6F">
              <w:rPr>
                <w:spacing w:val="-5"/>
                <w:sz w:val="22"/>
                <w:szCs w:val="22"/>
              </w:rPr>
              <w:t xml:space="preserve"> </w:t>
            </w:r>
            <w:r w:rsidRPr="004E6C6F">
              <w:rPr>
                <w:spacing w:val="-1"/>
                <w:sz w:val="22"/>
                <w:szCs w:val="22"/>
              </w:rPr>
              <w:t>m</w:t>
            </w:r>
            <w:r w:rsidRPr="004E6C6F">
              <w:rPr>
                <w:sz w:val="22"/>
                <w:szCs w:val="22"/>
              </w:rPr>
              <w:t>g</w:t>
            </w:r>
            <w:r w:rsidRPr="004E6C6F">
              <w:rPr>
                <w:spacing w:val="-4"/>
                <w:sz w:val="22"/>
                <w:szCs w:val="22"/>
              </w:rPr>
              <w:t xml:space="preserve"> </w:t>
            </w:r>
            <w:r w:rsidRPr="004E6C6F">
              <w:rPr>
                <w:sz w:val="22"/>
                <w:szCs w:val="22"/>
              </w:rPr>
              <w:t>to gange daglig</w:t>
            </w:r>
            <w:r w:rsidRPr="004E6C6F">
              <w:rPr>
                <w:spacing w:val="-4"/>
                <w:sz w:val="22"/>
                <w:szCs w:val="22"/>
              </w:rPr>
              <w:t xml:space="preserve"> </w:t>
            </w:r>
            <w:r w:rsidRPr="004E6C6F">
              <w:rPr>
                <w:sz w:val="22"/>
                <w:szCs w:val="22"/>
              </w:rPr>
              <w:t xml:space="preserve">+ </w:t>
            </w:r>
            <w:r w:rsidRPr="004E6C6F">
              <w:rPr>
                <w:spacing w:val="1"/>
                <w:sz w:val="22"/>
                <w:szCs w:val="22"/>
              </w:rPr>
              <w:t>OBR</w:t>
            </w:r>
          </w:p>
          <w:p w:rsidR="00B862A8" w:rsidRPr="004E6C6F" w:rsidRDefault="00B862A8" w:rsidP="00B862A8">
            <w:pPr>
              <w:ind w:left="102" w:right="-20"/>
              <w:rPr>
                <w:sz w:val="22"/>
                <w:szCs w:val="22"/>
              </w:rPr>
            </w:pPr>
            <w:r w:rsidRPr="004E6C6F">
              <w:rPr>
                <w:spacing w:val="1"/>
                <w:sz w:val="22"/>
                <w:szCs w:val="22"/>
              </w:rPr>
              <w:t>N=297</w:t>
            </w:r>
          </w:p>
        </w:tc>
        <w:tc>
          <w:tcPr>
            <w:tcW w:w="135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z w:val="22"/>
                <w:szCs w:val="22"/>
              </w:rPr>
              <w:t>Behandlingsforskel</w:t>
            </w:r>
          </w:p>
          <w:p w:rsidR="00B862A8" w:rsidRPr="004E6C6F" w:rsidRDefault="00B862A8" w:rsidP="00B862A8">
            <w:pPr>
              <w:ind w:left="102" w:right="-20"/>
              <w:rPr>
                <w:sz w:val="22"/>
                <w:szCs w:val="22"/>
              </w:rPr>
            </w:pPr>
            <w:r w:rsidRPr="004E6C6F">
              <w:rPr>
                <w:sz w:val="22"/>
                <w:szCs w:val="22"/>
              </w:rPr>
              <w:t>(95 %</w:t>
            </w:r>
            <w:r w:rsidRPr="004E6C6F">
              <w:rPr>
                <w:spacing w:val="-4"/>
                <w:sz w:val="22"/>
                <w:szCs w:val="22"/>
              </w:rPr>
              <w:t xml:space="preserve"> </w:t>
            </w:r>
            <w:r w:rsidRPr="004E6C6F">
              <w:rPr>
                <w:sz w:val="22"/>
                <w:szCs w:val="22"/>
              </w:rPr>
              <w:t>CI)</w:t>
            </w:r>
          </w:p>
        </w:tc>
      </w:tr>
      <w:tr w:rsidR="00B862A8" w:rsidRPr="004E6C6F" w:rsidTr="00B862A8">
        <w:trPr>
          <w:trHeight w:val="20"/>
        </w:trPr>
        <w:tc>
          <w:tcPr>
            <w:tcW w:w="93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Pr>
                <w:position w:val="-1"/>
                <w:sz w:val="22"/>
                <w:szCs w:val="22"/>
              </w:rPr>
              <w:t>HIV</w:t>
            </w:r>
            <w:r w:rsidRPr="004E6C6F">
              <w:rPr>
                <w:spacing w:val="-2"/>
                <w:position w:val="-1"/>
                <w:sz w:val="22"/>
                <w:szCs w:val="22"/>
              </w:rPr>
              <w:t>-</w:t>
            </w:r>
            <w:r w:rsidRPr="004E6C6F">
              <w:rPr>
                <w:position w:val="-1"/>
                <w:sz w:val="22"/>
                <w:szCs w:val="22"/>
              </w:rPr>
              <w:t>1</w:t>
            </w:r>
            <w:r w:rsidRPr="004E6C6F">
              <w:rPr>
                <w:spacing w:val="-3"/>
                <w:position w:val="-1"/>
                <w:sz w:val="22"/>
                <w:szCs w:val="22"/>
              </w:rPr>
              <w:t xml:space="preserve"> </w:t>
            </w:r>
            <w:r w:rsidRPr="004E6C6F">
              <w:rPr>
                <w:position w:val="-1"/>
                <w:sz w:val="22"/>
                <w:szCs w:val="22"/>
              </w:rPr>
              <w:t>RNA</w:t>
            </w:r>
          </w:p>
          <w:p w:rsidR="00B862A8" w:rsidRPr="004E6C6F" w:rsidRDefault="00B862A8" w:rsidP="00B862A8">
            <w:pPr>
              <w:ind w:left="102" w:right="-20"/>
              <w:rPr>
                <w:sz w:val="22"/>
                <w:szCs w:val="22"/>
              </w:rPr>
            </w:pPr>
            <w:r w:rsidRPr="004E6C6F">
              <w:rPr>
                <w:sz w:val="22"/>
                <w:szCs w:val="22"/>
              </w:rPr>
              <w:t xml:space="preserve">&lt; </w:t>
            </w:r>
            <w:r w:rsidRPr="004E6C6F">
              <w:rPr>
                <w:spacing w:val="1"/>
                <w:sz w:val="22"/>
                <w:szCs w:val="22"/>
              </w:rPr>
              <w:t>5</w:t>
            </w:r>
            <w:r w:rsidRPr="004E6C6F">
              <w:rPr>
                <w:sz w:val="22"/>
                <w:szCs w:val="22"/>
              </w:rPr>
              <w:t>0 kopier/ml</w:t>
            </w:r>
            <w:r w:rsidRPr="004E6C6F">
              <w:rPr>
                <w:position w:val="9"/>
                <w:sz w:val="22"/>
                <w:szCs w:val="22"/>
              </w:rPr>
              <w:t>a</w:t>
            </w:r>
          </w:p>
        </w:tc>
        <w:tc>
          <w:tcPr>
            <w:tcW w:w="135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0" w:right="-20"/>
              <w:rPr>
                <w:sz w:val="22"/>
                <w:szCs w:val="22"/>
              </w:rPr>
            </w:pPr>
            <w:r w:rsidRPr="004E6C6F">
              <w:rPr>
                <w:spacing w:val="1"/>
                <w:sz w:val="22"/>
                <w:szCs w:val="22"/>
              </w:rPr>
              <w:t xml:space="preserve">70,8 </w:t>
            </w:r>
            <w:r w:rsidRPr="004E6C6F">
              <w:rPr>
                <w:sz w:val="22"/>
                <w:szCs w:val="22"/>
              </w:rPr>
              <w:t>%</w:t>
            </w:r>
            <w:r w:rsidRPr="004E6C6F">
              <w:rPr>
                <w:spacing w:val="-4"/>
                <w:sz w:val="22"/>
                <w:szCs w:val="22"/>
              </w:rPr>
              <w:t xml:space="preserve"> </w:t>
            </w:r>
            <w:r w:rsidRPr="004E6C6F">
              <w:rPr>
                <w:spacing w:val="1"/>
                <w:sz w:val="22"/>
                <w:szCs w:val="22"/>
              </w:rPr>
              <w:t>(211)</w:t>
            </w:r>
          </w:p>
        </w:tc>
        <w:tc>
          <w:tcPr>
            <w:tcW w:w="1356"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 xml:space="preserve">60,3 </w:t>
            </w:r>
            <w:r w:rsidRPr="004E6C6F">
              <w:rPr>
                <w:sz w:val="22"/>
                <w:szCs w:val="22"/>
              </w:rPr>
              <w:t>%</w:t>
            </w:r>
            <w:r w:rsidRPr="004E6C6F">
              <w:rPr>
                <w:spacing w:val="-4"/>
                <w:sz w:val="22"/>
                <w:szCs w:val="22"/>
              </w:rPr>
              <w:t xml:space="preserve"> </w:t>
            </w:r>
            <w:r w:rsidRPr="004E6C6F">
              <w:rPr>
                <w:spacing w:val="1"/>
                <w:sz w:val="22"/>
                <w:szCs w:val="22"/>
              </w:rPr>
              <w:t>(179)</w:t>
            </w:r>
          </w:p>
        </w:tc>
        <w:tc>
          <w:tcPr>
            <w:tcW w:w="135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 xml:space="preserve">10,5 </w:t>
            </w:r>
            <w:r w:rsidRPr="004E6C6F">
              <w:rPr>
                <w:sz w:val="22"/>
                <w:szCs w:val="22"/>
              </w:rPr>
              <w:t>%</w:t>
            </w:r>
            <w:r w:rsidRPr="004E6C6F">
              <w:rPr>
                <w:spacing w:val="-5"/>
                <w:sz w:val="22"/>
                <w:szCs w:val="22"/>
              </w:rPr>
              <w:t xml:space="preserve"> </w:t>
            </w:r>
            <w:r w:rsidRPr="004E6C6F">
              <w:rPr>
                <w:sz w:val="22"/>
                <w:szCs w:val="22"/>
              </w:rPr>
              <w:t>(2,9;</w:t>
            </w:r>
            <w:r w:rsidRPr="004E6C6F">
              <w:rPr>
                <w:spacing w:val="-3"/>
                <w:sz w:val="22"/>
                <w:szCs w:val="22"/>
              </w:rPr>
              <w:t xml:space="preserve"> </w:t>
            </w:r>
            <w:r w:rsidRPr="004E6C6F">
              <w:rPr>
                <w:sz w:val="22"/>
                <w:szCs w:val="22"/>
              </w:rPr>
              <w:t>18,</w:t>
            </w:r>
            <w:proofErr w:type="gramStart"/>
            <w:r w:rsidRPr="004E6C6F">
              <w:rPr>
                <w:sz w:val="22"/>
                <w:szCs w:val="22"/>
              </w:rPr>
              <w:t>1</w:t>
            </w:r>
            <w:r w:rsidRPr="004E6C6F">
              <w:rPr>
                <w:spacing w:val="1"/>
                <w:sz w:val="22"/>
                <w:szCs w:val="22"/>
              </w:rPr>
              <w:t>)</w:t>
            </w:r>
            <w:r w:rsidRPr="004E6C6F">
              <w:rPr>
                <w:position w:val="9"/>
                <w:sz w:val="22"/>
                <w:szCs w:val="22"/>
              </w:rPr>
              <w:t>b</w:t>
            </w:r>
            <w:proofErr w:type="gramEnd"/>
          </w:p>
        </w:tc>
      </w:tr>
      <w:tr w:rsidR="00B862A8" w:rsidRPr="004E6C6F" w:rsidTr="00B862A8">
        <w:trPr>
          <w:trHeight w:val="20"/>
        </w:trPr>
        <w:tc>
          <w:tcPr>
            <w:tcW w:w="933"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63"/>
              <w:rPr>
                <w:sz w:val="22"/>
                <w:szCs w:val="22"/>
              </w:rPr>
            </w:pPr>
            <w:r w:rsidRPr="004E6C6F">
              <w:rPr>
                <w:sz w:val="22"/>
                <w:szCs w:val="22"/>
              </w:rPr>
              <w:t>Gennemsnitlig</w:t>
            </w:r>
            <w:r w:rsidRPr="004E6C6F">
              <w:rPr>
                <w:spacing w:val="-6"/>
                <w:sz w:val="22"/>
                <w:szCs w:val="22"/>
              </w:rPr>
              <w:t xml:space="preserve"> </w:t>
            </w:r>
            <w:r w:rsidRPr="004E6C6F">
              <w:rPr>
                <w:sz w:val="22"/>
                <w:szCs w:val="22"/>
              </w:rPr>
              <w:t>CD4+</w:t>
            </w:r>
            <w:r w:rsidRPr="004E6C6F">
              <w:rPr>
                <w:spacing w:val="-4"/>
                <w:sz w:val="22"/>
                <w:szCs w:val="22"/>
              </w:rPr>
              <w:t xml:space="preserve"> </w:t>
            </w:r>
            <w:r w:rsidRPr="004E6C6F">
              <w:rPr>
                <w:sz w:val="22"/>
                <w:szCs w:val="22"/>
              </w:rPr>
              <w:t>celletalsændring fra baseline (x</w:t>
            </w:r>
            <w:r w:rsidRPr="004E6C6F">
              <w:rPr>
                <w:spacing w:val="-3"/>
                <w:sz w:val="22"/>
                <w:szCs w:val="22"/>
              </w:rPr>
              <w:t xml:space="preserve"> </w:t>
            </w:r>
            <w:r w:rsidRPr="004E6C6F">
              <w:rPr>
                <w:spacing w:val="1"/>
                <w:sz w:val="22"/>
                <w:szCs w:val="22"/>
              </w:rPr>
              <w:t>10</w:t>
            </w:r>
            <w:r w:rsidRPr="004E6C6F">
              <w:rPr>
                <w:position w:val="9"/>
                <w:sz w:val="22"/>
                <w:szCs w:val="22"/>
              </w:rPr>
              <w:t>6</w:t>
            </w:r>
            <w:r w:rsidRPr="004E6C6F">
              <w:rPr>
                <w:sz w:val="22"/>
                <w:szCs w:val="22"/>
              </w:rPr>
              <w:t>/</w:t>
            </w:r>
            <w:proofErr w:type="gramStart"/>
            <w:r w:rsidRPr="004E6C6F">
              <w:rPr>
                <w:sz w:val="22"/>
                <w:szCs w:val="22"/>
              </w:rPr>
              <w:t>l</w:t>
            </w:r>
            <w:r w:rsidRPr="004E6C6F">
              <w:rPr>
                <w:spacing w:val="1"/>
                <w:sz w:val="22"/>
                <w:szCs w:val="22"/>
              </w:rPr>
              <w:t>)</w:t>
            </w:r>
            <w:r w:rsidRPr="004E6C6F">
              <w:rPr>
                <w:position w:val="9"/>
                <w:sz w:val="22"/>
                <w:szCs w:val="22"/>
              </w:rPr>
              <w:t>c</w:t>
            </w:r>
            <w:proofErr w:type="gramEnd"/>
          </w:p>
        </w:tc>
        <w:tc>
          <w:tcPr>
            <w:tcW w:w="135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0" w:right="-20"/>
              <w:rPr>
                <w:sz w:val="22"/>
                <w:szCs w:val="22"/>
              </w:rPr>
            </w:pPr>
            <w:r w:rsidRPr="004E6C6F">
              <w:rPr>
                <w:spacing w:val="1"/>
                <w:sz w:val="22"/>
                <w:szCs w:val="22"/>
              </w:rPr>
              <w:t>88</w:t>
            </w:r>
          </w:p>
        </w:tc>
        <w:tc>
          <w:tcPr>
            <w:tcW w:w="1356"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pacing w:val="1"/>
                <w:sz w:val="22"/>
                <w:szCs w:val="22"/>
              </w:rPr>
              <w:t>81</w:t>
            </w:r>
          </w:p>
        </w:tc>
        <w:tc>
          <w:tcPr>
            <w:tcW w:w="1355"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rPr>
                <w:sz w:val="22"/>
                <w:szCs w:val="22"/>
              </w:rPr>
            </w:pPr>
          </w:p>
        </w:tc>
      </w:tr>
    </w:tbl>
    <w:p w:rsidR="00B862A8" w:rsidRPr="00ED0DE7" w:rsidRDefault="00B862A8" w:rsidP="00B862A8">
      <w:pPr>
        <w:ind w:left="851" w:hanging="284"/>
        <w:rPr>
          <w:sz w:val="24"/>
          <w:szCs w:val="24"/>
          <w:lang w:val="en-US"/>
        </w:rPr>
      </w:pPr>
      <w:r w:rsidRPr="00ED0DE7">
        <w:rPr>
          <w:sz w:val="24"/>
          <w:szCs w:val="24"/>
          <w:vertAlign w:val="superscript"/>
          <w:lang w:val="en-US"/>
        </w:rPr>
        <w:t>a</w:t>
      </w:r>
      <w:r w:rsidRPr="00ED0DE7">
        <w:rPr>
          <w:sz w:val="24"/>
          <w:szCs w:val="24"/>
          <w:lang w:val="en-US"/>
        </w:rPr>
        <w:t xml:space="preserve"> </w:t>
      </w:r>
      <w:r w:rsidRPr="00ED0DE7">
        <w:rPr>
          <w:sz w:val="24"/>
          <w:szCs w:val="24"/>
          <w:lang w:val="en-US"/>
        </w:rPr>
        <w:tab/>
        <w:t>I henhold til TLOVR-algoritmen (time to loss of viral response).</w:t>
      </w:r>
    </w:p>
    <w:p w:rsidR="00B862A8" w:rsidRPr="00ED0DE7" w:rsidRDefault="00B862A8" w:rsidP="00B862A8">
      <w:pPr>
        <w:ind w:left="851" w:hanging="284"/>
        <w:rPr>
          <w:sz w:val="24"/>
          <w:szCs w:val="24"/>
        </w:rPr>
      </w:pPr>
      <w:r w:rsidRPr="00ED0DE7">
        <w:rPr>
          <w:sz w:val="24"/>
          <w:szCs w:val="24"/>
          <w:vertAlign w:val="superscript"/>
        </w:rPr>
        <w:t xml:space="preserve">b </w:t>
      </w:r>
      <w:r w:rsidRPr="00ED0DE7">
        <w:rPr>
          <w:sz w:val="24"/>
          <w:szCs w:val="24"/>
          <w:vertAlign w:val="superscript"/>
        </w:rPr>
        <w:tab/>
      </w:r>
      <w:r w:rsidRPr="00ED0DE7">
        <w:rPr>
          <w:sz w:val="24"/>
          <w:szCs w:val="24"/>
        </w:rPr>
        <w:t>Baseret på en normal approksimation af forskellen i % respons.</w:t>
      </w:r>
    </w:p>
    <w:p w:rsidR="00B862A8" w:rsidRPr="00ED0DE7" w:rsidRDefault="00B862A8" w:rsidP="00B862A8">
      <w:pPr>
        <w:ind w:left="851" w:hanging="284"/>
        <w:rPr>
          <w:sz w:val="24"/>
          <w:szCs w:val="24"/>
        </w:rPr>
      </w:pPr>
      <w:r w:rsidRPr="00ED0DE7">
        <w:rPr>
          <w:sz w:val="24"/>
          <w:szCs w:val="24"/>
          <w:vertAlign w:val="superscript"/>
        </w:rPr>
        <w:t xml:space="preserve">c </w:t>
      </w:r>
      <w:r w:rsidRPr="00ED0DE7">
        <w:rPr>
          <w:sz w:val="24"/>
          <w:szCs w:val="24"/>
          <w:vertAlign w:val="superscript"/>
        </w:rPr>
        <w:tab/>
      </w:r>
      <w:r w:rsidRPr="00ED0DE7">
        <w:rPr>
          <w:sz w:val="24"/>
          <w:szCs w:val="24"/>
        </w:rPr>
        <w:t>NC=F.</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lastRenderedPageBreak/>
        <w:t xml:space="preserve">Ved 48 uger blev non-inferioritet i virologisk respons over for darunavir/ritonavir-behandlingen, defineret som procentdelen af patienter med plasma </w:t>
      </w:r>
      <w:r>
        <w:rPr>
          <w:sz w:val="24"/>
          <w:szCs w:val="24"/>
        </w:rPr>
        <w:t>HIV</w:t>
      </w:r>
      <w:r w:rsidRPr="00ED0DE7">
        <w:rPr>
          <w:sz w:val="24"/>
          <w:szCs w:val="24"/>
        </w:rPr>
        <w:t>-1-RNA-niveau &lt; 400 og &lt; 50 kopier/ml, påvist (ved den foruddefinerede 12 %-grænse for non-inferioritet) hos begge populationer (</w:t>
      </w:r>
      <w:r>
        <w:rPr>
          <w:sz w:val="24"/>
          <w:szCs w:val="24"/>
        </w:rPr>
        <w:t>"</w:t>
      </w:r>
      <w:r w:rsidRPr="00ED0DE7">
        <w:rPr>
          <w:sz w:val="24"/>
          <w:szCs w:val="24"/>
        </w:rPr>
        <w:t>Intent-To-Treat</w:t>
      </w:r>
      <w:r>
        <w:rPr>
          <w:sz w:val="24"/>
          <w:szCs w:val="24"/>
        </w:rPr>
        <w:t>"</w:t>
      </w:r>
      <w:r w:rsidRPr="00ED0DE7">
        <w:rPr>
          <w:sz w:val="24"/>
          <w:szCs w:val="24"/>
        </w:rPr>
        <w:t xml:space="preserve"> og </w:t>
      </w:r>
      <w:r>
        <w:rPr>
          <w:sz w:val="24"/>
          <w:szCs w:val="24"/>
        </w:rPr>
        <w:t>"</w:t>
      </w:r>
      <w:r w:rsidRPr="00ED0DE7">
        <w:rPr>
          <w:sz w:val="24"/>
          <w:szCs w:val="24"/>
        </w:rPr>
        <w:t>On Protocol</w:t>
      </w:r>
      <w:r>
        <w:rPr>
          <w:sz w:val="24"/>
          <w:szCs w:val="24"/>
        </w:rPr>
        <w:t>"</w:t>
      </w:r>
      <w:r w:rsidRPr="00ED0DE7">
        <w:rPr>
          <w:sz w:val="24"/>
          <w:szCs w:val="24"/>
        </w:rPr>
        <w:t xml:space="preserve">). Disse resultater blev bekræftet ved analysen af data efter 96 ugers behandling i </w:t>
      </w:r>
      <w:r w:rsidRPr="00ED0DE7">
        <w:rPr>
          <w:i/>
          <w:iCs/>
          <w:sz w:val="24"/>
          <w:szCs w:val="24"/>
        </w:rPr>
        <w:t>TITAN</w:t>
      </w:r>
      <w:r w:rsidRPr="00ED0DE7">
        <w:rPr>
          <w:sz w:val="24"/>
          <w:szCs w:val="24"/>
        </w:rPr>
        <w:t xml:space="preserve">-studiet, idet 60,4 % af patienterne i darunavir/ritonavir-armen havde </w:t>
      </w:r>
      <w:r>
        <w:rPr>
          <w:sz w:val="24"/>
          <w:szCs w:val="24"/>
        </w:rPr>
        <w:t>HIV</w:t>
      </w:r>
      <w:r w:rsidRPr="00ED0DE7">
        <w:rPr>
          <w:sz w:val="24"/>
          <w:szCs w:val="24"/>
        </w:rPr>
        <w:t>-1-RNA &lt; 50 kopier/ml sammenlignet med 55,2 % i lopinavir/ritonavir-armen ved uge 96 [forskel: 5,2 %, 95 %CI (-2,8; 13,1)]</w:t>
      </w:r>
    </w:p>
    <w:p w:rsidR="00B862A8" w:rsidRPr="00ED0DE7" w:rsidRDefault="00B862A8" w:rsidP="00B862A8">
      <w:pPr>
        <w:tabs>
          <w:tab w:val="left" w:pos="851"/>
        </w:tabs>
        <w:ind w:left="851"/>
        <w:rPr>
          <w:sz w:val="24"/>
          <w:szCs w:val="24"/>
        </w:rPr>
      </w:pPr>
    </w:p>
    <w:p w:rsidR="00B862A8" w:rsidRDefault="00B862A8" w:rsidP="00B862A8">
      <w:pPr>
        <w:tabs>
          <w:tab w:val="left" w:pos="851"/>
        </w:tabs>
        <w:ind w:left="851"/>
        <w:rPr>
          <w:sz w:val="24"/>
          <w:szCs w:val="24"/>
        </w:rPr>
      </w:pPr>
      <w:r w:rsidRPr="00ED0DE7">
        <w:rPr>
          <w:b/>
          <w:bCs/>
          <w:i/>
          <w:iCs/>
          <w:sz w:val="24"/>
          <w:szCs w:val="24"/>
        </w:rPr>
        <w:t xml:space="preserve">ODIN </w:t>
      </w:r>
      <w:r w:rsidRPr="00ED0DE7">
        <w:rPr>
          <w:sz w:val="24"/>
          <w:szCs w:val="24"/>
        </w:rPr>
        <w:t xml:space="preserve">er et randomiseret, åbent fase III-studie, der sammenligner darunavir/ritonavir 800/100 mg en gang daglig med darunavir/ritonavir 600/100 mg to gange daglig hos ART-erfarne </w:t>
      </w:r>
      <w:r>
        <w:rPr>
          <w:sz w:val="24"/>
          <w:szCs w:val="24"/>
        </w:rPr>
        <w:t>HIV</w:t>
      </w:r>
      <w:r w:rsidRPr="00ED0DE7">
        <w:rPr>
          <w:sz w:val="24"/>
          <w:szCs w:val="24"/>
        </w:rPr>
        <w:t xml:space="preserve">-1-inficerede patienter, hos hvem screening for genotype-resistens har vist, at der ikke fandtes darunavir RAMs (dvs. V11I, V32I, L33F, I47V, I50V, I54M, I54L, T74P, L76V, I84V, L89V), og screening for </w:t>
      </w:r>
      <w:r>
        <w:rPr>
          <w:sz w:val="24"/>
          <w:szCs w:val="24"/>
        </w:rPr>
        <w:t>HIV</w:t>
      </w:r>
      <w:r w:rsidRPr="00ED0DE7">
        <w:rPr>
          <w:sz w:val="24"/>
          <w:szCs w:val="24"/>
        </w:rPr>
        <w:t>-1-RNA viste &gt; 1.000 kopier/ml. Effektanalysen er baseret på 48 ugers behandling (se tabellen nedenfor). I begge arme anvendes et optimeret baggrundsregime (OBR) med ≥ 2 NRTI’er.</w:t>
      </w:r>
    </w:p>
    <w:p w:rsidR="00B862A8" w:rsidRPr="00ED0DE7" w:rsidRDefault="00B862A8" w:rsidP="00B862A8">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2405"/>
        <w:gridCol w:w="2409"/>
        <w:gridCol w:w="2405"/>
        <w:gridCol w:w="2409"/>
      </w:tblGrid>
      <w:tr w:rsidR="00B862A8" w:rsidRPr="004E6C6F" w:rsidTr="00B862A8">
        <w:trPr>
          <w:trHeight w:val="20"/>
        </w:trPr>
        <w:tc>
          <w:tcPr>
            <w:tcW w:w="5000" w:type="pct"/>
            <w:gridSpan w:val="4"/>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4354" w:right="4334"/>
              <w:jc w:val="center"/>
              <w:rPr>
                <w:bCs/>
                <w:sz w:val="22"/>
                <w:szCs w:val="22"/>
              </w:rPr>
            </w:pPr>
            <w:r w:rsidRPr="004623FF">
              <w:rPr>
                <w:bCs/>
                <w:sz w:val="22"/>
                <w:szCs w:val="22"/>
              </w:rPr>
              <w:t>ODIN</w:t>
            </w:r>
          </w:p>
        </w:tc>
      </w:tr>
      <w:tr w:rsidR="00B862A8" w:rsidRPr="004E6C6F" w:rsidTr="00B862A8">
        <w:trPr>
          <w:trHeight w:val="20"/>
        </w:trPr>
        <w:tc>
          <w:tcPr>
            <w:tcW w:w="1249"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i/>
                <w:sz w:val="22"/>
                <w:szCs w:val="22"/>
              </w:rPr>
              <w:t>Resultater</w:t>
            </w:r>
          </w:p>
        </w:tc>
        <w:tc>
          <w:tcPr>
            <w:tcW w:w="125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z w:val="22"/>
                <w:szCs w:val="22"/>
              </w:rPr>
              <w:t>Darunavir/ritonavir</w:t>
            </w:r>
          </w:p>
          <w:p w:rsidR="00B862A8" w:rsidRPr="004E6C6F" w:rsidRDefault="00B862A8" w:rsidP="00B862A8">
            <w:pPr>
              <w:ind w:left="102" w:right="156"/>
              <w:rPr>
                <w:sz w:val="22"/>
                <w:szCs w:val="22"/>
              </w:rPr>
            </w:pPr>
            <w:r w:rsidRPr="004E6C6F">
              <w:rPr>
                <w:spacing w:val="1"/>
                <w:sz w:val="22"/>
                <w:szCs w:val="22"/>
              </w:rPr>
              <w:t>800/10</w:t>
            </w:r>
            <w:r w:rsidRPr="004E6C6F">
              <w:rPr>
                <w:sz w:val="22"/>
                <w:szCs w:val="22"/>
              </w:rPr>
              <w:t>0</w:t>
            </w:r>
            <w:r w:rsidRPr="004E6C6F">
              <w:rPr>
                <w:spacing w:val="-5"/>
                <w:sz w:val="22"/>
                <w:szCs w:val="22"/>
              </w:rPr>
              <w:t xml:space="preserve"> </w:t>
            </w:r>
            <w:r w:rsidRPr="004E6C6F">
              <w:rPr>
                <w:sz w:val="22"/>
                <w:szCs w:val="22"/>
              </w:rPr>
              <w:t>mg</w:t>
            </w:r>
            <w:r w:rsidRPr="004E6C6F">
              <w:rPr>
                <w:spacing w:val="-3"/>
                <w:sz w:val="22"/>
                <w:szCs w:val="22"/>
              </w:rPr>
              <w:t xml:space="preserve"> </w:t>
            </w:r>
            <w:r w:rsidRPr="004E6C6F">
              <w:rPr>
                <w:sz w:val="22"/>
                <w:szCs w:val="22"/>
              </w:rPr>
              <w:t>en gang daglig</w:t>
            </w:r>
            <w:r w:rsidRPr="004E6C6F">
              <w:rPr>
                <w:spacing w:val="-4"/>
                <w:sz w:val="22"/>
                <w:szCs w:val="22"/>
              </w:rPr>
              <w:t xml:space="preserve"> </w:t>
            </w:r>
            <w:r w:rsidRPr="004E6C6F">
              <w:rPr>
                <w:sz w:val="22"/>
                <w:szCs w:val="22"/>
              </w:rPr>
              <w:t xml:space="preserve">+ </w:t>
            </w:r>
            <w:r w:rsidRPr="004E6C6F">
              <w:rPr>
                <w:spacing w:val="1"/>
                <w:sz w:val="22"/>
                <w:szCs w:val="22"/>
              </w:rPr>
              <w:t>OBR</w:t>
            </w:r>
          </w:p>
          <w:p w:rsidR="00B862A8" w:rsidRPr="004E6C6F" w:rsidRDefault="00B862A8" w:rsidP="00B862A8">
            <w:pPr>
              <w:ind w:left="102" w:right="-20"/>
              <w:rPr>
                <w:sz w:val="22"/>
                <w:szCs w:val="22"/>
              </w:rPr>
            </w:pPr>
            <w:r w:rsidRPr="004E6C6F">
              <w:rPr>
                <w:spacing w:val="1"/>
                <w:sz w:val="22"/>
                <w:szCs w:val="22"/>
              </w:rPr>
              <w:t>N=294</w:t>
            </w:r>
          </w:p>
        </w:tc>
        <w:tc>
          <w:tcPr>
            <w:tcW w:w="1249"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0" w:right="-20"/>
              <w:rPr>
                <w:sz w:val="22"/>
                <w:szCs w:val="22"/>
              </w:rPr>
            </w:pPr>
            <w:r w:rsidRPr="004E6C6F">
              <w:rPr>
                <w:spacing w:val="2"/>
                <w:sz w:val="22"/>
                <w:szCs w:val="22"/>
              </w:rPr>
              <w:t>Darunavir</w:t>
            </w:r>
            <w:r w:rsidRPr="004E6C6F">
              <w:rPr>
                <w:sz w:val="22"/>
                <w:szCs w:val="22"/>
              </w:rPr>
              <w:t>/ritonavir</w:t>
            </w:r>
          </w:p>
          <w:p w:rsidR="00B862A8" w:rsidRPr="004E6C6F" w:rsidRDefault="00B862A8" w:rsidP="00B862A8">
            <w:pPr>
              <w:ind w:left="100" w:right="100"/>
              <w:rPr>
                <w:sz w:val="22"/>
                <w:szCs w:val="22"/>
              </w:rPr>
            </w:pPr>
            <w:r w:rsidRPr="004E6C6F">
              <w:rPr>
                <w:spacing w:val="1"/>
                <w:sz w:val="22"/>
                <w:szCs w:val="22"/>
              </w:rPr>
              <w:t>600/10</w:t>
            </w:r>
            <w:r w:rsidRPr="004E6C6F">
              <w:rPr>
                <w:sz w:val="22"/>
                <w:szCs w:val="22"/>
              </w:rPr>
              <w:t>0</w:t>
            </w:r>
            <w:r w:rsidRPr="004E6C6F">
              <w:rPr>
                <w:spacing w:val="-5"/>
                <w:sz w:val="22"/>
                <w:szCs w:val="22"/>
              </w:rPr>
              <w:t xml:space="preserve"> </w:t>
            </w:r>
            <w:r w:rsidRPr="004E6C6F">
              <w:rPr>
                <w:sz w:val="22"/>
                <w:szCs w:val="22"/>
              </w:rPr>
              <w:t>mg</w:t>
            </w:r>
            <w:r w:rsidRPr="004E6C6F">
              <w:rPr>
                <w:spacing w:val="-3"/>
                <w:sz w:val="22"/>
                <w:szCs w:val="22"/>
              </w:rPr>
              <w:t xml:space="preserve"> </w:t>
            </w:r>
            <w:r w:rsidRPr="004E6C6F">
              <w:rPr>
                <w:sz w:val="22"/>
                <w:szCs w:val="22"/>
              </w:rPr>
              <w:t>to gange daglig</w:t>
            </w:r>
            <w:r w:rsidRPr="004E6C6F">
              <w:rPr>
                <w:spacing w:val="-4"/>
                <w:sz w:val="22"/>
                <w:szCs w:val="22"/>
              </w:rPr>
              <w:t xml:space="preserve"> </w:t>
            </w:r>
            <w:r w:rsidRPr="004E6C6F">
              <w:rPr>
                <w:sz w:val="22"/>
                <w:szCs w:val="22"/>
              </w:rPr>
              <w:t xml:space="preserve">+ </w:t>
            </w:r>
            <w:r w:rsidRPr="004E6C6F">
              <w:rPr>
                <w:spacing w:val="1"/>
                <w:sz w:val="22"/>
                <w:szCs w:val="22"/>
              </w:rPr>
              <w:t>OBR</w:t>
            </w:r>
          </w:p>
          <w:p w:rsidR="00B862A8" w:rsidRPr="004E6C6F" w:rsidRDefault="00B862A8" w:rsidP="00B862A8">
            <w:pPr>
              <w:ind w:left="100" w:right="-20"/>
              <w:rPr>
                <w:sz w:val="22"/>
                <w:szCs w:val="22"/>
              </w:rPr>
            </w:pPr>
            <w:r w:rsidRPr="004E6C6F">
              <w:rPr>
                <w:spacing w:val="1"/>
                <w:sz w:val="22"/>
                <w:szCs w:val="22"/>
              </w:rPr>
              <w:t>N=296</w:t>
            </w:r>
          </w:p>
        </w:tc>
        <w:tc>
          <w:tcPr>
            <w:tcW w:w="125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rPr>
                <w:sz w:val="22"/>
                <w:szCs w:val="22"/>
              </w:rPr>
            </w:pPr>
            <w:r w:rsidRPr="004E6C6F">
              <w:rPr>
                <w:sz w:val="22"/>
                <w:szCs w:val="22"/>
              </w:rPr>
              <w:t>Behandlingsforskel</w:t>
            </w:r>
          </w:p>
          <w:p w:rsidR="00B862A8" w:rsidRPr="004E6C6F" w:rsidRDefault="00B862A8" w:rsidP="00B862A8">
            <w:pPr>
              <w:ind w:left="102" w:right="-20"/>
              <w:rPr>
                <w:sz w:val="22"/>
                <w:szCs w:val="22"/>
              </w:rPr>
            </w:pPr>
            <w:r w:rsidRPr="004E6C6F">
              <w:rPr>
                <w:sz w:val="22"/>
                <w:szCs w:val="22"/>
              </w:rPr>
              <w:t>(95 %</w:t>
            </w:r>
            <w:r w:rsidRPr="004E6C6F">
              <w:rPr>
                <w:spacing w:val="-4"/>
                <w:sz w:val="22"/>
                <w:szCs w:val="22"/>
              </w:rPr>
              <w:t xml:space="preserve"> </w:t>
            </w:r>
            <w:r w:rsidRPr="004E6C6F">
              <w:rPr>
                <w:sz w:val="22"/>
                <w:szCs w:val="22"/>
              </w:rPr>
              <w:t>CI</w:t>
            </w:r>
            <w:r w:rsidRPr="004E6C6F">
              <w:rPr>
                <w:spacing w:val="-2"/>
                <w:sz w:val="22"/>
                <w:szCs w:val="22"/>
              </w:rPr>
              <w:t xml:space="preserve"> i</w:t>
            </w:r>
            <w:r w:rsidRPr="004E6C6F">
              <w:rPr>
                <w:sz w:val="22"/>
                <w:szCs w:val="22"/>
              </w:rPr>
              <w:t xml:space="preserve"> forskel)</w:t>
            </w:r>
          </w:p>
        </w:tc>
      </w:tr>
      <w:tr w:rsidR="00B862A8" w:rsidRPr="004E6C6F" w:rsidTr="00B862A8">
        <w:trPr>
          <w:trHeight w:val="20"/>
        </w:trPr>
        <w:tc>
          <w:tcPr>
            <w:tcW w:w="1249" w:type="pct"/>
            <w:tcBorders>
              <w:top w:val="single" w:sz="4" w:space="0" w:color="000000"/>
              <w:left w:val="single" w:sz="4" w:space="0" w:color="000000"/>
              <w:bottom w:val="single" w:sz="4" w:space="0" w:color="000000"/>
              <w:right w:val="single" w:sz="4" w:space="0" w:color="000000"/>
            </w:tcBorders>
          </w:tcPr>
          <w:p w:rsidR="00B862A8" w:rsidRPr="004C1A1B" w:rsidRDefault="00B862A8" w:rsidP="00B862A8">
            <w:pPr>
              <w:ind w:left="67" w:right="1161"/>
              <w:jc w:val="center"/>
              <w:rPr>
                <w:sz w:val="22"/>
                <w:szCs w:val="22"/>
                <w:lang w:val="sv-SE"/>
              </w:rPr>
            </w:pPr>
            <w:r w:rsidRPr="004C1A1B">
              <w:rPr>
                <w:spacing w:val="1"/>
                <w:position w:val="-1"/>
                <w:sz w:val="22"/>
                <w:szCs w:val="22"/>
                <w:lang w:val="sv-SE"/>
              </w:rPr>
              <w:t>HIV</w:t>
            </w:r>
            <w:r w:rsidRPr="004C1A1B">
              <w:rPr>
                <w:spacing w:val="-2"/>
                <w:position w:val="-1"/>
                <w:sz w:val="22"/>
                <w:szCs w:val="22"/>
                <w:lang w:val="sv-SE"/>
              </w:rPr>
              <w:t>-</w:t>
            </w:r>
            <w:r w:rsidRPr="004C1A1B">
              <w:rPr>
                <w:position w:val="-1"/>
                <w:sz w:val="22"/>
                <w:szCs w:val="22"/>
                <w:lang w:val="sv-SE"/>
              </w:rPr>
              <w:t>1</w:t>
            </w:r>
            <w:r w:rsidRPr="004C1A1B">
              <w:rPr>
                <w:spacing w:val="-3"/>
                <w:position w:val="-1"/>
                <w:sz w:val="22"/>
                <w:szCs w:val="22"/>
                <w:lang w:val="sv-SE"/>
              </w:rPr>
              <w:t xml:space="preserve"> </w:t>
            </w:r>
            <w:r w:rsidRPr="004C1A1B">
              <w:rPr>
                <w:w w:val="99"/>
                <w:position w:val="-1"/>
                <w:sz w:val="22"/>
                <w:szCs w:val="22"/>
                <w:lang w:val="sv-SE"/>
              </w:rPr>
              <w:t>RNA</w:t>
            </w:r>
          </w:p>
          <w:p w:rsidR="00B862A8" w:rsidRPr="004C1A1B" w:rsidRDefault="00B862A8" w:rsidP="00B862A8">
            <w:pPr>
              <w:ind w:left="102" w:right="-20"/>
              <w:rPr>
                <w:sz w:val="22"/>
                <w:szCs w:val="22"/>
                <w:lang w:val="sv-SE"/>
              </w:rPr>
            </w:pPr>
            <w:proofErr w:type="gramStart"/>
            <w:r w:rsidRPr="004C1A1B">
              <w:rPr>
                <w:sz w:val="22"/>
                <w:szCs w:val="22"/>
                <w:lang w:val="sv-SE"/>
              </w:rPr>
              <w:t xml:space="preserve">&lt; </w:t>
            </w:r>
            <w:r w:rsidRPr="004C1A1B">
              <w:rPr>
                <w:spacing w:val="1"/>
                <w:sz w:val="22"/>
                <w:szCs w:val="22"/>
                <w:lang w:val="sv-SE"/>
              </w:rPr>
              <w:t>5</w:t>
            </w:r>
            <w:r w:rsidRPr="004C1A1B">
              <w:rPr>
                <w:sz w:val="22"/>
                <w:szCs w:val="22"/>
                <w:lang w:val="sv-SE"/>
              </w:rPr>
              <w:t>0</w:t>
            </w:r>
            <w:proofErr w:type="gramEnd"/>
            <w:r w:rsidRPr="004C1A1B">
              <w:rPr>
                <w:sz w:val="22"/>
                <w:szCs w:val="22"/>
                <w:lang w:val="sv-SE"/>
              </w:rPr>
              <w:t xml:space="preserve"> kopier/ml</w:t>
            </w:r>
            <w:r w:rsidRPr="004C1A1B">
              <w:rPr>
                <w:sz w:val="22"/>
                <w:szCs w:val="22"/>
                <w:vertAlign w:val="superscript"/>
                <w:lang w:val="sv-SE"/>
              </w:rPr>
              <w:t>a</w:t>
            </w:r>
          </w:p>
          <w:p w:rsidR="00B862A8" w:rsidRPr="004C1A1B" w:rsidRDefault="00B862A8" w:rsidP="00B862A8">
            <w:pPr>
              <w:ind w:left="385" w:right="-20"/>
              <w:rPr>
                <w:sz w:val="22"/>
                <w:szCs w:val="22"/>
                <w:lang w:val="sv-SE"/>
              </w:rPr>
            </w:pPr>
            <w:r w:rsidRPr="004C1A1B">
              <w:rPr>
                <w:sz w:val="22"/>
                <w:szCs w:val="22"/>
                <w:lang w:val="sv-SE"/>
              </w:rPr>
              <w:t>med</w:t>
            </w:r>
            <w:r w:rsidRPr="004C1A1B">
              <w:rPr>
                <w:spacing w:val="-4"/>
                <w:sz w:val="22"/>
                <w:szCs w:val="22"/>
                <w:lang w:val="sv-SE"/>
              </w:rPr>
              <w:t xml:space="preserve"> </w:t>
            </w:r>
            <w:r w:rsidRPr="004C1A1B">
              <w:rPr>
                <w:sz w:val="22"/>
                <w:szCs w:val="22"/>
                <w:lang w:val="sv-SE"/>
              </w:rPr>
              <w:t>baseline</w:t>
            </w:r>
            <w:r w:rsidRPr="004C1A1B">
              <w:rPr>
                <w:spacing w:val="-7"/>
                <w:sz w:val="22"/>
                <w:szCs w:val="22"/>
                <w:lang w:val="sv-SE"/>
              </w:rPr>
              <w:t xml:space="preserve"> </w:t>
            </w:r>
            <w:r w:rsidRPr="004C1A1B">
              <w:rPr>
                <w:sz w:val="22"/>
                <w:szCs w:val="22"/>
                <w:lang w:val="sv-SE"/>
              </w:rPr>
              <w:t>HIV</w:t>
            </w:r>
            <w:r w:rsidRPr="004C1A1B">
              <w:rPr>
                <w:spacing w:val="-2"/>
                <w:sz w:val="22"/>
                <w:szCs w:val="22"/>
                <w:lang w:val="sv-SE"/>
              </w:rPr>
              <w:t>-</w:t>
            </w:r>
            <w:r w:rsidRPr="004C1A1B">
              <w:rPr>
                <w:sz w:val="22"/>
                <w:szCs w:val="22"/>
                <w:lang w:val="sv-SE"/>
              </w:rPr>
              <w:t>1</w:t>
            </w:r>
          </w:p>
          <w:p w:rsidR="00B862A8" w:rsidRPr="004C1A1B" w:rsidRDefault="00B862A8" w:rsidP="00B862A8">
            <w:pPr>
              <w:ind w:left="385" w:right="-20"/>
              <w:rPr>
                <w:sz w:val="22"/>
                <w:szCs w:val="22"/>
                <w:lang w:val="sv-SE"/>
              </w:rPr>
            </w:pPr>
            <w:r w:rsidRPr="004C1A1B">
              <w:rPr>
                <w:sz w:val="22"/>
                <w:szCs w:val="22"/>
                <w:lang w:val="sv-SE"/>
              </w:rPr>
              <w:t>RNA</w:t>
            </w:r>
            <w:r w:rsidRPr="004C1A1B">
              <w:rPr>
                <w:spacing w:val="-4"/>
                <w:sz w:val="22"/>
                <w:szCs w:val="22"/>
                <w:lang w:val="sv-SE"/>
              </w:rPr>
              <w:t xml:space="preserve"> </w:t>
            </w:r>
            <w:r w:rsidRPr="004C1A1B">
              <w:rPr>
                <w:sz w:val="22"/>
                <w:szCs w:val="22"/>
                <w:lang w:val="sv-SE"/>
              </w:rPr>
              <w:t>(kopier/ml)</w:t>
            </w:r>
          </w:p>
          <w:p w:rsidR="00B862A8" w:rsidRPr="00815FE0" w:rsidRDefault="00B862A8" w:rsidP="00B862A8">
            <w:pPr>
              <w:ind w:left="436" w:right="-20"/>
              <w:rPr>
                <w:sz w:val="22"/>
                <w:szCs w:val="22"/>
              </w:rPr>
            </w:pPr>
            <w:r w:rsidRPr="00815FE0">
              <w:rPr>
                <w:sz w:val="22"/>
                <w:szCs w:val="22"/>
              </w:rPr>
              <w:t xml:space="preserve">&lt; </w:t>
            </w:r>
            <w:r w:rsidRPr="00815FE0">
              <w:rPr>
                <w:spacing w:val="1"/>
                <w:sz w:val="22"/>
                <w:szCs w:val="22"/>
              </w:rPr>
              <w:t>100.000</w:t>
            </w:r>
          </w:p>
          <w:p w:rsidR="00B862A8" w:rsidRPr="00815FE0" w:rsidRDefault="00B862A8" w:rsidP="00B862A8">
            <w:pPr>
              <w:ind w:left="385" w:right="-20"/>
              <w:rPr>
                <w:sz w:val="22"/>
                <w:szCs w:val="22"/>
              </w:rPr>
            </w:pPr>
            <w:r w:rsidRPr="00815FE0">
              <w:rPr>
                <w:sz w:val="22"/>
                <w:szCs w:val="22"/>
              </w:rPr>
              <w:t>≥ 100.000</w:t>
            </w:r>
          </w:p>
          <w:p w:rsidR="00B862A8" w:rsidRPr="00815FE0" w:rsidRDefault="00B862A8" w:rsidP="00B862A8">
            <w:pPr>
              <w:ind w:left="385" w:right="-20"/>
              <w:rPr>
                <w:sz w:val="22"/>
                <w:szCs w:val="22"/>
              </w:rPr>
            </w:pPr>
            <w:r w:rsidRPr="00815FE0">
              <w:rPr>
                <w:position w:val="-1"/>
                <w:sz w:val="22"/>
                <w:szCs w:val="22"/>
              </w:rPr>
              <w:t>med</w:t>
            </w:r>
            <w:r w:rsidRPr="00815FE0">
              <w:rPr>
                <w:spacing w:val="-4"/>
                <w:position w:val="-1"/>
                <w:sz w:val="22"/>
                <w:szCs w:val="22"/>
              </w:rPr>
              <w:t xml:space="preserve"> </w:t>
            </w:r>
            <w:r w:rsidRPr="00815FE0">
              <w:rPr>
                <w:position w:val="-1"/>
                <w:sz w:val="22"/>
                <w:szCs w:val="22"/>
              </w:rPr>
              <w:t>baseline</w:t>
            </w:r>
            <w:r w:rsidRPr="00815FE0">
              <w:rPr>
                <w:spacing w:val="-7"/>
                <w:position w:val="-1"/>
                <w:sz w:val="22"/>
                <w:szCs w:val="22"/>
              </w:rPr>
              <w:t xml:space="preserve"> </w:t>
            </w:r>
            <w:r w:rsidRPr="00815FE0">
              <w:rPr>
                <w:position w:val="-1"/>
                <w:sz w:val="22"/>
                <w:szCs w:val="22"/>
              </w:rPr>
              <w:t>CD4+</w:t>
            </w:r>
          </w:p>
          <w:p w:rsidR="00B862A8" w:rsidRPr="00DF7735" w:rsidRDefault="00B862A8" w:rsidP="00B862A8">
            <w:pPr>
              <w:ind w:left="385" w:right="-20"/>
              <w:rPr>
                <w:sz w:val="22"/>
                <w:szCs w:val="22"/>
                <w:lang w:val="en-US"/>
              </w:rPr>
            </w:pPr>
            <w:r w:rsidRPr="00DF7735">
              <w:rPr>
                <w:sz w:val="22"/>
                <w:szCs w:val="22"/>
                <w:lang w:val="en-US"/>
              </w:rPr>
              <w:t>cell</w:t>
            </w:r>
            <w:r w:rsidRPr="00DF7735">
              <w:rPr>
                <w:spacing w:val="-3"/>
                <w:sz w:val="22"/>
                <w:szCs w:val="22"/>
                <w:lang w:val="en-US"/>
              </w:rPr>
              <w:t>eantal</w:t>
            </w:r>
            <w:r w:rsidRPr="00DF7735">
              <w:rPr>
                <w:spacing w:val="-4"/>
                <w:sz w:val="22"/>
                <w:szCs w:val="22"/>
                <w:lang w:val="en-US"/>
              </w:rPr>
              <w:t xml:space="preserve"> </w:t>
            </w:r>
            <w:r w:rsidRPr="00DF7735">
              <w:rPr>
                <w:sz w:val="22"/>
                <w:szCs w:val="22"/>
                <w:lang w:val="en-US"/>
              </w:rPr>
              <w:t>(x</w:t>
            </w:r>
            <w:r w:rsidRPr="00DF7735">
              <w:rPr>
                <w:spacing w:val="-2"/>
                <w:sz w:val="22"/>
                <w:szCs w:val="22"/>
                <w:lang w:val="en-US"/>
              </w:rPr>
              <w:t xml:space="preserve"> </w:t>
            </w:r>
            <w:r w:rsidRPr="00DF7735">
              <w:rPr>
                <w:sz w:val="22"/>
                <w:szCs w:val="22"/>
                <w:lang w:val="en-US"/>
              </w:rPr>
              <w:t>1</w:t>
            </w:r>
            <w:r w:rsidRPr="00DF7735">
              <w:rPr>
                <w:spacing w:val="1"/>
                <w:sz w:val="22"/>
                <w:szCs w:val="22"/>
                <w:lang w:val="en-US"/>
              </w:rPr>
              <w:t>0</w:t>
            </w:r>
            <w:r w:rsidRPr="00DF7735">
              <w:rPr>
                <w:spacing w:val="1"/>
                <w:sz w:val="22"/>
                <w:szCs w:val="22"/>
                <w:vertAlign w:val="superscript"/>
                <w:lang w:val="en-US"/>
              </w:rPr>
              <w:t>6</w:t>
            </w:r>
            <w:r w:rsidRPr="00DF7735">
              <w:rPr>
                <w:sz w:val="22"/>
                <w:szCs w:val="22"/>
                <w:lang w:val="en-US"/>
              </w:rPr>
              <w:t>/l)</w:t>
            </w:r>
          </w:p>
          <w:p w:rsidR="00B862A8" w:rsidRPr="004623FF" w:rsidRDefault="00B862A8" w:rsidP="00B862A8">
            <w:pPr>
              <w:ind w:left="385" w:right="-20"/>
              <w:rPr>
                <w:sz w:val="22"/>
                <w:szCs w:val="22"/>
                <w:lang w:val="en-US"/>
              </w:rPr>
            </w:pPr>
            <w:r w:rsidRPr="004623FF">
              <w:rPr>
                <w:sz w:val="22"/>
                <w:szCs w:val="22"/>
                <w:lang w:val="en-US"/>
              </w:rPr>
              <w:t xml:space="preserve">≥ </w:t>
            </w:r>
            <w:r w:rsidRPr="004623FF">
              <w:rPr>
                <w:spacing w:val="1"/>
                <w:sz w:val="22"/>
                <w:szCs w:val="22"/>
                <w:lang w:val="en-US"/>
              </w:rPr>
              <w:t>100</w:t>
            </w:r>
          </w:p>
          <w:p w:rsidR="00B862A8" w:rsidRPr="004623FF" w:rsidRDefault="00B862A8" w:rsidP="00B862A8">
            <w:pPr>
              <w:ind w:left="385" w:right="-20"/>
              <w:rPr>
                <w:sz w:val="22"/>
                <w:szCs w:val="22"/>
                <w:lang w:val="en-US"/>
              </w:rPr>
            </w:pPr>
            <w:r w:rsidRPr="004623FF">
              <w:rPr>
                <w:sz w:val="22"/>
                <w:szCs w:val="22"/>
                <w:lang w:val="en-US"/>
              </w:rPr>
              <w:t xml:space="preserve">&lt; </w:t>
            </w:r>
            <w:r w:rsidRPr="004623FF">
              <w:rPr>
                <w:spacing w:val="1"/>
                <w:sz w:val="22"/>
                <w:szCs w:val="22"/>
                <w:lang w:val="en-US"/>
              </w:rPr>
              <w:t>100</w:t>
            </w:r>
          </w:p>
          <w:p w:rsidR="00B862A8" w:rsidRPr="004623FF" w:rsidRDefault="00B862A8" w:rsidP="00B862A8">
            <w:pPr>
              <w:ind w:left="385" w:right="-20"/>
              <w:rPr>
                <w:sz w:val="22"/>
                <w:szCs w:val="22"/>
                <w:lang w:val="en-US"/>
              </w:rPr>
            </w:pPr>
            <w:r w:rsidRPr="004623FF">
              <w:rPr>
                <w:sz w:val="22"/>
                <w:szCs w:val="22"/>
                <w:lang w:val="en-US"/>
              </w:rPr>
              <w:t>med</w:t>
            </w:r>
            <w:r w:rsidRPr="004623FF">
              <w:rPr>
                <w:spacing w:val="-4"/>
                <w:sz w:val="22"/>
                <w:szCs w:val="22"/>
                <w:lang w:val="en-US"/>
              </w:rPr>
              <w:t xml:space="preserve"> </w:t>
            </w:r>
            <w:r w:rsidRPr="004623FF">
              <w:rPr>
                <w:sz w:val="22"/>
                <w:szCs w:val="22"/>
                <w:lang w:val="en-US"/>
              </w:rPr>
              <w:t>HIV</w:t>
            </w:r>
            <w:r w:rsidRPr="004623FF">
              <w:rPr>
                <w:spacing w:val="-2"/>
                <w:sz w:val="22"/>
                <w:szCs w:val="22"/>
                <w:lang w:val="en-US"/>
              </w:rPr>
              <w:t>-</w:t>
            </w:r>
            <w:r w:rsidRPr="004623FF">
              <w:rPr>
                <w:sz w:val="22"/>
                <w:szCs w:val="22"/>
                <w:lang w:val="en-US"/>
              </w:rPr>
              <w:t>1</w:t>
            </w:r>
            <w:r w:rsidRPr="004623FF">
              <w:rPr>
                <w:spacing w:val="-4"/>
                <w:sz w:val="22"/>
                <w:szCs w:val="22"/>
                <w:lang w:val="en-US"/>
              </w:rPr>
              <w:t xml:space="preserve"> </w:t>
            </w:r>
            <w:r w:rsidRPr="004623FF">
              <w:rPr>
                <w:spacing w:val="1"/>
                <w:sz w:val="22"/>
                <w:szCs w:val="22"/>
                <w:lang w:val="en-US"/>
              </w:rPr>
              <w:t>subtype</w:t>
            </w:r>
          </w:p>
          <w:p w:rsidR="00B862A8" w:rsidRPr="004E6C6F" w:rsidRDefault="00B862A8" w:rsidP="00B862A8">
            <w:pPr>
              <w:ind w:left="385" w:right="1141"/>
              <w:rPr>
                <w:sz w:val="22"/>
                <w:szCs w:val="22"/>
              </w:rPr>
            </w:pPr>
            <w:r w:rsidRPr="004E6C6F">
              <w:rPr>
                <w:spacing w:val="3"/>
                <w:sz w:val="22"/>
                <w:szCs w:val="22"/>
              </w:rPr>
              <w:t>T</w:t>
            </w:r>
            <w:r w:rsidRPr="004E6C6F">
              <w:rPr>
                <w:spacing w:val="-4"/>
                <w:sz w:val="22"/>
                <w:szCs w:val="22"/>
              </w:rPr>
              <w:t>y</w:t>
            </w:r>
            <w:r w:rsidRPr="004E6C6F">
              <w:rPr>
                <w:spacing w:val="1"/>
                <w:sz w:val="22"/>
                <w:szCs w:val="22"/>
              </w:rPr>
              <w:t>p</w:t>
            </w:r>
            <w:r w:rsidRPr="004E6C6F">
              <w:rPr>
                <w:sz w:val="22"/>
                <w:szCs w:val="22"/>
              </w:rPr>
              <w:t>e</w:t>
            </w:r>
            <w:r w:rsidRPr="004E6C6F">
              <w:rPr>
                <w:spacing w:val="-3"/>
                <w:sz w:val="22"/>
                <w:szCs w:val="22"/>
              </w:rPr>
              <w:t xml:space="preserve"> </w:t>
            </w:r>
            <w:r w:rsidRPr="004E6C6F">
              <w:rPr>
                <w:sz w:val="22"/>
                <w:szCs w:val="22"/>
              </w:rPr>
              <w:t xml:space="preserve">B </w:t>
            </w:r>
            <w:r w:rsidRPr="004E6C6F">
              <w:rPr>
                <w:spacing w:val="3"/>
                <w:sz w:val="22"/>
                <w:szCs w:val="22"/>
              </w:rPr>
              <w:t>T</w:t>
            </w:r>
            <w:r w:rsidRPr="004E6C6F">
              <w:rPr>
                <w:spacing w:val="-4"/>
                <w:sz w:val="22"/>
                <w:szCs w:val="22"/>
              </w:rPr>
              <w:t>y</w:t>
            </w:r>
            <w:r w:rsidRPr="004E6C6F">
              <w:rPr>
                <w:sz w:val="22"/>
                <w:szCs w:val="22"/>
              </w:rPr>
              <w:t>pe</w:t>
            </w:r>
            <w:r w:rsidRPr="004E6C6F">
              <w:rPr>
                <w:spacing w:val="-4"/>
                <w:sz w:val="22"/>
                <w:szCs w:val="22"/>
              </w:rPr>
              <w:t xml:space="preserve"> </w:t>
            </w:r>
            <w:r w:rsidRPr="004E6C6F">
              <w:rPr>
                <w:sz w:val="22"/>
                <w:szCs w:val="22"/>
              </w:rPr>
              <w:t xml:space="preserve">AE </w:t>
            </w:r>
            <w:r w:rsidRPr="004E6C6F">
              <w:rPr>
                <w:spacing w:val="3"/>
                <w:sz w:val="22"/>
                <w:szCs w:val="22"/>
              </w:rPr>
              <w:t>T</w:t>
            </w:r>
            <w:r w:rsidRPr="004E6C6F">
              <w:rPr>
                <w:spacing w:val="-4"/>
                <w:sz w:val="22"/>
                <w:szCs w:val="22"/>
              </w:rPr>
              <w:t>y</w:t>
            </w:r>
            <w:r w:rsidRPr="004E6C6F">
              <w:rPr>
                <w:spacing w:val="1"/>
                <w:sz w:val="22"/>
                <w:szCs w:val="22"/>
              </w:rPr>
              <w:t>p</w:t>
            </w:r>
            <w:r w:rsidRPr="004E6C6F">
              <w:rPr>
                <w:sz w:val="22"/>
                <w:szCs w:val="22"/>
              </w:rPr>
              <w:t>e</w:t>
            </w:r>
            <w:r w:rsidRPr="004E6C6F">
              <w:rPr>
                <w:spacing w:val="-3"/>
                <w:sz w:val="22"/>
                <w:szCs w:val="22"/>
              </w:rPr>
              <w:t xml:space="preserve"> </w:t>
            </w:r>
            <w:r w:rsidRPr="004E6C6F">
              <w:rPr>
                <w:sz w:val="22"/>
                <w:szCs w:val="22"/>
              </w:rPr>
              <w:t>C Andr</w:t>
            </w:r>
            <w:r>
              <w:rPr>
                <w:sz w:val="22"/>
                <w:szCs w:val="22"/>
              </w:rPr>
              <w:t>e</w:t>
            </w:r>
            <w:r w:rsidRPr="004E6C6F">
              <w:rPr>
                <w:sz w:val="22"/>
                <w:szCs w:val="22"/>
                <w:vertAlign w:val="superscript"/>
              </w:rPr>
              <w:t>c</w:t>
            </w:r>
          </w:p>
        </w:tc>
        <w:tc>
          <w:tcPr>
            <w:tcW w:w="125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jc w:val="center"/>
              <w:rPr>
                <w:sz w:val="22"/>
                <w:szCs w:val="22"/>
              </w:rPr>
            </w:pPr>
            <w:r w:rsidRPr="004E6C6F">
              <w:rPr>
                <w:spacing w:val="1"/>
                <w:sz w:val="22"/>
                <w:szCs w:val="22"/>
              </w:rPr>
              <w:t xml:space="preserve">72,1 </w:t>
            </w:r>
            <w:r w:rsidRPr="004E6C6F">
              <w:rPr>
                <w:sz w:val="22"/>
                <w:szCs w:val="22"/>
              </w:rPr>
              <w:t>%</w:t>
            </w:r>
            <w:r w:rsidRPr="004E6C6F">
              <w:rPr>
                <w:spacing w:val="-4"/>
                <w:sz w:val="22"/>
                <w:szCs w:val="22"/>
              </w:rPr>
              <w:t xml:space="preserve"> </w:t>
            </w:r>
            <w:r w:rsidRPr="004E6C6F">
              <w:rPr>
                <w:spacing w:val="1"/>
                <w:sz w:val="22"/>
                <w:szCs w:val="22"/>
              </w:rPr>
              <w:t>(212)</w:t>
            </w: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ind w:left="102" w:right="-20"/>
              <w:jc w:val="center"/>
              <w:rPr>
                <w:sz w:val="22"/>
                <w:szCs w:val="22"/>
              </w:rPr>
            </w:pPr>
            <w:r w:rsidRPr="004E6C6F">
              <w:rPr>
                <w:spacing w:val="1"/>
                <w:sz w:val="22"/>
                <w:szCs w:val="22"/>
              </w:rPr>
              <w:t xml:space="preserve">77,6 </w:t>
            </w:r>
            <w:r w:rsidRPr="004E6C6F">
              <w:rPr>
                <w:sz w:val="22"/>
                <w:szCs w:val="22"/>
              </w:rPr>
              <w:t>%</w:t>
            </w:r>
            <w:r w:rsidRPr="004E6C6F">
              <w:rPr>
                <w:spacing w:val="-4"/>
                <w:sz w:val="22"/>
                <w:szCs w:val="22"/>
              </w:rPr>
              <w:t xml:space="preserve"> </w:t>
            </w:r>
            <w:r w:rsidRPr="004E6C6F">
              <w:rPr>
                <w:spacing w:val="1"/>
                <w:sz w:val="22"/>
                <w:szCs w:val="22"/>
              </w:rPr>
              <w:t>(198/255)</w:t>
            </w:r>
          </w:p>
          <w:p w:rsidR="00B862A8" w:rsidRPr="004E6C6F" w:rsidRDefault="00B862A8" w:rsidP="00B862A8">
            <w:pPr>
              <w:ind w:left="102" w:right="-20"/>
              <w:jc w:val="center"/>
              <w:rPr>
                <w:sz w:val="22"/>
                <w:szCs w:val="22"/>
              </w:rPr>
            </w:pPr>
            <w:r w:rsidRPr="004E6C6F">
              <w:rPr>
                <w:sz w:val="22"/>
                <w:szCs w:val="22"/>
              </w:rPr>
              <w:t>35,9 %</w:t>
            </w:r>
            <w:r w:rsidRPr="004E6C6F">
              <w:rPr>
                <w:spacing w:val="-4"/>
                <w:sz w:val="22"/>
                <w:szCs w:val="22"/>
              </w:rPr>
              <w:t xml:space="preserve"> </w:t>
            </w:r>
            <w:r w:rsidRPr="004E6C6F">
              <w:rPr>
                <w:sz w:val="22"/>
                <w:szCs w:val="22"/>
              </w:rPr>
              <w:t>(14/39)</w:t>
            </w: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ind w:left="102" w:right="-20"/>
              <w:jc w:val="center"/>
              <w:rPr>
                <w:sz w:val="22"/>
                <w:szCs w:val="22"/>
              </w:rPr>
            </w:pPr>
            <w:r w:rsidRPr="004E6C6F">
              <w:rPr>
                <w:spacing w:val="1"/>
                <w:sz w:val="22"/>
                <w:szCs w:val="22"/>
              </w:rPr>
              <w:t xml:space="preserve">75,1 </w:t>
            </w:r>
            <w:r w:rsidRPr="004E6C6F">
              <w:rPr>
                <w:sz w:val="22"/>
                <w:szCs w:val="22"/>
              </w:rPr>
              <w:t>%</w:t>
            </w:r>
            <w:r w:rsidRPr="004E6C6F">
              <w:rPr>
                <w:spacing w:val="-4"/>
                <w:sz w:val="22"/>
                <w:szCs w:val="22"/>
              </w:rPr>
              <w:t xml:space="preserve"> </w:t>
            </w:r>
            <w:r w:rsidRPr="004E6C6F">
              <w:rPr>
                <w:spacing w:val="1"/>
                <w:sz w:val="22"/>
                <w:szCs w:val="22"/>
              </w:rPr>
              <w:t>(184/245)</w:t>
            </w:r>
          </w:p>
          <w:p w:rsidR="00B862A8" w:rsidRPr="004E6C6F" w:rsidRDefault="00B862A8" w:rsidP="00B862A8">
            <w:pPr>
              <w:ind w:left="102" w:right="-20"/>
              <w:jc w:val="center"/>
              <w:rPr>
                <w:sz w:val="22"/>
                <w:szCs w:val="22"/>
              </w:rPr>
            </w:pPr>
            <w:r w:rsidRPr="004E6C6F">
              <w:rPr>
                <w:sz w:val="22"/>
                <w:szCs w:val="22"/>
              </w:rPr>
              <w:t>57,1 %</w:t>
            </w:r>
            <w:r w:rsidRPr="004E6C6F">
              <w:rPr>
                <w:spacing w:val="-4"/>
                <w:sz w:val="22"/>
                <w:szCs w:val="22"/>
              </w:rPr>
              <w:t xml:space="preserve"> </w:t>
            </w:r>
            <w:r w:rsidRPr="004E6C6F">
              <w:rPr>
                <w:sz w:val="22"/>
                <w:szCs w:val="22"/>
              </w:rPr>
              <w:t>(28/49)</w:t>
            </w:r>
          </w:p>
          <w:p w:rsidR="00B862A8" w:rsidRPr="004E6C6F" w:rsidRDefault="00B862A8" w:rsidP="00B862A8">
            <w:pPr>
              <w:jc w:val="center"/>
              <w:rPr>
                <w:sz w:val="22"/>
                <w:szCs w:val="22"/>
              </w:rPr>
            </w:pPr>
          </w:p>
          <w:p w:rsidR="00B862A8" w:rsidRPr="004E6C6F" w:rsidRDefault="00B862A8" w:rsidP="00B862A8">
            <w:pPr>
              <w:ind w:left="102" w:right="-20"/>
              <w:jc w:val="center"/>
              <w:rPr>
                <w:sz w:val="22"/>
                <w:szCs w:val="22"/>
              </w:rPr>
            </w:pPr>
            <w:r w:rsidRPr="004E6C6F">
              <w:rPr>
                <w:spacing w:val="1"/>
                <w:sz w:val="22"/>
                <w:szCs w:val="22"/>
              </w:rPr>
              <w:t xml:space="preserve">70,4 </w:t>
            </w:r>
            <w:r w:rsidRPr="004E6C6F">
              <w:rPr>
                <w:sz w:val="22"/>
                <w:szCs w:val="22"/>
              </w:rPr>
              <w:t>%</w:t>
            </w:r>
            <w:r w:rsidRPr="004E6C6F">
              <w:rPr>
                <w:spacing w:val="-4"/>
                <w:sz w:val="22"/>
                <w:szCs w:val="22"/>
              </w:rPr>
              <w:t xml:space="preserve"> </w:t>
            </w:r>
            <w:r w:rsidRPr="004E6C6F">
              <w:rPr>
                <w:spacing w:val="1"/>
                <w:sz w:val="22"/>
                <w:szCs w:val="22"/>
              </w:rPr>
              <w:t>(126/179)</w:t>
            </w:r>
          </w:p>
          <w:p w:rsidR="00B862A8" w:rsidRPr="004E6C6F" w:rsidRDefault="00B862A8" w:rsidP="00B862A8">
            <w:pPr>
              <w:ind w:left="102" w:right="-20"/>
              <w:jc w:val="center"/>
              <w:rPr>
                <w:sz w:val="22"/>
                <w:szCs w:val="22"/>
              </w:rPr>
            </w:pPr>
            <w:r w:rsidRPr="004E6C6F">
              <w:rPr>
                <w:sz w:val="22"/>
                <w:szCs w:val="22"/>
              </w:rPr>
              <w:t>90,5 %</w:t>
            </w:r>
            <w:r w:rsidRPr="004E6C6F">
              <w:rPr>
                <w:spacing w:val="-4"/>
                <w:sz w:val="22"/>
                <w:szCs w:val="22"/>
              </w:rPr>
              <w:t xml:space="preserve"> </w:t>
            </w:r>
            <w:r w:rsidRPr="004E6C6F">
              <w:rPr>
                <w:sz w:val="22"/>
                <w:szCs w:val="22"/>
              </w:rPr>
              <w:t>(38/42)</w:t>
            </w:r>
          </w:p>
          <w:p w:rsidR="00B862A8" w:rsidRPr="004E6C6F" w:rsidRDefault="00B862A8" w:rsidP="00B862A8">
            <w:pPr>
              <w:ind w:left="102" w:right="-20"/>
              <w:jc w:val="center"/>
              <w:rPr>
                <w:sz w:val="22"/>
                <w:szCs w:val="22"/>
              </w:rPr>
            </w:pPr>
            <w:r w:rsidRPr="004E6C6F">
              <w:rPr>
                <w:sz w:val="22"/>
                <w:szCs w:val="22"/>
              </w:rPr>
              <w:t>72,7 %</w:t>
            </w:r>
            <w:r w:rsidRPr="004E6C6F">
              <w:rPr>
                <w:spacing w:val="-4"/>
                <w:sz w:val="22"/>
                <w:szCs w:val="22"/>
              </w:rPr>
              <w:t xml:space="preserve"> </w:t>
            </w:r>
            <w:r w:rsidRPr="004E6C6F">
              <w:rPr>
                <w:sz w:val="22"/>
                <w:szCs w:val="22"/>
              </w:rPr>
              <w:t>(32/44)</w:t>
            </w:r>
          </w:p>
          <w:p w:rsidR="00B862A8" w:rsidRPr="004E6C6F" w:rsidRDefault="00B862A8" w:rsidP="00B862A8">
            <w:pPr>
              <w:ind w:left="102" w:right="-20"/>
              <w:jc w:val="center"/>
              <w:rPr>
                <w:sz w:val="22"/>
                <w:szCs w:val="22"/>
              </w:rPr>
            </w:pPr>
            <w:r w:rsidRPr="004E6C6F">
              <w:rPr>
                <w:sz w:val="22"/>
                <w:szCs w:val="22"/>
              </w:rPr>
              <w:t>55,2 %</w:t>
            </w:r>
            <w:r w:rsidRPr="004E6C6F">
              <w:rPr>
                <w:spacing w:val="-4"/>
                <w:sz w:val="22"/>
                <w:szCs w:val="22"/>
              </w:rPr>
              <w:t xml:space="preserve"> </w:t>
            </w:r>
            <w:r w:rsidRPr="004E6C6F">
              <w:rPr>
                <w:sz w:val="22"/>
                <w:szCs w:val="22"/>
              </w:rPr>
              <w:t>(16/29)</w:t>
            </w:r>
          </w:p>
        </w:tc>
        <w:tc>
          <w:tcPr>
            <w:tcW w:w="1249"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0" w:right="-20"/>
              <w:jc w:val="center"/>
              <w:rPr>
                <w:sz w:val="22"/>
                <w:szCs w:val="22"/>
              </w:rPr>
            </w:pPr>
            <w:r w:rsidRPr="004E6C6F">
              <w:rPr>
                <w:spacing w:val="1"/>
                <w:sz w:val="22"/>
                <w:szCs w:val="22"/>
              </w:rPr>
              <w:t xml:space="preserve">70,9 </w:t>
            </w:r>
            <w:r w:rsidRPr="004E6C6F">
              <w:rPr>
                <w:sz w:val="22"/>
                <w:szCs w:val="22"/>
              </w:rPr>
              <w:t>%</w:t>
            </w:r>
            <w:r w:rsidRPr="004E6C6F">
              <w:rPr>
                <w:spacing w:val="-4"/>
                <w:sz w:val="22"/>
                <w:szCs w:val="22"/>
              </w:rPr>
              <w:t xml:space="preserve"> </w:t>
            </w:r>
            <w:r w:rsidRPr="004E6C6F">
              <w:rPr>
                <w:spacing w:val="1"/>
                <w:sz w:val="22"/>
                <w:szCs w:val="22"/>
              </w:rPr>
              <w:t>(210)</w:t>
            </w: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ind w:left="100" w:right="-20"/>
              <w:jc w:val="center"/>
              <w:rPr>
                <w:sz w:val="22"/>
                <w:szCs w:val="22"/>
              </w:rPr>
            </w:pPr>
            <w:r w:rsidRPr="004E6C6F">
              <w:rPr>
                <w:spacing w:val="1"/>
                <w:sz w:val="22"/>
                <w:szCs w:val="22"/>
              </w:rPr>
              <w:t xml:space="preserve">73,2 </w:t>
            </w:r>
            <w:r w:rsidRPr="004E6C6F">
              <w:rPr>
                <w:sz w:val="22"/>
                <w:szCs w:val="22"/>
              </w:rPr>
              <w:t>%</w:t>
            </w:r>
            <w:r w:rsidRPr="004E6C6F">
              <w:rPr>
                <w:spacing w:val="-5"/>
                <w:sz w:val="22"/>
                <w:szCs w:val="22"/>
              </w:rPr>
              <w:t xml:space="preserve"> </w:t>
            </w:r>
            <w:r w:rsidRPr="004E6C6F">
              <w:rPr>
                <w:sz w:val="22"/>
                <w:szCs w:val="22"/>
              </w:rPr>
              <w:t>(194/265)</w:t>
            </w:r>
          </w:p>
          <w:p w:rsidR="00B862A8" w:rsidRPr="004E6C6F" w:rsidRDefault="00B862A8" w:rsidP="00B862A8">
            <w:pPr>
              <w:ind w:left="100" w:right="-20"/>
              <w:jc w:val="center"/>
              <w:rPr>
                <w:sz w:val="22"/>
                <w:szCs w:val="22"/>
              </w:rPr>
            </w:pPr>
            <w:r w:rsidRPr="004E6C6F">
              <w:rPr>
                <w:sz w:val="22"/>
                <w:szCs w:val="22"/>
              </w:rPr>
              <w:t>51,6 %</w:t>
            </w:r>
            <w:r w:rsidRPr="004E6C6F">
              <w:rPr>
                <w:spacing w:val="-4"/>
                <w:sz w:val="22"/>
                <w:szCs w:val="22"/>
              </w:rPr>
              <w:t xml:space="preserve"> </w:t>
            </w:r>
            <w:r w:rsidRPr="004E6C6F">
              <w:rPr>
                <w:sz w:val="22"/>
                <w:szCs w:val="22"/>
              </w:rPr>
              <w:t>(16/31)</w:t>
            </w: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ind w:left="100" w:right="-20"/>
              <w:jc w:val="center"/>
              <w:rPr>
                <w:sz w:val="22"/>
                <w:szCs w:val="22"/>
              </w:rPr>
            </w:pPr>
            <w:r w:rsidRPr="004E6C6F">
              <w:rPr>
                <w:spacing w:val="1"/>
                <w:sz w:val="22"/>
                <w:szCs w:val="22"/>
              </w:rPr>
              <w:t xml:space="preserve">72,5 </w:t>
            </w:r>
            <w:r w:rsidRPr="004E6C6F">
              <w:rPr>
                <w:sz w:val="22"/>
                <w:szCs w:val="22"/>
              </w:rPr>
              <w:t>%</w:t>
            </w:r>
            <w:r w:rsidRPr="004E6C6F">
              <w:rPr>
                <w:spacing w:val="-4"/>
                <w:sz w:val="22"/>
                <w:szCs w:val="22"/>
              </w:rPr>
              <w:t xml:space="preserve"> </w:t>
            </w:r>
            <w:r w:rsidRPr="004E6C6F">
              <w:rPr>
                <w:spacing w:val="1"/>
                <w:sz w:val="22"/>
                <w:szCs w:val="22"/>
              </w:rPr>
              <w:t>(187/258)</w:t>
            </w:r>
          </w:p>
          <w:p w:rsidR="00B862A8" w:rsidRPr="004E6C6F" w:rsidRDefault="00B862A8" w:rsidP="00B862A8">
            <w:pPr>
              <w:ind w:left="100" w:right="-20"/>
              <w:jc w:val="center"/>
              <w:rPr>
                <w:sz w:val="22"/>
                <w:szCs w:val="22"/>
              </w:rPr>
            </w:pPr>
            <w:r w:rsidRPr="004E6C6F">
              <w:rPr>
                <w:sz w:val="22"/>
                <w:szCs w:val="22"/>
              </w:rPr>
              <w:t>60,5 %</w:t>
            </w:r>
            <w:r w:rsidRPr="004E6C6F">
              <w:rPr>
                <w:spacing w:val="-4"/>
                <w:sz w:val="22"/>
                <w:szCs w:val="22"/>
              </w:rPr>
              <w:t xml:space="preserve"> </w:t>
            </w:r>
            <w:r w:rsidRPr="004E6C6F">
              <w:rPr>
                <w:sz w:val="22"/>
                <w:szCs w:val="22"/>
              </w:rPr>
              <w:t>(23/38)</w:t>
            </w:r>
          </w:p>
          <w:p w:rsidR="00B862A8" w:rsidRPr="004E6C6F" w:rsidRDefault="00B862A8" w:rsidP="00B862A8">
            <w:pPr>
              <w:jc w:val="center"/>
              <w:rPr>
                <w:sz w:val="22"/>
                <w:szCs w:val="22"/>
              </w:rPr>
            </w:pPr>
          </w:p>
          <w:p w:rsidR="00B862A8" w:rsidRPr="004E6C6F" w:rsidRDefault="00B862A8" w:rsidP="00B862A8">
            <w:pPr>
              <w:ind w:left="100" w:right="-20"/>
              <w:jc w:val="center"/>
              <w:rPr>
                <w:sz w:val="22"/>
                <w:szCs w:val="22"/>
              </w:rPr>
            </w:pPr>
            <w:r w:rsidRPr="004E6C6F">
              <w:rPr>
                <w:spacing w:val="1"/>
                <w:sz w:val="22"/>
                <w:szCs w:val="22"/>
              </w:rPr>
              <w:t xml:space="preserve">64,3 </w:t>
            </w:r>
            <w:r w:rsidRPr="004E6C6F">
              <w:rPr>
                <w:sz w:val="22"/>
                <w:szCs w:val="22"/>
              </w:rPr>
              <w:t>%</w:t>
            </w:r>
            <w:r w:rsidRPr="004E6C6F">
              <w:rPr>
                <w:spacing w:val="-4"/>
                <w:sz w:val="22"/>
                <w:szCs w:val="22"/>
              </w:rPr>
              <w:t xml:space="preserve"> </w:t>
            </w:r>
            <w:r w:rsidRPr="004E6C6F">
              <w:rPr>
                <w:spacing w:val="1"/>
                <w:sz w:val="22"/>
                <w:szCs w:val="22"/>
              </w:rPr>
              <w:t>(128/199)</w:t>
            </w:r>
          </w:p>
          <w:p w:rsidR="00B862A8" w:rsidRPr="004E6C6F" w:rsidRDefault="00B862A8" w:rsidP="00B862A8">
            <w:pPr>
              <w:ind w:left="100" w:right="-20"/>
              <w:jc w:val="center"/>
              <w:rPr>
                <w:sz w:val="22"/>
                <w:szCs w:val="22"/>
              </w:rPr>
            </w:pPr>
            <w:r w:rsidRPr="004E6C6F">
              <w:rPr>
                <w:sz w:val="22"/>
                <w:szCs w:val="22"/>
              </w:rPr>
              <w:t>91,2 %</w:t>
            </w:r>
            <w:r w:rsidRPr="004E6C6F">
              <w:rPr>
                <w:spacing w:val="-4"/>
                <w:sz w:val="22"/>
                <w:szCs w:val="22"/>
              </w:rPr>
              <w:t xml:space="preserve"> </w:t>
            </w:r>
            <w:r w:rsidRPr="004E6C6F">
              <w:rPr>
                <w:sz w:val="22"/>
                <w:szCs w:val="22"/>
              </w:rPr>
              <w:t>(31/34)</w:t>
            </w:r>
          </w:p>
          <w:p w:rsidR="00B862A8" w:rsidRPr="004E6C6F" w:rsidRDefault="00B862A8" w:rsidP="00B862A8">
            <w:pPr>
              <w:ind w:left="100" w:right="-20"/>
              <w:jc w:val="center"/>
              <w:rPr>
                <w:sz w:val="22"/>
                <w:szCs w:val="22"/>
              </w:rPr>
            </w:pPr>
            <w:r w:rsidRPr="004E6C6F">
              <w:rPr>
                <w:sz w:val="22"/>
                <w:szCs w:val="22"/>
              </w:rPr>
              <w:t>78,8 %</w:t>
            </w:r>
            <w:r w:rsidRPr="004E6C6F">
              <w:rPr>
                <w:spacing w:val="-4"/>
                <w:sz w:val="22"/>
                <w:szCs w:val="22"/>
              </w:rPr>
              <w:t xml:space="preserve"> </w:t>
            </w:r>
            <w:r w:rsidRPr="004E6C6F">
              <w:rPr>
                <w:sz w:val="22"/>
                <w:szCs w:val="22"/>
              </w:rPr>
              <w:t>(26/33)</w:t>
            </w:r>
          </w:p>
          <w:p w:rsidR="00B862A8" w:rsidRPr="004E6C6F" w:rsidRDefault="00B862A8" w:rsidP="00B862A8">
            <w:pPr>
              <w:ind w:left="100" w:right="-20"/>
              <w:jc w:val="center"/>
              <w:rPr>
                <w:sz w:val="22"/>
                <w:szCs w:val="22"/>
              </w:rPr>
            </w:pPr>
            <w:r w:rsidRPr="004E6C6F">
              <w:rPr>
                <w:sz w:val="22"/>
                <w:szCs w:val="22"/>
              </w:rPr>
              <w:t>83,3 %</w:t>
            </w:r>
            <w:r w:rsidRPr="004E6C6F">
              <w:rPr>
                <w:spacing w:val="-4"/>
                <w:sz w:val="22"/>
                <w:szCs w:val="22"/>
              </w:rPr>
              <w:t xml:space="preserve"> </w:t>
            </w:r>
            <w:r w:rsidRPr="004E6C6F">
              <w:rPr>
                <w:sz w:val="22"/>
                <w:szCs w:val="22"/>
              </w:rPr>
              <w:t>(25/30)</w:t>
            </w:r>
          </w:p>
        </w:tc>
        <w:tc>
          <w:tcPr>
            <w:tcW w:w="125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jc w:val="center"/>
              <w:rPr>
                <w:sz w:val="22"/>
                <w:szCs w:val="22"/>
              </w:rPr>
            </w:pPr>
            <w:r w:rsidRPr="004E6C6F">
              <w:rPr>
                <w:spacing w:val="1"/>
                <w:sz w:val="22"/>
                <w:szCs w:val="22"/>
              </w:rPr>
              <w:t xml:space="preserve">1,2 </w:t>
            </w:r>
            <w:r w:rsidRPr="004E6C6F">
              <w:rPr>
                <w:sz w:val="22"/>
                <w:szCs w:val="22"/>
              </w:rPr>
              <w:t>%</w:t>
            </w:r>
            <w:r w:rsidRPr="004E6C6F">
              <w:rPr>
                <w:spacing w:val="-3"/>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6,1</w:t>
            </w:r>
            <w:r w:rsidRPr="004E6C6F">
              <w:rPr>
                <w:sz w:val="22"/>
                <w:szCs w:val="22"/>
              </w:rPr>
              <w:t>;</w:t>
            </w:r>
            <w:r w:rsidRPr="004E6C6F">
              <w:rPr>
                <w:spacing w:val="-3"/>
                <w:sz w:val="22"/>
                <w:szCs w:val="22"/>
              </w:rPr>
              <w:t xml:space="preserve"> </w:t>
            </w:r>
            <w:r w:rsidRPr="004E6C6F">
              <w:rPr>
                <w:spacing w:val="1"/>
                <w:sz w:val="22"/>
                <w:szCs w:val="22"/>
              </w:rPr>
              <w:t>8,</w:t>
            </w:r>
            <w:proofErr w:type="gramStart"/>
            <w:r w:rsidRPr="004E6C6F">
              <w:rPr>
                <w:spacing w:val="1"/>
                <w:sz w:val="22"/>
                <w:szCs w:val="22"/>
              </w:rPr>
              <w:t>5</w:t>
            </w:r>
            <w:r>
              <w:rPr>
                <w:spacing w:val="1"/>
                <w:sz w:val="22"/>
                <w:szCs w:val="22"/>
              </w:rPr>
              <w:t>)</w:t>
            </w:r>
            <w:r w:rsidRPr="004E6C6F">
              <w:rPr>
                <w:spacing w:val="1"/>
                <w:sz w:val="22"/>
                <w:szCs w:val="22"/>
                <w:vertAlign w:val="superscript"/>
              </w:rPr>
              <w:t>b</w:t>
            </w:r>
            <w:proofErr w:type="gramEnd"/>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ind w:left="102" w:right="-20"/>
              <w:jc w:val="center"/>
              <w:rPr>
                <w:sz w:val="22"/>
                <w:szCs w:val="22"/>
              </w:rPr>
            </w:pPr>
            <w:r w:rsidRPr="004E6C6F">
              <w:rPr>
                <w:spacing w:val="1"/>
                <w:sz w:val="22"/>
                <w:szCs w:val="22"/>
              </w:rPr>
              <w:t xml:space="preserve">4,4 </w:t>
            </w:r>
            <w:r w:rsidRPr="004E6C6F">
              <w:rPr>
                <w:sz w:val="22"/>
                <w:szCs w:val="22"/>
              </w:rPr>
              <w:t>%</w:t>
            </w:r>
            <w:r w:rsidRPr="004E6C6F">
              <w:rPr>
                <w:spacing w:val="-3"/>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3,0</w:t>
            </w:r>
            <w:r w:rsidRPr="004E6C6F">
              <w:rPr>
                <w:sz w:val="22"/>
                <w:szCs w:val="22"/>
              </w:rPr>
              <w:t>;</w:t>
            </w:r>
            <w:r w:rsidRPr="004E6C6F">
              <w:rPr>
                <w:spacing w:val="-3"/>
                <w:sz w:val="22"/>
                <w:szCs w:val="22"/>
              </w:rPr>
              <w:t xml:space="preserve"> </w:t>
            </w:r>
            <w:r w:rsidRPr="004E6C6F">
              <w:rPr>
                <w:spacing w:val="1"/>
                <w:sz w:val="22"/>
                <w:szCs w:val="22"/>
              </w:rPr>
              <w:t>11,9)</w:t>
            </w:r>
          </w:p>
          <w:p w:rsidR="00B862A8" w:rsidRPr="004E6C6F" w:rsidRDefault="00B862A8" w:rsidP="00B862A8">
            <w:pPr>
              <w:ind w:left="102" w:right="-20"/>
              <w:jc w:val="center"/>
              <w:rPr>
                <w:sz w:val="22"/>
                <w:szCs w:val="22"/>
              </w:rPr>
            </w:pPr>
            <w:r w:rsidRPr="004E6C6F">
              <w:rPr>
                <w:spacing w:val="-2"/>
                <w:sz w:val="22"/>
                <w:szCs w:val="22"/>
              </w:rPr>
              <w:t>-</w:t>
            </w:r>
            <w:r w:rsidRPr="004E6C6F">
              <w:rPr>
                <w:spacing w:val="1"/>
                <w:sz w:val="22"/>
                <w:szCs w:val="22"/>
              </w:rPr>
              <w:t xml:space="preserve">15,7 </w:t>
            </w:r>
            <w:r w:rsidRPr="004E6C6F">
              <w:rPr>
                <w:sz w:val="22"/>
                <w:szCs w:val="22"/>
              </w:rPr>
              <w:t>%</w:t>
            </w:r>
            <w:r w:rsidRPr="004E6C6F">
              <w:rPr>
                <w:spacing w:val="-5"/>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39,2</w:t>
            </w:r>
            <w:r w:rsidRPr="004E6C6F">
              <w:rPr>
                <w:sz w:val="22"/>
                <w:szCs w:val="22"/>
              </w:rPr>
              <w:t>;</w:t>
            </w:r>
            <w:r w:rsidRPr="004E6C6F">
              <w:rPr>
                <w:spacing w:val="-4"/>
                <w:sz w:val="22"/>
                <w:szCs w:val="22"/>
              </w:rPr>
              <w:t xml:space="preserve"> </w:t>
            </w:r>
            <w:r w:rsidRPr="004E6C6F">
              <w:rPr>
                <w:spacing w:val="1"/>
                <w:sz w:val="22"/>
                <w:szCs w:val="22"/>
              </w:rPr>
              <w:t>7,7)</w:t>
            </w:r>
          </w:p>
          <w:p w:rsidR="00B862A8" w:rsidRPr="004E6C6F" w:rsidRDefault="00B862A8" w:rsidP="00B862A8">
            <w:pPr>
              <w:jc w:val="center"/>
              <w:rPr>
                <w:sz w:val="22"/>
                <w:szCs w:val="22"/>
              </w:rPr>
            </w:pPr>
          </w:p>
          <w:p w:rsidR="00B862A8" w:rsidRPr="004E6C6F" w:rsidRDefault="00B862A8" w:rsidP="00B862A8">
            <w:pPr>
              <w:jc w:val="center"/>
              <w:rPr>
                <w:sz w:val="22"/>
                <w:szCs w:val="22"/>
              </w:rPr>
            </w:pPr>
          </w:p>
          <w:p w:rsidR="00B862A8" w:rsidRPr="004E6C6F" w:rsidRDefault="00B862A8" w:rsidP="00B862A8">
            <w:pPr>
              <w:ind w:left="102" w:right="-20"/>
              <w:jc w:val="center"/>
              <w:rPr>
                <w:sz w:val="22"/>
                <w:szCs w:val="22"/>
              </w:rPr>
            </w:pPr>
            <w:r w:rsidRPr="004E6C6F">
              <w:rPr>
                <w:spacing w:val="1"/>
                <w:sz w:val="22"/>
                <w:szCs w:val="22"/>
              </w:rPr>
              <w:t xml:space="preserve">2,6 </w:t>
            </w:r>
            <w:r w:rsidRPr="004E6C6F">
              <w:rPr>
                <w:sz w:val="22"/>
                <w:szCs w:val="22"/>
              </w:rPr>
              <w:t>%</w:t>
            </w:r>
            <w:r w:rsidRPr="004E6C6F">
              <w:rPr>
                <w:spacing w:val="-3"/>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5,1</w:t>
            </w:r>
            <w:r w:rsidRPr="004E6C6F">
              <w:rPr>
                <w:sz w:val="22"/>
                <w:szCs w:val="22"/>
              </w:rPr>
              <w:t>;</w:t>
            </w:r>
            <w:r w:rsidRPr="004E6C6F">
              <w:rPr>
                <w:spacing w:val="-3"/>
                <w:sz w:val="22"/>
                <w:szCs w:val="22"/>
              </w:rPr>
              <w:t xml:space="preserve"> </w:t>
            </w:r>
            <w:r w:rsidRPr="004E6C6F">
              <w:rPr>
                <w:spacing w:val="1"/>
                <w:sz w:val="22"/>
                <w:szCs w:val="22"/>
              </w:rPr>
              <w:t>10,3)</w:t>
            </w:r>
          </w:p>
          <w:p w:rsidR="00B862A8" w:rsidRPr="004E6C6F" w:rsidRDefault="00B862A8" w:rsidP="00B862A8">
            <w:pPr>
              <w:ind w:left="102" w:right="-20"/>
              <w:jc w:val="center"/>
              <w:rPr>
                <w:sz w:val="22"/>
                <w:szCs w:val="22"/>
              </w:rPr>
            </w:pPr>
            <w:r w:rsidRPr="004E6C6F">
              <w:rPr>
                <w:spacing w:val="-2"/>
                <w:sz w:val="22"/>
                <w:szCs w:val="22"/>
              </w:rPr>
              <w:t>-</w:t>
            </w:r>
            <w:r w:rsidRPr="004E6C6F">
              <w:rPr>
                <w:spacing w:val="1"/>
                <w:sz w:val="22"/>
                <w:szCs w:val="22"/>
              </w:rPr>
              <w:t xml:space="preserve">3,4 </w:t>
            </w:r>
            <w:r w:rsidRPr="004E6C6F">
              <w:rPr>
                <w:sz w:val="22"/>
                <w:szCs w:val="22"/>
              </w:rPr>
              <w:t>%</w:t>
            </w:r>
            <w:r w:rsidRPr="004E6C6F">
              <w:rPr>
                <w:spacing w:val="-4"/>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24,5</w:t>
            </w:r>
            <w:r w:rsidRPr="004E6C6F">
              <w:rPr>
                <w:sz w:val="22"/>
                <w:szCs w:val="22"/>
              </w:rPr>
              <w:t>;</w:t>
            </w:r>
            <w:r w:rsidRPr="004E6C6F">
              <w:rPr>
                <w:spacing w:val="-4"/>
                <w:sz w:val="22"/>
                <w:szCs w:val="22"/>
              </w:rPr>
              <w:t xml:space="preserve"> </w:t>
            </w:r>
            <w:r w:rsidRPr="004E6C6F">
              <w:rPr>
                <w:spacing w:val="1"/>
                <w:sz w:val="22"/>
                <w:szCs w:val="22"/>
              </w:rPr>
              <w:t>17,8)</w:t>
            </w:r>
          </w:p>
          <w:p w:rsidR="00B862A8" w:rsidRPr="004E6C6F" w:rsidRDefault="00B862A8" w:rsidP="00B862A8">
            <w:pPr>
              <w:jc w:val="center"/>
              <w:rPr>
                <w:sz w:val="22"/>
                <w:szCs w:val="22"/>
              </w:rPr>
            </w:pPr>
          </w:p>
          <w:p w:rsidR="00B862A8" w:rsidRPr="004E6C6F" w:rsidRDefault="00B862A8" w:rsidP="00B862A8">
            <w:pPr>
              <w:ind w:left="102" w:right="-20"/>
              <w:jc w:val="center"/>
              <w:rPr>
                <w:sz w:val="22"/>
                <w:szCs w:val="22"/>
              </w:rPr>
            </w:pPr>
            <w:r w:rsidRPr="004E6C6F">
              <w:rPr>
                <w:spacing w:val="1"/>
                <w:sz w:val="22"/>
                <w:szCs w:val="22"/>
              </w:rPr>
              <w:t xml:space="preserve">6,1 </w:t>
            </w:r>
            <w:r w:rsidRPr="004E6C6F">
              <w:rPr>
                <w:sz w:val="22"/>
                <w:szCs w:val="22"/>
              </w:rPr>
              <w:t>%</w:t>
            </w:r>
            <w:r w:rsidRPr="004E6C6F">
              <w:rPr>
                <w:spacing w:val="-3"/>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3,4</w:t>
            </w:r>
            <w:r w:rsidRPr="004E6C6F">
              <w:rPr>
                <w:sz w:val="22"/>
                <w:szCs w:val="22"/>
              </w:rPr>
              <w:t>;</w:t>
            </w:r>
            <w:r w:rsidRPr="004E6C6F">
              <w:rPr>
                <w:spacing w:val="-3"/>
                <w:sz w:val="22"/>
                <w:szCs w:val="22"/>
              </w:rPr>
              <w:t xml:space="preserve"> </w:t>
            </w:r>
            <w:r w:rsidRPr="004E6C6F">
              <w:rPr>
                <w:spacing w:val="1"/>
                <w:sz w:val="22"/>
                <w:szCs w:val="22"/>
              </w:rPr>
              <w:t>15,6)</w:t>
            </w:r>
          </w:p>
          <w:p w:rsidR="00B862A8" w:rsidRPr="004E6C6F" w:rsidRDefault="00B862A8" w:rsidP="00B862A8">
            <w:pPr>
              <w:ind w:left="102" w:right="-20"/>
              <w:jc w:val="center"/>
              <w:rPr>
                <w:sz w:val="22"/>
                <w:szCs w:val="22"/>
              </w:rPr>
            </w:pPr>
            <w:r w:rsidRPr="004E6C6F">
              <w:rPr>
                <w:spacing w:val="-2"/>
                <w:sz w:val="22"/>
                <w:szCs w:val="22"/>
              </w:rPr>
              <w:t>-</w:t>
            </w:r>
            <w:r w:rsidRPr="004E6C6F">
              <w:rPr>
                <w:spacing w:val="1"/>
                <w:sz w:val="22"/>
                <w:szCs w:val="22"/>
              </w:rPr>
              <w:t xml:space="preserve">0,7 </w:t>
            </w:r>
            <w:r w:rsidRPr="004E6C6F">
              <w:rPr>
                <w:sz w:val="22"/>
                <w:szCs w:val="22"/>
              </w:rPr>
              <w:t>%</w:t>
            </w:r>
            <w:r w:rsidRPr="004E6C6F">
              <w:rPr>
                <w:spacing w:val="-4"/>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14,0</w:t>
            </w:r>
            <w:r w:rsidRPr="004E6C6F">
              <w:rPr>
                <w:sz w:val="22"/>
                <w:szCs w:val="22"/>
              </w:rPr>
              <w:t>;</w:t>
            </w:r>
            <w:r w:rsidRPr="004E6C6F">
              <w:rPr>
                <w:spacing w:val="-5"/>
                <w:sz w:val="22"/>
                <w:szCs w:val="22"/>
              </w:rPr>
              <w:t xml:space="preserve"> </w:t>
            </w:r>
            <w:r w:rsidRPr="004E6C6F">
              <w:rPr>
                <w:sz w:val="22"/>
                <w:szCs w:val="22"/>
              </w:rPr>
              <w:t>12,6)</w:t>
            </w:r>
          </w:p>
          <w:p w:rsidR="00B862A8" w:rsidRPr="004E6C6F" w:rsidRDefault="00B862A8" w:rsidP="00B862A8">
            <w:pPr>
              <w:ind w:left="102" w:right="-20"/>
              <w:jc w:val="center"/>
              <w:rPr>
                <w:sz w:val="22"/>
                <w:szCs w:val="22"/>
              </w:rPr>
            </w:pPr>
            <w:r w:rsidRPr="004E6C6F">
              <w:rPr>
                <w:spacing w:val="-2"/>
                <w:sz w:val="22"/>
                <w:szCs w:val="22"/>
              </w:rPr>
              <w:t>-</w:t>
            </w:r>
            <w:r w:rsidRPr="004E6C6F">
              <w:rPr>
                <w:spacing w:val="1"/>
                <w:sz w:val="22"/>
                <w:szCs w:val="22"/>
              </w:rPr>
              <w:t xml:space="preserve">6,1 </w:t>
            </w:r>
            <w:r w:rsidRPr="004E6C6F">
              <w:rPr>
                <w:sz w:val="22"/>
                <w:szCs w:val="22"/>
              </w:rPr>
              <w:t>%</w:t>
            </w:r>
            <w:r w:rsidRPr="004E6C6F">
              <w:rPr>
                <w:spacing w:val="-4"/>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2,6</w:t>
            </w:r>
            <w:r w:rsidRPr="004E6C6F">
              <w:rPr>
                <w:sz w:val="22"/>
                <w:szCs w:val="22"/>
              </w:rPr>
              <w:t>;</w:t>
            </w:r>
            <w:r w:rsidRPr="004E6C6F">
              <w:rPr>
                <w:spacing w:val="-4"/>
                <w:sz w:val="22"/>
                <w:szCs w:val="22"/>
              </w:rPr>
              <w:t xml:space="preserve"> </w:t>
            </w:r>
            <w:r w:rsidRPr="004E6C6F">
              <w:rPr>
                <w:sz w:val="22"/>
                <w:szCs w:val="22"/>
              </w:rPr>
              <w:t>13,7)</w:t>
            </w:r>
          </w:p>
          <w:p w:rsidR="00B862A8" w:rsidRPr="004E6C6F" w:rsidRDefault="00B862A8" w:rsidP="00B862A8">
            <w:pPr>
              <w:ind w:left="102" w:right="-20"/>
              <w:jc w:val="center"/>
              <w:rPr>
                <w:sz w:val="22"/>
                <w:szCs w:val="22"/>
              </w:rPr>
            </w:pPr>
            <w:r w:rsidRPr="004E6C6F">
              <w:rPr>
                <w:spacing w:val="-2"/>
                <w:sz w:val="22"/>
                <w:szCs w:val="22"/>
              </w:rPr>
              <w:t>-</w:t>
            </w:r>
            <w:r w:rsidRPr="004E6C6F">
              <w:rPr>
                <w:spacing w:val="1"/>
                <w:sz w:val="22"/>
                <w:szCs w:val="22"/>
              </w:rPr>
              <w:t xml:space="preserve">28,2 </w:t>
            </w:r>
            <w:r w:rsidRPr="004E6C6F">
              <w:rPr>
                <w:sz w:val="22"/>
                <w:szCs w:val="22"/>
              </w:rPr>
              <w:t>%</w:t>
            </w:r>
            <w:r w:rsidRPr="004E6C6F">
              <w:rPr>
                <w:spacing w:val="-5"/>
                <w:sz w:val="22"/>
                <w:szCs w:val="22"/>
              </w:rPr>
              <w:t xml:space="preserve"> </w:t>
            </w:r>
            <w:r w:rsidRPr="004E6C6F">
              <w:rPr>
                <w:spacing w:val="1"/>
                <w:sz w:val="22"/>
                <w:szCs w:val="22"/>
              </w:rPr>
              <w:t>(</w:t>
            </w:r>
            <w:r w:rsidRPr="004E6C6F">
              <w:rPr>
                <w:spacing w:val="-2"/>
                <w:sz w:val="22"/>
                <w:szCs w:val="22"/>
              </w:rPr>
              <w:t>-</w:t>
            </w:r>
            <w:r w:rsidRPr="004E6C6F">
              <w:rPr>
                <w:spacing w:val="1"/>
                <w:sz w:val="22"/>
                <w:szCs w:val="22"/>
              </w:rPr>
              <w:t>51,0</w:t>
            </w:r>
            <w:r w:rsidRPr="004E6C6F">
              <w:rPr>
                <w:sz w:val="22"/>
                <w:szCs w:val="22"/>
              </w:rPr>
              <w:t>;</w:t>
            </w:r>
            <w:r w:rsidRPr="004E6C6F">
              <w:rPr>
                <w:spacing w:val="-5"/>
                <w:sz w:val="22"/>
                <w:szCs w:val="22"/>
              </w:rPr>
              <w:t xml:space="preserve"> </w:t>
            </w:r>
            <w:r w:rsidRPr="004E6C6F">
              <w:rPr>
                <w:spacing w:val="-2"/>
                <w:sz w:val="22"/>
                <w:szCs w:val="22"/>
              </w:rPr>
              <w:t>-</w:t>
            </w:r>
            <w:r w:rsidRPr="004E6C6F">
              <w:rPr>
                <w:spacing w:val="1"/>
                <w:sz w:val="22"/>
                <w:szCs w:val="22"/>
              </w:rPr>
              <w:t>5,3)</w:t>
            </w:r>
          </w:p>
        </w:tc>
      </w:tr>
      <w:tr w:rsidR="00B862A8" w:rsidRPr="004E6C6F" w:rsidTr="00B862A8">
        <w:trPr>
          <w:trHeight w:val="20"/>
        </w:trPr>
        <w:tc>
          <w:tcPr>
            <w:tcW w:w="1249"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344"/>
              <w:rPr>
                <w:sz w:val="22"/>
                <w:szCs w:val="22"/>
              </w:rPr>
            </w:pPr>
            <w:r w:rsidRPr="004E6C6F">
              <w:rPr>
                <w:sz w:val="22"/>
                <w:szCs w:val="22"/>
              </w:rPr>
              <w:t>Gennemsnitlig ændring</w:t>
            </w:r>
            <w:r w:rsidRPr="004E6C6F">
              <w:rPr>
                <w:spacing w:val="-4"/>
                <w:sz w:val="22"/>
                <w:szCs w:val="22"/>
              </w:rPr>
              <w:t xml:space="preserve"> </w:t>
            </w:r>
            <w:r w:rsidRPr="004E6C6F">
              <w:rPr>
                <w:sz w:val="22"/>
                <w:szCs w:val="22"/>
              </w:rPr>
              <w:t>CD4+</w:t>
            </w:r>
            <w:r w:rsidRPr="004E6C6F">
              <w:rPr>
                <w:spacing w:val="-5"/>
                <w:sz w:val="22"/>
                <w:szCs w:val="22"/>
              </w:rPr>
              <w:t xml:space="preserve"> </w:t>
            </w:r>
            <w:r w:rsidRPr="004E6C6F">
              <w:rPr>
                <w:sz w:val="22"/>
                <w:szCs w:val="22"/>
              </w:rPr>
              <w:t>cell</w:t>
            </w:r>
            <w:r w:rsidRPr="004E6C6F">
              <w:rPr>
                <w:spacing w:val="-3"/>
                <w:sz w:val="22"/>
                <w:szCs w:val="22"/>
              </w:rPr>
              <w:t>eantal</w:t>
            </w:r>
            <w:r w:rsidRPr="004E6C6F">
              <w:rPr>
                <w:sz w:val="22"/>
                <w:szCs w:val="22"/>
              </w:rPr>
              <w:t xml:space="preserve"> forskel fra</w:t>
            </w:r>
            <w:r w:rsidRPr="004E6C6F">
              <w:rPr>
                <w:spacing w:val="-4"/>
                <w:sz w:val="22"/>
                <w:szCs w:val="22"/>
              </w:rPr>
              <w:t xml:space="preserve"> </w:t>
            </w:r>
            <w:r w:rsidRPr="004E6C6F">
              <w:rPr>
                <w:sz w:val="22"/>
                <w:szCs w:val="22"/>
              </w:rPr>
              <w:t xml:space="preserve">baseline </w:t>
            </w:r>
            <w:r w:rsidRPr="004E6C6F">
              <w:rPr>
                <w:spacing w:val="1"/>
                <w:sz w:val="22"/>
                <w:szCs w:val="22"/>
              </w:rPr>
              <w:t>(</w:t>
            </w:r>
            <w:r w:rsidRPr="004E6C6F">
              <w:rPr>
                <w:sz w:val="22"/>
                <w:szCs w:val="22"/>
              </w:rPr>
              <w:t>x</w:t>
            </w:r>
            <w:r w:rsidRPr="004E6C6F">
              <w:rPr>
                <w:spacing w:val="-3"/>
                <w:sz w:val="22"/>
                <w:szCs w:val="22"/>
              </w:rPr>
              <w:t xml:space="preserve"> </w:t>
            </w:r>
            <w:r w:rsidRPr="004E6C6F">
              <w:rPr>
                <w:spacing w:val="1"/>
                <w:sz w:val="22"/>
                <w:szCs w:val="22"/>
              </w:rPr>
              <w:t>10</w:t>
            </w:r>
            <w:r w:rsidRPr="004E6C6F">
              <w:rPr>
                <w:spacing w:val="1"/>
                <w:sz w:val="22"/>
                <w:szCs w:val="22"/>
                <w:vertAlign w:val="superscript"/>
              </w:rPr>
              <w:t>6</w:t>
            </w:r>
            <w:r w:rsidRPr="004E6C6F">
              <w:rPr>
                <w:sz w:val="22"/>
                <w:szCs w:val="22"/>
              </w:rPr>
              <w:t>/</w:t>
            </w:r>
            <w:proofErr w:type="gramStart"/>
            <w:r w:rsidRPr="004E6C6F">
              <w:rPr>
                <w:sz w:val="22"/>
                <w:szCs w:val="22"/>
              </w:rPr>
              <w:t>l</w:t>
            </w:r>
            <w:r w:rsidRPr="004E6C6F">
              <w:rPr>
                <w:spacing w:val="1"/>
                <w:sz w:val="22"/>
                <w:szCs w:val="22"/>
              </w:rPr>
              <w:t>)</w:t>
            </w:r>
            <w:r w:rsidRPr="004E6C6F">
              <w:rPr>
                <w:spacing w:val="1"/>
                <w:sz w:val="22"/>
                <w:szCs w:val="22"/>
                <w:vertAlign w:val="superscript"/>
              </w:rPr>
              <w:t>e</w:t>
            </w:r>
            <w:proofErr w:type="gramEnd"/>
          </w:p>
        </w:tc>
        <w:tc>
          <w:tcPr>
            <w:tcW w:w="125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jc w:val="center"/>
              <w:rPr>
                <w:sz w:val="22"/>
                <w:szCs w:val="22"/>
              </w:rPr>
            </w:pPr>
            <w:r w:rsidRPr="004E6C6F">
              <w:rPr>
                <w:spacing w:val="1"/>
                <w:sz w:val="22"/>
                <w:szCs w:val="22"/>
              </w:rPr>
              <w:t>108</w:t>
            </w:r>
          </w:p>
        </w:tc>
        <w:tc>
          <w:tcPr>
            <w:tcW w:w="1249"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0" w:right="-20"/>
              <w:jc w:val="center"/>
              <w:rPr>
                <w:sz w:val="22"/>
                <w:szCs w:val="22"/>
              </w:rPr>
            </w:pPr>
            <w:r w:rsidRPr="004E6C6F">
              <w:rPr>
                <w:spacing w:val="1"/>
                <w:sz w:val="22"/>
                <w:szCs w:val="22"/>
              </w:rPr>
              <w:t>112</w:t>
            </w:r>
          </w:p>
        </w:tc>
        <w:tc>
          <w:tcPr>
            <w:tcW w:w="1251" w:type="pct"/>
            <w:tcBorders>
              <w:top w:val="single" w:sz="4" w:space="0" w:color="000000"/>
              <w:left w:val="single" w:sz="4" w:space="0" w:color="000000"/>
              <w:bottom w:val="single" w:sz="4" w:space="0" w:color="000000"/>
              <w:right w:val="single" w:sz="4" w:space="0" w:color="000000"/>
            </w:tcBorders>
          </w:tcPr>
          <w:p w:rsidR="00B862A8" w:rsidRPr="004E6C6F" w:rsidRDefault="00B862A8" w:rsidP="00B862A8">
            <w:pPr>
              <w:ind w:left="102" w:right="-20"/>
              <w:jc w:val="center"/>
              <w:rPr>
                <w:sz w:val="22"/>
                <w:szCs w:val="22"/>
              </w:rPr>
            </w:pPr>
            <w:r w:rsidRPr="004E6C6F">
              <w:rPr>
                <w:spacing w:val="-2"/>
                <w:sz w:val="22"/>
                <w:szCs w:val="22"/>
              </w:rPr>
              <w:t>-</w:t>
            </w:r>
            <w:r>
              <w:rPr>
                <w:spacing w:val="1"/>
                <w:sz w:val="22"/>
                <w:szCs w:val="22"/>
              </w:rPr>
              <w:t>5</w:t>
            </w:r>
            <w:r w:rsidRPr="004E6C6F">
              <w:rPr>
                <w:spacing w:val="1"/>
                <w:sz w:val="22"/>
                <w:szCs w:val="22"/>
                <w:vertAlign w:val="superscript"/>
              </w:rPr>
              <w:t>d</w:t>
            </w:r>
            <w:r>
              <w:rPr>
                <w:spacing w:val="1"/>
                <w:sz w:val="22"/>
                <w:szCs w:val="22"/>
              </w:rPr>
              <w:t xml:space="preserve"> (</w:t>
            </w:r>
            <w:r w:rsidRPr="004E6C6F">
              <w:rPr>
                <w:spacing w:val="-1"/>
                <w:sz w:val="22"/>
                <w:szCs w:val="22"/>
              </w:rPr>
              <w:t>-</w:t>
            </w:r>
            <w:r w:rsidRPr="004E6C6F">
              <w:rPr>
                <w:spacing w:val="1"/>
                <w:sz w:val="22"/>
                <w:szCs w:val="22"/>
              </w:rPr>
              <w:t>25</w:t>
            </w:r>
            <w:r w:rsidRPr="004E6C6F">
              <w:rPr>
                <w:sz w:val="22"/>
                <w:szCs w:val="22"/>
              </w:rPr>
              <w:t>;</w:t>
            </w:r>
            <w:r w:rsidRPr="004E6C6F">
              <w:rPr>
                <w:spacing w:val="-2"/>
                <w:sz w:val="22"/>
                <w:szCs w:val="22"/>
              </w:rPr>
              <w:t xml:space="preserve"> </w:t>
            </w:r>
            <w:r w:rsidRPr="004E6C6F">
              <w:rPr>
                <w:spacing w:val="1"/>
                <w:sz w:val="22"/>
                <w:szCs w:val="22"/>
              </w:rPr>
              <w:t>16)</w:t>
            </w:r>
          </w:p>
        </w:tc>
      </w:tr>
    </w:tbl>
    <w:p w:rsidR="00B862A8" w:rsidRPr="004623FF" w:rsidRDefault="00B862A8" w:rsidP="00B862A8">
      <w:pPr>
        <w:ind w:left="851" w:hanging="284"/>
        <w:rPr>
          <w:sz w:val="22"/>
          <w:szCs w:val="22"/>
          <w:lang w:val="en-US"/>
        </w:rPr>
      </w:pPr>
      <w:r w:rsidRPr="004623FF">
        <w:rPr>
          <w:sz w:val="22"/>
          <w:szCs w:val="22"/>
          <w:vertAlign w:val="superscript"/>
          <w:lang w:val="en-US"/>
        </w:rPr>
        <w:t>a</w:t>
      </w:r>
      <w:r w:rsidRPr="004623FF">
        <w:rPr>
          <w:sz w:val="22"/>
          <w:szCs w:val="22"/>
          <w:lang w:val="en-US"/>
        </w:rPr>
        <w:t xml:space="preserve"> </w:t>
      </w:r>
      <w:r w:rsidRPr="004623FF">
        <w:rPr>
          <w:sz w:val="22"/>
          <w:szCs w:val="22"/>
          <w:lang w:val="en-US"/>
        </w:rPr>
        <w:tab/>
        <w:t>I henhold til TLOVR-algoritmen (time to loss of viral response).</w:t>
      </w:r>
    </w:p>
    <w:p w:rsidR="00B862A8" w:rsidRPr="004623FF" w:rsidRDefault="00B862A8" w:rsidP="00B862A8">
      <w:pPr>
        <w:ind w:left="851" w:hanging="284"/>
        <w:rPr>
          <w:sz w:val="22"/>
          <w:szCs w:val="22"/>
        </w:rPr>
      </w:pPr>
      <w:r w:rsidRPr="004623FF">
        <w:rPr>
          <w:sz w:val="22"/>
          <w:szCs w:val="22"/>
          <w:vertAlign w:val="superscript"/>
        </w:rPr>
        <w:t>b</w:t>
      </w:r>
      <w:r w:rsidRPr="004623FF">
        <w:rPr>
          <w:sz w:val="22"/>
          <w:szCs w:val="22"/>
        </w:rPr>
        <w:t xml:space="preserve"> </w:t>
      </w:r>
      <w:r w:rsidRPr="004623FF">
        <w:rPr>
          <w:sz w:val="22"/>
          <w:szCs w:val="22"/>
        </w:rPr>
        <w:tab/>
        <w:t>Baseret på en normal approksimation af forskellen i % respons.</w:t>
      </w:r>
    </w:p>
    <w:p w:rsidR="00B862A8" w:rsidRPr="00815FE0" w:rsidRDefault="00B862A8" w:rsidP="00B862A8">
      <w:pPr>
        <w:ind w:left="851" w:hanging="284"/>
        <w:rPr>
          <w:sz w:val="22"/>
          <w:szCs w:val="22"/>
          <w:lang w:val="en-US"/>
        </w:rPr>
      </w:pPr>
      <w:r w:rsidRPr="00815FE0">
        <w:rPr>
          <w:sz w:val="22"/>
          <w:szCs w:val="22"/>
          <w:vertAlign w:val="superscript"/>
          <w:lang w:val="en-US"/>
        </w:rPr>
        <w:t>c</w:t>
      </w:r>
      <w:r w:rsidRPr="00815FE0">
        <w:rPr>
          <w:sz w:val="22"/>
          <w:szCs w:val="22"/>
          <w:lang w:val="en-US"/>
        </w:rPr>
        <w:t xml:space="preserve"> </w:t>
      </w:r>
      <w:r w:rsidRPr="00815FE0">
        <w:rPr>
          <w:sz w:val="22"/>
          <w:szCs w:val="22"/>
          <w:lang w:val="en-US"/>
        </w:rPr>
        <w:tab/>
        <w:t>Subtype A1, D, F1, G, K, CRF02_AG, CRF12_BF og CRF06_CPX.</w:t>
      </w:r>
    </w:p>
    <w:p w:rsidR="00B862A8" w:rsidRPr="004623FF" w:rsidRDefault="00B862A8" w:rsidP="00B862A8">
      <w:pPr>
        <w:ind w:left="851" w:hanging="284"/>
        <w:rPr>
          <w:sz w:val="22"/>
          <w:szCs w:val="22"/>
        </w:rPr>
      </w:pPr>
      <w:r w:rsidRPr="004623FF">
        <w:rPr>
          <w:sz w:val="22"/>
          <w:szCs w:val="22"/>
          <w:vertAlign w:val="superscript"/>
        </w:rPr>
        <w:t>d</w:t>
      </w:r>
      <w:r w:rsidRPr="004623FF">
        <w:rPr>
          <w:sz w:val="22"/>
          <w:szCs w:val="22"/>
        </w:rPr>
        <w:t xml:space="preserve"> </w:t>
      </w:r>
      <w:r w:rsidRPr="004623FF">
        <w:rPr>
          <w:sz w:val="22"/>
          <w:szCs w:val="22"/>
        </w:rPr>
        <w:tab/>
        <w:t>Forskelle i gennemsnit.</w:t>
      </w:r>
    </w:p>
    <w:p w:rsidR="00B862A8" w:rsidRPr="004623FF" w:rsidRDefault="00B862A8" w:rsidP="00B862A8">
      <w:pPr>
        <w:ind w:left="851" w:hanging="284"/>
        <w:rPr>
          <w:sz w:val="22"/>
          <w:szCs w:val="22"/>
        </w:rPr>
      </w:pPr>
      <w:r w:rsidRPr="004623FF">
        <w:rPr>
          <w:sz w:val="22"/>
          <w:szCs w:val="22"/>
          <w:vertAlign w:val="superscript"/>
        </w:rPr>
        <w:t>e</w:t>
      </w:r>
      <w:r w:rsidRPr="004623FF">
        <w:rPr>
          <w:sz w:val="22"/>
          <w:szCs w:val="22"/>
        </w:rPr>
        <w:t xml:space="preserve"> </w:t>
      </w:r>
      <w:r w:rsidRPr="004623FF">
        <w:rPr>
          <w:sz w:val="22"/>
          <w:szCs w:val="22"/>
        </w:rPr>
        <w:tab/>
        <w:t>Tilregning af LOCF (sidste overførte observation).</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Efter 48 uger blev der påvist non-inferioritet (ved den foruddefinerede 12%-grænse for</w:t>
      </w:r>
      <w:r>
        <w:rPr>
          <w:sz w:val="24"/>
          <w:szCs w:val="24"/>
        </w:rPr>
        <w:t xml:space="preserve"> </w:t>
      </w:r>
      <w:r w:rsidRPr="00ED0DE7">
        <w:rPr>
          <w:sz w:val="24"/>
          <w:szCs w:val="24"/>
        </w:rPr>
        <w:t>non-inferioritet) af det virologiske respons, defineret som procentdelen af patienter med plasma-</w:t>
      </w:r>
      <w:r>
        <w:rPr>
          <w:sz w:val="24"/>
          <w:szCs w:val="24"/>
        </w:rPr>
        <w:t>HIV</w:t>
      </w:r>
      <w:r w:rsidRPr="00ED0DE7">
        <w:rPr>
          <w:sz w:val="24"/>
          <w:szCs w:val="24"/>
        </w:rPr>
        <w:t>-1-RNA &lt; 50 kopier/ml, på behandling med darunavir/ritonavir 800/100 mg en gang daglig sammenlignet med darunavir/ritonavir 600/100 mg to gange daglig hos både ITT- og OP-populationer.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 xml:space="preserve">Darunavir/ritonavir 800/100 mg en gang daglig hos ART-erfarne patienter bør ikke anvendes til patienter med en eller flere mutationer associeret med darunavirresistens </w:t>
      </w:r>
      <w:r w:rsidRPr="00ED0DE7">
        <w:rPr>
          <w:sz w:val="24"/>
          <w:szCs w:val="24"/>
        </w:rPr>
        <w:lastRenderedPageBreak/>
        <w:t xml:space="preserve">(DRV-RAMs) eller </w:t>
      </w:r>
      <w:r>
        <w:rPr>
          <w:sz w:val="24"/>
          <w:szCs w:val="24"/>
        </w:rPr>
        <w:t>HIV</w:t>
      </w:r>
      <w:r w:rsidRPr="00ED0DE7">
        <w:rPr>
          <w:sz w:val="24"/>
          <w:szCs w:val="24"/>
        </w:rPr>
        <w:t>-1 RNA ≥ 100.000 kopier/ml eller CD4+-celletal &lt; 100 x 10</w:t>
      </w:r>
      <w:r w:rsidRPr="00ED0DE7">
        <w:rPr>
          <w:sz w:val="24"/>
          <w:szCs w:val="24"/>
          <w:vertAlign w:val="superscript"/>
        </w:rPr>
        <w:t>6</w:t>
      </w:r>
      <w:r w:rsidRPr="00ED0DE7">
        <w:rPr>
          <w:sz w:val="24"/>
          <w:szCs w:val="24"/>
        </w:rPr>
        <w:t xml:space="preserve"> celler/l (se pkt. 4.2 og 4.4). Der foreligger begrænsede data for patienter med andre </w:t>
      </w:r>
      <w:r>
        <w:rPr>
          <w:sz w:val="24"/>
          <w:szCs w:val="24"/>
        </w:rPr>
        <w:t>HIV</w:t>
      </w:r>
      <w:r w:rsidRPr="00ED0DE7">
        <w:rPr>
          <w:sz w:val="24"/>
          <w:szCs w:val="24"/>
        </w:rPr>
        <w:t>-1-subtyper end subtype B.</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b/>
          <w:bCs/>
          <w:i/>
          <w:iCs/>
          <w:sz w:val="24"/>
          <w:szCs w:val="24"/>
        </w:rPr>
        <w:t xml:space="preserve">POWER 1 </w:t>
      </w:r>
      <w:r w:rsidRPr="00ED0DE7">
        <w:rPr>
          <w:i/>
          <w:iCs/>
          <w:sz w:val="24"/>
          <w:szCs w:val="24"/>
        </w:rPr>
        <w:t xml:space="preserve">og </w:t>
      </w:r>
      <w:r w:rsidRPr="00ED0DE7">
        <w:rPr>
          <w:b/>
          <w:bCs/>
          <w:i/>
          <w:iCs/>
          <w:sz w:val="24"/>
          <w:szCs w:val="24"/>
        </w:rPr>
        <w:t xml:space="preserve">POWER 2 </w:t>
      </w:r>
      <w:r w:rsidRPr="00ED0DE7">
        <w:rPr>
          <w:sz w:val="24"/>
          <w:szCs w:val="24"/>
        </w:rPr>
        <w:t xml:space="preserve">er randomiserede, kontrollerede studier, der sammenligner darunavir, når det gives sammen med ritonavir (600/100 mg to gange daglig) med en kontrolgruppe, der får et eller flere PI-regimer valgt af investigator, hos </w:t>
      </w:r>
      <w:r>
        <w:rPr>
          <w:sz w:val="24"/>
          <w:szCs w:val="24"/>
        </w:rPr>
        <w:t>HIV</w:t>
      </w:r>
      <w:r w:rsidRPr="00ED0DE7">
        <w:rPr>
          <w:sz w:val="24"/>
          <w:szCs w:val="24"/>
        </w:rPr>
        <w:t>-1-inficerede patienter, som tidligere har oplevet svigt i mere end et PI-regime. I begge studier anvendtes et OBR, der bestod af mindst 2 NRTI’er med eller uden enfuvirtid (ENF).</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 xml:space="preserve">Tabellen nedenfor viser virkningsdata fra 48-ugers og 96 ugers analyserne fra de samlede </w:t>
      </w:r>
      <w:r w:rsidRPr="00ED0DE7">
        <w:rPr>
          <w:i/>
          <w:iCs/>
          <w:sz w:val="24"/>
          <w:szCs w:val="24"/>
        </w:rPr>
        <w:t>POWER 1</w:t>
      </w:r>
      <w:r w:rsidRPr="00ED0DE7">
        <w:rPr>
          <w:sz w:val="24"/>
          <w:szCs w:val="24"/>
        </w:rPr>
        <w:t xml:space="preserve">- og </w:t>
      </w:r>
      <w:r w:rsidRPr="00ED0DE7">
        <w:rPr>
          <w:i/>
          <w:iCs/>
          <w:sz w:val="24"/>
          <w:szCs w:val="24"/>
        </w:rPr>
        <w:t>POWER 2</w:t>
      </w:r>
      <w:r w:rsidRPr="00ED0DE7">
        <w:rPr>
          <w:sz w:val="24"/>
          <w:szCs w:val="24"/>
        </w:rPr>
        <w:t xml:space="preserve">-studier. </w:t>
      </w:r>
    </w:p>
    <w:p w:rsidR="00B862A8" w:rsidRPr="00ED0DE7" w:rsidRDefault="00B862A8" w:rsidP="00B862A8">
      <w:pPr>
        <w:autoSpaceDE w:val="0"/>
        <w:autoSpaceDN w:val="0"/>
        <w:adjustRightInd w:val="0"/>
        <w:rPr>
          <w:sz w:val="24"/>
          <w:szCs w:val="24"/>
        </w:rPr>
      </w:pPr>
    </w:p>
    <w:p w:rsidR="00B862A8" w:rsidRPr="00ED0DE7" w:rsidRDefault="00B862A8" w:rsidP="00B862A8">
      <w:pPr>
        <w:spacing w:before="2" w:line="80" w:lineRule="exact"/>
        <w:rPr>
          <w:sz w:val="24"/>
          <w:szCs w:val="24"/>
        </w:rPr>
      </w:pPr>
    </w:p>
    <w:tbl>
      <w:tblPr>
        <w:tblW w:w="5000" w:type="pct"/>
        <w:tblCellMar>
          <w:left w:w="0" w:type="dxa"/>
          <w:right w:w="0" w:type="dxa"/>
        </w:tblCellMar>
        <w:tblLook w:val="01E0" w:firstRow="1" w:lastRow="1" w:firstColumn="1" w:lastColumn="1" w:noHBand="0" w:noVBand="0"/>
      </w:tblPr>
      <w:tblGrid>
        <w:gridCol w:w="1787"/>
        <w:gridCol w:w="1473"/>
        <w:gridCol w:w="859"/>
        <w:gridCol w:w="1583"/>
        <w:gridCol w:w="1721"/>
        <w:gridCol w:w="847"/>
        <w:gridCol w:w="1358"/>
      </w:tblGrid>
      <w:tr w:rsidR="00B862A8" w:rsidRPr="00657DC1" w:rsidTr="00B862A8">
        <w:trPr>
          <w:trHeight w:val="20"/>
        </w:trPr>
        <w:tc>
          <w:tcPr>
            <w:tcW w:w="5000" w:type="pct"/>
            <w:gridSpan w:val="7"/>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137" w:right="3042"/>
              <w:jc w:val="center"/>
              <w:rPr>
                <w:bCs/>
                <w:sz w:val="22"/>
                <w:szCs w:val="22"/>
              </w:rPr>
            </w:pPr>
            <w:r w:rsidRPr="009B1A84">
              <w:rPr>
                <w:b/>
                <w:spacing w:val="1"/>
                <w:sz w:val="22"/>
                <w:szCs w:val="22"/>
              </w:rPr>
              <w:tab/>
            </w:r>
            <w:r w:rsidRPr="009B1A84">
              <w:rPr>
                <w:b/>
                <w:spacing w:val="1"/>
                <w:sz w:val="22"/>
                <w:szCs w:val="22"/>
              </w:rPr>
              <w:tab/>
            </w:r>
            <w:r w:rsidRPr="004623FF">
              <w:rPr>
                <w:bCs/>
                <w:spacing w:val="1"/>
                <w:sz w:val="22"/>
                <w:szCs w:val="22"/>
              </w:rPr>
              <w:t>Samlet data fra POWE</w:t>
            </w:r>
            <w:r w:rsidRPr="004623FF">
              <w:rPr>
                <w:bCs/>
                <w:sz w:val="22"/>
                <w:szCs w:val="22"/>
              </w:rPr>
              <w:t>R</w:t>
            </w:r>
            <w:r w:rsidRPr="004623FF">
              <w:rPr>
                <w:bCs/>
                <w:spacing w:val="-7"/>
                <w:sz w:val="22"/>
                <w:szCs w:val="22"/>
              </w:rPr>
              <w:t xml:space="preserve"> </w:t>
            </w:r>
            <w:r w:rsidRPr="004623FF">
              <w:rPr>
                <w:bCs/>
                <w:sz w:val="22"/>
                <w:szCs w:val="22"/>
              </w:rPr>
              <w:t>1 og</w:t>
            </w:r>
            <w:r w:rsidRPr="004623FF">
              <w:rPr>
                <w:bCs/>
                <w:spacing w:val="-2"/>
                <w:sz w:val="22"/>
                <w:szCs w:val="22"/>
              </w:rPr>
              <w:t xml:space="preserve"> </w:t>
            </w:r>
            <w:r w:rsidRPr="004623FF">
              <w:rPr>
                <w:bCs/>
                <w:sz w:val="22"/>
                <w:szCs w:val="22"/>
              </w:rPr>
              <w:t>POWER</w:t>
            </w:r>
            <w:r w:rsidRPr="004623FF">
              <w:rPr>
                <w:bCs/>
                <w:spacing w:val="-7"/>
                <w:sz w:val="22"/>
                <w:szCs w:val="22"/>
              </w:rPr>
              <w:t xml:space="preserve"> </w:t>
            </w:r>
            <w:r w:rsidRPr="004623FF">
              <w:rPr>
                <w:bCs/>
                <w:sz w:val="22"/>
                <w:szCs w:val="22"/>
              </w:rPr>
              <w:t>2</w:t>
            </w:r>
          </w:p>
        </w:tc>
      </w:tr>
      <w:tr w:rsidR="00B862A8" w:rsidRPr="00657DC1" w:rsidTr="00B862A8">
        <w:trPr>
          <w:trHeight w:val="20"/>
        </w:trPr>
        <w:tc>
          <w:tcPr>
            <w:tcW w:w="928"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ind w:left="137"/>
              <w:rPr>
                <w:sz w:val="22"/>
                <w:szCs w:val="22"/>
              </w:rPr>
            </w:pPr>
          </w:p>
        </w:tc>
        <w:tc>
          <w:tcPr>
            <w:tcW w:w="2033" w:type="pct"/>
            <w:gridSpan w:val="3"/>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ind w:left="137" w:right="1519"/>
              <w:jc w:val="center"/>
              <w:rPr>
                <w:spacing w:val="1"/>
                <w:sz w:val="22"/>
                <w:szCs w:val="22"/>
              </w:rPr>
            </w:pPr>
            <w:r w:rsidRPr="009B1A84">
              <w:rPr>
                <w:spacing w:val="1"/>
                <w:sz w:val="22"/>
                <w:szCs w:val="22"/>
              </w:rPr>
              <w:t>Uge 48</w:t>
            </w:r>
          </w:p>
        </w:tc>
        <w:tc>
          <w:tcPr>
            <w:tcW w:w="2039" w:type="pct"/>
            <w:gridSpan w:val="3"/>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ind w:left="137" w:right="1399"/>
              <w:jc w:val="center"/>
              <w:rPr>
                <w:spacing w:val="1"/>
                <w:sz w:val="22"/>
                <w:szCs w:val="22"/>
              </w:rPr>
            </w:pPr>
            <w:r w:rsidRPr="009B1A84">
              <w:rPr>
                <w:spacing w:val="1"/>
                <w:sz w:val="22"/>
                <w:szCs w:val="22"/>
              </w:rPr>
              <w:t>Uge 96</w:t>
            </w:r>
          </w:p>
        </w:tc>
      </w:tr>
      <w:tr w:rsidR="00B862A8" w:rsidRPr="00657DC1" w:rsidTr="00B862A8">
        <w:trPr>
          <w:trHeight w:val="20"/>
        </w:trPr>
        <w:tc>
          <w:tcPr>
            <w:tcW w:w="928"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Resultater</w:t>
            </w:r>
          </w:p>
        </w:tc>
        <w:tc>
          <w:tcPr>
            <w:tcW w:w="765"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Darunavir/</w:t>
            </w:r>
          </w:p>
          <w:p w:rsidR="00B862A8" w:rsidRPr="009B1A84" w:rsidRDefault="00B862A8" w:rsidP="00B862A8">
            <w:pPr>
              <w:rPr>
                <w:sz w:val="22"/>
                <w:szCs w:val="22"/>
              </w:rPr>
            </w:pPr>
            <w:r w:rsidRPr="009B1A84">
              <w:rPr>
                <w:sz w:val="22"/>
                <w:szCs w:val="22"/>
              </w:rPr>
              <w:t>ritonavir</w:t>
            </w:r>
          </w:p>
          <w:p w:rsidR="00B862A8" w:rsidRPr="009B1A84" w:rsidRDefault="00B862A8" w:rsidP="00B862A8">
            <w:pPr>
              <w:rPr>
                <w:sz w:val="22"/>
                <w:szCs w:val="22"/>
              </w:rPr>
            </w:pPr>
            <w:r w:rsidRPr="009B1A84">
              <w:rPr>
                <w:spacing w:val="1"/>
                <w:sz w:val="22"/>
                <w:szCs w:val="22"/>
              </w:rPr>
              <w:t>600/1</w:t>
            </w:r>
            <w:r w:rsidRPr="009B1A84">
              <w:rPr>
                <w:spacing w:val="-1"/>
                <w:sz w:val="22"/>
                <w:szCs w:val="22"/>
              </w:rPr>
              <w:t>0</w:t>
            </w:r>
            <w:r w:rsidRPr="009B1A84">
              <w:rPr>
                <w:sz w:val="22"/>
                <w:szCs w:val="22"/>
              </w:rPr>
              <w:t>0</w:t>
            </w:r>
            <w:r w:rsidRPr="009B1A84">
              <w:rPr>
                <w:spacing w:val="-5"/>
                <w:sz w:val="22"/>
                <w:szCs w:val="22"/>
              </w:rPr>
              <w:t xml:space="preserve"> </w:t>
            </w:r>
            <w:r w:rsidRPr="009B1A84">
              <w:rPr>
                <w:spacing w:val="-1"/>
                <w:sz w:val="22"/>
                <w:szCs w:val="22"/>
              </w:rPr>
              <w:t>mg to gange daglig</w:t>
            </w:r>
            <w:r w:rsidRPr="009B1A84">
              <w:rPr>
                <w:sz w:val="22"/>
                <w:szCs w:val="22"/>
              </w:rPr>
              <w:t xml:space="preserve"> n=131</w:t>
            </w:r>
          </w:p>
        </w:tc>
        <w:tc>
          <w:tcPr>
            <w:tcW w:w="446"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Kontrol n=124</w:t>
            </w:r>
          </w:p>
        </w:tc>
        <w:tc>
          <w:tcPr>
            <w:tcW w:w="822"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Behandlings-forskel</w:t>
            </w:r>
          </w:p>
        </w:tc>
        <w:tc>
          <w:tcPr>
            <w:tcW w:w="894"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Darunavir/ritonavir</w:t>
            </w:r>
          </w:p>
          <w:p w:rsidR="00B862A8" w:rsidRPr="009B1A84" w:rsidRDefault="00B862A8" w:rsidP="00B862A8">
            <w:pPr>
              <w:rPr>
                <w:sz w:val="22"/>
                <w:szCs w:val="22"/>
              </w:rPr>
            </w:pPr>
            <w:r w:rsidRPr="009B1A84">
              <w:rPr>
                <w:spacing w:val="1"/>
                <w:sz w:val="22"/>
                <w:szCs w:val="22"/>
              </w:rPr>
              <w:t>600/10</w:t>
            </w:r>
            <w:r w:rsidRPr="009B1A84">
              <w:rPr>
                <w:sz w:val="22"/>
                <w:szCs w:val="22"/>
              </w:rPr>
              <w:t>0</w:t>
            </w:r>
            <w:r w:rsidRPr="009B1A84">
              <w:rPr>
                <w:spacing w:val="-5"/>
                <w:sz w:val="22"/>
                <w:szCs w:val="22"/>
              </w:rPr>
              <w:t xml:space="preserve"> </w:t>
            </w:r>
            <w:r w:rsidRPr="009B1A84">
              <w:rPr>
                <w:spacing w:val="-1"/>
                <w:sz w:val="22"/>
                <w:szCs w:val="22"/>
              </w:rPr>
              <w:t xml:space="preserve">mg </w:t>
            </w:r>
            <w:r w:rsidRPr="009B1A84">
              <w:rPr>
                <w:spacing w:val="2"/>
                <w:sz w:val="22"/>
                <w:szCs w:val="22"/>
              </w:rPr>
              <w:t>to gange daglig</w:t>
            </w:r>
            <w:r w:rsidRPr="009B1A84">
              <w:rPr>
                <w:sz w:val="22"/>
                <w:szCs w:val="22"/>
              </w:rPr>
              <w:t xml:space="preserve"> n=131</w:t>
            </w:r>
          </w:p>
        </w:tc>
        <w:tc>
          <w:tcPr>
            <w:tcW w:w="440"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Kontrol n=124</w:t>
            </w:r>
          </w:p>
        </w:tc>
        <w:tc>
          <w:tcPr>
            <w:tcW w:w="706"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Behandlings-forskel</w:t>
            </w:r>
          </w:p>
        </w:tc>
      </w:tr>
      <w:tr w:rsidR="00B862A8" w:rsidRPr="00657DC1" w:rsidTr="00B862A8">
        <w:trPr>
          <w:trHeight w:val="20"/>
        </w:trPr>
        <w:tc>
          <w:tcPr>
            <w:tcW w:w="928"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Pr>
                <w:spacing w:val="1"/>
                <w:position w:val="-1"/>
                <w:sz w:val="22"/>
                <w:szCs w:val="22"/>
              </w:rPr>
              <w:t>HIV</w:t>
            </w:r>
            <w:r w:rsidRPr="009B1A84">
              <w:rPr>
                <w:spacing w:val="-3"/>
                <w:position w:val="-1"/>
                <w:sz w:val="22"/>
                <w:szCs w:val="22"/>
              </w:rPr>
              <w:t xml:space="preserve"> </w:t>
            </w:r>
            <w:r w:rsidRPr="009B1A84">
              <w:rPr>
                <w:position w:val="-1"/>
                <w:sz w:val="22"/>
                <w:szCs w:val="22"/>
              </w:rPr>
              <w:t>RNA</w:t>
            </w:r>
          </w:p>
          <w:p w:rsidR="00B862A8" w:rsidRPr="009B1A84" w:rsidRDefault="00B862A8" w:rsidP="00B862A8">
            <w:pPr>
              <w:rPr>
                <w:sz w:val="22"/>
                <w:szCs w:val="22"/>
              </w:rPr>
            </w:pPr>
            <w:r w:rsidRPr="009B1A84">
              <w:rPr>
                <w:sz w:val="22"/>
                <w:szCs w:val="22"/>
              </w:rPr>
              <w:t xml:space="preserve">&lt; </w:t>
            </w:r>
            <w:r w:rsidRPr="009B1A84">
              <w:rPr>
                <w:spacing w:val="1"/>
                <w:sz w:val="22"/>
                <w:szCs w:val="22"/>
              </w:rPr>
              <w:t>5</w:t>
            </w:r>
            <w:r w:rsidRPr="009B1A84">
              <w:rPr>
                <w:sz w:val="22"/>
                <w:szCs w:val="22"/>
              </w:rPr>
              <w:t>0 kopier/ml</w:t>
            </w:r>
            <w:r w:rsidRPr="009B1A84">
              <w:rPr>
                <w:sz w:val="22"/>
                <w:szCs w:val="22"/>
                <w:vertAlign w:val="superscript"/>
              </w:rPr>
              <w:t>a</w:t>
            </w:r>
          </w:p>
        </w:tc>
        <w:tc>
          <w:tcPr>
            <w:tcW w:w="765"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45,0 % (59)</w:t>
            </w:r>
          </w:p>
        </w:tc>
        <w:tc>
          <w:tcPr>
            <w:tcW w:w="446"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11,3 % (14)</w:t>
            </w:r>
          </w:p>
        </w:tc>
        <w:tc>
          <w:tcPr>
            <w:tcW w:w="822"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position w:val="-1"/>
                <w:sz w:val="22"/>
                <w:szCs w:val="22"/>
              </w:rPr>
              <w:t>33,7 %</w:t>
            </w:r>
          </w:p>
          <w:p w:rsidR="00B862A8" w:rsidRPr="009B1A84" w:rsidRDefault="00B862A8" w:rsidP="00B862A8">
            <w:pPr>
              <w:rPr>
                <w:sz w:val="22"/>
                <w:szCs w:val="22"/>
              </w:rPr>
            </w:pPr>
            <w:r w:rsidRPr="009B1A84">
              <w:rPr>
                <w:spacing w:val="1"/>
                <w:sz w:val="22"/>
                <w:szCs w:val="22"/>
              </w:rPr>
              <w:t>(23,4 %</w:t>
            </w:r>
            <w:r w:rsidRPr="009B1A84">
              <w:rPr>
                <w:sz w:val="22"/>
                <w:szCs w:val="22"/>
              </w:rPr>
              <w:t>;</w:t>
            </w:r>
            <w:r w:rsidRPr="009B1A84">
              <w:rPr>
                <w:spacing w:val="-5"/>
                <w:sz w:val="22"/>
                <w:szCs w:val="22"/>
              </w:rPr>
              <w:t xml:space="preserve"> </w:t>
            </w:r>
            <w:r w:rsidRPr="009B1A84">
              <w:rPr>
                <w:spacing w:val="1"/>
                <w:sz w:val="22"/>
                <w:szCs w:val="22"/>
              </w:rPr>
              <w:t>44,1</w:t>
            </w:r>
            <w:proofErr w:type="gramStart"/>
            <w:r w:rsidRPr="009B1A84">
              <w:rPr>
                <w:spacing w:val="1"/>
                <w:sz w:val="22"/>
                <w:szCs w:val="22"/>
              </w:rPr>
              <w:t>%)</w:t>
            </w:r>
            <w:r w:rsidRPr="009B1A84">
              <w:rPr>
                <w:position w:val="9"/>
                <w:sz w:val="22"/>
                <w:szCs w:val="22"/>
              </w:rPr>
              <w:t>c</w:t>
            </w:r>
            <w:proofErr w:type="gramEnd"/>
          </w:p>
        </w:tc>
        <w:tc>
          <w:tcPr>
            <w:tcW w:w="894"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38,9 % (51)</w:t>
            </w:r>
          </w:p>
        </w:tc>
        <w:tc>
          <w:tcPr>
            <w:tcW w:w="440"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8,9 % (11)</w:t>
            </w:r>
          </w:p>
        </w:tc>
        <w:tc>
          <w:tcPr>
            <w:tcW w:w="706"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position w:val="-1"/>
                <w:sz w:val="22"/>
                <w:szCs w:val="22"/>
              </w:rPr>
              <w:t>30,1 %</w:t>
            </w:r>
          </w:p>
          <w:p w:rsidR="00B862A8" w:rsidRPr="009B1A84" w:rsidRDefault="00B862A8" w:rsidP="00B862A8">
            <w:pPr>
              <w:rPr>
                <w:sz w:val="22"/>
                <w:szCs w:val="22"/>
              </w:rPr>
            </w:pPr>
            <w:r w:rsidRPr="009B1A84">
              <w:rPr>
                <w:sz w:val="22"/>
                <w:szCs w:val="22"/>
              </w:rPr>
              <w:t>(20,1;</w:t>
            </w:r>
            <w:r w:rsidRPr="009B1A84">
              <w:rPr>
                <w:spacing w:val="-4"/>
                <w:sz w:val="22"/>
                <w:szCs w:val="22"/>
              </w:rPr>
              <w:t xml:space="preserve"> </w:t>
            </w:r>
            <w:r w:rsidRPr="009B1A84">
              <w:rPr>
                <w:sz w:val="22"/>
                <w:szCs w:val="22"/>
              </w:rPr>
              <w:t>40,</w:t>
            </w:r>
            <w:proofErr w:type="gramStart"/>
            <w:r w:rsidRPr="009B1A84">
              <w:rPr>
                <w:sz w:val="22"/>
                <w:szCs w:val="22"/>
              </w:rPr>
              <w:t>0</w:t>
            </w:r>
            <w:r w:rsidRPr="009B1A84">
              <w:rPr>
                <w:spacing w:val="1"/>
                <w:sz w:val="22"/>
                <w:szCs w:val="22"/>
              </w:rPr>
              <w:t>)</w:t>
            </w:r>
            <w:r w:rsidRPr="009B1A84">
              <w:rPr>
                <w:spacing w:val="1"/>
                <w:sz w:val="22"/>
                <w:szCs w:val="22"/>
                <w:vertAlign w:val="superscript"/>
              </w:rPr>
              <w:t>c</w:t>
            </w:r>
            <w:proofErr w:type="gramEnd"/>
          </w:p>
        </w:tc>
      </w:tr>
      <w:tr w:rsidR="00B862A8" w:rsidRPr="00657DC1" w:rsidTr="00B862A8">
        <w:trPr>
          <w:trHeight w:val="20"/>
        </w:trPr>
        <w:tc>
          <w:tcPr>
            <w:tcW w:w="928"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z w:val="22"/>
                <w:szCs w:val="22"/>
              </w:rPr>
              <w:t>CD4+</w:t>
            </w:r>
            <w:r w:rsidRPr="009B1A84">
              <w:rPr>
                <w:spacing w:val="-4"/>
                <w:sz w:val="22"/>
                <w:szCs w:val="22"/>
              </w:rPr>
              <w:t xml:space="preserve"> </w:t>
            </w:r>
            <w:r w:rsidRPr="009B1A84">
              <w:rPr>
                <w:sz w:val="22"/>
                <w:szCs w:val="22"/>
              </w:rPr>
              <w:t>celleantal gennemsnitlige ændring fra baseline</w:t>
            </w:r>
            <w:r w:rsidRPr="009B1A84">
              <w:rPr>
                <w:spacing w:val="-7"/>
                <w:sz w:val="22"/>
                <w:szCs w:val="22"/>
              </w:rPr>
              <w:t xml:space="preserve"> </w:t>
            </w:r>
            <w:r w:rsidRPr="009B1A84">
              <w:rPr>
                <w:sz w:val="22"/>
                <w:szCs w:val="22"/>
              </w:rPr>
              <w:t>(x</w:t>
            </w:r>
            <w:r w:rsidRPr="009B1A84">
              <w:rPr>
                <w:spacing w:val="-2"/>
                <w:sz w:val="22"/>
                <w:szCs w:val="22"/>
              </w:rPr>
              <w:t xml:space="preserve"> </w:t>
            </w:r>
            <w:r w:rsidRPr="009B1A84">
              <w:rPr>
                <w:sz w:val="22"/>
                <w:szCs w:val="22"/>
              </w:rPr>
              <w:t>1</w:t>
            </w:r>
            <w:r w:rsidRPr="009B1A84">
              <w:rPr>
                <w:spacing w:val="1"/>
                <w:sz w:val="22"/>
                <w:szCs w:val="22"/>
              </w:rPr>
              <w:t>0</w:t>
            </w:r>
            <w:r w:rsidRPr="009B1A84">
              <w:rPr>
                <w:spacing w:val="1"/>
                <w:sz w:val="22"/>
                <w:szCs w:val="22"/>
                <w:vertAlign w:val="superscript"/>
              </w:rPr>
              <w:t>6</w:t>
            </w:r>
            <w:r w:rsidRPr="009B1A84">
              <w:rPr>
                <w:sz w:val="22"/>
                <w:szCs w:val="22"/>
              </w:rPr>
              <w:t>/</w:t>
            </w:r>
            <w:proofErr w:type="gramStart"/>
            <w:r w:rsidRPr="009B1A84">
              <w:rPr>
                <w:sz w:val="22"/>
                <w:szCs w:val="22"/>
              </w:rPr>
              <w:t>l</w:t>
            </w:r>
            <w:r w:rsidRPr="009B1A84">
              <w:rPr>
                <w:spacing w:val="1"/>
                <w:sz w:val="22"/>
                <w:szCs w:val="22"/>
              </w:rPr>
              <w:t>)</w:t>
            </w:r>
            <w:r w:rsidRPr="009B1A84">
              <w:rPr>
                <w:spacing w:val="1"/>
                <w:sz w:val="22"/>
                <w:szCs w:val="22"/>
                <w:vertAlign w:val="superscript"/>
              </w:rPr>
              <w:t>b</w:t>
            </w:r>
            <w:proofErr w:type="gramEnd"/>
          </w:p>
        </w:tc>
        <w:tc>
          <w:tcPr>
            <w:tcW w:w="765"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103</w:t>
            </w:r>
          </w:p>
        </w:tc>
        <w:tc>
          <w:tcPr>
            <w:tcW w:w="446"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17</w:t>
            </w:r>
          </w:p>
        </w:tc>
        <w:tc>
          <w:tcPr>
            <w:tcW w:w="822"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position w:val="-1"/>
                <w:sz w:val="22"/>
                <w:szCs w:val="22"/>
              </w:rPr>
              <w:t>86</w:t>
            </w:r>
          </w:p>
          <w:p w:rsidR="00B862A8" w:rsidRPr="009B1A84" w:rsidRDefault="00B862A8" w:rsidP="00B862A8">
            <w:pPr>
              <w:rPr>
                <w:sz w:val="22"/>
                <w:szCs w:val="22"/>
              </w:rPr>
            </w:pPr>
            <w:r w:rsidRPr="009B1A84">
              <w:rPr>
                <w:spacing w:val="1"/>
                <w:sz w:val="22"/>
                <w:szCs w:val="22"/>
              </w:rPr>
              <w:t>(57</w:t>
            </w:r>
            <w:r w:rsidRPr="009B1A84">
              <w:rPr>
                <w:sz w:val="22"/>
                <w:szCs w:val="22"/>
              </w:rPr>
              <w:t>;</w:t>
            </w:r>
            <w:r w:rsidRPr="009B1A84">
              <w:rPr>
                <w:spacing w:val="-2"/>
                <w:sz w:val="22"/>
                <w:szCs w:val="22"/>
              </w:rPr>
              <w:t xml:space="preserve"> </w:t>
            </w:r>
            <w:proofErr w:type="gramStart"/>
            <w:r w:rsidRPr="009B1A84">
              <w:rPr>
                <w:spacing w:val="1"/>
                <w:sz w:val="22"/>
                <w:szCs w:val="22"/>
              </w:rPr>
              <w:t>114</w:t>
            </w:r>
            <w:r>
              <w:rPr>
                <w:spacing w:val="1"/>
                <w:sz w:val="22"/>
                <w:szCs w:val="22"/>
              </w:rPr>
              <w:t>)</w:t>
            </w:r>
            <w:r w:rsidRPr="009B1A84">
              <w:rPr>
                <w:spacing w:val="1"/>
                <w:sz w:val="22"/>
                <w:szCs w:val="22"/>
                <w:vertAlign w:val="superscript"/>
              </w:rPr>
              <w:t>c</w:t>
            </w:r>
            <w:proofErr w:type="gramEnd"/>
          </w:p>
        </w:tc>
        <w:tc>
          <w:tcPr>
            <w:tcW w:w="894"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133</w:t>
            </w:r>
          </w:p>
        </w:tc>
        <w:tc>
          <w:tcPr>
            <w:tcW w:w="440"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sz w:val="22"/>
                <w:szCs w:val="22"/>
              </w:rPr>
              <w:t>15</w:t>
            </w:r>
          </w:p>
        </w:tc>
        <w:tc>
          <w:tcPr>
            <w:tcW w:w="706" w:type="pct"/>
            <w:tcBorders>
              <w:top w:val="single" w:sz="4" w:space="0" w:color="000000"/>
              <w:left w:val="single" w:sz="4" w:space="0" w:color="000000"/>
              <w:bottom w:val="single" w:sz="4" w:space="0" w:color="000000"/>
              <w:right w:val="single" w:sz="4" w:space="0" w:color="000000"/>
            </w:tcBorders>
          </w:tcPr>
          <w:p w:rsidR="00B862A8" w:rsidRPr="009B1A84" w:rsidRDefault="00B862A8" w:rsidP="00B862A8">
            <w:pPr>
              <w:rPr>
                <w:sz w:val="22"/>
                <w:szCs w:val="22"/>
              </w:rPr>
            </w:pPr>
            <w:r w:rsidRPr="009B1A84">
              <w:rPr>
                <w:spacing w:val="1"/>
                <w:position w:val="-1"/>
                <w:sz w:val="22"/>
                <w:szCs w:val="22"/>
              </w:rPr>
              <w:t>118</w:t>
            </w:r>
          </w:p>
          <w:p w:rsidR="00B862A8" w:rsidRPr="009B1A84" w:rsidRDefault="00B862A8" w:rsidP="00B862A8">
            <w:pPr>
              <w:rPr>
                <w:sz w:val="22"/>
                <w:szCs w:val="22"/>
              </w:rPr>
            </w:pPr>
            <w:r w:rsidRPr="009B1A84">
              <w:rPr>
                <w:spacing w:val="1"/>
                <w:sz w:val="22"/>
                <w:szCs w:val="22"/>
              </w:rPr>
              <w:t>(83,9</w:t>
            </w:r>
            <w:r w:rsidRPr="009B1A84">
              <w:rPr>
                <w:sz w:val="22"/>
                <w:szCs w:val="22"/>
              </w:rPr>
              <w:t>;</w:t>
            </w:r>
            <w:r w:rsidRPr="009B1A84">
              <w:rPr>
                <w:spacing w:val="-4"/>
                <w:sz w:val="22"/>
                <w:szCs w:val="22"/>
              </w:rPr>
              <w:t xml:space="preserve"> </w:t>
            </w:r>
            <w:r w:rsidRPr="009B1A84">
              <w:rPr>
                <w:spacing w:val="1"/>
                <w:sz w:val="22"/>
                <w:szCs w:val="22"/>
              </w:rPr>
              <w:t>153,</w:t>
            </w:r>
            <w:proofErr w:type="gramStart"/>
            <w:r w:rsidRPr="009B1A84">
              <w:rPr>
                <w:spacing w:val="1"/>
                <w:sz w:val="22"/>
                <w:szCs w:val="22"/>
              </w:rPr>
              <w:t>4)</w:t>
            </w:r>
            <w:r w:rsidRPr="009B1A84">
              <w:rPr>
                <w:spacing w:val="1"/>
                <w:sz w:val="22"/>
                <w:szCs w:val="22"/>
                <w:vertAlign w:val="superscript"/>
              </w:rPr>
              <w:t>c</w:t>
            </w:r>
            <w:proofErr w:type="gramEnd"/>
          </w:p>
        </w:tc>
      </w:tr>
    </w:tbl>
    <w:p w:rsidR="00B862A8" w:rsidRPr="004623FF" w:rsidRDefault="00B862A8" w:rsidP="00B862A8">
      <w:pPr>
        <w:ind w:left="851" w:hanging="284"/>
        <w:rPr>
          <w:sz w:val="22"/>
          <w:szCs w:val="22"/>
          <w:lang w:val="en-US"/>
        </w:rPr>
      </w:pPr>
      <w:r w:rsidRPr="009B1A84">
        <w:rPr>
          <w:sz w:val="24"/>
          <w:szCs w:val="24"/>
          <w:vertAlign w:val="superscript"/>
          <w:lang w:val="en-US"/>
        </w:rPr>
        <w:t>a</w:t>
      </w:r>
      <w:r w:rsidRPr="004623FF">
        <w:rPr>
          <w:sz w:val="22"/>
          <w:szCs w:val="22"/>
          <w:vertAlign w:val="superscript"/>
          <w:lang w:val="en-US"/>
        </w:rPr>
        <w:tab/>
      </w:r>
      <w:r w:rsidRPr="004623FF">
        <w:rPr>
          <w:sz w:val="22"/>
          <w:szCs w:val="22"/>
          <w:lang w:val="en-US"/>
        </w:rPr>
        <w:t>I henhold til TLOVR-algoritmen (time to loss of viral response).</w:t>
      </w:r>
    </w:p>
    <w:p w:rsidR="00B862A8" w:rsidRPr="004623FF" w:rsidRDefault="00B862A8" w:rsidP="00B862A8">
      <w:pPr>
        <w:ind w:left="851" w:hanging="284"/>
        <w:rPr>
          <w:sz w:val="22"/>
          <w:szCs w:val="22"/>
        </w:rPr>
      </w:pPr>
      <w:r w:rsidRPr="004623FF">
        <w:rPr>
          <w:spacing w:val="-5"/>
          <w:sz w:val="22"/>
          <w:szCs w:val="22"/>
          <w:vertAlign w:val="superscript"/>
        </w:rPr>
        <w:t>b</w:t>
      </w:r>
      <w:r w:rsidRPr="004623FF">
        <w:rPr>
          <w:spacing w:val="-5"/>
          <w:sz w:val="22"/>
          <w:szCs w:val="22"/>
          <w:vertAlign w:val="superscript"/>
        </w:rPr>
        <w:tab/>
      </w:r>
      <w:r w:rsidRPr="004623FF">
        <w:rPr>
          <w:spacing w:val="-5"/>
          <w:sz w:val="22"/>
          <w:szCs w:val="22"/>
        </w:rPr>
        <w:t>Tilregning af LOCF (sidste udførte observation).</w:t>
      </w:r>
    </w:p>
    <w:p w:rsidR="00B862A8" w:rsidRPr="004623FF" w:rsidRDefault="00B862A8" w:rsidP="00B862A8">
      <w:pPr>
        <w:ind w:left="851" w:hanging="284"/>
        <w:rPr>
          <w:sz w:val="22"/>
          <w:szCs w:val="22"/>
        </w:rPr>
      </w:pPr>
      <w:r w:rsidRPr="004623FF">
        <w:rPr>
          <w:sz w:val="22"/>
          <w:szCs w:val="22"/>
          <w:vertAlign w:val="superscript"/>
        </w:rPr>
        <w:t>c</w:t>
      </w:r>
      <w:r w:rsidRPr="004623FF">
        <w:rPr>
          <w:sz w:val="22"/>
          <w:szCs w:val="22"/>
          <w:vertAlign w:val="superscript"/>
        </w:rPr>
        <w:tab/>
      </w:r>
      <w:r w:rsidRPr="004623FF">
        <w:rPr>
          <w:sz w:val="22"/>
          <w:szCs w:val="22"/>
        </w:rPr>
        <w:t>95 %</w:t>
      </w:r>
      <w:r w:rsidRPr="004623FF">
        <w:rPr>
          <w:spacing w:val="-1"/>
          <w:sz w:val="22"/>
          <w:szCs w:val="22"/>
        </w:rPr>
        <w:t xml:space="preserve"> </w:t>
      </w:r>
      <w:r w:rsidRPr="004623FF">
        <w:rPr>
          <w:sz w:val="22"/>
          <w:szCs w:val="22"/>
        </w:rPr>
        <w:t>konfidensintervaller.</w:t>
      </w:r>
    </w:p>
    <w:p w:rsidR="00B862A8" w:rsidRPr="009B1A84" w:rsidRDefault="00B862A8" w:rsidP="00B862A8">
      <w:pPr>
        <w:ind w:left="851"/>
        <w:rPr>
          <w:sz w:val="24"/>
          <w:szCs w:val="24"/>
        </w:rPr>
      </w:pPr>
    </w:p>
    <w:p w:rsidR="00B862A8" w:rsidRPr="009B1A84" w:rsidRDefault="00B862A8" w:rsidP="00B862A8">
      <w:pPr>
        <w:ind w:left="851"/>
        <w:rPr>
          <w:sz w:val="24"/>
          <w:szCs w:val="24"/>
        </w:rPr>
      </w:pPr>
      <w:r w:rsidRPr="009B1A84">
        <w:rPr>
          <w:sz w:val="24"/>
          <w:szCs w:val="24"/>
        </w:rPr>
        <w:t xml:space="preserve">Dataanalyser gennem 96 ugers behandling i </w:t>
      </w:r>
      <w:r w:rsidRPr="009B1A84">
        <w:rPr>
          <w:i/>
          <w:iCs/>
          <w:sz w:val="24"/>
          <w:szCs w:val="24"/>
        </w:rPr>
        <w:t>POWER</w:t>
      </w:r>
      <w:r w:rsidRPr="009B1A84">
        <w:rPr>
          <w:sz w:val="24"/>
          <w:szCs w:val="24"/>
        </w:rPr>
        <w:t>-studierne påviste vedvarende antiretroviral effekt og immunologisk fordel.</w:t>
      </w:r>
    </w:p>
    <w:p w:rsidR="00B862A8" w:rsidRPr="009B1A84" w:rsidRDefault="00B862A8" w:rsidP="00B862A8">
      <w:pPr>
        <w:ind w:left="851"/>
        <w:rPr>
          <w:sz w:val="24"/>
          <w:szCs w:val="24"/>
        </w:rPr>
      </w:pPr>
    </w:p>
    <w:p w:rsidR="00B862A8" w:rsidRPr="009B1A84" w:rsidRDefault="00B862A8" w:rsidP="00B862A8">
      <w:pPr>
        <w:ind w:left="851"/>
        <w:rPr>
          <w:sz w:val="24"/>
          <w:szCs w:val="24"/>
        </w:rPr>
      </w:pPr>
      <w:r w:rsidRPr="009B1A84">
        <w:rPr>
          <w:sz w:val="24"/>
          <w:szCs w:val="24"/>
        </w:rPr>
        <w:t>Af de 59 patienter, der responderede med komplet virologisk suppression (&lt; 50 kopier/ml) ved uge 48, var 47 patienter (80 % af de responderende i uge 48) fortsat responderende i uge 96.</w:t>
      </w:r>
    </w:p>
    <w:p w:rsidR="00B862A8" w:rsidRPr="009B1A84" w:rsidRDefault="00B862A8" w:rsidP="00B862A8">
      <w:pPr>
        <w:ind w:left="851"/>
        <w:rPr>
          <w:sz w:val="24"/>
          <w:szCs w:val="24"/>
        </w:rPr>
      </w:pPr>
    </w:p>
    <w:p w:rsidR="00B862A8" w:rsidRPr="009B1A84" w:rsidRDefault="00B862A8" w:rsidP="00B862A8">
      <w:pPr>
        <w:ind w:left="851"/>
        <w:rPr>
          <w:i/>
          <w:iCs/>
          <w:sz w:val="24"/>
          <w:szCs w:val="24"/>
        </w:rPr>
      </w:pPr>
      <w:r w:rsidRPr="009B1A84">
        <w:rPr>
          <w:i/>
          <w:iCs/>
          <w:sz w:val="24"/>
          <w:szCs w:val="24"/>
        </w:rPr>
        <w:t>Genotype og fænotype ved baseline og virologisk udfald</w:t>
      </w:r>
    </w:p>
    <w:p w:rsidR="00B862A8" w:rsidRPr="009B1A84" w:rsidRDefault="00B862A8" w:rsidP="00B862A8">
      <w:pPr>
        <w:ind w:left="851"/>
        <w:rPr>
          <w:sz w:val="24"/>
          <w:szCs w:val="24"/>
        </w:rPr>
      </w:pPr>
      <w:r w:rsidRPr="009B1A84">
        <w:rPr>
          <w:sz w:val="24"/>
          <w:szCs w:val="24"/>
        </w:rPr>
        <w:t>Baseline-genotype og darunavir FC (skift i følsomhed i forhold til reference) blev vist at være en forudsigende faktor for virologisk udfald.</w:t>
      </w:r>
    </w:p>
    <w:p w:rsidR="00B862A8" w:rsidRPr="009B1A84" w:rsidRDefault="00B862A8" w:rsidP="00B862A8">
      <w:pPr>
        <w:ind w:left="851"/>
        <w:rPr>
          <w:i/>
          <w:iCs/>
          <w:sz w:val="24"/>
          <w:szCs w:val="24"/>
        </w:rPr>
      </w:pPr>
    </w:p>
    <w:p w:rsidR="00B862A8" w:rsidRPr="00ED0DE7" w:rsidRDefault="00B862A8" w:rsidP="00B862A8">
      <w:pPr>
        <w:tabs>
          <w:tab w:val="left" w:pos="851"/>
        </w:tabs>
        <w:ind w:left="851"/>
        <w:rPr>
          <w:sz w:val="24"/>
          <w:szCs w:val="24"/>
        </w:rPr>
      </w:pPr>
      <w:r w:rsidRPr="00ED0DE7">
        <w:rPr>
          <w:i/>
          <w:iCs/>
          <w:sz w:val="24"/>
          <w:szCs w:val="24"/>
        </w:rPr>
        <w:t>Patientandelen (%) med respons</w:t>
      </w:r>
      <w:r>
        <w:rPr>
          <w:i/>
          <w:iCs/>
          <w:sz w:val="24"/>
          <w:szCs w:val="24"/>
        </w:rPr>
        <w:t xml:space="preserve"> </w:t>
      </w:r>
      <w:r w:rsidRPr="00ED0DE7">
        <w:rPr>
          <w:i/>
          <w:iCs/>
          <w:sz w:val="24"/>
          <w:szCs w:val="24"/>
        </w:rPr>
        <w:t>(</w:t>
      </w:r>
      <w:r>
        <w:rPr>
          <w:i/>
          <w:iCs/>
          <w:sz w:val="24"/>
          <w:szCs w:val="24"/>
        </w:rPr>
        <w:t>HIV</w:t>
      </w:r>
      <w:r w:rsidRPr="00ED0DE7">
        <w:rPr>
          <w:i/>
          <w:iCs/>
          <w:sz w:val="24"/>
          <w:szCs w:val="24"/>
        </w:rPr>
        <w:t>-1-RNA &lt; 50 kopier/ml ved uge 24) over for darunavir co-administreret med ritonavir (600/100 mg to gange daglig) efter genotype</w:t>
      </w:r>
      <w:r w:rsidRPr="00ED0DE7">
        <w:rPr>
          <w:i/>
          <w:iCs/>
          <w:sz w:val="24"/>
          <w:szCs w:val="24"/>
          <w:vertAlign w:val="superscript"/>
        </w:rPr>
        <w:t>a</w:t>
      </w:r>
      <w:r w:rsidRPr="00ED0DE7">
        <w:rPr>
          <w:i/>
          <w:iCs/>
          <w:sz w:val="24"/>
          <w:szCs w:val="24"/>
        </w:rPr>
        <w:t xml:space="preserve"> ved baseline og darunavir FC ved baseline og efter brug af enfuvirtid (ENF): Som behandlede resultater fra POWER og DUET-studierne.</w:t>
      </w:r>
    </w:p>
    <w:p w:rsidR="00B862A8" w:rsidRPr="00ED0DE7" w:rsidRDefault="00B862A8" w:rsidP="00B862A8">
      <w:pPr>
        <w:spacing w:before="2" w:line="240" w:lineRule="exact"/>
        <w:rPr>
          <w:sz w:val="24"/>
          <w:szCs w:val="24"/>
        </w:rPr>
      </w:pPr>
    </w:p>
    <w:tbl>
      <w:tblPr>
        <w:tblW w:w="5000" w:type="pct"/>
        <w:tblCellMar>
          <w:left w:w="0" w:type="dxa"/>
          <w:right w:w="0" w:type="dxa"/>
        </w:tblCellMar>
        <w:tblLook w:val="01E0" w:firstRow="1" w:lastRow="1" w:firstColumn="1" w:lastColumn="1" w:noHBand="0" w:noVBand="0"/>
      </w:tblPr>
      <w:tblGrid>
        <w:gridCol w:w="1955"/>
        <w:gridCol w:w="1094"/>
        <w:gridCol w:w="938"/>
        <w:gridCol w:w="845"/>
        <w:gridCol w:w="961"/>
        <w:gridCol w:w="1076"/>
        <w:gridCol w:w="945"/>
        <w:gridCol w:w="855"/>
        <w:gridCol w:w="959"/>
      </w:tblGrid>
      <w:tr w:rsidR="00B862A8" w:rsidRPr="002F71FF" w:rsidTr="00B862A8">
        <w:trPr>
          <w:trHeight w:val="20"/>
        </w:trPr>
        <w:tc>
          <w:tcPr>
            <w:tcW w:w="1015" w:type="pct"/>
            <w:tcBorders>
              <w:top w:val="single" w:sz="4" w:space="0" w:color="000000"/>
              <w:left w:val="single" w:sz="4" w:space="0" w:color="000000"/>
              <w:bottom w:val="single" w:sz="4" w:space="0" w:color="000000"/>
              <w:right w:val="single" w:sz="4" w:space="0" w:color="000000"/>
            </w:tcBorders>
          </w:tcPr>
          <w:p w:rsidR="00B862A8" w:rsidRPr="002F71FF" w:rsidRDefault="00B862A8" w:rsidP="00B862A8">
            <w:pPr>
              <w:rPr>
                <w:sz w:val="22"/>
                <w:szCs w:val="22"/>
              </w:rPr>
            </w:pPr>
          </w:p>
        </w:tc>
        <w:tc>
          <w:tcPr>
            <w:tcW w:w="1993" w:type="pct"/>
            <w:gridSpan w:val="4"/>
            <w:tcBorders>
              <w:top w:val="single" w:sz="4" w:space="0" w:color="000000"/>
              <w:left w:val="single" w:sz="4" w:space="0" w:color="000000"/>
              <w:bottom w:val="single" w:sz="4" w:space="0" w:color="000000"/>
              <w:right w:val="single" w:sz="4" w:space="0" w:color="000000"/>
            </w:tcBorders>
          </w:tcPr>
          <w:p w:rsidR="00B862A8" w:rsidRPr="00EA6146" w:rsidRDefault="00B862A8" w:rsidP="00B862A8">
            <w:pPr>
              <w:jc w:val="center"/>
              <w:rPr>
                <w:sz w:val="22"/>
                <w:szCs w:val="22"/>
              </w:rPr>
            </w:pPr>
            <w:r w:rsidRPr="000938D9">
              <w:rPr>
                <w:b/>
                <w:bCs/>
                <w:sz w:val="22"/>
                <w:szCs w:val="22"/>
              </w:rPr>
              <w:t>Antal af baseline mutatione</w:t>
            </w:r>
            <w:r w:rsidRPr="00EA6146">
              <w:rPr>
                <w:b/>
                <w:bCs/>
                <w:sz w:val="22"/>
                <w:szCs w:val="22"/>
              </w:rPr>
              <w:t>r</w:t>
            </w:r>
            <w:r w:rsidRPr="00EA6146">
              <w:rPr>
                <w:b/>
                <w:bCs/>
                <w:sz w:val="22"/>
                <w:szCs w:val="22"/>
                <w:vertAlign w:val="superscript"/>
              </w:rPr>
              <w:t>a</w:t>
            </w:r>
          </w:p>
        </w:tc>
        <w:tc>
          <w:tcPr>
            <w:tcW w:w="1993" w:type="pct"/>
            <w:gridSpan w:val="4"/>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b/>
                <w:bCs/>
                <w:sz w:val="22"/>
                <w:szCs w:val="22"/>
              </w:rPr>
              <w:t>Baseline DARUNAVIR FC</w:t>
            </w:r>
            <w:r w:rsidRPr="000938D9">
              <w:rPr>
                <w:b/>
                <w:bCs/>
                <w:sz w:val="22"/>
                <w:szCs w:val="22"/>
                <w:vertAlign w:val="superscript"/>
              </w:rPr>
              <w:t>b</w:t>
            </w:r>
          </w:p>
        </w:tc>
      </w:tr>
      <w:tr w:rsidR="00B862A8" w:rsidRPr="002F71FF" w:rsidTr="00B862A8">
        <w:trPr>
          <w:trHeight w:val="20"/>
        </w:trPr>
        <w:tc>
          <w:tcPr>
            <w:tcW w:w="1015" w:type="pct"/>
            <w:tcBorders>
              <w:top w:val="single" w:sz="4" w:space="0" w:color="000000"/>
              <w:left w:val="single" w:sz="4" w:space="0" w:color="000000"/>
              <w:bottom w:val="single" w:sz="4" w:space="0" w:color="000000"/>
              <w:right w:val="single" w:sz="4" w:space="0" w:color="000000"/>
            </w:tcBorders>
          </w:tcPr>
          <w:p w:rsidR="00B862A8" w:rsidRPr="002F71FF" w:rsidRDefault="00B862A8" w:rsidP="00B862A8">
            <w:pPr>
              <w:rPr>
                <w:sz w:val="22"/>
                <w:szCs w:val="22"/>
              </w:rPr>
            </w:pPr>
            <w:r w:rsidRPr="002F71FF">
              <w:rPr>
                <w:sz w:val="22"/>
                <w:szCs w:val="22"/>
              </w:rPr>
              <w:t>Respons</w:t>
            </w:r>
            <w:r w:rsidRPr="002F71FF">
              <w:rPr>
                <w:spacing w:val="-8"/>
                <w:sz w:val="22"/>
                <w:szCs w:val="22"/>
              </w:rPr>
              <w:t xml:space="preserve"> </w:t>
            </w:r>
            <w:r w:rsidRPr="002F71FF">
              <w:rPr>
                <w:sz w:val="22"/>
                <w:szCs w:val="22"/>
              </w:rPr>
              <w:t>(</w:t>
            </w:r>
            <w:r>
              <w:rPr>
                <w:sz w:val="22"/>
                <w:szCs w:val="22"/>
              </w:rPr>
              <w:t>HIV</w:t>
            </w:r>
            <w:r w:rsidRPr="002F71FF">
              <w:rPr>
                <w:spacing w:val="-2"/>
                <w:sz w:val="22"/>
                <w:szCs w:val="22"/>
              </w:rPr>
              <w:t>-</w:t>
            </w:r>
            <w:r w:rsidRPr="002F71FF">
              <w:rPr>
                <w:sz w:val="22"/>
                <w:szCs w:val="22"/>
              </w:rPr>
              <w:t>1</w:t>
            </w:r>
          </w:p>
          <w:p w:rsidR="00B862A8" w:rsidRPr="002F71FF" w:rsidRDefault="00B862A8" w:rsidP="00B862A8">
            <w:pPr>
              <w:rPr>
                <w:sz w:val="22"/>
                <w:szCs w:val="22"/>
              </w:rPr>
            </w:pPr>
            <w:r w:rsidRPr="002F71FF">
              <w:rPr>
                <w:sz w:val="22"/>
                <w:szCs w:val="22"/>
              </w:rPr>
              <w:t>RNA</w:t>
            </w:r>
            <w:r w:rsidRPr="002F71FF">
              <w:rPr>
                <w:spacing w:val="-4"/>
                <w:sz w:val="22"/>
                <w:szCs w:val="22"/>
              </w:rPr>
              <w:t xml:space="preserve"> </w:t>
            </w:r>
            <w:r w:rsidRPr="002F71FF">
              <w:rPr>
                <w:sz w:val="22"/>
                <w:szCs w:val="22"/>
              </w:rPr>
              <w:t xml:space="preserve">&lt; </w:t>
            </w:r>
            <w:r w:rsidRPr="002F71FF">
              <w:rPr>
                <w:spacing w:val="1"/>
                <w:sz w:val="22"/>
                <w:szCs w:val="22"/>
              </w:rPr>
              <w:t>5</w:t>
            </w:r>
            <w:r w:rsidRPr="002F71FF">
              <w:rPr>
                <w:sz w:val="22"/>
                <w:szCs w:val="22"/>
              </w:rPr>
              <w:t xml:space="preserve">0 kopier/ml </w:t>
            </w:r>
            <w:r w:rsidRPr="002F71FF">
              <w:rPr>
                <w:spacing w:val="1"/>
                <w:sz w:val="22"/>
                <w:szCs w:val="22"/>
              </w:rPr>
              <w:t>ved uge</w:t>
            </w:r>
            <w:r w:rsidRPr="002F71FF">
              <w:rPr>
                <w:spacing w:val="-3"/>
                <w:sz w:val="22"/>
                <w:szCs w:val="22"/>
              </w:rPr>
              <w:t xml:space="preserve"> </w:t>
            </w:r>
            <w:r w:rsidRPr="002F71FF">
              <w:rPr>
                <w:spacing w:val="1"/>
                <w:sz w:val="22"/>
                <w:szCs w:val="22"/>
              </w:rPr>
              <w:t>24)</w:t>
            </w:r>
          </w:p>
          <w:p w:rsidR="00B862A8" w:rsidRPr="002F71FF" w:rsidRDefault="00B862A8" w:rsidP="00B862A8">
            <w:pPr>
              <w:rPr>
                <w:sz w:val="22"/>
                <w:szCs w:val="22"/>
              </w:rPr>
            </w:pPr>
            <w:r w:rsidRPr="002F71FF">
              <w:rPr>
                <w:sz w:val="22"/>
                <w:szCs w:val="22"/>
              </w:rPr>
              <w:t>%,</w:t>
            </w:r>
            <w:r w:rsidRPr="002F71FF">
              <w:rPr>
                <w:spacing w:val="-2"/>
                <w:sz w:val="22"/>
                <w:szCs w:val="22"/>
              </w:rPr>
              <w:t xml:space="preserve"> </w:t>
            </w:r>
            <w:r w:rsidRPr="002F71FF">
              <w:rPr>
                <w:sz w:val="22"/>
                <w:szCs w:val="22"/>
              </w:rPr>
              <w:t>n/N</w:t>
            </w:r>
          </w:p>
        </w:tc>
        <w:tc>
          <w:tcPr>
            <w:tcW w:w="56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b/>
                <w:bCs/>
                <w:sz w:val="22"/>
                <w:szCs w:val="22"/>
              </w:rPr>
              <w:t>Alle inter-valler</w:t>
            </w:r>
          </w:p>
        </w:tc>
        <w:tc>
          <w:tcPr>
            <w:tcW w:w="487"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b/>
                <w:bCs/>
                <w:spacing w:val="1"/>
                <w:sz w:val="22"/>
                <w:szCs w:val="22"/>
              </w:rPr>
              <w:t>0-</w:t>
            </w:r>
            <w:r w:rsidRPr="000938D9">
              <w:rPr>
                <w:b/>
                <w:bCs/>
                <w:sz w:val="22"/>
                <w:szCs w:val="22"/>
              </w:rPr>
              <w:t>2</w:t>
            </w:r>
          </w:p>
        </w:tc>
        <w:tc>
          <w:tcPr>
            <w:tcW w:w="43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b/>
                <w:bCs/>
                <w:sz w:val="22"/>
                <w:szCs w:val="22"/>
              </w:rPr>
              <w:t>3</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rFonts w:eastAsia="Symbol"/>
                <w:sz w:val="22"/>
                <w:szCs w:val="22"/>
              </w:rPr>
              <w:t>≥</w:t>
            </w:r>
            <w:r w:rsidRPr="000938D9">
              <w:rPr>
                <w:sz w:val="22"/>
                <w:szCs w:val="22"/>
              </w:rPr>
              <w:t xml:space="preserve"> </w:t>
            </w:r>
            <w:r w:rsidRPr="000938D9">
              <w:rPr>
                <w:b/>
                <w:bCs/>
                <w:sz w:val="22"/>
                <w:szCs w:val="22"/>
              </w:rPr>
              <w:t>4</w:t>
            </w:r>
          </w:p>
        </w:tc>
        <w:tc>
          <w:tcPr>
            <w:tcW w:w="55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b/>
                <w:bCs/>
                <w:sz w:val="22"/>
                <w:szCs w:val="22"/>
              </w:rPr>
              <w:t>Alle inter-valler</w:t>
            </w:r>
          </w:p>
        </w:tc>
        <w:tc>
          <w:tcPr>
            <w:tcW w:w="491"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z w:val="22"/>
                <w:szCs w:val="22"/>
              </w:rPr>
              <w:t>≤</w:t>
            </w:r>
            <w:r w:rsidRPr="000938D9">
              <w:rPr>
                <w:b/>
                <w:bCs/>
                <w:spacing w:val="1"/>
                <w:sz w:val="22"/>
                <w:szCs w:val="22"/>
              </w:rPr>
              <w:t>10</w:t>
            </w:r>
          </w:p>
        </w:tc>
        <w:tc>
          <w:tcPr>
            <w:tcW w:w="444"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b/>
                <w:bCs/>
                <w:spacing w:val="1"/>
                <w:sz w:val="22"/>
                <w:szCs w:val="22"/>
              </w:rPr>
              <w:t>10-</w:t>
            </w:r>
            <w:r w:rsidRPr="000938D9">
              <w:rPr>
                <w:b/>
                <w:bCs/>
                <w:spacing w:val="-1"/>
                <w:sz w:val="22"/>
                <w:szCs w:val="22"/>
              </w:rPr>
              <w:t>40</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b/>
                <w:bCs/>
                <w:sz w:val="22"/>
                <w:szCs w:val="22"/>
              </w:rPr>
              <w:t>&gt;</w:t>
            </w:r>
            <w:r w:rsidRPr="000938D9">
              <w:rPr>
                <w:b/>
                <w:bCs/>
                <w:spacing w:val="-1"/>
                <w:sz w:val="22"/>
                <w:szCs w:val="22"/>
              </w:rPr>
              <w:t xml:space="preserve"> </w:t>
            </w:r>
            <w:r w:rsidRPr="000938D9">
              <w:rPr>
                <w:b/>
                <w:bCs/>
                <w:spacing w:val="1"/>
                <w:sz w:val="22"/>
                <w:szCs w:val="22"/>
              </w:rPr>
              <w:t>40</w:t>
            </w:r>
          </w:p>
        </w:tc>
      </w:tr>
      <w:tr w:rsidR="00B862A8" w:rsidRPr="002F71FF" w:rsidTr="00B862A8">
        <w:trPr>
          <w:trHeight w:val="20"/>
        </w:trPr>
        <w:tc>
          <w:tcPr>
            <w:tcW w:w="1015" w:type="pct"/>
            <w:tcBorders>
              <w:top w:val="single" w:sz="4" w:space="0" w:color="000000"/>
              <w:left w:val="single" w:sz="4" w:space="0" w:color="000000"/>
              <w:bottom w:val="single" w:sz="4" w:space="0" w:color="000000"/>
              <w:right w:val="single" w:sz="4" w:space="0" w:color="000000"/>
            </w:tcBorders>
          </w:tcPr>
          <w:p w:rsidR="00B862A8" w:rsidRPr="002F71FF" w:rsidRDefault="00B862A8" w:rsidP="00B862A8">
            <w:pPr>
              <w:rPr>
                <w:sz w:val="22"/>
                <w:szCs w:val="22"/>
              </w:rPr>
            </w:pPr>
            <w:r w:rsidRPr="002F71FF">
              <w:rPr>
                <w:sz w:val="22"/>
                <w:szCs w:val="22"/>
              </w:rPr>
              <w:t>Alle patienter</w:t>
            </w:r>
          </w:p>
        </w:tc>
        <w:tc>
          <w:tcPr>
            <w:tcW w:w="568" w:type="pct"/>
            <w:tcBorders>
              <w:top w:val="single" w:sz="4" w:space="0" w:color="000000"/>
              <w:left w:val="single" w:sz="4" w:space="0" w:color="000000"/>
              <w:bottom w:val="single" w:sz="4" w:space="0" w:color="000000"/>
              <w:right w:val="single" w:sz="4" w:space="0" w:color="000000"/>
            </w:tcBorders>
          </w:tcPr>
          <w:p w:rsidR="00B862A8" w:rsidRPr="00EA6146" w:rsidRDefault="00B862A8" w:rsidP="00B862A8">
            <w:pPr>
              <w:jc w:val="center"/>
              <w:rPr>
                <w:sz w:val="22"/>
                <w:szCs w:val="22"/>
              </w:rPr>
            </w:pPr>
            <w:r w:rsidRPr="000938D9">
              <w:rPr>
                <w:spacing w:val="1"/>
                <w:sz w:val="22"/>
                <w:szCs w:val="22"/>
              </w:rPr>
              <w:t>45 %</w:t>
            </w:r>
          </w:p>
          <w:p w:rsidR="00B862A8" w:rsidRPr="000938D9" w:rsidRDefault="00B862A8" w:rsidP="00B862A8">
            <w:pPr>
              <w:jc w:val="center"/>
              <w:rPr>
                <w:sz w:val="22"/>
                <w:szCs w:val="22"/>
              </w:rPr>
            </w:pPr>
            <w:r w:rsidRPr="000938D9">
              <w:rPr>
                <w:spacing w:val="1"/>
                <w:sz w:val="22"/>
                <w:szCs w:val="22"/>
              </w:rPr>
              <w:lastRenderedPageBreak/>
              <w:t>455/1.014</w:t>
            </w:r>
          </w:p>
        </w:tc>
        <w:tc>
          <w:tcPr>
            <w:tcW w:w="487"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54 %</w:t>
            </w:r>
          </w:p>
          <w:p w:rsidR="00B862A8" w:rsidRPr="000938D9" w:rsidRDefault="00B862A8" w:rsidP="00B862A8">
            <w:pPr>
              <w:jc w:val="center"/>
              <w:rPr>
                <w:sz w:val="22"/>
                <w:szCs w:val="22"/>
              </w:rPr>
            </w:pPr>
            <w:r w:rsidRPr="000938D9">
              <w:rPr>
                <w:spacing w:val="1"/>
                <w:sz w:val="22"/>
                <w:szCs w:val="22"/>
              </w:rPr>
              <w:lastRenderedPageBreak/>
              <w:t>359/660</w:t>
            </w:r>
          </w:p>
        </w:tc>
        <w:tc>
          <w:tcPr>
            <w:tcW w:w="43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39 %</w:t>
            </w:r>
          </w:p>
          <w:p w:rsidR="00B862A8" w:rsidRPr="000938D9" w:rsidRDefault="00B862A8" w:rsidP="00B862A8">
            <w:pPr>
              <w:jc w:val="center"/>
              <w:rPr>
                <w:sz w:val="22"/>
                <w:szCs w:val="22"/>
              </w:rPr>
            </w:pPr>
            <w:r w:rsidRPr="000938D9">
              <w:rPr>
                <w:spacing w:val="1"/>
                <w:sz w:val="22"/>
                <w:szCs w:val="22"/>
              </w:rPr>
              <w:lastRenderedPageBreak/>
              <w:t>67/172</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12 %</w:t>
            </w:r>
          </w:p>
          <w:p w:rsidR="00B862A8" w:rsidRPr="000938D9" w:rsidRDefault="00B862A8" w:rsidP="00B862A8">
            <w:pPr>
              <w:jc w:val="center"/>
              <w:rPr>
                <w:sz w:val="22"/>
                <w:szCs w:val="22"/>
              </w:rPr>
            </w:pPr>
            <w:r w:rsidRPr="000938D9">
              <w:rPr>
                <w:spacing w:val="1"/>
                <w:sz w:val="22"/>
                <w:szCs w:val="22"/>
              </w:rPr>
              <w:lastRenderedPageBreak/>
              <w:t>20/171</w:t>
            </w:r>
          </w:p>
        </w:tc>
        <w:tc>
          <w:tcPr>
            <w:tcW w:w="55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45 %</w:t>
            </w:r>
          </w:p>
          <w:p w:rsidR="00B862A8" w:rsidRPr="000938D9" w:rsidRDefault="00B862A8" w:rsidP="00B862A8">
            <w:pPr>
              <w:jc w:val="center"/>
              <w:rPr>
                <w:sz w:val="22"/>
                <w:szCs w:val="22"/>
              </w:rPr>
            </w:pPr>
            <w:r w:rsidRPr="000938D9">
              <w:rPr>
                <w:spacing w:val="1"/>
                <w:sz w:val="22"/>
                <w:szCs w:val="22"/>
              </w:rPr>
              <w:lastRenderedPageBreak/>
              <w:t>455/1.014</w:t>
            </w:r>
          </w:p>
        </w:tc>
        <w:tc>
          <w:tcPr>
            <w:tcW w:w="491"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55 %</w:t>
            </w:r>
          </w:p>
          <w:p w:rsidR="00B862A8" w:rsidRPr="000938D9" w:rsidRDefault="00B862A8" w:rsidP="00B862A8">
            <w:pPr>
              <w:jc w:val="center"/>
              <w:rPr>
                <w:sz w:val="22"/>
                <w:szCs w:val="22"/>
              </w:rPr>
            </w:pPr>
            <w:r w:rsidRPr="000938D9">
              <w:rPr>
                <w:spacing w:val="1"/>
                <w:sz w:val="22"/>
                <w:szCs w:val="22"/>
              </w:rPr>
              <w:lastRenderedPageBreak/>
              <w:t>364/659</w:t>
            </w:r>
          </w:p>
        </w:tc>
        <w:tc>
          <w:tcPr>
            <w:tcW w:w="444"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29 %</w:t>
            </w:r>
          </w:p>
          <w:p w:rsidR="00B862A8" w:rsidRPr="000938D9" w:rsidRDefault="00B862A8" w:rsidP="00B862A8">
            <w:pPr>
              <w:jc w:val="center"/>
              <w:rPr>
                <w:sz w:val="22"/>
                <w:szCs w:val="22"/>
              </w:rPr>
            </w:pPr>
            <w:r w:rsidRPr="000938D9">
              <w:rPr>
                <w:spacing w:val="1"/>
                <w:sz w:val="22"/>
                <w:szCs w:val="22"/>
              </w:rPr>
              <w:lastRenderedPageBreak/>
              <w:t>59/203</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lastRenderedPageBreak/>
              <w:t>8 %</w:t>
            </w:r>
          </w:p>
          <w:p w:rsidR="00B862A8" w:rsidRPr="000938D9" w:rsidRDefault="00B862A8" w:rsidP="00B862A8">
            <w:pPr>
              <w:jc w:val="center"/>
              <w:rPr>
                <w:sz w:val="22"/>
                <w:szCs w:val="22"/>
              </w:rPr>
            </w:pPr>
            <w:r w:rsidRPr="000938D9">
              <w:rPr>
                <w:spacing w:val="1"/>
                <w:sz w:val="22"/>
                <w:szCs w:val="22"/>
              </w:rPr>
              <w:lastRenderedPageBreak/>
              <w:t>9/118</w:t>
            </w:r>
          </w:p>
        </w:tc>
      </w:tr>
      <w:tr w:rsidR="00B862A8" w:rsidRPr="002F71FF" w:rsidTr="00B862A8">
        <w:trPr>
          <w:trHeight w:val="20"/>
        </w:trPr>
        <w:tc>
          <w:tcPr>
            <w:tcW w:w="1015" w:type="pct"/>
            <w:tcBorders>
              <w:top w:val="single" w:sz="4" w:space="0" w:color="000000"/>
              <w:left w:val="single" w:sz="4" w:space="0" w:color="000000"/>
              <w:bottom w:val="single" w:sz="4" w:space="0" w:color="000000"/>
              <w:right w:val="single" w:sz="4" w:space="0" w:color="000000"/>
            </w:tcBorders>
          </w:tcPr>
          <w:p w:rsidR="00B862A8" w:rsidRPr="002F71FF" w:rsidRDefault="00B862A8" w:rsidP="00B862A8">
            <w:pPr>
              <w:rPr>
                <w:sz w:val="22"/>
                <w:szCs w:val="22"/>
              </w:rPr>
            </w:pPr>
            <w:r w:rsidRPr="002F71FF">
              <w:rPr>
                <w:sz w:val="22"/>
                <w:szCs w:val="22"/>
              </w:rPr>
              <w:lastRenderedPageBreak/>
              <w:t>Patienter som ikke bruger eller som er non-naive over for brug af ENF</w:t>
            </w:r>
            <w:r w:rsidRPr="002F71FF">
              <w:rPr>
                <w:sz w:val="22"/>
                <w:szCs w:val="22"/>
                <w:vertAlign w:val="superscript"/>
              </w:rPr>
              <w:t>c</w:t>
            </w:r>
          </w:p>
        </w:tc>
        <w:tc>
          <w:tcPr>
            <w:tcW w:w="56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39 %</w:t>
            </w:r>
          </w:p>
          <w:p w:rsidR="00B862A8" w:rsidRPr="000938D9" w:rsidRDefault="00B862A8" w:rsidP="00B862A8">
            <w:pPr>
              <w:jc w:val="center"/>
              <w:rPr>
                <w:sz w:val="22"/>
                <w:szCs w:val="22"/>
              </w:rPr>
            </w:pPr>
            <w:r w:rsidRPr="000938D9">
              <w:rPr>
                <w:spacing w:val="1"/>
                <w:sz w:val="22"/>
                <w:szCs w:val="22"/>
              </w:rPr>
              <w:t>290/741</w:t>
            </w:r>
          </w:p>
        </w:tc>
        <w:tc>
          <w:tcPr>
            <w:tcW w:w="487"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50 %</w:t>
            </w:r>
          </w:p>
          <w:p w:rsidR="00B862A8" w:rsidRPr="000938D9" w:rsidRDefault="00B862A8" w:rsidP="00B862A8">
            <w:pPr>
              <w:jc w:val="center"/>
              <w:rPr>
                <w:sz w:val="22"/>
                <w:szCs w:val="22"/>
              </w:rPr>
            </w:pPr>
            <w:r w:rsidRPr="000938D9">
              <w:rPr>
                <w:spacing w:val="1"/>
                <w:sz w:val="22"/>
                <w:szCs w:val="22"/>
              </w:rPr>
              <w:t>238/477</w:t>
            </w:r>
          </w:p>
        </w:tc>
        <w:tc>
          <w:tcPr>
            <w:tcW w:w="43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29 %</w:t>
            </w:r>
          </w:p>
          <w:p w:rsidR="00B862A8" w:rsidRPr="000938D9" w:rsidRDefault="00B862A8" w:rsidP="00B862A8">
            <w:pPr>
              <w:jc w:val="center"/>
              <w:rPr>
                <w:sz w:val="22"/>
                <w:szCs w:val="22"/>
              </w:rPr>
            </w:pPr>
            <w:r w:rsidRPr="000938D9">
              <w:rPr>
                <w:spacing w:val="1"/>
                <w:sz w:val="22"/>
                <w:szCs w:val="22"/>
              </w:rPr>
              <w:t>35/120</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7 %</w:t>
            </w:r>
          </w:p>
          <w:p w:rsidR="00B862A8" w:rsidRPr="000938D9" w:rsidRDefault="00B862A8" w:rsidP="00B862A8">
            <w:pPr>
              <w:jc w:val="center"/>
              <w:rPr>
                <w:sz w:val="22"/>
                <w:szCs w:val="22"/>
              </w:rPr>
            </w:pPr>
            <w:r w:rsidRPr="000938D9">
              <w:rPr>
                <w:spacing w:val="1"/>
                <w:sz w:val="22"/>
                <w:szCs w:val="22"/>
              </w:rPr>
              <w:t>10/135</w:t>
            </w:r>
          </w:p>
        </w:tc>
        <w:tc>
          <w:tcPr>
            <w:tcW w:w="55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39 %</w:t>
            </w:r>
          </w:p>
          <w:p w:rsidR="00B862A8" w:rsidRPr="000938D9" w:rsidRDefault="00B862A8" w:rsidP="00B862A8">
            <w:pPr>
              <w:jc w:val="center"/>
              <w:rPr>
                <w:sz w:val="22"/>
                <w:szCs w:val="22"/>
              </w:rPr>
            </w:pPr>
            <w:r w:rsidRPr="000938D9">
              <w:rPr>
                <w:spacing w:val="1"/>
                <w:sz w:val="22"/>
                <w:szCs w:val="22"/>
              </w:rPr>
              <w:t>290/741</w:t>
            </w:r>
          </w:p>
        </w:tc>
        <w:tc>
          <w:tcPr>
            <w:tcW w:w="491"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51 %</w:t>
            </w:r>
          </w:p>
          <w:p w:rsidR="00B862A8" w:rsidRPr="000938D9" w:rsidRDefault="00B862A8" w:rsidP="00B862A8">
            <w:pPr>
              <w:jc w:val="center"/>
              <w:rPr>
                <w:sz w:val="22"/>
                <w:szCs w:val="22"/>
              </w:rPr>
            </w:pPr>
            <w:r w:rsidRPr="000938D9">
              <w:rPr>
                <w:spacing w:val="1"/>
                <w:sz w:val="22"/>
                <w:szCs w:val="22"/>
              </w:rPr>
              <w:t>244/477</w:t>
            </w:r>
          </w:p>
        </w:tc>
        <w:tc>
          <w:tcPr>
            <w:tcW w:w="444"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17 %</w:t>
            </w:r>
          </w:p>
          <w:p w:rsidR="00B862A8" w:rsidRPr="000938D9" w:rsidRDefault="00B862A8" w:rsidP="00B862A8">
            <w:pPr>
              <w:jc w:val="center"/>
              <w:rPr>
                <w:sz w:val="22"/>
                <w:szCs w:val="22"/>
              </w:rPr>
            </w:pPr>
            <w:r w:rsidRPr="000938D9">
              <w:rPr>
                <w:spacing w:val="1"/>
                <w:sz w:val="22"/>
                <w:szCs w:val="22"/>
              </w:rPr>
              <w:t>25/147</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p>
          <w:p w:rsidR="00B862A8" w:rsidRPr="000938D9" w:rsidRDefault="00B862A8" w:rsidP="00B862A8">
            <w:pPr>
              <w:jc w:val="center"/>
              <w:rPr>
                <w:sz w:val="22"/>
                <w:szCs w:val="22"/>
              </w:rPr>
            </w:pPr>
            <w:r w:rsidRPr="000938D9">
              <w:rPr>
                <w:spacing w:val="1"/>
                <w:sz w:val="22"/>
                <w:szCs w:val="22"/>
              </w:rPr>
              <w:t>5 %</w:t>
            </w:r>
          </w:p>
          <w:p w:rsidR="00B862A8" w:rsidRPr="000938D9" w:rsidRDefault="00B862A8" w:rsidP="00B862A8">
            <w:pPr>
              <w:jc w:val="center"/>
              <w:rPr>
                <w:sz w:val="22"/>
                <w:szCs w:val="22"/>
              </w:rPr>
            </w:pPr>
            <w:r w:rsidRPr="000938D9">
              <w:rPr>
                <w:spacing w:val="1"/>
                <w:sz w:val="22"/>
                <w:szCs w:val="22"/>
              </w:rPr>
              <w:t>5/94</w:t>
            </w:r>
          </w:p>
        </w:tc>
      </w:tr>
      <w:tr w:rsidR="00B862A8" w:rsidRPr="002F71FF" w:rsidTr="00B862A8">
        <w:trPr>
          <w:trHeight w:val="20"/>
        </w:trPr>
        <w:tc>
          <w:tcPr>
            <w:tcW w:w="1015" w:type="pct"/>
            <w:tcBorders>
              <w:top w:val="single" w:sz="4" w:space="0" w:color="000000"/>
              <w:left w:val="single" w:sz="4" w:space="0" w:color="000000"/>
              <w:bottom w:val="single" w:sz="4" w:space="0" w:color="000000"/>
              <w:right w:val="single" w:sz="4" w:space="0" w:color="000000"/>
            </w:tcBorders>
          </w:tcPr>
          <w:p w:rsidR="00B862A8" w:rsidRPr="002F71FF" w:rsidRDefault="00B862A8" w:rsidP="00B862A8">
            <w:pPr>
              <w:rPr>
                <w:sz w:val="22"/>
                <w:szCs w:val="22"/>
              </w:rPr>
            </w:pPr>
            <w:r w:rsidRPr="002F71FF">
              <w:rPr>
                <w:sz w:val="22"/>
                <w:szCs w:val="22"/>
              </w:rPr>
              <w:t>Patienter som er naive over for brug af</w:t>
            </w:r>
            <w:r w:rsidRPr="002F71FF">
              <w:rPr>
                <w:spacing w:val="-6"/>
                <w:sz w:val="22"/>
                <w:szCs w:val="22"/>
              </w:rPr>
              <w:t xml:space="preserve"> </w:t>
            </w:r>
            <w:r w:rsidRPr="002F71FF">
              <w:rPr>
                <w:sz w:val="22"/>
                <w:szCs w:val="22"/>
              </w:rPr>
              <w:t>EN</w:t>
            </w:r>
            <w:r>
              <w:rPr>
                <w:sz w:val="22"/>
                <w:szCs w:val="22"/>
              </w:rPr>
              <w:t>F</w:t>
            </w:r>
            <w:r w:rsidRPr="003F5F60">
              <w:rPr>
                <w:sz w:val="22"/>
                <w:szCs w:val="22"/>
                <w:vertAlign w:val="superscript"/>
              </w:rPr>
              <w:t>d</w:t>
            </w:r>
          </w:p>
        </w:tc>
        <w:tc>
          <w:tcPr>
            <w:tcW w:w="568" w:type="pct"/>
            <w:tcBorders>
              <w:top w:val="single" w:sz="4" w:space="0" w:color="000000"/>
              <w:left w:val="single" w:sz="4" w:space="0" w:color="000000"/>
              <w:bottom w:val="single" w:sz="4" w:space="0" w:color="000000"/>
              <w:right w:val="single" w:sz="4" w:space="0" w:color="000000"/>
            </w:tcBorders>
          </w:tcPr>
          <w:p w:rsidR="00B862A8" w:rsidRPr="00EA6146" w:rsidRDefault="00B862A8" w:rsidP="00B862A8">
            <w:pPr>
              <w:jc w:val="center"/>
              <w:rPr>
                <w:sz w:val="22"/>
                <w:szCs w:val="22"/>
              </w:rPr>
            </w:pPr>
            <w:r w:rsidRPr="000938D9">
              <w:rPr>
                <w:spacing w:val="1"/>
                <w:sz w:val="22"/>
                <w:szCs w:val="22"/>
              </w:rPr>
              <w:t>60 %</w:t>
            </w:r>
          </w:p>
          <w:p w:rsidR="00B862A8" w:rsidRPr="000938D9" w:rsidRDefault="00B862A8" w:rsidP="00B862A8">
            <w:pPr>
              <w:jc w:val="center"/>
              <w:rPr>
                <w:sz w:val="22"/>
                <w:szCs w:val="22"/>
              </w:rPr>
            </w:pPr>
            <w:r w:rsidRPr="000938D9">
              <w:rPr>
                <w:spacing w:val="1"/>
                <w:sz w:val="22"/>
                <w:szCs w:val="22"/>
              </w:rPr>
              <w:t>165/273</w:t>
            </w:r>
          </w:p>
        </w:tc>
        <w:tc>
          <w:tcPr>
            <w:tcW w:w="487"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66 %</w:t>
            </w:r>
          </w:p>
          <w:p w:rsidR="00B862A8" w:rsidRPr="000938D9" w:rsidRDefault="00B862A8" w:rsidP="00B862A8">
            <w:pPr>
              <w:jc w:val="center"/>
              <w:rPr>
                <w:sz w:val="22"/>
                <w:szCs w:val="22"/>
              </w:rPr>
            </w:pPr>
            <w:r w:rsidRPr="000938D9">
              <w:rPr>
                <w:spacing w:val="1"/>
                <w:sz w:val="22"/>
                <w:szCs w:val="22"/>
              </w:rPr>
              <w:t>121/183</w:t>
            </w:r>
          </w:p>
        </w:tc>
        <w:tc>
          <w:tcPr>
            <w:tcW w:w="43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62 %</w:t>
            </w:r>
          </w:p>
          <w:p w:rsidR="00B862A8" w:rsidRPr="000938D9" w:rsidRDefault="00B862A8" w:rsidP="00B862A8">
            <w:pPr>
              <w:jc w:val="center"/>
              <w:rPr>
                <w:sz w:val="22"/>
                <w:szCs w:val="22"/>
              </w:rPr>
            </w:pPr>
            <w:r w:rsidRPr="000938D9">
              <w:rPr>
                <w:spacing w:val="1"/>
                <w:sz w:val="22"/>
                <w:szCs w:val="22"/>
              </w:rPr>
              <w:t>32/52</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28 %</w:t>
            </w:r>
          </w:p>
          <w:p w:rsidR="00B862A8" w:rsidRPr="000938D9" w:rsidRDefault="00B862A8" w:rsidP="00B862A8">
            <w:pPr>
              <w:jc w:val="center"/>
              <w:rPr>
                <w:sz w:val="22"/>
                <w:szCs w:val="22"/>
              </w:rPr>
            </w:pPr>
            <w:r w:rsidRPr="000938D9">
              <w:rPr>
                <w:spacing w:val="1"/>
                <w:sz w:val="22"/>
                <w:szCs w:val="22"/>
              </w:rPr>
              <w:t>10/36</w:t>
            </w:r>
          </w:p>
        </w:tc>
        <w:tc>
          <w:tcPr>
            <w:tcW w:w="559"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60 %</w:t>
            </w:r>
          </w:p>
          <w:p w:rsidR="00B862A8" w:rsidRPr="000938D9" w:rsidRDefault="00B862A8" w:rsidP="00B862A8">
            <w:pPr>
              <w:jc w:val="center"/>
              <w:rPr>
                <w:sz w:val="22"/>
                <w:szCs w:val="22"/>
              </w:rPr>
            </w:pPr>
            <w:r w:rsidRPr="000938D9">
              <w:rPr>
                <w:spacing w:val="1"/>
                <w:sz w:val="22"/>
                <w:szCs w:val="22"/>
              </w:rPr>
              <w:t>165/273</w:t>
            </w:r>
          </w:p>
        </w:tc>
        <w:tc>
          <w:tcPr>
            <w:tcW w:w="491"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66 %</w:t>
            </w:r>
          </w:p>
          <w:p w:rsidR="00B862A8" w:rsidRPr="000938D9" w:rsidRDefault="00B862A8" w:rsidP="00B862A8">
            <w:pPr>
              <w:jc w:val="center"/>
              <w:rPr>
                <w:sz w:val="22"/>
                <w:szCs w:val="22"/>
              </w:rPr>
            </w:pPr>
            <w:r w:rsidRPr="000938D9">
              <w:rPr>
                <w:spacing w:val="1"/>
                <w:sz w:val="22"/>
                <w:szCs w:val="22"/>
              </w:rPr>
              <w:t>120/182</w:t>
            </w:r>
          </w:p>
        </w:tc>
        <w:tc>
          <w:tcPr>
            <w:tcW w:w="444"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61 %</w:t>
            </w:r>
          </w:p>
          <w:p w:rsidR="00B862A8" w:rsidRPr="000938D9" w:rsidRDefault="00B862A8" w:rsidP="00B862A8">
            <w:pPr>
              <w:jc w:val="center"/>
              <w:rPr>
                <w:sz w:val="22"/>
                <w:szCs w:val="22"/>
              </w:rPr>
            </w:pPr>
            <w:r w:rsidRPr="000938D9">
              <w:rPr>
                <w:spacing w:val="1"/>
                <w:sz w:val="22"/>
                <w:szCs w:val="22"/>
              </w:rPr>
              <w:t>34/56</w:t>
            </w:r>
          </w:p>
        </w:tc>
        <w:tc>
          <w:tcPr>
            <w:tcW w:w="498" w:type="pct"/>
            <w:tcBorders>
              <w:top w:val="single" w:sz="4" w:space="0" w:color="000000"/>
              <w:left w:val="single" w:sz="4" w:space="0" w:color="000000"/>
              <w:bottom w:val="single" w:sz="4" w:space="0" w:color="000000"/>
              <w:right w:val="single" w:sz="4" w:space="0" w:color="000000"/>
            </w:tcBorders>
          </w:tcPr>
          <w:p w:rsidR="00B862A8" w:rsidRPr="000938D9" w:rsidRDefault="00B862A8" w:rsidP="00B862A8">
            <w:pPr>
              <w:jc w:val="center"/>
              <w:rPr>
                <w:sz w:val="22"/>
                <w:szCs w:val="22"/>
              </w:rPr>
            </w:pPr>
            <w:r w:rsidRPr="000938D9">
              <w:rPr>
                <w:spacing w:val="1"/>
                <w:sz w:val="22"/>
                <w:szCs w:val="22"/>
              </w:rPr>
              <w:t>17 %</w:t>
            </w:r>
          </w:p>
          <w:p w:rsidR="00B862A8" w:rsidRPr="000938D9" w:rsidRDefault="00B862A8" w:rsidP="00B862A8">
            <w:pPr>
              <w:jc w:val="center"/>
              <w:rPr>
                <w:sz w:val="22"/>
                <w:szCs w:val="22"/>
              </w:rPr>
            </w:pPr>
            <w:r w:rsidRPr="000938D9">
              <w:rPr>
                <w:spacing w:val="1"/>
                <w:sz w:val="22"/>
                <w:szCs w:val="22"/>
              </w:rPr>
              <w:t>4/24</w:t>
            </w:r>
          </w:p>
        </w:tc>
      </w:tr>
    </w:tbl>
    <w:p w:rsidR="00B862A8" w:rsidRPr="00B862A8" w:rsidRDefault="00B862A8" w:rsidP="00B862A8">
      <w:pPr>
        <w:ind w:left="851" w:hanging="284"/>
        <w:rPr>
          <w:sz w:val="24"/>
          <w:szCs w:val="24"/>
        </w:rPr>
      </w:pPr>
      <w:r w:rsidRPr="00B862A8">
        <w:rPr>
          <w:sz w:val="24"/>
          <w:szCs w:val="24"/>
          <w:vertAlign w:val="superscript"/>
        </w:rPr>
        <w:t xml:space="preserve">a     </w:t>
      </w:r>
      <w:r w:rsidRPr="00B862A8">
        <w:rPr>
          <w:sz w:val="24"/>
          <w:szCs w:val="24"/>
        </w:rPr>
        <w:t>Antal af mutationer fra listen over mutationer assovieret med et formindsket respons over for Darunavir/ritonavir (V11</w:t>
      </w:r>
      <w:r w:rsidRPr="00B862A8">
        <w:rPr>
          <w:spacing w:val="-6"/>
          <w:sz w:val="24"/>
          <w:szCs w:val="24"/>
        </w:rPr>
        <w:t>I</w:t>
      </w:r>
      <w:r w:rsidRPr="00B862A8">
        <w:rPr>
          <w:sz w:val="24"/>
          <w:szCs w:val="24"/>
        </w:rPr>
        <w:t>,</w:t>
      </w:r>
      <w:r w:rsidRPr="00B862A8">
        <w:rPr>
          <w:spacing w:val="1"/>
          <w:sz w:val="24"/>
          <w:szCs w:val="24"/>
        </w:rPr>
        <w:t xml:space="preserve"> V32</w:t>
      </w:r>
      <w:r w:rsidRPr="00B862A8">
        <w:rPr>
          <w:spacing w:val="-5"/>
          <w:sz w:val="24"/>
          <w:szCs w:val="24"/>
        </w:rPr>
        <w:t>I</w:t>
      </w:r>
      <w:r w:rsidRPr="00B862A8">
        <w:rPr>
          <w:sz w:val="24"/>
          <w:szCs w:val="24"/>
        </w:rPr>
        <w:t>,</w:t>
      </w:r>
      <w:r w:rsidRPr="00B862A8">
        <w:rPr>
          <w:spacing w:val="4"/>
          <w:sz w:val="24"/>
          <w:szCs w:val="24"/>
        </w:rPr>
        <w:t xml:space="preserve"> </w:t>
      </w:r>
      <w:r w:rsidRPr="00B862A8">
        <w:rPr>
          <w:spacing w:val="-5"/>
          <w:sz w:val="24"/>
          <w:szCs w:val="24"/>
        </w:rPr>
        <w:t>L</w:t>
      </w:r>
      <w:r w:rsidRPr="00B862A8">
        <w:rPr>
          <w:spacing w:val="1"/>
          <w:sz w:val="24"/>
          <w:szCs w:val="24"/>
        </w:rPr>
        <w:t>33F</w:t>
      </w:r>
      <w:r w:rsidRPr="00B862A8">
        <w:rPr>
          <w:sz w:val="24"/>
          <w:szCs w:val="24"/>
        </w:rPr>
        <w:t>,</w:t>
      </w:r>
      <w:r w:rsidRPr="00B862A8">
        <w:rPr>
          <w:spacing w:val="1"/>
          <w:sz w:val="24"/>
          <w:szCs w:val="24"/>
        </w:rPr>
        <w:t xml:space="preserve"> </w:t>
      </w:r>
      <w:r w:rsidRPr="00B862A8">
        <w:rPr>
          <w:spacing w:val="-5"/>
          <w:sz w:val="24"/>
          <w:szCs w:val="24"/>
        </w:rPr>
        <w:t>I</w:t>
      </w:r>
      <w:r w:rsidRPr="00B862A8">
        <w:rPr>
          <w:spacing w:val="1"/>
          <w:sz w:val="24"/>
          <w:szCs w:val="24"/>
        </w:rPr>
        <w:t xml:space="preserve">47V, </w:t>
      </w:r>
      <w:r w:rsidRPr="00B862A8">
        <w:rPr>
          <w:sz w:val="24"/>
          <w:szCs w:val="24"/>
        </w:rPr>
        <w:t>I50V,</w:t>
      </w:r>
      <w:r w:rsidRPr="00B862A8">
        <w:rPr>
          <w:spacing w:val="1"/>
          <w:sz w:val="24"/>
          <w:szCs w:val="24"/>
        </w:rPr>
        <w:t xml:space="preserve"> </w:t>
      </w:r>
      <w:r w:rsidRPr="00B862A8">
        <w:rPr>
          <w:spacing w:val="-6"/>
          <w:sz w:val="24"/>
          <w:szCs w:val="24"/>
        </w:rPr>
        <w:t>I</w:t>
      </w:r>
      <w:r w:rsidRPr="00B862A8">
        <w:rPr>
          <w:spacing w:val="1"/>
          <w:sz w:val="24"/>
          <w:szCs w:val="24"/>
        </w:rPr>
        <w:t>54</w:t>
      </w:r>
      <w:r w:rsidRPr="00B862A8">
        <w:rPr>
          <w:sz w:val="24"/>
          <w:szCs w:val="24"/>
        </w:rPr>
        <w:t>L</w:t>
      </w:r>
      <w:r w:rsidRPr="00B862A8">
        <w:rPr>
          <w:spacing w:val="-5"/>
          <w:sz w:val="24"/>
          <w:szCs w:val="24"/>
        </w:rPr>
        <w:t xml:space="preserve"> </w:t>
      </w:r>
      <w:r w:rsidRPr="00B862A8">
        <w:rPr>
          <w:sz w:val="24"/>
          <w:szCs w:val="24"/>
        </w:rPr>
        <w:t xml:space="preserve">or M, T74P, L76V, </w:t>
      </w:r>
      <w:r w:rsidRPr="00B862A8">
        <w:rPr>
          <w:spacing w:val="-6"/>
          <w:sz w:val="24"/>
          <w:szCs w:val="24"/>
        </w:rPr>
        <w:t>I</w:t>
      </w:r>
      <w:r w:rsidRPr="00B862A8">
        <w:rPr>
          <w:sz w:val="24"/>
          <w:szCs w:val="24"/>
        </w:rPr>
        <w:t>84V</w:t>
      </w:r>
      <w:r w:rsidRPr="00B862A8">
        <w:rPr>
          <w:spacing w:val="1"/>
          <w:sz w:val="24"/>
          <w:szCs w:val="24"/>
        </w:rPr>
        <w:t xml:space="preserve"> </w:t>
      </w:r>
      <w:r w:rsidRPr="00B862A8">
        <w:rPr>
          <w:sz w:val="24"/>
          <w:szCs w:val="24"/>
        </w:rPr>
        <w:t>or</w:t>
      </w:r>
      <w:r w:rsidRPr="00B862A8">
        <w:rPr>
          <w:spacing w:val="1"/>
          <w:sz w:val="24"/>
          <w:szCs w:val="24"/>
        </w:rPr>
        <w:t xml:space="preserve"> </w:t>
      </w:r>
      <w:r w:rsidRPr="00B862A8">
        <w:rPr>
          <w:spacing w:val="-5"/>
          <w:sz w:val="24"/>
          <w:szCs w:val="24"/>
        </w:rPr>
        <w:t>L</w:t>
      </w:r>
      <w:r w:rsidRPr="00B862A8">
        <w:rPr>
          <w:sz w:val="24"/>
          <w:szCs w:val="24"/>
        </w:rPr>
        <w:t>89V).</w:t>
      </w:r>
    </w:p>
    <w:p w:rsidR="00B862A8" w:rsidRPr="00B862A8" w:rsidRDefault="00B862A8" w:rsidP="00B862A8">
      <w:pPr>
        <w:ind w:left="851" w:hanging="284"/>
        <w:rPr>
          <w:sz w:val="24"/>
          <w:szCs w:val="24"/>
        </w:rPr>
      </w:pPr>
      <w:r w:rsidRPr="00B862A8">
        <w:rPr>
          <w:sz w:val="24"/>
          <w:szCs w:val="24"/>
          <w:vertAlign w:val="superscript"/>
        </w:rPr>
        <w:t xml:space="preserve">b     </w:t>
      </w:r>
      <w:r w:rsidRPr="00B862A8">
        <w:rPr>
          <w:sz w:val="24"/>
          <w:szCs w:val="24"/>
        </w:rPr>
        <w:t>Ændring i forhold til reference.</w:t>
      </w:r>
    </w:p>
    <w:p w:rsidR="00B862A8" w:rsidRPr="00B862A8" w:rsidRDefault="00B862A8" w:rsidP="00B862A8">
      <w:pPr>
        <w:ind w:left="851" w:hanging="284"/>
        <w:rPr>
          <w:sz w:val="24"/>
          <w:szCs w:val="24"/>
        </w:rPr>
      </w:pPr>
      <w:r w:rsidRPr="00B862A8">
        <w:rPr>
          <w:sz w:val="24"/>
          <w:szCs w:val="24"/>
          <w:vertAlign w:val="superscript"/>
        </w:rPr>
        <w:t xml:space="preserve">c    </w:t>
      </w:r>
      <w:r w:rsidRPr="00B862A8">
        <w:rPr>
          <w:sz w:val="24"/>
          <w:szCs w:val="24"/>
        </w:rPr>
        <w:t>"Patienter som ikke burger eller som er non-naive over for brug af ENF" er patienter som ikke brugte ENF eller som brugte ENF men ikke for første gang.</w:t>
      </w:r>
    </w:p>
    <w:p w:rsidR="00B862A8" w:rsidRPr="004623FF" w:rsidRDefault="00B862A8" w:rsidP="00B862A8">
      <w:pPr>
        <w:ind w:left="851" w:hanging="284"/>
        <w:rPr>
          <w:sz w:val="24"/>
          <w:szCs w:val="24"/>
        </w:rPr>
      </w:pPr>
      <w:r w:rsidRPr="00B862A8">
        <w:rPr>
          <w:sz w:val="24"/>
          <w:szCs w:val="24"/>
          <w:vertAlign w:val="superscript"/>
        </w:rPr>
        <w:t>d</w:t>
      </w:r>
      <w:r w:rsidRPr="004623FF">
        <w:rPr>
          <w:sz w:val="24"/>
          <w:szCs w:val="24"/>
          <w:vertAlign w:val="superscript"/>
        </w:rPr>
        <w:t xml:space="preserve"> </w:t>
      </w:r>
      <w:r>
        <w:rPr>
          <w:sz w:val="24"/>
          <w:szCs w:val="24"/>
          <w:vertAlign w:val="superscript"/>
        </w:rPr>
        <w:t xml:space="preserve">   </w:t>
      </w:r>
      <w:r w:rsidRPr="004623FF">
        <w:rPr>
          <w:sz w:val="24"/>
          <w:szCs w:val="24"/>
        </w:rPr>
        <w:t>"Patienter, som er naive over for brug af ENF" er patienter som brugte ENF for første gang.</w:t>
      </w:r>
    </w:p>
    <w:p w:rsidR="00B862A8" w:rsidRDefault="00B862A8" w:rsidP="00B862A8">
      <w:pPr>
        <w:tabs>
          <w:tab w:val="left" w:pos="851"/>
        </w:tabs>
        <w:ind w:left="851"/>
        <w:rPr>
          <w:sz w:val="24"/>
          <w:szCs w:val="24"/>
          <w:u w:val="single"/>
        </w:rPr>
      </w:pPr>
    </w:p>
    <w:p w:rsidR="00B862A8" w:rsidRPr="00ED0DE7" w:rsidRDefault="00B862A8" w:rsidP="00B862A8">
      <w:pPr>
        <w:tabs>
          <w:tab w:val="left" w:pos="851"/>
        </w:tabs>
        <w:ind w:left="851"/>
        <w:rPr>
          <w:sz w:val="24"/>
          <w:szCs w:val="24"/>
          <w:u w:val="single"/>
        </w:rPr>
      </w:pPr>
      <w:r w:rsidRPr="00ED0DE7">
        <w:rPr>
          <w:sz w:val="24"/>
          <w:szCs w:val="24"/>
          <w:u w:val="single"/>
        </w:rPr>
        <w:t>Pædiatriske patienter</w:t>
      </w:r>
    </w:p>
    <w:p w:rsidR="00B862A8" w:rsidRPr="00ED0DE7" w:rsidRDefault="00B862A8" w:rsidP="00B862A8">
      <w:pPr>
        <w:tabs>
          <w:tab w:val="left" w:pos="851"/>
        </w:tabs>
        <w:ind w:left="851"/>
        <w:rPr>
          <w:sz w:val="24"/>
          <w:szCs w:val="24"/>
        </w:rPr>
      </w:pPr>
      <w:r w:rsidRPr="00ED0DE7">
        <w:rPr>
          <w:sz w:val="24"/>
          <w:szCs w:val="24"/>
        </w:rPr>
        <w:t xml:space="preserve">Vedrørende kliniske studieresultater for ART-naive pædiatriske patienter i alderen 12 til 17 år henvises til produktresuméet for Darunavir </w:t>
      </w:r>
      <w:r>
        <w:rPr>
          <w:sz w:val="24"/>
          <w:szCs w:val="24"/>
        </w:rPr>
        <w:t>"STADA"</w:t>
      </w:r>
      <w:r w:rsidRPr="00ED0DE7">
        <w:rPr>
          <w:sz w:val="24"/>
          <w:szCs w:val="24"/>
        </w:rPr>
        <w:t xml:space="preserve"> 400 mg og 800 mg filmovertrukne tabletter.</w:t>
      </w:r>
    </w:p>
    <w:p w:rsidR="00B862A8" w:rsidRPr="00ED0DE7" w:rsidRDefault="00B862A8" w:rsidP="00B862A8">
      <w:pPr>
        <w:tabs>
          <w:tab w:val="left" w:pos="851"/>
        </w:tabs>
        <w:ind w:left="851"/>
        <w:rPr>
          <w:i/>
          <w:iCs/>
          <w:sz w:val="24"/>
          <w:szCs w:val="24"/>
        </w:rPr>
      </w:pPr>
    </w:p>
    <w:p w:rsidR="00B862A8" w:rsidRPr="004623FF" w:rsidRDefault="00B862A8" w:rsidP="00B862A8">
      <w:pPr>
        <w:tabs>
          <w:tab w:val="left" w:pos="851"/>
        </w:tabs>
        <w:ind w:left="851"/>
        <w:rPr>
          <w:i/>
          <w:iCs/>
          <w:sz w:val="24"/>
          <w:szCs w:val="24"/>
          <w:u w:val="single"/>
        </w:rPr>
      </w:pPr>
      <w:r w:rsidRPr="004623FF">
        <w:rPr>
          <w:i/>
          <w:iCs/>
          <w:sz w:val="24"/>
          <w:szCs w:val="24"/>
          <w:u w:val="single"/>
        </w:rPr>
        <w:t>ART-erfarne pædiatriske patienter i alderen 6 til &lt; 18 år og med legemsvægt på mindst 20 kg</w:t>
      </w:r>
    </w:p>
    <w:p w:rsidR="00B862A8" w:rsidRPr="00ED0DE7" w:rsidRDefault="00B862A8" w:rsidP="00B862A8">
      <w:pPr>
        <w:tabs>
          <w:tab w:val="left" w:pos="851"/>
        </w:tabs>
        <w:ind w:left="851"/>
        <w:rPr>
          <w:sz w:val="24"/>
          <w:szCs w:val="24"/>
        </w:rPr>
      </w:pPr>
      <w:r w:rsidRPr="00ED0DE7">
        <w:rPr>
          <w:b/>
          <w:i/>
          <w:sz w:val="24"/>
          <w:szCs w:val="24"/>
        </w:rPr>
        <w:t>DELPHI</w:t>
      </w:r>
      <w:r w:rsidRPr="00ED0DE7">
        <w:rPr>
          <w:sz w:val="24"/>
          <w:szCs w:val="24"/>
        </w:rPr>
        <w:t xml:space="preserve"> er </w:t>
      </w:r>
      <w:proofErr w:type="gramStart"/>
      <w:r w:rsidRPr="00ED0DE7">
        <w:rPr>
          <w:sz w:val="24"/>
          <w:szCs w:val="24"/>
        </w:rPr>
        <w:t>et åben label</w:t>
      </w:r>
      <w:proofErr w:type="gramEnd"/>
      <w:r w:rsidRPr="00ED0DE7">
        <w:rPr>
          <w:sz w:val="24"/>
          <w:szCs w:val="24"/>
        </w:rPr>
        <w:t xml:space="preserve"> fase II-studie, hvor farmakokinetikken, sikkerheden, tolerabiliteten og effekten af darunavir med lavdosis ritonavir blev undersøgt hos 80 ART-erfarne </w:t>
      </w:r>
      <w:r>
        <w:rPr>
          <w:sz w:val="24"/>
          <w:szCs w:val="24"/>
        </w:rPr>
        <w:t>HIV</w:t>
      </w:r>
      <w:r w:rsidRPr="00ED0DE7">
        <w:rPr>
          <w:sz w:val="24"/>
          <w:szCs w:val="24"/>
        </w:rPr>
        <w:t xml:space="preserve">-1-smittede pædiatriske patienter i alderen 6 til 17 år og med en vægt på mindst 20 kg. Disse patienter fik darunavir/ritonavir to gange daglig i kombination med andre antiretrovirale lægemidler (se pkt. 4.2 for doseringsanbefalinger i forhold til legemsvægt). Virologisk respons er defineret som et fald i plasma </w:t>
      </w:r>
      <w:r>
        <w:rPr>
          <w:sz w:val="24"/>
          <w:szCs w:val="24"/>
        </w:rPr>
        <w:t>HIV</w:t>
      </w:r>
      <w:r w:rsidRPr="00ED0DE7">
        <w:rPr>
          <w:sz w:val="24"/>
          <w:szCs w:val="24"/>
        </w:rPr>
        <w:t>-1-RNA-niveau på mindst 1,0 log10 i forhold til baseline.</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 patienter i studiet, der var i risiko for at afbryde behandlingen på grund af intolerans over for ritonavir oral opløsning (f.eks. aversion over for smagen), blev det tilladt at skifte til kapselformuleringen. Ud af de 44 patienter, der fik ritonavir oral opløsning, skiftede 27 til 100 mg kapselformuleringen og overskred derved den vægtbaserede ritonavirdosis uden observerede ændringer i sikkerhed.</w:t>
      </w:r>
    </w:p>
    <w:p w:rsidR="00B862A8" w:rsidRPr="00ED0DE7" w:rsidRDefault="00B862A8" w:rsidP="00B862A8">
      <w:pPr>
        <w:spacing w:before="4" w:line="240" w:lineRule="exact"/>
        <w:rPr>
          <w:sz w:val="24"/>
          <w:szCs w:val="24"/>
        </w:rPr>
      </w:pPr>
    </w:p>
    <w:tbl>
      <w:tblPr>
        <w:tblW w:w="5000" w:type="pct"/>
        <w:tblCellMar>
          <w:left w:w="0" w:type="dxa"/>
          <w:right w:w="0" w:type="dxa"/>
        </w:tblCellMar>
        <w:tblLook w:val="01E0" w:firstRow="1" w:lastRow="1" w:firstColumn="1" w:lastColumn="1" w:noHBand="0" w:noVBand="0"/>
      </w:tblPr>
      <w:tblGrid>
        <w:gridCol w:w="4814"/>
        <w:gridCol w:w="4814"/>
      </w:tblGrid>
      <w:tr w:rsidR="00B862A8" w:rsidRPr="00F141B9" w:rsidTr="00B862A8">
        <w:trPr>
          <w:trHeight w:val="20"/>
        </w:trPr>
        <w:tc>
          <w:tcPr>
            <w:tcW w:w="5000" w:type="pct"/>
            <w:gridSpan w:val="2"/>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spacing w:before="7"/>
              <w:ind w:left="4210" w:right="4189"/>
              <w:jc w:val="center"/>
              <w:rPr>
                <w:bCs/>
                <w:sz w:val="22"/>
                <w:szCs w:val="22"/>
              </w:rPr>
            </w:pPr>
            <w:r w:rsidRPr="004623FF">
              <w:rPr>
                <w:bCs/>
                <w:sz w:val="22"/>
                <w:szCs w:val="22"/>
              </w:rPr>
              <w:t>DELPHI</w:t>
            </w:r>
          </w:p>
        </w:tc>
      </w:tr>
      <w:tr w:rsidR="00B862A8" w:rsidRPr="00F141B9" w:rsidTr="00B862A8">
        <w:trPr>
          <w:trHeight w:val="20"/>
        </w:trPr>
        <w:tc>
          <w:tcPr>
            <w:tcW w:w="2500"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20"/>
              <w:rPr>
                <w:sz w:val="22"/>
                <w:szCs w:val="22"/>
              </w:rPr>
            </w:pPr>
            <w:r w:rsidRPr="00F141B9">
              <w:rPr>
                <w:i/>
                <w:sz w:val="22"/>
                <w:szCs w:val="22"/>
              </w:rPr>
              <w:t>Resultat ved uge 48</w:t>
            </w:r>
          </w:p>
        </w:tc>
        <w:tc>
          <w:tcPr>
            <w:tcW w:w="2500"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spacing w:before="7"/>
              <w:ind w:left="100" w:right="-20"/>
              <w:jc w:val="center"/>
              <w:rPr>
                <w:sz w:val="22"/>
                <w:szCs w:val="22"/>
              </w:rPr>
            </w:pPr>
            <w:r w:rsidRPr="00F141B9">
              <w:rPr>
                <w:sz w:val="22"/>
                <w:szCs w:val="22"/>
              </w:rPr>
              <w:t>Darunavir/ritonavir</w:t>
            </w:r>
          </w:p>
          <w:p w:rsidR="00B862A8" w:rsidRPr="00F141B9" w:rsidRDefault="00B862A8" w:rsidP="00B862A8">
            <w:pPr>
              <w:spacing w:before="1"/>
              <w:ind w:left="100" w:right="-20"/>
              <w:jc w:val="center"/>
              <w:rPr>
                <w:sz w:val="22"/>
                <w:szCs w:val="22"/>
              </w:rPr>
            </w:pPr>
            <w:r w:rsidRPr="00F141B9">
              <w:rPr>
                <w:sz w:val="22"/>
                <w:szCs w:val="22"/>
              </w:rPr>
              <w:t>N=80</w:t>
            </w:r>
          </w:p>
        </w:tc>
      </w:tr>
      <w:tr w:rsidR="00B862A8" w:rsidRPr="00F141B9" w:rsidTr="00B862A8">
        <w:trPr>
          <w:trHeight w:val="20"/>
        </w:trPr>
        <w:tc>
          <w:tcPr>
            <w:tcW w:w="2500"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20"/>
              <w:rPr>
                <w:sz w:val="22"/>
                <w:szCs w:val="22"/>
              </w:rPr>
            </w:pPr>
            <w:r>
              <w:rPr>
                <w:spacing w:val="1"/>
                <w:sz w:val="22"/>
                <w:szCs w:val="22"/>
              </w:rPr>
              <w:t>HIV</w:t>
            </w:r>
            <w:r w:rsidRPr="00F141B9">
              <w:rPr>
                <w:spacing w:val="-4"/>
                <w:sz w:val="22"/>
                <w:szCs w:val="22"/>
              </w:rPr>
              <w:t>-</w:t>
            </w:r>
            <w:r w:rsidRPr="00F141B9">
              <w:rPr>
                <w:sz w:val="22"/>
                <w:szCs w:val="22"/>
              </w:rPr>
              <w:t>1 RNA &lt; 50 kopier/m</w:t>
            </w:r>
            <w:r w:rsidRPr="00F141B9">
              <w:rPr>
                <w:spacing w:val="1"/>
                <w:sz w:val="22"/>
                <w:szCs w:val="22"/>
              </w:rPr>
              <w:t>l</w:t>
            </w:r>
            <w:r w:rsidRPr="00F141B9">
              <w:rPr>
                <w:spacing w:val="1"/>
                <w:sz w:val="22"/>
                <w:szCs w:val="22"/>
                <w:vertAlign w:val="superscript"/>
              </w:rPr>
              <w:t>a</w:t>
            </w:r>
          </w:p>
        </w:tc>
        <w:tc>
          <w:tcPr>
            <w:tcW w:w="2500"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spacing w:before="7"/>
              <w:ind w:left="100" w:right="-20"/>
              <w:jc w:val="center"/>
              <w:rPr>
                <w:sz w:val="22"/>
                <w:szCs w:val="22"/>
              </w:rPr>
            </w:pPr>
            <w:r w:rsidRPr="00F141B9">
              <w:rPr>
                <w:sz w:val="22"/>
                <w:szCs w:val="22"/>
              </w:rPr>
              <w:t>47,5 % (38)</w:t>
            </w:r>
          </w:p>
        </w:tc>
      </w:tr>
      <w:tr w:rsidR="00B862A8" w:rsidRPr="00F141B9" w:rsidTr="00B862A8">
        <w:trPr>
          <w:trHeight w:val="20"/>
        </w:trPr>
        <w:tc>
          <w:tcPr>
            <w:tcW w:w="2500"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20"/>
              <w:rPr>
                <w:sz w:val="22"/>
                <w:szCs w:val="22"/>
              </w:rPr>
            </w:pPr>
            <w:r w:rsidRPr="00F141B9">
              <w:rPr>
                <w:sz w:val="22"/>
                <w:szCs w:val="22"/>
              </w:rPr>
              <w:t>CD4+ celleantal gennemsnitlig ændring fra baseline</w:t>
            </w:r>
            <w:r w:rsidRPr="00F141B9">
              <w:rPr>
                <w:sz w:val="22"/>
                <w:szCs w:val="22"/>
                <w:vertAlign w:val="superscript"/>
              </w:rPr>
              <w:t>b</w:t>
            </w:r>
          </w:p>
        </w:tc>
        <w:tc>
          <w:tcPr>
            <w:tcW w:w="2500"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spacing w:before="7"/>
              <w:ind w:left="100" w:right="-20"/>
              <w:jc w:val="center"/>
              <w:rPr>
                <w:sz w:val="22"/>
                <w:szCs w:val="22"/>
              </w:rPr>
            </w:pPr>
            <w:r w:rsidRPr="00F141B9">
              <w:rPr>
                <w:sz w:val="22"/>
                <w:szCs w:val="22"/>
              </w:rPr>
              <w:t>147</w:t>
            </w:r>
          </w:p>
        </w:tc>
      </w:tr>
    </w:tbl>
    <w:p w:rsidR="00B862A8" w:rsidRPr="00137A1B" w:rsidRDefault="00B862A8" w:rsidP="00B862A8">
      <w:pPr>
        <w:ind w:left="851"/>
        <w:rPr>
          <w:sz w:val="22"/>
          <w:szCs w:val="22"/>
          <w:lang w:val="en-US"/>
        </w:rPr>
      </w:pPr>
      <w:r w:rsidRPr="00137A1B">
        <w:rPr>
          <w:sz w:val="22"/>
          <w:szCs w:val="22"/>
          <w:vertAlign w:val="superscript"/>
          <w:lang w:val="en-US"/>
        </w:rPr>
        <w:t>a</w:t>
      </w:r>
      <w:r w:rsidRPr="00137A1B">
        <w:rPr>
          <w:sz w:val="22"/>
          <w:szCs w:val="22"/>
          <w:lang w:val="en-US"/>
        </w:rPr>
        <w:t xml:space="preserve"> I henhold til TLOVR-algoritmen (time to loss of viral response).</w:t>
      </w:r>
    </w:p>
    <w:p w:rsidR="00B862A8" w:rsidRPr="00137A1B" w:rsidRDefault="00B862A8" w:rsidP="00B862A8">
      <w:pPr>
        <w:ind w:left="851"/>
        <w:rPr>
          <w:sz w:val="22"/>
          <w:szCs w:val="22"/>
        </w:rPr>
      </w:pPr>
      <w:r w:rsidRPr="00137A1B">
        <w:rPr>
          <w:sz w:val="22"/>
          <w:szCs w:val="22"/>
          <w:vertAlign w:val="superscript"/>
        </w:rPr>
        <w:t>b</w:t>
      </w:r>
      <w:r w:rsidRPr="00137A1B">
        <w:rPr>
          <w:sz w:val="22"/>
          <w:szCs w:val="22"/>
        </w:rPr>
        <w:t xml:space="preserve"> Patienter</w:t>
      </w:r>
      <w:r w:rsidRPr="00137A1B">
        <w:rPr>
          <w:spacing w:val="-1"/>
          <w:position w:val="-2"/>
          <w:sz w:val="22"/>
          <w:szCs w:val="22"/>
        </w:rPr>
        <w:t>, der ikke fuldførte behandlingen, betragtes som have ned behandlingssvigt, dvs. patienter der afbrød behandlingen i utide medregnes med en ændring, der tillægges størrelsen 0</w:t>
      </w:r>
      <w:r w:rsidRPr="00137A1B">
        <w:rPr>
          <w:position w:val="-2"/>
          <w:sz w:val="22"/>
          <w:szCs w:val="22"/>
        </w:rPr>
        <w:t>.</w:t>
      </w:r>
    </w:p>
    <w:p w:rsidR="00B862A8" w:rsidRPr="00ED0DE7" w:rsidRDefault="00B862A8" w:rsidP="00B862A8">
      <w:pPr>
        <w:ind w:left="851"/>
      </w:pPr>
    </w:p>
    <w:p w:rsidR="00B862A8" w:rsidRDefault="00B862A8" w:rsidP="00B762BC">
      <w:pPr>
        <w:tabs>
          <w:tab w:val="left" w:pos="851"/>
        </w:tabs>
        <w:ind w:left="851"/>
        <w:rPr>
          <w:sz w:val="24"/>
          <w:szCs w:val="24"/>
        </w:rPr>
      </w:pPr>
      <w:r w:rsidRPr="00ED0DE7">
        <w:rPr>
          <w:sz w:val="24"/>
          <w:szCs w:val="24"/>
        </w:rPr>
        <w:t>Ifølge den TLOVR non-virologisk svigt-censorerede algoritme oplevede 24 (30,0 %) patienter virologisk svigt, af hvilke 17 (21,3 %) patienter fik tilbagefald og 7 (8,8 %) patienter ikke responderede på behandlingen.</w:t>
      </w:r>
    </w:p>
    <w:p w:rsidR="00B762BC" w:rsidRPr="00B762BC" w:rsidRDefault="00B762BC" w:rsidP="00B762BC">
      <w:pPr>
        <w:tabs>
          <w:tab w:val="left" w:pos="851"/>
        </w:tabs>
        <w:ind w:left="851"/>
        <w:rPr>
          <w:sz w:val="24"/>
          <w:szCs w:val="24"/>
        </w:rPr>
      </w:pPr>
    </w:p>
    <w:p w:rsidR="00B862A8" w:rsidRPr="00ED0DE7" w:rsidRDefault="00B862A8" w:rsidP="00B862A8">
      <w:pPr>
        <w:keepNext/>
        <w:tabs>
          <w:tab w:val="left" w:pos="851"/>
        </w:tabs>
        <w:ind w:left="851"/>
        <w:rPr>
          <w:i/>
          <w:iCs/>
          <w:sz w:val="24"/>
          <w:szCs w:val="24"/>
          <w:u w:val="single"/>
        </w:rPr>
      </w:pPr>
      <w:r w:rsidRPr="00ED0DE7">
        <w:rPr>
          <w:i/>
          <w:iCs/>
          <w:sz w:val="24"/>
          <w:szCs w:val="24"/>
          <w:u w:val="single"/>
        </w:rPr>
        <w:lastRenderedPageBreak/>
        <w:t>ART-erfarne pædiatriske patienter i alderen 3 til &lt; 6 år</w:t>
      </w:r>
    </w:p>
    <w:p w:rsidR="00B862A8" w:rsidRDefault="00B862A8" w:rsidP="00B862A8">
      <w:pPr>
        <w:tabs>
          <w:tab w:val="left" w:pos="851"/>
        </w:tabs>
        <w:ind w:left="851"/>
        <w:rPr>
          <w:sz w:val="24"/>
          <w:szCs w:val="24"/>
        </w:rPr>
      </w:pPr>
      <w:r w:rsidRPr="00ED0DE7">
        <w:rPr>
          <w:sz w:val="24"/>
          <w:szCs w:val="24"/>
        </w:rPr>
        <w:t xml:space="preserve">Farmakokinetik, sikkerhed, tolerabilitet og virkning af darunavir/ritonavir to gange daglig i kombination med andre antiretrovirale lægemidler hos 21 ART-erfarne </w:t>
      </w:r>
      <w:r>
        <w:rPr>
          <w:sz w:val="24"/>
          <w:szCs w:val="24"/>
        </w:rPr>
        <w:t>HIV</w:t>
      </w:r>
      <w:r w:rsidRPr="00ED0DE7">
        <w:rPr>
          <w:sz w:val="24"/>
          <w:szCs w:val="24"/>
        </w:rPr>
        <w:t xml:space="preserve">-1 smittede pædiatriske patienter i alderen 3 til &lt; 6 år med en legemsvægt på 10 kg til &lt; 20 kg blev evalueret i et åbent fase II-studie, </w:t>
      </w:r>
      <w:r w:rsidRPr="00ED0DE7">
        <w:rPr>
          <w:b/>
          <w:bCs/>
          <w:i/>
          <w:iCs/>
          <w:sz w:val="24"/>
          <w:szCs w:val="24"/>
        </w:rPr>
        <w:t>ARIEL</w:t>
      </w:r>
      <w:r w:rsidRPr="00ED0DE7">
        <w:rPr>
          <w:i/>
          <w:iCs/>
          <w:sz w:val="24"/>
          <w:szCs w:val="24"/>
        </w:rPr>
        <w:t xml:space="preserve">. </w:t>
      </w:r>
      <w:r w:rsidRPr="00ED0DE7">
        <w:rPr>
          <w:sz w:val="24"/>
          <w:szCs w:val="24"/>
        </w:rPr>
        <w:t>Patienterne fik et vægtbaseret behandlings</w:t>
      </w:r>
      <w:r>
        <w:rPr>
          <w:sz w:val="24"/>
          <w:szCs w:val="24"/>
        </w:rPr>
        <w:softHyphen/>
      </w:r>
      <w:r w:rsidRPr="00ED0DE7">
        <w:rPr>
          <w:sz w:val="24"/>
          <w:szCs w:val="24"/>
        </w:rPr>
        <w:t xml:space="preserve">regime to gange daglig; patienter med en legemsvægt på 10 kg til &lt; 15 kg fik darunavir/ritonavir 25/3 mg/kg to gange daglig og patienter med en legemsvægt på 15 kg til &lt; 20 kg fik darunavir/ritonavir 375/50 mg to gange daglig. Ved uge 48 blev det virologiske respons, defineret som procentdelen af patienter med bekræftet viral load i plasma &lt; 50 </w:t>
      </w:r>
      <w:r>
        <w:rPr>
          <w:sz w:val="24"/>
          <w:szCs w:val="24"/>
        </w:rPr>
        <w:t>HIV</w:t>
      </w:r>
      <w:r w:rsidRPr="00ED0DE7">
        <w:rPr>
          <w:sz w:val="24"/>
          <w:szCs w:val="24"/>
        </w:rPr>
        <w:t xml:space="preserve">-1 </w:t>
      </w:r>
      <w:proofErr w:type="gramStart"/>
      <w:r w:rsidRPr="00ED0DE7">
        <w:rPr>
          <w:sz w:val="24"/>
          <w:szCs w:val="24"/>
        </w:rPr>
        <w:t>RNA kopier/ml</w:t>
      </w:r>
      <w:proofErr w:type="gramEnd"/>
      <w:r w:rsidRPr="00ED0DE7">
        <w:rPr>
          <w:sz w:val="24"/>
          <w:szCs w:val="24"/>
        </w:rPr>
        <w:t>, evalueret hos 16 pædiatriske patienter med legemsvægt 15 kg til &lt; 20 kg og hos 5 pædiatriske patienter med legemsvægt 10 kg til 15 kg, der fik darunavir/ritonavir i kombination med andre antiretrovirale lægemidler (se pkt. 4.2 for doseringsanbefalinger i forhold til legemsvægt).</w:t>
      </w:r>
    </w:p>
    <w:p w:rsidR="00B862A8" w:rsidRPr="00ED0DE7" w:rsidRDefault="00B862A8" w:rsidP="00B862A8">
      <w:pPr>
        <w:tabs>
          <w:tab w:val="left" w:pos="851"/>
        </w:tabs>
        <w:ind w:left="851"/>
        <w:rPr>
          <w:sz w:val="24"/>
          <w:szCs w:val="24"/>
        </w:rPr>
      </w:pPr>
    </w:p>
    <w:tbl>
      <w:tblPr>
        <w:tblW w:w="5000" w:type="pct"/>
        <w:tblCellMar>
          <w:left w:w="0" w:type="dxa"/>
          <w:right w:w="0" w:type="dxa"/>
        </w:tblCellMar>
        <w:tblLook w:val="01E0" w:firstRow="1" w:lastRow="1" w:firstColumn="1" w:lastColumn="1" w:noHBand="0" w:noVBand="0"/>
      </w:tblPr>
      <w:tblGrid>
        <w:gridCol w:w="3210"/>
        <w:gridCol w:w="3210"/>
        <w:gridCol w:w="3208"/>
      </w:tblGrid>
      <w:tr w:rsidR="00B862A8" w:rsidRPr="00F141B9" w:rsidTr="00B862A8">
        <w:trPr>
          <w:trHeight w:val="20"/>
        </w:trPr>
        <w:tc>
          <w:tcPr>
            <w:tcW w:w="5000" w:type="pct"/>
            <w:gridSpan w:val="3"/>
            <w:tcBorders>
              <w:top w:val="single" w:sz="4" w:space="0" w:color="000000"/>
              <w:left w:val="single" w:sz="4" w:space="0" w:color="000000"/>
              <w:bottom w:val="single" w:sz="4" w:space="0" w:color="000000"/>
              <w:right w:val="single" w:sz="4" w:space="0" w:color="000000"/>
            </w:tcBorders>
          </w:tcPr>
          <w:p w:rsidR="00B862A8" w:rsidRPr="004623FF" w:rsidRDefault="00B862A8" w:rsidP="00B862A8">
            <w:pPr>
              <w:ind w:left="4278" w:right="4261"/>
              <w:jc w:val="center"/>
              <w:rPr>
                <w:bCs/>
                <w:sz w:val="22"/>
                <w:szCs w:val="22"/>
              </w:rPr>
            </w:pPr>
            <w:r>
              <w:rPr>
                <w:sz w:val="24"/>
                <w:szCs w:val="24"/>
              </w:rPr>
              <w:br w:type="page"/>
            </w:r>
            <w:r w:rsidRPr="004623FF">
              <w:rPr>
                <w:bCs/>
                <w:sz w:val="22"/>
                <w:szCs w:val="22"/>
              </w:rPr>
              <w:t>ARIEL</w:t>
            </w:r>
          </w:p>
        </w:tc>
      </w:tr>
      <w:tr w:rsidR="00B862A8" w:rsidRPr="00F141B9" w:rsidTr="00B862A8">
        <w:trPr>
          <w:trHeight w:val="20"/>
        </w:trPr>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20"/>
              <w:rPr>
                <w:sz w:val="22"/>
                <w:szCs w:val="22"/>
              </w:rPr>
            </w:pPr>
            <w:r w:rsidRPr="00F141B9">
              <w:rPr>
                <w:i/>
                <w:sz w:val="22"/>
                <w:szCs w:val="22"/>
              </w:rPr>
              <w:t>Resultater ved uge 48</w:t>
            </w:r>
          </w:p>
        </w:tc>
        <w:tc>
          <w:tcPr>
            <w:tcW w:w="3333" w:type="pct"/>
            <w:gridSpan w:val="2"/>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2127" w:right="2113"/>
              <w:jc w:val="center"/>
              <w:rPr>
                <w:sz w:val="22"/>
                <w:szCs w:val="22"/>
              </w:rPr>
            </w:pPr>
            <w:r w:rsidRPr="00F141B9">
              <w:rPr>
                <w:sz w:val="22"/>
                <w:szCs w:val="22"/>
              </w:rPr>
              <w:t>Darunavir/ritonavir</w:t>
            </w:r>
          </w:p>
        </w:tc>
      </w:tr>
      <w:tr w:rsidR="00B862A8" w:rsidRPr="00F141B9" w:rsidTr="00B862A8">
        <w:trPr>
          <w:trHeight w:val="20"/>
        </w:trPr>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rPr>
                <w:sz w:val="22"/>
                <w:szCs w:val="22"/>
              </w:rPr>
            </w:pPr>
          </w:p>
        </w:tc>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776" w:right="763"/>
              <w:jc w:val="center"/>
              <w:rPr>
                <w:sz w:val="22"/>
                <w:szCs w:val="22"/>
              </w:rPr>
            </w:pPr>
            <w:r w:rsidRPr="00F141B9">
              <w:rPr>
                <w:sz w:val="22"/>
                <w:szCs w:val="22"/>
              </w:rPr>
              <w:t xml:space="preserve">10 </w:t>
            </w:r>
            <w:r w:rsidRPr="00F141B9">
              <w:rPr>
                <w:spacing w:val="-1"/>
                <w:sz w:val="22"/>
                <w:szCs w:val="22"/>
              </w:rPr>
              <w:t>k</w:t>
            </w:r>
            <w:r w:rsidRPr="00F141B9">
              <w:rPr>
                <w:sz w:val="22"/>
                <w:szCs w:val="22"/>
              </w:rPr>
              <w:t>g</w:t>
            </w:r>
            <w:r w:rsidRPr="00F141B9">
              <w:rPr>
                <w:spacing w:val="-1"/>
                <w:sz w:val="22"/>
                <w:szCs w:val="22"/>
              </w:rPr>
              <w:t xml:space="preserve"> t</w:t>
            </w:r>
            <w:r w:rsidRPr="00F141B9">
              <w:rPr>
                <w:sz w:val="22"/>
                <w:szCs w:val="22"/>
              </w:rPr>
              <w:t>il</w:t>
            </w:r>
            <w:r w:rsidRPr="00F141B9">
              <w:rPr>
                <w:spacing w:val="-1"/>
                <w:sz w:val="22"/>
                <w:szCs w:val="22"/>
              </w:rPr>
              <w:t xml:space="preserve"> </w:t>
            </w:r>
            <w:r w:rsidRPr="00F141B9">
              <w:rPr>
                <w:sz w:val="22"/>
                <w:szCs w:val="22"/>
              </w:rPr>
              <w:t xml:space="preserve">&lt; 15 </w:t>
            </w:r>
            <w:r w:rsidRPr="00F141B9">
              <w:rPr>
                <w:spacing w:val="-2"/>
                <w:sz w:val="22"/>
                <w:szCs w:val="22"/>
              </w:rPr>
              <w:t>kg</w:t>
            </w:r>
          </w:p>
          <w:p w:rsidR="00B862A8" w:rsidRPr="00F141B9" w:rsidRDefault="00B862A8" w:rsidP="00B862A8">
            <w:pPr>
              <w:ind w:left="1306" w:right="1292"/>
              <w:jc w:val="center"/>
              <w:rPr>
                <w:sz w:val="22"/>
                <w:szCs w:val="22"/>
              </w:rPr>
            </w:pPr>
            <w:r w:rsidRPr="00F141B9">
              <w:rPr>
                <w:sz w:val="22"/>
                <w:szCs w:val="22"/>
              </w:rPr>
              <w:t>N=5</w:t>
            </w:r>
          </w:p>
        </w:tc>
        <w:tc>
          <w:tcPr>
            <w:tcW w:w="1666"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776" w:right="763"/>
              <w:jc w:val="center"/>
              <w:rPr>
                <w:sz w:val="22"/>
                <w:szCs w:val="22"/>
              </w:rPr>
            </w:pPr>
            <w:r w:rsidRPr="00F141B9">
              <w:rPr>
                <w:sz w:val="22"/>
                <w:szCs w:val="22"/>
              </w:rPr>
              <w:t xml:space="preserve">15 </w:t>
            </w:r>
            <w:r w:rsidRPr="00F141B9">
              <w:rPr>
                <w:spacing w:val="-1"/>
                <w:sz w:val="22"/>
                <w:szCs w:val="22"/>
              </w:rPr>
              <w:t>k</w:t>
            </w:r>
            <w:r w:rsidRPr="00F141B9">
              <w:rPr>
                <w:sz w:val="22"/>
                <w:szCs w:val="22"/>
              </w:rPr>
              <w:t>g</w:t>
            </w:r>
            <w:r w:rsidRPr="00F141B9">
              <w:rPr>
                <w:spacing w:val="-1"/>
                <w:sz w:val="22"/>
                <w:szCs w:val="22"/>
              </w:rPr>
              <w:t xml:space="preserve"> t</w:t>
            </w:r>
            <w:r w:rsidRPr="00F141B9">
              <w:rPr>
                <w:sz w:val="22"/>
                <w:szCs w:val="22"/>
              </w:rPr>
              <w:t>il</w:t>
            </w:r>
            <w:r w:rsidRPr="00F141B9">
              <w:rPr>
                <w:spacing w:val="-1"/>
                <w:sz w:val="22"/>
                <w:szCs w:val="22"/>
              </w:rPr>
              <w:t xml:space="preserve"> </w:t>
            </w:r>
            <w:r w:rsidRPr="00F141B9">
              <w:rPr>
                <w:sz w:val="22"/>
                <w:szCs w:val="22"/>
              </w:rPr>
              <w:t xml:space="preserve">&lt; 20 </w:t>
            </w:r>
            <w:r w:rsidRPr="00F141B9">
              <w:rPr>
                <w:spacing w:val="-2"/>
                <w:sz w:val="22"/>
                <w:szCs w:val="22"/>
              </w:rPr>
              <w:t>kg</w:t>
            </w:r>
          </w:p>
          <w:p w:rsidR="00B862A8" w:rsidRPr="00F141B9" w:rsidRDefault="00B862A8" w:rsidP="00B862A8">
            <w:pPr>
              <w:ind w:left="1251" w:right="1236"/>
              <w:jc w:val="center"/>
              <w:rPr>
                <w:sz w:val="22"/>
                <w:szCs w:val="22"/>
              </w:rPr>
            </w:pPr>
            <w:r w:rsidRPr="00F141B9">
              <w:rPr>
                <w:sz w:val="22"/>
                <w:szCs w:val="22"/>
              </w:rPr>
              <w:t>N=16</w:t>
            </w:r>
          </w:p>
        </w:tc>
      </w:tr>
      <w:tr w:rsidR="00B862A8" w:rsidRPr="00F141B9" w:rsidTr="00B862A8">
        <w:trPr>
          <w:trHeight w:val="20"/>
        </w:trPr>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20"/>
              <w:rPr>
                <w:sz w:val="22"/>
                <w:szCs w:val="22"/>
              </w:rPr>
            </w:pPr>
            <w:r>
              <w:rPr>
                <w:spacing w:val="1"/>
                <w:sz w:val="22"/>
                <w:szCs w:val="22"/>
              </w:rPr>
              <w:t>HIV</w:t>
            </w:r>
            <w:r w:rsidRPr="00F141B9">
              <w:rPr>
                <w:spacing w:val="-4"/>
                <w:sz w:val="22"/>
                <w:szCs w:val="22"/>
              </w:rPr>
              <w:t>-</w:t>
            </w:r>
            <w:r w:rsidRPr="00F141B9">
              <w:rPr>
                <w:sz w:val="22"/>
                <w:szCs w:val="22"/>
              </w:rPr>
              <w:t>1 RNA &lt; 50 kopier/m</w:t>
            </w:r>
            <w:r>
              <w:rPr>
                <w:spacing w:val="1"/>
                <w:sz w:val="22"/>
                <w:szCs w:val="22"/>
              </w:rPr>
              <w:t>l</w:t>
            </w:r>
            <w:r w:rsidRPr="00F141B9">
              <w:rPr>
                <w:spacing w:val="1"/>
                <w:sz w:val="22"/>
                <w:szCs w:val="22"/>
                <w:vertAlign w:val="superscript"/>
              </w:rPr>
              <w:t>a</w:t>
            </w:r>
          </w:p>
        </w:tc>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62" w:right="1047"/>
              <w:jc w:val="center"/>
              <w:rPr>
                <w:sz w:val="22"/>
                <w:szCs w:val="22"/>
              </w:rPr>
            </w:pPr>
            <w:r w:rsidRPr="00F141B9">
              <w:rPr>
                <w:sz w:val="22"/>
                <w:szCs w:val="22"/>
              </w:rPr>
              <w:t>80,0 % (4)</w:t>
            </w:r>
          </w:p>
        </w:tc>
        <w:tc>
          <w:tcPr>
            <w:tcW w:w="1666"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06" w:right="990"/>
              <w:jc w:val="center"/>
              <w:rPr>
                <w:sz w:val="22"/>
                <w:szCs w:val="22"/>
              </w:rPr>
            </w:pPr>
            <w:r w:rsidRPr="00F141B9">
              <w:rPr>
                <w:sz w:val="22"/>
                <w:szCs w:val="22"/>
              </w:rPr>
              <w:t>81,3 % (13)</w:t>
            </w:r>
          </w:p>
        </w:tc>
      </w:tr>
      <w:tr w:rsidR="00B862A8" w:rsidRPr="00F141B9" w:rsidTr="00B862A8">
        <w:trPr>
          <w:trHeight w:val="20"/>
        </w:trPr>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518"/>
              <w:rPr>
                <w:sz w:val="22"/>
                <w:szCs w:val="22"/>
              </w:rPr>
            </w:pPr>
            <w:r w:rsidRPr="00F141B9">
              <w:rPr>
                <w:sz w:val="22"/>
                <w:szCs w:val="22"/>
              </w:rPr>
              <w:t>CD4+ ændring i procent fra baselin</w:t>
            </w:r>
            <w:r>
              <w:rPr>
                <w:sz w:val="22"/>
                <w:szCs w:val="22"/>
              </w:rPr>
              <w:t>e</w:t>
            </w:r>
            <w:r w:rsidRPr="00F141B9">
              <w:rPr>
                <w:sz w:val="22"/>
                <w:szCs w:val="22"/>
                <w:vertAlign w:val="superscript"/>
              </w:rPr>
              <w:t>b</w:t>
            </w:r>
          </w:p>
        </w:tc>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448" w:right="1433"/>
              <w:jc w:val="center"/>
              <w:rPr>
                <w:sz w:val="22"/>
                <w:szCs w:val="22"/>
              </w:rPr>
            </w:pPr>
            <w:r w:rsidRPr="00F141B9">
              <w:rPr>
                <w:sz w:val="22"/>
                <w:szCs w:val="22"/>
              </w:rPr>
              <w:t>4</w:t>
            </w:r>
          </w:p>
        </w:tc>
        <w:tc>
          <w:tcPr>
            <w:tcW w:w="1666"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448" w:right="1433"/>
              <w:jc w:val="center"/>
              <w:rPr>
                <w:sz w:val="22"/>
                <w:szCs w:val="22"/>
              </w:rPr>
            </w:pPr>
            <w:r w:rsidRPr="00F141B9">
              <w:rPr>
                <w:sz w:val="22"/>
                <w:szCs w:val="22"/>
              </w:rPr>
              <w:t>4</w:t>
            </w:r>
          </w:p>
        </w:tc>
      </w:tr>
      <w:tr w:rsidR="00B862A8" w:rsidRPr="00F141B9" w:rsidTr="00B862A8">
        <w:trPr>
          <w:trHeight w:val="20"/>
        </w:trPr>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02" w:right="256"/>
              <w:rPr>
                <w:sz w:val="22"/>
                <w:szCs w:val="22"/>
              </w:rPr>
            </w:pPr>
            <w:r w:rsidRPr="00F141B9">
              <w:rPr>
                <w:sz w:val="22"/>
                <w:szCs w:val="22"/>
              </w:rPr>
              <w:t>CD4+</w:t>
            </w:r>
            <w:r w:rsidRPr="00F141B9">
              <w:rPr>
                <w:spacing w:val="-1"/>
                <w:sz w:val="22"/>
                <w:szCs w:val="22"/>
              </w:rPr>
              <w:t xml:space="preserve"> </w:t>
            </w:r>
            <w:r w:rsidRPr="00F141B9">
              <w:rPr>
                <w:sz w:val="22"/>
                <w:szCs w:val="22"/>
              </w:rPr>
              <w:t>cell</w:t>
            </w:r>
            <w:r w:rsidRPr="00F141B9">
              <w:rPr>
                <w:spacing w:val="-1"/>
                <w:sz w:val="22"/>
                <w:szCs w:val="22"/>
              </w:rPr>
              <w:t>eantal gennemsnitlig ændring fra baselin</w:t>
            </w:r>
            <w:r>
              <w:rPr>
                <w:spacing w:val="-1"/>
                <w:sz w:val="22"/>
                <w:szCs w:val="22"/>
              </w:rPr>
              <w:t>e</w:t>
            </w:r>
            <w:r w:rsidRPr="00F141B9">
              <w:rPr>
                <w:spacing w:val="-1"/>
                <w:sz w:val="22"/>
                <w:szCs w:val="22"/>
                <w:vertAlign w:val="superscript"/>
              </w:rPr>
              <w:t>b</w:t>
            </w:r>
          </w:p>
        </w:tc>
        <w:tc>
          <w:tcPr>
            <w:tcW w:w="1667"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393" w:right="1378"/>
              <w:jc w:val="center"/>
              <w:rPr>
                <w:sz w:val="22"/>
                <w:szCs w:val="22"/>
              </w:rPr>
            </w:pPr>
            <w:r w:rsidRPr="00F141B9">
              <w:rPr>
                <w:sz w:val="22"/>
                <w:szCs w:val="22"/>
              </w:rPr>
              <w:t>16</w:t>
            </w:r>
          </w:p>
        </w:tc>
        <w:tc>
          <w:tcPr>
            <w:tcW w:w="1666" w:type="pct"/>
            <w:tcBorders>
              <w:top w:val="single" w:sz="4" w:space="0" w:color="000000"/>
              <w:left w:val="single" w:sz="4" w:space="0" w:color="000000"/>
              <w:bottom w:val="single" w:sz="4" w:space="0" w:color="000000"/>
              <w:right w:val="single" w:sz="4" w:space="0" w:color="000000"/>
            </w:tcBorders>
          </w:tcPr>
          <w:p w:rsidR="00B862A8" w:rsidRPr="00F141B9" w:rsidRDefault="00B862A8" w:rsidP="00B862A8">
            <w:pPr>
              <w:ind w:left="1338" w:right="1322"/>
              <w:jc w:val="center"/>
              <w:rPr>
                <w:sz w:val="22"/>
                <w:szCs w:val="22"/>
              </w:rPr>
            </w:pPr>
            <w:r w:rsidRPr="00F141B9">
              <w:rPr>
                <w:sz w:val="22"/>
                <w:szCs w:val="22"/>
              </w:rPr>
              <w:t>241</w:t>
            </w:r>
          </w:p>
        </w:tc>
      </w:tr>
    </w:tbl>
    <w:p w:rsidR="00B862A8" w:rsidRPr="004623FF" w:rsidRDefault="00B862A8" w:rsidP="00B862A8">
      <w:pPr>
        <w:ind w:left="851" w:right="-20"/>
        <w:rPr>
          <w:sz w:val="22"/>
          <w:szCs w:val="22"/>
        </w:rPr>
      </w:pPr>
      <w:r w:rsidRPr="004623FF">
        <w:rPr>
          <w:position w:val="-1"/>
          <w:sz w:val="22"/>
          <w:szCs w:val="22"/>
          <w:vertAlign w:val="superscript"/>
        </w:rPr>
        <w:t xml:space="preserve">a </w:t>
      </w:r>
      <w:r w:rsidRPr="004623FF">
        <w:rPr>
          <w:position w:val="-1"/>
          <w:sz w:val="22"/>
          <w:szCs w:val="22"/>
        </w:rPr>
        <w:t>I henhold til TLOVR-algoritmen.</w:t>
      </w:r>
    </w:p>
    <w:p w:rsidR="00B862A8" w:rsidRPr="004623FF" w:rsidRDefault="00B862A8" w:rsidP="00B862A8">
      <w:pPr>
        <w:ind w:left="851" w:right="-20"/>
        <w:rPr>
          <w:sz w:val="22"/>
          <w:szCs w:val="22"/>
        </w:rPr>
      </w:pPr>
      <w:r w:rsidRPr="004623FF">
        <w:rPr>
          <w:sz w:val="22"/>
          <w:szCs w:val="22"/>
          <w:vertAlign w:val="superscript"/>
        </w:rPr>
        <w:t xml:space="preserve">b </w:t>
      </w:r>
      <w:r w:rsidRPr="004623FF">
        <w:rPr>
          <w:sz w:val="22"/>
          <w:szCs w:val="22"/>
        </w:rPr>
        <w:t>N</w:t>
      </w:r>
      <w:r w:rsidRPr="004623FF">
        <w:rPr>
          <w:position w:val="-1"/>
          <w:sz w:val="22"/>
          <w:szCs w:val="22"/>
        </w:rPr>
        <w:t>C=F.</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Der er kun begrænsede effektdata tilgængelige fra pædiatriske patienter under 15 kg, og der kan ikke gives nogen anbefalinger vedrørende dosering.</w:t>
      </w:r>
    </w:p>
    <w:p w:rsidR="00B862A8" w:rsidRPr="00ED0DE7" w:rsidRDefault="00B862A8" w:rsidP="00B862A8">
      <w:pPr>
        <w:tabs>
          <w:tab w:val="left" w:pos="851"/>
        </w:tabs>
        <w:ind w:left="851"/>
        <w:rPr>
          <w:i/>
          <w:iCs/>
          <w:sz w:val="24"/>
          <w:szCs w:val="24"/>
        </w:rPr>
      </w:pPr>
    </w:p>
    <w:p w:rsidR="00B862A8" w:rsidRPr="00ED0DE7" w:rsidRDefault="00B862A8" w:rsidP="00B862A8">
      <w:pPr>
        <w:tabs>
          <w:tab w:val="left" w:pos="851"/>
        </w:tabs>
        <w:ind w:left="851"/>
        <w:rPr>
          <w:iCs/>
          <w:sz w:val="24"/>
          <w:szCs w:val="24"/>
          <w:u w:val="single"/>
        </w:rPr>
      </w:pPr>
      <w:r w:rsidRPr="00ED0DE7">
        <w:rPr>
          <w:iCs/>
          <w:sz w:val="24"/>
          <w:szCs w:val="24"/>
          <w:u w:val="single"/>
        </w:rPr>
        <w:t>Graviditet og post partum</w:t>
      </w:r>
    </w:p>
    <w:p w:rsidR="00B862A8" w:rsidRPr="00ED0DE7" w:rsidRDefault="00B862A8" w:rsidP="00B862A8">
      <w:pPr>
        <w:tabs>
          <w:tab w:val="left" w:pos="851"/>
        </w:tabs>
        <w:ind w:left="851"/>
        <w:rPr>
          <w:sz w:val="24"/>
          <w:szCs w:val="24"/>
        </w:rPr>
      </w:pPr>
      <w:r>
        <w:rPr>
          <w:sz w:val="24"/>
          <w:szCs w:val="24"/>
        </w:rPr>
        <w:t xml:space="preserve">Darunavir/ritonavir (600/100 mg to gange daglig eller 800/100 mg en gang daglig) i kombination med et baggrundsregime blev evalueret i et klinisk forsøg med 64 gravide kvinder (18 i hver arm) i andet og tredje trimester samt </w:t>
      </w:r>
      <w:r>
        <w:rPr>
          <w:i/>
          <w:iCs/>
          <w:sz w:val="24"/>
          <w:szCs w:val="24"/>
        </w:rPr>
        <w:t>post partum</w:t>
      </w:r>
      <w:r>
        <w:rPr>
          <w:sz w:val="24"/>
          <w:szCs w:val="24"/>
        </w:rPr>
        <w:t>.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HIV-1-inficerede voksne (se pkt. 4.2, 4.4 og 5.2).</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5.2</w:t>
      </w:r>
      <w:r w:rsidRPr="00ED0DE7">
        <w:rPr>
          <w:b/>
          <w:sz w:val="24"/>
          <w:szCs w:val="24"/>
        </w:rPr>
        <w:tab/>
        <w:t>Farmakokinetiske egenskaber</w:t>
      </w:r>
    </w:p>
    <w:p w:rsidR="00B862A8" w:rsidRPr="00ED0DE7" w:rsidRDefault="00B862A8" w:rsidP="00B862A8">
      <w:pPr>
        <w:tabs>
          <w:tab w:val="left" w:pos="851"/>
        </w:tabs>
        <w:ind w:left="851"/>
        <w:rPr>
          <w:sz w:val="24"/>
          <w:szCs w:val="24"/>
        </w:rPr>
      </w:pPr>
      <w:r w:rsidRPr="00ED0DE7">
        <w:rPr>
          <w:sz w:val="24"/>
          <w:szCs w:val="24"/>
        </w:rPr>
        <w:t xml:space="preserve">De farmakokinetiske egenskaber af darunavir co-administreret med ritonavir er blevet vurderet hos raske, voksne, frivillige forsøgspersoner og hos </w:t>
      </w:r>
      <w:r>
        <w:rPr>
          <w:sz w:val="24"/>
          <w:szCs w:val="24"/>
        </w:rPr>
        <w:t>HIV</w:t>
      </w:r>
      <w:r w:rsidRPr="00ED0DE7">
        <w:rPr>
          <w:sz w:val="24"/>
          <w:szCs w:val="24"/>
        </w:rPr>
        <w:t xml:space="preserve">-1-inficerede patienter. Eksponeringen for darunavir var højere hos </w:t>
      </w:r>
      <w:r>
        <w:rPr>
          <w:sz w:val="24"/>
          <w:szCs w:val="24"/>
        </w:rPr>
        <w:t>HIV</w:t>
      </w:r>
      <w:r w:rsidRPr="00ED0DE7">
        <w:rPr>
          <w:sz w:val="24"/>
          <w:szCs w:val="24"/>
        </w:rPr>
        <w:t xml:space="preserve">-1-inficerede patienter end hos raske forsøgspersoner. Den øgede eksponering for darunavir hos </w:t>
      </w:r>
      <w:r>
        <w:rPr>
          <w:sz w:val="24"/>
          <w:szCs w:val="24"/>
        </w:rPr>
        <w:t>HIV</w:t>
      </w:r>
      <w:r w:rsidRPr="00ED0DE7">
        <w:rPr>
          <w:sz w:val="24"/>
          <w:szCs w:val="24"/>
        </w:rPr>
        <w:t>-1-inficerede patienter sammenlignet med raske forsøgspersoner kan muligvis forklares ved de højere koncentrationer af surt α</w:t>
      </w:r>
      <w:r w:rsidRPr="00ED0DE7">
        <w:rPr>
          <w:sz w:val="24"/>
          <w:szCs w:val="24"/>
          <w:vertAlign w:val="subscript"/>
        </w:rPr>
        <w:t>1</w:t>
      </w:r>
      <w:r w:rsidRPr="00ED0DE7">
        <w:rPr>
          <w:sz w:val="24"/>
          <w:szCs w:val="24"/>
        </w:rPr>
        <w:t xml:space="preserve">-glykoprotein (AAG) hos </w:t>
      </w:r>
      <w:r>
        <w:rPr>
          <w:sz w:val="24"/>
          <w:szCs w:val="24"/>
        </w:rPr>
        <w:t>HIV</w:t>
      </w:r>
      <w:r w:rsidRPr="00ED0DE7">
        <w:rPr>
          <w:sz w:val="24"/>
          <w:szCs w:val="24"/>
        </w:rPr>
        <w:t>-1-inficerede patienter, hvilket resulterer i højere binding af darunavir til plasma-AAG og derfor i højere plasmakoncentrationer.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Darunavir metaboliseres især via CYP3A. Ritonavir hæmmer CYP3A, hvilket øger</w:t>
      </w:r>
      <w:r>
        <w:rPr>
          <w:sz w:val="24"/>
          <w:szCs w:val="24"/>
        </w:rPr>
        <w:t xml:space="preserve"> </w:t>
      </w:r>
      <w:r w:rsidRPr="00ED0DE7">
        <w:rPr>
          <w:sz w:val="24"/>
          <w:szCs w:val="24"/>
        </w:rPr>
        <w:t>plasmakoncentrationen af darunavir betragteligt.</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lastRenderedPageBreak/>
        <w:t>Absorption</w:t>
      </w:r>
    </w:p>
    <w:p w:rsidR="00B862A8" w:rsidRPr="00ED0DE7" w:rsidRDefault="00B862A8" w:rsidP="00B862A8">
      <w:pPr>
        <w:tabs>
          <w:tab w:val="left" w:pos="851"/>
        </w:tabs>
        <w:ind w:left="851"/>
        <w:rPr>
          <w:sz w:val="24"/>
          <w:szCs w:val="24"/>
        </w:rPr>
      </w:pPr>
      <w:r w:rsidRPr="00ED0DE7">
        <w:rPr>
          <w:sz w:val="24"/>
          <w:szCs w:val="24"/>
        </w:rPr>
        <w:t>Darunavir blev hurtigt optaget efter oral administration. Den maksimale plasmakoncentration for darunavir ved tilstedeværelse af lavdosis ritonavir opnås generelt inden for 2,5-4,0 timer.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Den absolutte, orale biotilgængelighed af en enkeltdosis darunavir på 600 mg var ca. 37 %, og den steg til ca. 82 % ved tilstedeværelse af 100 mg ritonavir to gange daglig. Den samlede farmakokinetiske, forstærkende effekt af ritonavir var en stigning på ca. 14 gange i den systemiske eksponering for darunavir ved administration af en oral enkeltdosis darunavir på 600 mg i kombination med ritonavir 100 mg to gange daglig (se pkt. 4.4).</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Ved administration uden indtagelse af mad er den relative biotilgængelighed af darunavir ved tilstedeværelse af lavdosis ritonavir 30 % lavere sammenlignet med administration med mad. Darunavir skal derfor tages med ritonavir og med mad. Typen af mad påvirker ikke eksponeringen for darunavir.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Fordeling</w:t>
      </w:r>
    </w:p>
    <w:p w:rsidR="00B862A8" w:rsidRPr="00ED0DE7" w:rsidRDefault="00B862A8" w:rsidP="00B862A8">
      <w:pPr>
        <w:tabs>
          <w:tab w:val="left" w:pos="851"/>
        </w:tabs>
        <w:ind w:left="851"/>
        <w:rPr>
          <w:sz w:val="24"/>
          <w:szCs w:val="24"/>
        </w:rPr>
      </w:pPr>
      <w:r w:rsidRPr="00ED0DE7">
        <w:rPr>
          <w:sz w:val="24"/>
          <w:szCs w:val="24"/>
        </w:rPr>
        <w:t>Darunavir binder sig til plasmaprotein med ca. 95 %. Darunavir binder sig især til plasma-α</w:t>
      </w:r>
      <w:r w:rsidRPr="00ED0DE7">
        <w:rPr>
          <w:sz w:val="24"/>
          <w:szCs w:val="24"/>
          <w:vertAlign w:val="subscript"/>
        </w:rPr>
        <w:t>1</w:t>
      </w:r>
      <w:r w:rsidRPr="00ED0DE7">
        <w:rPr>
          <w:sz w:val="24"/>
          <w:szCs w:val="24"/>
        </w:rPr>
        <w:t>-glykoprotein.</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Efter intravenøs administration var distributionsvolumen for darunavir administreret alene</w:t>
      </w:r>
    </w:p>
    <w:p w:rsidR="00B862A8" w:rsidRPr="00ED0DE7" w:rsidRDefault="00B862A8" w:rsidP="00B862A8">
      <w:pPr>
        <w:tabs>
          <w:tab w:val="left" w:pos="851"/>
        </w:tabs>
        <w:ind w:left="851"/>
        <w:rPr>
          <w:sz w:val="24"/>
          <w:szCs w:val="24"/>
        </w:rPr>
      </w:pPr>
      <w:r w:rsidRPr="00ED0DE7">
        <w:rPr>
          <w:sz w:val="24"/>
          <w:szCs w:val="24"/>
        </w:rPr>
        <w:t>88,1 ± 59,0 l (gennemsnit ± SD) og steg til 131 ± 49,9 l (gennemsnit ± SD) ved tilstedeværelse af 100 mg ritonavir to gange daglig.</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u w:val="single"/>
        </w:rPr>
        <w:t>Biotransformation</w:t>
      </w:r>
    </w:p>
    <w:p w:rsidR="00B862A8" w:rsidRPr="00ED0DE7" w:rsidRDefault="00B862A8" w:rsidP="00B862A8">
      <w:pPr>
        <w:tabs>
          <w:tab w:val="left" w:pos="851"/>
        </w:tabs>
        <w:ind w:left="851"/>
        <w:rPr>
          <w:sz w:val="24"/>
          <w:szCs w:val="24"/>
        </w:rPr>
      </w:pPr>
      <w:r w:rsidRPr="00ED0DE7">
        <w:rPr>
          <w:i/>
          <w:iCs/>
          <w:sz w:val="24"/>
          <w:szCs w:val="24"/>
        </w:rPr>
        <w:t>In vitro</w:t>
      </w:r>
      <w:r w:rsidRPr="00ED0DE7">
        <w:rPr>
          <w:sz w:val="24"/>
          <w:szCs w:val="24"/>
        </w:rPr>
        <w:t xml:space="preserve">-studier med humane levermikrosomer (HLM’er) tyder på, at darunavir primært gennemgår oxidativ metabolisme. Darunavir metaboliseres i udstrakt grad via det hepatiske CYP-system og næsten udelukkende via isozym-CYP3A4. Et </w:t>
      </w:r>
      <w:r w:rsidRPr="00ED0DE7">
        <w:rPr>
          <w:sz w:val="24"/>
          <w:szCs w:val="24"/>
          <w:vertAlign w:val="superscript"/>
        </w:rPr>
        <w:t>14</w:t>
      </w:r>
      <w:r w:rsidRPr="00ED0DE7">
        <w:rPr>
          <w:sz w:val="24"/>
          <w:szCs w:val="24"/>
        </w:rPr>
        <w:t xml:space="preserve">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w:t>
      </w:r>
      <w:r>
        <w:rPr>
          <w:sz w:val="24"/>
          <w:szCs w:val="24"/>
        </w:rPr>
        <w:t>HIV</w:t>
      </w:r>
      <w:r w:rsidRPr="00ED0DE7">
        <w:rPr>
          <w:sz w:val="24"/>
          <w:szCs w:val="24"/>
        </w:rPr>
        <w:t>.</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Elimination</w:t>
      </w:r>
    </w:p>
    <w:p w:rsidR="00B862A8" w:rsidRPr="00ED0DE7" w:rsidRDefault="00B862A8" w:rsidP="00B862A8">
      <w:pPr>
        <w:tabs>
          <w:tab w:val="left" w:pos="851"/>
        </w:tabs>
        <w:ind w:left="851"/>
        <w:rPr>
          <w:sz w:val="24"/>
          <w:szCs w:val="24"/>
        </w:rPr>
      </w:pPr>
      <w:r w:rsidRPr="00ED0DE7">
        <w:rPr>
          <w:sz w:val="24"/>
          <w:szCs w:val="24"/>
        </w:rPr>
        <w:t xml:space="preserve">Efter en </w:t>
      </w:r>
      <w:r w:rsidRPr="00ED0DE7">
        <w:rPr>
          <w:sz w:val="24"/>
          <w:szCs w:val="24"/>
          <w:vertAlign w:val="superscript"/>
        </w:rPr>
        <w:t>14</w:t>
      </w:r>
      <w:r w:rsidRPr="00ED0DE7">
        <w:rPr>
          <w:sz w:val="24"/>
          <w:szCs w:val="24"/>
        </w:rPr>
        <w:t>C-darunavir med ritonavir-dosis på 400/100 mg kunne 79,5 % og 13,9 % af den</w:t>
      </w:r>
      <w:r>
        <w:rPr>
          <w:sz w:val="24"/>
          <w:szCs w:val="24"/>
        </w:rPr>
        <w:t xml:space="preserve"> </w:t>
      </w:r>
      <w:r w:rsidRPr="00ED0DE7">
        <w:rPr>
          <w:sz w:val="24"/>
          <w:szCs w:val="24"/>
        </w:rPr>
        <w:t xml:space="preserve">administrerede dosis af </w:t>
      </w:r>
      <w:r w:rsidRPr="00ED0DE7">
        <w:rPr>
          <w:sz w:val="24"/>
          <w:szCs w:val="24"/>
          <w:vertAlign w:val="superscript"/>
        </w:rPr>
        <w:t>14</w:t>
      </w:r>
      <w:r w:rsidRPr="00ED0DE7">
        <w:rPr>
          <w:sz w:val="24"/>
          <w:szCs w:val="24"/>
        </w:rPr>
        <w:t xml:space="preserve">C-darunavir genfindes i henholdsvis fæces og urin. Det uomdannede darunavir udgjorde ca. 41,2 % og 7,7 % af den administrerede dosis i henholdsvis fæces og urin. Den terminale halveringstid for darunavir var ca. 15 timer, når det blev givet med ritonavir. </w:t>
      </w:r>
    </w:p>
    <w:p w:rsidR="00B862A8" w:rsidRPr="00ED0DE7" w:rsidRDefault="00B862A8" w:rsidP="00B862A8">
      <w:pPr>
        <w:tabs>
          <w:tab w:val="left" w:pos="851"/>
        </w:tabs>
        <w:ind w:left="851"/>
        <w:rPr>
          <w:sz w:val="24"/>
          <w:szCs w:val="24"/>
        </w:rPr>
      </w:pPr>
      <w:r w:rsidRPr="00ED0DE7">
        <w:rPr>
          <w:sz w:val="24"/>
          <w:szCs w:val="24"/>
        </w:rPr>
        <w:t xml:space="preserve">Den intravenøse clearance af darunavir alene (150 mg) og ved tilstedeværelse af lavdosis ritonavir var henholdsvis 32,8 l/t og 5,9 l/t. </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u w:val="single"/>
        </w:rPr>
      </w:pPr>
      <w:r w:rsidRPr="00ED0DE7">
        <w:rPr>
          <w:sz w:val="24"/>
          <w:szCs w:val="24"/>
          <w:u w:val="single"/>
        </w:rPr>
        <w:t>Særlige populationer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rPr>
      </w:pPr>
      <w:r w:rsidRPr="00ED0DE7">
        <w:rPr>
          <w:i/>
          <w:iCs/>
          <w:sz w:val="24"/>
          <w:szCs w:val="24"/>
        </w:rPr>
        <w:t>Pædiatrisk population</w:t>
      </w:r>
    </w:p>
    <w:p w:rsidR="00B862A8" w:rsidRPr="00ED0DE7" w:rsidRDefault="00B862A8" w:rsidP="00B862A8">
      <w:pPr>
        <w:tabs>
          <w:tab w:val="left" w:pos="851"/>
        </w:tabs>
        <w:ind w:left="851"/>
        <w:rPr>
          <w:sz w:val="24"/>
          <w:szCs w:val="24"/>
        </w:rPr>
      </w:pPr>
      <w:r w:rsidRPr="00ED0DE7">
        <w:rPr>
          <w:sz w:val="24"/>
          <w:szCs w:val="24"/>
        </w:rPr>
        <w:t>De farmakokinetiske egenskaber af darunavir i kombination med ritonavir to gange daglig hos 74 behandlingserfarne pædiatriske patienter i alderen 6 til 17 år med en legemsvægt på mindst 20 kg viste, at vægtbaserede doser af darunavir/ritonavir resulterede i en darunavireksponering, der var sammenlignelig med eksponeringen hos voksne, der fik darunavir/ritonavir 600/100 mg to gange daglig (se pkt. 4.2).</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 farmakokinetiske egenskaber af darunavir i kombination med ritonavir to gange daglig hos 14 behandlingserfarne pædiatriske patienter i alderen 3 til &lt; 6 år med en legemsvægt på ≥15 kg til &lt; 20 kg viste, at vægtbaseret dosering resulterede i en darunavireksponering, der var sammenlignelig med eksponeringen hos voksne, der fik darunavir/ritonavir 600/100 mg to gange daglig (se pkt. 4.2).</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De farmakokinetiske egenskaber af darunavir i kombination med ritonavir en gang daglig hos 12 ART-naive pædiatriske patienter i alderen 12 til &lt; 18 år med en legemsvægt på mindst 40 kg viste, at darunavir/ritonavir 800/100 mg en gang daglig resulterede i en darunavireksponering, der var sammenlignelig med eksponeringen hos voksne, der fik darunavir/ritonavir 800/100 mg en gang daglig. Derfor kan den samme daglige dosis anvendes til behandlingserfarne unge i alderen 12 til &lt; 18 år med en legemsvægt på mindst 40 kg, der ikke har mutationer associeret med darunavirresistens (DRV-</w:t>
      </w:r>
      <w:proofErr w:type="gramStart"/>
      <w:r w:rsidRPr="00ED0DE7">
        <w:rPr>
          <w:sz w:val="24"/>
          <w:szCs w:val="24"/>
        </w:rPr>
        <w:t>RAMs)*</w:t>
      </w:r>
      <w:proofErr w:type="gramEnd"/>
      <w:r w:rsidRPr="00ED0DE7">
        <w:rPr>
          <w:sz w:val="24"/>
          <w:szCs w:val="24"/>
        </w:rPr>
        <w:t>, og som har plasma-</w:t>
      </w:r>
      <w:r>
        <w:rPr>
          <w:sz w:val="24"/>
          <w:szCs w:val="24"/>
        </w:rPr>
        <w:t>HIV</w:t>
      </w:r>
      <w:r w:rsidRPr="00ED0DE7">
        <w:rPr>
          <w:sz w:val="24"/>
          <w:szCs w:val="24"/>
        </w:rPr>
        <w:t>-1-RNA &lt; 100.000 kopier/ml og CD4+-celletal ≥ 100 x 10</w:t>
      </w:r>
      <w:r w:rsidRPr="00ED0DE7">
        <w:rPr>
          <w:sz w:val="24"/>
          <w:szCs w:val="24"/>
          <w:vertAlign w:val="superscript"/>
        </w:rPr>
        <w:t>6</w:t>
      </w:r>
      <w:r w:rsidRPr="00ED0DE7">
        <w:rPr>
          <w:sz w:val="24"/>
          <w:szCs w:val="24"/>
        </w:rPr>
        <w:t xml:space="preserve"> celler/l (se pkt. 4.2). </w:t>
      </w:r>
    </w:p>
    <w:p w:rsidR="00B862A8" w:rsidRPr="00ED0DE7" w:rsidRDefault="00B862A8" w:rsidP="00B862A8">
      <w:pPr>
        <w:tabs>
          <w:tab w:val="left" w:pos="851"/>
        </w:tabs>
        <w:ind w:left="851"/>
        <w:rPr>
          <w:sz w:val="24"/>
          <w:szCs w:val="24"/>
        </w:rPr>
      </w:pPr>
      <w:r w:rsidRPr="00ED0DE7">
        <w:rPr>
          <w:sz w:val="24"/>
          <w:szCs w:val="24"/>
        </w:rPr>
        <w:t xml:space="preserve">* DRV-RAMs: V11I, V32I, L33F, I47V, I50V, I54M, I54L, T74P, L76V, I84V og L89V </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Farmakokinetikken af darunavir i kombination med ritonavir taget en gang daglig hos</w:t>
      </w:r>
    </w:p>
    <w:p w:rsidR="00B862A8" w:rsidRPr="00ED0DE7" w:rsidRDefault="00B862A8" w:rsidP="00B862A8">
      <w:pPr>
        <w:tabs>
          <w:tab w:val="left" w:pos="851"/>
        </w:tabs>
        <w:ind w:left="851"/>
        <w:rPr>
          <w:sz w:val="24"/>
          <w:szCs w:val="24"/>
        </w:rPr>
      </w:pPr>
      <w:r w:rsidRPr="00ED0DE7">
        <w:rPr>
          <w:sz w:val="24"/>
          <w:szCs w:val="24"/>
        </w:rPr>
        <w:t>10 behandlingserfarne pædiatriske patienter i alderen 3 til &lt; 6 år med en legemsvægt på mindst 14 kg til &lt; 20 kg viste, at vægtbaserede doser resulterede i en darunavir</w:t>
      </w:r>
      <w:r>
        <w:rPr>
          <w:sz w:val="24"/>
          <w:szCs w:val="24"/>
        </w:rPr>
        <w:softHyphen/>
      </w:r>
      <w:r w:rsidRPr="00ED0DE7">
        <w:rPr>
          <w:sz w:val="24"/>
          <w:szCs w:val="24"/>
        </w:rPr>
        <w:t>eksponering, der var sammenlignelig med eksponeringen hos voksne, der fik darunavir/ritonavir 800/100 mg en gang daglig (se pkt. 4.2). Yderligere bekræftede en farmakokinetisk model og simulering af darunavireksponeringer hos pædiatriske patienter i alderen 3 til &lt; 18 år de darunavireksponeringer, som blev observeret i de kliniske studier, og gav mulighed for at fastlægge vægtbaserede doser af darunavir/ritonavir en gang daglig hos pædiatriske patienter med en legemsvægt på mindst 15 kg, som er enten ART-naive eller behandlingserfarne uden DRV-RAMs* og med plasma-</w:t>
      </w:r>
      <w:r>
        <w:rPr>
          <w:sz w:val="24"/>
          <w:szCs w:val="24"/>
        </w:rPr>
        <w:t>HIV</w:t>
      </w:r>
      <w:r w:rsidRPr="00ED0DE7">
        <w:rPr>
          <w:sz w:val="24"/>
          <w:szCs w:val="24"/>
        </w:rPr>
        <w:t>-1-RNA &lt; 100.000 kopier/ml og CD4+- celletal ≥ 100 x 10</w:t>
      </w:r>
      <w:r w:rsidRPr="00ED0DE7">
        <w:rPr>
          <w:sz w:val="24"/>
          <w:szCs w:val="24"/>
          <w:vertAlign w:val="superscript"/>
        </w:rPr>
        <w:t>6</w:t>
      </w:r>
      <w:r w:rsidRPr="00ED0DE7">
        <w:rPr>
          <w:sz w:val="24"/>
          <w:szCs w:val="24"/>
        </w:rPr>
        <w:t xml:space="preserve"> celler /l (se pkt. 4.2).</w:t>
      </w:r>
    </w:p>
    <w:p w:rsidR="00B862A8" w:rsidRPr="00ED0DE7" w:rsidRDefault="00B862A8" w:rsidP="00B862A8">
      <w:pPr>
        <w:tabs>
          <w:tab w:val="left" w:pos="851"/>
        </w:tabs>
        <w:ind w:left="851"/>
        <w:rPr>
          <w:sz w:val="24"/>
          <w:szCs w:val="24"/>
        </w:rPr>
      </w:pPr>
      <w:r w:rsidRPr="00ED0DE7">
        <w:rPr>
          <w:sz w:val="24"/>
          <w:szCs w:val="24"/>
        </w:rPr>
        <w:t>* DRV-RAMs: V11I, V32I, L33F, I47V, I50V, I54M, I54L, T74P, L76V, I84V og L89V</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rPr>
      </w:pPr>
      <w:r w:rsidRPr="00ED0DE7">
        <w:rPr>
          <w:i/>
          <w:iCs/>
          <w:sz w:val="24"/>
          <w:szCs w:val="24"/>
        </w:rPr>
        <w:t>Ældre</w:t>
      </w:r>
    </w:p>
    <w:p w:rsidR="00B862A8" w:rsidRPr="00ED0DE7" w:rsidRDefault="00B862A8" w:rsidP="00B862A8">
      <w:pPr>
        <w:tabs>
          <w:tab w:val="left" w:pos="851"/>
        </w:tabs>
        <w:ind w:left="851"/>
        <w:rPr>
          <w:sz w:val="24"/>
          <w:szCs w:val="24"/>
        </w:rPr>
      </w:pPr>
      <w:r w:rsidRPr="00ED0DE7">
        <w:rPr>
          <w:sz w:val="24"/>
          <w:szCs w:val="24"/>
        </w:rPr>
        <w:t xml:space="preserve">En populationsfarmakokinetisk analyse af </w:t>
      </w:r>
      <w:r>
        <w:rPr>
          <w:sz w:val="24"/>
          <w:szCs w:val="24"/>
        </w:rPr>
        <w:t>HIV</w:t>
      </w:r>
      <w:r w:rsidRPr="00ED0DE7">
        <w:rPr>
          <w:sz w:val="24"/>
          <w:szCs w:val="24"/>
        </w:rPr>
        <w:t xml:space="preserve">-inficerede patienter viste, at farmakokinetikken for darunavir ikke er meget anderledes i aldersgruppen 18-75 år vurderet hos </w:t>
      </w:r>
      <w:r>
        <w:rPr>
          <w:sz w:val="24"/>
          <w:szCs w:val="24"/>
        </w:rPr>
        <w:t>HIV</w:t>
      </w:r>
      <w:r w:rsidRPr="00ED0DE7">
        <w:rPr>
          <w:sz w:val="24"/>
          <w:szCs w:val="24"/>
        </w:rPr>
        <w:t>-inficerede patienter (n=12, alder ≥ 65 år) (se pkt. 4.4). Der foreligger dog kun begrænsede data om patienter over 65 år.</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rPr>
      </w:pPr>
      <w:r w:rsidRPr="00ED0DE7">
        <w:rPr>
          <w:i/>
          <w:iCs/>
          <w:sz w:val="24"/>
          <w:szCs w:val="24"/>
        </w:rPr>
        <w:t>Køn</w:t>
      </w:r>
    </w:p>
    <w:p w:rsidR="00B862A8" w:rsidRPr="00ED0DE7" w:rsidRDefault="00B862A8" w:rsidP="00B862A8">
      <w:pPr>
        <w:tabs>
          <w:tab w:val="left" w:pos="851"/>
        </w:tabs>
        <w:ind w:left="851"/>
        <w:rPr>
          <w:sz w:val="24"/>
          <w:szCs w:val="24"/>
        </w:rPr>
      </w:pPr>
      <w:r w:rsidRPr="00ED0DE7">
        <w:rPr>
          <w:sz w:val="24"/>
          <w:szCs w:val="24"/>
        </w:rPr>
        <w:t xml:space="preserve">En populationsfarmakokinetisk analyse viste en lidt højere eksponering for darunavir (16,8 %) hos </w:t>
      </w:r>
      <w:r>
        <w:rPr>
          <w:sz w:val="24"/>
          <w:szCs w:val="24"/>
        </w:rPr>
        <w:t>HIV</w:t>
      </w:r>
      <w:r w:rsidRPr="00ED0DE7">
        <w:rPr>
          <w:sz w:val="24"/>
          <w:szCs w:val="24"/>
        </w:rPr>
        <w:t>-inficerede kvinder i forhold til mænd. Forskellen er ikke klinisk relevant.</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rPr>
      </w:pPr>
      <w:r w:rsidRPr="00ED0DE7">
        <w:rPr>
          <w:i/>
          <w:iCs/>
          <w:sz w:val="24"/>
          <w:szCs w:val="24"/>
        </w:rPr>
        <w:t>Nedsat nyrefunktion</w:t>
      </w:r>
    </w:p>
    <w:p w:rsidR="00B862A8" w:rsidRPr="00ED0DE7" w:rsidRDefault="00B862A8" w:rsidP="00B862A8">
      <w:pPr>
        <w:tabs>
          <w:tab w:val="left" w:pos="851"/>
        </w:tabs>
        <w:ind w:left="851"/>
        <w:rPr>
          <w:sz w:val="24"/>
          <w:szCs w:val="24"/>
        </w:rPr>
      </w:pPr>
      <w:r w:rsidRPr="00ED0DE7">
        <w:rPr>
          <w:sz w:val="24"/>
          <w:szCs w:val="24"/>
        </w:rPr>
        <w:t xml:space="preserve">Resultater af et massebalancestudie med </w:t>
      </w:r>
      <w:r w:rsidRPr="00ED0DE7">
        <w:rPr>
          <w:sz w:val="24"/>
          <w:szCs w:val="24"/>
          <w:vertAlign w:val="superscript"/>
        </w:rPr>
        <w:t>14</w:t>
      </w:r>
      <w:r w:rsidRPr="00ED0DE7">
        <w:rPr>
          <w:sz w:val="24"/>
          <w:szCs w:val="24"/>
        </w:rPr>
        <w:t>C-darunavir med ritonavir viste, at ca. 7,7 % af den administrerede dosis darunavir udskilles uomdannet i urinen.</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sz w:val="24"/>
          <w:szCs w:val="24"/>
        </w:rPr>
      </w:pPr>
      <w:r w:rsidRPr="00ED0DE7">
        <w:rPr>
          <w:sz w:val="24"/>
          <w:szCs w:val="24"/>
        </w:rPr>
        <w:t>Selvom darunavir ikke er blevet undersøgt hos patienter med nedsat nyrefunktion, viste en</w:t>
      </w:r>
    </w:p>
    <w:p w:rsidR="00B862A8" w:rsidRPr="00ED0DE7" w:rsidRDefault="00B862A8" w:rsidP="00B862A8">
      <w:pPr>
        <w:tabs>
          <w:tab w:val="left" w:pos="851"/>
        </w:tabs>
        <w:ind w:left="851"/>
        <w:rPr>
          <w:sz w:val="24"/>
          <w:szCs w:val="24"/>
        </w:rPr>
      </w:pPr>
      <w:r w:rsidRPr="00ED0DE7">
        <w:rPr>
          <w:sz w:val="24"/>
          <w:szCs w:val="24"/>
        </w:rPr>
        <w:t xml:space="preserve">populationsfarmakokinetisk analyse, at farmakokinetikken for darunavir ikke var signifikant påvirket hos </w:t>
      </w:r>
      <w:r>
        <w:rPr>
          <w:sz w:val="24"/>
          <w:szCs w:val="24"/>
        </w:rPr>
        <w:t>HIV</w:t>
      </w:r>
      <w:r w:rsidRPr="00ED0DE7">
        <w:rPr>
          <w:sz w:val="24"/>
          <w:szCs w:val="24"/>
        </w:rPr>
        <w:t>-inficerede patienter med moderat nedsat nyrefunktion (CrCl mellem 30 og 60 ml/min, n=20) (se pkt. 4.2 og 4.4).</w:t>
      </w:r>
    </w:p>
    <w:p w:rsidR="00B862A8" w:rsidRPr="00ED0DE7" w:rsidRDefault="00B862A8" w:rsidP="00B862A8">
      <w:pPr>
        <w:tabs>
          <w:tab w:val="left" w:pos="851"/>
        </w:tabs>
        <w:ind w:left="851"/>
        <w:rPr>
          <w:sz w:val="24"/>
          <w:szCs w:val="24"/>
        </w:rPr>
      </w:pPr>
    </w:p>
    <w:p w:rsidR="00B862A8" w:rsidRPr="00ED0DE7" w:rsidRDefault="00B862A8" w:rsidP="00B862A8">
      <w:pPr>
        <w:keepNext/>
        <w:tabs>
          <w:tab w:val="left" w:pos="851"/>
        </w:tabs>
        <w:ind w:left="851"/>
        <w:rPr>
          <w:i/>
          <w:iCs/>
          <w:sz w:val="24"/>
          <w:szCs w:val="24"/>
        </w:rPr>
      </w:pPr>
      <w:r w:rsidRPr="00ED0DE7">
        <w:rPr>
          <w:i/>
          <w:iCs/>
          <w:sz w:val="24"/>
          <w:szCs w:val="24"/>
        </w:rPr>
        <w:lastRenderedPageBreak/>
        <w:t>Nedsat leverfunktion</w:t>
      </w:r>
    </w:p>
    <w:p w:rsidR="00B862A8" w:rsidRPr="00ED0DE7" w:rsidRDefault="00B862A8" w:rsidP="00B862A8">
      <w:pPr>
        <w:tabs>
          <w:tab w:val="left" w:pos="851"/>
        </w:tabs>
        <w:ind w:left="851"/>
        <w:rPr>
          <w:sz w:val="24"/>
          <w:szCs w:val="24"/>
        </w:rPr>
      </w:pPr>
      <w:r w:rsidRPr="00ED0DE7">
        <w:rPr>
          <w:sz w:val="24"/>
          <w:szCs w:val="24"/>
        </w:rPr>
        <w:t>Darunavir metaboliseres og elimineres især i leveren. I et flerdosisstudie med darunavir, co-administreret med ritonavir, 600/100 mg to gange daglig, blev det vist, at de totale plasmakoncentrationer af darunavir hos forsøgspersoner med mild (Child-Pugh klasse A, =8) og moderat (Child-Pugh klasse B, n=8) nedsat leverfunktion var sammenlignelige med dem, der sås hos raske forsøgspersoner. Dog var koncentrationer af ubundet darunavir henholdsvis ca. 55 % (Child-Pugh klasse A) og 100 % (Child-Pugh klasse B) højere. Den kliniske relevans af denne stigning kendes ikke, og darunavir bør derfor anvendes med forsigtighed. Effekten af svært nedsat leverfunktion på farmakokinetikken for darunavir er ikke blevet undersøgt (se pkt. 4.2, 4.3 og 4.4).</w:t>
      </w:r>
    </w:p>
    <w:p w:rsidR="00B862A8" w:rsidRPr="00ED0DE7" w:rsidRDefault="00B862A8" w:rsidP="00B862A8">
      <w:pPr>
        <w:tabs>
          <w:tab w:val="left" w:pos="851"/>
        </w:tabs>
        <w:ind w:left="851"/>
        <w:rPr>
          <w:sz w:val="24"/>
          <w:szCs w:val="24"/>
        </w:rPr>
      </w:pPr>
    </w:p>
    <w:p w:rsidR="00B862A8" w:rsidRPr="00ED0DE7" w:rsidRDefault="00B862A8" w:rsidP="00B862A8">
      <w:pPr>
        <w:tabs>
          <w:tab w:val="left" w:pos="851"/>
        </w:tabs>
        <w:ind w:left="851"/>
        <w:rPr>
          <w:i/>
          <w:iCs/>
          <w:sz w:val="24"/>
          <w:szCs w:val="24"/>
        </w:rPr>
      </w:pPr>
      <w:r w:rsidRPr="00ED0DE7">
        <w:rPr>
          <w:i/>
          <w:iCs/>
          <w:sz w:val="24"/>
          <w:szCs w:val="24"/>
        </w:rPr>
        <w:t>Graviditet og post partum</w:t>
      </w:r>
    </w:p>
    <w:p w:rsidR="00B862A8" w:rsidRPr="00ED0DE7" w:rsidRDefault="00B862A8" w:rsidP="00B862A8">
      <w:pPr>
        <w:tabs>
          <w:tab w:val="left" w:pos="851"/>
        </w:tabs>
        <w:ind w:left="851"/>
        <w:rPr>
          <w:sz w:val="24"/>
          <w:szCs w:val="24"/>
        </w:rPr>
      </w:pPr>
      <w:r w:rsidRPr="00ED0DE7">
        <w:rPr>
          <w:sz w:val="24"/>
          <w:szCs w:val="24"/>
        </w:rPr>
        <w:t xml:space="preserve">Eksponeringen for total-darunavir og ritonavir efter indtagelse af 600/100 mg darunavir/ritonavir to gange daglig og 800/100 mg darunavir/ritonavir en gang daglig som del af et antiretroviralt regime var generelt lavere under graviditet i forhold til </w:t>
      </w:r>
      <w:r w:rsidRPr="00ED0DE7">
        <w:rPr>
          <w:i/>
          <w:iCs/>
          <w:sz w:val="24"/>
          <w:szCs w:val="24"/>
        </w:rPr>
        <w:t>post partum</w:t>
      </w:r>
      <w:r w:rsidRPr="00ED0DE7">
        <w:rPr>
          <w:sz w:val="24"/>
          <w:szCs w:val="24"/>
        </w:rPr>
        <w:t xml:space="preserve">. For ubunden (dvs. aktiv) darunavir var de farmakokinetiske parametre dog i mindre grad reduceret på grund af en stigning i den ubundne fraktion af darunavir under graviditet i forhold til </w:t>
      </w:r>
      <w:r w:rsidRPr="00ED0DE7">
        <w:rPr>
          <w:i/>
          <w:sz w:val="24"/>
          <w:szCs w:val="24"/>
        </w:rPr>
        <w:t>post partum</w:t>
      </w:r>
      <w:r w:rsidRPr="00ED0DE7">
        <w:rPr>
          <w:sz w:val="24"/>
          <w:szCs w:val="24"/>
        </w:rPr>
        <w:t>.</w:t>
      </w:r>
    </w:p>
    <w:p w:rsidR="00B862A8" w:rsidRDefault="00B862A8" w:rsidP="00B862A8">
      <w:pPr>
        <w:tabs>
          <w:tab w:val="left" w:pos="851"/>
        </w:tabs>
        <w:ind w:left="851"/>
        <w:rPr>
          <w:sz w:val="24"/>
          <w:szCs w:val="24"/>
        </w:rPr>
      </w:pPr>
    </w:p>
    <w:tbl>
      <w:tblPr>
        <w:tblW w:w="5000" w:type="pct"/>
        <w:tblCellMar>
          <w:left w:w="0" w:type="dxa"/>
          <w:right w:w="0" w:type="dxa"/>
        </w:tblCellMar>
        <w:tblLook w:val="04A0" w:firstRow="1" w:lastRow="0" w:firstColumn="1" w:lastColumn="0" w:noHBand="0" w:noVBand="1"/>
      </w:tblPr>
      <w:tblGrid>
        <w:gridCol w:w="2409"/>
        <w:gridCol w:w="2407"/>
        <w:gridCol w:w="2407"/>
        <w:gridCol w:w="2405"/>
      </w:tblGrid>
      <w:tr w:rsidR="00B862A8" w:rsidTr="00B862A8">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273" w:right="254"/>
              <w:jc w:val="center"/>
              <w:rPr>
                <w:sz w:val="22"/>
                <w:szCs w:val="22"/>
                <w:lang w:eastAsia="en-GB"/>
              </w:rPr>
            </w:pPr>
            <w:r>
              <w:rPr>
                <w:b/>
                <w:bCs/>
                <w:sz w:val="22"/>
                <w:szCs w:val="22"/>
                <w:lang w:eastAsia="en-GB"/>
              </w:rPr>
              <w:t xml:space="preserve">Farmakokinetiske resultater for total-darunavir efter administration af 600/100 mg darunavir/ritonavir to gange daglig som del af et antiretroviralt regime i andet og tredje trimester af graviditeten og </w:t>
            </w:r>
            <w:r>
              <w:rPr>
                <w:b/>
                <w:bCs/>
                <w:i/>
                <w:sz w:val="22"/>
                <w:szCs w:val="22"/>
                <w:lang w:eastAsia="en-GB"/>
              </w:rPr>
              <w:t>post partum</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36"/>
              <w:rPr>
                <w:sz w:val="22"/>
                <w:szCs w:val="22"/>
                <w:lang w:eastAsia="en-GB"/>
              </w:rPr>
            </w:pPr>
            <w:r>
              <w:rPr>
                <w:b/>
                <w:bCs/>
                <w:sz w:val="22"/>
                <w:szCs w:val="22"/>
                <w:lang w:eastAsia="en-GB"/>
              </w:rPr>
              <w:t xml:space="preserve">Farmakokinetik for total darunavir </w:t>
            </w:r>
            <w:r>
              <w:rPr>
                <w:sz w:val="22"/>
                <w:szCs w:val="22"/>
                <w:lang w:eastAsia="en-GB"/>
              </w:rPr>
              <w:t>(gennemsnit ±</w:t>
            </w:r>
            <w:r>
              <w:rPr>
                <w:spacing w:val="1"/>
                <w:sz w:val="22"/>
                <w:szCs w:val="22"/>
                <w:lang w:eastAsia="en-GB"/>
              </w:rPr>
              <w:t xml:space="preserve"> </w:t>
            </w:r>
            <w:r>
              <w:rPr>
                <w:spacing w:val="-1"/>
                <w:sz w:val="22"/>
                <w:szCs w:val="22"/>
                <w:lang w:eastAsia="en-GB"/>
              </w:rPr>
              <w:t>SD)</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187" w:right="177"/>
              <w:jc w:val="center"/>
              <w:rPr>
                <w:sz w:val="22"/>
                <w:szCs w:val="22"/>
                <w:lang w:eastAsia="en-GB"/>
              </w:rPr>
            </w:pPr>
            <w:r>
              <w:rPr>
                <w:b/>
                <w:bCs/>
                <w:sz w:val="22"/>
                <w:szCs w:val="22"/>
                <w:lang w:eastAsia="en-GB"/>
              </w:rPr>
              <w:t>Andet trimester af graviditeten (n=</w:t>
            </w:r>
            <w:proofErr w:type="gramStart"/>
            <w:r>
              <w:rPr>
                <w:b/>
                <w:bCs/>
                <w:sz w:val="22"/>
                <w:szCs w:val="22"/>
                <w:lang w:eastAsia="en-GB"/>
              </w:rPr>
              <w:t>12</w:t>
            </w:r>
            <w:r>
              <w:rPr>
                <w:b/>
                <w:bCs/>
                <w:spacing w:val="1"/>
                <w:sz w:val="22"/>
                <w:szCs w:val="22"/>
                <w:lang w:eastAsia="en-GB"/>
              </w:rPr>
              <w:t>)</w:t>
            </w:r>
            <w:r>
              <w:rPr>
                <w:b/>
                <w:bCs/>
                <w:spacing w:val="1"/>
                <w:sz w:val="22"/>
                <w:szCs w:val="22"/>
                <w:vertAlign w:val="superscript"/>
                <w:lang w:eastAsia="en-GB"/>
              </w:rPr>
              <w:t>a</w:t>
            </w:r>
            <w:proofErr w:type="gramEnd"/>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251" w:right="233"/>
              <w:jc w:val="center"/>
              <w:rPr>
                <w:sz w:val="22"/>
                <w:szCs w:val="22"/>
                <w:lang w:eastAsia="en-GB"/>
              </w:rPr>
            </w:pPr>
            <w:r>
              <w:rPr>
                <w:b/>
                <w:bCs/>
                <w:sz w:val="22"/>
                <w:szCs w:val="22"/>
                <w:lang w:eastAsia="en-GB"/>
              </w:rPr>
              <w:t>Tredje trimester af graviditeten (n=12)</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25" w:right="506" w:hanging="1"/>
              <w:jc w:val="center"/>
              <w:rPr>
                <w:sz w:val="22"/>
                <w:szCs w:val="22"/>
                <w:lang w:eastAsia="en-GB"/>
              </w:rPr>
            </w:pPr>
            <w:r>
              <w:rPr>
                <w:b/>
                <w:bCs/>
                <w:i/>
                <w:sz w:val="22"/>
                <w:szCs w:val="22"/>
                <w:lang w:eastAsia="en-GB"/>
              </w:rPr>
              <w:t>Post pa</w:t>
            </w:r>
            <w:r>
              <w:rPr>
                <w:b/>
                <w:bCs/>
                <w:i/>
                <w:spacing w:val="-1"/>
                <w:sz w:val="22"/>
                <w:szCs w:val="22"/>
                <w:lang w:eastAsia="en-GB"/>
              </w:rPr>
              <w:t>rtum</w:t>
            </w:r>
            <w:r>
              <w:rPr>
                <w:b/>
                <w:bCs/>
                <w:spacing w:val="-1"/>
                <w:sz w:val="22"/>
                <w:szCs w:val="22"/>
                <w:lang w:eastAsia="en-GB"/>
              </w:rPr>
              <w:t xml:space="preserve"> </w:t>
            </w:r>
            <w:r>
              <w:rPr>
                <w:b/>
                <w:bCs/>
                <w:spacing w:val="1"/>
                <w:sz w:val="22"/>
                <w:szCs w:val="22"/>
                <w:lang w:eastAsia="en-GB"/>
              </w:rPr>
              <w:t>(</w:t>
            </w:r>
            <w:r>
              <w:rPr>
                <w:b/>
                <w:bCs/>
                <w:sz w:val="22"/>
                <w:szCs w:val="22"/>
                <w:lang w:eastAsia="en-GB"/>
              </w:rPr>
              <w:t>6</w:t>
            </w:r>
            <w:r>
              <w:rPr>
                <w:b/>
                <w:bCs/>
                <w:spacing w:val="1"/>
                <w:sz w:val="22"/>
                <w:szCs w:val="22"/>
                <w:lang w:eastAsia="en-GB"/>
              </w:rPr>
              <w:t>-</w:t>
            </w:r>
            <w:r>
              <w:rPr>
                <w:b/>
                <w:bCs/>
                <w:sz w:val="22"/>
                <w:szCs w:val="22"/>
                <w:lang w:eastAsia="en-GB"/>
              </w:rPr>
              <w:t>12</w:t>
            </w:r>
            <w:r>
              <w:rPr>
                <w:b/>
                <w:bCs/>
                <w:spacing w:val="-5"/>
                <w:sz w:val="22"/>
                <w:szCs w:val="22"/>
                <w:lang w:eastAsia="en-GB"/>
              </w:rPr>
              <w:t xml:space="preserve"> </w:t>
            </w:r>
            <w:r>
              <w:rPr>
                <w:b/>
                <w:bCs/>
                <w:spacing w:val="1"/>
                <w:sz w:val="22"/>
                <w:szCs w:val="22"/>
                <w:lang w:eastAsia="en-GB"/>
              </w:rPr>
              <w:t>uger</w:t>
            </w:r>
            <w:r>
              <w:rPr>
                <w:b/>
                <w:bCs/>
                <w:sz w:val="22"/>
                <w:szCs w:val="22"/>
                <w:lang w:eastAsia="en-GB"/>
              </w:rPr>
              <w:t>) (n=12)</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0"/>
              <w:rPr>
                <w:sz w:val="22"/>
                <w:szCs w:val="22"/>
                <w:lang w:eastAsia="en-GB"/>
              </w:rPr>
            </w:pPr>
            <w:r>
              <w:rPr>
                <w:spacing w:val="2"/>
                <w:sz w:val="22"/>
                <w:szCs w:val="22"/>
                <w:lang w:eastAsia="en-GB"/>
              </w:rPr>
              <w:t>C</w:t>
            </w:r>
            <w:r>
              <w:rPr>
                <w:spacing w:val="-5"/>
                <w:position w:val="-3"/>
                <w:sz w:val="22"/>
                <w:szCs w:val="22"/>
                <w:lang w:eastAsia="en-GB"/>
              </w:rPr>
              <w:t>m</w:t>
            </w:r>
            <w:r>
              <w:rPr>
                <w:spacing w:val="3"/>
                <w:position w:val="-3"/>
                <w:sz w:val="22"/>
                <w:szCs w:val="22"/>
                <w:lang w:eastAsia="en-GB"/>
              </w:rPr>
              <w:t>a</w:t>
            </w:r>
            <w:r>
              <w:rPr>
                <w:position w:val="-3"/>
                <w:sz w:val="22"/>
                <w:szCs w:val="22"/>
                <w:lang w:eastAsia="en-GB"/>
              </w:rPr>
              <w:t>x</w:t>
            </w:r>
            <w:r>
              <w:rPr>
                <w:sz w:val="22"/>
                <w:szCs w:val="22"/>
                <w:lang w:eastAsia="en-GB"/>
              </w:rPr>
              <w:t>,</w:t>
            </w:r>
            <w:r>
              <w:rPr>
                <w:spacing w:val="-1"/>
                <w:sz w:val="22"/>
                <w:szCs w:val="22"/>
                <w:lang w:eastAsia="en-GB"/>
              </w:rPr>
              <w:t xml:space="preserve"> </w:t>
            </w:r>
            <w:r>
              <w:rPr>
                <w:sz w:val="22"/>
                <w:szCs w:val="22"/>
                <w:lang w:eastAsia="en-GB"/>
              </w:rPr>
              <w:t>ng/</w:t>
            </w:r>
            <w:r>
              <w:rPr>
                <w:spacing w:val="-4"/>
                <w:sz w:val="22"/>
                <w:szCs w:val="22"/>
                <w:lang w:eastAsia="en-GB"/>
              </w:rPr>
              <w:t>m</w:t>
            </w:r>
            <w:r>
              <w:rPr>
                <w:sz w:val="22"/>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4.668 ± 1.097</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5.328 ± 1.631</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6.659 ± 2.364</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0"/>
              <w:rPr>
                <w:sz w:val="22"/>
                <w:szCs w:val="22"/>
                <w:lang w:eastAsia="en-GB"/>
              </w:rPr>
            </w:pPr>
            <w:r>
              <w:rPr>
                <w:spacing w:val="-1"/>
                <w:sz w:val="22"/>
                <w:szCs w:val="22"/>
                <w:lang w:eastAsia="en-GB"/>
              </w:rPr>
              <w:t>AUC</w:t>
            </w:r>
            <w:r>
              <w:rPr>
                <w:spacing w:val="1"/>
                <w:position w:val="-3"/>
                <w:sz w:val="22"/>
                <w:szCs w:val="22"/>
                <w:lang w:eastAsia="en-GB"/>
              </w:rPr>
              <w:t>12</w:t>
            </w:r>
            <w:r>
              <w:rPr>
                <w:spacing w:val="-2"/>
                <w:position w:val="-3"/>
                <w:sz w:val="22"/>
                <w:szCs w:val="22"/>
                <w:lang w:eastAsia="en-GB"/>
              </w:rPr>
              <w:t>t</w:t>
            </w:r>
            <w:r>
              <w:rPr>
                <w:sz w:val="22"/>
                <w:szCs w:val="22"/>
                <w:lang w:eastAsia="en-GB"/>
              </w:rPr>
              <w:t>,</w:t>
            </w:r>
            <w:r>
              <w:rPr>
                <w:spacing w:val="-2"/>
                <w:sz w:val="22"/>
                <w:szCs w:val="22"/>
                <w:lang w:eastAsia="en-GB"/>
              </w:rPr>
              <w:t xml:space="preserve"> </w:t>
            </w:r>
            <w:r>
              <w:rPr>
                <w:sz w:val="22"/>
                <w:szCs w:val="22"/>
                <w:lang w:eastAsia="en-GB"/>
              </w:rPr>
              <w:t>ng.h/</w:t>
            </w:r>
            <w:r>
              <w:rPr>
                <w:spacing w:val="-4"/>
                <w:sz w:val="22"/>
                <w:szCs w:val="22"/>
                <w:lang w:eastAsia="en-GB"/>
              </w:rPr>
              <w:t>m</w:t>
            </w:r>
            <w:r>
              <w:rPr>
                <w:sz w:val="22"/>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407" w:right="-20"/>
              <w:rPr>
                <w:sz w:val="22"/>
                <w:szCs w:val="22"/>
                <w:lang w:eastAsia="en-GB"/>
              </w:rPr>
            </w:pPr>
            <w:r>
              <w:rPr>
                <w:sz w:val="22"/>
                <w:szCs w:val="22"/>
                <w:lang w:eastAsia="en-GB"/>
              </w:rPr>
              <w:t>39.370 ± 9.597</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407" w:right="-20"/>
              <w:rPr>
                <w:sz w:val="22"/>
                <w:szCs w:val="22"/>
                <w:lang w:eastAsia="en-GB"/>
              </w:rPr>
            </w:pPr>
            <w:r>
              <w:rPr>
                <w:sz w:val="22"/>
                <w:szCs w:val="22"/>
                <w:lang w:eastAsia="en-GB"/>
              </w:rPr>
              <w:t xml:space="preserve">45.880 ± </w:t>
            </w:r>
            <w:r>
              <w:rPr>
                <w:spacing w:val="-1"/>
                <w:sz w:val="22"/>
                <w:szCs w:val="22"/>
                <w:lang w:eastAsia="en-GB"/>
              </w:rPr>
              <w:t>17.360</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407" w:right="-20"/>
              <w:rPr>
                <w:sz w:val="22"/>
                <w:szCs w:val="22"/>
                <w:lang w:eastAsia="en-GB"/>
              </w:rPr>
            </w:pPr>
            <w:r>
              <w:rPr>
                <w:sz w:val="22"/>
                <w:szCs w:val="22"/>
                <w:lang w:eastAsia="en-GB"/>
              </w:rPr>
              <w:t xml:space="preserve">56.890 ± </w:t>
            </w:r>
            <w:r>
              <w:rPr>
                <w:spacing w:val="-1"/>
                <w:sz w:val="22"/>
                <w:szCs w:val="22"/>
                <w:lang w:eastAsia="en-GB"/>
              </w:rPr>
              <w:t>26.340</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0"/>
              <w:rPr>
                <w:sz w:val="22"/>
                <w:szCs w:val="22"/>
                <w:lang w:eastAsia="en-GB"/>
              </w:rPr>
            </w:pPr>
            <w:r>
              <w:rPr>
                <w:spacing w:val="2"/>
                <w:sz w:val="22"/>
                <w:szCs w:val="22"/>
                <w:lang w:eastAsia="en-GB"/>
              </w:rPr>
              <w:t>C</w:t>
            </w:r>
            <w:r>
              <w:rPr>
                <w:spacing w:val="-1"/>
                <w:position w:val="-3"/>
                <w:sz w:val="22"/>
                <w:szCs w:val="22"/>
                <w:lang w:eastAsia="en-GB"/>
              </w:rPr>
              <w:t>mi</w:t>
            </w:r>
            <w:r>
              <w:rPr>
                <w:position w:val="-3"/>
                <w:sz w:val="22"/>
                <w:szCs w:val="22"/>
                <w:lang w:eastAsia="en-GB"/>
              </w:rPr>
              <w:t>n</w:t>
            </w:r>
            <w:r>
              <w:rPr>
                <w:sz w:val="22"/>
                <w:szCs w:val="22"/>
                <w:lang w:eastAsia="en-GB"/>
              </w:rPr>
              <w:t>,</w:t>
            </w:r>
            <w:r>
              <w:rPr>
                <w:spacing w:val="-1"/>
                <w:sz w:val="22"/>
                <w:szCs w:val="22"/>
                <w:lang w:eastAsia="en-GB"/>
              </w:rPr>
              <w:t xml:space="preserve"> </w:t>
            </w:r>
            <w:r>
              <w:rPr>
                <w:sz w:val="22"/>
                <w:szCs w:val="22"/>
                <w:lang w:eastAsia="en-GB"/>
              </w:rPr>
              <w:t>ng/</w:t>
            </w:r>
            <w:r>
              <w:rPr>
                <w:spacing w:val="-4"/>
                <w:sz w:val="22"/>
                <w:szCs w:val="22"/>
                <w:lang w:eastAsia="en-GB"/>
              </w:rPr>
              <w:t>m</w:t>
            </w:r>
            <w:r>
              <w:rPr>
                <w:spacing w:val="1"/>
                <w:sz w:val="22"/>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1.922 ± 825</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2.661 ± 1.269</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2.851 ± 2.216</w:t>
            </w:r>
          </w:p>
        </w:tc>
      </w:tr>
    </w:tbl>
    <w:p w:rsidR="00B862A8" w:rsidRDefault="00B862A8" w:rsidP="00B862A8">
      <w:pPr>
        <w:autoSpaceDE w:val="0"/>
        <w:autoSpaceDN w:val="0"/>
        <w:adjustRightInd w:val="0"/>
        <w:spacing w:line="252" w:lineRule="exact"/>
        <w:ind w:right="-20"/>
        <w:rPr>
          <w:sz w:val="24"/>
          <w:szCs w:val="24"/>
          <w:lang w:eastAsia="en-GB"/>
        </w:rPr>
      </w:pPr>
      <w:r>
        <w:rPr>
          <w:position w:val="-1"/>
          <w:sz w:val="24"/>
          <w:szCs w:val="24"/>
          <w:vertAlign w:val="superscript"/>
          <w:lang w:eastAsia="en-GB"/>
        </w:rPr>
        <w:t>a</w:t>
      </w:r>
      <w:r>
        <w:rPr>
          <w:position w:val="-1"/>
          <w:sz w:val="24"/>
          <w:szCs w:val="24"/>
          <w:lang w:eastAsia="en-GB"/>
        </w:rPr>
        <w:t xml:space="preserve"> n=11 for AUC</w:t>
      </w:r>
      <w:r>
        <w:rPr>
          <w:position w:val="-1"/>
          <w:sz w:val="24"/>
          <w:szCs w:val="24"/>
          <w:vertAlign w:val="subscript"/>
          <w:lang w:eastAsia="en-GB"/>
        </w:rPr>
        <w:t>12t.</w:t>
      </w:r>
    </w:p>
    <w:p w:rsidR="00B862A8" w:rsidRDefault="00B862A8" w:rsidP="00B862A8">
      <w:pPr>
        <w:autoSpaceDE w:val="0"/>
        <w:autoSpaceDN w:val="0"/>
        <w:adjustRightInd w:val="0"/>
        <w:spacing w:before="42"/>
        <w:ind w:right="-20"/>
        <w:rPr>
          <w:sz w:val="24"/>
          <w:szCs w:val="24"/>
          <w:lang w:eastAsia="en-GB"/>
        </w:rPr>
      </w:pPr>
    </w:p>
    <w:tbl>
      <w:tblPr>
        <w:tblW w:w="5000" w:type="pct"/>
        <w:tblCellMar>
          <w:left w:w="0" w:type="dxa"/>
          <w:right w:w="0" w:type="dxa"/>
        </w:tblCellMar>
        <w:tblLook w:val="04A0" w:firstRow="1" w:lastRow="0" w:firstColumn="1" w:lastColumn="0" w:noHBand="0" w:noVBand="1"/>
      </w:tblPr>
      <w:tblGrid>
        <w:gridCol w:w="2409"/>
        <w:gridCol w:w="2407"/>
        <w:gridCol w:w="2407"/>
        <w:gridCol w:w="2405"/>
      </w:tblGrid>
      <w:tr w:rsidR="00B862A8" w:rsidTr="00B862A8">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04" w:right="284"/>
              <w:jc w:val="center"/>
              <w:rPr>
                <w:b/>
                <w:sz w:val="22"/>
                <w:szCs w:val="22"/>
                <w:lang w:eastAsia="en-GB"/>
              </w:rPr>
            </w:pPr>
            <w:r>
              <w:rPr>
                <w:b/>
                <w:sz w:val="22"/>
                <w:szCs w:val="22"/>
                <w:lang w:eastAsia="en-GB"/>
              </w:rPr>
              <w:t xml:space="preserve">Farmakokinetik resultater for total-darunavir efter administration af 800/100 mg darunavir/ritonavir en gang daglig som del af et antiretroviralt regime i andet og tredje trimester af graviditeten og </w:t>
            </w:r>
            <w:r>
              <w:rPr>
                <w:b/>
                <w:i/>
                <w:sz w:val="22"/>
                <w:szCs w:val="22"/>
                <w:lang w:eastAsia="en-GB"/>
              </w:rPr>
              <w:t>post partum</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36"/>
              <w:rPr>
                <w:sz w:val="22"/>
                <w:szCs w:val="22"/>
                <w:lang w:eastAsia="en-GB"/>
              </w:rPr>
            </w:pPr>
            <w:r>
              <w:rPr>
                <w:b/>
                <w:bCs/>
                <w:sz w:val="22"/>
                <w:szCs w:val="22"/>
                <w:lang w:eastAsia="en-GB"/>
              </w:rPr>
              <w:t xml:space="preserve">Farmakokinetik for total darunavir </w:t>
            </w:r>
            <w:r>
              <w:rPr>
                <w:sz w:val="22"/>
                <w:szCs w:val="22"/>
                <w:lang w:eastAsia="en-GB"/>
              </w:rPr>
              <w:t>(gennemsnit ±</w:t>
            </w:r>
            <w:r>
              <w:rPr>
                <w:spacing w:val="1"/>
                <w:sz w:val="22"/>
                <w:szCs w:val="22"/>
                <w:lang w:eastAsia="en-GB"/>
              </w:rPr>
              <w:t xml:space="preserve"> </w:t>
            </w:r>
            <w:r>
              <w:rPr>
                <w:spacing w:val="-1"/>
                <w:sz w:val="22"/>
                <w:szCs w:val="22"/>
                <w:lang w:eastAsia="en-GB"/>
              </w:rPr>
              <w:t>SD)</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189" w:right="173"/>
              <w:jc w:val="center"/>
              <w:rPr>
                <w:sz w:val="22"/>
                <w:szCs w:val="22"/>
                <w:lang w:eastAsia="en-GB"/>
              </w:rPr>
            </w:pPr>
            <w:r>
              <w:rPr>
                <w:b/>
                <w:bCs/>
                <w:sz w:val="22"/>
                <w:szCs w:val="22"/>
                <w:lang w:eastAsia="en-GB"/>
              </w:rPr>
              <w:t>Andet trimester af graviditeten (n=17)</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215" w:right="197"/>
              <w:jc w:val="center"/>
              <w:rPr>
                <w:sz w:val="22"/>
                <w:szCs w:val="22"/>
                <w:lang w:eastAsia="en-GB"/>
              </w:rPr>
            </w:pPr>
            <w:r>
              <w:rPr>
                <w:b/>
                <w:bCs/>
                <w:sz w:val="22"/>
                <w:szCs w:val="22"/>
                <w:lang w:eastAsia="en-GB"/>
              </w:rPr>
              <w:t>Tredje trimester af graviditeten (n=15)</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25" w:right="506" w:hanging="1"/>
              <w:jc w:val="center"/>
              <w:rPr>
                <w:sz w:val="22"/>
                <w:szCs w:val="22"/>
                <w:lang w:eastAsia="en-GB"/>
              </w:rPr>
            </w:pPr>
            <w:r>
              <w:rPr>
                <w:b/>
                <w:bCs/>
                <w:i/>
                <w:sz w:val="22"/>
                <w:szCs w:val="22"/>
                <w:lang w:eastAsia="en-GB"/>
              </w:rPr>
              <w:t>Post partum</w:t>
            </w:r>
            <w:r>
              <w:rPr>
                <w:b/>
                <w:bCs/>
                <w:sz w:val="22"/>
                <w:szCs w:val="22"/>
                <w:lang w:eastAsia="en-GB"/>
              </w:rPr>
              <w:t xml:space="preserve"> </w:t>
            </w:r>
            <w:r>
              <w:rPr>
                <w:b/>
                <w:bCs/>
                <w:spacing w:val="1"/>
                <w:sz w:val="22"/>
                <w:szCs w:val="22"/>
                <w:lang w:eastAsia="en-GB"/>
              </w:rPr>
              <w:t>(</w:t>
            </w:r>
            <w:r>
              <w:rPr>
                <w:b/>
                <w:bCs/>
                <w:sz w:val="22"/>
                <w:szCs w:val="22"/>
                <w:lang w:eastAsia="en-GB"/>
              </w:rPr>
              <w:t>6</w:t>
            </w:r>
            <w:r>
              <w:rPr>
                <w:b/>
                <w:bCs/>
                <w:spacing w:val="1"/>
                <w:sz w:val="22"/>
                <w:szCs w:val="22"/>
                <w:lang w:eastAsia="en-GB"/>
              </w:rPr>
              <w:t>-</w:t>
            </w:r>
            <w:r>
              <w:rPr>
                <w:b/>
                <w:bCs/>
                <w:sz w:val="22"/>
                <w:szCs w:val="22"/>
                <w:lang w:eastAsia="en-GB"/>
              </w:rPr>
              <w:t>12</w:t>
            </w:r>
            <w:r>
              <w:rPr>
                <w:b/>
                <w:bCs/>
                <w:spacing w:val="-5"/>
                <w:sz w:val="22"/>
                <w:szCs w:val="22"/>
                <w:lang w:eastAsia="en-GB"/>
              </w:rPr>
              <w:t xml:space="preserve"> </w:t>
            </w:r>
            <w:r>
              <w:rPr>
                <w:b/>
                <w:bCs/>
                <w:spacing w:val="1"/>
                <w:sz w:val="22"/>
                <w:szCs w:val="22"/>
                <w:lang w:eastAsia="en-GB"/>
              </w:rPr>
              <w:t>uger</w:t>
            </w:r>
            <w:r>
              <w:rPr>
                <w:b/>
                <w:bCs/>
                <w:sz w:val="22"/>
                <w:szCs w:val="22"/>
                <w:lang w:eastAsia="en-GB"/>
              </w:rPr>
              <w:t>) (n=16)</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0"/>
              <w:rPr>
                <w:sz w:val="22"/>
                <w:szCs w:val="22"/>
                <w:lang w:eastAsia="en-GB"/>
              </w:rPr>
            </w:pPr>
            <w:r>
              <w:rPr>
                <w:spacing w:val="2"/>
                <w:sz w:val="22"/>
                <w:szCs w:val="22"/>
                <w:lang w:eastAsia="en-GB"/>
              </w:rPr>
              <w:t>C</w:t>
            </w:r>
            <w:r>
              <w:rPr>
                <w:spacing w:val="-5"/>
                <w:position w:val="-3"/>
                <w:sz w:val="22"/>
                <w:szCs w:val="22"/>
                <w:lang w:eastAsia="en-GB"/>
              </w:rPr>
              <w:t>m</w:t>
            </w:r>
            <w:r>
              <w:rPr>
                <w:spacing w:val="3"/>
                <w:position w:val="-3"/>
                <w:sz w:val="22"/>
                <w:szCs w:val="22"/>
                <w:lang w:eastAsia="en-GB"/>
              </w:rPr>
              <w:t>a</w:t>
            </w:r>
            <w:r>
              <w:rPr>
                <w:position w:val="-3"/>
                <w:sz w:val="22"/>
                <w:szCs w:val="22"/>
                <w:lang w:eastAsia="en-GB"/>
              </w:rPr>
              <w:t>x</w:t>
            </w:r>
            <w:r>
              <w:rPr>
                <w:sz w:val="22"/>
                <w:szCs w:val="22"/>
                <w:lang w:eastAsia="en-GB"/>
              </w:rPr>
              <w:t>,</w:t>
            </w:r>
            <w:r>
              <w:rPr>
                <w:spacing w:val="-1"/>
                <w:sz w:val="22"/>
                <w:szCs w:val="22"/>
                <w:lang w:eastAsia="en-GB"/>
              </w:rPr>
              <w:t xml:space="preserve"> </w:t>
            </w:r>
            <w:r>
              <w:rPr>
                <w:sz w:val="22"/>
                <w:szCs w:val="22"/>
                <w:lang w:eastAsia="en-GB"/>
              </w:rPr>
              <w:t>ng/</w:t>
            </w:r>
            <w:r>
              <w:rPr>
                <w:spacing w:val="-4"/>
                <w:sz w:val="22"/>
                <w:szCs w:val="22"/>
                <w:lang w:eastAsia="en-GB"/>
              </w:rPr>
              <w:t>m</w:t>
            </w:r>
            <w:r>
              <w:rPr>
                <w:sz w:val="22"/>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4.964 ± 1.505</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5.132 ± 1.198</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7.310 ± 1.704</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0"/>
              <w:rPr>
                <w:sz w:val="22"/>
                <w:szCs w:val="22"/>
                <w:lang w:eastAsia="en-GB"/>
              </w:rPr>
            </w:pPr>
            <w:r>
              <w:rPr>
                <w:spacing w:val="-1"/>
                <w:sz w:val="22"/>
                <w:szCs w:val="22"/>
                <w:lang w:eastAsia="en-GB"/>
              </w:rPr>
              <w:t>AUC</w:t>
            </w:r>
            <w:r>
              <w:rPr>
                <w:spacing w:val="1"/>
                <w:position w:val="-3"/>
                <w:sz w:val="22"/>
                <w:szCs w:val="22"/>
                <w:lang w:eastAsia="en-GB"/>
              </w:rPr>
              <w:t>24t</w:t>
            </w:r>
            <w:r>
              <w:rPr>
                <w:sz w:val="22"/>
                <w:szCs w:val="22"/>
                <w:lang w:eastAsia="en-GB"/>
              </w:rPr>
              <w:t>,</w:t>
            </w:r>
            <w:r>
              <w:rPr>
                <w:spacing w:val="-2"/>
                <w:sz w:val="22"/>
                <w:szCs w:val="22"/>
                <w:lang w:eastAsia="en-GB"/>
              </w:rPr>
              <w:t xml:space="preserve"> </w:t>
            </w:r>
            <w:r>
              <w:rPr>
                <w:sz w:val="22"/>
                <w:szCs w:val="22"/>
                <w:lang w:eastAsia="en-GB"/>
              </w:rPr>
              <w:t>ng.h/</w:t>
            </w:r>
            <w:r>
              <w:rPr>
                <w:spacing w:val="-4"/>
                <w:sz w:val="22"/>
                <w:szCs w:val="22"/>
                <w:lang w:eastAsia="en-GB"/>
              </w:rPr>
              <w:t>m</w:t>
            </w:r>
            <w:r>
              <w:rPr>
                <w:sz w:val="22"/>
                <w:szCs w:val="22"/>
                <w:lang w:eastAsia="en-GB"/>
              </w:rPr>
              <w:t>l</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407" w:right="-20"/>
              <w:rPr>
                <w:sz w:val="22"/>
                <w:szCs w:val="22"/>
                <w:lang w:eastAsia="en-GB"/>
              </w:rPr>
            </w:pPr>
            <w:r>
              <w:rPr>
                <w:sz w:val="22"/>
                <w:szCs w:val="22"/>
                <w:lang w:eastAsia="en-GB"/>
              </w:rPr>
              <w:t>62.289 ± 16.23</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407" w:right="-20"/>
              <w:rPr>
                <w:sz w:val="22"/>
                <w:szCs w:val="22"/>
                <w:lang w:eastAsia="en-GB"/>
              </w:rPr>
            </w:pPr>
            <w:r>
              <w:rPr>
                <w:sz w:val="22"/>
                <w:szCs w:val="22"/>
                <w:lang w:eastAsia="en-GB"/>
              </w:rPr>
              <w:t>61.112 ± 1</w:t>
            </w:r>
            <w:r>
              <w:rPr>
                <w:spacing w:val="-1"/>
                <w:sz w:val="22"/>
                <w:szCs w:val="22"/>
                <w:lang w:eastAsia="en-GB"/>
              </w:rPr>
              <w:t>3.790</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407" w:right="-20"/>
              <w:rPr>
                <w:sz w:val="22"/>
                <w:szCs w:val="22"/>
                <w:lang w:eastAsia="en-GB"/>
              </w:rPr>
            </w:pPr>
            <w:r>
              <w:rPr>
                <w:sz w:val="22"/>
                <w:szCs w:val="22"/>
                <w:lang w:eastAsia="en-GB"/>
              </w:rPr>
              <w:t>92.116± 29.241</w:t>
            </w:r>
          </w:p>
        </w:tc>
      </w:tr>
      <w:tr w:rsidR="00B862A8" w:rsidTr="00B862A8">
        <w:trPr>
          <w:trHeight w:val="20"/>
        </w:trPr>
        <w:tc>
          <w:tcPr>
            <w:tcW w:w="1251"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37" w:right="-20"/>
              <w:rPr>
                <w:sz w:val="22"/>
                <w:szCs w:val="22"/>
                <w:lang w:eastAsia="en-GB"/>
              </w:rPr>
            </w:pPr>
            <w:r>
              <w:rPr>
                <w:spacing w:val="2"/>
                <w:sz w:val="22"/>
                <w:szCs w:val="22"/>
                <w:lang w:eastAsia="en-GB"/>
              </w:rPr>
              <w:t>C</w:t>
            </w:r>
            <w:r>
              <w:rPr>
                <w:spacing w:val="-1"/>
                <w:position w:val="-3"/>
                <w:sz w:val="22"/>
                <w:szCs w:val="22"/>
                <w:lang w:eastAsia="en-GB"/>
              </w:rPr>
              <w:t>mi</w:t>
            </w:r>
            <w:r>
              <w:rPr>
                <w:position w:val="-3"/>
                <w:sz w:val="22"/>
                <w:szCs w:val="22"/>
                <w:lang w:eastAsia="en-GB"/>
              </w:rPr>
              <w:t>n</w:t>
            </w:r>
            <w:r>
              <w:rPr>
                <w:sz w:val="22"/>
                <w:szCs w:val="22"/>
                <w:lang w:eastAsia="en-GB"/>
              </w:rPr>
              <w:t>,</w:t>
            </w:r>
            <w:r>
              <w:rPr>
                <w:spacing w:val="-1"/>
                <w:sz w:val="22"/>
                <w:szCs w:val="22"/>
                <w:lang w:eastAsia="en-GB"/>
              </w:rPr>
              <w:t xml:space="preserve"> </w:t>
            </w:r>
            <w:r>
              <w:rPr>
                <w:sz w:val="22"/>
                <w:szCs w:val="22"/>
                <w:lang w:eastAsia="en-GB"/>
              </w:rPr>
              <w:t>ng/</w:t>
            </w:r>
            <w:r>
              <w:rPr>
                <w:spacing w:val="-4"/>
                <w:sz w:val="22"/>
                <w:szCs w:val="22"/>
                <w:lang w:eastAsia="en-GB"/>
              </w:rPr>
              <w:t>ml</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99" w:right="-20"/>
              <w:rPr>
                <w:sz w:val="22"/>
                <w:szCs w:val="22"/>
                <w:lang w:eastAsia="en-GB"/>
              </w:rPr>
            </w:pPr>
            <w:r>
              <w:rPr>
                <w:sz w:val="22"/>
                <w:szCs w:val="22"/>
                <w:lang w:eastAsia="en-GB"/>
              </w:rPr>
              <w:t>1.248 ± 542</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99" w:right="-20"/>
              <w:rPr>
                <w:sz w:val="22"/>
                <w:szCs w:val="22"/>
                <w:lang w:eastAsia="en-GB"/>
              </w:rPr>
            </w:pPr>
            <w:r>
              <w:rPr>
                <w:sz w:val="22"/>
                <w:szCs w:val="22"/>
                <w:lang w:eastAsia="en-GB"/>
              </w:rPr>
              <w:t>1.075 ± 594</w:t>
            </w:r>
          </w:p>
        </w:tc>
        <w:tc>
          <w:tcPr>
            <w:tcW w:w="1250" w:type="pct"/>
            <w:tcBorders>
              <w:top w:val="single" w:sz="4" w:space="0" w:color="000000"/>
              <w:left w:val="single" w:sz="4" w:space="0" w:color="000000"/>
              <w:bottom w:val="single" w:sz="4" w:space="0" w:color="000000"/>
              <w:right w:val="single" w:sz="4" w:space="0" w:color="000000"/>
            </w:tcBorders>
            <w:hideMark/>
          </w:tcPr>
          <w:p w:rsidR="00B862A8" w:rsidRDefault="00B862A8" w:rsidP="00B862A8">
            <w:pPr>
              <w:autoSpaceDE w:val="0"/>
              <w:autoSpaceDN w:val="0"/>
              <w:adjustRightInd w:val="0"/>
              <w:ind w:left="515" w:right="-20"/>
              <w:rPr>
                <w:sz w:val="22"/>
                <w:szCs w:val="22"/>
                <w:lang w:eastAsia="en-GB"/>
              </w:rPr>
            </w:pPr>
            <w:r>
              <w:rPr>
                <w:sz w:val="22"/>
                <w:szCs w:val="22"/>
                <w:lang w:eastAsia="en-GB"/>
              </w:rPr>
              <w:t>1.473 ± 1.141</w:t>
            </w:r>
          </w:p>
        </w:tc>
      </w:tr>
    </w:tbl>
    <w:p w:rsidR="00B862A8" w:rsidRDefault="00B862A8" w:rsidP="00B862A8">
      <w:pPr>
        <w:tabs>
          <w:tab w:val="left" w:pos="1134"/>
        </w:tabs>
        <w:rPr>
          <w:sz w:val="24"/>
          <w:szCs w:val="24"/>
        </w:rPr>
      </w:pPr>
    </w:p>
    <w:p w:rsidR="00B862A8" w:rsidRDefault="00B862A8" w:rsidP="00B862A8">
      <w:pPr>
        <w:tabs>
          <w:tab w:val="left" w:pos="1134"/>
        </w:tabs>
        <w:ind w:left="851"/>
        <w:rPr>
          <w:sz w:val="24"/>
          <w:szCs w:val="24"/>
        </w:rPr>
      </w:pPr>
      <w:r>
        <w:rPr>
          <w:sz w:val="24"/>
          <w:szCs w:val="24"/>
        </w:rPr>
        <w:t>Hos kvinder, der fik 600/100 mg darunavir/ritonavir to gange daglig i andet trimester af graviditeten, var de gennemsnitlige intraindividuelle værdier for C</w:t>
      </w:r>
      <w:r>
        <w:rPr>
          <w:sz w:val="24"/>
          <w:szCs w:val="24"/>
          <w:vertAlign w:val="subscript"/>
        </w:rPr>
        <w:t>max</w:t>
      </w:r>
      <w:r>
        <w:rPr>
          <w:sz w:val="24"/>
          <w:szCs w:val="24"/>
        </w:rPr>
        <w:t>, AUC</w:t>
      </w:r>
      <w:r>
        <w:rPr>
          <w:sz w:val="24"/>
          <w:szCs w:val="24"/>
          <w:vertAlign w:val="subscript"/>
        </w:rPr>
        <w:t>12t</w:t>
      </w:r>
      <w:r>
        <w:rPr>
          <w:sz w:val="24"/>
          <w:szCs w:val="24"/>
        </w:rPr>
        <w:t xml:space="preserve"> og C</w:t>
      </w:r>
      <w:r>
        <w:rPr>
          <w:sz w:val="24"/>
          <w:szCs w:val="24"/>
          <w:vertAlign w:val="subscript"/>
        </w:rPr>
        <w:t>min</w:t>
      </w:r>
      <w:r>
        <w:rPr>
          <w:sz w:val="24"/>
          <w:szCs w:val="24"/>
        </w:rPr>
        <w:t xml:space="preserve"> for total-darunavir hhv. 28 %, 26 % og 26 % lavere i forhold til </w:t>
      </w:r>
      <w:r>
        <w:rPr>
          <w:i/>
          <w:iCs/>
          <w:sz w:val="24"/>
          <w:szCs w:val="24"/>
        </w:rPr>
        <w:t>post partum</w:t>
      </w:r>
      <w:r>
        <w:rPr>
          <w:sz w:val="24"/>
          <w:szCs w:val="24"/>
        </w:rPr>
        <w:t>. I tredje trimester af graviditeten var værdierne for C</w:t>
      </w:r>
      <w:r>
        <w:rPr>
          <w:sz w:val="24"/>
          <w:szCs w:val="24"/>
          <w:vertAlign w:val="subscript"/>
        </w:rPr>
        <w:t>max</w:t>
      </w:r>
      <w:r>
        <w:rPr>
          <w:sz w:val="24"/>
          <w:szCs w:val="24"/>
        </w:rPr>
        <w:t>, AUC</w:t>
      </w:r>
      <w:r>
        <w:rPr>
          <w:sz w:val="24"/>
          <w:szCs w:val="24"/>
          <w:vertAlign w:val="subscript"/>
        </w:rPr>
        <w:t>12t</w:t>
      </w:r>
      <w:r>
        <w:rPr>
          <w:sz w:val="24"/>
          <w:szCs w:val="24"/>
        </w:rPr>
        <w:t xml:space="preserve"> og C</w:t>
      </w:r>
      <w:r>
        <w:rPr>
          <w:sz w:val="24"/>
          <w:szCs w:val="24"/>
          <w:vertAlign w:val="subscript"/>
        </w:rPr>
        <w:t>min</w:t>
      </w:r>
      <w:r>
        <w:rPr>
          <w:sz w:val="24"/>
          <w:szCs w:val="24"/>
        </w:rPr>
        <w:t xml:space="preserve"> for total-darunavir hhv. 18 % og 16 % lavere og 2 % højere i forhold til </w:t>
      </w:r>
      <w:r>
        <w:rPr>
          <w:i/>
          <w:iCs/>
          <w:sz w:val="24"/>
          <w:szCs w:val="24"/>
        </w:rPr>
        <w:t>post partum</w:t>
      </w:r>
      <w:r>
        <w:rPr>
          <w:sz w:val="24"/>
          <w:szCs w:val="24"/>
        </w:rPr>
        <w:t xml:space="preserve">. </w:t>
      </w:r>
    </w:p>
    <w:p w:rsidR="00B862A8" w:rsidRDefault="00B862A8" w:rsidP="00B862A8">
      <w:pPr>
        <w:tabs>
          <w:tab w:val="left" w:pos="1134"/>
        </w:tabs>
        <w:ind w:left="851"/>
        <w:rPr>
          <w:sz w:val="24"/>
          <w:szCs w:val="24"/>
        </w:rPr>
      </w:pPr>
    </w:p>
    <w:p w:rsidR="00B862A8" w:rsidRDefault="00B862A8" w:rsidP="00B862A8">
      <w:pPr>
        <w:tabs>
          <w:tab w:val="left" w:pos="1134"/>
        </w:tabs>
        <w:ind w:left="851"/>
        <w:rPr>
          <w:sz w:val="24"/>
          <w:szCs w:val="24"/>
        </w:rPr>
      </w:pPr>
      <w:r>
        <w:rPr>
          <w:sz w:val="24"/>
          <w:szCs w:val="24"/>
        </w:rPr>
        <w:t>Hos kvinder, der fik 800/100 mg darunavir/ritonavir en gang daglig i andet trimester af graviditeten, var de gennemsnitlige intraindividuelle værdier for C</w:t>
      </w:r>
      <w:r>
        <w:rPr>
          <w:sz w:val="24"/>
          <w:szCs w:val="24"/>
          <w:vertAlign w:val="subscript"/>
        </w:rPr>
        <w:t>max</w:t>
      </w:r>
      <w:r>
        <w:rPr>
          <w:sz w:val="24"/>
          <w:szCs w:val="24"/>
        </w:rPr>
        <w:t>, AUC</w:t>
      </w:r>
      <w:r>
        <w:rPr>
          <w:sz w:val="24"/>
          <w:szCs w:val="24"/>
          <w:vertAlign w:val="subscript"/>
        </w:rPr>
        <w:t>24t</w:t>
      </w:r>
      <w:r>
        <w:rPr>
          <w:sz w:val="24"/>
          <w:szCs w:val="24"/>
        </w:rPr>
        <w:t xml:space="preserve"> og C</w:t>
      </w:r>
      <w:r>
        <w:rPr>
          <w:sz w:val="24"/>
          <w:szCs w:val="24"/>
          <w:vertAlign w:val="subscript"/>
        </w:rPr>
        <w:t>min</w:t>
      </w:r>
      <w:r>
        <w:rPr>
          <w:sz w:val="24"/>
          <w:szCs w:val="24"/>
        </w:rPr>
        <w:t xml:space="preserve"> for total-darunavir hhv. 33 %, 31 % og 30 % lavere i forhold til </w:t>
      </w:r>
      <w:r>
        <w:rPr>
          <w:i/>
          <w:iCs/>
          <w:sz w:val="24"/>
          <w:szCs w:val="24"/>
        </w:rPr>
        <w:t>post partum</w:t>
      </w:r>
      <w:r>
        <w:rPr>
          <w:sz w:val="24"/>
          <w:szCs w:val="24"/>
        </w:rPr>
        <w:t>. I tredje trimester af graviditeten var værdierne for C</w:t>
      </w:r>
      <w:r>
        <w:rPr>
          <w:sz w:val="24"/>
          <w:szCs w:val="24"/>
          <w:vertAlign w:val="subscript"/>
        </w:rPr>
        <w:t>max</w:t>
      </w:r>
      <w:r>
        <w:rPr>
          <w:sz w:val="24"/>
          <w:szCs w:val="24"/>
        </w:rPr>
        <w:t>, AUC</w:t>
      </w:r>
      <w:r>
        <w:rPr>
          <w:sz w:val="24"/>
          <w:szCs w:val="24"/>
          <w:vertAlign w:val="subscript"/>
        </w:rPr>
        <w:t>24t</w:t>
      </w:r>
      <w:r>
        <w:rPr>
          <w:sz w:val="24"/>
          <w:szCs w:val="24"/>
        </w:rPr>
        <w:t xml:space="preserve"> og C</w:t>
      </w:r>
      <w:r>
        <w:rPr>
          <w:sz w:val="24"/>
          <w:szCs w:val="24"/>
          <w:vertAlign w:val="subscript"/>
        </w:rPr>
        <w:t>min</w:t>
      </w:r>
      <w:r>
        <w:rPr>
          <w:sz w:val="24"/>
          <w:szCs w:val="24"/>
        </w:rPr>
        <w:t xml:space="preserve"> for total-darunavir hhv. 29 %, 32 % og 50 % lavere i forhold til </w:t>
      </w:r>
      <w:r>
        <w:rPr>
          <w:i/>
          <w:iCs/>
          <w:sz w:val="24"/>
          <w:szCs w:val="24"/>
        </w:rPr>
        <w:t>post partum</w:t>
      </w:r>
      <w:r>
        <w:rPr>
          <w:sz w:val="24"/>
          <w:szCs w:val="24"/>
        </w:rPr>
        <w:t>.</w:t>
      </w:r>
    </w:p>
    <w:p w:rsidR="00B91372"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lastRenderedPageBreak/>
        <w:t>5.3</w:t>
      </w:r>
      <w:r w:rsidRPr="00ED0DE7">
        <w:rPr>
          <w:b/>
          <w:sz w:val="24"/>
          <w:szCs w:val="24"/>
        </w:rPr>
        <w:tab/>
      </w:r>
      <w:r w:rsidR="001A550E">
        <w:rPr>
          <w:b/>
          <w:sz w:val="24"/>
          <w:szCs w:val="24"/>
        </w:rPr>
        <w:t>Non-</w:t>
      </w:r>
      <w:r w:rsidRPr="00ED0DE7">
        <w:rPr>
          <w:b/>
          <w:sz w:val="24"/>
          <w:szCs w:val="24"/>
        </w:rPr>
        <w:t>kliniske sikkerhedsdata</w:t>
      </w:r>
    </w:p>
    <w:p w:rsidR="00B91372" w:rsidRPr="00ED0DE7" w:rsidRDefault="00B91372" w:rsidP="00B91372">
      <w:pPr>
        <w:tabs>
          <w:tab w:val="left" w:pos="851"/>
        </w:tabs>
        <w:ind w:left="851"/>
        <w:rPr>
          <w:sz w:val="24"/>
          <w:szCs w:val="24"/>
        </w:rPr>
      </w:pPr>
      <w:r w:rsidRPr="00ED0DE7">
        <w:rPr>
          <w:sz w:val="24"/>
          <w:szCs w:val="24"/>
        </w:rPr>
        <w:t>Der er blevet udført toksikologiske dyrestudier ved eksponeringer op til kliniske eksponeringsniveauer med darunavir administreret alene til mus, rotter og hunde og i kombination med ritonavir til rotter og hunde.</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kombination med ritonavir. Eksponeringsniveauerne var lavere end ved den anbefalede kliniske dosis til 110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hvalpe, der udviste forskrækkelsesrespons på dag 15 af diegivningen og en reduceret overlevelse for hvalpene under diegivningsperioden. Disse virkninger kan være sekundære til hvalpenes eksponering for det aktive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På grund af usikkerheden omkring udviklingshastigheden af den humane blod-hjerne-barriere og leverenzymer bør darunavir plus lavdosis ritonavir ikke bruges til pædiatriske patienter under 3 år.</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 xml:space="preserve">Darunavir er blevet vurderet for karcinogent potentiale ved oral tvangsfodring af mus og rotter i op til 104 uger. Daglige doser på 150, 450 og 1.000 mg/kg blev administreret til </w:t>
      </w:r>
      <w:r w:rsidRPr="00ED0DE7">
        <w:rPr>
          <w:sz w:val="24"/>
          <w:szCs w:val="24"/>
        </w:rPr>
        <w:lastRenderedPageBreak/>
        <w:t xml:space="preserve">mus, og doser på 50, 150 og 500 mg/kg blev administreret til rotter. Dosisrelaterede stigninger i incidensen af hepatocellulære adenomer og karcinomer blev observeret hos både hanner og hunner af begge arter. 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 gange (mus) og 0,7- og 1gang (rotter), sammenlignet med den, der blev observeret hos mennesker ved de anbefalede terapeutiske doser. </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Efter 2 års administration af darunavir ved en eksponering på niveau med eller under den humane eksponering blev der observeret nyreændringer hos mus (nefrose) og rotter (kronisk progressiv nefropati).</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 xml:space="preserve">Darunavir var ikke mutagent eller genotoksisk i et sæt </w:t>
      </w:r>
      <w:r w:rsidRPr="00ED0DE7">
        <w:rPr>
          <w:i/>
          <w:iCs/>
          <w:sz w:val="24"/>
          <w:szCs w:val="24"/>
        </w:rPr>
        <w:t>in vitro</w:t>
      </w:r>
      <w:r w:rsidRPr="00ED0DE7">
        <w:rPr>
          <w:sz w:val="24"/>
          <w:szCs w:val="24"/>
        </w:rPr>
        <w:t xml:space="preserve">- og </w:t>
      </w:r>
      <w:r w:rsidRPr="00ED0DE7">
        <w:rPr>
          <w:i/>
          <w:iCs/>
          <w:sz w:val="24"/>
          <w:szCs w:val="24"/>
        </w:rPr>
        <w:t>in vivo</w:t>
      </w:r>
      <w:r w:rsidRPr="00ED0DE7">
        <w:rPr>
          <w:sz w:val="24"/>
          <w:szCs w:val="24"/>
        </w:rPr>
        <w:t xml:space="preserve">-analyser, herunder bakteriel revers mutation (Ames), kromosomafvigelse i humane lymfocytter og </w:t>
      </w:r>
      <w:r w:rsidRPr="00ED0DE7">
        <w:rPr>
          <w:i/>
          <w:iCs/>
          <w:sz w:val="24"/>
          <w:szCs w:val="24"/>
        </w:rPr>
        <w:t xml:space="preserve">in vivo </w:t>
      </w:r>
      <w:r w:rsidRPr="00ED0DE7">
        <w:rPr>
          <w:sz w:val="24"/>
          <w:szCs w:val="24"/>
        </w:rPr>
        <w:t>mikronukleustest hos mus.</w:t>
      </w:r>
    </w:p>
    <w:p w:rsidR="00B91372" w:rsidRPr="00ED0DE7" w:rsidRDefault="00B91372" w:rsidP="00B91372">
      <w:pPr>
        <w:tabs>
          <w:tab w:val="left" w:pos="851"/>
        </w:tabs>
        <w:rPr>
          <w:sz w:val="24"/>
          <w:szCs w:val="24"/>
        </w:rPr>
      </w:pPr>
    </w:p>
    <w:p w:rsidR="00B91372" w:rsidRPr="00ED0DE7" w:rsidRDefault="00B91372" w:rsidP="00B91372">
      <w:pPr>
        <w:tabs>
          <w:tab w:val="left" w:pos="851"/>
        </w:tabs>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6.</w:t>
      </w:r>
      <w:r w:rsidRPr="00ED0DE7">
        <w:rPr>
          <w:b/>
          <w:sz w:val="24"/>
          <w:szCs w:val="24"/>
        </w:rPr>
        <w:tab/>
        <w:t>FARMACEUTISKE OPLYSNINGER</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6.1</w:t>
      </w:r>
      <w:r w:rsidRPr="00ED0DE7">
        <w:rPr>
          <w:b/>
          <w:sz w:val="24"/>
          <w:szCs w:val="24"/>
        </w:rPr>
        <w:tab/>
        <w:t>Hjælpestoffer</w:t>
      </w:r>
    </w:p>
    <w:p w:rsidR="00B91372" w:rsidRDefault="00B91372" w:rsidP="00B91372">
      <w:pPr>
        <w:tabs>
          <w:tab w:val="left" w:pos="851"/>
        </w:tabs>
        <w:ind w:left="851"/>
        <w:rPr>
          <w:sz w:val="24"/>
          <w:szCs w:val="24"/>
          <w:u w:val="single"/>
        </w:rPr>
      </w:pPr>
    </w:p>
    <w:p w:rsidR="00B91372" w:rsidRPr="00ED0DE7" w:rsidRDefault="00B91372" w:rsidP="00B91372">
      <w:pPr>
        <w:tabs>
          <w:tab w:val="left" w:pos="851"/>
        </w:tabs>
        <w:ind w:left="851"/>
        <w:rPr>
          <w:sz w:val="24"/>
          <w:szCs w:val="24"/>
          <w:u w:val="single"/>
        </w:rPr>
      </w:pPr>
      <w:r w:rsidRPr="00ED0DE7">
        <w:rPr>
          <w:sz w:val="24"/>
          <w:szCs w:val="24"/>
          <w:u w:val="single"/>
        </w:rPr>
        <w:t>Tabletkerne</w:t>
      </w:r>
    </w:p>
    <w:p w:rsidR="00B91372" w:rsidRPr="00ED0DE7" w:rsidRDefault="00B91372" w:rsidP="00B91372">
      <w:pPr>
        <w:tabs>
          <w:tab w:val="left" w:pos="851"/>
        </w:tabs>
        <w:ind w:left="851"/>
        <w:rPr>
          <w:sz w:val="24"/>
          <w:szCs w:val="24"/>
        </w:rPr>
      </w:pPr>
      <w:r w:rsidRPr="00ED0DE7">
        <w:rPr>
          <w:sz w:val="24"/>
          <w:szCs w:val="24"/>
        </w:rPr>
        <w:t>Mikrokrystallinsk cellulose (E460)</w:t>
      </w:r>
    </w:p>
    <w:p w:rsidR="00B91372" w:rsidRPr="00ED0DE7" w:rsidRDefault="00B91372" w:rsidP="00B91372">
      <w:pPr>
        <w:tabs>
          <w:tab w:val="left" w:pos="851"/>
        </w:tabs>
        <w:ind w:left="851"/>
        <w:rPr>
          <w:sz w:val="24"/>
          <w:szCs w:val="24"/>
          <w:lang w:val="en-US"/>
        </w:rPr>
      </w:pPr>
      <w:r w:rsidRPr="00ED0DE7">
        <w:rPr>
          <w:sz w:val="24"/>
          <w:szCs w:val="24"/>
          <w:lang w:val="en-US"/>
        </w:rPr>
        <w:t>Crospovidon (type A) (E1202)</w:t>
      </w:r>
    </w:p>
    <w:p w:rsidR="00B91372" w:rsidRPr="00ED0DE7" w:rsidRDefault="00B91372" w:rsidP="00B91372">
      <w:pPr>
        <w:tabs>
          <w:tab w:val="left" w:pos="851"/>
        </w:tabs>
        <w:ind w:left="851"/>
        <w:rPr>
          <w:sz w:val="24"/>
          <w:szCs w:val="24"/>
          <w:lang w:val="en-US"/>
        </w:rPr>
      </w:pPr>
      <w:r w:rsidRPr="00ED0DE7">
        <w:rPr>
          <w:sz w:val="24"/>
          <w:szCs w:val="24"/>
          <w:lang w:val="en-US"/>
        </w:rPr>
        <w:t>Kolloid vandfrit silica (E551)</w:t>
      </w:r>
    </w:p>
    <w:p w:rsidR="00B91372" w:rsidRPr="00815FE0" w:rsidRDefault="00B91372" w:rsidP="00B91372">
      <w:pPr>
        <w:tabs>
          <w:tab w:val="left" w:pos="851"/>
        </w:tabs>
        <w:ind w:left="851"/>
        <w:rPr>
          <w:sz w:val="24"/>
          <w:szCs w:val="24"/>
        </w:rPr>
      </w:pPr>
      <w:r w:rsidRPr="00815FE0">
        <w:rPr>
          <w:sz w:val="24"/>
          <w:szCs w:val="24"/>
        </w:rPr>
        <w:t>Magnesiumstearat (E470b)</w:t>
      </w:r>
    </w:p>
    <w:p w:rsidR="00B91372" w:rsidRPr="00815FE0" w:rsidRDefault="00B91372" w:rsidP="00B91372">
      <w:pPr>
        <w:tabs>
          <w:tab w:val="left" w:pos="851"/>
        </w:tabs>
        <w:ind w:left="851"/>
        <w:rPr>
          <w:sz w:val="24"/>
          <w:szCs w:val="24"/>
        </w:rPr>
      </w:pPr>
    </w:p>
    <w:p w:rsidR="00B91372" w:rsidRPr="00815FE0" w:rsidRDefault="00B91372" w:rsidP="00B91372">
      <w:pPr>
        <w:tabs>
          <w:tab w:val="left" w:pos="851"/>
        </w:tabs>
        <w:ind w:left="851"/>
        <w:rPr>
          <w:sz w:val="24"/>
          <w:szCs w:val="24"/>
          <w:u w:val="single"/>
        </w:rPr>
      </w:pPr>
      <w:r w:rsidRPr="00815FE0">
        <w:rPr>
          <w:sz w:val="24"/>
          <w:szCs w:val="24"/>
          <w:u w:val="single"/>
        </w:rPr>
        <w:t>Filmovertræk</w:t>
      </w:r>
    </w:p>
    <w:p w:rsidR="00B91372" w:rsidRPr="00815FE0" w:rsidRDefault="00B91372" w:rsidP="00B91372">
      <w:pPr>
        <w:tabs>
          <w:tab w:val="left" w:pos="851"/>
        </w:tabs>
        <w:ind w:left="851"/>
        <w:rPr>
          <w:sz w:val="24"/>
          <w:szCs w:val="24"/>
        </w:rPr>
      </w:pPr>
      <w:r w:rsidRPr="00815FE0">
        <w:rPr>
          <w:sz w:val="24"/>
          <w:szCs w:val="24"/>
        </w:rPr>
        <w:t>Polyvinylalkohol (E1203)</w:t>
      </w:r>
    </w:p>
    <w:p w:rsidR="00B91372" w:rsidRPr="00ED0DE7" w:rsidRDefault="00B91372" w:rsidP="00B91372">
      <w:pPr>
        <w:tabs>
          <w:tab w:val="left" w:pos="851"/>
        </w:tabs>
        <w:ind w:left="851"/>
        <w:rPr>
          <w:sz w:val="24"/>
          <w:szCs w:val="24"/>
          <w:lang w:val="en-US"/>
        </w:rPr>
      </w:pPr>
      <w:r w:rsidRPr="00ED0DE7">
        <w:rPr>
          <w:sz w:val="24"/>
          <w:szCs w:val="24"/>
          <w:lang w:val="en-US"/>
        </w:rPr>
        <w:t>Titandioxid (E171)</w:t>
      </w:r>
    </w:p>
    <w:p w:rsidR="00B91372" w:rsidRPr="00ED0DE7" w:rsidRDefault="00B91372" w:rsidP="00B91372">
      <w:pPr>
        <w:tabs>
          <w:tab w:val="left" w:pos="851"/>
        </w:tabs>
        <w:ind w:left="851"/>
        <w:rPr>
          <w:sz w:val="24"/>
          <w:szCs w:val="24"/>
          <w:lang w:val="en-US"/>
        </w:rPr>
      </w:pPr>
      <w:r w:rsidRPr="00ED0DE7">
        <w:rPr>
          <w:sz w:val="24"/>
          <w:szCs w:val="24"/>
          <w:lang w:val="en-US"/>
        </w:rPr>
        <w:t>Magrogol (3350) (E1521)</w:t>
      </w:r>
    </w:p>
    <w:p w:rsidR="00B91372" w:rsidRPr="00ED0DE7" w:rsidRDefault="00B91372" w:rsidP="00B91372">
      <w:pPr>
        <w:tabs>
          <w:tab w:val="left" w:pos="851"/>
        </w:tabs>
        <w:ind w:left="851"/>
        <w:rPr>
          <w:sz w:val="24"/>
          <w:szCs w:val="24"/>
          <w:lang w:val="en-US"/>
        </w:rPr>
      </w:pPr>
      <w:r w:rsidRPr="00ED0DE7">
        <w:rPr>
          <w:sz w:val="24"/>
          <w:szCs w:val="24"/>
          <w:lang w:val="en-US"/>
        </w:rPr>
        <w:t>Talcum (E553b)</w:t>
      </w:r>
    </w:p>
    <w:p w:rsidR="00B91372" w:rsidRPr="00ED0DE7" w:rsidRDefault="00B91372" w:rsidP="00B91372">
      <w:pPr>
        <w:tabs>
          <w:tab w:val="left" w:pos="851"/>
        </w:tabs>
        <w:ind w:left="851"/>
        <w:rPr>
          <w:sz w:val="24"/>
          <w:szCs w:val="24"/>
          <w:lang w:val="en-US"/>
        </w:rPr>
      </w:pPr>
      <w:r w:rsidRPr="00ED0DE7">
        <w:rPr>
          <w:sz w:val="24"/>
          <w:szCs w:val="24"/>
          <w:lang w:val="en-US"/>
        </w:rPr>
        <w:t>Sunset yellow FCF (E110)</w:t>
      </w:r>
    </w:p>
    <w:p w:rsidR="00B91372" w:rsidRPr="00ED0DE7" w:rsidRDefault="00B91372" w:rsidP="00B91372">
      <w:pPr>
        <w:tabs>
          <w:tab w:val="left" w:pos="851"/>
        </w:tabs>
        <w:ind w:left="851"/>
        <w:rPr>
          <w:sz w:val="24"/>
          <w:szCs w:val="24"/>
          <w:lang w:val="en-US"/>
        </w:rPr>
      </w:pPr>
    </w:p>
    <w:p w:rsidR="00B91372" w:rsidRPr="00ED0DE7" w:rsidRDefault="00B91372" w:rsidP="00B91372">
      <w:pPr>
        <w:tabs>
          <w:tab w:val="left" w:pos="851"/>
        </w:tabs>
        <w:ind w:left="851" w:hanging="851"/>
        <w:rPr>
          <w:b/>
          <w:sz w:val="24"/>
          <w:szCs w:val="24"/>
        </w:rPr>
      </w:pPr>
      <w:r w:rsidRPr="00ED0DE7">
        <w:rPr>
          <w:b/>
          <w:sz w:val="24"/>
          <w:szCs w:val="24"/>
        </w:rPr>
        <w:t>6.2</w:t>
      </w:r>
      <w:r w:rsidRPr="00ED0DE7">
        <w:rPr>
          <w:b/>
          <w:sz w:val="24"/>
          <w:szCs w:val="24"/>
        </w:rPr>
        <w:tab/>
        <w:t>Uforligeligheder</w:t>
      </w:r>
    </w:p>
    <w:p w:rsidR="00B91372" w:rsidRPr="00ED0DE7" w:rsidRDefault="00B91372" w:rsidP="00B91372">
      <w:pPr>
        <w:tabs>
          <w:tab w:val="left" w:pos="851"/>
        </w:tabs>
        <w:ind w:left="851"/>
        <w:rPr>
          <w:sz w:val="24"/>
          <w:szCs w:val="24"/>
        </w:rPr>
      </w:pPr>
      <w:r w:rsidRPr="00ED0DE7">
        <w:rPr>
          <w:sz w:val="24"/>
          <w:szCs w:val="24"/>
        </w:rPr>
        <w:t>Ikke relevant.</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6.3</w:t>
      </w:r>
      <w:r w:rsidRPr="00ED0DE7">
        <w:rPr>
          <w:b/>
          <w:sz w:val="24"/>
          <w:szCs w:val="24"/>
        </w:rPr>
        <w:tab/>
        <w:t>Opbevaringstid</w:t>
      </w:r>
    </w:p>
    <w:p w:rsidR="00B91372" w:rsidRPr="00ED0DE7" w:rsidRDefault="00B91372" w:rsidP="00B91372">
      <w:pPr>
        <w:tabs>
          <w:tab w:val="left" w:pos="851"/>
        </w:tabs>
        <w:ind w:left="851"/>
        <w:rPr>
          <w:sz w:val="24"/>
          <w:szCs w:val="24"/>
        </w:rPr>
      </w:pPr>
      <w:r>
        <w:rPr>
          <w:sz w:val="24"/>
          <w:szCs w:val="24"/>
        </w:rPr>
        <w:t>3 år.</w:t>
      </w:r>
    </w:p>
    <w:p w:rsidR="00B91372" w:rsidRPr="00ED0DE7" w:rsidRDefault="00B91372" w:rsidP="00B91372">
      <w:pPr>
        <w:tabs>
          <w:tab w:val="left" w:pos="851"/>
        </w:tabs>
        <w:ind w:left="851"/>
        <w:rPr>
          <w:sz w:val="24"/>
          <w:szCs w:val="24"/>
        </w:rPr>
      </w:pPr>
    </w:p>
    <w:p w:rsidR="00B91372" w:rsidRPr="00ED0DE7" w:rsidRDefault="00B91372" w:rsidP="00B91372">
      <w:pPr>
        <w:keepNext/>
        <w:tabs>
          <w:tab w:val="left" w:pos="851"/>
        </w:tabs>
        <w:ind w:left="851" w:hanging="851"/>
        <w:rPr>
          <w:b/>
          <w:sz w:val="24"/>
          <w:szCs w:val="24"/>
        </w:rPr>
      </w:pPr>
      <w:r w:rsidRPr="00ED0DE7">
        <w:rPr>
          <w:b/>
          <w:sz w:val="24"/>
          <w:szCs w:val="24"/>
        </w:rPr>
        <w:t>6.4</w:t>
      </w:r>
      <w:r w:rsidRPr="00ED0DE7">
        <w:rPr>
          <w:b/>
          <w:sz w:val="24"/>
          <w:szCs w:val="24"/>
        </w:rPr>
        <w:tab/>
        <w:t>Særlige opbevaringsforhold</w:t>
      </w:r>
    </w:p>
    <w:p w:rsidR="00B91372" w:rsidRPr="00ED0DE7" w:rsidRDefault="00B91372" w:rsidP="00B91372">
      <w:pPr>
        <w:tabs>
          <w:tab w:val="left" w:pos="851"/>
        </w:tabs>
        <w:ind w:left="851"/>
        <w:rPr>
          <w:sz w:val="24"/>
          <w:szCs w:val="24"/>
        </w:rPr>
      </w:pPr>
      <w:r>
        <w:rPr>
          <w:sz w:val="24"/>
          <w:szCs w:val="24"/>
        </w:rPr>
        <w:t>HDPE-beholder</w:t>
      </w:r>
      <w:r w:rsidRPr="00ED0DE7">
        <w:rPr>
          <w:sz w:val="24"/>
          <w:szCs w:val="24"/>
        </w:rPr>
        <w:t>: Dette lægemiddel kræver ingen særlige forholdsregler vedrørende opbevaringen.</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Blisterpakning:</w:t>
      </w:r>
    </w:p>
    <w:p w:rsidR="00B91372" w:rsidRPr="00ED0DE7" w:rsidRDefault="00B91372" w:rsidP="00B91372">
      <w:pPr>
        <w:tabs>
          <w:tab w:val="left" w:pos="851"/>
        </w:tabs>
        <w:ind w:left="851"/>
        <w:rPr>
          <w:sz w:val="24"/>
          <w:szCs w:val="24"/>
        </w:rPr>
      </w:pPr>
      <w:r w:rsidRPr="00ED0DE7">
        <w:rPr>
          <w:sz w:val="24"/>
          <w:szCs w:val="24"/>
        </w:rPr>
        <w:lastRenderedPageBreak/>
        <w:t>Må ikke opbevares over 3</w:t>
      </w:r>
      <w:r>
        <w:rPr>
          <w:sz w:val="24"/>
          <w:szCs w:val="24"/>
        </w:rPr>
        <w:t>0°</w:t>
      </w:r>
      <w:r w:rsidRPr="00ED0DE7">
        <w:rPr>
          <w:sz w:val="24"/>
          <w:szCs w:val="24"/>
        </w:rPr>
        <w:t>C.</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6.5</w:t>
      </w:r>
      <w:r w:rsidRPr="00ED0DE7">
        <w:rPr>
          <w:b/>
          <w:sz w:val="24"/>
          <w:szCs w:val="24"/>
        </w:rPr>
        <w:tab/>
        <w:t>Emballagetype og pakningsstørrelser</w:t>
      </w:r>
    </w:p>
    <w:p w:rsidR="00B91372" w:rsidRDefault="00B91372" w:rsidP="00B91372">
      <w:pPr>
        <w:tabs>
          <w:tab w:val="left" w:pos="851"/>
        </w:tabs>
        <w:ind w:left="851"/>
        <w:rPr>
          <w:sz w:val="24"/>
          <w:szCs w:val="24"/>
          <w:u w:val="single"/>
        </w:rPr>
      </w:pPr>
    </w:p>
    <w:p w:rsidR="00B91372" w:rsidRPr="00ED0DE7" w:rsidRDefault="00B91372" w:rsidP="00B91372">
      <w:pPr>
        <w:tabs>
          <w:tab w:val="left" w:pos="851"/>
        </w:tabs>
        <w:ind w:left="851"/>
        <w:rPr>
          <w:sz w:val="24"/>
          <w:szCs w:val="24"/>
          <w:u w:val="single"/>
        </w:rPr>
      </w:pPr>
      <w:r w:rsidRPr="00ED0DE7">
        <w:rPr>
          <w:sz w:val="24"/>
          <w:szCs w:val="24"/>
          <w:u w:val="single"/>
        </w:rPr>
        <w:t xml:space="preserve">Darunavir </w:t>
      </w:r>
      <w:r>
        <w:rPr>
          <w:sz w:val="24"/>
          <w:szCs w:val="24"/>
          <w:u w:val="single"/>
        </w:rPr>
        <w:t>"STADA"</w:t>
      </w:r>
      <w:r w:rsidRPr="00ED0DE7">
        <w:rPr>
          <w:sz w:val="24"/>
          <w:szCs w:val="24"/>
          <w:u w:val="single"/>
        </w:rPr>
        <w:t xml:space="preserve"> 600 mg:</w:t>
      </w:r>
    </w:p>
    <w:p w:rsidR="00B91372" w:rsidRPr="00ED0DE7" w:rsidRDefault="00B91372" w:rsidP="00B91372">
      <w:pPr>
        <w:tabs>
          <w:tab w:val="left" w:pos="851"/>
        </w:tabs>
        <w:ind w:left="851"/>
        <w:rPr>
          <w:sz w:val="24"/>
          <w:szCs w:val="24"/>
        </w:rPr>
      </w:pPr>
      <w:r w:rsidRPr="00ED0DE7">
        <w:rPr>
          <w:sz w:val="24"/>
          <w:szCs w:val="24"/>
        </w:rPr>
        <w:t>Hvid HDPE</w:t>
      </w:r>
      <w:r>
        <w:rPr>
          <w:sz w:val="24"/>
          <w:szCs w:val="24"/>
        </w:rPr>
        <w:t>-</w:t>
      </w:r>
      <w:r w:rsidRPr="00ED0DE7">
        <w:rPr>
          <w:sz w:val="24"/>
          <w:szCs w:val="24"/>
        </w:rPr>
        <w:t xml:space="preserve">beholder med 60 tabletter, lukket med </w:t>
      </w:r>
      <w:proofErr w:type="gramStart"/>
      <w:r w:rsidRPr="00ED0DE7">
        <w:rPr>
          <w:sz w:val="24"/>
          <w:szCs w:val="24"/>
        </w:rPr>
        <w:t>hvidt polypropylen</w:t>
      </w:r>
      <w:proofErr w:type="gramEnd"/>
      <w:r w:rsidRPr="00ED0DE7">
        <w:rPr>
          <w:sz w:val="24"/>
          <w:szCs w:val="24"/>
        </w:rPr>
        <w:t xml:space="preserve"> (PP), børnesikret låg.</w:t>
      </w:r>
    </w:p>
    <w:p w:rsidR="00B91372" w:rsidRPr="00ED0DE7" w:rsidRDefault="00B91372" w:rsidP="00B91372">
      <w:pPr>
        <w:tabs>
          <w:tab w:val="left" w:pos="851"/>
        </w:tabs>
        <w:ind w:left="851"/>
        <w:rPr>
          <w:sz w:val="24"/>
          <w:szCs w:val="24"/>
          <w:u w:val="single"/>
        </w:rPr>
      </w:pPr>
    </w:p>
    <w:p w:rsidR="00B91372" w:rsidRDefault="00B91372" w:rsidP="00B91372">
      <w:pPr>
        <w:tabs>
          <w:tab w:val="left" w:pos="851"/>
        </w:tabs>
        <w:ind w:left="851"/>
        <w:rPr>
          <w:sz w:val="24"/>
          <w:szCs w:val="24"/>
        </w:rPr>
      </w:pPr>
      <w:r w:rsidRPr="00ED0DE7">
        <w:rPr>
          <w:sz w:val="24"/>
          <w:szCs w:val="24"/>
        </w:rPr>
        <w:t>Aluminium-PVC/PE/PVDC perforeret blisterpakning med 30, 35, 70</w:t>
      </w:r>
      <w:r>
        <w:rPr>
          <w:sz w:val="24"/>
          <w:szCs w:val="24"/>
        </w:rPr>
        <w:t xml:space="preserve">, </w:t>
      </w:r>
      <w:r w:rsidRPr="00ED0DE7">
        <w:rPr>
          <w:sz w:val="24"/>
          <w:szCs w:val="24"/>
        </w:rPr>
        <w:t>90 tabletter</w:t>
      </w:r>
      <w:r>
        <w:rPr>
          <w:sz w:val="24"/>
          <w:szCs w:val="24"/>
        </w:rPr>
        <w:t xml:space="preserve"> eller </w:t>
      </w:r>
      <w:r w:rsidRPr="0066243E">
        <w:rPr>
          <w:sz w:val="24"/>
          <w:szCs w:val="24"/>
        </w:rPr>
        <w:t>30x1, 35x1, 70x1, 90x1 tablet</w:t>
      </w:r>
      <w:r>
        <w:rPr>
          <w:sz w:val="24"/>
          <w:szCs w:val="24"/>
        </w:rPr>
        <w:t>ter</w:t>
      </w:r>
      <w:r w:rsidRPr="0066243E">
        <w:rPr>
          <w:sz w:val="24"/>
          <w:szCs w:val="24"/>
        </w:rPr>
        <w:t xml:space="preserve"> (unit-dose).</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sz w:val="24"/>
          <w:szCs w:val="24"/>
        </w:rPr>
      </w:pPr>
      <w:r w:rsidRPr="00ED0DE7">
        <w:rPr>
          <w:sz w:val="24"/>
          <w:szCs w:val="24"/>
        </w:rPr>
        <w:t>Ikke alle pakningsstørrelser er nødvendigvis markedsført.</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6.6</w:t>
      </w:r>
      <w:r w:rsidRPr="00ED0DE7">
        <w:rPr>
          <w:b/>
          <w:sz w:val="24"/>
          <w:szCs w:val="24"/>
        </w:rPr>
        <w:tab/>
        <w:t xml:space="preserve">Regler for </w:t>
      </w:r>
      <w:r w:rsidR="001A550E">
        <w:rPr>
          <w:b/>
          <w:sz w:val="24"/>
          <w:szCs w:val="24"/>
        </w:rPr>
        <w:t>bortskaffelse</w:t>
      </w:r>
      <w:r w:rsidRPr="00ED0DE7">
        <w:rPr>
          <w:b/>
          <w:sz w:val="24"/>
          <w:szCs w:val="24"/>
        </w:rPr>
        <w:t xml:space="preserve"> og anden håndtering</w:t>
      </w:r>
    </w:p>
    <w:p w:rsidR="00B91372" w:rsidRPr="00ED0DE7" w:rsidRDefault="00B91372" w:rsidP="00B91372">
      <w:pPr>
        <w:tabs>
          <w:tab w:val="left" w:pos="851"/>
        </w:tabs>
        <w:ind w:left="851"/>
        <w:rPr>
          <w:sz w:val="24"/>
          <w:szCs w:val="24"/>
        </w:rPr>
      </w:pPr>
      <w:r w:rsidRPr="00ED0DE7">
        <w:rPr>
          <w:sz w:val="24"/>
          <w:szCs w:val="24"/>
        </w:rPr>
        <w:t>Ikke anvendt lægemiddel samt affald heraf skal bortskaffes i henhold til lokale retningslinjer.</w:t>
      </w:r>
    </w:p>
    <w:p w:rsidR="00B91372" w:rsidRPr="00ED0DE7" w:rsidRDefault="00B91372" w:rsidP="00B91372">
      <w:pPr>
        <w:tabs>
          <w:tab w:val="left" w:pos="851"/>
        </w:tabs>
        <w:ind w:left="851"/>
        <w:jc w:val="both"/>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7.</w:t>
      </w:r>
      <w:r w:rsidRPr="00ED0DE7">
        <w:rPr>
          <w:b/>
          <w:sz w:val="24"/>
          <w:szCs w:val="24"/>
        </w:rPr>
        <w:tab/>
        <w:t>INDEHAVER AF MARKEDSFØRINGSTILLADELSEN</w:t>
      </w:r>
    </w:p>
    <w:p w:rsidR="00B91372" w:rsidRPr="00ED0DE7" w:rsidRDefault="00B91372" w:rsidP="00B91372">
      <w:pPr>
        <w:tabs>
          <w:tab w:val="left" w:pos="851"/>
        </w:tabs>
        <w:ind w:left="851"/>
        <w:rPr>
          <w:sz w:val="24"/>
          <w:szCs w:val="24"/>
        </w:rPr>
      </w:pPr>
      <w:r>
        <w:rPr>
          <w:sz w:val="24"/>
          <w:szCs w:val="24"/>
        </w:rPr>
        <w:t>STADA</w:t>
      </w:r>
      <w:r w:rsidRPr="00ED0DE7">
        <w:rPr>
          <w:sz w:val="24"/>
          <w:szCs w:val="24"/>
        </w:rPr>
        <w:t xml:space="preserve"> Arzneimittel AG</w:t>
      </w:r>
    </w:p>
    <w:p w:rsidR="00B91372" w:rsidRPr="00ED0DE7" w:rsidRDefault="00B91372" w:rsidP="00B91372">
      <w:pPr>
        <w:tabs>
          <w:tab w:val="left" w:pos="851"/>
        </w:tabs>
        <w:ind w:left="851"/>
        <w:rPr>
          <w:sz w:val="24"/>
          <w:szCs w:val="24"/>
        </w:rPr>
      </w:pPr>
      <w:r>
        <w:rPr>
          <w:sz w:val="24"/>
          <w:szCs w:val="24"/>
        </w:rPr>
        <w:t>S</w:t>
      </w:r>
      <w:r w:rsidR="001A550E">
        <w:rPr>
          <w:sz w:val="24"/>
          <w:szCs w:val="24"/>
        </w:rPr>
        <w:t>tada</w:t>
      </w:r>
      <w:r w:rsidRPr="00ED0DE7">
        <w:rPr>
          <w:sz w:val="24"/>
          <w:szCs w:val="24"/>
        </w:rPr>
        <w:t>strasse 2-18</w:t>
      </w:r>
    </w:p>
    <w:p w:rsidR="00B91372" w:rsidRPr="00ED0DE7" w:rsidRDefault="00B91372" w:rsidP="00B91372">
      <w:pPr>
        <w:tabs>
          <w:tab w:val="left" w:pos="851"/>
        </w:tabs>
        <w:ind w:left="851"/>
        <w:rPr>
          <w:sz w:val="24"/>
          <w:szCs w:val="24"/>
        </w:rPr>
      </w:pPr>
      <w:r w:rsidRPr="00ED0DE7">
        <w:rPr>
          <w:sz w:val="24"/>
          <w:szCs w:val="24"/>
        </w:rPr>
        <w:t>61118 Bad Vilbel</w:t>
      </w:r>
    </w:p>
    <w:p w:rsidR="00B91372" w:rsidRPr="00ED0DE7" w:rsidRDefault="00B91372" w:rsidP="00B91372">
      <w:pPr>
        <w:tabs>
          <w:tab w:val="left" w:pos="851"/>
        </w:tabs>
        <w:ind w:left="851"/>
        <w:rPr>
          <w:sz w:val="24"/>
          <w:szCs w:val="24"/>
        </w:rPr>
      </w:pPr>
      <w:r w:rsidRPr="00ED0DE7">
        <w:rPr>
          <w:sz w:val="24"/>
          <w:szCs w:val="24"/>
        </w:rPr>
        <w:t>Tyskland</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rPr>
          <w:b/>
          <w:sz w:val="24"/>
          <w:szCs w:val="24"/>
        </w:rPr>
      </w:pPr>
      <w:r w:rsidRPr="00ED0DE7">
        <w:rPr>
          <w:b/>
          <w:sz w:val="24"/>
          <w:szCs w:val="24"/>
        </w:rPr>
        <w:t>Repræsentant</w:t>
      </w:r>
    </w:p>
    <w:p w:rsidR="00B91372" w:rsidRPr="00ED0DE7" w:rsidRDefault="00B91372" w:rsidP="00B91372">
      <w:pPr>
        <w:tabs>
          <w:tab w:val="left" w:pos="851"/>
        </w:tabs>
        <w:ind w:left="851"/>
        <w:rPr>
          <w:sz w:val="24"/>
          <w:szCs w:val="24"/>
        </w:rPr>
      </w:pPr>
      <w:r>
        <w:rPr>
          <w:sz w:val="24"/>
          <w:szCs w:val="24"/>
        </w:rPr>
        <w:t>STADA</w:t>
      </w:r>
      <w:r w:rsidRPr="00ED0DE7">
        <w:rPr>
          <w:sz w:val="24"/>
          <w:szCs w:val="24"/>
        </w:rPr>
        <w:t xml:space="preserve"> Nordic ApS</w:t>
      </w:r>
    </w:p>
    <w:p w:rsidR="00B91372" w:rsidRPr="00ED0DE7" w:rsidRDefault="00B91372" w:rsidP="00B91372">
      <w:pPr>
        <w:tabs>
          <w:tab w:val="left" w:pos="851"/>
        </w:tabs>
        <w:ind w:left="851"/>
        <w:rPr>
          <w:sz w:val="24"/>
          <w:szCs w:val="24"/>
        </w:rPr>
      </w:pPr>
      <w:r w:rsidRPr="00ED0DE7">
        <w:rPr>
          <w:sz w:val="24"/>
          <w:szCs w:val="24"/>
        </w:rPr>
        <w:t>Marielundvej 46A</w:t>
      </w:r>
    </w:p>
    <w:p w:rsidR="00B91372" w:rsidRPr="00ED0DE7" w:rsidRDefault="00B91372" w:rsidP="00B91372">
      <w:pPr>
        <w:tabs>
          <w:tab w:val="left" w:pos="851"/>
        </w:tabs>
        <w:ind w:left="851"/>
        <w:rPr>
          <w:sz w:val="24"/>
          <w:szCs w:val="24"/>
        </w:rPr>
      </w:pPr>
      <w:r w:rsidRPr="00ED0DE7">
        <w:rPr>
          <w:sz w:val="24"/>
          <w:szCs w:val="24"/>
        </w:rPr>
        <w:t>2730 Herlev</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8.</w:t>
      </w:r>
      <w:r w:rsidRPr="00ED0DE7">
        <w:rPr>
          <w:b/>
          <w:sz w:val="24"/>
          <w:szCs w:val="24"/>
        </w:rPr>
        <w:tab/>
        <w:t>MARKEDSFØRINGSTILLADELSESNUMMER (</w:t>
      </w:r>
      <w:r w:rsidR="001A550E">
        <w:rPr>
          <w:b/>
          <w:sz w:val="24"/>
          <w:szCs w:val="24"/>
        </w:rPr>
        <w:t>-</w:t>
      </w:r>
      <w:r w:rsidRPr="00ED0DE7">
        <w:rPr>
          <w:b/>
          <w:sz w:val="24"/>
          <w:szCs w:val="24"/>
        </w:rPr>
        <w:t>NUMRE)</w:t>
      </w:r>
    </w:p>
    <w:p w:rsidR="00B91372" w:rsidRPr="00ED0DE7" w:rsidRDefault="00B91372" w:rsidP="00B91372">
      <w:pPr>
        <w:tabs>
          <w:tab w:val="left" w:pos="851"/>
        </w:tabs>
        <w:ind w:left="851"/>
        <w:rPr>
          <w:sz w:val="24"/>
          <w:szCs w:val="24"/>
        </w:rPr>
      </w:pPr>
      <w:r w:rsidRPr="00ED0DE7">
        <w:rPr>
          <w:sz w:val="24"/>
          <w:szCs w:val="24"/>
        </w:rPr>
        <w:t>56894</w:t>
      </w:r>
    </w:p>
    <w:p w:rsidR="00B91372" w:rsidRPr="00ED0DE7" w:rsidRDefault="00B91372" w:rsidP="00B91372">
      <w:pPr>
        <w:tabs>
          <w:tab w:val="left" w:pos="851"/>
        </w:tabs>
        <w:ind w:left="851"/>
        <w:jc w:val="both"/>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9.</w:t>
      </w:r>
      <w:r w:rsidRPr="00ED0DE7">
        <w:rPr>
          <w:b/>
          <w:sz w:val="24"/>
          <w:szCs w:val="24"/>
        </w:rPr>
        <w:tab/>
        <w:t>DATO FOR FØRSTE MARKEDSFØRINGSTILLADELSE</w:t>
      </w:r>
    </w:p>
    <w:p w:rsidR="00B91372" w:rsidRPr="00ED0DE7" w:rsidRDefault="00B91372" w:rsidP="00B91372">
      <w:pPr>
        <w:tabs>
          <w:tab w:val="left" w:pos="851"/>
        </w:tabs>
        <w:ind w:left="851"/>
        <w:rPr>
          <w:sz w:val="24"/>
          <w:szCs w:val="24"/>
        </w:rPr>
      </w:pPr>
      <w:r>
        <w:rPr>
          <w:sz w:val="24"/>
          <w:szCs w:val="24"/>
        </w:rPr>
        <w:t>24. august 2017</w:t>
      </w:r>
    </w:p>
    <w:p w:rsidR="00B91372" w:rsidRPr="00ED0DE7" w:rsidRDefault="00B91372" w:rsidP="00B91372">
      <w:pPr>
        <w:tabs>
          <w:tab w:val="left" w:pos="851"/>
        </w:tabs>
        <w:ind w:left="851"/>
        <w:rPr>
          <w:sz w:val="24"/>
          <w:szCs w:val="24"/>
        </w:rPr>
      </w:pPr>
    </w:p>
    <w:p w:rsidR="00B91372" w:rsidRPr="00ED0DE7" w:rsidRDefault="00B91372" w:rsidP="00B91372">
      <w:pPr>
        <w:tabs>
          <w:tab w:val="left" w:pos="851"/>
        </w:tabs>
        <w:ind w:left="851" w:hanging="851"/>
        <w:rPr>
          <w:b/>
          <w:sz w:val="24"/>
          <w:szCs w:val="24"/>
        </w:rPr>
      </w:pPr>
      <w:r w:rsidRPr="00ED0DE7">
        <w:rPr>
          <w:b/>
          <w:sz w:val="24"/>
          <w:szCs w:val="24"/>
        </w:rPr>
        <w:t>10.</w:t>
      </w:r>
      <w:r w:rsidRPr="00ED0DE7">
        <w:rPr>
          <w:b/>
          <w:sz w:val="24"/>
          <w:szCs w:val="24"/>
        </w:rPr>
        <w:tab/>
        <w:t>DATO FOR ÆNDRING AF TEKSTEN</w:t>
      </w:r>
    </w:p>
    <w:p w:rsidR="00B91372" w:rsidRPr="0088003E" w:rsidRDefault="00B762BC" w:rsidP="00625309">
      <w:pPr>
        <w:ind w:firstLine="851"/>
      </w:pPr>
      <w:r>
        <w:rPr>
          <w:sz w:val="24"/>
          <w:szCs w:val="24"/>
        </w:rPr>
        <w:t>1</w:t>
      </w:r>
      <w:r w:rsidR="00815FE0">
        <w:rPr>
          <w:sz w:val="24"/>
          <w:szCs w:val="24"/>
        </w:rPr>
        <w:t>6</w:t>
      </w:r>
      <w:bookmarkStart w:id="0" w:name="_GoBack"/>
      <w:bookmarkEnd w:id="0"/>
      <w:r w:rsidR="00625309" w:rsidRPr="00625309">
        <w:rPr>
          <w:sz w:val="24"/>
          <w:szCs w:val="24"/>
        </w:rPr>
        <w:t xml:space="preserve">. </w:t>
      </w:r>
      <w:r>
        <w:rPr>
          <w:sz w:val="24"/>
          <w:szCs w:val="24"/>
        </w:rPr>
        <w:t>juli</w:t>
      </w:r>
      <w:r w:rsidR="00625309" w:rsidRPr="00625309">
        <w:rPr>
          <w:sz w:val="24"/>
          <w:szCs w:val="24"/>
        </w:rPr>
        <w:t xml:space="preserve"> 202</w:t>
      </w:r>
      <w:r>
        <w:rPr>
          <w:sz w:val="24"/>
          <w:szCs w:val="24"/>
        </w:rPr>
        <w:t>4</w:t>
      </w:r>
    </w:p>
    <w:p w:rsidR="00B91372" w:rsidRPr="002657DF" w:rsidRDefault="00B91372" w:rsidP="00B91372"/>
    <w:p w:rsidR="009260DE" w:rsidRPr="00B91372" w:rsidRDefault="009260DE" w:rsidP="00B91372"/>
    <w:sectPr w:rsidR="009260DE" w:rsidRPr="00B91372"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E28" w:rsidRDefault="00455E28">
      <w:r>
        <w:separator/>
      </w:r>
    </w:p>
  </w:endnote>
  <w:endnote w:type="continuationSeparator" w:id="0">
    <w:p w:rsidR="00455E28" w:rsidRDefault="00455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JTEHUM+TimesNewRoman">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swiss"/>
    <w:notTrueType/>
    <w:pitch w:val="default"/>
    <w:sig w:usb0="00000003"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E28" w:rsidRDefault="00455E28">
    <w:pPr>
      <w:pStyle w:val="Sidefod"/>
      <w:pBdr>
        <w:bottom w:val="single" w:sz="6" w:space="1" w:color="auto"/>
      </w:pBdr>
    </w:pPr>
  </w:p>
  <w:p w:rsidR="00455E28" w:rsidRDefault="00455E28" w:rsidP="00C42586">
    <w:pPr>
      <w:pStyle w:val="Sidefod"/>
      <w:tabs>
        <w:tab w:val="clear" w:pos="4819"/>
        <w:tab w:val="left" w:pos="8505"/>
      </w:tabs>
      <w:rPr>
        <w:i/>
        <w:sz w:val="18"/>
        <w:szCs w:val="18"/>
      </w:rPr>
    </w:pPr>
  </w:p>
  <w:p w:rsidR="00455E28" w:rsidRPr="00B373D7" w:rsidRDefault="00455E28"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Darunavir Stada, filmovertrukne tabletter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E28" w:rsidRDefault="00455E28">
      <w:r>
        <w:separator/>
      </w:r>
    </w:p>
  </w:footnote>
  <w:footnote w:type="continuationSeparator" w:id="0">
    <w:p w:rsidR="00455E28" w:rsidRDefault="00455E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F2916"/>
    <w:multiLevelType w:val="hybridMultilevel"/>
    <w:tmpl w:val="BFC221CC"/>
    <w:lvl w:ilvl="0" w:tplc="F236BC64">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1"/>
      <w:lvlText w:val="%1.%2.%3"/>
      <w:lvlJc w:val="left"/>
      <w:pPr>
        <w:tabs>
          <w:tab w:val="num" w:pos="1276"/>
        </w:tabs>
        <w:ind w:left="1276" w:hanging="567"/>
      </w:pPr>
      <w:rPr>
        <w:rFonts w:ascii="Arial" w:hAnsi="Arial" w:cs="Times New Roman" w:hint="default"/>
        <w:b/>
        <w:i w:val="0"/>
        <w:sz w:val="22"/>
      </w:rPr>
    </w:lvl>
    <w:lvl w:ilvl="3">
      <w:start w:val="1"/>
      <w:numFmt w:val="lowerLetter"/>
      <w:pStyle w:val="AHeader2"/>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3" w15:restartNumberingAfterBreak="0">
    <w:nsid w:val="241875EF"/>
    <w:multiLevelType w:val="hybridMultilevel"/>
    <w:tmpl w:val="33189C0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BAE5AD9"/>
    <w:multiLevelType w:val="hybridMultilevel"/>
    <w:tmpl w:val="E93052B0"/>
    <w:lvl w:ilvl="0" w:tplc="08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2F935F28"/>
    <w:multiLevelType w:val="hybridMultilevel"/>
    <w:tmpl w:val="B6EC0C94"/>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34364763"/>
    <w:multiLevelType w:val="hybridMultilevel"/>
    <w:tmpl w:val="0BA4D4B6"/>
    <w:lvl w:ilvl="0" w:tplc="173CE120">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8F718EF"/>
    <w:multiLevelType w:val="hybridMultilevel"/>
    <w:tmpl w:val="938E2090"/>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FA21EB"/>
    <w:multiLevelType w:val="hybridMultilevel"/>
    <w:tmpl w:val="C834123C"/>
    <w:lvl w:ilvl="0" w:tplc="04060001">
      <w:start w:val="1"/>
      <w:numFmt w:val="bullet"/>
      <w:lvlText w:val=""/>
      <w:lvlJc w:val="left"/>
      <w:pPr>
        <w:ind w:left="2022" w:hanging="360"/>
      </w:pPr>
      <w:rPr>
        <w:rFonts w:ascii="Symbol" w:hAnsi="Symbol" w:hint="default"/>
      </w:rPr>
    </w:lvl>
    <w:lvl w:ilvl="1" w:tplc="04060003" w:tentative="1">
      <w:start w:val="1"/>
      <w:numFmt w:val="bullet"/>
      <w:lvlText w:val="o"/>
      <w:lvlJc w:val="left"/>
      <w:pPr>
        <w:ind w:left="2742" w:hanging="360"/>
      </w:pPr>
      <w:rPr>
        <w:rFonts w:ascii="Courier New" w:hAnsi="Courier New" w:cs="Courier New" w:hint="default"/>
      </w:rPr>
    </w:lvl>
    <w:lvl w:ilvl="2" w:tplc="04060005" w:tentative="1">
      <w:start w:val="1"/>
      <w:numFmt w:val="bullet"/>
      <w:lvlText w:val=""/>
      <w:lvlJc w:val="left"/>
      <w:pPr>
        <w:ind w:left="3462" w:hanging="360"/>
      </w:pPr>
      <w:rPr>
        <w:rFonts w:ascii="Wingdings" w:hAnsi="Wingdings" w:hint="default"/>
      </w:rPr>
    </w:lvl>
    <w:lvl w:ilvl="3" w:tplc="04060001" w:tentative="1">
      <w:start w:val="1"/>
      <w:numFmt w:val="bullet"/>
      <w:lvlText w:val=""/>
      <w:lvlJc w:val="left"/>
      <w:pPr>
        <w:ind w:left="4182" w:hanging="360"/>
      </w:pPr>
      <w:rPr>
        <w:rFonts w:ascii="Symbol" w:hAnsi="Symbol" w:hint="default"/>
      </w:rPr>
    </w:lvl>
    <w:lvl w:ilvl="4" w:tplc="04060003" w:tentative="1">
      <w:start w:val="1"/>
      <w:numFmt w:val="bullet"/>
      <w:lvlText w:val="o"/>
      <w:lvlJc w:val="left"/>
      <w:pPr>
        <w:ind w:left="4902" w:hanging="360"/>
      </w:pPr>
      <w:rPr>
        <w:rFonts w:ascii="Courier New" w:hAnsi="Courier New" w:cs="Courier New" w:hint="default"/>
      </w:rPr>
    </w:lvl>
    <w:lvl w:ilvl="5" w:tplc="04060005" w:tentative="1">
      <w:start w:val="1"/>
      <w:numFmt w:val="bullet"/>
      <w:lvlText w:val=""/>
      <w:lvlJc w:val="left"/>
      <w:pPr>
        <w:ind w:left="5622" w:hanging="360"/>
      </w:pPr>
      <w:rPr>
        <w:rFonts w:ascii="Wingdings" w:hAnsi="Wingdings" w:hint="default"/>
      </w:rPr>
    </w:lvl>
    <w:lvl w:ilvl="6" w:tplc="04060001" w:tentative="1">
      <w:start w:val="1"/>
      <w:numFmt w:val="bullet"/>
      <w:lvlText w:val=""/>
      <w:lvlJc w:val="left"/>
      <w:pPr>
        <w:ind w:left="6342" w:hanging="360"/>
      </w:pPr>
      <w:rPr>
        <w:rFonts w:ascii="Symbol" w:hAnsi="Symbol" w:hint="default"/>
      </w:rPr>
    </w:lvl>
    <w:lvl w:ilvl="7" w:tplc="04060003" w:tentative="1">
      <w:start w:val="1"/>
      <w:numFmt w:val="bullet"/>
      <w:lvlText w:val="o"/>
      <w:lvlJc w:val="left"/>
      <w:pPr>
        <w:ind w:left="7062" w:hanging="360"/>
      </w:pPr>
      <w:rPr>
        <w:rFonts w:ascii="Courier New" w:hAnsi="Courier New" w:cs="Courier New" w:hint="default"/>
      </w:rPr>
    </w:lvl>
    <w:lvl w:ilvl="8" w:tplc="04060005" w:tentative="1">
      <w:start w:val="1"/>
      <w:numFmt w:val="bullet"/>
      <w:lvlText w:val=""/>
      <w:lvlJc w:val="left"/>
      <w:pPr>
        <w:ind w:left="7782" w:hanging="360"/>
      </w:pPr>
      <w:rPr>
        <w:rFonts w:ascii="Wingdings" w:hAnsi="Wingdings" w:hint="default"/>
      </w:rPr>
    </w:lvl>
  </w:abstractNum>
  <w:abstractNum w:abstractNumId="13" w15:restartNumberingAfterBreak="0">
    <w:nsid w:val="48786392"/>
    <w:multiLevelType w:val="hybridMultilevel"/>
    <w:tmpl w:val="28024810"/>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pStyle w:val="AHeader2abc"/>
      <w:lvlText w:val=""/>
      <w:lvlJc w:val="left"/>
      <w:pPr>
        <w:ind w:left="3731" w:hanging="360"/>
      </w:pPr>
      <w:rPr>
        <w:rFonts w:ascii="Symbol" w:hAnsi="Symbol" w:hint="default"/>
      </w:rPr>
    </w:lvl>
    <w:lvl w:ilvl="4" w:tplc="04060003" w:tentative="1">
      <w:start w:val="1"/>
      <w:numFmt w:val="bullet"/>
      <w:pStyle w:val="AHeader3abc"/>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4" w15:restartNumberingAfterBreak="0">
    <w:nsid w:val="4D4D5179"/>
    <w:multiLevelType w:val="hybridMultilevel"/>
    <w:tmpl w:val="1A84B72E"/>
    <w:lvl w:ilvl="0" w:tplc="0720CB8A">
      <w:numFmt w:val="bullet"/>
      <w:lvlText w:val="-"/>
      <w:lvlJc w:val="left"/>
      <w:pPr>
        <w:ind w:left="1211" w:hanging="360"/>
      </w:pPr>
      <w:rPr>
        <w:rFonts w:ascii="Times New Roman" w:eastAsia="Times New Roman" w:hAnsi="Times New Roman" w:cs="Times New Roman" w:hint="default"/>
      </w:rPr>
    </w:lvl>
    <w:lvl w:ilvl="1" w:tplc="04060003" w:tentative="1">
      <w:start w:val="1"/>
      <w:numFmt w:val="bullet"/>
      <w:lvlText w:val="o"/>
      <w:lvlJc w:val="left"/>
      <w:pPr>
        <w:ind w:left="1931" w:hanging="360"/>
      </w:pPr>
      <w:rPr>
        <w:rFonts w:ascii="Courier New" w:hAnsi="Courier New" w:cs="Courier New" w:hint="default"/>
      </w:rPr>
    </w:lvl>
    <w:lvl w:ilvl="2" w:tplc="04060005" w:tentative="1">
      <w:start w:val="1"/>
      <w:numFmt w:val="bullet"/>
      <w:lvlText w:val=""/>
      <w:lvlJc w:val="left"/>
      <w:pPr>
        <w:ind w:left="2651" w:hanging="360"/>
      </w:pPr>
      <w:rPr>
        <w:rFonts w:ascii="Wingdings" w:hAnsi="Wingdings" w:hint="default"/>
      </w:rPr>
    </w:lvl>
    <w:lvl w:ilvl="3" w:tplc="04060001" w:tentative="1">
      <w:start w:val="1"/>
      <w:numFmt w:val="bullet"/>
      <w:lvlText w:val=""/>
      <w:lvlJc w:val="left"/>
      <w:pPr>
        <w:ind w:left="3371" w:hanging="360"/>
      </w:pPr>
      <w:rPr>
        <w:rFonts w:ascii="Symbol" w:hAnsi="Symbol" w:hint="default"/>
      </w:rPr>
    </w:lvl>
    <w:lvl w:ilvl="4" w:tplc="04060003" w:tentative="1">
      <w:start w:val="1"/>
      <w:numFmt w:val="bullet"/>
      <w:lvlText w:val="o"/>
      <w:lvlJc w:val="left"/>
      <w:pPr>
        <w:ind w:left="4091" w:hanging="360"/>
      </w:pPr>
      <w:rPr>
        <w:rFonts w:ascii="Courier New" w:hAnsi="Courier New" w:cs="Courier New" w:hint="default"/>
      </w:rPr>
    </w:lvl>
    <w:lvl w:ilvl="5" w:tplc="04060005" w:tentative="1">
      <w:start w:val="1"/>
      <w:numFmt w:val="bullet"/>
      <w:lvlText w:val=""/>
      <w:lvlJc w:val="left"/>
      <w:pPr>
        <w:ind w:left="4811" w:hanging="360"/>
      </w:pPr>
      <w:rPr>
        <w:rFonts w:ascii="Wingdings" w:hAnsi="Wingdings" w:hint="default"/>
      </w:rPr>
    </w:lvl>
    <w:lvl w:ilvl="6" w:tplc="04060001" w:tentative="1">
      <w:start w:val="1"/>
      <w:numFmt w:val="bullet"/>
      <w:lvlText w:val=""/>
      <w:lvlJc w:val="left"/>
      <w:pPr>
        <w:ind w:left="5531" w:hanging="360"/>
      </w:pPr>
      <w:rPr>
        <w:rFonts w:ascii="Symbol" w:hAnsi="Symbol" w:hint="default"/>
      </w:rPr>
    </w:lvl>
    <w:lvl w:ilvl="7" w:tplc="04060003" w:tentative="1">
      <w:start w:val="1"/>
      <w:numFmt w:val="bullet"/>
      <w:lvlText w:val="o"/>
      <w:lvlJc w:val="left"/>
      <w:pPr>
        <w:ind w:left="6251" w:hanging="360"/>
      </w:pPr>
      <w:rPr>
        <w:rFonts w:ascii="Courier New" w:hAnsi="Courier New" w:cs="Courier New" w:hint="default"/>
      </w:rPr>
    </w:lvl>
    <w:lvl w:ilvl="8" w:tplc="04060005" w:tentative="1">
      <w:start w:val="1"/>
      <w:numFmt w:val="bullet"/>
      <w:lvlText w:val=""/>
      <w:lvlJc w:val="left"/>
      <w:pPr>
        <w:ind w:left="6971" w:hanging="360"/>
      </w:pPr>
      <w:rPr>
        <w:rFonts w:ascii="Wingdings" w:hAnsi="Wingdings" w:hint="default"/>
      </w:rPr>
    </w:lvl>
  </w:abstractNum>
  <w:abstractNum w:abstractNumId="1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7E10CDD"/>
    <w:multiLevelType w:val="hybridMultilevel"/>
    <w:tmpl w:val="6F2EA990"/>
    <w:lvl w:ilvl="0" w:tplc="AAFC113C">
      <w:start w:val="1"/>
      <w:numFmt w:val="bullet"/>
      <w:lvlText w:val=""/>
      <w:lvlJc w:val="righ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8" w15:restartNumberingAfterBreak="0">
    <w:nsid w:val="584927FE"/>
    <w:multiLevelType w:val="hybridMultilevel"/>
    <w:tmpl w:val="DCA0AA64"/>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9" w15:restartNumberingAfterBreak="0">
    <w:nsid w:val="59CE6EB9"/>
    <w:multiLevelType w:val="hybridMultilevel"/>
    <w:tmpl w:val="3ECA5D2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5B895FEF"/>
    <w:multiLevelType w:val="hybridMultilevel"/>
    <w:tmpl w:val="80CCA244"/>
    <w:lvl w:ilvl="0" w:tplc="24DC716A">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66964908"/>
    <w:multiLevelType w:val="hybridMultilevel"/>
    <w:tmpl w:val="12721274"/>
    <w:lvl w:ilvl="0" w:tplc="48184992">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3" w15:restartNumberingAfterBreak="0">
    <w:nsid w:val="676B341D"/>
    <w:multiLevelType w:val="hybridMultilevel"/>
    <w:tmpl w:val="D69223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2660D28"/>
    <w:multiLevelType w:val="hybridMultilevel"/>
    <w:tmpl w:val="E684E0A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5" w15:restartNumberingAfterBreak="0">
    <w:nsid w:val="77431060"/>
    <w:multiLevelType w:val="hybridMultilevel"/>
    <w:tmpl w:val="EFA0818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6" w15:restartNumberingAfterBreak="0">
    <w:nsid w:val="7A380BF5"/>
    <w:multiLevelType w:val="hybridMultilevel"/>
    <w:tmpl w:val="ADE259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num>
  <w:num w:numId="7">
    <w:abstractNumId w:val="11"/>
  </w:num>
  <w:num w:numId="8">
    <w:abstractNumId w:val="15"/>
  </w:num>
  <w:num w:numId="9">
    <w:abstractNumId w:val="4"/>
  </w:num>
  <w:num w:numId="10">
    <w:abstractNumId w:val="13"/>
  </w:num>
  <w:num w:numId="11">
    <w:abstractNumId w:val="3"/>
  </w:num>
  <w:num w:numId="12">
    <w:abstractNumId w:val="25"/>
  </w:num>
  <w:num w:numId="13">
    <w:abstractNumId w:val="2"/>
  </w:num>
  <w:num w:numId="14">
    <w:abstractNumId w:val="17"/>
  </w:num>
  <w:num w:numId="15">
    <w:abstractNumId w:val="18"/>
  </w:num>
  <w:num w:numId="16">
    <w:abstractNumId w:val="14"/>
  </w:num>
  <w:num w:numId="17">
    <w:abstractNumId w:val="9"/>
  </w:num>
  <w:num w:numId="18">
    <w:abstractNumId w:val="22"/>
  </w:num>
  <w:num w:numId="19">
    <w:abstractNumId w:val="20"/>
  </w:num>
  <w:num w:numId="20">
    <w:abstractNumId w:val="0"/>
  </w:num>
  <w:num w:numId="21">
    <w:abstractNumId w:val="7"/>
  </w:num>
  <w:num w:numId="22">
    <w:abstractNumId w:val="12"/>
  </w:num>
  <w:num w:numId="23">
    <w:abstractNumId w:val="24"/>
  </w:num>
  <w:num w:numId="24">
    <w:abstractNumId w:val="5"/>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3"/>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372"/>
    <w:rsid w:val="000259B9"/>
    <w:rsid w:val="00041491"/>
    <w:rsid w:val="00050D16"/>
    <w:rsid w:val="00074F2A"/>
    <w:rsid w:val="000A1CA8"/>
    <w:rsid w:val="000A466B"/>
    <w:rsid w:val="000B058C"/>
    <w:rsid w:val="000B4EE5"/>
    <w:rsid w:val="000E4EE6"/>
    <w:rsid w:val="001054C5"/>
    <w:rsid w:val="001454E2"/>
    <w:rsid w:val="001A550E"/>
    <w:rsid w:val="001A630F"/>
    <w:rsid w:val="00206CE8"/>
    <w:rsid w:val="0021526C"/>
    <w:rsid w:val="00283A2B"/>
    <w:rsid w:val="002B30AD"/>
    <w:rsid w:val="002C2C01"/>
    <w:rsid w:val="003A29AE"/>
    <w:rsid w:val="003A32D7"/>
    <w:rsid w:val="003B4074"/>
    <w:rsid w:val="003C109F"/>
    <w:rsid w:val="003C769A"/>
    <w:rsid w:val="003E5EE9"/>
    <w:rsid w:val="003F1838"/>
    <w:rsid w:val="00455E28"/>
    <w:rsid w:val="0045746C"/>
    <w:rsid w:val="0049104B"/>
    <w:rsid w:val="004C1A1B"/>
    <w:rsid w:val="004E3B12"/>
    <w:rsid w:val="00506317"/>
    <w:rsid w:val="00532310"/>
    <w:rsid w:val="00560ECC"/>
    <w:rsid w:val="00565F0F"/>
    <w:rsid w:val="00594A86"/>
    <w:rsid w:val="00596D86"/>
    <w:rsid w:val="005B2C08"/>
    <w:rsid w:val="00603CB3"/>
    <w:rsid w:val="0062298D"/>
    <w:rsid w:val="00625309"/>
    <w:rsid w:val="00637F5A"/>
    <w:rsid w:val="00645B11"/>
    <w:rsid w:val="006560B1"/>
    <w:rsid w:val="006756DD"/>
    <w:rsid w:val="00737275"/>
    <w:rsid w:val="00740EEC"/>
    <w:rsid w:val="0078011A"/>
    <w:rsid w:val="00782AF4"/>
    <w:rsid w:val="00790EE7"/>
    <w:rsid w:val="007B6649"/>
    <w:rsid w:val="0081546F"/>
    <w:rsid w:val="00815FE0"/>
    <w:rsid w:val="0082576E"/>
    <w:rsid w:val="008A1844"/>
    <w:rsid w:val="00907F75"/>
    <w:rsid w:val="009260DE"/>
    <w:rsid w:val="0093258A"/>
    <w:rsid w:val="009C7BA3"/>
    <w:rsid w:val="009D1F5A"/>
    <w:rsid w:val="00B003BF"/>
    <w:rsid w:val="00B373D7"/>
    <w:rsid w:val="00B64DBB"/>
    <w:rsid w:val="00B762BC"/>
    <w:rsid w:val="00B862A8"/>
    <w:rsid w:val="00B91372"/>
    <w:rsid w:val="00C36276"/>
    <w:rsid w:val="00C42586"/>
    <w:rsid w:val="00C57639"/>
    <w:rsid w:val="00C60CCD"/>
    <w:rsid w:val="00C84483"/>
    <w:rsid w:val="00C95551"/>
    <w:rsid w:val="00CB20D7"/>
    <w:rsid w:val="00D020B0"/>
    <w:rsid w:val="00D11748"/>
    <w:rsid w:val="00D366CF"/>
    <w:rsid w:val="00E010B3"/>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2E82B"/>
  <w15:chartTrackingRefBased/>
  <w15:docId w15:val="{50B835A7-1AB1-4CB6-815F-9052765EB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B91372"/>
    <w:pPr>
      <w:keepNext/>
      <w:tabs>
        <w:tab w:val="left" w:pos="567"/>
      </w:tabs>
      <w:spacing w:before="240" w:after="60" w:line="260" w:lineRule="exact"/>
      <w:outlineLvl w:val="1"/>
    </w:pPr>
    <w:rPr>
      <w:rFonts w:ascii="Helvetica" w:hAnsi="Helvetica"/>
      <w:b/>
      <w:i/>
      <w:sz w:val="24"/>
      <w:lang w:val="en-GB"/>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B91372"/>
    <w:pPr>
      <w:keepNext/>
      <w:tabs>
        <w:tab w:val="left" w:pos="567"/>
      </w:tabs>
      <w:spacing w:line="260" w:lineRule="exact"/>
      <w:jc w:val="both"/>
      <w:outlineLvl w:val="3"/>
    </w:pPr>
    <w:rPr>
      <w:b/>
      <w:noProof/>
      <w:sz w:val="22"/>
      <w:lang w:val="en-GB"/>
    </w:rPr>
  </w:style>
  <w:style w:type="paragraph" w:styleId="Overskrift5">
    <w:name w:val="heading 5"/>
    <w:basedOn w:val="Normal"/>
    <w:next w:val="Normal"/>
    <w:link w:val="Overskrift5Tegn"/>
    <w:qFormat/>
    <w:rsid w:val="00B91372"/>
    <w:pPr>
      <w:keepNext/>
      <w:tabs>
        <w:tab w:val="left" w:pos="567"/>
      </w:tabs>
      <w:spacing w:line="260" w:lineRule="exact"/>
      <w:jc w:val="both"/>
      <w:outlineLvl w:val="4"/>
    </w:pPr>
    <w:rPr>
      <w:noProof/>
      <w:sz w:val="22"/>
      <w:lang w:val="en-GB"/>
    </w:rPr>
  </w:style>
  <w:style w:type="paragraph" w:styleId="Overskrift6">
    <w:name w:val="heading 6"/>
    <w:basedOn w:val="Normal"/>
    <w:next w:val="Normal"/>
    <w:link w:val="Overskrift6Tegn"/>
    <w:qFormat/>
    <w:rsid w:val="00B91372"/>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B91372"/>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B91372"/>
    <w:pPr>
      <w:keepNext/>
      <w:tabs>
        <w:tab w:val="left" w:pos="567"/>
      </w:tabs>
      <w:spacing w:line="260" w:lineRule="exact"/>
      <w:ind w:left="567" w:hanging="567"/>
      <w:jc w:val="both"/>
      <w:outlineLvl w:val="7"/>
    </w:pPr>
    <w:rPr>
      <w:b/>
      <w:i/>
      <w:sz w:val="22"/>
      <w:lang w:val="en-GB"/>
    </w:rPr>
  </w:style>
  <w:style w:type="paragraph" w:styleId="Overskrift9">
    <w:name w:val="heading 9"/>
    <w:basedOn w:val="Normal"/>
    <w:next w:val="Normal"/>
    <w:link w:val="Overskrift9Tegn"/>
    <w:qFormat/>
    <w:rsid w:val="00B91372"/>
    <w:pPr>
      <w:keepNext/>
      <w:tabs>
        <w:tab w:val="left" w:pos="567"/>
      </w:tabs>
      <w:spacing w:line="260" w:lineRule="exact"/>
      <w:jc w:val="both"/>
      <w:outlineLvl w:val="8"/>
    </w:pPr>
    <w:rPr>
      <w:b/>
      <w:i/>
      <w:sz w:val="22"/>
      <w:lang w:val="en-GB"/>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customStyle="1" w:styleId="Overskrift2Tegn">
    <w:name w:val="Overskrift 2 Tegn"/>
    <w:basedOn w:val="Standardskrifttypeiafsnit"/>
    <w:link w:val="Overskrift2"/>
    <w:rsid w:val="00B91372"/>
    <w:rPr>
      <w:rFonts w:ascii="Helvetica" w:hAnsi="Helvetica"/>
      <w:b/>
      <w:i/>
      <w:sz w:val="24"/>
      <w:lang w:val="en-GB" w:eastAsia="en-US"/>
    </w:rPr>
  </w:style>
  <w:style w:type="character" w:customStyle="1" w:styleId="Overskrift4Tegn">
    <w:name w:val="Overskrift 4 Tegn"/>
    <w:basedOn w:val="Standardskrifttypeiafsnit"/>
    <w:link w:val="Overskrift4"/>
    <w:rsid w:val="00B91372"/>
    <w:rPr>
      <w:b/>
      <w:noProof/>
      <w:sz w:val="22"/>
      <w:lang w:val="en-GB" w:eastAsia="en-US"/>
    </w:rPr>
  </w:style>
  <w:style w:type="character" w:customStyle="1" w:styleId="Overskrift5Tegn">
    <w:name w:val="Overskrift 5 Tegn"/>
    <w:basedOn w:val="Standardskrifttypeiafsnit"/>
    <w:link w:val="Overskrift5"/>
    <w:rsid w:val="00B91372"/>
    <w:rPr>
      <w:noProof/>
      <w:sz w:val="22"/>
      <w:lang w:val="en-GB" w:eastAsia="en-US"/>
    </w:rPr>
  </w:style>
  <w:style w:type="character" w:customStyle="1" w:styleId="Overskrift6Tegn">
    <w:name w:val="Overskrift 6 Tegn"/>
    <w:basedOn w:val="Standardskrifttypeiafsnit"/>
    <w:link w:val="Overskrift6"/>
    <w:rsid w:val="00B91372"/>
    <w:rPr>
      <w:i/>
      <w:sz w:val="22"/>
      <w:lang w:val="en-GB" w:eastAsia="en-US"/>
    </w:rPr>
  </w:style>
  <w:style w:type="character" w:customStyle="1" w:styleId="Overskrift7Tegn">
    <w:name w:val="Overskrift 7 Tegn"/>
    <w:basedOn w:val="Standardskrifttypeiafsnit"/>
    <w:link w:val="Overskrift7"/>
    <w:rsid w:val="00B91372"/>
    <w:rPr>
      <w:i/>
      <w:sz w:val="22"/>
      <w:lang w:val="en-GB" w:eastAsia="en-US"/>
    </w:rPr>
  </w:style>
  <w:style w:type="character" w:customStyle="1" w:styleId="Overskrift8Tegn">
    <w:name w:val="Overskrift 8 Tegn"/>
    <w:basedOn w:val="Standardskrifttypeiafsnit"/>
    <w:link w:val="Overskrift8"/>
    <w:rsid w:val="00B91372"/>
    <w:rPr>
      <w:b/>
      <w:i/>
      <w:sz w:val="22"/>
      <w:lang w:val="en-GB" w:eastAsia="en-US"/>
    </w:rPr>
  </w:style>
  <w:style w:type="character" w:customStyle="1" w:styleId="Overskrift9Tegn">
    <w:name w:val="Overskrift 9 Tegn"/>
    <w:basedOn w:val="Standardskrifttypeiafsnit"/>
    <w:link w:val="Overskrift9"/>
    <w:rsid w:val="00B91372"/>
    <w:rPr>
      <w:b/>
      <w:i/>
      <w:sz w:val="22"/>
      <w:lang w:val="en-GB" w:eastAsia="en-US"/>
    </w:rPr>
  </w:style>
  <w:style w:type="character" w:styleId="Pladsholdertekst">
    <w:name w:val="Placeholder Text"/>
    <w:basedOn w:val="Standardskrifttypeiafsnit"/>
    <w:uiPriority w:val="99"/>
    <w:semiHidden/>
    <w:rsid w:val="00B91372"/>
    <w:rPr>
      <w:color w:val="808080"/>
    </w:rPr>
  </w:style>
  <w:style w:type="character" w:customStyle="1" w:styleId="Overskrift1Tegn">
    <w:name w:val="Overskrift 1 Tegn"/>
    <w:link w:val="Overskrift1"/>
    <w:rsid w:val="00B91372"/>
    <w:rPr>
      <w:rFonts w:ascii="Arial" w:hAnsi="Arial"/>
      <w:b/>
      <w:kern w:val="28"/>
      <w:sz w:val="28"/>
      <w:lang w:eastAsia="en-US"/>
    </w:rPr>
  </w:style>
  <w:style w:type="character" w:customStyle="1" w:styleId="Overskrift3Tegn">
    <w:name w:val="Overskrift 3 Tegn"/>
    <w:link w:val="Overskrift3"/>
    <w:rsid w:val="00B91372"/>
    <w:rPr>
      <w:rFonts w:ascii="Arial" w:hAnsi="Arial"/>
      <w:sz w:val="24"/>
      <w:lang w:eastAsia="en-US"/>
    </w:rPr>
  </w:style>
  <w:style w:type="character" w:customStyle="1" w:styleId="MarkeringsbobletekstTegn">
    <w:name w:val="Markeringsbobletekst Tegn"/>
    <w:link w:val="Markeringsbobletekst"/>
    <w:semiHidden/>
    <w:rsid w:val="00B91372"/>
    <w:rPr>
      <w:rFonts w:ascii="Tahoma" w:hAnsi="Tahoma" w:cs="Tahoma"/>
      <w:sz w:val="16"/>
      <w:szCs w:val="16"/>
      <w:lang w:eastAsia="en-US"/>
    </w:rPr>
  </w:style>
  <w:style w:type="character" w:customStyle="1" w:styleId="SidefodTegn">
    <w:name w:val="Sidefod Tegn"/>
    <w:link w:val="Sidefod"/>
    <w:uiPriority w:val="99"/>
    <w:rsid w:val="00B91372"/>
    <w:rPr>
      <w:sz w:val="23"/>
      <w:lang w:eastAsia="en-US"/>
    </w:rPr>
  </w:style>
  <w:style w:type="paragraph" w:styleId="Brdtekstindrykning">
    <w:name w:val="Body Text Indent"/>
    <w:basedOn w:val="Normal"/>
    <w:link w:val="BrdtekstindrykningTegn"/>
    <w:rsid w:val="00B91372"/>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rsid w:val="00B91372"/>
    <w:rPr>
      <w:sz w:val="22"/>
      <w:szCs w:val="22"/>
      <w:lang w:val="en-GB" w:eastAsia="en-GB"/>
    </w:rPr>
  </w:style>
  <w:style w:type="paragraph" w:styleId="Brdtekst3">
    <w:name w:val="Body Text 3"/>
    <w:basedOn w:val="Normal"/>
    <w:link w:val="Brdtekst3Tegn"/>
    <w:rsid w:val="00B91372"/>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rsid w:val="00B91372"/>
    <w:rPr>
      <w:color w:val="0000FF"/>
      <w:sz w:val="22"/>
      <w:szCs w:val="22"/>
      <w:lang w:val="en-GB" w:eastAsia="en-GB"/>
    </w:rPr>
  </w:style>
  <w:style w:type="paragraph" w:styleId="Brdtekstindrykning2">
    <w:name w:val="Body Text Indent 2"/>
    <w:basedOn w:val="Normal"/>
    <w:link w:val="Brdtekstindrykning2Tegn"/>
    <w:rsid w:val="00B91372"/>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rsid w:val="00B91372"/>
    <w:rPr>
      <w:b/>
      <w:bCs/>
      <w:color w:val="0000FF"/>
      <w:sz w:val="22"/>
      <w:szCs w:val="22"/>
      <w:lang w:val="en-GB" w:eastAsia="en-US"/>
    </w:rPr>
  </w:style>
  <w:style w:type="paragraph" w:styleId="Brdtekst">
    <w:name w:val="Body Text"/>
    <w:basedOn w:val="Normal"/>
    <w:link w:val="BrdtekstTegn"/>
    <w:rsid w:val="00B91372"/>
    <w:rPr>
      <w:i/>
      <w:color w:val="008000"/>
      <w:sz w:val="22"/>
      <w:lang w:val="en-GB"/>
    </w:rPr>
  </w:style>
  <w:style w:type="character" w:customStyle="1" w:styleId="BrdtekstTegn">
    <w:name w:val="Brødtekst Tegn"/>
    <w:basedOn w:val="Standardskrifttypeiafsnit"/>
    <w:link w:val="Brdtekst"/>
    <w:rsid w:val="00B91372"/>
    <w:rPr>
      <w:i/>
      <w:color w:val="008000"/>
      <w:sz w:val="22"/>
      <w:lang w:val="en-GB" w:eastAsia="en-US"/>
    </w:rPr>
  </w:style>
  <w:style w:type="paragraph" w:styleId="Brdtekst2">
    <w:name w:val="Body Text 2"/>
    <w:basedOn w:val="Normal"/>
    <w:link w:val="Brdtekst2Tegn"/>
    <w:rsid w:val="00B91372"/>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rsid w:val="00B91372"/>
    <w:rPr>
      <w:b/>
      <w:bCs/>
      <w:color w:val="0000FF"/>
      <w:sz w:val="22"/>
      <w:szCs w:val="22"/>
      <w:u w:val="single"/>
      <w:lang w:val="en-GB" w:eastAsia="en-US"/>
    </w:rPr>
  </w:style>
  <w:style w:type="paragraph" w:customStyle="1" w:styleId="EMEAEnBodyText">
    <w:name w:val="EMEA En Body Text"/>
    <w:basedOn w:val="Normal"/>
    <w:rsid w:val="00B91372"/>
    <w:pPr>
      <w:spacing w:before="120" w:after="120"/>
      <w:jc w:val="both"/>
    </w:pPr>
    <w:rPr>
      <w:sz w:val="22"/>
      <w:lang w:val="en-US"/>
    </w:rPr>
  </w:style>
  <w:style w:type="character" w:customStyle="1" w:styleId="DokumentoversigtTegn">
    <w:name w:val="Dokumentoversigt Tegn"/>
    <w:basedOn w:val="Standardskrifttypeiafsnit"/>
    <w:link w:val="Dokumentoversigt"/>
    <w:semiHidden/>
    <w:rsid w:val="00B91372"/>
    <w:rPr>
      <w:rFonts w:ascii="Tahoma" w:hAnsi="Tahoma" w:cs="Tahoma"/>
      <w:sz w:val="22"/>
      <w:shd w:val="clear" w:color="auto" w:fill="000080"/>
      <w:lang w:val="en-GB" w:eastAsia="en-US"/>
    </w:rPr>
  </w:style>
  <w:style w:type="paragraph" w:styleId="Dokumentoversigt">
    <w:name w:val="Document Map"/>
    <w:basedOn w:val="Normal"/>
    <w:link w:val="DokumentoversigtTegn"/>
    <w:semiHidden/>
    <w:rsid w:val="00B91372"/>
    <w:pPr>
      <w:shd w:val="clear" w:color="auto" w:fill="000080"/>
      <w:tabs>
        <w:tab w:val="left" w:pos="567"/>
      </w:tabs>
      <w:spacing w:line="260" w:lineRule="exact"/>
    </w:pPr>
    <w:rPr>
      <w:rFonts w:ascii="Tahoma" w:hAnsi="Tahoma" w:cs="Tahoma"/>
      <w:sz w:val="22"/>
      <w:lang w:val="en-GB"/>
    </w:rPr>
  </w:style>
  <w:style w:type="character" w:customStyle="1" w:styleId="DokumentoversigtTegn1">
    <w:name w:val="Dokumentoversigt Tegn1"/>
    <w:basedOn w:val="Standardskrifttypeiafsnit"/>
    <w:semiHidden/>
    <w:rsid w:val="00B91372"/>
    <w:rPr>
      <w:rFonts w:ascii="Segoe UI" w:hAnsi="Segoe UI" w:cs="Segoe UI"/>
      <w:sz w:val="16"/>
      <w:szCs w:val="16"/>
      <w:lang w:eastAsia="en-US"/>
    </w:rPr>
  </w:style>
  <w:style w:type="character" w:styleId="Hyperlink">
    <w:name w:val="Hyperlink"/>
    <w:rsid w:val="00B91372"/>
    <w:rPr>
      <w:color w:val="0000FF"/>
      <w:u w:val="single"/>
    </w:rPr>
  </w:style>
  <w:style w:type="paragraph" w:customStyle="1" w:styleId="AHeader1">
    <w:name w:val="AHeader 1"/>
    <w:basedOn w:val="Normal"/>
    <w:rsid w:val="00B91372"/>
    <w:pPr>
      <w:numPr>
        <w:ilvl w:val="2"/>
        <w:numId w:val="13"/>
      </w:numPr>
      <w:tabs>
        <w:tab w:val="clear" w:pos="1276"/>
        <w:tab w:val="num" w:pos="720"/>
      </w:tabs>
      <w:spacing w:after="120"/>
      <w:ind w:left="284" w:hanging="284"/>
    </w:pPr>
    <w:rPr>
      <w:rFonts w:ascii="Arial" w:hAnsi="Arial" w:cs="Arial"/>
      <w:b/>
      <w:bCs/>
      <w:sz w:val="24"/>
      <w:lang w:val="en-GB"/>
    </w:rPr>
  </w:style>
  <w:style w:type="paragraph" w:customStyle="1" w:styleId="AHeader2">
    <w:name w:val="AHeader 2"/>
    <w:basedOn w:val="AHeader1"/>
    <w:rsid w:val="00B91372"/>
    <w:pPr>
      <w:numPr>
        <w:ilvl w:val="3"/>
      </w:numPr>
      <w:tabs>
        <w:tab w:val="clear" w:pos="1276"/>
        <w:tab w:val="num" w:pos="360"/>
      </w:tabs>
      <w:ind w:left="709" w:hanging="425"/>
    </w:pPr>
    <w:rPr>
      <w:sz w:val="22"/>
    </w:rPr>
  </w:style>
  <w:style w:type="paragraph" w:customStyle="1" w:styleId="AHeader3">
    <w:name w:val="AHeader 3"/>
    <w:basedOn w:val="AHeader2"/>
    <w:rsid w:val="00B91372"/>
    <w:pPr>
      <w:numPr>
        <w:ilvl w:val="4"/>
      </w:numPr>
      <w:tabs>
        <w:tab w:val="clear" w:pos="1701"/>
        <w:tab w:val="num" w:pos="360"/>
      </w:tabs>
      <w:ind w:left="1276" w:hanging="567"/>
    </w:pPr>
  </w:style>
  <w:style w:type="paragraph" w:customStyle="1" w:styleId="AHeader2abc">
    <w:name w:val="AHeader 2 abc"/>
    <w:basedOn w:val="AHeader3"/>
    <w:rsid w:val="00B91372"/>
    <w:pPr>
      <w:numPr>
        <w:ilvl w:val="3"/>
        <w:numId w:val="10"/>
      </w:numPr>
      <w:tabs>
        <w:tab w:val="num" w:pos="360"/>
      </w:tabs>
      <w:jc w:val="both"/>
    </w:pPr>
    <w:rPr>
      <w:b w:val="0"/>
      <w:bCs w:val="0"/>
    </w:rPr>
  </w:style>
  <w:style w:type="paragraph" w:customStyle="1" w:styleId="AHeader3abc">
    <w:name w:val="AHeader 3 abc"/>
    <w:basedOn w:val="AHeader2abc"/>
    <w:rsid w:val="00B91372"/>
    <w:pPr>
      <w:numPr>
        <w:ilvl w:val="4"/>
      </w:numPr>
      <w:tabs>
        <w:tab w:val="num" w:pos="360"/>
      </w:tabs>
    </w:pPr>
  </w:style>
  <w:style w:type="paragraph" w:styleId="Brdtekstindrykning3">
    <w:name w:val="Body Text Indent 3"/>
    <w:basedOn w:val="Normal"/>
    <w:link w:val="Brdtekstindrykning3Tegn"/>
    <w:rsid w:val="00B91372"/>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rsid w:val="00B91372"/>
    <w:rPr>
      <w:sz w:val="22"/>
      <w:szCs w:val="21"/>
      <w:lang w:val="en-GB" w:eastAsia="en-US"/>
    </w:rPr>
  </w:style>
  <w:style w:type="character" w:styleId="BesgtLink">
    <w:name w:val="FollowedHyperlink"/>
    <w:rsid w:val="00B91372"/>
    <w:rPr>
      <w:color w:val="800080"/>
      <w:u w:val="single"/>
    </w:rPr>
  </w:style>
  <w:style w:type="paragraph" w:customStyle="1" w:styleId="Default">
    <w:name w:val="Default"/>
    <w:rsid w:val="00B91372"/>
    <w:pPr>
      <w:autoSpaceDE w:val="0"/>
      <w:autoSpaceDN w:val="0"/>
      <w:adjustRightInd w:val="0"/>
    </w:pPr>
    <w:rPr>
      <w:lang w:val="en-US" w:eastAsia="en-US"/>
    </w:rPr>
  </w:style>
  <w:style w:type="paragraph" w:customStyle="1" w:styleId="CM17">
    <w:name w:val="CM17"/>
    <w:basedOn w:val="Normal"/>
    <w:next w:val="Normal"/>
    <w:uiPriority w:val="99"/>
    <w:rsid w:val="00B91372"/>
    <w:pPr>
      <w:widowControl w:val="0"/>
      <w:autoSpaceDE w:val="0"/>
      <w:autoSpaceDN w:val="0"/>
      <w:adjustRightInd w:val="0"/>
    </w:pPr>
    <w:rPr>
      <w:rFonts w:ascii="JTEHUM+TimesNewRoman" w:hAnsi="JTEHUM+TimesNewRoman"/>
      <w:sz w:val="24"/>
      <w:szCs w:val="24"/>
      <w:lang w:val="en-GB" w:eastAsia="en-GB"/>
    </w:rPr>
  </w:style>
  <w:style w:type="paragraph" w:customStyle="1" w:styleId="CM85">
    <w:name w:val="CM85"/>
    <w:basedOn w:val="Default"/>
    <w:next w:val="Default"/>
    <w:uiPriority w:val="99"/>
    <w:rsid w:val="00B91372"/>
    <w:pPr>
      <w:widowControl w:val="0"/>
    </w:pPr>
    <w:rPr>
      <w:rFonts w:ascii="JTEHUM+TimesNewRoman" w:hAnsi="JTEHUM+TimesNewRoman"/>
      <w:sz w:val="24"/>
      <w:szCs w:val="24"/>
      <w:lang w:val="en-GB" w:eastAsia="en-GB"/>
    </w:rPr>
  </w:style>
  <w:style w:type="paragraph" w:customStyle="1" w:styleId="CM19">
    <w:name w:val="CM19"/>
    <w:basedOn w:val="Normal"/>
    <w:next w:val="Normal"/>
    <w:uiPriority w:val="99"/>
    <w:rsid w:val="00B91372"/>
    <w:pPr>
      <w:widowControl w:val="0"/>
      <w:autoSpaceDE w:val="0"/>
      <w:autoSpaceDN w:val="0"/>
      <w:adjustRightInd w:val="0"/>
    </w:pPr>
    <w:rPr>
      <w:rFonts w:ascii="JTEHUM+TimesNewRoman" w:hAnsi="JTEHUM+TimesNewRoman"/>
      <w:sz w:val="24"/>
      <w:szCs w:val="24"/>
      <w:lang w:val="en-GB" w:eastAsia="en-GB"/>
    </w:rPr>
  </w:style>
  <w:style w:type="paragraph" w:customStyle="1" w:styleId="CM6">
    <w:name w:val="CM6"/>
    <w:basedOn w:val="Normal"/>
    <w:next w:val="Normal"/>
    <w:uiPriority w:val="99"/>
    <w:rsid w:val="00B91372"/>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3">
    <w:name w:val="CM3"/>
    <w:basedOn w:val="Normal"/>
    <w:next w:val="Normal"/>
    <w:uiPriority w:val="99"/>
    <w:rsid w:val="00B91372"/>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0">
    <w:name w:val="CM20"/>
    <w:basedOn w:val="Normal"/>
    <w:next w:val="Normal"/>
    <w:uiPriority w:val="99"/>
    <w:rsid w:val="00B91372"/>
    <w:pPr>
      <w:widowControl w:val="0"/>
      <w:autoSpaceDE w:val="0"/>
      <w:autoSpaceDN w:val="0"/>
      <w:adjustRightInd w:val="0"/>
    </w:pPr>
    <w:rPr>
      <w:rFonts w:ascii="JTEHUM+TimesNewRoman" w:hAnsi="JTEHUM+TimesNewRoman"/>
      <w:sz w:val="24"/>
      <w:szCs w:val="24"/>
      <w:lang w:val="en-GB" w:eastAsia="en-GB"/>
    </w:rPr>
  </w:style>
  <w:style w:type="paragraph" w:customStyle="1" w:styleId="CM9">
    <w:name w:val="CM9"/>
    <w:basedOn w:val="Normal"/>
    <w:next w:val="Normal"/>
    <w:uiPriority w:val="99"/>
    <w:rsid w:val="00B91372"/>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1">
    <w:name w:val="CM21"/>
    <w:basedOn w:val="Normal"/>
    <w:next w:val="Normal"/>
    <w:uiPriority w:val="99"/>
    <w:rsid w:val="00B91372"/>
    <w:pPr>
      <w:widowControl w:val="0"/>
      <w:autoSpaceDE w:val="0"/>
      <w:autoSpaceDN w:val="0"/>
      <w:adjustRightInd w:val="0"/>
    </w:pPr>
    <w:rPr>
      <w:rFonts w:ascii="JTEHUM+TimesNewRoman" w:hAnsi="JTEHUM+TimesNewRoman"/>
      <w:sz w:val="24"/>
      <w:szCs w:val="24"/>
      <w:lang w:val="en-GB" w:eastAsia="en-GB"/>
    </w:rPr>
  </w:style>
  <w:style w:type="character" w:styleId="Strk">
    <w:name w:val="Strong"/>
    <w:uiPriority w:val="22"/>
    <w:qFormat/>
    <w:rsid w:val="00B91372"/>
    <w:rPr>
      <w:b/>
      <w:bCs/>
      <w:i w:val="0"/>
      <w:iCs w:val="0"/>
    </w:rPr>
  </w:style>
  <w:style w:type="paragraph" w:styleId="Listeafsnit">
    <w:name w:val="List Paragraph"/>
    <w:basedOn w:val="Normal"/>
    <w:uiPriority w:val="34"/>
    <w:qFormat/>
    <w:rsid w:val="00B64D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90035577">
      <w:bodyDiv w:val="1"/>
      <w:marLeft w:val="0"/>
      <w:marRight w:val="0"/>
      <w:marTop w:val="0"/>
      <w:marBottom w:val="0"/>
      <w:divBdr>
        <w:top w:val="none" w:sz="0" w:space="0" w:color="auto"/>
        <w:left w:val="none" w:sz="0" w:space="0" w:color="auto"/>
        <w:bottom w:val="none" w:sz="0" w:space="0" w:color="auto"/>
        <w:right w:val="none" w:sz="0" w:space="0" w:color="auto"/>
      </w:divBdr>
    </w:div>
    <w:div w:id="578902805">
      <w:bodyDiv w:val="1"/>
      <w:marLeft w:val="0"/>
      <w:marRight w:val="0"/>
      <w:marTop w:val="0"/>
      <w:marBottom w:val="0"/>
      <w:divBdr>
        <w:top w:val="none" w:sz="0" w:space="0" w:color="auto"/>
        <w:left w:val="none" w:sz="0" w:space="0" w:color="auto"/>
        <w:bottom w:val="none" w:sz="0" w:space="0" w:color="auto"/>
        <w:right w:val="none" w:sz="0" w:space="0" w:color="auto"/>
      </w:divBdr>
    </w:div>
    <w:div w:id="810093359">
      <w:bodyDiv w:val="1"/>
      <w:marLeft w:val="0"/>
      <w:marRight w:val="0"/>
      <w:marTop w:val="0"/>
      <w:marBottom w:val="0"/>
      <w:divBdr>
        <w:top w:val="none" w:sz="0" w:space="0" w:color="auto"/>
        <w:left w:val="none" w:sz="0" w:space="0" w:color="auto"/>
        <w:bottom w:val="none" w:sz="0" w:space="0" w:color="auto"/>
        <w:right w:val="none" w:sz="0" w:space="0" w:color="auto"/>
      </w:divBdr>
    </w:div>
    <w:div w:id="1168208803">
      <w:bodyDiv w:val="1"/>
      <w:marLeft w:val="0"/>
      <w:marRight w:val="0"/>
      <w:marTop w:val="0"/>
      <w:marBottom w:val="0"/>
      <w:divBdr>
        <w:top w:val="none" w:sz="0" w:space="0" w:color="auto"/>
        <w:left w:val="none" w:sz="0" w:space="0" w:color="auto"/>
        <w:bottom w:val="none" w:sz="0" w:space="0" w:color="auto"/>
        <w:right w:val="none" w:sz="0" w:space="0" w:color="auto"/>
      </w:divBdr>
    </w:div>
    <w:div w:id="1550527564">
      <w:bodyDiv w:val="1"/>
      <w:marLeft w:val="0"/>
      <w:marRight w:val="0"/>
      <w:marTop w:val="0"/>
      <w:marBottom w:val="0"/>
      <w:divBdr>
        <w:top w:val="none" w:sz="0" w:space="0" w:color="auto"/>
        <w:left w:val="none" w:sz="0" w:space="0" w:color="auto"/>
        <w:bottom w:val="none" w:sz="0" w:space="0" w:color="auto"/>
        <w:right w:val="none" w:sz="0" w:space="0" w:color="auto"/>
      </w:divBdr>
    </w:div>
    <w:div w:id="1564096685">
      <w:bodyDiv w:val="1"/>
      <w:marLeft w:val="0"/>
      <w:marRight w:val="0"/>
      <w:marTop w:val="0"/>
      <w:marBottom w:val="0"/>
      <w:divBdr>
        <w:top w:val="none" w:sz="0" w:space="0" w:color="auto"/>
        <w:left w:val="none" w:sz="0" w:space="0" w:color="auto"/>
        <w:bottom w:val="none" w:sz="0" w:space="0" w:color="auto"/>
        <w:right w:val="none" w:sz="0" w:space="0" w:color="auto"/>
      </w:divBdr>
      <w:divsChild>
        <w:div w:id="1424379481">
          <w:marLeft w:val="0"/>
          <w:marRight w:val="0"/>
          <w:marTop w:val="0"/>
          <w:marBottom w:val="0"/>
          <w:divBdr>
            <w:top w:val="none" w:sz="0" w:space="0" w:color="auto"/>
            <w:left w:val="none" w:sz="0" w:space="0" w:color="auto"/>
            <w:bottom w:val="none" w:sz="0" w:space="0" w:color="auto"/>
            <w:right w:val="none" w:sz="0" w:space="0" w:color="auto"/>
          </w:divBdr>
          <w:divsChild>
            <w:div w:id="96916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52208">
      <w:bodyDiv w:val="1"/>
      <w:marLeft w:val="0"/>
      <w:marRight w:val="0"/>
      <w:marTop w:val="0"/>
      <w:marBottom w:val="0"/>
      <w:divBdr>
        <w:top w:val="none" w:sz="0" w:space="0" w:color="auto"/>
        <w:left w:val="none" w:sz="0" w:space="0" w:color="auto"/>
        <w:bottom w:val="none" w:sz="0" w:space="0" w:color="auto"/>
        <w:right w:val="none" w:sz="0" w:space="0" w:color="auto"/>
      </w:divBdr>
    </w:div>
    <w:div w:id="1770660191">
      <w:bodyDiv w:val="1"/>
      <w:marLeft w:val="0"/>
      <w:marRight w:val="0"/>
      <w:marTop w:val="0"/>
      <w:marBottom w:val="0"/>
      <w:divBdr>
        <w:top w:val="none" w:sz="0" w:space="0" w:color="auto"/>
        <w:left w:val="none" w:sz="0" w:space="0" w:color="auto"/>
        <w:bottom w:val="none" w:sz="0" w:space="0" w:color="auto"/>
        <w:right w:val="none" w:sz="0" w:space="0" w:color="auto"/>
      </w:divBdr>
    </w:div>
    <w:div w:id="1887714347">
      <w:bodyDiv w:val="1"/>
      <w:marLeft w:val="0"/>
      <w:marRight w:val="0"/>
      <w:marTop w:val="0"/>
      <w:marBottom w:val="0"/>
      <w:divBdr>
        <w:top w:val="none" w:sz="0" w:space="0" w:color="auto"/>
        <w:left w:val="none" w:sz="0" w:space="0" w:color="auto"/>
        <w:bottom w:val="none" w:sz="0" w:space="0" w:color="auto"/>
        <w:right w:val="none" w:sz="0" w:space="0" w:color="auto"/>
      </w:divBdr>
      <w:divsChild>
        <w:div w:id="1619487237">
          <w:marLeft w:val="0"/>
          <w:marRight w:val="0"/>
          <w:marTop w:val="0"/>
          <w:marBottom w:val="0"/>
          <w:divBdr>
            <w:top w:val="none" w:sz="0" w:space="0" w:color="auto"/>
            <w:left w:val="none" w:sz="0" w:space="0" w:color="auto"/>
            <w:bottom w:val="none" w:sz="0" w:space="0" w:color="auto"/>
            <w:right w:val="none" w:sz="0" w:space="0" w:color="auto"/>
          </w:divBdr>
          <w:divsChild>
            <w:div w:id="28307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41</Pages>
  <Words>14677</Words>
  <Characters>89535</Characters>
  <Application>Microsoft Office Word</Application>
  <DocSecurity>0</DocSecurity>
  <Lines>746</Lines>
  <Paragraphs>208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2023084269_x000d_
Pkt. 4.3, 4.4, 4.5, 4.6, 4.8</dc:description>
  <cp:lastModifiedBy>Iman El Kadiri</cp:lastModifiedBy>
  <cp:revision>5</cp:revision>
  <cp:lastPrinted>2012-08-22T08:53:00Z</cp:lastPrinted>
  <dcterms:created xsi:type="dcterms:W3CDTF">2024-07-10T09:46:00Z</dcterms:created>
  <dcterms:modified xsi:type="dcterms:W3CDTF">2024-07-16T08:24:00Z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