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303008" w:rsidRDefault="00056601" w:rsidP="004A3BF4">
      <w:pPr>
        <w:rPr>
          <w:sz w:val="24"/>
          <w:szCs w:val="24"/>
          <w:lang w:val="en-GB"/>
        </w:rPr>
      </w:pPr>
      <w:r w:rsidRPr="00303008">
        <w:rPr>
          <w:noProof/>
          <w:sz w:val="24"/>
          <w:szCs w:val="24"/>
          <w:lang w:val="en-GB"/>
        </w:rPr>
        <w:drawing>
          <wp:inline distT="0" distB="0" distL="0" distR="0" wp14:anchorId="3F9BDF2C" wp14:editId="59CD751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303008" w:rsidRDefault="006B3847" w:rsidP="006B3847">
      <w:pPr>
        <w:rPr>
          <w:sz w:val="24"/>
          <w:szCs w:val="24"/>
          <w:lang w:val="en-GB"/>
        </w:rPr>
      </w:pPr>
    </w:p>
    <w:p w:rsidR="006B3847" w:rsidRPr="00303008" w:rsidRDefault="006B3847" w:rsidP="006B3847">
      <w:pPr>
        <w:tabs>
          <w:tab w:val="right" w:pos="9356"/>
        </w:tabs>
        <w:rPr>
          <w:b/>
          <w:sz w:val="24"/>
          <w:szCs w:val="24"/>
          <w:lang w:val="en-GB"/>
        </w:rPr>
      </w:pPr>
      <w:r w:rsidRPr="00303008">
        <w:rPr>
          <w:b/>
          <w:sz w:val="24"/>
          <w:szCs w:val="24"/>
          <w:lang w:val="en-GB"/>
        </w:rPr>
        <w:tab/>
      </w:r>
      <w:r w:rsidR="00FF7AE8">
        <w:rPr>
          <w:b/>
          <w:sz w:val="24"/>
          <w:szCs w:val="24"/>
          <w:lang w:val="en-GB"/>
        </w:rPr>
        <w:t>14 October 2022</w:t>
      </w:r>
    </w:p>
    <w:p w:rsidR="006B3847" w:rsidRPr="00303008" w:rsidRDefault="006B3847" w:rsidP="006B3847">
      <w:pPr>
        <w:rPr>
          <w:sz w:val="24"/>
          <w:szCs w:val="24"/>
          <w:lang w:val="en-GB"/>
        </w:rPr>
      </w:pPr>
    </w:p>
    <w:p w:rsidR="007C5D2A" w:rsidRPr="00303008" w:rsidRDefault="007C5D2A" w:rsidP="007C5D2A">
      <w:pPr>
        <w:rPr>
          <w:sz w:val="24"/>
          <w:szCs w:val="24"/>
          <w:lang w:val="en-GB"/>
        </w:rPr>
      </w:pPr>
    </w:p>
    <w:p w:rsidR="007C5D2A" w:rsidRPr="00303008" w:rsidRDefault="007C5D2A" w:rsidP="007C5D2A">
      <w:pPr>
        <w:rPr>
          <w:sz w:val="24"/>
          <w:szCs w:val="24"/>
          <w:lang w:val="en-GB"/>
        </w:rPr>
      </w:pPr>
    </w:p>
    <w:p w:rsidR="007C5D2A" w:rsidRPr="00303008" w:rsidRDefault="007C5D2A" w:rsidP="007C5D2A">
      <w:pPr>
        <w:jc w:val="center"/>
        <w:rPr>
          <w:b/>
          <w:sz w:val="24"/>
          <w:szCs w:val="24"/>
          <w:lang w:val="en-GB"/>
        </w:rPr>
      </w:pPr>
      <w:bookmarkStart w:id="0" w:name="_Hlk49158549"/>
      <w:r w:rsidRPr="00303008">
        <w:rPr>
          <w:b/>
          <w:sz w:val="24"/>
          <w:szCs w:val="24"/>
          <w:lang w:val="en-GB"/>
        </w:rPr>
        <w:t>SUMMARY OF PRODUCT CHARACTERISTICS</w:t>
      </w:r>
    </w:p>
    <w:bookmarkEnd w:id="0"/>
    <w:p w:rsidR="007C5D2A" w:rsidRPr="00303008" w:rsidRDefault="007C5D2A" w:rsidP="007C5D2A">
      <w:pPr>
        <w:jc w:val="center"/>
        <w:rPr>
          <w:sz w:val="24"/>
          <w:szCs w:val="24"/>
          <w:lang w:val="en-GB"/>
        </w:rPr>
      </w:pPr>
    </w:p>
    <w:p w:rsidR="007C5D2A" w:rsidRPr="00303008" w:rsidRDefault="007C5D2A" w:rsidP="007C5D2A">
      <w:pPr>
        <w:jc w:val="center"/>
        <w:rPr>
          <w:b/>
          <w:sz w:val="24"/>
          <w:szCs w:val="24"/>
          <w:lang w:val="en-GB"/>
        </w:rPr>
      </w:pPr>
      <w:r w:rsidRPr="00303008">
        <w:rPr>
          <w:b/>
          <w:sz w:val="24"/>
          <w:szCs w:val="24"/>
          <w:lang w:val="en-GB"/>
        </w:rPr>
        <w:t>for</w:t>
      </w:r>
    </w:p>
    <w:p w:rsidR="007C5D2A" w:rsidRPr="00303008" w:rsidRDefault="007C5D2A" w:rsidP="007C5D2A">
      <w:pPr>
        <w:jc w:val="center"/>
        <w:rPr>
          <w:sz w:val="24"/>
          <w:szCs w:val="24"/>
          <w:lang w:val="en-GB"/>
        </w:rPr>
      </w:pPr>
    </w:p>
    <w:p w:rsidR="00ED33A4" w:rsidRPr="001E3217" w:rsidRDefault="00ED33A4" w:rsidP="00ED33A4">
      <w:pPr>
        <w:jc w:val="center"/>
        <w:rPr>
          <w:b/>
          <w:sz w:val="24"/>
          <w:szCs w:val="24"/>
          <w:lang w:val="en-US"/>
        </w:rPr>
      </w:pPr>
      <w:r w:rsidRPr="001E3217">
        <w:rPr>
          <w:b/>
          <w:sz w:val="24"/>
          <w:szCs w:val="24"/>
          <w:lang w:val="en-US"/>
        </w:rPr>
        <w:t>Dasatinib "Teva B.V.", filmcoated tablets</w:t>
      </w:r>
    </w:p>
    <w:p w:rsidR="007C5D2A" w:rsidRPr="001E3217" w:rsidRDefault="007C5D2A" w:rsidP="007C5D2A">
      <w:pPr>
        <w:jc w:val="both"/>
        <w:rPr>
          <w:sz w:val="24"/>
          <w:szCs w:val="24"/>
          <w:lang w:val="en-US"/>
        </w:rPr>
      </w:pPr>
    </w:p>
    <w:p w:rsidR="0042292D" w:rsidRPr="001E3217" w:rsidRDefault="0042292D" w:rsidP="007C5D2A">
      <w:pPr>
        <w:jc w:val="both"/>
        <w:rPr>
          <w:sz w:val="24"/>
          <w:szCs w:val="24"/>
          <w:lang w:val="en-US"/>
        </w:rPr>
      </w:pPr>
    </w:p>
    <w:p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t>D.SP.NO.</w:t>
      </w:r>
    </w:p>
    <w:p w:rsidR="008F2F8C" w:rsidRPr="00303008" w:rsidRDefault="001E3217" w:rsidP="008F2F8C">
      <w:pPr>
        <w:tabs>
          <w:tab w:val="left" w:pos="8222"/>
        </w:tabs>
        <w:ind w:left="851"/>
        <w:rPr>
          <w:sz w:val="24"/>
          <w:szCs w:val="24"/>
          <w:lang w:val="en-GB"/>
        </w:rPr>
      </w:pPr>
      <w:r>
        <w:rPr>
          <w:sz w:val="24"/>
          <w:szCs w:val="24"/>
          <w:lang w:val="en-GB"/>
        </w:rPr>
        <w:t>31218</w:t>
      </w:r>
    </w:p>
    <w:p w:rsidR="007C5D2A" w:rsidRPr="00303008" w:rsidRDefault="007C5D2A" w:rsidP="007C5D2A">
      <w:pPr>
        <w:tabs>
          <w:tab w:val="left" w:pos="851"/>
        </w:tabs>
        <w:jc w:val="both"/>
        <w:rPr>
          <w:sz w:val="24"/>
          <w:szCs w:val="24"/>
          <w:lang w:val="en-GB"/>
        </w:rPr>
      </w:pPr>
    </w:p>
    <w:p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rsidR="00297257" w:rsidRPr="00F430C7" w:rsidRDefault="00297257" w:rsidP="00297257">
      <w:pPr>
        <w:tabs>
          <w:tab w:val="left" w:pos="851"/>
        </w:tabs>
        <w:ind w:left="851"/>
        <w:rPr>
          <w:sz w:val="24"/>
          <w:szCs w:val="24"/>
          <w:lang w:val="en-US"/>
        </w:rPr>
      </w:pPr>
      <w:r w:rsidRPr="00F430C7">
        <w:rPr>
          <w:sz w:val="24"/>
          <w:szCs w:val="24"/>
          <w:lang w:val="en-US"/>
        </w:rPr>
        <w:t>Dasatinib "Teva B.V."</w:t>
      </w:r>
    </w:p>
    <w:p w:rsidR="007C5D2A" w:rsidRPr="00303008" w:rsidRDefault="007C5D2A" w:rsidP="004A3BF4">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rsidR="00297257" w:rsidRPr="00297257" w:rsidRDefault="00297257" w:rsidP="00297257">
      <w:pPr>
        <w:tabs>
          <w:tab w:val="left" w:pos="851"/>
        </w:tabs>
        <w:ind w:left="851"/>
        <w:rPr>
          <w:sz w:val="24"/>
          <w:szCs w:val="24"/>
          <w:lang w:val="en-US"/>
        </w:rPr>
      </w:pPr>
    </w:p>
    <w:p w:rsidR="00297257" w:rsidRPr="00297257" w:rsidRDefault="00297257" w:rsidP="00297257">
      <w:pPr>
        <w:tabs>
          <w:tab w:val="left" w:pos="851"/>
        </w:tabs>
        <w:ind w:left="851"/>
        <w:rPr>
          <w:sz w:val="24"/>
          <w:szCs w:val="24"/>
          <w:u w:val="single"/>
          <w:lang w:val="en-US"/>
        </w:rPr>
      </w:pPr>
      <w:r w:rsidRPr="00297257">
        <w:rPr>
          <w:sz w:val="24"/>
          <w:szCs w:val="24"/>
          <w:u w:val="single"/>
          <w:lang w:val="en-US"/>
        </w:rPr>
        <w:t>Dasatinib "Teva B.V." 20 mg film-coated tablets</w:t>
      </w:r>
    </w:p>
    <w:p w:rsidR="00297257" w:rsidRPr="00297257" w:rsidRDefault="00297257" w:rsidP="00297257">
      <w:pPr>
        <w:tabs>
          <w:tab w:val="left" w:pos="851"/>
        </w:tabs>
        <w:ind w:left="851"/>
        <w:rPr>
          <w:sz w:val="24"/>
          <w:szCs w:val="24"/>
          <w:lang w:val="en-US"/>
        </w:rPr>
      </w:pPr>
      <w:r w:rsidRPr="00297257">
        <w:rPr>
          <w:sz w:val="24"/>
          <w:szCs w:val="24"/>
          <w:lang w:val="en-US"/>
        </w:rPr>
        <w:t>Each film-coated tablet contains dasatinib anhydrous equivalent to 20 mg dasatinib.</w:t>
      </w:r>
    </w:p>
    <w:p w:rsidR="00297257" w:rsidRPr="00297257" w:rsidRDefault="00297257" w:rsidP="00297257">
      <w:pPr>
        <w:tabs>
          <w:tab w:val="left" w:pos="851"/>
        </w:tabs>
        <w:ind w:left="851"/>
        <w:rPr>
          <w:sz w:val="24"/>
          <w:szCs w:val="24"/>
          <w:lang w:val="en-US"/>
        </w:rPr>
      </w:pPr>
    </w:p>
    <w:p w:rsidR="00297257" w:rsidRPr="009611C5" w:rsidRDefault="00297257" w:rsidP="00297257">
      <w:pPr>
        <w:tabs>
          <w:tab w:val="left" w:pos="851"/>
        </w:tabs>
        <w:ind w:left="851"/>
        <w:rPr>
          <w:i/>
          <w:sz w:val="24"/>
          <w:szCs w:val="24"/>
          <w:lang w:val="en-US"/>
        </w:rPr>
      </w:pPr>
      <w:r w:rsidRPr="009611C5">
        <w:rPr>
          <w:i/>
          <w:sz w:val="24"/>
          <w:szCs w:val="24"/>
          <w:lang w:val="en-US"/>
        </w:rPr>
        <w:t>Excipient with known effect</w:t>
      </w:r>
    </w:p>
    <w:p w:rsidR="00297257" w:rsidRPr="00297257" w:rsidRDefault="00297257" w:rsidP="00297257">
      <w:pPr>
        <w:tabs>
          <w:tab w:val="left" w:pos="851"/>
        </w:tabs>
        <w:ind w:left="851"/>
        <w:rPr>
          <w:sz w:val="24"/>
          <w:szCs w:val="24"/>
          <w:lang w:val="en-US"/>
        </w:rPr>
      </w:pPr>
      <w:r w:rsidRPr="00297257">
        <w:rPr>
          <w:sz w:val="24"/>
          <w:szCs w:val="24"/>
          <w:lang w:val="en-US"/>
        </w:rPr>
        <w:t>Each film-coated tablet contains 27 mg of lactose monohydrate and approximately 0.0161 mg sodium.</w:t>
      </w:r>
    </w:p>
    <w:p w:rsidR="00297257" w:rsidRPr="00297257" w:rsidRDefault="00297257" w:rsidP="00297257">
      <w:pPr>
        <w:tabs>
          <w:tab w:val="left" w:pos="851"/>
        </w:tabs>
        <w:ind w:left="851"/>
        <w:rPr>
          <w:sz w:val="24"/>
          <w:szCs w:val="24"/>
          <w:u w:val="single"/>
          <w:lang w:val="en-US"/>
        </w:rPr>
      </w:pPr>
    </w:p>
    <w:p w:rsidR="00297257" w:rsidRPr="00297257" w:rsidRDefault="00297257" w:rsidP="00297257">
      <w:pPr>
        <w:tabs>
          <w:tab w:val="left" w:pos="851"/>
        </w:tabs>
        <w:ind w:left="851"/>
        <w:rPr>
          <w:sz w:val="24"/>
          <w:szCs w:val="24"/>
          <w:u w:val="single"/>
          <w:lang w:val="en-US"/>
        </w:rPr>
      </w:pPr>
      <w:r w:rsidRPr="00297257">
        <w:rPr>
          <w:sz w:val="24"/>
          <w:szCs w:val="24"/>
          <w:u w:val="single"/>
          <w:lang w:val="en-US"/>
        </w:rPr>
        <w:t>Dasatinib "Teva B.V." 50 mg film-coated tablets</w:t>
      </w:r>
    </w:p>
    <w:p w:rsidR="00297257" w:rsidRPr="00297257" w:rsidRDefault="00297257" w:rsidP="00297257">
      <w:pPr>
        <w:tabs>
          <w:tab w:val="left" w:pos="851"/>
        </w:tabs>
        <w:ind w:left="851"/>
        <w:rPr>
          <w:sz w:val="24"/>
          <w:szCs w:val="24"/>
          <w:lang w:val="en-US"/>
        </w:rPr>
      </w:pPr>
      <w:r w:rsidRPr="00297257">
        <w:rPr>
          <w:sz w:val="24"/>
          <w:szCs w:val="24"/>
          <w:lang w:val="en-US"/>
        </w:rPr>
        <w:t>Each film-coated tablet contains dasatinib anhydrous equivalent to 50 mg dasatinib.</w:t>
      </w:r>
    </w:p>
    <w:p w:rsidR="00297257" w:rsidRPr="00297257" w:rsidRDefault="00297257" w:rsidP="00297257">
      <w:pPr>
        <w:tabs>
          <w:tab w:val="left" w:pos="851"/>
        </w:tabs>
        <w:ind w:left="851"/>
        <w:rPr>
          <w:sz w:val="24"/>
          <w:szCs w:val="24"/>
          <w:lang w:val="en-US"/>
        </w:rPr>
      </w:pPr>
    </w:p>
    <w:p w:rsidR="00297257" w:rsidRPr="009611C5" w:rsidRDefault="00297257" w:rsidP="00297257">
      <w:pPr>
        <w:tabs>
          <w:tab w:val="left" w:pos="851"/>
        </w:tabs>
        <w:ind w:left="851"/>
        <w:rPr>
          <w:i/>
          <w:sz w:val="24"/>
          <w:szCs w:val="24"/>
          <w:lang w:val="en-US"/>
        </w:rPr>
      </w:pPr>
      <w:r w:rsidRPr="009611C5">
        <w:rPr>
          <w:i/>
          <w:sz w:val="24"/>
          <w:szCs w:val="24"/>
          <w:lang w:val="en-US"/>
        </w:rPr>
        <w:t>Excipient with known effect</w:t>
      </w:r>
    </w:p>
    <w:p w:rsidR="00297257" w:rsidRPr="00297257" w:rsidRDefault="00297257" w:rsidP="00297257">
      <w:pPr>
        <w:tabs>
          <w:tab w:val="left" w:pos="851"/>
        </w:tabs>
        <w:ind w:left="851"/>
        <w:rPr>
          <w:sz w:val="24"/>
          <w:szCs w:val="24"/>
          <w:lang w:val="en-US"/>
        </w:rPr>
      </w:pPr>
      <w:r w:rsidRPr="00297257">
        <w:rPr>
          <w:sz w:val="24"/>
          <w:szCs w:val="24"/>
          <w:lang w:val="en-US"/>
        </w:rPr>
        <w:t>Each film-coated tablet contains 67.5 mg of lactose monohydrate and approximately 0.0403 mg sodium.</w:t>
      </w:r>
    </w:p>
    <w:p w:rsidR="00297257" w:rsidRPr="00297257" w:rsidRDefault="00297257" w:rsidP="00297257">
      <w:pPr>
        <w:tabs>
          <w:tab w:val="left" w:pos="851"/>
        </w:tabs>
        <w:ind w:left="851"/>
        <w:rPr>
          <w:sz w:val="24"/>
          <w:szCs w:val="24"/>
          <w:u w:val="single"/>
          <w:lang w:val="en-US"/>
        </w:rPr>
      </w:pPr>
    </w:p>
    <w:p w:rsidR="00297257" w:rsidRPr="00297257" w:rsidRDefault="00297257" w:rsidP="00297257">
      <w:pPr>
        <w:tabs>
          <w:tab w:val="left" w:pos="851"/>
        </w:tabs>
        <w:ind w:left="851"/>
        <w:rPr>
          <w:sz w:val="24"/>
          <w:szCs w:val="24"/>
          <w:u w:val="single"/>
          <w:lang w:val="en-US"/>
        </w:rPr>
      </w:pPr>
      <w:r w:rsidRPr="00297257">
        <w:rPr>
          <w:sz w:val="24"/>
          <w:szCs w:val="24"/>
          <w:u w:val="single"/>
          <w:lang w:val="en-US"/>
        </w:rPr>
        <w:t>Dasatinib "Teva B.V." 70 mg film-coated tablets</w:t>
      </w:r>
    </w:p>
    <w:p w:rsidR="00297257" w:rsidRPr="00297257" w:rsidRDefault="00297257" w:rsidP="00297257">
      <w:pPr>
        <w:tabs>
          <w:tab w:val="left" w:pos="851"/>
        </w:tabs>
        <w:ind w:left="851"/>
        <w:rPr>
          <w:sz w:val="24"/>
          <w:szCs w:val="24"/>
          <w:lang w:val="en-US"/>
        </w:rPr>
      </w:pPr>
      <w:r w:rsidRPr="00297257">
        <w:rPr>
          <w:sz w:val="24"/>
          <w:szCs w:val="24"/>
          <w:lang w:val="en-US"/>
        </w:rPr>
        <w:t>Each film-coated tablet contains dasatinib anhydrous equivalent to 70 mg dasatinib.</w:t>
      </w:r>
    </w:p>
    <w:p w:rsidR="00297257" w:rsidRPr="00297257" w:rsidRDefault="00297257" w:rsidP="00297257">
      <w:pPr>
        <w:tabs>
          <w:tab w:val="left" w:pos="851"/>
        </w:tabs>
        <w:ind w:left="851"/>
        <w:rPr>
          <w:sz w:val="24"/>
          <w:szCs w:val="24"/>
          <w:lang w:val="en-US"/>
        </w:rPr>
      </w:pPr>
    </w:p>
    <w:p w:rsidR="00297257" w:rsidRPr="009611C5" w:rsidRDefault="00297257" w:rsidP="00297257">
      <w:pPr>
        <w:tabs>
          <w:tab w:val="left" w:pos="851"/>
        </w:tabs>
        <w:ind w:left="851"/>
        <w:rPr>
          <w:i/>
          <w:sz w:val="24"/>
          <w:szCs w:val="24"/>
          <w:lang w:val="en-US"/>
        </w:rPr>
      </w:pPr>
      <w:r w:rsidRPr="009611C5">
        <w:rPr>
          <w:i/>
          <w:sz w:val="24"/>
          <w:szCs w:val="24"/>
          <w:lang w:val="en-US"/>
        </w:rPr>
        <w:t>Excipient with known effect</w:t>
      </w:r>
    </w:p>
    <w:p w:rsidR="00297257" w:rsidRPr="00297257" w:rsidRDefault="00297257" w:rsidP="00297257">
      <w:pPr>
        <w:tabs>
          <w:tab w:val="left" w:pos="851"/>
        </w:tabs>
        <w:ind w:left="851"/>
        <w:rPr>
          <w:sz w:val="24"/>
          <w:szCs w:val="24"/>
          <w:lang w:val="en-US"/>
        </w:rPr>
      </w:pPr>
      <w:r w:rsidRPr="00297257">
        <w:rPr>
          <w:sz w:val="24"/>
          <w:szCs w:val="24"/>
          <w:lang w:val="en-US"/>
        </w:rPr>
        <w:t>Each film-coated tablet contains 94.5 mg of lactose monohydrate and approximately 0.0564 mg sodium.</w:t>
      </w:r>
    </w:p>
    <w:p w:rsidR="00297257" w:rsidRPr="00297257" w:rsidRDefault="00297257" w:rsidP="00297257">
      <w:pPr>
        <w:tabs>
          <w:tab w:val="left" w:pos="851"/>
        </w:tabs>
        <w:ind w:left="851"/>
        <w:rPr>
          <w:sz w:val="24"/>
          <w:szCs w:val="24"/>
          <w:u w:val="single"/>
          <w:lang w:val="en-US"/>
        </w:rPr>
      </w:pPr>
    </w:p>
    <w:p w:rsidR="00297257" w:rsidRPr="00297257" w:rsidRDefault="00297257" w:rsidP="00297257">
      <w:pPr>
        <w:tabs>
          <w:tab w:val="left" w:pos="851"/>
        </w:tabs>
        <w:ind w:left="851"/>
        <w:rPr>
          <w:sz w:val="24"/>
          <w:szCs w:val="24"/>
          <w:u w:val="single"/>
          <w:lang w:val="en-US"/>
        </w:rPr>
      </w:pPr>
      <w:r w:rsidRPr="00297257">
        <w:rPr>
          <w:sz w:val="24"/>
          <w:szCs w:val="24"/>
          <w:u w:val="single"/>
          <w:lang w:val="en-US"/>
        </w:rPr>
        <w:t>Dasatinib "Teva B.V." 80 mg film-coated tablets</w:t>
      </w:r>
    </w:p>
    <w:p w:rsidR="00297257" w:rsidRPr="00297257" w:rsidRDefault="00297257" w:rsidP="00297257">
      <w:pPr>
        <w:tabs>
          <w:tab w:val="left" w:pos="851"/>
        </w:tabs>
        <w:ind w:left="851"/>
        <w:rPr>
          <w:sz w:val="24"/>
          <w:szCs w:val="24"/>
          <w:lang w:val="en-US"/>
        </w:rPr>
      </w:pPr>
      <w:r w:rsidRPr="00297257">
        <w:rPr>
          <w:sz w:val="24"/>
          <w:szCs w:val="24"/>
          <w:lang w:val="en-US"/>
        </w:rPr>
        <w:t>Each film-coated tablet contains dasatinib anhydrous equivalent to 80 mg dasatinib.</w:t>
      </w:r>
    </w:p>
    <w:p w:rsidR="00297257" w:rsidRPr="00297257" w:rsidRDefault="00297257" w:rsidP="00297257">
      <w:pPr>
        <w:tabs>
          <w:tab w:val="left" w:pos="851"/>
        </w:tabs>
        <w:ind w:left="851"/>
        <w:rPr>
          <w:sz w:val="24"/>
          <w:szCs w:val="24"/>
          <w:lang w:val="en-US"/>
        </w:rPr>
      </w:pPr>
    </w:p>
    <w:p w:rsidR="00297257" w:rsidRPr="009611C5" w:rsidRDefault="00297257" w:rsidP="00297257">
      <w:pPr>
        <w:tabs>
          <w:tab w:val="left" w:pos="851"/>
        </w:tabs>
        <w:ind w:left="851"/>
        <w:rPr>
          <w:i/>
          <w:sz w:val="24"/>
          <w:szCs w:val="24"/>
          <w:lang w:val="en-US"/>
        </w:rPr>
      </w:pPr>
      <w:r w:rsidRPr="009611C5">
        <w:rPr>
          <w:i/>
          <w:sz w:val="24"/>
          <w:szCs w:val="24"/>
          <w:lang w:val="en-US"/>
        </w:rPr>
        <w:t>Excipient with known effect</w:t>
      </w:r>
    </w:p>
    <w:p w:rsidR="00297257" w:rsidRPr="00297257" w:rsidRDefault="00297257" w:rsidP="00297257">
      <w:pPr>
        <w:tabs>
          <w:tab w:val="left" w:pos="851"/>
        </w:tabs>
        <w:ind w:left="851"/>
        <w:rPr>
          <w:sz w:val="24"/>
          <w:szCs w:val="24"/>
          <w:lang w:val="en-US"/>
        </w:rPr>
      </w:pPr>
      <w:r w:rsidRPr="00297257">
        <w:rPr>
          <w:sz w:val="24"/>
          <w:szCs w:val="24"/>
          <w:lang w:val="en-US"/>
        </w:rPr>
        <w:t>Each film-coated tablet contains 108 mg of lactose monohydrate and approximately 0.0645 mg sodium.</w:t>
      </w:r>
    </w:p>
    <w:p w:rsidR="00297257" w:rsidRPr="00297257" w:rsidRDefault="00297257" w:rsidP="00297257">
      <w:pPr>
        <w:tabs>
          <w:tab w:val="left" w:pos="851"/>
        </w:tabs>
        <w:ind w:left="851"/>
        <w:rPr>
          <w:sz w:val="24"/>
          <w:szCs w:val="24"/>
          <w:u w:val="single"/>
          <w:lang w:val="en-US"/>
        </w:rPr>
      </w:pPr>
    </w:p>
    <w:p w:rsidR="00297257" w:rsidRPr="00297257" w:rsidRDefault="00297257" w:rsidP="00297257">
      <w:pPr>
        <w:tabs>
          <w:tab w:val="left" w:pos="851"/>
        </w:tabs>
        <w:ind w:left="851"/>
        <w:rPr>
          <w:sz w:val="24"/>
          <w:szCs w:val="24"/>
          <w:u w:val="single"/>
          <w:lang w:val="en-US"/>
        </w:rPr>
      </w:pPr>
      <w:r w:rsidRPr="00297257">
        <w:rPr>
          <w:sz w:val="24"/>
          <w:szCs w:val="24"/>
          <w:u w:val="single"/>
          <w:lang w:val="en-US"/>
        </w:rPr>
        <w:t>Dasatinib "Teva B.V." 100 mg film-coated tablets</w:t>
      </w:r>
    </w:p>
    <w:p w:rsidR="00297257" w:rsidRPr="00297257" w:rsidRDefault="00297257" w:rsidP="00297257">
      <w:pPr>
        <w:tabs>
          <w:tab w:val="left" w:pos="851"/>
        </w:tabs>
        <w:ind w:left="851"/>
        <w:rPr>
          <w:sz w:val="24"/>
          <w:szCs w:val="24"/>
          <w:lang w:val="en-US"/>
        </w:rPr>
      </w:pPr>
      <w:r w:rsidRPr="00297257">
        <w:rPr>
          <w:sz w:val="24"/>
          <w:szCs w:val="24"/>
          <w:lang w:val="en-US"/>
        </w:rPr>
        <w:t>Each film-coated tablet contains dasatinib anhydrous equivalent to 100 mg dasatinib.</w:t>
      </w:r>
    </w:p>
    <w:p w:rsidR="00297257" w:rsidRPr="00297257" w:rsidRDefault="00297257" w:rsidP="00297257">
      <w:pPr>
        <w:tabs>
          <w:tab w:val="left" w:pos="851"/>
        </w:tabs>
        <w:ind w:left="851"/>
        <w:rPr>
          <w:sz w:val="24"/>
          <w:szCs w:val="24"/>
          <w:lang w:val="en-US"/>
        </w:rPr>
      </w:pPr>
    </w:p>
    <w:p w:rsidR="00297257" w:rsidRPr="009611C5" w:rsidRDefault="00297257" w:rsidP="00297257">
      <w:pPr>
        <w:tabs>
          <w:tab w:val="left" w:pos="851"/>
        </w:tabs>
        <w:ind w:left="851"/>
        <w:rPr>
          <w:i/>
          <w:sz w:val="24"/>
          <w:szCs w:val="24"/>
          <w:lang w:val="en-US"/>
        </w:rPr>
      </w:pPr>
      <w:r w:rsidRPr="009611C5">
        <w:rPr>
          <w:i/>
          <w:sz w:val="24"/>
          <w:szCs w:val="24"/>
          <w:lang w:val="en-US"/>
        </w:rPr>
        <w:t>Excipient with known effect</w:t>
      </w:r>
    </w:p>
    <w:p w:rsidR="00297257" w:rsidRPr="00297257" w:rsidRDefault="00297257" w:rsidP="00297257">
      <w:pPr>
        <w:tabs>
          <w:tab w:val="left" w:pos="851"/>
        </w:tabs>
        <w:ind w:left="851"/>
        <w:rPr>
          <w:sz w:val="24"/>
          <w:szCs w:val="24"/>
          <w:lang w:val="en-US"/>
        </w:rPr>
      </w:pPr>
      <w:r w:rsidRPr="00297257">
        <w:rPr>
          <w:sz w:val="24"/>
          <w:szCs w:val="24"/>
          <w:lang w:val="en-US"/>
        </w:rPr>
        <w:t>Each film-coated tablet contains 135.0 mg of lactose monohydrate and approximately 0.0806 mg sodium.</w:t>
      </w:r>
    </w:p>
    <w:p w:rsidR="00297257" w:rsidRPr="00297257" w:rsidRDefault="00297257" w:rsidP="00297257">
      <w:pPr>
        <w:tabs>
          <w:tab w:val="left" w:pos="851"/>
        </w:tabs>
        <w:ind w:left="851"/>
        <w:rPr>
          <w:sz w:val="24"/>
          <w:szCs w:val="24"/>
          <w:u w:val="single"/>
          <w:lang w:val="en-US"/>
        </w:rPr>
      </w:pPr>
    </w:p>
    <w:p w:rsidR="00297257" w:rsidRPr="00297257" w:rsidRDefault="00297257" w:rsidP="00297257">
      <w:pPr>
        <w:tabs>
          <w:tab w:val="left" w:pos="851"/>
        </w:tabs>
        <w:ind w:left="851"/>
        <w:rPr>
          <w:sz w:val="24"/>
          <w:szCs w:val="24"/>
          <w:u w:val="single"/>
          <w:lang w:val="en-US"/>
        </w:rPr>
      </w:pPr>
      <w:r w:rsidRPr="00297257">
        <w:rPr>
          <w:sz w:val="24"/>
          <w:szCs w:val="24"/>
          <w:u w:val="single"/>
          <w:lang w:val="en-US"/>
        </w:rPr>
        <w:t>Dasatinib "Teva B.V." 140 mg film-coated tablets</w:t>
      </w:r>
    </w:p>
    <w:p w:rsidR="00297257" w:rsidRPr="00297257" w:rsidRDefault="00297257" w:rsidP="00297257">
      <w:pPr>
        <w:tabs>
          <w:tab w:val="left" w:pos="851"/>
        </w:tabs>
        <w:ind w:left="851"/>
        <w:rPr>
          <w:sz w:val="24"/>
          <w:szCs w:val="24"/>
          <w:lang w:val="en-US"/>
        </w:rPr>
      </w:pPr>
      <w:r w:rsidRPr="00297257">
        <w:rPr>
          <w:sz w:val="24"/>
          <w:szCs w:val="24"/>
          <w:lang w:val="en-US"/>
        </w:rPr>
        <w:t>Each film-coated tablet contains dasatinib anhydrous equivalent to 140 mg dasatinib.</w:t>
      </w:r>
    </w:p>
    <w:p w:rsidR="00297257" w:rsidRPr="00297257" w:rsidRDefault="00297257" w:rsidP="00297257">
      <w:pPr>
        <w:tabs>
          <w:tab w:val="left" w:pos="851"/>
        </w:tabs>
        <w:ind w:left="851"/>
        <w:rPr>
          <w:sz w:val="24"/>
          <w:szCs w:val="24"/>
          <w:lang w:val="en-US"/>
        </w:rPr>
      </w:pPr>
    </w:p>
    <w:p w:rsidR="00297257" w:rsidRPr="009611C5" w:rsidRDefault="00297257" w:rsidP="00297257">
      <w:pPr>
        <w:tabs>
          <w:tab w:val="left" w:pos="851"/>
        </w:tabs>
        <w:ind w:left="851"/>
        <w:rPr>
          <w:i/>
          <w:sz w:val="24"/>
          <w:szCs w:val="24"/>
          <w:lang w:val="en-US"/>
        </w:rPr>
      </w:pPr>
      <w:r w:rsidRPr="009611C5">
        <w:rPr>
          <w:i/>
          <w:sz w:val="24"/>
          <w:szCs w:val="24"/>
          <w:lang w:val="en-US"/>
        </w:rPr>
        <w:t>Excipient with known effect</w:t>
      </w:r>
    </w:p>
    <w:p w:rsidR="00297257" w:rsidRPr="00297257" w:rsidRDefault="00297257" w:rsidP="00297257">
      <w:pPr>
        <w:tabs>
          <w:tab w:val="left" w:pos="851"/>
        </w:tabs>
        <w:ind w:left="851"/>
        <w:rPr>
          <w:sz w:val="24"/>
          <w:szCs w:val="24"/>
          <w:lang w:val="en-US"/>
        </w:rPr>
      </w:pPr>
      <w:r w:rsidRPr="00297257">
        <w:rPr>
          <w:sz w:val="24"/>
          <w:szCs w:val="24"/>
          <w:lang w:val="en-US"/>
        </w:rPr>
        <w:t xml:space="preserve">Each film-coated tablet contains 189 mg of lactose monohydrate and approximately 0.1129 mg sodium. </w:t>
      </w:r>
    </w:p>
    <w:p w:rsidR="00297257" w:rsidRPr="00297257" w:rsidRDefault="00297257" w:rsidP="00297257">
      <w:pPr>
        <w:tabs>
          <w:tab w:val="left" w:pos="851"/>
        </w:tabs>
        <w:ind w:left="851"/>
        <w:rPr>
          <w:sz w:val="24"/>
          <w:szCs w:val="24"/>
          <w:lang w:val="en-US"/>
        </w:rPr>
      </w:pPr>
    </w:p>
    <w:p w:rsidR="00297257" w:rsidRPr="00297257" w:rsidRDefault="00297257" w:rsidP="00297257">
      <w:pPr>
        <w:tabs>
          <w:tab w:val="left" w:pos="851"/>
        </w:tabs>
        <w:ind w:left="851"/>
        <w:rPr>
          <w:sz w:val="24"/>
          <w:szCs w:val="24"/>
          <w:lang w:val="en-US"/>
        </w:rPr>
      </w:pPr>
      <w:r w:rsidRPr="00297257">
        <w:rPr>
          <w:sz w:val="24"/>
          <w:szCs w:val="24"/>
          <w:lang w:val="en-US"/>
        </w:rPr>
        <w:t>For the full list of excipients, see section 6.1.</w:t>
      </w:r>
    </w:p>
    <w:p w:rsidR="007C5D2A" w:rsidRPr="00297257" w:rsidRDefault="007C5D2A" w:rsidP="004A3BF4">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rsidR="009611C5" w:rsidRPr="009611C5" w:rsidRDefault="009611C5" w:rsidP="009611C5">
      <w:pPr>
        <w:tabs>
          <w:tab w:val="left" w:pos="851"/>
        </w:tabs>
        <w:ind w:left="851"/>
        <w:rPr>
          <w:sz w:val="24"/>
          <w:szCs w:val="24"/>
          <w:lang w:val="en-US"/>
        </w:rPr>
      </w:pPr>
      <w:r w:rsidRPr="009611C5">
        <w:rPr>
          <w:sz w:val="24"/>
          <w:szCs w:val="24"/>
          <w:lang w:val="en-US"/>
        </w:rPr>
        <w:t>Film-coated tablet</w:t>
      </w:r>
      <w:r>
        <w:rPr>
          <w:sz w:val="24"/>
          <w:szCs w:val="24"/>
          <w:lang w:val="en-US"/>
        </w:rPr>
        <w:t>s</w:t>
      </w:r>
      <w:r w:rsidRPr="009611C5">
        <w:rPr>
          <w:sz w:val="24"/>
          <w:szCs w:val="24"/>
          <w:lang w:val="en-US"/>
        </w:rPr>
        <w:t xml:space="preserve"> (tablet</w:t>
      </w:r>
      <w:r>
        <w:rPr>
          <w:sz w:val="24"/>
          <w:szCs w:val="24"/>
          <w:lang w:val="en-US"/>
        </w:rPr>
        <w:t>s</w:t>
      </w:r>
      <w:r w:rsidRPr="009611C5">
        <w:rPr>
          <w:sz w:val="24"/>
          <w:szCs w:val="24"/>
          <w:lang w:val="en-US"/>
        </w:rPr>
        <w:t>)</w:t>
      </w:r>
    </w:p>
    <w:p w:rsidR="009611C5" w:rsidRPr="009611C5" w:rsidRDefault="009611C5" w:rsidP="009611C5">
      <w:pPr>
        <w:tabs>
          <w:tab w:val="left" w:pos="851"/>
        </w:tabs>
        <w:ind w:left="851"/>
        <w:rPr>
          <w:sz w:val="24"/>
          <w:szCs w:val="24"/>
          <w:lang w:val="en-US"/>
        </w:rPr>
      </w:pPr>
    </w:p>
    <w:p w:rsidR="009611C5" w:rsidRPr="009611C5" w:rsidRDefault="009611C5" w:rsidP="009611C5">
      <w:pPr>
        <w:tabs>
          <w:tab w:val="left" w:pos="851"/>
        </w:tabs>
        <w:ind w:left="851"/>
        <w:rPr>
          <w:sz w:val="24"/>
          <w:szCs w:val="24"/>
          <w:lang w:val="en-US"/>
        </w:rPr>
      </w:pPr>
      <w:r w:rsidRPr="009611C5">
        <w:rPr>
          <w:sz w:val="24"/>
          <w:szCs w:val="24"/>
          <w:u w:val="single"/>
          <w:lang w:val="en-US"/>
        </w:rPr>
        <w:t>Dasatinib "Teva B.V." 20 mg film-coated tablets</w:t>
      </w:r>
    </w:p>
    <w:p w:rsidR="009611C5" w:rsidRPr="009611C5" w:rsidRDefault="009611C5" w:rsidP="009611C5">
      <w:pPr>
        <w:tabs>
          <w:tab w:val="left" w:pos="851"/>
        </w:tabs>
        <w:ind w:left="851"/>
        <w:rPr>
          <w:sz w:val="24"/>
          <w:szCs w:val="24"/>
          <w:lang w:val="en-US"/>
        </w:rPr>
      </w:pPr>
      <w:r w:rsidRPr="009611C5">
        <w:rPr>
          <w:sz w:val="24"/>
          <w:szCs w:val="24"/>
          <w:lang w:val="en-US"/>
        </w:rPr>
        <w:t>White to off-white, round, biconvex, film-coated tablets, debossed with DAS on one side and 20 on the other side with approximate dimension of 5.6 mm.</w:t>
      </w:r>
    </w:p>
    <w:p w:rsidR="009611C5" w:rsidRPr="009611C5" w:rsidRDefault="009611C5" w:rsidP="009611C5">
      <w:pPr>
        <w:tabs>
          <w:tab w:val="left" w:pos="851"/>
        </w:tabs>
        <w:ind w:left="851"/>
        <w:rPr>
          <w:sz w:val="24"/>
          <w:szCs w:val="24"/>
          <w:lang w:val="en-US"/>
        </w:rPr>
      </w:pPr>
    </w:p>
    <w:p w:rsidR="009611C5" w:rsidRPr="009611C5" w:rsidRDefault="009611C5" w:rsidP="009611C5">
      <w:pPr>
        <w:tabs>
          <w:tab w:val="left" w:pos="851"/>
        </w:tabs>
        <w:ind w:left="851"/>
        <w:rPr>
          <w:sz w:val="24"/>
          <w:szCs w:val="24"/>
          <w:lang w:val="en-US"/>
        </w:rPr>
      </w:pPr>
      <w:r w:rsidRPr="009611C5">
        <w:rPr>
          <w:sz w:val="24"/>
          <w:szCs w:val="24"/>
          <w:u w:val="single"/>
          <w:lang w:val="en-US"/>
        </w:rPr>
        <w:t>Dasatinib "Teva B.V." 50 mg film-coated tablets</w:t>
      </w:r>
    </w:p>
    <w:p w:rsidR="009611C5" w:rsidRPr="009611C5" w:rsidRDefault="009611C5" w:rsidP="009611C5">
      <w:pPr>
        <w:tabs>
          <w:tab w:val="left" w:pos="851"/>
        </w:tabs>
        <w:ind w:left="851"/>
        <w:rPr>
          <w:sz w:val="24"/>
          <w:szCs w:val="24"/>
          <w:lang w:val="en-US"/>
        </w:rPr>
      </w:pPr>
      <w:r w:rsidRPr="009611C5">
        <w:rPr>
          <w:sz w:val="24"/>
          <w:szCs w:val="24"/>
          <w:lang w:val="en-US"/>
        </w:rPr>
        <w:t>White to off-white, oval, biconvex, film-coated tablets, debossed with DAS on one side and 50 on the other side with approximate dimension of 10.9 x 5.8 mm.</w:t>
      </w:r>
    </w:p>
    <w:p w:rsidR="009611C5" w:rsidRPr="009611C5" w:rsidRDefault="009611C5" w:rsidP="009611C5">
      <w:pPr>
        <w:tabs>
          <w:tab w:val="left" w:pos="851"/>
        </w:tabs>
        <w:ind w:left="851"/>
        <w:rPr>
          <w:sz w:val="24"/>
          <w:szCs w:val="24"/>
          <w:lang w:val="en-US"/>
        </w:rPr>
      </w:pPr>
    </w:p>
    <w:p w:rsidR="009611C5" w:rsidRPr="009611C5" w:rsidRDefault="009611C5" w:rsidP="009611C5">
      <w:pPr>
        <w:tabs>
          <w:tab w:val="left" w:pos="851"/>
        </w:tabs>
        <w:ind w:left="851"/>
        <w:rPr>
          <w:sz w:val="24"/>
          <w:szCs w:val="24"/>
          <w:lang w:val="en-US"/>
        </w:rPr>
      </w:pPr>
      <w:r w:rsidRPr="009611C5">
        <w:rPr>
          <w:sz w:val="24"/>
          <w:szCs w:val="24"/>
          <w:u w:val="single"/>
          <w:lang w:val="en-US"/>
        </w:rPr>
        <w:t>Dasatinib "Teva B.V." 70 mg film-coated tablets</w:t>
      </w:r>
    </w:p>
    <w:p w:rsidR="009611C5" w:rsidRPr="009611C5" w:rsidRDefault="009611C5" w:rsidP="009611C5">
      <w:pPr>
        <w:tabs>
          <w:tab w:val="left" w:pos="851"/>
        </w:tabs>
        <w:ind w:left="851"/>
        <w:rPr>
          <w:sz w:val="24"/>
          <w:szCs w:val="24"/>
          <w:lang w:val="en-US"/>
        </w:rPr>
      </w:pPr>
      <w:r w:rsidRPr="009611C5">
        <w:rPr>
          <w:sz w:val="24"/>
          <w:szCs w:val="24"/>
          <w:lang w:val="en-US"/>
        </w:rPr>
        <w:t>White to off-white, round, biconvex, film-coated tablets, debossed with DAS on one side and 70 on the other side with approximate dimension of 8.8 mm.</w:t>
      </w:r>
    </w:p>
    <w:p w:rsidR="009611C5" w:rsidRPr="009611C5" w:rsidRDefault="009611C5" w:rsidP="009611C5">
      <w:pPr>
        <w:tabs>
          <w:tab w:val="left" w:pos="851"/>
        </w:tabs>
        <w:ind w:left="851"/>
        <w:rPr>
          <w:sz w:val="24"/>
          <w:szCs w:val="24"/>
          <w:lang w:val="en-US"/>
        </w:rPr>
      </w:pPr>
    </w:p>
    <w:p w:rsidR="009611C5" w:rsidRPr="009611C5" w:rsidRDefault="009611C5" w:rsidP="009611C5">
      <w:pPr>
        <w:tabs>
          <w:tab w:val="left" w:pos="851"/>
        </w:tabs>
        <w:ind w:left="851"/>
        <w:rPr>
          <w:sz w:val="24"/>
          <w:szCs w:val="24"/>
          <w:lang w:val="en-US"/>
        </w:rPr>
      </w:pPr>
      <w:r w:rsidRPr="009611C5">
        <w:rPr>
          <w:sz w:val="24"/>
          <w:szCs w:val="24"/>
          <w:u w:val="single"/>
          <w:lang w:val="en-US"/>
        </w:rPr>
        <w:t>Dasatinib "Teva B.V." 80 mg film-coated tablets</w:t>
      </w:r>
    </w:p>
    <w:p w:rsidR="009611C5" w:rsidRPr="009611C5" w:rsidRDefault="009611C5" w:rsidP="009611C5">
      <w:pPr>
        <w:tabs>
          <w:tab w:val="left" w:pos="851"/>
        </w:tabs>
        <w:ind w:left="851"/>
        <w:rPr>
          <w:sz w:val="24"/>
          <w:szCs w:val="24"/>
          <w:lang w:val="en-US"/>
        </w:rPr>
      </w:pPr>
      <w:r w:rsidRPr="009611C5">
        <w:rPr>
          <w:sz w:val="24"/>
          <w:szCs w:val="24"/>
          <w:lang w:val="en-US"/>
        </w:rPr>
        <w:t>White to off-white, triangular, biconvex, film-coated tablets, debossed with DAS on one side and 80 on the other side with approximate dimension of 10.4 x 10.1 mm.</w:t>
      </w:r>
    </w:p>
    <w:p w:rsidR="009611C5" w:rsidRPr="009611C5" w:rsidRDefault="009611C5" w:rsidP="009611C5">
      <w:pPr>
        <w:tabs>
          <w:tab w:val="left" w:pos="851"/>
        </w:tabs>
        <w:ind w:left="851"/>
        <w:rPr>
          <w:sz w:val="24"/>
          <w:szCs w:val="24"/>
          <w:lang w:val="en-US"/>
        </w:rPr>
      </w:pPr>
    </w:p>
    <w:p w:rsidR="009611C5" w:rsidRPr="009611C5" w:rsidRDefault="009611C5" w:rsidP="009611C5">
      <w:pPr>
        <w:tabs>
          <w:tab w:val="left" w:pos="851"/>
        </w:tabs>
        <w:ind w:left="851"/>
        <w:rPr>
          <w:sz w:val="24"/>
          <w:szCs w:val="24"/>
          <w:lang w:val="en-US"/>
        </w:rPr>
      </w:pPr>
      <w:r w:rsidRPr="009611C5">
        <w:rPr>
          <w:sz w:val="24"/>
          <w:szCs w:val="24"/>
          <w:u w:val="single"/>
          <w:lang w:val="en-US"/>
        </w:rPr>
        <w:t>Dasatinib "Teva B.V." 100 mg film-coated tablets</w:t>
      </w:r>
    </w:p>
    <w:p w:rsidR="009611C5" w:rsidRPr="009611C5" w:rsidRDefault="009611C5" w:rsidP="009611C5">
      <w:pPr>
        <w:tabs>
          <w:tab w:val="left" w:pos="851"/>
        </w:tabs>
        <w:ind w:left="851"/>
        <w:rPr>
          <w:sz w:val="24"/>
          <w:szCs w:val="24"/>
          <w:lang w:val="en-US"/>
        </w:rPr>
      </w:pPr>
      <w:r w:rsidRPr="009611C5">
        <w:rPr>
          <w:sz w:val="24"/>
          <w:szCs w:val="24"/>
          <w:lang w:val="en-US"/>
        </w:rPr>
        <w:t>White to off-white, oval, biconvex, film-coated tablets, debossed with DAS on one side and 100 on the other side with approximate dimension of 14.9 x 7.2 mm.</w:t>
      </w:r>
    </w:p>
    <w:p w:rsidR="009611C5" w:rsidRPr="009611C5" w:rsidRDefault="009611C5" w:rsidP="009611C5">
      <w:pPr>
        <w:tabs>
          <w:tab w:val="left" w:pos="851"/>
        </w:tabs>
        <w:ind w:left="851"/>
        <w:rPr>
          <w:sz w:val="24"/>
          <w:szCs w:val="24"/>
          <w:lang w:val="en-US"/>
        </w:rPr>
      </w:pPr>
    </w:p>
    <w:p w:rsidR="009611C5" w:rsidRPr="009611C5" w:rsidRDefault="009611C5" w:rsidP="009611C5">
      <w:pPr>
        <w:tabs>
          <w:tab w:val="left" w:pos="851"/>
        </w:tabs>
        <w:ind w:left="851"/>
        <w:rPr>
          <w:sz w:val="24"/>
          <w:szCs w:val="24"/>
          <w:lang w:val="en-US"/>
        </w:rPr>
      </w:pPr>
      <w:r w:rsidRPr="009611C5">
        <w:rPr>
          <w:sz w:val="24"/>
          <w:szCs w:val="24"/>
          <w:u w:val="single"/>
          <w:lang w:val="en-US"/>
        </w:rPr>
        <w:t>Dasatinib "Teva B.V." 140 mg film-coated tablets</w:t>
      </w:r>
    </w:p>
    <w:p w:rsidR="009611C5" w:rsidRPr="009611C5" w:rsidRDefault="009611C5" w:rsidP="009611C5">
      <w:pPr>
        <w:tabs>
          <w:tab w:val="left" w:pos="851"/>
        </w:tabs>
        <w:ind w:left="851"/>
        <w:rPr>
          <w:sz w:val="24"/>
          <w:szCs w:val="24"/>
          <w:lang w:val="en-US"/>
        </w:rPr>
      </w:pPr>
      <w:r w:rsidRPr="009611C5">
        <w:rPr>
          <w:sz w:val="24"/>
          <w:szCs w:val="24"/>
          <w:lang w:val="en-US"/>
        </w:rPr>
        <w:t>White to off-white, round, biconvex, film-coated tablets, debossed with DAS on one side and 140 on the other side with approximate dimension of 11.2 mm.</w:t>
      </w:r>
    </w:p>
    <w:p w:rsidR="007C5D2A" w:rsidRPr="009611C5" w:rsidRDefault="007C5D2A" w:rsidP="004A3BF4">
      <w:pPr>
        <w:tabs>
          <w:tab w:val="left" w:pos="851"/>
        </w:tabs>
        <w:ind w:left="851"/>
        <w:rPr>
          <w:sz w:val="24"/>
          <w:szCs w:val="24"/>
          <w:lang w:val="en-US"/>
        </w:rPr>
      </w:pP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rsidR="00161F32" w:rsidRPr="00161F32" w:rsidRDefault="00161F32" w:rsidP="00161F32">
      <w:pPr>
        <w:tabs>
          <w:tab w:val="left" w:pos="851"/>
        </w:tabs>
        <w:ind w:left="851"/>
        <w:rPr>
          <w:sz w:val="24"/>
          <w:szCs w:val="24"/>
          <w:lang w:val="en-US"/>
        </w:rPr>
      </w:pPr>
      <w:r w:rsidRPr="00161F32">
        <w:rPr>
          <w:sz w:val="24"/>
          <w:szCs w:val="24"/>
          <w:lang w:val="en-US"/>
        </w:rPr>
        <w:t xml:space="preserve">Dasatinib is indicated for the treatment of </w:t>
      </w:r>
      <w:r w:rsidRPr="00161F32">
        <w:rPr>
          <w:b/>
          <w:sz w:val="24"/>
          <w:szCs w:val="24"/>
          <w:lang w:val="en-US"/>
        </w:rPr>
        <w:t>adult</w:t>
      </w:r>
      <w:r w:rsidRPr="00161F32">
        <w:rPr>
          <w:sz w:val="24"/>
          <w:szCs w:val="24"/>
          <w:lang w:val="en-US"/>
        </w:rPr>
        <w:t xml:space="preserve"> patients with:</w:t>
      </w:r>
    </w:p>
    <w:p w:rsidR="00161F32" w:rsidRPr="00161F32" w:rsidRDefault="00161F32" w:rsidP="007D622B">
      <w:pPr>
        <w:numPr>
          <w:ilvl w:val="0"/>
          <w:numId w:val="5"/>
        </w:numPr>
        <w:tabs>
          <w:tab w:val="left" w:pos="851"/>
        </w:tabs>
        <w:ind w:left="1134" w:hanging="283"/>
        <w:rPr>
          <w:sz w:val="24"/>
          <w:szCs w:val="24"/>
          <w:lang w:val="en-US"/>
        </w:rPr>
      </w:pPr>
      <w:r w:rsidRPr="00161F32">
        <w:rPr>
          <w:sz w:val="24"/>
          <w:szCs w:val="24"/>
          <w:lang w:val="en-US"/>
        </w:rPr>
        <w:t>newly diagnosed Philadelphia chromosome positive (Ph+) chronic myelogenous leukaemia (CML) in the chronic phase.</w:t>
      </w:r>
    </w:p>
    <w:p w:rsidR="00161F32" w:rsidRPr="00161F32" w:rsidRDefault="00161F32" w:rsidP="007D622B">
      <w:pPr>
        <w:numPr>
          <w:ilvl w:val="0"/>
          <w:numId w:val="5"/>
        </w:numPr>
        <w:tabs>
          <w:tab w:val="left" w:pos="851"/>
        </w:tabs>
        <w:ind w:left="1134" w:hanging="283"/>
        <w:rPr>
          <w:sz w:val="24"/>
          <w:szCs w:val="24"/>
          <w:lang w:val="en-US"/>
        </w:rPr>
      </w:pPr>
      <w:r w:rsidRPr="00161F32">
        <w:rPr>
          <w:sz w:val="24"/>
          <w:szCs w:val="24"/>
          <w:lang w:val="en-US"/>
        </w:rPr>
        <w:lastRenderedPageBreak/>
        <w:t>chronic, accelerated or blast phase CML with resistance or intolerance to prior therapy including imatinib.</w:t>
      </w:r>
    </w:p>
    <w:p w:rsidR="00161F32" w:rsidRPr="00161F32" w:rsidRDefault="00161F32" w:rsidP="007D622B">
      <w:pPr>
        <w:numPr>
          <w:ilvl w:val="0"/>
          <w:numId w:val="5"/>
        </w:numPr>
        <w:tabs>
          <w:tab w:val="left" w:pos="851"/>
        </w:tabs>
        <w:ind w:left="1134" w:hanging="283"/>
        <w:rPr>
          <w:sz w:val="24"/>
          <w:szCs w:val="24"/>
          <w:lang w:val="en-US"/>
        </w:rPr>
      </w:pPr>
      <w:r w:rsidRPr="00161F32">
        <w:rPr>
          <w:sz w:val="24"/>
          <w:szCs w:val="24"/>
          <w:lang w:val="en-US"/>
        </w:rPr>
        <w:t>Ph+ acute lymphoblastic leukaemia (ALL) and lymphoid blast CML with resistance or intolerance to prior therapy.</w:t>
      </w:r>
    </w:p>
    <w:p w:rsidR="00161F32" w:rsidRPr="00161F32" w:rsidRDefault="00161F32" w:rsidP="00161F32">
      <w:pPr>
        <w:tabs>
          <w:tab w:val="left" w:pos="851"/>
        </w:tabs>
        <w:ind w:left="851"/>
        <w:rPr>
          <w:sz w:val="24"/>
          <w:szCs w:val="24"/>
          <w:lang w:val="en-US"/>
        </w:rPr>
      </w:pPr>
    </w:p>
    <w:p w:rsidR="00161F32" w:rsidRPr="00161F32" w:rsidRDefault="00161F32" w:rsidP="00161F32">
      <w:pPr>
        <w:tabs>
          <w:tab w:val="left" w:pos="851"/>
        </w:tabs>
        <w:ind w:left="851"/>
        <w:rPr>
          <w:sz w:val="24"/>
          <w:szCs w:val="24"/>
          <w:lang w:val="en-US"/>
        </w:rPr>
      </w:pPr>
      <w:r w:rsidRPr="00161F32">
        <w:rPr>
          <w:sz w:val="24"/>
          <w:szCs w:val="24"/>
          <w:lang w:val="en-US"/>
        </w:rPr>
        <w:t xml:space="preserve">Dasatinib is indicated for the treatment of </w:t>
      </w:r>
      <w:r w:rsidRPr="00161F32">
        <w:rPr>
          <w:b/>
          <w:sz w:val="24"/>
          <w:szCs w:val="24"/>
          <w:lang w:val="en-US"/>
        </w:rPr>
        <w:t>paediatric</w:t>
      </w:r>
      <w:r w:rsidRPr="00161F32">
        <w:rPr>
          <w:sz w:val="24"/>
          <w:szCs w:val="24"/>
          <w:lang w:val="en-US"/>
        </w:rPr>
        <w:t xml:space="preserve"> patients with:</w:t>
      </w:r>
    </w:p>
    <w:p w:rsidR="00161F32" w:rsidRPr="00161F32" w:rsidRDefault="00161F32" w:rsidP="007D622B">
      <w:pPr>
        <w:numPr>
          <w:ilvl w:val="0"/>
          <w:numId w:val="6"/>
        </w:numPr>
        <w:tabs>
          <w:tab w:val="left" w:pos="851"/>
        </w:tabs>
        <w:ind w:left="1134" w:hanging="283"/>
        <w:rPr>
          <w:sz w:val="24"/>
          <w:szCs w:val="24"/>
          <w:lang w:val="en-US"/>
        </w:rPr>
      </w:pPr>
      <w:r w:rsidRPr="00161F32">
        <w:rPr>
          <w:sz w:val="24"/>
          <w:szCs w:val="24"/>
          <w:lang w:val="en-US"/>
        </w:rPr>
        <w:t>newly diagnosed Ph+ CML in chronic phase (Ph+ CML-CP) or Ph+ CML-CP resistant or intolerant to prior therapy including imatinib.</w:t>
      </w:r>
    </w:p>
    <w:p w:rsidR="00161F32" w:rsidRPr="00161F32" w:rsidRDefault="00161F32" w:rsidP="007D622B">
      <w:pPr>
        <w:numPr>
          <w:ilvl w:val="0"/>
          <w:numId w:val="6"/>
        </w:numPr>
        <w:tabs>
          <w:tab w:val="left" w:pos="851"/>
        </w:tabs>
        <w:ind w:left="1134" w:hanging="283"/>
        <w:rPr>
          <w:sz w:val="24"/>
          <w:szCs w:val="24"/>
          <w:lang w:val="en-US"/>
        </w:rPr>
      </w:pPr>
      <w:r w:rsidRPr="00161F32">
        <w:rPr>
          <w:sz w:val="24"/>
          <w:szCs w:val="24"/>
          <w:lang w:val="en-US"/>
        </w:rPr>
        <w:t>newly diagnosed Ph+ ALL in combination with chemotherapy.</w:t>
      </w:r>
    </w:p>
    <w:p w:rsidR="007C5D2A" w:rsidRPr="00161F32" w:rsidRDefault="007C5D2A" w:rsidP="00A85D26">
      <w:pPr>
        <w:tabs>
          <w:tab w:val="left" w:pos="851"/>
        </w:tabs>
        <w:ind w:left="851"/>
        <w:rPr>
          <w:sz w:val="24"/>
          <w:szCs w:val="24"/>
          <w:lang w:val="en-US"/>
        </w:rPr>
      </w:pPr>
    </w:p>
    <w:p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rsidR="00150BAF" w:rsidRPr="00150BAF" w:rsidRDefault="00150BAF" w:rsidP="00150BAF">
      <w:pPr>
        <w:tabs>
          <w:tab w:val="left" w:pos="851"/>
        </w:tabs>
        <w:ind w:left="851"/>
        <w:rPr>
          <w:sz w:val="24"/>
          <w:szCs w:val="24"/>
          <w:lang w:val="en-US"/>
        </w:rPr>
      </w:pPr>
      <w:r w:rsidRPr="00150BAF">
        <w:rPr>
          <w:sz w:val="24"/>
          <w:szCs w:val="24"/>
          <w:lang w:val="en-US"/>
        </w:rPr>
        <w:t>Therapy should be initiated by a physician experienced in the diagnosis and treatment of patients with leukaemia.</w:t>
      </w:r>
    </w:p>
    <w:p w:rsidR="00150BAF" w:rsidRPr="00150BAF" w:rsidRDefault="00150BAF" w:rsidP="00150BAF">
      <w:pPr>
        <w:tabs>
          <w:tab w:val="left" w:pos="851"/>
        </w:tabs>
        <w:ind w:left="851"/>
        <w:rPr>
          <w:sz w:val="24"/>
          <w:szCs w:val="24"/>
          <w:lang w:val="en-US"/>
        </w:rPr>
      </w:pPr>
    </w:p>
    <w:p w:rsidR="00150BAF" w:rsidRPr="00A02C2D" w:rsidRDefault="00150BAF" w:rsidP="00150BAF">
      <w:pPr>
        <w:tabs>
          <w:tab w:val="left" w:pos="851"/>
        </w:tabs>
        <w:ind w:left="851"/>
        <w:rPr>
          <w:b/>
          <w:sz w:val="24"/>
          <w:szCs w:val="24"/>
          <w:lang w:val="en-US"/>
        </w:rPr>
      </w:pPr>
      <w:r w:rsidRPr="00A02C2D">
        <w:rPr>
          <w:b/>
          <w:sz w:val="24"/>
          <w:szCs w:val="24"/>
          <w:lang w:val="en-US"/>
        </w:rPr>
        <w:t>Posology</w:t>
      </w:r>
    </w:p>
    <w:p w:rsidR="00150BAF" w:rsidRPr="00150BAF" w:rsidRDefault="00150BAF" w:rsidP="00150BAF">
      <w:pPr>
        <w:tabs>
          <w:tab w:val="left" w:pos="851"/>
        </w:tabs>
        <w:ind w:left="851"/>
        <w:rPr>
          <w:sz w:val="24"/>
          <w:szCs w:val="24"/>
          <w:lang w:val="en-US"/>
        </w:rPr>
      </w:pPr>
    </w:p>
    <w:p w:rsidR="00150BAF" w:rsidRPr="00150BAF" w:rsidRDefault="00150BAF" w:rsidP="00150BAF">
      <w:pPr>
        <w:tabs>
          <w:tab w:val="left" w:pos="851"/>
        </w:tabs>
        <w:ind w:left="851"/>
        <w:rPr>
          <w:i/>
          <w:sz w:val="24"/>
          <w:szCs w:val="24"/>
          <w:lang w:val="en-US"/>
        </w:rPr>
      </w:pPr>
      <w:r w:rsidRPr="00150BAF">
        <w:rPr>
          <w:i/>
          <w:sz w:val="24"/>
          <w:szCs w:val="24"/>
          <w:u w:val="single"/>
          <w:lang w:val="en-US"/>
        </w:rPr>
        <w:t>Adult patients</w:t>
      </w:r>
    </w:p>
    <w:p w:rsidR="00150BAF" w:rsidRPr="00150BAF" w:rsidRDefault="00150BAF" w:rsidP="00150BAF">
      <w:pPr>
        <w:tabs>
          <w:tab w:val="left" w:pos="851"/>
        </w:tabs>
        <w:ind w:left="851"/>
        <w:rPr>
          <w:sz w:val="24"/>
          <w:szCs w:val="24"/>
          <w:lang w:val="en-US"/>
        </w:rPr>
      </w:pPr>
      <w:r w:rsidRPr="00150BAF">
        <w:rPr>
          <w:sz w:val="24"/>
          <w:szCs w:val="24"/>
          <w:lang w:val="en-US"/>
        </w:rPr>
        <w:t>The recommended starting dose for chronic phase CML is 100 mg dasatinib once daily.</w:t>
      </w:r>
    </w:p>
    <w:p w:rsidR="00150BAF" w:rsidRPr="00150BAF" w:rsidRDefault="00150BAF" w:rsidP="00150BAF">
      <w:pPr>
        <w:tabs>
          <w:tab w:val="left" w:pos="851"/>
        </w:tabs>
        <w:ind w:left="851"/>
        <w:rPr>
          <w:sz w:val="24"/>
          <w:szCs w:val="24"/>
          <w:lang w:val="en-US"/>
        </w:rPr>
      </w:pPr>
    </w:p>
    <w:p w:rsidR="00150BAF" w:rsidRPr="00150BAF" w:rsidRDefault="00150BAF" w:rsidP="00150BAF">
      <w:pPr>
        <w:tabs>
          <w:tab w:val="left" w:pos="851"/>
        </w:tabs>
        <w:ind w:left="851"/>
        <w:rPr>
          <w:sz w:val="24"/>
          <w:szCs w:val="24"/>
          <w:lang w:val="en-US"/>
        </w:rPr>
      </w:pPr>
      <w:r w:rsidRPr="00150BAF">
        <w:rPr>
          <w:sz w:val="24"/>
          <w:szCs w:val="24"/>
          <w:lang w:val="en-US"/>
        </w:rPr>
        <w:t>The recommended starting dose for accelerated, myeloid or lymphoid blast phase (advanced phase) CML or Ph+ ALL is 140 mg once daily (see section 4.4).</w:t>
      </w:r>
    </w:p>
    <w:p w:rsidR="00150BAF" w:rsidRPr="00150BAF" w:rsidRDefault="00150BAF" w:rsidP="00150BAF">
      <w:pPr>
        <w:tabs>
          <w:tab w:val="left" w:pos="851"/>
        </w:tabs>
        <w:ind w:left="851"/>
        <w:rPr>
          <w:sz w:val="24"/>
          <w:szCs w:val="24"/>
          <w:lang w:val="en-US"/>
        </w:rPr>
      </w:pPr>
    </w:p>
    <w:p w:rsidR="00150BAF" w:rsidRPr="00150BAF" w:rsidRDefault="00150BAF" w:rsidP="00150BAF">
      <w:pPr>
        <w:tabs>
          <w:tab w:val="left" w:pos="851"/>
        </w:tabs>
        <w:ind w:left="851"/>
        <w:rPr>
          <w:i/>
          <w:sz w:val="24"/>
          <w:szCs w:val="24"/>
          <w:lang w:val="en-US"/>
        </w:rPr>
      </w:pPr>
      <w:r w:rsidRPr="00150BAF">
        <w:rPr>
          <w:i/>
          <w:sz w:val="24"/>
          <w:szCs w:val="24"/>
          <w:u w:val="single"/>
          <w:lang w:val="en-US"/>
        </w:rPr>
        <w:t>Paediatric population (Ph+ CML-CP and Ph+ ALL)</w:t>
      </w:r>
    </w:p>
    <w:p w:rsidR="00150BAF" w:rsidRPr="00150BAF" w:rsidRDefault="00150BAF" w:rsidP="00150BAF">
      <w:pPr>
        <w:tabs>
          <w:tab w:val="left" w:pos="851"/>
        </w:tabs>
        <w:ind w:left="851"/>
        <w:rPr>
          <w:sz w:val="24"/>
          <w:szCs w:val="24"/>
          <w:lang w:val="en-US"/>
        </w:rPr>
      </w:pPr>
      <w:r w:rsidRPr="00150BAF">
        <w:rPr>
          <w:sz w:val="24"/>
          <w:szCs w:val="24"/>
          <w:lang w:val="en-US"/>
        </w:rPr>
        <w:t>Dosing for children and adolescents is on the basis of body weight (see Table 1). Dasatinib is administered orally once daily in the form of either film-coated tablets or powder for oral suspension. The dose should be recalculated every 3 months based on changes in body weight, or more often if necessary. The tablet is not recommended for patients weighing less than 10 kg; powder for oral suspension should be used for these patients. Dose increase or reduction is recommended based on individual patient response and tolerability. There is no experience with dasatinib treatment in children under 1 year of age.</w:t>
      </w:r>
    </w:p>
    <w:p w:rsidR="00150BAF" w:rsidRPr="00150BAF" w:rsidRDefault="00150BAF" w:rsidP="00150BAF">
      <w:pPr>
        <w:tabs>
          <w:tab w:val="left" w:pos="851"/>
        </w:tabs>
        <w:ind w:left="851"/>
        <w:rPr>
          <w:sz w:val="24"/>
          <w:szCs w:val="24"/>
          <w:lang w:val="en-US"/>
        </w:rPr>
      </w:pPr>
    </w:p>
    <w:p w:rsidR="00150BAF" w:rsidRPr="00150BAF" w:rsidRDefault="00150BAF" w:rsidP="00150BAF">
      <w:pPr>
        <w:tabs>
          <w:tab w:val="left" w:pos="851"/>
        </w:tabs>
        <w:ind w:left="851"/>
        <w:rPr>
          <w:sz w:val="24"/>
          <w:szCs w:val="24"/>
          <w:lang w:val="en-US"/>
        </w:rPr>
      </w:pPr>
      <w:r w:rsidRPr="00150BAF">
        <w:rPr>
          <w:sz w:val="24"/>
          <w:szCs w:val="24"/>
          <w:lang w:val="en-US"/>
        </w:rPr>
        <w:t>Dasatinib film-coated tablets and dasatinib powder for oral suspension are not bioequivalent. Patients who are able to swallow tablets and who desire to switch from dasatinib powder for oral suspension to dasatinib tablets or patients who are not able to swallow tablets and who desire to switch from tablets to oral suspension, may do so, provided that the correct dosing recommendations for the dosage form are followed.</w:t>
      </w:r>
    </w:p>
    <w:p w:rsidR="00150BAF" w:rsidRPr="00150BAF" w:rsidRDefault="00150BAF" w:rsidP="00150BAF">
      <w:pPr>
        <w:tabs>
          <w:tab w:val="left" w:pos="851"/>
        </w:tabs>
        <w:ind w:left="851"/>
        <w:rPr>
          <w:sz w:val="24"/>
          <w:szCs w:val="24"/>
          <w:lang w:val="en-US"/>
        </w:rPr>
      </w:pPr>
    </w:p>
    <w:p w:rsidR="00150BAF" w:rsidRDefault="00150BAF" w:rsidP="00150BAF">
      <w:pPr>
        <w:tabs>
          <w:tab w:val="left" w:pos="851"/>
        </w:tabs>
        <w:ind w:left="851"/>
        <w:rPr>
          <w:sz w:val="24"/>
          <w:szCs w:val="24"/>
          <w:lang w:val="en-US"/>
        </w:rPr>
      </w:pPr>
      <w:r w:rsidRPr="00150BAF">
        <w:rPr>
          <w:sz w:val="24"/>
          <w:szCs w:val="24"/>
          <w:lang w:val="en-US"/>
        </w:rPr>
        <w:t>The recommended starting daily dosage of dasatinib tablets in paediatric patients is shown in Table 1.</w:t>
      </w:r>
    </w:p>
    <w:p w:rsidR="00150BAF" w:rsidRDefault="00150BAF" w:rsidP="00150BAF">
      <w:pPr>
        <w:pStyle w:val="Brdtekst"/>
        <w:spacing w:before="10"/>
      </w:pPr>
    </w:p>
    <w:p w:rsidR="00150BAF" w:rsidRDefault="00150BAF" w:rsidP="00150BAF">
      <w:pPr>
        <w:pStyle w:val="Overskrift1"/>
        <w:tabs>
          <w:tab w:val="left" w:pos="896"/>
          <w:tab w:val="left" w:pos="6015"/>
        </w:tabs>
        <w:spacing w:line="254" w:lineRule="auto"/>
        <w:ind w:left="1601" w:right="91" w:hanging="1601"/>
        <w:rPr>
          <w:w w:val="103"/>
        </w:rPr>
      </w:pPr>
      <w:r>
        <w:rPr>
          <w:noProof/>
        </w:rPr>
        <mc:AlternateContent>
          <mc:Choice Requires="wps">
            <w:drawing>
              <wp:anchor distT="0" distB="0" distL="114300" distR="114300" simplePos="0" relativeHeight="251662336" behindDoc="1" locked="0" layoutInCell="1" allowOverlap="1">
                <wp:simplePos x="0" y="0"/>
                <wp:positionH relativeFrom="page">
                  <wp:posOffset>1177290</wp:posOffset>
                </wp:positionH>
                <wp:positionV relativeFrom="paragraph">
                  <wp:posOffset>149860</wp:posOffset>
                </wp:positionV>
                <wp:extent cx="5483860" cy="0"/>
                <wp:effectExtent l="0" t="0" r="0" b="0"/>
                <wp:wrapNone/>
                <wp:docPr id="35" name="Lige forbindels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38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D5E09" id="Lige forbindelse 3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2.7pt,11.8pt" to="52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" strokeweight=".48pt">
                <w10:wrap anchorx="page"/>
              </v:line>
            </w:pict>
          </mc:Fallback>
        </mc:AlternateContent>
      </w:r>
      <w:r>
        <w:rPr>
          <w:w w:val="105"/>
        </w:rPr>
        <w:t>Table</w:t>
      </w:r>
      <w:r>
        <w:rPr>
          <w:spacing w:val="-5"/>
          <w:w w:val="105"/>
        </w:rPr>
        <w:t xml:space="preserve"> </w:t>
      </w:r>
      <w:r>
        <w:rPr>
          <w:w w:val="105"/>
        </w:rPr>
        <w:t>1: Dosage</w:t>
      </w:r>
      <w:r>
        <w:rPr>
          <w:spacing w:val="-12"/>
          <w:w w:val="105"/>
        </w:rPr>
        <w:t xml:space="preserve"> </w:t>
      </w:r>
      <w:r>
        <w:rPr>
          <w:w w:val="105"/>
        </w:rPr>
        <w:t>of</w:t>
      </w:r>
      <w:r>
        <w:rPr>
          <w:spacing w:val="-12"/>
          <w:w w:val="105"/>
        </w:rPr>
        <w:t xml:space="preserve"> dasatinib</w:t>
      </w:r>
      <w:r>
        <w:rPr>
          <w:spacing w:val="-13"/>
          <w:w w:val="105"/>
        </w:rPr>
        <w:t xml:space="preserve"> </w:t>
      </w:r>
      <w:r>
        <w:rPr>
          <w:w w:val="105"/>
        </w:rPr>
        <w:t>tablets</w:t>
      </w:r>
      <w:r>
        <w:rPr>
          <w:spacing w:val="-13"/>
          <w:w w:val="105"/>
        </w:rPr>
        <w:t xml:space="preserve"> </w:t>
      </w:r>
      <w:r>
        <w:rPr>
          <w:w w:val="105"/>
        </w:rPr>
        <w:t>for</w:t>
      </w:r>
      <w:r>
        <w:rPr>
          <w:spacing w:val="-13"/>
          <w:w w:val="105"/>
        </w:rPr>
        <w:t xml:space="preserve"> </w:t>
      </w:r>
      <w:r>
        <w:rPr>
          <w:w w:val="105"/>
        </w:rPr>
        <w:t>paediatric</w:t>
      </w:r>
      <w:r>
        <w:rPr>
          <w:spacing w:val="-12"/>
          <w:w w:val="105"/>
        </w:rPr>
        <w:t xml:space="preserve"> </w:t>
      </w:r>
      <w:r>
        <w:rPr>
          <w:w w:val="105"/>
        </w:rPr>
        <w:t>patients</w:t>
      </w:r>
      <w:r>
        <w:rPr>
          <w:spacing w:val="-13"/>
          <w:w w:val="105"/>
        </w:rPr>
        <w:t xml:space="preserve"> </w:t>
      </w:r>
      <w:r>
        <w:rPr>
          <w:w w:val="105"/>
        </w:rPr>
        <w:t>with</w:t>
      </w:r>
      <w:r>
        <w:rPr>
          <w:spacing w:val="-12"/>
          <w:w w:val="105"/>
        </w:rPr>
        <w:t xml:space="preserve"> </w:t>
      </w:r>
      <w:r>
        <w:rPr>
          <w:w w:val="105"/>
        </w:rPr>
        <w:t>Ph+</w:t>
      </w:r>
      <w:r>
        <w:rPr>
          <w:spacing w:val="-13"/>
          <w:w w:val="105"/>
        </w:rPr>
        <w:t xml:space="preserve"> </w:t>
      </w:r>
      <w:r>
        <w:rPr>
          <w:w w:val="105"/>
        </w:rPr>
        <w:t>CML-CP</w:t>
      </w:r>
      <w:r>
        <w:rPr>
          <w:spacing w:val="-13"/>
          <w:w w:val="105"/>
        </w:rPr>
        <w:t xml:space="preserve"> </w:t>
      </w:r>
      <w:r>
        <w:rPr>
          <w:w w:val="105"/>
        </w:rPr>
        <w:t>or</w:t>
      </w:r>
      <w:r>
        <w:rPr>
          <w:spacing w:val="-13"/>
          <w:w w:val="105"/>
        </w:rPr>
        <w:t xml:space="preserve"> </w:t>
      </w:r>
      <w:r>
        <w:rPr>
          <w:w w:val="105"/>
        </w:rPr>
        <w:t>Ph+</w:t>
      </w:r>
      <w:r>
        <w:rPr>
          <w:spacing w:val="-13"/>
          <w:w w:val="105"/>
        </w:rPr>
        <w:t xml:space="preserve"> </w:t>
      </w:r>
      <w:r>
        <w:rPr>
          <w:w w:val="105"/>
        </w:rPr>
        <w:t>ALL</w:t>
      </w:r>
      <w:r>
        <w:rPr>
          <w:w w:val="103"/>
        </w:rPr>
        <w:t xml:space="preserve"> </w:t>
      </w:r>
    </w:p>
    <w:p w:rsidR="00150BAF" w:rsidRDefault="00150BAF" w:rsidP="00150BAF">
      <w:pPr>
        <w:pStyle w:val="Overskrift1"/>
        <w:tabs>
          <w:tab w:val="left" w:pos="896"/>
          <w:tab w:val="left" w:pos="6015"/>
        </w:tabs>
        <w:spacing w:line="254" w:lineRule="auto"/>
        <w:ind w:left="1601" w:right="91" w:hanging="1601"/>
      </w:pPr>
      <w:r>
        <w:rPr>
          <w:w w:val="105"/>
        </w:rPr>
        <w:tab/>
      </w:r>
      <w:r>
        <w:rPr>
          <w:w w:val="105"/>
        </w:rPr>
        <w:tab/>
        <w:t>Body</w:t>
      </w:r>
      <w:r>
        <w:rPr>
          <w:spacing w:val="-8"/>
          <w:w w:val="105"/>
        </w:rPr>
        <w:t xml:space="preserve"> </w:t>
      </w:r>
      <w:r>
        <w:rPr>
          <w:w w:val="105"/>
        </w:rPr>
        <w:t>weight</w:t>
      </w:r>
      <w:r>
        <w:rPr>
          <w:spacing w:val="-8"/>
          <w:w w:val="105"/>
        </w:rPr>
        <w:t xml:space="preserve"> </w:t>
      </w:r>
      <w:r>
        <w:rPr>
          <w:w w:val="105"/>
        </w:rPr>
        <w:t>(kg)</w:t>
      </w:r>
      <w:r>
        <w:rPr>
          <w:w w:val="105"/>
          <w:position w:val="6"/>
          <w:sz w:val="12"/>
        </w:rPr>
        <w:t>a</w:t>
      </w:r>
      <w:r>
        <w:rPr>
          <w:w w:val="105"/>
          <w:position w:val="6"/>
          <w:sz w:val="12"/>
        </w:rPr>
        <w:tab/>
      </w:r>
      <w:r>
        <w:rPr>
          <w:w w:val="105"/>
        </w:rPr>
        <w:t>Daily dose</w:t>
      </w:r>
      <w:r>
        <w:rPr>
          <w:spacing w:val="-28"/>
          <w:w w:val="105"/>
        </w:rPr>
        <w:t xml:space="preserve"> </w:t>
      </w:r>
      <w:r>
        <w:rPr>
          <w:w w:val="105"/>
        </w:rPr>
        <w:t>(mg)</w:t>
      </w:r>
    </w:p>
    <w:p w:rsidR="00150BAF" w:rsidRDefault="00150BAF" w:rsidP="00150BAF">
      <w:pPr>
        <w:pStyle w:val="Brdtekst"/>
        <w:spacing w:line="20" w:lineRule="exact"/>
        <w:ind w:left="127"/>
        <w:rPr>
          <w:sz w:val="2"/>
        </w:rPr>
      </w:pPr>
      <w:r>
        <w:rPr>
          <w:noProof/>
        </w:rPr>
        <mc:AlternateContent>
          <mc:Choice Requires="wpg">
            <w:drawing>
              <wp:inline distT="0" distB="0" distL="0" distR="0">
                <wp:extent cx="5493385" cy="8890"/>
                <wp:effectExtent l="9525" t="9525" r="2540" b="635"/>
                <wp:docPr id="33" name="Grup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3385" cy="8890"/>
                          <a:chOff x="0" y="0"/>
                          <a:chExt cx="8651" cy="14"/>
                        </a:xfrm>
                      </wpg:grpSpPr>
                      <wps:wsp>
                        <wps:cNvPr id="34" name="Line 97"/>
                        <wps:cNvCnPr>
                          <a:cxnSpLocks noChangeShapeType="1"/>
                        </wps:cNvCnPr>
                        <wps:spPr bwMode="auto">
                          <a:xfrm>
                            <a:off x="7" y="7"/>
                            <a:ext cx="8636"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7D400A" id="Gruppe 33" o:spid="_x0000_s1026" style="width:432.55pt;height:.7pt;mso-position-horizontal-relative:char;mso-position-vertical-relative:line" coordsize="865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">
                <v:line id="Line 97" o:spid="_x0000_s1027" style="position:absolute;visibility:visible;mso-wrap-style:square" from="7,7" to="86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" strokeweight=".66pt"/>
                <w10:anchorlock/>
              </v:group>
            </w:pict>
          </mc:Fallback>
        </mc:AlternateContent>
      </w:r>
    </w:p>
    <w:p w:rsidR="00150BAF" w:rsidRDefault="00150BAF" w:rsidP="00150BAF">
      <w:pPr>
        <w:pStyle w:val="Brdtekst"/>
        <w:tabs>
          <w:tab w:val="left" w:pos="6441"/>
        </w:tabs>
        <w:ind w:left="1533"/>
      </w:pPr>
      <w:r>
        <w:rPr>
          <w:w w:val="105"/>
        </w:rPr>
        <w:t>10 to less than</w:t>
      </w:r>
      <w:r>
        <w:rPr>
          <w:spacing w:val="-22"/>
          <w:w w:val="105"/>
        </w:rPr>
        <w:t xml:space="preserve"> </w:t>
      </w:r>
      <w:r>
        <w:rPr>
          <w:w w:val="105"/>
        </w:rPr>
        <w:t>20</w:t>
      </w:r>
      <w:r>
        <w:rPr>
          <w:spacing w:val="-6"/>
          <w:w w:val="105"/>
        </w:rPr>
        <w:t xml:space="preserve"> </w:t>
      </w:r>
      <w:r>
        <w:rPr>
          <w:w w:val="105"/>
        </w:rPr>
        <w:t>kg</w:t>
      </w:r>
      <w:r>
        <w:rPr>
          <w:w w:val="105"/>
        </w:rPr>
        <w:tab/>
        <w:t>40</w:t>
      </w:r>
      <w:r>
        <w:rPr>
          <w:spacing w:val="-11"/>
          <w:w w:val="105"/>
        </w:rPr>
        <w:t xml:space="preserve"> </w:t>
      </w:r>
      <w:r>
        <w:rPr>
          <w:w w:val="105"/>
        </w:rPr>
        <w:t>mg</w:t>
      </w:r>
    </w:p>
    <w:p w:rsidR="00150BAF" w:rsidRDefault="00150BAF" w:rsidP="00150BAF">
      <w:pPr>
        <w:pStyle w:val="Brdtekst"/>
        <w:tabs>
          <w:tab w:val="left" w:pos="6442"/>
        </w:tabs>
        <w:spacing w:before="9"/>
        <w:ind w:left="1533"/>
      </w:pPr>
      <w:r>
        <w:rPr>
          <w:w w:val="105"/>
        </w:rPr>
        <w:t>20 to less than</w:t>
      </w:r>
      <w:r>
        <w:rPr>
          <w:spacing w:val="-20"/>
          <w:w w:val="105"/>
        </w:rPr>
        <w:t xml:space="preserve"> </w:t>
      </w:r>
      <w:r>
        <w:rPr>
          <w:w w:val="105"/>
        </w:rPr>
        <w:t>30</w:t>
      </w:r>
      <w:r>
        <w:rPr>
          <w:spacing w:val="-5"/>
          <w:w w:val="105"/>
        </w:rPr>
        <w:t xml:space="preserve"> </w:t>
      </w:r>
      <w:r>
        <w:rPr>
          <w:w w:val="105"/>
        </w:rPr>
        <w:t>kg</w:t>
      </w:r>
      <w:r>
        <w:rPr>
          <w:w w:val="105"/>
        </w:rPr>
        <w:tab/>
        <w:t>60</w:t>
      </w:r>
      <w:r>
        <w:rPr>
          <w:spacing w:val="-11"/>
          <w:w w:val="105"/>
        </w:rPr>
        <w:t xml:space="preserve"> </w:t>
      </w:r>
      <w:r>
        <w:rPr>
          <w:w w:val="105"/>
        </w:rPr>
        <w:t>mg</w:t>
      </w:r>
    </w:p>
    <w:p w:rsidR="00150BAF" w:rsidRDefault="00150BAF" w:rsidP="00150BAF">
      <w:pPr>
        <w:pStyle w:val="Brdtekst"/>
        <w:tabs>
          <w:tab w:val="left" w:pos="6441"/>
        </w:tabs>
        <w:spacing w:before="7"/>
        <w:ind w:left="1533"/>
      </w:pPr>
      <w:r>
        <w:rPr>
          <w:w w:val="105"/>
        </w:rPr>
        <w:t>30 to less than</w:t>
      </w:r>
      <w:r>
        <w:rPr>
          <w:spacing w:val="-22"/>
          <w:w w:val="105"/>
        </w:rPr>
        <w:t xml:space="preserve"> </w:t>
      </w:r>
      <w:r>
        <w:rPr>
          <w:w w:val="105"/>
        </w:rPr>
        <w:t>45</w:t>
      </w:r>
      <w:r>
        <w:rPr>
          <w:spacing w:val="-6"/>
          <w:w w:val="105"/>
        </w:rPr>
        <w:t xml:space="preserve"> </w:t>
      </w:r>
      <w:r>
        <w:rPr>
          <w:w w:val="105"/>
        </w:rPr>
        <w:t>kg</w:t>
      </w:r>
      <w:r>
        <w:rPr>
          <w:w w:val="105"/>
        </w:rPr>
        <w:tab/>
        <w:t>70</w:t>
      </w:r>
      <w:r>
        <w:rPr>
          <w:spacing w:val="-11"/>
          <w:w w:val="105"/>
        </w:rPr>
        <w:t xml:space="preserve"> </w:t>
      </w:r>
      <w:r>
        <w:rPr>
          <w:w w:val="105"/>
        </w:rPr>
        <w:t>mg</w:t>
      </w:r>
    </w:p>
    <w:p w:rsidR="00150BAF" w:rsidRDefault="00150BAF" w:rsidP="00150BAF">
      <w:pPr>
        <w:pStyle w:val="Brdtekst"/>
        <w:tabs>
          <w:tab w:val="left" w:pos="6390"/>
        </w:tabs>
        <w:spacing w:before="8"/>
        <w:ind w:left="1838"/>
      </w:pPr>
      <w:r>
        <w:rPr>
          <w:w w:val="105"/>
        </w:rPr>
        <w:t>at least</w:t>
      </w:r>
      <w:r>
        <w:rPr>
          <w:spacing w:val="-11"/>
          <w:w w:val="105"/>
        </w:rPr>
        <w:t xml:space="preserve"> </w:t>
      </w:r>
      <w:r>
        <w:rPr>
          <w:w w:val="105"/>
        </w:rPr>
        <w:t>45</w:t>
      </w:r>
      <w:r>
        <w:rPr>
          <w:spacing w:val="-6"/>
          <w:w w:val="105"/>
        </w:rPr>
        <w:t xml:space="preserve"> </w:t>
      </w:r>
      <w:r>
        <w:rPr>
          <w:w w:val="105"/>
        </w:rPr>
        <w:t>kg</w:t>
      </w:r>
      <w:r>
        <w:rPr>
          <w:w w:val="105"/>
        </w:rPr>
        <w:tab/>
        <w:t>100</w:t>
      </w:r>
      <w:r>
        <w:rPr>
          <w:spacing w:val="-14"/>
          <w:w w:val="105"/>
        </w:rPr>
        <w:t xml:space="preserve"> </w:t>
      </w:r>
      <w:r>
        <w:rPr>
          <w:w w:val="105"/>
        </w:rPr>
        <w:t>mg</w:t>
      </w:r>
    </w:p>
    <w:p w:rsidR="00150BAF" w:rsidRDefault="00150BAF" w:rsidP="00150BAF">
      <w:pPr>
        <w:pStyle w:val="Brdtekst"/>
        <w:spacing w:line="20" w:lineRule="exact"/>
        <w:ind w:left="115"/>
        <w:rPr>
          <w:sz w:val="2"/>
        </w:rPr>
      </w:pPr>
      <w:r>
        <w:rPr>
          <w:noProof/>
        </w:rPr>
        <mc:AlternateContent>
          <mc:Choice Requires="wpg">
            <w:drawing>
              <wp:inline distT="0" distB="0" distL="0" distR="0">
                <wp:extent cx="5499100" cy="6350"/>
                <wp:effectExtent l="9525" t="9525" r="6350" b="3175"/>
                <wp:docPr id="30" name="Gruppe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9100" cy="6350"/>
                          <a:chOff x="0" y="0"/>
                          <a:chExt cx="8660" cy="10"/>
                        </a:xfrm>
                      </wpg:grpSpPr>
                      <wps:wsp>
                        <wps:cNvPr id="31" name="Line 95"/>
                        <wps:cNvCnPr>
                          <a:cxnSpLocks noChangeShapeType="1"/>
                        </wps:cNvCnPr>
                        <wps:spPr bwMode="auto">
                          <a:xfrm>
                            <a:off x="5" y="5"/>
                            <a:ext cx="451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Line 94"/>
                        <wps:cNvCnPr>
                          <a:cxnSpLocks noChangeShapeType="1"/>
                        </wps:cNvCnPr>
                        <wps:spPr bwMode="auto">
                          <a:xfrm>
                            <a:off x="4510" y="5"/>
                            <a:ext cx="41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EC4E42" id="Gruppe 30" o:spid="_x0000_s1026" style="width:433pt;height:.5pt;mso-position-horizontal-relative:char;mso-position-vertical-relative:line" coordsize="86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">
                <v:line id="Line 95" o:spid="_x0000_s1027" style="position:absolute;visibility:visible;mso-wrap-style:square" from="5,5" to="45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94" o:spid="_x0000_s1028" style="position:absolute;visibility:visible;mso-wrap-style:square" from="4510,5" to="86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w10:anchorlock/>
              </v:group>
            </w:pict>
          </mc:Fallback>
        </mc:AlternateContent>
      </w:r>
    </w:p>
    <w:p w:rsidR="00150BAF" w:rsidRPr="00150BAF" w:rsidRDefault="00150BAF" w:rsidP="00150BAF">
      <w:pPr>
        <w:ind w:left="219" w:right="280" w:hanging="86"/>
        <w:rPr>
          <w:sz w:val="17"/>
          <w:lang w:val="en-US"/>
        </w:rPr>
      </w:pPr>
      <w:r w:rsidRPr="00150BAF">
        <w:rPr>
          <w:position w:val="6"/>
          <w:sz w:val="11"/>
          <w:lang w:val="en-US"/>
        </w:rPr>
        <w:t xml:space="preserve">a </w:t>
      </w:r>
      <w:r w:rsidRPr="00150BAF">
        <w:rPr>
          <w:sz w:val="17"/>
          <w:lang w:val="en-US"/>
        </w:rPr>
        <w:t>The tablet is not recommended for patients weighing less than 10 kg; powder for oral suspension should be used for these patients.</w:t>
      </w:r>
    </w:p>
    <w:p w:rsidR="00150BAF" w:rsidRPr="00150BAF" w:rsidRDefault="00150BAF" w:rsidP="00150BAF">
      <w:pPr>
        <w:tabs>
          <w:tab w:val="left" w:pos="851"/>
        </w:tabs>
        <w:ind w:left="851"/>
        <w:rPr>
          <w:sz w:val="24"/>
          <w:szCs w:val="24"/>
          <w:lang w:val="en-US"/>
        </w:rPr>
      </w:pPr>
    </w:p>
    <w:p w:rsidR="00150BAF" w:rsidRPr="00150BAF" w:rsidRDefault="00150BAF" w:rsidP="00150BAF">
      <w:pPr>
        <w:tabs>
          <w:tab w:val="left" w:pos="851"/>
        </w:tabs>
        <w:ind w:left="851"/>
        <w:rPr>
          <w:i/>
          <w:sz w:val="24"/>
          <w:szCs w:val="24"/>
          <w:lang w:val="en-US"/>
        </w:rPr>
      </w:pPr>
      <w:r w:rsidRPr="00150BAF">
        <w:rPr>
          <w:i/>
          <w:sz w:val="24"/>
          <w:szCs w:val="24"/>
          <w:u w:val="single"/>
          <w:lang w:val="en-US"/>
        </w:rPr>
        <w:t>Treatment duration</w:t>
      </w:r>
    </w:p>
    <w:p w:rsidR="00150BAF" w:rsidRPr="00150BAF" w:rsidRDefault="00150BAF" w:rsidP="00150BAF">
      <w:pPr>
        <w:tabs>
          <w:tab w:val="left" w:pos="851"/>
        </w:tabs>
        <w:ind w:left="851"/>
        <w:rPr>
          <w:sz w:val="24"/>
          <w:szCs w:val="24"/>
          <w:lang w:val="en-US"/>
        </w:rPr>
      </w:pPr>
      <w:r w:rsidRPr="00150BAF">
        <w:rPr>
          <w:sz w:val="24"/>
          <w:szCs w:val="24"/>
          <w:lang w:val="en-US"/>
        </w:rPr>
        <w:t xml:space="preserve">In clinical studies, treatment with dasatinib in adults with Ph+ CML-CP, accelerated, myeloid or lymphoid blast phase (advanced phase) CML, or Ph+ ALL and paediatric patients with Ph+ CML-CP was continued until disease progression or until no longer </w:t>
      </w:r>
      <w:r w:rsidRPr="00150BAF">
        <w:rPr>
          <w:sz w:val="24"/>
          <w:szCs w:val="24"/>
          <w:lang w:val="en-US"/>
        </w:rPr>
        <w:lastRenderedPageBreak/>
        <w:t>tolerated by the patient. The effect of stopping treatment on long-term disease outcome after the achievement of a cytogenetic or molecular response [including complete cytogenetic response (CCyR), major molecular response (MMR) and MR4.5] has not been investigated.</w:t>
      </w:r>
    </w:p>
    <w:p w:rsidR="00150BAF" w:rsidRPr="00150BAF" w:rsidRDefault="00150BAF" w:rsidP="00150BAF">
      <w:pPr>
        <w:tabs>
          <w:tab w:val="left" w:pos="851"/>
        </w:tabs>
        <w:ind w:left="851"/>
        <w:rPr>
          <w:sz w:val="24"/>
          <w:szCs w:val="24"/>
          <w:lang w:val="en-US"/>
        </w:rPr>
      </w:pPr>
    </w:p>
    <w:p w:rsidR="00150BAF" w:rsidRPr="00150BAF" w:rsidRDefault="00150BAF" w:rsidP="00150BAF">
      <w:pPr>
        <w:tabs>
          <w:tab w:val="left" w:pos="851"/>
        </w:tabs>
        <w:ind w:left="851"/>
        <w:rPr>
          <w:sz w:val="24"/>
          <w:szCs w:val="24"/>
          <w:lang w:val="en-US"/>
        </w:rPr>
      </w:pPr>
      <w:r w:rsidRPr="00150BAF">
        <w:rPr>
          <w:sz w:val="24"/>
          <w:szCs w:val="24"/>
          <w:lang w:val="en-US"/>
        </w:rPr>
        <w:t>In clinical studies, treatment with dasatinib in paediatric patients with Ph+ ALL was administered continuously, added to successive blocks of backbone chemotherapy, for a maximum duration of two years. In patients that receive a subsequent stem cell transplantation, dasatinib can be administered for an additional year post-transplantation.</w:t>
      </w:r>
    </w:p>
    <w:p w:rsidR="00150BAF" w:rsidRPr="00150BAF" w:rsidRDefault="00150BAF" w:rsidP="00150BAF">
      <w:pPr>
        <w:tabs>
          <w:tab w:val="left" w:pos="851"/>
        </w:tabs>
        <w:ind w:left="851"/>
        <w:rPr>
          <w:sz w:val="24"/>
          <w:szCs w:val="24"/>
          <w:lang w:val="en-US"/>
        </w:rPr>
      </w:pPr>
    </w:p>
    <w:p w:rsidR="00150BAF" w:rsidRPr="00150BAF" w:rsidRDefault="00150BAF" w:rsidP="00150BAF">
      <w:pPr>
        <w:tabs>
          <w:tab w:val="left" w:pos="851"/>
        </w:tabs>
        <w:ind w:left="851"/>
        <w:rPr>
          <w:sz w:val="24"/>
          <w:szCs w:val="24"/>
          <w:lang w:val="en-US"/>
        </w:rPr>
      </w:pPr>
      <w:r w:rsidRPr="00150BAF">
        <w:rPr>
          <w:sz w:val="24"/>
          <w:szCs w:val="24"/>
          <w:lang w:val="en-US"/>
        </w:rPr>
        <w:t>To achieve the recommended dose, dasatinib is available as 20 mg, 50 mg, 70 mg, 80 mg, 100 mg and 140 mg film-coated tablets and as powder for oral suspension (10 mg/mL suspension upon constitution). Dose increase or reduction is recommended based on patient response and tolerability.</w:t>
      </w:r>
    </w:p>
    <w:p w:rsidR="00150BAF" w:rsidRPr="00150BAF" w:rsidRDefault="00150BAF" w:rsidP="00150BAF">
      <w:pPr>
        <w:tabs>
          <w:tab w:val="left" w:pos="851"/>
        </w:tabs>
        <w:ind w:left="851"/>
        <w:rPr>
          <w:sz w:val="24"/>
          <w:szCs w:val="24"/>
          <w:lang w:val="en-US"/>
        </w:rPr>
      </w:pPr>
    </w:p>
    <w:p w:rsidR="00150BAF" w:rsidRPr="00150BAF" w:rsidRDefault="00150BAF" w:rsidP="00150BAF">
      <w:pPr>
        <w:tabs>
          <w:tab w:val="left" w:pos="851"/>
        </w:tabs>
        <w:ind w:left="851"/>
        <w:rPr>
          <w:i/>
          <w:sz w:val="24"/>
          <w:szCs w:val="24"/>
          <w:lang w:val="en-US"/>
        </w:rPr>
      </w:pPr>
      <w:r w:rsidRPr="00150BAF">
        <w:rPr>
          <w:i/>
          <w:sz w:val="24"/>
          <w:szCs w:val="24"/>
          <w:u w:val="single"/>
          <w:lang w:val="en-US"/>
        </w:rPr>
        <w:t>Dose escalation</w:t>
      </w:r>
    </w:p>
    <w:p w:rsidR="00150BAF" w:rsidRPr="00150BAF" w:rsidRDefault="00150BAF" w:rsidP="00150BAF">
      <w:pPr>
        <w:tabs>
          <w:tab w:val="left" w:pos="851"/>
        </w:tabs>
        <w:ind w:left="851"/>
        <w:rPr>
          <w:sz w:val="24"/>
          <w:szCs w:val="24"/>
          <w:lang w:val="en-US"/>
        </w:rPr>
      </w:pPr>
      <w:r w:rsidRPr="00150BAF">
        <w:rPr>
          <w:sz w:val="24"/>
          <w:szCs w:val="24"/>
          <w:lang w:val="en-US"/>
        </w:rPr>
        <w:t>In clinical studies in adult CML and Ph+ ALL patients, dose escalation to 140 mg once daily (chronic phase CML) or 180 mg once daily (advanced phase CML or Ph+ ALL) was allowed in patients who did not achieve a haematologic or cytogenetic response at the recommended starting dose.</w:t>
      </w:r>
    </w:p>
    <w:p w:rsidR="00150BAF" w:rsidRPr="00150BAF" w:rsidRDefault="00150BAF" w:rsidP="00150BAF">
      <w:pPr>
        <w:tabs>
          <w:tab w:val="left" w:pos="851"/>
        </w:tabs>
        <w:ind w:left="851"/>
        <w:rPr>
          <w:sz w:val="24"/>
          <w:szCs w:val="24"/>
          <w:lang w:val="en-US"/>
        </w:rPr>
      </w:pPr>
    </w:p>
    <w:p w:rsidR="00990C2D" w:rsidRDefault="00150BAF" w:rsidP="00990C2D">
      <w:pPr>
        <w:tabs>
          <w:tab w:val="left" w:pos="851"/>
        </w:tabs>
        <w:ind w:left="851"/>
        <w:rPr>
          <w:sz w:val="24"/>
          <w:szCs w:val="24"/>
          <w:lang w:val="en-US"/>
        </w:rPr>
      </w:pPr>
      <w:r w:rsidRPr="00150BAF">
        <w:rPr>
          <w:sz w:val="24"/>
          <w:szCs w:val="24"/>
          <w:lang w:val="en-US"/>
        </w:rPr>
        <w:t>The following dose escalations shown in Table 2 are recommended in paediatric patients with Ph+ CML-CP who do not achieve a haematologic, cytogenetic and molecular response at the recommended time points, per current treatment guidelines, and who tolerate the treatment.</w:t>
      </w:r>
    </w:p>
    <w:p w:rsidR="00990C2D" w:rsidRDefault="00990C2D" w:rsidP="00990C2D">
      <w:pPr>
        <w:tabs>
          <w:tab w:val="left" w:pos="851"/>
        </w:tabs>
        <w:ind w:left="851"/>
        <w:rPr>
          <w:w w:val="105"/>
          <w:lang w:val="en-US"/>
        </w:rPr>
      </w:pPr>
    </w:p>
    <w:p w:rsidR="00990C2D" w:rsidRPr="00C152FD" w:rsidRDefault="00990C2D" w:rsidP="00990C2D">
      <w:pPr>
        <w:tabs>
          <w:tab w:val="left" w:pos="851"/>
        </w:tabs>
        <w:ind w:left="851"/>
        <w:rPr>
          <w:b/>
          <w:sz w:val="20"/>
          <w:lang w:val="en-US"/>
        </w:rPr>
      </w:pPr>
      <w:r w:rsidRPr="00C152FD">
        <w:rPr>
          <w:b/>
          <w:w w:val="105"/>
          <w:sz w:val="20"/>
          <w:lang w:val="en-US"/>
        </w:rPr>
        <w:t>Table</w:t>
      </w:r>
      <w:r w:rsidRPr="00C152FD">
        <w:rPr>
          <w:b/>
          <w:spacing w:val="-5"/>
          <w:w w:val="105"/>
          <w:sz w:val="20"/>
          <w:lang w:val="en-US"/>
        </w:rPr>
        <w:t xml:space="preserve"> </w:t>
      </w:r>
      <w:r w:rsidRPr="00C152FD">
        <w:rPr>
          <w:b/>
          <w:w w:val="105"/>
          <w:sz w:val="20"/>
          <w:lang w:val="en-US"/>
        </w:rPr>
        <w:t>2:</w:t>
      </w:r>
      <w:r w:rsidRPr="00C152FD">
        <w:rPr>
          <w:b/>
          <w:w w:val="105"/>
          <w:sz w:val="20"/>
          <w:lang w:val="en-US"/>
        </w:rPr>
        <w:tab/>
        <w:t>Dose</w:t>
      </w:r>
      <w:r w:rsidRPr="00C152FD">
        <w:rPr>
          <w:b/>
          <w:spacing w:val="-15"/>
          <w:w w:val="105"/>
          <w:sz w:val="20"/>
          <w:lang w:val="en-US"/>
        </w:rPr>
        <w:t xml:space="preserve"> </w:t>
      </w:r>
      <w:r w:rsidRPr="00C152FD">
        <w:rPr>
          <w:b/>
          <w:w w:val="105"/>
          <w:sz w:val="20"/>
          <w:lang w:val="en-US"/>
        </w:rPr>
        <w:t>escalation</w:t>
      </w:r>
      <w:r w:rsidRPr="00C152FD">
        <w:rPr>
          <w:b/>
          <w:spacing w:val="-16"/>
          <w:w w:val="105"/>
          <w:sz w:val="20"/>
          <w:lang w:val="en-US"/>
        </w:rPr>
        <w:t xml:space="preserve"> </w:t>
      </w:r>
      <w:r w:rsidRPr="00C152FD">
        <w:rPr>
          <w:b/>
          <w:w w:val="105"/>
          <w:sz w:val="20"/>
          <w:lang w:val="en-US"/>
        </w:rPr>
        <w:t>for</w:t>
      </w:r>
      <w:r w:rsidRPr="00C152FD">
        <w:rPr>
          <w:b/>
          <w:spacing w:val="-15"/>
          <w:w w:val="105"/>
          <w:sz w:val="20"/>
          <w:lang w:val="en-US"/>
        </w:rPr>
        <w:t xml:space="preserve"> </w:t>
      </w:r>
      <w:r w:rsidRPr="00C152FD">
        <w:rPr>
          <w:b/>
          <w:w w:val="105"/>
          <w:sz w:val="20"/>
          <w:lang w:val="en-US"/>
        </w:rPr>
        <w:t>paediatric</w:t>
      </w:r>
      <w:r w:rsidRPr="00C152FD">
        <w:rPr>
          <w:b/>
          <w:spacing w:val="-16"/>
          <w:w w:val="105"/>
          <w:sz w:val="20"/>
          <w:lang w:val="en-US"/>
        </w:rPr>
        <w:t xml:space="preserve"> </w:t>
      </w:r>
      <w:r w:rsidRPr="00C152FD">
        <w:rPr>
          <w:b/>
          <w:w w:val="105"/>
          <w:sz w:val="20"/>
          <w:lang w:val="en-US"/>
        </w:rPr>
        <w:t>patients</w:t>
      </w:r>
      <w:r w:rsidRPr="00C152FD">
        <w:rPr>
          <w:b/>
          <w:spacing w:val="-16"/>
          <w:w w:val="105"/>
          <w:sz w:val="20"/>
          <w:lang w:val="en-US"/>
        </w:rPr>
        <w:t xml:space="preserve"> </w:t>
      </w:r>
      <w:r w:rsidRPr="00C152FD">
        <w:rPr>
          <w:b/>
          <w:w w:val="105"/>
          <w:sz w:val="20"/>
          <w:lang w:val="en-US"/>
        </w:rPr>
        <w:t>with</w:t>
      </w:r>
      <w:r w:rsidRPr="00C152FD">
        <w:rPr>
          <w:b/>
          <w:spacing w:val="-16"/>
          <w:w w:val="105"/>
          <w:sz w:val="20"/>
          <w:lang w:val="en-US"/>
        </w:rPr>
        <w:t xml:space="preserve"> </w:t>
      </w:r>
      <w:r w:rsidRPr="00C152FD">
        <w:rPr>
          <w:b/>
          <w:w w:val="105"/>
          <w:sz w:val="20"/>
          <w:lang w:val="en-US"/>
        </w:rPr>
        <w:t>Ph+</w:t>
      </w:r>
      <w:r w:rsidRPr="00C152FD">
        <w:rPr>
          <w:b/>
          <w:spacing w:val="-16"/>
          <w:w w:val="105"/>
          <w:sz w:val="20"/>
          <w:lang w:val="en-US"/>
        </w:rPr>
        <w:t xml:space="preserve"> </w:t>
      </w:r>
      <w:r w:rsidRPr="00C152FD">
        <w:rPr>
          <w:b/>
          <w:w w:val="105"/>
          <w:sz w:val="20"/>
          <w:lang w:val="en-US"/>
        </w:rPr>
        <w:t>CML-CP</w:t>
      </w:r>
    </w:p>
    <w:p w:rsidR="00990C2D" w:rsidRPr="00C152FD" w:rsidRDefault="00990C2D" w:rsidP="00990C2D">
      <w:pPr>
        <w:pStyle w:val="Brdtekst"/>
        <w:spacing w:line="20" w:lineRule="exact"/>
        <w:ind w:left="129"/>
      </w:pPr>
      <w:r w:rsidRPr="00C152FD">
        <w:rPr>
          <w:noProof/>
        </w:rPr>
        <mc:AlternateContent>
          <mc:Choice Requires="wpg">
            <w:drawing>
              <wp:inline distT="0" distB="0" distL="0" distR="0">
                <wp:extent cx="5425440" cy="5715"/>
                <wp:effectExtent l="9525" t="9525" r="3810" b="3810"/>
                <wp:docPr id="43" name="Gruppe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5440" cy="5715"/>
                          <a:chOff x="0" y="0"/>
                          <a:chExt cx="8544" cy="9"/>
                        </a:xfrm>
                      </wpg:grpSpPr>
                      <wps:wsp>
                        <wps:cNvPr id="44" name="Line 92"/>
                        <wps:cNvCnPr>
                          <a:cxnSpLocks noChangeShapeType="1"/>
                        </wps:cNvCnPr>
                        <wps:spPr bwMode="auto">
                          <a:xfrm>
                            <a:off x="4" y="4"/>
                            <a:ext cx="8535" cy="0"/>
                          </a:xfrm>
                          <a:prstGeom prst="line">
                            <a:avLst/>
                          </a:prstGeom>
                          <a:noFill/>
                          <a:ln w="53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6EA220" id="Gruppe 43" o:spid="_x0000_s1026" style="width:427.2pt;height:.45pt;mso-position-horizontal-relative:char;mso-position-vertical-relative:line" coordsize="85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">
                <v:line id="Line 92" o:spid="_x0000_s1027" style="position:absolute;visibility:visible;mso-wrap-style:square" from="4,4" to="85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" strokeweight=".14814mm"/>
                <w10:anchorlock/>
              </v:group>
            </w:pict>
          </mc:Fallback>
        </mc:AlternateContent>
      </w:r>
    </w:p>
    <w:p w:rsidR="00990C2D" w:rsidRPr="00C152FD" w:rsidRDefault="00990C2D" w:rsidP="00990C2D">
      <w:pPr>
        <w:tabs>
          <w:tab w:val="left" w:pos="6915"/>
        </w:tabs>
        <w:spacing w:line="254" w:lineRule="auto"/>
        <w:ind w:left="4137" w:right="1182" w:firstLine="535"/>
        <w:rPr>
          <w:b/>
          <w:sz w:val="20"/>
          <w:lang w:val="en-US"/>
        </w:rPr>
      </w:pPr>
      <w:r w:rsidRPr="00C152FD">
        <w:rPr>
          <w:noProof/>
          <w:sz w:val="20"/>
        </w:rPr>
        <mc:AlternateContent>
          <mc:Choice Requires="wps">
            <w:drawing>
              <wp:anchor distT="0" distB="0" distL="114300" distR="114300" simplePos="0" relativeHeight="251664384" behindDoc="1" locked="0" layoutInCell="1" allowOverlap="1">
                <wp:simplePos x="0" y="0"/>
                <wp:positionH relativeFrom="page">
                  <wp:posOffset>1177290</wp:posOffset>
                </wp:positionH>
                <wp:positionV relativeFrom="paragraph">
                  <wp:posOffset>149225</wp:posOffset>
                </wp:positionV>
                <wp:extent cx="5419090" cy="0"/>
                <wp:effectExtent l="0" t="0" r="0" b="0"/>
                <wp:wrapNone/>
                <wp:docPr id="42" name="Lige forbindels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090" cy="0"/>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0EBD1" id="Lige forbindelse 42"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2.7pt,11.75pt" to="519.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" strokeweight=".42pt">
                <w10:wrap anchorx="page"/>
              </v:line>
            </w:pict>
          </mc:Fallback>
        </mc:AlternateContent>
      </w:r>
      <w:r w:rsidRPr="00C152FD">
        <w:rPr>
          <w:b/>
          <w:w w:val="105"/>
          <w:sz w:val="20"/>
          <w:lang w:val="en-US"/>
        </w:rPr>
        <w:t>Dose (maximum dose per day) Starting</w:t>
      </w:r>
      <w:r w:rsidRPr="00C152FD">
        <w:rPr>
          <w:b/>
          <w:spacing w:val="-8"/>
          <w:w w:val="105"/>
          <w:sz w:val="20"/>
          <w:lang w:val="en-US"/>
        </w:rPr>
        <w:t xml:space="preserve"> </w:t>
      </w:r>
      <w:r w:rsidRPr="00C152FD">
        <w:rPr>
          <w:b/>
          <w:w w:val="105"/>
          <w:sz w:val="20"/>
          <w:lang w:val="en-US"/>
        </w:rPr>
        <w:t>dose</w:t>
      </w:r>
      <w:r w:rsidRPr="00C152FD">
        <w:rPr>
          <w:b/>
          <w:w w:val="105"/>
          <w:sz w:val="20"/>
          <w:lang w:val="en-US"/>
        </w:rPr>
        <w:tab/>
      </w:r>
      <w:r w:rsidRPr="00C152FD">
        <w:rPr>
          <w:b/>
          <w:sz w:val="20"/>
          <w:lang w:val="en-US"/>
        </w:rPr>
        <w:t>Escalation</w:t>
      </w:r>
    </w:p>
    <w:p w:rsidR="00990C2D" w:rsidRPr="00C152FD" w:rsidRDefault="00990C2D" w:rsidP="00990C2D">
      <w:pPr>
        <w:pStyle w:val="Brdtekst"/>
        <w:spacing w:line="20" w:lineRule="exact"/>
        <w:ind w:left="129"/>
      </w:pPr>
      <w:r w:rsidRPr="00C152FD">
        <w:rPr>
          <w:noProof/>
        </w:rPr>
        <mc:AlternateContent>
          <mc:Choice Requires="wpg">
            <w:drawing>
              <wp:inline distT="0" distB="0" distL="0" distR="0">
                <wp:extent cx="5425440" cy="5715"/>
                <wp:effectExtent l="9525" t="9525" r="3810" b="3810"/>
                <wp:docPr id="40" name="Gruppe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5440" cy="5715"/>
                          <a:chOff x="0" y="0"/>
                          <a:chExt cx="8544" cy="9"/>
                        </a:xfrm>
                      </wpg:grpSpPr>
                      <wps:wsp>
                        <wps:cNvPr id="41" name="Line 89"/>
                        <wps:cNvCnPr>
                          <a:cxnSpLocks noChangeShapeType="1"/>
                        </wps:cNvCnPr>
                        <wps:spPr bwMode="auto">
                          <a:xfrm>
                            <a:off x="4" y="4"/>
                            <a:ext cx="8535" cy="0"/>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E2779F" id="Gruppe 40" o:spid="_x0000_s1026" style="width:427.2pt;height:.45pt;mso-position-horizontal-relative:char;mso-position-vertical-relative:line" coordsize="85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">
                <v:line id="Line 89" o:spid="_x0000_s1027" style="position:absolute;visibility:visible;mso-wrap-style:square" from="4,4" to="85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" strokeweight=".42pt"/>
                <w10:anchorlock/>
              </v:group>
            </w:pict>
          </mc:Fallback>
        </mc:AlternateContent>
      </w:r>
    </w:p>
    <w:p w:rsidR="00990C2D" w:rsidRPr="00C152FD" w:rsidRDefault="00990C2D" w:rsidP="00990C2D">
      <w:pPr>
        <w:tabs>
          <w:tab w:val="left" w:pos="4458"/>
          <w:tab w:val="left" w:pos="7114"/>
        </w:tabs>
        <w:ind w:left="1418"/>
        <w:rPr>
          <w:sz w:val="20"/>
          <w:lang w:val="de-DE"/>
        </w:rPr>
      </w:pPr>
      <w:r w:rsidRPr="00C152FD">
        <w:rPr>
          <w:b/>
          <w:w w:val="105"/>
          <w:sz w:val="20"/>
          <w:lang w:val="de-DE"/>
        </w:rPr>
        <w:t>Tablets</w:t>
      </w:r>
      <w:r w:rsidRPr="00C152FD">
        <w:rPr>
          <w:b/>
          <w:w w:val="105"/>
          <w:sz w:val="20"/>
          <w:lang w:val="de-DE"/>
        </w:rPr>
        <w:tab/>
      </w:r>
      <w:r w:rsidRPr="00C152FD">
        <w:rPr>
          <w:w w:val="105"/>
          <w:sz w:val="20"/>
          <w:lang w:val="de-DE"/>
        </w:rPr>
        <w:t>40</w:t>
      </w:r>
      <w:r w:rsidRPr="00C152FD">
        <w:rPr>
          <w:spacing w:val="-3"/>
          <w:w w:val="105"/>
          <w:sz w:val="20"/>
          <w:lang w:val="de-DE"/>
        </w:rPr>
        <w:t xml:space="preserve"> </w:t>
      </w:r>
      <w:r w:rsidRPr="00C152FD">
        <w:rPr>
          <w:w w:val="105"/>
          <w:sz w:val="20"/>
          <w:lang w:val="de-DE"/>
        </w:rPr>
        <w:t>mg</w:t>
      </w:r>
      <w:r w:rsidRPr="00C152FD">
        <w:rPr>
          <w:w w:val="105"/>
          <w:sz w:val="20"/>
          <w:lang w:val="de-DE"/>
        </w:rPr>
        <w:tab/>
        <w:t>50</w:t>
      </w:r>
      <w:r w:rsidRPr="00C152FD">
        <w:rPr>
          <w:spacing w:val="-12"/>
          <w:w w:val="105"/>
          <w:sz w:val="20"/>
          <w:lang w:val="de-DE"/>
        </w:rPr>
        <w:t xml:space="preserve"> </w:t>
      </w:r>
      <w:r w:rsidRPr="00C152FD">
        <w:rPr>
          <w:w w:val="105"/>
          <w:sz w:val="20"/>
          <w:lang w:val="de-DE"/>
        </w:rPr>
        <w:t>mg</w:t>
      </w:r>
    </w:p>
    <w:p w:rsidR="00990C2D" w:rsidRPr="00C152FD" w:rsidRDefault="00990C2D" w:rsidP="00990C2D">
      <w:pPr>
        <w:pStyle w:val="Brdtekst"/>
        <w:tabs>
          <w:tab w:val="left" w:pos="7114"/>
        </w:tabs>
        <w:spacing w:before="7"/>
        <w:ind w:left="4458"/>
        <w:rPr>
          <w:lang w:val="de-DE"/>
        </w:rPr>
      </w:pPr>
      <w:r w:rsidRPr="00C152FD">
        <w:rPr>
          <w:w w:val="105"/>
          <w:lang w:val="de-DE"/>
        </w:rPr>
        <w:t>60</w:t>
      </w:r>
      <w:r w:rsidRPr="00C152FD">
        <w:rPr>
          <w:spacing w:val="-3"/>
          <w:w w:val="105"/>
          <w:lang w:val="de-DE"/>
        </w:rPr>
        <w:t xml:space="preserve"> </w:t>
      </w:r>
      <w:r w:rsidRPr="00C152FD">
        <w:rPr>
          <w:w w:val="105"/>
          <w:lang w:val="de-DE"/>
        </w:rPr>
        <w:t>mg</w:t>
      </w:r>
      <w:r w:rsidRPr="00C152FD">
        <w:rPr>
          <w:w w:val="105"/>
          <w:lang w:val="de-DE"/>
        </w:rPr>
        <w:tab/>
        <w:t>70</w:t>
      </w:r>
      <w:r w:rsidRPr="00C152FD">
        <w:rPr>
          <w:spacing w:val="-12"/>
          <w:w w:val="105"/>
          <w:lang w:val="de-DE"/>
        </w:rPr>
        <w:t xml:space="preserve"> </w:t>
      </w:r>
      <w:r w:rsidRPr="00C152FD">
        <w:rPr>
          <w:w w:val="105"/>
          <w:lang w:val="de-DE"/>
        </w:rPr>
        <w:t>mg</w:t>
      </w:r>
    </w:p>
    <w:p w:rsidR="00990C2D" w:rsidRPr="00C152FD" w:rsidRDefault="00990C2D" w:rsidP="00990C2D">
      <w:pPr>
        <w:pStyle w:val="Brdtekst"/>
        <w:tabs>
          <w:tab w:val="left" w:pos="7114"/>
        </w:tabs>
        <w:spacing w:before="7"/>
        <w:ind w:left="4458"/>
        <w:rPr>
          <w:lang w:val="de-DE"/>
        </w:rPr>
      </w:pPr>
      <w:r w:rsidRPr="00C152FD">
        <w:rPr>
          <w:w w:val="105"/>
          <w:lang w:val="de-DE"/>
        </w:rPr>
        <w:t>70</w:t>
      </w:r>
      <w:r w:rsidRPr="00C152FD">
        <w:rPr>
          <w:spacing w:val="-3"/>
          <w:w w:val="105"/>
          <w:lang w:val="de-DE"/>
        </w:rPr>
        <w:t xml:space="preserve"> </w:t>
      </w:r>
      <w:r w:rsidRPr="00C152FD">
        <w:rPr>
          <w:w w:val="105"/>
          <w:lang w:val="de-DE"/>
        </w:rPr>
        <w:t>mg</w:t>
      </w:r>
      <w:r w:rsidRPr="00C152FD">
        <w:rPr>
          <w:w w:val="105"/>
          <w:lang w:val="de-DE"/>
        </w:rPr>
        <w:tab/>
        <w:t>90</w:t>
      </w:r>
      <w:r w:rsidRPr="00C152FD">
        <w:rPr>
          <w:spacing w:val="-12"/>
          <w:w w:val="105"/>
          <w:lang w:val="de-DE"/>
        </w:rPr>
        <w:t xml:space="preserve"> </w:t>
      </w:r>
      <w:r w:rsidRPr="00C152FD">
        <w:rPr>
          <w:w w:val="105"/>
          <w:lang w:val="de-DE"/>
        </w:rPr>
        <w:t>mg</w:t>
      </w:r>
    </w:p>
    <w:p w:rsidR="00990C2D" w:rsidRPr="00C152FD" w:rsidRDefault="00990C2D" w:rsidP="00990C2D">
      <w:pPr>
        <w:pStyle w:val="Brdtekst"/>
        <w:tabs>
          <w:tab w:val="left" w:pos="7062"/>
        </w:tabs>
        <w:spacing w:before="9"/>
        <w:ind w:left="4407"/>
      </w:pPr>
      <w:r w:rsidRPr="00C152FD">
        <w:rPr>
          <w:w w:val="105"/>
        </w:rPr>
        <w:t>100</w:t>
      </w:r>
      <w:r w:rsidRPr="00C152FD">
        <w:rPr>
          <w:spacing w:val="-5"/>
          <w:w w:val="105"/>
        </w:rPr>
        <w:t xml:space="preserve"> </w:t>
      </w:r>
      <w:r w:rsidRPr="00C152FD">
        <w:rPr>
          <w:w w:val="105"/>
        </w:rPr>
        <w:t>mg</w:t>
      </w:r>
      <w:r w:rsidRPr="00C152FD">
        <w:rPr>
          <w:w w:val="105"/>
        </w:rPr>
        <w:tab/>
        <w:t>120</w:t>
      </w:r>
      <w:r w:rsidRPr="00C152FD">
        <w:rPr>
          <w:spacing w:val="-14"/>
          <w:w w:val="105"/>
        </w:rPr>
        <w:t xml:space="preserve"> </w:t>
      </w:r>
      <w:r w:rsidRPr="00C152FD">
        <w:rPr>
          <w:w w:val="105"/>
        </w:rPr>
        <w:t>mg</w:t>
      </w:r>
    </w:p>
    <w:p w:rsidR="00990C2D" w:rsidRPr="00C152FD" w:rsidRDefault="00990C2D" w:rsidP="00990C2D">
      <w:pPr>
        <w:pStyle w:val="Brdtekst"/>
        <w:spacing w:line="20" w:lineRule="exact"/>
        <w:ind w:left="115"/>
      </w:pPr>
      <w:r w:rsidRPr="00C152FD">
        <w:rPr>
          <w:noProof/>
        </w:rPr>
        <mc:AlternateContent>
          <mc:Choice Requires="wpg">
            <w:drawing>
              <wp:inline distT="0" distB="0" distL="0" distR="0">
                <wp:extent cx="5434330" cy="6350"/>
                <wp:effectExtent l="9525" t="9525" r="4445" b="3175"/>
                <wp:docPr id="36" name="Gruppe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4330" cy="6350"/>
                          <a:chOff x="0" y="0"/>
                          <a:chExt cx="8558" cy="10"/>
                        </a:xfrm>
                      </wpg:grpSpPr>
                      <wps:wsp>
                        <wps:cNvPr id="37" name="Line 87"/>
                        <wps:cNvCnPr>
                          <a:cxnSpLocks noChangeShapeType="1"/>
                        </wps:cNvCnPr>
                        <wps:spPr bwMode="auto">
                          <a:xfrm>
                            <a:off x="5" y="5"/>
                            <a:ext cx="32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 name="Line 86"/>
                        <wps:cNvCnPr>
                          <a:cxnSpLocks noChangeShapeType="1"/>
                        </wps:cNvCnPr>
                        <wps:spPr bwMode="auto">
                          <a:xfrm>
                            <a:off x="3229" y="5"/>
                            <a:ext cx="27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 name="Line 85"/>
                        <wps:cNvCnPr>
                          <a:cxnSpLocks noChangeShapeType="1"/>
                        </wps:cNvCnPr>
                        <wps:spPr bwMode="auto">
                          <a:xfrm>
                            <a:off x="5957" y="5"/>
                            <a:ext cx="259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854CA3" id="Gruppe 36" o:spid="_x0000_s1026" style="width:427.9pt;height:.5pt;mso-position-horizontal-relative:char;mso-position-vertical-relative:line" coordsize="8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">
                <v:line id="Line 87" o:spid="_x0000_s1027" style="position:absolute;visibility:visible;mso-wrap-style:square" from="5,5" to="32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86" o:spid="_x0000_s1028" style="position:absolute;visibility:visible;mso-wrap-style:square" from="3229,5" to="59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85" o:spid="_x0000_s1029" style="position:absolute;visibility:visible;mso-wrap-style:square" from="5957,5" to="85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w10:anchorlock/>
              </v:group>
            </w:pict>
          </mc:Fallback>
        </mc:AlternateContent>
      </w:r>
    </w:p>
    <w:p w:rsidR="00990C2D" w:rsidRPr="00C152FD" w:rsidRDefault="00990C2D" w:rsidP="00990C2D">
      <w:pPr>
        <w:pStyle w:val="Brdtekst"/>
        <w:spacing w:before="97" w:line="244" w:lineRule="auto"/>
        <w:ind w:right="381"/>
      </w:pPr>
      <w:r w:rsidRPr="00C152FD">
        <w:rPr>
          <w:w w:val="105"/>
        </w:rPr>
        <w:t>Dose</w:t>
      </w:r>
      <w:r w:rsidRPr="00C152FD">
        <w:rPr>
          <w:spacing w:val="-13"/>
          <w:w w:val="105"/>
        </w:rPr>
        <w:t xml:space="preserve"> </w:t>
      </w:r>
      <w:r w:rsidRPr="00C152FD">
        <w:rPr>
          <w:w w:val="105"/>
        </w:rPr>
        <w:t>escalation</w:t>
      </w:r>
      <w:r w:rsidRPr="00C152FD">
        <w:rPr>
          <w:spacing w:val="-12"/>
          <w:w w:val="105"/>
        </w:rPr>
        <w:t xml:space="preserve"> </w:t>
      </w:r>
      <w:r w:rsidRPr="00C152FD">
        <w:rPr>
          <w:w w:val="105"/>
        </w:rPr>
        <w:t>is</w:t>
      </w:r>
      <w:r w:rsidRPr="00C152FD">
        <w:rPr>
          <w:spacing w:val="-11"/>
          <w:w w:val="105"/>
        </w:rPr>
        <w:t xml:space="preserve"> </w:t>
      </w:r>
      <w:r w:rsidRPr="00C152FD">
        <w:rPr>
          <w:w w:val="105"/>
        </w:rPr>
        <w:t>not</w:t>
      </w:r>
      <w:r w:rsidRPr="00C152FD">
        <w:rPr>
          <w:spacing w:val="-11"/>
          <w:w w:val="105"/>
        </w:rPr>
        <w:t xml:space="preserve"> </w:t>
      </w:r>
      <w:r w:rsidRPr="00C152FD">
        <w:rPr>
          <w:w w:val="105"/>
        </w:rPr>
        <w:t>recommended</w:t>
      </w:r>
      <w:r w:rsidRPr="00C152FD">
        <w:rPr>
          <w:spacing w:val="-12"/>
          <w:w w:val="105"/>
        </w:rPr>
        <w:t xml:space="preserve"> </w:t>
      </w:r>
      <w:r w:rsidRPr="00C152FD">
        <w:rPr>
          <w:w w:val="105"/>
        </w:rPr>
        <w:t>for</w:t>
      </w:r>
      <w:r w:rsidRPr="00C152FD">
        <w:rPr>
          <w:spacing w:val="-10"/>
          <w:w w:val="105"/>
        </w:rPr>
        <w:t xml:space="preserve"> </w:t>
      </w:r>
      <w:r w:rsidRPr="00C152FD">
        <w:rPr>
          <w:w w:val="105"/>
        </w:rPr>
        <w:t>paediatric</w:t>
      </w:r>
      <w:r w:rsidRPr="00C152FD">
        <w:rPr>
          <w:spacing w:val="-10"/>
          <w:w w:val="105"/>
        </w:rPr>
        <w:t xml:space="preserve"> </w:t>
      </w:r>
      <w:r w:rsidRPr="00C152FD">
        <w:rPr>
          <w:w w:val="105"/>
        </w:rPr>
        <w:t>patients</w:t>
      </w:r>
      <w:r w:rsidRPr="00C152FD">
        <w:rPr>
          <w:spacing w:val="-12"/>
          <w:w w:val="105"/>
        </w:rPr>
        <w:t xml:space="preserve"> </w:t>
      </w:r>
      <w:r w:rsidRPr="00C152FD">
        <w:rPr>
          <w:w w:val="105"/>
        </w:rPr>
        <w:t>with</w:t>
      </w:r>
      <w:r w:rsidRPr="00C152FD">
        <w:rPr>
          <w:spacing w:val="-12"/>
          <w:w w:val="105"/>
        </w:rPr>
        <w:t xml:space="preserve"> </w:t>
      </w:r>
      <w:r w:rsidRPr="00C152FD">
        <w:rPr>
          <w:w w:val="105"/>
        </w:rPr>
        <w:t>Ph+</w:t>
      </w:r>
      <w:r w:rsidRPr="00C152FD">
        <w:rPr>
          <w:spacing w:val="-12"/>
          <w:w w:val="105"/>
        </w:rPr>
        <w:t xml:space="preserve"> </w:t>
      </w:r>
      <w:r w:rsidRPr="00C152FD">
        <w:rPr>
          <w:w w:val="105"/>
        </w:rPr>
        <w:t>ALL,</w:t>
      </w:r>
      <w:r w:rsidRPr="00C152FD">
        <w:rPr>
          <w:spacing w:val="-12"/>
          <w:w w:val="105"/>
        </w:rPr>
        <w:t xml:space="preserve"> </w:t>
      </w:r>
      <w:r w:rsidRPr="00C152FD">
        <w:rPr>
          <w:w w:val="105"/>
        </w:rPr>
        <w:t>as</w:t>
      </w:r>
      <w:r w:rsidRPr="00C152FD">
        <w:rPr>
          <w:spacing w:val="-12"/>
          <w:w w:val="105"/>
        </w:rPr>
        <w:t xml:space="preserve"> </w:t>
      </w:r>
      <w:r w:rsidRPr="00C152FD">
        <w:rPr>
          <w:w w:val="105"/>
        </w:rPr>
        <w:t>dasatinib</w:t>
      </w:r>
      <w:r w:rsidRPr="00C152FD">
        <w:rPr>
          <w:spacing w:val="-12"/>
          <w:w w:val="105"/>
        </w:rPr>
        <w:t xml:space="preserve"> </w:t>
      </w:r>
      <w:r w:rsidRPr="00C152FD">
        <w:rPr>
          <w:w w:val="105"/>
        </w:rPr>
        <w:t>is administered</w:t>
      </w:r>
      <w:r w:rsidRPr="00C152FD">
        <w:rPr>
          <w:spacing w:val="-16"/>
          <w:w w:val="105"/>
        </w:rPr>
        <w:t xml:space="preserve"> </w:t>
      </w:r>
      <w:r w:rsidRPr="00C152FD">
        <w:rPr>
          <w:w w:val="105"/>
        </w:rPr>
        <w:t>in</w:t>
      </w:r>
      <w:r w:rsidRPr="00C152FD">
        <w:rPr>
          <w:spacing w:val="-16"/>
          <w:w w:val="105"/>
        </w:rPr>
        <w:t xml:space="preserve"> </w:t>
      </w:r>
      <w:r w:rsidRPr="00C152FD">
        <w:rPr>
          <w:w w:val="105"/>
        </w:rPr>
        <w:t>combination</w:t>
      </w:r>
      <w:r w:rsidRPr="00C152FD">
        <w:rPr>
          <w:spacing w:val="-16"/>
          <w:w w:val="105"/>
        </w:rPr>
        <w:t xml:space="preserve"> </w:t>
      </w:r>
      <w:r w:rsidRPr="00C152FD">
        <w:rPr>
          <w:w w:val="105"/>
        </w:rPr>
        <w:t>with</w:t>
      </w:r>
      <w:r w:rsidRPr="00C152FD">
        <w:rPr>
          <w:spacing w:val="-16"/>
          <w:w w:val="105"/>
        </w:rPr>
        <w:t xml:space="preserve"> </w:t>
      </w:r>
      <w:r w:rsidRPr="00C152FD">
        <w:rPr>
          <w:w w:val="105"/>
        </w:rPr>
        <w:t>chemotherapy</w:t>
      </w:r>
      <w:r w:rsidRPr="00C152FD">
        <w:rPr>
          <w:spacing w:val="-15"/>
          <w:w w:val="105"/>
        </w:rPr>
        <w:t xml:space="preserve"> </w:t>
      </w:r>
      <w:r w:rsidRPr="00C152FD">
        <w:rPr>
          <w:w w:val="105"/>
        </w:rPr>
        <w:t>in</w:t>
      </w:r>
      <w:r w:rsidRPr="00C152FD">
        <w:rPr>
          <w:spacing w:val="-16"/>
          <w:w w:val="105"/>
        </w:rPr>
        <w:t xml:space="preserve"> </w:t>
      </w:r>
      <w:r w:rsidRPr="00C152FD">
        <w:rPr>
          <w:w w:val="105"/>
        </w:rPr>
        <w:t>these</w:t>
      </w:r>
      <w:r w:rsidRPr="00C152FD">
        <w:rPr>
          <w:spacing w:val="-16"/>
          <w:w w:val="105"/>
        </w:rPr>
        <w:t xml:space="preserve"> </w:t>
      </w:r>
      <w:r w:rsidRPr="00C152FD">
        <w:rPr>
          <w:w w:val="105"/>
        </w:rPr>
        <w:t>patients.</w:t>
      </w:r>
    </w:p>
    <w:p w:rsidR="00150BAF" w:rsidRPr="00150BAF" w:rsidRDefault="00150BAF" w:rsidP="00150BAF">
      <w:pPr>
        <w:tabs>
          <w:tab w:val="left" w:pos="851"/>
        </w:tabs>
        <w:ind w:left="851"/>
        <w:rPr>
          <w:sz w:val="24"/>
          <w:szCs w:val="24"/>
          <w:lang w:val="en-US"/>
        </w:rPr>
      </w:pPr>
    </w:p>
    <w:p w:rsidR="00C152FD" w:rsidRDefault="00150BAF" w:rsidP="00150BAF">
      <w:pPr>
        <w:tabs>
          <w:tab w:val="left" w:pos="851"/>
        </w:tabs>
        <w:ind w:left="851"/>
        <w:rPr>
          <w:i/>
          <w:sz w:val="24"/>
          <w:szCs w:val="24"/>
          <w:u w:val="single"/>
          <w:lang w:val="en-US"/>
        </w:rPr>
      </w:pPr>
      <w:r w:rsidRPr="00150BAF">
        <w:rPr>
          <w:i/>
          <w:sz w:val="24"/>
          <w:szCs w:val="24"/>
          <w:u w:val="single"/>
          <w:lang w:val="en-US"/>
        </w:rPr>
        <w:t>Dose adjustment for adverse reactions</w:t>
      </w:r>
    </w:p>
    <w:p w:rsidR="00C152FD" w:rsidRDefault="00C152FD" w:rsidP="00150BAF">
      <w:pPr>
        <w:tabs>
          <w:tab w:val="left" w:pos="851"/>
        </w:tabs>
        <w:ind w:left="851"/>
        <w:rPr>
          <w:i/>
          <w:sz w:val="24"/>
          <w:szCs w:val="24"/>
          <w:lang w:val="en-US"/>
        </w:rPr>
      </w:pPr>
    </w:p>
    <w:p w:rsidR="00150BAF" w:rsidRPr="00150BAF" w:rsidRDefault="00150BAF" w:rsidP="00150BAF">
      <w:pPr>
        <w:tabs>
          <w:tab w:val="left" w:pos="851"/>
        </w:tabs>
        <w:ind w:left="851"/>
        <w:rPr>
          <w:i/>
          <w:sz w:val="24"/>
          <w:szCs w:val="24"/>
          <w:lang w:val="en-US"/>
        </w:rPr>
      </w:pPr>
      <w:r w:rsidRPr="00150BAF">
        <w:rPr>
          <w:i/>
          <w:sz w:val="24"/>
          <w:szCs w:val="24"/>
          <w:lang w:val="en-US"/>
        </w:rPr>
        <w:t>Myelosuppression</w:t>
      </w:r>
    </w:p>
    <w:p w:rsidR="00150BAF" w:rsidRPr="00150BAF" w:rsidRDefault="00150BAF" w:rsidP="00150BAF">
      <w:pPr>
        <w:tabs>
          <w:tab w:val="left" w:pos="851"/>
        </w:tabs>
        <w:ind w:left="851"/>
        <w:rPr>
          <w:sz w:val="24"/>
          <w:szCs w:val="24"/>
          <w:lang w:val="en-US"/>
        </w:rPr>
      </w:pPr>
      <w:r w:rsidRPr="00150BAF">
        <w:rPr>
          <w:sz w:val="24"/>
          <w:szCs w:val="24"/>
          <w:lang w:val="en-US"/>
        </w:rPr>
        <w:t>In clinical studies, myelosuppression was managed by dose interruption, dose reduction, or discontinuation of study therapy. Platelet transfusion and red cell transfusion were used as appropriate. Haematopoietic growth factor has been used in patients with resistant myelosuppression.</w:t>
      </w:r>
    </w:p>
    <w:p w:rsidR="00150BAF" w:rsidRPr="00150BAF" w:rsidRDefault="00150BAF" w:rsidP="00150BAF">
      <w:pPr>
        <w:tabs>
          <w:tab w:val="left" w:pos="851"/>
        </w:tabs>
        <w:ind w:left="851"/>
        <w:rPr>
          <w:sz w:val="24"/>
          <w:szCs w:val="24"/>
          <w:lang w:val="en-US"/>
        </w:rPr>
      </w:pPr>
      <w:r w:rsidRPr="00150BAF">
        <w:rPr>
          <w:sz w:val="24"/>
          <w:szCs w:val="24"/>
          <w:lang w:val="en-US"/>
        </w:rPr>
        <w:t>Guidelines for dose modifications in adults are summarised in Table 3 and in paediatric patients with Ph+ CML-CP in Table 4. Guidelines for paediatric patients with Ph+ ALL treated in combination with chemotherapy are in a separate paragraph following the tables.</w:t>
      </w:r>
    </w:p>
    <w:p w:rsidR="00283950" w:rsidRPr="00283950" w:rsidRDefault="00283950">
      <w:pPr>
        <w:rPr>
          <w:sz w:val="24"/>
          <w:szCs w:val="24"/>
          <w:lang w:val="en-US"/>
        </w:rPr>
      </w:pPr>
      <w:r w:rsidRPr="00283950">
        <w:rPr>
          <w:sz w:val="24"/>
          <w:szCs w:val="24"/>
          <w:lang w:val="en-US"/>
        </w:rPr>
        <w:br w:type="page"/>
      </w:r>
    </w:p>
    <w:p w:rsidR="00150BAF" w:rsidRPr="00283950" w:rsidRDefault="00150BAF" w:rsidP="00150BAF">
      <w:pPr>
        <w:tabs>
          <w:tab w:val="left" w:pos="851"/>
        </w:tabs>
        <w:ind w:left="851"/>
        <w:rPr>
          <w:sz w:val="24"/>
          <w:szCs w:val="24"/>
          <w:lang w:val="en-US"/>
        </w:rPr>
      </w:pPr>
    </w:p>
    <w:p w:rsidR="00C152FD" w:rsidRPr="00283950" w:rsidRDefault="00C152FD" w:rsidP="00C152FD">
      <w:pPr>
        <w:pStyle w:val="Overskrift1"/>
        <w:tabs>
          <w:tab w:val="left" w:pos="993"/>
        </w:tabs>
        <w:ind w:left="0"/>
      </w:pPr>
      <w:r w:rsidRPr="00283950">
        <w:rPr>
          <w:w w:val="105"/>
        </w:rPr>
        <w:t>Table</w:t>
      </w:r>
      <w:r w:rsidRPr="00283950">
        <w:rPr>
          <w:spacing w:val="-5"/>
          <w:w w:val="105"/>
        </w:rPr>
        <w:t xml:space="preserve"> </w:t>
      </w:r>
      <w:r w:rsidRPr="00283950">
        <w:rPr>
          <w:w w:val="105"/>
        </w:rPr>
        <w:t>3:</w:t>
      </w:r>
      <w:r w:rsidRPr="00283950">
        <w:rPr>
          <w:w w:val="105"/>
        </w:rPr>
        <w:tab/>
        <w:t>Dose</w:t>
      </w:r>
      <w:r w:rsidRPr="00283950">
        <w:rPr>
          <w:spacing w:val="-17"/>
          <w:w w:val="105"/>
        </w:rPr>
        <w:t xml:space="preserve"> </w:t>
      </w:r>
      <w:r w:rsidRPr="00283950">
        <w:rPr>
          <w:w w:val="105"/>
        </w:rPr>
        <w:t>adjustments</w:t>
      </w:r>
      <w:r w:rsidRPr="00283950">
        <w:rPr>
          <w:spacing w:val="-17"/>
          <w:w w:val="105"/>
        </w:rPr>
        <w:t xml:space="preserve"> </w:t>
      </w:r>
      <w:r w:rsidRPr="00283950">
        <w:rPr>
          <w:w w:val="105"/>
        </w:rPr>
        <w:t>for</w:t>
      </w:r>
      <w:r w:rsidRPr="00283950">
        <w:rPr>
          <w:spacing w:val="-17"/>
          <w:w w:val="105"/>
        </w:rPr>
        <w:t xml:space="preserve"> </w:t>
      </w:r>
      <w:r w:rsidRPr="00283950">
        <w:rPr>
          <w:w w:val="105"/>
        </w:rPr>
        <w:t>neutropaenia</w:t>
      </w:r>
      <w:r w:rsidRPr="00283950">
        <w:rPr>
          <w:spacing w:val="-17"/>
          <w:w w:val="105"/>
        </w:rPr>
        <w:t xml:space="preserve"> </w:t>
      </w:r>
      <w:r w:rsidRPr="00283950">
        <w:rPr>
          <w:w w:val="105"/>
        </w:rPr>
        <w:t>and</w:t>
      </w:r>
      <w:r w:rsidRPr="00283950">
        <w:rPr>
          <w:spacing w:val="-17"/>
          <w:w w:val="105"/>
        </w:rPr>
        <w:t xml:space="preserve"> </w:t>
      </w:r>
      <w:r w:rsidRPr="00283950">
        <w:rPr>
          <w:w w:val="105"/>
        </w:rPr>
        <w:t>thrombocytopaenia</w:t>
      </w:r>
      <w:r w:rsidRPr="00283950">
        <w:rPr>
          <w:spacing w:val="-18"/>
          <w:w w:val="105"/>
        </w:rPr>
        <w:t xml:space="preserve"> </w:t>
      </w:r>
      <w:r w:rsidRPr="00283950">
        <w:rPr>
          <w:w w:val="105"/>
        </w:rPr>
        <w:t>in</w:t>
      </w:r>
      <w:r w:rsidRPr="00283950">
        <w:rPr>
          <w:spacing w:val="-17"/>
          <w:w w:val="105"/>
        </w:rPr>
        <w:t xml:space="preserve"> </w:t>
      </w:r>
      <w:r w:rsidRPr="00283950">
        <w:rPr>
          <w:w w:val="105"/>
        </w:rPr>
        <w:t>adults</w:t>
      </w:r>
    </w:p>
    <w:tbl>
      <w:tblPr>
        <w:tblStyle w:val="TableNormal1"/>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3"/>
        <w:gridCol w:w="2041"/>
        <w:gridCol w:w="4226"/>
      </w:tblGrid>
      <w:tr w:rsidR="00C152FD" w:rsidRPr="00F430C7" w:rsidTr="00C152FD">
        <w:trPr>
          <w:trHeight w:val="3800"/>
        </w:trPr>
        <w:tc>
          <w:tcPr>
            <w:tcW w:w="2503" w:type="dxa"/>
            <w:tcBorders>
              <w:top w:val="single" w:sz="4" w:space="0" w:color="000000"/>
              <w:left w:val="single" w:sz="4" w:space="0" w:color="000000"/>
              <w:bottom w:val="single" w:sz="4" w:space="0" w:color="000000"/>
              <w:right w:val="single" w:sz="4" w:space="0" w:color="000000"/>
            </w:tcBorders>
          </w:tcPr>
          <w:p w:rsidR="00C152FD" w:rsidRPr="00283950" w:rsidRDefault="00C152FD">
            <w:pPr>
              <w:pStyle w:val="TableParagraph"/>
              <w:rPr>
                <w:rFonts w:ascii="Times New Roman" w:hAnsi="Times New Roman" w:cs="Times New Roman"/>
                <w:b/>
              </w:rPr>
            </w:pPr>
          </w:p>
          <w:p w:rsidR="00C152FD" w:rsidRPr="00283950" w:rsidRDefault="00C152FD">
            <w:pPr>
              <w:pStyle w:val="TableParagraph"/>
              <w:rPr>
                <w:rFonts w:ascii="Times New Roman" w:hAnsi="Times New Roman" w:cs="Times New Roman"/>
                <w:b/>
              </w:rPr>
            </w:pPr>
          </w:p>
          <w:p w:rsidR="00C152FD" w:rsidRPr="00283950" w:rsidRDefault="00C152FD">
            <w:pPr>
              <w:pStyle w:val="TableParagraph"/>
              <w:rPr>
                <w:rFonts w:ascii="Times New Roman" w:hAnsi="Times New Roman" w:cs="Times New Roman"/>
                <w:b/>
              </w:rPr>
            </w:pPr>
          </w:p>
          <w:p w:rsidR="00C152FD" w:rsidRPr="00283950" w:rsidRDefault="00C152FD">
            <w:pPr>
              <w:pStyle w:val="TableParagraph"/>
              <w:rPr>
                <w:rFonts w:ascii="Times New Roman" w:hAnsi="Times New Roman" w:cs="Times New Roman"/>
                <w:b/>
              </w:rPr>
            </w:pPr>
          </w:p>
          <w:p w:rsidR="00C152FD" w:rsidRPr="00283950" w:rsidRDefault="00C152FD">
            <w:pPr>
              <w:pStyle w:val="TableParagraph"/>
              <w:rPr>
                <w:rFonts w:ascii="Times New Roman" w:hAnsi="Times New Roman" w:cs="Times New Roman"/>
                <w:b/>
              </w:rPr>
            </w:pPr>
          </w:p>
          <w:p w:rsidR="00C152FD" w:rsidRPr="00283950" w:rsidRDefault="00C152FD">
            <w:pPr>
              <w:pStyle w:val="TableParagraph"/>
              <w:spacing w:before="169" w:line="244" w:lineRule="auto"/>
              <w:ind w:left="97"/>
              <w:rPr>
                <w:rFonts w:ascii="Times New Roman" w:hAnsi="Times New Roman" w:cs="Times New Roman"/>
                <w:sz w:val="20"/>
              </w:rPr>
            </w:pPr>
            <w:r w:rsidRPr="00283950">
              <w:rPr>
                <w:rFonts w:ascii="Times New Roman" w:hAnsi="Times New Roman" w:cs="Times New Roman"/>
                <w:w w:val="105"/>
                <w:sz w:val="20"/>
              </w:rPr>
              <w:t>Adults with chronic phase CML</w:t>
            </w:r>
          </w:p>
          <w:p w:rsidR="00C152FD" w:rsidRPr="00283950" w:rsidRDefault="00C152FD">
            <w:pPr>
              <w:pStyle w:val="TableParagraph"/>
              <w:spacing w:before="1" w:line="244" w:lineRule="auto"/>
              <w:ind w:left="97"/>
              <w:rPr>
                <w:rFonts w:ascii="Times New Roman" w:hAnsi="Times New Roman" w:cs="Times New Roman"/>
                <w:sz w:val="20"/>
              </w:rPr>
            </w:pPr>
            <w:r w:rsidRPr="00283950">
              <w:rPr>
                <w:rFonts w:ascii="Times New Roman" w:hAnsi="Times New Roman" w:cs="Times New Roman"/>
                <w:w w:val="105"/>
                <w:sz w:val="20"/>
              </w:rPr>
              <w:t>(starting dose 100 mg once daily)</w:t>
            </w:r>
          </w:p>
        </w:tc>
        <w:tc>
          <w:tcPr>
            <w:tcW w:w="2041" w:type="dxa"/>
            <w:tcBorders>
              <w:top w:val="single" w:sz="4" w:space="0" w:color="000000"/>
              <w:left w:val="single" w:sz="4" w:space="0" w:color="000000"/>
              <w:bottom w:val="single" w:sz="4" w:space="0" w:color="000000"/>
              <w:right w:val="single" w:sz="4" w:space="0" w:color="000000"/>
            </w:tcBorders>
          </w:tcPr>
          <w:p w:rsidR="00C152FD" w:rsidRPr="00283950" w:rsidRDefault="00C152FD">
            <w:pPr>
              <w:pStyle w:val="TableParagraph"/>
              <w:rPr>
                <w:rFonts w:ascii="Times New Roman" w:hAnsi="Times New Roman" w:cs="Times New Roman"/>
                <w:b/>
                <w:sz w:val="24"/>
              </w:rPr>
            </w:pPr>
          </w:p>
          <w:p w:rsidR="00C152FD" w:rsidRPr="00283950" w:rsidRDefault="00C152FD">
            <w:pPr>
              <w:pStyle w:val="TableParagraph"/>
              <w:rPr>
                <w:rFonts w:ascii="Times New Roman" w:hAnsi="Times New Roman" w:cs="Times New Roman"/>
                <w:b/>
                <w:sz w:val="24"/>
              </w:rPr>
            </w:pPr>
          </w:p>
          <w:p w:rsidR="00C152FD" w:rsidRPr="00283950" w:rsidRDefault="00C152FD">
            <w:pPr>
              <w:pStyle w:val="TableParagraph"/>
              <w:rPr>
                <w:rFonts w:ascii="Times New Roman" w:hAnsi="Times New Roman" w:cs="Times New Roman"/>
                <w:b/>
                <w:sz w:val="24"/>
              </w:rPr>
            </w:pPr>
          </w:p>
          <w:p w:rsidR="00C152FD" w:rsidRPr="00283950" w:rsidRDefault="00C152FD">
            <w:pPr>
              <w:pStyle w:val="TableParagraph"/>
              <w:rPr>
                <w:rFonts w:ascii="Times New Roman" w:hAnsi="Times New Roman" w:cs="Times New Roman"/>
                <w:b/>
                <w:sz w:val="24"/>
              </w:rPr>
            </w:pPr>
          </w:p>
          <w:p w:rsidR="00C152FD" w:rsidRPr="00283950" w:rsidRDefault="00C152FD">
            <w:pPr>
              <w:pStyle w:val="TableParagraph"/>
              <w:rPr>
                <w:rFonts w:ascii="Times New Roman" w:hAnsi="Times New Roman" w:cs="Times New Roman"/>
                <w:b/>
                <w:sz w:val="24"/>
              </w:rPr>
            </w:pPr>
          </w:p>
          <w:p w:rsidR="00C152FD" w:rsidRPr="00283950" w:rsidRDefault="00C152FD">
            <w:pPr>
              <w:pStyle w:val="TableParagraph"/>
              <w:spacing w:before="149"/>
              <w:ind w:left="95"/>
              <w:rPr>
                <w:rFonts w:ascii="Times New Roman" w:hAnsi="Times New Roman" w:cs="Times New Roman"/>
                <w:sz w:val="20"/>
              </w:rPr>
            </w:pPr>
            <w:r w:rsidRPr="00283950">
              <w:rPr>
                <w:rFonts w:ascii="Times New Roman" w:hAnsi="Times New Roman" w:cs="Times New Roman"/>
                <w:w w:val="105"/>
                <w:sz w:val="20"/>
              </w:rPr>
              <w:t>ANC &lt; 0.5 x 10</w:t>
            </w:r>
            <w:r w:rsidRPr="00283950">
              <w:rPr>
                <w:rFonts w:ascii="Times New Roman" w:hAnsi="Times New Roman" w:cs="Times New Roman"/>
                <w:w w:val="105"/>
                <w:position w:val="9"/>
                <w:sz w:val="13"/>
              </w:rPr>
              <w:t>9</w:t>
            </w:r>
            <w:r w:rsidRPr="00283950">
              <w:rPr>
                <w:rFonts w:ascii="Times New Roman" w:hAnsi="Times New Roman" w:cs="Times New Roman"/>
                <w:w w:val="105"/>
                <w:sz w:val="20"/>
              </w:rPr>
              <w:t>/L</w:t>
            </w:r>
          </w:p>
          <w:p w:rsidR="00C152FD" w:rsidRPr="00283950" w:rsidRDefault="00C152FD">
            <w:pPr>
              <w:pStyle w:val="TableParagraph"/>
              <w:spacing w:before="7" w:line="222" w:lineRule="exact"/>
              <w:ind w:left="95"/>
              <w:rPr>
                <w:rFonts w:ascii="Times New Roman" w:hAnsi="Times New Roman" w:cs="Times New Roman"/>
                <w:sz w:val="20"/>
              </w:rPr>
            </w:pPr>
            <w:r w:rsidRPr="00283950">
              <w:rPr>
                <w:rFonts w:ascii="Times New Roman" w:hAnsi="Times New Roman" w:cs="Times New Roman"/>
                <w:w w:val="105"/>
                <w:sz w:val="20"/>
              </w:rPr>
              <w:t>and/or</w:t>
            </w:r>
          </w:p>
          <w:p w:rsidR="00C152FD" w:rsidRPr="00283950" w:rsidRDefault="00C152FD">
            <w:pPr>
              <w:pStyle w:val="TableParagraph"/>
              <w:spacing w:line="247" w:lineRule="exact"/>
              <w:ind w:left="95"/>
              <w:rPr>
                <w:rFonts w:ascii="Times New Roman" w:hAnsi="Times New Roman" w:cs="Times New Roman"/>
                <w:sz w:val="20"/>
              </w:rPr>
            </w:pPr>
            <w:r w:rsidRPr="00283950">
              <w:rPr>
                <w:rFonts w:ascii="Times New Roman" w:hAnsi="Times New Roman" w:cs="Times New Roman"/>
                <w:w w:val="105"/>
                <w:sz w:val="20"/>
              </w:rPr>
              <w:t>platelets &lt; 50 x 10</w:t>
            </w:r>
            <w:r w:rsidRPr="00283950">
              <w:rPr>
                <w:rFonts w:ascii="Times New Roman" w:hAnsi="Times New Roman" w:cs="Times New Roman"/>
                <w:w w:val="105"/>
                <w:position w:val="9"/>
                <w:sz w:val="13"/>
              </w:rPr>
              <w:t>9</w:t>
            </w:r>
            <w:r w:rsidRPr="00283950">
              <w:rPr>
                <w:rFonts w:ascii="Times New Roman" w:hAnsi="Times New Roman" w:cs="Times New Roman"/>
                <w:w w:val="105"/>
                <w:sz w:val="20"/>
              </w:rPr>
              <w:t>/L</w:t>
            </w:r>
          </w:p>
        </w:tc>
        <w:tc>
          <w:tcPr>
            <w:tcW w:w="4226" w:type="dxa"/>
            <w:tcBorders>
              <w:top w:val="single" w:sz="4" w:space="0" w:color="000000"/>
              <w:left w:val="single" w:sz="4" w:space="0" w:color="000000"/>
              <w:bottom w:val="single" w:sz="4" w:space="0" w:color="000000"/>
              <w:right w:val="single" w:sz="4" w:space="0" w:color="000000"/>
            </w:tcBorders>
          </w:tcPr>
          <w:p w:rsidR="00C152FD" w:rsidRPr="00283950" w:rsidRDefault="00C152FD" w:rsidP="00C152FD">
            <w:pPr>
              <w:pStyle w:val="TableParagraph"/>
              <w:numPr>
                <w:ilvl w:val="0"/>
                <w:numId w:val="8"/>
              </w:numPr>
              <w:tabs>
                <w:tab w:val="left" w:pos="383"/>
              </w:tabs>
              <w:spacing w:line="230" w:lineRule="auto"/>
              <w:ind w:right="233" w:hanging="263"/>
              <w:rPr>
                <w:rFonts w:ascii="Times New Roman" w:hAnsi="Times New Roman" w:cs="Times New Roman"/>
                <w:sz w:val="20"/>
              </w:rPr>
            </w:pPr>
            <w:r w:rsidRPr="00283950">
              <w:rPr>
                <w:rFonts w:ascii="Times New Roman" w:hAnsi="Times New Roman" w:cs="Times New Roman"/>
                <w:w w:val="105"/>
                <w:sz w:val="20"/>
              </w:rPr>
              <w:t>Stop</w:t>
            </w:r>
            <w:r w:rsidRPr="00283950">
              <w:rPr>
                <w:rFonts w:ascii="Times New Roman" w:hAnsi="Times New Roman" w:cs="Times New Roman"/>
                <w:spacing w:val="-10"/>
                <w:w w:val="105"/>
                <w:sz w:val="20"/>
              </w:rPr>
              <w:t xml:space="preserve"> </w:t>
            </w:r>
            <w:r w:rsidRPr="00283950">
              <w:rPr>
                <w:rFonts w:ascii="Times New Roman" w:hAnsi="Times New Roman" w:cs="Times New Roman"/>
                <w:w w:val="105"/>
                <w:sz w:val="20"/>
              </w:rPr>
              <w:t>treatment</w:t>
            </w:r>
            <w:r w:rsidRPr="00283950">
              <w:rPr>
                <w:rFonts w:ascii="Times New Roman" w:hAnsi="Times New Roman" w:cs="Times New Roman"/>
                <w:spacing w:val="-9"/>
                <w:w w:val="105"/>
                <w:sz w:val="20"/>
              </w:rPr>
              <w:t xml:space="preserve"> </w:t>
            </w:r>
            <w:r w:rsidRPr="00283950">
              <w:rPr>
                <w:rFonts w:ascii="Times New Roman" w:hAnsi="Times New Roman" w:cs="Times New Roman"/>
                <w:w w:val="105"/>
                <w:sz w:val="20"/>
              </w:rPr>
              <w:t>until</w:t>
            </w:r>
            <w:r w:rsidRPr="00283950">
              <w:rPr>
                <w:rFonts w:ascii="Times New Roman" w:hAnsi="Times New Roman" w:cs="Times New Roman"/>
                <w:spacing w:val="-9"/>
                <w:w w:val="105"/>
                <w:sz w:val="20"/>
              </w:rPr>
              <w:t xml:space="preserve"> </w:t>
            </w:r>
            <w:r w:rsidRPr="00283950">
              <w:rPr>
                <w:rFonts w:ascii="Times New Roman" w:hAnsi="Times New Roman" w:cs="Times New Roman"/>
                <w:w w:val="105"/>
                <w:sz w:val="20"/>
              </w:rPr>
              <w:t>ANC</w:t>
            </w:r>
            <w:r w:rsidRPr="00283950">
              <w:rPr>
                <w:rFonts w:ascii="Times New Roman" w:hAnsi="Times New Roman" w:cs="Times New Roman"/>
                <w:spacing w:val="-9"/>
                <w:w w:val="105"/>
                <w:sz w:val="20"/>
              </w:rPr>
              <w:t xml:space="preserve"> </w:t>
            </w:r>
            <w:r w:rsidRPr="00283950">
              <w:rPr>
                <w:rFonts w:ascii="Times New Roman" w:hAnsi="Times New Roman" w:cs="Times New Roman"/>
                <w:w w:val="105"/>
                <w:sz w:val="20"/>
              </w:rPr>
              <w:t>≥</w:t>
            </w:r>
            <w:r w:rsidRPr="00283950">
              <w:rPr>
                <w:rFonts w:ascii="Times New Roman" w:hAnsi="Times New Roman" w:cs="Times New Roman"/>
                <w:spacing w:val="-9"/>
                <w:w w:val="105"/>
                <w:sz w:val="20"/>
              </w:rPr>
              <w:t xml:space="preserve"> </w:t>
            </w:r>
            <w:r w:rsidRPr="00283950">
              <w:rPr>
                <w:rFonts w:ascii="Times New Roman" w:hAnsi="Times New Roman" w:cs="Times New Roman"/>
                <w:w w:val="105"/>
                <w:sz w:val="20"/>
              </w:rPr>
              <w:t>1.0</w:t>
            </w:r>
            <w:r w:rsidRPr="00283950">
              <w:rPr>
                <w:rFonts w:ascii="Times New Roman" w:hAnsi="Times New Roman" w:cs="Times New Roman"/>
                <w:spacing w:val="-10"/>
                <w:w w:val="105"/>
                <w:sz w:val="20"/>
              </w:rPr>
              <w:t xml:space="preserve"> </w:t>
            </w:r>
            <w:r w:rsidRPr="00283950">
              <w:rPr>
                <w:rFonts w:ascii="Times New Roman" w:hAnsi="Times New Roman" w:cs="Times New Roman"/>
                <w:w w:val="105"/>
                <w:sz w:val="20"/>
              </w:rPr>
              <w:t>x</w:t>
            </w:r>
            <w:r w:rsidRPr="00283950">
              <w:rPr>
                <w:rFonts w:ascii="Times New Roman" w:hAnsi="Times New Roman" w:cs="Times New Roman"/>
                <w:spacing w:val="-10"/>
                <w:w w:val="105"/>
                <w:sz w:val="20"/>
              </w:rPr>
              <w:t xml:space="preserve"> </w:t>
            </w:r>
            <w:r w:rsidRPr="00283950">
              <w:rPr>
                <w:rFonts w:ascii="Times New Roman" w:hAnsi="Times New Roman" w:cs="Times New Roman"/>
                <w:w w:val="105"/>
                <w:sz w:val="20"/>
              </w:rPr>
              <w:t>10</w:t>
            </w:r>
            <w:r w:rsidRPr="00283950">
              <w:rPr>
                <w:rFonts w:ascii="Times New Roman" w:hAnsi="Times New Roman" w:cs="Times New Roman"/>
                <w:w w:val="105"/>
                <w:position w:val="9"/>
                <w:sz w:val="13"/>
              </w:rPr>
              <w:t>9</w:t>
            </w:r>
            <w:r w:rsidRPr="00283950">
              <w:rPr>
                <w:rFonts w:ascii="Times New Roman" w:hAnsi="Times New Roman" w:cs="Times New Roman"/>
                <w:w w:val="105"/>
                <w:sz w:val="20"/>
              </w:rPr>
              <w:t>/L</w:t>
            </w:r>
            <w:r w:rsidRPr="00283950">
              <w:rPr>
                <w:rFonts w:ascii="Times New Roman" w:hAnsi="Times New Roman" w:cs="Times New Roman"/>
                <w:spacing w:val="-9"/>
                <w:w w:val="105"/>
                <w:sz w:val="20"/>
              </w:rPr>
              <w:t xml:space="preserve"> </w:t>
            </w:r>
            <w:r w:rsidRPr="00283950">
              <w:rPr>
                <w:rFonts w:ascii="Times New Roman" w:hAnsi="Times New Roman" w:cs="Times New Roman"/>
                <w:w w:val="105"/>
                <w:sz w:val="20"/>
              </w:rPr>
              <w:t>and platelets</w:t>
            </w:r>
            <w:r w:rsidRPr="00283950">
              <w:rPr>
                <w:rFonts w:ascii="Times New Roman" w:hAnsi="Times New Roman" w:cs="Times New Roman"/>
                <w:spacing w:val="-40"/>
                <w:w w:val="105"/>
                <w:sz w:val="20"/>
              </w:rPr>
              <w:t xml:space="preserve"> </w:t>
            </w:r>
            <w:r w:rsidRPr="00283950">
              <w:rPr>
                <w:rFonts w:ascii="Times New Roman" w:hAnsi="Times New Roman" w:cs="Times New Roman"/>
                <w:w w:val="105"/>
                <w:sz w:val="20"/>
              </w:rPr>
              <w:t>≥ 50 x 10</w:t>
            </w:r>
            <w:r w:rsidRPr="00283950">
              <w:rPr>
                <w:rFonts w:ascii="Times New Roman" w:hAnsi="Times New Roman" w:cs="Times New Roman"/>
                <w:w w:val="105"/>
                <w:position w:val="8"/>
                <w:sz w:val="13"/>
              </w:rPr>
              <w:t>9</w:t>
            </w:r>
            <w:r w:rsidRPr="00283950">
              <w:rPr>
                <w:rFonts w:ascii="Times New Roman" w:hAnsi="Times New Roman" w:cs="Times New Roman"/>
                <w:w w:val="105"/>
                <w:sz w:val="20"/>
              </w:rPr>
              <w:t>/L.</w:t>
            </w:r>
          </w:p>
          <w:p w:rsidR="00C152FD" w:rsidRPr="00283950" w:rsidRDefault="00C152FD">
            <w:pPr>
              <w:pStyle w:val="TableParagraph"/>
              <w:spacing w:before="3"/>
              <w:rPr>
                <w:rFonts w:ascii="Times New Roman" w:hAnsi="Times New Roman" w:cs="Times New Roman"/>
                <w:b/>
              </w:rPr>
            </w:pPr>
          </w:p>
          <w:p w:rsidR="00C152FD" w:rsidRPr="00283950" w:rsidRDefault="00C152FD" w:rsidP="00C152FD">
            <w:pPr>
              <w:pStyle w:val="TableParagraph"/>
              <w:numPr>
                <w:ilvl w:val="0"/>
                <w:numId w:val="8"/>
              </w:numPr>
              <w:tabs>
                <w:tab w:val="left" w:pos="383"/>
              </w:tabs>
              <w:spacing w:line="247" w:lineRule="auto"/>
              <w:ind w:right="479" w:hanging="262"/>
              <w:rPr>
                <w:rFonts w:ascii="Times New Roman" w:hAnsi="Times New Roman" w:cs="Times New Roman"/>
                <w:sz w:val="20"/>
              </w:rPr>
            </w:pPr>
            <w:r w:rsidRPr="00283950">
              <w:rPr>
                <w:rFonts w:ascii="Times New Roman" w:hAnsi="Times New Roman" w:cs="Times New Roman"/>
                <w:w w:val="105"/>
                <w:sz w:val="20"/>
              </w:rPr>
              <w:t>Resume</w:t>
            </w:r>
            <w:r w:rsidRPr="00283950">
              <w:rPr>
                <w:rFonts w:ascii="Times New Roman" w:hAnsi="Times New Roman" w:cs="Times New Roman"/>
                <w:spacing w:val="-12"/>
                <w:w w:val="105"/>
                <w:sz w:val="20"/>
              </w:rPr>
              <w:t xml:space="preserve"> </w:t>
            </w:r>
            <w:r w:rsidRPr="00283950">
              <w:rPr>
                <w:rFonts w:ascii="Times New Roman" w:hAnsi="Times New Roman" w:cs="Times New Roman"/>
                <w:w w:val="105"/>
                <w:sz w:val="20"/>
              </w:rPr>
              <w:t>treatment</w:t>
            </w:r>
            <w:r w:rsidRPr="00283950">
              <w:rPr>
                <w:rFonts w:ascii="Times New Roman" w:hAnsi="Times New Roman" w:cs="Times New Roman"/>
                <w:spacing w:val="-12"/>
                <w:w w:val="105"/>
                <w:sz w:val="20"/>
              </w:rPr>
              <w:t xml:space="preserve"> </w:t>
            </w:r>
            <w:r w:rsidRPr="00283950">
              <w:rPr>
                <w:rFonts w:ascii="Times New Roman" w:hAnsi="Times New Roman" w:cs="Times New Roman"/>
                <w:w w:val="105"/>
                <w:sz w:val="20"/>
              </w:rPr>
              <w:t>at</w:t>
            </w:r>
            <w:r w:rsidRPr="00283950">
              <w:rPr>
                <w:rFonts w:ascii="Times New Roman" w:hAnsi="Times New Roman" w:cs="Times New Roman"/>
                <w:spacing w:val="-12"/>
                <w:w w:val="105"/>
                <w:sz w:val="20"/>
              </w:rPr>
              <w:t xml:space="preserve"> </w:t>
            </w:r>
            <w:r w:rsidRPr="00283950">
              <w:rPr>
                <w:rFonts w:ascii="Times New Roman" w:hAnsi="Times New Roman" w:cs="Times New Roman"/>
                <w:w w:val="105"/>
                <w:sz w:val="20"/>
              </w:rPr>
              <w:t>the</w:t>
            </w:r>
            <w:r w:rsidRPr="00283950">
              <w:rPr>
                <w:rFonts w:ascii="Times New Roman" w:hAnsi="Times New Roman" w:cs="Times New Roman"/>
                <w:spacing w:val="-12"/>
                <w:w w:val="105"/>
                <w:sz w:val="20"/>
              </w:rPr>
              <w:t xml:space="preserve"> </w:t>
            </w:r>
            <w:r w:rsidRPr="00283950">
              <w:rPr>
                <w:rFonts w:ascii="Times New Roman" w:hAnsi="Times New Roman" w:cs="Times New Roman"/>
                <w:w w:val="105"/>
                <w:sz w:val="20"/>
              </w:rPr>
              <w:t>original</w:t>
            </w:r>
            <w:r w:rsidRPr="00283950">
              <w:rPr>
                <w:rFonts w:ascii="Times New Roman" w:hAnsi="Times New Roman" w:cs="Times New Roman"/>
                <w:spacing w:val="-12"/>
                <w:w w:val="105"/>
                <w:sz w:val="20"/>
              </w:rPr>
              <w:t xml:space="preserve"> </w:t>
            </w:r>
            <w:r w:rsidRPr="00283950">
              <w:rPr>
                <w:rFonts w:ascii="Times New Roman" w:hAnsi="Times New Roman" w:cs="Times New Roman"/>
                <w:w w:val="105"/>
                <w:sz w:val="20"/>
              </w:rPr>
              <w:t>starting dose.</w:t>
            </w:r>
          </w:p>
          <w:p w:rsidR="00C152FD" w:rsidRPr="00283950" w:rsidRDefault="00C152FD">
            <w:pPr>
              <w:pStyle w:val="TableParagraph"/>
              <w:spacing w:before="4"/>
              <w:rPr>
                <w:rFonts w:ascii="Times New Roman" w:hAnsi="Times New Roman" w:cs="Times New Roman"/>
                <w:b/>
                <w:sz w:val="18"/>
              </w:rPr>
            </w:pPr>
          </w:p>
          <w:p w:rsidR="00C152FD" w:rsidRPr="00283950" w:rsidRDefault="00C152FD" w:rsidP="00C152FD">
            <w:pPr>
              <w:pStyle w:val="TableParagraph"/>
              <w:numPr>
                <w:ilvl w:val="0"/>
                <w:numId w:val="8"/>
              </w:numPr>
              <w:tabs>
                <w:tab w:val="left" w:pos="360"/>
              </w:tabs>
              <w:spacing w:line="244" w:lineRule="auto"/>
              <w:ind w:right="152" w:hanging="262"/>
              <w:rPr>
                <w:rFonts w:ascii="Times New Roman" w:hAnsi="Times New Roman" w:cs="Times New Roman"/>
                <w:sz w:val="20"/>
              </w:rPr>
            </w:pPr>
            <w:r w:rsidRPr="00283950">
              <w:rPr>
                <w:rFonts w:ascii="Times New Roman" w:hAnsi="Times New Roman" w:cs="Times New Roman"/>
                <w:w w:val="105"/>
                <w:sz w:val="20"/>
              </w:rPr>
              <w:t>If</w:t>
            </w:r>
            <w:r w:rsidRPr="00283950">
              <w:rPr>
                <w:rFonts w:ascii="Times New Roman" w:hAnsi="Times New Roman" w:cs="Times New Roman"/>
                <w:spacing w:val="-9"/>
                <w:w w:val="105"/>
                <w:sz w:val="20"/>
              </w:rPr>
              <w:t xml:space="preserve"> </w:t>
            </w:r>
            <w:r w:rsidRPr="00283950">
              <w:rPr>
                <w:rFonts w:ascii="Times New Roman" w:hAnsi="Times New Roman" w:cs="Times New Roman"/>
                <w:w w:val="105"/>
                <w:sz w:val="20"/>
              </w:rPr>
              <w:t>platelets</w:t>
            </w:r>
            <w:r w:rsidRPr="00283950">
              <w:rPr>
                <w:rFonts w:ascii="Times New Roman" w:hAnsi="Times New Roman" w:cs="Times New Roman"/>
                <w:spacing w:val="-9"/>
                <w:w w:val="105"/>
                <w:sz w:val="20"/>
              </w:rPr>
              <w:t xml:space="preserve"> </w:t>
            </w:r>
            <w:r w:rsidRPr="00283950">
              <w:rPr>
                <w:rFonts w:ascii="Times New Roman" w:hAnsi="Times New Roman" w:cs="Times New Roman"/>
                <w:w w:val="105"/>
                <w:sz w:val="20"/>
              </w:rPr>
              <w:t>&lt;</w:t>
            </w:r>
            <w:r w:rsidRPr="00283950">
              <w:rPr>
                <w:rFonts w:ascii="Times New Roman" w:hAnsi="Times New Roman" w:cs="Times New Roman"/>
                <w:spacing w:val="-9"/>
                <w:w w:val="105"/>
                <w:sz w:val="20"/>
              </w:rPr>
              <w:t xml:space="preserve"> </w:t>
            </w:r>
            <w:r w:rsidRPr="00283950">
              <w:rPr>
                <w:rFonts w:ascii="Times New Roman" w:hAnsi="Times New Roman" w:cs="Times New Roman"/>
                <w:w w:val="105"/>
                <w:sz w:val="20"/>
              </w:rPr>
              <w:t>25</w:t>
            </w:r>
            <w:r w:rsidRPr="00283950">
              <w:rPr>
                <w:rFonts w:ascii="Times New Roman" w:hAnsi="Times New Roman" w:cs="Times New Roman"/>
                <w:spacing w:val="-8"/>
                <w:w w:val="105"/>
                <w:sz w:val="20"/>
              </w:rPr>
              <w:t xml:space="preserve"> </w:t>
            </w:r>
            <w:r w:rsidRPr="00283950">
              <w:rPr>
                <w:rFonts w:ascii="Times New Roman" w:hAnsi="Times New Roman" w:cs="Times New Roman"/>
                <w:w w:val="105"/>
                <w:sz w:val="20"/>
              </w:rPr>
              <w:t>x</w:t>
            </w:r>
            <w:r w:rsidRPr="00283950">
              <w:rPr>
                <w:rFonts w:ascii="Times New Roman" w:hAnsi="Times New Roman" w:cs="Times New Roman"/>
                <w:spacing w:val="-9"/>
                <w:w w:val="105"/>
                <w:sz w:val="20"/>
              </w:rPr>
              <w:t xml:space="preserve"> </w:t>
            </w:r>
            <w:r w:rsidRPr="00283950">
              <w:rPr>
                <w:rFonts w:ascii="Times New Roman" w:hAnsi="Times New Roman" w:cs="Times New Roman"/>
                <w:w w:val="105"/>
                <w:sz w:val="20"/>
              </w:rPr>
              <w:t>10</w:t>
            </w:r>
            <w:r w:rsidRPr="00283950">
              <w:rPr>
                <w:rFonts w:ascii="Times New Roman" w:hAnsi="Times New Roman" w:cs="Times New Roman"/>
                <w:w w:val="105"/>
                <w:position w:val="9"/>
                <w:sz w:val="13"/>
              </w:rPr>
              <w:t>9</w:t>
            </w:r>
            <w:r w:rsidRPr="00283950">
              <w:rPr>
                <w:rFonts w:ascii="Times New Roman" w:hAnsi="Times New Roman" w:cs="Times New Roman"/>
                <w:w w:val="105"/>
                <w:sz w:val="20"/>
              </w:rPr>
              <w:t>/L</w:t>
            </w:r>
            <w:r w:rsidRPr="00283950">
              <w:rPr>
                <w:rFonts w:ascii="Times New Roman" w:hAnsi="Times New Roman" w:cs="Times New Roman"/>
                <w:spacing w:val="-8"/>
                <w:w w:val="105"/>
                <w:sz w:val="20"/>
              </w:rPr>
              <w:t xml:space="preserve"> </w:t>
            </w:r>
            <w:r w:rsidRPr="00283950">
              <w:rPr>
                <w:rFonts w:ascii="Times New Roman" w:hAnsi="Times New Roman" w:cs="Times New Roman"/>
                <w:w w:val="105"/>
                <w:sz w:val="20"/>
              </w:rPr>
              <w:t>and/or</w:t>
            </w:r>
            <w:r w:rsidRPr="00283950">
              <w:rPr>
                <w:rFonts w:ascii="Times New Roman" w:hAnsi="Times New Roman" w:cs="Times New Roman"/>
                <w:spacing w:val="-8"/>
                <w:w w:val="105"/>
                <w:sz w:val="20"/>
              </w:rPr>
              <w:t xml:space="preserve"> </w:t>
            </w:r>
            <w:r w:rsidRPr="00283950">
              <w:rPr>
                <w:rFonts w:ascii="Times New Roman" w:hAnsi="Times New Roman" w:cs="Times New Roman"/>
                <w:w w:val="105"/>
                <w:sz w:val="20"/>
              </w:rPr>
              <w:t>recurrence</w:t>
            </w:r>
            <w:r w:rsidRPr="00283950">
              <w:rPr>
                <w:rFonts w:ascii="Times New Roman" w:hAnsi="Times New Roman" w:cs="Times New Roman"/>
                <w:spacing w:val="-9"/>
                <w:w w:val="105"/>
                <w:sz w:val="20"/>
              </w:rPr>
              <w:t xml:space="preserve"> </w:t>
            </w:r>
            <w:r w:rsidRPr="00283950">
              <w:rPr>
                <w:rFonts w:ascii="Times New Roman" w:hAnsi="Times New Roman" w:cs="Times New Roman"/>
                <w:w w:val="105"/>
                <w:sz w:val="20"/>
              </w:rPr>
              <w:t>of ANC &lt; 0.5 x 10</w:t>
            </w:r>
            <w:r w:rsidRPr="00283950">
              <w:rPr>
                <w:rFonts w:ascii="Times New Roman" w:hAnsi="Times New Roman" w:cs="Times New Roman"/>
                <w:w w:val="105"/>
                <w:position w:val="8"/>
                <w:sz w:val="13"/>
              </w:rPr>
              <w:t>9</w:t>
            </w:r>
            <w:r w:rsidRPr="00283950">
              <w:rPr>
                <w:rFonts w:ascii="Times New Roman" w:hAnsi="Times New Roman" w:cs="Times New Roman"/>
                <w:w w:val="105"/>
                <w:sz w:val="20"/>
              </w:rPr>
              <w:t>/L for &gt; 7 days, repeat step 1 and resume treatment at a reduced dose of 80 mg once daily for second episode. For third episode, further reduce dose to 50 mg once</w:t>
            </w:r>
            <w:r w:rsidRPr="00283950">
              <w:rPr>
                <w:rFonts w:ascii="Times New Roman" w:hAnsi="Times New Roman" w:cs="Times New Roman"/>
                <w:spacing w:val="-10"/>
                <w:w w:val="105"/>
                <w:sz w:val="20"/>
              </w:rPr>
              <w:t xml:space="preserve"> </w:t>
            </w:r>
            <w:r w:rsidRPr="00283950">
              <w:rPr>
                <w:rFonts w:ascii="Times New Roman" w:hAnsi="Times New Roman" w:cs="Times New Roman"/>
                <w:w w:val="105"/>
                <w:sz w:val="20"/>
              </w:rPr>
              <w:t>daily</w:t>
            </w:r>
            <w:r w:rsidRPr="00283950">
              <w:rPr>
                <w:rFonts w:ascii="Times New Roman" w:hAnsi="Times New Roman" w:cs="Times New Roman"/>
                <w:spacing w:val="-10"/>
                <w:w w:val="105"/>
                <w:sz w:val="20"/>
              </w:rPr>
              <w:t xml:space="preserve"> </w:t>
            </w:r>
            <w:r w:rsidRPr="00283950">
              <w:rPr>
                <w:rFonts w:ascii="Times New Roman" w:hAnsi="Times New Roman" w:cs="Times New Roman"/>
                <w:w w:val="105"/>
                <w:sz w:val="20"/>
              </w:rPr>
              <w:t>(for</w:t>
            </w:r>
            <w:r w:rsidRPr="00283950">
              <w:rPr>
                <w:rFonts w:ascii="Times New Roman" w:hAnsi="Times New Roman" w:cs="Times New Roman"/>
                <w:spacing w:val="-13"/>
                <w:w w:val="105"/>
                <w:sz w:val="20"/>
              </w:rPr>
              <w:t xml:space="preserve"> </w:t>
            </w:r>
            <w:r w:rsidRPr="00283950">
              <w:rPr>
                <w:rFonts w:ascii="Times New Roman" w:hAnsi="Times New Roman" w:cs="Times New Roman"/>
                <w:w w:val="105"/>
                <w:sz w:val="20"/>
              </w:rPr>
              <w:t>newly</w:t>
            </w:r>
            <w:r w:rsidRPr="00283950">
              <w:rPr>
                <w:rFonts w:ascii="Times New Roman" w:hAnsi="Times New Roman" w:cs="Times New Roman"/>
                <w:spacing w:val="-10"/>
                <w:w w:val="105"/>
                <w:sz w:val="20"/>
              </w:rPr>
              <w:t xml:space="preserve"> </w:t>
            </w:r>
            <w:r w:rsidRPr="00283950">
              <w:rPr>
                <w:rFonts w:ascii="Times New Roman" w:hAnsi="Times New Roman" w:cs="Times New Roman"/>
                <w:w w:val="105"/>
                <w:sz w:val="20"/>
              </w:rPr>
              <w:t>diagnosed</w:t>
            </w:r>
            <w:r w:rsidRPr="00283950">
              <w:rPr>
                <w:rFonts w:ascii="Times New Roman" w:hAnsi="Times New Roman" w:cs="Times New Roman"/>
                <w:spacing w:val="-14"/>
                <w:w w:val="105"/>
                <w:sz w:val="20"/>
              </w:rPr>
              <w:t xml:space="preserve"> </w:t>
            </w:r>
            <w:r w:rsidRPr="00283950">
              <w:rPr>
                <w:rFonts w:ascii="Times New Roman" w:hAnsi="Times New Roman" w:cs="Times New Roman"/>
                <w:w w:val="105"/>
                <w:sz w:val="20"/>
              </w:rPr>
              <w:t>patients)</w:t>
            </w:r>
            <w:r w:rsidRPr="00283950">
              <w:rPr>
                <w:rFonts w:ascii="Times New Roman" w:hAnsi="Times New Roman" w:cs="Times New Roman"/>
                <w:spacing w:val="-13"/>
                <w:w w:val="105"/>
                <w:sz w:val="20"/>
              </w:rPr>
              <w:t xml:space="preserve"> </w:t>
            </w:r>
            <w:r w:rsidRPr="00283950">
              <w:rPr>
                <w:rFonts w:ascii="Times New Roman" w:hAnsi="Times New Roman" w:cs="Times New Roman"/>
                <w:w w:val="105"/>
                <w:sz w:val="20"/>
              </w:rPr>
              <w:t>or discontinue (for patients resistant or intolerant to prior therapy including imatinib).</w:t>
            </w:r>
          </w:p>
        </w:tc>
      </w:tr>
      <w:tr w:rsidR="00C152FD" w:rsidRPr="00F430C7" w:rsidTr="00C152FD">
        <w:trPr>
          <w:trHeight w:val="4040"/>
        </w:trPr>
        <w:tc>
          <w:tcPr>
            <w:tcW w:w="2503" w:type="dxa"/>
            <w:tcBorders>
              <w:top w:val="single" w:sz="4" w:space="0" w:color="000000"/>
              <w:left w:val="single" w:sz="4" w:space="0" w:color="000000"/>
              <w:bottom w:val="single" w:sz="4" w:space="0" w:color="000000"/>
              <w:right w:val="single" w:sz="4" w:space="0" w:color="000000"/>
            </w:tcBorders>
          </w:tcPr>
          <w:p w:rsidR="00C152FD" w:rsidRPr="00283950" w:rsidRDefault="00C152FD">
            <w:pPr>
              <w:pStyle w:val="TableParagraph"/>
              <w:rPr>
                <w:rFonts w:ascii="Times New Roman" w:hAnsi="Times New Roman" w:cs="Times New Roman"/>
                <w:b/>
              </w:rPr>
            </w:pPr>
          </w:p>
          <w:p w:rsidR="00C152FD" w:rsidRPr="00283950" w:rsidRDefault="00C152FD">
            <w:pPr>
              <w:pStyle w:val="TableParagraph"/>
              <w:rPr>
                <w:rFonts w:ascii="Times New Roman" w:hAnsi="Times New Roman" w:cs="Times New Roman"/>
                <w:b/>
              </w:rPr>
            </w:pPr>
          </w:p>
          <w:p w:rsidR="00C152FD" w:rsidRPr="00283950" w:rsidRDefault="00C152FD">
            <w:pPr>
              <w:pStyle w:val="TableParagraph"/>
              <w:rPr>
                <w:rFonts w:ascii="Times New Roman" w:hAnsi="Times New Roman" w:cs="Times New Roman"/>
                <w:b/>
              </w:rPr>
            </w:pPr>
          </w:p>
          <w:p w:rsidR="00C152FD" w:rsidRPr="00283950" w:rsidRDefault="00C152FD">
            <w:pPr>
              <w:pStyle w:val="TableParagraph"/>
              <w:rPr>
                <w:rFonts w:ascii="Times New Roman" w:hAnsi="Times New Roman" w:cs="Times New Roman"/>
                <w:b/>
              </w:rPr>
            </w:pPr>
          </w:p>
          <w:p w:rsidR="00C152FD" w:rsidRPr="00283950" w:rsidRDefault="00C152FD">
            <w:pPr>
              <w:pStyle w:val="TableParagraph"/>
              <w:rPr>
                <w:rFonts w:ascii="Times New Roman" w:hAnsi="Times New Roman" w:cs="Times New Roman"/>
                <w:b/>
              </w:rPr>
            </w:pPr>
          </w:p>
          <w:p w:rsidR="00C152FD" w:rsidRPr="00283950" w:rsidRDefault="00C152FD">
            <w:pPr>
              <w:pStyle w:val="TableParagraph"/>
              <w:spacing w:before="169" w:line="247" w:lineRule="auto"/>
              <w:ind w:left="97" w:right="130"/>
              <w:rPr>
                <w:rFonts w:ascii="Times New Roman" w:hAnsi="Times New Roman" w:cs="Times New Roman"/>
                <w:sz w:val="20"/>
              </w:rPr>
            </w:pPr>
            <w:r w:rsidRPr="00283950">
              <w:rPr>
                <w:rFonts w:ascii="Times New Roman" w:hAnsi="Times New Roman" w:cs="Times New Roman"/>
                <w:w w:val="105"/>
                <w:sz w:val="20"/>
              </w:rPr>
              <w:t>Adults with accelerated and blast phase CML and Ph+ ALL</w:t>
            </w:r>
          </w:p>
          <w:p w:rsidR="00C152FD" w:rsidRPr="00283950" w:rsidRDefault="00C152FD">
            <w:pPr>
              <w:pStyle w:val="TableParagraph"/>
              <w:spacing w:line="247" w:lineRule="auto"/>
              <w:ind w:left="97"/>
              <w:rPr>
                <w:rFonts w:ascii="Times New Roman" w:hAnsi="Times New Roman" w:cs="Times New Roman"/>
                <w:sz w:val="20"/>
              </w:rPr>
            </w:pPr>
            <w:r w:rsidRPr="00283950">
              <w:rPr>
                <w:rFonts w:ascii="Times New Roman" w:hAnsi="Times New Roman" w:cs="Times New Roman"/>
                <w:w w:val="105"/>
                <w:sz w:val="20"/>
              </w:rPr>
              <w:t>(starting dose 140 mg once daily)</w:t>
            </w:r>
          </w:p>
        </w:tc>
        <w:tc>
          <w:tcPr>
            <w:tcW w:w="2041" w:type="dxa"/>
            <w:tcBorders>
              <w:top w:val="single" w:sz="4" w:space="0" w:color="000000"/>
              <w:left w:val="single" w:sz="4" w:space="0" w:color="000000"/>
              <w:bottom w:val="single" w:sz="4" w:space="0" w:color="000000"/>
              <w:right w:val="single" w:sz="4" w:space="0" w:color="000000"/>
            </w:tcBorders>
          </w:tcPr>
          <w:p w:rsidR="00C152FD" w:rsidRPr="00283950" w:rsidRDefault="00C152FD">
            <w:pPr>
              <w:pStyle w:val="TableParagraph"/>
              <w:rPr>
                <w:rFonts w:ascii="Times New Roman" w:hAnsi="Times New Roman" w:cs="Times New Roman"/>
                <w:b/>
                <w:sz w:val="24"/>
              </w:rPr>
            </w:pPr>
          </w:p>
          <w:p w:rsidR="00C152FD" w:rsidRPr="00283950" w:rsidRDefault="00C152FD">
            <w:pPr>
              <w:pStyle w:val="TableParagraph"/>
              <w:rPr>
                <w:rFonts w:ascii="Times New Roman" w:hAnsi="Times New Roman" w:cs="Times New Roman"/>
                <w:b/>
                <w:sz w:val="24"/>
              </w:rPr>
            </w:pPr>
          </w:p>
          <w:p w:rsidR="00C152FD" w:rsidRPr="00283950" w:rsidRDefault="00C152FD">
            <w:pPr>
              <w:pStyle w:val="TableParagraph"/>
              <w:rPr>
                <w:rFonts w:ascii="Times New Roman" w:hAnsi="Times New Roman" w:cs="Times New Roman"/>
                <w:b/>
                <w:sz w:val="24"/>
              </w:rPr>
            </w:pPr>
          </w:p>
          <w:p w:rsidR="00C152FD" w:rsidRPr="00283950" w:rsidRDefault="00C152FD">
            <w:pPr>
              <w:pStyle w:val="TableParagraph"/>
              <w:rPr>
                <w:rFonts w:ascii="Times New Roman" w:hAnsi="Times New Roman" w:cs="Times New Roman"/>
                <w:b/>
                <w:sz w:val="24"/>
              </w:rPr>
            </w:pPr>
          </w:p>
          <w:p w:rsidR="00C152FD" w:rsidRPr="00283950" w:rsidRDefault="00C152FD">
            <w:pPr>
              <w:pStyle w:val="TableParagraph"/>
              <w:rPr>
                <w:rFonts w:ascii="Times New Roman" w:hAnsi="Times New Roman" w:cs="Times New Roman"/>
                <w:b/>
                <w:sz w:val="24"/>
              </w:rPr>
            </w:pPr>
          </w:p>
          <w:p w:rsidR="00C152FD" w:rsidRPr="00283950" w:rsidRDefault="00C152FD">
            <w:pPr>
              <w:pStyle w:val="TableParagraph"/>
              <w:spacing w:before="1"/>
              <w:rPr>
                <w:rFonts w:ascii="Times New Roman" w:hAnsi="Times New Roman" w:cs="Times New Roman"/>
                <w:b/>
                <w:sz w:val="24"/>
              </w:rPr>
            </w:pPr>
          </w:p>
          <w:p w:rsidR="00C152FD" w:rsidRPr="00283950" w:rsidRDefault="00C152FD">
            <w:pPr>
              <w:pStyle w:val="TableParagraph"/>
              <w:ind w:left="95"/>
              <w:rPr>
                <w:rFonts w:ascii="Times New Roman" w:hAnsi="Times New Roman" w:cs="Times New Roman"/>
                <w:sz w:val="20"/>
              </w:rPr>
            </w:pPr>
            <w:r w:rsidRPr="00283950">
              <w:rPr>
                <w:rFonts w:ascii="Times New Roman" w:hAnsi="Times New Roman" w:cs="Times New Roman"/>
                <w:w w:val="105"/>
                <w:sz w:val="20"/>
              </w:rPr>
              <w:t>ANC &lt; 0.5 x 10</w:t>
            </w:r>
            <w:r w:rsidRPr="00283950">
              <w:rPr>
                <w:rFonts w:ascii="Times New Roman" w:hAnsi="Times New Roman" w:cs="Times New Roman"/>
                <w:w w:val="105"/>
                <w:position w:val="8"/>
                <w:sz w:val="13"/>
              </w:rPr>
              <w:t>9</w:t>
            </w:r>
            <w:r w:rsidRPr="00283950">
              <w:rPr>
                <w:rFonts w:ascii="Times New Roman" w:hAnsi="Times New Roman" w:cs="Times New Roman"/>
                <w:w w:val="105"/>
                <w:sz w:val="20"/>
              </w:rPr>
              <w:t>/L</w:t>
            </w:r>
          </w:p>
          <w:p w:rsidR="00C152FD" w:rsidRPr="00283950" w:rsidRDefault="00C152FD">
            <w:pPr>
              <w:pStyle w:val="TableParagraph"/>
              <w:spacing w:before="8" w:line="226" w:lineRule="exact"/>
              <w:ind w:left="95"/>
              <w:rPr>
                <w:rFonts w:ascii="Times New Roman" w:hAnsi="Times New Roman" w:cs="Times New Roman"/>
                <w:sz w:val="20"/>
              </w:rPr>
            </w:pPr>
            <w:r w:rsidRPr="00283950">
              <w:rPr>
                <w:rFonts w:ascii="Times New Roman" w:hAnsi="Times New Roman" w:cs="Times New Roman"/>
                <w:w w:val="105"/>
                <w:sz w:val="20"/>
              </w:rPr>
              <w:t>and/or</w:t>
            </w:r>
          </w:p>
          <w:p w:rsidR="00C152FD" w:rsidRPr="00283950" w:rsidRDefault="00C152FD">
            <w:pPr>
              <w:pStyle w:val="TableParagraph"/>
              <w:spacing w:line="241" w:lineRule="exact"/>
              <w:ind w:left="95"/>
              <w:rPr>
                <w:rFonts w:ascii="Times New Roman" w:hAnsi="Times New Roman" w:cs="Times New Roman"/>
                <w:sz w:val="20"/>
              </w:rPr>
            </w:pPr>
            <w:r w:rsidRPr="00283950">
              <w:rPr>
                <w:rFonts w:ascii="Times New Roman" w:hAnsi="Times New Roman" w:cs="Times New Roman"/>
                <w:w w:val="105"/>
                <w:sz w:val="20"/>
              </w:rPr>
              <w:t>platelets &lt; 10 x 10</w:t>
            </w:r>
            <w:r w:rsidRPr="00283950">
              <w:rPr>
                <w:rFonts w:ascii="Times New Roman" w:hAnsi="Times New Roman" w:cs="Times New Roman"/>
                <w:w w:val="105"/>
                <w:position w:val="8"/>
                <w:sz w:val="13"/>
              </w:rPr>
              <w:t>9</w:t>
            </w:r>
            <w:r w:rsidRPr="00283950">
              <w:rPr>
                <w:rFonts w:ascii="Times New Roman" w:hAnsi="Times New Roman" w:cs="Times New Roman"/>
                <w:w w:val="105"/>
                <w:sz w:val="20"/>
              </w:rPr>
              <w:t>/L</w:t>
            </w:r>
          </w:p>
        </w:tc>
        <w:tc>
          <w:tcPr>
            <w:tcW w:w="4226" w:type="dxa"/>
            <w:tcBorders>
              <w:top w:val="single" w:sz="4" w:space="0" w:color="000000"/>
              <w:left w:val="single" w:sz="4" w:space="0" w:color="000000"/>
              <w:bottom w:val="single" w:sz="4" w:space="0" w:color="000000"/>
              <w:right w:val="single" w:sz="4" w:space="0" w:color="000000"/>
            </w:tcBorders>
          </w:tcPr>
          <w:p w:rsidR="00C152FD" w:rsidRPr="00283950" w:rsidRDefault="00C152FD" w:rsidP="00C152FD">
            <w:pPr>
              <w:pStyle w:val="TableParagraph"/>
              <w:numPr>
                <w:ilvl w:val="0"/>
                <w:numId w:val="10"/>
              </w:numPr>
              <w:tabs>
                <w:tab w:val="left" w:pos="361"/>
              </w:tabs>
              <w:spacing w:before="6" w:line="244" w:lineRule="auto"/>
              <w:ind w:right="278" w:hanging="263"/>
              <w:rPr>
                <w:rFonts w:ascii="Times New Roman" w:hAnsi="Times New Roman" w:cs="Times New Roman"/>
                <w:sz w:val="20"/>
              </w:rPr>
            </w:pPr>
            <w:r w:rsidRPr="00283950">
              <w:rPr>
                <w:rFonts w:ascii="Times New Roman" w:hAnsi="Times New Roman" w:cs="Times New Roman"/>
                <w:w w:val="105"/>
                <w:sz w:val="20"/>
              </w:rPr>
              <w:t>Check</w:t>
            </w:r>
            <w:r w:rsidRPr="00283950">
              <w:rPr>
                <w:rFonts w:ascii="Times New Roman" w:hAnsi="Times New Roman" w:cs="Times New Roman"/>
                <w:spacing w:val="-12"/>
                <w:w w:val="105"/>
                <w:sz w:val="20"/>
              </w:rPr>
              <w:t xml:space="preserve"> </w:t>
            </w:r>
            <w:r w:rsidRPr="00283950">
              <w:rPr>
                <w:rFonts w:ascii="Times New Roman" w:hAnsi="Times New Roman" w:cs="Times New Roman"/>
                <w:w w:val="105"/>
                <w:sz w:val="20"/>
              </w:rPr>
              <w:t>if</w:t>
            </w:r>
            <w:r w:rsidRPr="00283950">
              <w:rPr>
                <w:rFonts w:ascii="Times New Roman" w:hAnsi="Times New Roman" w:cs="Times New Roman"/>
                <w:spacing w:val="-10"/>
                <w:w w:val="105"/>
                <w:sz w:val="20"/>
              </w:rPr>
              <w:t xml:space="preserve"> </w:t>
            </w:r>
            <w:r w:rsidRPr="00283950">
              <w:rPr>
                <w:rFonts w:ascii="Times New Roman" w:hAnsi="Times New Roman" w:cs="Times New Roman"/>
                <w:w w:val="105"/>
                <w:sz w:val="20"/>
              </w:rPr>
              <w:t>cytopaenia</w:t>
            </w:r>
            <w:r w:rsidRPr="00283950">
              <w:rPr>
                <w:rFonts w:ascii="Times New Roman" w:hAnsi="Times New Roman" w:cs="Times New Roman"/>
                <w:spacing w:val="-11"/>
                <w:w w:val="105"/>
                <w:sz w:val="20"/>
              </w:rPr>
              <w:t xml:space="preserve"> </w:t>
            </w:r>
            <w:r w:rsidRPr="00283950">
              <w:rPr>
                <w:rFonts w:ascii="Times New Roman" w:hAnsi="Times New Roman" w:cs="Times New Roman"/>
                <w:w w:val="105"/>
                <w:sz w:val="20"/>
              </w:rPr>
              <w:t>is</w:t>
            </w:r>
            <w:r w:rsidRPr="00283950">
              <w:rPr>
                <w:rFonts w:ascii="Times New Roman" w:hAnsi="Times New Roman" w:cs="Times New Roman"/>
                <w:spacing w:val="-10"/>
                <w:w w:val="105"/>
                <w:sz w:val="20"/>
              </w:rPr>
              <w:t xml:space="preserve"> </w:t>
            </w:r>
            <w:r w:rsidRPr="00283950">
              <w:rPr>
                <w:rFonts w:ascii="Times New Roman" w:hAnsi="Times New Roman" w:cs="Times New Roman"/>
                <w:w w:val="105"/>
                <w:sz w:val="20"/>
              </w:rPr>
              <w:t>related</w:t>
            </w:r>
            <w:r w:rsidRPr="00283950">
              <w:rPr>
                <w:rFonts w:ascii="Times New Roman" w:hAnsi="Times New Roman" w:cs="Times New Roman"/>
                <w:spacing w:val="-11"/>
                <w:w w:val="105"/>
                <w:sz w:val="20"/>
              </w:rPr>
              <w:t xml:space="preserve"> </w:t>
            </w:r>
            <w:r w:rsidRPr="00283950">
              <w:rPr>
                <w:rFonts w:ascii="Times New Roman" w:hAnsi="Times New Roman" w:cs="Times New Roman"/>
                <w:w w:val="105"/>
                <w:sz w:val="20"/>
              </w:rPr>
              <w:t>to</w:t>
            </w:r>
            <w:r w:rsidRPr="00283950">
              <w:rPr>
                <w:rFonts w:ascii="Times New Roman" w:hAnsi="Times New Roman" w:cs="Times New Roman"/>
                <w:spacing w:val="-10"/>
                <w:w w:val="105"/>
                <w:sz w:val="20"/>
              </w:rPr>
              <w:t xml:space="preserve"> </w:t>
            </w:r>
            <w:r w:rsidRPr="00283950">
              <w:rPr>
                <w:rFonts w:ascii="Times New Roman" w:hAnsi="Times New Roman" w:cs="Times New Roman"/>
                <w:w w:val="105"/>
                <w:sz w:val="20"/>
              </w:rPr>
              <w:t>leukaemia (marrow</w:t>
            </w:r>
            <w:r w:rsidRPr="00283950">
              <w:rPr>
                <w:rFonts w:ascii="Times New Roman" w:hAnsi="Times New Roman" w:cs="Times New Roman"/>
                <w:spacing w:val="-16"/>
                <w:w w:val="105"/>
                <w:sz w:val="20"/>
              </w:rPr>
              <w:t xml:space="preserve"> </w:t>
            </w:r>
            <w:r w:rsidRPr="00283950">
              <w:rPr>
                <w:rFonts w:ascii="Times New Roman" w:hAnsi="Times New Roman" w:cs="Times New Roman"/>
                <w:w w:val="105"/>
                <w:sz w:val="20"/>
              </w:rPr>
              <w:t>aspirate</w:t>
            </w:r>
            <w:r w:rsidRPr="00283950">
              <w:rPr>
                <w:rFonts w:ascii="Times New Roman" w:hAnsi="Times New Roman" w:cs="Times New Roman"/>
                <w:spacing w:val="-17"/>
                <w:w w:val="105"/>
                <w:sz w:val="20"/>
              </w:rPr>
              <w:t xml:space="preserve"> </w:t>
            </w:r>
            <w:r w:rsidRPr="00283950">
              <w:rPr>
                <w:rFonts w:ascii="Times New Roman" w:hAnsi="Times New Roman" w:cs="Times New Roman"/>
                <w:w w:val="105"/>
                <w:sz w:val="20"/>
              </w:rPr>
              <w:t>or</w:t>
            </w:r>
            <w:r w:rsidRPr="00283950">
              <w:rPr>
                <w:rFonts w:ascii="Times New Roman" w:hAnsi="Times New Roman" w:cs="Times New Roman"/>
                <w:spacing w:val="-15"/>
                <w:w w:val="105"/>
                <w:sz w:val="20"/>
              </w:rPr>
              <w:t xml:space="preserve"> </w:t>
            </w:r>
            <w:r w:rsidRPr="00283950">
              <w:rPr>
                <w:rFonts w:ascii="Times New Roman" w:hAnsi="Times New Roman" w:cs="Times New Roman"/>
                <w:w w:val="105"/>
                <w:sz w:val="20"/>
              </w:rPr>
              <w:t>biopsy).</w:t>
            </w:r>
          </w:p>
          <w:p w:rsidR="00C152FD" w:rsidRPr="00283950" w:rsidRDefault="00C152FD">
            <w:pPr>
              <w:pStyle w:val="TableParagraph"/>
              <w:tabs>
                <w:tab w:val="left" w:pos="361"/>
              </w:tabs>
              <w:spacing w:before="6" w:line="244" w:lineRule="auto"/>
              <w:ind w:left="359" w:right="278"/>
              <w:rPr>
                <w:rFonts w:ascii="Times New Roman" w:hAnsi="Times New Roman" w:cs="Times New Roman"/>
                <w:sz w:val="20"/>
              </w:rPr>
            </w:pPr>
          </w:p>
          <w:p w:rsidR="00C152FD" w:rsidRPr="00283950" w:rsidRDefault="00C152FD" w:rsidP="00C152FD">
            <w:pPr>
              <w:pStyle w:val="TableParagraph"/>
              <w:numPr>
                <w:ilvl w:val="0"/>
                <w:numId w:val="10"/>
              </w:numPr>
              <w:tabs>
                <w:tab w:val="left" w:pos="360"/>
              </w:tabs>
              <w:spacing w:line="232" w:lineRule="auto"/>
              <w:ind w:right="194" w:hanging="263"/>
              <w:rPr>
                <w:rFonts w:ascii="Times New Roman" w:hAnsi="Times New Roman" w:cs="Times New Roman"/>
                <w:sz w:val="20"/>
              </w:rPr>
            </w:pPr>
            <w:r w:rsidRPr="00283950">
              <w:rPr>
                <w:rFonts w:ascii="Times New Roman" w:hAnsi="Times New Roman" w:cs="Times New Roman"/>
                <w:w w:val="105"/>
                <w:sz w:val="20"/>
              </w:rPr>
              <w:t>If</w:t>
            </w:r>
            <w:r w:rsidRPr="00283950">
              <w:rPr>
                <w:rFonts w:ascii="Times New Roman" w:hAnsi="Times New Roman" w:cs="Times New Roman"/>
                <w:spacing w:val="-12"/>
                <w:w w:val="105"/>
                <w:sz w:val="20"/>
              </w:rPr>
              <w:t xml:space="preserve"> </w:t>
            </w:r>
            <w:r w:rsidRPr="00283950">
              <w:rPr>
                <w:rFonts w:ascii="Times New Roman" w:hAnsi="Times New Roman" w:cs="Times New Roman"/>
                <w:w w:val="105"/>
                <w:sz w:val="20"/>
              </w:rPr>
              <w:t>cytopaenia</w:t>
            </w:r>
            <w:r w:rsidRPr="00283950">
              <w:rPr>
                <w:rFonts w:ascii="Times New Roman" w:hAnsi="Times New Roman" w:cs="Times New Roman"/>
                <w:spacing w:val="-12"/>
                <w:w w:val="105"/>
                <w:sz w:val="20"/>
              </w:rPr>
              <w:t xml:space="preserve"> </w:t>
            </w:r>
            <w:r w:rsidRPr="00283950">
              <w:rPr>
                <w:rFonts w:ascii="Times New Roman" w:hAnsi="Times New Roman" w:cs="Times New Roman"/>
                <w:w w:val="105"/>
                <w:sz w:val="20"/>
              </w:rPr>
              <w:t>is</w:t>
            </w:r>
            <w:r w:rsidRPr="00283950">
              <w:rPr>
                <w:rFonts w:ascii="Times New Roman" w:hAnsi="Times New Roman" w:cs="Times New Roman"/>
                <w:spacing w:val="-13"/>
                <w:w w:val="105"/>
                <w:sz w:val="20"/>
              </w:rPr>
              <w:t xml:space="preserve"> </w:t>
            </w:r>
            <w:r w:rsidRPr="00283950">
              <w:rPr>
                <w:rFonts w:ascii="Times New Roman" w:hAnsi="Times New Roman" w:cs="Times New Roman"/>
                <w:w w:val="105"/>
                <w:sz w:val="20"/>
              </w:rPr>
              <w:t>unrelated</w:t>
            </w:r>
            <w:r w:rsidRPr="00283950">
              <w:rPr>
                <w:rFonts w:ascii="Times New Roman" w:hAnsi="Times New Roman" w:cs="Times New Roman"/>
                <w:spacing w:val="-13"/>
                <w:w w:val="105"/>
                <w:sz w:val="20"/>
              </w:rPr>
              <w:t xml:space="preserve"> </w:t>
            </w:r>
            <w:r w:rsidRPr="00283950">
              <w:rPr>
                <w:rFonts w:ascii="Times New Roman" w:hAnsi="Times New Roman" w:cs="Times New Roman"/>
                <w:w w:val="105"/>
                <w:sz w:val="20"/>
              </w:rPr>
              <w:t>to</w:t>
            </w:r>
            <w:r w:rsidRPr="00283950">
              <w:rPr>
                <w:rFonts w:ascii="Times New Roman" w:hAnsi="Times New Roman" w:cs="Times New Roman"/>
                <w:spacing w:val="-13"/>
                <w:w w:val="105"/>
                <w:sz w:val="20"/>
              </w:rPr>
              <w:t xml:space="preserve"> </w:t>
            </w:r>
            <w:r w:rsidRPr="00283950">
              <w:rPr>
                <w:rFonts w:ascii="Times New Roman" w:hAnsi="Times New Roman" w:cs="Times New Roman"/>
                <w:w w:val="105"/>
                <w:sz w:val="20"/>
              </w:rPr>
              <w:t>leukaemia,</w:t>
            </w:r>
            <w:r w:rsidRPr="00283950">
              <w:rPr>
                <w:rFonts w:ascii="Times New Roman" w:hAnsi="Times New Roman" w:cs="Times New Roman"/>
                <w:spacing w:val="-12"/>
                <w:w w:val="105"/>
                <w:sz w:val="20"/>
              </w:rPr>
              <w:t xml:space="preserve"> </w:t>
            </w:r>
            <w:r w:rsidRPr="00283950">
              <w:rPr>
                <w:rFonts w:ascii="Times New Roman" w:hAnsi="Times New Roman" w:cs="Times New Roman"/>
                <w:w w:val="105"/>
                <w:sz w:val="20"/>
              </w:rPr>
              <w:t>stop treatment until ANC ≥ 1.0 x 10</w:t>
            </w:r>
            <w:r w:rsidRPr="00283950">
              <w:rPr>
                <w:rFonts w:ascii="Times New Roman" w:hAnsi="Times New Roman" w:cs="Times New Roman"/>
                <w:w w:val="105"/>
                <w:position w:val="9"/>
                <w:sz w:val="13"/>
              </w:rPr>
              <w:t>9</w:t>
            </w:r>
            <w:r w:rsidRPr="00283950">
              <w:rPr>
                <w:rFonts w:ascii="Times New Roman" w:hAnsi="Times New Roman" w:cs="Times New Roman"/>
                <w:w w:val="105"/>
                <w:sz w:val="20"/>
              </w:rPr>
              <w:t>/L and platelets ≥ 20 x 10</w:t>
            </w:r>
            <w:r w:rsidRPr="00283950">
              <w:rPr>
                <w:rFonts w:ascii="Times New Roman" w:hAnsi="Times New Roman" w:cs="Times New Roman"/>
                <w:w w:val="105"/>
                <w:position w:val="8"/>
                <w:sz w:val="13"/>
              </w:rPr>
              <w:t>9</w:t>
            </w:r>
            <w:r w:rsidRPr="00283950">
              <w:rPr>
                <w:rFonts w:ascii="Times New Roman" w:hAnsi="Times New Roman" w:cs="Times New Roman"/>
                <w:w w:val="105"/>
                <w:sz w:val="20"/>
              </w:rPr>
              <w:t>/L and resume at the original starting</w:t>
            </w:r>
            <w:r w:rsidRPr="00283950">
              <w:rPr>
                <w:rFonts w:ascii="Times New Roman" w:hAnsi="Times New Roman" w:cs="Times New Roman"/>
                <w:spacing w:val="-40"/>
                <w:w w:val="105"/>
                <w:sz w:val="20"/>
              </w:rPr>
              <w:t xml:space="preserve"> </w:t>
            </w:r>
            <w:r w:rsidRPr="00283950">
              <w:rPr>
                <w:rFonts w:ascii="Times New Roman" w:hAnsi="Times New Roman" w:cs="Times New Roman"/>
                <w:w w:val="105"/>
                <w:sz w:val="20"/>
              </w:rPr>
              <w:t>dose.</w:t>
            </w:r>
          </w:p>
          <w:p w:rsidR="00C152FD" w:rsidRPr="00283950" w:rsidRDefault="00C152FD">
            <w:pPr>
              <w:pStyle w:val="TableParagraph"/>
              <w:spacing w:before="4"/>
              <w:rPr>
                <w:rFonts w:ascii="Times New Roman" w:hAnsi="Times New Roman" w:cs="Times New Roman"/>
                <w:b/>
                <w:sz w:val="21"/>
              </w:rPr>
            </w:pPr>
          </w:p>
          <w:p w:rsidR="00C152FD" w:rsidRPr="00283950" w:rsidRDefault="00C152FD" w:rsidP="00C152FD">
            <w:pPr>
              <w:pStyle w:val="TableParagraph"/>
              <w:numPr>
                <w:ilvl w:val="0"/>
                <w:numId w:val="10"/>
              </w:numPr>
              <w:tabs>
                <w:tab w:val="left" w:pos="360"/>
              </w:tabs>
              <w:spacing w:line="244" w:lineRule="auto"/>
              <w:ind w:right="118" w:hanging="262"/>
              <w:rPr>
                <w:rFonts w:ascii="Times New Roman" w:hAnsi="Times New Roman" w:cs="Times New Roman"/>
                <w:sz w:val="20"/>
              </w:rPr>
            </w:pPr>
            <w:r w:rsidRPr="00283950">
              <w:rPr>
                <w:rFonts w:ascii="Times New Roman" w:hAnsi="Times New Roman" w:cs="Times New Roman"/>
                <w:w w:val="105"/>
                <w:sz w:val="20"/>
              </w:rPr>
              <w:t>If</w:t>
            </w:r>
            <w:r w:rsidRPr="00283950">
              <w:rPr>
                <w:rFonts w:ascii="Times New Roman" w:hAnsi="Times New Roman" w:cs="Times New Roman"/>
                <w:spacing w:val="-12"/>
                <w:w w:val="105"/>
                <w:sz w:val="20"/>
              </w:rPr>
              <w:t xml:space="preserve"> </w:t>
            </w:r>
            <w:r w:rsidRPr="00283950">
              <w:rPr>
                <w:rFonts w:ascii="Times New Roman" w:hAnsi="Times New Roman" w:cs="Times New Roman"/>
                <w:w w:val="105"/>
                <w:sz w:val="20"/>
              </w:rPr>
              <w:t>recurrence</w:t>
            </w:r>
            <w:r w:rsidRPr="00283950">
              <w:rPr>
                <w:rFonts w:ascii="Times New Roman" w:hAnsi="Times New Roman" w:cs="Times New Roman"/>
                <w:spacing w:val="-11"/>
                <w:w w:val="105"/>
                <w:sz w:val="20"/>
              </w:rPr>
              <w:t xml:space="preserve"> </w:t>
            </w:r>
            <w:r w:rsidRPr="00283950">
              <w:rPr>
                <w:rFonts w:ascii="Times New Roman" w:hAnsi="Times New Roman" w:cs="Times New Roman"/>
                <w:w w:val="105"/>
                <w:sz w:val="20"/>
              </w:rPr>
              <w:t>of</w:t>
            </w:r>
            <w:r w:rsidRPr="00283950">
              <w:rPr>
                <w:rFonts w:ascii="Times New Roman" w:hAnsi="Times New Roman" w:cs="Times New Roman"/>
                <w:spacing w:val="-11"/>
                <w:w w:val="105"/>
                <w:sz w:val="20"/>
              </w:rPr>
              <w:t xml:space="preserve"> </w:t>
            </w:r>
            <w:r w:rsidRPr="00283950">
              <w:rPr>
                <w:rFonts w:ascii="Times New Roman" w:hAnsi="Times New Roman" w:cs="Times New Roman"/>
                <w:w w:val="105"/>
                <w:sz w:val="20"/>
              </w:rPr>
              <w:t>cytopaenia,</w:t>
            </w:r>
            <w:r w:rsidRPr="00283950">
              <w:rPr>
                <w:rFonts w:ascii="Times New Roman" w:hAnsi="Times New Roman" w:cs="Times New Roman"/>
                <w:spacing w:val="-12"/>
                <w:w w:val="105"/>
                <w:sz w:val="20"/>
              </w:rPr>
              <w:t xml:space="preserve"> </w:t>
            </w:r>
            <w:r w:rsidRPr="00283950">
              <w:rPr>
                <w:rFonts w:ascii="Times New Roman" w:hAnsi="Times New Roman" w:cs="Times New Roman"/>
                <w:w w:val="105"/>
                <w:sz w:val="20"/>
              </w:rPr>
              <w:t>repeat</w:t>
            </w:r>
            <w:r w:rsidRPr="00283950">
              <w:rPr>
                <w:rFonts w:ascii="Times New Roman" w:hAnsi="Times New Roman" w:cs="Times New Roman"/>
                <w:spacing w:val="-11"/>
                <w:w w:val="105"/>
                <w:sz w:val="20"/>
              </w:rPr>
              <w:t xml:space="preserve"> </w:t>
            </w:r>
            <w:r w:rsidRPr="00283950">
              <w:rPr>
                <w:rFonts w:ascii="Times New Roman" w:hAnsi="Times New Roman" w:cs="Times New Roman"/>
                <w:w w:val="105"/>
                <w:sz w:val="20"/>
              </w:rPr>
              <w:t>step</w:t>
            </w:r>
            <w:r w:rsidRPr="00283950">
              <w:rPr>
                <w:rFonts w:ascii="Times New Roman" w:hAnsi="Times New Roman" w:cs="Times New Roman"/>
                <w:spacing w:val="-12"/>
                <w:w w:val="105"/>
                <w:sz w:val="20"/>
              </w:rPr>
              <w:t xml:space="preserve"> </w:t>
            </w:r>
            <w:r w:rsidRPr="00283950">
              <w:rPr>
                <w:rFonts w:ascii="Times New Roman" w:hAnsi="Times New Roman" w:cs="Times New Roman"/>
                <w:w w:val="105"/>
                <w:sz w:val="20"/>
              </w:rPr>
              <w:t>1</w:t>
            </w:r>
            <w:r w:rsidRPr="00283950">
              <w:rPr>
                <w:rFonts w:ascii="Times New Roman" w:hAnsi="Times New Roman" w:cs="Times New Roman"/>
                <w:spacing w:val="-11"/>
                <w:w w:val="105"/>
                <w:sz w:val="20"/>
              </w:rPr>
              <w:t xml:space="preserve"> </w:t>
            </w:r>
            <w:r w:rsidRPr="00283950">
              <w:rPr>
                <w:rFonts w:ascii="Times New Roman" w:hAnsi="Times New Roman" w:cs="Times New Roman"/>
                <w:w w:val="105"/>
                <w:sz w:val="20"/>
              </w:rPr>
              <w:t>and resume</w:t>
            </w:r>
            <w:r w:rsidRPr="00283950">
              <w:rPr>
                <w:rFonts w:ascii="Times New Roman" w:hAnsi="Times New Roman" w:cs="Times New Roman"/>
                <w:spacing w:val="-9"/>
                <w:w w:val="105"/>
                <w:sz w:val="20"/>
              </w:rPr>
              <w:t xml:space="preserve"> </w:t>
            </w:r>
            <w:r w:rsidRPr="00283950">
              <w:rPr>
                <w:rFonts w:ascii="Times New Roman" w:hAnsi="Times New Roman" w:cs="Times New Roman"/>
                <w:w w:val="105"/>
                <w:sz w:val="20"/>
              </w:rPr>
              <w:t>treatment</w:t>
            </w:r>
            <w:r w:rsidRPr="00283950">
              <w:rPr>
                <w:rFonts w:ascii="Times New Roman" w:hAnsi="Times New Roman" w:cs="Times New Roman"/>
                <w:spacing w:val="-10"/>
                <w:w w:val="105"/>
                <w:sz w:val="20"/>
              </w:rPr>
              <w:t xml:space="preserve"> </w:t>
            </w:r>
            <w:r w:rsidRPr="00283950">
              <w:rPr>
                <w:rFonts w:ascii="Times New Roman" w:hAnsi="Times New Roman" w:cs="Times New Roman"/>
                <w:w w:val="105"/>
                <w:sz w:val="20"/>
              </w:rPr>
              <w:t>at</w:t>
            </w:r>
            <w:r w:rsidRPr="00283950">
              <w:rPr>
                <w:rFonts w:ascii="Times New Roman" w:hAnsi="Times New Roman" w:cs="Times New Roman"/>
                <w:spacing w:val="-9"/>
                <w:w w:val="105"/>
                <w:sz w:val="20"/>
              </w:rPr>
              <w:t xml:space="preserve"> </w:t>
            </w:r>
            <w:r w:rsidRPr="00283950">
              <w:rPr>
                <w:rFonts w:ascii="Times New Roman" w:hAnsi="Times New Roman" w:cs="Times New Roman"/>
                <w:w w:val="105"/>
                <w:sz w:val="20"/>
              </w:rPr>
              <w:t>a</w:t>
            </w:r>
            <w:r w:rsidRPr="00283950">
              <w:rPr>
                <w:rFonts w:ascii="Times New Roman" w:hAnsi="Times New Roman" w:cs="Times New Roman"/>
                <w:spacing w:val="-10"/>
                <w:w w:val="105"/>
                <w:sz w:val="20"/>
              </w:rPr>
              <w:t xml:space="preserve"> </w:t>
            </w:r>
            <w:r w:rsidRPr="00283950">
              <w:rPr>
                <w:rFonts w:ascii="Times New Roman" w:hAnsi="Times New Roman" w:cs="Times New Roman"/>
                <w:w w:val="105"/>
                <w:sz w:val="20"/>
              </w:rPr>
              <w:t>reduced</w:t>
            </w:r>
            <w:r w:rsidRPr="00283950">
              <w:rPr>
                <w:rFonts w:ascii="Times New Roman" w:hAnsi="Times New Roman" w:cs="Times New Roman"/>
                <w:spacing w:val="-9"/>
                <w:w w:val="105"/>
                <w:sz w:val="20"/>
              </w:rPr>
              <w:t xml:space="preserve"> </w:t>
            </w:r>
            <w:r w:rsidRPr="00283950">
              <w:rPr>
                <w:rFonts w:ascii="Times New Roman" w:hAnsi="Times New Roman" w:cs="Times New Roman"/>
                <w:w w:val="105"/>
                <w:sz w:val="20"/>
              </w:rPr>
              <w:t>dose</w:t>
            </w:r>
            <w:r w:rsidRPr="00283950">
              <w:rPr>
                <w:rFonts w:ascii="Times New Roman" w:hAnsi="Times New Roman" w:cs="Times New Roman"/>
                <w:spacing w:val="-10"/>
                <w:w w:val="105"/>
                <w:sz w:val="20"/>
              </w:rPr>
              <w:t xml:space="preserve"> </w:t>
            </w:r>
            <w:r w:rsidRPr="00283950">
              <w:rPr>
                <w:rFonts w:ascii="Times New Roman" w:hAnsi="Times New Roman" w:cs="Times New Roman"/>
                <w:w w:val="105"/>
                <w:sz w:val="20"/>
              </w:rPr>
              <w:t>of</w:t>
            </w:r>
          </w:p>
          <w:p w:rsidR="00C152FD" w:rsidRPr="00283950" w:rsidRDefault="00C152FD">
            <w:pPr>
              <w:pStyle w:val="TableParagraph"/>
              <w:spacing w:before="1" w:line="244" w:lineRule="auto"/>
              <w:ind w:left="359" w:right="582"/>
              <w:rPr>
                <w:rFonts w:ascii="Times New Roman" w:hAnsi="Times New Roman" w:cs="Times New Roman"/>
                <w:sz w:val="20"/>
              </w:rPr>
            </w:pPr>
            <w:r w:rsidRPr="00283950">
              <w:rPr>
                <w:rFonts w:ascii="Times New Roman" w:hAnsi="Times New Roman" w:cs="Times New Roman"/>
                <w:w w:val="105"/>
                <w:sz w:val="20"/>
              </w:rPr>
              <w:t>100 mg once daily (second episode) or 80 mg once daily (third episode).</w:t>
            </w:r>
          </w:p>
          <w:p w:rsidR="00C152FD" w:rsidRPr="00283950" w:rsidRDefault="00C152FD">
            <w:pPr>
              <w:pStyle w:val="TableParagraph"/>
              <w:spacing w:before="9"/>
              <w:rPr>
                <w:rFonts w:ascii="Times New Roman" w:hAnsi="Times New Roman" w:cs="Times New Roman"/>
                <w:b/>
                <w:sz w:val="20"/>
              </w:rPr>
            </w:pPr>
          </w:p>
          <w:p w:rsidR="00C152FD" w:rsidRPr="00283950" w:rsidRDefault="00C152FD" w:rsidP="00C152FD">
            <w:pPr>
              <w:pStyle w:val="TableParagraph"/>
              <w:numPr>
                <w:ilvl w:val="0"/>
                <w:numId w:val="10"/>
              </w:numPr>
              <w:tabs>
                <w:tab w:val="left" w:pos="360"/>
              </w:tabs>
              <w:spacing w:line="244" w:lineRule="auto"/>
              <w:ind w:right="510" w:hanging="262"/>
              <w:rPr>
                <w:rFonts w:ascii="Times New Roman" w:hAnsi="Times New Roman" w:cs="Times New Roman"/>
                <w:sz w:val="20"/>
              </w:rPr>
            </w:pPr>
            <w:r w:rsidRPr="00283950">
              <w:rPr>
                <w:rFonts w:ascii="Times New Roman" w:hAnsi="Times New Roman" w:cs="Times New Roman"/>
                <w:w w:val="105"/>
                <w:sz w:val="20"/>
              </w:rPr>
              <w:t>If cytopaenia is related to leukaemia, consider</w:t>
            </w:r>
            <w:r w:rsidRPr="00283950">
              <w:rPr>
                <w:rFonts w:ascii="Times New Roman" w:hAnsi="Times New Roman" w:cs="Times New Roman"/>
                <w:spacing w:val="-12"/>
                <w:w w:val="105"/>
                <w:sz w:val="20"/>
              </w:rPr>
              <w:t xml:space="preserve"> </w:t>
            </w:r>
            <w:r w:rsidRPr="00283950">
              <w:rPr>
                <w:rFonts w:ascii="Times New Roman" w:hAnsi="Times New Roman" w:cs="Times New Roman"/>
                <w:w w:val="105"/>
                <w:sz w:val="20"/>
              </w:rPr>
              <w:t>dose</w:t>
            </w:r>
            <w:r w:rsidRPr="00283950">
              <w:rPr>
                <w:rFonts w:ascii="Times New Roman" w:hAnsi="Times New Roman" w:cs="Times New Roman"/>
                <w:spacing w:val="-11"/>
                <w:w w:val="105"/>
                <w:sz w:val="20"/>
              </w:rPr>
              <w:t xml:space="preserve"> </w:t>
            </w:r>
            <w:r w:rsidRPr="00283950">
              <w:rPr>
                <w:rFonts w:ascii="Times New Roman" w:hAnsi="Times New Roman" w:cs="Times New Roman"/>
                <w:w w:val="105"/>
                <w:sz w:val="20"/>
              </w:rPr>
              <w:t>escalation</w:t>
            </w:r>
            <w:r w:rsidRPr="00283950">
              <w:rPr>
                <w:rFonts w:ascii="Times New Roman" w:hAnsi="Times New Roman" w:cs="Times New Roman"/>
                <w:spacing w:val="-12"/>
                <w:w w:val="105"/>
                <w:sz w:val="20"/>
              </w:rPr>
              <w:t xml:space="preserve"> </w:t>
            </w:r>
            <w:r w:rsidRPr="00283950">
              <w:rPr>
                <w:rFonts w:ascii="Times New Roman" w:hAnsi="Times New Roman" w:cs="Times New Roman"/>
                <w:w w:val="105"/>
                <w:sz w:val="20"/>
              </w:rPr>
              <w:t>to</w:t>
            </w:r>
            <w:r w:rsidRPr="00283950">
              <w:rPr>
                <w:rFonts w:ascii="Times New Roman" w:hAnsi="Times New Roman" w:cs="Times New Roman"/>
                <w:spacing w:val="-11"/>
                <w:w w:val="105"/>
                <w:sz w:val="20"/>
              </w:rPr>
              <w:t xml:space="preserve"> </w:t>
            </w:r>
            <w:r w:rsidRPr="00283950">
              <w:rPr>
                <w:rFonts w:ascii="Times New Roman" w:hAnsi="Times New Roman" w:cs="Times New Roman"/>
                <w:w w:val="105"/>
                <w:sz w:val="20"/>
              </w:rPr>
              <w:t>180</w:t>
            </w:r>
            <w:r w:rsidRPr="00283950">
              <w:rPr>
                <w:rFonts w:ascii="Times New Roman" w:hAnsi="Times New Roman" w:cs="Times New Roman"/>
                <w:spacing w:val="-12"/>
                <w:w w:val="105"/>
                <w:sz w:val="20"/>
              </w:rPr>
              <w:t xml:space="preserve"> </w:t>
            </w:r>
            <w:r w:rsidRPr="00283950">
              <w:rPr>
                <w:rFonts w:ascii="Times New Roman" w:hAnsi="Times New Roman" w:cs="Times New Roman"/>
                <w:w w:val="105"/>
                <w:sz w:val="20"/>
              </w:rPr>
              <w:t>mg</w:t>
            </w:r>
            <w:r w:rsidRPr="00283950">
              <w:rPr>
                <w:rFonts w:ascii="Times New Roman" w:hAnsi="Times New Roman" w:cs="Times New Roman"/>
                <w:spacing w:val="-11"/>
                <w:w w:val="105"/>
                <w:sz w:val="20"/>
              </w:rPr>
              <w:t xml:space="preserve"> </w:t>
            </w:r>
            <w:r w:rsidRPr="00283950">
              <w:rPr>
                <w:rFonts w:ascii="Times New Roman" w:hAnsi="Times New Roman" w:cs="Times New Roman"/>
                <w:w w:val="105"/>
                <w:sz w:val="20"/>
              </w:rPr>
              <w:t>once daily.</w:t>
            </w:r>
          </w:p>
        </w:tc>
      </w:tr>
    </w:tbl>
    <w:p w:rsidR="00C152FD" w:rsidRPr="00283950" w:rsidRDefault="00C152FD" w:rsidP="00C152FD">
      <w:pPr>
        <w:ind w:left="134"/>
        <w:rPr>
          <w:sz w:val="17"/>
          <w:szCs w:val="22"/>
          <w:lang w:val="en-US" w:eastAsia="en-US"/>
        </w:rPr>
      </w:pPr>
      <w:r w:rsidRPr="00283950">
        <w:rPr>
          <w:sz w:val="17"/>
          <w:lang w:val="en-US"/>
        </w:rPr>
        <w:t>ANC: absolute neutrophil count</w:t>
      </w:r>
    </w:p>
    <w:p w:rsidR="00283950" w:rsidRPr="00283950" w:rsidRDefault="00283950" w:rsidP="00C152FD">
      <w:pPr>
        <w:pStyle w:val="Overskrift1"/>
        <w:tabs>
          <w:tab w:val="left" w:pos="1166"/>
        </w:tabs>
        <w:spacing w:before="74" w:line="244" w:lineRule="auto"/>
        <w:ind w:left="1167" w:right="505" w:hanging="1167"/>
        <w:rPr>
          <w:w w:val="105"/>
        </w:rPr>
      </w:pPr>
    </w:p>
    <w:p w:rsidR="00C152FD" w:rsidRPr="00283950" w:rsidRDefault="00C152FD" w:rsidP="00C152FD">
      <w:pPr>
        <w:pStyle w:val="Overskrift1"/>
        <w:tabs>
          <w:tab w:val="left" w:pos="1166"/>
        </w:tabs>
        <w:spacing w:before="74" w:line="244" w:lineRule="auto"/>
        <w:ind w:left="1167" w:right="505" w:hanging="1167"/>
      </w:pPr>
      <w:r w:rsidRPr="00283950">
        <w:rPr>
          <w:w w:val="105"/>
        </w:rPr>
        <w:t>Table</w:t>
      </w:r>
      <w:r w:rsidRPr="00283950">
        <w:rPr>
          <w:spacing w:val="-6"/>
          <w:w w:val="105"/>
        </w:rPr>
        <w:t xml:space="preserve"> </w:t>
      </w:r>
      <w:r w:rsidRPr="00283950">
        <w:rPr>
          <w:w w:val="105"/>
        </w:rPr>
        <w:t>4:</w:t>
      </w:r>
      <w:r w:rsidRPr="00283950">
        <w:rPr>
          <w:w w:val="105"/>
        </w:rPr>
        <w:tab/>
        <w:t>Dose</w:t>
      </w:r>
      <w:r w:rsidRPr="00283950">
        <w:rPr>
          <w:spacing w:val="-19"/>
          <w:w w:val="105"/>
        </w:rPr>
        <w:t xml:space="preserve"> </w:t>
      </w:r>
      <w:r w:rsidRPr="00283950">
        <w:rPr>
          <w:w w:val="105"/>
        </w:rPr>
        <w:t>adjustments</w:t>
      </w:r>
      <w:r w:rsidRPr="00283950">
        <w:rPr>
          <w:spacing w:val="-19"/>
          <w:w w:val="105"/>
        </w:rPr>
        <w:t xml:space="preserve"> </w:t>
      </w:r>
      <w:r w:rsidRPr="00283950">
        <w:rPr>
          <w:w w:val="105"/>
        </w:rPr>
        <w:t>for</w:t>
      </w:r>
      <w:r w:rsidRPr="00283950">
        <w:rPr>
          <w:spacing w:val="-19"/>
          <w:w w:val="105"/>
        </w:rPr>
        <w:t xml:space="preserve"> </w:t>
      </w:r>
      <w:r w:rsidRPr="00283950">
        <w:rPr>
          <w:w w:val="105"/>
        </w:rPr>
        <w:t>neutropaenia</w:t>
      </w:r>
      <w:r w:rsidRPr="00283950">
        <w:rPr>
          <w:spacing w:val="-19"/>
          <w:w w:val="105"/>
        </w:rPr>
        <w:t xml:space="preserve"> </w:t>
      </w:r>
      <w:r w:rsidRPr="00283950">
        <w:rPr>
          <w:w w:val="105"/>
        </w:rPr>
        <w:t>and</w:t>
      </w:r>
      <w:r w:rsidRPr="00283950">
        <w:rPr>
          <w:spacing w:val="-19"/>
          <w:w w:val="105"/>
        </w:rPr>
        <w:t xml:space="preserve"> </w:t>
      </w:r>
      <w:r w:rsidRPr="00283950">
        <w:rPr>
          <w:w w:val="105"/>
        </w:rPr>
        <w:t>thrombocytopaenia</w:t>
      </w:r>
      <w:r w:rsidRPr="00283950">
        <w:rPr>
          <w:spacing w:val="-19"/>
          <w:w w:val="105"/>
        </w:rPr>
        <w:t xml:space="preserve"> </w:t>
      </w:r>
      <w:r w:rsidRPr="00283950">
        <w:rPr>
          <w:w w:val="105"/>
        </w:rPr>
        <w:t>in</w:t>
      </w:r>
      <w:r w:rsidRPr="00283950">
        <w:rPr>
          <w:spacing w:val="-19"/>
          <w:w w:val="105"/>
        </w:rPr>
        <w:t xml:space="preserve"> </w:t>
      </w:r>
      <w:r w:rsidRPr="00283950">
        <w:rPr>
          <w:w w:val="105"/>
        </w:rPr>
        <w:t>paediatric</w:t>
      </w:r>
      <w:r w:rsidRPr="00283950">
        <w:rPr>
          <w:spacing w:val="-20"/>
          <w:w w:val="105"/>
        </w:rPr>
        <w:t xml:space="preserve"> </w:t>
      </w:r>
      <w:r w:rsidRPr="00283950">
        <w:rPr>
          <w:w w:val="105"/>
        </w:rPr>
        <w:t>patients</w:t>
      </w:r>
      <w:r w:rsidRPr="00283950">
        <w:rPr>
          <w:w w:val="103"/>
        </w:rPr>
        <w:t xml:space="preserve"> </w:t>
      </w:r>
      <w:r w:rsidRPr="00283950">
        <w:rPr>
          <w:w w:val="105"/>
        </w:rPr>
        <w:t>with Ph+</w:t>
      </w:r>
      <w:r w:rsidRPr="00283950">
        <w:rPr>
          <w:spacing w:val="-31"/>
          <w:w w:val="105"/>
        </w:rPr>
        <w:t xml:space="preserve"> </w:t>
      </w:r>
      <w:r w:rsidRPr="00283950">
        <w:rPr>
          <w:w w:val="105"/>
        </w:rPr>
        <w:t>CML-CP</w:t>
      </w:r>
    </w:p>
    <w:tbl>
      <w:tblPr>
        <w:tblStyle w:val="TableNormal1"/>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3"/>
        <w:gridCol w:w="1080"/>
        <w:gridCol w:w="1493"/>
        <w:gridCol w:w="1658"/>
        <w:gridCol w:w="1788"/>
      </w:tblGrid>
      <w:tr w:rsidR="00C152FD" w:rsidRPr="00F430C7" w:rsidTr="00C152FD">
        <w:trPr>
          <w:trHeight w:val="220"/>
        </w:trPr>
        <w:tc>
          <w:tcPr>
            <w:tcW w:w="2593" w:type="dxa"/>
            <w:vMerge w:val="restart"/>
            <w:tcBorders>
              <w:top w:val="single" w:sz="4" w:space="0" w:color="000000"/>
              <w:left w:val="single" w:sz="4" w:space="0" w:color="000000"/>
              <w:bottom w:val="single" w:sz="4" w:space="0" w:color="000000"/>
              <w:right w:val="single" w:sz="4" w:space="0" w:color="000000"/>
            </w:tcBorders>
          </w:tcPr>
          <w:p w:rsidR="00C152FD" w:rsidRPr="00283950" w:rsidRDefault="00C152FD" w:rsidP="00C152FD">
            <w:pPr>
              <w:pStyle w:val="TableParagraph"/>
              <w:numPr>
                <w:ilvl w:val="0"/>
                <w:numId w:val="12"/>
              </w:numPr>
              <w:tabs>
                <w:tab w:val="left" w:pos="304"/>
              </w:tabs>
              <w:spacing w:line="244" w:lineRule="auto"/>
              <w:ind w:right="162" w:firstLine="0"/>
              <w:rPr>
                <w:rFonts w:ascii="Times New Roman" w:hAnsi="Times New Roman" w:cs="Times New Roman"/>
                <w:sz w:val="20"/>
              </w:rPr>
            </w:pPr>
            <w:r w:rsidRPr="00283950">
              <w:rPr>
                <w:rFonts w:ascii="Times New Roman" w:hAnsi="Times New Roman" w:cs="Times New Roman"/>
                <w:w w:val="105"/>
                <w:sz w:val="20"/>
              </w:rPr>
              <w:t>If cytopaenia persists for more</w:t>
            </w:r>
            <w:r w:rsidRPr="00283950">
              <w:rPr>
                <w:rFonts w:ascii="Times New Roman" w:hAnsi="Times New Roman" w:cs="Times New Roman"/>
                <w:spacing w:val="-9"/>
                <w:w w:val="105"/>
                <w:sz w:val="20"/>
              </w:rPr>
              <w:t xml:space="preserve"> </w:t>
            </w:r>
            <w:r w:rsidRPr="00283950">
              <w:rPr>
                <w:rFonts w:ascii="Times New Roman" w:hAnsi="Times New Roman" w:cs="Times New Roman"/>
                <w:w w:val="105"/>
                <w:sz w:val="20"/>
              </w:rPr>
              <w:t>than</w:t>
            </w:r>
            <w:r w:rsidRPr="00283950">
              <w:rPr>
                <w:rFonts w:ascii="Times New Roman" w:hAnsi="Times New Roman" w:cs="Times New Roman"/>
                <w:spacing w:val="-10"/>
                <w:w w:val="105"/>
                <w:sz w:val="20"/>
              </w:rPr>
              <w:t xml:space="preserve"> </w:t>
            </w:r>
            <w:r w:rsidRPr="00283950">
              <w:rPr>
                <w:rFonts w:ascii="Times New Roman" w:hAnsi="Times New Roman" w:cs="Times New Roman"/>
                <w:w w:val="105"/>
                <w:sz w:val="20"/>
              </w:rPr>
              <w:t>3</w:t>
            </w:r>
            <w:r w:rsidRPr="00283950">
              <w:rPr>
                <w:rFonts w:ascii="Times New Roman" w:hAnsi="Times New Roman" w:cs="Times New Roman"/>
                <w:spacing w:val="-10"/>
                <w:w w:val="105"/>
                <w:sz w:val="20"/>
              </w:rPr>
              <w:t xml:space="preserve"> </w:t>
            </w:r>
            <w:r w:rsidRPr="00283950">
              <w:rPr>
                <w:rFonts w:ascii="Times New Roman" w:hAnsi="Times New Roman" w:cs="Times New Roman"/>
                <w:w w:val="105"/>
                <w:sz w:val="20"/>
              </w:rPr>
              <w:t>weeks,</w:t>
            </w:r>
            <w:r w:rsidRPr="00283950">
              <w:rPr>
                <w:rFonts w:ascii="Times New Roman" w:hAnsi="Times New Roman" w:cs="Times New Roman"/>
                <w:spacing w:val="-9"/>
                <w:w w:val="105"/>
                <w:sz w:val="20"/>
              </w:rPr>
              <w:t xml:space="preserve"> </w:t>
            </w:r>
            <w:r w:rsidRPr="00283950">
              <w:rPr>
                <w:rFonts w:ascii="Times New Roman" w:hAnsi="Times New Roman" w:cs="Times New Roman"/>
                <w:w w:val="105"/>
                <w:sz w:val="20"/>
              </w:rPr>
              <w:t>check</w:t>
            </w:r>
            <w:r w:rsidRPr="00283950">
              <w:rPr>
                <w:rFonts w:ascii="Times New Roman" w:hAnsi="Times New Roman" w:cs="Times New Roman"/>
                <w:spacing w:val="-9"/>
                <w:w w:val="105"/>
                <w:sz w:val="20"/>
              </w:rPr>
              <w:t xml:space="preserve"> </w:t>
            </w:r>
            <w:r w:rsidRPr="00283950">
              <w:rPr>
                <w:rFonts w:ascii="Times New Roman" w:hAnsi="Times New Roman" w:cs="Times New Roman"/>
                <w:w w:val="105"/>
                <w:sz w:val="20"/>
              </w:rPr>
              <w:t>if cytopaenia is related to leukaemia (marrow</w:t>
            </w:r>
            <w:r w:rsidRPr="00283950">
              <w:rPr>
                <w:rFonts w:ascii="Times New Roman" w:hAnsi="Times New Roman" w:cs="Times New Roman"/>
                <w:spacing w:val="-39"/>
                <w:w w:val="105"/>
                <w:sz w:val="20"/>
              </w:rPr>
              <w:t xml:space="preserve"> </w:t>
            </w:r>
            <w:r w:rsidRPr="00283950">
              <w:rPr>
                <w:rFonts w:ascii="Times New Roman" w:hAnsi="Times New Roman" w:cs="Times New Roman"/>
                <w:w w:val="105"/>
                <w:sz w:val="20"/>
              </w:rPr>
              <w:t>aspirate or</w:t>
            </w:r>
            <w:r w:rsidRPr="00283950">
              <w:rPr>
                <w:rFonts w:ascii="Times New Roman" w:hAnsi="Times New Roman" w:cs="Times New Roman"/>
                <w:spacing w:val="-19"/>
                <w:w w:val="105"/>
                <w:sz w:val="20"/>
              </w:rPr>
              <w:t xml:space="preserve"> </w:t>
            </w:r>
            <w:r w:rsidRPr="00283950">
              <w:rPr>
                <w:rFonts w:ascii="Times New Roman" w:hAnsi="Times New Roman" w:cs="Times New Roman"/>
                <w:w w:val="105"/>
                <w:sz w:val="20"/>
              </w:rPr>
              <w:t>biopsy).</w:t>
            </w:r>
          </w:p>
          <w:p w:rsidR="00C152FD" w:rsidRPr="00283950" w:rsidRDefault="00C152FD">
            <w:pPr>
              <w:pStyle w:val="TableParagraph"/>
              <w:spacing w:before="9"/>
              <w:rPr>
                <w:rFonts w:ascii="Times New Roman" w:hAnsi="Times New Roman" w:cs="Times New Roman"/>
                <w:b/>
                <w:sz w:val="20"/>
              </w:rPr>
            </w:pPr>
          </w:p>
          <w:p w:rsidR="00C152FD" w:rsidRPr="00283950" w:rsidRDefault="00C152FD" w:rsidP="00C152FD">
            <w:pPr>
              <w:pStyle w:val="TableParagraph"/>
              <w:numPr>
                <w:ilvl w:val="0"/>
                <w:numId w:val="12"/>
              </w:numPr>
              <w:tabs>
                <w:tab w:val="left" w:pos="304"/>
              </w:tabs>
              <w:ind w:right="137" w:firstLine="0"/>
              <w:rPr>
                <w:rFonts w:ascii="Times New Roman" w:hAnsi="Times New Roman" w:cs="Times New Roman"/>
                <w:sz w:val="20"/>
              </w:rPr>
            </w:pPr>
            <w:r w:rsidRPr="00283950">
              <w:rPr>
                <w:rFonts w:ascii="Times New Roman" w:hAnsi="Times New Roman" w:cs="Times New Roman"/>
                <w:w w:val="105"/>
                <w:sz w:val="20"/>
              </w:rPr>
              <w:t>If cytopaenia is unrelated to</w:t>
            </w:r>
            <w:r w:rsidRPr="00283950">
              <w:rPr>
                <w:rFonts w:ascii="Times New Roman" w:hAnsi="Times New Roman" w:cs="Times New Roman"/>
                <w:spacing w:val="-41"/>
                <w:w w:val="105"/>
                <w:sz w:val="20"/>
              </w:rPr>
              <w:t xml:space="preserve"> </w:t>
            </w:r>
            <w:r w:rsidRPr="00283950">
              <w:rPr>
                <w:rFonts w:ascii="Times New Roman" w:hAnsi="Times New Roman" w:cs="Times New Roman"/>
                <w:w w:val="105"/>
                <w:sz w:val="20"/>
              </w:rPr>
              <w:t>leukaemia, stop treatment until ANC ≥1.0 × 10</w:t>
            </w:r>
            <w:r w:rsidRPr="00283950">
              <w:rPr>
                <w:rFonts w:ascii="Times New Roman" w:hAnsi="Times New Roman" w:cs="Times New Roman"/>
                <w:w w:val="105"/>
                <w:position w:val="9"/>
                <w:sz w:val="13"/>
              </w:rPr>
              <w:t>9</w:t>
            </w:r>
            <w:r w:rsidRPr="00283950">
              <w:rPr>
                <w:rFonts w:ascii="Times New Roman" w:hAnsi="Times New Roman" w:cs="Times New Roman"/>
                <w:w w:val="105"/>
                <w:sz w:val="20"/>
              </w:rPr>
              <w:t>/L</w:t>
            </w:r>
            <w:r w:rsidRPr="00283950">
              <w:rPr>
                <w:rFonts w:ascii="Times New Roman" w:hAnsi="Times New Roman" w:cs="Times New Roman"/>
                <w:spacing w:val="-39"/>
                <w:w w:val="105"/>
                <w:sz w:val="20"/>
              </w:rPr>
              <w:t xml:space="preserve"> </w:t>
            </w:r>
            <w:r w:rsidRPr="00283950">
              <w:rPr>
                <w:rFonts w:ascii="Times New Roman" w:hAnsi="Times New Roman" w:cs="Times New Roman"/>
                <w:w w:val="105"/>
                <w:sz w:val="20"/>
              </w:rPr>
              <w:t>and platelets ≥75 × 10</w:t>
            </w:r>
            <w:r w:rsidRPr="00283950">
              <w:rPr>
                <w:rFonts w:ascii="Times New Roman" w:hAnsi="Times New Roman" w:cs="Times New Roman"/>
                <w:w w:val="105"/>
                <w:position w:val="8"/>
                <w:sz w:val="13"/>
              </w:rPr>
              <w:t>9</w:t>
            </w:r>
            <w:r w:rsidRPr="00283950">
              <w:rPr>
                <w:rFonts w:ascii="Times New Roman" w:hAnsi="Times New Roman" w:cs="Times New Roman"/>
                <w:w w:val="105"/>
                <w:sz w:val="20"/>
              </w:rPr>
              <w:t>/L and resume at the original starting dose or at a</w:t>
            </w:r>
            <w:r w:rsidRPr="00283950">
              <w:rPr>
                <w:rFonts w:ascii="Times New Roman" w:hAnsi="Times New Roman" w:cs="Times New Roman"/>
                <w:spacing w:val="-36"/>
                <w:w w:val="105"/>
                <w:sz w:val="20"/>
              </w:rPr>
              <w:t xml:space="preserve"> </w:t>
            </w:r>
            <w:r w:rsidRPr="00283950">
              <w:rPr>
                <w:rFonts w:ascii="Times New Roman" w:hAnsi="Times New Roman" w:cs="Times New Roman"/>
                <w:w w:val="105"/>
                <w:sz w:val="20"/>
              </w:rPr>
              <w:t>reduced dose.</w:t>
            </w:r>
          </w:p>
          <w:p w:rsidR="00C152FD" w:rsidRPr="00283950" w:rsidRDefault="00C152FD">
            <w:pPr>
              <w:pStyle w:val="TableParagraph"/>
              <w:spacing w:before="1"/>
              <w:rPr>
                <w:rFonts w:ascii="Times New Roman" w:hAnsi="Times New Roman" w:cs="Times New Roman"/>
                <w:b/>
                <w:sz w:val="21"/>
              </w:rPr>
            </w:pPr>
          </w:p>
          <w:p w:rsidR="00C152FD" w:rsidRPr="00283950" w:rsidRDefault="00C152FD" w:rsidP="00C152FD">
            <w:pPr>
              <w:pStyle w:val="TableParagraph"/>
              <w:numPr>
                <w:ilvl w:val="0"/>
                <w:numId w:val="12"/>
              </w:numPr>
              <w:tabs>
                <w:tab w:val="left" w:pos="304"/>
              </w:tabs>
              <w:spacing w:line="247" w:lineRule="auto"/>
              <w:ind w:left="128" w:right="134" w:hanging="31"/>
              <w:rPr>
                <w:rFonts w:ascii="Times New Roman" w:hAnsi="Times New Roman" w:cs="Times New Roman"/>
                <w:sz w:val="20"/>
              </w:rPr>
            </w:pPr>
            <w:r w:rsidRPr="00283950">
              <w:rPr>
                <w:rFonts w:ascii="Times New Roman" w:hAnsi="Times New Roman" w:cs="Times New Roman"/>
                <w:w w:val="105"/>
                <w:sz w:val="20"/>
              </w:rPr>
              <w:t>If cytopaenia recurs, repeat marrow aspirate/biopsy</w:t>
            </w:r>
            <w:r w:rsidRPr="00283950">
              <w:rPr>
                <w:rFonts w:ascii="Times New Roman" w:hAnsi="Times New Roman" w:cs="Times New Roman"/>
                <w:spacing w:val="-22"/>
                <w:w w:val="105"/>
                <w:sz w:val="20"/>
              </w:rPr>
              <w:t xml:space="preserve"> </w:t>
            </w:r>
            <w:r w:rsidRPr="00283950">
              <w:rPr>
                <w:rFonts w:ascii="Times New Roman" w:hAnsi="Times New Roman" w:cs="Times New Roman"/>
                <w:w w:val="105"/>
                <w:sz w:val="20"/>
              </w:rPr>
              <w:t>and</w:t>
            </w:r>
            <w:r w:rsidRPr="00283950">
              <w:rPr>
                <w:rFonts w:ascii="Times New Roman" w:hAnsi="Times New Roman" w:cs="Times New Roman"/>
                <w:spacing w:val="-22"/>
                <w:w w:val="105"/>
                <w:sz w:val="20"/>
              </w:rPr>
              <w:t xml:space="preserve"> </w:t>
            </w:r>
            <w:r w:rsidRPr="00283950">
              <w:rPr>
                <w:rFonts w:ascii="Times New Roman" w:hAnsi="Times New Roman" w:cs="Times New Roman"/>
                <w:w w:val="105"/>
                <w:sz w:val="20"/>
              </w:rPr>
              <w:t>resume</w:t>
            </w:r>
          </w:p>
          <w:p w:rsidR="00C152FD" w:rsidRPr="00283950" w:rsidRDefault="00C152FD">
            <w:pPr>
              <w:pStyle w:val="TableParagraph"/>
              <w:spacing w:line="217" w:lineRule="exact"/>
              <w:ind w:left="128"/>
              <w:rPr>
                <w:rFonts w:ascii="Times New Roman" w:hAnsi="Times New Roman" w:cs="Times New Roman"/>
                <w:sz w:val="20"/>
              </w:rPr>
            </w:pPr>
            <w:r w:rsidRPr="00283950">
              <w:rPr>
                <w:rFonts w:ascii="Times New Roman" w:hAnsi="Times New Roman" w:cs="Times New Roman"/>
                <w:w w:val="105"/>
                <w:sz w:val="20"/>
              </w:rPr>
              <w:t>treatment at a reduced dose.</w:t>
            </w:r>
          </w:p>
        </w:tc>
        <w:tc>
          <w:tcPr>
            <w:tcW w:w="6018" w:type="dxa"/>
            <w:gridSpan w:val="4"/>
            <w:tcBorders>
              <w:top w:val="single" w:sz="4" w:space="0" w:color="000000"/>
              <w:left w:val="single" w:sz="4" w:space="0" w:color="000000"/>
              <w:bottom w:val="single" w:sz="4" w:space="0" w:color="000000"/>
              <w:right w:val="single" w:sz="4" w:space="0" w:color="000000"/>
            </w:tcBorders>
            <w:hideMark/>
          </w:tcPr>
          <w:p w:rsidR="00C152FD" w:rsidRPr="00283950" w:rsidRDefault="00C152FD">
            <w:pPr>
              <w:pStyle w:val="TableParagraph"/>
              <w:spacing w:before="1" w:line="216" w:lineRule="exact"/>
              <w:ind w:left="2219"/>
              <w:rPr>
                <w:rFonts w:ascii="Times New Roman" w:hAnsi="Times New Roman" w:cs="Times New Roman"/>
                <w:b/>
                <w:sz w:val="20"/>
              </w:rPr>
            </w:pPr>
            <w:r w:rsidRPr="00283950">
              <w:rPr>
                <w:rFonts w:ascii="Times New Roman" w:hAnsi="Times New Roman" w:cs="Times New Roman"/>
                <w:b/>
                <w:w w:val="105"/>
                <w:sz w:val="20"/>
              </w:rPr>
              <w:t>Dose (maximum dose per day)</w:t>
            </w:r>
          </w:p>
        </w:tc>
      </w:tr>
      <w:tr w:rsidR="00C152FD" w:rsidRPr="00283950" w:rsidTr="00C152FD">
        <w:trPr>
          <w:trHeight w:val="460"/>
        </w:trPr>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C152FD" w:rsidRPr="00283950" w:rsidRDefault="00C152FD">
            <w:pPr>
              <w:rPr>
                <w:rFonts w:ascii="Times New Roman" w:eastAsia="Times New Roman" w:hAnsi="Times New Roman" w:cs="Times New Roman"/>
                <w:sz w:val="20"/>
              </w:rPr>
            </w:pPr>
          </w:p>
        </w:tc>
        <w:tc>
          <w:tcPr>
            <w:tcW w:w="1080" w:type="dxa"/>
            <w:tcBorders>
              <w:top w:val="single" w:sz="4" w:space="0" w:color="000000"/>
              <w:left w:val="single" w:sz="4" w:space="0" w:color="000000"/>
              <w:bottom w:val="single" w:sz="4" w:space="0" w:color="000000"/>
              <w:right w:val="nil"/>
            </w:tcBorders>
          </w:tcPr>
          <w:p w:rsidR="00C152FD" w:rsidRPr="00283950" w:rsidRDefault="00C152FD">
            <w:pPr>
              <w:pStyle w:val="TableParagraph"/>
              <w:rPr>
                <w:rFonts w:ascii="Times New Roman" w:hAnsi="Times New Roman" w:cs="Times New Roman"/>
                <w:sz w:val="20"/>
              </w:rPr>
            </w:pPr>
          </w:p>
        </w:tc>
        <w:tc>
          <w:tcPr>
            <w:tcW w:w="1493" w:type="dxa"/>
            <w:tcBorders>
              <w:top w:val="single" w:sz="4" w:space="0" w:color="000000"/>
              <w:left w:val="nil"/>
              <w:bottom w:val="single" w:sz="4" w:space="0" w:color="000000"/>
              <w:right w:val="nil"/>
            </w:tcBorders>
            <w:hideMark/>
          </w:tcPr>
          <w:p w:rsidR="00C152FD" w:rsidRPr="00283950" w:rsidRDefault="00C152FD">
            <w:pPr>
              <w:pStyle w:val="TableParagraph"/>
              <w:spacing w:before="1"/>
              <w:ind w:left="168" w:right="135"/>
              <w:jc w:val="center"/>
              <w:rPr>
                <w:rFonts w:ascii="Times New Roman" w:hAnsi="Times New Roman" w:cs="Times New Roman"/>
                <w:b/>
                <w:sz w:val="20"/>
              </w:rPr>
            </w:pPr>
            <w:r w:rsidRPr="00283950">
              <w:rPr>
                <w:rFonts w:ascii="Times New Roman" w:hAnsi="Times New Roman" w:cs="Times New Roman"/>
                <w:b/>
                <w:w w:val="105"/>
                <w:sz w:val="20"/>
              </w:rPr>
              <w:t>Original</w:t>
            </w:r>
          </w:p>
          <w:p w:rsidR="00C152FD" w:rsidRPr="00283950" w:rsidRDefault="00C152FD">
            <w:pPr>
              <w:pStyle w:val="TableParagraph"/>
              <w:spacing w:before="7" w:line="216" w:lineRule="exact"/>
              <w:ind w:left="169" w:right="135"/>
              <w:jc w:val="center"/>
              <w:rPr>
                <w:rFonts w:ascii="Times New Roman" w:hAnsi="Times New Roman" w:cs="Times New Roman"/>
                <w:b/>
                <w:sz w:val="20"/>
              </w:rPr>
            </w:pPr>
            <w:r w:rsidRPr="00283950">
              <w:rPr>
                <w:rFonts w:ascii="Times New Roman" w:hAnsi="Times New Roman" w:cs="Times New Roman"/>
                <w:b/>
                <w:w w:val="105"/>
                <w:sz w:val="20"/>
              </w:rPr>
              <w:t>starting dose</w:t>
            </w:r>
          </w:p>
        </w:tc>
        <w:tc>
          <w:tcPr>
            <w:tcW w:w="1658" w:type="dxa"/>
            <w:tcBorders>
              <w:top w:val="single" w:sz="4" w:space="0" w:color="000000"/>
              <w:left w:val="nil"/>
              <w:bottom w:val="single" w:sz="4" w:space="0" w:color="000000"/>
              <w:right w:val="nil"/>
            </w:tcBorders>
            <w:hideMark/>
          </w:tcPr>
          <w:p w:rsidR="00C152FD" w:rsidRPr="00283950" w:rsidRDefault="00C152FD">
            <w:pPr>
              <w:pStyle w:val="TableParagraph"/>
              <w:spacing w:before="1"/>
              <w:ind w:left="135" w:right="182"/>
              <w:jc w:val="center"/>
              <w:rPr>
                <w:rFonts w:ascii="Times New Roman" w:hAnsi="Times New Roman" w:cs="Times New Roman"/>
                <w:b/>
                <w:sz w:val="20"/>
              </w:rPr>
            </w:pPr>
            <w:r w:rsidRPr="00283950">
              <w:rPr>
                <w:rFonts w:ascii="Times New Roman" w:hAnsi="Times New Roman" w:cs="Times New Roman"/>
                <w:b/>
                <w:w w:val="105"/>
                <w:sz w:val="20"/>
              </w:rPr>
              <w:t>One-level dose</w:t>
            </w:r>
          </w:p>
          <w:p w:rsidR="00C152FD" w:rsidRPr="00283950" w:rsidRDefault="00C152FD">
            <w:pPr>
              <w:pStyle w:val="TableParagraph"/>
              <w:spacing w:before="7" w:line="216" w:lineRule="exact"/>
              <w:ind w:left="134" w:right="182"/>
              <w:jc w:val="center"/>
              <w:rPr>
                <w:rFonts w:ascii="Times New Roman" w:hAnsi="Times New Roman" w:cs="Times New Roman"/>
                <w:b/>
                <w:sz w:val="20"/>
              </w:rPr>
            </w:pPr>
            <w:r w:rsidRPr="00283950">
              <w:rPr>
                <w:rFonts w:ascii="Times New Roman" w:hAnsi="Times New Roman" w:cs="Times New Roman"/>
                <w:b/>
                <w:w w:val="105"/>
                <w:sz w:val="20"/>
              </w:rPr>
              <w:t>reduction</w:t>
            </w:r>
          </w:p>
        </w:tc>
        <w:tc>
          <w:tcPr>
            <w:tcW w:w="1788" w:type="dxa"/>
            <w:tcBorders>
              <w:top w:val="single" w:sz="4" w:space="0" w:color="000000"/>
              <w:left w:val="nil"/>
              <w:bottom w:val="single" w:sz="4" w:space="0" w:color="000000"/>
              <w:right w:val="single" w:sz="4" w:space="0" w:color="000000"/>
            </w:tcBorders>
            <w:hideMark/>
          </w:tcPr>
          <w:p w:rsidR="00C152FD" w:rsidRPr="00283950" w:rsidRDefault="00C152FD">
            <w:pPr>
              <w:pStyle w:val="TableParagraph"/>
              <w:spacing w:before="1"/>
              <w:ind w:left="184" w:right="233"/>
              <w:jc w:val="center"/>
              <w:rPr>
                <w:rFonts w:ascii="Times New Roman" w:hAnsi="Times New Roman" w:cs="Times New Roman"/>
                <w:b/>
                <w:sz w:val="20"/>
              </w:rPr>
            </w:pPr>
            <w:r w:rsidRPr="00283950">
              <w:rPr>
                <w:rFonts w:ascii="Times New Roman" w:hAnsi="Times New Roman" w:cs="Times New Roman"/>
                <w:b/>
                <w:w w:val="105"/>
                <w:sz w:val="20"/>
              </w:rPr>
              <w:t>Two-level dose</w:t>
            </w:r>
          </w:p>
          <w:p w:rsidR="00C152FD" w:rsidRPr="00283950" w:rsidRDefault="00C152FD">
            <w:pPr>
              <w:pStyle w:val="TableParagraph"/>
              <w:spacing w:before="7" w:line="216" w:lineRule="exact"/>
              <w:ind w:left="183" w:right="233"/>
              <w:jc w:val="center"/>
              <w:rPr>
                <w:rFonts w:ascii="Times New Roman" w:hAnsi="Times New Roman" w:cs="Times New Roman"/>
                <w:b/>
                <w:sz w:val="20"/>
              </w:rPr>
            </w:pPr>
            <w:r w:rsidRPr="00283950">
              <w:rPr>
                <w:rFonts w:ascii="Times New Roman" w:hAnsi="Times New Roman" w:cs="Times New Roman"/>
                <w:b/>
                <w:w w:val="105"/>
                <w:sz w:val="20"/>
              </w:rPr>
              <w:t>reduction</w:t>
            </w:r>
          </w:p>
        </w:tc>
      </w:tr>
      <w:tr w:rsidR="00C152FD" w:rsidRPr="00283950" w:rsidTr="00C152FD">
        <w:trPr>
          <w:trHeight w:val="3540"/>
        </w:trPr>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C152FD" w:rsidRPr="00283950" w:rsidRDefault="00C152FD">
            <w:pPr>
              <w:rPr>
                <w:rFonts w:ascii="Times New Roman" w:eastAsia="Times New Roman" w:hAnsi="Times New Roman" w:cs="Times New Roman"/>
                <w:sz w:val="20"/>
              </w:rPr>
            </w:pPr>
          </w:p>
        </w:tc>
        <w:tc>
          <w:tcPr>
            <w:tcW w:w="1080" w:type="dxa"/>
            <w:tcBorders>
              <w:top w:val="single" w:sz="4" w:space="0" w:color="000000"/>
              <w:left w:val="single" w:sz="4" w:space="0" w:color="000000"/>
              <w:bottom w:val="single" w:sz="4" w:space="0" w:color="000000"/>
              <w:right w:val="nil"/>
            </w:tcBorders>
            <w:hideMark/>
          </w:tcPr>
          <w:p w:rsidR="00C152FD" w:rsidRPr="00283950" w:rsidRDefault="00C152FD">
            <w:pPr>
              <w:pStyle w:val="TableParagraph"/>
              <w:spacing w:before="1"/>
              <w:ind w:left="220"/>
              <w:rPr>
                <w:rFonts w:ascii="Times New Roman" w:hAnsi="Times New Roman" w:cs="Times New Roman"/>
                <w:b/>
                <w:sz w:val="20"/>
              </w:rPr>
            </w:pPr>
            <w:r w:rsidRPr="00283950">
              <w:rPr>
                <w:rFonts w:ascii="Times New Roman" w:hAnsi="Times New Roman" w:cs="Times New Roman"/>
                <w:b/>
                <w:w w:val="105"/>
                <w:sz w:val="20"/>
              </w:rPr>
              <w:t>Tablets</w:t>
            </w:r>
          </w:p>
        </w:tc>
        <w:tc>
          <w:tcPr>
            <w:tcW w:w="1493" w:type="dxa"/>
            <w:tcBorders>
              <w:top w:val="single" w:sz="4" w:space="0" w:color="000000"/>
              <w:left w:val="nil"/>
              <w:bottom w:val="single" w:sz="4" w:space="0" w:color="000000"/>
              <w:right w:val="nil"/>
            </w:tcBorders>
            <w:hideMark/>
          </w:tcPr>
          <w:p w:rsidR="00C152FD" w:rsidRPr="00283950" w:rsidRDefault="00C152FD">
            <w:pPr>
              <w:pStyle w:val="TableParagraph"/>
              <w:spacing w:line="230" w:lineRule="exact"/>
              <w:ind w:left="501"/>
              <w:rPr>
                <w:rFonts w:ascii="Times New Roman" w:hAnsi="Times New Roman" w:cs="Times New Roman"/>
                <w:sz w:val="20"/>
              </w:rPr>
            </w:pPr>
            <w:r w:rsidRPr="00283950">
              <w:rPr>
                <w:rFonts w:ascii="Times New Roman" w:hAnsi="Times New Roman" w:cs="Times New Roman"/>
                <w:w w:val="105"/>
                <w:sz w:val="20"/>
              </w:rPr>
              <w:t>40 mg</w:t>
            </w:r>
          </w:p>
          <w:p w:rsidR="00C152FD" w:rsidRPr="00283950" w:rsidRDefault="00C152FD">
            <w:pPr>
              <w:pStyle w:val="TableParagraph"/>
              <w:spacing w:before="17"/>
              <w:ind w:left="501"/>
              <w:rPr>
                <w:rFonts w:ascii="Times New Roman" w:hAnsi="Times New Roman" w:cs="Times New Roman"/>
                <w:sz w:val="20"/>
              </w:rPr>
            </w:pPr>
            <w:r w:rsidRPr="00283950">
              <w:rPr>
                <w:rFonts w:ascii="Times New Roman" w:hAnsi="Times New Roman" w:cs="Times New Roman"/>
                <w:w w:val="105"/>
                <w:sz w:val="20"/>
              </w:rPr>
              <w:t>60 mg</w:t>
            </w:r>
          </w:p>
          <w:p w:rsidR="00C152FD" w:rsidRPr="00283950" w:rsidRDefault="00C152FD">
            <w:pPr>
              <w:pStyle w:val="TableParagraph"/>
              <w:spacing w:before="17"/>
              <w:ind w:left="501"/>
              <w:rPr>
                <w:rFonts w:ascii="Times New Roman" w:hAnsi="Times New Roman" w:cs="Times New Roman"/>
                <w:sz w:val="20"/>
              </w:rPr>
            </w:pPr>
            <w:r w:rsidRPr="00283950">
              <w:rPr>
                <w:rFonts w:ascii="Times New Roman" w:hAnsi="Times New Roman" w:cs="Times New Roman"/>
                <w:w w:val="105"/>
                <w:sz w:val="20"/>
              </w:rPr>
              <w:t>70 mg</w:t>
            </w:r>
          </w:p>
          <w:p w:rsidR="00C152FD" w:rsidRPr="00283950" w:rsidRDefault="00C152FD">
            <w:pPr>
              <w:pStyle w:val="TableParagraph"/>
              <w:spacing w:before="17"/>
              <w:ind w:left="450"/>
              <w:rPr>
                <w:rFonts w:ascii="Times New Roman" w:hAnsi="Times New Roman" w:cs="Times New Roman"/>
                <w:sz w:val="20"/>
              </w:rPr>
            </w:pPr>
            <w:r w:rsidRPr="00283950">
              <w:rPr>
                <w:rFonts w:ascii="Times New Roman" w:hAnsi="Times New Roman" w:cs="Times New Roman"/>
                <w:w w:val="105"/>
                <w:sz w:val="20"/>
              </w:rPr>
              <w:t>100 mg</w:t>
            </w:r>
          </w:p>
        </w:tc>
        <w:tc>
          <w:tcPr>
            <w:tcW w:w="1658" w:type="dxa"/>
            <w:tcBorders>
              <w:top w:val="single" w:sz="4" w:space="0" w:color="000000"/>
              <w:left w:val="nil"/>
              <w:bottom w:val="single" w:sz="4" w:space="0" w:color="000000"/>
              <w:right w:val="nil"/>
            </w:tcBorders>
            <w:hideMark/>
          </w:tcPr>
          <w:p w:rsidR="00C152FD" w:rsidRPr="00283950" w:rsidRDefault="00C152FD">
            <w:pPr>
              <w:pStyle w:val="TableParagraph"/>
              <w:spacing w:line="230" w:lineRule="exact"/>
              <w:ind w:left="541"/>
              <w:rPr>
                <w:rFonts w:ascii="Times New Roman" w:hAnsi="Times New Roman" w:cs="Times New Roman"/>
                <w:sz w:val="20"/>
              </w:rPr>
            </w:pPr>
            <w:r w:rsidRPr="00283950">
              <w:rPr>
                <w:rFonts w:ascii="Times New Roman" w:hAnsi="Times New Roman" w:cs="Times New Roman"/>
                <w:w w:val="105"/>
                <w:sz w:val="20"/>
              </w:rPr>
              <w:t>20 mg</w:t>
            </w:r>
          </w:p>
          <w:p w:rsidR="00C152FD" w:rsidRPr="00283950" w:rsidRDefault="00C152FD">
            <w:pPr>
              <w:pStyle w:val="TableParagraph"/>
              <w:spacing w:before="17"/>
              <w:ind w:left="541"/>
              <w:rPr>
                <w:rFonts w:ascii="Times New Roman" w:hAnsi="Times New Roman" w:cs="Times New Roman"/>
                <w:sz w:val="20"/>
              </w:rPr>
            </w:pPr>
            <w:r w:rsidRPr="00283950">
              <w:rPr>
                <w:rFonts w:ascii="Times New Roman" w:hAnsi="Times New Roman" w:cs="Times New Roman"/>
                <w:w w:val="105"/>
                <w:sz w:val="20"/>
              </w:rPr>
              <w:t>40 mg</w:t>
            </w:r>
          </w:p>
          <w:p w:rsidR="00C152FD" w:rsidRPr="00283950" w:rsidRDefault="00C152FD">
            <w:pPr>
              <w:pStyle w:val="TableParagraph"/>
              <w:spacing w:before="17"/>
              <w:ind w:left="541"/>
              <w:rPr>
                <w:rFonts w:ascii="Times New Roman" w:hAnsi="Times New Roman" w:cs="Times New Roman"/>
                <w:sz w:val="20"/>
              </w:rPr>
            </w:pPr>
            <w:r w:rsidRPr="00283950">
              <w:rPr>
                <w:rFonts w:ascii="Times New Roman" w:hAnsi="Times New Roman" w:cs="Times New Roman"/>
                <w:w w:val="105"/>
                <w:sz w:val="20"/>
              </w:rPr>
              <w:t>60 mg</w:t>
            </w:r>
          </w:p>
          <w:p w:rsidR="00C152FD" w:rsidRPr="00283950" w:rsidRDefault="00C152FD">
            <w:pPr>
              <w:pStyle w:val="TableParagraph"/>
              <w:spacing w:before="17"/>
              <w:ind w:left="541"/>
              <w:rPr>
                <w:rFonts w:ascii="Times New Roman" w:hAnsi="Times New Roman" w:cs="Times New Roman"/>
                <w:sz w:val="20"/>
              </w:rPr>
            </w:pPr>
            <w:r w:rsidRPr="00283950">
              <w:rPr>
                <w:rFonts w:ascii="Times New Roman" w:hAnsi="Times New Roman" w:cs="Times New Roman"/>
                <w:w w:val="105"/>
                <w:sz w:val="20"/>
              </w:rPr>
              <w:t>80 mg</w:t>
            </w:r>
          </w:p>
        </w:tc>
        <w:tc>
          <w:tcPr>
            <w:tcW w:w="1788" w:type="dxa"/>
            <w:tcBorders>
              <w:top w:val="single" w:sz="4" w:space="0" w:color="000000"/>
              <w:left w:val="nil"/>
              <w:bottom w:val="single" w:sz="4" w:space="0" w:color="000000"/>
              <w:right w:val="single" w:sz="4" w:space="0" w:color="000000"/>
            </w:tcBorders>
            <w:hideMark/>
          </w:tcPr>
          <w:p w:rsidR="00C152FD" w:rsidRPr="00283950" w:rsidRDefault="00C152FD">
            <w:pPr>
              <w:pStyle w:val="TableParagraph"/>
              <w:spacing w:line="254" w:lineRule="auto"/>
              <w:ind w:left="604" w:right="653" w:firstLine="209"/>
              <w:rPr>
                <w:rFonts w:ascii="Times New Roman" w:hAnsi="Times New Roman" w:cs="Times New Roman"/>
                <w:sz w:val="20"/>
              </w:rPr>
            </w:pPr>
            <w:r w:rsidRPr="00283950">
              <w:rPr>
                <w:rFonts w:ascii="Times New Roman" w:hAnsi="Times New Roman" w:cs="Times New Roman"/>
                <w:w w:val="105"/>
                <w:sz w:val="20"/>
              </w:rPr>
              <w:t>* 20</w:t>
            </w:r>
            <w:r w:rsidRPr="00283950">
              <w:rPr>
                <w:rFonts w:ascii="Times New Roman" w:hAnsi="Times New Roman" w:cs="Times New Roman"/>
                <w:spacing w:val="-12"/>
                <w:w w:val="105"/>
                <w:sz w:val="20"/>
              </w:rPr>
              <w:t xml:space="preserve"> </w:t>
            </w:r>
            <w:r w:rsidRPr="00283950">
              <w:rPr>
                <w:rFonts w:ascii="Times New Roman" w:hAnsi="Times New Roman" w:cs="Times New Roman"/>
                <w:w w:val="105"/>
                <w:sz w:val="20"/>
              </w:rPr>
              <w:t>mg</w:t>
            </w:r>
          </w:p>
          <w:p w:rsidR="00C152FD" w:rsidRPr="00283950" w:rsidRDefault="00C152FD">
            <w:pPr>
              <w:pStyle w:val="TableParagraph"/>
              <w:spacing w:before="2"/>
              <w:ind w:left="184" w:right="233"/>
              <w:jc w:val="center"/>
              <w:rPr>
                <w:rFonts w:ascii="Times New Roman" w:hAnsi="Times New Roman" w:cs="Times New Roman"/>
                <w:sz w:val="20"/>
              </w:rPr>
            </w:pPr>
            <w:r w:rsidRPr="00283950">
              <w:rPr>
                <w:rFonts w:ascii="Times New Roman" w:hAnsi="Times New Roman" w:cs="Times New Roman"/>
                <w:w w:val="105"/>
                <w:sz w:val="20"/>
              </w:rPr>
              <w:t>50 mg</w:t>
            </w:r>
          </w:p>
          <w:p w:rsidR="00C152FD" w:rsidRPr="00283950" w:rsidRDefault="00C152FD">
            <w:pPr>
              <w:pStyle w:val="TableParagraph"/>
              <w:spacing w:before="17"/>
              <w:ind w:left="184" w:right="233"/>
              <w:jc w:val="center"/>
              <w:rPr>
                <w:rFonts w:ascii="Times New Roman" w:hAnsi="Times New Roman" w:cs="Times New Roman"/>
                <w:sz w:val="20"/>
              </w:rPr>
            </w:pPr>
            <w:r w:rsidRPr="00283950">
              <w:rPr>
                <w:rFonts w:ascii="Times New Roman" w:hAnsi="Times New Roman" w:cs="Times New Roman"/>
                <w:w w:val="105"/>
                <w:sz w:val="20"/>
              </w:rPr>
              <w:t>70 mg</w:t>
            </w:r>
          </w:p>
        </w:tc>
      </w:tr>
    </w:tbl>
    <w:p w:rsidR="00C152FD" w:rsidRPr="00283950" w:rsidRDefault="00C152FD" w:rsidP="00C152FD">
      <w:pPr>
        <w:spacing w:line="182" w:lineRule="exact"/>
        <w:ind w:left="134"/>
        <w:rPr>
          <w:sz w:val="17"/>
          <w:szCs w:val="22"/>
          <w:lang w:val="en-US" w:eastAsia="en-US"/>
        </w:rPr>
      </w:pPr>
      <w:r w:rsidRPr="00283950">
        <w:rPr>
          <w:sz w:val="17"/>
        </w:rPr>
        <w:t>ANC: absolute neutrophil count</w:t>
      </w:r>
    </w:p>
    <w:p w:rsidR="00C152FD" w:rsidRPr="00283950" w:rsidRDefault="00C152FD" w:rsidP="00C152FD">
      <w:pPr>
        <w:spacing w:line="194" w:lineRule="exact"/>
        <w:ind w:left="134"/>
        <w:rPr>
          <w:sz w:val="17"/>
        </w:rPr>
      </w:pPr>
      <w:r w:rsidRPr="00283950">
        <w:rPr>
          <w:sz w:val="17"/>
        </w:rPr>
        <w:t>*lower tablet dose not available</w:t>
      </w:r>
    </w:p>
    <w:p w:rsidR="00150BAF" w:rsidRPr="00283950" w:rsidRDefault="00150BAF" w:rsidP="00150BAF">
      <w:pPr>
        <w:tabs>
          <w:tab w:val="left" w:pos="851"/>
        </w:tabs>
        <w:ind w:left="851"/>
        <w:rPr>
          <w:sz w:val="24"/>
          <w:szCs w:val="24"/>
          <w:lang w:val="en-US"/>
        </w:rPr>
      </w:pPr>
    </w:p>
    <w:p w:rsidR="00150BAF" w:rsidRPr="00150BAF" w:rsidRDefault="00150BAF" w:rsidP="00150BAF">
      <w:pPr>
        <w:tabs>
          <w:tab w:val="left" w:pos="851"/>
        </w:tabs>
        <w:ind w:left="851"/>
        <w:rPr>
          <w:sz w:val="24"/>
          <w:szCs w:val="24"/>
          <w:lang w:val="en-US"/>
        </w:rPr>
      </w:pPr>
      <w:r w:rsidRPr="00283950">
        <w:rPr>
          <w:sz w:val="24"/>
          <w:szCs w:val="24"/>
          <w:lang w:val="en-US"/>
        </w:rPr>
        <w:t>For paediatric patients with Ph+ CML-CP, if Grade ≥3 neutropaenia or thrombocytopaenia</w:t>
      </w:r>
      <w:r w:rsidRPr="00150BAF">
        <w:rPr>
          <w:sz w:val="24"/>
          <w:szCs w:val="24"/>
          <w:lang w:val="en-US"/>
        </w:rPr>
        <w:t xml:space="preserve"> recurs during complete haematologic response (CHR), dasatinib should be interrupted, and may be subsequently resumed at a reduced dose. Temporary dose reductions for intermediate degrees of cytopaenia and disease response should be implemented as needed.</w:t>
      </w:r>
    </w:p>
    <w:p w:rsidR="00150BAF" w:rsidRPr="00150BAF" w:rsidRDefault="00150BAF" w:rsidP="00150BAF">
      <w:pPr>
        <w:tabs>
          <w:tab w:val="left" w:pos="851"/>
        </w:tabs>
        <w:ind w:left="851"/>
        <w:rPr>
          <w:sz w:val="24"/>
          <w:szCs w:val="24"/>
          <w:lang w:val="en-US"/>
        </w:rPr>
      </w:pPr>
    </w:p>
    <w:p w:rsidR="00150BAF" w:rsidRPr="00150BAF" w:rsidRDefault="00150BAF" w:rsidP="00150BAF">
      <w:pPr>
        <w:tabs>
          <w:tab w:val="left" w:pos="851"/>
        </w:tabs>
        <w:ind w:left="851"/>
        <w:rPr>
          <w:sz w:val="24"/>
          <w:szCs w:val="24"/>
          <w:lang w:val="en-US"/>
        </w:rPr>
      </w:pPr>
      <w:r w:rsidRPr="00150BAF">
        <w:rPr>
          <w:sz w:val="24"/>
          <w:szCs w:val="24"/>
          <w:lang w:val="en-US"/>
        </w:rPr>
        <w:t>For paediatric patients with Ph+ ALL, no dose modification is recommended in cases of haematologic Grade 1 to 4 toxicities. If neutropaenia and/or thrombocytopaenia result in delay of the next block of treatment by more than 14 days, dasatinib should be interrupted and resumed at the same dose level once the next block of treatment is started. If neutropaenia and/or thrombocytopaenia persist and the next block of treatment is delayed another 7 days, a bone marrow assessment should be performed to assess cellularity and percentage of blasts. If marrow cellularity is &lt;10%, treatment with dasatinib should be interrupted until ANC &gt;500/μL (0.5 x 109/L), at which time treatment may be resumed at full dose. If marrow cellularity is &gt;10%, resumption of treatment with dasatinib may be considered.</w:t>
      </w:r>
    </w:p>
    <w:p w:rsidR="00150BAF" w:rsidRPr="00150BAF" w:rsidRDefault="00150BAF" w:rsidP="00150BAF">
      <w:pPr>
        <w:tabs>
          <w:tab w:val="left" w:pos="851"/>
        </w:tabs>
        <w:ind w:left="851"/>
        <w:rPr>
          <w:sz w:val="24"/>
          <w:szCs w:val="24"/>
          <w:lang w:val="en-US"/>
        </w:rPr>
      </w:pPr>
    </w:p>
    <w:p w:rsidR="00150BAF" w:rsidRPr="00150BAF" w:rsidRDefault="00150BAF" w:rsidP="00150BAF">
      <w:pPr>
        <w:tabs>
          <w:tab w:val="left" w:pos="851"/>
        </w:tabs>
        <w:ind w:left="851"/>
        <w:rPr>
          <w:i/>
          <w:sz w:val="24"/>
          <w:szCs w:val="24"/>
          <w:lang w:val="en-US"/>
        </w:rPr>
      </w:pPr>
      <w:r w:rsidRPr="00150BAF">
        <w:rPr>
          <w:i/>
          <w:sz w:val="24"/>
          <w:szCs w:val="24"/>
          <w:lang w:val="en-US"/>
        </w:rPr>
        <w:t>Non-haematologic adverse reactions</w:t>
      </w:r>
    </w:p>
    <w:p w:rsidR="00150BAF" w:rsidRPr="00150BAF" w:rsidRDefault="00150BAF" w:rsidP="00150BAF">
      <w:pPr>
        <w:tabs>
          <w:tab w:val="left" w:pos="851"/>
        </w:tabs>
        <w:ind w:left="851"/>
        <w:rPr>
          <w:sz w:val="24"/>
          <w:szCs w:val="24"/>
          <w:lang w:val="en-US"/>
        </w:rPr>
      </w:pPr>
      <w:r w:rsidRPr="00150BAF">
        <w:rPr>
          <w:sz w:val="24"/>
          <w:szCs w:val="24"/>
          <w:lang w:val="en-US"/>
        </w:rPr>
        <w:t>If a moderate, grade 2, non-haematologic adverse reaction develops with dasatinib, treatment should be interrupted until the adverse reaction has resolved or returned to baseline. The same dose should be resumed if this is the first occurrence and the dose should be reduced if this is a recurrent adverse reaction. If a severe grade 3 or 4, non-haematologic adverse reaction develops with dasatinib, treatment must be withheld until the adverse reaction has resolved. Thereafter, treatment can be resumed as appropriate at a reduced dose depending on the initial severity of the adverse reaction. For patients with chronic phase CML who received 100 mg once daily, dose reduction to 80 mg once daily with further reduction from 80 mg once daily to 50 mg once daily, if needed, is recommended. For patients with advanced phase CML or Ph+ ALL who received 140 mg once daily, dose reduction to 100 mg once daily with further reduction from 100 mg once daily to 50 mg once daily, if needed, is recommended. In CML-CP paediatric patients with non-haematologic adverse reactions, the dose reduction recommendations for haematologic adverse reactions that are described above should be followed. In Ph+ ALL paediatric patients with non-haematologic adverse reactions, if needed, one level of dose reduction should be followed, according to the dose reduction recommendations for haematologic adverse reactions that are described above.</w:t>
      </w:r>
    </w:p>
    <w:p w:rsidR="00150BAF" w:rsidRPr="00150BAF" w:rsidRDefault="00150BAF" w:rsidP="00150BAF">
      <w:pPr>
        <w:tabs>
          <w:tab w:val="left" w:pos="851"/>
        </w:tabs>
        <w:ind w:left="851"/>
        <w:rPr>
          <w:sz w:val="24"/>
          <w:szCs w:val="24"/>
          <w:lang w:val="en-US"/>
        </w:rPr>
      </w:pPr>
    </w:p>
    <w:p w:rsidR="00150BAF" w:rsidRPr="00150BAF" w:rsidRDefault="00150BAF" w:rsidP="00150BAF">
      <w:pPr>
        <w:tabs>
          <w:tab w:val="left" w:pos="851"/>
        </w:tabs>
        <w:ind w:left="851"/>
        <w:rPr>
          <w:i/>
          <w:sz w:val="24"/>
          <w:szCs w:val="24"/>
          <w:lang w:val="en-US"/>
        </w:rPr>
      </w:pPr>
      <w:r w:rsidRPr="00150BAF">
        <w:rPr>
          <w:i/>
          <w:sz w:val="24"/>
          <w:szCs w:val="24"/>
          <w:lang w:val="en-US"/>
        </w:rPr>
        <w:t>Pleural effusion</w:t>
      </w:r>
    </w:p>
    <w:p w:rsidR="00150BAF" w:rsidRPr="00150BAF" w:rsidRDefault="00150BAF" w:rsidP="00150BAF">
      <w:pPr>
        <w:tabs>
          <w:tab w:val="left" w:pos="851"/>
        </w:tabs>
        <w:ind w:left="851"/>
        <w:rPr>
          <w:sz w:val="24"/>
          <w:szCs w:val="24"/>
          <w:lang w:val="en-US"/>
        </w:rPr>
      </w:pPr>
      <w:r w:rsidRPr="00150BAF">
        <w:rPr>
          <w:sz w:val="24"/>
          <w:szCs w:val="24"/>
          <w:lang w:val="en-US"/>
        </w:rPr>
        <w:t>If a pleural effusion is diagnosed, dasatinib should be interrupted until patient is examined, asymptomatic or has returned to baseline. If the episode does not improve within approximately one week, a course of diuretics or corticosteroids or both concurrently should be considered (see sections 4.4 and 4.8). Following resolution of the first episode, reintroduction of dasatinib at the same dose level should be considered. Following resolution of a subsequent episode, dasatinib at one dose level reduction should be reintroduced. Following resolution of a severe (grade 3 or 4) episode, treatment can be resumed as appropriate at a reduced dose depending on the initial severity of the adverse reaction.</w:t>
      </w:r>
    </w:p>
    <w:p w:rsidR="00150BAF" w:rsidRPr="00150BAF" w:rsidRDefault="00150BAF" w:rsidP="00150BAF">
      <w:pPr>
        <w:tabs>
          <w:tab w:val="left" w:pos="851"/>
        </w:tabs>
        <w:ind w:left="851"/>
        <w:rPr>
          <w:sz w:val="24"/>
          <w:szCs w:val="24"/>
          <w:lang w:val="en-US"/>
        </w:rPr>
      </w:pPr>
    </w:p>
    <w:p w:rsidR="00150BAF" w:rsidRPr="00150BAF" w:rsidRDefault="00150BAF" w:rsidP="00150BAF">
      <w:pPr>
        <w:tabs>
          <w:tab w:val="left" w:pos="851"/>
        </w:tabs>
        <w:ind w:left="851"/>
        <w:rPr>
          <w:i/>
          <w:sz w:val="24"/>
          <w:szCs w:val="24"/>
          <w:lang w:val="en-US"/>
        </w:rPr>
      </w:pPr>
      <w:r w:rsidRPr="00150BAF">
        <w:rPr>
          <w:i/>
          <w:sz w:val="24"/>
          <w:szCs w:val="24"/>
          <w:lang w:val="en-US"/>
        </w:rPr>
        <w:t>Dose reduction for concomitant use of strong CYP3A4 inhibitors</w:t>
      </w:r>
    </w:p>
    <w:p w:rsidR="00150BAF" w:rsidRPr="00150BAF" w:rsidRDefault="00150BAF" w:rsidP="00150BAF">
      <w:pPr>
        <w:tabs>
          <w:tab w:val="left" w:pos="851"/>
        </w:tabs>
        <w:ind w:left="851"/>
        <w:rPr>
          <w:sz w:val="24"/>
          <w:szCs w:val="24"/>
          <w:lang w:val="en-US"/>
        </w:rPr>
      </w:pPr>
      <w:r w:rsidRPr="00150BAF">
        <w:rPr>
          <w:sz w:val="24"/>
          <w:szCs w:val="24"/>
          <w:lang w:val="en-US"/>
        </w:rPr>
        <w:t xml:space="preserve">The concomitant use of strong CYP3A4 inhibitors and grapefruit juice with dasatinib should be avoided (see section 4.5). If possible, an alternative concomitant medication with </w:t>
      </w:r>
      <w:r w:rsidRPr="00150BAF">
        <w:rPr>
          <w:sz w:val="24"/>
          <w:szCs w:val="24"/>
          <w:lang w:val="en-US"/>
        </w:rPr>
        <w:lastRenderedPageBreak/>
        <w:t>no or minimal enzyme inhibition potential should be selected. If dasatinib must be administered with a strong CYP3A4 inhibitor, consider a dose decrease to:</w:t>
      </w:r>
    </w:p>
    <w:p w:rsidR="00150BAF" w:rsidRPr="00150BAF" w:rsidRDefault="00150BAF" w:rsidP="00283950">
      <w:pPr>
        <w:numPr>
          <w:ilvl w:val="2"/>
          <w:numId w:val="14"/>
        </w:numPr>
        <w:tabs>
          <w:tab w:val="left" w:pos="1134"/>
        </w:tabs>
        <w:ind w:left="1134" w:hanging="283"/>
        <w:rPr>
          <w:sz w:val="24"/>
          <w:szCs w:val="24"/>
          <w:lang w:val="en-US"/>
        </w:rPr>
      </w:pPr>
      <w:r w:rsidRPr="00150BAF">
        <w:rPr>
          <w:sz w:val="24"/>
          <w:szCs w:val="24"/>
          <w:lang w:val="en-US"/>
        </w:rPr>
        <w:t>40 mg daily for patients taking dasatinib 140 mg tablet daily.</w:t>
      </w:r>
    </w:p>
    <w:p w:rsidR="00150BAF" w:rsidRPr="00150BAF" w:rsidRDefault="00150BAF" w:rsidP="00283950">
      <w:pPr>
        <w:numPr>
          <w:ilvl w:val="2"/>
          <w:numId w:val="14"/>
        </w:numPr>
        <w:tabs>
          <w:tab w:val="left" w:pos="1134"/>
        </w:tabs>
        <w:ind w:left="1134" w:hanging="283"/>
        <w:rPr>
          <w:sz w:val="24"/>
          <w:szCs w:val="24"/>
          <w:lang w:val="en-US"/>
        </w:rPr>
      </w:pPr>
      <w:r w:rsidRPr="00150BAF">
        <w:rPr>
          <w:sz w:val="24"/>
          <w:szCs w:val="24"/>
          <w:lang w:val="en-US"/>
        </w:rPr>
        <w:t>20 mg daily for patients taking dasatinib 100 mg tablet daily.</w:t>
      </w:r>
    </w:p>
    <w:p w:rsidR="00150BAF" w:rsidRPr="00150BAF" w:rsidRDefault="00150BAF" w:rsidP="00283950">
      <w:pPr>
        <w:numPr>
          <w:ilvl w:val="2"/>
          <w:numId w:val="14"/>
        </w:numPr>
        <w:tabs>
          <w:tab w:val="left" w:pos="1134"/>
        </w:tabs>
        <w:ind w:left="1134" w:hanging="283"/>
        <w:rPr>
          <w:sz w:val="24"/>
          <w:szCs w:val="24"/>
          <w:lang w:val="en-US"/>
        </w:rPr>
      </w:pPr>
      <w:r w:rsidRPr="00150BAF">
        <w:rPr>
          <w:sz w:val="24"/>
          <w:szCs w:val="24"/>
          <w:lang w:val="en-US"/>
        </w:rPr>
        <w:t>20 mg daily for patients taking dasatinib 70 mg tablet daily.</w:t>
      </w:r>
    </w:p>
    <w:p w:rsidR="00150BAF" w:rsidRPr="00150BAF" w:rsidRDefault="00150BAF" w:rsidP="00150BAF">
      <w:pPr>
        <w:tabs>
          <w:tab w:val="left" w:pos="851"/>
        </w:tabs>
        <w:ind w:left="851"/>
        <w:rPr>
          <w:sz w:val="24"/>
          <w:szCs w:val="24"/>
          <w:lang w:val="en-US"/>
        </w:rPr>
      </w:pPr>
    </w:p>
    <w:p w:rsidR="00150BAF" w:rsidRPr="00150BAF" w:rsidRDefault="00150BAF" w:rsidP="00150BAF">
      <w:pPr>
        <w:tabs>
          <w:tab w:val="left" w:pos="851"/>
        </w:tabs>
        <w:ind w:left="851"/>
        <w:rPr>
          <w:sz w:val="24"/>
          <w:szCs w:val="24"/>
          <w:lang w:val="en-US"/>
        </w:rPr>
      </w:pPr>
      <w:r w:rsidRPr="00150BAF">
        <w:rPr>
          <w:sz w:val="24"/>
          <w:szCs w:val="24"/>
          <w:lang w:val="en-US"/>
        </w:rPr>
        <w:t>For patients taking dasatinib 60 mg or 40 mg daily, consider interrupting the dose of dasatinib until the CYP3A4 inhibitor is discontinued, or switching to a lower dose with a powder for oral suspension formulation. Allow a washout period of approximately 1 week after the inhibitor is stopped before reinitiating dasatinib.</w:t>
      </w:r>
    </w:p>
    <w:p w:rsidR="00150BAF" w:rsidRPr="00150BAF" w:rsidRDefault="00150BAF" w:rsidP="00150BAF">
      <w:pPr>
        <w:tabs>
          <w:tab w:val="left" w:pos="851"/>
        </w:tabs>
        <w:ind w:left="851"/>
        <w:rPr>
          <w:sz w:val="24"/>
          <w:szCs w:val="24"/>
          <w:lang w:val="en-US"/>
        </w:rPr>
      </w:pPr>
    </w:p>
    <w:p w:rsidR="00150BAF" w:rsidRPr="00150BAF" w:rsidRDefault="00150BAF" w:rsidP="00150BAF">
      <w:pPr>
        <w:tabs>
          <w:tab w:val="left" w:pos="851"/>
        </w:tabs>
        <w:ind w:left="851"/>
        <w:rPr>
          <w:sz w:val="24"/>
          <w:szCs w:val="24"/>
          <w:lang w:val="en-US"/>
        </w:rPr>
      </w:pPr>
      <w:r w:rsidRPr="00150BAF">
        <w:rPr>
          <w:sz w:val="24"/>
          <w:szCs w:val="24"/>
          <w:lang w:val="en-US"/>
        </w:rPr>
        <w:t>These reduced doses of dasatinib are predicted to adjust the area under the curve (AUC) to the range observed without CYP3A4 inhibitors; however, clinical data are not available with these dose adjustments in patients receiving strong CYP3A4 inhibitors. If dasatinib is not tolerated after dose reduction, either discontinue the strong CYP3A4 inhibitor or interrupt dasatinib until the inhibitor is discontinued. Allow a washout period of approximately 1 week after the inhibitor is stopped before the dasatinib dose is increased.</w:t>
      </w:r>
    </w:p>
    <w:p w:rsidR="00150BAF" w:rsidRPr="00150BAF" w:rsidRDefault="00150BAF" w:rsidP="00150BAF">
      <w:pPr>
        <w:tabs>
          <w:tab w:val="left" w:pos="851"/>
        </w:tabs>
        <w:ind w:left="851"/>
        <w:rPr>
          <w:sz w:val="24"/>
          <w:szCs w:val="24"/>
          <w:lang w:val="en-US"/>
        </w:rPr>
      </w:pPr>
    </w:p>
    <w:p w:rsidR="00150BAF" w:rsidRPr="00150BAF" w:rsidRDefault="00150BAF" w:rsidP="00150BAF">
      <w:pPr>
        <w:tabs>
          <w:tab w:val="left" w:pos="851"/>
        </w:tabs>
        <w:ind w:left="851"/>
        <w:rPr>
          <w:sz w:val="24"/>
          <w:szCs w:val="24"/>
          <w:lang w:val="en-US"/>
        </w:rPr>
      </w:pPr>
      <w:r w:rsidRPr="00150BAF">
        <w:rPr>
          <w:sz w:val="24"/>
          <w:szCs w:val="24"/>
          <w:u w:val="single"/>
          <w:lang w:val="en-US"/>
        </w:rPr>
        <w:t>Special populations</w:t>
      </w:r>
    </w:p>
    <w:p w:rsidR="00A02C2D" w:rsidRDefault="00A02C2D" w:rsidP="00150BAF">
      <w:pPr>
        <w:tabs>
          <w:tab w:val="left" w:pos="851"/>
        </w:tabs>
        <w:ind w:left="851"/>
        <w:rPr>
          <w:i/>
          <w:sz w:val="24"/>
          <w:szCs w:val="24"/>
          <w:u w:val="single"/>
          <w:lang w:val="en-US"/>
        </w:rPr>
      </w:pPr>
    </w:p>
    <w:p w:rsidR="00150BAF" w:rsidRPr="00A02C2D" w:rsidRDefault="00150BAF" w:rsidP="00150BAF">
      <w:pPr>
        <w:tabs>
          <w:tab w:val="left" w:pos="851"/>
        </w:tabs>
        <w:ind w:left="851"/>
        <w:rPr>
          <w:i/>
          <w:sz w:val="24"/>
          <w:szCs w:val="24"/>
          <w:lang w:val="en-US"/>
        </w:rPr>
      </w:pPr>
      <w:r w:rsidRPr="00A02C2D">
        <w:rPr>
          <w:i/>
          <w:sz w:val="24"/>
          <w:szCs w:val="24"/>
          <w:lang w:val="en-US"/>
        </w:rPr>
        <w:t>Elderly</w:t>
      </w:r>
    </w:p>
    <w:p w:rsidR="00150BAF" w:rsidRPr="00150BAF" w:rsidRDefault="00150BAF" w:rsidP="00150BAF">
      <w:pPr>
        <w:tabs>
          <w:tab w:val="left" w:pos="851"/>
        </w:tabs>
        <w:ind w:left="851"/>
        <w:rPr>
          <w:sz w:val="24"/>
          <w:szCs w:val="24"/>
          <w:lang w:val="en-US"/>
        </w:rPr>
      </w:pPr>
      <w:r w:rsidRPr="00150BAF">
        <w:rPr>
          <w:sz w:val="24"/>
          <w:szCs w:val="24"/>
          <w:lang w:val="en-US"/>
        </w:rPr>
        <w:t>No clinically relevant age-related pharmacokinetic differences have been observed in these patients. No specific dose recommendation is necessary in elderly.</w:t>
      </w:r>
    </w:p>
    <w:p w:rsidR="00150BAF" w:rsidRPr="00150BAF" w:rsidRDefault="00150BAF" w:rsidP="00150BAF">
      <w:pPr>
        <w:tabs>
          <w:tab w:val="left" w:pos="851"/>
        </w:tabs>
        <w:ind w:left="851"/>
        <w:rPr>
          <w:sz w:val="24"/>
          <w:szCs w:val="24"/>
          <w:lang w:val="en-US"/>
        </w:rPr>
      </w:pPr>
    </w:p>
    <w:p w:rsidR="00150BAF" w:rsidRPr="00A02C2D" w:rsidRDefault="00150BAF" w:rsidP="00150BAF">
      <w:pPr>
        <w:tabs>
          <w:tab w:val="left" w:pos="851"/>
        </w:tabs>
        <w:ind w:left="851"/>
        <w:rPr>
          <w:i/>
          <w:sz w:val="24"/>
          <w:szCs w:val="24"/>
          <w:lang w:val="en-US"/>
        </w:rPr>
      </w:pPr>
      <w:r w:rsidRPr="00A02C2D">
        <w:rPr>
          <w:i/>
          <w:sz w:val="24"/>
          <w:szCs w:val="24"/>
          <w:lang w:val="en-US"/>
        </w:rPr>
        <w:t>Hepatic impairment</w:t>
      </w:r>
    </w:p>
    <w:p w:rsidR="00150BAF" w:rsidRPr="00150BAF" w:rsidRDefault="00150BAF" w:rsidP="00150BAF">
      <w:pPr>
        <w:tabs>
          <w:tab w:val="left" w:pos="851"/>
        </w:tabs>
        <w:ind w:left="851"/>
        <w:rPr>
          <w:sz w:val="24"/>
          <w:szCs w:val="24"/>
          <w:lang w:val="en-US"/>
        </w:rPr>
      </w:pPr>
      <w:r w:rsidRPr="00150BAF">
        <w:rPr>
          <w:sz w:val="24"/>
          <w:szCs w:val="24"/>
          <w:lang w:val="en-US"/>
        </w:rPr>
        <w:t>Patients with mild, moderate or severe hepatic impairment may receive the recommended starting dose. However, dasatinib should be used with caution in patients with hepatic impairment (see section 5.2).</w:t>
      </w:r>
    </w:p>
    <w:p w:rsidR="00150BAF" w:rsidRPr="00150BAF" w:rsidRDefault="00150BAF" w:rsidP="00150BAF">
      <w:pPr>
        <w:tabs>
          <w:tab w:val="left" w:pos="851"/>
        </w:tabs>
        <w:ind w:left="851"/>
        <w:rPr>
          <w:sz w:val="24"/>
          <w:szCs w:val="24"/>
          <w:lang w:val="en-US"/>
        </w:rPr>
      </w:pPr>
    </w:p>
    <w:p w:rsidR="00150BAF" w:rsidRPr="00A02C2D" w:rsidRDefault="00150BAF" w:rsidP="00150BAF">
      <w:pPr>
        <w:tabs>
          <w:tab w:val="left" w:pos="851"/>
        </w:tabs>
        <w:ind w:left="851"/>
        <w:rPr>
          <w:i/>
          <w:sz w:val="24"/>
          <w:szCs w:val="24"/>
          <w:lang w:val="en-US"/>
        </w:rPr>
      </w:pPr>
      <w:r w:rsidRPr="00A02C2D">
        <w:rPr>
          <w:i/>
          <w:sz w:val="24"/>
          <w:szCs w:val="24"/>
          <w:lang w:val="en-US"/>
        </w:rPr>
        <w:t>Renal impairment</w:t>
      </w:r>
    </w:p>
    <w:p w:rsidR="00150BAF" w:rsidRPr="00150BAF" w:rsidRDefault="00150BAF" w:rsidP="00150BAF">
      <w:pPr>
        <w:tabs>
          <w:tab w:val="left" w:pos="851"/>
        </w:tabs>
        <w:ind w:left="851"/>
        <w:rPr>
          <w:sz w:val="24"/>
          <w:szCs w:val="24"/>
          <w:lang w:val="en-US"/>
        </w:rPr>
      </w:pPr>
      <w:r w:rsidRPr="00150BAF">
        <w:rPr>
          <w:sz w:val="24"/>
          <w:szCs w:val="24"/>
          <w:lang w:val="en-US"/>
        </w:rPr>
        <w:t>No clinical studies were conducted with dasatinib in patients with decreased renal function (the study in patients with newly diagnosed chronic phase CML excluded patients with serum creatinine concentration &gt; 3 times the upper limit of the normal range, and studies in patients with chronic phase CML with resistance or intolerance to prior imatinib therapy excluded patients with serum creatinine concentration &gt; 1.5 times the upper limit of the normal range). Since the renal clearance of dasatinib and its metabolites is &lt; 4%, a decrease in total body clearance is not expected in patients with renal insufficiency.</w:t>
      </w:r>
    </w:p>
    <w:p w:rsidR="00150BAF" w:rsidRPr="00150BAF" w:rsidRDefault="00150BAF" w:rsidP="00150BAF">
      <w:pPr>
        <w:tabs>
          <w:tab w:val="left" w:pos="851"/>
        </w:tabs>
        <w:ind w:left="851"/>
        <w:rPr>
          <w:sz w:val="24"/>
          <w:szCs w:val="24"/>
          <w:lang w:val="en-US"/>
        </w:rPr>
      </w:pPr>
    </w:p>
    <w:p w:rsidR="00150BAF" w:rsidRPr="00A02C2D" w:rsidRDefault="00150BAF" w:rsidP="00150BAF">
      <w:pPr>
        <w:tabs>
          <w:tab w:val="left" w:pos="851"/>
        </w:tabs>
        <w:ind w:left="851"/>
        <w:rPr>
          <w:b/>
          <w:sz w:val="24"/>
          <w:szCs w:val="24"/>
          <w:lang w:val="en-US"/>
        </w:rPr>
      </w:pPr>
      <w:r w:rsidRPr="00A02C2D">
        <w:rPr>
          <w:b/>
          <w:sz w:val="24"/>
          <w:szCs w:val="24"/>
          <w:lang w:val="en-US"/>
        </w:rPr>
        <w:t>Method of administration</w:t>
      </w:r>
    </w:p>
    <w:p w:rsidR="00150BAF" w:rsidRPr="00150BAF" w:rsidRDefault="00150BAF" w:rsidP="00150BAF">
      <w:pPr>
        <w:tabs>
          <w:tab w:val="left" w:pos="851"/>
        </w:tabs>
        <w:ind w:left="851"/>
        <w:rPr>
          <w:sz w:val="24"/>
          <w:szCs w:val="24"/>
          <w:lang w:val="en-US"/>
        </w:rPr>
      </w:pPr>
      <w:r w:rsidRPr="00150BAF">
        <w:rPr>
          <w:sz w:val="24"/>
          <w:szCs w:val="24"/>
          <w:lang w:val="en-US"/>
        </w:rPr>
        <w:t>Dasatinib must be administered orally.</w:t>
      </w:r>
    </w:p>
    <w:p w:rsidR="00150BAF" w:rsidRPr="00150BAF" w:rsidRDefault="00150BAF" w:rsidP="00150BAF">
      <w:pPr>
        <w:tabs>
          <w:tab w:val="left" w:pos="851"/>
        </w:tabs>
        <w:ind w:left="851"/>
        <w:rPr>
          <w:sz w:val="24"/>
          <w:szCs w:val="24"/>
          <w:lang w:val="en-US"/>
        </w:rPr>
      </w:pPr>
      <w:r w:rsidRPr="00150BAF">
        <w:rPr>
          <w:sz w:val="24"/>
          <w:szCs w:val="24"/>
          <w:lang w:val="en-US"/>
        </w:rPr>
        <w:t>The film-coated tablets must not be crushed, cut or chewed in order to maintain dosing consistency and minimise the risk of dermal exposure; they must be swallowed whole. Film-coated tablets should not be dispersed as the exposure in patients receiving a dispersed tablet is lower than in those swallowing a whole tablet. Other powder for oral suspension formulation is also available for paediatric Ph+ CML-CP and Ph+ ALL patients, and adult CML-CP patients, who cannot swallow tablets.</w:t>
      </w:r>
    </w:p>
    <w:p w:rsidR="00150BAF" w:rsidRPr="00150BAF" w:rsidRDefault="00150BAF" w:rsidP="00150BAF">
      <w:pPr>
        <w:tabs>
          <w:tab w:val="left" w:pos="851"/>
        </w:tabs>
        <w:ind w:left="851"/>
        <w:rPr>
          <w:sz w:val="24"/>
          <w:szCs w:val="24"/>
          <w:lang w:val="en-US"/>
        </w:rPr>
      </w:pPr>
    </w:p>
    <w:p w:rsidR="00150BAF" w:rsidRPr="00150BAF" w:rsidRDefault="00150BAF" w:rsidP="00150BAF">
      <w:pPr>
        <w:tabs>
          <w:tab w:val="left" w:pos="851"/>
        </w:tabs>
        <w:ind w:left="851"/>
        <w:rPr>
          <w:sz w:val="24"/>
          <w:szCs w:val="24"/>
          <w:lang w:val="en-US"/>
        </w:rPr>
      </w:pPr>
      <w:r w:rsidRPr="00150BAF">
        <w:rPr>
          <w:sz w:val="24"/>
          <w:szCs w:val="24"/>
          <w:lang w:val="en-US"/>
        </w:rPr>
        <w:t>Dasatinib can be taken with or without a meal and should be taken consistently either in the morning or in the evening (see section 5.2). Dasatinib should not be taken with grapefruit or grapefruit juice (see section 4.5).</w:t>
      </w:r>
    </w:p>
    <w:p w:rsidR="00150BAF" w:rsidRPr="00150BAF" w:rsidRDefault="00150BAF" w:rsidP="00150BAF">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lastRenderedPageBreak/>
        <w:t>4.3</w:t>
      </w:r>
      <w:r w:rsidRPr="00303008">
        <w:rPr>
          <w:b/>
          <w:sz w:val="24"/>
          <w:szCs w:val="24"/>
          <w:lang w:val="en-GB"/>
        </w:rPr>
        <w:tab/>
        <w:t>Contraindications</w:t>
      </w:r>
    </w:p>
    <w:p w:rsidR="00A02C2D" w:rsidRPr="00A02C2D" w:rsidRDefault="00A02C2D" w:rsidP="00A02C2D">
      <w:pPr>
        <w:tabs>
          <w:tab w:val="left" w:pos="851"/>
        </w:tabs>
        <w:ind w:left="851"/>
        <w:rPr>
          <w:sz w:val="24"/>
          <w:szCs w:val="24"/>
          <w:lang w:val="en-US"/>
        </w:rPr>
      </w:pPr>
      <w:r w:rsidRPr="00A02C2D">
        <w:rPr>
          <w:sz w:val="24"/>
          <w:szCs w:val="24"/>
          <w:lang w:val="en-US"/>
        </w:rPr>
        <w:t>Hypersensitivity to the active substance or to any of the excipients listed in section 6.1.</w:t>
      </w:r>
    </w:p>
    <w:p w:rsidR="007C5D2A" w:rsidRPr="00A02C2D" w:rsidRDefault="007C5D2A" w:rsidP="003E0341">
      <w:pPr>
        <w:tabs>
          <w:tab w:val="left" w:pos="851"/>
        </w:tabs>
        <w:ind w:left="851"/>
        <w:rPr>
          <w:sz w:val="24"/>
          <w:szCs w:val="24"/>
          <w:lang w:val="en-US"/>
        </w:rPr>
      </w:pPr>
    </w:p>
    <w:p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rsidR="00694396" w:rsidRDefault="00694396" w:rsidP="009514CD">
      <w:pPr>
        <w:tabs>
          <w:tab w:val="left" w:pos="851"/>
        </w:tabs>
        <w:ind w:left="851"/>
        <w:rPr>
          <w:sz w:val="24"/>
          <w:szCs w:val="24"/>
          <w:u w:val="single"/>
          <w:lang w:val="en-US"/>
        </w:rPr>
      </w:pPr>
    </w:p>
    <w:p w:rsidR="009514CD" w:rsidRPr="009514CD" w:rsidRDefault="009514CD" w:rsidP="009514CD">
      <w:pPr>
        <w:tabs>
          <w:tab w:val="left" w:pos="851"/>
        </w:tabs>
        <w:ind w:left="851"/>
        <w:rPr>
          <w:sz w:val="24"/>
          <w:szCs w:val="24"/>
          <w:lang w:val="en-US"/>
        </w:rPr>
      </w:pPr>
      <w:r w:rsidRPr="009514CD">
        <w:rPr>
          <w:sz w:val="24"/>
          <w:szCs w:val="24"/>
          <w:u w:val="single"/>
          <w:lang w:val="en-US"/>
        </w:rPr>
        <w:t>Clinically relevant interactions</w:t>
      </w:r>
    </w:p>
    <w:p w:rsidR="009514CD" w:rsidRPr="009514CD" w:rsidRDefault="009514CD" w:rsidP="009514CD">
      <w:pPr>
        <w:tabs>
          <w:tab w:val="left" w:pos="851"/>
        </w:tabs>
        <w:ind w:left="851"/>
        <w:rPr>
          <w:sz w:val="24"/>
          <w:szCs w:val="24"/>
          <w:lang w:val="en-US"/>
        </w:rPr>
      </w:pPr>
      <w:r w:rsidRPr="009514CD">
        <w:rPr>
          <w:sz w:val="24"/>
          <w:szCs w:val="24"/>
          <w:lang w:val="en-US"/>
        </w:rPr>
        <w:t>Dasatinib is a substrate and an inhibitor of cytochrome P450 (CYP) 3A4. Therefore, there is a potential for interaction with other concomitantly administered medicinal products that are metabolised primarily by or modulate the activity of CYP3A4 (see section 4.5).</w:t>
      </w:r>
    </w:p>
    <w:p w:rsidR="009514CD" w:rsidRPr="009514CD" w:rsidRDefault="009514CD" w:rsidP="009514CD">
      <w:pPr>
        <w:tabs>
          <w:tab w:val="left" w:pos="851"/>
        </w:tabs>
        <w:ind w:left="851"/>
        <w:rPr>
          <w:sz w:val="24"/>
          <w:szCs w:val="24"/>
          <w:lang w:val="en-US"/>
        </w:rPr>
      </w:pPr>
    </w:p>
    <w:p w:rsidR="009514CD" w:rsidRPr="009514CD" w:rsidRDefault="009514CD" w:rsidP="009514CD">
      <w:pPr>
        <w:tabs>
          <w:tab w:val="left" w:pos="851"/>
        </w:tabs>
        <w:ind w:left="851"/>
        <w:rPr>
          <w:sz w:val="24"/>
          <w:szCs w:val="24"/>
          <w:lang w:val="en-US"/>
        </w:rPr>
      </w:pPr>
      <w:r w:rsidRPr="009514CD">
        <w:rPr>
          <w:sz w:val="24"/>
          <w:szCs w:val="24"/>
          <w:lang w:val="en-US"/>
        </w:rPr>
        <w:t>Concomitant use of dasatinib and medicinal products or substances that potently inhibit CYP3A4 (e.g. ketoconazole, itraconazole, erythromycin, clarithromycin, ritonavir, telithromycin, grapefruit juice) may increase exposure to dasatinib. Therefore, in patients receiving dasatinib, coadministration of a potent CYP3A4 inhibitor is not recommended (see section 4.5).</w:t>
      </w:r>
    </w:p>
    <w:p w:rsidR="009514CD" w:rsidRPr="009514CD" w:rsidRDefault="009514CD" w:rsidP="009514CD">
      <w:pPr>
        <w:tabs>
          <w:tab w:val="left" w:pos="851"/>
        </w:tabs>
        <w:ind w:left="851"/>
        <w:rPr>
          <w:sz w:val="24"/>
          <w:szCs w:val="24"/>
          <w:lang w:val="en-US"/>
        </w:rPr>
      </w:pPr>
    </w:p>
    <w:p w:rsidR="009514CD" w:rsidRPr="009514CD" w:rsidRDefault="009514CD" w:rsidP="009514CD">
      <w:pPr>
        <w:tabs>
          <w:tab w:val="left" w:pos="851"/>
        </w:tabs>
        <w:ind w:left="851"/>
        <w:rPr>
          <w:sz w:val="24"/>
          <w:szCs w:val="24"/>
          <w:lang w:val="en-US"/>
        </w:rPr>
      </w:pPr>
      <w:r w:rsidRPr="009514CD">
        <w:rPr>
          <w:sz w:val="24"/>
          <w:szCs w:val="24"/>
          <w:lang w:val="en-US"/>
        </w:rPr>
        <w:t xml:space="preserve">Concomitant use of dasatinib and medicinal products that induce CYP3A4 (e.g. dexamethasone, phenytoin, carbamazepine, rifampicin, phenobarbital or herbal preparations containing </w:t>
      </w:r>
      <w:r w:rsidRPr="009514CD">
        <w:rPr>
          <w:i/>
          <w:sz w:val="24"/>
          <w:szCs w:val="24"/>
          <w:lang w:val="en-US"/>
        </w:rPr>
        <w:t>Hypericum perforatum</w:t>
      </w:r>
      <w:r w:rsidRPr="009514CD">
        <w:rPr>
          <w:sz w:val="24"/>
          <w:szCs w:val="24"/>
          <w:lang w:val="en-US"/>
        </w:rPr>
        <w:t>, also known as St. John's Wort) may substantially reduce exposure to dasatinib, potentially increasing the risk of therapeutic failure. Therefore, in patients receiving dasatinib, coadministration of alternative medicinal products with less potential for CYP3A4 induction should be selected (see section 4.5).</w:t>
      </w:r>
    </w:p>
    <w:p w:rsidR="009514CD" w:rsidRPr="009514CD" w:rsidRDefault="009514CD" w:rsidP="009514CD">
      <w:pPr>
        <w:tabs>
          <w:tab w:val="left" w:pos="851"/>
        </w:tabs>
        <w:ind w:left="851"/>
        <w:rPr>
          <w:sz w:val="24"/>
          <w:szCs w:val="24"/>
          <w:lang w:val="en-US"/>
        </w:rPr>
      </w:pPr>
    </w:p>
    <w:p w:rsidR="009514CD" w:rsidRPr="009514CD" w:rsidRDefault="009514CD" w:rsidP="009514CD">
      <w:pPr>
        <w:tabs>
          <w:tab w:val="left" w:pos="851"/>
        </w:tabs>
        <w:ind w:left="851"/>
        <w:rPr>
          <w:sz w:val="24"/>
          <w:szCs w:val="24"/>
          <w:lang w:val="en-US"/>
        </w:rPr>
      </w:pPr>
      <w:r w:rsidRPr="009514CD">
        <w:rPr>
          <w:sz w:val="24"/>
          <w:szCs w:val="24"/>
          <w:lang w:val="en-US"/>
        </w:rPr>
        <w:t>Concomitant use of dasatinib and a CYP3A4 substrate may increase exposure to the CYP3A4 substrate. Therefore, caution is warranted when dasatinib is coadministered with CYP3A4 substrates of narrow therapeutic index, such as astemizole, terfenadine, cisapride, pimozide, quinidine, bepridil or ergot alkaloids (ergotamine, dihydroergotamine) (see section 4.5).</w:t>
      </w:r>
    </w:p>
    <w:p w:rsidR="009514CD" w:rsidRPr="009514CD" w:rsidRDefault="009514CD" w:rsidP="009514CD">
      <w:pPr>
        <w:tabs>
          <w:tab w:val="left" w:pos="851"/>
        </w:tabs>
        <w:ind w:left="851"/>
        <w:rPr>
          <w:sz w:val="24"/>
          <w:szCs w:val="24"/>
          <w:lang w:val="en-US"/>
        </w:rPr>
      </w:pPr>
    </w:p>
    <w:p w:rsidR="009514CD" w:rsidRPr="009514CD" w:rsidRDefault="009514CD" w:rsidP="009514CD">
      <w:pPr>
        <w:tabs>
          <w:tab w:val="left" w:pos="851"/>
        </w:tabs>
        <w:ind w:left="851"/>
        <w:rPr>
          <w:sz w:val="24"/>
          <w:szCs w:val="24"/>
          <w:lang w:val="en-US"/>
        </w:rPr>
      </w:pPr>
      <w:r w:rsidRPr="009514CD">
        <w:rPr>
          <w:sz w:val="24"/>
          <w:szCs w:val="24"/>
          <w:lang w:val="en-US"/>
        </w:rPr>
        <w:t>The concomitant use of dasatinib and a histamine-2 (H2) antagonist (e.g. famotidine), proton pump inhibitor (e.g. omeprazole), or aluminium hydroxide/magnesium hydroxide may reduce the exposure to dasatinib. Thus, H2 antagonists and proton pump inhibitors are not recommended and aluminium hydroxide/magnesium hydroxide products should be administered up to 2 hours prior to, or 2 hours following the administration of dasatinib (see section 4.5).</w:t>
      </w:r>
    </w:p>
    <w:p w:rsidR="009514CD" w:rsidRPr="009514CD" w:rsidRDefault="009514CD" w:rsidP="009514CD">
      <w:pPr>
        <w:tabs>
          <w:tab w:val="left" w:pos="851"/>
        </w:tabs>
        <w:ind w:left="851"/>
        <w:rPr>
          <w:sz w:val="24"/>
          <w:szCs w:val="24"/>
          <w:lang w:val="en-US"/>
        </w:rPr>
      </w:pPr>
    </w:p>
    <w:p w:rsidR="009514CD" w:rsidRPr="009514CD" w:rsidRDefault="009514CD" w:rsidP="009514CD">
      <w:pPr>
        <w:tabs>
          <w:tab w:val="left" w:pos="851"/>
        </w:tabs>
        <w:ind w:left="851"/>
        <w:rPr>
          <w:sz w:val="24"/>
          <w:szCs w:val="24"/>
          <w:lang w:val="en-US"/>
        </w:rPr>
      </w:pPr>
      <w:r w:rsidRPr="009514CD">
        <w:rPr>
          <w:sz w:val="24"/>
          <w:szCs w:val="24"/>
          <w:u w:val="single"/>
          <w:lang w:val="en-US"/>
        </w:rPr>
        <w:t>Special populations</w:t>
      </w:r>
    </w:p>
    <w:p w:rsidR="009514CD" w:rsidRPr="009514CD" w:rsidRDefault="009514CD" w:rsidP="009514CD">
      <w:pPr>
        <w:tabs>
          <w:tab w:val="left" w:pos="851"/>
        </w:tabs>
        <w:ind w:left="851"/>
        <w:rPr>
          <w:sz w:val="24"/>
          <w:szCs w:val="24"/>
          <w:lang w:val="en-US"/>
        </w:rPr>
      </w:pPr>
      <w:r w:rsidRPr="009514CD">
        <w:rPr>
          <w:sz w:val="24"/>
          <w:szCs w:val="24"/>
          <w:lang w:val="en-US"/>
        </w:rPr>
        <w:t>Based on the findings from a single-dose pharmacokinetic study, patients with mild, moderate or severe hepatic impairment may receive the recommended starting dose (see section 5.2). Due to the limitations of this clinical study, caution is recommended when administering dasatinib to patients with hepatic impairment.</w:t>
      </w:r>
    </w:p>
    <w:p w:rsidR="009514CD" w:rsidRPr="009514CD" w:rsidRDefault="009514CD" w:rsidP="009514CD">
      <w:pPr>
        <w:tabs>
          <w:tab w:val="left" w:pos="851"/>
        </w:tabs>
        <w:ind w:left="851"/>
        <w:rPr>
          <w:sz w:val="24"/>
          <w:szCs w:val="24"/>
          <w:lang w:val="en-US"/>
        </w:rPr>
      </w:pPr>
    </w:p>
    <w:p w:rsidR="009514CD" w:rsidRPr="009514CD" w:rsidRDefault="009514CD" w:rsidP="009514CD">
      <w:pPr>
        <w:tabs>
          <w:tab w:val="left" w:pos="851"/>
        </w:tabs>
        <w:ind w:left="851"/>
        <w:rPr>
          <w:sz w:val="24"/>
          <w:szCs w:val="24"/>
          <w:lang w:val="en-US"/>
        </w:rPr>
      </w:pPr>
      <w:r w:rsidRPr="009514CD">
        <w:rPr>
          <w:sz w:val="24"/>
          <w:szCs w:val="24"/>
          <w:u w:val="single"/>
          <w:lang w:val="en-US"/>
        </w:rPr>
        <w:t>Important adverse reactions</w:t>
      </w:r>
    </w:p>
    <w:p w:rsidR="00694396" w:rsidRDefault="00694396" w:rsidP="009514CD">
      <w:pPr>
        <w:tabs>
          <w:tab w:val="left" w:pos="851"/>
        </w:tabs>
        <w:ind w:left="851"/>
        <w:rPr>
          <w:i/>
          <w:sz w:val="24"/>
          <w:szCs w:val="24"/>
          <w:u w:val="single"/>
          <w:lang w:val="en-US"/>
        </w:rPr>
      </w:pPr>
    </w:p>
    <w:p w:rsidR="009514CD" w:rsidRPr="009514CD" w:rsidRDefault="009514CD" w:rsidP="009514CD">
      <w:pPr>
        <w:tabs>
          <w:tab w:val="left" w:pos="851"/>
        </w:tabs>
        <w:ind w:left="851"/>
        <w:rPr>
          <w:i/>
          <w:sz w:val="24"/>
          <w:szCs w:val="24"/>
          <w:lang w:val="en-US"/>
        </w:rPr>
      </w:pPr>
      <w:r w:rsidRPr="009514CD">
        <w:rPr>
          <w:i/>
          <w:sz w:val="24"/>
          <w:szCs w:val="24"/>
          <w:u w:val="single"/>
          <w:lang w:val="en-US"/>
        </w:rPr>
        <w:t>Myelosuppression</w:t>
      </w:r>
    </w:p>
    <w:p w:rsidR="009514CD" w:rsidRPr="009514CD" w:rsidRDefault="009514CD" w:rsidP="009514CD">
      <w:pPr>
        <w:tabs>
          <w:tab w:val="left" w:pos="851"/>
        </w:tabs>
        <w:ind w:left="851"/>
        <w:rPr>
          <w:sz w:val="24"/>
          <w:szCs w:val="24"/>
          <w:lang w:val="en-US"/>
        </w:rPr>
      </w:pPr>
      <w:r w:rsidRPr="009514CD">
        <w:rPr>
          <w:sz w:val="24"/>
          <w:szCs w:val="24"/>
          <w:lang w:val="en-US"/>
        </w:rPr>
        <w:t xml:space="preserve">Treatment with dasatinib is associated with anaemia, neutropaenia and thrombocytopaenia. Their occurrence is earlier and more frequent in patients with advanced phase CML or Ph+ ALL than in chronic phase CML. In adult patients with advanced phase CML or Ph+ ALL treated with dasatinib as monotherapy, complete blood counts (CBCs) should be performed weekly for the first 2 months, and then monthly thereafter, or as clinically indicated. In adult and paediatric patients with chronic phase CML, complete blood counts should be </w:t>
      </w:r>
      <w:r w:rsidRPr="009514CD">
        <w:rPr>
          <w:sz w:val="24"/>
          <w:szCs w:val="24"/>
          <w:lang w:val="en-US"/>
        </w:rPr>
        <w:lastRenderedPageBreak/>
        <w:t>performed every 2 weeks for 12 weeks, then every 3 months thereafter or as clinically indicated. In paediatric patients with Ph+ ALL treated with dasatinib in combination with chemotherapy, CBCs should be performed prior to the start of each block of chemotherapy and as clinically indicated. During the consolidation blocks of chemotherapy, CBCs should be performed every 2 days until recovery (see sections 4.2 and 4.8). Myelosuppression is generally reversible and usually managed by withholding dasatinib temporarily or by dose reduction.</w:t>
      </w:r>
    </w:p>
    <w:p w:rsidR="009514CD" w:rsidRPr="009514CD" w:rsidRDefault="009514CD" w:rsidP="009514CD">
      <w:pPr>
        <w:tabs>
          <w:tab w:val="left" w:pos="851"/>
        </w:tabs>
        <w:ind w:left="851"/>
        <w:rPr>
          <w:sz w:val="24"/>
          <w:szCs w:val="24"/>
          <w:lang w:val="en-US"/>
        </w:rPr>
      </w:pPr>
    </w:p>
    <w:p w:rsidR="009514CD" w:rsidRPr="009514CD" w:rsidRDefault="009514CD" w:rsidP="009514CD">
      <w:pPr>
        <w:tabs>
          <w:tab w:val="left" w:pos="851"/>
        </w:tabs>
        <w:ind w:left="851"/>
        <w:rPr>
          <w:i/>
          <w:sz w:val="24"/>
          <w:szCs w:val="24"/>
          <w:lang w:val="en-US"/>
        </w:rPr>
      </w:pPr>
      <w:r w:rsidRPr="009514CD">
        <w:rPr>
          <w:i/>
          <w:sz w:val="24"/>
          <w:szCs w:val="24"/>
          <w:u w:val="single"/>
          <w:lang w:val="en-US"/>
        </w:rPr>
        <w:t>Bleeding</w:t>
      </w:r>
    </w:p>
    <w:p w:rsidR="009514CD" w:rsidRPr="009514CD" w:rsidRDefault="009514CD" w:rsidP="009514CD">
      <w:pPr>
        <w:tabs>
          <w:tab w:val="left" w:pos="851"/>
        </w:tabs>
        <w:ind w:left="851"/>
        <w:rPr>
          <w:sz w:val="24"/>
          <w:szCs w:val="24"/>
          <w:lang w:val="en-US"/>
        </w:rPr>
      </w:pPr>
      <w:r w:rsidRPr="009514CD">
        <w:rPr>
          <w:sz w:val="24"/>
          <w:szCs w:val="24"/>
          <w:lang w:val="en-US"/>
        </w:rPr>
        <w:t>In patients with chronic phase CML (n=548), 5 patients (1%) receiving dasatinib had</w:t>
      </w:r>
    </w:p>
    <w:p w:rsidR="009514CD" w:rsidRPr="009514CD" w:rsidRDefault="009514CD" w:rsidP="009514CD">
      <w:pPr>
        <w:tabs>
          <w:tab w:val="left" w:pos="851"/>
        </w:tabs>
        <w:ind w:left="851"/>
        <w:rPr>
          <w:sz w:val="24"/>
          <w:szCs w:val="24"/>
          <w:lang w:val="en-US"/>
        </w:rPr>
      </w:pPr>
      <w:r w:rsidRPr="009514CD">
        <w:rPr>
          <w:sz w:val="24"/>
          <w:szCs w:val="24"/>
          <w:lang w:val="en-US"/>
        </w:rPr>
        <w:t xml:space="preserve">grade 3 or 4 haemorrhage. In clinical studies in patients with advanced phase CML receiving the recommended dose of dasatinib (n=304), severe central nervous system (CNS) haemorrhage occurred in 1% of patients. One case was fatal and was associated with Common Toxicity Criteria (CTC) grade 4 thrombocytopaenia. Grade 3 or 4 gastrointestinal haemorrhage occurred in 6% of patients with advanced phase CML and generally required treatment interruptions and transfusions. Other grade 3 or 4 haemorrhage occurred in 2% of patients with advanced phase CML. Most bleeding related adverse reactions in these patients were typically associated with grade 3 or 4 thrombocytopaenia (see section 4.8). Additionally, </w:t>
      </w:r>
      <w:r w:rsidRPr="009514CD">
        <w:rPr>
          <w:i/>
          <w:sz w:val="24"/>
          <w:szCs w:val="24"/>
          <w:lang w:val="en-US"/>
        </w:rPr>
        <w:t xml:space="preserve">in vitro </w:t>
      </w:r>
      <w:r w:rsidRPr="009514CD">
        <w:rPr>
          <w:sz w:val="24"/>
          <w:szCs w:val="24"/>
          <w:lang w:val="en-US"/>
        </w:rPr>
        <w:t xml:space="preserve">and </w:t>
      </w:r>
      <w:r w:rsidRPr="009514CD">
        <w:rPr>
          <w:i/>
          <w:sz w:val="24"/>
          <w:szCs w:val="24"/>
          <w:lang w:val="en-US"/>
        </w:rPr>
        <w:t xml:space="preserve">in vivo </w:t>
      </w:r>
      <w:r w:rsidRPr="009514CD">
        <w:rPr>
          <w:sz w:val="24"/>
          <w:szCs w:val="24"/>
          <w:lang w:val="en-US"/>
        </w:rPr>
        <w:t>platelet assays suggest that dasatinib treatment reversibly affects platelet activation.</w:t>
      </w:r>
    </w:p>
    <w:p w:rsidR="009514CD" w:rsidRPr="009514CD" w:rsidRDefault="009514CD" w:rsidP="009514CD">
      <w:pPr>
        <w:tabs>
          <w:tab w:val="left" w:pos="851"/>
        </w:tabs>
        <w:ind w:left="851"/>
        <w:rPr>
          <w:sz w:val="24"/>
          <w:szCs w:val="24"/>
          <w:lang w:val="en-US"/>
        </w:rPr>
      </w:pPr>
    </w:p>
    <w:p w:rsidR="009514CD" w:rsidRPr="009514CD" w:rsidRDefault="009514CD" w:rsidP="009514CD">
      <w:pPr>
        <w:tabs>
          <w:tab w:val="left" w:pos="851"/>
        </w:tabs>
        <w:ind w:left="851"/>
        <w:rPr>
          <w:sz w:val="24"/>
          <w:szCs w:val="24"/>
          <w:lang w:val="en-US"/>
        </w:rPr>
      </w:pPr>
      <w:r w:rsidRPr="009514CD">
        <w:rPr>
          <w:sz w:val="24"/>
          <w:szCs w:val="24"/>
          <w:lang w:val="en-US"/>
        </w:rPr>
        <w:t>Caution should be exercised if patients are required to take medicinal products that inhibit platelet function or anticoagulants.</w:t>
      </w:r>
    </w:p>
    <w:p w:rsidR="009514CD" w:rsidRPr="009514CD" w:rsidRDefault="009514CD" w:rsidP="009514CD">
      <w:pPr>
        <w:tabs>
          <w:tab w:val="left" w:pos="851"/>
        </w:tabs>
        <w:ind w:left="851"/>
        <w:rPr>
          <w:sz w:val="24"/>
          <w:szCs w:val="24"/>
          <w:lang w:val="en-US"/>
        </w:rPr>
      </w:pPr>
    </w:p>
    <w:p w:rsidR="009514CD" w:rsidRPr="009514CD" w:rsidRDefault="009514CD" w:rsidP="009514CD">
      <w:pPr>
        <w:tabs>
          <w:tab w:val="left" w:pos="851"/>
        </w:tabs>
        <w:ind w:left="851"/>
        <w:rPr>
          <w:i/>
          <w:sz w:val="24"/>
          <w:szCs w:val="24"/>
          <w:lang w:val="en-US"/>
        </w:rPr>
      </w:pPr>
      <w:r w:rsidRPr="009514CD">
        <w:rPr>
          <w:i/>
          <w:sz w:val="24"/>
          <w:szCs w:val="24"/>
          <w:u w:val="single"/>
          <w:lang w:val="en-US"/>
        </w:rPr>
        <w:t>Fluid retention</w:t>
      </w:r>
    </w:p>
    <w:p w:rsidR="009514CD" w:rsidRPr="009514CD" w:rsidRDefault="009514CD" w:rsidP="009514CD">
      <w:pPr>
        <w:tabs>
          <w:tab w:val="left" w:pos="851"/>
        </w:tabs>
        <w:ind w:left="851"/>
        <w:rPr>
          <w:sz w:val="24"/>
          <w:szCs w:val="24"/>
          <w:lang w:val="en-US"/>
        </w:rPr>
      </w:pPr>
      <w:r w:rsidRPr="009514CD">
        <w:rPr>
          <w:sz w:val="24"/>
          <w:szCs w:val="24"/>
          <w:lang w:val="en-US"/>
        </w:rPr>
        <w:t>Dasatinib is associated with fluid retention. In the Phase III clinical study in patients with newly diagnosed chronic phase CML, grade 3 or 4 fluid retention was reported in 13 patients (5%) in the dasatinib-treatment group and in 2 patients (1%) in the imatinib-treatment group after a minimum of 60 months follow-up (see section 4.8). In all dasatinib treated patients with chronic phase CML, severe fluid retention occurred in 32 patients (6%) receiving dasatinib at the recommended dose (n=548). In clinical studies in patients with advanced phase CML or Ph+ ALL receiving dasatinib at the recommended dose (n=304), grade 3 or 4 fluid retention was reported in 8% of patients, including grade 3 or 4 pleural and pericardial effusion reported in 7% and 1% of patients, respectively. In these patients grade 3 or 4 pulmonary oedema and pulmonary hypertension were each reported in 1% of patients.</w:t>
      </w:r>
    </w:p>
    <w:p w:rsidR="009514CD" w:rsidRPr="009514CD" w:rsidRDefault="009514CD" w:rsidP="009514CD">
      <w:pPr>
        <w:tabs>
          <w:tab w:val="left" w:pos="851"/>
        </w:tabs>
        <w:ind w:left="851"/>
        <w:rPr>
          <w:sz w:val="24"/>
          <w:szCs w:val="24"/>
          <w:lang w:val="en-US"/>
        </w:rPr>
      </w:pPr>
    </w:p>
    <w:p w:rsidR="009514CD" w:rsidRPr="009514CD" w:rsidRDefault="009514CD" w:rsidP="009514CD">
      <w:pPr>
        <w:tabs>
          <w:tab w:val="left" w:pos="851"/>
        </w:tabs>
        <w:ind w:left="851"/>
        <w:rPr>
          <w:sz w:val="24"/>
          <w:szCs w:val="24"/>
          <w:lang w:val="en-US"/>
        </w:rPr>
      </w:pPr>
      <w:r w:rsidRPr="009514CD">
        <w:rPr>
          <w:sz w:val="24"/>
          <w:szCs w:val="24"/>
          <w:lang w:val="en-US"/>
        </w:rPr>
        <w:t>Patients who develop symptoms suggestive of pleural effusion such as dyspnoea or dry cough should be evaluated by chest X-ray. Grade 3 or 4 pleural effusion may require thoracocentesis and oxygen therapy. Fluid retention adverse reactions were typically managed by supportive care measures that include diuretics and short courses of steroids (see sections 4.2 and 4.8). Patients aged 65 years and older are more likely than younger patients to experience pleural effusion, dyspnoea, cough, pericardial effusion and congestive heart failure, and should be monitored closely. Cases of chylothorax have also been reported in patients presenting with pleural effusion (see section 4.8).</w:t>
      </w:r>
    </w:p>
    <w:p w:rsidR="009514CD" w:rsidRPr="009514CD" w:rsidRDefault="009514CD" w:rsidP="009514CD">
      <w:pPr>
        <w:tabs>
          <w:tab w:val="left" w:pos="851"/>
        </w:tabs>
        <w:ind w:left="851"/>
        <w:rPr>
          <w:sz w:val="24"/>
          <w:szCs w:val="24"/>
          <w:lang w:val="en-US"/>
        </w:rPr>
      </w:pPr>
    </w:p>
    <w:p w:rsidR="009514CD" w:rsidRPr="009514CD" w:rsidRDefault="009514CD" w:rsidP="009514CD">
      <w:pPr>
        <w:tabs>
          <w:tab w:val="left" w:pos="851"/>
        </w:tabs>
        <w:ind w:left="851"/>
        <w:rPr>
          <w:i/>
          <w:sz w:val="24"/>
          <w:szCs w:val="24"/>
          <w:lang w:val="en-US"/>
        </w:rPr>
      </w:pPr>
      <w:r w:rsidRPr="009514CD">
        <w:rPr>
          <w:i/>
          <w:sz w:val="24"/>
          <w:szCs w:val="24"/>
          <w:u w:val="single"/>
          <w:lang w:val="en-US"/>
        </w:rPr>
        <w:t>Pulmonary arterial hypertension (PAH)</w:t>
      </w:r>
    </w:p>
    <w:p w:rsidR="009514CD" w:rsidRPr="009514CD" w:rsidRDefault="009514CD" w:rsidP="009514CD">
      <w:pPr>
        <w:tabs>
          <w:tab w:val="left" w:pos="851"/>
        </w:tabs>
        <w:ind w:left="851"/>
        <w:rPr>
          <w:sz w:val="24"/>
          <w:szCs w:val="24"/>
          <w:lang w:val="en-US"/>
        </w:rPr>
      </w:pPr>
      <w:r w:rsidRPr="009514CD">
        <w:rPr>
          <w:sz w:val="24"/>
          <w:szCs w:val="24"/>
          <w:lang w:val="en-US"/>
        </w:rPr>
        <w:t>PAH (pre-capillary pulmonary arterial hypertension confirmed by right heart catheterization) has been reported in association with dasatinib treatment (see section 4.8). In these cases, PAH was reported after initiation of dasatinib therapy, including after more than one year of treatment.</w:t>
      </w:r>
    </w:p>
    <w:p w:rsidR="009514CD" w:rsidRPr="009514CD" w:rsidRDefault="009514CD" w:rsidP="009514CD">
      <w:pPr>
        <w:tabs>
          <w:tab w:val="left" w:pos="851"/>
        </w:tabs>
        <w:ind w:left="851"/>
        <w:rPr>
          <w:sz w:val="24"/>
          <w:szCs w:val="24"/>
          <w:lang w:val="en-US"/>
        </w:rPr>
      </w:pPr>
    </w:p>
    <w:p w:rsidR="009514CD" w:rsidRPr="009514CD" w:rsidRDefault="009514CD" w:rsidP="009514CD">
      <w:pPr>
        <w:tabs>
          <w:tab w:val="left" w:pos="851"/>
        </w:tabs>
        <w:ind w:left="851"/>
        <w:rPr>
          <w:sz w:val="24"/>
          <w:szCs w:val="24"/>
          <w:lang w:val="en-US"/>
        </w:rPr>
      </w:pPr>
      <w:r w:rsidRPr="009514CD">
        <w:rPr>
          <w:sz w:val="24"/>
          <w:szCs w:val="24"/>
          <w:lang w:val="en-US"/>
        </w:rPr>
        <w:t>Patients should be evaluated for signs and symptoms of underlying cardiopulmonary disease prior to initiating dasatinib therapy. An echocardiography should be performed at treatment initiation in every patient presenting symptoms of cardiac disease and considered in patients with risk factors for cardiac or pulmonary disease. Patients who develop dyspnoea and fatigue after initiation of therapy should be evaluated for common etiologies including pleural effusion, pulmonary oedema, anaemia, or lung infiltration. In accordance with recommendations for management of non-haematologic adverse reactions (see section 4.2) the dose of dasatinib should be reduced or therapy interrupted during this evaluation. If no explanation is found, or if there is no improvement with dose reduction or interruption, the diagnosis of PAH should be considered. The diagnostic approach should follow standard practice guidelines. If PAH is confirmed, dasatinib should be permanently discontinued.</w:t>
      </w:r>
    </w:p>
    <w:p w:rsidR="009514CD" w:rsidRPr="009514CD" w:rsidRDefault="009514CD" w:rsidP="009514CD">
      <w:pPr>
        <w:tabs>
          <w:tab w:val="left" w:pos="851"/>
        </w:tabs>
        <w:ind w:left="851"/>
        <w:rPr>
          <w:sz w:val="24"/>
          <w:szCs w:val="24"/>
          <w:lang w:val="en-US"/>
        </w:rPr>
      </w:pPr>
      <w:r w:rsidRPr="009514CD">
        <w:rPr>
          <w:sz w:val="24"/>
          <w:szCs w:val="24"/>
          <w:lang w:val="en-US"/>
        </w:rPr>
        <w:t>Follow up should be performed according to standard practice guidelines. Improvements in haemodynamic and clinical parameters have been observed in dasatinib-treated patients with PAH following cessation of dasatinib therapy.</w:t>
      </w:r>
    </w:p>
    <w:p w:rsidR="009514CD" w:rsidRPr="009514CD" w:rsidRDefault="009514CD" w:rsidP="009514CD">
      <w:pPr>
        <w:tabs>
          <w:tab w:val="left" w:pos="851"/>
        </w:tabs>
        <w:ind w:left="851"/>
        <w:rPr>
          <w:sz w:val="24"/>
          <w:szCs w:val="24"/>
          <w:lang w:val="en-US"/>
        </w:rPr>
      </w:pPr>
    </w:p>
    <w:p w:rsidR="009514CD" w:rsidRPr="009514CD" w:rsidRDefault="009514CD" w:rsidP="009514CD">
      <w:pPr>
        <w:tabs>
          <w:tab w:val="left" w:pos="851"/>
        </w:tabs>
        <w:ind w:left="851"/>
        <w:rPr>
          <w:i/>
          <w:sz w:val="24"/>
          <w:szCs w:val="24"/>
          <w:lang w:val="en-US"/>
        </w:rPr>
      </w:pPr>
      <w:r w:rsidRPr="009514CD">
        <w:rPr>
          <w:i/>
          <w:sz w:val="24"/>
          <w:szCs w:val="24"/>
          <w:u w:val="single"/>
          <w:lang w:val="en-US"/>
        </w:rPr>
        <w:t>QT Prolongation</w:t>
      </w:r>
    </w:p>
    <w:p w:rsidR="009514CD" w:rsidRPr="009514CD" w:rsidRDefault="009514CD" w:rsidP="009514CD">
      <w:pPr>
        <w:tabs>
          <w:tab w:val="left" w:pos="851"/>
        </w:tabs>
        <w:ind w:left="851"/>
        <w:rPr>
          <w:sz w:val="24"/>
          <w:szCs w:val="24"/>
          <w:lang w:val="en-US"/>
        </w:rPr>
      </w:pPr>
      <w:r w:rsidRPr="009514CD">
        <w:rPr>
          <w:i/>
          <w:sz w:val="24"/>
          <w:szCs w:val="24"/>
          <w:lang w:val="en-US"/>
        </w:rPr>
        <w:t xml:space="preserve">In vitro </w:t>
      </w:r>
      <w:r w:rsidRPr="009514CD">
        <w:rPr>
          <w:sz w:val="24"/>
          <w:szCs w:val="24"/>
          <w:lang w:val="en-US"/>
        </w:rPr>
        <w:t>data suggest that dasatinib has the potential to prolong cardiac ventricular repolarisation (QT Interval) (see section 5.3). In 258 dasatinib-treated patients and 258 imatinib-treated patients with a minimum of 60 months follow-up in the Phase III study in newly diagnosed chronic phase CML, 1 patient (&lt; 1%) in each group had QTc prolongation reported as an adverse reaction. The median changes in QTcF from baseline were 3.0 msec in dasatinib-treated patients compared to 8.2 msec in imatinib-treated patients. One patient (&lt; 1%) in each group experienced a QTcF &gt; 500 msec. In</w:t>
      </w:r>
    </w:p>
    <w:p w:rsidR="009514CD" w:rsidRPr="009514CD" w:rsidRDefault="009514CD" w:rsidP="009514CD">
      <w:pPr>
        <w:tabs>
          <w:tab w:val="left" w:pos="851"/>
        </w:tabs>
        <w:ind w:left="851"/>
        <w:rPr>
          <w:sz w:val="24"/>
          <w:szCs w:val="24"/>
          <w:lang w:val="en-US"/>
        </w:rPr>
      </w:pPr>
      <w:r w:rsidRPr="009514CD">
        <w:rPr>
          <w:sz w:val="24"/>
          <w:szCs w:val="24"/>
          <w:lang w:val="en-US"/>
        </w:rPr>
        <w:t>865 patients with leukaemia treated with dasatinib in Phase II clinical studies, the mean changes from baseline in QTc interval using Fridericia's method (QTcF) were 4 - 6 msec; the upper 95% confidence intervals for all mean changes from baseline were &lt; 7 msec (see section 4.8).</w:t>
      </w:r>
    </w:p>
    <w:p w:rsidR="009514CD" w:rsidRPr="009514CD" w:rsidRDefault="009514CD" w:rsidP="009514CD">
      <w:pPr>
        <w:tabs>
          <w:tab w:val="left" w:pos="851"/>
        </w:tabs>
        <w:ind w:left="851"/>
        <w:rPr>
          <w:sz w:val="24"/>
          <w:szCs w:val="24"/>
          <w:lang w:val="en-US"/>
        </w:rPr>
      </w:pPr>
      <w:r w:rsidRPr="009514CD">
        <w:rPr>
          <w:sz w:val="24"/>
          <w:szCs w:val="24"/>
          <w:lang w:val="en-US"/>
        </w:rPr>
        <w:t>Of the 2,182 patients with resistance or intolerance to prior imatinib therapy who received dasatinib in clinical studies, 15 (1%) had QTc prolongation reported as an adverse reaction. Twenty-one of these patients (1%) experienced a QTcF &gt; 500 msec.</w:t>
      </w:r>
    </w:p>
    <w:p w:rsidR="009514CD" w:rsidRPr="009514CD" w:rsidRDefault="009514CD" w:rsidP="009514CD">
      <w:pPr>
        <w:tabs>
          <w:tab w:val="left" w:pos="851"/>
        </w:tabs>
        <w:ind w:left="851"/>
        <w:rPr>
          <w:sz w:val="24"/>
          <w:szCs w:val="24"/>
          <w:lang w:val="en-US"/>
        </w:rPr>
      </w:pPr>
    </w:p>
    <w:p w:rsidR="009514CD" w:rsidRPr="009514CD" w:rsidRDefault="009514CD" w:rsidP="009514CD">
      <w:pPr>
        <w:tabs>
          <w:tab w:val="left" w:pos="851"/>
        </w:tabs>
        <w:ind w:left="851"/>
        <w:rPr>
          <w:sz w:val="24"/>
          <w:szCs w:val="24"/>
          <w:lang w:val="en-US"/>
        </w:rPr>
      </w:pPr>
      <w:r w:rsidRPr="009514CD">
        <w:rPr>
          <w:sz w:val="24"/>
          <w:szCs w:val="24"/>
          <w:lang w:val="en-US"/>
        </w:rPr>
        <w:t>Dasatinib should be administered with caution to patients who have or may develop prolongation of QTc. These include patients with hypokalaemia or hypomagnesaemia, patients with congenital long QT syndrome, patients taking anti-arrhythmic medicinal products or other medicinal products which lead to QT prolongation, and cumulative high dose anthracycline therapy. Hypokalaemia or hypomagnesaemia should be corrected prior to dasatinib administration.</w:t>
      </w:r>
    </w:p>
    <w:p w:rsidR="009514CD" w:rsidRPr="009514CD" w:rsidRDefault="009514CD" w:rsidP="009514CD">
      <w:pPr>
        <w:tabs>
          <w:tab w:val="left" w:pos="851"/>
        </w:tabs>
        <w:ind w:left="851"/>
        <w:rPr>
          <w:sz w:val="24"/>
          <w:szCs w:val="24"/>
          <w:lang w:val="en-US"/>
        </w:rPr>
      </w:pPr>
    </w:p>
    <w:p w:rsidR="009514CD" w:rsidRPr="009514CD" w:rsidRDefault="009514CD" w:rsidP="009514CD">
      <w:pPr>
        <w:tabs>
          <w:tab w:val="left" w:pos="851"/>
        </w:tabs>
        <w:ind w:left="851"/>
        <w:rPr>
          <w:i/>
          <w:sz w:val="24"/>
          <w:szCs w:val="24"/>
          <w:lang w:val="en-US"/>
        </w:rPr>
      </w:pPr>
      <w:r w:rsidRPr="009514CD">
        <w:rPr>
          <w:i/>
          <w:sz w:val="24"/>
          <w:szCs w:val="24"/>
          <w:u w:val="single"/>
          <w:lang w:val="en-US"/>
        </w:rPr>
        <w:t>Cardiac adverse reactions</w:t>
      </w:r>
    </w:p>
    <w:p w:rsidR="009514CD" w:rsidRPr="009514CD" w:rsidRDefault="009514CD" w:rsidP="009514CD">
      <w:pPr>
        <w:tabs>
          <w:tab w:val="left" w:pos="851"/>
        </w:tabs>
        <w:ind w:left="851"/>
        <w:rPr>
          <w:sz w:val="24"/>
          <w:szCs w:val="24"/>
          <w:lang w:val="en-US"/>
        </w:rPr>
      </w:pPr>
      <w:r w:rsidRPr="009514CD">
        <w:rPr>
          <w:sz w:val="24"/>
          <w:szCs w:val="24"/>
          <w:lang w:val="en-US"/>
        </w:rPr>
        <w:t>Dasatinib was studied in a randomised clinical study of 519 patients with newly diagnosed CML in chronic phase which included patients with prior cardiac disease. The cardiac adverse reactions of congestive heart failure/cardiac dysfunction, pericardial effusion, arrhythmias, palpitations, QT prolongation and myocardial infarction (including fatal) were reported in patients taking dasatinib. Cardiac adverse reactions were more frequent in patients with risk factors or a history of cardiac disease. Patients with risk factors (e.g. hypertension, hyperlipidaemia, diabetes) or a history of cardiac disease (e.g. prior percutaneous coronary intervention, documented coronary artery disease) should be monitored carefully for clinical signs or symptoms consistent with cardiac dysfunction such as chest pain, shortness of breath, and diaphoresis.</w:t>
      </w:r>
    </w:p>
    <w:p w:rsidR="009514CD" w:rsidRPr="009514CD" w:rsidRDefault="009514CD" w:rsidP="009514CD">
      <w:pPr>
        <w:tabs>
          <w:tab w:val="left" w:pos="851"/>
        </w:tabs>
        <w:ind w:left="851"/>
        <w:rPr>
          <w:sz w:val="24"/>
          <w:szCs w:val="24"/>
          <w:lang w:val="en-US"/>
        </w:rPr>
      </w:pPr>
    </w:p>
    <w:p w:rsidR="009514CD" w:rsidRPr="009514CD" w:rsidRDefault="009514CD" w:rsidP="009514CD">
      <w:pPr>
        <w:tabs>
          <w:tab w:val="left" w:pos="851"/>
        </w:tabs>
        <w:ind w:left="851"/>
        <w:rPr>
          <w:sz w:val="24"/>
          <w:szCs w:val="24"/>
          <w:lang w:val="en-US"/>
        </w:rPr>
      </w:pPr>
      <w:r w:rsidRPr="009514CD">
        <w:rPr>
          <w:sz w:val="24"/>
          <w:szCs w:val="24"/>
          <w:lang w:val="en-US"/>
        </w:rPr>
        <w:t>If these clinical signs or symptoms develop, physicians are advised to interrupt dasatinib administration and consider the need for alternative CML-specific treatment. After resolution, a functional assessment should be performed prior to resuming treatment with dasatinib. Dasatinib may be resumed at the original dose for mild/moderate adverse reactions (≤ grade 2) and resumed at a dose level reduction for severe adverse reactions (≥ grade 3) (see section 4.2). Patients continuing treatment should be monitored periodically.</w:t>
      </w:r>
    </w:p>
    <w:p w:rsidR="009514CD" w:rsidRPr="009514CD" w:rsidRDefault="009514CD" w:rsidP="009514CD">
      <w:pPr>
        <w:tabs>
          <w:tab w:val="left" w:pos="851"/>
        </w:tabs>
        <w:ind w:left="851"/>
        <w:rPr>
          <w:sz w:val="24"/>
          <w:szCs w:val="24"/>
          <w:lang w:val="en-US"/>
        </w:rPr>
      </w:pPr>
    </w:p>
    <w:p w:rsidR="009514CD" w:rsidRPr="009514CD" w:rsidRDefault="009514CD" w:rsidP="009514CD">
      <w:pPr>
        <w:tabs>
          <w:tab w:val="left" w:pos="851"/>
        </w:tabs>
        <w:ind w:left="851"/>
        <w:rPr>
          <w:sz w:val="24"/>
          <w:szCs w:val="24"/>
          <w:lang w:val="en-US"/>
        </w:rPr>
      </w:pPr>
      <w:r w:rsidRPr="009514CD">
        <w:rPr>
          <w:sz w:val="24"/>
          <w:szCs w:val="24"/>
          <w:lang w:val="en-US"/>
        </w:rPr>
        <w:t>Patients with uncontrolled or significant cardiovascular disease were not included in the clinical studies.</w:t>
      </w:r>
    </w:p>
    <w:p w:rsidR="009514CD" w:rsidRPr="009514CD" w:rsidRDefault="009514CD" w:rsidP="009514CD">
      <w:pPr>
        <w:tabs>
          <w:tab w:val="left" w:pos="851"/>
        </w:tabs>
        <w:ind w:left="851"/>
        <w:rPr>
          <w:sz w:val="24"/>
          <w:szCs w:val="24"/>
          <w:lang w:val="en-US"/>
        </w:rPr>
      </w:pPr>
    </w:p>
    <w:p w:rsidR="009514CD" w:rsidRPr="009514CD" w:rsidRDefault="009514CD" w:rsidP="009514CD">
      <w:pPr>
        <w:tabs>
          <w:tab w:val="left" w:pos="851"/>
        </w:tabs>
        <w:ind w:left="851"/>
        <w:rPr>
          <w:i/>
          <w:sz w:val="24"/>
          <w:szCs w:val="24"/>
          <w:lang w:val="en-US"/>
        </w:rPr>
      </w:pPr>
      <w:r w:rsidRPr="009514CD">
        <w:rPr>
          <w:i/>
          <w:sz w:val="24"/>
          <w:szCs w:val="24"/>
          <w:u w:val="single"/>
          <w:lang w:val="en-US"/>
        </w:rPr>
        <w:t>Thrombotic microangiopathy (TMA)</w:t>
      </w:r>
    </w:p>
    <w:p w:rsidR="009514CD" w:rsidRPr="009514CD" w:rsidRDefault="009514CD" w:rsidP="009514CD">
      <w:pPr>
        <w:tabs>
          <w:tab w:val="left" w:pos="851"/>
        </w:tabs>
        <w:ind w:left="851"/>
        <w:rPr>
          <w:sz w:val="24"/>
          <w:szCs w:val="24"/>
          <w:lang w:val="en-US"/>
        </w:rPr>
      </w:pPr>
      <w:r w:rsidRPr="009514CD">
        <w:rPr>
          <w:sz w:val="24"/>
          <w:szCs w:val="24"/>
          <w:lang w:val="en-US"/>
        </w:rPr>
        <w:t>BCR-ABL tyrosine kinase inhibitors have been associated with thrombotic microangiopathy (TMA), including individual case reports for dasatinib (see section 4.8). If laboratory or clinical findings associated with TMA occur in a patient receiving dasatinib, treatment with dasatinib should be discontinued and thorough evaluation for TMA, including ADAMTS13 activity and anti- ADAMTS13-antibody determination, should be completed. If anti-ADAMTS13-antibody is elevated in conjunction with low ADAMTS13 activity, treatment with dasatinib should not be resumed.</w:t>
      </w:r>
    </w:p>
    <w:p w:rsidR="009514CD" w:rsidRPr="009514CD" w:rsidRDefault="009514CD" w:rsidP="009514CD">
      <w:pPr>
        <w:tabs>
          <w:tab w:val="left" w:pos="851"/>
        </w:tabs>
        <w:ind w:left="851"/>
        <w:rPr>
          <w:sz w:val="24"/>
          <w:szCs w:val="24"/>
          <w:lang w:val="en-US"/>
        </w:rPr>
      </w:pPr>
    </w:p>
    <w:p w:rsidR="009514CD" w:rsidRPr="009514CD" w:rsidRDefault="009514CD" w:rsidP="009514CD">
      <w:pPr>
        <w:tabs>
          <w:tab w:val="left" w:pos="851"/>
        </w:tabs>
        <w:ind w:left="851"/>
        <w:rPr>
          <w:i/>
          <w:sz w:val="24"/>
          <w:szCs w:val="24"/>
          <w:lang w:val="en-US"/>
        </w:rPr>
      </w:pPr>
      <w:r w:rsidRPr="009514CD">
        <w:rPr>
          <w:i/>
          <w:sz w:val="24"/>
          <w:szCs w:val="24"/>
          <w:u w:val="single"/>
          <w:lang w:val="en-US"/>
        </w:rPr>
        <w:t>Hepatitis B reactivation</w:t>
      </w:r>
    </w:p>
    <w:p w:rsidR="009514CD" w:rsidRPr="009514CD" w:rsidRDefault="009514CD" w:rsidP="009514CD">
      <w:pPr>
        <w:tabs>
          <w:tab w:val="left" w:pos="851"/>
        </w:tabs>
        <w:ind w:left="851"/>
        <w:rPr>
          <w:sz w:val="24"/>
          <w:szCs w:val="24"/>
          <w:lang w:val="en-US"/>
        </w:rPr>
      </w:pPr>
      <w:r w:rsidRPr="009514CD">
        <w:rPr>
          <w:sz w:val="24"/>
          <w:szCs w:val="24"/>
          <w:lang w:val="en-US"/>
        </w:rPr>
        <w:t>Reactivation of hepatitis B in patients who are chronic carriers of this virus has occurred after these patients received BCR-ABL tyrosine kinase inhibitors. Some cases resulted in acute hepatic failure or fulminant hepatitis leading to liver transplantation or a fatal outcome.</w:t>
      </w:r>
    </w:p>
    <w:p w:rsidR="009514CD" w:rsidRPr="009514CD" w:rsidRDefault="009514CD" w:rsidP="009514CD">
      <w:pPr>
        <w:tabs>
          <w:tab w:val="left" w:pos="851"/>
        </w:tabs>
        <w:ind w:left="851"/>
        <w:rPr>
          <w:sz w:val="24"/>
          <w:szCs w:val="24"/>
          <w:lang w:val="en-US"/>
        </w:rPr>
      </w:pPr>
      <w:r w:rsidRPr="009514CD">
        <w:rPr>
          <w:sz w:val="24"/>
          <w:szCs w:val="24"/>
          <w:lang w:val="en-US"/>
        </w:rPr>
        <w:t>Patients should be tested for HBV infection before initiating treatment with dasatinib. Experts in liver disease and in the treatment of hepatitis B should be consulted before treatment is initiated in patients with positive hepatitis B serology (including those with active disease) and for patients who test positive for HBV infection during treatment. Carriers of HBV who require treatment with dasatinib should be closely monitored for signs and symptoms of active HBV infection throughout therapy and for several months following termination of therapy (see section 4.8).</w:t>
      </w:r>
    </w:p>
    <w:p w:rsidR="009514CD" w:rsidRPr="009514CD" w:rsidRDefault="009514CD" w:rsidP="009514CD">
      <w:pPr>
        <w:tabs>
          <w:tab w:val="left" w:pos="851"/>
        </w:tabs>
        <w:ind w:left="851"/>
        <w:rPr>
          <w:sz w:val="24"/>
          <w:szCs w:val="24"/>
          <w:lang w:val="en-US"/>
        </w:rPr>
      </w:pPr>
    </w:p>
    <w:p w:rsidR="009514CD" w:rsidRPr="009514CD" w:rsidRDefault="009514CD" w:rsidP="009514CD">
      <w:pPr>
        <w:tabs>
          <w:tab w:val="left" w:pos="851"/>
        </w:tabs>
        <w:ind w:left="851"/>
        <w:rPr>
          <w:i/>
          <w:sz w:val="24"/>
          <w:szCs w:val="24"/>
          <w:lang w:val="en-US"/>
        </w:rPr>
      </w:pPr>
      <w:r w:rsidRPr="009514CD">
        <w:rPr>
          <w:i/>
          <w:sz w:val="24"/>
          <w:szCs w:val="24"/>
          <w:u w:val="single"/>
          <w:lang w:val="en-US"/>
        </w:rPr>
        <w:t>Effects on growth and development in paediatric patients</w:t>
      </w:r>
    </w:p>
    <w:p w:rsidR="009514CD" w:rsidRPr="009514CD" w:rsidRDefault="009514CD" w:rsidP="009514CD">
      <w:pPr>
        <w:tabs>
          <w:tab w:val="left" w:pos="851"/>
        </w:tabs>
        <w:ind w:left="851"/>
        <w:rPr>
          <w:sz w:val="24"/>
          <w:szCs w:val="24"/>
          <w:lang w:val="en-US"/>
        </w:rPr>
      </w:pPr>
      <w:r w:rsidRPr="009514CD">
        <w:rPr>
          <w:sz w:val="24"/>
          <w:szCs w:val="24"/>
          <w:lang w:val="en-US"/>
        </w:rPr>
        <w:t>In paediatric trials of dasatinib in imatinib-resistant/intolerant Ph+ CML-CP paediatric patients and treatment-naive Ph+ CML-CP paediatric patients after at least 2 years of treatment, treatment-related adverse events associated with bone growth and development were reported in 6 (4.6%) patients, one</w:t>
      </w:r>
      <w:r w:rsidR="00F430C7">
        <w:rPr>
          <w:sz w:val="24"/>
          <w:szCs w:val="24"/>
          <w:lang w:val="en-US"/>
        </w:rPr>
        <w:t xml:space="preserve"> </w:t>
      </w:r>
      <w:r w:rsidRPr="009514CD">
        <w:rPr>
          <w:sz w:val="24"/>
          <w:szCs w:val="24"/>
          <w:lang w:val="en-US"/>
        </w:rPr>
        <w:t>of which was severe in intensity (Growth Retardation Grade 3). These 6 cases included cases of epiphyses delayed fusion, osteopaenia, growth retardation, and gynecomastia (see section 5.1). These results are difficult to interpret in the context of chronic diseases such as CML, and require long-term follow-up.</w:t>
      </w:r>
    </w:p>
    <w:p w:rsidR="009514CD" w:rsidRPr="009514CD" w:rsidRDefault="009514CD" w:rsidP="009514CD">
      <w:pPr>
        <w:tabs>
          <w:tab w:val="left" w:pos="851"/>
        </w:tabs>
        <w:ind w:left="851"/>
        <w:rPr>
          <w:sz w:val="24"/>
          <w:szCs w:val="24"/>
          <w:lang w:val="en-US"/>
        </w:rPr>
      </w:pPr>
    </w:p>
    <w:p w:rsidR="009514CD" w:rsidRPr="009514CD" w:rsidRDefault="009514CD" w:rsidP="009514CD">
      <w:pPr>
        <w:tabs>
          <w:tab w:val="left" w:pos="851"/>
        </w:tabs>
        <w:ind w:left="851"/>
        <w:rPr>
          <w:sz w:val="24"/>
          <w:szCs w:val="24"/>
          <w:lang w:val="en-US"/>
        </w:rPr>
      </w:pPr>
      <w:r w:rsidRPr="009514CD">
        <w:rPr>
          <w:sz w:val="24"/>
          <w:szCs w:val="24"/>
          <w:lang w:val="en-US"/>
        </w:rPr>
        <w:t>In paediatric trials of dasatinib in combination with chemotherapy in newly diagnosed Ph+ ALL paediatric patients after a maximum of 2 years of treatment, treatment-related adverse events associated with bone growth and development were reported in 1 (0.6%) patient. This case was a Grade 1 osteopenia.</w:t>
      </w:r>
    </w:p>
    <w:p w:rsidR="009514CD" w:rsidRPr="009514CD" w:rsidRDefault="009514CD" w:rsidP="009514CD">
      <w:pPr>
        <w:tabs>
          <w:tab w:val="left" w:pos="851"/>
        </w:tabs>
        <w:ind w:left="851"/>
        <w:rPr>
          <w:sz w:val="24"/>
          <w:szCs w:val="24"/>
          <w:lang w:val="en-US"/>
        </w:rPr>
      </w:pPr>
    </w:p>
    <w:p w:rsidR="009514CD" w:rsidRPr="009514CD" w:rsidRDefault="009514CD" w:rsidP="009514CD">
      <w:pPr>
        <w:tabs>
          <w:tab w:val="left" w:pos="851"/>
        </w:tabs>
        <w:ind w:left="851"/>
        <w:rPr>
          <w:sz w:val="24"/>
          <w:szCs w:val="24"/>
          <w:lang w:val="en-US"/>
        </w:rPr>
      </w:pPr>
      <w:r w:rsidRPr="009514CD">
        <w:rPr>
          <w:sz w:val="24"/>
          <w:szCs w:val="24"/>
          <w:lang w:val="en-US"/>
        </w:rPr>
        <w:t xml:space="preserve">Growth retardation has been observed in paediatric patients treated with dasatinib in clinical trials (see section 4.8). After a maximum of 2 years of treatment, a downward trend in expected height has been observed, at the same degree as observed with the use of </w:t>
      </w:r>
      <w:r w:rsidRPr="009514CD">
        <w:rPr>
          <w:sz w:val="24"/>
          <w:szCs w:val="24"/>
          <w:lang w:val="en-US"/>
        </w:rPr>
        <w:lastRenderedPageBreak/>
        <w:t>chemotherapy alone, without impacting expected weight and BMI and no association with hormones abnormalities or other laboratory parameters. Monitoring of bone growth and development in paediatric patients is recommended.</w:t>
      </w:r>
    </w:p>
    <w:p w:rsidR="009514CD" w:rsidRPr="009514CD" w:rsidRDefault="009514CD" w:rsidP="009514CD">
      <w:pPr>
        <w:tabs>
          <w:tab w:val="left" w:pos="851"/>
        </w:tabs>
        <w:ind w:left="851"/>
        <w:rPr>
          <w:sz w:val="24"/>
          <w:szCs w:val="24"/>
          <w:lang w:val="en-US"/>
        </w:rPr>
      </w:pPr>
    </w:p>
    <w:p w:rsidR="009514CD" w:rsidRPr="009514CD" w:rsidRDefault="009514CD" w:rsidP="009514CD">
      <w:pPr>
        <w:tabs>
          <w:tab w:val="left" w:pos="851"/>
        </w:tabs>
        <w:ind w:left="851"/>
        <w:rPr>
          <w:sz w:val="24"/>
          <w:szCs w:val="24"/>
          <w:u w:val="single"/>
          <w:lang w:val="en-US"/>
        </w:rPr>
      </w:pPr>
      <w:r w:rsidRPr="009514CD">
        <w:rPr>
          <w:sz w:val="24"/>
          <w:szCs w:val="24"/>
          <w:u w:val="single"/>
          <w:lang w:val="en-US"/>
        </w:rPr>
        <w:t>Excipients</w:t>
      </w:r>
    </w:p>
    <w:p w:rsidR="009514CD" w:rsidRPr="009514CD" w:rsidRDefault="009514CD" w:rsidP="009514CD">
      <w:pPr>
        <w:tabs>
          <w:tab w:val="left" w:pos="851"/>
        </w:tabs>
        <w:ind w:left="851"/>
        <w:rPr>
          <w:sz w:val="24"/>
          <w:szCs w:val="24"/>
          <w:lang w:val="en-US"/>
        </w:rPr>
      </w:pPr>
    </w:p>
    <w:p w:rsidR="009514CD" w:rsidRPr="00694396" w:rsidRDefault="009514CD" w:rsidP="009514CD">
      <w:pPr>
        <w:tabs>
          <w:tab w:val="left" w:pos="851"/>
        </w:tabs>
        <w:ind w:left="851"/>
        <w:rPr>
          <w:i/>
          <w:sz w:val="24"/>
          <w:szCs w:val="24"/>
          <w:lang w:val="en-US"/>
        </w:rPr>
      </w:pPr>
      <w:r w:rsidRPr="00694396">
        <w:rPr>
          <w:i/>
          <w:sz w:val="24"/>
          <w:szCs w:val="24"/>
          <w:lang w:val="en-US"/>
        </w:rPr>
        <w:t>Lactose</w:t>
      </w:r>
    </w:p>
    <w:p w:rsidR="009514CD" w:rsidRPr="009514CD" w:rsidRDefault="009514CD" w:rsidP="009514CD">
      <w:pPr>
        <w:tabs>
          <w:tab w:val="left" w:pos="851"/>
        </w:tabs>
        <w:ind w:left="851"/>
        <w:rPr>
          <w:sz w:val="24"/>
          <w:szCs w:val="24"/>
          <w:lang w:val="en-US"/>
        </w:rPr>
      </w:pPr>
      <w:r w:rsidRPr="009514CD">
        <w:rPr>
          <w:sz w:val="24"/>
          <w:szCs w:val="24"/>
          <w:lang w:val="en-US"/>
        </w:rPr>
        <w:t>This medicinal product contains lactose monohydrate. Patients with rare hereditary problems of galactose intolerance, total lactase deficiency or glucose-galactose malabsorption should not take this medicine.</w:t>
      </w:r>
    </w:p>
    <w:p w:rsidR="009514CD" w:rsidRPr="009514CD" w:rsidRDefault="009514CD" w:rsidP="009514CD">
      <w:pPr>
        <w:tabs>
          <w:tab w:val="left" w:pos="851"/>
        </w:tabs>
        <w:ind w:left="851"/>
        <w:rPr>
          <w:sz w:val="24"/>
          <w:szCs w:val="24"/>
          <w:lang w:val="en-US"/>
        </w:rPr>
      </w:pPr>
    </w:p>
    <w:p w:rsidR="009514CD" w:rsidRPr="00694396" w:rsidRDefault="009514CD" w:rsidP="009514CD">
      <w:pPr>
        <w:tabs>
          <w:tab w:val="left" w:pos="851"/>
        </w:tabs>
        <w:ind w:left="851"/>
        <w:rPr>
          <w:i/>
          <w:sz w:val="24"/>
          <w:szCs w:val="24"/>
          <w:lang w:val="en-US"/>
        </w:rPr>
      </w:pPr>
      <w:r w:rsidRPr="00694396">
        <w:rPr>
          <w:i/>
          <w:sz w:val="24"/>
          <w:szCs w:val="24"/>
          <w:lang w:val="en-US"/>
        </w:rPr>
        <w:t>Sodium</w:t>
      </w:r>
    </w:p>
    <w:p w:rsidR="009514CD" w:rsidRPr="009514CD" w:rsidRDefault="009514CD" w:rsidP="009514CD">
      <w:pPr>
        <w:tabs>
          <w:tab w:val="left" w:pos="851"/>
        </w:tabs>
        <w:ind w:left="851"/>
        <w:rPr>
          <w:sz w:val="24"/>
          <w:szCs w:val="24"/>
          <w:lang w:val="en-GB"/>
        </w:rPr>
      </w:pPr>
      <w:r w:rsidRPr="009514CD">
        <w:rPr>
          <w:sz w:val="24"/>
          <w:szCs w:val="24"/>
          <w:lang w:val="en-GB"/>
        </w:rPr>
        <w:t>This medicinal product contains sodium (as croscarmellose):</w:t>
      </w:r>
    </w:p>
    <w:p w:rsidR="009514CD" w:rsidRPr="009514CD" w:rsidRDefault="009514CD" w:rsidP="009514CD">
      <w:pPr>
        <w:tabs>
          <w:tab w:val="left" w:pos="851"/>
        </w:tabs>
        <w:ind w:left="851"/>
        <w:rPr>
          <w:sz w:val="24"/>
          <w:szCs w:val="24"/>
          <w:lang w:val="en-GB"/>
        </w:rPr>
      </w:pPr>
      <w:r w:rsidRPr="009514CD">
        <w:rPr>
          <w:sz w:val="24"/>
          <w:szCs w:val="24"/>
          <w:lang w:val="en-GB"/>
        </w:rPr>
        <w:t>This medicine contains less than 1 mmol sodium (23 mg) per tablet, that is to say essentially “sodium-free”.</w:t>
      </w:r>
    </w:p>
    <w:p w:rsidR="007C5D2A" w:rsidRPr="009514CD" w:rsidRDefault="007C5D2A" w:rsidP="003E0341">
      <w:pPr>
        <w:tabs>
          <w:tab w:val="left" w:pos="851"/>
        </w:tabs>
        <w:ind w:left="851"/>
        <w:rPr>
          <w:sz w:val="24"/>
          <w:szCs w:val="24"/>
          <w:lang w:val="en-US"/>
        </w:rPr>
      </w:pPr>
    </w:p>
    <w:p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rsidR="001C490D" w:rsidRPr="001C490D" w:rsidRDefault="001C490D" w:rsidP="001C490D">
      <w:pPr>
        <w:tabs>
          <w:tab w:val="left" w:pos="851"/>
        </w:tabs>
        <w:ind w:left="851"/>
        <w:rPr>
          <w:b/>
          <w:sz w:val="24"/>
          <w:szCs w:val="24"/>
          <w:lang w:val="en-US"/>
        </w:rPr>
      </w:pPr>
    </w:p>
    <w:p w:rsidR="001C490D" w:rsidRPr="001C490D" w:rsidRDefault="001C490D" w:rsidP="001C490D">
      <w:pPr>
        <w:tabs>
          <w:tab w:val="left" w:pos="851"/>
        </w:tabs>
        <w:ind w:left="851"/>
        <w:rPr>
          <w:sz w:val="24"/>
          <w:szCs w:val="24"/>
          <w:lang w:val="en-US"/>
        </w:rPr>
      </w:pPr>
      <w:r w:rsidRPr="001C490D">
        <w:rPr>
          <w:sz w:val="24"/>
          <w:szCs w:val="24"/>
          <w:u w:val="single"/>
          <w:lang w:val="en-US"/>
        </w:rPr>
        <w:t>Active substances that may increase dasatinib plasma concentrations</w:t>
      </w:r>
    </w:p>
    <w:p w:rsidR="001C490D" w:rsidRPr="001C490D" w:rsidRDefault="001C490D" w:rsidP="001C490D">
      <w:pPr>
        <w:tabs>
          <w:tab w:val="left" w:pos="851"/>
        </w:tabs>
        <w:ind w:left="851"/>
        <w:rPr>
          <w:sz w:val="24"/>
          <w:szCs w:val="24"/>
          <w:lang w:val="en-US"/>
        </w:rPr>
      </w:pPr>
      <w:r w:rsidRPr="001C490D">
        <w:rPr>
          <w:i/>
          <w:sz w:val="24"/>
          <w:szCs w:val="24"/>
          <w:lang w:val="en-US"/>
        </w:rPr>
        <w:t xml:space="preserve">In vitro </w:t>
      </w:r>
      <w:r w:rsidRPr="001C490D">
        <w:rPr>
          <w:sz w:val="24"/>
          <w:szCs w:val="24"/>
          <w:lang w:val="en-US"/>
        </w:rPr>
        <w:t>studies indicate that dasatinib is a CYP3A4 substrate. Concomitant use of dasatinib and medicinal products or substances which potently inhibit CYP3A4 (e.g. ketoconazole, itraconazole, erythromycin, clarithromycin, ritonavir, telithromycin, grapefruit juice) may increase exposure to dasatinib. Therefore, in patients receiving dasatinib, systemic administration of a potent CYP3A4 inhibitor is not recommended (see section 4.2).</w:t>
      </w:r>
    </w:p>
    <w:p w:rsidR="001C490D" w:rsidRPr="001C490D" w:rsidRDefault="001C490D" w:rsidP="001C490D">
      <w:pPr>
        <w:tabs>
          <w:tab w:val="left" w:pos="851"/>
        </w:tabs>
        <w:ind w:left="851"/>
        <w:rPr>
          <w:sz w:val="24"/>
          <w:szCs w:val="24"/>
          <w:lang w:val="en-US"/>
        </w:rPr>
      </w:pPr>
    </w:p>
    <w:p w:rsidR="001C490D" w:rsidRPr="001C490D" w:rsidRDefault="001C490D" w:rsidP="001C490D">
      <w:pPr>
        <w:tabs>
          <w:tab w:val="left" w:pos="851"/>
        </w:tabs>
        <w:ind w:left="851"/>
        <w:rPr>
          <w:sz w:val="24"/>
          <w:szCs w:val="24"/>
          <w:lang w:val="en-US"/>
        </w:rPr>
      </w:pPr>
      <w:r w:rsidRPr="001C490D">
        <w:rPr>
          <w:sz w:val="24"/>
          <w:szCs w:val="24"/>
          <w:lang w:val="en-US"/>
        </w:rPr>
        <w:t xml:space="preserve">At clinically relevant concentrations, binding of dasatinib to plasma proteins is approximately 96% on the basis of </w:t>
      </w:r>
      <w:r w:rsidRPr="001C490D">
        <w:rPr>
          <w:i/>
          <w:sz w:val="24"/>
          <w:szCs w:val="24"/>
          <w:lang w:val="en-US"/>
        </w:rPr>
        <w:t xml:space="preserve">in vitro </w:t>
      </w:r>
      <w:r w:rsidRPr="001C490D">
        <w:rPr>
          <w:sz w:val="24"/>
          <w:szCs w:val="24"/>
          <w:lang w:val="en-US"/>
        </w:rPr>
        <w:t>experiments. No studies have been performed to evaluate dasatinib interaction with other protein-bound medicinal products. The potential for displacement and its clinical relevance are unknown.</w:t>
      </w:r>
    </w:p>
    <w:p w:rsidR="001C490D" w:rsidRPr="001C490D" w:rsidRDefault="001C490D" w:rsidP="001C490D">
      <w:pPr>
        <w:tabs>
          <w:tab w:val="left" w:pos="851"/>
        </w:tabs>
        <w:ind w:left="851"/>
        <w:rPr>
          <w:sz w:val="24"/>
          <w:szCs w:val="24"/>
          <w:lang w:val="en-US"/>
        </w:rPr>
      </w:pPr>
    </w:p>
    <w:p w:rsidR="001C490D" w:rsidRPr="001C490D" w:rsidRDefault="001C490D" w:rsidP="001C490D">
      <w:pPr>
        <w:tabs>
          <w:tab w:val="left" w:pos="851"/>
        </w:tabs>
        <w:ind w:left="851"/>
        <w:rPr>
          <w:sz w:val="24"/>
          <w:szCs w:val="24"/>
          <w:lang w:val="en-US"/>
        </w:rPr>
      </w:pPr>
      <w:r w:rsidRPr="001C490D">
        <w:rPr>
          <w:sz w:val="24"/>
          <w:szCs w:val="24"/>
          <w:u w:val="single"/>
          <w:lang w:val="en-US"/>
        </w:rPr>
        <w:t>Active substances that may decrease dasatinib plasma concentrations</w:t>
      </w:r>
    </w:p>
    <w:p w:rsidR="001C490D" w:rsidRPr="001C490D" w:rsidRDefault="001C490D" w:rsidP="001C490D">
      <w:pPr>
        <w:tabs>
          <w:tab w:val="left" w:pos="851"/>
        </w:tabs>
        <w:ind w:left="851"/>
        <w:rPr>
          <w:sz w:val="24"/>
          <w:szCs w:val="24"/>
          <w:lang w:val="en-US"/>
        </w:rPr>
      </w:pPr>
      <w:r w:rsidRPr="001C490D">
        <w:rPr>
          <w:sz w:val="24"/>
          <w:szCs w:val="24"/>
          <w:lang w:val="en-US"/>
        </w:rPr>
        <w:t xml:space="preserve">When dasatinib was administered following 8 daily evening administrations of 600 mg rifampicin, a potent CYP3A4 inducer, the AUC of dasatinib was decreased by 82%. Other medicinal products that induce CYP3A4 activity (e.g. dexamethasone, phenytoin, carbamazepine, phenobarbital or herbal preparations containing </w:t>
      </w:r>
      <w:r w:rsidRPr="001C490D">
        <w:rPr>
          <w:i/>
          <w:sz w:val="24"/>
          <w:szCs w:val="24"/>
          <w:lang w:val="en-US"/>
        </w:rPr>
        <w:t>Hypericum perforatum</w:t>
      </w:r>
      <w:r w:rsidRPr="001C490D">
        <w:rPr>
          <w:sz w:val="24"/>
          <w:szCs w:val="24"/>
          <w:lang w:val="en-US"/>
        </w:rPr>
        <w:t>, also known as St. John´s Wort) may also increase metabolism and decrease dasatinib plasma concentrations. Therefore, concomitant use of potent CYP3A4 inducers with dasatinib is not recommended. In patients in whom rifampicin or other CYP3A4 inducers are indicated, alternative medicinal products with less enzyme induction potential should be used. Concomitant use of dexamethasone, a weak CYP3A4 inducer, with dasatinib is allowed; dasatinib AUC is predicted to decrease approximately 25% with concomitant use of dexamethasone, which is not likely to be clinically meaningful.</w:t>
      </w:r>
    </w:p>
    <w:p w:rsidR="001C490D" w:rsidRPr="001C490D" w:rsidRDefault="001C490D" w:rsidP="001C490D">
      <w:pPr>
        <w:tabs>
          <w:tab w:val="left" w:pos="851"/>
        </w:tabs>
        <w:ind w:left="851"/>
        <w:rPr>
          <w:sz w:val="24"/>
          <w:szCs w:val="24"/>
          <w:lang w:val="en-US"/>
        </w:rPr>
      </w:pPr>
    </w:p>
    <w:p w:rsidR="001C490D" w:rsidRPr="001C490D" w:rsidRDefault="001C490D" w:rsidP="001C490D">
      <w:pPr>
        <w:tabs>
          <w:tab w:val="left" w:pos="851"/>
        </w:tabs>
        <w:ind w:left="851"/>
        <w:rPr>
          <w:i/>
          <w:sz w:val="24"/>
          <w:szCs w:val="24"/>
          <w:lang w:val="en-US"/>
        </w:rPr>
      </w:pPr>
      <w:r w:rsidRPr="001C490D">
        <w:rPr>
          <w:i/>
          <w:sz w:val="24"/>
          <w:szCs w:val="24"/>
          <w:u w:val="single"/>
          <w:lang w:val="en-US"/>
        </w:rPr>
        <w:t>Histamine-2 antagonists and proton pump inhibitors</w:t>
      </w:r>
    </w:p>
    <w:p w:rsidR="001C490D" w:rsidRPr="001C490D" w:rsidRDefault="001C490D" w:rsidP="001C490D">
      <w:pPr>
        <w:tabs>
          <w:tab w:val="left" w:pos="851"/>
        </w:tabs>
        <w:ind w:left="851"/>
        <w:rPr>
          <w:sz w:val="24"/>
          <w:szCs w:val="24"/>
          <w:lang w:val="en-US"/>
        </w:rPr>
      </w:pPr>
      <w:r w:rsidRPr="001C490D">
        <w:rPr>
          <w:sz w:val="24"/>
          <w:szCs w:val="24"/>
          <w:lang w:val="en-US"/>
        </w:rPr>
        <w:t xml:space="preserve">Long-term suppression of gastric acid secretion by H2 antagonists or proton pump inhibitors (e.g. famotidine and omeprazole) is likely to reduce dasatinib exposure. In a single-dose study in healthy subjects, the administration of famotidine 10 hours prior to a single dose of dasatinib reduced dasatinib exposure by 61%. In a study of 14 healthy subjects, administration of a single 100-mg dose of dasatinib 22 hours following a 4-day, 40-mg omeprazole dose at steady state reduced the AUC of dasatinib by 43% and the Cmax of dasatinib by 42%. The use of antacids should be considered in place of H2 </w:t>
      </w:r>
      <w:r w:rsidRPr="001C490D">
        <w:rPr>
          <w:sz w:val="24"/>
          <w:szCs w:val="24"/>
          <w:lang w:val="en-US"/>
        </w:rPr>
        <w:lastRenderedPageBreak/>
        <w:t>antagonists or proton pump inhibitors in patients receiving dasatinib therapy (see section 4.4).</w:t>
      </w:r>
    </w:p>
    <w:p w:rsidR="001C490D" w:rsidRPr="001C490D" w:rsidRDefault="001C490D" w:rsidP="001C490D">
      <w:pPr>
        <w:tabs>
          <w:tab w:val="left" w:pos="851"/>
        </w:tabs>
        <w:ind w:left="851"/>
        <w:rPr>
          <w:sz w:val="24"/>
          <w:szCs w:val="24"/>
          <w:lang w:val="en-US"/>
        </w:rPr>
      </w:pPr>
    </w:p>
    <w:p w:rsidR="001C490D" w:rsidRPr="001C490D" w:rsidRDefault="001C490D" w:rsidP="001C490D">
      <w:pPr>
        <w:tabs>
          <w:tab w:val="left" w:pos="851"/>
        </w:tabs>
        <w:ind w:left="851"/>
        <w:rPr>
          <w:i/>
          <w:sz w:val="24"/>
          <w:szCs w:val="24"/>
          <w:lang w:val="en-US"/>
        </w:rPr>
      </w:pPr>
      <w:r w:rsidRPr="001C490D">
        <w:rPr>
          <w:i/>
          <w:sz w:val="24"/>
          <w:szCs w:val="24"/>
          <w:u w:val="single"/>
          <w:lang w:val="en-US"/>
        </w:rPr>
        <w:t>Antacids</w:t>
      </w:r>
    </w:p>
    <w:p w:rsidR="001C490D" w:rsidRPr="001C490D" w:rsidRDefault="001C490D" w:rsidP="001C490D">
      <w:pPr>
        <w:tabs>
          <w:tab w:val="left" w:pos="851"/>
        </w:tabs>
        <w:ind w:left="851"/>
        <w:rPr>
          <w:sz w:val="24"/>
          <w:szCs w:val="24"/>
          <w:lang w:val="en-US"/>
        </w:rPr>
      </w:pPr>
      <w:r w:rsidRPr="001C490D">
        <w:rPr>
          <w:sz w:val="24"/>
          <w:szCs w:val="24"/>
          <w:lang w:val="en-US"/>
        </w:rPr>
        <w:t>Non-clinical data demonstrate that the solubility of dasatinib is pH-dependent. In healthy subjects, the concomitant use of aluminium hydroxide/magnesium hydroxide antacids with dasatinib reduced the AUC of a single dose of dasatinib by 55% and the Cmax by 58%. However, when antacids were administered 2 hours prior to a single dose of dasatinib, no relevant changes in dasatinib concentration or exposure were observed. Thus, antacids may be administered up to 2 hours prior to or 2 hours following dasatinib (see section 4.4).</w:t>
      </w:r>
    </w:p>
    <w:p w:rsidR="001C490D" w:rsidRPr="001C490D" w:rsidRDefault="001C490D" w:rsidP="001C490D">
      <w:pPr>
        <w:tabs>
          <w:tab w:val="left" w:pos="851"/>
        </w:tabs>
        <w:ind w:left="851"/>
        <w:rPr>
          <w:sz w:val="24"/>
          <w:szCs w:val="24"/>
          <w:lang w:val="en-US"/>
        </w:rPr>
      </w:pPr>
    </w:p>
    <w:p w:rsidR="001C490D" w:rsidRPr="001C490D" w:rsidRDefault="001C490D" w:rsidP="001C490D">
      <w:pPr>
        <w:tabs>
          <w:tab w:val="left" w:pos="851"/>
        </w:tabs>
        <w:ind w:left="851"/>
        <w:rPr>
          <w:sz w:val="24"/>
          <w:szCs w:val="24"/>
          <w:u w:val="single"/>
          <w:lang w:val="en-US"/>
        </w:rPr>
      </w:pPr>
      <w:r w:rsidRPr="001C490D">
        <w:rPr>
          <w:sz w:val="24"/>
          <w:szCs w:val="24"/>
          <w:u w:val="single"/>
          <w:lang w:val="en-US"/>
        </w:rPr>
        <w:t>Active substances that may have their plasma concentrations altered by dasatinib</w:t>
      </w:r>
      <w:r w:rsidRPr="001C490D">
        <w:rPr>
          <w:sz w:val="24"/>
          <w:szCs w:val="24"/>
          <w:lang w:val="en-US"/>
        </w:rPr>
        <w:t xml:space="preserve"> </w:t>
      </w:r>
    </w:p>
    <w:p w:rsidR="001C490D" w:rsidRPr="001C490D" w:rsidRDefault="001C490D" w:rsidP="001C490D">
      <w:pPr>
        <w:tabs>
          <w:tab w:val="left" w:pos="851"/>
        </w:tabs>
        <w:ind w:left="851"/>
        <w:rPr>
          <w:sz w:val="24"/>
          <w:szCs w:val="24"/>
          <w:lang w:val="en-US"/>
        </w:rPr>
      </w:pPr>
      <w:r w:rsidRPr="001C490D">
        <w:rPr>
          <w:sz w:val="24"/>
          <w:szCs w:val="24"/>
          <w:lang w:val="en-US"/>
        </w:rPr>
        <w:t>Concomitant use of dasatinib and a CYP3A4 substrate may increase exposure to the CYP3A4 substrate. In a study in healthy subjects, a single 100 mg dose of dasatinib increased AUC and Cmax exposure to simvastatin, a known CYP3A4 substrate, by 20 and 37% respectively. It cannot be excluded that the effect is larger after multiple doses of dasatinib. Therefore, CYP3A4 substrates known to have a narrow therapeutic index (e.g. astemizole, terfenadine, cisapride, pimozide, quinidine, bepridil or ergot alkaloids [ergotamine, dihydroergotamine]) should be administered with caution in patients receiving dasatinib (see section 4.4).</w:t>
      </w:r>
    </w:p>
    <w:p w:rsidR="001C490D" w:rsidRPr="001C490D" w:rsidRDefault="001C490D" w:rsidP="001C490D">
      <w:pPr>
        <w:tabs>
          <w:tab w:val="left" w:pos="851"/>
        </w:tabs>
        <w:ind w:left="851"/>
        <w:rPr>
          <w:sz w:val="24"/>
          <w:szCs w:val="24"/>
          <w:lang w:val="en-US"/>
        </w:rPr>
      </w:pPr>
      <w:r w:rsidRPr="001C490D">
        <w:rPr>
          <w:i/>
          <w:sz w:val="24"/>
          <w:szCs w:val="24"/>
          <w:lang w:val="en-US"/>
        </w:rPr>
        <w:t xml:space="preserve">In vitro </w:t>
      </w:r>
      <w:r w:rsidRPr="001C490D">
        <w:rPr>
          <w:sz w:val="24"/>
          <w:szCs w:val="24"/>
          <w:lang w:val="en-US"/>
        </w:rPr>
        <w:t>data indicate a potential risk for interaction with CYP2C8 substrates, such as glitazones.</w:t>
      </w:r>
    </w:p>
    <w:p w:rsidR="001C490D" w:rsidRPr="001C490D" w:rsidRDefault="001C490D" w:rsidP="001C490D">
      <w:pPr>
        <w:tabs>
          <w:tab w:val="left" w:pos="851"/>
        </w:tabs>
        <w:ind w:left="851"/>
        <w:rPr>
          <w:sz w:val="24"/>
          <w:szCs w:val="24"/>
          <w:lang w:val="en-US"/>
        </w:rPr>
      </w:pPr>
    </w:p>
    <w:p w:rsidR="001C490D" w:rsidRPr="001C490D" w:rsidRDefault="001C490D" w:rsidP="001C490D">
      <w:pPr>
        <w:tabs>
          <w:tab w:val="left" w:pos="851"/>
        </w:tabs>
        <w:ind w:left="851"/>
        <w:rPr>
          <w:sz w:val="24"/>
          <w:szCs w:val="24"/>
          <w:lang w:val="en-US"/>
        </w:rPr>
      </w:pPr>
      <w:r w:rsidRPr="001C490D">
        <w:rPr>
          <w:sz w:val="24"/>
          <w:szCs w:val="24"/>
          <w:u w:val="single"/>
          <w:lang w:val="en-US"/>
        </w:rPr>
        <w:t>Paediatric population</w:t>
      </w:r>
    </w:p>
    <w:p w:rsidR="001C490D" w:rsidRPr="001C490D" w:rsidRDefault="001C490D" w:rsidP="001C490D">
      <w:pPr>
        <w:tabs>
          <w:tab w:val="left" w:pos="851"/>
        </w:tabs>
        <w:ind w:left="851"/>
        <w:rPr>
          <w:sz w:val="24"/>
          <w:szCs w:val="24"/>
          <w:lang w:val="en-US"/>
        </w:rPr>
      </w:pPr>
      <w:r w:rsidRPr="001C490D">
        <w:rPr>
          <w:sz w:val="24"/>
          <w:szCs w:val="24"/>
          <w:lang w:val="en-US"/>
        </w:rPr>
        <w:t>Interaction studies have only been performed in adults.</w:t>
      </w:r>
    </w:p>
    <w:p w:rsidR="007C5D2A" w:rsidRPr="001C490D" w:rsidRDefault="007C5D2A" w:rsidP="003E034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rsidR="00283E9C" w:rsidRDefault="00283E9C" w:rsidP="00283E9C">
      <w:pPr>
        <w:tabs>
          <w:tab w:val="left" w:pos="851"/>
        </w:tabs>
        <w:ind w:left="851"/>
        <w:rPr>
          <w:sz w:val="24"/>
          <w:szCs w:val="24"/>
          <w:u w:val="single"/>
          <w:lang w:val="en-US"/>
        </w:rPr>
      </w:pPr>
    </w:p>
    <w:p w:rsidR="00283E9C" w:rsidRPr="00283E9C" w:rsidRDefault="00283E9C" w:rsidP="00283E9C">
      <w:pPr>
        <w:tabs>
          <w:tab w:val="left" w:pos="851"/>
        </w:tabs>
        <w:ind w:left="851"/>
        <w:rPr>
          <w:sz w:val="24"/>
          <w:szCs w:val="24"/>
          <w:lang w:val="en-US"/>
        </w:rPr>
      </w:pPr>
      <w:r w:rsidRPr="00283E9C">
        <w:rPr>
          <w:sz w:val="24"/>
          <w:szCs w:val="24"/>
          <w:u w:val="single"/>
          <w:lang w:val="en-US"/>
        </w:rPr>
        <w:t>Women of childbearing potential/contraception in males and females</w:t>
      </w:r>
    </w:p>
    <w:p w:rsidR="00283E9C" w:rsidRPr="00283E9C" w:rsidRDefault="00283E9C" w:rsidP="00283E9C">
      <w:pPr>
        <w:tabs>
          <w:tab w:val="left" w:pos="851"/>
        </w:tabs>
        <w:ind w:left="851"/>
        <w:rPr>
          <w:sz w:val="24"/>
          <w:szCs w:val="24"/>
          <w:lang w:val="en-US"/>
        </w:rPr>
      </w:pPr>
      <w:r w:rsidRPr="00283E9C">
        <w:rPr>
          <w:sz w:val="24"/>
          <w:szCs w:val="24"/>
          <w:lang w:val="en-US"/>
        </w:rPr>
        <w:t>Both sexually active men and women of childbearing potential should use effective methods of contraception during treatment.</w:t>
      </w:r>
    </w:p>
    <w:p w:rsidR="00283E9C" w:rsidRPr="00283E9C" w:rsidRDefault="00283E9C" w:rsidP="00283E9C">
      <w:pPr>
        <w:tabs>
          <w:tab w:val="left" w:pos="851"/>
        </w:tabs>
        <w:ind w:left="851"/>
        <w:rPr>
          <w:sz w:val="24"/>
          <w:szCs w:val="24"/>
          <w:lang w:val="en-US"/>
        </w:rPr>
      </w:pPr>
    </w:p>
    <w:p w:rsidR="00283E9C" w:rsidRPr="00283E9C" w:rsidRDefault="00283E9C" w:rsidP="00283E9C">
      <w:pPr>
        <w:tabs>
          <w:tab w:val="left" w:pos="851"/>
        </w:tabs>
        <w:ind w:left="851"/>
        <w:rPr>
          <w:sz w:val="24"/>
          <w:szCs w:val="24"/>
          <w:lang w:val="en-US"/>
        </w:rPr>
      </w:pPr>
      <w:r w:rsidRPr="00283E9C">
        <w:rPr>
          <w:sz w:val="24"/>
          <w:szCs w:val="24"/>
          <w:u w:val="single"/>
          <w:lang w:val="en-US"/>
        </w:rPr>
        <w:t>Pregnancy</w:t>
      </w:r>
    </w:p>
    <w:p w:rsidR="00283E9C" w:rsidRPr="00283E9C" w:rsidRDefault="00283E9C" w:rsidP="00283E9C">
      <w:pPr>
        <w:tabs>
          <w:tab w:val="left" w:pos="851"/>
        </w:tabs>
        <w:ind w:left="851"/>
        <w:rPr>
          <w:sz w:val="24"/>
          <w:szCs w:val="24"/>
          <w:lang w:val="en-US"/>
        </w:rPr>
      </w:pPr>
      <w:r w:rsidRPr="00283E9C">
        <w:rPr>
          <w:sz w:val="24"/>
          <w:szCs w:val="24"/>
          <w:lang w:val="en-US"/>
        </w:rPr>
        <w:t>Based on human experience, dasatinib is suspected to cause congenital malformations including neural tube defects, and harmful pharmacological effects on the foetus when administered during pregnancy. Studies in animals have shown reproductive toxicity (see section 5.3).</w:t>
      </w:r>
    </w:p>
    <w:p w:rsidR="00283E9C" w:rsidRPr="00283E9C" w:rsidRDefault="00283E9C" w:rsidP="00283E9C">
      <w:pPr>
        <w:tabs>
          <w:tab w:val="left" w:pos="851"/>
        </w:tabs>
        <w:ind w:left="851"/>
        <w:rPr>
          <w:sz w:val="24"/>
          <w:szCs w:val="24"/>
          <w:lang w:val="en-US"/>
        </w:rPr>
      </w:pPr>
      <w:r w:rsidRPr="00283E9C">
        <w:rPr>
          <w:sz w:val="24"/>
          <w:szCs w:val="24"/>
          <w:lang w:val="en-US"/>
        </w:rPr>
        <w:t>Dasatinib should not be used during pregnancy unless the clinical condition of the woman requires treatment with dasatinib. If dasatinib is used during pregnancy, the patient must be informed of the potential risk to the foetus.</w:t>
      </w:r>
    </w:p>
    <w:p w:rsidR="00283E9C" w:rsidRPr="00283E9C" w:rsidRDefault="00283E9C" w:rsidP="00283E9C">
      <w:pPr>
        <w:tabs>
          <w:tab w:val="left" w:pos="851"/>
        </w:tabs>
        <w:ind w:left="851"/>
        <w:rPr>
          <w:sz w:val="24"/>
          <w:szCs w:val="24"/>
          <w:lang w:val="en-US"/>
        </w:rPr>
      </w:pPr>
    </w:p>
    <w:p w:rsidR="00283E9C" w:rsidRPr="00283E9C" w:rsidRDefault="00283E9C" w:rsidP="00283E9C">
      <w:pPr>
        <w:tabs>
          <w:tab w:val="left" w:pos="851"/>
        </w:tabs>
        <w:ind w:left="851"/>
        <w:rPr>
          <w:sz w:val="24"/>
          <w:szCs w:val="24"/>
          <w:lang w:val="en-US"/>
        </w:rPr>
      </w:pPr>
      <w:r w:rsidRPr="00283E9C">
        <w:rPr>
          <w:sz w:val="24"/>
          <w:szCs w:val="24"/>
          <w:u w:val="single"/>
          <w:lang w:val="en-US"/>
        </w:rPr>
        <w:t>Breast-feeding</w:t>
      </w:r>
    </w:p>
    <w:p w:rsidR="00283E9C" w:rsidRPr="00283E9C" w:rsidRDefault="00283E9C" w:rsidP="00283E9C">
      <w:pPr>
        <w:tabs>
          <w:tab w:val="left" w:pos="851"/>
        </w:tabs>
        <w:ind w:left="851"/>
        <w:rPr>
          <w:sz w:val="24"/>
          <w:szCs w:val="24"/>
          <w:lang w:val="en-US"/>
        </w:rPr>
      </w:pPr>
      <w:r w:rsidRPr="00283E9C">
        <w:rPr>
          <w:sz w:val="24"/>
          <w:szCs w:val="24"/>
          <w:lang w:val="en-US"/>
        </w:rPr>
        <w:t>There is insufficient/limited information on the excretion of dasatinib in human or animal breast milk. Physico-chemical and available pharmacodynamic/toxicological data on dasatinib point to excretion in breast milk and a risk to the suckling child cannot be excluded.</w:t>
      </w:r>
    </w:p>
    <w:p w:rsidR="00283E9C" w:rsidRPr="00283E9C" w:rsidRDefault="00283E9C" w:rsidP="00283E9C">
      <w:pPr>
        <w:tabs>
          <w:tab w:val="left" w:pos="851"/>
        </w:tabs>
        <w:ind w:left="851"/>
        <w:rPr>
          <w:sz w:val="24"/>
          <w:szCs w:val="24"/>
          <w:lang w:val="en-US"/>
        </w:rPr>
      </w:pPr>
      <w:r w:rsidRPr="00283E9C">
        <w:rPr>
          <w:sz w:val="24"/>
          <w:szCs w:val="24"/>
          <w:lang w:val="en-US"/>
        </w:rPr>
        <w:t>Breast-feeding should be stopped during treatment with dasatinib.</w:t>
      </w:r>
    </w:p>
    <w:p w:rsidR="00283E9C" w:rsidRPr="00283E9C" w:rsidRDefault="00283E9C" w:rsidP="00283E9C">
      <w:pPr>
        <w:tabs>
          <w:tab w:val="left" w:pos="851"/>
        </w:tabs>
        <w:ind w:left="851"/>
        <w:rPr>
          <w:sz w:val="24"/>
          <w:szCs w:val="24"/>
          <w:lang w:val="en-US"/>
        </w:rPr>
      </w:pPr>
    </w:p>
    <w:p w:rsidR="00283E9C" w:rsidRPr="00283E9C" w:rsidRDefault="00283E9C" w:rsidP="00283E9C">
      <w:pPr>
        <w:tabs>
          <w:tab w:val="left" w:pos="851"/>
        </w:tabs>
        <w:ind w:left="851"/>
        <w:rPr>
          <w:sz w:val="24"/>
          <w:szCs w:val="24"/>
          <w:lang w:val="en-US"/>
        </w:rPr>
      </w:pPr>
      <w:r w:rsidRPr="00283E9C">
        <w:rPr>
          <w:sz w:val="24"/>
          <w:szCs w:val="24"/>
          <w:u w:val="single"/>
          <w:lang w:val="en-US"/>
        </w:rPr>
        <w:t>Fertility</w:t>
      </w:r>
    </w:p>
    <w:p w:rsidR="00283E9C" w:rsidRPr="00283E9C" w:rsidRDefault="00283E9C" w:rsidP="00283E9C">
      <w:pPr>
        <w:tabs>
          <w:tab w:val="left" w:pos="851"/>
        </w:tabs>
        <w:ind w:left="851"/>
        <w:rPr>
          <w:sz w:val="24"/>
          <w:szCs w:val="24"/>
          <w:lang w:val="en-US"/>
        </w:rPr>
      </w:pPr>
      <w:r w:rsidRPr="00283E9C">
        <w:rPr>
          <w:sz w:val="24"/>
          <w:szCs w:val="24"/>
          <w:lang w:val="en-US"/>
        </w:rPr>
        <w:t xml:space="preserve">In animal studies, the fertility of male and female rats was not affected by treatment with dasatinib (see section 5.3). Physicians and other healthcare providers should counsel male </w:t>
      </w:r>
      <w:r w:rsidRPr="00283E9C">
        <w:rPr>
          <w:sz w:val="24"/>
          <w:szCs w:val="24"/>
          <w:lang w:val="en-US"/>
        </w:rPr>
        <w:lastRenderedPageBreak/>
        <w:t>patients of appropriate age about possible effects of dasatinib on fertility, and this counseling may include consideration of semen deposition.</w:t>
      </w:r>
    </w:p>
    <w:p w:rsidR="007C5D2A" w:rsidRPr="00283E9C" w:rsidRDefault="007C5D2A" w:rsidP="003E034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rsidR="007C5D2A" w:rsidRDefault="00283E9C" w:rsidP="00A85D26">
      <w:pPr>
        <w:tabs>
          <w:tab w:val="left" w:pos="851"/>
        </w:tabs>
        <w:ind w:left="851"/>
        <w:rPr>
          <w:sz w:val="24"/>
          <w:szCs w:val="24"/>
          <w:lang w:val="en-GB"/>
        </w:rPr>
      </w:pPr>
      <w:r>
        <w:rPr>
          <w:sz w:val="24"/>
          <w:szCs w:val="24"/>
          <w:lang w:val="en-GB"/>
        </w:rPr>
        <w:t>No traffic warning.</w:t>
      </w:r>
    </w:p>
    <w:p w:rsidR="00283E9C" w:rsidRPr="00283E9C" w:rsidRDefault="00283E9C" w:rsidP="00283E9C">
      <w:pPr>
        <w:tabs>
          <w:tab w:val="left" w:pos="851"/>
        </w:tabs>
        <w:ind w:left="851"/>
        <w:rPr>
          <w:sz w:val="24"/>
          <w:szCs w:val="24"/>
          <w:lang w:val="en-US"/>
        </w:rPr>
      </w:pPr>
      <w:r w:rsidRPr="00283E9C">
        <w:rPr>
          <w:sz w:val="24"/>
          <w:szCs w:val="24"/>
          <w:lang w:val="en-US"/>
        </w:rPr>
        <w:t>Dasatinib has minor influence on the ability to drive and use machines. Patients should be advised that they may experience adverse reactions such as dizziness or blurred vision during treatment with dasatinib. Therefore, caution should be recommended when driving a car or operating machines.</w:t>
      </w:r>
    </w:p>
    <w:p w:rsidR="007C5D2A" w:rsidRPr="00303008"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rsidR="009D079D" w:rsidRPr="009D079D" w:rsidRDefault="009D079D" w:rsidP="009D079D">
      <w:pPr>
        <w:tabs>
          <w:tab w:val="left" w:pos="851"/>
        </w:tabs>
        <w:ind w:left="851"/>
        <w:rPr>
          <w:b/>
          <w:sz w:val="24"/>
          <w:szCs w:val="24"/>
          <w:lang w:val="en-US"/>
        </w:rPr>
      </w:pPr>
    </w:p>
    <w:p w:rsidR="009D079D" w:rsidRPr="009D079D" w:rsidRDefault="009D079D" w:rsidP="009D079D">
      <w:pPr>
        <w:tabs>
          <w:tab w:val="left" w:pos="851"/>
        </w:tabs>
        <w:ind w:left="851"/>
        <w:rPr>
          <w:sz w:val="24"/>
          <w:szCs w:val="24"/>
          <w:lang w:val="en-US"/>
        </w:rPr>
      </w:pPr>
      <w:r w:rsidRPr="009D079D">
        <w:rPr>
          <w:sz w:val="24"/>
          <w:szCs w:val="24"/>
          <w:u w:val="single"/>
          <w:lang w:val="en-US"/>
        </w:rPr>
        <w:t>Summary of the safety profile</w:t>
      </w:r>
    </w:p>
    <w:p w:rsidR="009D079D" w:rsidRPr="009D079D" w:rsidRDefault="009D079D" w:rsidP="009D079D">
      <w:pPr>
        <w:tabs>
          <w:tab w:val="left" w:pos="851"/>
        </w:tabs>
        <w:ind w:left="851"/>
        <w:rPr>
          <w:sz w:val="24"/>
          <w:szCs w:val="24"/>
          <w:lang w:val="en-US"/>
        </w:rPr>
      </w:pPr>
      <w:r w:rsidRPr="009D079D">
        <w:rPr>
          <w:sz w:val="24"/>
          <w:szCs w:val="24"/>
          <w:lang w:val="en-US"/>
        </w:rPr>
        <w:t>The data described below reflect the exposure to dasatinib as single-agent therapy at all doses tested in clinical studies (N=2,900), including 324 adult patients with newly diagnosed chronic phase CML, 2,388 adult patients with imatinib-resistant or -intolerant chronic or advanced phase CML or Ph+ ALL, and 188 paediatric patients.</w:t>
      </w:r>
    </w:p>
    <w:p w:rsidR="009D079D" w:rsidRPr="009D079D" w:rsidRDefault="009D079D" w:rsidP="009D079D">
      <w:pPr>
        <w:tabs>
          <w:tab w:val="left" w:pos="851"/>
        </w:tabs>
        <w:ind w:left="851"/>
        <w:rPr>
          <w:sz w:val="24"/>
          <w:szCs w:val="24"/>
          <w:lang w:val="en-US"/>
        </w:rPr>
      </w:pPr>
    </w:p>
    <w:p w:rsidR="009D079D" w:rsidRPr="009D079D" w:rsidRDefault="009D079D" w:rsidP="009D079D">
      <w:pPr>
        <w:tabs>
          <w:tab w:val="left" w:pos="851"/>
        </w:tabs>
        <w:ind w:left="851"/>
        <w:rPr>
          <w:sz w:val="24"/>
          <w:szCs w:val="24"/>
          <w:lang w:val="en-US"/>
        </w:rPr>
      </w:pPr>
      <w:r w:rsidRPr="009D079D">
        <w:rPr>
          <w:sz w:val="24"/>
          <w:szCs w:val="24"/>
          <w:lang w:val="en-US"/>
        </w:rPr>
        <w:t>In the 2,712 adult patients with either chronic phase CML, advanced phase CML or Ph+ ALL, the median duration of therapy was 19.2 months (range 0 to 93.2 months). In a randomized trial in patients with newly diagnosed chronic phase CML, the median duration of therapy was approximately 60 months. The median duration of therapy in 1,618 adult patients with chronic phase CML was 29 months (range 0 to 92.9 months). The median duration of therapy in 1,094 adult patients with advanced phase CML or Ph+ ALL was 6.2 months (range 0 to 93.2 months). Among 188 patients in paediatric studies, the median duration of therapy was 26.3 months (range 0 to 99.6 months). In the subset of 130 chronic phase CML dasatinib-treated paediatric patients, the median duration of therapy was 42.3 months (range 0.1 to 99.6 months).</w:t>
      </w:r>
    </w:p>
    <w:p w:rsidR="009D079D" w:rsidRPr="009D079D" w:rsidRDefault="009D079D" w:rsidP="009D079D">
      <w:pPr>
        <w:tabs>
          <w:tab w:val="left" w:pos="851"/>
        </w:tabs>
        <w:ind w:left="851"/>
        <w:rPr>
          <w:sz w:val="24"/>
          <w:szCs w:val="24"/>
          <w:lang w:val="en-US"/>
        </w:rPr>
      </w:pPr>
    </w:p>
    <w:p w:rsidR="009D079D" w:rsidRPr="009D079D" w:rsidRDefault="009D079D" w:rsidP="009D079D">
      <w:pPr>
        <w:tabs>
          <w:tab w:val="left" w:pos="851"/>
        </w:tabs>
        <w:ind w:left="851"/>
        <w:rPr>
          <w:sz w:val="24"/>
          <w:szCs w:val="24"/>
          <w:lang w:val="en-US"/>
        </w:rPr>
      </w:pPr>
      <w:r w:rsidRPr="009D079D">
        <w:rPr>
          <w:sz w:val="24"/>
          <w:szCs w:val="24"/>
          <w:lang w:val="en-US"/>
        </w:rPr>
        <w:t>The majority of dasatinib-treated patients experienced adverse reactions at some time. In the overall population of 2,712 dasatinib -treated adult subjects, 520 (19%) experienced adverse reactions leading to treatment discontinuation.</w:t>
      </w:r>
    </w:p>
    <w:p w:rsidR="009D079D" w:rsidRPr="009D079D" w:rsidRDefault="009D079D" w:rsidP="009D079D">
      <w:pPr>
        <w:tabs>
          <w:tab w:val="left" w:pos="851"/>
        </w:tabs>
        <w:ind w:left="851"/>
        <w:rPr>
          <w:sz w:val="24"/>
          <w:szCs w:val="24"/>
          <w:lang w:val="en-US"/>
        </w:rPr>
      </w:pPr>
    </w:p>
    <w:p w:rsidR="009D079D" w:rsidRPr="009D079D" w:rsidRDefault="009D079D" w:rsidP="009D079D">
      <w:pPr>
        <w:tabs>
          <w:tab w:val="left" w:pos="851"/>
        </w:tabs>
        <w:ind w:left="851"/>
        <w:rPr>
          <w:sz w:val="24"/>
          <w:szCs w:val="24"/>
          <w:lang w:val="en-US"/>
        </w:rPr>
      </w:pPr>
      <w:r w:rsidRPr="009D079D">
        <w:rPr>
          <w:sz w:val="24"/>
          <w:szCs w:val="24"/>
          <w:lang w:val="en-US"/>
        </w:rPr>
        <w:t>The overall safety profile of dasatinib in the paediatric Ph+ CML-CP population was similar to that of the adult population, regardless of formulation, with the exception of no reported pericardial effusion, pleural effusion, pulmonary oedema, or pulmonary hypertension in the paediatric population. Of the 130 dasatinib-treated paediatric subjects with CML-CP, 2 (1.5%) experienced adverse reactions leading to treatment discontinuation.</w:t>
      </w:r>
    </w:p>
    <w:p w:rsidR="009D079D" w:rsidRPr="009D079D" w:rsidRDefault="009D079D" w:rsidP="009D079D">
      <w:pPr>
        <w:tabs>
          <w:tab w:val="left" w:pos="851"/>
        </w:tabs>
        <w:ind w:left="851"/>
        <w:rPr>
          <w:sz w:val="24"/>
          <w:szCs w:val="24"/>
          <w:lang w:val="en-US"/>
        </w:rPr>
      </w:pPr>
    </w:p>
    <w:p w:rsidR="009D079D" w:rsidRPr="009D079D" w:rsidRDefault="009D079D" w:rsidP="009D079D">
      <w:pPr>
        <w:tabs>
          <w:tab w:val="left" w:pos="851"/>
        </w:tabs>
        <w:ind w:left="851"/>
        <w:rPr>
          <w:sz w:val="24"/>
          <w:szCs w:val="24"/>
          <w:lang w:val="en-US"/>
        </w:rPr>
      </w:pPr>
      <w:r w:rsidRPr="009D079D">
        <w:rPr>
          <w:sz w:val="24"/>
          <w:szCs w:val="24"/>
          <w:u w:val="single"/>
          <w:lang w:val="en-US"/>
        </w:rPr>
        <w:t>Tabulated list of adverse reactions</w:t>
      </w:r>
    </w:p>
    <w:p w:rsidR="009D079D" w:rsidRPr="009D079D" w:rsidRDefault="009D079D" w:rsidP="009D079D">
      <w:pPr>
        <w:tabs>
          <w:tab w:val="left" w:pos="851"/>
        </w:tabs>
        <w:ind w:left="851"/>
        <w:rPr>
          <w:sz w:val="24"/>
          <w:szCs w:val="24"/>
          <w:lang w:val="en-US"/>
        </w:rPr>
      </w:pPr>
      <w:r w:rsidRPr="009D079D">
        <w:rPr>
          <w:sz w:val="24"/>
          <w:szCs w:val="24"/>
          <w:lang w:val="en-US"/>
        </w:rPr>
        <w:t>The following adverse reactions, excluding laboratory abnormalities, were reported in patients treated with dasatinib used as single-agent therapy in clinical studies and post-marketing experience (Table 5). These reactions are presented by system organ class and by frequency. Frequencies are defined as: very common (≥ 1/10); common (≥ 1/100 to &lt; 1/10); uncommon (≥ 1/1,000 to &lt; 1/100); rare (≥ 1/10,000 to &lt; 1/1,000); not known (cannot be estimated from available post-marketing data). Within each frequency grouping, adverse reactions are presented in order of decreasing seriousness.</w:t>
      </w:r>
    </w:p>
    <w:p w:rsidR="007C5D2A" w:rsidRPr="004D4F38" w:rsidRDefault="007C5D2A" w:rsidP="007A4CC6">
      <w:pPr>
        <w:tabs>
          <w:tab w:val="left" w:pos="851"/>
        </w:tabs>
        <w:ind w:left="851"/>
        <w:rPr>
          <w:sz w:val="24"/>
          <w:szCs w:val="24"/>
          <w:lang w:val="en-US"/>
        </w:rPr>
      </w:pPr>
    </w:p>
    <w:p w:rsidR="005F73E8" w:rsidRDefault="005F73E8">
      <w:pPr>
        <w:rPr>
          <w:sz w:val="20"/>
          <w:lang w:val="en-US" w:eastAsia="en-US"/>
        </w:rPr>
      </w:pPr>
      <w:r w:rsidRPr="00F430C7">
        <w:rPr>
          <w:lang w:val="en-US"/>
        </w:rPr>
        <w:br w:type="page"/>
      </w:r>
    </w:p>
    <w:p w:rsidR="009D079D" w:rsidRPr="004D4F38" w:rsidRDefault="009D079D" w:rsidP="009D079D">
      <w:pPr>
        <w:pStyle w:val="Brdtekst"/>
        <w:spacing w:before="9" w:line="244" w:lineRule="auto"/>
        <w:ind w:right="508"/>
      </w:pPr>
    </w:p>
    <w:p w:rsidR="009D079D" w:rsidRPr="004D4F38" w:rsidRDefault="009D079D" w:rsidP="009D079D">
      <w:pPr>
        <w:pStyle w:val="Overskrift1"/>
        <w:tabs>
          <w:tab w:val="left" w:pos="1303"/>
        </w:tabs>
        <w:spacing w:before="1"/>
        <w:ind w:left="0"/>
      </w:pPr>
      <w:r w:rsidRPr="004D4F38">
        <w:rPr>
          <w:w w:val="105"/>
        </w:rPr>
        <w:t>Table</w:t>
      </w:r>
      <w:r w:rsidRPr="004D4F38">
        <w:rPr>
          <w:spacing w:val="-4"/>
          <w:w w:val="105"/>
        </w:rPr>
        <w:t xml:space="preserve"> </w:t>
      </w:r>
      <w:r w:rsidRPr="004D4F38">
        <w:rPr>
          <w:w w:val="105"/>
        </w:rPr>
        <w:t>5:</w:t>
      </w:r>
      <w:r w:rsidRPr="004D4F38">
        <w:rPr>
          <w:w w:val="105"/>
        </w:rPr>
        <w:tab/>
        <w:t>Tabulated</w:t>
      </w:r>
      <w:r w:rsidRPr="004D4F38">
        <w:rPr>
          <w:spacing w:val="-18"/>
          <w:w w:val="105"/>
        </w:rPr>
        <w:t xml:space="preserve"> </w:t>
      </w:r>
      <w:r w:rsidRPr="004D4F38">
        <w:rPr>
          <w:w w:val="105"/>
        </w:rPr>
        <w:t>summary</w:t>
      </w:r>
      <w:r w:rsidRPr="004D4F38">
        <w:rPr>
          <w:spacing w:val="-17"/>
          <w:w w:val="105"/>
        </w:rPr>
        <w:t xml:space="preserve"> </w:t>
      </w:r>
      <w:r w:rsidRPr="004D4F38">
        <w:rPr>
          <w:w w:val="105"/>
        </w:rPr>
        <w:t>of</w:t>
      </w:r>
      <w:r w:rsidRPr="004D4F38">
        <w:rPr>
          <w:spacing w:val="-17"/>
          <w:w w:val="105"/>
        </w:rPr>
        <w:t xml:space="preserve"> </w:t>
      </w:r>
      <w:r w:rsidRPr="004D4F38">
        <w:rPr>
          <w:w w:val="105"/>
        </w:rPr>
        <w:t>adverse</w:t>
      </w:r>
      <w:r w:rsidRPr="004D4F38">
        <w:rPr>
          <w:spacing w:val="-17"/>
          <w:w w:val="105"/>
        </w:rPr>
        <w:t xml:space="preserve"> </w:t>
      </w:r>
      <w:r w:rsidRPr="004D4F38">
        <w:rPr>
          <w:w w:val="105"/>
        </w:rPr>
        <w:t>reactions</w:t>
      </w:r>
    </w:p>
    <w:p w:rsidR="009D079D" w:rsidRPr="004D4F38" w:rsidRDefault="009D079D" w:rsidP="009D079D">
      <w:pPr>
        <w:pStyle w:val="Brdtekst"/>
        <w:spacing w:before="6"/>
        <w:rPr>
          <w:b/>
          <w:sz w:val="11"/>
        </w:rPr>
      </w:pPr>
    </w:p>
    <w:tbl>
      <w:tblPr>
        <w:tblStyle w:val="TableNormal1"/>
        <w:tblW w:w="88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9"/>
        <w:gridCol w:w="7346"/>
      </w:tblGrid>
      <w:tr w:rsidR="009D079D" w:rsidRPr="004D4F38" w:rsidTr="009D079D">
        <w:trPr>
          <w:trHeight w:val="220"/>
        </w:trPr>
        <w:tc>
          <w:tcPr>
            <w:tcW w:w="8899"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9D079D" w:rsidRPr="004D4F38" w:rsidRDefault="009D079D">
            <w:pPr>
              <w:pStyle w:val="TableParagraph"/>
              <w:spacing w:before="7" w:line="211" w:lineRule="exact"/>
              <w:ind w:left="97"/>
              <w:rPr>
                <w:rFonts w:ascii="Times New Roman" w:hAnsi="Times New Roman" w:cs="Times New Roman"/>
                <w:b/>
                <w:sz w:val="20"/>
              </w:rPr>
            </w:pPr>
            <w:r w:rsidRPr="004D4F38">
              <w:rPr>
                <w:rFonts w:ascii="Times New Roman" w:hAnsi="Times New Roman" w:cs="Times New Roman"/>
                <w:b/>
                <w:w w:val="105"/>
                <w:sz w:val="20"/>
              </w:rPr>
              <w:t>Infections and infestations</w:t>
            </w:r>
          </w:p>
        </w:tc>
      </w:tr>
      <w:tr w:rsidR="009D079D" w:rsidRPr="00F430C7"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5" w:line="212" w:lineRule="exact"/>
              <w:ind w:left="97"/>
              <w:rPr>
                <w:rFonts w:ascii="Times New Roman" w:hAnsi="Times New Roman" w:cs="Times New Roman"/>
                <w:i/>
                <w:sz w:val="20"/>
              </w:rPr>
            </w:pPr>
            <w:r w:rsidRPr="004D4F38">
              <w:rPr>
                <w:rFonts w:ascii="Times New Roman" w:hAnsi="Times New Roman" w:cs="Times New Roman"/>
                <w:i/>
                <w:w w:val="105"/>
                <w:sz w:val="20"/>
              </w:rPr>
              <w:t>Very common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5" w:line="212" w:lineRule="exact"/>
              <w:ind w:left="97"/>
              <w:rPr>
                <w:rFonts w:ascii="Times New Roman" w:hAnsi="Times New Roman" w:cs="Times New Roman"/>
                <w:sz w:val="20"/>
              </w:rPr>
            </w:pPr>
            <w:r w:rsidRPr="004D4F38">
              <w:rPr>
                <w:rFonts w:ascii="Times New Roman" w:hAnsi="Times New Roman" w:cs="Times New Roman"/>
                <w:w w:val="105"/>
                <w:sz w:val="20"/>
              </w:rPr>
              <w:t>infection (including bacterial, viral, fungal, non-specified)</w:t>
            </w:r>
          </w:p>
        </w:tc>
      </w:tr>
      <w:tr w:rsidR="009D079D" w:rsidRPr="00F430C7" w:rsidTr="009D079D">
        <w:trPr>
          <w:trHeight w:val="70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5"/>
              <w:ind w:left="97"/>
              <w:rPr>
                <w:rFonts w:ascii="Times New Roman" w:hAnsi="Times New Roman" w:cs="Times New Roman"/>
                <w:i/>
                <w:sz w:val="20"/>
              </w:rPr>
            </w:pPr>
            <w:r w:rsidRPr="004D4F38">
              <w:rPr>
                <w:rFonts w:ascii="Times New Roman" w:hAnsi="Times New Roman" w:cs="Times New Roman"/>
                <w:i/>
                <w:w w:val="105"/>
                <w:sz w:val="20"/>
              </w:rPr>
              <w:t>Common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1" w:line="238" w:lineRule="exact"/>
              <w:ind w:left="96"/>
              <w:rPr>
                <w:rFonts w:ascii="Times New Roman" w:hAnsi="Times New Roman" w:cs="Times New Roman"/>
                <w:sz w:val="20"/>
              </w:rPr>
            </w:pPr>
            <w:r w:rsidRPr="004D4F38">
              <w:rPr>
                <w:rFonts w:ascii="Times New Roman" w:hAnsi="Times New Roman" w:cs="Times New Roman"/>
                <w:w w:val="105"/>
                <w:sz w:val="20"/>
              </w:rPr>
              <w:t>pneumonia (including bacterial, viral, and fungal), upper respiratory tract infection/inflammation,</w:t>
            </w:r>
            <w:r w:rsidRPr="004D4F38">
              <w:rPr>
                <w:rFonts w:ascii="Times New Roman" w:hAnsi="Times New Roman" w:cs="Times New Roman"/>
                <w:spacing w:val="-17"/>
                <w:w w:val="105"/>
                <w:sz w:val="20"/>
              </w:rPr>
              <w:t xml:space="preserve"> </w:t>
            </w:r>
            <w:r w:rsidRPr="004D4F38">
              <w:rPr>
                <w:rFonts w:ascii="Times New Roman" w:hAnsi="Times New Roman" w:cs="Times New Roman"/>
                <w:w w:val="105"/>
                <w:sz w:val="20"/>
              </w:rPr>
              <w:t>herpes</w:t>
            </w:r>
            <w:r w:rsidRPr="004D4F38">
              <w:rPr>
                <w:rFonts w:ascii="Times New Roman" w:hAnsi="Times New Roman" w:cs="Times New Roman"/>
                <w:spacing w:val="-17"/>
                <w:w w:val="105"/>
                <w:sz w:val="20"/>
              </w:rPr>
              <w:t xml:space="preserve"> </w:t>
            </w:r>
            <w:r w:rsidRPr="004D4F38">
              <w:rPr>
                <w:rFonts w:ascii="Times New Roman" w:hAnsi="Times New Roman" w:cs="Times New Roman"/>
                <w:w w:val="105"/>
                <w:sz w:val="20"/>
              </w:rPr>
              <w:t>virus</w:t>
            </w:r>
            <w:r w:rsidRPr="004D4F38">
              <w:rPr>
                <w:rFonts w:ascii="Times New Roman" w:hAnsi="Times New Roman" w:cs="Times New Roman"/>
                <w:spacing w:val="-17"/>
                <w:w w:val="105"/>
                <w:sz w:val="20"/>
              </w:rPr>
              <w:t xml:space="preserve"> </w:t>
            </w:r>
            <w:r w:rsidRPr="004D4F38">
              <w:rPr>
                <w:rFonts w:ascii="Times New Roman" w:hAnsi="Times New Roman" w:cs="Times New Roman"/>
                <w:w w:val="105"/>
                <w:sz w:val="20"/>
              </w:rPr>
              <w:t>infection</w:t>
            </w:r>
            <w:r w:rsidRPr="004D4F38">
              <w:rPr>
                <w:rFonts w:ascii="Times New Roman" w:hAnsi="Times New Roman" w:cs="Times New Roman"/>
                <w:spacing w:val="-18"/>
                <w:w w:val="105"/>
                <w:sz w:val="20"/>
              </w:rPr>
              <w:t xml:space="preserve"> </w:t>
            </w:r>
            <w:r w:rsidRPr="004D4F38">
              <w:rPr>
                <w:rFonts w:ascii="Times New Roman" w:hAnsi="Times New Roman" w:cs="Times New Roman"/>
                <w:w w:val="105"/>
                <w:sz w:val="20"/>
              </w:rPr>
              <w:t>(including</w:t>
            </w:r>
            <w:r w:rsidRPr="004D4F38">
              <w:rPr>
                <w:rFonts w:ascii="Times New Roman" w:hAnsi="Times New Roman" w:cs="Times New Roman"/>
                <w:spacing w:val="-17"/>
                <w:w w:val="105"/>
                <w:sz w:val="20"/>
              </w:rPr>
              <w:t xml:space="preserve"> </w:t>
            </w:r>
            <w:r w:rsidRPr="004D4F38">
              <w:rPr>
                <w:rFonts w:ascii="Times New Roman" w:hAnsi="Times New Roman" w:cs="Times New Roman"/>
                <w:w w:val="105"/>
                <w:sz w:val="20"/>
              </w:rPr>
              <w:t>cytomegalovirus</w:t>
            </w:r>
            <w:r w:rsidRPr="004D4F38">
              <w:rPr>
                <w:rFonts w:ascii="Times New Roman" w:hAnsi="Times New Roman" w:cs="Times New Roman"/>
                <w:spacing w:val="-16"/>
                <w:w w:val="105"/>
                <w:sz w:val="20"/>
              </w:rPr>
              <w:t xml:space="preserve"> </w:t>
            </w:r>
            <w:r w:rsidRPr="004D4F38">
              <w:rPr>
                <w:rFonts w:ascii="Times New Roman" w:hAnsi="Times New Roman" w:cs="Times New Roman"/>
                <w:w w:val="105"/>
                <w:sz w:val="20"/>
              </w:rPr>
              <w:t>-</w:t>
            </w:r>
            <w:r w:rsidRPr="004D4F38">
              <w:rPr>
                <w:rFonts w:ascii="Times New Roman" w:hAnsi="Times New Roman" w:cs="Times New Roman"/>
                <w:spacing w:val="-17"/>
                <w:w w:val="105"/>
                <w:sz w:val="20"/>
              </w:rPr>
              <w:t xml:space="preserve"> </w:t>
            </w:r>
            <w:r w:rsidRPr="004D4F38">
              <w:rPr>
                <w:rFonts w:ascii="Times New Roman" w:hAnsi="Times New Roman" w:cs="Times New Roman"/>
                <w:w w:val="105"/>
                <w:sz w:val="20"/>
              </w:rPr>
              <w:t>CMV), enterocolitis</w:t>
            </w:r>
            <w:r w:rsidRPr="004D4F38">
              <w:rPr>
                <w:rFonts w:ascii="Times New Roman" w:hAnsi="Times New Roman" w:cs="Times New Roman"/>
                <w:spacing w:val="-17"/>
                <w:w w:val="105"/>
                <w:sz w:val="20"/>
              </w:rPr>
              <w:t xml:space="preserve"> </w:t>
            </w:r>
            <w:r w:rsidRPr="004D4F38">
              <w:rPr>
                <w:rFonts w:ascii="Times New Roman" w:hAnsi="Times New Roman" w:cs="Times New Roman"/>
                <w:w w:val="105"/>
                <w:sz w:val="20"/>
              </w:rPr>
              <w:t>infection,</w:t>
            </w:r>
            <w:r w:rsidRPr="004D4F38">
              <w:rPr>
                <w:rFonts w:ascii="Times New Roman" w:hAnsi="Times New Roman" w:cs="Times New Roman"/>
                <w:spacing w:val="-17"/>
                <w:w w:val="105"/>
                <w:sz w:val="20"/>
              </w:rPr>
              <w:t xml:space="preserve"> </w:t>
            </w:r>
            <w:r w:rsidRPr="004D4F38">
              <w:rPr>
                <w:rFonts w:ascii="Times New Roman" w:hAnsi="Times New Roman" w:cs="Times New Roman"/>
                <w:w w:val="105"/>
                <w:sz w:val="20"/>
              </w:rPr>
              <w:t>sepsis</w:t>
            </w:r>
            <w:r w:rsidRPr="004D4F38">
              <w:rPr>
                <w:rFonts w:ascii="Times New Roman" w:hAnsi="Times New Roman" w:cs="Times New Roman"/>
                <w:spacing w:val="-17"/>
                <w:w w:val="105"/>
                <w:sz w:val="20"/>
              </w:rPr>
              <w:t xml:space="preserve"> </w:t>
            </w:r>
            <w:r w:rsidRPr="004D4F38">
              <w:rPr>
                <w:rFonts w:ascii="Times New Roman" w:hAnsi="Times New Roman" w:cs="Times New Roman"/>
                <w:w w:val="105"/>
                <w:sz w:val="20"/>
              </w:rPr>
              <w:t>(including</w:t>
            </w:r>
            <w:r w:rsidRPr="004D4F38">
              <w:rPr>
                <w:rFonts w:ascii="Times New Roman" w:hAnsi="Times New Roman" w:cs="Times New Roman"/>
                <w:spacing w:val="-17"/>
                <w:w w:val="105"/>
                <w:sz w:val="20"/>
              </w:rPr>
              <w:t xml:space="preserve"> </w:t>
            </w:r>
            <w:r w:rsidRPr="004D4F38">
              <w:rPr>
                <w:rFonts w:ascii="Times New Roman" w:hAnsi="Times New Roman" w:cs="Times New Roman"/>
                <w:w w:val="105"/>
                <w:sz w:val="20"/>
              </w:rPr>
              <w:t>uncommon</w:t>
            </w:r>
            <w:r w:rsidRPr="004D4F38">
              <w:rPr>
                <w:rFonts w:ascii="Times New Roman" w:hAnsi="Times New Roman" w:cs="Times New Roman"/>
                <w:spacing w:val="-16"/>
                <w:w w:val="105"/>
                <w:sz w:val="20"/>
              </w:rPr>
              <w:t xml:space="preserve"> </w:t>
            </w:r>
            <w:r w:rsidRPr="004D4F38">
              <w:rPr>
                <w:rFonts w:ascii="Times New Roman" w:hAnsi="Times New Roman" w:cs="Times New Roman"/>
                <w:w w:val="105"/>
                <w:sz w:val="20"/>
              </w:rPr>
              <w:t>cases</w:t>
            </w:r>
            <w:r w:rsidRPr="004D4F38">
              <w:rPr>
                <w:rFonts w:ascii="Times New Roman" w:hAnsi="Times New Roman" w:cs="Times New Roman"/>
                <w:spacing w:val="-16"/>
                <w:w w:val="105"/>
                <w:sz w:val="20"/>
              </w:rPr>
              <w:t xml:space="preserve"> </w:t>
            </w:r>
            <w:r w:rsidRPr="004D4F38">
              <w:rPr>
                <w:rFonts w:ascii="Times New Roman" w:hAnsi="Times New Roman" w:cs="Times New Roman"/>
                <w:w w:val="105"/>
                <w:sz w:val="20"/>
              </w:rPr>
              <w:t>with</w:t>
            </w:r>
            <w:r w:rsidRPr="004D4F38">
              <w:rPr>
                <w:rFonts w:ascii="Times New Roman" w:hAnsi="Times New Roman" w:cs="Times New Roman"/>
                <w:spacing w:val="-17"/>
                <w:w w:val="105"/>
                <w:sz w:val="20"/>
              </w:rPr>
              <w:t xml:space="preserve"> </w:t>
            </w:r>
            <w:r w:rsidRPr="004D4F38">
              <w:rPr>
                <w:rFonts w:ascii="Times New Roman" w:hAnsi="Times New Roman" w:cs="Times New Roman"/>
                <w:w w:val="105"/>
                <w:sz w:val="20"/>
              </w:rPr>
              <w:t>fatal</w:t>
            </w:r>
            <w:r w:rsidRPr="004D4F38">
              <w:rPr>
                <w:rFonts w:ascii="Times New Roman" w:hAnsi="Times New Roman" w:cs="Times New Roman"/>
                <w:spacing w:val="-16"/>
                <w:w w:val="105"/>
                <w:sz w:val="20"/>
              </w:rPr>
              <w:t xml:space="preserve"> </w:t>
            </w:r>
            <w:r w:rsidRPr="004D4F38">
              <w:rPr>
                <w:rFonts w:ascii="Times New Roman" w:hAnsi="Times New Roman" w:cs="Times New Roman"/>
                <w:w w:val="105"/>
                <w:sz w:val="20"/>
              </w:rPr>
              <w:t>outcomes)</w:t>
            </w:r>
          </w:p>
        </w:tc>
      </w:tr>
      <w:tr w:rsidR="009D079D" w:rsidRPr="004D4F38" w:rsidTr="009D079D">
        <w:trPr>
          <w:trHeight w:val="216"/>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2" w:line="211" w:lineRule="exact"/>
              <w:ind w:left="97"/>
              <w:rPr>
                <w:rFonts w:ascii="Times New Roman" w:hAnsi="Times New Roman" w:cs="Times New Roman"/>
                <w:i/>
                <w:sz w:val="20"/>
              </w:rPr>
            </w:pPr>
            <w:r w:rsidRPr="004D4F38">
              <w:rPr>
                <w:rFonts w:ascii="Times New Roman" w:hAnsi="Times New Roman" w:cs="Times New Roman"/>
                <w:i/>
                <w:w w:val="105"/>
                <w:sz w:val="20"/>
              </w:rPr>
              <w:t>Not known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2" w:line="211" w:lineRule="exact"/>
              <w:ind w:left="96"/>
              <w:rPr>
                <w:rFonts w:ascii="Times New Roman" w:hAnsi="Times New Roman" w:cs="Times New Roman"/>
                <w:sz w:val="20"/>
              </w:rPr>
            </w:pPr>
            <w:r w:rsidRPr="004D4F38">
              <w:rPr>
                <w:rFonts w:ascii="Times New Roman" w:hAnsi="Times New Roman" w:cs="Times New Roman"/>
                <w:w w:val="105"/>
                <w:sz w:val="20"/>
              </w:rPr>
              <w:t>hepatitis B reactivation</w:t>
            </w:r>
          </w:p>
        </w:tc>
      </w:tr>
      <w:tr w:rsidR="009D079D" w:rsidRPr="00F430C7" w:rsidTr="009D079D">
        <w:trPr>
          <w:trHeight w:val="220"/>
        </w:trPr>
        <w:tc>
          <w:tcPr>
            <w:tcW w:w="8899"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9D079D" w:rsidRPr="004D4F38" w:rsidRDefault="009D079D">
            <w:pPr>
              <w:pStyle w:val="TableParagraph"/>
              <w:spacing w:before="7" w:line="210" w:lineRule="exact"/>
              <w:ind w:left="97"/>
              <w:rPr>
                <w:rFonts w:ascii="Times New Roman" w:hAnsi="Times New Roman" w:cs="Times New Roman"/>
                <w:b/>
                <w:sz w:val="20"/>
              </w:rPr>
            </w:pPr>
            <w:r w:rsidRPr="004D4F38">
              <w:rPr>
                <w:rFonts w:ascii="Times New Roman" w:hAnsi="Times New Roman" w:cs="Times New Roman"/>
                <w:b/>
                <w:w w:val="105"/>
                <w:sz w:val="20"/>
              </w:rPr>
              <w:t>Blood and lymphatic system disorders</w:t>
            </w:r>
          </w:p>
        </w:tc>
      </w:tr>
      <w:tr w:rsidR="009D079D" w:rsidRPr="00F430C7"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6" w:line="211" w:lineRule="exact"/>
              <w:ind w:left="97"/>
              <w:rPr>
                <w:rFonts w:ascii="Times New Roman" w:hAnsi="Times New Roman" w:cs="Times New Roman"/>
                <w:i/>
                <w:sz w:val="20"/>
              </w:rPr>
            </w:pPr>
            <w:r w:rsidRPr="004D4F38">
              <w:rPr>
                <w:rFonts w:ascii="Times New Roman" w:hAnsi="Times New Roman" w:cs="Times New Roman"/>
                <w:i/>
                <w:w w:val="105"/>
                <w:sz w:val="20"/>
              </w:rPr>
              <w:t>Very Common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6" w:line="211" w:lineRule="exact"/>
              <w:ind w:left="97"/>
              <w:rPr>
                <w:rFonts w:ascii="Times New Roman" w:hAnsi="Times New Roman" w:cs="Times New Roman"/>
                <w:sz w:val="20"/>
              </w:rPr>
            </w:pPr>
            <w:r w:rsidRPr="004D4F38">
              <w:rPr>
                <w:rFonts w:ascii="Times New Roman" w:hAnsi="Times New Roman" w:cs="Times New Roman"/>
                <w:w w:val="105"/>
                <w:sz w:val="20"/>
              </w:rPr>
              <w:t>myelosuppression (including anaemia, neutropaenia, thrombocytopaenia)</w:t>
            </w:r>
          </w:p>
        </w:tc>
      </w:tr>
      <w:tr w:rsidR="009D079D" w:rsidRPr="004D4F38"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6" w:line="211" w:lineRule="exact"/>
              <w:ind w:left="97"/>
              <w:rPr>
                <w:rFonts w:ascii="Times New Roman" w:hAnsi="Times New Roman" w:cs="Times New Roman"/>
                <w:i/>
                <w:sz w:val="20"/>
              </w:rPr>
            </w:pPr>
            <w:r w:rsidRPr="004D4F38">
              <w:rPr>
                <w:rFonts w:ascii="Times New Roman" w:hAnsi="Times New Roman" w:cs="Times New Roman"/>
                <w:i/>
                <w:w w:val="105"/>
                <w:sz w:val="20"/>
              </w:rPr>
              <w:t>Common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6" w:line="211" w:lineRule="exact"/>
              <w:ind w:left="96"/>
              <w:rPr>
                <w:rFonts w:ascii="Times New Roman" w:hAnsi="Times New Roman" w:cs="Times New Roman"/>
                <w:sz w:val="20"/>
              </w:rPr>
            </w:pPr>
            <w:r w:rsidRPr="004D4F38">
              <w:rPr>
                <w:rFonts w:ascii="Times New Roman" w:hAnsi="Times New Roman" w:cs="Times New Roman"/>
                <w:w w:val="105"/>
                <w:sz w:val="20"/>
              </w:rPr>
              <w:t>febrile neutropaenia</w:t>
            </w:r>
          </w:p>
        </w:tc>
      </w:tr>
      <w:tr w:rsidR="009D079D" w:rsidRPr="004D4F38"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6" w:line="211" w:lineRule="exact"/>
              <w:ind w:left="97"/>
              <w:rPr>
                <w:rFonts w:ascii="Times New Roman" w:hAnsi="Times New Roman" w:cs="Times New Roman"/>
                <w:i/>
                <w:sz w:val="20"/>
              </w:rPr>
            </w:pPr>
            <w:r w:rsidRPr="004D4F38">
              <w:rPr>
                <w:rFonts w:ascii="Times New Roman" w:hAnsi="Times New Roman" w:cs="Times New Roman"/>
                <w:i/>
                <w:w w:val="105"/>
                <w:sz w:val="20"/>
              </w:rPr>
              <w:t>Uncommon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6" w:line="211" w:lineRule="exact"/>
              <w:ind w:left="96"/>
              <w:rPr>
                <w:rFonts w:ascii="Times New Roman" w:hAnsi="Times New Roman" w:cs="Times New Roman"/>
                <w:sz w:val="20"/>
              </w:rPr>
            </w:pPr>
            <w:r w:rsidRPr="004D4F38">
              <w:rPr>
                <w:rFonts w:ascii="Times New Roman" w:hAnsi="Times New Roman" w:cs="Times New Roman"/>
                <w:sz w:val="20"/>
              </w:rPr>
              <w:t>lymphadenopathy, lymphopaenia</w:t>
            </w:r>
          </w:p>
        </w:tc>
      </w:tr>
      <w:tr w:rsidR="009D079D" w:rsidRPr="004D4F38"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6" w:line="211" w:lineRule="exact"/>
              <w:ind w:left="97"/>
              <w:rPr>
                <w:rFonts w:ascii="Times New Roman" w:hAnsi="Times New Roman" w:cs="Times New Roman"/>
                <w:i/>
                <w:sz w:val="20"/>
              </w:rPr>
            </w:pPr>
            <w:r w:rsidRPr="004D4F38">
              <w:rPr>
                <w:rFonts w:ascii="Times New Roman" w:hAnsi="Times New Roman" w:cs="Times New Roman"/>
                <w:i/>
                <w:w w:val="105"/>
                <w:sz w:val="20"/>
              </w:rPr>
              <w:t>Rare</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6" w:line="211" w:lineRule="exact"/>
              <w:ind w:left="96"/>
              <w:rPr>
                <w:rFonts w:ascii="Times New Roman" w:hAnsi="Times New Roman" w:cs="Times New Roman"/>
                <w:sz w:val="20"/>
              </w:rPr>
            </w:pPr>
            <w:r w:rsidRPr="004D4F38">
              <w:rPr>
                <w:rFonts w:ascii="Times New Roman" w:hAnsi="Times New Roman" w:cs="Times New Roman"/>
                <w:w w:val="105"/>
                <w:sz w:val="20"/>
              </w:rPr>
              <w:t>aplasia pure red cell</w:t>
            </w:r>
          </w:p>
        </w:tc>
      </w:tr>
      <w:tr w:rsidR="009D079D" w:rsidRPr="004D4F38" w:rsidTr="009D079D">
        <w:trPr>
          <w:trHeight w:val="220"/>
        </w:trPr>
        <w:tc>
          <w:tcPr>
            <w:tcW w:w="8899"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9D079D" w:rsidRPr="004D4F38" w:rsidRDefault="009D079D">
            <w:pPr>
              <w:pStyle w:val="TableParagraph"/>
              <w:spacing w:before="8" w:line="210" w:lineRule="exact"/>
              <w:ind w:left="97"/>
              <w:rPr>
                <w:rFonts w:ascii="Times New Roman" w:hAnsi="Times New Roman" w:cs="Times New Roman"/>
                <w:b/>
                <w:sz w:val="20"/>
              </w:rPr>
            </w:pPr>
            <w:r w:rsidRPr="004D4F38">
              <w:rPr>
                <w:rFonts w:ascii="Times New Roman" w:hAnsi="Times New Roman" w:cs="Times New Roman"/>
                <w:b/>
                <w:w w:val="105"/>
                <w:sz w:val="20"/>
              </w:rPr>
              <w:t>Immune system disorders</w:t>
            </w:r>
          </w:p>
        </w:tc>
      </w:tr>
      <w:tr w:rsidR="009D079D" w:rsidRPr="004D4F38"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6" w:line="211" w:lineRule="exact"/>
              <w:ind w:left="97"/>
              <w:rPr>
                <w:rFonts w:ascii="Times New Roman" w:hAnsi="Times New Roman" w:cs="Times New Roman"/>
                <w:i/>
                <w:sz w:val="20"/>
              </w:rPr>
            </w:pPr>
            <w:r w:rsidRPr="004D4F38">
              <w:rPr>
                <w:rFonts w:ascii="Times New Roman" w:hAnsi="Times New Roman" w:cs="Times New Roman"/>
                <w:i/>
                <w:w w:val="105"/>
                <w:sz w:val="20"/>
              </w:rPr>
              <w:t>Uncommon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6" w:line="211" w:lineRule="exact"/>
              <w:ind w:left="96"/>
              <w:rPr>
                <w:rFonts w:ascii="Times New Roman" w:hAnsi="Times New Roman" w:cs="Times New Roman"/>
                <w:sz w:val="20"/>
              </w:rPr>
            </w:pPr>
            <w:r w:rsidRPr="004D4F38">
              <w:rPr>
                <w:rFonts w:ascii="Times New Roman" w:hAnsi="Times New Roman" w:cs="Times New Roman"/>
                <w:w w:val="105"/>
                <w:sz w:val="20"/>
              </w:rPr>
              <w:t>hypersensitivity (including erythema nodosum)</w:t>
            </w:r>
          </w:p>
        </w:tc>
      </w:tr>
      <w:tr w:rsidR="009D079D" w:rsidRPr="004D4F38"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6" w:line="211" w:lineRule="exact"/>
              <w:ind w:left="97"/>
              <w:rPr>
                <w:rFonts w:ascii="Times New Roman" w:hAnsi="Times New Roman" w:cs="Times New Roman"/>
                <w:sz w:val="20"/>
              </w:rPr>
            </w:pPr>
            <w:r w:rsidRPr="004D4F38">
              <w:rPr>
                <w:rFonts w:ascii="Times New Roman" w:hAnsi="Times New Roman" w:cs="Times New Roman"/>
                <w:w w:val="105"/>
                <w:sz w:val="20"/>
              </w:rPr>
              <w:t>Rare</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6" w:line="211" w:lineRule="exact"/>
              <w:ind w:left="96"/>
              <w:rPr>
                <w:rFonts w:ascii="Times New Roman" w:hAnsi="Times New Roman" w:cs="Times New Roman"/>
                <w:sz w:val="20"/>
              </w:rPr>
            </w:pPr>
            <w:r w:rsidRPr="004D4F38">
              <w:rPr>
                <w:rFonts w:ascii="Times New Roman" w:hAnsi="Times New Roman" w:cs="Times New Roman"/>
                <w:w w:val="105"/>
                <w:sz w:val="20"/>
              </w:rPr>
              <w:t>anaphylactic shock</w:t>
            </w:r>
          </w:p>
        </w:tc>
      </w:tr>
      <w:tr w:rsidR="009D079D" w:rsidRPr="004D4F38" w:rsidTr="009D079D">
        <w:trPr>
          <w:trHeight w:val="220"/>
        </w:trPr>
        <w:tc>
          <w:tcPr>
            <w:tcW w:w="8899"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9D079D" w:rsidRPr="004D4F38" w:rsidRDefault="009D079D">
            <w:pPr>
              <w:pStyle w:val="TableParagraph"/>
              <w:spacing w:before="7" w:line="210" w:lineRule="exact"/>
              <w:ind w:left="97"/>
              <w:rPr>
                <w:rFonts w:ascii="Times New Roman" w:hAnsi="Times New Roman" w:cs="Times New Roman"/>
                <w:b/>
                <w:sz w:val="20"/>
              </w:rPr>
            </w:pPr>
            <w:r w:rsidRPr="004D4F38">
              <w:rPr>
                <w:rFonts w:ascii="Times New Roman" w:hAnsi="Times New Roman" w:cs="Times New Roman"/>
                <w:b/>
                <w:w w:val="105"/>
                <w:sz w:val="20"/>
              </w:rPr>
              <w:t>Endocrine disorders</w:t>
            </w:r>
          </w:p>
        </w:tc>
      </w:tr>
      <w:tr w:rsidR="009D079D" w:rsidRPr="004D4F38"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5" w:line="212" w:lineRule="exact"/>
              <w:ind w:left="97"/>
              <w:rPr>
                <w:rFonts w:ascii="Times New Roman" w:hAnsi="Times New Roman" w:cs="Times New Roman"/>
                <w:i/>
                <w:sz w:val="20"/>
              </w:rPr>
            </w:pPr>
            <w:r w:rsidRPr="004D4F38">
              <w:rPr>
                <w:rFonts w:ascii="Times New Roman" w:hAnsi="Times New Roman" w:cs="Times New Roman"/>
                <w:i/>
                <w:w w:val="105"/>
                <w:sz w:val="20"/>
              </w:rPr>
              <w:t>Uncommon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5" w:line="212" w:lineRule="exact"/>
              <w:ind w:left="96"/>
              <w:rPr>
                <w:rFonts w:ascii="Times New Roman" w:hAnsi="Times New Roman" w:cs="Times New Roman"/>
                <w:sz w:val="20"/>
              </w:rPr>
            </w:pPr>
            <w:r w:rsidRPr="004D4F38">
              <w:rPr>
                <w:rFonts w:ascii="Times New Roman" w:hAnsi="Times New Roman" w:cs="Times New Roman"/>
                <w:w w:val="105"/>
                <w:sz w:val="20"/>
              </w:rPr>
              <w:t>hypothyroidism</w:t>
            </w:r>
          </w:p>
        </w:tc>
      </w:tr>
      <w:tr w:rsidR="009D079D" w:rsidRPr="004D4F38"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5" w:line="212" w:lineRule="exact"/>
              <w:ind w:left="97"/>
              <w:rPr>
                <w:rFonts w:ascii="Times New Roman" w:hAnsi="Times New Roman" w:cs="Times New Roman"/>
                <w:i/>
                <w:sz w:val="20"/>
              </w:rPr>
            </w:pPr>
            <w:r w:rsidRPr="004D4F38">
              <w:rPr>
                <w:rFonts w:ascii="Times New Roman" w:hAnsi="Times New Roman" w:cs="Times New Roman"/>
                <w:i/>
                <w:w w:val="105"/>
                <w:sz w:val="20"/>
              </w:rPr>
              <w:t>Rare</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5" w:line="212" w:lineRule="exact"/>
              <w:ind w:left="96"/>
              <w:rPr>
                <w:rFonts w:ascii="Times New Roman" w:hAnsi="Times New Roman" w:cs="Times New Roman"/>
                <w:sz w:val="20"/>
              </w:rPr>
            </w:pPr>
            <w:r w:rsidRPr="004D4F38">
              <w:rPr>
                <w:rFonts w:ascii="Times New Roman" w:hAnsi="Times New Roman" w:cs="Times New Roman"/>
                <w:sz w:val="20"/>
              </w:rPr>
              <w:t>hyperthyroidism, thyroiditis</w:t>
            </w:r>
          </w:p>
        </w:tc>
      </w:tr>
      <w:tr w:rsidR="009D079D" w:rsidRPr="004D4F38" w:rsidTr="009D079D">
        <w:trPr>
          <w:trHeight w:val="220"/>
        </w:trPr>
        <w:tc>
          <w:tcPr>
            <w:tcW w:w="8899"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9D079D" w:rsidRPr="004D4F38" w:rsidRDefault="009D079D">
            <w:pPr>
              <w:pStyle w:val="TableParagraph"/>
              <w:spacing w:before="7" w:line="210" w:lineRule="exact"/>
              <w:ind w:left="97"/>
              <w:rPr>
                <w:rFonts w:ascii="Times New Roman" w:hAnsi="Times New Roman" w:cs="Times New Roman"/>
                <w:b/>
                <w:sz w:val="20"/>
              </w:rPr>
            </w:pPr>
            <w:r w:rsidRPr="004D4F38">
              <w:rPr>
                <w:rFonts w:ascii="Times New Roman" w:hAnsi="Times New Roman" w:cs="Times New Roman"/>
                <w:b/>
                <w:w w:val="105"/>
                <w:sz w:val="20"/>
              </w:rPr>
              <w:t>Metabolism and nutrition disorders</w:t>
            </w:r>
          </w:p>
        </w:tc>
      </w:tr>
      <w:tr w:rsidR="009D079D" w:rsidRPr="004D4F38"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7" w:line="212" w:lineRule="exact"/>
              <w:ind w:left="97"/>
              <w:rPr>
                <w:rFonts w:ascii="Times New Roman" w:hAnsi="Times New Roman" w:cs="Times New Roman"/>
                <w:i/>
                <w:sz w:val="20"/>
              </w:rPr>
            </w:pPr>
            <w:r w:rsidRPr="004D4F38">
              <w:rPr>
                <w:rFonts w:ascii="Times New Roman" w:hAnsi="Times New Roman" w:cs="Times New Roman"/>
                <w:i/>
                <w:w w:val="105"/>
                <w:sz w:val="20"/>
              </w:rPr>
              <w:t>Common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line="218" w:lineRule="exact"/>
              <w:ind w:left="96"/>
              <w:rPr>
                <w:rFonts w:ascii="Times New Roman" w:hAnsi="Times New Roman" w:cs="Times New Roman"/>
                <w:sz w:val="20"/>
              </w:rPr>
            </w:pPr>
            <w:r w:rsidRPr="004D4F38">
              <w:rPr>
                <w:rFonts w:ascii="Times New Roman" w:hAnsi="Times New Roman" w:cs="Times New Roman"/>
                <w:w w:val="105"/>
                <w:sz w:val="20"/>
              </w:rPr>
              <w:t>appetite disturbances</w:t>
            </w:r>
            <w:r w:rsidRPr="004D4F38">
              <w:rPr>
                <w:rFonts w:ascii="Times New Roman" w:hAnsi="Times New Roman" w:cs="Times New Roman"/>
                <w:w w:val="105"/>
                <w:position w:val="9"/>
                <w:sz w:val="13"/>
              </w:rPr>
              <w:t>a</w:t>
            </w:r>
            <w:r w:rsidRPr="004D4F38">
              <w:rPr>
                <w:rFonts w:ascii="Times New Roman" w:hAnsi="Times New Roman" w:cs="Times New Roman"/>
                <w:w w:val="105"/>
                <w:sz w:val="20"/>
              </w:rPr>
              <w:t>, hyperuricaemia</w:t>
            </w:r>
          </w:p>
        </w:tc>
      </w:tr>
      <w:tr w:rsidR="009D079D" w:rsidRPr="004D4F38"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5" w:line="212" w:lineRule="exact"/>
              <w:ind w:left="97"/>
              <w:rPr>
                <w:rFonts w:ascii="Times New Roman" w:hAnsi="Times New Roman" w:cs="Times New Roman"/>
                <w:i/>
                <w:sz w:val="20"/>
              </w:rPr>
            </w:pPr>
            <w:r w:rsidRPr="004D4F38">
              <w:rPr>
                <w:rFonts w:ascii="Times New Roman" w:hAnsi="Times New Roman" w:cs="Times New Roman"/>
                <w:i/>
                <w:w w:val="105"/>
                <w:sz w:val="20"/>
              </w:rPr>
              <w:t>Uncommon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5" w:line="212" w:lineRule="exact"/>
              <w:ind w:left="96"/>
              <w:rPr>
                <w:rFonts w:ascii="Times New Roman" w:hAnsi="Times New Roman" w:cs="Times New Roman"/>
                <w:sz w:val="20"/>
                <w:lang w:val="fr-FR"/>
              </w:rPr>
            </w:pPr>
            <w:r w:rsidRPr="004D4F38">
              <w:rPr>
                <w:rFonts w:ascii="Times New Roman" w:hAnsi="Times New Roman" w:cs="Times New Roman"/>
                <w:w w:val="105"/>
                <w:sz w:val="20"/>
                <w:lang w:val="fr-FR"/>
              </w:rPr>
              <w:t>tumour lysis syndrome, dehydration, hypoalbuminemia, hypercholesterolemia</w:t>
            </w:r>
          </w:p>
        </w:tc>
      </w:tr>
      <w:tr w:rsidR="009D079D" w:rsidRPr="004D4F38"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5" w:line="212" w:lineRule="exact"/>
              <w:ind w:left="97"/>
              <w:rPr>
                <w:rFonts w:ascii="Times New Roman" w:hAnsi="Times New Roman" w:cs="Times New Roman"/>
                <w:i/>
                <w:sz w:val="20"/>
              </w:rPr>
            </w:pPr>
            <w:r w:rsidRPr="004D4F38">
              <w:rPr>
                <w:rFonts w:ascii="Times New Roman" w:hAnsi="Times New Roman" w:cs="Times New Roman"/>
                <w:i/>
                <w:w w:val="105"/>
                <w:sz w:val="20"/>
              </w:rPr>
              <w:t>Rare</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5" w:line="212" w:lineRule="exact"/>
              <w:ind w:left="96"/>
              <w:rPr>
                <w:rFonts w:ascii="Times New Roman" w:hAnsi="Times New Roman" w:cs="Times New Roman"/>
                <w:sz w:val="20"/>
              </w:rPr>
            </w:pPr>
            <w:r w:rsidRPr="004D4F38">
              <w:rPr>
                <w:rFonts w:ascii="Times New Roman" w:hAnsi="Times New Roman" w:cs="Times New Roman"/>
                <w:w w:val="105"/>
                <w:sz w:val="20"/>
              </w:rPr>
              <w:t>diabetes mellitus</w:t>
            </w:r>
          </w:p>
        </w:tc>
      </w:tr>
      <w:tr w:rsidR="009D079D" w:rsidRPr="004D4F38" w:rsidTr="009D079D">
        <w:trPr>
          <w:trHeight w:val="220"/>
        </w:trPr>
        <w:tc>
          <w:tcPr>
            <w:tcW w:w="8899"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9D079D" w:rsidRPr="004D4F38" w:rsidRDefault="009D079D">
            <w:pPr>
              <w:pStyle w:val="TableParagraph"/>
              <w:spacing w:before="7" w:line="210" w:lineRule="exact"/>
              <w:ind w:left="97"/>
              <w:rPr>
                <w:rFonts w:ascii="Times New Roman" w:hAnsi="Times New Roman" w:cs="Times New Roman"/>
                <w:b/>
                <w:sz w:val="20"/>
              </w:rPr>
            </w:pPr>
            <w:r w:rsidRPr="004D4F38">
              <w:rPr>
                <w:rFonts w:ascii="Times New Roman" w:hAnsi="Times New Roman" w:cs="Times New Roman"/>
                <w:b/>
                <w:sz w:val="20"/>
              </w:rPr>
              <w:t>Psychiatric disorders</w:t>
            </w:r>
          </w:p>
        </w:tc>
      </w:tr>
      <w:tr w:rsidR="009D079D" w:rsidRPr="004D4F38"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5" w:line="212" w:lineRule="exact"/>
              <w:ind w:left="97"/>
              <w:rPr>
                <w:rFonts w:ascii="Times New Roman" w:hAnsi="Times New Roman" w:cs="Times New Roman"/>
                <w:i/>
                <w:sz w:val="20"/>
              </w:rPr>
            </w:pPr>
            <w:r w:rsidRPr="004D4F38">
              <w:rPr>
                <w:rFonts w:ascii="Times New Roman" w:hAnsi="Times New Roman" w:cs="Times New Roman"/>
                <w:i/>
                <w:w w:val="105"/>
                <w:sz w:val="20"/>
              </w:rPr>
              <w:t>Common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5" w:line="212" w:lineRule="exact"/>
              <w:ind w:left="96"/>
              <w:rPr>
                <w:rFonts w:ascii="Times New Roman" w:hAnsi="Times New Roman" w:cs="Times New Roman"/>
                <w:sz w:val="20"/>
              </w:rPr>
            </w:pPr>
            <w:r w:rsidRPr="004D4F38">
              <w:rPr>
                <w:rFonts w:ascii="Times New Roman" w:hAnsi="Times New Roman" w:cs="Times New Roman"/>
                <w:w w:val="105"/>
                <w:sz w:val="20"/>
              </w:rPr>
              <w:t>depression, insomnia</w:t>
            </w:r>
          </w:p>
        </w:tc>
      </w:tr>
      <w:tr w:rsidR="009D079D" w:rsidRPr="00F430C7"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5" w:line="213" w:lineRule="exact"/>
              <w:ind w:left="97"/>
              <w:rPr>
                <w:rFonts w:ascii="Times New Roman" w:hAnsi="Times New Roman" w:cs="Times New Roman"/>
                <w:i/>
                <w:sz w:val="20"/>
              </w:rPr>
            </w:pPr>
            <w:r w:rsidRPr="004D4F38">
              <w:rPr>
                <w:rFonts w:ascii="Times New Roman" w:hAnsi="Times New Roman" w:cs="Times New Roman"/>
                <w:i/>
                <w:w w:val="105"/>
                <w:sz w:val="20"/>
              </w:rPr>
              <w:t>Uncommon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5" w:line="213" w:lineRule="exact"/>
              <w:ind w:left="96"/>
              <w:rPr>
                <w:rFonts w:ascii="Times New Roman" w:hAnsi="Times New Roman" w:cs="Times New Roman"/>
                <w:sz w:val="20"/>
              </w:rPr>
            </w:pPr>
            <w:r w:rsidRPr="004D4F38">
              <w:rPr>
                <w:rFonts w:ascii="Times New Roman" w:hAnsi="Times New Roman" w:cs="Times New Roman"/>
                <w:w w:val="105"/>
                <w:sz w:val="20"/>
              </w:rPr>
              <w:t>anxiety, confusional state, affect lability, libido decreased</w:t>
            </w:r>
          </w:p>
        </w:tc>
      </w:tr>
      <w:tr w:rsidR="009D079D" w:rsidRPr="004D4F38" w:rsidTr="009D079D">
        <w:trPr>
          <w:trHeight w:val="220"/>
        </w:trPr>
        <w:tc>
          <w:tcPr>
            <w:tcW w:w="8899"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9D079D" w:rsidRPr="004D4F38" w:rsidRDefault="009D079D">
            <w:pPr>
              <w:pStyle w:val="TableParagraph"/>
              <w:spacing w:before="6" w:line="211" w:lineRule="exact"/>
              <w:ind w:left="97"/>
              <w:rPr>
                <w:rFonts w:ascii="Times New Roman" w:hAnsi="Times New Roman" w:cs="Times New Roman"/>
                <w:b/>
                <w:sz w:val="20"/>
              </w:rPr>
            </w:pPr>
            <w:r w:rsidRPr="004D4F38">
              <w:rPr>
                <w:rFonts w:ascii="Times New Roman" w:hAnsi="Times New Roman" w:cs="Times New Roman"/>
                <w:b/>
                <w:w w:val="105"/>
                <w:sz w:val="20"/>
              </w:rPr>
              <w:t>Nervous system disorders</w:t>
            </w:r>
          </w:p>
        </w:tc>
      </w:tr>
      <w:tr w:rsidR="009D079D" w:rsidRPr="004D4F38"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6" w:line="211" w:lineRule="exact"/>
              <w:ind w:left="97"/>
              <w:rPr>
                <w:rFonts w:ascii="Times New Roman" w:hAnsi="Times New Roman" w:cs="Times New Roman"/>
                <w:i/>
                <w:sz w:val="20"/>
              </w:rPr>
            </w:pPr>
            <w:r w:rsidRPr="004D4F38">
              <w:rPr>
                <w:rFonts w:ascii="Times New Roman" w:hAnsi="Times New Roman" w:cs="Times New Roman"/>
                <w:i/>
                <w:w w:val="105"/>
                <w:sz w:val="20"/>
              </w:rPr>
              <w:t>Very common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6" w:line="211" w:lineRule="exact"/>
              <w:ind w:left="97"/>
              <w:rPr>
                <w:rFonts w:ascii="Times New Roman" w:hAnsi="Times New Roman" w:cs="Times New Roman"/>
                <w:sz w:val="20"/>
              </w:rPr>
            </w:pPr>
            <w:r w:rsidRPr="004D4F38">
              <w:rPr>
                <w:rFonts w:ascii="Times New Roman" w:hAnsi="Times New Roman" w:cs="Times New Roman"/>
                <w:w w:val="105"/>
                <w:sz w:val="20"/>
              </w:rPr>
              <w:t>headache</w:t>
            </w:r>
          </w:p>
        </w:tc>
      </w:tr>
      <w:tr w:rsidR="009D079D" w:rsidRPr="00F430C7"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6" w:line="211" w:lineRule="exact"/>
              <w:ind w:left="97"/>
              <w:rPr>
                <w:rFonts w:ascii="Times New Roman" w:hAnsi="Times New Roman" w:cs="Times New Roman"/>
                <w:i/>
                <w:sz w:val="20"/>
              </w:rPr>
            </w:pPr>
            <w:r w:rsidRPr="004D4F38">
              <w:rPr>
                <w:rFonts w:ascii="Times New Roman" w:hAnsi="Times New Roman" w:cs="Times New Roman"/>
                <w:i/>
                <w:w w:val="105"/>
                <w:sz w:val="20"/>
              </w:rPr>
              <w:t>Common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6" w:line="211" w:lineRule="exact"/>
              <w:ind w:left="96"/>
              <w:rPr>
                <w:rFonts w:ascii="Times New Roman" w:hAnsi="Times New Roman" w:cs="Times New Roman"/>
                <w:sz w:val="20"/>
              </w:rPr>
            </w:pPr>
            <w:r w:rsidRPr="004D4F38">
              <w:rPr>
                <w:rFonts w:ascii="Times New Roman" w:hAnsi="Times New Roman" w:cs="Times New Roman"/>
                <w:w w:val="105"/>
                <w:sz w:val="20"/>
              </w:rPr>
              <w:t>neuropathy (including peripheral neuropathy), dizziness, dysgeusia, somnolence</w:t>
            </w:r>
          </w:p>
        </w:tc>
      </w:tr>
      <w:tr w:rsidR="009D079D" w:rsidRPr="00F430C7"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7" w:line="211" w:lineRule="exact"/>
              <w:ind w:left="97"/>
              <w:rPr>
                <w:rFonts w:ascii="Times New Roman" w:hAnsi="Times New Roman" w:cs="Times New Roman"/>
                <w:i/>
                <w:sz w:val="20"/>
              </w:rPr>
            </w:pPr>
            <w:r w:rsidRPr="004D4F38">
              <w:rPr>
                <w:rFonts w:ascii="Times New Roman" w:hAnsi="Times New Roman" w:cs="Times New Roman"/>
                <w:i/>
                <w:w w:val="105"/>
                <w:sz w:val="20"/>
              </w:rPr>
              <w:t>Uncommon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line="218" w:lineRule="exact"/>
              <w:ind w:left="96"/>
              <w:rPr>
                <w:rFonts w:ascii="Times New Roman" w:hAnsi="Times New Roman" w:cs="Times New Roman"/>
                <w:sz w:val="20"/>
              </w:rPr>
            </w:pPr>
            <w:r w:rsidRPr="004D4F38">
              <w:rPr>
                <w:rFonts w:ascii="Times New Roman" w:hAnsi="Times New Roman" w:cs="Times New Roman"/>
                <w:w w:val="105"/>
                <w:sz w:val="20"/>
              </w:rPr>
              <w:t>CNS bleeding*</w:t>
            </w:r>
            <w:r w:rsidRPr="004D4F38">
              <w:rPr>
                <w:rFonts w:ascii="Times New Roman" w:hAnsi="Times New Roman" w:cs="Times New Roman"/>
                <w:w w:val="105"/>
                <w:position w:val="9"/>
                <w:sz w:val="13"/>
              </w:rPr>
              <w:t>b</w:t>
            </w:r>
            <w:r w:rsidRPr="004D4F38">
              <w:rPr>
                <w:rFonts w:ascii="Times New Roman" w:hAnsi="Times New Roman" w:cs="Times New Roman"/>
                <w:w w:val="105"/>
                <w:sz w:val="20"/>
              </w:rPr>
              <w:t>, syncope, tremor, amnesia, balance disorder</w:t>
            </w:r>
          </w:p>
        </w:tc>
      </w:tr>
      <w:tr w:rsidR="009D079D" w:rsidRPr="00F430C7" w:rsidTr="009D079D">
        <w:trPr>
          <w:trHeight w:val="46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6"/>
              <w:ind w:left="97"/>
              <w:rPr>
                <w:rFonts w:ascii="Times New Roman" w:hAnsi="Times New Roman" w:cs="Times New Roman"/>
                <w:i/>
                <w:sz w:val="20"/>
              </w:rPr>
            </w:pPr>
            <w:r w:rsidRPr="004D4F38">
              <w:rPr>
                <w:rFonts w:ascii="Times New Roman" w:hAnsi="Times New Roman" w:cs="Times New Roman"/>
                <w:i/>
                <w:w w:val="105"/>
                <w:sz w:val="20"/>
              </w:rPr>
              <w:t>Rare</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2" w:line="238" w:lineRule="exact"/>
              <w:ind w:left="96"/>
              <w:rPr>
                <w:rFonts w:ascii="Times New Roman" w:hAnsi="Times New Roman" w:cs="Times New Roman"/>
                <w:sz w:val="20"/>
              </w:rPr>
            </w:pPr>
            <w:r w:rsidRPr="004D4F38">
              <w:rPr>
                <w:rFonts w:ascii="Times New Roman" w:hAnsi="Times New Roman" w:cs="Times New Roman"/>
                <w:w w:val="105"/>
                <w:sz w:val="20"/>
              </w:rPr>
              <w:t>cerebrovascular</w:t>
            </w:r>
            <w:r w:rsidRPr="004D4F38">
              <w:rPr>
                <w:rFonts w:ascii="Times New Roman" w:hAnsi="Times New Roman" w:cs="Times New Roman"/>
                <w:spacing w:val="-15"/>
                <w:w w:val="105"/>
                <w:sz w:val="20"/>
              </w:rPr>
              <w:t xml:space="preserve"> </w:t>
            </w:r>
            <w:r w:rsidRPr="004D4F38">
              <w:rPr>
                <w:rFonts w:ascii="Times New Roman" w:hAnsi="Times New Roman" w:cs="Times New Roman"/>
                <w:w w:val="105"/>
                <w:sz w:val="20"/>
              </w:rPr>
              <w:t>accident,</w:t>
            </w:r>
            <w:r w:rsidRPr="004D4F38">
              <w:rPr>
                <w:rFonts w:ascii="Times New Roman" w:hAnsi="Times New Roman" w:cs="Times New Roman"/>
                <w:spacing w:val="-15"/>
                <w:w w:val="105"/>
                <w:sz w:val="20"/>
              </w:rPr>
              <w:t xml:space="preserve"> </w:t>
            </w:r>
            <w:r w:rsidRPr="004D4F38">
              <w:rPr>
                <w:rFonts w:ascii="Times New Roman" w:hAnsi="Times New Roman" w:cs="Times New Roman"/>
                <w:w w:val="105"/>
                <w:sz w:val="20"/>
              </w:rPr>
              <w:t>transient</w:t>
            </w:r>
            <w:r w:rsidRPr="004D4F38">
              <w:rPr>
                <w:rFonts w:ascii="Times New Roman" w:hAnsi="Times New Roman" w:cs="Times New Roman"/>
                <w:spacing w:val="-15"/>
                <w:w w:val="105"/>
                <w:sz w:val="20"/>
              </w:rPr>
              <w:t xml:space="preserve"> </w:t>
            </w:r>
            <w:r w:rsidRPr="004D4F38">
              <w:rPr>
                <w:rFonts w:ascii="Times New Roman" w:hAnsi="Times New Roman" w:cs="Times New Roman"/>
                <w:w w:val="105"/>
                <w:sz w:val="20"/>
              </w:rPr>
              <w:t>ischaemic</w:t>
            </w:r>
            <w:r w:rsidRPr="004D4F38">
              <w:rPr>
                <w:rFonts w:ascii="Times New Roman" w:hAnsi="Times New Roman" w:cs="Times New Roman"/>
                <w:spacing w:val="-16"/>
                <w:w w:val="105"/>
                <w:sz w:val="20"/>
              </w:rPr>
              <w:t xml:space="preserve"> </w:t>
            </w:r>
            <w:r w:rsidRPr="004D4F38">
              <w:rPr>
                <w:rFonts w:ascii="Times New Roman" w:hAnsi="Times New Roman" w:cs="Times New Roman"/>
                <w:w w:val="105"/>
                <w:sz w:val="20"/>
              </w:rPr>
              <w:t>attack,</w:t>
            </w:r>
            <w:r w:rsidRPr="004D4F38">
              <w:rPr>
                <w:rFonts w:ascii="Times New Roman" w:hAnsi="Times New Roman" w:cs="Times New Roman"/>
                <w:spacing w:val="-16"/>
                <w:w w:val="105"/>
                <w:sz w:val="20"/>
              </w:rPr>
              <w:t xml:space="preserve"> </w:t>
            </w:r>
            <w:r w:rsidRPr="004D4F38">
              <w:rPr>
                <w:rFonts w:ascii="Times New Roman" w:hAnsi="Times New Roman" w:cs="Times New Roman"/>
                <w:w w:val="105"/>
                <w:sz w:val="20"/>
              </w:rPr>
              <w:t>convulsion,</w:t>
            </w:r>
            <w:r w:rsidRPr="004D4F38">
              <w:rPr>
                <w:rFonts w:ascii="Times New Roman" w:hAnsi="Times New Roman" w:cs="Times New Roman"/>
                <w:spacing w:val="-15"/>
                <w:w w:val="105"/>
                <w:sz w:val="20"/>
              </w:rPr>
              <w:t xml:space="preserve"> </w:t>
            </w:r>
            <w:r w:rsidRPr="004D4F38">
              <w:rPr>
                <w:rFonts w:ascii="Times New Roman" w:hAnsi="Times New Roman" w:cs="Times New Roman"/>
                <w:w w:val="105"/>
                <w:sz w:val="20"/>
              </w:rPr>
              <w:t>optic</w:t>
            </w:r>
            <w:r w:rsidRPr="004D4F38">
              <w:rPr>
                <w:rFonts w:ascii="Times New Roman" w:hAnsi="Times New Roman" w:cs="Times New Roman"/>
                <w:spacing w:val="-15"/>
                <w:w w:val="105"/>
                <w:sz w:val="20"/>
              </w:rPr>
              <w:t xml:space="preserve"> </w:t>
            </w:r>
            <w:r w:rsidRPr="004D4F38">
              <w:rPr>
                <w:rFonts w:ascii="Times New Roman" w:hAnsi="Times New Roman" w:cs="Times New Roman"/>
                <w:w w:val="105"/>
                <w:sz w:val="20"/>
              </w:rPr>
              <w:t>neuritis,</w:t>
            </w:r>
            <w:r w:rsidRPr="004D4F38">
              <w:rPr>
                <w:rFonts w:ascii="Times New Roman" w:hAnsi="Times New Roman" w:cs="Times New Roman"/>
                <w:spacing w:val="-15"/>
                <w:w w:val="105"/>
                <w:sz w:val="20"/>
              </w:rPr>
              <w:t xml:space="preserve"> </w:t>
            </w:r>
            <w:r w:rsidRPr="004D4F38">
              <w:rPr>
                <w:rFonts w:ascii="Times New Roman" w:hAnsi="Times New Roman" w:cs="Times New Roman"/>
                <w:w w:val="105"/>
                <w:sz w:val="20"/>
              </w:rPr>
              <w:t>VIIth nerve</w:t>
            </w:r>
            <w:r w:rsidRPr="004D4F38">
              <w:rPr>
                <w:rFonts w:ascii="Times New Roman" w:hAnsi="Times New Roman" w:cs="Times New Roman"/>
                <w:spacing w:val="-17"/>
                <w:w w:val="105"/>
                <w:sz w:val="20"/>
              </w:rPr>
              <w:t xml:space="preserve"> </w:t>
            </w:r>
            <w:r w:rsidRPr="004D4F38">
              <w:rPr>
                <w:rFonts w:ascii="Times New Roman" w:hAnsi="Times New Roman" w:cs="Times New Roman"/>
                <w:w w:val="105"/>
                <w:sz w:val="20"/>
              </w:rPr>
              <w:t>paralysis,</w:t>
            </w:r>
            <w:r w:rsidRPr="004D4F38">
              <w:rPr>
                <w:rFonts w:ascii="Times New Roman" w:hAnsi="Times New Roman" w:cs="Times New Roman"/>
                <w:spacing w:val="-18"/>
                <w:w w:val="105"/>
                <w:sz w:val="20"/>
              </w:rPr>
              <w:t xml:space="preserve"> </w:t>
            </w:r>
            <w:r w:rsidRPr="004D4F38">
              <w:rPr>
                <w:rFonts w:ascii="Times New Roman" w:hAnsi="Times New Roman" w:cs="Times New Roman"/>
                <w:w w:val="105"/>
                <w:sz w:val="20"/>
              </w:rPr>
              <w:t>dementia,</w:t>
            </w:r>
            <w:r w:rsidRPr="004D4F38">
              <w:rPr>
                <w:rFonts w:ascii="Times New Roman" w:hAnsi="Times New Roman" w:cs="Times New Roman"/>
                <w:spacing w:val="-16"/>
                <w:w w:val="105"/>
                <w:sz w:val="20"/>
              </w:rPr>
              <w:t xml:space="preserve"> </w:t>
            </w:r>
            <w:r w:rsidRPr="004D4F38">
              <w:rPr>
                <w:rFonts w:ascii="Times New Roman" w:hAnsi="Times New Roman" w:cs="Times New Roman"/>
                <w:w w:val="105"/>
                <w:sz w:val="20"/>
              </w:rPr>
              <w:t>ataxia</w:t>
            </w:r>
          </w:p>
        </w:tc>
      </w:tr>
      <w:tr w:rsidR="009D079D" w:rsidRPr="004D4F38" w:rsidTr="009D079D">
        <w:trPr>
          <w:trHeight w:val="217"/>
        </w:trPr>
        <w:tc>
          <w:tcPr>
            <w:tcW w:w="8899"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9D079D" w:rsidRPr="004D4F38" w:rsidRDefault="009D079D">
            <w:pPr>
              <w:pStyle w:val="TableParagraph"/>
              <w:spacing w:before="3" w:line="210" w:lineRule="exact"/>
              <w:ind w:left="97"/>
              <w:rPr>
                <w:rFonts w:ascii="Times New Roman" w:hAnsi="Times New Roman" w:cs="Times New Roman"/>
                <w:b/>
                <w:sz w:val="20"/>
              </w:rPr>
            </w:pPr>
            <w:r w:rsidRPr="004D4F38">
              <w:rPr>
                <w:rFonts w:ascii="Times New Roman" w:hAnsi="Times New Roman" w:cs="Times New Roman"/>
                <w:b/>
                <w:w w:val="105"/>
                <w:sz w:val="20"/>
              </w:rPr>
              <w:t>Eye disorders</w:t>
            </w:r>
          </w:p>
        </w:tc>
      </w:tr>
      <w:tr w:rsidR="009D079D" w:rsidRPr="00F430C7" w:rsidTr="009D079D">
        <w:trPr>
          <w:trHeight w:val="46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5"/>
              <w:ind w:left="97"/>
              <w:rPr>
                <w:rFonts w:ascii="Times New Roman" w:hAnsi="Times New Roman" w:cs="Times New Roman"/>
                <w:i/>
                <w:sz w:val="20"/>
              </w:rPr>
            </w:pPr>
            <w:r w:rsidRPr="004D4F38">
              <w:rPr>
                <w:rFonts w:ascii="Times New Roman" w:hAnsi="Times New Roman" w:cs="Times New Roman"/>
                <w:i/>
                <w:w w:val="105"/>
                <w:sz w:val="20"/>
              </w:rPr>
              <w:t>Common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2" w:line="238" w:lineRule="exact"/>
              <w:ind w:left="96" w:right="272"/>
              <w:rPr>
                <w:rFonts w:ascii="Times New Roman" w:hAnsi="Times New Roman" w:cs="Times New Roman"/>
                <w:sz w:val="20"/>
              </w:rPr>
            </w:pPr>
            <w:r w:rsidRPr="004D4F38">
              <w:rPr>
                <w:rFonts w:ascii="Times New Roman" w:hAnsi="Times New Roman" w:cs="Times New Roman"/>
                <w:w w:val="105"/>
                <w:sz w:val="20"/>
              </w:rPr>
              <w:t>visual</w:t>
            </w:r>
            <w:r w:rsidRPr="004D4F38">
              <w:rPr>
                <w:rFonts w:ascii="Times New Roman" w:hAnsi="Times New Roman" w:cs="Times New Roman"/>
                <w:spacing w:val="-14"/>
                <w:w w:val="105"/>
                <w:sz w:val="20"/>
              </w:rPr>
              <w:t xml:space="preserve"> </w:t>
            </w:r>
            <w:r w:rsidRPr="004D4F38">
              <w:rPr>
                <w:rFonts w:ascii="Times New Roman" w:hAnsi="Times New Roman" w:cs="Times New Roman"/>
                <w:w w:val="105"/>
                <w:sz w:val="20"/>
              </w:rPr>
              <w:t>disorder</w:t>
            </w:r>
            <w:r w:rsidRPr="004D4F38">
              <w:rPr>
                <w:rFonts w:ascii="Times New Roman" w:hAnsi="Times New Roman" w:cs="Times New Roman"/>
                <w:spacing w:val="-13"/>
                <w:w w:val="105"/>
                <w:sz w:val="20"/>
              </w:rPr>
              <w:t xml:space="preserve"> </w:t>
            </w:r>
            <w:r w:rsidRPr="004D4F38">
              <w:rPr>
                <w:rFonts w:ascii="Times New Roman" w:hAnsi="Times New Roman" w:cs="Times New Roman"/>
                <w:w w:val="105"/>
                <w:sz w:val="20"/>
              </w:rPr>
              <w:t>(including</w:t>
            </w:r>
            <w:r w:rsidRPr="004D4F38">
              <w:rPr>
                <w:rFonts w:ascii="Times New Roman" w:hAnsi="Times New Roman" w:cs="Times New Roman"/>
                <w:spacing w:val="-14"/>
                <w:w w:val="105"/>
                <w:sz w:val="20"/>
              </w:rPr>
              <w:t xml:space="preserve"> </w:t>
            </w:r>
            <w:r w:rsidRPr="004D4F38">
              <w:rPr>
                <w:rFonts w:ascii="Times New Roman" w:hAnsi="Times New Roman" w:cs="Times New Roman"/>
                <w:w w:val="105"/>
                <w:sz w:val="20"/>
              </w:rPr>
              <w:t>visual</w:t>
            </w:r>
            <w:r w:rsidRPr="004D4F38">
              <w:rPr>
                <w:rFonts w:ascii="Times New Roman" w:hAnsi="Times New Roman" w:cs="Times New Roman"/>
                <w:spacing w:val="-13"/>
                <w:w w:val="105"/>
                <w:sz w:val="20"/>
              </w:rPr>
              <w:t xml:space="preserve"> </w:t>
            </w:r>
            <w:r w:rsidRPr="004D4F38">
              <w:rPr>
                <w:rFonts w:ascii="Times New Roman" w:hAnsi="Times New Roman" w:cs="Times New Roman"/>
                <w:w w:val="105"/>
                <w:sz w:val="20"/>
              </w:rPr>
              <w:t>disturbance,</w:t>
            </w:r>
            <w:r w:rsidRPr="004D4F38">
              <w:rPr>
                <w:rFonts w:ascii="Times New Roman" w:hAnsi="Times New Roman" w:cs="Times New Roman"/>
                <w:spacing w:val="-13"/>
                <w:w w:val="105"/>
                <w:sz w:val="20"/>
              </w:rPr>
              <w:t xml:space="preserve"> </w:t>
            </w:r>
            <w:r w:rsidRPr="004D4F38">
              <w:rPr>
                <w:rFonts w:ascii="Times New Roman" w:hAnsi="Times New Roman" w:cs="Times New Roman"/>
                <w:w w:val="105"/>
                <w:sz w:val="20"/>
              </w:rPr>
              <w:t>vision</w:t>
            </w:r>
            <w:r w:rsidRPr="004D4F38">
              <w:rPr>
                <w:rFonts w:ascii="Times New Roman" w:hAnsi="Times New Roman" w:cs="Times New Roman"/>
                <w:spacing w:val="-13"/>
                <w:w w:val="105"/>
                <w:sz w:val="20"/>
              </w:rPr>
              <w:t xml:space="preserve"> </w:t>
            </w:r>
            <w:r w:rsidRPr="004D4F38">
              <w:rPr>
                <w:rFonts w:ascii="Times New Roman" w:hAnsi="Times New Roman" w:cs="Times New Roman"/>
                <w:w w:val="105"/>
                <w:sz w:val="20"/>
              </w:rPr>
              <w:t>blurred,</w:t>
            </w:r>
            <w:r w:rsidRPr="004D4F38">
              <w:rPr>
                <w:rFonts w:ascii="Times New Roman" w:hAnsi="Times New Roman" w:cs="Times New Roman"/>
                <w:spacing w:val="-15"/>
                <w:w w:val="105"/>
                <w:sz w:val="20"/>
              </w:rPr>
              <w:t xml:space="preserve"> </w:t>
            </w:r>
            <w:r w:rsidRPr="004D4F38">
              <w:rPr>
                <w:rFonts w:ascii="Times New Roman" w:hAnsi="Times New Roman" w:cs="Times New Roman"/>
                <w:w w:val="105"/>
                <w:sz w:val="20"/>
              </w:rPr>
              <w:t>and</w:t>
            </w:r>
            <w:r w:rsidRPr="004D4F38">
              <w:rPr>
                <w:rFonts w:ascii="Times New Roman" w:hAnsi="Times New Roman" w:cs="Times New Roman"/>
                <w:spacing w:val="-13"/>
                <w:w w:val="105"/>
                <w:sz w:val="20"/>
              </w:rPr>
              <w:t xml:space="preserve"> </w:t>
            </w:r>
            <w:r w:rsidRPr="004D4F38">
              <w:rPr>
                <w:rFonts w:ascii="Times New Roman" w:hAnsi="Times New Roman" w:cs="Times New Roman"/>
                <w:w w:val="105"/>
                <w:sz w:val="20"/>
              </w:rPr>
              <w:t>visual</w:t>
            </w:r>
            <w:r w:rsidRPr="004D4F38">
              <w:rPr>
                <w:rFonts w:ascii="Times New Roman" w:hAnsi="Times New Roman" w:cs="Times New Roman"/>
                <w:spacing w:val="-14"/>
                <w:w w:val="105"/>
                <w:sz w:val="20"/>
              </w:rPr>
              <w:t xml:space="preserve"> </w:t>
            </w:r>
            <w:r w:rsidRPr="004D4F38">
              <w:rPr>
                <w:rFonts w:ascii="Times New Roman" w:hAnsi="Times New Roman" w:cs="Times New Roman"/>
                <w:w w:val="105"/>
                <w:sz w:val="20"/>
              </w:rPr>
              <w:t>acuity reduced), dry</w:t>
            </w:r>
            <w:r w:rsidRPr="004D4F38">
              <w:rPr>
                <w:rFonts w:ascii="Times New Roman" w:hAnsi="Times New Roman" w:cs="Times New Roman"/>
                <w:spacing w:val="-29"/>
                <w:w w:val="105"/>
                <w:sz w:val="20"/>
              </w:rPr>
              <w:t xml:space="preserve"> </w:t>
            </w:r>
            <w:r w:rsidRPr="004D4F38">
              <w:rPr>
                <w:rFonts w:ascii="Times New Roman" w:hAnsi="Times New Roman" w:cs="Times New Roman"/>
                <w:w w:val="105"/>
                <w:sz w:val="20"/>
              </w:rPr>
              <w:t>eye</w:t>
            </w:r>
          </w:p>
        </w:tc>
      </w:tr>
      <w:tr w:rsidR="009D079D" w:rsidRPr="00F430C7" w:rsidTr="009D079D">
        <w:trPr>
          <w:trHeight w:val="217"/>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3" w:line="211" w:lineRule="exact"/>
              <w:ind w:left="97"/>
              <w:rPr>
                <w:rFonts w:ascii="Times New Roman" w:hAnsi="Times New Roman" w:cs="Times New Roman"/>
                <w:i/>
                <w:sz w:val="20"/>
              </w:rPr>
            </w:pPr>
            <w:r w:rsidRPr="004D4F38">
              <w:rPr>
                <w:rFonts w:ascii="Times New Roman" w:hAnsi="Times New Roman" w:cs="Times New Roman"/>
                <w:i/>
                <w:w w:val="105"/>
                <w:sz w:val="20"/>
              </w:rPr>
              <w:t>Uncommon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3" w:line="211" w:lineRule="exact"/>
              <w:ind w:left="96"/>
              <w:rPr>
                <w:rFonts w:ascii="Times New Roman" w:hAnsi="Times New Roman" w:cs="Times New Roman"/>
                <w:sz w:val="20"/>
              </w:rPr>
            </w:pPr>
            <w:r w:rsidRPr="004D4F38">
              <w:rPr>
                <w:rFonts w:ascii="Times New Roman" w:hAnsi="Times New Roman" w:cs="Times New Roman"/>
                <w:w w:val="105"/>
                <w:sz w:val="20"/>
              </w:rPr>
              <w:t>visual impairment, conjunctivitis, photophobia, lacrimation increased</w:t>
            </w:r>
          </w:p>
        </w:tc>
      </w:tr>
      <w:tr w:rsidR="009D079D" w:rsidRPr="004D4F38" w:rsidTr="009D079D">
        <w:trPr>
          <w:trHeight w:val="220"/>
        </w:trPr>
        <w:tc>
          <w:tcPr>
            <w:tcW w:w="8899"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9D079D" w:rsidRPr="004D4F38" w:rsidRDefault="009D079D">
            <w:pPr>
              <w:pStyle w:val="TableParagraph"/>
              <w:spacing w:before="7" w:line="210" w:lineRule="exact"/>
              <w:ind w:left="97"/>
              <w:rPr>
                <w:rFonts w:ascii="Times New Roman" w:hAnsi="Times New Roman" w:cs="Times New Roman"/>
                <w:b/>
                <w:sz w:val="20"/>
              </w:rPr>
            </w:pPr>
            <w:r w:rsidRPr="004D4F38">
              <w:rPr>
                <w:rFonts w:ascii="Times New Roman" w:hAnsi="Times New Roman" w:cs="Times New Roman"/>
                <w:b/>
                <w:w w:val="105"/>
                <w:sz w:val="20"/>
              </w:rPr>
              <w:t>Ear and labyrinth disorders</w:t>
            </w:r>
          </w:p>
        </w:tc>
      </w:tr>
      <w:tr w:rsidR="009D079D" w:rsidRPr="004D4F38"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6" w:line="212" w:lineRule="exact"/>
              <w:ind w:left="97"/>
              <w:rPr>
                <w:rFonts w:ascii="Times New Roman" w:hAnsi="Times New Roman" w:cs="Times New Roman"/>
                <w:i/>
                <w:sz w:val="20"/>
              </w:rPr>
            </w:pPr>
            <w:r w:rsidRPr="004D4F38">
              <w:rPr>
                <w:rFonts w:ascii="Times New Roman" w:hAnsi="Times New Roman" w:cs="Times New Roman"/>
                <w:i/>
                <w:w w:val="105"/>
                <w:sz w:val="20"/>
              </w:rPr>
              <w:t>Common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6" w:line="212" w:lineRule="exact"/>
              <w:ind w:left="96"/>
              <w:rPr>
                <w:rFonts w:ascii="Times New Roman" w:hAnsi="Times New Roman" w:cs="Times New Roman"/>
                <w:sz w:val="20"/>
              </w:rPr>
            </w:pPr>
            <w:r w:rsidRPr="004D4F38">
              <w:rPr>
                <w:rFonts w:ascii="Times New Roman" w:hAnsi="Times New Roman" w:cs="Times New Roman"/>
                <w:w w:val="105"/>
                <w:sz w:val="20"/>
              </w:rPr>
              <w:t>tinnitus</w:t>
            </w:r>
          </w:p>
        </w:tc>
      </w:tr>
      <w:tr w:rsidR="009D079D" w:rsidRPr="004D4F38"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5" w:line="212" w:lineRule="exact"/>
              <w:ind w:left="97"/>
              <w:rPr>
                <w:rFonts w:ascii="Times New Roman" w:hAnsi="Times New Roman" w:cs="Times New Roman"/>
                <w:i/>
                <w:sz w:val="20"/>
              </w:rPr>
            </w:pPr>
            <w:r w:rsidRPr="004D4F38">
              <w:rPr>
                <w:rFonts w:ascii="Times New Roman" w:hAnsi="Times New Roman" w:cs="Times New Roman"/>
                <w:i/>
                <w:w w:val="105"/>
                <w:sz w:val="20"/>
              </w:rPr>
              <w:t>Uncommon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5" w:line="212" w:lineRule="exact"/>
              <w:ind w:left="96"/>
              <w:rPr>
                <w:rFonts w:ascii="Times New Roman" w:hAnsi="Times New Roman" w:cs="Times New Roman"/>
                <w:sz w:val="20"/>
              </w:rPr>
            </w:pPr>
            <w:r w:rsidRPr="004D4F38">
              <w:rPr>
                <w:rFonts w:ascii="Times New Roman" w:hAnsi="Times New Roman" w:cs="Times New Roman"/>
                <w:w w:val="105"/>
                <w:sz w:val="20"/>
              </w:rPr>
              <w:t>hearing loss, vertigo</w:t>
            </w:r>
          </w:p>
        </w:tc>
      </w:tr>
      <w:tr w:rsidR="009D079D" w:rsidRPr="004D4F38" w:rsidTr="009D079D">
        <w:trPr>
          <w:trHeight w:val="220"/>
        </w:trPr>
        <w:tc>
          <w:tcPr>
            <w:tcW w:w="8899"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9D079D" w:rsidRPr="004D4F38" w:rsidRDefault="009D079D">
            <w:pPr>
              <w:pStyle w:val="TableParagraph"/>
              <w:spacing w:before="7" w:line="210" w:lineRule="exact"/>
              <w:ind w:left="97"/>
              <w:rPr>
                <w:rFonts w:ascii="Times New Roman" w:hAnsi="Times New Roman" w:cs="Times New Roman"/>
                <w:b/>
                <w:sz w:val="20"/>
              </w:rPr>
            </w:pPr>
            <w:r w:rsidRPr="004D4F38">
              <w:rPr>
                <w:rFonts w:ascii="Times New Roman" w:hAnsi="Times New Roman" w:cs="Times New Roman"/>
                <w:b/>
                <w:sz w:val="20"/>
              </w:rPr>
              <w:t>Cardiac disorders</w:t>
            </w:r>
          </w:p>
        </w:tc>
      </w:tr>
      <w:tr w:rsidR="009D079D" w:rsidRPr="00F430C7" w:rsidTr="009D079D">
        <w:trPr>
          <w:trHeight w:val="46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7"/>
              <w:ind w:left="97"/>
              <w:rPr>
                <w:rFonts w:ascii="Times New Roman" w:hAnsi="Times New Roman" w:cs="Times New Roman"/>
                <w:i/>
                <w:sz w:val="20"/>
              </w:rPr>
            </w:pPr>
            <w:r w:rsidRPr="004D4F38">
              <w:rPr>
                <w:rFonts w:ascii="Times New Roman" w:hAnsi="Times New Roman" w:cs="Times New Roman"/>
                <w:i/>
                <w:w w:val="105"/>
                <w:sz w:val="20"/>
              </w:rPr>
              <w:t>Common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3" w:line="238" w:lineRule="exact"/>
              <w:ind w:left="97" w:hanging="1"/>
              <w:rPr>
                <w:rFonts w:ascii="Times New Roman" w:hAnsi="Times New Roman" w:cs="Times New Roman"/>
                <w:sz w:val="20"/>
              </w:rPr>
            </w:pPr>
            <w:r w:rsidRPr="004D4F38">
              <w:rPr>
                <w:rFonts w:ascii="Times New Roman" w:hAnsi="Times New Roman" w:cs="Times New Roman"/>
                <w:w w:val="105"/>
                <w:sz w:val="20"/>
              </w:rPr>
              <w:t>congestive</w:t>
            </w:r>
            <w:r w:rsidRPr="004D4F38">
              <w:rPr>
                <w:rFonts w:ascii="Times New Roman" w:hAnsi="Times New Roman" w:cs="Times New Roman"/>
                <w:spacing w:val="-20"/>
                <w:w w:val="105"/>
                <w:sz w:val="20"/>
              </w:rPr>
              <w:t xml:space="preserve"> </w:t>
            </w:r>
            <w:r w:rsidRPr="004D4F38">
              <w:rPr>
                <w:rFonts w:ascii="Times New Roman" w:hAnsi="Times New Roman" w:cs="Times New Roman"/>
                <w:w w:val="105"/>
                <w:sz w:val="20"/>
              </w:rPr>
              <w:t>heart</w:t>
            </w:r>
            <w:r w:rsidRPr="004D4F38">
              <w:rPr>
                <w:rFonts w:ascii="Times New Roman" w:hAnsi="Times New Roman" w:cs="Times New Roman"/>
                <w:spacing w:val="-20"/>
                <w:w w:val="105"/>
                <w:sz w:val="20"/>
              </w:rPr>
              <w:t xml:space="preserve"> </w:t>
            </w:r>
            <w:r w:rsidRPr="004D4F38">
              <w:rPr>
                <w:rFonts w:ascii="Times New Roman" w:hAnsi="Times New Roman" w:cs="Times New Roman"/>
                <w:w w:val="105"/>
                <w:sz w:val="20"/>
              </w:rPr>
              <w:t>failure/cardiac</w:t>
            </w:r>
            <w:r w:rsidRPr="004D4F38">
              <w:rPr>
                <w:rFonts w:ascii="Times New Roman" w:hAnsi="Times New Roman" w:cs="Times New Roman"/>
                <w:spacing w:val="-20"/>
                <w:w w:val="105"/>
                <w:sz w:val="20"/>
              </w:rPr>
              <w:t xml:space="preserve"> </w:t>
            </w:r>
            <w:r w:rsidRPr="004D4F38">
              <w:rPr>
                <w:rFonts w:ascii="Times New Roman" w:hAnsi="Times New Roman" w:cs="Times New Roman"/>
                <w:w w:val="105"/>
                <w:sz w:val="20"/>
              </w:rPr>
              <w:t>dysfunction*</w:t>
            </w:r>
            <w:r w:rsidRPr="004D4F38">
              <w:rPr>
                <w:rFonts w:ascii="Times New Roman" w:hAnsi="Times New Roman" w:cs="Times New Roman"/>
                <w:w w:val="105"/>
                <w:position w:val="9"/>
                <w:sz w:val="13"/>
              </w:rPr>
              <w:t>c</w:t>
            </w:r>
            <w:r w:rsidRPr="004D4F38">
              <w:rPr>
                <w:rFonts w:ascii="Times New Roman" w:hAnsi="Times New Roman" w:cs="Times New Roman"/>
                <w:w w:val="105"/>
                <w:sz w:val="20"/>
              </w:rPr>
              <w:t>,</w:t>
            </w:r>
            <w:r w:rsidRPr="004D4F38">
              <w:rPr>
                <w:rFonts w:ascii="Times New Roman" w:hAnsi="Times New Roman" w:cs="Times New Roman"/>
                <w:spacing w:val="-20"/>
                <w:w w:val="105"/>
                <w:sz w:val="20"/>
              </w:rPr>
              <w:t xml:space="preserve"> </w:t>
            </w:r>
            <w:r w:rsidRPr="004D4F38">
              <w:rPr>
                <w:rFonts w:ascii="Times New Roman" w:hAnsi="Times New Roman" w:cs="Times New Roman"/>
                <w:w w:val="105"/>
                <w:sz w:val="20"/>
              </w:rPr>
              <w:t>pericardial</w:t>
            </w:r>
            <w:r w:rsidRPr="004D4F38">
              <w:rPr>
                <w:rFonts w:ascii="Times New Roman" w:hAnsi="Times New Roman" w:cs="Times New Roman"/>
                <w:spacing w:val="-20"/>
                <w:w w:val="105"/>
                <w:sz w:val="20"/>
              </w:rPr>
              <w:t xml:space="preserve"> </w:t>
            </w:r>
            <w:r w:rsidRPr="004D4F38">
              <w:rPr>
                <w:rFonts w:ascii="Times New Roman" w:hAnsi="Times New Roman" w:cs="Times New Roman"/>
                <w:w w:val="105"/>
                <w:sz w:val="20"/>
              </w:rPr>
              <w:t>effusion*,</w:t>
            </w:r>
            <w:r w:rsidRPr="004D4F38">
              <w:rPr>
                <w:rFonts w:ascii="Times New Roman" w:hAnsi="Times New Roman" w:cs="Times New Roman"/>
                <w:spacing w:val="-20"/>
                <w:w w:val="105"/>
                <w:sz w:val="20"/>
              </w:rPr>
              <w:t xml:space="preserve"> </w:t>
            </w:r>
            <w:r w:rsidRPr="004D4F38">
              <w:rPr>
                <w:rFonts w:ascii="Times New Roman" w:hAnsi="Times New Roman" w:cs="Times New Roman"/>
                <w:w w:val="105"/>
                <w:sz w:val="20"/>
              </w:rPr>
              <w:t>arrhythmia (including</w:t>
            </w:r>
            <w:r w:rsidRPr="004D4F38">
              <w:rPr>
                <w:rFonts w:ascii="Times New Roman" w:hAnsi="Times New Roman" w:cs="Times New Roman"/>
                <w:spacing w:val="-36"/>
                <w:w w:val="105"/>
                <w:sz w:val="20"/>
              </w:rPr>
              <w:t xml:space="preserve"> </w:t>
            </w:r>
            <w:r w:rsidRPr="004D4F38">
              <w:rPr>
                <w:rFonts w:ascii="Times New Roman" w:hAnsi="Times New Roman" w:cs="Times New Roman"/>
                <w:w w:val="105"/>
                <w:sz w:val="20"/>
              </w:rPr>
              <w:t>tachycardia),</w:t>
            </w:r>
            <w:r w:rsidRPr="004D4F38">
              <w:rPr>
                <w:rFonts w:ascii="Times New Roman" w:hAnsi="Times New Roman" w:cs="Times New Roman"/>
                <w:spacing w:val="-36"/>
                <w:w w:val="105"/>
                <w:sz w:val="20"/>
              </w:rPr>
              <w:t xml:space="preserve"> </w:t>
            </w:r>
            <w:r w:rsidRPr="004D4F38">
              <w:rPr>
                <w:rFonts w:ascii="Times New Roman" w:hAnsi="Times New Roman" w:cs="Times New Roman"/>
                <w:w w:val="105"/>
                <w:sz w:val="20"/>
              </w:rPr>
              <w:t>palpitations</w:t>
            </w:r>
          </w:p>
        </w:tc>
      </w:tr>
      <w:tr w:rsidR="009D079D" w:rsidRPr="00F430C7" w:rsidTr="009D079D">
        <w:trPr>
          <w:trHeight w:val="696"/>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4"/>
              <w:ind w:left="97"/>
              <w:rPr>
                <w:rFonts w:ascii="Times New Roman" w:hAnsi="Times New Roman" w:cs="Times New Roman"/>
                <w:i/>
                <w:sz w:val="20"/>
              </w:rPr>
            </w:pPr>
            <w:r w:rsidRPr="004D4F38">
              <w:rPr>
                <w:rFonts w:ascii="Times New Roman" w:hAnsi="Times New Roman" w:cs="Times New Roman"/>
                <w:i/>
                <w:w w:val="105"/>
                <w:sz w:val="20"/>
              </w:rPr>
              <w:t>Uncommon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4" w:line="244" w:lineRule="auto"/>
              <w:ind w:left="96"/>
              <w:rPr>
                <w:rFonts w:ascii="Times New Roman" w:hAnsi="Times New Roman" w:cs="Times New Roman"/>
                <w:sz w:val="20"/>
              </w:rPr>
            </w:pPr>
            <w:r w:rsidRPr="004D4F38">
              <w:rPr>
                <w:rFonts w:ascii="Times New Roman" w:hAnsi="Times New Roman" w:cs="Times New Roman"/>
                <w:w w:val="105"/>
                <w:sz w:val="20"/>
              </w:rPr>
              <w:t>myocardial</w:t>
            </w:r>
            <w:r w:rsidRPr="004D4F38">
              <w:rPr>
                <w:rFonts w:ascii="Times New Roman" w:hAnsi="Times New Roman" w:cs="Times New Roman"/>
                <w:spacing w:val="-20"/>
                <w:w w:val="105"/>
                <w:sz w:val="20"/>
              </w:rPr>
              <w:t xml:space="preserve"> </w:t>
            </w:r>
            <w:r w:rsidRPr="004D4F38">
              <w:rPr>
                <w:rFonts w:ascii="Times New Roman" w:hAnsi="Times New Roman" w:cs="Times New Roman"/>
                <w:w w:val="105"/>
                <w:sz w:val="20"/>
              </w:rPr>
              <w:t>infarction</w:t>
            </w:r>
            <w:r w:rsidRPr="004D4F38">
              <w:rPr>
                <w:rFonts w:ascii="Times New Roman" w:hAnsi="Times New Roman" w:cs="Times New Roman"/>
                <w:spacing w:val="-20"/>
                <w:w w:val="105"/>
                <w:sz w:val="20"/>
              </w:rPr>
              <w:t xml:space="preserve"> </w:t>
            </w:r>
            <w:r w:rsidRPr="004D4F38">
              <w:rPr>
                <w:rFonts w:ascii="Times New Roman" w:hAnsi="Times New Roman" w:cs="Times New Roman"/>
                <w:w w:val="105"/>
                <w:sz w:val="20"/>
              </w:rPr>
              <w:t>(including</w:t>
            </w:r>
            <w:r w:rsidRPr="004D4F38">
              <w:rPr>
                <w:rFonts w:ascii="Times New Roman" w:hAnsi="Times New Roman" w:cs="Times New Roman"/>
                <w:spacing w:val="-20"/>
                <w:w w:val="105"/>
                <w:sz w:val="20"/>
              </w:rPr>
              <w:t xml:space="preserve"> </w:t>
            </w:r>
            <w:r w:rsidRPr="004D4F38">
              <w:rPr>
                <w:rFonts w:ascii="Times New Roman" w:hAnsi="Times New Roman" w:cs="Times New Roman"/>
                <w:w w:val="105"/>
                <w:sz w:val="20"/>
              </w:rPr>
              <w:t>fatal</w:t>
            </w:r>
            <w:r w:rsidRPr="004D4F38">
              <w:rPr>
                <w:rFonts w:ascii="Times New Roman" w:hAnsi="Times New Roman" w:cs="Times New Roman"/>
                <w:spacing w:val="-18"/>
                <w:w w:val="105"/>
                <w:sz w:val="20"/>
              </w:rPr>
              <w:t xml:space="preserve"> </w:t>
            </w:r>
            <w:r w:rsidRPr="004D4F38">
              <w:rPr>
                <w:rFonts w:ascii="Times New Roman" w:hAnsi="Times New Roman" w:cs="Times New Roman"/>
                <w:w w:val="105"/>
                <w:sz w:val="20"/>
              </w:rPr>
              <w:t>outcome)*,</w:t>
            </w:r>
            <w:r w:rsidRPr="004D4F38">
              <w:rPr>
                <w:rFonts w:ascii="Times New Roman" w:hAnsi="Times New Roman" w:cs="Times New Roman"/>
                <w:spacing w:val="-20"/>
                <w:w w:val="105"/>
                <w:sz w:val="20"/>
              </w:rPr>
              <w:t xml:space="preserve"> </w:t>
            </w:r>
            <w:r w:rsidRPr="004D4F38">
              <w:rPr>
                <w:rFonts w:ascii="Times New Roman" w:hAnsi="Times New Roman" w:cs="Times New Roman"/>
                <w:w w:val="105"/>
                <w:sz w:val="20"/>
              </w:rPr>
              <w:t>electrocardiogram</w:t>
            </w:r>
            <w:r w:rsidRPr="004D4F38">
              <w:rPr>
                <w:rFonts w:ascii="Times New Roman" w:hAnsi="Times New Roman" w:cs="Times New Roman"/>
                <w:spacing w:val="-20"/>
                <w:w w:val="105"/>
                <w:sz w:val="20"/>
              </w:rPr>
              <w:t xml:space="preserve"> </w:t>
            </w:r>
            <w:r w:rsidRPr="004D4F38">
              <w:rPr>
                <w:rFonts w:ascii="Times New Roman" w:hAnsi="Times New Roman" w:cs="Times New Roman"/>
                <w:w w:val="105"/>
                <w:sz w:val="20"/>
              </w:rPr>
              <w:t>QT</w:t>
            </w:r>
            <w:r w:rsidRPr="004D4F38">
              <w:rPr>
                <w:rFonts w:ascii="Times New Roman" w:hAnsi="Times New Roman" w:cs="Times New Roman"/>
                <w:spacing w:val="-20"/>
                <w:w w:val="105"/>
                <w:sz w:val="20"/>
              </w:rPr>
              <w:t xml:space="preserve"> </w:t>
            </w:r>
            <w:r w:rsidRPr="004D4F38">
              <w:rPr>
                <w:rFonts w:ascii="Times New Roman" w:hAnsi="Times New Roman" w:cs="Times New Roman"/>
                <w:w w:val="105"/>
                <w:sz w:val="20"/>
              </w:rPr>
              <w:t>prolonged*, pericarditis,</w:t>
            </w:r>
            <w:r w:rsidRPr="004D4F38">
              <w:rPr>
                <w:rFonts w:ascii="Times New Roman" w:hAnsi="Times New Roman" w:cs="Times New Roman"/>
                <w:spacing w:val="-20"/>
                <w:w w:val="105"/>
                <w:sz w:val="20"/>
              </w:rPr>
              <w:t xml:space="preserve"> </w:t>
            </w:r>
            <w:r w:rsidRPr="004D4F38">
              <w:rPr>
                <w:rFonts w:ascii="Times New Roman" w:hAnsi="Times New Roman" w:cs="Times New Roman"/>
                <w:w w:val="105"/>
                <w:sz w:val="20"/>
              </w:rPr>
              <w:t>ventricular</w:t>
            </w:r>
            <w:r w:rsidRPr="004D4F38">
              <w:rPr>
                <w:rFonts w:ascii="Times New Roman" w:hAnsi="Times New Roman" w:cs="Times New Roman"/>
                <w:spacing w:val="-18"/>
                <w:w w:val="105"/>
                <w:sz w:val="20"/>
              </w:rPr>
              <w:t xml:space="preserve"> </w:t>
            </w:r>
            <w:r w:rsidRPr="004D4F38">
              <w:rPr>
                <w:rFonts w:ascii="Times New Roman" w:hAnsi="Times New Roman" w:cs="Times New Roman"/>
                <w:w w:val="105"/>
                <w:sz w:val="20"/>
              </w:rPr>
              <w:t>arrhythmia</w:t>
            </w:r>
            <w:r w:rsidRPr="004D4F38">
              <w:rPr>
                <w:rFonts w:ascii="Times New Roman" w:hAnsi="Times New Roman" w:cs="Times New Roman"/>
                <w:spacing w:val="-20"/>
                <w:w w:val="105"/>
                <w:sz w:val="20"/>
              </w:rPr>
              <w:t xml:space="preserve"> </w:t>
            </w:r>
            <w:r w:rsidRPr="004D4F38">
              <w:rPr>
                <w:rFonts w:ascii="Times New Roman" w:hAnsi="Times New Roman" w:cs="Times New Roman"/>
                <w:w w:val="105"/>
                <w:sz w:val="20"/>
              </w:rPr>
              <w:t>(including</w:t>
            </w:r>
            <w:r w:rsidRPr="004D4F38">
              <w:rPr>
                <w:rFonts w:ascii="Times New Roman" w:hAnsi="Times New Roman" w:cs="Times New Roman"/>
                <w:spacing w:val="-20"/>
                <w:w w:val="105"/>
                <w:sz w:val="20"/>
              </w:rPr>
              <w:t xml:space="preserve"> </w:t>
            </w:r>
            <w:r w:rsidRPr="004D4F38">
              <w:rPr>
                <w:rFonts w:ascii="Times New Roman" w:hAnsi="Times New Roman" w:cs="Times New Roman"/>
                <w:w w:val="105"/>
                <w:sz w:val="20"/>
              </w:rPr>
              <w:t>ventricular</w:t>
            </w:r>
            <w:r w:rsidRPr="004D4F38">
              <w:rPr>
                <w:rFonts w:ascii="Times New Roman" w:hAnsi="Times New Roman" w:cs="Times New Roman"/>
                <w:spacing w:val="-20"/>
                <w:w w:val="105"/>
                <w:sz w:val="20"/>
              </w:rPr>
              <w:t xml:space="preserve"> </w:t>
            </w:r>
            <w:r w:rsidRPr="004D4F38">
              <w:rPr>
                <w:rFonts w:ascii="Times New Roman" w:hAnsi="Times New Roman" w:cs="Times New Roman"/>
                <w:w w:val="105"/>
                <w:sz w:val="20"/>
              </w:rPr>
              <w:t>tachycardia),</w:t>
            </w:r>
            <w:r w:rsidRPr="004D4F38">
              <w:rPr>
                <w:rFonts w:ascii="Times New Roman" w:hAnsi="Times New Roman" w:cs="Times New Roman"/>
                <w:spacing w:val="-20"/>
                <w:w w:val="105"/>
                <w:sz w:val="20"/>
              </w:rPr>
              <w:t xml:space="preserve"> </w:t>
            </w:r>
            <w:r w:rsidRPr="004D4F38">
              <w:rPr>
                <w:rFonts w:ascii="Times New Roman" w:hAnsi="Times New Roman" w:cs="Times New Roman"/>
                <w:w w:val="105"/>
                <w:sz w:val="20"/>
              </w:rPr>
              <w:t>angina</w:t>
            </w:r>
          </w:p>
          <w:p w:rsidR="009D079D" w:rsidRPr="004D4F38" w:rsidRDefault="009D079D">
            <w:pPr>
              <w:pStyle w:val="TableParagraph"/>
              <w:spacing w:before="2" w:line="211" w:lineRule="exact"/>
              <w:ind w:left="96"/>
              <w:rPr>
                <w:rFonts w:ascii="Times New Roman" w:hAnsi="Times New Roman" w:cs="Times New Roman"/>
                <w:sz w:val="20"/>
              </w:rPr>
            </w:pPr>
            <w:r w:rsidRPr="004D4F38">
              <w:rPr>
                <w:rFonts w:ascii="Times New Roman" w:hAnsi="Times New Roman" w:cs="Times New Roman"/>
                <w:w w:val="105"/>
                <w:sz w:val="20"/>
              </w:rPr>
              <w:t>pectoris, cardiomegaly, electrocardiogram T wave abnormal, troponin increased</w:t>
            </w:r>
          </w:p>
        </w:tc>
      </w:tr>
      <w:tr w:rsidR="009D079D" w:rsidRPr="00F430C7" w:rsidTr="009D079D">
        <w:trPr>
          <w:trHeight w:val="46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6"/>
              <w:ind w:left="97"/>
              <w:rPr>
                <w:rFonts w:ascii="Times New Roman" w:hAnsi="Times New Roman" w:cs="Times New Roman"/>
                <w:i/>
                <w:sz w:val="20"/>
              </w:rPr>
            </w:pPr>
            <w:r w:rsidRPr="004D4F38">
              <w:rPr>
                <w:rFonts w:ascii="Times New Roman" w:hAnsi="Times New Roman" w:cs="Times New Roman"/>
                <w:i/>
                <w:w w:val="105"/>
                <w:sz w:val="20"/>
              </w:rPr>
              <w:t>Rare</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2" w:line="238" w:lineRule="exact"/>
              <w:ind w:left="96"/>
              <w:rPr>
                <w:rFonts w:ascii="Times New Roman" w:hAnsi="Times New Roman" w:cs="Times New Roman"/>
                <w:sz w:val="20"/>
              </w:rPr>
            </w:pPr>
            <w:r w:rsidRPr="004D4F38">
              <w:rPr>
                <w:rFonts w:ascii="Times New Roman" w:hAnsi="Times New Roman" w:cs="Times New Roman"/>
                <w:w w:val="105"/>
                <w:sz w:val="20"/>
              </w:rPr>
              <w:t>cor pulmonale, myocarditis, acute coronary syndrome, cardiac arrest, electrocardiogram</w:t>
            </w:r>
            <w:r w:rsidRPr="004D4F38">
              <w:rPr>
                <w:rFonts w:ascii="Times New Roman" w:hAnsi="Times New Roman" w:cs="Times New Roman"/>
                <w:spacing w:val="-24"/>
                <w:w w:val="105"/>
                <w:sz w:val="20"/>
              </w:rPr>
              <w:t xml:space="preserve"> </w:t>
            </w:r>
            <w:r w:rsidRPr="004D4F38">
              <w:rPr>
                <w:rFonts w:ascii="Times New Roman" w:hAnsi="Times New Roman" w:cs="Times New Roman"/>
                <w:w w:val="105"/>
                <w:sz w:val="20"/>
              </w:rPr>
              <w:t>PR</w:t>
            </w:r>
            <w:r w:rsidRPr="004D4F38">
              <w:rPr>
                <w:rFonts w:ascii="Times New Roman" w:hAnsi="Times New Roman" w:cs="Times New Roman"/>
                <w:spacing w:val="-24"/>
                <w:w w:val="105"/>
                <w:sz w:val="20"/>
              </w:rPr>
              <w:t xml:space="preserve"> </w:t>
            </w:r>
            <w:r w:rsidRPr="004D4F38">
              <w:rPr>
                <w:rFonts w:ascii="Times New Roman" w:hAnsi="Times New Roman" w:cs="Times New Roman"/>
                <w:w w:val="105"/>
                <w:sz w:val="20"/>
              </w:rPr>
              <w:t>prolongation,</w:t>
            </w:r>
            <w:r w:rsidRPr="004D4F38">
              <w:rPr>
                <w:rFonts w:ascii="Times New Roman" w:hAnsi="Times New Roman" w:cs="Times New Roman"/>
                <w:spacing w:val="-24"/>
                <w:w w:val="105"/>
                <w:sz w:val="20"/>
              </w:rPr>
              <w:t xml:space="preserve"> </w:t>
            </w:r>
            <w:r w:rsidRPr="004D4F38">
              <w:rPr>
                <w:rFonts w:ascii="Times New Roman" w:hAnsi="Times New Roman" w:cs="Times New Roman"/>
                <w:w w:val="105"/>
                <w:sz w:val="20"/>
              </w:rPr>
              <w:t>coronary</w:t>
            </w:r>
            <w:r w:rsidRPr="004D4F38">
              <w:rPr>
                <w:rFonts w:ascii="Times New Roman" w:hAnsi="Times New Roman" w:cs="Times New Roman"/>
                <w:spacing w:val="-22"/>
                <w:w w:val="105"/>
                <w:sz w:val="20"/>
              </w:rPr>
              <w:t xml:space="preserve"> </w:t>
            </w:r>
            <w:r w:rsidRPr="004D4F38">
              <w:rPr>
                <w:rFonts w:ascii="Times New Roman" w:hAnsi="Times New Roman" w:cs="Times New Roman"/>
                <w:w w:val="105"/>
                <w:sz w:val="20"/>
              </w:rPr>
              <w:t>artery</w:t>
            </w:r>
            <w:r w:rsidRPr="004D4F38">
              <w:rPr>
                <w:rFonts w:ascii="Times New Roman" w:hAnsi="Times New Roman" w:cs="Times New Roman"/>
                <w:spacing w:val="-23"/>
                <w:w w:val="105"/>
                <w:sz w:val="20"/>
              </w:rPr>
              <w:t xml:space="preserve"> </w:t>
            </w:r>
            <w:r w:rsidRPr="004D4F38">
              <w:rPr>
                <w:rFonts w:ascii="Times New Roman" w:hAnsi="Times New Roman" w:cs="Times New Roman"/>
                <w:w w:val="105"/>
                <w:sz w:val="20"/>
              </w:rPr>
              <w:t>disease,</w:t>
            </w:r>
            <w:r w:rsidRPr="004D4F38">
              <w:rPr>
                <w:rFonts w:ascii="Times New Roman" w:hAnsi="Times New Roman" w:cs="Times New Roman"/>
                <w:spacing w:val="-23"/>
                <w:w w:val="105"/>
                <w:sz w:val="20"/>
              </w:rPr>
              <w:t xml:space="preserve"> </w:t>
            </w:r>
            <w:r w:rsidRPr="004D4F38">
              <w:rPr>
                <w:rFonts w:ascii="Times New Roman" w:hAnsi="Times New Roman" w:cs="Times New Roman"/>
                <w:w w:val="105"/>
                <w:sz w:val="20"/>
              </w:rPr>
              <w:t>pleuropericarditis</w:t>
            </w:r>
          </w:p>
        </w:tc>
      </w:tr>
      <w:tr w:rsidR="009D079D" w:rsidRPr="004D4F38" w:rsidTr="009D079D">
        <w:trPr>
          <w:trHeight w:val="217"/>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2" w:line="212" w:lineRule="exact"/>
              <w:ind w:left="97"/>
              <w:rPr>
                <w:rFonts w:ascii="Times New Roman" w:hAnsi="Times New Roman" w:cs="Times New Roman"/>
                <w:i/>
                <w:sz w:val="20"/>
              </w:rPr>
            </w:pPr>
            <w:r w:rsidRPr="004D4F38">
              <w:rPr>
                <w:rFonts w:ascii="Times New Roman" w:hAnsi="Times New Roman" w:cs="Times New Roman"/>
                <w:i/>
                <w:w w:val="105"/>
                <w:sz w:val="20"/>
              </w:rPr>
              <w:t>Not known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2" w:line="212" w:lineRule="exact"/>
              <w:ind w:left="96"/>
              <w:rPr>
                <w:rFonts w:ascii="Times New Roman" w:hAnsi="Times New Roman" w:cs="Times New Roman"/>
                <w:sz w:val="20"/>
              </w:rPr>
            </w:pPr>
            <w:r w:rsidRPr="004D4F38">
              <w:rPr>
                <w:rFonts w:ascii="Times New Roman" w:hAnsi="Times New Roman" w:cs="Times New Roman"/>
                <w:w w:val="105"/>
                <w:sz w:val="20"/>
              </w:rPr>
              <w:t>atrial fibrillation/atrial flutter</w:t>
            </w:r>
          </w:p>
        </w:tc>
      </w:tr>
      <w:tr w:rsidR="009D079D" w:rsidRPr="004D4F38" w:rsidTr="009D079D">
        <w:trPr>
          <w:trHeight w:val="220"/>
        </w:trPr>
        <w:tc>
          <w:tcPr>
            <w:tcW w:w="8899"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9D079D" w:rsidRPr="004D4F38" w:rsidRDefault="009D079D">
            <w:pPr>
              <w:pStyle w:val="TableParagraph"/>
              <w:spacing w:before="7" w:line="210" w:lineRule="exact"/>
              <w:ind w:left="97"/>
              <w:rPr>
                <w:rFonts w:ascii="Times New Roman" w:hAnsi="Times New Roman" w:cs="Times New Roman"/>
                <w:b/>
                <w:sz w:val="20"/>
              </w:rPr>
            </w:pPr>
            <w:r w:rsidRPr="004D4F38">
              <w:rPr>
                <w:rFonts w:ascii="Times New Roman" w:hAnsi="Times New Roman" w:cs="Times New Roman"/>
                <w:b/>
                <w:sz w:val="20"/>
              </w:rPr>
              <w:t>Vascular disorders</w:t>
            </w:r>
          </w:p>
        </w:tc>
      </w:tr>
      <w:tr w:rsidR="009D079D" w:rsidRPr="004D4F38"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7" w:line="212" w:lineRule="exact"/>
              <w:ind w:left="97"/>
              <w:rPr>
                <w:rFonts w:ascii="Times New Roman" w:hAnsi="Times New Roman" w:cs="Times New Roman"/>
                <w:i/>
                <w:sz w:val="20"/>
              </w:rPr>
            </w:pPr>
            <w:r w:rsidRPr="004D4F38">
              <w:rPr>
                <w:rFonts w:ascii="Times New Roman" w:hAnsi="Times New Roman" w:cs="Times New Roman"/>
                <w:i/>
                <w:w w:val="105"/>
                <w:sz w:val="20"/>
              </w:rPr>
              <w:t>Very common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line="218" w:lineRule="exact"/>
              <w:ind w:left="97"/>
              <w:rPr>
                <w:rFonts w:ascii="Times New Roman" w:hAnsi="Times New Roman" w:cs="Times New Roman"/>
                <w:sz w:val="13"/>
              </w:rPr>
            </w:pPr>
            <w:r w:rsidRPr="004D4F38">
              <w:rPr>
                <w:rFonts w:ascii="Times New Roman" w:hAnsi="Times New Roman" w:cs="Times New Roman"/>
                <w:w w:val="105"/>
                <w:sz w:val="20"/>
              </w:rPr>
              <w:t>haemorrhage*</w:t>
            </w:r>
            <w:r w:rsidRPr="004D4F38">
              <w:rPr>
                <w:rFonts w:ascii="Times New Roman" w:hAnsi="Times New Roman" w:cs="Times New Roman"/>
                <w:w w:val="105"/>
                <w:position w:val="8"/>
                <w:sz w:val="13"/>
              </w:rPr>
              <w:t>d</w:t>
            </w:r>
          </w:p>
        </w:tc>
      </w:tr>
      <w:tr w:rsidR="009D079D" w:rsidRPr="004D4F38"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5" w:line="212" w:lineRule="exact"/>
              <w:ind w:left="97"/>
              <w:rPr>
                <w:rFonts w:ascii="Times New Roman" w:hAnsi="Times New Roman" w:cs="Times New Roman"/>
                <w:i/>
                <w:sz w:val="20"/>
              </w:rPr>
            </w:pPr>
            <w:r w:rsidRPr="004D4F38">
              <w:rPr>
                <w:rFonts w:ascii="Times New Roman" w:hAnsi="Times New Roman" w:cs="Times New Roman"/>
                <w:i/>
                <w:w w:val="105"/>
                <w:sz w:val="20"/>
              </w:rPr>
              <w:t>Common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5" w:line="212" w:lineRule="exact"/>
              <w:ind w:left="96"/>
              <w:rPr>
                <w:rFonts w:ascii="Times New Roman" w:hAnsi="Times New Roman" w:cs="Times New Roman"/>
                <w:sz w:val="20"/>
              </w:rPr>
            </w:pPr>
            <w:r w:rsidRPr="004D4F38">
              <w:rPr>
                <w:rFonts w:ascii="Times New Roman" w:hAnsi="Times New Roman" w:cs="Times New Roman"/>
                <w:w w:val="105"/>
                <w:sz w:val="20"/>
              </w:rPr>
              <w:t>hypertension, flushing</w:t>
            </w:r>
          </w:p>
        </w:tc>
      </w:tr>
      <w:tr w:rsidR="009D079D" w:rsidRPr="004D4F38"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5" w:line="212" w:lineRule="exact"/>
              <w:ind w:left="97"/>
              <w:rPr>
                <w:rFonts w:ascii="Times New Roman" w:hAnsi="Times New Roman" w:cs="Times New Roman"/>
                <w:i/>
                <w:sz w:val="20"/>
              </w:rPr>
            </w:pPr>
            <w:r w:rsidRPr="004D4F38">
              <w:rPr>
                <w:rFonts w:ascii="Times New Roman" w:hAnsi="Times New Roman" w:cs="Times New Roman"/>
                <w:i/>
                <w:w w:val="105"/>
                <w:sz w:val="20"/>
              </w:rPr>
              <w:t>Uncommon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5" w:line="212" w:lineRule="exact"/>
              <w:ind w:left="96"/>
              <w:rPr>
                <w:rFonts w:ascii="Times New Roman" w:hAnsi="Times New Roman" w:cs="Times New Roman"/>
                <w:sz w:val="20"/>
              </w:rPr>
            </w:pPr>
            <w:r w:rsidRPr="004D4F38">
              <w:rPr>
                <w:rFonts w:ascii="Times New Roman" w:hAnsi="Times New Roman" w:cs="Times New Roman"/>
                <w:w w:val="105"/>
                <w:sz w:val="20"/>
              </w:rPr>
              <w:t>hypotension, thrombophlebitis, thrombosis</w:t>
            </w:r>
          </w:p>
        </w:tc>
      </w:tr>
      <w:tr w:rsidR="009D079D" w:rsidRPr="00F430C7"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5" w:line="212" w:lineRule="exact"/>
              <w:ind w:left="97"/>
              <w:rPr>
                <w:rFonts w:ascii="Times New Roman" w:hAnsi="Times New Roman" w:cs="Times New Roman"/>
                <w:i/>
                <w:sz w:val="20"/>
              </w:rPr>
            </w:pPr>
            <w:r w:rsidRPr="004D4F38">
              <w:rPr>
                <w:rFonts w:ascii="Times New Roman" w:hAnsi="Times New Roman" w:cs="Times New Roman"/>
                <w:i/>
                <w:w w:val="105"/>
                <w:sz w:val="20"/>
              </w:rPr>
              <w:t>Rare</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5" w:line="212" w:lineRule="exact"/>
              <w:ind w:left="96"/>
              <w:rPr>
                <w:rFonts w:ascii="Times New Roman" w:hAnsi="Times New Roman" w:cs="Times New Roman"/>
                <w:sz w:val="20"/>
              </w:rPr>
            </w:pPr>
            <w:r w:rsidRPr="004D4F38">
              <w:rPr>
                <w:rFonts w:ascii="Times New Roman" w:hAnsi="Times New Roman" w:cs="Times New Roman"/>
                <w:w w:val="105"/>
                <w:sz w:val="20"/>
              </w:rPr>
              <w:t>deep vein thrombosis, embolism, livedo reticularis</w:t>
            </w:r>
          </w:p>
        </w:tc>
      </w:tr>
      <w:tr w:rsidR="009D079D" w:rsidRPr="004D4F38"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5" w:line="212" w:lineRule="exact"/>
              <w:ind w:left="97"/>
              <w:rPr>
                <w:rFonts w:ascii="Times New Roman" w:hAnsi="Times New Roman" w:cs="Times New Roman"/>
                <w:i/>
                <w:sz w:val="20"/>
              </w:rPr>
            </w:pPr>
            <w:r w:rsidRPr="004D4F38">
              <w:rPr>
                <w:rFonts w:ascii="Times New Roman" w:hAnsi="Times New Roman" w:cs="Times New Roman"/>
                <w:i/>
                <w:w w:val="105"/>
                <w:sz w:val="20"/>
              </w:rPr>
              <w:t>Not known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5" w:line="212" w:lineRule="exact"/>
              <w:ind w:left="96"/>
              <w:rPr>
                <w:rFonts w:ascii="Times New Roman" w:hAnsi="Times New Roman" w:cs="Times New Roman"/>
                <w:sz w:val="20"/>
              </w:rPr>
            </w:pPr>
            <w:r w:rsidRPr="004D4F38">
              <w:rPr>
                <w:rFonts w:ascii="Times New Roman" w:hAnsi="Times New Roman" w:cs="Times New Roman"/>
                <w:sz w:val="20"/>
              </w:rPr>
              <w:t>thrombotic microangiopathy</w:t>
            </w:r>
          </w:p>
        </w:tc>
      </w:tr>
      <w:tr w:rsidR="009D079D" w:rsidRPr="00F430C7" w:rsidTr="009D079D">
        <w:trPr>
          <w:trHeight w:val="220"/>
        </w:trPr>
        <w:tc>
          <w:tcPr>
            <w:tcW w:w="8899"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9D079D" w:rsidRPr="004D4F38" w:rsidRDefault="009D079D">
            <w:pPr>
              <w:pStyle w:val="TableParagraph"/>
              <w:spacing w:before="6" w:line="211" w:lineRule="exact"/>
              <w:ind w:left="97"/>
              <w:rPr>
                <w:rFonts w:ascii="Times New Roman" w:hAnsi="Times New Roman" w:cs="Times New Roman"/>
                <w:b/>
                <w:sz w:val="20"/>
              </w:rPr>
            </w:pPr>
            <w:r w:rsidRPr="004D4F38">
              <w:rPr>
                <w:rFonts w:ascii="Times New Roman" w:hAnsi="Times New Roman" w:cs="Times New Roman"/>
                <w:b/>
                <w:w w:val="105"/>
                <w:sz w:val="20"/>
              </w:rPr>
              <w:t>Respiratory, thoracic and mediastinal disorders</w:t>
            </w:r>
          </w:p>
        </w:tc>
      </w:tr>
      <w:tr w:rsidR="009D079D" w:rsidRPr="004D4F38"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5" w:line="212" w:lineRule="exact"/>
              <w:ind w:left="97"/>
              <w:rPr>
                <w:rFonts w:ascii="Times New Roman" w:hAnsi="Times New Roman" w:cs="Times New Roman"/>
                <w:i/>
                <w:sz w:val="20"/>
              </w:rPr>
            </w:pPr>
            <w:r w:rsidRPr="004D4F38">
              <w:rPr>
                <w:rFonts w:ascii="Times New Roman" w:hAnsi="Times New Roman" w:cs="Times New Roman"/>
                <w:i/>
                <w:w w:val="105"/>
                <w:sz w:val="20"/>
              </w:rPr>
              <w:t>Very common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5" w:line="212" w:lineRule="exact"/>
              <w:ind w:left="97"/>
              <w:rPr>
                <w:rFonts w:ascii="Times New Roman" w:hAnsi="Times New Roman" w:cs="Times New Roman"/>
                <w:sz w:val="20"/>
              </w:rPr>
            </w:pPr>
            <w:r w:rsidRPr="004D4F38">
              <w:rPr>
                <w:rFonts w:ascii="Times New Roman" w:hAnsi="Times New Roman" w:cs="Times New Roman"/>
                <w:w w:val="105"/>
                <w:sz w:val="20"/>
              </w:rPr>
              <w:t>pleural effusion*, dyspnoea</w:t>
            </w:r>
          </w:p>
        </w:tc>
      </w:tr>
      <w:tr w:rsidR="009D079D" w:rsidRPr="00F430C7"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6" w:line="212" w:lineRule="exact"/>
              <w:ind w:left="97"/>
              <w:rPr>
                <w:rFonts w:ascii="Times New Roman" w:hAnsi="Times New Roman" w:cs="Times New Roman"/>
                <w:i/>
                <w:sz w:val="20"/>
              </w:rPr>
            </w:pPr>
            <w:r w:rsidRPr="004D4F38">
              <w:rPr>
                <w:rFonts w:ascii="Times New Roman" w:hAnsi="Times New Roman" w:cs="Times New Roman"/>
                <w:i/>
                <w:w w:val="105"/>
                <w:sz w:val="20"/>
              </w:rPr>
              <w:t>Common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6" w:line="212" w:lineRule="exact"/>
              <w:ind w:left="96"/>
              <w:rPr>
                <w:rFonts w:ascii="Times New Roman" w:hAnsi="Times New Roman" w:cs="Times New Roman"/>
                <w:sz w:val="20"/>
              </w:rPr>
            </w:pPr>
            <w:r w:rsidRPr="004D4F38">
              <w:rPr>
                <w:rFonts w:ascii="Times New Roman" w:hAnsi="Times New Roman" w:cs="Times New Roman"/>
                <w:w w:val="105"/>
                <w:sz w:val="20"/>
              </w:rPr>
              <w:t>pulmonary oedema*, pulmonary hypertension*, lung infiltration, pneumonitis, cough</w:t>
            </w:r>
          </w:p>
        </w:tc>
      </w:tr>
      <w:tr w:rsidR="009D079D" w:rsidRPr="00F430C7"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6" w:line="211" w:lineRule="exact"/>
              <w:ind w:left="97"/>
              <w:rPr>
                <w:rFonts w:ascii="Times New Roman" w:hAnsi="Times New Roman" w:cs="Times New Roman"/>
                <w:i/>
                <w:sz w:val="20"/>
              </w:rPr>
            </w:pPr>
            <w:r w:rsidRPr="004D4F38">
              <w:rPr>
                <w:rFonts w:ascii="Times New Roman" w:hAnsi="Times New Roman" w:cs="Times New Roman"/>
                <w:i/>
                <w:w w:val="105"/>
                <w:sz w:val="20"/>
              </w:rPr>
              <w:t>Uncommon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6" w:line="211" w:lineRule="exact"/>
              <w:ind w:left="96"/>
              <w:rPr>
                <w:rFonts w:ascii="Times New Roman" w:hAnsi="Times New Roman" w:cs="Times New Roman"/>
                <w:sz w:val="20"/>
              </w:rPr>
            </w:pPr>
            <w:r w:rsidRPr="004D4F38">
              <w:rPr>
                <w:rFonts w:ascii="Times New Roman" w:hAnsi="Times New Roman" w:cs="Times New Roman"/>
                <w:w w:val="105"/>
                <w:sz w:val="20"/>
              </w:rPr>
              <w:t>pulmonary arterial hypertension, bronchospasm, asthm</w:t>
            </w:r>
            <w:r w:rsidRPr="004D4F38">
              <w:rPr>
                <w:rFonts w:ascii="Times New Roman" w:hAnsi="Times New Roman" w:cs="Times New Roman"/>
                <w:w w:val="105"/>
                <w:sz w:val="20"/>
                <w:szCs w:val="20"/>
              </w:rPr>
              <w:t>a,</w:t>
            </w:r>
            <w:r w:rsidRPr="004D4F38">
              <w:rPr>
                <w:rFonts w:ascii="Times New Roman" w:hAnsi="Times New Roman" w:cs="Times New Roman"/>
                <w:sz w:val="20"/>
                <w:szCs w:val="20"/>
              </w:rPr>
              <w:t xml:space="preserve"> </w:t>
            </w:r>
            <w:r w:rsidRPr="004D4F38">
              <w:rPr>
                <w:rFonts w:ascii="Times New Roman" w:hAnsi="Times New Roman" w:cs="Times New Roman"/>
                <w:spacing w:val="-2"/>
                <w:sz w:val="20"/>
                <w:szCs w:val="20"/>
              </w:rPr>
              <w:t>chylothorax*</w:t>
            </w:r>
          </w:p>
        </w:tc>
      </w:tr>
      <w:tr w:rsidR="009D079D" w:rsidRPr="00F430C7"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6" w:line="211" w:lineRule="exact"/>
              <w:ind w:left="97"/>
              <w:rPr>
                <w:rFonts w:ascii="Times New Roman" w:hAnsi="Times New Roman" w:cs="Times New Roman"/>
                <w:i/>
                <w:sz w:val="20"/>
              </w:rPr>
            </w:pPr>
            <w:r w:rsidRPr="004D4F38">
              <w:rPr>
                <w:rFonts w:ascii="Times New Roman" w:hAnsi="Times New Roman" w:cs="Times New Roman"/>
                <w:i/>
                <w:w w:val="105"/>
                <w:sz w:val="20"/>
              </w:rPr>
              <w:t>Rare</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6" w:line="211" w:lineRule="exact"/>
              <w:ind w:left="96"/>
              <w:rPr>
                <w:rFonts w:ascii="Times New Roman" w:hAnsi="Times New Roman" w:cs="Times New Roman"/>
                <w:sz w:val="20"/>
              </w:rPr>
            </w:pPr>
            <w:r w:rsidRPr="004D4F38">
              <w:rPr>
                <w:rFonts w:ascii="Times New Roman" w:hAnsi="Times New Roman" w:cs="Times New Roman"/>
                <w:w w:val="105"/>
                <w:sz w:val="20"/>
              </w:rPr>
              <w:t>pulmonary embolism, acute respiratory distress syndrome</w:t>
            </w:r>
          </w:p>
        </w:tc>
      </w:tr>
      <w:tr w:rsidR="009D079D" w:rsidRPr="004D4F38"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6" w:line="211" w:lineRule="exact"/>
              <w:ind w:left="97"/>
              <w:rPr>
                <w:rFonts w:ascii="Times New Roman" w:hAnsi="Times New Roman" w:cs="Times New Roman"/>
                <w:i/>
                <w:sz w:val="20"/>
              </w:rPr>
            </w:pPr>
            <w:r w:rsidRPr="004D4F38">
              <w:rPr>
                <w:rFonts w:ascii="Times New Roman" w:hAnsi="Times New Roman" w:cs="Times New Roman"/>
                <w:i/>
                <w:w w:val="105"/>
                <w:sz w:val="20"/>
              </w:rPr>
              <w:t>Not known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6" w:line="211" w:lineRule="exact"/>
              <w:ind w:left="96"/>
              <w:rPr>
                <w:rFonts w:ascii="Times New Roman" w:hAnsi="Times New Roman" w:cs="Times New Roman"/>
                <w:sz w:val="20"/>
              </w:rPr>
            </w:pPr>
            <w:r w:rsidRPr="004D4F38">
              <w:rPr>
                <w:rFonts w:ascii="Times New Roman" w:hAnsi="Times New Roman" w:cs="Times New Roman"/>
                <w:w w:val="105"/>
                <w:sz w:val="20"/>
              </w:rPr>
              <w:t>interstitial lung disease</w:t>
            </w:r>
          </w:p>
        </w:tc>
      </w:tr>
      <w:tr w:rsidR="009D079D" w:rsidRPr="004D4F38" w:rsidTr="009D079D">
        <w:trPr>
          <w:trHeight w:val="220"/>
        </w:trPr>
        <w:tc>
          <w:tcPr>
            <w:tcW w:w="8899"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9D079D" w:rsidRPr="004D4F38" w:rsidRDefault="009D079D">
            <w:pPr>
              <w:pStyle w:val="TableParagraph"/>
              <w:spacing w:before="7" w:line="210" w:lineRule="exact"/>
              <w:ind w:left="97"/>
              <w:rPr>
                <w:rFonts w:ascii="Times New Roman" w:hAnsi="Times New Roman" w:cs="Times New Roman"/>
                <w:b/>
                <w:sz w:val="20"/>
              </w:rPr>
            </w:pPr>
            <w:r w:rsidRPr="004D4F38">
              <w:rPr>
                <w:rFonts w:ascii="Times New Roman" w:hAnsi="Times New Roman" w:cs="Times New Roman"/>
                <w:b/>
                <w:sz w:val="20"/>
              </w:rPr>
              <w:lastRenderedPageBreak/>
              <w:t>Gastrointestinal disorders</w:t>
            </w:r>
          </w:p>
        </w:tc>
      </w:tr>
      <w:tr w:rsidR="009D079D" w:rsidRPr="00F430C7"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6" w:line="211" w:lineRule="exact"/>
              <w:ind w:left="97"/>
              <w:rPr>
                <w:rFonts w:ascii="Times New Roman" w:hAnsi="Times New Roman" w:cs="Times New Roman"/>
                <w:i/>
                <w:sz w:val="20"/>
              </w:rPr>
            </w:pPr>
            <w:r w:rsidRPr="004D4F38">
              <w:rPr>
                <w:rFonts w:ascii="Times New Roman" w:hAnsi="Times New Roman" w:cs="Times New Roman"/>
                <w:i/>
                <w:w w:val="105"/>
                <w:sz w:val="20"/>
              </w:rPr>
              <w:t>Very common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6" w:line="211" w:lineRule="exact"/>
              <w:ind w:left="97"/>
              <w:rPr>
                <w:rFonts w:ascii="Times New Roman" w:hAnsi="Times New Roman" w:cs="Times New Roman"/>
                <w:sz w:val="20"/>
              </w:rPr>
            </w:pPr>
            <w:r w:rsidRPr="004D4F38">
              <w:rPr>
                <w:rFonts w:ascii="Times New Roman" w:hAnsi="Times New Roman" w:cs="Times New Roman"/>
                <w:w w:val="105"/>
                <w:sz w:val="20"/>
              </w:rPr>
              <w:t>diarrhoea, vomiting, nausea, abdominal pain</w:t>
            </w:r>
          </w:p>
        </w:tc>
      </w:tr>
      <w:tr w:rsidR="009D079D" w:rsidRPr="00F430C7" w:rsidTr="009D079D">
        <w:trPr>
          <w:trHeight w:val="70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7"/>
              <w:ind w:left="97"/>
              <w:rPr>
                <w:rFonts w:ascii="Times New Roman" w:hAnsi="Times New Roman" w:cs="Times New Roman"/>
                <w:i/>
                <w:sz w:val="20"/>
              </w:rPr>
            </w:pPr>
            <w:r w:rsidRPr="004D4F38">
              <w:rPr>
                <w:rFonts w:ascii="Times New Roman" w:hAnsi="Times New Roman" w:cs="Times New Roman"/>
                <w:i/>
                <w:w w:val="105"/>
                <w:sz w:val="20"/>
              </w:rPr>
              <w:t>Common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7" w:line="244" w:lineRule="auto"/>
              <w:ind w:left="97" w:hanging="1"/>
              <w:rPr>
                <w:rFonts w:ascii="Times New Roman" w:hAnsi="Times New Roman" w:cs="Times New Roman"/>
                <w:sz w:val="20"/>
              </w:rPr>
            </w:pPr>
            <w:r w:rsidRPr="004D4F38">
              <w:rPr>
                <w:rFonts w:ascii="Times New Roman" w:hAnsi="Times New Roman" w:cs="Times New Roman"/>
                <w:w w:val="105"/>
                <w:sz w:val="20"/>
              </w:rPr>
              <w:t>gastrointestinal</w:t>
            </w:r>
            <w:r w:rsidRPr="004D4F38">
              <w:rPr>
                <w:rFonts w:ascii="Times New Roman" w:hAnsi="Times New Roman" w:cs="Times New Roman"/>
                <w:spacing w:val="-17"/>
                <w:w w:val="105"/>
                <w:sz w:val="20"/>
              </w:rPr>
              <w:t xml:space="preserve"> </w:t>
            </w:r>
            <w:r w:rsidRPr="004D4F38">
              <w:rPr>
                <w:rFonts w:ascii="Times New Roman" w:hAnsi="Times New Roman" w:cs="Times New Roman"/>
                <w:w w:val="105"/>
                <w:sz w:val="20"/>
              </w:rPr>
              <w:t>bleeding*,</w:t>
            </w:r>
            <w:r w:rsidRPr="004D4F38">
              <w:rPr>
                <w:rFonts w:ascii="Times New Roman" w:hAnsi="Times New Roman" w:cs="Times New Roman"/>
                <w:spacing w:val="-17"/>
                <w:w w:val="105"/>
                <w:sz w:val="20"/>
              </w:rPr>
              <w:t xml:space="preserve"> </w:t>
            </w:r>
            <w:r w:rsidRPr="004D4F38">
              <w:rPr>
                <w:rFonts w:ascii="Times New Roman" w:hAnsi="Times New Roman" w:cs="Times New Roman"/>
                <w:w w:val="105"/>
                <w:sz w:val="20"/>
              </w:rPr>
              <w:t>colitis</w:t>
            </w:r>
            <w:r w:rsidRPr="004D4F38">
              <w:rPr>
                <w:rFonts w:ascii="Times New Roman" w:hAnsi="Times New Roman" w:cs="Times New Roman"/>
                <w:spacing w:val="-18"/>
                <w:w w:val="105"/>
                <w:sz w:val="20"/>
              </w:rPr>
              <w:t xml:space="preserve"> </w:t>
            </w:r>
            <w:r w:rsidRPr="004D4F38">
              <w:rPr>
                <w:rFonts w:ascii="Times New Roman" w:hAnsi="Times New Roman" w:cs="Times New Roman"/>
                <w:w w:val="105"/>
                <w:sz w:val="20"/>
              </w:rPr>
              <w:t>(including</w:t>
            </w:r>
            <w:r w:rsidRPr="004D4F38">
              <w:rPr>
                <w:rFonts w:ascii="Times New Roman" w:hAnsi="Times New Roman" w:cs="Times New Roman"/>
                <w:spacing w:val="-17"/>
                <w:w w:val="105"/>
                <w:sz w:val="20"/>
              </w:rPr>
              <w:t xml:space="preserve"> </w:t>
            </w:r>
            <w:r w:rsidRPr="004D4F38">
              <w:rPr>
                <w:rFonts w:ascii="Times New Roman" w:hAnsi="Times New Roman" w:cs="Times New Roman"/>
                <w:w w:val="105"/>
                <w:sz w:val="20"/>
              </w:rPr>
              <w:t>neutropaenic</w:t>
            </w:r>
            <w:r w:rsidRPr="004D4F38">
              <w:rPr>
                <w:rFonts w:ascii="Times New Roman" w:hAnsi="Times New Roman" w:cs="Times New Roman"/>
                <w:spacing w:val="-18"/>
                <w:w w:val="105"/>
                <w:sz w:val="20"/>
              </w:rPr>
              <w:t xml:space="preserve"> </w:t>
            </w:r>
            <w:r w:rsidRPr="004D4F38">
              <w:rPr>
                <w:rFonts w:ascii="Times New Roman" w:hAnsi="Times New Roman" w:cs="Times New Roman"/>
                <w:w w:val="105"/>
                <w:sz w:val="20"/>
              </w:rPr>
              <w:t>colitis),</w:t>
            </w:r>
            <w:r w:rsidRPr="004D4F38">
              <w:rPr>
                <w:rFonts w:ascii="Times New Roman" w:hAnsi="Times New Roman" w:cs="Times New Roman"/>
                <w:spacing w:val="-17"/>
                <w:w w:val="105"/>
                <w:sz w:val="20"/>
              </w:rPr>
              <w:t xml:space="preserve"> </w:t>
            </w:r>
            <w:r w:rsidRPr="004D4F38">
              <w:rPr>
                <w:rFonts w:ascii="Times New Roman" w:hAnsi="Times New Roman" w:cs="Times New Roman"/>
                <w:w w:val="105"/>
                <w:sz w:val="20"/>
              </w:rPr>
              <w:t>gastritis,</w:t>
            </w:r>
            <w:r w:rsidRPr="004D4F38">
              <w:rPr>
                <w:rFonts w:ascii="Times New Roman" w:hAnsi="Times New Roman" w:cs="Times New Roman"/>
                <w:spacing w:val="-17"/>
                <w:w w:val="105"/>
                <w:sz w:val="20"/>
              </w:rPr>
              <w:t xml:space="preserve"> </w:t>
            </w:r>
            <w:r w:rsidRPr="004D4F38">
              <w:rPr>
                <w:rFonts w:ascii="Times New Roman" w:hAnsi="Times New Roman" w:cs="Times New Roman"/>
                <w:w w:val="105"/>
                <w:sz w:val="20"/>
              </w:rPr>
              <w:t>mucosal inflammation</w:t>
            </w:r>
            <w:r w:rsidRPr="004D4F38">
              <w:rPr>
                <w:rFonts w:ascii="Times New Roman" w:hAnsi="Times New Roman" w:cs="Times New Roman"/>
                <w:spacing w:val="-26"/>
                <w:w w:val="105"/>
                <w:sz w:val="20"/>
              </w:rPr>
              <w:t xml:space="preserve"> </w:t>
            </w:r>
            <w:r w:rsidRPr="004D4F38">
              <w:rPr>
                <w:rFonts w:ascii="Times New Roman" w:hAnsi="Times New Roman" w:cs="Times New Roman"/>
                <w:w w:val="105"/>
                <w:sz w:val="20"/>
              </w:rPr>
              <w:t>(including</w:t>
            </w:r>
            <w:r w:rsidRPr="004D4F38">
              <w:rPr>
                <w:rFonts w:ascii="Times New Roman" w:hAnsi="Times New Roman" w:cs="Times New Roman"/>
                <w:spacing w:val="-25"/>
                <w:w w:val="105"/>
                <w:sz w:val="20"/>
              </w:rPr>
              <w:t xml:space="preserve"> </w:t>
            </w:r>
            <w:r w:rsidRPr="004D4F38">
              <w:rPr>
                <w:rFonts w:ascii="Times New Roman" w:hAnsi="Times New Roman" w:cs="Times New Roman"/>
                <w:w w:val="105"/>
                <w:sz w:val="20"/>
              </w:rPr>
              <w:t>mucositis/stomatitis),</w:t>
            </w:r>
            <w:r w:rsidRPr="004D4F38">
              <w:rPr>
                <w:rFonts w:ascii="Times New Roman" w:hAnsi="Times New Roman" w:cs="Times New Roman"/>
                <w:spacing w:val="-26"/>
                <w:w w:val="105"/>
                <w:sz w:val="20"/>
              </w:rPr>
              <w:t xml:space="preserve"> </w:t>
            </w:r>
            <w:r w:rsidRPr="004D4F38">
              <w:rPr>
                <w:rFonts w:ascii="Times New Roman" w:hAnsi="Times New Roman" w:cs="Times New Roman"/>
                <w:w w:val="105"/>
                <w:sz w:val="20"/>
              </w:rPr>
              <w:t>dyspepsia,</w:t>
            </w:r>
            <w:r w:rsidRPr="004D4F38">
              <w:rPr>
                <w:rFonts w:ascii="Times New Roman" w:hAnsi="Times New Roman" w:cs="Times New Roman"/>
                <w:spacing w:val="-26"/>
                <w:w w:val="105"/>
                <w:sz w:val="20"/>
              </w:rPr>
              <w:t xml:space="preserve"> </w:t>
            </w:r>
            <w:r w:rsidRPr="004D4F38">
              <w:rPr>
                <w:rFonts w:ascii="Times New Roman" w:hAnsi="Times New Roman" w:cs="Times New Roman"/>
                <w:w w:val="105"/>
                <w:sz w:val="20"/>
              </w:rPr>
              <w:t>abdominal</w:t>
            </w:r>
            <w:r w:rsidRPr="004D4F38">
              <w:rPr>
                <w:rFonts w:ascii="Times New Roman" w:hAnsi="Times New Roman" w:cs="Times New Roman"/>
                <w:spacing w:val="-26"/>
                <w:w w:val="105"/>
                <w:sz w:val="20"/>
              </w:rPr>
              <w:t xml:space="preserve"> </w:t>
            </w:r>
            <w:r w:rsidRPr="004D4F38">
              <w:rPr>
                <w:rFonts w:ascii="Times New Roman" w:hAnsi="Times New Roman" w:cs="Times New Roman"/>
                <w:w w:val="105"/>
                <w:sz w:val="20"/>
              </w:rPr>
              <w:t>distension,</w:t>
            </w:r>
          </w:p>
          <w:p w:rsidR="009D079D" w:rsidRPr="004D4F38" w:rsidRDefault="009D079D">
            <w:pPr>
              <w:pStyle w:val="TableParagraph"/>
              <w:spacing w:before="1" w:line="211" w:lineRule="exact"/>
              <w:ind w:left="97"/>
              <w:rPr>
                <w:rFonts w:ascii="Times New Roman" w:hAnsi="Times New Roman" w:cs="Times New Roman"/>
                <w:sz w:val="20"/>
              </w:rPr>
            </w:pPr>
            <w:r w:rsidRPr="004D4F38">
              <w:rPr>
                <w:rFonts w:ascii="Times New Roman" w:hAnsi="Times New Roman" w:cs="Times New Roman"/>
                <w:w w:val="105"/>
                <w:sz w:val="20"/>
              </w:rPr>
              <w:t>constipation, oral soft tissue disorder</w:t>
            </w:r>
          </w:p>
        </w:tc>
      </w:tr>
      <w:tr w:rsidR="009D079D" w:rsidRPr="00F430C7" w:rsidTr="009D079D">
        <w:trPr>
          <w:trHeight w:val="46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6"/>
              <w:ind w:left="97"/>
              <w:rPr>
                <w:rFonts w:ascii="Times New Roman" w:hAnsi="Times New Roman" w:cs="Times New Roman"/>
                <w:i/>
                <w:sz w:val="20"/>
              </w:rPr>
            </w:pPr>
            <w:r w:rsidRPr="004D4F38">
              <w:rPr>
                <w:rFonts w:ascii="Times New Roman" w:hAnsi="Times New Roman" w:cs="Times New Roman"/>
                <w:i/>
                <w:w w:val="105"/>
                <w:sz w:val="20"/>
              </w:rPr>
              <w:t>Uncommon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2" w:line="238" w:lineRule="exact"/>
              <w:ind w:left="96" w:right="272"/>
              <w:rPr>
                <w:rFonts w:ascii="Times New Roman" w:hAnsi="Times New Roman" w:cs="Times New Roman"/>
                <w:sz w:val="20"/>
              </w:rPr>
            </w:pPr>
            <w:r w:rsidRPr="004D4F38">
              <w:rPr>
                <w:rFonts w:ascii="Times New Roman" w:hAnsi="Times New Roman" w:cs="Times New Roman"/>
                <w:w w:val="105"/>
                <w:sz w:val="20"/>
              </w:rPr>
              <w:t>pancreatitis</w:t>
            </w:r>
            <w:r w:rsidRPr="004D4F38">
              <w:rPr>
                <w:rFonts w:ascii="Times New Roman" w:hAnsi="Times New Roman" w:cs="Times New Roman"/>
                <w:spacing w:val="-17"/>
                <w:w w:val="105"/>
                <w:sz w:val="20"/>
              </w:rPr>
              <w:t xml:space="preserve"> </w:t>
            </w:r>
            <w:r w:rsidRPr="004D4F38">
              <w:rPr>
                <w:rFonts w:ascii="Times New Roman" w:hAnsi="Times New Roman" w:cs="Times New Roman"/>
                <w:w w:val="105"/>
                <w:sz w:val="20"/>
              </w:rPr>
              <w:t>(including</w:t>
            </w:r>
            <w:r w:rsidRPr="004D4F38">
              <w:rPr>
                <w:rFonts w:ascii="Times New Roman" w:hAnsi="Times New Roman" w:cs="Times New Roman"/>
                <w:spacing w:val="-17"/>
                <w:w w:val="105"/>
                <w:sz w:val="20"/>
              </w:rPr>
              <w:t xml:space="preserve"> </w:t>
            </w:r>
            <w:r w:rsidRPr="004D4F38">
              <w:rPr>
                <w:rFonts w:ascii="Times New Roman" w:hAnsi="Times New Roman" w:cs="Times New Roman"/>
                <w:w w:val="105"/>
                <w:sz w:val="20"/>
              </w:rPr>
              <w:t>acute</w:t>
            </w:r>
            <w:r w:rsidRPr="004D4F38">
              <w:rPr>
                <w:rFonts w:ascii="Times New Roman" w:hAnsi="Times New Roman" w:cs="Times New Roman"/>
                <w:spacing w:val="-17"/>
                <w:w w:val="105"/>
                <w:sz w:val="20"/>
              </w:rPr>
              <w:t xml:space="preserve"> </w:t>
            </w:r>
            <w:r w:rsidRPr="004D4F38">
              <w:rPr>
                <w:rFonts w:ascii="Times New Roman" w:hAnsi="Times New Roman" w:cs="Times New Roman"/>
                <w:w w:val="105"/>
                <w:sz w:val="20"/>
              </w:rPr>
              <w:t>pancreatitis),</w:t>
            </w:r>
            <w:r w:rsidRPr="004D4F38">
              <w:rPr>
                <w:rFonts w:ascii="Times New Roman" w:hAnsi="Times New Roman" w:cs="Times New Roman"/>
                <w:spacing w:val="-17"/>
                <w:w w:val="105"/>
                <w:sz w:val="20"/>
              </w:rPr>
              <w:t xml:space="preserve"> </w:t>
            </w:r>
            <w:r w:rsidRPr="004D4F38">
              <w:rPr>
                <w:rFonts w:ascii="Times New Roman" w:hAnsi="Times New Roman" w:cs="Times New Roman"/>
                <w:w w:val="105"/>
                <w:sz w:val="20"/>
              </w:rPr>
              <w:t>upper</w:t>
            </w:r>
            <w:r w:rsidRPr="004D4F38">
              <w:rPr>
                <w:rFonts w:ascii="Times New Roman" w:hAnsi="Times New Roman" w:cs="Times New Roman"/>
                <w:spacing w:val="-17"/>
                <w:w w:val="105"/>
                <w:sz w:val="20"/>
              </w:rPr>
              <w:t xml:space="preserve"> </w:t>
            </w:r>
            <w:r w:rsidRPr="004D4F38">
              <w:rPr>
                <w:rFonts w:ascii="Times New Roman" w:hAnsi="Times New Roman" w:cs="Times New Roman"/>
                <w:w w:val="105"/>
                <w:sz w:val="20"/>
              </w:rPr>
              <w:t>gastrointestinal</w:t>
            </w:r>
            <w:r w:rsidRPr="004D4F38">
              <w:rPr>
                <w:rFonts w:ascii="Times New Roman" w:hAnsi="Times New Roman" w:cs="Times New Roman"/>
                <w:spacing w:val="-16"/>
                <w:w w:val="105"/>
                <w:sz w:val="20"/>
              </w:rPr>
              <w:t xml:space="preserve"> </w:t>
            </w:r>
            <w:r w:rsidRPr="004D4F38">
              <w:rPr>
                <w:rFonts w:ascii="Times New Roman" w:hAnsi="Times New Roman" w:cs="Times New Roman"/>
                <w:w w:val="105"/>
                <w:sz w:val="20"/>
              </w:rPr>
              <w:t>ulcer,</w:t>
            </w:r>
            <w:r w:rsidRPr="004D4F38">
              <w:rPr>
                <w:rFonts w:ascii="Times New Roman" w:hAnsi="Times New Roman" w:cs="Times New Roman"/>
                <w:spacing w:val="-16"/>
                <w:w w:val="105"/>
                <w:sz w:val="20"/>
              </w:rPr>
              <w:t xml:space="preserve"> </w:t>
            </w:r>
            <w:r w:rsidRPr="004D4F38">
              <w:rPr>
                <w:rFonts w:ascii="Times New Roman" w:hAnsi="Times New Roman" w:cs="Times New Roman"/>
                <w:w w:val="105"/>
                <w:sz w:val="20"/>
              </w:rPr>
              <w:t>oesophagitis, ascites*,</w:t>
            </w:r>
            <w:r w:rsidRPr="004D4F38">
              <w:rPr>
                <w:rFonts w:ascii="Times New Roman" w:hAnsi="Times New Roman" w:cs="Times New Roman"/>
                <w:spacing w:val="-21"/>
                <w:w w:val="105"/>
                <w:sz w:val="20"/>
              </w:rPr>
              <w:t xml:space="preserve"> </w:t>
            </w:r>
            <w:r w:rsidRPr="004D4F38">
              <w:rPr>
                <w:rFonts w:ascii="Times New Roman" w:hAnsi="Times New Roman" w:cs="Times New Roman"/>
                <w:w w:val="105"/>
                <w:sz w:val="20"/>
              </w:rPr>
              <w:t>anal</w:t>
            </w:r>
            <w:r w:rsidRPr="004D4F38">
              <w:rPr>
                <w:rFonts w:ascii="Times New Roman" w:hAnsi="Times New Roman" w:cs="Times New Roman"/>
                <w:spacing w:val="-21"/>
                <w:w w:val="105"/>
                <w:sz w:val="20"/>
              </w:rPr>
              <w:t xml:space="preserve"> </w:t>
            </w:r>
            <w:r w:rsidRPr="004D4F38">
              <w:rPr>
                <w:rFonts w:ascii="Times New Roman" w:hAnsi="Times New Roman" w:cs="Times New Roman"/>
                <w:w w:val="105"/>
                <w:sz w:val="20"/>
              </w:rPr>
              <w:t>fissure,</w:t>
            </w:r>
            <w:r w:rsidRPr="004D4F38">
              <w:rPr>
                <w:rFonts w:ascii="Times New Roman" w:hAnsi="Times New Roman" w:cs="Times New Roman"/>
                <w:spacing w:val="-21"/>
                <w:w w:val="105"/>
                <w:sz w:val="20"/>
              </w:rPr>
              <w:t xml:space="preserve"> </w:t>
            </w:r>
            <w:r w:rsidRPr="004D4F38">
              <w:rPr>
                <w:rFonts w:ascii="Times New Roman" w:hAnsi="Times New Roman" w:cs="Times New Roman"/>
                <w:w w:val="105"/>
                <w:sz w:val="20"/>
              </w:rPr>
              <w:t>dysphagia,</w:t>
            </w:r>
            <w:r w:rsidRPr="004D4F38">
              <w:rPr>
                <w:rFonts w:ascii="Times New Roman" w:hAnsi="Times New Roman" w:cs="Times New Roman"/>
                <w:spacing w:val="-21"/>
                <w:w w:val="105"/>
                <w:sz w:val="20"/>
              </w:rPr>
              <w:t xml:space="preserve"> </w:t>
            </w:r>
            <w:r w:rsidRPr="004D4F38">
              <w:rPr>
                <w:rFonts w:ascii="Times New Roman" w:hAnsi="Times New Roman" w:cs="Times New Roman"/>
                <w:w w:val="105"/>
                <w:sz w:val="20"/>
              </w:rPr>
              <w:t>gastroesophageal</w:t>
            </w:r>
            <w:r w:rsidRPr="004D4F38">
              <w:rPr>
                <w:rFonts w:ascii="Times New Roman" w:hAnsi="Times New Roman" w:cs="Times New Roman"/>
                <w:spacing w:val="-21"/>
                <w:w w:val="105"/>
                <w:sz w:val="20"/>
              </w:rPr>
              <w:t xml:space="preserve"> </w:t>
            </w:r>
            <w:r w:rsidRPr="004D4F38">
              <w:rPr>
                <w:rFonts w:ascii="Times New Roman" w:hAnsi="Times New Roman" w:cs="Times New Roman"/>
                <w:w w:val="105"/>
                <w:sz w:val="20"/>
              </w:rPr>
              <w:t>reflux</w:t>
            </w:r>
            <w:r w:rsidRPr="004D4F38">
              <w:rPr>
                <w:rFonts w:ascii="Times New Roman" w:hAnsi="Times New Roman" w:cs="Times New Roman"/>
                <w:spacing w:val="-21"/>
                <w:w w:val="105"/>
                <w:sz w:val="20"/>
              </w:rPr>
              <w:t xml:space="preserve"> </w:t>
            </w:r>
            <w:r w:rsidRPr="004D4F38">
              <w:rPr>
                <w:rFonts w:ascii="Times New Roman" w:hAnsi="Times New Roman" w:cs="Times New Roman"/>
                <w:w w:val="105"/>
                <w:sz w:val="20"/>
              </w:rPr>
              <w:t>disease</w:t>
            </w:r>
          </w:p>
        </w:tc>
      </w:tr>
      <w:tr w:rsidR="009D079D" w:rsidRPr="00F430C7" w:rsidTr="009D079D">
        <w:trPr>
          <w:trHeight w:val="217"/>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2" w:line="212" w:lineRule="exact"/>
              <w:ind w:left="97"/>
              <w:rPr>
                <w:rFonts w:ascii="Times New Roman" w:hAnsi="Times New Roman" w:cs="Times New Roman"/>
                <w:i/>
                <w:sz w:val="20"/>
              </w:rPr>
            </w:pPr>
            <w:r w:rsidRPr="004D4F38">
              <w:rPr>
                <w:rFonts w:ascii="Times New Roman" w:hAnsi="Times New Roman" w:cs="Times New Roman"/>
                <w:i/>
                <w:w w:val="105"/>
                <w:sz w:val="20"/>
              </w:rPr>
              <w:t>Rare</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2" w:line="212" w:lineRule="exact"/>
              <w:ind w:left="96"/>
              <w:rPr>
                <w:rFonts w:ascii="Times New Roman" w:hAnsi="Times New Roman" w:cs="Times New Roman"/>
                <w:sz w:val="20"/>
              </w:rPr>
            </w:pPr>
            <w:r w:rsidRPr="004D4F38">
              <w:rPr>
                <w:rFonts w:ascii="Times New Roman" w:hAnsi="Times New Roman" w:cs="Times New Roman"/>
                <w:w w:val="105"/>
                <w:sz w:val="20"/>
              </w:rPr>
              <w:t>protein-losing gastroenteropathy, ileus, anal fistula</w:t>
            </w:r>
          </w:p>
        </w:tc>
      </w:tr>
      <w:tr w:rsidR="009D079D" w:rsidRPr="004D4F38"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5" w:line="212" w:lineRule="exact"/>
              <w:ind w:left="97"/>
              <w:rPr>
                <w:rFonts w:ascii="Times New Roman" w:hAnsi="Times New Roman" w:cs="Times New Roman"/>
                <w:i/>
                <w:sz w:val="20"/>
              </w:rPr>
            </w:pPr>
            <w:r w:rsidRPr="004D4F38">
              <w:rPr>
                <w:rFonts w:ascii="Times New Roman" w:hAnsi="Times New Roman" w:cs="Times New Roman"/>
                <w:i/>
                <w:w w:val="105"/>
                <w:sz w:val="20"/>
              </w:rPr>
              <w:t>Not known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5" w:line="212" w:lineRule="exact"/>
              <w:ind w:left="96"/>
              <w:rPr>
                <w:rFonts w:ascii="Times New Roman" w:hAnsi="Times New Roman" w:cs="Times New Roman"/>
                <w:sz w:val="20"/>
              </w:rPr>
            </w:pPr>
            <w:r w:rsidRPr="004D4F38">
              <w:rPr>
                <w:rFonts w:ascii="Times New Roman" w:hAnsi="Times New Roman" w:cs="Times New Roman"/>
                <w:w w:val="105"/>
                <w:sz w:val="20"/>
              </w:rPr>
              <w:t>fatal gastrointestinal haemorrhage*</w:t>
            </w:r>
          </w:p>
        </w:tc>
      </w:tr>
      <w:tr w:rsidR="009D079D" w:rsidRPr="004D4F38" w:rsidTr="009D079D">
        <w:trPr>
          <w:trHeight w:val="220"/>
        </w:trPr>
        <w:tc>
          <w:tcPr>
            <w:tcW w:w="8899"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9D079D" w:rsidRPr="004D4F38" w:rsidRDefault="009D079D">
            <w:pPr>
              <w:pStyle w:val="TableParagraph"/>
              <w:spacing w:before="7" w:line="211" w:lineRule="exact"/>
              <w:ind w:left="97"/>
              <w:rPr>
                <w:rFonts w:ascii="Times New Roman" w:hAnsi="Times New Roman" w:cs="Times New Roman"/>
                <w:b/>
                <w:sz w:val="20"/>
              </w:rPr>
            </w:pPr>
            <w:r w:rsidRPr="004D4F38">
              <w:rPr>
                <w:rFonts w:ascii="Times New Roman" w:hAnsi="Times New Roman" w:cs="Times New Roman"/>
                <w:b/>
                <w:sz w:val="20"/>
              </w:rPr>
              <w:t>Hepatobiliary disorders</w:t>
            </w:r>
          </w:p>
        </w:tc>
      </w:tr>
      <w:tr w:rsidR="009D079D" w:rsidRPr="004D4F38"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5" w:line="212" w:lineRule="exact"/>
              <w:ind w:left="97"/>
              <w:rPr>
                <w:rFonts w:ascii="Times New Roman" w:hAnsi="Times New Roman" w:cs="Times New Roman"/>
                <w:i/>
                <w:sz w:val="20"/>
              </w:rPr>
            </w:pPr>
            <w:r w:rsidRPr="004D4F38">
              <w:rPr>
                <w:rFonts w:ascii="Times New Roman" w:hAnsi="Times New Roman" w:cs="Times New Roman"/>
                <w:i/>
                <w:w w:val="105"/>
                <w:sz w:val="20"/>
              </w:rPr>
              <w:t>Uncommon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5" w:line="212" w:lineRule="exact"/>
              <w:ind w:left="96"/>
              <w:rPr>
                <w:rFonts w:ascii="Times New Roman" w:hAnsi="Times New Roman" w:cs="Times New Roman"/>
                <w:sz w:val="20"/>
              </w:rPr>
            </w:pPr>
            <w:r w:rsidRPr="004D4F38">
              <w:rPr>
                <w:rFonts w:ascii="Times New Roman" w:hAnsi="Times New Roman" w:cs="Times New Roman"/>
                <w:w w:val="105"/>
                <w:sz w:val="20"/>
              </w:rPr>
              <w:t>hepatitis, cholecystitis, cholestasis</w:t>
            </w:r>
          </w:p>
        </w:tc>
      </w:tr>
      <w:tr w:rsidR="009D079D" w:rsidRPr="00F430C7" w:rsidTr="009D079D">
        <w:trPr>
          <w:trHeight w:val="220"/>
        </w:trPr>
        <w:tc>
          <w:tcPr>
            <w:tcW w:w="8899"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9D079D" w:rsidRPr="004D4F38" w:rsidRDefault="009D079D">
            <w:pPr>
              <w:pStyle w:val="TableParagraph"/>
              <w:spacing w:before="6" w:line="211" w:lineRule="exact"/>
              <w:ind w:left="97"/>
              <w:rPr>
                <w:rFonts w:ascii="Times New Roman" w:hAnsi="Times New Roman" w:cs="Times New Roman"/>
                <w:b/>
                <w:sz w:val="20"/>
              </w:rPr>
            </w:pPr>
            <w:r w:rsidRPr="004D4F38">
              <w:rPr>
                <w:rFonts w:ascii="Times New Roman" w:hAnsi="Times New Roman" w:cs="Times New Roman"/>
                <w:b/>
                <w:w w:val="105"/>
                <w:sz w:val="20"/>
              </w:rPr>
              <w:t>Skin and subcutaneous tissue disorders</w:t>
            </w:r>
          </w:p>
        </w:tc>
      </w:tr>
      <w:tr w:rsidR="009D079D" w:rsidRPr="004D4F38"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6" w:line="211" w:lineRule="exact"/>
              <w:ind w:left="97"/>
              <w:rPr>
                <w:rFonts w:ascii="Times New Roman" w:hAnsi="Times New Roman" w:cs="Times New Roman"/>
                <w:i/>
                <w:sz w:val="20"/>
              </w:rPr>
            </w:pPr>
            <w:r w:rsidRPr="004D4F38">
              <w:rPr>
                <w:rFonts w:ascii="Times New Roman" w:hAnsi="Times New Roman" w:cs="Times New Roman"/>
                <w:i/>
                <w:w w:val="105"/>
                <w:sz w:val="20"/>
              </w:rPr>
              <w:t>Very common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line="217" w:lineRule="exact"/>
              <w:ind w:left="97"/>
              <w:rPr>
                <w:rFonts w:ascii="Times New Roman" w:hAnsi="Times New Roman" w:cs="Times New Roman"/>
                <w:sz w:val="13"/>
              </w:rPr>
            </w:pPr>
            <w:r w:rsidRPr="004D4F38">
              <w:rPr>
                <w:rFonts w:ascii="Times New Roman" w:hAnsi="Times New Roman" w:cs="Times New Roman"/>
                <w:w w:val="105"/>
                <w:sz w:val="20"/>
              </w:rPr>
              <w:t>skin rash</w:t>
            </w:r>
            <w:r w:rsidRPr="004D4F38">
              <w:rPr>
                <w:rFonts w:ascii="Times New Roman" w:hAnsi="Times New Roman" w:cs="Times New Roman"/>
                <w:w w:val="105"/>
                <w:position w:val="9"/>
                <w:sz w:val="13"/>
              </w:rPr>
              <w:t>e</w:t>
            </w:r>
          </w:p>
        </w:tc>
      </w:tr>
      <w:tr w:rsidR="009D079D" w:rsidRPr="00F430C7" w:rsidTr="009D079D">
        <w:trPr>
          <w:trHeight w:val="46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6"/>
              <w:ind w:left="97"/>
              <w:rPr>
                <w:rFonts w:ascii="Times New Roman" w:hAnsi="Times New Roman" w:cs="Times New Roman"/>
                <w:i/>
                <w:sz w:val="20"/>
              </w:rPr>
            </w:pPr>
            <w:r w:rsidRPr="004D4F38">
              <w:rPr>
                <w:rFonts w:ascii="Times New Roman" w:hAnsi="Times New Roman" w:cs="Times New Roman"/>
                <w:i/>
                <w:w w:val="105"/>
                <w:sz w:val="20"/>
              </w:rPr>
              <w:t>Common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2" w:line="238" w:lineRule="exact"/>
              <w:ind w:left="96" w:right="272"/>
              <w:rPr>
                <w:rFonts w:ascii="Times New Roman" w:hAnsi="Times New Roman" w:cs="Times New Roman"/>
                <w:sz w:val="20"/>
              </w:rPr>
            </w:pPr>
            <w:r w:rsidRPr="004D4F38">
              <w:rPr>
                <w:rFonts w:ascii="Times New Roman" w:hAnsi="Times New Roman" w:cs="Times New Roman"/>
                <w:w w:val="105"/>
                <w:sz w:val="20"/>
              </w:rPr>
              <w:t>alopecia,</w:t>
            </w:r>
            <w:r w:rsidRPr="004D4F38">
              <w:rPr>
                <w:rFonts w:ascii="Times New Roman" w:hAnsi="Times New Roman" w:cs="Times New Roman"/>
                <w:spacing w:val="-14"/>
                <w:w w:val="105"/>
                <w:sz w:val="20"/>
              </w:rPr>
              <w:t xml:space="preserve"> </w:t>
            </w:r>
            <w:r w:rsidRPr="004D4F38">
              <w:rPr>
                <w:rFonts w:ascii="Times New Roman" w:hAnsi="Times New Roman" w:cs="Times New Roman"/>
                <w:w w:val="105"/>
                <w:sz w:val="20"/>
              </w:rPr>
              <w:t>dermatitis</w:t>
            </w:r>
            <w:r w:rsidRPr="004D4F38">
              <w:rPr>
                <w:rFonts w:ascii="Times New Roman" w:hAnsi="Times New Roman" w:cs="Times New Roman"/>
                <w:spacing w:val="-14"/>
                <w:w w:val="105"/>
                <w:sz w:val="20"/>
              </w:rPr>
              <w:t xml:space="preserve"> </w:t>
            </w:r>
            <w:r w:rsidRPr="004D4F38">
              <w:rPr>
                <w:rFonts w:ascii="Times New Roman" w:hAnsi="Times New Roman" w:cs="Times New Roman"/>
                <w:w w:val="105"/>
                <w:sz w:val="20"/>
              </w:rPr>
              <w:t>(including</w:t>
            </w:r>
            <w:r w:rsidRPr="004D4F38">
              <w:rPr>
                <w:rFonts w:ascii="Times New Roman" w:hAnsi="Times New Roman" w:cs="Times New Roman"/>
                <w:spacing w:val="-16"/>
                <w:w w:val="105"/>
                <w:sz w:val="20"/>
              </w:rPr>
              <w:t xml:space="preserve"> </w:t>
            </w:r>
            <w:r w:rsidRPr="004D4F38">
              <w:rPr>
                <w:rFonts w:ascii="Times New Roman" w:hAnsi="Times New Roman" w:cs="Times New Roman"/>
                <w:w w:val="105"/>
                <w:sz w:val="20"/>
              </w:rPr>
              <w:t>eczema),</w:t>
            </w:r>
            <w:r w:rsidRPr="004D4F38">
              <w:rPr>
                <w:rFonts w:ascii="Times New Roman" w:hAnsi="Times New Roman" w:cs="Times New Roman"/>
                <w:spacing w:val="-14"/>
                <w:w w:val="105"/>
                <w:sz w:val="20"/>
              </w:rPr>
              <w:t xml:space="preserve"> </w:t>
            </w:r>
            <w:r w:rsidRPr="004D4F38">
              <w:rPr>
                <w:rFonts w:ascii="Times New Roman" w:hAnsi="Times New Roman" w:cs="Times New Roman"/>
                <w:w w:val="105"/>
                <w:sz w:val="20"/>
              </w:rPr>
              <w:t>pruritus,</w:t>
            </w:r>
            <w:r w:rsidRPr="004D4F38">
              <w:rPr>
                <w:rFonts w:ascii="Times New Roman" w:hAnsi="Times New Roman" w:cs="Times New Roman"/>
                <w:spacing w:val="-13"/>
                <w:w w:val="105"/>
                <w:sz w:val="20"/>
              </w:rPr>
              <w:t xml:space="preserve"> </w:t>
            </w:r>
            <w:r w:rsidRPr="004D4F38">
              <w:rPr>
                <w:rFonts w:ascii="Times New Roman" w:hAnsi="Times New Roman" w:cs="Times New Roman"/>
                <w:w w:val="105"/>
                <w:sz w:val="20"/>
              </w:rPr>
              <w:t>acne,</w:t>
            </w:r>
            <w:r w:rsidRPr="004D4F38">
              <w:rPr>
                <w:rFonts w:ascii="Times New Roman" w:hAnsi="Times New Roman" w:cs="Times New Roman"/>
                <w:spacing w:val="-14"/>
                <w:w w:val="105"/>
                <w:sz w:val="20"/>
              </w:rPr>
              <w:t xml:space="preserve"> </w:t>
            </w:r>
            <w:r w:rsidRPr="004D4F38">
              <w:rPr>
                <w:rFonts w:ascii="Times New Roman" w:hAnsi="Times New Roman" w:cs="Times New Roman"/>
                <w:w w:val="105"/>
                <w:sz w:val="20"/>
              </w:rPr>
              <w:t>dry</w:t>
            </w:r>
            <w:r w:rsidRPr="004D4F38">
              <w:rPr>
                <w:rFonts w:ascii="Times New Roman" w:hAnsi="Times New Roman" w:cs="Times New Roman"/>
                <w:spacing w:val="-13"/>
                <w:w w:val="105"/>
                <w:sz w:val="20"/>
              </w:rPr>
              <w:t xml:space="preserve"> </w:t>
            </w:r>
            <w:r w:rsidRPr="004D4F38">
              <w:rPr>
                <w:rFonts w:ascii="Times New Roman" w:hAnsi="Times New Roman" w:cs="Times New Roman"/>
                <w:w w:val="105"/>
                <w:sz w:val="20"/>
              </w:rPr>
              <w:t>skin,</w:t>
            </w:r>
            <w:r w:rsidRPr="004D4F38">
              <w:rPr>
                <w:rFonts w:ascii="Times New Roman" w:hAnsi="Times New Roman" w:cs="Times New Roman"/>
                <w:spacing w:val="-13"/>
                <w:w w:val="105"/>
                <w:sz w:val="20"/>
              </w:rPr>
              <w:t xml:space="preserve"> </w:t>
            </w:r>
            <w:r w:rsidRPr="004D4F38">
              <w:rPr>
                <w:rFonts w:ascii="Times New Roman" w:hAnsi="Times New Roman" w:cs="Times New Roman"/>
                <w:w w:val="105"/>
                <w:sz w:val="20"/>
              </w:rPr>
              <w:t>urticaria, hyperhidrosis</w:t>
            </w:r>
          </w:p>
        </w:tc>
      </w:tr>
      <w:tr w:rsidR="009D079D" w:rsidRPr="00F430C7" w:rsidTr="009D079D">
        <w:trPr>
          <w:trHeight w:val="697"/>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2"/>
              <w:ind w:left="97"/>
              <w:rPr>
                <w:rFonts w:ascii="Times New Roman" w:hAnsi="Times New Roman" w:cs="Times New Roman"/>
                <w:i/>
                <w:sz w:val="20"/>
              </w:rPr>
            </w:pPr>
            <w:r w:rsidRPr="004D4F38">
              <w:rPr>
                <w:rFonts w:ascii="Times New Roman" w:hAnsi="Times New Roman" w:cs="Times New Roman"/>
                <w:i/>
                <w:w w:val="105"/>
                <w:sz w:val="20"/>
              </w:rPr>
              <w:t>Uncommon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2"/>
              <w:ind w:left="96"/>
              <w:rPr>
                <w:rFonts w:ascii="Times New Roman" w:hAnsi="Times New Roman" w:cs="Times New Roman"/>
                <w:sz w:val="20"/>
              </w:rPr>
            </w:pPr>
            <w:r w:rsidRPr="004D4F38">
              <w:rPr>
                <w:rFonts w:ascii="Times New Roman" w:hAnsi="Times New Roman" w:cs="Times New Roman"/>
                <w:w w:val="105"/>
                <w:sz w:val="20"/>
              </w:rPr>
              <w:t>neutrophilic dermatosis, photosensitivity, pigmentation disorder, panniculitis, skin</w:t>
            </w:r>
          </w:p>
          <w:p w:rsidR="009D079D" w:rsidRPr="004D4F38" w:rsidRDefault="009D079D">
            <w:pPr>
              <w:pStyle w:val="TableParagraph"/>
              <w:spacing w:before="8" w:line="230" w:lineRule="atLeast"/>
              <w:ind w:left="96"/>
              <w:rPr>
                <w:rFonts w:ascii="Times New Roman" w:hAnsi="Times New Roman" w:cs="Times New Roman"/>
                <w:sz w:val="20"/>
              </w:rPr>
            </w:pPr>
            <w:r w:rsidRPr="004D4F38">
              <w:rPr>
                <w:rFonts w:ascii="Times New Roman" w:hAnsi="Times New Roman" w:cs="Times New Roman"/>
                <w:w w:val="105"/>
                <w:sz w:val="20"/>
              </w:rPr>
              <w:t>ulcer,</w:t>
            </w:r>
            <w:r w:rsidRPr="004D4F38">
              <w:rPr>
                <w:rFonts w:ascii="Times New Roman" w:hAnsi="Times New Roman" w:cs="Times New Roman"/>
                <w:spacing w:val="-19"/>
                <w:w w:val="105"/>
                <w:sz w:val="20"/>
              </w:rPr>
              <w:t xml:space="preserve"> </w:t>
            </w:r>
            <w:r w:rsidRPr="004D4F38">
              <w:rPr>
                <w:rFonts w:ascii="Times New Roman" w:hAnsi="Times New Roman" w:cs="Times New Roman"/>
                <w:w w:val="105"/>
                <w:sz w:val="20"/>
              </w:rPr>
              <w:t>bullous</w:t>
            </w:r>
            <w:r w:rsidRPr="004D4F38">
              <w:rPr>
                <w:rFonts w:ascii="Times New Roman" w:hAnsi="Times New Roman" w:cs="Times New Roman"/>
                <w:spacing w:val="-19"/>
                <w:w w:val="105"/>
                <w:sz w:val="20"/>
              </w:rPr>
              <w:t xml:space="preserve"> </w:t>
            </w:r>
            <w:r w:rsidRPr="004D4F38">
              <w:rPr>
                <w:rFonts w:ascii="Times New Roman" w:hAnsi="Times New Roman" w:cs="Times New Roman"/>
                <w:w w:val="105"/>
                <w:sz w:val="20"/>
              </w:rPr>
              <w:t>conditions,</w:t>
            </w:r>
            <w:r w:rsidRPr="004D4F38">
              <w:rPr>
                <w:rFonts w:ascii="Times New Roman" w:hAnsi="Times New Roman" w:cs="Times New Roman"/>
                <w:spacing w:val="-20"/>
                <w:w w:val="105"/>
                <w:sz w:val="20"/>
              </w:rPr>
              <w:t xml:space="preserve"> </w:t>
            </w:r>
            <w:r w:rsidRPr="004D4F38">
              <w:rPr>
                <w:rFonts w:ascii="Times New Roman" w:hAnsi="Times New Roman" w:cs="Times New Roman"/>
                <w:w w:val="105"/>
                <w:sz w:val="20"/>
              </w:rPr>
              <w:t>nail</w:t>
            </w:r>
            <w:r w:rsidRPr="004D4F38">
              <w:rPr>
                <w:rFonts w:ascii="Times New Roman" w:hAnsi="Times New Roman" w:cs="Times New Roman"/>
                <w:spacing w:val="-20"/>
                <w:w w:val="105"/>
                <w:sz w:val="20"/>
              </w:rPr>
              <w:t xml:space="preserve"> </w:t>
            </w:r>
            <w:r w:rsidRPr="004D4F38">
              <w:rPr>
                <w:rFonts w:ascii="Times New Roman" w:hAnsi="Times New Roman" w:cs="Times New Roman"/>
                <w:w w:val="105"/>
                <w:sz w:val="20"/>
              </w:rPr>
              <w:t>disorder,</w:t>
            </w:r>
            <w:r w:rsidRPr="004D4F38">
              <w:rPr>
                <w:rFonts w:ascii="Times New Roman" w:hAnsi="Times New Roman" w:cs="Times New Roman"/>
                <w:spacing w:val="-20"/>
                <w:w w:val="105"/>
                <w:sz w:val="20"/>
              </w:rPr>
              <w:t xml:space="preserve"> </w:t>
            </w:r>
            <w:r w:rsidRPr="004D4F38">
              <w:rPr>
                <w:rFonts w:ascii="Times New Roman" w:hAnsi="Times New Roman" w:cs="Times New Roman"/>
                <w:w w:val="105"/>
                <w:sz w:val="20"/>
              </w:rPr>
              <w:t>palmar-plantar</w:t>
            </w:r>
            <w:r w:rsidRPr="004D4F38">
              <w:rPr>
                <w:rFonts w:ascii="Times New Roman" w:hAnsi="Times New Roman" w:cs="Times New Roman"/>
                <w:spacing w:val="-19"/>
                <w:w w:val="105"/>
                <w:sz w:val="20"/>
              </w:rPr>
              <w:t xml:space="preserve"> </w:t>
            </w:r>
            <w:r w:rsidRPr="004D4F38">
              <w:rPr>
                <w:rFonts w:ascii="Times New Roman" w:hAnsi="Times New Roman" w:cs="Times New Roman"/>
                <w:w w:val="105"/>
                <w:sz w:val="20"/>
              </w:rPr>
              <w:t>erythrodysesthesia</w:t>
            </w:r>
            <w:r w:rsidRPr="004D4F38">
              <w:rPr>
                <w:rFonts w:ascii="Times New Roman" w:hAnsi="Times New Roman" w:cs="Times New Roman"/>
                <w:spacing w:val="-20"/>
                <w:w w:val="105"/>
                <w:sz w:val="20"/>
              </w:rPr>
              <w:t xml:space="preserve"> </w:t>
            </w:r>
            <w:r w:rsidRPr="004D4F38">
              <w:rPr>
                <w:rFonts w:ascii="Times New Roman" w:hAnsi="Times New Roman" w:cs="Times New Roman"/>
                <w:w w:val="105"/>
                <w:sz w:val="20"/>
              </w:rPr>
              <w:t>syndrome, hair</w:t>
            </w:r>
            <w:r w:rsidRPr="004D4F38">
              <w:rPr>
                <w:rFonts w:ascii="Times New Roman" w:hAnsi="Times New Roman" w:cs="Times New Roman"/>
                <w:spacing w:val="-22"/>
                <w:w w:val="105"/>
                <w:sz w:val="20"/>
              </w:rPr>
              <w:t xml:space="preserve"> </w:t>
            </w:r>
            <w:r w:rsidRPr="004D4F38">
              <w:rPr>
                <w:rFonts w:ascii="Times New Roman" w:hAnsi="Times New Roman" w:cs="Times New Roman"/>
                <w:w w:val="105"/>
                <w:sz w:val="20"/>
              </w:rPr>
              <w:t>disorder</w:t>
            </w:r>
          </w:p>
        </w:tc>
      </w:tr>
      <w:tr w:rsidR="009D079D" w:rsidRPr="004D4F38"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5" w:line="212" w:lineRule="exact"/>
              <w:ind w:left="97"/>
              <w:rPr>
                <w:rFonts w:ascii="Times New Roman" w:hAnsi="Times New Roman" w:cs="Times New Roman"/>
                <w:i/>
                <w:sz w:val="20"/>
              </w:rPr>
            </w:pPr>
            <w:r w:rsidRPr="004D4F38">
              <w:rPr>
                <w:rFonts w:ascii="Times New Roman" w:hAnsi="Times New Roman" w:cs="Times New Roman"/>
                <w:i/>
                <w:w w:val="105"/>
                <w:sz w:val="20"/>
              </w:rPr>
              <w:t>Rare</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5" w:line="212" w:lineRule="exact"/>
              <w:ind w:left="96"/>
              <w:rPr>
                <w:rFonts w:ascii="Times New Roman" w:hAnsi="Times New Roman" w:cs="Times New Roman"/>
                <w:sz w:val="20"/>
              </w:rPr>
            </w:pPr>
            <w:r w:rsidRPr="004D4F38">
              <w:rPr>
                <w:rFonts w:ascii="Times New Roman" w:hAnsi="Times New Roman" w:cs="Times New Roman"/>
                <w:w w:val="105"/>
                <w:sz w:val="20"/>
              </w:rPr>
              <w:t>leukocytoclastic vasculitis, skin fibrosis</w:t>
            </w:r>
          </w:p>
        </w:tc>
      </w:tr>
      <w:tr w:rsidR="009D079D" w:rsidRPr="004D4F38"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5" w:line="212" w:lineRule="exact"/>
              <w:ind w:left="97"/>
              <w:rPr>
                <w:rFonts w:ascii="Times New Roman" w:hAnsi="Times New Roman" w:cs="Times New Roman"/>
                <w:i/>
                <w:sz w:val="20"/>
              </w:rPr>
            </w:pPr>
            <w:r w:rsidRPr="004D4F38">
              <w:rPr>
                <w:rFonts w:ascii="Times New Roman" w:hAnsi="Times New Roman" w:cs="Times New Roman"/>
                <w:i/>
                <w:w w:val="105"/>
                <w:sz w:val="20"/>
              </w:rPr>
              <w:t>Not known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line="217" w:lineRule="exact"/>
              <w:ind w:left="96"/>
              <w:rPr>
                <w:rFonts w:ascii="Times New Roman" w:hAnsi="Times New Roman" w:cs="Times New Roman"/>
                <w:sz w:val="13"/>
              </w:rPr>
            </w:pPr>
            <w:r w:rsidRPr="004D4F38">
              <w:rPr>
                <w:rFonts w:ascii="Times New Roman" w:hAnsi="Times New Roman" w:cs="Times New Roman"/>
                <w:sz w:val="20"/>
              </w:rPr>
              <w:t>Stevens-Johnson syndrome</w:t>
            </w:r>
            <w:r w:rsidRPr="004D4F38">
              <w:rPr>
                <w:rFonts w:ascii="Times New Roman" w:hAnsi="Times New Roman" w:cs="Times New Roman"/>
                <w:position w:val="8"/>
                <w:sz w:val="13"/>
              </w:rPr>
              <w:t>f</w:t>
            </w:r>
          </w:p>
        </w:tc>
      </w:tr>
      <w:tr w:rsidR="009D079D" w:rsidRPr="00F430C7" w:rsidTr="009D079D">
        <w:trPr>
          <w:trHeight w:val="220"/>
        </w:trPr>
        <w:tc>
          <w:tcPr>
            <w:tcW w:w="8899"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9D079D" w:rsidRPr="004D4F38" w:rsidRDefault="009D079D">
            <w:pPr>
              <w:pStyle w:val="TableParagraph"/>
              <w:spacing w:before="9" w:line="208" w:lineRule="exact"/>
              <w:ind w:left="97"/>
              <w:rPr>
                <w:rFonts w:ascii="Times New Roman" w:hAnsi="Times New Roman" w:cs="Times New Roman"/>
                <w:b/>
                <w:sz w:val="20"/>
              </w:rPr>
            </w:pPr>
            <w:r w:rsidRPr="004D4F38">
              <w:rPr>
                <w:rFonts w:ascii="Times New Roman" w:hAnsi="Times New Roman" w:cs="Times New Roman"/>
                <w:b/>
                <w:w w:val="105"/>
                <w:sz w:val="20"/>
              </w:rPr>
              <w:t>Musculoskeletal and connective tissue disorders</w:t>
            </w:r>
          </w:p>
        </w:tc>
      </w:tr>
      <w:tr w:rsidR="009D079D" w:rsidRPr="004D4F38"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9" w:line="208" w:lineRule="exact"/>
              <w:ind w:left="97"/>
              <w:rPr>
                <w:rFonts w:ascii="Times New Roman" w:hAnsi="Times New Roman" w:cs="Times New Roman"/>
                <w:i/>
                <w:sz w:val="20"/>
              </w:rPr>
            </w:pPr>
            <w:r w:rsidRPr="004D4F38">
              <w:rPr>
                <w:rFonts w:ascii="Times New Roman" w:hAnsi="Times New Roman" w:cs="Times New Roman"/>
                <w:i/>
                <w:w w:val="105"/>
                <w:sz w:val="20"/>
              </w:rPr>
              <w:t>Very common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line="217" w:lineRule="exact"/>
              <w:ind w:left="97"/>
              <w:rPr>
                <w:rFonts w:ascii="Times New Roman" w:hAnsi="Times New Roman" w:cs="Times New Roman"/>
                <w:sz w:val="13"/>
              </w:rPr>
            </w:pPr>
            <w:r w:rsidRPr="004D4F38">
              <w:rPr>
                <w:rFonts w:ascii="Times New Roman" w:hAnsi="Times New Roman" w:cs="Times New Roman"/>
                <w:sz w:val="20"/>
              </w:rPr>
              <w:t>musculoskeletal pain</w:t>
            </w:r>
            <w:r w:rsidRPr="004D4F38">
              <w:rPr>
                <w:rFonts w:ascii="Times New Roman" w:hAnsi="Times New Roman" w:cs="Times New Roman"/>
                <w:position w:val="9"/>
                <w:sz w:val="13"/>
              </w:rPr>
              <w:t>g</w:t>
            </w:r>
          </w:p>
        </w:tc>
      </w:tr>
      <w:tr w:rsidR="009D079D" w:rsidRPr="00F430C7"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9" w:line="208" w:lineRule="exact"/>
              <w:ind w:left="97"/>
              <w:rPr>
                <w:rFonts w:ascii="Times New Roman" w:hAnsi="Times New Roman" w:cs="Times New Roman"/>
                <w:i/>
                <w:sz w:val="20"/>
              </w:rPr>
            </w:pPr>
            <w:r w:rsidRPr="004D4F38">
              <w:rPr>
                <w:rFonts w:ascii="Times New Roman" w:hAnsi="Times New Roman" w:cs="Times New Roman"/>
                <w:i/>
                <w:w w:val="105"/>
                <w:sz w:val="20"/>
              </w:rPr>
              <w:t>Common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9" w:line="208" w:lineRule="exact"/>
              <w:ind w:left="96"/>
              <w:rPr>
                <w:rFonts w:ascii="Times New Roman" w:hAnsi="Times New Roman" w:cs="Times New Roman"/>
                <w:sz w:val="20"/>
              </w:rPr>
            </w:pPr>
            <w:r w:rsidRPr="004D4F38">
              <w:rPr>
                <w:rFonts w:ascii="Times New Roman" w:hAnsi="Times New Roman" w:cs="Times New Roman"/>
                <w:w w:val="105"/>
                <w:sz w:val="20"/>
              </w:rPr>
              <w:t>arthralgia, myalgia, muscular weakness, musculoskeletal stiffness, muscle spasm</w:t>
            </w:r>
          </w:p>
        </w:tc>
      </w:tr>
      <w:tr w:rsidR="009D079D" w:rsidRPr="00F430C7"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11" w:line="208" w:lineRule="exact"/>
              <w:ind w:left="97"/>
              <w:rPr>
                <w:rFonts w:ascii="Times New Roman" w:hAnsi="Times New Roman" w:cs="Times New Roman"/>
                <w:i/>
                <w:sz w:val="20"/>
              </w:rPr>
            </w:pPr>
            <w:r w:rsidRPr="004D4F38">
              <w:rPr>
                <w:rFonts w:ascii="Times New Roman" w:hAnsi="Times New Roman" w:cs="Times New Roman"/>
                <w:i/>
                <w:w w:val="105"/>
                <w:sz w:val="20"/>
              </w:rPr>
              <w:t>Uncommon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11" w:line="208" w:lineRule="exact"/>
              <w:ind w:left="96"/>
              <w:rPr>
                <w:rFonts w:ascii="Times New Roman" w:hAnsi="Times New Roman" w:cs="Times New Roman"/>
                <w:sz w:val="20"/>
              </w:rPr>
            </w:pPr>
            <w:r w:rsidRPr="004D4F38">
              <w:rPr>
                <w:rFonts w:ascii="Times New Roman" w:hAnsi="Times New Roman" w:cs="Times New Roman"/>
                <w:w w:val="105"/>
                <w:sz w:val="20"/>
              </w:rPr>
              <w:t>rhabdomyolysis, osteonecrosis, muscle inflammation, tendonitis, arthritis</w:t>
            </w:r>
          </w:p>
        </w:tc>
      </w:tr>
      <w:tr w:rsidR="009D079D" w:rsidRPr="00F430C7"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9" w:line="208" w:lineRule="exact"/>
              <w:ind w:left="97"/>
              <w:rPr>
                <w:rFonts w:ascii="Times New Roman" w:hAnsi="Times New Roman" w:cs="Times New Roman"/>
                <w:i/>
                <w:sz w:val="20"/>
              </w:rPr>
            </w:pPr>
            <w:r w:rsidRPr="004D4F38">
              <w:rPr>
                <w:rFonts w:ascii="Times New Roman" w:hAnsi="Times New Roman" w:cs="Times New Roman"/>
                <w:i/>
                <w:w w:val="105"/>
                <w:sz w:val="20"/>
              </w:rPr>
              <w:t>Rare</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line="217" w:lineRule="exact"/>
              <w:ind w:left="96"/>
              <w:rPr>
                <w:rFonts w:ascii="Times New Roman" w:hAnsi="Times New Roman" w:cs="Times New Roman"/>
                <w:sz w:val="13"/>
              </w:rPr>
            </w:pPr>
            <w:r w:rsidRPr="004D4F38">
              <w:rPr>
                <w:rFonts w:ascii="Times New Roman" w:hAnsi="Times New Roman" w:cs="Times New Roman"/>
                <w:w w:val="105"/>
                <w:sz w:val="20"/>
              </w:rPr>
              <w:t>epiphyses delayed fusion</w:t>
            </w:r>
            <w:r w:rsidRPr="004D4F38">
              <w:rPr>
                <w:rFonts w:ascii="Times New Roman" w:hAnsi="Times New Roman" w:cs="Times New Roman"/>
                <w:w w:val="105"/>
                <w:position w:val="9"/>
                <w:sz w:val="13"/>
              </w:rPr>
              <w:t>h</w:t>
            </w:r>
            <w:r w:rsidRPr="004D4F38">
              <w:rPr>
                <w:rFonts w:ascii="Times New Roman" w:hAnsi="Times New Roman" w:cs="Times New Roman"/>
                <w:w w:val="105"/>
                <w:sz w:val="20"/>
              </w:rPr>
              <w:t>,</w:t>
            </w:r>
            <w:r w:rsidRPr="004D4F38">
              <w:rPr>
                <w:rFonts w:ascii="Times New Roman" w:hAnsi="Times New Roman" w:cs="Times New Roman"/>
                <w:w w:val="105"/>
                <w:position w:val="9"/>
                <w:sz w:val="13"/>
              </w:rPr>
              <w:t xml:space="preserve"> </w:t>
            </w:r>
            <w:r w:rsidRPr="004D4F38">
              <w:rPr>
                <w:rFonts w:ascii="Times New Roman" w:hAnsi="Times New Roman" w:cs="Times New Roman"/>
                <w:w w:val="105"/>
                <w:sz w:val="20"/>
              </w:rPr>
              <w:t>growth retardation</w:t>
            </w:r>
            <w:r w:rsidRPr="004D4F38">
              <w:rPr>
                <w:rFonts w:ascii="Times New Roman" w:hAnsi="Times New Roman" w:cs="Times New Roman"/>
                <w:w w:val="105"/>
                <w:position w:val="9"/>
                <w:sz w:val="13"/>
              </w:rPr>
              <w:t>h</w:t>
            </w:r>
          </w:p>
        </w:tc>
      </w:tr>
      <w:tr w:rsidR="009D079D" w:rsidRPr="004D4F38" w:rsidTr="009D079D">
        <w:trPr>
          <w:trHeight w:val="220"/>
        </w:trPr>
        <w:tc>
          <w:tcPr>
            <w:tcW w:w="8899"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9D079D" w:rsidRPr="004D4F38" w:rsidRDefault="009D079D">
            <w:pPr>
              <w:pStyle w:val="TableParagraph"/>
              <w:spacing w:before="11" w:line="206" w:lineRule="exact"/>
              <w:ind w:left="97"/>
              <w:rPr>
                <w:rFonts w:ascii="Times New Roman" w:hAnsi="Times New Roman" w:cs="Times New Roman"/>
                <w:b/>
                <w:sz w:val="20"/>
              </w:rPr>
            </w:pPr>
            <w:r w:rsidRPr="004D4F38">
              <w:rPr>
                <w:rFonts w:ascii="Times New Roman" w:hAnsi="Times New Roman" w:cs="Times New Roman"/>
                <w:b/>
                <w:w w:val="105"/>
                <w:sz w:val="20"/>
              </w:rPr>
              <w:t>Renal and urinary disorders</w:t>
            </w:r>
          </w:p>
        </w:tc>
      </w:tr>
      <w:tr w:rsidR="009D079D" w:rsidRPr="00F430C7"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9" w:line="208" w:lineRule="exact"/>
              <w:ind w:left="97"/>
              <w:rPr>
                <w:rFonts w:ascii="Times New Roman" w:hAnsi="Times New Roman" w:cs="Times New Roman"/>
                <w:i/>
                <w:sz w:val="20"/>
              </w:rPr>
            </w:pPr>
            <w:r w:rsidRPr="004D4F38">
              <w:rPr>
                <w:rFonts w:ascii="Times New Roman" w:hAnsi="Times New Roman" w:cs="Times New Roman"/>
                <w:i/>
                <w:w w:val="105"/>
                <w:sz w:val="20"/>
              </w:rPr>
              <w:t>Uncommon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9" w:line="208" w:lineRule="exact"/>
              <w:ind w:left="96"/>
              <w:rPr>
                <w:rFonts w:ascii="Times New Roman" w:hAnsi="Times New Roman" w:cs="Times New Roman"/>
                <w:sz w:val="20"/>
              </w:rPr>
            </w:pPr>
            <w:r w:rsidRPr="004D4F38">
              <w:rPr>
                <w:rFonts w:ascii="Times New Roman" w:hAnsi="Times New Roman" w:cs="Times New Roman"/>
                <w:w w:val="105"/>
                <w:sz w:val="20"/>
              </w:rPr>
              <w:t>renal impairment (including renal failure), urinary frequency, proteinuria</w:t>
            </w:r>
          </w:p>
        </w:tc>
      </w:tr>
      <w:tr w:rsidR="009D079D" w:rsidRPr="004D4F38"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9" w:line="208" w:lineRule="exact"/>
              <w:ind w:left="97"/>
              <w:rPr>
                <w:rFonts w:ascii="Times New Roman" w:hAnsi="Times New Roman" w:cs="Times New Roman"/>
                <w:i/>
                <w:sz w:val="20"/>
              </w:rPr>
            </w:pPr>
            <w:r w:rsidRPr="004D4F38">
              <w:rPr>
                <w:rFonts w:ascii="Times New Roman" w:hAnsi="Times New Roman" w:cs="Times New Roman"/>
                <w:i/>
                <w:w w:val="105"/>
                <w:sz w:val="20"/>
              </w:rPr>
              <w:t>Not known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9" w:line="208" w:lineRule="exact"/>
              <w:ind w:left="96"/>
              <w:rPr>
                <w:rFonts w:ascii="Times New Roman" w:hAnsi="Times New Roman" w:cs="Times New Roman"/>
                <w:sz w:val="20"/>
              </w:rPr>
            </w:pPr>
            <w:r w:rsidRPr="004D4F38">
              <w:rPr>
                <w:rFonts w:ascii="Times New Roman" w:hAnsi="Times New Roman" w:cs="Times New Roman"/>
                <w:w w:val="105"/>
                <w:sz w:val="20"/>
              </w:rPr>
              <w:t>nephrotic syndrome</w:t>
            </w:r>
          </w:p>
        </w:tc>
      </w:tr>
      <w:tr w:rsidR="009D079D" w:rsidRPr="00F430C7" w:rsidTr="009D079D">
        <w:trPr>
          <w:trHeight w:val="240"/>
        </w:trPr>
        <w:tc>
          <w:tcPr>
            <w:tcW w:w="8899"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9D079D" w:rsidRPr="004D4F38" w:rsidRDefault="009D079D">
            <w:pPr>
              <w:pStyle w:val="TableParagraph"/>
              <w:spacing w:before="11" w:line="224" w:lineRule="exact"/>
              <w:ind w:left="97"/>
              <w:rPr>
                <w:rFonts w:ascii="Times New Roman" w:hAnsi="Times New Roman" w:cs="Times New Roman"/>
                <w:b/>
                <w:sz w:val="20"/>
              </w:rPr>
            </w:pPr>
            <w:r w:rsidRPr="004D4F38">
              <w:rPr>
                <w:rFonts w:ascii="Times New Roman" w:hAnsi="Times New Roman" w:cs="Times New Roman"/>
                <w:b/>
                <w:w w:val="105"/>
                <w:sz w:val="20"/>
              </w:rPr>
              <w:t>Pregnancy, puerperium and perinatal conditions</w:t>
            </w:r>
          </w:p>
        </w:tc>
      </w:tr>
      <w:tr w:rsidR="009D079D" w:rsidRPr="004D4F38"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10" w:line="208" w:lineRule="exact"/>
              <w:ind w:left="97"/>
              <w:rPr>
                <w:rFonts w:ascii="Times New Roman" w:hAnsi="Times New Roman" w:cs="Times New Roman"/>
                <w:i/>
                <w:sz w:val="20"/>
              </w:rPr>
            </w:pPr>
            <w:r w:rsidRPr="004D4F38">
              <w:rPr>
                <w:rFonts w:ascii="Times New Roman" w:hAnsi="Times New Roman" w:cs="Times New Roman"/>
                <w:i/>
                <w:w w:val="105"/>
                <w:sz w:val="20"/>
              </w:rPr>
              <w:t>Rare</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10" w:line="208" w:lineRule="exact"/>
              <w:ind w:left="96"/>
              <w:rPr>
                <w:rFonts w:ascii="Times New Roman" w:hAnsi="Times New Roman" w:cs="Times New Roman"/>
                <w:sz w:val="20"/>
              </w:rPr>
            </w:pPr>
            <w:r w:rsidRPr="004D4F38">
              <w:rPr>
                <w:rFonts w:ascii="Times New Roman" w:hAnsi="Times New Roman" w:cs="Times New Roman"/>
                <w:w w:val="105"/>
                <w:sz w:val="20"/>
              </w:rPr>
              <w:t>abortion</w:t>
            </w:r>
          </w:p>
        </w:tc>
      </w:tr>
      <w:tr w:rsidR="009D079D" w:rsidRPr="00F430C7" w:rsidTr="009D079D">
        <w:trPr>
          <w:trHeight w:val="220"/>
        </w:trPr>
        <w:tc>
          <w:tcPr>
            <w:tcW w:w="8899"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9D079D" w:rsidRPr="004D4F38" w:rsidRDefault="009D079D">
            <w:pPr>
              <w:pStyle w:val="TableParagraph"/>
              <w:spacing w:before="10" w:line="207" w:lineRule="exact"/>
              <w:ind w:left="97"/>
              <w:rPr>
                <w:rFonts w:ascii="Times New Roman" w:hAnsi="Times New Roman" w:cs="Times New Roman"/>
                <w:b/>
                <w:sz w:val="20"/>
              </w:rPr>
            </w:pPr>
            <w:r w:rsidRPr="004D4F38">
              <w:rPr>
                <w:rFonts w:ascii="Times New Roman" w:hAnsi="Times New Roman" w:cs="Times New Roman"/>
                <w:b/>
                <w:w w:val="105"/>
                <w:sz w:val="20"/>
              </w:rPr>
              <w:t>Reproductive system and breast disorders</w:t>
            </w:r>
          </w:p>
        </w:tc>
      </w:tr>
      <w:tr w:rsidR="009D079D" w:rsidRPr="004D4F38"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9" w:line="208" w:lineRule="exact"/>
              <w:ind w:left="97"/>
              <w:rPr>
                <w:rFonts w:ascii="Times New Roman" w:hAnsi="Times New Roman" w:cs="Times New Roman"/>
                <w:i/>
                <w:sz w:val="20"/>
              </w:rPr>
            </w:pPr>
            <w:r w:rsidRPr="004D4F38">
              <w:rPr>
                <w:rFonts w:ascii="Times New Roman" w:hAnsi="Times New Roman" w:cs="Times New Roman"/>
                <w:i/>
                <w:w w:val="105"/>
                <w:sz w:val="20"/>
              </w:rPr>
              <w:t>Uncommon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9" w:line="208" w:lineRule="exact"/>
              <w:ind w:left="96"/>
              <w:rPr>
                <w:rFonts w:ascii="Times New Roman" w:hAnsi="Times New Roman" w:cs="Times New Roman"/>
                <w:sz w:val="20"/>
              </w:rPr>
            </w:pPr>
            <w:r w:rsidRPr="004D4F38">
              <w:rPr>
                <w:rFonts w:ascii="Times New Roman" w:hAnsi="Times New Roman" w:cs="Times New Roman"/>
                <w:w w:val="105"/>
                <w:sz w:val="20"/>
              </w:rPr>
              <w:t>gynecomastia, menstrual disorder</w:t>
            </w:r>
          </w:p>
        </w:tc>
      </w:tr>
      <w:tr w:rsidR="009D079D" w:rsidRPr="00F430C7" w:rsidTr="009D079D">
        <w:trPr>
          <w:trHeight w:val="220"/>
        </w:trPr>
        <w:tc>
          <w:tcPr>
            <w:tcW w:w="8899"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9D079D" w:rsidRPr="004D4F38" w:rsidRDefault="009D079D">
            <w:pPr>
              <w:pStyle w:val="TableParagraph"/>
              <w:spacing w:before="10" w:line="207" w:lineRule="exact"/>
              <w:ind w:left="97"/>
              <w:rPr>
                <w:rFonts w:ascii="Times New Roman" w:hAnsi="Times New Roman" w:cs="Times New Roman"/>
                <w:b/>
                <w:sz w:val="20"/>
              </w:rPr>
            </w:pPr>
            <w:r w:rsidRPr="004D4F38">
              <w:rPr>
                <w:rFonts w:ascii="Times New Roman" w:hAnsi="Times New Roman" w:cs="Times New Roman"/>
                <w:b/>
                <w:w w:val="105"/>
                <w:sz w:val="20"/>
              </w:rPr>
              <w:t>General disorders and administration site conditions</w:t>
            </w:r>
          </w:p>
        </w:tc>
      </w:tr>
      <w:tr w:rsidR="009D079D" w:rsidRPr="00F430C7"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9" w:line="208" w:lineRule="exact"/>
              <w:ind w:left="97"/>
              <w:rPr>
                <w:rFonts w:ascii="Times New Roman" w:hAnsi="Times New Roman" w:cs="Times New Roman"/>
                <w:i/>
                <w:sz w:val="20"/>
              </w:rPr>
            </w:pPr>
            <w:r w:rsidRPr="004D4F38">
              <w:rPr>
                <w:rFonts w:ascii="Times New Roman" w:hAnsi="Times New Roman" w:cs="Times New Roman"/>
                <w:i/>
                <w:w w:val="105"/>
                <w:sz w:val="20"/>
              </w:rPr>
              <w:t>Very common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line="217" w:lineRule="exact"/>
              <w:ind w:left="97"/>
              <w:rPr>
                <w:rFonts w:ascii="Times New Roman" w:hAnsi="Times New Roman" w:cs="Times New Roman"/>
                <w:sz w:val="13"/>
                <w:lang w:val="fr-FR"/>
              </w:rPr>
            </w:pPr>
            <w:r w:rsidRPr="004D4F38">
              <w:rPr>
                <w:rFonts w:ascii="Times New Roman" w:hAnsi="Times New Roman" w:cs="Times New Roman"/>
                <w:w w:val="105"/>
                <w:sz w:val="20"/>
                <w:lang w:val="fr-FR"/>
              </w:rPr>
              <w:t>peripheral oedema</w:t>
            </w:r>
            <w:r w:rsidRPr="004D4F38">
              <w:rPr>
                <w:rFonts w:ascii="Times New Roman" w:hAnsi="Times New Roman" w:cs="Times New Roman"/>
                <w:w w:val="105"/>
                <w:position w:val="8"/>
                <w:sz w:val="13"/>
                <w:lang w:val="fr-FR"/>
              </w:rPr>
              <w:t>i</w:t>
            </w:r>
            <w:r w:rsidRPr="004D4F38">
              <w:rPr>
                <w:rFonts w:ascii="Times New Roman" w:hAnsi="Times New Roman" w:cs="Times New Roman"/>
                <w:w w:val="105"/>
                <w:sz w:val="20"/>
                <w:lang w:val="fr-FR"/>
              </w:rPr>
              <w:t>, fatigue, pyrexia, face oedema</w:t>
            </w:r>
            <w:r w:rsidRPr="004D4F38">
              <w:rPr>
                <w:rFonts w:ascii="Times New Roman" w:hAnsi="Times New Roman" w:cs="Times New Roman"/>
                <w:w w:val="105"/>
                <w:position w:val="8"/>
                <w:sz w:val="13"/>
                <w:lang w:val="fr-FR"/>
              </w:rPr>
              <w:t>j</w:t>
            </w:r>
          </w:p>
        </w:tc>
      </w:tr>
      <w:tr w:rsidR="009D079D" w:rsidRPr="00F430C7"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9" w:line="208" w:lineRule="exact"/>
              <w:ind w:left="97"/>
              <w:rPr>
                <w:rFonts w:ascii="Times New Roman" w:hAnsi="Times New Roman" w:cs="Times New Roman"/>
                <w:i/>
                <w:sz w:val="20"/>
              </w:rPr>
            </w:pPr>
            <w:r w:rsidRPr="004D4F38">
              <w:rPr>
                <w:rFonts w:ascii="Times New Roman" w:hAnsi="Times New Roman" w:cs="Times New Roman"/>
                <w:i/>
                <w:w w:val="105"/>
                <w:sz w:val="20"/>
              </w:rPr>
              <w:t>Common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line="217" w:lineRule="exact"/>
              <w:ind w:left="96"/>
              <w:rPr>
                <w:rFonts w:ascii="Times New Roman" w:hAnsi="Times New Roman" w:cs="Times New Roman"/>
                <w:sz w:val="20"/>
              </w:rPr>
            </w:pPr>
            <w:r w:rsidRPr="004D4F38">
              <w:rPr>
                <w:rFonts w:ascii="Times New Roman" w:hAnsi="Times New Roman" w:cs="Times New Roman"/>
                <w:w w:val="105"/>
                <w:sz w:val="20"/>
              </w:rPr>
              <w:t>asthenia, pain, chest pain, generalised oedema*</w:t>
            </w:r>
            <w:r w:rsidRPr="004D4F38">
              <w:rPr>
                <w:rFonts w:ascii="Times New Roman" w:hAnsi="Times New Roman" w:cs="Times New Roman"/>
                <w:w w:val="105"/>
                <w:position w:val="8"/>
                <w:sz w:val="13"/>
              </w:rPr>
              <w:t>k</w:t>
            </w:r>
            <w:r w:rsidRPr="004D4F38">
              <w:rPr>
                <w:rFonts w:ascii="Times New Roman" w:hAnsi="Times New Roman" w:cs="Times New Roman"/>
                <w:w w:val="105"/>
                <w:sz w:val="20"/>
              </w:rPr>
              <w:t>, chills</w:t>
            </w:r>
          </w:p>
        </w:tc>
      </w:tr>
      <w:tr w:rsidR="009D079D" w:rsidRPr="004D4F38"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9" w:line="208" w:lineRule="exact"/>
              <w:ind w:left="97"/>
              <w:rPr>
                <w:rFonts w:ascii="Times New Roman" w:hAnsi="Times New Roman" w:cs="Times New Roman"/>
                <w:i/>
                <w:sz w:val="20"/>
              </w:rPr>
            </w:pPr>
            <w:r w:rsidRPr="004D4F38">
              <w:rPr>
                <w:rFonts w:ascii="Times New Roman" w:hAnsi="Times New Roman" w:cs="Times New Roman"/>
                <w:i/>
                <w:w w:val="105"/>
                <w:sz w:val="20"/>
              </w:rPr>
              <w:t>Uncommon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line="217" w:lineRule="exact"/>
              <w:ind w:left="96"/>
              <w:rPr>
                <w:rFonts w:ascii="Times New Roman" w:hAnsi="Times New Roman" w:cs="Times New Roman"/>
                <w:sz w:val="13"/>
              </w:rPr>
            </w:pPr>
            <w:r w:rsidRPr="004D4F38">
              <w:rPr>
                <w:rFonts w:ascii="Times New Roman" w:hAnsi="Times New Roman" w:cs="Times New Roman"/>
                <w:w w:val="105"/>
                <w:sz w:val="20"/>
              </w:rPr>
              <w:t>malaise, other superficial oedema</w:t>
            </w:r>
            <w:r w:rsidRPr="004D4F38">
              <w:rPr>
                <w:rFonts w:ascii="Times New Roman" w:hAnsi="Times New Roman" w:cs="Times New Roman"/>
                <w:w w:val="105"/>
                <w:position w:val="8"/>
                <w:sz w:val="13"/>
              </w:rPr>
              <w:t>l</w:t>
            </w:r>
          </w:p>
        </w:tc>
      </w:tr>
      <w:tr w:rsidR="009D079D" w:rsidRPr="004D4F38"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10" w:line="208" w:lineRule="exact"/>
              <w:ind w:left="97"/>
              <w:rPr>
                <w:rFonts w:ascii="Times New Roman" w:hAnsi="Times New Roman" w:cs="Times New Roman"/>
                <w:i/>
                <w:sz w:val="20"/>
              </w:rPr>
            </w:pPr>
            <w:r w:rsidRPr="004D4F38">
              <w:rPr>
                <w:rFonts w:ascii="Times New Roman" w:hAnsi="Times New Roman" w:cs="Times New Roman"/>
                <w:i/>
                <w:w w:val="105"/>
                <w:sz w:val="20"/>
              </w:rPr>
              <w:t>Rare</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10" w:line="208" w:lineRule="exact"/>
              <w:ind w:left="96"/>
              <w:rPr>
                <w:rFonts w:ascii="Times New Roman" w:hAnsi="Times New Roman" w:cs="Times New Roman"/>
                <w:sz w:val="20"/>
              </w:rPr>
            </w:pPr>
            <w:r w:rsidRPr="004D4F38">
              <w:rPr>
                <w:rFonts w:ascii="Times New Roman" w:hAnsi="Times New Roman" w:cs="Times New Roman"/>
                <w:w w:val="105"/>
                <w:sz w:val="20"/>
              </w:rPr>
              <w:t>gait disturbance</w:t>
            </w:r>
          </w:p>
        </w:tc>
      </w:tr>
      <w:tr w:rsidR="009D079D" w:rsidRPr="004D4F38" w:rsidTr="009D079D">
        <w:trPr>
          <w:trHeight w:val="220"/>
        </w:trPr>
        <w:tc>
          <w:tcPr>
            <w:tcW w:w="8899"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9D079D" w:rsidRPr="004D4F38" w:rsidRDefault="009D079D">
            <w:pPr>
              <w:pStyle w:val="TableParagraph"/>
              <w:spacing w:before="10" w:line="207" w:lineRule="exact"/>
              <w:ind w:left="97"/>
              <w:rPr>
                <w:rFonts w:ascii="Times New Roman" w:hAnsi="Times New Roman" w:cs="Times New Roman"/>
                <w:b/>
                <w:sz w:val="20"/>
              </w:rPr>
            </w:pPr>
            <w:r w:rsidRPr="004D4F38">
              <w:rPr>
                <w:rFonts w:ascii="Times New Roman" w:hAnsi="Times New Roman" w:cs="Times New Roman"/>
                <w:b/>
                <w:w w:val="105"/>
                <w:sz w:val="20"/>
              </w:rPr>
              <w:t>Investigations</w:t>
            </w:r>
          </w:p>
        </w:tc>
      </w:tr>
      <w:tr w:rsidR="009D079D" w:rsidRPr="004D4F38"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9" w:line="208" w:lineRule="exact"/>
              <w:ind w:left="97"/>
              <w:rPr>
                <w:rFonts w:ascii="Times New Roman" w:hAnsi="Times New Roman" w:cs="Times New Roman"/>
                <w:i/>
                <w:sz w:val="20"/>
              </w:rPr>
            </w:pPr>
            <w:r w:rsidRPr="004D4F38">
              <w:rPr>
                <w:rFonts w:ascii="Times New Roman" w:hAnsi="Times New Roman" w:cs="Times New Roman"/>
                <w:i/>
                <w:w w:val="105"/>
                <w:sz w:val="20"/>
              </w:rPr>
              <w:t>Common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9" w:line="208" w:lineRule="exact"/>
              <w:ind w:left="96"/>
              <w:rPr>
                <w:rFonts w:ascii="Times New Roman" w:hAnsi="Times New Roman" w:cs="Times New Roman"/>
                <w:sz w:val="20"/>
              </w:rPr>
            </w:pPr>
            <w:r w:rsidRPr="004D4F38">
              <w:rPr>
                <w:rFonts w:ascii="Times New Roman" w:hAnsi="Times New Roman" w:cs="Times New Roman"/>
                <w:w w:val="105"/>
                <w:sz w:val="20"/>
              </w:rPr>
              <w:t>weight decreased, weight increased</w:t>
            </w:r>
          </w:p>
        </w:tc>
      </w:tr>
      <w:tr w:rsidR="009D079D" w:rsidRPr="00F430C7"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9" w:line="208" w:lineRule="exact"/>
              <w:ind w:left="97"/>
              <w:rPr>
                <w:rFonts w:ascii="Times New Roman" w:hAnsi="Times New Roman" w:cs="Times New Roman"/>
                <w:i/>
                <w:sz w:val="20"/>
              </w:rPr>
            </w:pPr>
            <w:r w:rsidRPr="004D4F38">
              <w:rPr>
                <w:rFonts w:ascii="Times New Roman" w:hAnsi="Times New Roman" w:cs="Times New Roman"/>
                <w:i/>
                <w:w w:val="105"/>
                <w:sz w:val="20"/>
              </w:rPr>
              <w:t>Uncommon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9" w:line="208" w:lineRule="exact"/>
              <w:ind w:left="96"/>
              <w:rPr>
                <w:rFonts w:ascii="Times New Roman" w:hAnsi="Times New Roman" w:cs="Times New Roman"/>
                <w:sz w:val="20"/>
              </w:rPr>
            </w:pPr>
            <w:r w:rsidRPr="004D4F38">
              <w:rPr>
                <w:rFonts w:ascii="Times New Roman" w:hAnsi="Times New Roman" w:cs="Times New Roman"/>
                <w:w w:val="105"/>
                <w:sz w:val="20"/>
              </w:rPr>
              <w:t>blood creatine phosphokinase increased, gamma-glutamyltransferase increased</w:t>
            </w:r>
          </w:p>
        </w:tc>
      </w:tr>
      <w:tr w:rsidR="009D079D" w:rsidRPr="00F430C7" w:rsidTr="009D079D">
        <w:trPr>
          <w:trHeight w:val="220"/>
        </w:trPr>
        <w:tc>
          <w:tcPr>
            <w:tcW w:w="8899"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9D079D" w:rsidRPr="004D4F38" w:rsidRDefault="009D079D">
            <w:pPr>
              <w:pStyle w:val="TableParagraph"/>
              <w:spacing w:before="10" w:line="207" w:lineRule="exact"/>
              <w:ind w:left="97"/>
              <w:rPr>
                <w:rFonts w:ascii="Times New Roman" w:hAnsi="Times New Roman" w:cs="Times New Roman"/>
                <w:b/>
                <w:sz w:val="20"/>
              </w:rPr>
            </w:pPr>
            <w:r w:rsidRPr="004D4F38">
              <w:rPr>
                <w:rFonts w:ascii="Times New Roman" w:hAnsi="Times New Roman" w:cs="Times New Roman"/>
                <w:b/>
                <w:w w:val="105"/>
                <w:sz w:val="20"/>
              </w:rPr>
              <w:t>Injury, poisoning, and procedural complications</w:t>
            </w:r>
          </w:p>
        </w:tc>
      </w:tr>
      <w:tr w:rsidR="009D079D" w:rsidRPr="004D4F38" w:rsidTr="009D079D">
        <w:trPr>
          <w:trHeight w:val="220"/>
        </w:trPr>
        <w:tc>
          <w:tcPr>
            <w:tcW w:w="1550"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9" w:line="209" w:lineRule="exact"/>
              <w:ind w:left="97"/>
              <w:rPr>
                <w:rFonts w:ascii="Times New Roman" w:hAnsi="Times New Roman" w:cs="Times New Roman"/>
                <w:i/>
                <w:sz w:val="20"/>
              </w:rPr>
            </w:pPr>
            <w:r w:rsidRPr="004D4F38">
              <w:rPr>
                <w:rFonts w:ascii="Times New Roman" w:hAnsi="Times New Roman" w:cs="Times New Roman"/>
                <w:i/>
                <w:w w:val="105"/>
                <w:sz w:val="20"/>
              </w:rPr>
              <w:t>Common</w:t>
            </w:r>
          </w:p>
        </w:tc>
        <w:tc>
          <w:tcPr>
            <w:tcW w:w="7349" w:type="dxa"/>
            <w:tcBorders>
              <w:top w:val="single" w:sz="4" w:space="0" w:color="000000"/>
              <w:left w:val="single" w:sz="4" w:space="0" w:color="000000"/>
              <w:bottom w:val="single" w:sz="4" w:space="0" w:color="000000"/>
              <w:right w:val="single" w:sz="4" w:space="0" w:color="000000"/>
            </w:tcBorders>
            <w:hideMark/>
          </w:tcPr>
          <w:p w:rsidR="009D079D" w:rsidRPr="004D4F38" w:rsidRDefault="009D079D">
            <w:pPr>
              <w:pStyle w:val="TableParagraph"/>
              <w:spacing w:before="9" w:line="209" w:lineRule="exact"/>
              <w:ind w:left="96"/>
              <w:rPr>
                <w:rFonts w:ascii="Times New Roman" w:hAnsi="Times New Roman" w:cs="Times New Roman"/>
                <w:sz w:val="20"/>
              </w:rPr>
            </w:pPr>
            <w:r w:rsidRPr="004D4F38">
              <w:rPr>
                <w:rFonts w:ascii="Times New Roman" w:hAnsi="Times New Roman" w:cs="Times New Roman"/>
                <w:w w:val="105"/>
                <w:sz w:val="20"/>
              </w:rPr>
              <w:t>contusion</w:t>
            </w:r>
          </w:p>
        </w:tc>
      </w:tr>
    </w:tbl>
    <w:p w:rsidR="009D079D" w:rsidRPr="004D4F38" w:rsidRDefault="009D079D" w:rsidP="009D079D">
      <w:pPr>
        <w:spacing w:line="195" w:lineRule="exact"/>
        <w:rPr>
          <w:sz w:val="17"/>
          <w:szCs w:val="22"/>
          <w:lang w:val="en-US" w:eastAsia="en-US"/>
        </w:rPr>
      </w:pPr>
      <w:r w:rsidRPr="004D4F38">
        <w:rPr>
          <w:position w:val="6"/>
          <w:sz w:val="11"/>
          <w:lang w:val="en-US"/>
        </w:rPr>
        <w:t xml:space="preserve">a  </w:t>
      </w:r>
      <w:r w:rsidRPr="004D4F38">
        <w:rPr>
          <w:sz w:val="17"/>
          <w:lang w:val="en-US"/>
        </w:rPr>
        <w:t>Includes decreased appetite, early satiety, increased appetite.</w:t>
      </w:r>
    </w:p>
    <w:p w:rsidR="009D079D" w:rsidRPr="004D4F38" w:rsidRDefault="009D079D" w:rsidP="009D079D">
      <w:pPr>
        <w:spacing w:line="235" w:lineRule="auto"/>
        <w:ind w:right="508"/>
        <w:rPr>
          <w:sz w:val="17"/>
          <w:lang w:val="en-US"/>
        </w:rPr>
      </w:pPr>
      <w:r w:rsidRPr="004D4F38">
        <w:rPr>
          <w:position w:val="6"/>
          <w:sz w:val="11"/>
          <w:lang w:val="en-US"/>
        </w:rPr>
        <w:t xml:space="preserve">b  </w:t>
      </w:r>
      <w:r w:rsidRPr="004D4F38">
        <w:rPr>
          <w:sz w:val="17"/>
          <w:lang w:val="en-US"/>
        </w:rPr>
        <w:t>Includes central nervous system haemorrhage, cerebral haematoma, cerebral haemorrhage, extradural haematoma, haemorrhage intracranial, haemorrhagic stroke, subarachnoid haemorrhage, subdural haematoma, and subdural haemorrhage.</w:t>
      </w:r>
    </w:p>
    <w:p w:rsidR="009D079D" w:rsidRPr="004D4F38" w:rsidRDefault="009D079D" w:rsidP="009D079D">
      <w:pPr>
        <w:spacing w:line="235" w:lineRule="auto"/>
        <w:ind w:right="508"/>
        <w:rPr>
          <w:sz w:val="17"/>
          <w:lang w:val="en-US"/>
        </w:rPr>
      </w:pPr>
      <w:r w:rsidRPr="004D4F38">
        <w:rPr>
          <w:position w:val="6"/>
          <w:sz w:val="11"/>
          <w:lang w:val="en-US"/>
        </w:rPr>
        <w:t xml:space="preserve">c </w:t>
      </w:r>
      <w:r w:rsidRPr="004D4F38">
        <w:rPr>
          <w:sz w:val="17"/>
          <w:lang w:val="en-US"/>
        </w:rPr>
        <w:t>Includes brain natriuretic peptide increased, ventricular dysfunction, left ventricular dysfunction, right ventricular dysfunction, cardiac failure, cardiac failure acute, cardiac failure chronic, cardiac failure congestive, cardiomyopathy, congestive cardiomyopathy, diastolic dysfunction, ejection fraction decreased and ventricular failure, left ventricular failure, right ventricular failure, and ventricular hypokinesia.</w:t>
      </w:r>
    </w:p>
    <w:p w:rsidR="009D079D" w:rsidRPr="004D4F38" w:rsidRDefault="009D079D" w:rsidP="009D079D">
      <w:pPr>
        <w:spacing w:line="235" w:lineRule="auto"/>
        <w:ind w:right="903"/>
        <w:rPr>
          <w:sz w:val="17"/>
          <w:lang w:val="en-US"/>
        </w:rPr>
      </w:pPr>
      <w:r w:rsidRPr="004D4F38">
        <w:rPr>
          <w:position w:val="6"/>
          <w:sz w:val="11"/>
          <w:lang w:val="en-US"/>
        </w:rPr>
        <w:t xml:space="preserve">d </w:t>
      </w:r>
      <w:r w:rsidRPr="004D4F38">
        <w:rPr>
          <w:sz w:val="17"/>
          <w:lang w:val="en-US"/>
        </w:rPr>
        <w:t>Excludes gastrointestinal bleeding and CNS bleeding; these adverse reactions are reported under the gastrointestinal disorders system organ class and the nervous system disorders system organ class, respectively.</w:t>
      </w:r>
    </w:p>
    <w:p w:rsidR="009D079D" w:rsidRPr="004D4F38" w:rsidRDefault="009D079D" w:rsidP="009D079D">
      <w:pPr>
        <w:spacing w:line="235" w:lineRule="auto"/>
        <w:ind w:right="903"/>
        <w:rPr>
          <w:sz w:val="17"/>
          <w:lang w:val="en-US"/>
        </w:rPr>
      </w:pPr>
      <w:r w:rsidRPr="004D4F38">
        <w:rPr>
          <w:position w:val="6"/>
          <w:sz w:val="11"/>
          <w:lang w:val="en-US"/>
        </w:rPr>
        <w:t xml:space="preserve">e </w:t>
      </w:r>
      <w:r w:rsidRPr="004D4F38">
        <w:rPr>
          <w:sz w:val="17"/>
          <w:lang w:val="en-US"/>
        </w:rPr>
        <w:t>Includes drug eruption, erythema, erythema multiforme, erythrosis, exfoliative rash, generalised erythema, genital rash, heat rash, milia, miliaria, pustular psoriaisis, rash, rash erythematous, rash follicular, rash generalised, rash macular, rash maculo-papular, rash papular, rash pruritic, rash pustular, rash vesicular, skin exfoliation, skin irritation, toxic skin eruption, urticaria vesiculosa, and vasculitic rash.</w:t>
      </w:r>
    </w:p>
    <w:p w:rsidR="009D079D" w:rsidRPr="004D4F38" w:rsidRDefault="009D079D" w:rsidP="009D079D">
      <w:pPr>
        <w:spacing w:line="235" w:lineRule="auto"/>
        <w:ind w:right="903"/>
        <w:rPr>
          <w:sz w:val="17"/>
          <w:lang w:val="en-US"/>
        </w:rPr>
      </w:pPr>
      <w:r w:rsidRPr="004D4F38">
        <w:rPr>
          <w:position w:val="6"/>
          <w:sz w:val="11"/>
          <w:lang w:val="en-US"/>
        </w:rPr>
        <w:t xml:space="preserve">f </w:t>
      </w:r>
      <w:r w:rsidRPr="004D4F38">
        <w:rPr>
          <w:sz w:val="17"/>
          <w:lang w:val="en-US"/>
        </w:rPr>
        <w:t xml:space="preserve">In the post-marketing setting, individual cases of Stevens-Johnson syndrome have been reported. It could not be determined whether these mucocutaneous adverse reactions were directly related to </w:t>
      </w:r>
      <w:r w:rsidRPr="004D4F38">
        <w:rPr>
          <w:sz w:val="18"/>
          <w:lang w:val="en-US"/>
        </w:rPr>
        <w:t>dasatinib</w:t>
      </w:r>
      <w:r w:rsidRPr="004D4F38">
        <w:rPr>
          <w:sz w:val="17"/>
          <w:lang w:val="en-US"/>
        </w:rPr>
        <w:t xml:space="preserve"> or to concomitant medicinal product.</w:t>
      </w:r>
    </w:p>
    <w:p w:rsidR="009D079D" w:rsidRPr="004D4F38" w:rsidRDefault="009D079D" w:rsidP="009D079D">
      <w:pPr>
        <w:spacing w:line="193" w:lineRule="exact"/>
        <w:rPr>
          <w:sz w:val="17"/>
          <w:lang w:val="en-US"/>
        </w:rPr>
      </w:pPr>
      <w:r w:rsidRPr="004D4F38">
        <w:rPr>
          <w:position w:val="6"/>
          <w:sz w:val="11"/>
          <w:lang w:val="en-US"/>
        </w:rPr>
        <w:t xml:space="preserve">g   </w:t>
      </w:r>
      <w:r w:rsidRPr="004D4F38">
        <w:rPr>
          <w:sz w:val="17"/>
          <w:lang w:val="en-US"/>
        </w:rPr>
        <w:t>Musculoskeletal pain reported during or after discontinuing treatment.</w:t>
      </w:r>
    </w:p>
    <w:p w:rsidR="009D079D" w:rsidRPr="004D4F38" w:rsidRDefault="009D079D" w:rsidP="009D079D">
      <w:pPr>
        <w:spacing w:line="195" w:lineRule="exact"/>
        <w:rPr>
          <w:sz w:val="17"/>
          <w:lang w:val="en-US"/>
        </w:rPr>
      </w:pPr>
      <w:r w:rsidRPr="004D4F38">
        <w:rPr>
          <w:position w:val="6"/>
          <w:sz w:val="11"/>
          <w:lang w:val="en-US"/>
        </w:rPr>
        <w:t xml:space="preserve">h   </w:t>
      </w:r>
      <w:r w:rsidRPr="004D4F38">
        <w:rPr>
          <w:sz w:val="17"/>
          <w:lang w:val="en-US"/>
        </w:rPr>
        <w:t>Frequency reported as common in paediatric studies.</w:t>
      </w:r>
    </w:p>
    <w:p w:rsidR="009D079D" w:rsidRPr="004D4F38" w:rsidRDefault="009D079D" w:rsidP="009D079D">
      <w:pPr>
        <w:ind w:right="508"/>
        <w:rPr>
          <w:sz w:val="17"/>
          <w:lang w:val="en-US"/>
        </w:rPr>
      </w:pPr>
      <w:r w:rsidRPr="004D4F38">
        <w:rPr>
          <w:position w:val="6"/>
          <w:sz w:val="11"/>
          <w:lang w:val="en-US"/>
        </w:rPr>
        <w:t xml:space="preserve">i    </w:t>
      </w:r>
      <w:r w:rsidRPr="004D4F38">
        <w:rPr>
          <w:sz w:val="17"/>
          <w:lang w:val="en-US"/>
        </w:rPr>
        <w:t>Gravitational oedema, localised oedema, oedema peripheral.</w:t>
      </w:r>
    </w:p>
    <w:p w:rsidR="009D079D" w:rsidRPr="004D4F38" w:rsidRDefault="009D079D" w:rsidP="009D079D">
      <w:pPr>
        <w:ind w:right="508"/>
        <w:rPr>
          <w:sz w:val="17"/>
          <w:lang w:val="en-US"/>
        </w:rPr>
      </w:pPr>
      <w:r w:rsidRPr="004D4F38">
        <w:rPr>
          <w:position w:val="6"/>
          <w:sz w:val="11"/>
          <w:lang w:val="en-US"/>
        </w:rPr>
        <w:t xml:space="preserve">j </w:t>
      </w:r>
      <w:r w:rsidRPr="004D4F38">
        <w:rPr>
          <w:sz w:val="17"/>
          <w:lang w:val="en-US"/>
        </w:rPr>
        <w:t>Conjunctival oedema, eye oedema, eye swelling, eyelid oedema, face oedema, lip oedema, macular oedema, oedema mouth, orbital oedema, periorbital oedema, swelling face.</w:t>
      </w:r>
    </w:p>
    <w:p w:rsidR="009D079D" w:rsidRPr="004D4F38" w:rsidRDefault="009D079D" w:rsidP="009D079D">
      <w:pPr>
        <w:ind w:right="508"/>
        <w:rPr>
          <w:sz w:val="17"/>
          <w:lang w:val="en-US"/>
        </w:rPr>
      </w:pPr>
      <w:r w:rsidRPr="004D4F38">
        <w:rPr>
          <w:position w:val="6"/>
          <w:sz w:val="11"/>
          <w:lang w:val="en-US"/>
        </w:rPr>
        <w:t xml:space="preserve">k </w:t>
      </w:r>
      <w:r w:rsidRPr="004D4F38">
        <w:rPr>
          <w:sz w:val="17"/>
          <w:lang w:val="en-US"/>
        </w:rPr>
        <w:t>Fluid overload, fluid retention, gastrointestinal oedema, generalised oedema, peripheral swelling, oedema, oedema due to cardiac disease, perinephric effusion, post procedural oedema, visceral oedema.</w:t>
      </w:r>
    </w:p>
    <w:p w:rsidR="009D079D" w:rsidRPr="004D4F38" w:rsidRDefault="009D079D" w:rsidP="009D079D">
      <w:pPr>
        <w:spacing w:line="235" w:lineRule="auto"/>
        <w:ind w:right="508"/>
        <w:rPr>
          <w:sz w:val="17"/>
          <w:lang w:val="en-US"/>
        </w:rPr>
      </w:pPr>
      <w:r w:rsidRPr="004D4F38">
        <w:rPr>
          <w:position w:val="6"/>
          <w:sz w:val="11"/>
          <w:lang w:val="en-US"/>
        </w:rPr>
        <w:lastRenderedPageBreak/>
        <w:t xml:space="preserve">l </w:t>
      </w:r>
      <w:r w:rsidRPr="004D4F38">
        <w:rPr>
          <w:sz w:val="17"/>
          <w:lang w:val="en-US"/>
        </w:rPr>
        <w:t>Genital swelling, incision site oedema, oedema genital, penile oedema, penile swelling, scrotal oedema, skin swelling, testicular swelling, vulvovaginal swelling.</w:t>
      </w:r>
    </w:p>
    <w:p w:rsidR="009D079D" w:rsidRPr="004D4F38" w:rsidRDefault="009D079D" w:rsidP="009D079D">
      <w:pPr>
        <w:spacing w:line="194" w:lineRule="exact"/>
        <w:rPr>
          <w:sz w:val="17"/>
          <w:lang w:val="en-US"/>
        </w:rPr>
      </w:pPr>
      <w:r w:rsidRPr="004D4F38">
        <w:rPr>
          <w:sz w:val="17"/>
          <w:lang w:val="en-US"/>
        </w:rPr>
        <w:t>*  For additional details, see section “Description of selected adverse reactions”</w:t>
      </w:r>
    </w:p>
    <w:p w:rsidR="009D079D" w:rsidRPr="004D4F38" w:rsidRDefault="009D079D" w:rsidP="007A4CC6">
      <w:pPr>
        <w:tabs>
          <w:tab w:val="left" w:pos="851"/>
        </w:tabs>
        <w:ind w:left="851"/>
        <w:rPr>
          <w:sz w:val="24"/>
          <w:szCs w:val="24"/>
          <w:lang w:val="en-US"/>
        </w:rPr>
      </w:pPr>
    </w:p>
    <w:p w:rsidR="004D4F38" w:rsidRPr="004D4F38" w:rsidRDefault="004D4F38" w:rsidP="004D4F38">
      <w:pPr>
        <w:tabs>
          <w:tab w:val="left" w:pos="851"/>
        </w:tabs>
        <w:ind w:left="851"/>
        <w:rPr>
          <w:sz w:val="24"/>
          <w:szCs w:val="24"/>
          <w:lang w:val="en-US"/>
        </w:rPr>
      </w:pPr>
      <w:r w:rsidRPr="004D4F38">
        <w:rPr>
          <w:sz w:val="24"/>
          <w:szCs w:val="24"/>
          <w:u w:val="single"/>
          <w:lang w:val="en-US"/>
        </w:rPr>
        <w:t>Description of selected adverse reactions</w:t>
      </w:r>
    </w:p>
    <w:p w:rsidR="004D4F38" w:rsidRPr="004D4F38" w:rsidRDefault="004D4F38" w:rsidP="004D4F38">
      <w:pPr>
        <w:tabs>
          <w:tab w:val="left" w:pos="851"/>
        </w:tabs>
        <w:ind w:left="851"/>
        <w:rPr>
          <w:i/>
          <w:sz w:val="24"/>
          <w:szCs w:val="24"/>
          <w:u w:val="single"/>
          <w:lang w:val="en-US"/>
        </w:rPr>
      </w:pPr>
    </w:p>
    <w:p w:rsidR="004D4F38" w:rsidRPr="004D4F38" w:rsidRDefault="004D4F38" w:rsidP="004D4F38">
      <w:pPr>
        <w:tabs>
          <w:tab w:val="left" w:pos="851"/>
        </w:tabs>
        <w:ind w:left="851"/>
        <w:rPr>
          <w:i/>
          <w:sz w:val="24"/>
          <w:szCs w:val="24"/>
          <w:lang w:val="en-US"/>
        </w:rPr>
      </w:pPr>
      <w:r w:rsidRPr="004D4F38">
        <w:rPr>
          <w:i/>
          <w:sz w:val="24"/>
          <w:szCs w:val="24"/>
          <w:u w:val="single"/>
          <w:lang w:val="en-US"/>
        </w:rPr>
        <w:t>Myelosuppression</w:t>
      </w:r>
    </w:p>
    <w:p w:rsidR="004D4F38" w:rsidRPr="004D4F38" w:rsidRDefault="004D4F38" w:rsidP="004D4F38">
      <w:pPr>
        <w:tabs>
          <w:tab w:val="left" w:pos="851"/>
        </w:tabs>
        <w:ind w:left="851"/>
        <w:rPr>
          <w:sz w:val="24"/>
          <w:szCs w:val="24"/>
          <w:lang w:val="en-US"/>
        </w:rPr>
      </w:pPr>
      <w:r w:rsidRPr="004D4F38">
        <w:rPr>
          <w:sz w:val="24"/>
          <w:szCs w:val="24"/>
          <w:lang w:val="en-US"/>
        </w:rPr>
        <w:t>Treatment with dasatinib is associated with anaemia, neutropaenia and thrombocytopaenia. Their occurrence is earlier and more frequent in patients with advanced phase CML or Ph+ ALL than in chronic phase CML (see section 4.4).</w:t>
      </w:r>
    </w:p>
    <w:p w:rsidR="004D4F38" w:rsidRPr="004D4F38" w:rsidRDefault="004D4F38" w:rsidP="004D4F38">
      <w:pPr>
        <w:tabs>
          <w:tab w:val="left" w:pos="851"/>
        </w:tabs>
        <w:ind w:left="851"/>
        <w:rPr>
          <w:sz w:val="24"/>
          <w:szCs w:val="24"/>
          <w:lang w:val="en-US"/>
        </w:rPr>
      </w:pPr>
    </w:p>
    <w:p w:rsidR="004D4F38" w:rsidRPr="004D4F38" w:rsidRDefault="004D4F38" w:rsidP="004D4F38">
      <w:pPr>
        <w:tabs>
          <w:tab w:val="left" w:pos="851"/>
        </w:tabs>
        <w:ind w:left="851"/>
        <w:rPr>
          <w:i/>
          <w:sz w:val="24"/>
          <w:szCs w:val="24"/>
          <w:lang w:val="en-US"/>
        </w:rPr>
      </w:pPr>
      <w:r w:rsidRPr="004D4F38">
        <w:rPr>
          <w:i/>
          <w:sz w:val="24"/>
          <w:szCs w:val="24"/>
          <w:u w:val="single"/>
          <w:lang w:val="en-US"/>
        </w:rPr>
        <w:t>Bleeding</w:t>
      </w:r>
    </w:p>
    <w:p w:rsidR="004D4F38" w:rsidRDefault="004D4F38" w:rsidP="004D4F38">
      <w:pPr>
        <w:tabs>
          <w:tab w:val="left" w:pos="851"/>
        </w:tabs>
        <w:ind w:left="851"/>
        <w:rPr>
          <w:sz w:val="24"/>
          <w:szCs w:val="24"/>
          <w:lang w:val="en-US"/>
        </w:rPr>
      </w:pPr>
      <w:r w:rsidRPr="004D4F38">
        <w:rPr>
          <w:sz w:val="24"/>
          <w:szCs w:val="24"/>
          <w:lang w:val="en-US"/>
        </w:rPr>
        <w:t>Bleeding drug-related adverse reactions, ranging from petechiae and epistaxis to grade 3 or 4 gastrointestinal haemorrhage and CNS bleeding, were reported in patients taking dasatinib (see section 4.4).</w:t>
      </w:r>
    </w:p>
    <w:p w:rsidR="000E0BC4" w:rsidRPr="004D4F38" w:rsidRDefault="000E0BC4" w:rsidP="004D4F38">
      <w:pPr>
        <w:tabs>
          <w:tab w:val="left" w:pos="851"/>
        </w:tabs>
        <w:ind w:left="851"/>
        <w:rPr>
          <w:sz w:val="24"/>
          <w:szCs w:val="24"/>
          <w:lang w:val="en-US"/>
        </w:rPr>
      </w:pPr>
    </w:p>
    <w:p w:rsidR="004D4F38" w:rsidRPr="004D4F38" w:rsidRDefault="004D4F38" w:rsidP="004D4F38">
      <w:pPr>
        <w:tabs>
          <w:tab w:val="left" w:pos="851"/>
        </w:tabs>
        <w:ind w:left="851"/>
        <w:rPr>
          <w:i/>
          <w:sz w:val="24"/>
          <w:szCs w:val="24"/>
          <w:lang w:val="en-US"/>
        </w:rPr>
      </w:pPr>
      <w:r w:rsidRPr="004D4F38">
        <w:rPr>
          <w:i/>
          <w:sz w:val="24"/>
          <w:szCs w:val="24"/>
          <w:u w:val="single"/>
          <w:lang w:val="en-US"/>
        </w:rPr>
        <w:t>Fluid retention</w:t>
      </w:r>
    </w:p>
    <w:p w:rsidR="004D4F38" w:rsidRPr="004D4F38" w:rsidRDefault="004D4F38" w:rsidP="004D4F38">
      <w:pPr>
        <w:tabs>
          <w:tab w:val="left" w:pos="851"/>
        </w:tabs>
        <w:ind w:left="851"/>
        <w:rPr>
          <w:sz w:val="24"/>
          <w:szCs w:val="24"/>
          <w:lang w:val="en-US"/>
        </w:rPr>
      </w:pPr>
      <w:r w:rsidRPr="004D4F38">
        <w:rPr>
          <w:sz w:val="24"/>
          <w:szCs w:val="24"/>
          <w:lang w:val="en-US"/>
        </w:rPr>
        <w:t>Miscellaneous adverse reactions such as pleural effusion, ascites, pulmonary oedema and pericardial effusion with or without superficial oedema may be collectively described as “fluid retention”. In the newly diagnosed chronic phase CML study after a minimum of 60 months follow-up, dasatinib-related fluid retention adverse reactions included pleural effusion (28%), superficial oedema (14%), pulmonary hypertension (5%), generalised oedema (4%), and pericardial effusion (4%). Congestive heart failure/cardiac dysfunction and pulmonary oedema were reported in &lt; 2% of patients.</w:t>
      </w:r>
    </w:p>
    <w:p w:rsidR="004D4F38" w:rsidRPr="004D4F38" w:rsidRDefault="004D4F38" w:rsidP="004D4F38">
      <w:pPr>
        <w:tabs>
          <w:tab w:val="left" w:pos="851"/>
        </w:tabs>
        <w:ind w:left="851"/>
        <w:rPr>
          <w:sz w:val="24"/>
          <w:szCs w:val="24"/>
          <w:lang w:val="en-US"/>
        </w:rPr>
      </w:pPr>
      <w:r w:rsidRPr="004D4F38">
        <w:rPr>
          <w:sz w:val="24"/>
          <w:szCs w:val="24"/>
          <w:lang w:val="en-US"/>
        </w:rPr>
        <w:t>The cumulative rate of dasatinib-related pleural effusion (all grades) over time was 10% at 12 months, 14% at 24 months, 19% at 36 months, 24% at 48 months and 28% at 60 months. A total of</w:t>
      </w:r>
      <w:r w:rsidR="000E0BC4">
        <w:rPr>
          <w:sz w:val="24"/>
          <w:szCs w:val="24"/>
          <w:lang w:val="en-US"/>
        </w:rPr>
        <w:t xml:space="preserve"> </w:t>
      </w:r>
      <w:r w:rsidRPr="004D4F38">
        <w:rPr>
          <w:sz w:val="24"/>
          <w:szCs w:val="24"/>
          <w:lang w:val="en-US"/>
        </w:rPr>
        <w:t>46 dasatinib-treated patients had recurrent pleural effusions. Seventeen patients had 2 separate adverse reactions, 6 had 3 adverse reactions, 18 had 4 to 8 adverse reactions and 5 had &gt; 8 episodes of pleural effusions.</w:t>
      </w:r>
    </w:p>
    <w:p w:rsidR="004D4F38" w:rsidRPr="004D4F38" w:rsidRDefault="004D4F38" w:rsidP="004D4F38">
      <w:pPr>
        <w:tabs>
          <w:tab w:val="left" w:pos="851"/>
        </w:tabs>
        <w:ind w:left="851"/>
        <w:rPr>
          <w:sz w:val="24"/>
          <w:szCs w:val="24"/>
          <w:lang w:val="en-US"/>
        </w:rPr>
      </w:pPr>
      <w:r w:rsidRPr="004D4F38">
        <w:rPr>
          <w:sz w:val="24"/>
          <w:szCs w:val="24"/>
          <w:lang w:val="en-US"/>
        </w:rPr>
        <w:t>The median time to first dasatinib-related grade 1 or 2 pleural effusion was 114 weeks (range: 4 to 299 weeks). Less than 10% of patients with pleural effusion had severe (grade 3 or 4) dasatinib-related pleural effusions. The median time to first occurrence of grade ≥ 3 dasatinib-related pleural effusion was 175 weeks (range: 114 to 274 weeks). The median duration of dasatinib-related pleural effusion (all grades) was 283 days (~40 weeks).</w:t>
      </w:r>
    </w:p>
    <w:p w:rsidR="004D4F38" w:rsidRPr="004D4F38" w:rsidRDefault="004D4F38" w:rsidP="004D4F38">
      <w:pPr>
        <w:tabs>
          <w:tab w:val="left" w:pos="851"/>
        </w:tabs>
        <w:ind w:left="851"/>
        <w:rPr>
          <w:sz w:val="24"/>
          <w:szCs w:val="24"/>
          <w:lang w:val="en-US"/>
        </w:rPr>
      </w:pPr>
      <w:r w:rsidRPr="004D4F38">
        <w:rPr>
          <w:sz w:val="24"/>
          <w:szCs w:val="24"/>
          <w:lang w:val="en-US"/>
        </w:rPr>
        <w:t>Pleural effusion was usually reversible and managed by interrupting dasastinib treatment and using diuretics or other appropriate supportive care measures (see sections 4.2 and 4.4). Among</w:t>
      </w:r>
      <w:r w:rsidR="000E0BC4">
        <w:rPr>
          <w:sz w:val="24"/>
          <w:szCs w:val="24"/>
          <w:lang w:val="en-US"/>
        </w:rPr>
        <w:t xml:space="preserve"> </w:t>
      </w:r>
      <w:r w:rsidRPr="004D4F38">
        <w:rPr>
          <w:sz w:val="24"/>
          <w:szCs w:val="24"/>
          <w:lang w:val="en-US"/>
        </w:rPr>
        <w:t>dasatinib-treated patients with drug-related pleural effusion (n=73), 45 (62%) had dose interruptions and 30 (41%) had dose reductions. Additionally, 34 (47%) received diuretics, 23 (32%) received corticosteroids, and 20 (27%) received both corticosteroids and diuretics. Nine (12%) patients underwent therapeutic thoracentesis.</w:t>
      </w:r>
    </w:p>
    <w:p w:rsidR="004D4F38" w:rsidRPr="004D4F38" w:rsidRDefault="004D4F38" w:rsidP="004D4F38">
      <w:pPr>
        <w:tabs>
          <w:tab w:val="left" w:pos="851"/>
        </w:tabs>
        <w:ind w:left="851"/>
        <w:rPr>
          <w:sz w:val="24"/>
          <w:szCs w:val="24"/>
          <w:lang w:val="en-US"/>
        </w:rPr>
      </w:pPr>
      <w:r w:rsidRPr="004D4F38">
        <w:rPr>
          <w:sz w:val="24"/>
          <w:szCs w:val="24"/>
          <w:lang w:val="en-US"/>
        </w:rPr>
        <w:t>Six percent of dasatinib-treated patients discontinued treatment due to drug-related pleural effusion. Pleural effusion did not impair the ability of patients to obtain a response. Among the dasatinib-treated patients with pleural effusion, 96% achieved a cCCyR, 82% achieved a MMR, and 50% achieved a MR4.5 despite dose interruptions or dose adjustment.</w:t>
      </w:r>
    </w:p>
    <w:p w:rsidR="004D4F38" w:rsidRPr="004D4F38" w:rsidRDefault="004D4F38" w:rsidP="004D4F38">
      <w:pPr>
        <w:tabs>
          <w:tab w:val="left" w:pos="851"/>
        </w:tabs>
        <w:ind w:left="851"/>
        <w:rPr>
          <w:sz w:val="24"/>
          <w:szCs w:val="24"/>
          <w:lang w:val="en-US"/>
        </w:rPr>
      </w:pPr>
      <w:r w:rsidRPr="004D4F38">
        <w:rPr>
          <w:sz w:val="24"/>
          <w:szCs w:val="24"/>
          <w:lang w:val="en-US"/>
        </w:rPr>
        <w:t>See section 4.4 for further information on patients with chronic phase CML and advanced phase CML or Ph+ ALL.</w:t>
      </w:r>
    </w:p>
    <w:p w:rsidR="004D4F38" w:rsidRPr="004D4F38" w:rsidRDefault="004D4F38" w:rsidP="004D4F38">
      <w:pPr>
        <w:tabs>
          <w:tab w:val="left" w:pos="851"/>
        </w:tabs>
        <w:ind w:left="851"/>
        <w:rPr>
          <w:sz w:val="24"/>
          <w:szCs w:val="24"/>
          <w:lang w:val="en-US"/>
        </w:rPr>
      </w:pPr>
      <w:r w:rsidRPr="004D4F38">
        <w:rPr>
          <w:sz w:val="24"/>
          <w:szCs w:val="24"/>
          <w:lang w:val="en-US"/>
        </w:rPr>
        <w:t>Cases of chylothorax have been reported in patients presenting with pleural effusion. Some cases of chylothorax resolved upon dasatinib discontinuation, interruption, or dose reduction, but most cases also required additional treatment.</w:t>
      </w:r>
    </w:p>
    <w:p w:rsidR="005F73E8" w:rsidRDefault="005F73E8">
      <w:pPr>
        <w:rPr>
          <w:sz w:val="24"/>
          <w:szCs w:val="24"/>
          <w:lang w:val="en-US"/>
        </w:rPr>
      </w:pPr>
      <w:r>
        <w:rPr>
          <w:sz w:val="24"/>
          <w:szCs w:val="24"/>
          <w:lang w:val="en-US"/>
        </w:rPr>
        <w:br w:type="page"/>
      </w:r>
    </w:p>
    <w:p w:rsidR="004D4F38" w:rsidRPr="004D4F38" w:rsidRDefault="004D4F38" w:rsidP="004D4F38">
      <w:pPr>
        <w:tabs>
          <w:tab w:val="left" w:pos="851"/>
        </w:tabs>
        <w:ind w:left="851"/>
        <w:rPr>
          <w:sz w:val="24"/>
          <w:szCs w:val="24"/>
          <w:lang w:val="en-US"/>
        </w:rPr>
      </w:pPr>
    </w:p>
    <w:p w:rsidR="004D4F38" w:rsidRPr="004D4F38" w:rsidRDefault="004D4F38" w:rsidP="004D4F38">
      <w:pPr>
        <w:tabs>
          <w:tab w:val="left" w:pos="851"/>
        </w:tabs>
        <w:ind w:left="851"/>
        <w:rPr>
          <w:i/>
          <w:sz w:val="24"/>
          <w:szCs w:val="24"/>
          <w:lang w:val="en-US"/>
        </w:rPr>
      </w:pPr>
      <w:r w:rsidRPr="004D4F38">
        <w:rPr>
          <w:i/>
          <w:sz w:val="24"/>
          <w:szCs w:val="24"/>
          <w:u w:val="single"/>
          <w:lang w:val="en-US"/>
        </w:rPr>
        <w:t>Pulmonary arterial hypertension (PAH)</w:t>
      </w:r>
    </w:p>
    <w:p w:rsidR="004D4F38" w:rsidRPr="004D4F38" w:rsidRDefault="004D4F38" w:rsidP="004D4F38">
      <w:pPr>
        <w:tabs>
          <w:tab w:val="left" w:pos="851"/>
        </w:tabs>
        <w:ind w:left="851"/>
        <w:rPr>
          <w:sz w:val="24"/>
          <w:szCs w:val="24"/>
          <w:lang w:val="en-US"/>
        </w:rPr>
      </w:pPr>
      <w:r w:rsidRPr="004D4F38">
        <w:rPr>
          <w:sz w:val="24"/>
          <w:szCs w:val="24"/>
          <w:lang w:val="en-US"/>
        </w:rPr>
        <w:t>PAH (pre-capillary pulmonary arterial hypertension confirmed by right heart catheterization) has been reported in association with dasatinib exposure. In these cases, PAH was reported after initiation of dasatinib therapy, including after more than one year of treatment. Patients with PAH reported during dasatinib treatment were often taking concomitant medicinal products or had co-morbidities in addition to the underlying malignancy. Improvements in haemodynamic and clinical parameters have been observed in patients with PAH following discontinuation of dasatinib.</w:t>
      </w:r>
    </w:p>
    <w:p w:rsidR="004D4F38" w:rsidRPr="004D4F38" w:rsidRDefault="004D4F38" w:rsidP="004D4F38">
      <w:pPr>
        <w:tabs>
          <w:tab w:val="left" w:pos="851"/>
        </w:tabs>
        <w:ind w:left="851"/>
        <w:rPr>
          <w:sz w:val="24"/>
          <w:szCs w:val="24"/>
          <w:lang w:val="en-US"/>
        </w:rPr>
      </w:pPr>
    </w:p>
    <w:p w:rsidR="004D4F38" w:rsidRPr="004D4F38" w:rsidRDefault="004D4F38" w:rsidP="004D4F38">
      <w:pPr>
        <w:tabs>
          <w:tab w:val="left" w:pos="851"/>
        </w:tabs>
        <w:ind w:left="851"/>
        <w:rPr>
          <w:i/>
          <w:sz w:val="24"/>
          <w:szCs w:val="24"/>
          <w:lang w:val="en-US"/>
        </w:rPr>
      </w:pPr>
      <w:r w:rsidRPr="004D4F38">
        <w:rPr>
          <w:i/>
          <w:sz w:val="24"/>
          <w:szCs w:val="24"/>
          <w:u w:val="single"/>
          <w:lang w:val="en-US"/>
        </w:rPr>
        <w:t>QT Prolongation</w:t>
      </w:r>
    </w:p>
    <w:p w:rsidR="004D4F38" w:rsidRPr="004D4F38" w:rsidRDefault="004D4F38" w:rsidP="004D4F38">
      <w:pPr>
        <w:tabs>
          <w:tab w:val="left" w:pos="851"/>
        </w:tabs>
        <w:ind w:left="851"/>
        <w:rPr>
          <w:sz w:val="24"/>
          <w:szCs w:val="24"/>
          <w:lang w:val="en-US"/>
        </w:rPr>
      </w:pPr>
      <w:r w:rsidRPr="004D4F38">
        <w:rPr>
          <w:sz w:val="24"/>
          <w:szCs w:val="24"/>
          <w:lang w:val="en-US"/>
        </w:rPr>
        <w:t>In the Phase III study in patients with newly diagnosed chronic phase CML, one patient (&lt; 1%) of the dasatinib-treated patients had a QTcF &gt; 500 msec after a minimum of 12 months follow-up (see section 4.4). No additional patients were reported to have QTcF &gt; 500 msec after a minimum of 60 months follow-up.</w:t>
      </w:r>
    </w:p>
    <w:p w:rsidR="004D4F38" w:rsidRPr="004D4F38" w:rsidRDefault="004D4F38" w:rsidP="004D4F38">
      <w:pPr>
        <w:tabs>
          <w:tab w:val="left" w:pos="851"/>
        </w:tabs>
        <w:ind w:left="851"/>
        <w:rPr>
          <w:sz w:val="24"/>
          <w:szCs w:val="24"/>
          <w:lang w:val="en-US"/>
        </w:rPr>
      </w:pPr>
      <w:r w:rsidRPr="004D4F38">
        <w:rPr>
          <w:sz w:val="24"/>
          <w:szCs w:val="24"/>
          <w:lang w:val="en-US"/>
        </w:rPr>
        <w:t>In 5 Phase II clinical studies in patients with resistance or intolerance to prior imatinib therapy, repeated baseline and on-treatment ECGs were obtained at pre-specified time points and read centrally for 865 patients receiving dasatinib 70 mg twice daily. QT interval was corrected for heart rate by Fridericia's method. At all post-dose time points on day 8, the mean changes from baseline in QTcF interval were 4 - 6 msec, with associated upper 95% confidence intervals &lt; 7 msec. Of the 2,182 patients with resistance or intolerance to prior imatinib therapy who received dasatinib in clinical studies, 15 (1%) had QTc prolongation reported as an adverse reaction. Twenty-one patients (1%) experienced a QTcF &gt; 500 msec (see section 4.4).</w:t>
      </w:r>
    </w:p>
    <w:p w:rsidR="004D4F38" w:rsidRPr="004D4F38" w:rsidRDefault="004D4F38" w:rsidP="004D4F38">
      <w:pPr>
        <w:tabs>
          <w:tab w:val="left" w:pos="851"/>
        </w:tabs>
        <w:ind w:left="851"/>
        <w:rPr>
          <w:sz w:val="24"/>
          <w:szCs w:val="24"/>
          <w:lang w:val="en-US"/>
        </w:rPr>
      </w:pPr>
    </w:p>
    <w:p w:rsidR="004D4F38" w:rsidRPr="004D4F38" w:rsidRDefault="004D4F38" w:rsidP="004D4F38">
      <w:pPr>
        <w:tabs>
          <w:tab w:val="left" w:pos="851"/>
        </w:tabs>
        <w:ind w:left="851"/>
        <w:rPr>
          <w:i/>
          <w:sz w:val="24"/>
          <w:szCs w:val="24"/>
          <w:lang w:val="en-US"/>
        </w:rPr>
      </w:pPr>
      <w:r w:rsidRPr="004D4F38">
        <w:rPr>
          <w:i/>
          <w:sz w:val="24"/>
          <w:szCs w:val="24"/>
          <w:u w:val="single"/>
          <w:lang w:val="en-US"/>
        </w:rPr>
        <w:t>Cardiac adverse reactions</w:t>
      </w:r>
    </w:p>
    <w:p w:rsidR="004D4F38" w:rsidRDefault="004D4F38" w:rsidP="004D4F38">
      <w:pPr>
        <w:tabs>
          <w:tab w:val="left" w:pos="851"/>
        </w:tabs>
        <w:ind w:left="851"/>
        <w:rPr>
          <w:sz w:val="24"/>
          <w:szCs w:val="24"/>
          <w:lang w:val="en-US"/>
        </w:rPr>
      </w:pPr>
      <w:r w:rsidRPr="004D4F38">
        <w:rPr>
          <w:sz w:val="24"/>
          <w:szCs w:val="24"/>
          <w:lang w:val="en-US"/>
        </w:rPr>
        <w:t>Patients with risk factors or a history of cardiac disease should be monitored carefully for signs or symptoms consistent with cardiac dysfunction and should be evaluated and treated appropriately (see section 4.4).</w:t>
      </w:r>
    </w:p>
    <w:p w:rsidR="000E0BC4" w:rsidRPr="004D4F38" w:rsidRDefault="000E0BC4" w:rsidP="004D4F38">
      <w:pPr>
        <w:tabs>
          <w:tab w:val="left" w:pos="851"/>
        </w:tabs>
        <w:ind w:left="851"/>
        <w:rPr>
          <w:sz w:val="24"/>
          <w:szCs w:val="24"/>
          <w:lang w:val="en-US"/>
        </w:rPr>
      </w:pPr>
    </w:p>
    <w:p w:rsidR="004D4F38" w:rsidRPr="004D4F38" w:rsidRDefault="004D4F38" w:rsidP="004D4F38">
      <w:pPr>
        <w:tabs>
          <w:tab w:val="left" w:pos="851"/>
        </w:tabs>
        <w:ind w:left="851"/>
        <w:rPr>
          <w:i/>
          <w:sz w:val="24"/>
          <w:szCs w:val="24"/>
          <w:lang w:val="en-US"/>
        </w:rPr>
      </w:pPr>
      <w:r w:rsidRPr="004D4F38">
        <w:rPr>
          <w:i/>
          <w:sz w:val="24"/>
          <w:szCs w:val="24"/>
          <w:u w:val="single"/>
          <w:lang w:val="en-US"/>
        </w:rPr>
        <w:t>Hepatitis B reactivation</w:t>
      </w:r>
    </w:p>
    <w:p w:rsidR="004D4F38" w:rsidRPr="004D4F38" w:rsidRDefault="004D4F38" w:rsidP="004D4F38">
      <w:pPr>
        <w:tabs>
          <w:tab w:val="left" w:pos="851"/>
        </w:tabs>
        <w:ind w:left="851"/>
        <w:rPr>
          <w:sz w:val="24"/>
          <w:szCs w:val="24"/>
          <w:lang w:val="en-US"/>
        </w:rPr>
      </w:pPr>
      <w:r w:rsidRPr="004D4F38">
        <w:rPr>
          <w:sz w:val="24"/>
          <w:szCs w:val="24"/>
          <w:lang w:val="en-US"/>
        </w:rPr>
        <w:t>Hepatitis B reactivation has been reported in association with BCR-ABL TKIs. Some cases resulted in acute hepatic failure or fulminant hepatitis leading to liver transplantation or a fatal outcome (see section 4.4).</w:t>
      </w:r>
    </w:p>
    <w:p w:rsidR="004D4F38" w:rsidRPr="004D4F38" w:rsidRDefault="004D4F38" w:rsidP="004D4F38">
      <w:pPr>
        <w:tabs>
          <w:tab w:val="left" w:pos="851"/>
        </w:tabs>
        <w:ind w:left="851"/>
        <w:rPr>
          <w:sz w:val="24"/>
          <w:szCs w:val="24"/>
          <w:lang w:val="en-US"/>
        </w:rPr>
      </w:pPr>
    </w:p>
    <w:p w:rsidR="004D4F38" w:rsidRPr="004D4F38" w:rsidRDefault="004D4F38" w:rsidP="0065500C">
      <w:pPr>
        <w:tabs>
          <w:tab w:val="left" w:pos="851"/>
        </w:tabs>
        <w:ind w:left="851"/>
        <w:rPr>
          <w:sz w:val="24"/>
          <w:szCs w:val="24"/>
          <w:lang w:val="en-US"/>
        </w:rPr>
      </w:pPr>
      <w:r w:rsidRPr="004D4F38">
        <w:rPr>
          <w:sz w:val="24"/>
          <w:szCs w:val="24"/>
          <w:lang w:val="en-US"/>
        </w:rPr>
        <w:t>In the Phase III dose-optimisation study in patients with chronic phase CML with resistance or intolerance to prior imatinib therapy (median duration of treatment of 30 months), the incidence of pleural effusion and congestive heart failure/cardiac dysfunction was lower in patients treated with dasatinib 100 mg once daily than in those treated with dasatinib 70 mg twice daily.</w:t>
      </w:r>
    </w:p>
    <w:p w:rsidR="004D4F38" w:rsidRPr="004D4F38" w:rsidRDefault="004D4F38" w:rsidP="0065500C">
      <w:pPr>
        <w:tabs>
          <w:tab w:val="left" w:pos="851"/>
        </w:tabs>
        <w:ind w:left="851"/>
        <w:rPr>
          <w:sz w:val="24"/>
          <w:szCs w:val="24"/>
          <w:lang w:val="en-US"/>
        </w:rPr>
      </w:pPr>
      <w:r w:rsidRPr="004D4F38">
        <w:rPr>
          <w:sz w:val="24"/>
          <w:szCs w:val="24"/>
          <w:lang w:val="en-US"/>
        </w:rPr>
        <w:t>Myelosuppression was also reported less frequently in the 100 mg once daily treatment group (see Laboratory test abnormalities below). The median duration of therapy in the 100 mg once daily group was 37 months (range 1-91 months). Cumulative rates of selected adverse reactions that were reported in the 100 mg once daily recommended starting dose are shown in Table 6a.</w:t>
      </w:r>
    </w:p>
    <w:p w:rsidR="005F73E8" w:rsidRDefault="005F73E8">
      <w:pPr>
        <w:rPr>
          <w:sz w:val="24"/>
          <w:szCs w:val="24"/>
          <w:lang w:val="en-US"/>
        </w:rPr>
      </w:pPr>
      <w:r>
        <w:rPr>
          <w:sz w:val="24"/>
          <w:szCs w:val="24"/>
          <w:lang w:val="en-US"/>
        </w:rPr>
        <w:br w:type="page"/>
      </w:r>
    </w:p>
    <w:p w:rsidR="009D079D" w:rsidRPr="00D2165A" w:rsidRDefault="009D079D" w:rsidP="007A4CC6">
      <w:pPr>
        <w:tabs>
          <w:tab w:val="left" w:pos="851"/>
        </w:tabs>
        <w:ind w:left="851"/>
        <w:rPr>
          <w:sz w:val="24"/>
          <w:szCs w:val="24"/>
          <w:lang w:val="en-US"/>
        </w:rPr>
      </w:pPr>
    </w:p>
    <w:p w:rsidR="000E0BC4" w:rsidRPr="00D2165A" w:rsidRDefault="000E0BC4" w:rsidP="000E0BC4">
      <w:pPr>
        <w:pStyle w:val="Overskrift1"/>
        <w:tabs>
          <w:tab w:val="left" w:pos="567"/>
        </w:tabs>
        <w:spacing w:line="232" w:lineRule="auto"/>
        <w:ind w:left="1418" w:right="455" w:hanging="1418"/>
        <w:rPr>
          <w:sz w:val="13"/>
        </w:rPr>
      </w:pPr>
      <w:r w:rsidRPr="00D2165A">
        <w:rPr>
          <w:w w:val="105"/>
        </w:rPr>
        <w:t>Table</w:t>
      </w:r>
      <w:r w:rsidRPr="00D2165A">
        <w:rPr>
          <w:spacing w:val="-6"/>
          <w:w w:val="105"/>
        </w:rPr>
        <w:t xml:space="preserve"> </w:t>
      </w:r>
      <w:r w:rsidRPr="00D2165A">
        <w:rPr>
          <w:w w:val="105"/>
        </w:rPr>
        <w:t>6a:</w:t>
      </w:r>
      <w:r w:rsidRPr="00D2165A">
        <w:rPr>
          <w:w w:val="105"/>
        </w:rPr>
        <w:tab/>
        <w:t>Selected</w:t>
      </w:r>
      <w:r w:rsidRPr="00D2165A">
        <w:rPr>
          <w:spacing w:val="-13"/>
          <w:w w:val="105"/>
        </w:rPr>
        <w:t xml:space="preserve"> </w:t>
      </w:r>
      <w:r w:rsidRPr="00D2165A">
        <w:rPr>
          <w:w w:val="105"/>
        </w:rPr>
        <w:t>adverse</w:t>
      </w:r>
      <w:r w:rsidRPr="00D2165A">
        <w:rPr>
          <w:spacing w:val="-13"/>
          <w:w w:val="105"/>
        </w:rPr>
        <w:t xml:space="preserve"> </w:t>
      </w:r>
      <w:r w:rsidRPr="00D2165A">
        <w:rPr>
          <w:w w:val="105"/>
        </w:rPr>
        <w:t>reactions</w:t>
      </w:r>
      <w:r w:rsidRPr="00D2165A">
        <w:rPr>
          <w:spacing w:val="-14"/>
          <w:w w:val="105"/>
        </w:rPr>
        <w:t xml:space="preserve"> </w:t>
      </w:r>
      <w:r w:rsidRPr="00D2165A">
        <w:rPr>
          <w:w w:val="105"/>
        </w:rPr>
        <w:t>reported</w:t>
      </w:r>
      <w:r w:rsidRPr="00D2165A">
        <w:rPr>
          <w:spacing w:val="-14"/>
          <w:w w:val="105"/>
        </w:rPr>
        <w:t xml:space="preserve"> </w:t>
      </w:r>
      <w:r w:rsidRPr="00D2165A">
        <w:rPr>
          <w:w w:val="105"/>
        </w:rPr>
        <w:t>in</w:t>
      </w:r>
      <w:r w:rsidRPr="00D2165A">
        <w:rPr>
          <w:spacing w:val="-12"/>
          <w:w w:val="105"/>
        </w:rPr>
        <w:t xml:space="preserve"> </w:t>
      </w:r>
      <w:r w:rsidRPr="00D2165A">
        <w:rPr>
          <w:w w:val="105"/>
        </w:rPr>
        <w:t>a</w:t>
      </w:r>
      <w:r w:rsidRPr="00D2165A">
        <w:rPr>
          <w:spacing w:val="-15"/>
          <w:w w:val="105"/>
        </w:rPr>
        <w:t xml:space="preserve"> </w:t>
      </w:r>
      <w:r w:rsidRPr="00D2165A">
        <w:rPr>
          <w:w w:val="105"/>
        </w:rPr>
        <w:t>phase</w:t>
      </w:r>
      <w:r w:rsidRPr="00D2165A">
        <w:rPr>
          <w:spacing w:val="-15"/>
          <w:w w:val="105"/>
        </w:rPr>
        <w:t xml:space="preserve"> </w:t>
      </w:r>
      <w:r w:rsidRPr="00D2165A">
        <w:rPr>
          <w:w w:val="105"/>
        </w:rPr>
        <w:t>3</w:t>
      </w:r>
      <w:r w:rsidRPr="00D2165A">
        <w:rPr>
          <w:spacing w:val="-13"/>
          <w:w w:val="105"/>
        </w:rPr>
        <w:t xml:space="preserve"> </w:t>
      </w:r>
      <w:r w:rsidRPr="00D2165A">
        <w:rPr>
          <w:w w:val="105"/>
        </w:rPr>
        <w:t>dose</w:t>
      </w:r>
      <w:r w:rsidRPr="00D2165A">
        <w:rPr>
          <w:spacing w:val="-13"/>
          <w:w w:val="105"/>
        </w:rPr>
        <w:t xml:space="preserve"> </w:t>
      </w:r>
      <w:r w:rsidRPr="00D2165A">
        <w:rPr>
          <w:w w:val="105"/>
        </w:rPr>
        <w:t>optimisation</w:t>
      </w:r>
      <w:r w:rsidRPr="00D2165A">
        <w:rPr>
          <w:spacing w:val="-13"/>
          <w:w w:val="105"/>
        </w:rPr>
        <w:t xml:space="preserve"> </w:t>
      </w:r>
      <w:r w:rsidRPr="00D2165A">
        <w:rPr>
          <w:w w:val="105"/>
        </w:rPr>
        <w:t>study</w:t>
      </w:r>
      <w:r w:rsidRPr="00D2165A">
        <w:rPr>
          <w:spacing w:val="-13"/>
          <w:w w:val="105"/>
        </w:rPr>
        <w:t xml:space="preserve"> </w:t>
      </w:r>
      <w:r w:rsidRPr="00D2165A">
        <w:rPr>
          <w:w w:val="105"/>
        </w:rPr>
        <w:t>(imatinib</w:t>
      </w:r>
      <w:r w:rsidRPr="00D2165A">
        <w:rPr>
          <w:w w:val="103"/>
        </w:rPr>
        <w:t xml:space="preserve"> </w:t>
      </w:r>
      <w:r w:rsidRPr="00D2165A">
        <w:rPr>
          <w:w w:val="105"/>
        </w:rPr>
        <w:t>intolerant</w:t>
      </w:r>
      <w:r w:rsidRPr="00D2165A">
        <w:rPr>
          <w:spacing w:val="-15"/>
          <w:w w:val="105"/>
        </w:rPr>
        <w:t xml:space="preserve"> </w:t>
      </w:r>
      <w:r w:rsidRPr="00D2165A">
        <w:rPr>
          <w:w w:val="105"/>
        </w:rPr>
        <w:t>or</w:t>
      </w:r>
      <w:r w:rsidRPr="00D2165A">
        <w:rPr>
          <w:spacing w:val="-15"/>
          <w:w w:val="105"/>
        </w:rPr>
        <w:t xml:space="preserve"> </w:t>
      </w:r>
      <w:r w:rsidRPr="00D2165A">
        <w:rPr>
          <w:w w:val="105"/>
        </w:rPr>
        <w:t>resistant</w:t>
      </w:r>
      <w:r w:rsidRPr="00D2165A">
        <w:rPr>
          <w:spacing w:val="-17"/>
          <w:w w:val="105"/>
        </w:rPr>
        <w:t xml:space="preserve"> </w:t>
      </w:r>
      <w:r w:rsidRPr="00D2165A">
        <w:rPr>
          <w:w w:val="105"/>
        </w:rPr>
        <w:t>chronic</w:t>
      </w:r>
      <w:r w:rsidRPr="00D2165A">
        <w:rPr>
          <w:spacing w:val="-16"/>
          <w:w w:val="105"/>
        </w:rPr>
        <w:t xml:space="preserve"> </w:t>
      </w:r>
      <w:r w:rsidRPr="00D2165A">
        <w:rPr>
          <w:w w:val="105"/>
        </w:rPr>
        <w:t>phase</w:t>
      </w:r>
      <w:r w:rsidRPr="00D2165A">
        <w:rPr>
          <w:spacing w:val="-16"/>
          <w:w w:val="105"/>
        </w:rPr>
        <w:t xml:space="preserve"> </w:t>
      </w:r>
      <w:r w:rsidRPr="00D2165A">
        <w:rPr>
          <w:w w:val="105"/>
        </w:rPr>
        <w:t>CML)</w:t>
      </w:r>
      <w:r w:rsidRPr="00D2165A">
        <w:rPr>
          <w:w w:val="105"/>
          <w:position w:val="8"/>
          <w:sz w:val="13"/>
        </w:rPr>
        <w:t>a</w:t>
      </w:r>
    </w:p>
    <w:tbl>
      <w:tblPr>
        <w:tblStyle w:val="TableNormal1"/>
        <w:tblW w:w="0" w:type="auto"/>
        <w:tblInd w:w="115" w:type="dxa"/>
        <w:tblLayout w:type="fixed"/>
        <w:tblLook w:val="01E0" w:firstRow="1" w:lastRow="1" w:firstColumn="1" w:lastColumn="1" w:noHBand="0" w:noVBand="0"/>
      </w:tblPr>
      <w:tblGrid>
        <w:gridCol w:w="2382"/>
        <w:gridCol w:w="955"/>
        <w:gridCol w:w="1179"/>
        <w:gridCol w:w="761"/>
        <w:gridCol w:w="362"/>
        <w:gridCol w:w="224"/>
        <w:gridCol w:w="787"/>
        <w:gridCol w:w="989"/>
        <w:gridCol w:w="1144"/>
      </w:tblGrid>
      <w:tr w:rsidR="000E0BC4" w:rsidRPr="00F430C7" w:rsidTr="000E0BC4">
        <w:trPr>
          <w:trHeight w:val="560"/>
        </w:trPr>
        <w:tc>
          <w:tcPr>
            <w:tcW w:w="2382" w:type="dxa"/>
            <w:tcBorders>
              <w:top w:val="single" w:sz="4" w:space="0" w:color="000000"/>
              <w:left w:val="nil"/>
              <w:bottom w:val="single" w:sz="4" w:space="0" w:color="000000"/>
              <w:right w:val="single" w:sz="4" w:space="0" w:color="000000"/>
            </w:tcBorders>
          </w:tcPr>
          <w:p w:rsidR="000E0BC4" w:rsidRPr="00D2165A" w:rsidRDefault="000E0BC4">
            <w:pPr>
              <w:pStyle w:val="TableParagraph"/>
              <w:rPr>
                <w:rFonts w:ascii="Times New Roman" w:hAnsi="Times New Roman" w:cs="Times New Roman"/>
                <w:sz w:val="20"/>
              </w:rPr>
            </w:pPr>
          </w:p>
        </w:tc>
        <w:tc>
          <w:tcPr>
            <w:tcW w:w="2134" w:type="dxa"/>
            <w:gridSpan w:val="2"/>
            <w:tcBorders>
              <w:top w:val="single" w:sz="4" w:space="0" w:color="000000"/>
              <w:left w:val="single" w:sz="4" w:space="0" w:color="000000"/>
              <w:bottom w:val="single" w:sz="4" w:space="0" w:color="000000"/>
              <w:right w:val="single" w:sz="4" w:space="0" w:color="000000"/>
            </w:tcBorders>
            <w:hideMark/>
          </w:tcPr>
          <w:p w:rsidR="000E0BC4" w:rsidRPr="00D2165A" w:rsidRDefault="000E0BC4">
            <w:pPr>
              <w:pStyle w:val="TableParagraph"/>
              <w:spacing w:before="50" w:line="247" w:lineRule="auto"/>
              <w:ind w:left="651" w:hanging="484"/>
              <w:rPr>
                <w:rFonts w:ascii="Times New Roman" w:hAnsi="Times New Roman" w:cs="Times New Roman"/>
                <w:b/>
                <w:sz w:val="20"/>
              </w:rPr>
            </w:pPr>
            <w:r w:rsidRPr="00D2165A">
              <w:rPr>
                <w:rFonts w:ascii="Times New Roman" w:hAnsi="Times New Roman" w:cs="Times New Roman"/>
                <w:b/>
                <w:w w:val="105"/>
                <w:sz w:val="20"/>
              </w:rPr>
              <w:t>Minimum of 2 years follow up</w:t>
            </w:r>
          </w:p>
        </w:tc>
        <w:tc>
          <w:tcPr>
            <w:tcW w:w="2134" w:type="dxa"/>
            <w:gridSpan w:val="4"/>
            <w:tcBorders>
              <w:top w:val="single" w:sz="4" w:space="0" w:color="000000"/>
              <w:left w:val="single" w:sz="4" w:space="0" w:color="000000"/>
              <w:bottom w:val="single" w:sz="4" w:space="0" w:color="000000"/>
              <w:right w:val="single" w:sz="4" w:space="0" w:color="000000"/>
            </w:tcBorders>
            <w:hideMark/>
          </w:tcPr>
          <w:p w:rsidR="000E0BC4" w:rsidRPr="00D2165A" w:rsidRDefault="000E0BC4">
            <w:pPr>
              <w:pStyle w:val="TableParagraph"/>
              <w:spacing w:before="51" w:line="244" w:lineRule="auto"/>
              <w:ind w:left="651" w:hanging="484"/>
              <w:rPr>
                <w:rFonts w:ascii="Times New Roman" w:hAnsi="Times New Roman" w:cs="Times New Roman"/>
                <w:b/>
                <w:sz w:val="20"/>
              </w:rPr>
            </w:pPr>
            <w:r w:rsidRPr="00D2165A">
              <w:rPr>
                <w:rFonts w:ascii="Times New Roman" w:hAnsi="Times New Roman" w:cs="Times New Roman"/>
                <w:b/>
                <w:w w:val="105"/>
                <w:sz w:val="20"/>
              </w:rPr>
              <w:t>Minimum of 5 years follow up</w:t>
            </w:r>
          </w:p>
        </w:tc>
        <w:tc>
          <w:tcPr>
            <w:tcW w:w="2133" w:type="dxa"/>
            <w:gridSpan w:val="2"/>
            <w:tcBorders>
              <w:top w:val="single" w:sz="4" w:space="0" w:color="000000"/>
              <w:left w:val="single" w:sz="4" w:space="0" w:color="000000"/>
              <w:bottom w:val="single" w:sz="4" w:space="0" w:color="000000"/>
              <w:right w:val="nil"/>
            </w:tcBorders>
            <w:hideMark/>
          </w:tcPr>
          <w:p w:rsidR="000E0BC4" w:rsidRPr="00D2165A" w:rsidRDefault="000E0BC4">
            <w:pPr>
              <w:pStyle w:val="TableParagraph"/>
              <w:spacing w:before="51" w:line="244" w:lineRule="auto"/>
              <w:ind w:left="650" w:hanging="484"/>
              <w:rPr>
                <w:rFonts w:ascii="Times New Roman" w:hAnsi="Times New Roman" w:cs="Times New Roman"/>
                <w:b/>
                <w:sz w:val="20"/>
              </w:rPr>
            </w:pPr>
            <w:r w:rsidRPr="00D2165A">
              <w:rPr>
                <w:rFonts w:ascii="Times New Roman" w:hAnsi="Times New Roman" w:cs="Times New Roman"/>
                <w:b/>
                <w:w w:val="105"/>
                <w:sz w:val="20"/>
              </w:rPr>
              <w:t>Minimum of 7 years follow up</w:t>
            </w:r>
          </w:p>
        </w:tc>
      </w:tr>
      <w:tr w:rsidR="000E0BC4" w:rsidRPr="00D2165A" w:rsidTr="000E0BC4">
        <w:trPr>
          <w:trHeight w:val="460"/>
        </w:trPr>
        <w:tc>
          <w:tcPr>
            <w:tcW w:w="2382" w:type="dxa"/>
            <w:tcBorders>
              <w:top w:val="single" w:sz="4" w:space="0" w:color="000000"/>
              <w:left w:val="nil"/>
              <w:bottom w:val="single" w:sz="4" w:space="0" w:color="000000"/>
              <w:right w:val="single" w:sz="4" w:space="0" w:color="000000"/>
            </w:tcBorders>
          </w:tcPr>
          <w:p w:rsidR="000E0BC4" w:rsidRPr="00D2165A" w:rsidRDefault="000E0BC4">
            <w:pPr>
              <w:pStyle w:val="TableParagraph"/>
              <w:rPr>
                <w:rFonts w:ascii="Times New Roman" w:hAnsi="Times New Roman" w:cs="Times New Roman"/>
                <w:sz w:val="20"/>
              </w:rPr>
            </w:pPr>
          </w:p>
        </w:tc>
        <w:tc>
          <w:tcPr>
            <w:tcW w:w="2134" w:type="dxa"/>
            <w:gridSpan w:val="2"/>
            <w:tcBorders>
              <w:top w:val="single" w:sz="4" w:space="0" w:color="000000"/>
              <w:left w:val="single" w:sz="4" w:space="0" w:color="000000"/>
              <w:bottom w:val="single" w:sz="4" w:space="0" w:color="000000"/>
              <w:right w:val="single" w:sz="4" w:space="0" w:color="000000"/>
            </w:tcBorders>
            <w:hideMark/>
          </w:tcPr>
          <w:p w:rsidR="000E0BC4" w:rsidRPr="00D2165A" w:rsidRDefault="000E0BC4">
            <w:pPr>
              <w:pStyle w:val="TableParagraph"/>
              <w:tabs>
                <w:tab w:val="left" w:pos="1313"/>
              </w:tabs>
              <w:spacing w:before="8"/>
              <w:ind w:left="395"/>
              <w:rPr>
                <w:rFonts w:ascii="Times New Roman" w:hAnsi="Times New Roman" w:cs="Times New Roman"/>
                <w:b/>
                <w:sz w:val="20"/>
              </w:rPr>
            </w:pPr>
            <w:r w:rsidRPr="00D2165A">
              <w:rPr>
                <w:rFonts w:ascii="Times New Roman" w:hAnsi="Times New Roman" w:cs="Times New Roman"/>
                <w:b/>
                <w:w w:val="105"/>
                <w:sz w:val="20"/>
              </w:rPr>
              <w:t>All</w:t>
            </w:r>
            <w:r w:rsidRPr="00D2165A">
              <w:rPr>
                <w:rFonts w:ascii="Times New Roman" w:hAnsi="Times New Roman" w:cs="Times New Roman"/>
                <w:b/>
                <w:w w:val="105"/>
                <w:sz w:val="20"/>
              </w:rPr>
              <w:tab/>
              <w:t>Grade</w:t>
            </w:r>
          </w:p>
          <w:p w:rsidR="000E0BC4" w:rsidRPr="00D2165A" w:rsidRDefault="000E0BC4">
            <w:pPr>
              <w:pStyle w:val="TableParagraph"/>
              <w:tabs>
                <w:tab w:val="left" w:pos="1462"/>
              </w:tabs>
              <w:spacing w:before="5" w:line="211" w:lineRule="exact"/>
              <w:ind w:left="234"/>
              <w:rPr>
                <w:rFonts w:ascii="Times New Roman" w:hAnsi="Times New Roman" w:cs="Times New Roman"/>
                <w:b/>
                <w:sz w:val="20"/>
              </w:rPr>
            </w:pPr>
            <w:r w:rsidRPr="00D2165A">
              <w:rPr>
                <w:rFonts w:ascii="Times New Roman" w:hAnsi="Times New Roman" w:cs="Times New Roman"/>
                <w:b/>
                <w:w w:val="105"/>
                <w:sz w:val="20"/>
              </w:rPr>
              <w:t>grades</w:t>
            </w:r>
            <w:r w:rsidRPr="00D2165A">
              <w:rPr>
                <w:rFonts w:ascii="Times New Roman" w:hAnsi="Times New Roman" w:cs="Times New Roman"/>
                <w:b/>
                <w:w w:val="105"/>
                <w:sz w:val="20"/>
              </w:rPr>
              <w:tab/>
              <w:t>3/4</w:t>
            </w:r>
          </w:p>
        </w:tc>
        <w:tc>
          <w:tcPr>
            <w:tcW w:w="1123" w:type="dxa"/>
            <w:gridSpan w:val="2"/>
            <w:tcBorders>
              <w:top w:val="single" w:sz="4" w:space="0" w:color="000000"/>
              <w:left w:val="single" w:sz="4" w:space="0" w:color="000000"/>
              <w:bottom w:val="single" w:sz="4" w:space="0" w:color="000000"/>
              <w:right w:val="nil"/>
            </w:tcBorders>
            <w:hideMark/>
          </w:tcPr>
          <w:p w:rsidR="000E0BC4" w:rsidRPr="00D2165A" w:rsidRDefault="000E0BC4">
            <w:pPr>
              <w:pStyle w:val="TableParagraph"/>
              <w:spacing w:before="8" w:line="230" w:lineRule="atLeast"/>
              <w:ind w:left="236" w:right="295" w:firstLine="159"/>
              <w:rPr>
                <w:rFonts w:ascii="Times New Roman" w:hAnsi="Times New Roman" w:cs="Times New Roman"/>
                <w:b/>
                <w:sz w:val="20"/>
              </w:rPr>
            </w:pPr>
            <w:r w:rsidRPr="00D2165A">
              <w:rPr>
                <w:rFonts w:ascii="Times New Roman" w:hAnsi="Times New Roman" w:cs="Times New Roman"/>
                <w:b/>
                <w:w w:val="105"/>
                <w:sz w:val="20"/>
              </w:rPr>
              <w:t xml:space="preserve">All </w:t>
            </w:r>
            <w:r w:rsidRPr="00D2165A">
              <w:rPr>
                <w:rFonts w:ascii="Times New Roman" w:hAnsi="Times New Roman" w:cs="Times New Roman"/>
                <w:b/>
                <w:sz w:val="20"/>
              </w:rPr>
              <w:t>grades</w:t>
            </w:r>
          </w:p>
        </w:tc>
        <w:tc>
          <w:tcPr>
            <w:tcW w:w="1011" w:type="dxa"/>
            <w:gridSpan w:val="2"/>
            <w:tcBorders>
              <w:top w:val="single" w:sz="4" w:space="0" w:color="000000"/>
              <w:left w:val="nil"/>
              <w:bottom w:val="single" w:sz="4" w:space="0" w:color="000000"/>
              <w:right w:val="single" w:sz="4" w:space="0" w:color="000000"/>
            </w:tcBorders>
            <w:hideMark/>
          </w:tcPr>
          <w:p w:rsidR="000E0BC4" w:rsidRPr="00D2165A" w:rsidRDefault="000E0BC4">
            <w:pPr>
              <w:pStyle w:val="TableParagraph"/>
              <w:spacing w:before="8" w:line="230" w:lineRule="atLeast"/>
              <w:ind w:left="344" w:right="18" w:hanging="149"/>
              <w:rPr>
                <w:rFonts w:ascii="Times New Roman" w:hAnsi="Times New Roman" w:cs="Times New Roman"/>
                <w:b/>
                <w:sz w:val="20"/>
              </w:rPr>
            </w:pPr>
            <w:r w:rsidRPr="00D2165A">
              <w:rPr>
                <w:rFonts w:ascii="Times New Roman" w:hAnsi="Times New Roman" w:cs="Times New Roman"/>
                <w:b/>
                <w:sz w:val="20"/>
              </w:rPr>
              <w:t xml:space="preserve">Grade </w:t>
            </w:r>
            <w:r w:rsidRPr="00D2165A">
              <w:rPr>
                <w:rFonts w:ascii="Times New Roman" w:hAnsi="Times New Roman" w:cs="Times New Roman"/>
                <w:b/>
                <w:w w:val="105"/>
                <w:sz w:val="20"/>
              </w:rPr>
              <w:t>3/4</w:t>
            </w:r>
          </w:p>
        </w:tc>
        <w:tc>
          <w:tcPr>
            <w:tcW w:w="2133" w:type="dxa"/>
            <w:gridSpan w:val="2"/>
            <w:tcBorders>
              <w:top w:val="single" w:sz="4" w:space="0" w:color="000000"/>
              <w:left w:val="single" w:sz="4" w:space="0" w:color="000000"/>
              <w:bottom w:val="single" w:sz="4" w:space="0" w:color="000000"/>
              <w:right w:val="nil"/>
            </w:tcBorders>
            <w:hideMark/>
          </w:tcPr>
          <w:p w:rsidR="000E0BC4" w:rsidRPr="00D2165A" w:rsidRDefault="000E0BC4">
            <w:pPr>
              <w:pStyle w:val="TableParagraph"/>
              <w:tabs>
                <w:tab w:val="left" w:pos="1313"/>
              </w:tabs>
              <w:spacing w:before="8"/>
              <w:ind w:left="395"/>
              <w:rPr>
                <w:rFonts w:ascii="Times New Roman" w:hAnsi="Times New Roman" w:cs="Times New Roman"/>
                <w:b/>
                <w:sz w:val="20"/>
              </w:rPr>
            </w:pPr>
            <w:r w:rsidRPr="00D2165A">
              <w:rPr>
                <w:rFonts w:ascii="Times New Roman" w:hAnsi="Times New Roman" w:cs="Times New Roman"/>
                <w:b/>
                <w:w w:val="105"/>
                <w:sz w:val="20"/>
              </w:rPr>
              <w:t>All</w:t>
            </w:r>
            <w:r w:rsidRPr="00D2165A">
              <w:rPr>
                <w:rFonts w:ascii="Times New Roman" w:hAnsi="Times New Roman" w:cs="Times New Roman"/>
                <w:b/>
                <w:w w:val="105"/>
                <w:sz w:val="20"/>
              </w:rPr>
              <w:tab/>
              <w:t>Grade</w:t>
            </w:r>
          </w:p>
          <w:p w:rsidR="000E0BC4" w:rsidRPr="00D2165A" w:rsidRDefault="000E0BC4">
            <w:pPr>
              <w:pStyle w:val="TableParagraph"/>
              <w:tabs>
                <w:tab w:val="left" w:pos="1461"/>
              </w:tabs>
              <w:spacing w:before="5" w:line="211" w:lineRule="exact"/>
              <w:ind w:left="235"/>
              <w:rPr>
                <w:rFonts w:ascii="Times New Roman" w:hAnsi="Times New Roman" w:cs="Times New Roman"/>
                <w:b/>
                <w:sz w:val="20"/>
              </w:rPr>
            </w:pPr>
            <w:r w:rsidRPr="00D2165A">
              <w:rPr>
                <w:rFonts w:ascii="Times New Roman" w:hAnsi="Times New Roman" w:cs="Times New Roman"/>
                <w:b/>
                <w:w w:val="105"/>
                <w:sz w:val="20"/>
              </w:rPr>
              <w:t>grades</w:t>
            </w:r>
            <w:r w:rsidRPr="00D2165A">
              <w:rPr>
                <w:rFonts w:ascii="Times New Roman" w:hAnsi="Times New Roman" w:cs="Times New Roman"/>
                <w:b/>
                <w:w w:val="105"/>
                <w:sz w:val="20"/>
              </w:rPr>
              <w:tab/>
              <w:t>3/4</w:t>
            </w:r>
          </w:p>
        </w:tc>
      </w:tr>
      <w:tr w:rsidR="000E0BC4" w:rsidRPr="00D2165A" w:rsidTr="000E0BC4">
        <w:trPr>
          <w:trHeight w:val="220"/>
        </w:trPr>
        <w:tc>
          <w:tcPr>
            <w:tcW w:w="2382" w:type="dxa"/>
            <w:tcBorders>
              <w:top w:val="single" w:sz="4" w:space="0" w:color="000000"/>
              <w:left w:val="nil"/>
              <w:bottom w:val="single" w:sz="4" w:space="0" w:color="000000"/>
              <w:right w:val="single" w:sz="4" w:space="0" w:color="000000"/>
            </w:tcBorders>
            <w:hideMark/>
          </w:tcPr>
          <w:p w:rsidR="000E0BC4" w:rsidRPr="00D2165A" w:rsidRDefault="000E0BC4">
            <w:pPr>
              <w:pStyle w:val="TableParagraph"/>
              <w:spacing w:before="6" w:line="211" w:lineRule="exact"/>
              <w:ind w:left="115"/>
              <w:rPr>
                <w:rFonts w:ascii="Times New Roman" w:hAnsi="Times New Roman" w:cs="Times New Roman"/>
                <w:b/>
                <w:sz w:val="20"/>
              </w:rPr>
            </w:pPr>
            <w:r w:rsidRPr="00D2165A">
              <w:rPr>
                <w:rFonts w:ascii="Times New Roman" w:hAnsi="Times New Roman" w:cs="Times New Roman"/>
                <w:b/>
                <w:w w:val="105"/>
                <w:sz w:val="20"/>
              </w:rPr>
              <w:t>Preferred term</w:t>
            </w:r>
          </w:p>
        </w:tc>
        <w:tc>
          <w:tcPr>
            <w:tcW w:w="2895" w:type="dxa"/>
            <w:gridSpan w:val="3"/>
            <w:tcBorders>
              <w:top w:val="single" w:sz="4" w:space="0" w:color="000000"/>
              <w:left w:val="single" w:sz="4" w:space="0" w:color="000000"/>
              <w:bottom w:val="single" w:sz="4" w:space="0" w:color="000000"/>
              <w:right w:val="nil"/>
            </w:tcBorders>
            <w:hideMark/>
          </w:tcPr>
          <w:p w:rsidR="000E0BC4" w:rsidRPr="00D2165A" w:rsidRDefault="000E0BC4">
            <w:pPr>
              <w:pStyle w:val="TableParagraph"/>
              <w:spacing w:before="5" w:line="212" w:lineRule="exact"/>
              <w:ind w:right="23"/>
              <w:jc w:val="right"/>
              <w:rPr>
                <w:rFonts w:ascii="Times New Roman" w:hAnsi="Times New Roman" w:cs="Times New Roman"/>
                <w:sz w:val="20"/>
              </w:rPr>
            </w:pPr>
            <w:r w:rsidRPr="00D2165A">
              <w:rPr>
                <w:rFonts w:ascii="Times New Roman" w:hAnsi="Times New Roman" w:cs="Times New Roman"/>
                <w:sz w:val="20"/>
              </w:rPr>
              <w:t>Percent</w:t>
            </w:r>
          </w:p>
        </w:tc>
        <w:tc>
          <w:tcPr>
            <w:tcW w:w="362" w:type="dxa"/>
            <w:tcBorders>
              <w:top w:val="single" w:sz="4" w:space="0" w:color="000000"/>
              <w:left w:val="nil"/>
              <w:bottom w:val="single" w:sz="4" w:space="0" w:color="000000"/>
              <w:right w:val="nil"/>
            </w:tcBorders>
            <w:hideMark/>
          </w:tcPr>
          <w:p w:rsidR="000E0BC4" w:rsidRPr="00D2165A" w:rsidRDefault="000E0BC4">
            <w:pPr>
              <w:pStyle w:val="TableParagraph"/>
              <w:spacing w:before="5" w:line="212" w:lineRule="exact"/>
              <w:ind w:left="25"/>
              <w:rPr>
                <w:rFonts w:ascii="Times New Roman" w:hAnsi="Times New Roman" w:cs="Times New Roman"/>
                <w:sz w:val="20"/>
              </w:rPr>
            </w:pPr>
            <w:r w:rsidRPr="00D2165A">
              <w:rPr>
                <w:rFonts w:ascii="Times New Roman" w:hAnsi="Times New Roman" w:cs="Times New Roman"/>
                <w:w w:val="105"/>
                <w:sz w:val="20"/>
              </w:rPr>
              <w:t>(%)</w:t>
            </w:r>
          </w:p>
        </w:tc>
        <w:tc>
          <w:tcPr>
            <w:tcW w:w="224" w:type="dxa"/>
            <w:tcBorders>
              <w:top w:val="single" w:sz="4" w:space="0" w:color="000000"/>
              <w:left w:val="nil"/>
              <w:bottom w:val="single" w:sz="4" w:space="0" w:color="000000"/>
              <w:right w:val="nil"/>
            </w:tcBorders>
            <w:hideMark/>
          </w:tcPr>
          <w:p w:rsidR="000E0BC4" w:rsidRPr="00D2165A" w:rsidRDefault="000E0BC4">
            <w:pPr>
              <w:pStyle w:val="TableParagraph"/>
              <w:spacing w:before="5" w:line="212" w:lineRule="exact"/>
              <w:ind w:left="25"/>
              <w:rPr>
                <w:rFonts w:ascii="Times New Roman" w:hAnsi="Times New Roman" w:cs="Times New Roman"/>
                <w:sz w:val="20"/>
              </w:rPr>
            </w:pPr>
            <w:r w:rsidRPr="00D2165A">
              <w:rPr>
                <w:rFonts w:ascii="Times New Roman" w:hAnsi="Times New Roman" w:cs="Times New Roman"/>
                <w:w w:val="105"/>
                <w:sz w:val="20"/>
              </w:rPr>
              <w:t>of</w:t>
            </w:r>
          </w:p>
        </w:tc>
        <w:tc>
          <w:tcPr>
            <w:tcW w:w="2920" w:type="dxa"/>
            <w:gridSpan w:val="3"/>
            <w:tcBorders>
              <w:top w:val="single" w:sz="4" w:space="0" w:color="000000"/>
              <w:left w:val="nil"/>
              <w:bottom w:val="single" w:sz="4" w:space="0" w:color="000000"/>
              <w:right w:val="nil"/>
            </w:tcBorders>
            <w:hideMark/>
          </w:tcPr>
          <w:p w:rsidR="000E0BC4" w:rsidRPr="00D2165A" w:rsidRDefault="000E0BC4">
            <w:pPr>
              <w:pStyle w:val="TableParagraph"/>
              <w:spacing w:before="5" w:line="212" w:lineRule="exact"/>
              <w:ind w:left="25"/>
              <w:rPr>
                <w:rFonts w:ascii="Times New Roman" w:hAnsi="Times New Roman" w:cs="Times New Roman"/>
                <w:sz w:val="20"/>
              </w:rPr>
            </w:pPr>
            <w:r w:rsidRPr="00D2165A">
              <w:rPr>
                <w:rFonts w:ascii="Times New Roman" w:hAnsi="Times New Roman" w:cs="Times New Roman"/>
                <w:w w:val="105"/>
                <w:sz w:val="20"/>
              </w:rPr>
              <w:t>patients</w:t>
            </w:r>
          </w:p>
        </w:tc>
      </w:tr>
      <w:tr w:rsidR="000E0BC4" w:rsidRPr="00D2165A" w:rsidTr="000E0BC4">
        <w:trPr>
          <w:trHeight w:val="240"/>
        </w:trPr>
        <w:tc>
          <w:tcPr>
            <w:tcW w:w="2382" w:type="dxa"/>
            <w:tcBorders>
              <w:top w:val="single" w:sz="4" w:space="0" w:color="000000"/>
              <w:left w:val="nil"/>
              <w:bottom w:val="nil"/>
              <w:right w:val="single" w:sz="4" w:space="0" w:color="000000"/>
            </w:tcBorders>
            <w:hideMark/>
          </w:tcPr>
          <w:p w:rsidR="000E0BC4" w:rsidRPr="00D2165A" w:rsidRDefault="000E0BC4">
            <w:pPr>
              <w:pStyle w:val="TableParagraph"/>
              <w:ind w:left="108" w:right="972"/>
              <w:rPr>
                <w:rFonts w:ascii="Times New Roman" w:hAnsi="Times New Roman" w:cs="Times New Roman"/>
                <w:b/>
              </w:rPr>
            </w:pPr>
            <w:r w:rsidRPr="00D2165A">
              <w:rPr>
                <w:rFonts w:ascii="Times New Roman" w:hAnsi="Times New Roman" w:cs="Times New Roman"/>
                <w:b/>
                <w:w w:val="105"/>
                <w:sz w:val="20"/>
              </w:rPr>
              <w:t>Diarrhoea</w:t>
            </w:r>
          </w:p>
        </w:tc>
        <w:tc>
          <w:tcPr>
            <w:tcW w:w="955" w:type="dxa"/>
            <w:tcBorders>
              <w:top w:val="single" w:sz="4" w:space="0" w:color="000000"/>
              <w:left w:val="single" w:sz="4" w:space="0" w:color="000000"/>
              <w:bottom w:val="nil"/>
              <w:right w:val="nil"/>
            </w:tcBorders>
            <w:hideMark/>
          </w:tcPr>
          <w:p w:rsidR="000E0BC4" w:rsidRPr="00D2165A" w:rsidRDefault="000E0BC4">
            <w:pPr>
              <w:pStyle w:val="TableParagraph"/>
              <w:spacing w:before="6" w:line="218" w:lineRule="exact"/>
              <w:ind w:right="445"/>
              <w:jc w:val="right"/>
              <w:rPr>
                <w:rFonts w:ascii="Times New Roman" w:hAnsi="Times New Roman" w:cs="Times New Roman"/>
                <w:sz w:val="20"/>
              </w:rPr>
            </w:pPr>
            <w:r w:rsidRPr="00D2165A">
              <w:rPr>
                <w:rFonts w:ascii="Times New Roman" w:hAnsi="Times New Roman" w:cs="Times New Roman"/>
                <w:sz w:val="20"/>
              </w:rPr>
              <w:t>27</w:t>
            </w:r>
          </w:p>
        </w:tc>
        <w:tc>
          <w:tcPr>
            <w:tcW w:w="1178" w:type="dxa"/>
            <w:tcBorders>
              <w:top w:val="single" w:sz="4" w:space="0" w:color="000000"/>
              <w:left w:val="nil"/>
              <w:bottom w:val="nil"/>
              <w:right w:val="single" w:sz="4" w:space="0" w:color="000000"/>
            </w:tcBorders>
            <w:hideMark/>
          </w:tcPr>
          <w:p w:rsidR="000E0BC4" w:rsidRPr="00D2165A" w:rsidRDefault="000E0BC4">
            <w:pPr>
              <w:pStyle w:val="TableParagraph"/>
              <w:spacing w:before="6" w:line="218" w:lineRule="exact"/>
              <w:ind w:right="552"/>
              <w:rPr>
                <w:rFonts w:ascii="Times New Roman" w:hAnsi="Times New Roman" w:cs="Times New Roman"/>
                <w:sz w:val="20"/>
              </w:rPr>
            </w:pPr>
            <w:r w:rsidRPr="00D2165A">
              <w:rPr>
                <w:rFonts w:ascii="Times New Roman" w:hAnsi="Times New Roman" w:cs="Times New Roman"/>
                <w:w w:val="103"/>
                <w:sz w:val="20"/>
              </w:rPr>
              <w:t xml:space="preserve">         2</w:t>
            </w:r>
          </w:p>
        </w:tc>
        <w:tc>
          <w:tcPr>
            <w:tcW w:w="761" w:type="dxa"/>
            <w:tcBorders>
              <w:top w:val="single" w:sz="4" w:space="0" w:color="000000"/>
              <w:left w:val="single" w:sz="4" w:space="0" w:color="000000"/>
              <w:bottom w:val="nil"/>
              <w:right w:val="nil"/>
            </w:tcBorders>
            <w:hideMark/>
          </w:tcPr>
          <w:p w:rsidR="000E0BC4" w:rsidRPr="00D2165A" w:rsidRDefault="000E0BC4">
            <w:pPr>
              <w:pStyle w:val="TableParagraph"/>
              <w:spacing w:before="6" w:line="218" w:lineRule="exact"/>
              <w:ind w:right="251"/>
              <w:jc w:val="right"/>
              <w:rPr>
                <w:rFonts w:ascii="Times New Roman" w:hAnsi="Times New Roman" w:cs="Times New Roman"/>
                <w:sz w:val="20"/>
              </w:rPr>
            </w:pPr>
            <w:r w:rsidRPr="00D2165A">
              <w:rPr>
                <w:rFonts w:ascii="Times New Roman" w:hAnsi="Times New Roman" w:cs="Times New Roman"/>
                <w:sz w:val="20"/>
              </w:rPr>
              <w:t>28</w:t>
            </w:r>
          </w:p>
        </w:tc>
        <w:tc>
          <w:tcPr>
            <w:tcW w:w="1373" w:type="dxa"/>
            <w:gridSpan w:val="3"/>
            <w:tcBorders>
              <w:top w:val="single" w:sz="4" w:space="0" w:color="000000"/>
              <w:left w:val="nil"/>
              <w:bottom w:val="nil"/>
              <w:right w:val="single" w:sz="4" w:space="0" w:color="000000"/>
            </w:tcBorders>
            <w:hideMark/>
          </w:tcPr>
          <w:p w:rsidR="000E0BC4" w:rsidRPr="00D2165A" w:rsidRDefault="000E0BC4">
            <w:pPr>
              <w:pStyle w:val="TableParagraph"/>
              <w:spacing w:before="6" w:line="218" w:lineRule="exact"/>
              <w:ind w:left="155"/>
              <w:jc w:val="center"/>
              <w:rPr>
                <w:rFonts w:ascii="Times New Roman" w:hAnsi="Times New Roman" w:cs="Times New Roman"/>
                <w:sz w:val="20"/>
              </w:rPr>
            </w:pPr>
            <w:r w:rsidRPr="00D2165A">
              <w:rPr>
                <w:rFonts w:ascii="Times New Roman" w:hAnsi="Times New Roman" w:cs="Times New Roman"/>
                <w:w w:val="103"/>
                <w:sz w:val="20"/>
              </w:rPr>
              <w:t>2</w:t>
            </w:r>
          </w:p>
        </w:tc>
        <w:tc>
          <w:tcPr>
            <w:tcW w:w="989" w:type="dxa"/>
            <w:tcBorders>
              <w:top w:val="single" w:sz="4" w:space="0" w:color="000000"/>
              <w:left w:val="single" w:sz="4" w:space="0" w:color="000000"/>
              <w:bottom w:val="nil"/>
              <w:right w:val="nil"/>
            </w:tcBorders>
            <w:hideMark/>
          </w:tcPr>
          <w:p w:rsidR="000E0BC4" w:rsidRPr="00D2165A" w:rsidRDefault="000E0BC4">
            <w:pPr>
              <w:pStyle w:val="TableParagraph"/>
              <w:spacing w:before="6" w:line="218" w:lineRule="exact"/>
              <w:ind w:right="480"/>
              <w:jc w:val="right"/>
              <w:rPr>
                <w:rFonts w:ascii="Times New Roman" w:hAnsi="Times New Roman" w:cs="Times New Roman"/>
                <w:sz w:val="20"/>
              </w:rPr>
            </w:pPr>
            <w:r w:rsidRPr="00D2165A">
              <w:rPr>
                <w:rFonts w:ascii="Times New Roman" w:hAnsi="Times New Roman" w:cs="Times New Roman"/>
                <w:sz w:val="20"/>
              </w:rPr>
              <w:t>28</w:t>
            </w:r>
          </w:p>
        </w:tc>
        <w:tc>
          <w:tcPr>
            <w:tcW w:w="1144" w:type="dxa"/>
            <w:tcBorders>
              <w:top w:val="single" w:sz="4" w:space="0" w:color="000000"/>
              <w:left w:val="nil"/>
              <w:bottom w:val="nil"/>
              <w:right w:val="nil"/>
            </w:tcBorders>
            <w:hideMark/>
          </w:tcPr>
          <w:p w:rsidR="000E0BC4" w:rsidRPr="00D2165A" w:rsidRDefault="000E0BC4">
            <w:pPr>
              <w:pStyle w:val="TableParagraph"/>
              <w:spacing w:before="6" w:line="218" w:lineRule="exact"/>
              <w:ind w:left="481"/>
              <w:rPr>
                <w:rFonts w:ascii="Times New Roman" w:hAnsi="Times New Roman" w:cs="Times New Roman"/>
                <w:sz w:val="20"/>
              </w:rPr>
            </w:pPr>
            <w:r w:rsidRPr="00D2165A">
              <w:rPr>
                <w:rFonts w:ascii="Times New Roman" w:hAnsi="Times New Roman" w:cs="Times New Roman"/>
                <w:w w:val="103"/>
                <w:sz w:val="20"/>
              </w:rPr>
              <w:t>2</w:t>
            </w:r>
          </w:p>
        </w:tc>
      </w:tr>
      <w:tr w:rsidR="000E0BC4" w:rsidRPr="00D2165A" w:rsidTr="000E0BC4">
        <w:trPr>
          <w:trHeight w:val="220"/>
        </w:trPr>
        <w:tc>
          <w:tcPr>
            <w:tcW w:w="2382" w:type="dxa"/>
            <w:tcBorders>
              <w:top w:val="nil"/>
              <w:left w:val="nil"/>
              <w:bottom w:val="nil"/>
              <w:right w:val="single" w:sz="4" w:space="0" w:color="000000"/>
            </w:tcBorders>
            <w:hideMark/>
          </w:tcPr>
          <w:p w:rsidR="000E0BC4" w:rsidRPr="00D2165A" w:rsidRDefault="000E0BC4">
            <w:pPr>
              <w:pStyle w:val="TableParagraph"/>
              <w:spacing w:before="3" w:line="215" w:lineRule="exact"/>
              <w:ind w:left="115"/>
              <w:rPr>
                <w:rFonts w:ascii="Times New Roman" w:hAnsi="Times New Roman" w:cs="Times New Roman"/>
                <w:b/>
                <w:sz w:val="20"/>
              </w:rPr>
            </w:pPr>
            <w:r w:rsidRPr="00D2165A">
              <w:rPr>
                <w:rFonts w:ascii="Times New Roman" w:hAnsi="Times New Roman" w:cs="Times New Roman"/>
                <w:b/>
                <w:w w:val="105"/>
                <w:sz w:val="20"/>
              </w:rPr>
              <w:t>Fluid retention</w:t>
            </w:r>
          </w:p>
        </w:tc>
        <w:tc>
          <w:tcPr>
            <w:tcW w:w="955" w:type="dxa"/>
            <w:tcBorders>
              <w:top w:val="nil"/>
              <w:left w:val="single" w:sz="4" w:space="0" w:color="000000"/>
              <w:bottom w:val="nil"/>
              <w:right w:val="nil"/>
            </w:tcBorders>
            <w:hideMark/>
          </w:tcPr>
          <w:p w:rsidR="000E0BC4" w:rsidRPr="00D2165A" w:rsidRDefault="000E0BC4">
            <w:pPr>
              <w:pStyle w:val="TableParagraph"/>
              <w:spacing w:before="2" w:line="216" w:lineRule="exact"/>
              <w:ind w:right="445"/>
              <w:jc w:val="right"/>
              <w:rPr>
                <w:rFonts w:ascii="Times New Roman" w:hAnsi="Times New Roman" w:cs="Times New Roman"/>
                <w:sz w:val="20"/>
              </w:rPr>
            </w:pPr>
            <w:r w:rsidRPr="00D2165A">
              <w:rPr>
                <w:rFonts w:ascii="Times New Roman" w:hAnsi="Times New Roman" w:cs="Times New Roman"/>
                <w:sz w:val="20"/>
              </w:rPr>
              <w:t>34</w:t>
            </w:r>
          </w:p>
        </w:tc>
        <w:tc>
          <w:tcPr>
            <w:tcW w:w="1178" w:type="dxa"/>
            <w:tcBorders>
              <w:top w:val="nil"/>
              <w:left w:val="nil"/>
              <w:bottom w:val="nil"/>
              <w:right w:val="single" w:sz="4" w:space="0" w:color="000000"/>
            </w:tcBorders>
            <w:hideMark/>
          </w:tcPr>
          <w:p w:rsidR="000E0BC4" w:rsidRPr="00D2165A" w:rsidRDefault="000E0BC4">
            <w:pPr>
              <w:pStyle w:val="TableParagraph"/>
              <w:spacing w:before="2" w:line="216" w:lineRule="exact"/>
              <w:ind w:right="621"/>
              <w:jc w:val="right"/>
              <w:rPr>
                <w:rFonts w:ascii="Times New Roman" w:hAnsi="Times New Roman" w:cs="Times New Roman"/>
                <w:sz w:val="20"/>
              </w:rPr>
            </w:pPr>
            <w:r w:rsidRPr="00D2165A">
              <w:rPr>
                <w:rFonts w:ascii="Times New Roman" w:hAnsi="Times New Roman" w:cs="Times New Roman"/>
                <w:w w:val="103"/>
                <w:sz w:val="20"/>
              </w:rPr>
              <w:t>4</w:t>
            </w:r>
          </w:p>
        </w:tc>
        <w:tc>
          <w:tcPr>
            <w:tcW w:w="761" w:type="dxa"/>
            <w:tcBorders>
              <w:top w:val="nil"/>
              <w:left w:val="single" w:sz="4" w:space="0" w:color="000000"/>
              <w:bottom w:val="nil"/>
              <w:right w:val="nil"/>
            </w:tcBorders>
            <w:hideMark/>
          </w:tcPr>
          <w:p w:rsidR="000E0BC4" w:rsidRPr="00D2165A" w:rsidRDefault="000E0BC4">
            <w:pPr>
              <w:pStyle w:val="TableParagraph"/>
              <w:spacing w:before="2" w:line="216" w:lineRule="exact"/>
              <w:ind w:right="251"/>
              <w:jc w:val="right"/>
              <w:rPr>
                <w:rFonts w:ascii="Times New Roman" w:hAnsi="Times New Roman" w:cs="Times New Roman"/>
                <w:sz w:val="20"/>
              </w:rPr>
            </w:pPr>
            <w:r w:rsidRPr="00D2165A">
              <w:rPr>
                <w:rFonts w:ascii="Times New Roman" w:hAnsi="Times New Roman" w:cs="Times New Roman"/>
                <w:sz w:val="20"/>
              </w:rPr>
              <w:t>42</w:t>
            </w:r>
          </w:p>
        </w:tc>
        <w:tc>
          <w:tcPr>
            <w:tcW w:w="1373" w:type="dxa"/>
            <w:gridSpan w:val="3"/>
            <w:tcBorders>
              <w:top w:val="nil"/>
              <w:left w:val="nil"/>
              <w:bottom w:val="nil"/>
              <w:right w:val="single" w:sz="4" w:space="0" w:color="000000"/>
            </w:tcBorders>
            <w:hideMark/>
          </w:tcPr>
          <w:p w:rsidR="000E0BC4" w:rsidRPr="00D2165A" w:rsidRDefault="000E0BC4">
            <w:pPr>
              <w:pStyle w:val="TableParagraph"/>
              <w:spacing w:before="2" w:line="216" w:lineRule="exact"/>
              <w:ind w:left="155"/>
              <w:jc w:val="center"/>
              <w:rPr>
                <w:rFonts w:ascii="Times New Roman" w:hAnsi="Times New Roman" w:cs="Times New Roman"/>
                <w:sz w:val="20"/>
              </w:rPr>
            </w:pPr>
            <w:r w:rsidRPr="00D2165A">
              <w:rPr>
                <w:rFonts w:ascii="Times New Roman" w:hAnsi="Times New Roman" w:cs="Times New Roman"/>
                <w:w w:val="103"/>
                <w:sz w:val="20"/>
              </w:rPr>
              <w:t>6</w:t>
            </w:r>
          </w:p>
        </w:tc>
        <w:tc>
          <w:tcPr>
            <w:tcW w:w="989" w:type="dxa"/>
            <w:tcBorders>
              <w:top w:val="nil"/>
              <w:left w:val="single" w:sz="4" w:space="0" w:color="000000"/>
              <w:bottom w:val="nil"/>
              <w:right w:val="nil"/>
            </w:tcBorders>
            <w:hideMark/>
          </w:tcPr>
          <w:p w:rsidR="000E0BC4" w:rsidRPr="00D2165A" w:rsidRDefault="000E0BC4">
            <w:pPr>
              <w:pStyle w:val="TableParagraph"/>
              <w:spacing w:before="2" w:line="216" w:lineRule="exact"/>
              <w:ind w:right="480"/>
              <w:jc w:val="right"/>
              <w:rPr>
                <w:rFonts w:ascii="Times New Roman" w:hAnsi="Times New Roman" w:cs="Times New Roman"/>
                <w:sz w:val="20"/>
              </w:rPr>
            </w:pPr>
            <w:r w:rsidRPr="00D2165A">
              <w:rPr>
                <w:rFonts w:ascii="Times New Roman" w:hAnsi="Times New Roman" w:cs="Times New Roman"/>
                <w:sz w:val="20"/>
              </w:rPr>
              <w:t>48</w:t>
            </w:r>
          </w:p>
        </w:tc>
        <w:tc>
          <w:tcPr>
            <w:tcW w:w="1144" w:type="dxa"/>
            <w:hideMark/>
          </w:tcPr>
          <w:p w:rsidR="000E0BC4" w:rsidRPr="00D2165A" w:rsidRDefault="000E0BC4">
            <w:pPr>
              <w:pStyle w:val="TableParagraph"/>
              <w:spacing w:before="2" w:line="216" w:lineRule="exact"/>
              <w:ind w:left="481"/>
              <w:rPr>
                <w:rFonts w:ascii="Times New Roman" w:hAnsi="Times New Roman" w:cs="Times New Roman"/>
                <w:sz w:val="20"/>
              </w:rPr>
            </w:pPr>
            <w:r w:rsidRPr="00D2165A">
              <w:rPr>
                <w:rFonts w:ascii="Times New Roman" w:hAnsi="Times New Roman" w:cs="Times New Roman"/>
                <w:w w:val="103"/>
                <w:sz w:val="20"/>
              </w:rPr>
              <w:t>7</w:t>
            </w:r>
          </w:p>
        </w:tc>
      </w:tr>
      <w:tr w:rsidR="000E0BC4" w:rsidRPr="00D2165A" w:rsidTr="000E0BC4">
        <w:trPr>
          <w:trHeight w:val="220"/>
        </w:trPr>
        <w:tc>
          <w:tcPr>
            <w:tcW w:w="2382" w:type="dxa"/>
            <w:tcBorders>
              <w:top w:val="nil"/>
              <w:left w:val="nil"/>
              <w:bottom w:val="nil"/>
              <w:right w:val="single" w:sz="4" w:space="0" w:color="000000"/>
            </w:tcBorders>
            <w:hideMark/>
          </w:tcPr>
          <w:p w:rsidR="000E0BC4" w:rsidRPr="00D2165A" w:rsidRDefault="000E0BC4">
            <w:pPr>
              <w:pStyle w:val="TableParagraph"/>
              <w:spacing w:before="1" w:line="216" w:lineRule="exact"/>
              <w:ind w:right="318" w:firstLine="452"/>
              <w:rPr>
                <w:rFonts w:ascii="Times New Roman" w:hAnsi="Times New Roman" w:cs="Times New Roman"/>
                <w:sz w:val="20"/>
              </w:rPr>
            </w:pPr>
            <w:r w:rsidRPr="00D2165A">
              <w:rPr>
                <w:rFonts w:ascii="Times New Roman" w:hAnsi="Times New Roman" w:cs="Times New Roman"/>
                <w:sz w:val="20"/>
              </w:rPr>
              <w:t>Superficial oedema</w:t>
            </w:r>
          </w:p>
        </w:tc>
        <w:tc>
          <w:tcPr>
            <w:tcW w:w="955" w:type="dxa"/>
            <w:tcBorders>
              <w:top w:val="nil"/>
              <w:left w:val="single" w:sz="4" w:space="0" w:color="000000"/>
              <w:bottom w:val="nil"/>
              <w:right w:val="nil"/>
            </w:tcBorders>
            <w:hideMark/>
          </w:tcPr>
          <w:p w:rsidR="000E0BC4" w:rsidRPr="00D2165A" w:rsidRDefault="000E0BC4">
            <w:pPr>
              <w:pStyle w:val="TableParagraph"/>
              <w:spacing w:before="1" w:line="216" w:lineRule="exact"/>
              <w:ind w:right="445"/>
              <w:jc w:val="right"/>
              <w:rPr>
                <w:rFonts w:ascii="Times New Roman" w:hAnsi="Times New Roman" w:cs="Times New Roman"/>
                <w:sz w:val="20"/>
              </w:rPr>
            </w:pPr>
            <w:r w:rsidRPr="00D2165A">
              <w:rPr>
                <w:rFonts w:ascii="Times New Roman" w:hAnsi="Times New Roman" w:cs="Times New Roman"/>
                <w:sz w:val="20"/>
              </w:rPr>
              <w:t>18</w:t>
            </w:r>
          </w:p>
        </w:tc>
        <w:tc>
          <w:tcPr>
            <w:tcW w:w="1178" w:type="dxa"/>
            <w:tcBorders>
              <w:top w:val="nil"/>
              <w:left w:val="nil"/>
              <w:bottom w:val="nil"/>
              <w:right w:val="single" w:sz="4" w:space="0" w:color="000000"/>
            </w:tcBorders>
            <w:hideMark/>
          </w:tcPr>
          <w:p w:rsidR="000E0BC4" w:rsidRPr="00D2165A" w:rsidRDefault="000E0BC4">
            <w:pPr>
              <w:pStyle w:val="TableParagraph"/>
              <w:spacing w:before="1" w:line="216" w:lineRule="exact"/>
              <w:ind w:right="621"/>
              <w:jc w:val="right"/>
              <w:rPr>
                <w:rFonts w:ascii="Times New Roman" w:hAnsi="Times New Roman" w:cs="Times New Roman"/>
                <w:sz w:val="20"/>
              </w:rPr>
            </w:pPr>
            <w:r w:rsidRPr="00D2165A">
              <w:rPr>
                <w:rFonts w:ascii="Times New Roman" w:hAnsi="Times New Roman" w:cs="Times New Roman"/>
                <w:w w:val="103"/>
                <w:sz w:val="20"/>
              </w:rPr>
              <w:t>0</w:t>
            </w:r>
          </w:p>
        </w:tc>
        <w:tc>
          <w:tcPr>
            <w:tcW w:w="761" w:type="dxa"/>
            <w:tcBorders>
              <w:top w:val="nil"/>
              <w:left w:val="single" w:sz="4" w:space="0" w:color="000000"/>
              <w:bottom w:val="nil"/>
              <w:right w:val="nil"/>
            </w:tcBorders>
            <w:hideMark/>
          </w:tcPr>
          <w:p w:rsidR="000E0BC4" w:rsidRPr="00D2165A" w:rsidRDefault="000E0BC4">
            <w:pPr>
              <w:pStyle w:val="TableParagraph"/>
              <w:spacing w:before="1" w:line="216" w:lineRule="exact"/>
              <w:ind w:right="251"/>
              <w:jc w:val="right"/>
              <w:rPr>
                <w:rFonts w:ascii="Times New Roman" w:hAnsi="Times New Roman" w:cs="Times New Roman"/>
                <w:sz w:val="20"/>
              </w:rPr>
            </w:pPr>
            <w:r w:rsidRPr="00D2165A">
              <w:rPr>
                <w:rFonts w:ascii="Times New Roman" w:hAnsi="Times New Roman" w:cs="Times New Roman"/>
                <w:sz w:val="20"/>
              </w:rPr>
              <w:t>21</w:t>
            </w:r>
          </w:p>
        </w:tc>
        <w:tc>
          <w:tcPr>
            <w:tcW w:w="1373" w:type="dxa"/>
            <w:gridSpan w:val="3"/>
            <w:tcBorders>
              <w:top w:val="nil"/>
              <w:left w:val="nil"/>
              <w:bottom w:val="nil"/>
              <w:right w:val="single" w:sz="4" w:space="0" w:color="000000"/>
            </w:tcBorders>
            <w:hideMark/>
          </w:tcPr>
          <w:p w:rsidR="000E0BC4" w:rsidRPr="00D2165A" w:rsidRDefault="000E0BC4">
            <w:pPr>
              <w:pStyle w:val="TableParagraph"/>
              <w:spacing w:before="1" w:line="216" w:lineRule="exact"/>
              <w:ind w:left="155"/>
              <w:jc w:val="center"/>
              <w:rPr>
                <w:rFonts w:ascii="Times New Roman" w:hAnsi="Times New Roman" w:cs="Times New Roman"/>
                <w:sz w:val="20"/>
              </w:rPr>
            </w:pPr>
            <w:r w:rsidRPr="00D2165A">
              <w:rPr>
                <w:rFonts w:ascii="Times New Roman" w:hAnsi="Times New Roman" w:cs="Times New Roman"/>
                <w:w w:val="103"/>
                <w:sz w:val="20"/>
              </w:rPr>
              <w:t>0</w:t>
            </w:r>
          </w:p>
        </w:tc>
        <w:tc>
          <w:tcPr>
            <w:tcW w:w="989" w:type="dxa"/>
            <w:tcBorders>
              <w:top w:val="nil"/>
              <w:left w:val="single" w:sz="4" w:space="0" w:color="000000"/>
              <w:bottom w:val="nil"/>
              <w:right w:val="nil"/>
            </w:tcBorders>
            <w:hideMark/>
          </w:tcPr>
          <w:p w:rsidR="000E0BC4" w:rsidRPr="00D2165A" w:rsidRDefault="000E0BC4">
            <w:pPr>
              <w:pStyle w:val="TableParagraph"/>
              <w:spacing w:before="1" w:line="216" w:lineRule="exact"/>
              <w:ind w:right="480"/>
              <w:jc w:val="right"/>
              <w:rPr>
                <w:rFonts w:ascii="Times New Roman" w:hAnsi="Times New Roman" w:cs="Times New Roman"/>
                <w:sz w:val="20"/>
              </w:rPr>
            </w:pPr>
            <w:r w:rsidRPr="00D2165A">
              <w:rPr>
                <w:rFonts w:ascii="Times New Roman" w:hAnsi="Times New Roman" w:cs="Times New Roman"/>
                <w:sz w:val="20"/>
              </w:rPr>
              <w:t>22</w:t>
            </w:r>
          </w:p>
        </w:tc>
        <w:tc>
          <w:tcPr>
            <w:tcW w:w="1144" w:type="dxa"/>
            <w:hideMark/>
          </w:tcPr>
          <w:p w:rsidR="000E0BC4" w:rsidRPr="00D2165A" w:rsidRDefault="000E0BC4">
            <w:pPr>
              <w:pStyle w:val="TableParagraph"/>
              <w:spacing w:before="1" w:line="216" w:lineRule="exact"/>
              <w:ind w:left="481"/>
              <w:rPr>
                <w:rFonts w:ascii="Times New Roman" w:hAnsi="Times New Roman" w:cs="Times New Roman"/>
                <w:sz w:val="20"/>
              </w:rPr>
            </w:pPr>
            <w:r w:rsidRPr="00D2165A">
              <w:rPr>
                <w:rFonts w:ascii="Times New Roman" w:hAnsi="Times New Roman" w:cs="Times New Roman"/>
                <w:w w:val="103"/>
                <w:sz w:val="20"/>
              </w:rPr>
              <w:t>0</w:t>
            </w:r>
          </w:p>
        </w:tc>
      </w:tr>
      <w:tr w:rsidR="000E0BC4" w:rsidRPr="00D2165A" w:rsidTr="000E0BC4">
        <w:trPr>
          <w:trHeight w:val="220"/>
        </w:trPr>
        <w:tc>
          <w:tcPr>
            <w:tcW w:w="2382" w:type="dxa"/>
            <w:tcBorders>
              <w:top w:val="nil"/>
              <w:left w:val="nil"/>
              <w:bottom w:val="nil"/>
              <w:right w:val="single" w:sz="4" w:space="0" w:color="000000"/>
            </w:tcBorders>
            <w:hideMark/>
          </w:tcPr>
          <w:p w:rsidR="000E0BC4" w:rsidRPr="00D2165A" w:rsidRDefault="000E0BC4">
            <w:pPr>
              <w:pStyle w:val="TableParagraph"/>
              <w:spacing w:before="2" w:line="216" w:lineRule="exact"/>
              <w:ind w:left="27" w:firstLine="425"/>
              <w:rPr>
                <w:rFonts w:ascii="Times New Roman" w:hAnsi="Times New Roman" w:cs="Times New Roman"/>
                <w:sz w:val="20"/>
              </w:rPr>
            </w:pPr>
            <w:r w:rsidRPr="00D2165A">
              <w:rPr>
                <w:rFonts w:ascii="Times New Roman" w:hAnsi="Times New Roman" w:cs="Times New Roman"/>
              </w:rPr>
              <w:t>Pleural effusion</w:t>
            </w:r>
          </w:p>
        </w:tc>
        <w:tc>
          <w:tcPr>
            <w:tcW w:w="955" w:type="dxa"/>
            <w:tcBorders>
              <w:top w:val="nil"/>
              <w:left w:val="single" w:sz="4" w:space="0" w:color="000000"/>
              <w:bottom w:val="nil"/>
              <w:right w:val="nil"/>
            </w:tcBorders>
            <w:hideMark/>
          </w:tcPr>
          <w:p w:rsidR="000E0BC4" w:rsidRPr="00D2165A" w:rsidRDefault="000E0BC4">
            <w:pPr>
              <w:pStyle w:val="TableParagraph"/>
              <w:spacing w:before="2" w:line="216" w:lineRule="exact"/>
              <w:ind w:right="445"/>
              <w:jc w:val="right"/>
              <w:rPr>
                <w:rFonts w:ascii="Times New Roman" w:hAnsi="Times New Roman" w:cs="Times New Roman"/>
                <w:sz w:val="20"/>
              </w:rPr>
            </w:pPr>
            <w:r w:rsidRPr="00D2165A">
              <w:rPr>
                <w:rFonts w:ascii="Times New Roman" w:hAnsi="Times New Roman" w:cs="Times New Roman"/>
                <w:sz w:val="20"/>
              </w:rPr>
              <w:t>18</w:t>
            </w:r>
          </w:p>
        </w:tc>
        <w:tc>
          <w:tcPr>
            <w:tcW w:w="1178" w:type="dxa"/>
            <w:tcBorders>
              <w:top w:val="nil"/>
              <w:left w:val="nil"/>
              <w:bottom w:val="nil"/>
              <w:right w:val="single" w:sz="4" w:space="0" w:color="000000"/>
            </w:tcBorders>
            <w:hideMark/>
          </w:tcPr>
          <w:p w:rsidR="000E0BC4" w:rsidRPr="00D2165A" w:rsidRDefault="000E0BC4">
            <w:pPr>
              <w:pStyle w:val="TableParagraph"/>
              <w:spacing w:before="2" w:line="216" w:lineRule="exact"/>
              <w:ind w:right="621"/>
              <w:jc w:val="right"/>
              <w:rPr>
                <w:rFonts w:ascii="Times New Roman" w:hAnsi="Times New Roman" w:cs="Times New Roman"/>
                <w:sz w:val="20"/>
              </w:rPr>
            </w:pPr>
            <w:r w:rsidRPr="00D2165A">
              <w:rPr>
                <w:rFonts w:ascii="Times New Roman" w:hAnsi="Times New Roman" w:cs="Times New Roman"/>
                <w:w w:val="103"/>
                <w:sz w:val="20"/>
              </w:rPr>
              <w:t>2</w:t>
            </w:r>
          </w:p>
        </w:tc>
        <w:tc>
          <w:tcPr>
            <w:tcW w:w="761" w:type="dxa"/>
            <w:tcBorders>
              <w:top w:val="nil"/>
              <w:left w:val="single" w:sz="4" w:space="0" w:color="000000"/>
              <w:bottom w:val="nil"/>
              <w:right w:val="nil"/>
            </w:tcBorders>
            <w:hideMark/>
          </w:tcPr>
          <w:p w:rsidR="000E0BC4" w:rsidRPr="00D2165A" w:rsidRDefault="000E0BC4">
            <w:pPr>
              <w:pStyle w:val="TableParagraph"/>
              <w:spacing w:before="2" w:line="216" w:lineRule="exact"/>
              <w:ind w:right="250"/>
              <w:jc w:val="right"/>
              <w:rPr>
                <w:rFonts w:ascii="Times New Roman" w:hAnsi="Times New Roman" w:cs="Times New Roman"/>
                <w:sz w:val="20"/>
              </w:rPr>
            </w:pPr>
            <w:r w:rsidRPr="00D2165A">
              <w:rPr>
                <w:rFonts w:ascii="Times New Roman" w:hAnsi="Times New Roman" w:cs="Times New Roman"/>
                <w:sz w:val="20"/>
              </w:rPr>
              <w:t>24</w:t>
            </w:r>
          </w:p>
        </w:tc>
        <w:tc>
          <w:tcPr>
            <w:tcW w:w="1373" w:type="dxa"/>
            <w:gridSpan w:val="3"/>
            <w:tcBorders>
              <w:top w:val="nil"/>
              <w:left w:val="nil"/>
              <w:bottom w:val="nil"/>
              <w:right w:val="single" w:sz="4" w:space="0" w:color="000000"/>
            </w:tcBorders>
            <w:hideMark/>
          </w:tcPr>
          <w:p w:rsidR="000E0BC4" w:rsidRPr="00D2165A" w:rsidRDefault="000E0BC4">
            <w:pPr>
              <w:pStyle w:val="TableParagraph"/>
              <w:spacing w:before="2" w:line="216" w:lineRule="exact"/>
              <w:ind w:left="156"/>
              <w:jc w:val="center"/>
              <w:rPr>
                <w:rFonts w:ascii="Times New Roman" w:hAnsi="Times New Roman" w:cs="Times New Roman"/>
                <w:sz w:val="20"/>
              </w:rPr>
            </w:pPr>
            <w:r w:rsidRPr="00D2165A">
              <w:rPr>
                <w:rFonts w:ascii="Times New Roman" w:hAnsi="Times New Roman" w:cs="Times New Roman"/>
                <w:w w:val="103"/>
                <w:sz w:val="20"/>
              </w:rPr>
              <w:t>4</w:t>
            </w:r>
          </w:p>
        </w:tc>
        <w:tc>
          <w:tcPr>
            <w:tcW w:w="989" w:type="dxa"/>
            <w:tcBorders>
              <w:top w:val="nil"/>
              <w:left w:val="single" w:sz="4" w:space="0" w:color="000000"/>
              <w:bottom w:val="nil"/>
              <w:right w:val="nil"/>
            </w:tcBorders>
            <w:hideMark/>
          </w:tcPr>
          <w:p w:rsidR="000E0BC4" w:rsidRPr="00D2165A" w:rsidRDefault="000E0BC4">
            <w:pPr>
              <w:pStyle w:val="TableParagraph"/>
              <w:spacing w:before="2" w:line="216" w:lineRule="exact"/>
              <w:ind w:right="479"/>
              <w:jc w:val="right"/>
              <w:rPr>
                <w:rFonts w:ascii="Times New Roman" w:hAnsi="Times New Roman" w:cs="Times New Roman"/>
                <w:sz w:val="20"/>
              </w:rPr>
            </w:pPr>
            <w:r w:rsidRPr="00D2165A">
              <w:rPr>
                <w:rFonts w:ascii="Times New Roman" w:hAnsi="Times New Roman" w:cs="Times New Roman"/>
                <w:sz w:val="20"/>
              </w:rPr>
              <w:t>28</w:t>
            </w:r>
          </w:p>
        </w:tc>
        <w:tc>
          <w:tcPr>
            <w:tcW w:w="1144" w:type="dxa"/>
            <w:hideMark/>
          </w:tcPr>
          <w:p w:rsidR="000E0BC4" w:rsidRPr="00D2165A" w:rsidRDefault="000E0BC4">
            <w:pPr>
              <w:pStyle w:val="TableParagraph"/>
              <w:spacing w:before="2" w:line="216" w:lineRule="exact"/>
              <w:ind w:left="481"/>
              <w:rPr>
                <w:rFonts w:ascii="Times New Roman" w:hAnsi="Times New Roman" w:cs="Times New Roman"/>
                <w:sz w:val="20"/>
              </w:rPr>
            </w:pPr>
            <w:r w:rsidRPr="00D2165A">
              <w:rPr>
                <w:rFonts w:ascii="Times New Roman" w:hAnsi="Times New Roman" w:cs="Times New Roman"/>
                <w:w w:val="103"/>
                <w:sz w:val="20"/>
              </w:rPr>
              <w:t>5</w:t>
            </w:r>
          </w:p>
        </w:tc>
      </w:tr>
      <w:tr w:rsidR="000E0BC4" w:rsidRPr="00D2165A" w:rsidTr="000E0BC4">
        <w:trPr>
          <w:trHeight w:val="220"/>
        </w:trPr>
        <w:tc>
          <w:tcPr>
            <w:tcW w:w="2382" w:type="dxa"/>
            <w:tcBorders>
              <w:top w:val="nil"/>
              <w:left w:val="nil"/>
              <w:bottom w:val="nil"/>
              <w:right w:val="single" w:sz="4" w:space="0" w:color="000000"/>
            </w:tcBorders>
            <w:hideMark/>
          </w:tcPr>
          <w:p w:rsidR="000E0BC4" w:rsidRPr="00D2165A" w:rsidRDefault="000E0BC4">
            <w:pPr>
              <w:pStyle w:val="TableParagraph"/>
              <w:spacing w:before="1" w:line="216" w:lineRule="exact"/>
              <w:ind w:right="237" w:firstLine="452"/>
              <w:rPr>
                <w:rFonts w:ascii="Times New Roman" w:hAnsi="Times New Roman" w:cs="Times New Roman"/>
              </w:rPr>
            </w:pPr>
            <w:r w:rsidRPr="00D2165A">
              <w:rPr>
                <w:rFonts w:ascii="Times New Roman" w:hAnsi="Times New Roman" w:cs="Times New Roman"/>
              </w:rPr>
              <w:t xml:space="preserve">Generalised  </w:t>
            </w:r>
          </w:p>
          <w:p w:rsidR="000E0BC4" w:rsidRPr="00D2165A" w:rsidRDefault="000E0BC4">
            <w:pPr>
              <w:pStyle w:val="TableParagraph"/>
              <w:spacing w:before="1" w:line="216" w:lineRule="exact"/>
              <w:ind w:right="237" w:firstLine="452"/>
              <w:rPr>
                <w:rFonts w:ascii="Times New Roman" w:hAnsi="Times New Roman" w:cs="Times New Roman"/>
              </w:rPr>
            </w:pPr>
            <w:r w:rsidRPr="00D2165A">
              <w:rPr>
                <w:rFonts w:ascii="Times New Roman" w:hAnsi="Times New Roman" w:cs="Times New Roman"/>
              </w:rPr>
              <w:t>oedema</w:t>
            </w:r>
          </w:p>
        </w:tc>
        <w:tc>
          <w:tcPr>
            <w:tcW w:w="955" w:type="dxa"/>
            <w:tcBorders>
              <w:top w:val="nil"/>
              <w:left w:val="single" w:sz="4" w:space="0" w:color="000000"/>
              <w:bottom w:val="nil"/>
              <w:right w:val="nil"/>
            </w:tcBorders>
            <w:hideMark/>
          </w:tcPr>
          <w:p w:rsidR="000E0BC4" w:rsidRPr="00D2165A" w:rsidRDefault="000E0BC4">
            <w:pPr>
              <w:pStyle w:val="TableParagraph"/>
              <w:spacing w:before="1" w:line="216" w:lineRule="exact"/>
              <w:ind w:right="444"/>
              <w:jc w:val="right"/>
              <w:rPr>
                <w:rFonts w:ascii="Times New Roman" w:hAnsi="Times New Roman" w:cs="Times New Roman"/>
                <w:sz w:val="20"/>
              </w:rPr>
            </w:pPr>
            <w:r w:rsidRPr="00D2165A">
              <w:rPr>
                <w:rFonts w:ascii="Times New Roman" w:hAnsi="Times New Roman" w:cs="Times New Roman"/>
                <w:w w:val="103"/>
                <w:sz w:val="20"/>
              </w:rPr>
              <w:t>3</w:t>
            </w:r>
          </w:p>
        </w:tc>
        <w:tc>
          <w:tcPr>
            <w:tcW w:w="1178" w:type="dxa"/>
            <w:tcBorders>
              <w:top w:val="nil"/>
              <w:left w:val="nil"/>
              <w:bottom w:val="nil"/>
              <w:right w:val="single" w:sz="4" w:space="0" w:color="000000"/>
            </w:tcBorders>
            <w:hideMark/>
          </w:tcPr>
          <w:p w:rsidR="000E0BC4" w:rsidRPr="00D2165A" w:rsidRDefault="000E0BC4">
            <w:pPr>
              <w:pStyle w:val="TableParagraph"/>
              <w:spacing w:before="1" w:line="216" w:lineRule="exact"/>
              <w:ind w:right="620"/>
              <w:jc w:val="right"/>
              <w:rPr>
                <w:rFonts w:ascii="Times New Roman" w:hAnsi="Times New Roman" w:cs="Times New Roman"/>
                <w:sz w:val="20"/>
              </w:rPr>
            </w:pPr>
            <w:r w:rsidRPr="00D2165A">
              <w:rPr>
                <w:rFonts w:ascii="Times New Roman" w:hAnsi="Times New Roman" w:cs="Times New Roman"/>
                <w:w w:val="103"/>
                <w:sz w:val="20"/>
              </w:rPr>
              <w:t>0</w:t>
            </w:r>
          </w:p>
        </w:tc>
        <w:tc>
          <w:tcPr>
            <w:tcW w:w="761" w:type="dxa"/>
            <w:tcBorders>
              <w:top w:val="nil"/>
              <w:left w:val="single" w:sz="4" w:space="0" w:color="000000"/>
              <w:bottom w:val="nil"/>
              <w:right w:val="nil"/>
            </w:tcBorders>
            <w:hideMark/>
          </w:tcPr>
          <w:p w:rsidR="000E0BC4" w:rsidRPr="00D2165A" w:rsidRDefault="000E0BC4">
            <w:pPr>
              <w:pStyle w:val="TableParagraph"/>
              <w:spacing w:before="1" w:line="216" w:lineRule="exact"/>
              <w:ind w:right="249"/>
              <w:jc w:val="right"/>
              <w:rPr>
                <w:rFonts w:ascii="Times New Roman" w:hAnsi="Times New Roman" w:cs="Times New Roman"/>
                <w:sz w:val="20"/>
              </w:rPr>
            </w:pPr>
            <w:r w:rsidRPr="00D2165A">
              <w:rPr>
                <w:rFonts w:ascii="Times New Roman" w:hAnsi="Times New Roman" w:cs="Times New Roman"/>
                <w:w w:val="103"/>
                <w:sz w:val="20"/>
              </w:rPr>
              <w:t>4</w:t>
            </w:r>
          </w:p>
        </w:tc>
        <w:tc>
          <w:tcPr>
            <w:tcW w:w="1373" w:type="dxa"/>
            <w:gridSpan w:val="3"/>
            <w:tcBorders>
              <w:top w:val="nil"/>
              <w:left w:val="nil"/>
              <w:bottom w:val="nil"/>
              <w:right w:val="single" w:sz="4" w:space="0" w:color="000000"/>
            </w:tcBorders>
            <w:hideMark/>
          </w:tcPr>
          <w:p w:rsidR="000E0BC4" w:rsidRPr="00D2165A" w:rsidRDefault="000E0BC4">
            <w:pPr>
              <w:pStyle w:val="TableParagraph"/>
              <w:spacing w:before="1" w:line="216" w:lineRule="exact"/>
              <w:ind w:left="158"/>
              <w:jc w:val="center"/>
              <w:rPr>
                <w:rFonts w:ascii="Times New Roman" w:hAnsi="Times New Roman" w:cs="Times New Roman"/>
                <w:sz w:val="20"/>
              </w:rPr>
            </w:pPr>
            <w:r w:rsidRPr="00D2165A">
              <w:rPr>
                <w:rFonts w:ascii="Times New Roman" w:hAnsi="Times New Roman" w:cs="Times New Roman"/>
                <w:w w:val="103"/>
                <w:sz w:val="20"/>
              </w:rPr>
              <w:t>0</w:t>
            </w:r>
          </w:p>
        </w:tc>
        <w:tc>
          <w:tcPr>
            <w:tcW w:w="989" w:type="dxa"/>
            <w:tcBorders>
              <w:top w:val="nil"/>
              <w:left w:val="single" w:sz="4" w:space="0" w:color="000000"/>
              <w:bottom w:val="nil"/>
              <w:right w:val="nil"/>
            </w:tcBorders>
            <w:hideMark/>
          </w:tcPr>
          <w:p w:rsidR="000E0BC4" w:rsidRPr="00D2165A" w:rsidRDefault="000E0BC4">
            <w:pPr>
              <w:pStyle w:val="TableParagraph"/>
              <w:spacing w:before="1" w:line="216" w:lineRule="exact"/>
              <w:ind w:right="479"/>
              <w:jc w:val="right"/>
              <w:rPr>
                <w:rFonts w:ascii="Times New Roman" w:hAnsi="Times New Roman" w:cs="Times New Roman"/>
                <w:sz w:val="20"/>
              </w:rPr>
            </w:pPr>
            <w:r w:rsidRPr="00D2165A">
              <w:rPr>
                <w:rFonts w:ascii="Times New Roman" w:hAnsi="Times New Roman" w:cs="Times New Roman"/>
                <w:w w:val="103"/>
                <w:sz w:val="20"/>
              </w:rPr>
              <w:t>4</w:t>
            </w:r>
          </w:p>
        </w:tc>
        <w:tc>
          <w:tcPr>
            <w:tcW w:w="1144" w:type="dxa"/>
            <w:hideMark/>
          </w:tcPr>
          <w:p w:rsidR="000E0BC4" w:rsidRPr="00D2165A" w:rsidRDefault="000E0BC4">
            <w:pPr>
              <w:pStyle w:val="TableParagraph"/>
              <w:spacing w:before="1" w:line="216" w:lineRule="exact"/>
              <w:ind w:left="482"/>
              <w:rPr>
                <w:rFonts w:ascii="Times New Roman" w:hAnsi="Times New Roman" w:cs="Times New Roman"/>
                <w:sz w:val="20"/>
              </w:rPr>
            </w:pPr>
            <w:r w:rsidRPr="00D2165A">
              <w:rPr>
                <w:rFonts w:ascii="Times New Roman" w:hAnsi="Times New Roman" w:cs="Times New Roman"/>
                <w:w w:val="103"/>
                <w:sz w:val="20"/>
              </w:rPr>
              <w:t>0</w:t>
            </w:r>
          </w:p>
        </w:tc>
      </w:tr>
      <w:tr w:rsidR="000E0BC4" w:rsidRPr="00D2165A" w:rsidTr="000E0BC4">
        <w:trPr>
          <w:trHeight w:val="220"/>
        </w:trPr>
        <w:tc>
          <w:tcPr>
            <w:tcW w:w="2382" w:type="dxa"/>
            <w:tcBorders>
              <w:top w:val="nil"/>
              <w:left w:val="nil"/>
              <w:bottom w:val="nil"/>
              <w:right w:val="single" w:sz="4" w:space="0" w:color="000000"/>
            </w:tcBorders>
            <w:hideMark/>
          </w:tcPr>
          <w:p w:rsidR="000E0BC4" w:rsidRPr="00D2165A" w:rsidRDefault="000E0BC4">
            <w:pPr>
              <w:pStyle w:val="TableParagraph"/>
              <w:spacing w:before="1" w:line="216" w:lineRule="exact"/>
              <w:ind w:right="295" w:firstLine="452"/>
              <w:rPr>
                <w:rFonts w:ascii="Times New Roman" w:hAnsi="Times New Roman" w:cs="Times New Roman"/>
              </w:rPr>
            </w:pPr>
            <w:r w:rsidRPr="00D2165A">
              <w:rPr>
                <w:rFonts w:ascii="Times New Roman" w:hAnsi="Times New Roman" w:cs="Times New Roman"/>
              </w:rPr>
              <w:t xml:space="preserve">Pericardial </w:t>
            </w:r>
          </w:p>
          <w:p w:rsidR="000E0BC4" w:rsidRPr="00D2165A" w:rsidRDefault="000E0BC4">
            <w:pPr>
              <w:pStyle w:val="TableParagraph"/>
              <w:spacing w:before="1" w:line="216" w:lineRule="exact"/>
              <w:ind w:right="295" w:firstLine="452"/>
              <w:rPr>
                <w:rFonts w:ascii="Times New Roman" w:hAnsi="Times New Roman" w:cs="Times New Roman"/>
                <w:sz w:val="20"/>
              </w:rPr>
            </w:pPr>
            <w:r w:rsidRPr="00D2165A">
              <w:rPr>
                <w:rFonts w:ascii="Times New Roman" w:hAnsi="Times New Roman" w:cs="Times New Roman"/>
              </w:rPr>
              <w:t>effusion</w:t>
            </w:r>
          </w:p>
        </w:tc>
        <w:tc>
          <w:tcPr>
            <w:tcW w:w="955" w:type="dxa"/>
            <w:tcBorders>
              <w:top w:val="nil"/>
              <w:left w:val="single" w:sz="4" w:space="0" w:color="000000"/>
              <w:bottom w:val="nil"/>
              <w:right w:val="nil"/>
            </w:tcBorders>
            <w:hideMark/>
          </w:tcPr>
          <w:p w:rsidR="000E0BC4" w:rsidRPr="00D2165A" w:rsidRDefault="000E0BC4">
            <w:pPr>
              <w:pStyle w:val="TableParagraph"/>
              <w:spacing w:before="1" w:line="216" w:lineRule="exact"/>
              <w:ind w:right="444"/>
              <w:jc w:val="right"/>
              <w:rPr>
                <w:rFonts w:ascii="Times New Roman" w:hAnsi="Times New Roman" w:cs="Times New Roman"/>
                <w:sz w:val="20"/>
              </w:rPr>
            </w:pPr>
            <w:r w:rsidRPr="00D2165A">
              <w:rPr>
                <w:rFonts w:ascii="Times New Roman" w:hAnsi="Times New Roman" w:cs="Times New Roman"/>
                <w:w w:val="103"/>
                <w:sz w:val="20"/>
              </w:rPr>
              <w:t>2</w:t>
            </w:r>
          </w:p>
        </w:tc>
        <w:tc>
          <w:tcPr>
            <w:tcW w:w="1178" w:type="dxa"/>
            <w:tcBorders>
              <w:top w:val="nil"/>
              <w:left w:val="nil"/>
              <w:bottom w:val="nil"/>
              <w:right w:val="single" w:sz="4" w:space="0" w:color="000000"/>
            </w:tcBorders>
            <w:hideMark/>
          </w:tcPr>
          <w:p w:rsidR="000E0BC4" w:rsidRPr="00D2165A" w:rsidRDefault="000E0BC4">
            <w:pPr>
              <w:pStyle w:val="TableParagraph"/>
              <w:spacing w:before="1" w:line="216" w:lineRule="exact"/>
              <w:ind w:right="620"/>
              <w:jc w:val="right"/>
              <w:rPr>
                <w:rFonts w:ascii="Times New Roman" w:hAnsi="Times New Roman" w:cs="Times New Roman"/>
                <w:sz w:val="20"/>
              </w:rPr>
            </w:pPr>
            <w:r w:rsidRPr="00D2165A">
              <w:rPr>
                <w:rFonts w:ascii="Times New Roman" w:hAnsi="Times New Roman" w:cs="Times New Roman"/>
                <w:w w:val="103"/>
                <w:sz w:val="20"/>
              </w:rPr>
              <w:t>1</w:t>
            </w:r>
          </w:p>
        </w:tc>
        <w:tc>
          <w:tcPr>
            <w:tcW w:w="761" w:type="dxa"/>
            <w:tcBorders>
              <w:top w:val="nil"/>
              <w:left w:val="single" w:sz="4" w:space="0" w:color="000000"/>
              <w:bottom w:val="nil"/>
              <w:right w:val="nil"/>
            </w:tcBorders>
            <w:hideMark/>
          </w:tcPr>
          <w:p w:rsidR="000E0BC4" w:rsidRPr="00D2165A" w:rsidRDefault="000E0BC4">
            <w:pPr>
              <w:pStyle w:val="TableParagraph"/>
              <w:spacing w:before="1" w:line="216" w:lineRule="exact"/>
              <w:ind w:right="250"/>
              <w:jc w:val="right"/>
              <w:rPr>
                <w:rFonts w:ascii="Times New Roman" w:hAnsi="Times New Roman" w:cs="Times New Roman"/>
                <w:sz w:val="20"/>
              </w:rPr>
            </w:pPr>
            <w:r w:rsidRPr="00D2165A">
              <w:rPr>
                <w:rFonts w:ascii="Times New Roman" w:hAnsi="Times New Roman" w:cs="Times New Roman"/>
                <w:w w:val="103"/>
                <w:sz w:val="20"/>
              </w:rPr>
              <w:t>2</w:t>
            </w:r>
          </w:p>
        </w:tc>
        <w:tc>
          <w:tcPr>
            <w:tcW w:w="1373" w:type="dxa"/>
            <w:gridSpan w:val="3"/>
            <w:tcBorders>
              <w:top w:val="nil"/>
              <w:left w:val="nil"/>
              <w:bottom w:val="nil"/>
              <w:right w:val="single" w:sz="4" w:space="0" w:color="000000"/>
            </w:tcBorders>
            <w:hideMark/>
          </w:tcPr>
          <w:p w:rsidR="000E0BC4" w:rsidRPr="00D2165A" w:rsidRDefault="000E0BC4">
            <w:pPr>
              <w:pStyle w:val="TableParagraph"/>
              <w:spacing w:before="1" w:line="216" w:lineRule="exact"/>
              <w:ind w:left="157"/>
              <w:jc w:val="center"/>
              <w:rPr>
                <w:rFonts w:ascii="Times New Roman" w:hAnsi="Times New Roman" w:cs="Times New Roman"/>
                <w:sz w:val="20"/>
              </w:rPr>
            </w:pPr>
            <w:r w:rsidRPr="00D2165A">
              <w:rPr>
                <w:rFonts w:ascii="Times New Roman" w:hAnsi="Times New Roman" w:cs="Times New Roman"/>
                <w:w w:val="103"/>
                <w:sz w:val="20"/>
              </w:rPr>
              <w:t>1</w:t>
            </w:r>
          </w:p>
        </w:tc>
        <w:tc>
          <w:tcPr>
            <w:tcW w:w="989" w:type="dxa"/>
            <w:tcBorders>
              <w:top w:val="nil"/>
              <w:left w:val="single" w:sz="4" w:space="0" w:color="000000"/>
              <w:bottom w:val="nil"/>
              <w:right w:val="nil"/>
            </w:tcBorders>
            <w:hideMark/>
          </w:tcPr>
          <w:p w:rsidR="000E0BC4" w:rsidRPr="00D2165A" w:rsidRDefault="000E0BC4">
            <w:pPr>
              <w:pStyle w:val="TableParagraph"/>
              <w:spacing w:before="1" w:line="216" w:lineRule="exact"/>
              <w:ind w:right="479"/>
              <w:jc w:val="right"/>
              <w:rPr>
                <w:rFonts w:ascii="Times New Roman" w:hAnsi="Times New Roman" w:cs="Times New Roman"/>
                <w:sz w:val="20"/>
              </w:rPr>
            </w:pPr>
            <w:r w:rsidRPr="00D2165A">
              <w:rPr>
                <w:rFonts w:ascii="Times New Roman" w:hAnsi="Times New Roman" w:cs="Times New Roman"/>
                <w:w w:val="103"/>
                <w:sz w:val="20"/>
              </w:rPr>
              <w:t>3</w:t>
            </w:r>
          </w:p>
        </w:tc>
        <w:tc>
          <w:tcPr>
            <w:tcW w:w="1144" w:type="dxa"/>
            <w:hideMark/>
          </w:tcPr>
          <w:p w:rsidR="000E0BC4" w:rsidRPr="00D2165A" w:rsidRDefault="000E0BC4">
            <w:pPr>
              <w:pStyle w:val="TableParagraph"/>
              <w:spacing w:before="1" w:line="216" w:lineRule="exact"/>
              <w:ind w:left="481"/>
              <w:rPr>
                <w:rFonts w:ascii="Times New Roman" w:hAnsi="Times New Roman" w:cs="Times New Roman"/>
                <w:sz w:val="20"/>
              </w:rPr>
            </w:pPr>
            <w:r w:rsidRPr="00D2165A">
              <w:rPr>
                <w:rFonts w:ascii="Times New Roman" w:hAnsi="Times New Roman" w:cs="Times New Roman"/>
                <w:w w:val="103"/>
                <w:sz w:val="20"/>
              </w:rPr>
              <w:t>1</w:t>
            </w:r>
          </w:p>
        </w:tc>
      </w:tr>
      <w:tr w:rsidR="000E0BC4" w:rsidRPr="00D2165A" w:rsidTr="000E0BC4">
        <w:trPr>
          <w:trHeight w:val="460"/>
        </w:trPr>
        <w:tc>
          <w:tcPr>
            <w:tcW w:w="2382" w:type="dxa"/>
            <w:tcBorders>
              <w:top w:val="nil"/>
              <w:left w:val="nil"/>
              <w:bottom w:val="nil"/>
              <w:right w:val="single" w:sz="4" w:space="0" w:color="000000"/>
            </w:tcBorders>
            <w:hideMark/>
          </w:tcPr>
          <w:p w:rsidR="000E0BC4" w:rsidRPr="00D2165A" w:rsidRDefault="000E0BC4">
            <w:pPr>
              <w:pStyle w:val="TableParagraph"/>
              <w:ind w:left="467" w:right="235"/>
              <w:rPr>
                <w:rFonts w:ascii="Times New Roman" w:hAnsi="Times New Roman" w:cs="Times New Roman"/>
                <w:sz w:val="20"/>
              </w:rPr>
            </w:pPr>
            <w:r w:rsidRPr="00D2165A">
              <w:rPr>
                <w:rFonts w:ascii="Times New Roman" w:hAnsi="Times New Roman" w:cs="Times New Roman"/>
                <w:w w:val="105"/>
                <w:sz w:val="20"/>
              </w:rPr>
              <w:t>Pulmonary</w:t>
            </w:r>
            <w:r w:rsidRPr="00D2165A">
              <w:rPr>
                <w:rFonts w:ascii="Times New Roman" w:hAnsi="Times New Roman" w:cs="Times New Roman"/>
                <w:sz w:val="20"/>
              </w:rPr>
              <w:t xml:space="preserve"> </w:t>
            </w:r>
            <w:r w:rsidRPr="00D2165A">
              <w:rPr>
                <w:rFonts w:ascii="Times New Roman" w:hAnsi="Times New Roman" w:cs="Times New Roman"/>
                <w:w w:val="105"/>
                <w:sz w:val="20"/>
              </w:rPr>
              <w:t>hypertension</w:t>
            </w:r>
          </w:p>
        </w:tc>
        <w:tc>
          <w:tcPr>
            <w:tcW w:w="955" w:type="dxa"/>
            <w:tcBorders>
              <w:top w:val="nil"/>
              <w:left w:val="single" w:sz="4" w:space="0" w:color="000000"/>
              <w:bottom w:val="nil"/>
              <w:right w:val="nil"/>
            </w:tcBorders>
            <w:hideMark/>
          </w:tcPr>
          <w:p w:rsidR="000E0BC4" w:rsidRPr="00D2165A" w:rsidRDefault="000E0BC4">
            <w:pPr>
              <w:pStyle w:val="TableParagraph"/>
              <w:spacing w:before="121"/>
              <w:ind w:right="445"/>
              <w:jc w:val="right"/>
              <w:rPr>
                <w:rFonts w:ascii="Times New Roman" w:hAnsi="Times New Roman" w:cs="Times New Roman"/>
                <w:sz w:val="20"/>
              </w:rPr>
            </w:pPr>
            <w:r w:rsidRPr="00D2165A">
              <w:rPr>
                <w:rFonts w:ascii="Times New Roman" w:hAnsi="Times New Roman" w:cs="Times New Roman"/>
                <w:w w:val="103"/>
                <w:sz w:val="20"/>
              </w:rPr>
              <w:t>0</w:t>
            </w:r>
          </w:p>
        </w:tc>
        <w:tc>
          <w:tcPr>
            <w:tcW w:w="1178" w:type="dxa"/>
            <w:tcBorders>
              <w:top w:val="nil"/>
              <w:left w:val="nil"/>
              <w:bottom w:val="nil"/>
              <w:right w:val="single" w:sz="4" w:space="0" w:color="000000"/>
            </w:tcBorders>
            <w:hideMark/>
          </w:tcPr>
          <w:p w:rsidR="000E0BC4" w:rsidRPr="00D2165A" w:rsidRDefault="000E0BC4">
            <w:pPr>
              <w:pStyle w:val="TableParagraph"/>
              <w:spacing w:before="121"/>
              <w:ind w:right="621"/>
              <w:jc w:val="right"/>
              <w:rPr>
                <w:rFonts w:ascii="Times New Roman" w:hAnsi="Times New Roman" w:cs="Times New Roman"/>
                <w:sz w:val="20"/>
              </w:rPr>
            </w:pPr>
            <w:r w:rsidRPr="00D2165A">
              <w:rPr>
                <w:rFonts w:ascii="Times New Roman" w:hAnsi="Times New Roman" w:cs="Times New Roman"/>
                <w:w w:val="103"/>
                <w:sz w:val="20"/>
              </w:rPr>
              <w:t>0</w:t>
            </w:r>
          </w:p>
        </w:tc>
        <w:tc>
          <w:tcPr>
            <w:tcW w:w="761" w:type="dxa"/>
            <w:tcBorders>
              <w:top w:val="nil"/>
              <w:left w:val="single" w:sz="4" w:space="0" w:color="000000"/>
              <w:bottom w:val="nil"/>
              <w:right w:val="nil"/>
            </w:tcBorders>
            <w:hideMark/>
          </w:tcPr>
          <w:p w:rsidR="000E0BC4" w:rsidRPr="00D2165A" w:rsidRDefault="000E0BC4">
            <w:pPr>
              <w:pStyle w:val="TableParagraph"/>
              <w:spacing w:before="121"/>
              <w:ind w:right="251"/>
              <w:jc w:val="right"/>
              <w:rPr>
                <w:rFonts w:ascii="Times New Roman" w:hAnsi="Times New Roman" w:cs="Times New Roman"/>
                <w:sz w:val="20"/>
              </w:rPr>
            </w:pPr>
            <w:r w:rsidRPr="00D2165A">
              <w:rPr>
                <w:rFonts w:ascii="Times New Roman" w:hAnsi="Times New Roman" w:cs="Times New Roman"/>
                <w:w w:val="103"/>
                <w:sz w:val="20"/>
              </w:rPr>
              <w:t>0</w:t>
            </w:r>
          </w:p>
        </w:tc>
        <w:tc>
          <w:tcPr>
            <w:tcW w:w="1373" w:type="dxa"/>
            <w:gridSpan w:val="3"/>
            <w:tcBorders>
              <w:top w:val="nil"/>
              <w:left w:val="nil"/>
              <w:bottom w:val="nil"/>
              <w:right w:val="single" w:sz="4" w:space="0" w:color="000000"/>
            </w:tcBorders>
            <w:hideMark/>
          </w:tcPr>
          <w:p w:rsidR="000E0BC4" w:rsidRPr="00D2165A" w:rsidRDefault="000E0BC4">
            <w:pPr>
              <w:pStyle w:val="TableParagraph"/>
              <w:spacing w:before="121"/>
              <w:ind w:left="155"/>
              <w:jc w:val="center"/>
              <w:rPr>
                <w:rFonts w:ascii="Times New Roman" w:hAnsi="Times New Roman" w:cs="Times New Roman"/>
                <w:sz w:val="20"/>
              </w:rPr>
            </w:pPr>
            <w:r w:rsidRPr="00D2165A">
              <w:rPr>
                <w:rFonts w:ascii="Times New Roman" w:hAnsi="Times New Roman" w:cs="Times New Roman"/>
                <w:w w:val="103"/>
                <w:sz w:val="20"/>
              </w:rPr>
              <w:t>0</w:t>
            </w:r>
          </w:p>
        </w:tc>
        <w:tc>
          <w:tcPr>
            <w:tcW w:w="989" w:type="dxa"/>
            <w:tcBorders>
              <w:top w:val="nil"/>
              <w:left w:val="single" w:sz="4" w:space="0" w:color="000000"/>
              <w:bottom w:val="nil"/>
              <w:right w:val="nil"/>
            </w:tcBorders>
            <w:hideMark/>
          </w:tcPr>
          <w:p w:rsidR="000E0BC4" w:rsidRPr="00D2165A" w:rsidRDefault="000E0BC4">
            <w:pPr>
              <w:pStyle w:val="TableParagraph"/>
              <w:spacing w:before="121"/>
              <w:ind w:right="480"/>
              <w:jc w:val="right"/>
              <w:rPr>
                <w:rFonts w:ascii="Times New Roman" w:hAnsi="Times New Roman" w:cs="Times New Roman"/>
                <w:sz w:val="20"/>
              </w:rPr>
            </w:pPr>
            <w:r w:rsidRPr="00D2165A">
              <w:rPr>
                <w:rFonts w:ascii="Times New Roman" w:hAnsi="Times New Roman" w:cs="Times New Roman"/>
                <w:w w:val="103"/>
                <w:sz w:val="20"/>
              </w:rPr>
              <w:t>2</w:t>
            </w:r>
          </w:p>
        </w:tc>
        <w:tc>
          <w:tcPr>
            <w:tcW w:w="1144" w:type="dxa"/>
            <w:hideMark/>
          </w:tcPr>
          <w:p w:rsidR="000E0BC4" w:rsidRPr="00D2165A" w:rsidRDefault="000E0BC4">
            <w:pPr>
              <w:pStyle w:val="TableParagraph"/>
              <w:spacing w:before="121"/>
              <w:ind w:left="481"/>
              <w:rPr>
                <w:rFonts w:ascii="Times New Roman" w:hAnsi="Times New Roman" w:cs="Times New Roman"/>
                <w:sz w:val="20"/>
              </w:rPr>
            </w:pPr>
            <w:r w:rsidRPr="00D2165A">
              <w:rPr>
                <w:rFonts w:ascii="Times New Roman" w:hAnsi="Times New Roman" w:cs="Times New Roman"/>
                <w:w w:val="103"/>
                <w:sz w:val="20"/>
              </w:rPr>
              <w:t>1</w:t>
            </w:r>
          </w:p>
        </w:tc>
      </w:tr>
      <w:tr w:rsidR="000E0BC4" w:rsidRPr="00D2165A" w:rsidTr="000E0BC4">
        <w:trPr>
          <w:trHeight w:val="220"/>
        </w:trPr>
        <w:tc>
          <w:tcPr>
            <w:tcW w:w="2382" w:type="dxa"/>
            <w:tcBorders>
              <w:top w:val="nil"/>
              <w:left w:val="nil"/>
              <w:bottom w:val="nil"/>
              <w:right w:val="single" w:sz="4" w:space="0" w:color="000000"/>
            </w:tcBorders>
            <w:hideMark/>
          </w:tcPr>
          <w:p w:rsidR="000E0BC4" w:rsidRPr="00D2165A" w:rsidRDefault="000E0BC4">
            <w:pPr>
              <w:pStyle w:val="TableParagraph"/>
              <w:spacing w:before="1" w:line="252" w:lineRule="exact"/>
              <w:ind w:left="108"/>
              <w:rPr>
                <w:rFonts w:ascii="Times New Roman" w:hAnsi="Times New Roman" w:cs="Times New Roman"/>
                <w:b/>
              </w:rPr>
            </w:pPr>
            <w:r w:rsidRPr="00D2165A">
              <w:rPr>
                <w:rFonts w:ascii="Times New Roman" w:hAnsi="Times New Roman" w:cs="Times New Roman"/>
                <w:b/>
                <w:w w:val="105"/>
                <w:sz w:val="20"/>
              </w:rPr>
              <w:t>Haemorrhage</w:t>
            </w:r>
          </w:p>
        </w:tc>
        <w:tc>
          <w:tcPr>
            <w:tcW w:w="955" w:type="dxa"/>
            <w:tcBorders>
              <w:top w:val="nil"/>
              <w:left w:val="single" w:sz="4" w:space="0" w:color="000000"/>
              <w:bottom w:val="nil"/>
              <w:right w:val="nil"/>
            </w:tcBorders>
            <w:hideMark/>
          </w:tcPr>
          <w:p w:rsidR="000E0BC4" w:rsidRPr="00D2165A" w:rsidRDefault="000E0BC4">
            <w:pPr>
              <w:pStyle w:val="TableParagraph"/>
              <w:spacing w:before="2" w:line="216" w:lineRule="exact"/>
              <w:ind w:right="445"/>
              <w:jc w:val="right"/>
              <w:rPr>
                <w:rFonts w:ascii="Times New Roman" w:hAnsi="Times New Roman" w:cs="Times New Roman"/>
                <w:sz w:val="20"/>
              </w:rPr>
            </w:pPr>
            <w:r w:rsidRPr="00D2165A">
              <w:rPr>
                <w:rFonts w:ascii="Times New Roman" w:hAnsi="Times New Roman" w:cs="Times New Roman"/>
                <w:sz w:val="20"/>
              </w:rPr>
              <w:t>11</w:t>
            </w:r>
          </w:p>
        </w:tc>
        <w:tc>
          <w:tcPr>
            <w:tcW w:w="1178" w:type="dxa"/>
            <w:tcBorders>
              <w:top w:val="nil"/>
              <w:left w:val="nil"/>
              <w:bottom w:val="nil"/>
              <w:right w:val="single" w:sz="4" w:space="0" w:color="000000"/>
            </w:tcBorders>
            <w:hideMark/>
          </w:tcPr>
          <w:p w:rsidR="000E0BC4" w:rsidRPr="00D2165A" w:rsidRDefault="000E0BC4">
            <w:pPr>
              <w:pStyle w:val="TableParagraph"/>
              <w:spacing w:before="2" w:line="216" w:lineRule="exact"/>
              <w:ind w:right="621"/>
              <w:jc w:val="right"/>
              <w:rPr>
                <w:rFonts w:ascii="Times New Roman" w:hAnsi="Times New Roman" w:cs="Times New Roman"/>
                <w:sz w:val="20"/>
              </w:rPr>
            </w:pPr>
            <w:r w:rsidRPr="00D2165A">
              <w:rPr>
                <w:rFonts w:ascii="Times New Roman" w:hAnsi="Times New Roman" w:cs="Times New Roman"/>
                <w:w w:val="103"/>
                <w:sz w:val="20"/>
              </w:rPr>
              <w:t>1</w:t>
            </w:r>
          </w:p>
        </w:tc>
        <w:tc>
          <w:tcPr>
            <w:tcW w:w="761" w:type="dxa"/>
            <w:tcBorders>
              <w:top w:val="nil"/>
              <w:left w:val="single" w:sz="4" w:space="0" w:color="000000"/>
              <w:bottom w:val="nil"/>
              <w:right w:val="nil"/>
            </w:tcBorders>
            <w:hideMark/>
          </w:tcPr>
          <w:p w:rsidR="000E0BC4" w:rsidRPr="00D2165A" w:rsidRDefault="000E0BC4">
            <w:pPr>
              <w:pStyle w:val="TableParagraph"/>
              <w:spacing w:before="2" w:line="216" w:lineRule="exact"/>
              <w:ind w:right="251"/>
              <w:jc w:val="right"/>
              <w:rPr>
                <w:rFonts w:ascii="Times New Roman" w:hAnsi="Times New Roman" w:cs="Times New Roman"/>
                <w:sz w:val="20"/>
              </w:rPr>
            </w:pPr>
            <w:r w:rsidRPr="00D2165A">
              <w:rPr>
                <w:rFonts w:ascii="Times New Roman" w:hAnsi="Times New Roman" w:cs="Times New Roman"/>
                <w:sz w:val="20"/>
              </w:rPr>
              <w:t>11</w:t>
            </w:r>
          </w:p>
        </w:tc>
        <w:tc>
          <w:tcPr>
            <w:tcW w:w="1373" w:type="dxa"/>
            <w:gridSpan w:val="3"/>
            <w:tcBorders>
              <w:top w:val="nil"/>
              <w:left w:val="nil"/>
              <w:bottom w:val="nil"/>
              <w:right w:val="single" w:sz="4" w:space="0" w:color="000000"/>
            </w:tcBorders>
            <w:hideMark/>
          </w:tcPr>
          <w:p w:rsidR="000E0BC4" w:rsidRPr="00D2165A" w:rsidRDefault="000E0BC4">
            <w:pPr>
              <w:pStyle w:val="TableParagraph"/>
              <w:spacing w:before="2" w:line="216" w:lineRule="exact"/>
              <w:ind w:left="155"/>
              <w:jc w:val="center"/>
              <w:rPr>
                <w:rFonts w:ascii="Times New Roman" w:hAnsi="Times New Roman" w:cs="Times New Roman"/>
                <w:sz w:val="20"/>
              </w:rPr>
            </w:pPr>
            <w:r w:rsidRPr="00D2165A">
              <w:rPr>
                <w:rFonts w:ascii="Times New Roman" w:hAnsi="Times New Roman" w:cs="Times New Roman"/>
                <w:w w:val="103"/>
                <w:sz w:val="20"/>
              </w:rPr>
              <w:t>1</w:t>
            </w:r>
          </w:p>
        </w:tc>
        <w:tc>
          <w:tcPr>
            <w:tcW w:w="989" w:type="dxa"/>
            <w:tcBorders>
              <w:top w:val="nil"/>
              <w:left w:val="single" w:sz="4" w:space="0" w:color="000000"/>
              <w:bottom w:val="nil"/>
              <w:right w:val="nil"/>
            </w:tcBorders>
            <w:hideMark/>
          </w:tcPr>
          <w:p w:rsidR="000E0BC4" w:rsidRPr="00D2165A" w:rsidRDefault="000E0BC4">
            <w:pPr>
              <w:pStyle w:val="TableParagraph"/>
              <w:spacing w:before="2" w:line="216" w:lineRule="exact"/>
              <w:ind w:right="480"/>
              <w:jc w:val="right"/>
              <w:rPr>
                <w:rFonts w:ascii="Times New Roman" w:hAnsi="Times New Roman" w:cs="Times New Roman"/>
                <w:sz w:val="20"/>
              </w:rPr>
            </w:pPr>
            <w:r w:rsidRPr="00D2165A">
              <w:rPr>
                <w:rFonts w:ascii="Times New Roman" w:hAnsi="Times New Roman" w:cs="Times New Roman"/>
                <w:sz w:val="20"/>
              </w:rPr>
              <w:t>12</w:t>
            </w:r>
          </w:p>
        </w:tc>
        <w:tc>
          <w:tcPr>
            <w:tcW w:w="1144" w:type="dxa"/>
            <w:hideMark/>
          </w:tcPr>
          <w:p w:rsidR="000E0BC4" w:rsidRPr="00D2165A" w:rsidRDefault="000E0BC4">
            <w:pPr>
              <w:pStyle w:val="TableParagraph"/>
              <w:spacing w:before="2" w:line="216" w:lineRule="exact"/>
              <w:ind w:left="481"/>
              <w:rPr>
                <w:rFonts w:ascii="Times New Roman" w:hAnsi="Times New Roman" w:cs="Times New Roman"/>
                <w:sz w:val="20"/>
              </w:rPr>
            </w:pPr>
            <w:r w:rsidRPr="00D2165A">
              <w:rPr>
                <w:rFonts w:ascii="Times New Roman" w:hAnsi="Times New Roman" w:cs="Times New Roman"/>
                <w:w w:val="103"/>
                <w:sz w:val="20"/>
              </w:rPr>
              <w:t>1</w:t>
            </w:r>
          </w:p>
        </w:tc>
      </w:tr>
      <w:tr w:rsidR="000E0BC4" w:rsidRPr="00D2165A" w:rsidTr="000E0BC4">
        <w:trPr>
          <w:trHeight w:val="460"/>
        </w:trPr>
        <w:tc>
          <w:tcPr>
            <w:tcW w:w="2382" w:type="dxa"/>
            <w:tcBorders>
              <w:top w:val="nil"/>
              <w:left w:val="nil"/>
              <w:bottom w:val="single" w:sz="4" w:space="0" w:color="000000"/>
              <w:right w:val="single" w:sz="4" w:space="0" w:color="000000"/>
            </w:tcBorders>
            <w:hideMark/>
          </w:tcPr>
          <w:p w:rsidR="000E0BC4" w:rsidRPr="00D2165A" w:rsidRDefault="000E0BC4">
            <w:pPr>
              <w:pStyle w:val="TableParagraph"/>
              <w:spacing w:before="7" w:line="212" w:lineRule="exact"/>
              <w:ind w:left="453"/>
              <w:rPr>
                <w:rFonts w:ascii="Times New Roman" w:hAnsi="Times New Roman" w:cs="Times New Roman"/>
                <w:sz w:val="20"/>
              </w:rPr>
            </w:pPr>
            <w:r w:rsidRPr="00D2165A">
              <w:rPr>
                <w:rFonts w:ascii="Times New Roman" w:hAnsi="Times New Roman" w:cs="Times New Roman"/>
                <w:w w:val="105"/>
                <w:sz w:val="20"/>
              </w:rPr>
              <w:t>Gastrointestinalbleeding</w:t>
            </w:r>
          </w:p>
        </w:tc>
        <w:tc>
          <w:tcPr>
            <w:tcW w:w="955" w:type="dxa"/>
            <w:tcBorders>
              <w:top w:val="nil"/>
              <w:left w:val="single" w:sz="4" w:space="0" w:color="000000"/>
              <w:bottom w:val="single" w:sz="4" w:space="0" w:color="000000"/>
              <w:right w:val="nil"/>
            </w:tcBorders>
            <w:hideMark/>
          </w:tcPr>
          <w:p w:rsidR="000E0BC4" w:rsidRPr="00D2165A" w:rsidRDefault="000E0BC4">
            <w:pPr>
              <w:pStyle w:val="TableParagraph"/>
              <w:spacing w:before="120"/>
              <w:ind w:right="445"/>
              <w:jc w:val="right"/>
              <w:rPr>
                <w:rFonts w:ascii="Times New Roman" w:hAnsi="Times New Roman" w:cs="Times New Roman"/>
                <w:sz w:val="20"/>
              </w:rPr>
            </w:pPr>
            <w:r w:rsidRPr="00D2165A">
              <w:rPr>
                <w:rFonts w:ascii="Times New Roman" w:hAnsi="Times New Roman" w:cs="Times New Roman"/>
                <w:w w:val="103"/>
                <w:sz w:val="20"/>
              </w:rPr>
              <w:t>2</w:t>
            </w:r>
          </w:p>
        </w:tc>
        <w:tc>
          <w:tcPr>
            <w:tcW w:w="1178" w:type="dxa"/>
            <w:tcBorders>
              <w:top w:val="nil"/>
              <w:left w:val="nil"/>
              <w:bottom w:val="single" w:sz="4" w:space="0" w:color="000000"/>
              <w:right w:val="single" w:sz="4" w:space="0" w:color="000000"/>
            </w:tcBorders>
            <w:hideMark/>
          </w:tcPr>
          <w:p w:rsidR="000E0BC4" w:rsidRPr="00D2165A" w:rsidRDefault="000E0BC4">
            <w:pPr>
              <w:pStyle w:val="TableParagraph"/>
              <w:spacing w:before="120"/>
              <w:ind w:right="621"/>
              <w:jc w:val="right"/>
              <w:rPr>
                <w:rFonts w:ascii="Times New Roman" w:hAnsi="Times New Roman" w:cs="Times New Roman"/>
                <w:sz w:val="20"/>
              </w:rPr>
            </w:pPr>
            <w:r w:rsidRPr="00D2165A">
              <w:rPr>
                <w:rFonts w:ascii="Times New Roman" w:hAnsi="Times New Roman" w:cs="Times New Roman"/>
                <w:w w:val="103"/>
                <w:sz w:val="20"/>
              </w:rPr>
              <w:t>1</w:t>
            </w:r>
          </w:p>
        </w:tc>
        <w:tc>
          <w:tcPr>
            <w:tcW w:w="761" w:type="dxa"/>
            <w:tcBorders>
              <w:top w:val="nil"/>
              <w:left w:val="single" w:sz="4" w:space="0" w:color="000000"/>
              <w:bottom w:val="single" w:sz="4" w:space="0" w:color="000000"/>
              <w:right w:val="nil"/>
            </w:tcBorders>
            <w:hideMark/>
          </w:tcPr>
          <w:p w:rsidR="000E0BC4" w:rsidRPr="00D2165A" w:rsidRDefault="000E0BC4">
            <w:pPr>
              <w:pStyle w:val="TableParagraph"/>
              <w:spacing w:before="120"/>
              <w:ind w:right="251"/>
              <w:jc w:val="right"/>
              <w:rPr>
                <w:rFonts w:ascii="Times New Roman" w:hAnsi="Times New Roman" w:cs="Times New Roman"/>
                <w:sz w:val="20"/>
              </w:rPr>
            </w:pPr>
            <w:r w:rsidRPr="00D2165A">
              <w:rPr>
                <w:rFonts w:ascii="Times New Roman" w:hAnsi="Times New Roman" w:cs="Times New Roman"/>
                <w:w w:val="103"/>
                <w:sz w:val="20"/>
              </w:rPr>
              <w:t>2</w:t>
            </w:r>
          </w:p>
        </w:tc>
        <w:tc>
          <w:tcPr>
            <w:tcW w:w="1373" w:type="dxa"/>
            <w:gridSpan w:val="3"/>
            <w:tcBorders>
              <w:top w:val="nil"/>
              <w:left w:val="nil"/>
              <w:bottom w:val="single" w:sz="4" w:space="0" w:color="000000"/>
              <w:right w:val="single" w:sz="4" w:space="0" w:color="000000"/>
            </w:tcBorders>
            <w:hideMark/>
          </w:tcPr>
          <w:p w:rsidR="000E0BC4" w:rsidRPr="00D2165A" w:rsidRDefault="000E0BC4">
            <w:pPr>
              <w:pStyle w:val="TableParagraph"/>
              <w:spacing w:before="120"/>
              <w:ind w:left="155"/>
              <w:jc w:val="center"/>
              <w:rPr>
                <w:rFonts w:ascii="Times New Roman" w:hAnsi="Times New Roman" w:cs="Times New Roman"/>
                <w:sz w:val="20"/>
              </w:rPr>
            </w:pPr>
            <w:r w:rsidRPr="00D2165A">
              <w:rPr>
                <w:rFonts w:ascii="Times New Roman" w:hAnsi="Times New Roman" w:cs="Times New Roman"/>
                <w:w w:val="103"/>
                <w:sz w:val="20"/>
              </w:rPr>
              <w:t>1</w:t>
            </w:r>
          </w:p>
        </w:tc>
        <w:tc>
          <w:tcPr>
            <w:tcW w:w="989" w:type="dxa"/>
            <w:tcBorders>
              <w:top w:val="nil"/>
              <w:left w:val="single" w:sz="4" w:space="0" w:color="000000"/>
              <w:bottom w:val="single" w:sz="4" w:space="0" w:color="000000"/>
              <w:right w:val="nil"/>
            </w:tcBorders>
            <w:hideMark/>
          </w:tcPr>
          <w:p w:rsidR="000E0BC4" w:rsidRPr="00D2165A" w:rsidRDefault="000E0BC4">
            <w:pPr>
              <w:pStyle w:val="TableParagraph"/>
              <w:spacing w:before="120"/>
              <w:ind w:right="480"/>
              <w:jc w:val="right"/>
              <w:rPr>
                <w:rFonts w:ascii="Times New Roman" w:hAnsi="Times New Roman" w:cs="Times New Roman"/>
                <w:sz w:val="20"/>
              </w:rPr>
            </w:pPr>
            <w:r w:rsidRPr="00D2165A">
              <w:rPr>
                <w:rFonts w:ascii="Times New Roman" w:hAnsi="Times New Roman" w:cs="Times New Roman"/>
                <w:w w:val="103"/>
                <w:sz w:val="20"/>
              </w:rPr>
              <w:t>2</w:t>
            </w:r>
          </w:p>
        </w:tc>
        <w:tc>
          <w:tcPr>
            <w:tcW w:w="1144" w:type="dxa"/>
            <w:tcBorders>
              <w:top w:val="nil"/>
              <w:left w:val="nil"/>
              <w:bottom w:val="single" w:sz="4" w:space="0" w:color="000000"/>
              <w:right w:val="nil"/>
            </w:tcBorders>
            <w:hideMark/>
          </w:tcPr>
          <w:p w:rsidR="000E0BC4" w:rsidRPr="00D2165A" w:rsidRDefault="000E0BC4">
            <w:pPr>
              <w:pStyle w:val="TableParagraph"/>
              <w:spacing w:before="120"/>
              <w:ind w:left="481"/>
              <w:rPr>
                <w:rFonts w:ascii="Times New Roman" w:hAnsi="Times New Roman" w:cs="Times New Roman"/>
                <w:sz w:val="20"/>
              </w:rPr>
            </w:pPr>
            <w:r w:rsidRPr="00D2165A">
              <w:rPr>
                <w:rFonts w:ascii="Times New Roman" w:hAnsi="Times New Roman" w:cs="Times New Roman"/>
                <w:w w:val="103"/>
                <w:sz w:val="20"/>
              </w:rPr>
              <w:t>1</w:t>
            </w:r>
          </w:p>
        </w:tc>
      </w:tr>
    </w:tbl>
    <w:p w:rsidR="000E0BC4" w:rsidRPr="00D2165A" w:rsidRDefault="000E0BC4" w:rsidP="000E0BC4">
      <w:pPr>
        <w:spacing w:before="30"/>
        <w:ind w:left="134"/>
        <w:rPr>
          <w:sz w:val="17"/>
          <w:szCs w:val="22"/>
          <w:lang w:val="en-US" w:eastAsia="en-US"/>
        </w:rPr>
      </w:pPr>
      <w:r w:rsidRPr="00D2165A">
        <w:rPr>
          <w:position w:val="6"/>
          <w:sz w:val="11"/>
          <w:lang w:val="en-US"/>
        </w:rPr>
        <w:t xml:space="preserve">a  </w:t>
      </w:r>
      <w:r w:rsidRPr="00D2165A">
        <w:rPr>
          <w:sz w:val="17"/>
          <w:lang w:val="en-US"/>
        </w:rPr>
        <w:t>Phase 3 dose optimisation study results reported in recommended starting dose of 100 mg once daily (n=165) population</w:t>
      </w:r>
    </w:p>
    <w:p w:rsidR="000E0BC4" w:rsidRPr="00D2165A" w:rsidRDefault="000E0BC4" w:rsidP="00D2165A">
      <w:pPr>
        <w:pStyle w:val="Brdtekst"/>
        <w:spacing w:before="1"/>
        <w:ind w:left="851"/>
        <w:rPr>
          <w:sz w:val="24"/>
          <w:szCs w:val="24"/>
        </w:rPr>
      </w:pPr>
    </w:p>
    <w:p w:rsidR="000E0BC4" w:rsidRPr="00D2165A" w:rsidRDefault="000E0BC4" w:rsidP="0065500C">
      <w:pPr>
        <w:pStyle w:val="Brdtekst"/>
        <w:ind w:left="851" w:right="130"/>
        <w:rPr>
          <w:sz w:val="24"/>
          <w:szCs w:val="24"/>
        </w:rPr>
      </w:pPr>
      <w:r w:rsidRPr="00D2165A">
        <w:rPr>
          <w:w w:val="105"/>
          <w:sz w:val="24"/>
          <w:szCs w:val="24"/>
        </w:rPr>
        <w:t>In the Phase III dose-optimisation study in patients with advanced phase CML and Ph+ ALL, the median duration of treatment was 14 months for accelerated phase CML, 3 months for myeloid blast CML, 4 months for lymphoid blast CML and 3 months for Ph+ ALL. Selected adverse reactions that were</w:t>
      </w:r>
      <w:r w:rsidRPr="00D2165A">
        <w:rPr>
          <w:spacing w:val="-9"/>
          <w:w w:val="105"/>
          <w:sz w:val="24"/>
          <w:szCs w:val="24"/>
        </w:rPr>
        <w:t xml:space="preserve"> </w:t>
      </w:r>
      <w:r w:rsidRPr="00D2165A">
        <w:rPr>
          <w:w w:val="105"/>
          <w:sz w:val="24"/>
          <w:szCs w:val="24"/>
        </w:rPr>
        <w:t>reported</w:t>
      </w:r>
      <w:r w:rsidRPr="00D2165A">
        <w:rPr>
          <w:spacing w:val="-9"/>
          <w:w w:val="105"/>
          <w:sz w:val="24"/>
          <w:szCs w:val="24"/>
        </w:rPr>
        <w:t xml:space="preserve"> </w:t>
      </w:r>
      <w:r w:rsidRPr="00D2165A">
        <w:rPr>
          <w:w w:val="105"/>
          <w:sz w:val="24"/>
          <w:szCs w:val="24"/>
        </w:rPr>
        <w:t>in</w:t>
      </w:r>
      <w:r w:rsidRPr="00D2165A">
        <w:rPr>
          <w:spacing w:val="-9"/>
          <w:w w:val="105"/>
          <w:sz w:val="24"/>
          <w:szCs w:val="24"/>
        </w:rPr>
        <w:t xml:space="preserve"> </w:t>
      </w:r>
      <w:r w:rsidRPr="00D2165A">
        <w:rPr>
          <w:w w:val="105"/>
          <w:sz w:val="24"/>
          <w:szCs w:val="24"/>
        </w:rPr>
        <w:t>the</w:t>
      </w:r>
      <w:r w:rsidRPr="00D2165A">
        <w:rPr>
          <w:spacing w:val="-9"/>
          <w:w w:val="105"/>
          <w:sz w:val="24"/>
          <w:szCs w:val="24"/>
        </w:rPr>
        <w:t xml:space="preserve"> </w:t>
      </w:r>
      <w:r w:rsidRPr="00D2165A">
        <w:rPr>
          <w:w w:val="105"/>
          <w:sz w:val="24"/>
          <w:szCs w:val="24"/>
        </w:rPr>
        <w:t>recommended</w:t>
      </w:r>
      <w:r w:rsidRPr="00D2165A">
        <w:rPr>
          <w:spacing w:val="-9"/>
          <w:w w:val="105"/>
          <w:sz w:val="24"/>
          <w:szCs w:val="24"/>
        </w:rPr>
        <w:t xml:space="preserve"> </w:t>
      </w:r>
      <w:r w:rsidRPr="00D2165A">
        <w:rPr>
          <w:w w:val="105"/>
          <w:sz w:val="24"/>
          <w:szCs w:val="24"/>
        </w:rPr>
        <w:t>starting</w:t>
      </w:r>
      <w:r w:rsidRPr="00D2165A">
        <w:rPr>
          <w:spacing w:val="-8"/>
          <w:w w:val="105"/>
          <w:sz w:val="24"/>
          <w:szCs w:val="24"/>
        </w:rPr>
        <w:t xml:space="preserve"> </w:t>
      </w:r>
      <w:r w:rsidRPr="00D2165A">
        <w:rPr>
          <w:w w:val="105"/>
          <w:sz w:val="24"/>
          <w:szCs w:val="24"/>
        </w:rPr>
        <w:t>dose</w:t>
      </w:r>
      <w:r w:rsidRPr="00D2165A">
        <w:rPr>
          <w:spacing w:val="-8"/>
          <w:w w:val="105"/>
          <w:sz w:val="24"/>
          <w:szCs w:val="24"/>
        </w:rPr>
        <w:t xml:space="preserve"> </w:t>
      </w:r>
      <w:r w:rsidRPr="00D2165A">
        <w:rPr>
          <w:w w:val="105"/>
          <w:sz w:val="24"/>
          <w:szCs w:val="24"/>
        </w:rPr>
        <w:t>of</w:t>
      </w:r>
      <w:r w:rsidRPr="00D2165A">
        <w:rPr>
          <w:spacing w:val="-8"/>
          <w:w w:val="105"/>
          <w:sz w:val="24"/>
          <w:szCs w:val="24"/>
        </w:rPr>
        <w:t xml:space="preserve"> </w:t>
      </w:r>
      <w:r w:rsidRPr="00D2165A">
        <w:rPr>
          <w:w w:val="105"/>
          <w:sz w:val="24"/>
          <w:szCs w:val="24"/>
        </w:rPr>
        <w:t>140</w:t>
      </w:r>
      <w:r w:rsidRPr="00D2165A">
        <w:rPr>
          <w:spacing w:val="-8"/>
          <w:w w:val="105"/>
          <w:sz w:val="24"/>
          <w:szCs w:val="24"/>
        </w:rPr>
        <w:t xml:space="preserve"> </w:t>
      </w:r>
      <w:r w:rsidRPr="00D2165A">
        <w:rPr>
          <w:w w:val="105"/>
          <w:sz w:val="24"/>
          <w:szCs w:val="24"/>
        </w:rPr>
        <w:t>mg</w:t>
      </w:r>
      <w:r w:rsidRPr="00D2165A">
        <w:rPr>
          <w:spacing w:val="-8"/>
          <w:w w:val="105"/>
          <w:sz w:val="24"/>
          <w:szCs w:val="24"/>
        </w:rPr>
        <w:t xml:space="preserve"> </w:t>
      </w:r>
      <w:r w:rsidRPr="00D2165A">
        <w:rPr>
          <w:w w:val="105"/>
          <w:sz w:val="24"/>
          <w:szCs w:val="24"/>
        </w:rPr>
        <w:t>once</w:t>
      </w:r>
      <w:r w:rsidRPr="00D2165A">
        <w:rPr>
          <w:spacing w:val="-9"/>
          <w:w w:val="105"/>
          <w:sz w:val="24"/>
          <w:szCs w:val="24"/>
        </w:rPr>
        <w:t xml:space="preserve"> </w:t>
      </w:r>
      <w:r w:rsidRPr="00D2165A">
        <w:rPr>
          <w:w w:val="105"/>
          <w:sz w:val="24"/>
          <w:szCs w:val="24"/>
        </w:rPr>
        <w:t>daily</w:t>
      </w:r>
      <w:r w:rsidRPr="00D2165A">
        <w:rPr>
          <w:spacing w:val="-8"/>
          <w:w w:val="105"/>
          <w:sz w:val="24"/>
          <w:szCs w:val="24"/>
        </w:rPr>
        <w:t xml:space="preserve"> </w:t>
      </w:r>
      <w:r w:rsidRPr="00D2165A">
        <w:rPr>
          <w:w w:val="105"/>
          <w:sz w:val="24"/>
          <w:szCs w:val="24"/>
        </w:rPr>
        <w:t>are</w:t>
      </w:r>
      <w:r w:rsidRPr="00D2165A">
        <w:rPr>
          <w:spacing w:val="-9"/>
          <w:w w:val="105"/>
          <w:sz w:val="24"/>
          <w:szCs w:val="24"/>
        </w:rPr>
        <w:t xml:space="preserve"> </w:t>
      </w:r>
      <w:r w:rsidRPr="00D2165A">
        <w:rPr>
          <w:w w:val="105"/>
          <w:sz w:val="24"/>
          <w:szCs w:val="24"/>
        </w:rPr>
        <w:t>shown</w:t>
      </w:r>
      <w:r w:rsidRPr="00D2165A">
        <w:rPr>
          <w:spacing w:val="-9"/>
          <w:w w:val="105"/>
          <w:sz w:val="24"/>
          <w:szCs w:val="24"/>
        </w:rPr>
        <w:t xml:space="preserve"> </w:t>
      </w:r>
      <w:r w:rsidRPr="00D2165A">
        <w:rPr>
          <w:w w:val="105"/>
          <w:sz w:val="24"/>
          <w:szCs w:val="24"/>
        </w:rPr>
        <w:t>in</w:t>
      </w:r>
      <w:r w:rsidRPr="00D2165A">
        <w:rPr>
          <w:spacing w:val="-9"/>
          <w:w w:val="105"/>
          <w:sz w:val="24"/>
          <w:szCs w:val="24"/>
        </w:rPr>
        <w:t xml:space="preserve"> </w:t>
      </w:r>
      <w:r w:rsidRPr="00D2165A">
        <w:rPr>
          <w:w w:val="105"/>
          <w:sz w:val="24"/>
          <w:szCs w:val="24"/>
        </w:rPr>
        <w:t>Table</w:t>
      </w:r>
      <w:r w:rsidRPr="00D2165A">
        <w:rPr>
          <w:spacing w:val="-9"/>
          <w:w w:val="105"/>
          <w:sz w:val="24"/>
          <w:szCs w:val="24"/>
        </w:rPr>
        <w:t xml:space="preserve"> </w:t>
      </w:r>
      <w:r w:rsidRPr="00D2165A">
        <w:rPr>
          <w:w w:val="105"/>
          <w:sz w:val="24"/>
          <w:szCs w:val="24"/>
        </w:rPr>
        <w:t>6b.</w:t>
      </w:r>
      <w:r w:rsidRPr="00D2165A">
        <w:rPr>
          <w:spacing w:val="-7"/>
          <w:w w:val="105"/>
          <w:sz w:val="24"/>
          <w:szCs w:val="24"/>
        </w:rPr>
        <w:t xml:space="preserve"> </w:t>
      </w:r>
      <w:r w:rsidRPr="00D2165A">
        <w:rPr>
          <w:w w:val="105"/>
          <w:sz w:val="24"/>
          <w:szCs w:val="24"/>
        </w:rPr>
        <w:t>A</w:t>
      </w:r>
      <w:r w:rsidRPr="00D2165A">
        <w:rPr>
          <w:spacing w:val="-9"/>
          <w:w w:val="105"/>
          <w:sz w:val="24"/>
          <w:szCs w:val="24"/>
        </w:rPr>
        <w:t xml:space="preserve"> </w:t>
      </w:r>
      <w:r w:rsidRPr="00D2165A">
        <w:rPr>
          <w:w w:val="105"/>
          <w:sz w:val="24"/>
          <w:szCs w:val="24"/>
        </w:rPr>
        <w:t>70</w:t>
      </w:r>
      <w:r w:rsidRPr="00D2165A">
        <w:rPr>
          <w:spacing w:val="-9"/>
          <w:w w:val="105"/>
          <w:sz w:val="24"/>
          <w:szCs w:val="24"/>
        </w:rPr>
        <w:t xml:space="preserve"> </w:t>
      </w:r>
      <w:r w:rsidRPr="00D2165A">
        <w:rPr>
          <w:w w:val="105"/>
          <w:sz w:val="24"/>
          <w:szCs w:val="24"/>
        </w:rPr>
        <w:t>mg twice daily regimen was also studied. The 140 mg once daily regimen showed a comparable efficacy profile</w:t>
      </w:r>
      <w:r w:rsidRPr="00D2165A">
        <w:rPr>
          <w:spacing w:val="-12"/>
          <w:w w:val="105"/>
          <w:sz w:val="24"/>
          <w:szCs w:val="24"/>
        </w:rPr>
        <w:t xml:space="preserve"> </w:t>
      </w:r>
      <w:r w:rsidRPr="00D2165A">
        <w:rPr>
          <w:w w:val="105"/>
          <w:sz w:val="24"/>
          <w:szCs w:val="24"/>
        </w:rPr>
        <w:t>to</w:t>
      </w:r>
      <w:r w:rsidRPr="00D2165A">
        <w:rPr>
          <w:spacing w:val="-12"/>
          <w:w w:val="105"/>
          <w:sz w:val="24"/>
          <w:szCs w:val="24"/>
        </w:rPr>
        <w:t xml:space="preserve"> </w:t>
      </w:r>
      <w:r w:rsidRPr="00D2165A">
        <w:rPr>
          <w:w w:val="105"/>
          <w:sz w:val="24"/>
          <w:szCs w:val="24"/>
        </w:rPr>
        <w:t>the</w:t>
      </w:r>
      <w:r w:rsidRPr="00D2165A">
        <w:rPr>
          <w:spacing w:val="-11"/>
          <w:w w:val="105"/>
          <w:sz w:val="24"/>
          <w:szCs w:val="24"/>
        </w:rPr>
        <w:t xml:space="preserve"> </w:t>
      </w:r>
      <w:r w:rsidRPr="00D2165A">
        <w:rPr>
          <w:w w:val="105"/>
          <w:sz w:val="24"/>
          <w:szCs w:val="24"/>
        </w:rPr>
        <w:t>70</w:t>
      </w:r>
      <w:r w:rsidRPr="00D2165A">
        <w:rPr>
          <w:spacing w:val="-10"/>
          <w:w w:val="105"/>
          <w:sz w:val="24"/>
          <w:szCs w:val="24"/>
        </w:rPr>
        <w:t xml:space="preserve"> </w:t>
      </w:r>
      <w:r w:rsidRPr="00D2165A">
        <w:rPr>
          <w:w w:val="105"/>
          <w:sz w:val="24"/>
          <w:szCs w:val="24"/>
        </w:rPr>
        <w:t>mg</w:t>
      </w:r>
      <w:r w:rsidRPr="00D2165A">
        <w:rPr>
          <w:spacing w:val="-12"/>
          <w:w w:val="105"/>
          <w:sz w:val="24"/>
          <w:szCs w:val="24"/>
        </w:rPr>
        <w:t xml:space="preserve"> </w:t>
      </w:r>
      <w:r w:rsidRPr="00D2165A">
        <w:rPr>
          <w:w w:val="105"/>
          <w:sz w:val="24"/>
          <w:szCs w:val="24"/>
        </w:rPr>
        <w:t>twice</w:t>
      </w:r>
      <w:r w:rsidRPr="00D2165A">
        <w:rPr>
          <w:spacing w:val="-11"/>
          <w:w w:val="105"/>
          <w:sz w:val="24"/>
          <w:szCs w:val="24"/>
        </w:rPr>
        <w:t xml:space="preserve"> </w:t>
      </w:r>
      <w:r w:rsidRPr="00D2165A">
        <w:rPr>
          <w:w w:val="105"/>
          <w:sz w:val="24"/>
          <w:szCs w:val="24"/>
        </w:rPr>
        <w:t>daily</w:t>
      </w:r>
      <w:r w:rsidRPr="00D2165A">
        <w:rPr>
          <w:spacing w:val="-10"/>
          <w:w w:val="105"/>
          <w:sz w:val="24"/>
          <w:szCs w:val="24"/>
        </w:rPr>
        <w:t xml:space="preserve"> </w:t>
      </w:r>
      <w:r w:rsidRPr="00D2165A">
        <w:rPr>
          <w:w w:val="105"/>
          <w:sz w:val="24"/>
          <w:szCs w:val="24"/>
        </w:rPr>
        <w:t>regimen</w:t>
      </w:r>
      <w:r w:rsidRPr="00D2165A">
        <w:rPr>
          <w:spacing w:val="-12"/>
          <w:w w:val="105"/>
          <w:sz w:val="24"/>
          <w:szCs w:val="24"/>
        </w:rPr>
        <w:t xml:space="preserve"> </w:t>
      </w:r>
      <w:r w:rsidRPr="00D2165A">
        <w:rPr>
          <w:w w:val="105"/>
          <w:sz w:val="24"/>
          <w:szCs w:val="24"/>
        </w:rPr>
        <w:t>but</w:t>
      </w:r>
      <w:r w:rsidRPr="00D2165A">
        <w:rPr>
          <w:spacing w:val="-12"/>
          <w:w w:val="105"/>
          <w:sz w:val="24"/>
          <w:szCs w:val="24"/>
        </w:rPr>
        <w:t xml:space="preserve"> </w:t>
      </w:r>
      <w:r w:rsidRPr="00D2165A">
        <w:rPr>
          <w:w w:val="105"/>
          <w:sz w:val="24"/>
          <w:szCs w:val="24"/>
        </w:rPr>
        <w:t>a</w:t>
      </w:r>
      <w:r w:rsidRPr="00D2165A">
        <w:rPr>
          <w:spacing w:val="-10"/>
          <w:w w:val="105"/>
          <w:sz w:val="24"/>
          <w:szCs w:val="24"/>
        </w:rPr>
        <w:t xml:space="preserve"> </w:t>
      </w:r>
      <w:r w:rsidRPr="00D2165A">
        <w:rPr>
          <w:w w:val="105"/>
          <w:sz w:val="24"/>
          <w:szCs w:val="24"/>
        </w:rPr>
        <w:t>more</w:t>
      </w:r>
      <w:r w:rsidRPr="00D2165A">
        <w:rPr>
          <w:spacing w:val="-12"/>
          <w:w w:val="105"/>
          <w:sz w:val="24"/>
          <w:szCs w:val="24"/>
        </w:rPr>
        <w:t xml:space="preserve"> </w:t>
      </w:r>
      <w:r w:rsidRPr="00D2165A">
        <w:rPr>
          <w:w w:val="105"/>
          <w:sz w:val="24"/>
          <w:szCs w:val="24"/>
        </w:rPr>
        <w:t>favourable</w:t>
      </w:r>
      <w:r w:rsidRPr="00D2165A">
        <w:rPr>
          <w:spacing w:val="-12"/>
          <w:w w:val="105"/>
          <w:sz w:val="24"/>
          <w:szCs w:val="24"/>
        </w:rPr>
        <w:t xml:space="preserve"> </w:t>
      </w:r>
      <w:r w:rsidRPr="00D2165A">
        <w:rPr>
          <w:w w:val="105"/>
          <w:sz w:val="24"/>
          <w:szCs w:val="24"/>
        </w:rPr>
        <w:t>safety</w:t>
      </w:r>
      <w:r w:rsidRPr="00D2165A">
        <w:rPr>
          <w:spacing w:val="-10"/>
          <w:w w:val="105"/>
          <w:sz w:val="24"/>
          <w:szCs w:val="24"/>
        </w:rPr>
        <w:t xml:space="preserve"> </w:t>
      </w:r>
      <w:r w:rsidRPr="00D2165A">
        <w:rPr>
          <w:w w:val="105"/>
          <w:sz w:val="24"/>
          <w:szCs w:val="24"/>
        </w:rPr>
        <w:t>profile.</w:t>
      </w:r>
    </w:p>
    <w:p w:rsidR="000E0BC4" w:rsidRPr="00D2165A" w:rsidRDefault="000E0BC4" w:rsidP="00D2165A">
      <w:pPr>
        <w:pStyle w:val="Brdtekst"/>
        <w:spacing w:before="4"/>
        <w:ind w:left="851"/>
        <w:rPr>
          <w:sz w:val="24"/>
          <w:szCs w:val="24"/>
        </w:rPr>
      </w:pPr>
    </w:p>
    <w:p w:rsidR="000E0BC4" w:rsidRPr="00D2165A" w:rsidRDefault="000E0BC4" w:rsidP="000E0BC4">
      <w:pPr>
        <w:pStyle w:val="Overskrift1"/>
        <w:tabs>
          <w:tab w:val="left" w:pos="1406"/>
        </w:tabs>
        <w:spacing w:line="232" w:lineRule="auto"/>
        <w:ind w:left="1407" w:right="36" w:hanging="1170"/>
        <w:rPr>
          <w:sz w:val="14"/>
        </w:rPr>
      </w:pPr>
      <w:r w:rsidRPr="00D2165A">
        <w:t>Table</w:t>
      </w:r>
      <w:r w:rsidRPr="00D2165A">
        <w:rPr>
          <w:spacing w:val="-1"/>
        </w:rPr>
        <w:t xml:space="preserve"> </w:t>
      </w:r>
      <w:r w:rsidRPr="00D2165A">
        <w:t>6b:</w:t>
      </w:r>
      <w:r w:rsidRPr="00D2165A">
        <w:tab/>
        <w:t>Selected adverse reactions reported in phase III</w:t>
      </w:r>
      <w:r w:rsidRPr="00D2165A">
        <w:rPr>
          <w:spacing w:val="-9"/>
        </w:rPr>
        <w:t xml:space="preserve"> </w:t>
      </w:r>
      <w:r w:rsidRPr="00D2165A">
        <w:t>dose-optimisation</w:t>
      </w:r>
      <w:r w:rsidRPr="00D2165A">
        <w:rPr>
          <w:spacing w:val="-2"/>
        </w:rPr>
        <w:t xml:space="preserve"> </w:t>
      </w:r>
      <w:r w:rsidRPr="00D2165A">
        <w:t>study:</w:t>
      </w:r>
      <w:r w:rsidRPr="00D2165A">
        <w:rPr>
          <w:w w:val="99"/>
        </w:rPr>
        <w:t xml:space="preserve"> </w:t>
      </w:r>
      <w:r w:rsidRPr="00D2165A">
        <w:t>Advanced phase CML and Ph+</w:t>
      </w:r>
      <w:r w:rsidRPr="00D2165A">
        <w:rPr>
          <w:spacing w:val="-5"/>
        </w:rPr>
        <w:t xml:space="preserve"> </w:t>
      </w:r>
      <w:r w:rsidRPr="00D2165A">
        <w:t>ALL</w:t>
      </w:r>
      <w:r w:rsidRPr="00D2165A">
        <w:rPr>
          <w:position w:val="8"/>
          <w:sz w:val="14"/>
        </w:rPr>
        <w:t>a</w:t>
      </w:r>
    </w:p>
    <w:p w:rsidR="000E0BC4" w:rsidRPr="00D2165A" w:rsidRDefault="000E0BC4" w:rsidP="000E0BC4">
      <w:pPr>
        <w:pStyle w:val="Brdtekst"/>
        <w:spacing w:line="20" w:lineRule="exact"/>
        <w:ind w:left="124"/>
        <w:rPr>
          <w:sz w:val="2"/>
        </w:rPr>
      </w:pPr>
      <w:r w:rsidRPr="00D2165A">
        <w:rPr>
          <w:noProof/>
        </w:rPr>
        <mc:AlternateContent>
          <mc:Choice Requires="wpg">
            <w:drawing>
              <wp:inline distT="0" distB="0" distL="0" distR="0">
                <wp:extent cx="5835650" cy="6350"/>
                <wp:effectExtent l="9525" t="9525" r="3175" b="3175"/>
                <wp:docPr id="53" name="Gruppe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5650" cy="6350"/>
                          <a:chOff x="0" y="0"/>
                          <a:chExt cx="9190" cy="10"/>
                        </a:xfrm>
                      </wpg:grpSpPr>
                      <wps:wsp>
                        <wps:cNvPr id="54" name="Line 52"/>
                        <wps:cNvCnPr>
                          <a:cxnSpLocks noChangeShapeType="1"/>
                        </wps:cNvCnPr>
                        <wps:spPr bwMode="auto">
                          <a:xfrm>
                            <a:off x="5" y="5"/>
                            <a:ext cx="9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489267" id="Gruppe 53" o:spid="_x0000_s1026" style="width:459.5pt;height:.5pt;mso-position-horizontal-relative:char;mso-position-vertical-relative:line" coordsize="91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">
                <v:line id="Line 52" o:spid="_x0000_s1027" style="position:absolute;visibility:visible;mso-wrap-style:square" from="5,5" to="9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w10:anchorlock/>
              </v:group>
            </w:pict>
          </mc:Fallback>
        </mc:AlternateContent>
      </w:r>
    </w:p>
    <w:p w:rsidR="000E0BC4" w:rsidRPr="00D2165A" w:rsidRDefault="000E0BC4" w:rsidP="000E0BC4">
      <w:pPr>
        <w:spacing w:before="9"/>
        <w:ind w:left="3204" w:right="253"/>
        <w:jc w:val="center"/>
        <w:rPr>
          <w:b/>
          <w:sz w:val="22"/>
          <w:lang w:val="en-US"/>
        </w:rPr>
      </w:pPr>
      <w:r w:rsidRPr="00D2165A">
        <w:rPr>
          <w:b/>
          <w:lang w:val="en-US"/>
        </w:rPr>
        <w:t>140 mg once daily</w:t>
      </w:r>
    </w:p>
    <w:p w:rsidR="000E0BC4" w:rsidRPr="00D2165A" w:rsidRDefault="000E0BC4" w:rsidP="000E0BC4">
      <w:pPr>
        <w:tabs>
          <w:tab w:val="left" w:pos="5913"/>
          <w:tab w:val="left" w:pos="6268"/>
          <w:tab w:val="left" w:pos="8789"/>
        </w:tabs>
        <w:spacing w:line="278" w:lineRule="auto"/>
        <w:ind w:left="3205" w:right="253"/>
        <w:jc w:val="center"/>
        <w:rPr>
          <w:b/>
          <w:lang w:val="en-US"/>
        </w:rPr>
      </w:pPr>
      <w:r w:rsidRPr="00D2165A">
        <w:rPr>
          <w:b/>
          <w:w w:val="99"/>
          <w:u w:val="single"/>
          <w:lang w:val="en-US"/>
        </w:rPr>
        <w:t xml:space="preserve"> </w:t>
      </w:r>
      <w:r w:rsidRPr="00D2165A">
        <w:rPr>
          <w:b/>
          <w:u w:val="single"/>
          <w:lang w:val="en-US"/>
        </w:rPr>
        <w:tab/>
        <w:t>n</w:t>
      </w:r>
      <w:r w:rsidRPr="00D2165A">
        <w:rPr>
          <w:b/>
          <w:spacing w:val="-1"/>
          <w:u w:val="single"/>
          <w:lang w:val="en-US"/>
        </w:rPr>
        <w:t xml:space="preserve"> </w:t>
      </w:r>
      <w:r w:rsidRPr="00D2165A">
        <w:rPr>
          <w:b/>
          <w:u w:val="single"/>
          <w:lang w:val="en-US"/>
        </w:rPr>
        <w:t>=</w:t>
      </w:r>
      <w:r w:rsidRPr="00D2165A">
        <w:rPr>
          <w:b/>
          <w:spacing w:val="-1"/>
          <w:u w:val="single"/>
          <w:lang w:val="en-US"/>
        </w:rPr>
        <w:t xml:space="preserve"> </w:t>
      </w:r>
      <w:r w:rsidRPr="00D2165A">
        <w:rPr>
          <w:b/>
          <w:u w:val="single"/>
          <w:lang w:val="en-US"/>
        </w:rPr>
        <w:t>304</w:t>
      </w:r>
      <w:r w:rsidRPr="00D2165A">
        <w:rPr>
          <w:b/>
          <w:u w:val="single"/>
          <w:lang w:val="en-US"/>
        </w:rPr>
        <w:tab/>
      </w:r>
      <w:r w:rsidRPr="00D2165A">
        <w:rPr>
          <w:b/>
          <w:lang w:val="en-US"/>
        </w:rPr>
        <w:t xml:space="preserve"> </w:t>
      </w:r>
    </w:p>
    <w:p w:rsidR="000E0BC4" w:rsidRPr="00D2165A" w:rsidRDefault="000E0BC4" w:rsidP="000E0BC4">
      <w:pPr>
        <w:tabs>
          <w:tab w:val="left" w:pos="5913"/>
          <w:tab w:val="left" w:pos="6268"/>
          <w:tab w:val="left" w:pos="9309"/>
        </w:tabs>
        <w:spacing w:line="278" w:lineRule="auto"/>
        <w:ind w:left="3205" w:right="253"/>
        <w:jc w:val="center"/>
        <w:rPr>
          <w:b/>
          <w:lang w:val="en-US"/>
        </w:rPr>
      </w:pPr>
      <w:r w:rsidRPr="00D2165A">
        <w:rPr>
          <w:b/>
          <w:lang w:val="en-US"/>
        </w:rPr>
        <w:t>All</w:t>
      </w:r>
      <w:r w:rsidRPr="00D2165A">
        <w:rPr>
          <w:b/>
          <w:spacing w:val="-1"/>
          <w:lang w:val="en-US"/>
        </w:rPr>
        <w:t xml:space="preserve"> </w:t>
      </w:r>
      <w:r w:rsidRPr="00D2165A">
        <w:rPr>
          <w:b/>
          <w:lang w:val="en-US"/>
        </w:rPr>
        <w:t>grades</w:t>
      </w:r>
      <w:r w:rsidRPr="00D2165A">
        <w:rPr>
          <w:b/>
          <w:lang w:val="en-US"/>
        </w:rPr>
        <w:tab/>
      </w:r>
      <w:r w:rsidRPr="00D2165A">
        <w:rPr>
          <w:b/>
          <w:lang w:val="en-US"/>
        </w:rPr>
        <w:tab/>
        <w:t>Grade</w:t>
      </w:r>
      <w:r w:rsidRPr="00D2165A">
        <w:rPr>
          <w:b/>
          <w:spacing w:val="-2"/>
          <w:lang w:val="en-US"/>
        </w:rPr>
        <w:t xml:space="preserve"> </w:t>
      </w:r>
      <w:r w:rsidRPr="00D2165A">
        <w:rPr>
          <w:b/>
          <w:lang w:val="en-US"/>
        </w:rPr>
        <w:t>3/4</w:t>
      </w:r>
    </w:p>
    <w:p w:rsidR="000E0BC4" w:rsidRPr="00D2165A" w:rsidRDefault="000E0BC4" w:rsidP="000E0BC4">
      <w:pPr>
        <w:pStyle w:val="Brdtekst"/>
        <w:spacing w:line="20" w:lineRule="exact"/>
        <w:ind w:left="3201"/>
        <w:rPr>
          <w:sz w:val="2"/>
        </w:rPr>
      </w:pPr>
      <w:r w:rsidRPr="00D2165A">
        <w:rPr>
          <w:noProof/>
        </w:rPr>
        <mc:AlternateContent>
          <mc:Choice Requires="wpg">
            <w:drawing>
              <wp:inline distT="0" distB="0" distL="0" distR="0">
                <wp:extent cx="3882390" cy="6350"/>
                <wp:effectExtent l="9525" t="9525" r="3810" b="3175"/>
                <wp:docPr id="51" name="Gruppe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2390" cy="6350"/>
                          <a:chOff x="0" y="0"/>
                          <a:chExt cx="6114" cy="10"/>
                        </a:xfrm>
                      </wpg:grpSpPr>
                      <wps:wsp>
                        <wps:cNvPr id="52" name="Line 50"/>
                        <wps:cNvCnPr>
                          <a:cxnSpLocks noChangeShapeType="1"/>
                        </wps:cNvCnPr>
                        <wps:spPr bwMode="auto">
                          <a:xfrm>
                            <a:off x="5" y="5"/>
                            <a:ext cx="610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94E180" id="Gruppe 51" o:spid="_x0000_s1026" style="width:305.7pt;height:.5pt;mso-position-horizontal-relative:char;mso-position-vertical-relative:line" coordsize="61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">
                <v:line id="Line 50" o:spid="_x0000_s1027" style="position:absolute;visibility:visible;mso-wrap-style:square" from="5,5" to="61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w10:anchorlock/>
              </v:group>
            </w:pict>
          </mc:Fallback>
        </mc:AlternateContent>
      </w:r>
    </w:p>
    <w:p w:rsidR="000E0BC4" w:rsidRPr="00D2165A" w:rsidRDefault="000E0BC4" w:rsidP="000E0BC4">
      <w:pPr>
        <w:spacing w:before="109"/>
        <w:ind w:left="3204" w:right="253"/>
        <w:jc w:val="center"/>
        <w:rPr>
          <w:b/>
          <w:sz w:val="22"/>
        </w:rPr>
      </w:pPr>
      <w:r w:rsidRPr="00D2165A">
        <w:rPr>
          <w:b/>
        </w:rPr>
        <w:t>Percent (%) of patients</w:t>
      </w:r>
    </w:p>
    <w:p w:rsidR="000E0BC4" w:rsidRPr="00D2165A" w:rsidRDefault="000E0BC4" w:rsidP="000E0BC4">
      <w:pPr>
        <w:pStyle w:val="Brdtekst"/>
        <w:rPr>
          <w:b/>
        </w:rPr>
      </w:pPr>
      <w:r w:rsidRPr="00D2165A">
        <w:rPr>
          <w:b/>
        </w:rPr>
        <w:t>Preferred term</w:t>
      </w:r>
    </w:p>
    <w:tbl>
      <w:tblPr>
        <w:tblStyle w:val="Tabel-Gitter"/>
        <w:tblW w:w="0" w:type="auto"/>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2939"/>
        <w:gridCol w:w="2933"/>
      </w:tblGrid>
      <w:tr w:rsidR="000E0BC4" w:rsidRPr="00D2165A" w:rsidTr="000E0BC4">
        <w:trPr>
          <w:trHeight w:val="274"/>
        </w:trPr>
        <w:tc>
          <w:tcPr>
            <w:tcW w:w="3011" w:type="dxa"/>
            <w:tcBorders>
              <w:top w:val="single" w:sz="4" w:space="0" w:color="auto"/>
              <w:left w:val="nil"/>
              <w:bottom w:val="nil"/>
              <w:right w:val="nil"/>
            </w:tcBorders>
            <w:hideMark/>
          </w:tcPr>
          <w:p w:rsidR="000E0BC4" w:rsidRPr="00D2165A" w:rsidRDefault="000E0BC4">
            <w:pPr>
              <w:pStyle w:val="Brdtekst"/>
              <w:rPr>
                <w:rFonts w:ascii="Times New Roman" w:hAnsi="Times New Roman" w:cs="Times New Roman"/>
                <w:b/>
              </w:rPr>
            </w:pPr>
            <w:r w:rsidRPr="00D2165A">
              <w:rPr>
                <w:rFonts w:ascii="Times New Roman" w:hAnsi="Times New Roman" w:cs="Times New Roman"/>
                <w:b/>
              </w:rPr>
              <w:t>Diarrhoea</w:t>
            </w:r>
          </w:p>
        </w:tc>
        <w:tc>
          <w:tcPr>
            <w:tcW w:w="2939" w:type="dxa"/>
            <w:tcBorders>
              <w:top w:val="single" w:sz="4" w:space="0" w:color="auto"/>
              <w:left w:val="nil"/>
              <w:bottom w:val="nil"/>
              <w:right w:val="nil"/>
            </w:tcBorders>
            <w:hideMark/>
          </w:tcPr>
          <w:p w:rsidR="000E0BC4" w:rsidRPr="00D2165A" w:rsidRDefault="000E0BC4">
            <w:pPr>
              <w:pStyle w:val="Brdtekst"/>
              <w:jc w:val="center"/>
              <w:rPr>
                <w:rFonts w:ascii="Times New Roman" w:hAnsi="Times New Roman" w:cs="Times New Roman"/>
              </w:rPr>
            </w:pPr>
            <w:r w:rsidRPr="00D2165A">
              <w:rPr>
                <w:rFonts w:ascii="Times New Roman" w:hAnsi="Times New Roman" w:cs="Times New Roman"/>
              </w:rPr>
              <w:t>28</w:t>
            </w:r>
          </w:p>
        </w:tc>
        <w:tc>
          <w:tcPr>
            <w:tcW w:w="2933" w:type="dxa"/>
            <w:tcBorders>
              <w:top w:val="single" w:sz="4" w:space="0" w:color="auto"/>
              <w:left w:val="nil"/>
              <w:bottom w:val="nil"/>
              <w:right w:val="nil"/>
            </w:tcBorders>
            <w:hideMark/>
          </w:tcPr>
          <w:p w:rsidR="000E0BC4" w:rsidRPr="00D2165A" w:rsidRDefault="000E0BC4">
            <w:pPr>
              <w:pStyle w:val="Brdtekst"/>
              <w:jc w:val="center"/>
              <w:rPr>
                <w:rFonts w:ascii="Times New Roman" w:hAnsi="Times New Roman" w:cs="Times New Roman"/>
              </w:rPr>
            </w:pPr>
            <w:r w:rsidRPr="00D2165A">
              <w:rPr>
                <w:rFonts w:ascii="Times New Roman" w:hAnsi="Times New Roman" w:cs="Times New Roman"/>
              </w:rPr>
              <w:t>3</w:t>
            </w:r>
          </w:p>
        </w:tc>
      </w:tr>
      <w:tr w:rsidR="000E0BC4" w:rsidRPr="00D2165A" w:rsidTr="000E0BC4">
        <w:trPr>
          <w:trHeight w:val="274"/>
        </w:trPr>
        <w:tc>
          <w:tcPr>
            <w:tcW w:w="3011" w:type="dxa"/>
            <w:tcBorders>
              <w:top w:val="nil"/>
              <w:left w:val="nil"/>
              <w:bottom w:val="nil"/>
              <w:right w:val="nil"/>
            </w:tcBorders>
            <w:hideMark/>
          </w:tcPr>
          <w:p w:rsidR="000E0BC4" w:rsidRPr="00D2165A" w:rsidRDefault="000E0BC4">
            <w:pPr>
              <w:pStyle w:val="Brdtekst"/>
              <w:rPr>
                <w:rFonts w:ascii="Times New Roman" w:hAnsi="Times New Roman" w:cs="Times New Roman"/>
                <w:b/>
              </w:rPr>
            </w:pPr>
            <w:r w:rsidRPr="00D2165A">
              <w:rPr>
                <w:rFonts w:ascii="Times New Roman" w:hAnsi="Times New Roman" w:cs="Times New Roman"/>
                <w:b/>
              </w:rPr>
              <w:t>Fluid retention</w:t>
            </w:r>
          </w:p>
        </w:tc>
        <w:tc>
          <w:tcPr>
            <w:tcW w:w="2939" w:type="dxa"/>
            <w:tcBorders>
              <w:top w:val="nil"/>
              <w:left w:val="nil"/>
              <w:bottom w:val="nil"/>
              <w:right w:val="nil"/>
            </w:tcBorders>
            <w:hideMark/>
          </w:tcPr>
          <w:p w:rsidR="000E0BC4" w:rsidRPr="00D2165A" w:rsidRDefault="000E0BC4">
            <w:pPr>
              <w:pStyle w:val="Brdtekst"/>
              <w:jc w:val="center"/>
              <w:rPr>
                <w:rFonts w:ascii="Times New Roman" w:hAnsi="Times New Roman" w:cs="Times New Roman"/>
              </w:rPr>
            </w:pPr>
            <w:r w:rsidRPr="00D2165A">
              <w:rPr>
                <w:rFonts w:ascii="Times New Roman" w:hAnsi="Times New Roman" w:cs="Times New Roman"/>
              </w:rPr>
              <w:t>33</w:t>
            </w:r>
          </w:p>
        </w:tc>
        <w:tc>
          <w:tcPr>
            <w:tcW w:w="2933" w:type="dxa"/>
            <w:tcBorders>
              <w:top w:val="nil"/>
              <w:left w:val="nil"/>
              <w:bottom w:val="nil"/>
              <w:right w:val="nil"/>
            </w:tcBorders>
            <w:hideMark/>
          </w:tcPr>
          <w:p w:rsidR="000E0BC4" w:rsidRPr="00D2165A" w:rsidRDefault="000E0BC4">
            <w:pPr>
              <w:pStyle w:val="Brdtekst"/>
              <w:jc w:val="center"/>
              <w:rPr>
                <w:rFonts w:ascii="Times New Roman" w:hAnsi="Times New Roman" w:cs="Times New Roman"/>
              </w:rPr>
            </w:pPr>
            <w:r w:rsidRPr="00D2165A">
              <w:rPr>
                <w:rFonts w:ascii="Times New Roman" w:hAnsi="Times New Roman" w:cs="Times New Roman"/>
              </w:rPr>
              <w:t>7</w:t>
            </w:r>
          </w:p>
        </w:tc>
      </w:tr>
      <w:tr w:rsidR="000E0BC4" w:rsidRPr="00D2165A" w:rsidTr="000E0BC4">
        <w:trPr>
          <w:trHeight w:val="274"/>
        </w:trPr>
        <w:tc>
          <w:tcPr>
            <w:tcW w:w="3011" w:type="dxa"/>
            <w:tcBorders>
              <w:top w:val="nil"/>
              <w:left w:val="nil"/>
              <w:bottom w:val="nil"/>
              <w:right w:val="nil"/>
            </w:tcBorders>
            <w:hideMark/>
          </w:tcPr>
          <w:p w:rsidR="000E0BC4" w:rsidRPr="00D2165A" w:rsidRDefault="000E0BC4">
            <w:pPr>
              <w:pStyle w:val="Brdtekst"/>
              <w:ind w:left="170"/>
              <w:rPr>
                <w:rFonts w:ascii="Times New Roman" w:hAnsi="Times New Roman" w:cs="Times New Roman"/>
              </w:rPr>
            </w:pPr>
            <w:r w:rsidRPr="00D2165A">
              <w:rPr>
                <w:rFonts w:ascii="Times New Roman" w:hAnsi="Times New Roman" w:cs="Times New Roman"/>
              </w:rPr>
              <w:t>Superficial oedema</w:t>
            </w:r>
          </w:p>
        </w:tc>
        <w:tc>
          <w:tcPr>
            <w:tcW w:w="2939" w:type="dxa"/>
            <w:tcBorders>
              <w:top w:val="nil"/>
              <w:left w:val="nil"/>
              <w:bottom w:val="nil"/>
              <w:right w:val="nil"/>
            </w:tcBorders>
            <w:hideMark/>
          </w:tcPr>
          <w:p w:rsidR="000E0BC4" w:rsidRPr="00D2165A" w:rsidRDefault="000E0BC4">
            <w:pPr>
              <w:pStyle w:val="Brdtekst"/>
              <w:jc w:val="center"/>
              <w:rPr>
                <w:rFonts w:ascii="Times New Roman" w:hAnsi="Times New Roman" w:cs="Times New Roman"/>
              </w:rPr>
            </w:pPr>
            <w:r w:rsidRPr="00D2165A">
              <w:rPr>
                <w:rFonts w:ascii="Times New Roman" w:hAnsi="Times New Roman" w:cs="Times New Roman"/>
              </w:rPr>
              <w:t>15</w:t>
            </w:r>
          </w:p>
        </w:tc>
        <w:tc>
          <w:tcPr>
            <w:tcW w:w="2933" w:type="dxa"/>
            <w:tcBorders>
              <w:top w:val="nil"/>
              <w:left w:val="nil"/>
              <w:bottom w:val="nil"/>
              <w:right w:val="nil"/>
            </w:tcBorders>
            <w:hideMark/>
          </w:tcPr>
          <w:p w:rsidR="000E0BC4" w:rsidRPr="00D2165A" w:rsidRDefault="000E0BC4">
            <w:pPr>
              <w:pStyle w:val="Brdtekst"/>
              <w:jc w:val="center"/>
              <w:rPr>
                <w:rFonts w:ascii="Times New Roman" w:hAnsi="Times New Roman" w:cs="Times New Roman"/>
              </w:rPr>
            </w:pPr>
            <w:r w:rsidRPr="00D2165A">
              <w:rPr>
                <w:rFonts w:ascii="Times New Roman" w:hAnsi="Times New Roman" w:cs="Times New Roman"/>
              </w:rPr>
              <w:t>&lt; 1</w:t>
            </w:r>
          </w:p>
        </w:tc>
      </w:tr>
      <w:tr w:rsidR="000E0BC4" w:rsidRPr="00D2165A" w:rsidTr="000E0BC4">
        <w:trPr>
          <w:trHeight w:val="263"/>
        </w:trPr>
        <w:tc>
          <w:tcPr>
            <w:tcW w:w="3011" w:type="dxa"/>
            <w:tcBorders>
              <w:top w:val="nil"/>
              <w:left w:val="nil"/>
              <w:bottom w:val="nil"/>
              <w:right w:val="nil"/>
            </w:tcBorders>
            <w:hideMark/>
          </w:tcPr>
          <w:p w:rsidR="000E0BC4" w:rsidRPr="00D2165A" w:rsidRDefault="000E0BC4">
            <w:pPr>
              <w:pStyle w:val="Brdtekst"/>
              <w:ind w:left="170"/>
              <w:rPr>
                <w:rFonts w:ascii="Times New Roman" w:hAnsi="Times New Roman" w:cs="Times New Roman"/>
              </w:rPr>
            </w:pPr>
            <w:r w:rsidRPr="00D2165A">
              <w:rPr>
                <w:rFonts w:ascii="Times New Roman" w:hAnsi="Times New Roman" w:cs="Times New Roman"/>
              </w:rPr>
              <w:t>Pleural effusion</w:t>
            </w:r>
          </w:p>
        </w:tc>
        <w:tc>
          <w:tcPr>
            <w:tcW w:w="2939" w:type="dxa"/>
            <w:tcBorders>
              <w:top w:val="nil"/>
              <w:left w:val="nil"/>
              <w:bottom w:val="nil"/>
              <w:right w:val="nil"/>
            </w:tcBorders>
            <w:hideMark/>
          </w:tcPr>
          <w:p w:rsidR="000E0BC4" w:rsidRPr="00D2165A" w:rsidRDefault="000E0BC4">
            <w:pPr>
              <w:pStyle w:val="Brdtekst"/>
              <w:jc w:val="center"/>
              <w:rPr>
                <w:rFonts w:ascii="Times New Roman" w:hAnsi="Times New Roman" w:cs="Times New Roman"/>
              </w:rPr>
            </w:pPr>
            <w:r w:rsidRPr="00D2165A">
              <w:rPr>
                <w:rFonts w:ascii="Times New Roman" w:hAnsi="Times New Roman" w:cs="Times New Roman"/>
              </w:rPr>
              <w:t>20</w:t>
            </w:r>
          </w:p>
        </w:tc>
        <w:tc>
          <w:tcPr>
            <w:tcW w:w="2933" w:type="dxa"/>
            <w:tcBorders>
              <w:top w:val="nil"/>
              <w:left w:val="nil"/>
              <w:bottom w:val="nil"/>
              <w:right w:val="nil"/>
            </w:tcBorders>
            <w:hideMark/>
          </w:tcPr>
          <w:p w:rsidR="000E0BC4" w:rsidRPr="00D2165A" w:rsidRDefault="000E0BC4">
            <w:pPr>
              <w:pStyle w:val="Brdtekst"/>
              <w:jc w:val="center"/>
              <w:rPr>
                <w:rFonts w:ascii="Times New Roman" w:hAnsi="Times New Roman" w:cs="Times New Roman"/>
              </w:rPr>
            </w:pPr>
            <w:r w:rsidRPr="00D2165A">
              <w:rPr>
                <w:rFonts w:ascii="Times New Roman" w:hAnsi="Times New Roman" w:cs="Times New Roman"/>
              </w:rPr>
              <w:t>6</w:t>
            </w:r>
          </w:p>
        </w:tc>
      </w:tr>
      <w:tr w:rsidR="000E0BC4" w:rsidRPr="00D2165A" w:rsidTr="000E0BC4">
        <w:trPr>
          <w:trHeight w:val="274"/>
        </w:trPr>
        <w:tc>
          <w:tcPr>
            <w:tcW w:w="3011" w:type="dxa"/>
            <w:tcBorders>
              <w:top w:val="nil"/>
              <w:left w:val="nil"/>
              <w:bottom w:val="nil"/>
              <w:right w:val="nil"/>
            </w:tcBorders>
            <w:hideMark/>
          </w:tcPr>
          <w:p w:rsidR="000E0BC4" w:rsidRPr="00D2165A" w:rsidRDefault="000E0BC4">
            <w:pPr>
              <w:pStyle w:val="Brdtekst"/>
              <w:ind w:left="170"/>
              <w:rPr>
                <w:rFonts w:ascii="Times New Roman" w:hAnsi="Times New Roman" w:cs="Times New Roman"/>
              </w:rPr>
            </w:pPr>
            <w:r w:rsidRPr="00D2165A">
              <w:rPr>
                <w:rFonts w:ascii="Times New Roman" w:hAnsi="Times New Roman" w:cs="Times New Roman"/>
              </w:rPr>
              <w:t>Generalised oedema</w:t>
            </w:r>
          </w:p>
        </w:tc>
        <w:tc>
          <w:tcPr>
            <w:tcW w:w="2939" w:type="dxa"/>
            <w:tcBorders>
              <w:top w:val="nil"/>
              <w:left w:val="nil"/>
              <w:bottom w:val="nil"/>
              <w:right w:val="nil"/>
            </w:tcBorders>
            <w:hideMark/>
          </w:tcPr>
          <w:p w:rsidR="000E0BC4" w:rsidRPr="00D2165A" w:rsidRDefault="000E0BC4">
            <w:pPr>
              <w:pStyle w:val="Brdtekst"/>
              <w:jc w:val="center"/>
              <w:rPr>
                <w:rFonts w:ascii="Times New Roman" w:hAnsi="Times New Roman" w:cs="Times New Roman"/>
              </w:rPr>
            </w:pPr>
            <w:r w:rsidRPr="00D2165A">
              <w:rPr>
                <w:rFonts w:ascii="Times New Roman" w:hAnsi="Times New Roman" w:cs="Times New Roman"/>
              </w:rPr>
              <w:t>2</w:t>
            </w:r>
          </w:p>
        </w:tc>
        <w:tc>
          <w:tcPr>
            <w:tcW w:w="2933" w:type="dxa"/>
            <w:tcBorders>
              <w:top w:val="nil"/>
              <w:left w:val="nil"/>
              <w:bottom w:val="nil"/>
              <w:right w:val="nil"/>
            </w:tcBorders>
            <w:hideMark/>
          </w:tcPr>
          <w:p w:rsidR="000E0BC4" w:rsidRPr="00D2165A" w:rsidRDefault="000E0BC4">
            <w:pPr>
              <w:pStyle w:val="Brdtekst"/>
              <w:jc w:val="center"/>
              <w:rPr>
                <w:rFonts w:ascii="Times New Roman" w:hAnsi="Times New Roman" w:cs="Times New Roman"/>
              </w:rPr>
            </w:pPr>
            <w:r w:rsidRPr="00D2165A">
              <w:rPr>
                <w:rFonts w:ascii="Times New Roman" w:hAnsi="Times New Roman" w:cs="Times New Roman"/>
              </w:rPr>
              <w:t>0</w:t>
            </w:r>
          </w:p>
        </w:tc>
      </w:tr>
      <w:tr w:rsidR="000E0BC4" w:rsidRPr="00D2165A" w:rsidTr="000E0BC4">
        <w:trPr>
          <w:trHeight w:val="482"/>
        </w:trPr>
        <w:tc>
          <w:tcPr>
            <w:tcW w:w="3011" w:type="dxa"/>
            <w:tcBorders>
              <w:top w:val="nil"/>
              <w:left w:val="nil"/>
              <w:bottom w:val="nil"/>
              <w:right w:val="nil"/>
            </w:tcBorders>
            <w:hideMark/>
          </w:tcPr>
          <w:p w:rsidR="000E0BC4" w:rsidRPr="00D2165A" w:rsidRDefault="000E0BC4">
            <w:pPr>
              <w:widowControl/>
              <w:adjustRightInd w:val="0"/>
              <w:ind w:left="170"/>
              <w:rPr>
                <w:rFonts w:ascii="Times New Roman" w:hAnsi="Times New Roman" w:cs="Times New Roman"/>
                <w:sz w:val="20"/>
                <w:szCs w:val="20"/>
              </w:rPr>
            </w:pPr>
            <w:r w:rsidRPr="00D2165A">
              <w:rPr>
                <w:rFonts w:ascii="Times New Roman" w:hAnsi="Times New Roman" w:cs="Times New Roman"/>
                <w:sz w:val="20"/>
                <w:szCs w:val="20"/>
              </w:rPr>
              <w:t>Congestive heart failure/</w:t>
            </w:r>
          </w:p>
          <w:p w:rsidR="000E0BC4" w:rsidRPr="00D2165A" w:rsidRDefault="000E0BC4">
            <w:pPr>
              <w:pStyle w:val="Brdtekst"/>
              <w:ind w:left="340"/>
              <w:rPr>
                <w:rFonts w:ascii="Times New Roman" w:eastAsia="Times New Roman" w:hAnsi="Times New Roman" w:cs="Times New Roman"/>
                <w:szCs w:val="20"/>
              </w:rPr>
            </w:pPr>
            <w:r w:rsidRPr="00D2165A">
              <w:rPr>
                <w:rFonts w:ascii="Times New Roman" w:hAnsi="Times New Roman" w:cs="Times New Roman"/>
              </w:rPr>
              <w:t>cardiac dysfunction</w:t>
            </w:r>
            <w:r w:rsidRPr="00D2165A">
              <w:rPr>
                <w:rFonts w:ascii="Times New Roman" w:hAnsi="Times New Roman" w:cs="Times New Roman"/>
                <w:vertAlign w:val="superscript"/>
              </w:rPr>
              <w:t>b</w:t>
            </w:r>
          </w:p>
        </w:tc>
        <w:tc>
          <w:tcPr>
            <w:tcW w:w="2939" w:type="dxa"/>
            <w:tcBorders>
              <w:top w:val="nil"/>
              <w:left w:val="nil"/>
              <w:bottom w:val="nil"/>
              <w:right w:val="nil"/>
            </w:tcBorders>
            <w:hideMark/>
          </w:tcPr>
          <w:p w:rsidR="000E0BC4" w:rsidRPr="00D2165A" w:rsidRDefault="000E0BC4">
            <w:pPr>
              <w:pStyle w:val="Brdtekst"/>
              <w:jc w:val="center"/>
              <w:rPr>
                <w:rFonts w:ascii="Times New Roman" w:hAnsi="Times New Roman" w:cs="Times New Roman"/>
              </w:rPr>
            </w:pPr>
            <w:r w:rsidRPr="00D2165A">
              <w:rPr>
                <w:rFonts w:ascii="Times New Roman" w:hAnsi="Times New Roman" w:cs="Times New Roman"/>
              </w:rPr>
              <w:t>1</w:t>
            </w:r>
          </w:p>
        </w:tc>
        <w:tc>
          <w:tcPr>
            <w:tcW w:w="2933" w:type="dxa"/>
            <w:tcBorders>
              <w:top w:val="nil"/>
              <w:left w:val="nil"/>
              <w:bottom w:val="nil"/>
              <w:right w:val="nil"/>
            </w:tcBorders>
            <w:hideMark/>
          </w:tcPr>
          <w:p w:rsidR="000E0BC4" w:rsidRPr="00D2165A" w:rsidRDefault="000E0BC4">
            <w:pPr>
              <w:pStyle w:val="Brdtekst"/>
              <w:jc w:val="center"/>
              <w:rPr>
                <w:rFonts w:ascii="Times New Roman" w:hAnsi="Times New Roman" w:cs="Times New Roman"/>
              </w:rPr>
            </w:pPr>
            <w:r w:rsidRPr="00D2165A">
              <w:rPr>
                <w:rFonts w:ascii="Times New Roman" w:hAnsi="Times New Roman" w:cs="Times New Roman"/>
              </w:rPr>
              <w:t>0</w:t>
            </w:r>
          </w:p>
        </w:tc>
      </w:tr>
      <w:tr w:rsidR="000E0BC4" w:rsidRPr="00D2165A" w:rsidTr="000E0BC4">
        <w:trPr>
          <w:trHeight w:val="274"/>
        </w:trPr>
        <w:tc>
          <w:tcPr>
            <w:tcW w:w="3011" w:type="dxa"/>
            <w:tcBorders>
              <w:top w:val="nil"/>
              <w:left w:val="nil"/>
              <w:bottom w:val="nil"/>
              <w:right w:val="nil"/>
            </w:tcBorders>
            <w:hideMark/>
          </w:tcPr>
          <w:p w:rsidR="000E0BC4" w:rsidRPr="00D2165A" w:rsidRDefault="000E0BC4">
            <w:pPr>
              <w:widowControl/>
              <w:adjustRightInd w:val="0"/>
              <w:ind w:left="170"/>
              <w:rPr>
                <w:rFonts w:ascii="Times New Roman" w:hAnsi="Times New Roman" w:cs="Times New Roman"/>
                <w:sz w:val="20"/>
                <w:szCs w:val="20"/>
                <w:lang w:val="de-DE"/>
              </w:rPr>
            </w:pPr>
            <w:r w:rsidRPr="00D2165A">
              <w:rPr>
                <w:rFonts w:ascii="Times New Roman" w:hAnsi="Times New Roman" w:cs="Times New Roman"/>
                <w:sz w:val="20"/>
                <w:szCs w:val="20"/>
                <w:lang w:val="de-DE"/>
              </w:rPr>
              <w:t>Pericardial effusion</w:t>
            </w:r>
          </w:p>
        </w:tc>
        <w:tc>
          <w:tcPr>
            <w:tcW w:w="2939" w:type="dxa"/>
            <w:tcBorders>
              <w:top w:val="nil"/>
              <w:left w:val="nil"/>
              <w:bottom w:val="nil"/>
              <w:right w:val="nil"/>
            </w:tcBorders>
            <w:hideMark/>
          </w:tcPr>
          <w:p w:rsidR="000E0BC4" w:rsidRPr="00D2165A" w:rsidRDefault="000E0BC4">
            <w:pPr>
              <w:pStyle w:val="Brdtekst"/>
              <w:jc w:val="center"/>
              <w:rPr>
                <w:rFonts w:ascii="Times New Roman" w:eastAsia="Times New Roman" w:hAnsi="Times New Roman" w:cs="Times New Roman"/>
                <w:szCs w:val="20"/>
              </w:rPr>
            </w:pPr>
            <w:r w:rsidRPr="00D2165A">
              <w:rPr>
                <w:rFonts w:ascii="Times New Roman" w:hAnsi="Times New Roman" w:cs="Times New Roman"/>
              </w:rPr>
              <w:t>2</w:t>
            </w:r>
          </w:p>
        </w:tc>
        <w:tc>
          <w:tcPr>
            <w:tcW w:w="2933" w:type="dxa"/>
            <w:tcBorders>
              <w:top w:val="nil"/>
              <w:left w:val="nil"/>
              <w:bottom w:val="nil"/>
              <w:right w:val="nil"/>
            </w:tcBorders>
            <w:hideMark/>
          </w:tcPr>
          <w:p w:rsidR="000E0BC4" w:rsidRPr="00D2165A" w:rsidRDefault="000E0BC4">
            <w:pPr>
              <w:pStyle w:val="Brdtekst"/>
              <w:jc w:val="center"/>
              <w:rPr>
                <w:rFonts w:ascii="Times New Roman" w:hAnsi="Times New Roman" w:cs="Times New Roman"/>
              </w:rPr>
            </w:pPr>
            <w:r w:rsidRPr="00D2165A">
              <w:rPr>
                <w:rFonts w:ascii="Times New Roman" w:hAnsi="Times New Roman" w:cs="Times New Roman"/>
              </w:rPr>
              <w:t>1</w:t>
            </w:r>
          </w:p>
        </w:tc>
      </w:tr>
      <w:tr w:rsidR="000E0BC4" w:rsidRPr="00D2165A" w:rsidTr="000E0BC4">
        <w:trPr>
          <w:trHeight w:val="274"/>
        </w:trPr>
        <w:tc>
          <w:tcPr>
            <w:tcW w:w="3011" w:type="dxa"/>
            <w:tcBorders>
              <w:top w:val="nil"/>
              <w:left w:val="nil"/>
              <w:bottom w:val="nil"/>
              <w:right w:val="nil"/>
            </w:tcBorders>
            <w:hideMark/>
          </w:tcPr>
          <w:p w:rsidR="000E0BC4" w:rsidRPr="00D2165A" w:rsidRDefault="000E0BC4">
            <w:pPr>
              <w:widowControl/>
              <w:adjustRightInd w:val="0"/>
              <w:ind w:left="170"/>
              <w:rPr>
                <w:rFonts w:ascii="Times New Roman" w:hAnsi="Times New Roman" w:cs="Times New Roman"/>
                <w:sz w:val="20"/>
                <w:szCs w:val="20"/>
                <w:lang w:val="de-DE"/>
              </w:rPr>
            </w:pPr>
            <w:r w:rsidRPr="00D2165A">
              <w:rPr>
                <w:rFonts w:ascii="Times New Roman" w:hAnsi="Times New Roman" w:cs="Times New Roman"/>
                <w:sz w:val="20"/>
                <w:szCs w:val="20"/>
                <w:lang w:val="de-DE"/>
              </w:rPr>
              <w:t>Pulmonary oedema</w:t>
            </w:r>
          </w:p>
        </w:tc>
        <w:tc>
          <w:tcPr>
            <w:tcW w:w="2939" w:type="dxa"/>
            <w:tcBorders>
              <w:top w:val="nil"/>
              <w:left w:val="nil"/>
              <w:bottom w:val="nil"/>
              <w:right w:val="nil"/>
            </w:tcBorders>
            <w:hideMark/>
          </w:tcPr>
          <w:p w:rsidR="000E0BC4" w:rsidRPr="00D2165A" w:rsidRDefault="000E0BC4">
            <w:pPr>
              <w:pStyle w:val="Brdtekst"/>
              <w:jc w:val="center"/>
              <w:rPr>
                <w:rFonts w:ascii="Times New Roman" w:eastAsia="Times New Roman" w:hAnsi="Times New Roman" w:cs="Times New Roman"/>
                <w:szCs w:val="20"/>
              </w:rPr>
            </w:pPr>
            <w:r w:rsidRPr="00D2165A">
              <w:rPr>
                <w:rFonts w:ascii="Times New Roman" w:hAnsi="Times New Roman" w:cs="Times New Roman"/>
              </w:rPr>
              <w:t>1</w:t>
            </w:r>
          </w:p>
        </w:tc>
        <w:tc>
          <w:tcPr>
            <w:tcW w:w="2933" w:type="dxa"/>
            <w:tcBorders>
              <w:top w:val="nil"/>
              <w:left w:val="nil"/>
              <w:bottom w:val="nil"/>
              <w:right w:val="nil"/>
            </w:tcBorders>
            <w:hideMark/>
          </w:tcPr>
          <w:p w:rsidR="000E0BC4" w:rsidRPr="00D2165A" w:rsidRDefault="000E0BC4">
            <w:pPr>
              <w:pStyle w:val="Brdtekst"/>
              <w:jc w:val="center"/>
              <w:rPr>
                <w:rFonts w:ascii="Times New Roman" w:hAnsi="Times New Roman" w:cs="Times New Roman"/>
              </w:rPr>
            </w:pPr>
            <w:r w:rsidRPr="00D2165A">
              <w:rPr>
                <w:rFonts w:ascii="Times New Roman" w:hAnsi="Times New Roman" w:cs="Times New Roman"/>
              </w:rPr>
              <w:t>1</w:t>
            </w:r>
          </w:p>
        </w:tc>
      </w:tr>
      <w:tr w:rsidR="000E0BC4" w:rsidRPr="00D2165A" w:rsidTr="000E0BC4">
        <w:trPr>
          <w:trHeight w:val="274"/>
        </w:trPr>
        <w:tc>
          <w:tcPr>
            <w:tcW w:w="3011" w:type="dxa"/>
            <w:tcBorders>
              <w:top w:val="nil"/>
              <w:left w:val="nil"/>
              <w:bottom w:val="nil"/>
              <w:right w:val="nil"/>
            </w:tcBorders>
            <w:hideMark/>
          </w:tcPr>
          <w:p w:rsidR="000E0BC4" w:rsidRPr="00D2165A" w:rsidRDefault="000E0BC4">
            <w:pPr>
              <w:widowControl/>
              <w:adjustRightInd w:val="0"/>
              <w:rPr>
                <w:rFonts w:ascii="Times New Roman" w:hAnsi="Times New Roman" w:cs="Times New Roman"/>
                <w:b/>
                <w:sz w:val="20"/>
                <w:szCs w:val="20"/>
                <w:lang w:val="de-DE"/>
              </w:rPr>
            </w:pPr>
            <w:r w:rsidRPr="00D2165A">
              <w:rPr>
                <w:rFonts w:ascii="Times New Roman" w:hAnsi="Times New Roman" w:cs="Times New Roman"/>
                <w:b/>
                <w:sz w:val="20"/>
                <w:szCs w:val="20"/>
                <w:lang w:val="de-DE"/>
              </w:rPr>
              <w:t>Haemorrhage</w:t>
            </w:r>
          </w:p>
        </w:tc>
        <w:tc>
          <w:tcPr>
            <w:tcW w:w="2939" w:type="dxa"/>
            <w:tcBorders>
              <w:top w:val="nil"/>
              <w:left w:val="nil"/>
              <w:bottom w:val="nil"/>
              <w:right w:val="nil"/>
            </w:tcBorders>
            <w:hideMark/>
          </w:tcPr>
          <w:p w:rsidR="000E0BC4" w:rsidRPr="00D2165A" w:rsidRDefault="000E0BC4">
            <w:pPr>
              <w:pStyle w:val="Brdtekst"/>
              <w:jc w:val="center"/>
              <w:rPr>
                <w:rFonts w:ascii="Times New Roman" w:eastAsia="Times New Roman" w:hAnsi="Times New Roman" w:cs="Times New Roman"/>
                <w:szCs w:val="20"/>
              </w:rPr>
            </w:pPr>
            <w:r w:rsidRPr="00D2165A">
              <w:rPr>
                <w:rFonts w:ascii="Times New Roman" w:hAnsi="Times New Roman" w:cs="Times New Roman"/>
              </w:rPr>
              <w:t>23</w:t>
            </w:r>
          </w:p>
        </w:tc>
        <w:tc>
          <w:tcPr>
            <w:tcW w:w="2933" w:type="dxa"/>
            <w:tcBorders>
              <w:top w:val="nil"/>
              <w:left w:val="nil"/>
              <w:bottom w:val="nil"/>
              <w:right w:val="nil"/>
            </w:tcBorders>
            <w:hideMark/>
          </w:tcPr>
          <w:p w:rsidR="000E0BC4" w:rsidRPr="00D2165A" w:rsidRDefault="000E0BC4">
            <w:pPr>
              <w:pStyle w:val="Brdtekst"/>
              <w:jc w:val="center"/>
              <w:rPr>
                <w:rFonts w:ascii="Times New Roman" w:hAnsi="Times New Roman" w:cs="Times New Roman"/>
              </w:rPr>
            </w:pPr>
            <w:r w:rsidRPr="00D2165A">
              <w:rPr>
                <w:rFonts w:ascii="Times New Roman" w:hAnsi="Times New Roman" w:cs="Times New Roman"/>
              </w:rPr>
              <w:t>8</w:t>
            </w:r>
          </w:p>
        </w:tc>
      </w:tr>
      <w:tr w:rsidR="000E0BC4" w:rsidRPr="00D2165A" w:rsidTr="000E0BC4">
        <w:trPr>
          <w:trHeight w:val="285"/>
        </w:trPr>
        <w:tc>
          <w:tcPr>
            <w:tcW w:w="3011" w:type="dxa"/>
            <w:tcBorders>
              <w:top w:val="nil"/>
              <w:left w:val="nil"/>
              <w:bottom w:val="single" w:sz="4" w:space="0" w:color="auto"/>
              <w:right w:val="nil"/>
            </w:tcBorders>
            <w:hideMark/>
          </w:tcPr>
          <w:p w:rsidR="000E0BC4" w:rsidRPr="00D2165A" w:rsidRDefault="000E0BC4">
            <w:pPr>
              <w:widowControl/>
              <w:adjustRightInd w:val="0"/>
              <w:ind w:left="170"/>
              <w:rPr>
                <w:rFonts w:ascii="Times New Roman" w:hAnsi="Times New Roman" w:cs="Times New Roman"/>
                <w:sz w:val="20"/>
                <w:szCs w:val="20"/>
                <w:lang w:val="de-DE"/>
              </w:rPr>
            </w:pPr>
            <w:r w:rsidRPr="00D2165A">
              <w:rPr>
                <w:rFonts w:ascii="Times New Roman" w:hAnsi="Times New Roman" w:cs="Times New Roman"/>
                <w:sz w:val="20"/>
                <w:szCs w:val="20"/>
                <w:lang w:val="de-DE"/>
              </w:rPr>
              <w:t>Gastrointestinal bleeding</w:t>
            </w:r>
          </w:p>
        </w:tc>
        <w:tc>
          <w:tcPr>
            <w:tcW w:w="2939" w:type="dxa"/>
            <w:tcBorders>
              <w:top w:val="nil"/>
              <w:left w:val="nil"/>
              <w:bottom w:val="single" w:sz="4" w:space="0" w:color="auto"/>
              <w:right w:val="nil"/>
            </w:tcBorders>
            <w:hideMark/>
          </w:tcPr>
          <w:p w:rsidR="000E0BC4" w:rsidRPr="00D2165A" w:rsidRDefault="000E0BC4">
            <w:pPr>
              <w:pStyle w:val="Brdtekst"/>
              <w:jc w:val="center"/>
              <w:rPr>
                <w:rFonts w:ascii="Times New Roman" w:eastAsia="Times New Roman" w:hAnsi="Times New Roman" w:cs="Times New Roman"/>
                <w:szCs w:val="20"/>
              </w:rPr>
            </w:pPr>
            <w:r w:rsidRPr="00D2165A">
              <w:rPr>
                <w:rFonts w:ascii="Times New Roman" w:hAnsi="Times New Roman" w:cs="Times New Roman"/>
              </w:rPr>
              <w:t>8</w:t>
            </w:r>
          </w:p>
        </w:tc>
        <w:tc>
          <w:tcPr>
            <w:tcW w:w="2933" w:type="dxa"/>
            <w:tcBorders>
              <w:top w:val="nil"/>
              <w:left w:val="nil"/>
              <w:bottom w:val="single" w:sz="4" w:space="0" w:color="auto"/>
              <w:right w:val="nil"/>
            </w:tcBorders>
            <w:hideMark/>
          </w:tcPr>
          <w:p w:rsidR="000E0BC4" w:rsidRPr="00D2165A" w:rsidRDefault="000E0BC4">
            <w:pPr>
              <w:pStyle w:val="Brdtekst"/>
              <w:jc w:val="center"/>
              <w:rPr>
                <w:rFonts w:ascii="Times New Roman" w:hAnsi="Times New Roman" w:cs="Times New Roman"/>
              </w:rPr>
            </w:pPr>
            <w:r w:rsidRPr="00D2165A">
              <w:rPr>
                <w:rFonts w:ascii="Times New Roman" w:hAnsi="Times New Roman" w:cs="Times New Roman"/>
              </w:rPr>
              <w:t>6</w:t>
            </w:r>
          </w:p>
        </w:tc>
      </w:tr>
    </w:tbl>
    <w:p w:rsidR="000E0BC4" w:rsidRPr="00D2165A" w:rsidRDefault="000E0BC4" w:rsidP="000E0BC4">
      <w:pPr>
        <w:ind w:right="380"/>
        <w:rPr>
          <w:sz w:val="17"/>
          <w:szCs w:val="22"/>
          <w:lang w:val="en-US" w:eastAsia="en-US"/>
        </w:rPr>
      </w:pPr>
      <w:r w:rsidRPr="00D2165A">
        <w:rPr>
          <w:position w:val="6"/>
          <w:sz w:val="11"/>
          <w:lang w:val="en-US"/>
        </w:rPr>
        <w:t xml:space="preserve">a </w:t>
      </w:r>
      <w:r w:rsidRPr="00D2165A">
        <w:rPr>
          <w:sz w:val="17"/>
          <w:lang w:val="en-US"/>
        </w:rPr>
        <w:t>Phase 3 dose optimisation study results reported at the recommended starting dose of 140 mg once daily (n=304) population at 2 year final study follow up.</w:t>
      </w:r>
    </w:p>
    <w:p w:rsidR="000E0BC4" w:rsidRPr="00D2165A" w:rsidRDefault="000E0BC4" w:rsidP="000E0BC4">
      <w:pPr>
        <w:ind w:right="380"/>
        <w:rPr>
          <w:sz w:val="17"/>
          <w:lang w:val="en-US"/>
        </w:rPr>
      </w:pPr>
      <w:r w:rsidRPr="00D2165A">
        <w:rPr>
          <w:position w:val="6"/>
          <w:sz w:val="11"/>
          <w:lang w:val="en-US"/>
        </w:rPr>
        <w:t xml:space="preserve">b </w:t>
      </w:r>
      <w:r w:rsidRPr="00D2165A">
        <w:rPr>
          <w:sz w:val="17"/>
          <w:lang w:val="en-US"/>
        </w:rPr>
        <w:t>Includes ventricular dysfunction, cardiac failure, cardiac failure congestive, cardiomyopathy, congestive cardiomyopathy, diastolic dysfunction, ejection fraction decreased, and ventricular failure.</w:t>
      </w:r>
    </w:p>
    <w:p w:rsidR="000E0BC4" w:rsidRPr="00D2165A" w:rsidRDefault="000E0BC4" w:rsidP="0065500C">
      <w:pPr>
        <w:pStyle w:val="Brdtekst"/>
        <w:ind w:left="851" w:right="130"/>
        <w:rPr>
          <w:sz w:val="24"/>
          <w:szCs w:val="24"/>
        </w:rPr>
      </w:pPr>
    </w:p>
    <w:p w:rsidR="000E0BC4" w:rsidRPr="00D2165A" w:rsidRDefault="000E0BC4" w:rsidP="0065500C">
      <w:pPr>
        <w:pStyle w:val="Brdtekst"/>
        <w:ind w:left="851" w:right="130"/>
        <w:rPr>
          <w:sz w:val="24"/>
          <w:szCs w:val="24"/>
        </w:rPr>
      </w:pPr>
      <w:r w:rsidRPr="00D2165A">
        <w:rPr>
          <w:w w:val="105"/>
          <w:sz w:val="24"/>
          <w:szCs w:val="24"/>
        </w:rPr>
        <w:lastRenderedPageBreak/>
        <w:t>In addition, there were two studies in a total of 161 paediatric patients with Ph+ ALL in which dasatinib</w:t>
      </w:r>
      <w:r w:rsidRPr="00D2165A">
        <w:rPr>
          <w:spacing w:val="-11"/>
          <w:w w:val="105"/>
          <w:sz w:val="24"/>
          <w:szCs w:val="24"/>
        </w:rPr>
        <w:t xml:space="preserve"> </w:t>
      </w:r>
      <w:r w:rsidRPr="00D2165A">
        <w:rPr>
          <w:w w:val="105"/>
          <w:sz w:val="24"/>
          <w:szCs w:val="24"/>
        </w:rPr>
        <w:t>was</w:t>
      </w:r>
      <w:r w:rsidRPr="00D2165A">
        <w:rPr>
          <w:spacing w:val="-11"/>
          <w:w w:val="105"/>
          <w:sz w:val="24"/>
          <w:szCs w:val="24"/>
        </w:rPr>
        <w:t xml:space="preserve"> </w:t>
      </w:r>
      <w:r w:rsidRPr="00D2165A">
        <w:rPr>
          <w:w w:val="105"/>
          <w:sz w:val="24"/>
          <w:szCs w:val="24"/>
        </w:rPr>
        <w:t>administered</w:t>
      </w:r>
      <w:r w:rsidRPr="00D2165A">
        <w:rPr>
          <w:spacing w:val="-12"/>
          <w:w w:val="105"/>
          <w:sz w:val="24"/>
          <w:szCs w:val="24"/>
        </w:rPr>
        <w:t xml:space="preserve"> </w:t>
      </w:r>
      <w:r w:rsidRPr="00D2165A">
        <w:rPr>
          <w:w w:val="105"/>
          <w:sz w:val="24"/>
          <w:szCs w:val="24"/>
        </w:rPr>
        <w:t>in</w:t>
      </w:r>
      <w:r w:rsidRPr="00D2165A">
        <w:rPr>
          <w:spacing w:val="-12"/>
          <w:w w:val="105"/>
          <w:sz w:val="24"/>
          <w:szCs w:val="24"/>
        </w:rPr>
        <w:t xml:space="preserve"> </w:t>
      </w:r>
      <w:r w:rsidRPr="00D2165A">
        <w:rPr>
          <w:w w:val="105"/>
          <w:sz w:val="24"/>
          <w:szCs w:val="24"/>
        </w:rPr>
        <w:t>combination</w:t>
      </w:r>
      <w:r w:rsidRPr="00D2165A">
        <w:rPr>
          <w:spacing w:val="-13"/>
          <w:w w:val="105"/>
          <w:sz w:val="24"/>
          <w:szCs w:val="24"/>
        </w:rPr>
        <w:t xml:space="preserve"> </w:t>
      </w:r>
      <w:r w:rsidRPr="00D2165A">
        <w:rPr>
          <w:w w:val="105"/>
          <w:sz w:val="24"/>
          <w:szCs w:val="24"/>
        </w:rPr>
        <w:t>with</w:t>
      </w:r>
      <w:r w:rsidRPr="00D2165A">
        <w:rPr>
          <w:spacing w:val="-13"/>
          <w:w w:val="105"/>
          <w:sz w:val="24"/>
          <w:szCs w:val="24"/>
        </w:rPr>
        <w:t xml:space="preserve"> </w:t>
      </w:r>
      <w:r w:rsidRPr="00D2165A">
        <w:rPr>
          <w:w w:val="105"/>
          <w:sz w:val="24"/>
          <w:szCs w:val="24"/>
        </w:rPr>
        <w:t>chemotherapy.</w:t>
      </w:r>
      <w:r w:rsidRPr="00D2165A">
        <w:rPr>
          <w:spacing w:val="-12"/>
          <w:w w:val="105"/>
          <w:sz w:val="24"/>
          <w:szCs w:val="24"/>
        </w:rPr>
        <w:t xml:space="preserve"> </w:t>
      </w:r>
      <w:r w:rsidRPr="00D2165A">
        <w:rPr>
          <w:w w:val="105"/>
          <w:sz w:val="24"/>
          <w:szCs w:val="24"/>
        </w:rPr>
        <w:t>In</w:t>
      </w:r>
      <w:r w:rsidRPr="00D2165A">
        <w:rPr>
          <w:spacing w:val="-11"/>
          <w:w w:val="105"/>
          <w:sz w:val="24"/>
          <w:szCs w:val="24"/>
        </w:rPr>
        <w:t xml:space="preserve"> </w:t>
      </w:r>
      <w:r w:rsidRPr="00D2165A">
        <w:rPr>
          <w:w w:val="105"/>
          <w:sz w:val="24"/>
          <w:szCs w:val="24"/>
        </w:rPr>
        <w:t>the</w:t>
      </w:r>
      <w:r w:rsidRPr="00D2165A">
        <w:rPr>
          <w:spacing w:val="-10"/>
          <w:w w:val="105"/>
          <w:sz w:val="24"/>
          <w:szCs w:val="24"/>
        </w:rPr>
        <w:t xml:space="preserve"> </w:t>
      </w:r>
      <w:r w:rsidRPr="00D2165A">
        <w:rPr>
          <w:w w:val="105"/>
          <w:sz w:val="24"/>
          <w:szCs w:val="24"/>
        </w:rPr>
        <w:t>pivotal</w:t>
      </w:r>
      <w:r w:rsidRPr="00D2165A">
        <w:rPr>
          <w:spacing w:val="-12"/>
          <w:w w:val="105"/>
          <w:sz w:val="24"/>
          <w:szCs w:val="24"/>
        </w:rPr>
        <w:t xml:space="preserve"> </w:t>
      </w:r>
      <w:r w:rsidRPr="00D2165A">
        <w:rPr>
          <w:w w:val="105"/>
          <w:sz w:val="24"/>
          <w:szCs w:val="24"/>
        </w:rPr>
        <w:t>study,</w:t>
      </w:r>
      <w:r w:rsidRPr="00D2165A">
        <w:rPr>
          <w:spacing w:val="-11"/>
          <w:w w:val="105"/>
          <w:sz w:val="24"/>
          <w:szCs w:val="24"/>
        </w:rPr>
        <w:t xml:space="preserve"> </w:t>
      </w:r>
      <w:r w:rsidRPr="00D2165A">
        <w:rPr>
          <w:w w:val="105"/>
          <w:sz w:val="24"/>
          <w:szCs w:val="24"/>
        </w:rPr>
        <w:t>106</w:t>
      </w:r>
      <w:r w:rsidRPr="00D2165A">
        <w:rPr>
          <w:spacing w:val="-12"/>
          <w:w w:val="105"/>
          <w:sz w:val="24"/>
          <w:szCs w:val="24"/>
        </w:rPr>
        <w:t xml:space="preserve"> </w:t>
      </w:r>
      <w:r w:rsidRPr="00D2165A">
        <w:rPr>
          <w:w w:val="105"/>
          <w:sz w:val="24"/>
          <w:szCs w:val="24"/>
        </w:rPr>
        <w:t>paediatric patients</w:t>
      </w:r>
      <w:r w:rsidRPr="00D2165A">
        <w:rPr>
          <w:spacing w:val="-12"/>
          <w:w w:val="105"/>
          <w:sz w:val="24"/>
          <w:szCs w:val="24"/>
        </w:rPr>
        <w:t xml:space="preserve"> </w:t>
      </w:r>
      <w:r w:rsidRPr="00D2165A">
        <w:rPr>
          <w:w w:val="105"/>
          <w:sz w:val="24"/>
          <w:szCs w:val="24"/>
        </w:rPr>
        <w:t>received</w:t>
      </w:r>
      <w:r w:rsidRPr="00D2165A">
        <w:rPr>
          <w:spacing w:val="-12"/>
          <w:w w:val="105"/>
          <w:sz w:val="24"/>
          <w:szCs w:val="24"/>
        </w:rPr>
        <w:t xml:space="preserve"> dasatinib </w:t>
      </w:r>
      <w:r w:rsidRPr="00D2165A">
        <w:rPr>
          <w:w w:val="105"/>
          <w:sz w:val="24"/>
          <w:szCs w:val="24"/>
        </w:rPr>
        <w:t>in</w:t>
      </w:r>
      <w:r w:rsidRPr="00D2165A">
        <w:rPr>
          <w:spacing w:val="-12"/>
          <w:w w:val="105"/>
          <w:sz w:val="24"/>
          <w:szCs w:val="24"/>
        </w:rPr>
        <w:t xml:space="preserve"> </w:t>
      </w:r>
      <w:r w:rsidRPr="00D2165A">
        <w:rPr>
          <w:w w:val="105"/>
          <w:sz w:val="24"/>
          <w:szCs w:val="24"/>
        </w:rPr>
        <w:t>combination</w:t>
      </w:r>
      <w:r w:rsidRPr="00D2165A">
        <w:rPr>
          <w:spacing w:val="-12"/>
          <w:w w:val="105"/>
          <w:sz w:val="24"/>
          <w:szCs w:val="24"/>
        </w:rPr>
        <w:t xml:space="preserve"> </w:t>
      </w:r>
      <w:r w:rsidRPr="00D2165A">
        <w:rPr>
          <w:w w:val="105"/>
          <w:sz w:val="24"/>
          <w:szCs w:val="24"/>
        </w:rPr>
        <w:t>with</w:t>
      </w:r>
      <w:r w:rsidRPr="00D2165A">
        <w:rPr>
          <w:spacing w:val="-12"/>
          <w:w w:val="105"/>
          <w:sz w:val="24"/>
          <w:szCs w:val="24"/>
        </w:rPr>
        <w:t xml:space="preserve"> </w:t>
      </w:r>
      <w:r w:rsidRPr="00D2165A">
        <w:rPr>
          <w:w w:val="105"/>
          <w:sz w:val="24"/>
          <w:szCs w:val="24"/>
        </w:rPr>
        <w:t>chemotherapy</w:t>
      </w:r>
      <w:r w:rsidRPr="00D2165A">
        <w:rPr>
          <w:spacing w:val="-9"/>
          <w:w w:val="105"/>
          <w:sz w:val="24"/>
          <w:szCs w:val="24"/>
        </w:rPr>
        <w:t xml:space="preserve"> </w:t>
      </w:r>
      <w:r w:rsidRPr="00D2165A">
        <w:rPr>
          <w:w w:val="105"/>
          <w:sz w:val="24"/>
          <w:szCs w:val="24"/>
        </w:rPr>
        <w:t>on</w:t>
      </w:r>
      <w:r w:rsidRPr="00D2165A">
        <w:rPr>
          <w:spacing w:val="-12"/>
          <w:w w:val="105"/>
          <w:sz w:val="24"/>
          <w:szCs w:val="24"/>
        </w:rPr>
        <w:t xml:space="preserve"> </w:t>
      </w:r>
      <w:r w:rsidRPr="00D2165A">
        <w:rPr>
          <w:w w:val="105"/>
          <w:sz w:val="24"/>
          <w:szCs w:val="24"/>
        </w:rPr>
        <w:t>a</w:t>
      </w:r>
      <w:r w:rsidRPr="00D2165A">
        <w:rPr>
          <w:spacing w:val="-12"/>
          <w:w w:val="105"/>
          <w:sz w:val="24"/>
          <w:szCs w:val="24"/>
        </w:rPr>
        <w:t xml:space="preserve"> </w:t>
      </w:r>
      <w:r w:rsidRPr="00D2165A">
        <w:rPr>
          <w:w w:val="105"/>
          <w:sz w:val="24"/>
          <w:szCs w:val="24"/>
        </w:rPr>
        <w:t>continuous</w:t>
      </w:r>
      <w:r w:rsidRPr="00D2165A">
        <w:rPr>
          <w:spacing w:val="-12"/>
          <w:w w:val="105"/>
          <w:sz w:val="24"/>
          <w:szCs w:val="24"/>
        </w:rPr>
        <w:t xml:space="preserve"> </w:t>
      </w:r>
      <w:r w:rsidRPr="00D2165A">
        <w:rPr>
          <w:w w:val="105"/>
          <w:sz w:val="24"/>
          <w:szCs w:val="24"/>
        </w:rPr>
        <w:t>dosing</w:t>
      </w:r>
      <w:r w:rsidRPr="00D2165A">
        <w:rPr>
          <w:spacing w:val="-12"/>
          <w:w w:val="105"/>
          <w:sz w:val="24"/>
          <w:szCs w:val="24"/>
        </w:rPr>
        <w:t xml:space="preserve"> </w:t>
      </w:r>
      <w:r w:rsidRPr="00D2165A">
        <w:rPr>
          <w:w w:val="105"/>
          <w:sz w:val="24"/>
          <w:szCs w:val="24"/>
        </w:rPr>
        <w:t>regimen.</w:t>
      </w:r>
      <w:r w:rsidRPr="00D2165A">
        <w:rPr>
          <w:spacing w:val="-12"/>
          <w:w w:val="105"/>
          <w:sz w:val="24"/>
          <w:szCs w:val="24"/>
        </w:rPr>
        <w:t xml:space="preserve"> </w:t>
      </w:r>
      <w:r w:rsidRPr="00D2165A">
        <w:rPr>
          <w:w w:val="105"/>
          <w:sz w:val="24"/>
          <w:szCs w:val="24"/>
        </w:rPr>
        <w:t>In</w:t>
      </w:r>
      <w:r w:rsidRPr="00D2165A">
        <w:rPr>
          <w:spacing w:val="-12"/>
          <w:w w:val="105"/>
          <w:sz w:val="24"/>
          <w:szCs w:val="24"/>
        </w:rPr>
        <w:t xml:space="preserve"> </w:t>
      </w:r>
      <w:r w:rsidRPr="00D2165A">
        <w:rPr>
          <w:w w:val="105"/>
          <w:sz w:val="24"/>
          <w:szCs w:val="24"/>
        </w:rPr>
        <w:t>a supportive</w:t>
      </w:r>
      <w:r w:rsidRPr="00D2165A">
        <w:rPr>
          <w:spacing w:val="-13"/>
          <w:w w:val="105"/>
          <w:sz w:val="24"/>
          <w:szCs w:val="24"/>
        </w:rPr>
        <w:t xml:space="preserve"> </w:t>
      </w:r>
      <w:r w:rsidRPr="00D2165A">
        <w:rPr>
          <w:w w:val="105"/>
          <w:sz w:val="24"/>
          <w:szCs w:val="24"/>
        </w:rPr>
        <w:t>study,</w:t>
      </w:r>
      <w:r w:rsidRPr="00D2165A">
        <w:rPr>
          <w:spacing w:val="-13"/>
          <w:w w:val="105"/>
          <w:sz w:val="24"/>
          <w:szCs w:val="24"/>
        </w:rPr>
        <w:t xml:space="preserve"> </w:t>
      </w:r>
      <w:r w:rsidRPr="00D2165A">
        <w:rPr>
          <w:w w:val="105"/>
          <w:sz w:val="24"/>
          <w:szCs w:val="24"/>
        </w:rPr>
        <w:t>of</w:t>
      </w:r>
      <w:r w:rsidRPr="00D2165A">
        <w:rPr>
          <w:spacing w:val="-13"/>
          <w:w w:val="105"/>
          <w:sz w:val="24"/>
          <w:szCs w:val="24"/>
        </w:rPr>
        <w:t xml:space="preserve"> </w:t>
      </w:r>
      <w:r w:rsidRPr="00D2165A">
        <w:rPr>
          <w:w w:val="105"/>
          <w:sz w:val="24"/>
          <w:szCs w:val="24"/>
        </w:rPr>
        <w:t>55</w:t>
      </w:r>
      <w:r w:rsidRPr="00D2165A">
        <w:rPr>
          <w:spacing w:val="-13"/>
          <w:w w:val="105"/>
          <w:sz w:val="24"/>
          <w:szCs w:val="24"/>
        </w:rPr>
        <w:t xml:space="preserve"> </w:t>
      </w:r>
      <w:r w:rsidRPr="00D2165A">
        <w:rPr>
          <w:w w:val="105"/>
          <w:sz w:val="24"/>
          <w:szCs w:val="24"/>
        </w:rPr>
        <w:t>paediatric</w:t>
      </w:r>
      <w:r w:rsidRPr="00D2165A">
        <w:rPr>
          <w:spacing w:val="-13"/>
          <w:w w:val="105"/>
          <w:sz w:val="24"/>
          <w:szCs w:val="24"/>
        </w:rPr>
        <w:t xml:space="preserve"> </w:t>
      </w:r>
      <w:r w:rsidRPr="00D2165A">
        <w:rPr>
          <w:w w:val="105"/>
          <w:sz w:val="24"/>
          <w:szCs w:val="24"/>
        </w:rPr>
        <w:t>patients,</w:t>
      </w:r>
      <w:r w:rsidRPr="00D2165A">
        <w:rPr>
          <w:spacing w:val="-13"/>
          <w:w w:val="105"/>
          <w:sz w:val="24"/>
          <w:szCs w:val="24"/>
        </w:rPr>
        <w:t xml:space="preserve"> </w:t>
      </w:r>
      <w:r w:rsidRPr="00D2165A">
        <w:rPr>
          <w:w w:val="105"/>
          <w:sz w:val="24"/>
          <w:szCs w:val="24"/>
        </w:rPr>
        <w:t>35</w:t>
      </w:r>
      <w:r w:rsidRPr="00D2165A">
        <w:rPr>
          <w:spacing w:val="-13"/>
          <w:w w:val="105"/>
          <w:sz w:val="24"/>
          <w:szCs w:val="24"/>
        </w:rPr>
        <w:t xml:space="preserve"> </w:t>
      </w:r>
      <w:r w:rsidRPr="00D2165A">
        <w:rPr>
          <w:w w:val="105"/>
          <w:sz w:val="24"/>
          <w:szCs w:val="24"/>
        </w:rPr>
        <w:t>received</w:t>
      </w:r>
      <w:r w:rsidRPr="00D2165A">
        <w:rPr>
          <w:spacing w:val="-13"/>
          <w:w w:val="105"/>
          <w:sz w:val="24"/>
          <w:szCs w:val="24"/>
        </w:rPr>
        <w:t xml:space="preserve"> dasatinib </w:t>
      </w:r>
      <w:r w:rsidRPr="00D2165A">
        <w:rPr>
          <w:w w:val="105"/>
          <w:sz w:val="24"/>
          <w:szCs w:val="24"/>
        </w:rPr>
        <w:t>in</w:t>
      </w:r>
      <w:r w:rsidRPr="00D2165A">
        <w:rPr>
          <w:spacing w:val="-13"/>
          <w:w w:val="105"/>
          <w:sz w:val="24"/>
          <w:szCs w:val="24"/>
        </w:rPr>
        <w:t xml:space="preserve"> </w:t>
      </w:r>
      <w:r w:rsidRPr="00D2165A">
        <w:rPr>
          <w:w w:val="105"/>
          <w:sz w:val="24"/>
          <w:szCs w:val="24"/>
        </w:rPr>
        <w:t>combination</w:t>
      </w:r>
      <w:r w:rsidRPr="00D2165A">
        <w:rPr>
          <w:spacing w:val="-13"/>
          <w:w w:val="105"/>
          <w:sz w:val="24"/>
          <w:szCs w:val="24"/>
        </w:rPr>
        <w:t xml:space="preserve"> </w:t>
      </w:r>
      <w:r w:rsidRPr="00D2165A">
        <w:rPr>
          <w:w w:val="105"/>
          <w:sz w:val="24"/>
          <w:szCs w:val="24"/>
        </w:rPr>
        <w:t>with</w:t>
      </w:r>
      <w:r w:rsidRPr="00D2165A">
        <w:rPr>
          <w:spacing w:val="-13"/>
          <w:w w:val="105"/>
          <w:sz w:val="24"/>
          <w:szCs w:val="24"/>
        </w:rPr>
        <w:t xml:space="preserve"> </w:t>
      </w:r>
      <w:r w:rsidRPr="00D2165A">
        <w:rPr>
          <w:w w:val="105"/>
          <w:sz w:val="24"/>
          <w:szCs w:val="24"/>
        </w:rPr>
        <w:t>chemotherapy on a discontinuous dosing regimen (two weeks on treatment followed by one to two weeks off) and 20 received dasatinib in combination with chemotherapy on a continuous dosing regimen. Among the 126 Ph+ ALL paediatric patients treated with dasatinib on a continuous dosing regimen, the median</w:t>
      </w:r>
      <w:r w:rsidRPr="00D2165A">
        <w:rPr>
          <w:spacing w:val="-13"/>
          <w:w w:val="105"/>
          <w:sz w:val="24"/>
          <w:szCs w:val="24"/>
        </w:rPr>
        <w:t xml:space="preserve"> </w:t>
      </w:r>
      <w:r w:rsidRPr="00D2165A">
        <w:rPr>
          <w:w w:val="105"/>
          <w:sz w:val="24"/>
          <w:szCs w:val="24"/>
        </w:rPr>
        <w:t>duration</w:t>
      </w:r>
      <w:r w:rsidRPr="00D2165A">
        <w:rPr>
          <w:spacing w:val="-12"/>
          <w:w w:val="105"/>
          <w:sz w:val="24"/>
          <w:szCs w:val="24"/>
        </w:rPr>
        <w:t xml:space="preserve"> </w:t>
      </w:r>
      <w:r w:rsidRPr="00D2165A">
        <w:rPr>
          <w:w w:val="105"/>
          <w:sz w:val="24"/>
          <w:szCs w:val="24"/>
        </w:rPr>
        <w:t>of</w:t>
      </w:r>
      <w:r w:rsidRPr="00D2165A">
        <w:rPr>
          <w:spacing w:val="-12"/>
          <w:w w:val="105"/>
          <w:sz w:val="24"/>
          <w:szCs w:val="24"/>
        </w:rPr>
        <w:t xml:space="preserve"> </w:t>
      </w:r>
      <w:r w:rsidRPr="00D2165A">
        <w:rPr>
          <w:w w:val="105"/>
          <w:sz w:val="24"/>
          <w:szCs w:val="24"/>
        </w:rPr>
        <w:t>therapy</w:t>
      </w:r>
      <w:r w:rsidRPr="00D2165A">
        <w:rPr>
          <w:spacing w:val="-11"/>
          <w:w w:val="105"/>
          <w:sz w:val="24"/>
          <w:szCs w:val="24"/>
        </w:rPr>
        <w:t xml:space="preserve"> </w:t>
      </w:r>
      <w:r w:rsidRPr="00D2165A">
        <w:rPr>
          <w:w w:val="105"/>
          <w:sz w:val="24"/>
          <w:szCs w:val="24"/>
        </w:rPr>
        <w:t>was</w:t>
      </w:r>
      <w:r w:rsidRPr="00D2165A">
        <w:rPr>
          <w:spacing w:val="-12"/>
          <w:w w:val="105"/>
          <w:sz w:val="24"/>
          <w:szCs w:val="24"/>
        </w:rPr>
        <w:t xml:space="preserve"> </w:t>
      </w:r>
      <w:r w:rsidRPr="00D2165A">
        <w:rPr>
          <w:w w:val="105"/>
          <w:sz w:val="24"/>
          <w:szCs w:val="24"/>
        </w:rPr>
        <w:t>23.6</w:t>
      </w:r>
      <w:r w:rsidRPr="00D2165A">
        <w:rPr>
          <w:spacing w:val="-12"/>
          <w:w w:val="105"/>
          <w:sz w:val="24"/>
          <w:szCs w:val="24"/>
        </w:rPr>
        <w:t xml:space="preserve"> </w:t>
      </w:r>
      <w:r w:rsidRPr="00D2165A">
        <w:rPr>
          <w:w w:val="105"/>
          <w:sz w:val="24"/>
          <w:szCs w:val="24"/>
        </w:rPr>
        <w:t>months</w:t>
      </w:r>
      <w:r w:rsidRPr="00D2165A">
        <w:rPr>
          <w:spacing w:val="-13"/>
          <w:w w:val="105"/>
          <w:sz w:val="24"/>
          <w:szCs w:val="24"/>
        </w:rPr>
        <w:t xml:space="preserve"> </w:t>
      </w:r>
      <w:r w:rsidRPr="00D2165A">
        <w:rPr>
          <w:w w:val="105"/>
          <w:sz w:val="24"/>
          <w:szCs w:val="24"/>
        </w:rPr>
        <w:t>(range</w:t>
      </w:r>
      <w:r w:rsidRPr="00D2165A">
        <w:rPr>
          <w:spacing w:val="-13"/>
          <w:w w:val="105"/>
          <w:sz w:val="24"/>
          <w:szCs w:val="24"/>
        </w:rPr>
        <w:t xml:space="preserve"> </w:t>
      </w:r>
      <w:r w:rsidRPr="00D2165A">
        <w:rPr>
          <w:w w:val="105"/>
          <w:sz w:val="24"/>
          <w:szCs w:val="24"/>
        </w:rPr>
        <w:t>1.4</w:t>
      </w:r>
      <w:r w:rsidRPr="00D2165A">
        <w:rPr>
          <w:spacing w:val="-13"/>
          <w:w w:val="105"/>
          <w:sz w:val="24"/>
          <w:szCs w:val="24"/>
        </w:rPr>
        <w:t xml:space="preserve"> </w:t>
      </w:r>
      <w:r w:rsidRPr="00D2165A">
        <w:rPr>
          <w:w w:val="105"/>
          <w:sz w:val="24"/>
          <w:szCs w:val="24"/>
        </w:rPr>
        <w:t>to</w:t>
      </w:r>
      <w:r w:rsidRPr="00D2165A">
        <w:rPr>
          <w:spacing w:val="-12"/>
          <w:w w:val="105"/>
          <w:sz w:val="24"/>
          <w:szCs w:val="24"/>
        </w:rPr>
        <w:t xml:space="preserve"> </w:t>
      </w:r>
      <w:r w:rsidRPr="00D2165A">
        <w:rPr>
          <w:w w:val="105"/>
          <w:sz w:val="24"/>
          <w:szCs w:val="24"/>
        </w:rPr>
        <w:t>33</w:t>
      </w:r>
      <w:r w:rsidRPr="00D2165A">
        <w:rPr>
          <w:spacing w:val="-11"/>
          <w:w w:val="105"/>
          <w:sz w:val="24"/>
          <w:szCs w:val="24"/>
        </w:rPr>
        <w:t xml:space="preserve"> </w:t>
      </w:r>
      <w:r w:rsidRPr="00D2165A">
        <w:rPr>
          <w:w w:val="105"/>
          <w:sz w:val="24"/>
          <w:szCs w:val="24"/>
        </w:rPr>
        <w:t>months).</w:t>
      </w:r>
    </w:p>
    <w:p w:rsidR="000E0BC4" w:rsidRPr="00D2165A" w:rsidRDefault="000E0BC4" w:rsidP="0065500C">
      <w:pPr>
        <w:pStyle w:val="Brdtekst"/>
        <w:ind w:left="851" w:right="130"/>
        <w:rPr>
          <w:sz w:val="24"/>
          <w:szCs w:val="24"/>
        </w:rPr>
      </w:pPr>
    </w:p>
    <w:p w:rsidR="000E0BC4" w:rsidRPr="00D2165A" w:rsidRDefault="000E0BC4" w:rsidP="0065500C">
      <w:pPr>
        <w:pStyle w:val="Brdtekst"/>
        <w:ind w:left="851" w:right="130"/>
        <w:rPr>
          <w:sz w:val="24"/>
          <w:szCs w:val="24"/>
        </w:rPr>
      </w:pPr>
      <w:r w:rsidRPr="00D2165A">
        <w:rPr>
          <w:w w:val="105"/>
          <w:sz w:val="24"/>
          <w:szCs w:val="24"/>
        </w:rPr>
        <w:t xml:space="preserve">Of the 126 Ph+ ALL paediatric patients on a continuous dosing regimen, 2 (1.6%) experienced adverse reactions leading to treatment discontinuation. Adverse reactions reported in these two paediatric studies at a frequency of </w:t>
      </w:r>
      <w:r w:rsidR="00FF04C4">
        <w:rPr>
          <w:w w:val="105"/>
          <w:sz w:val="24"/>
          <w:szCs w:val="24"/>
        </w:rPr>
        <w:t>≥</w:t>
      </w:r>
      <w:r w:rsidRPr="00D2165A">
        <w:rPr>
          <w:w w:val="105"/>
          <w:sz w:val="24"/>
          <w:szCs w:val="24"/>
        </w:rPr>
        <w:t>10% in patients on a continuous dosing regimen are shown in Table</w:t>
      </w:r>
      <w:r w:rsidRPr="00D2165A">
        <w:rPr>
          <w:spacing w:val="-7"/>
          <w:w w:val="105"/>
          <w:sz w:val="24"/>
          <w:szCs w:val="24"/>
        </w:rPr>
        <w:t xml:space="preserve"> </w:t>
      </w:r>
      <w:r w:rsidRPr="00D2165A">
        <w:rPr>
          <w:w w:val="105"/>
          <w:sz w:val="24"/>
          <w:szCs w:val="24"/>
        </w:rPr>
        <w:t>7.</w:t>
      </w:r>
      <w:r w:rsidRPr="00D2165A">
        <w:rPr>
          <w:spacing w:val="-9"/>
          <w:w w:val="105"/>
          <w:sz w:val="24"/>
          <w:szCs w:val="24"/>
        </w:rPr>
        <w:t xml:space="preserve"> </w:t>
      </w:r>
      <w:r w:rsidRPr="00D2165A">
        <w:rPr>
          <w:w w:val="105"/>
          <w:sz w:val="24"/>
          <w:szCs w:val="24"/>
        </w:rPr>
        <w:t>Of</w:t>
      </w:r>
      <w:r w:rsidRPr="00D2165A">
        <w:rPr>
          <w:spacing w:val="-9"/>
          <w:w w:val="105"/>
          <w:sz w:val="24"/>
          <w:szCs w:val="24"/>
        </w:rPr>
        <w:t xml:space="preserve"> </w:t>
      </w:r>
      <w:r w:rsidRPr="00D2165A">
        <w:rPr>
          <w:w w:val="105"/>
          <w:sz w:val="24"/>
          <w:szCs w:val="24"/>
        </w:rPr>
        <w:t>note,</w:t>
      </w:r>
      <w:r w:rsidRPr="00D2165A">
        <w:rPr>
          <w:spacing w:val="-9"/>
          <w:w w:val="105"/>
          <w:sz w:val="24"/>
          <w:szCs w:val="24"/>
        </w:rPr>
        <w:t xml:space="preserve"> </w:t>
      </w:r>
      <w:r w:rsidRPr="00D2165A">
        <w:rPr>
          <w:w w:val="105"/>
          <w:sz w:val="24"/>
          <w:szCs w:val="24"/>
        </w:rPr>
        <w:t>pleural</w:t>
      </w:r>
      <w:r w:rsidRPr="00D2165A">
        <w:rPr>
          <w:spacing w:val="-10"/>
          <w:w w:val="105"/>
          <w:sz w:val="24"/>
          <w:szCs w:val="24"/>
        </w:rPr>
        <w:t xml:space="preserve"> </w:t>
      </w:r>
      <w:r w:rsidRPr="00D2165A">
        <w:rPr>
          <w:w w:val="105"/>
          <w:sz w:val="24"/>
          <w:szCs w:val="24"/>
        </w:rPr>
        <w:t>effusion</w:t>
      </w:r>
      <w:r w:rsidRPr="00D2165A">
        <w:rPr>
          <w:spacing w:val="-9"/>
          <w:w w:val="105"/>
          <w:sz w:val="24"/>
          <w:szCs w:val="24"/>
        </w:rPr>
        <w:t xml:space="preserve"> </w:t>
      </w:r>
      <w:r w:rsidRPr="00D2165A">
        <w:rPr>
          <w:w w:val="105"/>
          <w:sz w:val="24"/>
          <w:szCs w:val="24"/>
        </w:rPr>
        <w:t>was</w:t>
      </w:r>
      <w:r w:rsidRPr="00D2165A">
        <w:rPr>
          <w:spacing w:val="-10"/>
          <w:w w:val="105"/>
          <w:sz w:val="24"/>
          <w:szCs w:val="24"/>
        </w:rPr>
        <w:t xml:space="preserve"> </w:t>
      </w:r>
      <w:r w:rsidRPr="00D2165A">
        <w:rPr>
          <w:w w:val="105"/>
          <w:sz w:val="24"/>
          <w:szCs w:val="24"/>
        </w:rPr>
        <w:t>reported</w:t>
      </w:r>
      <w:r w:rsidRPr="00D2165A">
        <w:rPr>
          <w:spacing w:val="-10"/>
          <w:w w:val="105"/>
          <w:sz w:val="24"/>
          <w:szCs w:val="24"/>
        </w:rPr>
        <w:t xml:space="preserve"> </w:t>
      </w:r>
      <w:r w:rsidRPr="00D2165A">
        <w:rPr>
          <w:w w:val="105"/>
          <w:sz w:val="24"/>
          <w:szCs w:val="24"/>
        </w:rPr>
        <w:t>in</w:t>
      </w:r>
      <w:r w:rsidRPr="00D2165A">
        <w:rPr>
          <w:spacing w:val="-10"/>
          <w:w w:val="105"/>
          <w:sz w:val="24"/>
          <w:szCs w:val="24"/>
        </w:rPr>
        <w:t xml:space="preserve"> </w:t>
      </w:r>
      <w:r w:rsidRPr="00D2165A">
        <w:rPr>
          <w:w w:val="105"/>
          <w:sz w:val="24"/>
          <w:szCs w:val="24"/>
        </w:rPr>
        <w:t>7</w:t>
      </w:r>
      <w:r w:rsidRPr="00D2165A">
        <w:rPr>
          <w:spacing w:val="-10"/>
          <w:w w:val="105"/>
          <w:sz w:val="24"/>
          <w:szCs w:val="24"/>
        </w:rPr>
        <w:t xml:space="preserve"> </w:t>
      </w:r>
      <w:r w:rsidRPr="00D2165A">
        <w:rPr>
          <w:w w:val="105"/>
          <w:sz w:val="24"/>
          <w:szCs w:val="24"/>
        </w:rPr>
        <w:t>(5.6%)</w:t>
      </w:r>
      <w:r w:rsidRPr="00D2165A">
        <w:rPr>
          <w:spacing w:val="-9"/>
          <w:w w:val="105"/>
          <w:sz w:val="24"/>
          <w:szCs w:val="24"/>
        </w:rPr>
        <w:t xml:space="preserve"> </w:t>
      </w:r>
      <w:r w:rsidRPr="00D2165A">
        <w:rPr>
          <w:w w:val="105"/>
          <w:sz w:val="24"/>
          <w:szCs w:val="24"/>
        </w:rPr>
        <w:t>patients</w:t>
      </w:r>
      <w:r w:rsidRPr="00D2165A">
        <w:rPr>
          <w:spacing w:val="-9"/>
          <w:w w:val="105"/>
          <w:sz w:val="24"/>
          <w:szCs w:val="24"/>
        </w:rPr>
        <w:t xml:space="preserve"> </w:t>
      </w:r>
      <w:r w:rsidRPr="00D2165A">
        <w:rPr>
          <w:w w:val="105"/>
          <w:sz w:val="24"/>
          <w:szCs w:val="24"/>
        </w:rPr>
        <w:t>in</w:t>
      </w:r>
      <w:r w:rsidRPr="00D2165A">
        <w:rPr>
          <w:spacing w:val="-10"/>
          <w:w w:val="105"/>
          <w:sz w:val="24"/>
          <w:szCs w:val="24"/>
        </w:rPr>
        <w:t xml:space="preserve"> </w:t>
      </w:r>
      <w:r w:rsidRPr="00D2165A">
        <w:rPr>
          <w:w w:val="105"/>
          <w:sz w:val="24"/>
          <w:szCs w:val="24"/>
        </w:rPr>
        <w:t>this</w:t>
      </w:r>
      <w:r w:rsidRPr="00D2165A">
        <w:rPr>
          <w:spacing w:val="-9"/>
          <w:w w:val="105"/>
          <w:sz w:val="24"/>
          <w:szCs w:val="24"/>
        </w:rPr>
        <w:t xml:space="preserve"> </w:t>
      </w:r>
      <w:r w:rsidRPr="00D2165A">
        <w:rPr>
          <w:w w:val="105"/>
          <w:sz w:val="24"/>
          <w:szCs w:val="24"/>
        </w:rPr>
        <w:t>group,</w:t>
      </w:r>
      <w:r w:rsidRPr="00D2165A">
        <w:rPr>
          <w:spacing w:val="-9"/>
          <w:w w:val="105"/>
          <w:sz w:val="24"/>
          <w:szCs w:val="24"/>
        </w:rPr>
        <w:t xml:space="preserve"> </w:t>
      </w:r>
      <w:r w:rsidRPr="00D2165A">
        <w:rPr>
          <w:w w:val="105"/>
          <w:sz w:val="24"/>
          <w:szCs w:val="24"/>
        </w:rPr>
        <w:t>and</w:t>
      </w:r>
      <w:r w:rsidRPr="00D2165A">
        <w:rPr>
          <w:spacing w:val="-10"/>
          <w:w w:val="105"/>
          <w:sz w:val="24"/>
          <w:szCs w:val="24"/>
        </w:rPr>
        <w:t xml:space="preserve"> </w:t>
      </w:r>
      <w:r w:rsidRPr="00D2165A">
        <w:rPr>
          <w:w w:val="105"/>
          <w:sz w:val="24"/>
          <w:szCs w:val="24"/>
        </w:rPr>
        <w:t>is</w:t>
      </w:r>
      <w:r w:rsidRPr="00D2165A">
        <w:rPr>
          <w:spacing w:val="-10"/>
          <w:w w:val="105"/>
          <w:sz w:val="24"/>
          <w:szCs w:val="24"/>
        </w:rPr>
        <w:t xml:space="preserve"> </w:t>
      </w:r>
      <w:r w:rsidRPr="00D2165A">
        <w:rPr>
          <w:w w:val="105"/>
          <w:sz w:val="24"/>
          <w:szCs w:val="24"/>
        </w:rPr>
        <w:t>therefore</w:t>
      </w:r>
      <w:r w:rsidRPr="00D2165A">
        <w:rPr>
          <w:spacing w:val="-10"/>
          <w:w w:val="105"/>
          <w:sz w:val="24"/>
          <w:szCs w:val="24"/>
        </w:rPr>
        <w:t xml:space="preserve"> </w:t>
      </w:r>
      <w:r w:rsidRPr="00D2165A">
        <w:rPr>
          <w:w w:val="105"/>
          <w:sz w:val="24"/>
          <w:szCs w:val="24"/>
        </w:rPr>
        <w:t>not included in the</w:t>
      </w:r>
      <w:r w:rsidRPr="00D2165A">
        <w:rPr>
          <w:spacing w:val="-30"/>
          <w:w w:val="105"/>
          <w:sz w:val="24"/>
          <w:szCs w:val="24"/>
        </w:rPr>
        <w:t xml:space="preserve"> </w:t>
      </w:r>
      <w:r w:rsidRPr="00D2165A">
        <w:rPr>
          <w:w w:val="105"/>
          <w:sz w:val="24"/>
          <w:szCs w:val="24"/>
        </w:rPr>
        <w:t>table.</w:t>
      </w:r>
    </w:p>
    <w:p w:rsidR="000E0BC4" w:rsidRPr="00D2165A" w:rsidRDefault="000E0BC4" w:rsidP="0065500C">
      <w:pPr>
        <w:pStyle w:val="Brdtekst"/>
        <w:ind w:left="851" w:right="130"/>
        <w:rPr>
          <w:sz w:val="24"/>
          <w:szCs w:val="24"/>
        </w:rPr>
      </w:pPr>
    </w:p>
    <w:p w:rsidR="000E0BC4" w:rsidRPr="00D2165A" w:rsidRDefault="000E0BC4" w:rsidP="000E0BC4">
      <w:pPr>
        <w:pStyle w:val="Overskrift1"/>
        <w:tabs>
          <w:tab w:val="left" w:pos="993"/>
        </w:tabs>
        <w:ind w:left="1134" w:right="326" w:hanging="1134"/>
        <w:rPr>
          <w:sz w:val="13"/>
        </w:rPr>
      </w:pPr>
      <w:r w:rsidRPr="00D2165A">
        <w:rPr>
          <w:w w:val="105"/>
        </w:rPr>
        <w:t>Table</w:t>
      </w:r>
      <w:r w:rsidRPr="00D2165A">
        <w:rPr>
          <w:spacing w:val="-4"/>
          <w:w w:val="105"/>
        </w:rPr>
        <w:t xml:space="preserve"> </w:t>
      </w:r>
      <w:r w:rsidRPr="00D2165A">
        <w:rPr>
          <w:w w:val="105"/>
        </w:rPr>
        <w:t>7:</w:t>
      </w:r>
      <w:r w:rsidRPr="00D2165A">
        <w:rPr>
          <w:w w:val="105"/>
        </w:rPr>
        <w:tab/>
      </w:r>
      <w:r w:rsidRPr="00D2165A">
        <w:rPr>
          <w:w w:val="105"/>
        </w:rPr>
        <w:tab/>
        <w:t>Adverse</w:t>
      </w:r>
      <w:r w:rsidRPr="00D2165A">
        <w:rPr>
          <w:spacing w:val="-12"/>
          <w:w w:val="105"/>
        </w:rPr>
        <w:t xml:space="preserve"> </w:t>
      </w:r>
      <w:r w:rsidRPr="00D2165A">
        <w:rPr>
          <w:w w:val="105"/>
        </w:rPr>
        <w:t>reactions</w:t>
      </w:r>
      <w:r w:rsidRPr="00D2165A">
        <w:rPr>
          <w:spacing w:val="-13"/>
          <w:w w:val="105"/>
        </w:rPr>
        <w:t xml:space="preserve"> </w:t>
      </w:r>
      <w:r w:rsidRPr="00D2165A">
        <w:rPr>
          <w:w w:val="105"/>
        </w:rPr>
        <w:t>reported</w:t>
      </w:r>
      <w:r w:rsidRPr="00D2165A">
        <w:rPr>
          <w:spacing w:val="-12"/>
          <w:w w:val="105"/>
        </w:rPr>
        <w:t xml:space="preserve"> </w:t>
      </w:r>
      <w:r w:rsidRPr="00D2165A">
        <w:rPr>
          <w:w w:val="105"/>
        </w:rPr>
        <w:t>in</w:t>
      </w:r>
      <w:r w:rsidRPr="00D2165A">
        <w:rPr>
          <w:spacing w:val="-12"/>
          <w:w w:val="105"/>
        </w:rPr>
        <w:t xml:space="preserve"> </w:t>
      </w:r>
      <w:r w:rsidRPr="00D2165A">
        <w:rPr>
          <w:w w:val="105"/>
        </w:rPr>
        <w:t>≥10%</w:t>
      </w:r>
      <w:r w:rsidRPr="00D2165A">
        <w:rPr>
          <w:spacing w:val="-12"/>
          <w:w w:val="105"/>
        </w:rPr>
        <w:t xml:space="preserve"> </w:t>
      </w:r>
      <w:r w:rsidRPr="00D2165A">
        <w:rPr>
          <w:w w:val="105"/>
        </w:rPr>
        <w:t>of</w:t>
      </w:r>
      <w:r w:rsidRPr="00D2165A">
        <w:rPr>
          <w:spacing w:val="-12"/>
          <w:w w:val="105"/>
        </w:rPr>
        <w:t xml:space="preserve"> </w:t>
      </w:r>
      <w:r w:rsidRPr="00D2165A">
        <w:rPr>
          <w:w w:val="105"/>
        </w:rPr>
        <w:t>paediatric</w:t>
      </w:r>
      <w:r w:rsidRPr="00D2165A">
        <w:rPr>
          <w:spacing w:val="-12"/>
          <w:w w:val="105"/>
        </w:rPr>
        <w:t xml:space="preserve"> </w:t>
      </w:r>
      <w:r w:rsidRPr="00D2165A">
        <w:rPr>
          <w:w w:val="105"/>
        </w:rPr>
        <w:t>patients</w:t>
      </w:r>
      <w:r w:rsidRPr="00D2165A">
        <w:rPr>
          <w:spacing w:val="-12"/>
          <w:w w:val="105"/>
        </w:rPr>
        <w:t xml:space="preserve"> </w:t>
      </w:r>
      <w:r w:rsidRPr="00D2165A">
        <w:rPr>
          <w:w w:val="105"/>
        </w:rPr>
        <w:t>with</w:t>
      </w:r>
      <w:r w:rsidRPr="00D2165A">
        <w:rPr>
          <w:spacing w:val="-12"/>
          <w:w w:val="105"/>
        </w:rPr>
        <w:t xml:space="preserve"> </w:t>
      </w:r>
      <w:r w:rsidRPr="00D2165A">
        <w:rPr>
          <w:w w:val="105"/>
        </w:rPr>
        <w:t>Ph+</w:t>
      </w:r>
      <w:r w:rsidRPr="00D2165A">
        <w:rPr>
          <w:spacing w:val="-13"/>
          <w:w w:val="105"/>
        </w:rPr>
        <w:t xml:space="preserve"> </w:t>
      </w:r>
      <w:r w:rsidRPr="00D2165A">
        <w:rPr>
          <w:w w:val="105"/>
        </w:rPr>
        <w:t>ALL</w:t>
      </w:r>
      <w:r w:rsidRPr="00D2165A">
        <w:rPr>
          <w:spacing w:val="-13"/>
          <w:w w:val="105"/>
        </w:rPr>
        <w:t xml:space="preserve"> </w:t>
      </w:r>
      <w:r w:rsidRPr="00D2165A">
        <w:rPr>
          <w:w w:val="105"/>
        </w:rPr>
        <w:t>treated</w:t>
      </w:r>
      <w:r w:rsidRPr="00D2165A">
        <w:rPr>
          <w:w w:val="103"/>
        </w:rPr>
        <w:t xml:space="preserve"> </w:t>
      </w:r>
      <w:r w:rsidRPr="00D2165A">
        <w:rPr>
          <w:w w:val="105"/>
        </w:rPr>
        <w:t>with</w:t>
      </w:r>
      <w:r w:rsidRPr="00D2165A">
        <w:rPr>
          <w:spacing w:val="-14"/>
          <w:w w:val="105"/>
        </w:rPr>
        <w:t xml:space="preserve"> </w:t>
      </w:r>
      <w:r w:rsidRPr="00D2165A">
        <w:rPr>
          <w:w w:val="105"/>
        </w:rPr>
        <w:t>dasatinib</w:t>
      </w:r>
      <w:r w:rsidRPr="00D2165A">
        <w:rPr>
          <w:spacing w:val="-13"/>
          <w:w w:val="105"/>
        </w:rPr>
        <w:t xml:space="preserve"> </w:t>
      </w:r>
      <w:r w:rsidRPr="00D2165A">
        <w:rPr>
          <w:w w:val="105"/>
        </w:rPr>
        <w:t>on</w:t>
      </w:r>
      <w:r w:rsidRPr="00D2165A">
        <w:rPr>
          <w:spacing w:val="-12"/>
          <w:w w:val="105"/>
        </w:rPr>
        <w:t xml:space="preserve"> </w:t>
      </w:r>
      <w:r w:rsidRPr="00D2165A">
        <w:rPr>
          <w:w w:val="105"/>
        </w:rPr>
        <w:t>a</w:t>
      </w:r>
      <w:r w:rsidRPr="00D2165A">
        <w:rPr>
          <w:spacing w:val="-14"/>
          <w:w w:val="105"/>
        </w:rPr>
        <w:t xml:space="preserve"> </w:t>
      </w:r>
      <w:r w:rsidRPr="00D2165A">
        <w:rPr>
          <w:w w:val="105"/>
        </w:rPr>
        <w:t>continuous</w:t>
      </w:r>
      <w:r w:rsidRPr="00D2165A">
        <w:rPr>
          <w:spacing w:val="-14"/>
          <w:w w:val="105"/>
        </w:rPr>
        <w:t xml:space="preserve"> </w:t>
      </w:r>
      <w:r w:rsidRPr="00D2165A">
        <w:rPr>
          <w:w w:val="105"/>
        </w:rPr>
        <w:t>dosing</w:t>
      </w:r>
      <w:r w:rsidRPr="00D2165A">
        <w:rPr>
          <w:spacing w:val="-14"/>
          <w:w w:val="105"/>
        </w:rPr>
        <w:t xml:space="preserve"> </w:t>
      </w:r>
      <w:r w:rsidRPr="00D2165A">
        <w:rPr>
          <w:w w:val="105"/>
        </w:rPr>
        <w:t>regimen</w:t>
      </w:r>
      <w:r w:rsidRPr="00D2165A">
        <w:rPr>
          <w:spacing w:val="-14"/>
          <w:w w:val="105"/>
        </w:rPr>
        <w:t xml:space="preserve"> </w:t>
      </w:r>
      <w:r w:rsidRPr="00D2165A">
        <w:rPr>
          <w:w w:val="105"/>
        </w:rPr>
        <w:t>in</w:t>
      </w:r>
      <w:r w:rsidRPr="00D2165A">
        <w:rPr>
          <w:spacing w:val="-13"/>
          <w:w w:val="105"/>
        </w:rPr>
        <w:t xml:space="preserve"> </w:t>
      </w:r>
      <w:r w:rsidRPr="00D2165A">
        <w:rPr>
          <w:w w:val="105"/>
        </w:rPr>
        <w:t>combination</w:t>
      </w:r>
      <w:r w:rsidRPr="00D2165A">
        <w:rPr>
          <w:spacing w:val="-12"/>
          <w:w w:val="105"/>
        </w:rPr>
        <w:t xml:space="preserve"> </w:t>
      </w:r>
      <w:r w:rsidRPr="00D2165A">
        <w:rPr>
          <w:w w:val="105"/>
        </w:rPr>
        <w:t>with</w:t>
      </w:r>
      <w:r w:rsidRPr="00D2165A">
        <w:rPr>
          <w:spacing w:val="-13"/>
          <w:w w:val="105"/>
        </w:rPr>
        <w:t xml:space="preserve"> </w:t>
      </w:r>
      <w:r w:rsidRPr="00D2165A">
        <w:rPr>
          <w:w w:val="105"/>
        </w:rPr>
        <w:t>chemotherapy (N=126)</w:t>
      </w:r>
      <w:r w:rsidRPr="00D2165A">
        <w:rPr>
          <w:w w:val="105"/>
          <w:position w:val="8"/>
          <w:sz w:val="13"/>
        </w:rPr>
        <w:t>a</w:t>
      </w:r>
    </w:p>
    <w:p w:rsidR="000E0BC4" w:rsidRPr="00D2165A" w:rsidRDefault="000E0BC4" w:rsidP="000E0BC4">
      <w:pPr>
        <w:pStyle w:val="Brdtekst"/>
        <w:spacing w:line="20" w:lineRule="exact"/>
        <w:ind w:left="143"/>
        <w:rPr>
          <w:sz w:val="2"/>
        </w:rPr>
      </w:pPr>
      <w:r w:rsidRPr="00D2165A">
        <w:rPr>
          <w:noProof/>
        </w:rPr>
        <mc:AlternateContent>
          <mc:Choice Requires="wpg">
            <w:drawing>
              <wp:inline distT="0" distB="0" distL="0" distR="0">
                <wp:extent cx="5547995" cy="9525"/>
                <wp:effectExtent l="0" t="0" r="5080" b="9525"/>
                <wp:docPr id="49" name="Gruppe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7995" cy="9525"/>
                          <a:chOff x="0" y="0"/>
                          <a:chExt cx="8737" cy="15"/>
                        </a:xfrm>
                      </wpg:grpSpPr>
                      <wps:wsp>
                        <wps:cNvPr id="50" name="Line 78"/>
                        <wps:cNvCnPr>
                          <a:cxnSpLocks noChangeShapeType="1"/>
                        </wps:cNvCnPr>
                        <wps:spPr bwMode="auto">
                          <a:xfrm>
                            <a:off x="8" y="8"/>
                            <a:ext cx="872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D6E051" id="Gruppe 49" o:spid="_x0000_s1026" style="width:436.85pt;height:.75pt;mso-position-horizontal-relative:char;mso-position-vertical-relative:line" coordsize="873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">
                <v:line id="Line 78" o:spid="_x0000_s1027" style="position:absolute;visibility:visible;mso-wrap-style:square" from="8,8" to="87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" strokeweight=".72pt"/>
                <w10:anchorlock/>
              </v:group>
            </w:pict>
          </mc:Fallback>
        </mc:AlternateContent>
      </w:r>
    </w:p>
    <w:p w:rsidR="000E0BC4" w:rsidRPr="00D2165A" w:rsidRDefault="000E0BC4" w:rsidP="000E0BC4">
      <w:pPr>
        <w:spacing w:before="21"/>
        <w:ind w:left="4669"/>
        <w:rPr>
          <w:b/>
          <w:sz w:val="20"/>
        </w:rPr>
      </w:pPr>
      <w:r w:rsidRPr="00D2165A">
        <w:rPr>
          <w:b/>
          <w:w w:val="105"/>
          <w:sz w:val="20"/>
        </w:rPr>
        <w:t>Percent (%) of patients</w:t>
      </w:r>
    </w:p>
    <w:p w:rsidR="000E0BC4" w:rsidRPr="00D2165A" w:rsidRDefault="000E0BC4" w:rsidP="000E0BC4">
      <w:pPr>
        <w:pStyle w:val="Brdtekst"/>
        <w:spacing w:line="20" w:lineRule="exact"/>
        <w:ind w:left="145"/>
        <w:rPr>
          <w:sz w:val="2"/>
        </w:rPr>
      </w:pPr>
      <w:r w:rsidRPr="00D2165A">
        <w:rPr>
          <w:noProof/>
        </w:rPr>
        <mc:AlternateContent>
          <mc:Choice Requires="wpg">
            <w:drawing>
              <wp:inline distT="0" distB="0" distL="0" distR="0">
                <wp:extent cx="5544820" cy="6350"/>
                <wp:effectExtent l="9525" t="9525" r="8255" b="3175"/>
                <wp:docPr id="46" name="Gruppe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4820" cy="6350"/>
                          <a:chOff x="0" y="0"/>
                          <a:chExt cx="8732" cy="10"/>
                        </a:xfrm>
                      </wpg:grpSpPr>
                      <wps:wsp>
                        <wps:cNvPr id="47" name="Line 76"/>
                        <wps:cNvCnPr>
                          <a:cxnSpLocks noChangeShapeType="1"/>
                        </wps:cNvCnPr>
                        <wps:spPr bwMode="auto">
                          <a:xfrm>
                            <a:off x="5" y="5"/>
                            <a:ext cx="872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9C38D8" id="Gruppe 46" o:spid="_x0000_s1026" style="width:436.6pt;height:.5pt;mso-position-horizontal-relative:char;mso-position-vertical-relative:line" coordsize="87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">
                <v:line id="Line 76" o:spid="_x0000_s1027" style="position:absolute;visibility:visible;mso-wrap-style:square" from="5,5" to="87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w10:anchorlock/>
              </v:group>
            </w:pict>
          </mc:Fallback>
        </mc:AlternateContent>
      </w:r>
    </w:p>
    <w:p w:rsidR="000E0BC4" w:rsidRPr="00D2165A" w:rsidRDefault="000E0BC4" w:rsidP="000E0BC4">
      <w:pPr>
        <w:tabs>
          <w:tab w:val="left" w:pos="3554"/>
          <w:tab w:val="left" w:pos="6737"/>
        </w:tabs>
        <w:spacing w:after="6"/>
        <w:ind w:left="252"/>
        <w:rPr>
          <w:b/>
          <w:sz w:val="20"/>
          <w:lang w:val="en-US"/>
        </w:rPr>
      </w:pPr>
      <w:r w:rsidRPr="00D2165A">
        <w:rPr>
          <w:b/>
          <w:w w:val="105"/>
          <w:sz w:val="20"/>
          <w:lang w:val="en-US"/>
        </w:rPr>
        <w:t>Adverse</w:t>
      </w:r>
      <w:r w:rsidRPr="00D2165A">
        <w:rPr>
          <w:b/>
          <w:spacing w:val="-11"/>
          <w:w w:val="105"/>
          <w:sz w:val="20"/>
          <w:lang w:val="en-US"/>
        </w:rPr>
        <w:t xml:space="preserve"> </w:t>
      </w:r>
      <w:r w:rsidRPr="00D2165A">
        <w:rPr>
          <w:b/>
          <w:w w:val="105"/>
          <w:sz w:val="20"/>
          <w:lang w:val="en-US"/>
        </w:rPr>
        <w:t>reaction</w:t>
      </w:r>
      <w:r w:rsidRPr="00D2165A">
        <w:rPr>
          <w:b/>
          <w:w w:val="105"/>
          <w:sz w:val="20"/>
          <w:lang w:val="en-US"/>
        </w:rPr>
        <w:tab/>
        <w:t>All</w:t>
      </w:r>
      <w:r w:rsidRPr="00D2165A">
        <w:rPr>
          <w:b/>
          <w:spacing w:val="-8"/>
          <w:w w:val="105"/>
          <w:sz w:val="20"/>
          <w:lang w:val="en-US"/>
        </w:rPr>
        <w:t xml:space="preserve"> </w:t>
      </w:r>
      <w:r w:rsidRPr="00D2165A">
        <w:rPr>
          <w:b/>
          <w:w w:val="105"/>
          <w:sz w:val="20"/>
          <w:lang w:val="en-US"/>
        </w:rPr>
        <w:t>grades</w:t>
      </w:r>
      <w:r w:rsidRPr="00D2165A">
        <w:rPr>
          <w:b/>
          <w:w w:val="105"/>
          <w:sz w:val="20"/>
          <w:lang w:val="en-US"/>
        </w:rPr>
        <w:tab/>
        <w:t>Grade</w:t>
      </w:r>
      <w:r w:rsidRPr="00D2165A">
        <w:rPr>
          <w:b/>
          <w:spacing w:val="-19"/>
          <w:w w:val="105"/>
          <w:sz w:val="20"/>
          <w:lang w:val="en-US"/>
        </w:rPr>
        <w:t xml:space="preserve"> </w:t>
      </w:r>
      <w:r w:rsidRPr="00D2165A">
        <w:rPr>
          <w:b/>
          <w:w w:val="105"/>
          <w:sz w:val="20"/>
          <w:lang w:val="en-US"/>
        </w:rPr>
        <w:t>3/4</w:t>
      </w:r>
    </w:p>
    <w:tbl>
      <w:tblPr>
        <w:tblStyle w:val="TableNormal1"/>
        <w:tblW w:w="0" w:type="auto"/>
        <w:tblInd w:w="150" w:type="dxa"/>
        <w:tblLayout w:type="fixed"/>
        <w:tblLook w:val="01E0" w:firstRow="1" w:lastRow="1" w:firstColumn="1" w:lastColumn="1" w:noHBand="0" w:noVBand="0"/>
      </w:tblPr>
      <w:tblGrid>
        <w:gridCol w:w="2866"/>
        <w:gridCol w:w="2660"/>
        <w:gridCol w:w="3196"/>
      </w:tblGrid>
      <w:tr w:rsidR="000E0BC4" w:rsidRPr="00D2165A" w:rsidTr="000E0BC4">
        <w:trPr>
          <w:trHeight w:val="240"/>
        </w:trPr>
        <w:tc>
          <w:tcPr>
            <w:tcW w:w="2866" w:type="dxa"/>
            <w:tcBorders>
              <w:top w:val="single" w:sz="4" w:space="0" w:color="000000"/>
              <w:left w:val="nil"/>
              <w:bottom w:val="nil"/>
              <w:right w:val="nil"/>
            </w:tcBorders>
            <w:hideMark/>
          </w:tcPr>
          <w:p w:rsidR="000E0BC4" w:rsidRPr="00D2165A" w:rsidRDefault="000E0BC4">
            <w:pPr>
              <w:pStyle w:val="TableParagraph"/>
              <w:spacing w:before="5" w:line="216" w:lineRule="exact"/>
              <w:ind w:left="271"/>
              <w:rPr>
                <w:rFonts w:ascii="Times New Roman" w:hAnsi="Times New Roman" w:cs="Times New Roman"/>
                <w:sz w:val="20"/>
              </w:rPr>
            </w:pPr>
            <w:r w:rsidRPr="00D2165A">
              <w:rPr>
                <w:rFonts w:ascii="Times New Roman" w:hAnsi="Times New Roman" w:cs="Times New Roman"/>
                <w:w w:val="105"/>
                <w:sz w:val="20"/>
              </w:rPr>
              <w:t>Febrile neutropaenia</w:t>
            </w:r>
          </w:p>
        </w:tc>
        <w:tc>
          <w:tcPr>
            <w:tcW w:w="2660" w:type="dxa"/>
            <w:tcBorders>
              <w:top w:val="single" w:sz="4" w:space="0" w:color="000000"/>
              <w:left w:val="nil"/>
              <w:bottom w:val="nil"/>
              <w:right w:val="nil"/>
            </w:tcBorders>
            <w:hideMark/>
          </w:tcPr>
          <w:p w:rsidR="000E0BC4" w:rsidRPr="00D2165A" w:rsidRDefault="000E0BC4">
            <w:pPr>
              <w:pStyle w:val="TableParagraph"/>
              <w:spacing w:before="5" w:line="216" w:lineRule="exact"/>
              <w:ind w:left="889"/>
              <w:rPr>
                <w:rFonts w:ascii="Times New Roman" w:hAnsi="Times New Roman" w:cs="Times New Roman"/>
                <w:sz w:val="20"/>
              </w:rPr>
            </w:pPr>
            <w:r w:rsidRPr="00D2165A">
              <w:rPr>
                <w:rFonts w:ascii="Times New Roman" w:hAnsi="Times New Roman" w:cs="Times New Roman"/>
                <w:w w:val="105"/>
                <w:sz w:val="20"/>
              </w:rPr>
              <w:t>27.0</w:t>
            </w:r>
          </w:p>
        </w:tc>
        <w:tc>
          <w:tcPr>
            <w:tcW w:w="3196" w:type="dxa"/>
            <w:tcBorders>
              <w:top w:val="single" w:sz="4" w:space="0" w:color="000000"/>
              <w:left w:val="nil"/>
              <w:bottom w:val="nil"/>
              <w:right w:val="nil"/>
            </w:tcBorders>
            <w:hideMark/>
          </w:tcPr>
          <w:p w:rsidR="000E0BC4" w:rsidRPr="00D2165A" w:rsidRDefault="000E0BC4">
            <w:pPr>
              <w:pStyle w:val="TableParagraph"/>
              <w:spacing w:before="5" w:line="216" w:lineRule="exact"/>
              <w:ind w:left="1405"/>
              <w:rPr>
                <w:rFonts w:ascii="Times New Roman" w:hAnsi="Times New Roman" w:cs="Times New Roman"/>
                <w:sz w:val="20"/>
              </w:rPr>
            </w:pPr>
            <w:r w:rsidRPr="00D2165A">
              <w:rPr>
                <w:rFonts w:ascii="Times New Roman" w:hAnsi="Times New Roman" w:cs="Times New Roman"/>
                <w:w w:val="105"/>
                <w:sz w:val="20"/>
              </w:rPr>
              <w:t>26.2</w:t>
            </w:r>
          </w:p>
        </w:tc>
      </w:tr>
      <w:tr w:rsidR="000E0BC4" w:rsidRPr="00D2165A" w:rsidTr="000E0BC4">
        <w:trPr>
          <w:trHeight w:val="220"/>
        </w:trPr>
        <w:tc>
          <w:tcPr>
            <w:tcW w:w="2866" w:type="dxa"/>
            <w:hideMark/>
          </w:tcPr>
          <w:p w:rsidR="000E0BC4" w:rsidRPr="00D2165A" w:rsidRDefault="000E0BC4">
            <w:pPr>
              <w:pStyle w:val="TableParagraph"/>
              <w:spacing w:before="2" w:line="216" w:lineRule="exact"/>
              <w:ind w:left="271"/>
              <w:rPr>
                <w:rFonts w:ascii="Times New Roman" w:hAnsi="Times New Roman" w:cs="Times New Roman"/>
                <w:sz w:val="20"/>
              </w:rPr>
            </w:pPr>
            <w:r w:rsidRPr="00D2165A">
              <w:rPr>
                <w:rFonts w:ascii="Times New Roman" w:hAnsi="Times New Roman" w:cs="Times New Roman"/>
                <w:w w:val="105"/>
                <w:sz w:val="20"/>
              </w:rPr>
              <w:t>Nausea</w:t>
            </w:r>
          </w:p>
        </w:tc>
        <w:tc>
          <w:tcPr>
            <w:tcW w:w="2660" w:type="dxa"/>
            <w:hideMark/>
          </w:tcPr>
          <w:p w:rsidR="000E0BC4" w:rsidRPr="00D2165A" w:rsidRDefault="000E0BC4">
            <w:pPr>
              <w:pStyle w:val="TableParagraph"/>
              <w:spacing w:before="2" w:line="216" w:lineRule="exact"/>
              <w:ind w:left="889"/>
              <w:rPr>
                <w:rFonts w:ascii="Times New Roman" w:hAnsi="Times New Roman" w:cs="Times New Roman"/>
                <w:sz w:val="20"/>
              </w:rPr>
            </w:pPr>
            <w:r w:rsidRPr="00D2165A">
              <w:rPr>
                <w:rFonts w:ascii="Times New Roman" w:hAnsi="Times New Roman" w:cs="Times New Roman"/>
                <w:w w:val="105"/>
                <w:sz w:val="20"/>
              </w:rPr>
              <w:t>20.6</w:t>
            </w:r>
          </w:p>
        </w:tc>
        <w:tc>
          <w:tcPr>
            <w:tcW w:w="3196" w:type="dxa"/>
            <w:hideMark/>
          </w:tcPr>
          <w:p w:rsidR="000E0BC4" w:rsidRPr="00D2165A" w:rsidRDefault="000E0BC4">
            <w:pPr>
              <w:pStyle w:val="TableParagraph"/>
              <w:spacing w:before="2" w:line="216" w:lineRule="exact"/>
              <w:ind w:left="1457"/>
              <w:rPr>
                <w:rFonts w:ascii="Times New Roman" w:hAnsi="Times New Roman" w:cs="Times New Roman"/>
                <w:sz w:val="20"/>
              </w:rPr>
            </w:pPr>
            <w:r w:rsidRPr="00D2165A">
              <w:rPr>
                <w:rFonts w:ascii="Times New Roman" w:hAnsi="Times New Roman" w:cs="Times New Roman"/>
                <w:w w:val="105"/>
                <w:sz w:val="20"/>
              </w:rPr>
              <w:t>5.6</w:t>
            </w:r>
          </w:p>
        </w:tc>
      </w:tr>
      <w:tr w:rsidR="000E0BC4" w:rsidRPr="00D2165A" w:rsidTr="000E0BC4">
        <w:trPr>
          <w:trHeight w:val="220"/>
        </w:trPr>
        <w:tc>
          <w:tcPr>
            <w:tcW w:w="2866" w:type="dxa"/>
            <w:hideMark/>
          </w:tcPr>
          <w:p w:rsidR="000E0BC4" w:rsidRPr="00D2165A" w:rsidRDefault="000E0BC4">
            <w:pPr>
              <w:pStyle w:val="TableParagraph"/>
              <w:spacing w:before="1" w:line="216" w:lineRule="exact"/>
              <w:ind w:left="271"/>
              <w:rPr>
                <w:rFonts w:ascii="Times New Roman" w:hAnsi="Times New Roman" w:cs="Times New Roman"/>
                <w:sz w:val="20"/>
              </w:rPr>
            </w:pPr>
            <w:r w:rsidRPr="00D2165A">
              <w:rPr>
                <w:rFonts w:ascii="Times New Roman" w:hAnsi="Times New Roman" w:cs="Times New Roman"/>
                <w:w w:val="105"/>
                <w:sz w:val="20"/>
              </w:rPr>
              <w:t>Vomiting</w:t>
            </w:r>
          </w:p>
        </w:tc>
        <w:tc>
          <w:tcPr>
            <w:tcW w:w="2660" w:type="dxa"/>
            <w:hideMark/>
          </w:tcPr>
          <w:p w:rsidR="000E0BC4" w:rsidRPr="00D2165A" w:rsidRDefault="000E0BC4">
            <w:pPr>
              <w:pStyle w:val="TableParagraph"/>
              <w:spacing w:before="1" w:line="216" w:lineRule="exact"/>
              <w:ind w:left="890"/>
              <w:rPr>
                <w:rFonts w:ascii="Times New Roman" w:hAnsi="Times New Roman" w:cs="Times New Roman"/>
                <w:sz w:val="20"/>
              </w:rPr>
            </w:pPr>
            <w:r w:rsidRPr="00D2165A">
              <w:rPr>
                <w:rFonts w:ascii="Times New Roman" w:hAnsi="Times New Roman" w:cs="Times New Roman"/>
                <w:w w:val="105"/>
                <w:sz w:val="20"/>
              </w:rPr>
              <w:t>20.6</w:t>
            </w:r>
          </w:p>
        </w:tc>
        <w:tc>
          <w:tcPr>
            <w:tcW w:w="3196" w:type="dxa"/>
            <w:hideMark/>
          </w:tcPr>
          <w:p w:rsidR="000E0BC4" w:rsidRPr="00D2165A" w:rsidRDefault="000E0BC4">
            <w:pPr>
              <w:pStyle w:val="TableParagraph"/>
              <w:spacing w:before="1" w:line="216" w:lineRule="exact"/>
              <w:ind w:left="1457"/>
              <w:rPr>
                <w:rFonts w:ascii="Times New Roman" w:hAnsi="Times New Roman" w:cs="Times New Roman"/>
                <w:sz w:val="20"/>
              </w:rPr>
            </w:pPr>
            <w:r w:rsidRPr="00D2165A">
              <w:rPr>
                <w:rFonts w:ascii="Times New Roman" w:hAnsi="Times New Roman" w:cs="Times New Roman"/>
                <w:w w:val="105"/>
                <w:sz w:val="20"/>
              </w:rPr>
              <w:t>4.8</w:t>
            </w:r>
          </w:p>
        </w:tc>
      </w:tr>
      <w:tr w:rsidR="000E0BC4" w:rsidRPr="00D2165A" w:rsidTr="000E0BC4">
        <w:trPr>
          <w:trHeight w:val="220"/>
        </w:trPr>
        <w:tc>
          <w:tcPr>
            <w:tcW w:w="2866" w:type="dxa"/>
            <w:hideMark/>
          </w:tcPr>
          <w:p w:rsidR="000E0BC4" w:rsidRPr="00D2165A" w:rsidRDefault="000E0BC4">
            <w:pPr>
              <w:pStyle w:val="TableParagraph"/>
              <w:spacing w:before="1" w:line="216" w:lineRule="exact"/>
              <w:ind w:left="271"/>
              <w:rPr>
                <w:rFonts w:ascii="Times New Roman" w:hAnsi="Times New Roman" w:cs="Times New Roman"/>
                <w:sz w:val="20"/>
              </w:rPr>
            </w:pPr>
            <w:r w:rsidRPr="00D2165A">
              <w:rPr>
                <w:rFonts w:ascii="Times New Roman" w:hAnsi="Times New Roman" w:cs="Times New Roman"/>
                <w:w w:val="105"/>
                <w:sz w:val="20"/>
              </w:rPr>
              <w:t>Abdominal pain</w:t>
            </w:r>
          </w:p>
        </w:tc>
        <w:tc>
          <w:tcPr>
            <w:tcW w:w="2660" w:type="dxa"/>
            <w:hideMark/>
          </w:tcPr>
          <w:p w:rsidR="000E0BC4" w:rsidRPr="00D2165A" w:rsidRDefault="000E0BC4">
            <w:pPr>
              <w:pStyle w:val="TableParagraph"/>
              <w:spacing w:before="1" w:line="216" w:lineRule="exact"/>
              <w:ind w:left="891"/>
              <w:rPr>
                <w:rFonts w:ascii="Times New Roman" w:hAnsi="Times New Roman" w:cs="Times New Roman"/>
                <w:sz w:val="20"/>
              </w:rPr>
            </w:pPr>
            <w:r w:rsidRPr="00D2165A">
              <w:rPr>
                <w:rFonts w:ascii="Times New Roman" w:hAnsi="Times New Roman" w:cs="Times New Roman"/>
                <w:w w:val="105"/>
                <w:sz w:val="20"/>
              </w:rPr>
              <w:t>14.3</w:t>
            </w:r>
          </w:p>
        </w:tc>
        <w:tc>
          <w:tcPr>
            <w:tcW w:w="3196" w:type="dxa"/>
            <w:hideMark/>
          </w:tcPr>
          <w:p w:rsidR="000E0BC4" w:rsidRPr="00D2165A" w:rsidRDefault="000E0BC4">
            <w:pPr>
              <w:pStyle w:val="TableParagraph"/>
              <w:spacing w:before="1" w:line="216" w:lineRule="exact"/>
              <w:ind w:left="1458"/>
              <w:rPr>
                <w:rFonts w:ascii="Times New Roman" w:hAnsi="Times New Roman" w:cs="Times New Roman"/>
                <w:sz w:val="20"/>
              </w:rPr>
            </w:pPr>
            <w:r w:rsidRPr="00D2165A">
              <w:rPr>
                <w:rFonts w:ascii="Times New Roman" w:hAnsi="Times New Roman" w:cs="Times New Roman"/>
                <w:w w:val="105"/>
                <w:sz w:val="20"/>
              </w:rPr>
              <w:t>3.2</w:t>
            </w:r>
          </w:p>
        </w:tc>
      </w:tr>
      <w:tr w:rsidR="000E0BC4" w:rsidRPr="00D2165A" w:rsidTr="000E0BC4">
        <w:trPr>
          <w:trHeight w:val="220"/>
        </w:trPr>
        <w:tc>
          <w:tcPr>
            <w:tcW w:w="2866" w:type="dxa"/>
            <w:hideMark/>
          </w:tcPr>
          <w:p w:rsidR="000E0BC4" w:rsidRPr="00D2165A" w:rsidRDefault="000E0BC4">
            <w:pPr>
              <w:pStyle w:val="TableParagraph"/>
              <w:spacing w:before="2" w:line="216" w:lineRule="exact"/>
              <w:ind w:left="271"/>
              <w:rPr>
                <w:rFonts w:ascii="Times New Roman" w:hAnsi="Times New Roman" w:cs="Times New Roman"/>
                <w:sz w:val="20"/>
              </w:rPr>
            </w:pPr>
            <w:r w:rsidRPr="00D2165A">
              <w:rPr>
                <w:rFonts w:ascii="Times New Roman" w:hAnsi="Times New Roman" w:cs="Times New Roman"/>
                <w:w w:val="105"/>
                <w:sz w:val="20"/>
              </w:rPr>
              <w:t>Diarrhoea</w:t>
            </w:r>
          </w:p>
        </w:tc>
        <w:tc>
          <w:tcPr>
            <w:tcW w:w="2660" w:type="dxa"/>
            <w:hideMark/>
          </w:tcPr>
          <w:p w:rsidR="000E0BC4" w:rsidRPr="00D2165A" w:rsidRDefault="000E0BC4">
            <w:pPr>
              <w:pStyle w:val="TableParagraph"/>
              <w:spacing w:before="2" w:line="216" w:lineRule="exact"/>
              <w:ind w:left="889"/>
              <w:rPr>
                <w:rFonts w:ascii="Times New Roman" w:hAnsi="Times New Roman" w:cs="Times New Roman"/>
                <w:sz w:val="20"/>
              </w:rPr>
            </w:pPr>
            <w:r w:rsidRPr="00D2165A">
              <w:rPr>
                <w:rFonts w:ascii="Times New Roman" w:hAnsi="Times New Roman" w:cs="Times New Roman"/>
                <w:w w:val="105"/>
                <w:sz w:val="20"/>
              </w:rPr>
              <w:t>12.7</w:t>
            </w:r>
          </w:p>
        </w:tc>
        <w:tc>
          <w:tcPr>
            <w:tcW w:w="3196" w:type="dxa"/>
            <w:hideMark/>
          </w:tcPr>
          <w:p w:rsidR="000E0BC4" w:rsidRPr="00D2165A" w:rsidRDefault="000E0BC4">
            <w:pPr>
              <w:pStyle w:val="TableParagraph"/>
              <w:spacing w:before="2" w:line="216" w:lineRule="exact"/>
              <w:ind w:left="1457"/>
              <w:rPr>
                <w:rFonts w:ascii="Times New Roman" w:hAnsi="Times New Roman" w:cs="Times New Roman"/>
                <w:sz w:val="20"/>
              </w:rPr>
            </w:pPr>
            <w:r w:rsidRPr="00D2165A">
              <w:rPr>
                <w:rFonts w:ascii="Times New Roman" w:hAnsi="Times New Roman" w:cs="Times New Roman"/>
                <w:w w:val="105"/>
                <w:sz w:val="20"/>
              </w:rPr>
              <w:t>4.8</w:t>
            </w:r>
          </w:p>
        </w:tc>
      </w:tr>
      <w:tr w:rsidR="000E0BC4" w:rsidRPr="00D2165A" w:rsidTr="000E0BC4">
        <w:trPr>
          <w:trHeight w:val="220"/>
        </w:trPr>
        <w:tc>
          <w:tcPr>
            <w:tcW w:w="2866" w:type="dxa"/>
            <w:hideMark/>
          </w:tcPr>
          <w:p w:rsidR="000E0BC4" w:rsidRPr="00D2165A" w:rsidRDefault="000E0BC4">
            <w:pPr>
              <w:pStyle w:val="TableParagraph"/>
              <w:spacing w:before="1" w:line="216" w:lineRule="exact"/>
              <w:ind w:left="271"/>
              <w:rPr>
                <w:rFonts w:ascii="Times New Roman" w:hAnsi="Times New Roman" w:cs="Times New Roman"/>
                <w:sz w:val="20"/>
              </w:rPr>
            </w:pPr>
            <w:r w:rsidRPr="00D2165A">
              <w:rPr>
                <w:rFonts w:ascii="Times New Roman" w:hAnsi="Times New Roman" w:cs="Times New Roman"/>
                <w:w w:val="105"/>
                <w:sz w:val="20"/>
              </w:rPr>
              <w:t>Pyrexia</w:t>
            </w:r>
          </w:p>
        </w:tc>
        <w:tc>
          <w:tcPr>
            <w:tcW w:w="2660" w:type="dxa"/>
            <w:hideMark/>
          </w:tcPr>
          <w:p w:rsidR="000E0BC4" w:rsidRPr="00D2165A" w:rsidRDefault="000E0BC4">
            <w:pPr>
              <w:pStyle w:val="TableParagraph"/>
              <w:spacing w:before="1" w:line="216" w:lineRule="exact"/>
              <w:ind w:left="889"/>
              <w:rPr>
                <w:rFonts w:ascii="Times New Roman" w:hAnsi="Times New Roman" w:cs="Times New Roman"/>
                <w:sz w:val="20"/>
              </w:rPr>
            </w:pPr>
            <w:r w:rsidRPr="00D2165A">
              <w:rPr>
                <w:rFonts w:ascii="Times New Roman" w:hAnsi="Times New Roman" w:cs="Times New Roman"/>
                <w:w w:val="105"/>
                <w:sz w:val="20"/>
              </w:rPr>
              <w:t>12.7</w:t>
            </w:r>
          </w:p>
        </w:tc>
        <w:tc>
          <w:tcPr>
            <w:tcW w:w="3196" w:type="dxa"/>
            <w:hideMark/>
          </w:tcPr>
          <w:p w:rsidR="000E0BC4" w:rsidRPr="00D2165A" w:rsidRDefault="000E0BC4">
            <w:pPr>
              <w:pStyle w:val="TableParagraph"/>
              <w:spacing w:before="1" w:line="216" w:lineRule="exact"/>
              <w:ind w:left="1456"/>
              <w:rPr>
                <w:rFonts w:ascii="Times New Roman" w:hAnsi="Times New Roman" w:cs="Times New Roman"/>
                <w:sz w:val="20"/>
              </w:rPr>
            </w:pPr>
            <w:r w:rsidRPr="00D2165A">
              <w:rPr>
                <w:rFonts w:ascii="Times New Roman" w:hAnsi="Times New Roman" w:cs="Times New Roman"/>
                <w:w w:val="105"/>
                <w:sz w:val="20"/>
              </w:rPr>
              <w:t>5.6</w:t>
            </w:r>
          </w:p>
        </w:tc>
      </w:tr>
      <w:tr w:rsidR="000E0BC4" w:rsidRPr="00D2165A" w:rsidTr="000E0BC4">
        <w:trPr>
          <w:trHeight w:val="220"/>
        </w:trPr>
        <w:tc>
          <w:tcPr>
            <w:tcW w:w="2866" w:type="dxa"/>
            <w:hideMark/>
          </w:tcPr>
          <w:p w:rsidR="000E0BC4" w:rsidRPr="00D2165A" w:rsidRDefault="000E0BC4">
            <w:pPr>
              <w:pStyle w:val="TableParagraph"/>
              <w:spacing w:before="2" w:line="216" w:lineRule="exact"/>
              <w:ind w:left="271"/>
              <w:rPr>
                <w:rFonts w:ascii="Times New Roman" w:hAnsi="Times New Roman" w:cs="Times New Roman"/>
                <w:sz w:val="20"/>
              </w:rPr>
            </w:pPr>
            <w:r w:rsidRPr="00D2165A">
              <w:rPr>
                <w:rFonts w:ascii="Times New Roman" w:hAnsi="Times New Roman" w:cs="Times New Roman"/>
                <w:w w:val="105"/>
                <w:sz w:val="20"/>
              </w:rPr>
              <w:t>Headache</w:t>
            </w:r>
          </w:p>
        </w:tc>
        <w:tc>
          <w:tcPr>
            <w:tcW w:w="2660" w:type="dxa"/>
            <w:hideMark/>
          </w:tcPr>
          <w:p w:rsidR="000E0BC4" w:rsidRPr="00D2165A" w:rsidRDefault="000E0BC4">
            <w:pPr>
              <w:pStyle w:val="TableParagraph"/>
              <w:spacing w:before="2" w:line="216" w:lineRule="exact"/>
              <w:ind w:left="890"/>
              <w:rPr>
                <w:rFonts w:ascii="Times New Roman" w:hAnsi="Times New Roman" w:cs="Times New Roman"/>
                <w:sz w:val="20"/>
              </w:rPr>
            </w:pPr>
            <w:r w:rsidRPr="00D2165A">
              <w:rPr>
                <w:rFonts w:ascii="Times New Roman" w:hAnsi="Times New Roman" w:cs="Times New Roman"/>
                <w:w w:val="105"/>
                <w:sz w:val="20"/>
              </w:rPr>
              <w:t>11.1</w:t>
            </w:r>
          </w:p>
        </w:tc>
        <w:tc>
          <w:tcPr>
            <w:tcW w:w="3196" w:type="dxa"/>
            <w:hideMark/>
          </w:tcPr>
          <w:p w:rsidR="000E0BC4" w:rsidRPr="00D2165A" w:rsidRDefault="000E0BC4">
            <w:pPr>
              <w:pStyle w:val="TableParagraph"/>
              <w:spacing w:before="2" w:line="216" w:lineRule="exact"/>
              <w:ind w:left="1458"/>
              <w:rPr>
                <w:rFonts w:ascii="Times New Roman" w:hAnsi="Times New Roman" w:cs="Times New Roman"/>
                <w:sz w:val="20"/>
              </w:rPr>
            </w:pPr>
            <w:r w:rsidRPr="00D2165A">
              <w:rPr>
                <w:rFonts w:ascii="Times New Roman" w:hAnsi="Times New Roman" w:cs="Times New Roman"/>
                <w:w w:val="105"/>
                <w:sz w:val="20"/>
              </w:rPr>
              <w:t>4.8</w:t>
            </w:r>
          </w:p>
        </w:tc>
      </w:tr>
      <w:tr w:rsidR="000E0BC4" w:rsidRPr="00D2165A" w:rsidTr="000E0BC4">
        <w:trPr>
          <w:trHeight w:val="220"/>
        </w:trPr>
        <w:tc>
          <w:tcPr>
            <w:tcW w:w="2866" w:type="dxa"/>
            <w:hideMark/>
          </w:tcPr>
          <w:p w:rsidR="000E0BC4" w:rsidRPr="00D2165A" w:rsidRDefault="000E0BC4">
            <w:pPr>
              <w:pStyle w:val="TableParagraph"/>
              <w:spacing w:before="1" w:line="216" w:lineRule="exact"/>
              <w:ind w:left="271"/>
              <w:rPr>
                <w:rFonts w:ascii="Times New Roman" w:hAnsi="Times New Roman" w:cs="Times New Roman"/>
                <w:sz w:val="20"/>
              </w:rPr>
            </w:pPr>
            <w:r w:rsidRPr="00D2165A">
              <w:rPr>
                <w:rFonts w:ascii="Times New Roman" w:hAnsi="Times New Roman" w:cs="Times New Roman"/>
                <w:w w:val="105"/>
                <w:sz w:val="20"/>
              </w:rPr>
              <w:t>Decreased appetite</w:t>
            </w:r>
          </w:p>
        </w:tc>
        <w:tc>
          <w:tcPr>
            <w:tcW w:w="2660" w:type="dxa"/>
            <w:hideMark/>
          </w:tcPr>
          <w:p w:rsidR="000E0BC4" w:rsidRPr="00D2165A" w:rsidRDefault="000E0BC4">
            <w:pPr>
              <w:pStyle w:val="TableParagraph"/>
              <w:spacing w:before="1" w:line="216" w:lineRule="exact"/>
              <w:ind w:left="891"/>
              <w:rPr>
                <w:rFonts w:ascii="Times New Roman" w:hAnsi="Times New Roman" w:cs="Times New Roman"/>
                <w:sz w:val="20"/>
              </w:rPr>
            </w:pPr>
            <w:r w:rsidRPr="00D2165A">
              <w:rPr>
                <w:rFonts w:ascii="Times New Roman" w:hAnsi="Times New Roman" w:cs="Times New Roman"/>
                <w:w w:val="105"/>
                <w:sz w:val="20"/>
              </w:rPr>
              <w:t>10.3</w:t>
            </w:r>
          </w:p>
        </w:tc>
        <w:tc>
          <w:tcPr>
            <w:tcW w:w="3196" w:type="dxa"/>
            <w:hideMark/>
          </w:tcPr>
          <w:p w:rsidR="000E0BC4" w:rsidRPr="00D2165A" w:rsidRDefault="000E0BC4">
            <w:pPr>
              <w:pStyle w:val="TableParagraph"/>
              <w:spacing w:before="1" w:line="216" w:lineRule="exact"/>
              <w:ind w:left="1458"/>
              <w:rPr>
                <w:rFonts w:ascii="Times New Roman" w:hAnsi="Times New Roman" w:cs="Times New Roman"/>
                <w:sz w:val="20"/>
              </w:rPr>
            </w:pPr>
            <w:r w:rsidRPr="00D2165A">
              <w:rPr>
                <w:rFonts w:ascii="Times New Roman" w:hAnsi="Times New Roman" w:cs="Times New Roman"/>
                <w:w w:val="105"/>
                <w:sz w:val="20"/>
              </w:rPr>
              <w:t>4.8</w:t>
            </w:r>
          </w:p>
        </w:tc>
      </w:tr>
      <w:tr w:rsidR="000E0BC4" w:rsidRPr="00D2165A" w:rsidTr="000E0BC4">
        <w:trPr>
          <w:trHeight w:val="220"/>
        </w:trPr>
        <w:tc>
          <w:tcPr>
            <w:tcW w:w="2866" w:type="dxa"/>
            <w:tcBorders>
              <w:top w:val="nil"/>
              <w:left w:val="nil"/>
              <w:bottom w:val="single" w:sz="4" w:space="0" w:color="000000"/>
              <w:right w:val="nil"/>
            </w:tcBorders>
            <w:hideMark/>
          </w:tcPr>
          <w:p w:rsidR="000E0BC4" w:rsidRPr="00D2165A" w:rsidRDefault="000E0BC4">
            <w:pPr>
              <w:pStyle w:val="TableParagraph"/>
              <w:spacing w:before="2" w:line="211" w:lineRule="exact"/>
              <w:ind w:left="271"/>
              <w:rPr>
                <w:rFonts w:ascii="Times New Roman" w:hAnsi="Times New Roman" w:cs="Times New Roman"/>
                <w:sz w:val="20"/>
              </w:rPr>
            </w:pPr>
            <w:r w:rsidRPr="00D2165A">
              <w:rPr>
                <w:rFonts w:ascii="Times New Roman" w:hAnsi="Times New Roman" w:cs="Times New Roman"/>
                <w:w w:val="105"/>
                <w:sz w:val="20"/>
              </w:rPr>
              <w:t>Fatigue</w:t>
            </w:r>
          </w:p>
        </w:tc>
        <w:tc>
          <w:tcPr>
            <w:tcW w:w="2660" w:type="dxa"/>
            <w:tcBorders>
              <w:top w:val="nil"/>
              <w:left w:val="nil"/>
              <w:bottom w:val="single" w:sz="4" w:space="0" w:color="000000"/>
              <w:right w:val="nil"/>
            </w:tcBorders>
            <w:hideMark/>
          </w:tcPr>
          <w:p w:rsidR="000E0BC4" w:rsidRPr="00D2165A" w:rsidRDefault="000E0BC4">
            <w:pPr>
              <w:pStyle w:val="TableParagraph"/>
              <w:spacing w:before="2" w:line="211" w:lineRule="exact"/>
              <w:ind w:left="890"/>
              <w:rPr>
                <w:rFonts w:ascii="Times New Roman" w:hAnsi="Times New Roman" w:cs="Times New Roman"/>
                <w:sz w:val="20"/>
              </w:rPr>
            </w:pPr>
            <w:r w:rsidRPr="00D2165A">
              <w:rPr>
                <w:rFonts w:ascii="Times New Roman" w:hAnsi="Times New Roman" w:cs="Times New Roman"/>
                <w:w w:val="105"/>
                <w:sz w:val="20"/>
              </w:rPr>
              <w:t>10.3</w:t>
            </w:r>
          </w:p>
        </w:tc>
        <w:tc>
          <w:tcPr>
            <w:tcW w:w="3196" w:type="dxa"/>
            <w:tcBorders>
              <w:top w:val="nil"/>
              <w:left w:val="nil"/>
              <w:bottom w:val="single" w:sz="4" w:space="0" w:color="000000"/>
              <w:right w:val="nil"/>
            </w:tcBorders>
            <w:hideMark/>
          </w:tcPr>
          <w:p w:rsidR="000E0BC4" w:rsidRPr="00D2165A" w:rsidRDefault="000E0BC4">
            <w:pPr>
              <w:pStyle w:val="TableParagraph"/>
              <w:spacing w:before="2" w:line="211" w:lineRule="exact"/>
              <w:ind w:right="20"/>
              <w:jc w:val="center"/>
              <w:rPr>
                <w:rFonts w:ascii="Times New Roman" w:hAnsi="Times New Roman" w:cs="Times New Roman"/>
                <w:sz w:val="20"/>
              </w:rPr>
            </w:pPr>
            <w:r w:rsidRPr="00D2165A">
              <w:rPr>
                <w:rFonts w:ascii="Times New Roman" w:hAnsi="Times New Roman" w:cs="Times New Roman"/>
                <w:w w:val="103"/>
                <w:sz w:val="20"/>
              </w:rPr>
              <w:t>0</w:t>
            </w:r>
          </w:p>
        </w:tc>
      </w:tr>
    </w:tbl>
    <w:p w:rsidR="000E0BC4" w:rsidRPr="00D2165A" w:rsidRDefault="000E0BC4" w:rsidP="000E0BC4">
      <w:pPr>
        <w:ind w:right="380"/>
        <w:rPr>
          <w:sz w:val="17"/>
          <w:szCs w:val="22"/>
          <w:lang w:val="en-US" w:eastAsia="en-US"/>
        </w:rPr>
      </w:pPr>
      <w:r w:rsidRPr="00D2165A">
        <w:rPr>
          <w:position w:val="6"/>
          <w:sz w:val="11"/>
          <w:lang w:val="en-US"/>
        </w:rPr>
        <w:t xml:space="preserve">a </w:t>
      </w:r>
      <w:r w:rsidRPr="00D2165A">
        <w:rPr>
          <w:sz w:val="17"/>
          <w:lang w:val="en-US"/>
        </w:rPr>
        <w:t>In the pivotal study, among 106 total patients, 24 patients received the powder for oral suspension at least once, 8 of whom received the powder for oral suspension formulation exclusively.</w:t>
      </w:r>
    </w:p>
    <w:p w:rsidR="000E0BC4" w:rsidRPr="0065500C" w:rsidRDefault="000E0BC4" w:rsidP="0065500C">
      <w:pPr>
        <w:widowControl w:val="0"/>
        <w:autoSpaceDE w:val="0"/>
        <w:autoSpaceDN w:val="0"/>
        <w:ind w:left="851" w:right="130"/>
        <w:rPr>
          <w:i/>
          <w:w w:val="105"/>
          <w:sz w:val="24"/>
          <w:szCs w:val="24"/>
          <w:u w:val="single"/>
          <w:lang w:val="en-US"/>
        </w:rPr>
      </w:pPr>
    </w:p>
    <w:p w:rsidR="000E0BC4" w:rsidRPr="0065500C" w:rsidRDefault="000E0BC4" w:rsidP="0065500C">
      <w:pPr>
        <w:widowControl w:val="0"/>
        <w:autoSpaceDE w:val="0"/>
        <w:autoSpaceDN w:val="0"/>
        <w:ind w:left="851" w:right="130"/>
        <w:rPr>
          <w:i/>
          <w:w w:val="105"/>
          <w:sz w:val="24"/>
          <w:szCs w:val="24"/>
          <w:u w:val="single"/>
          <w:lang w:val="en-US"/>
        </w:rPr>
      </w:pPr>
      <w:r w:rsidRPr="0065500C">
        <w:rPr>
          <w:i/>
          <w:w w:val="105"/>
          <w:sz w:val="24"/>
          <w:szCs w:val="24"/>
          <w:u w:val="single"/>
          <w:lang w:val="en-US"/>
        </w:rPr>
        <w:t>Laboratory test abnormalities</w:t>
      </w:r>
    </w:p>
    <w:p w:rsidR="0065500C" w:rsidRDefault="0065500C" w:rsidP="0065500C">
      <w:pPr>
        <w:widowControl w:val="0"/>
        <w:autoSpaceDE w:val="0"/>
        <w:autoSpaceDN w:val="0"/>
        <w:ind w:left="851" w:right="130"/>
        <w:rPr>
          <w:i/>
          <w:w w:val="105"/>
          <w:sz w:val="24"/>
          <w:szCs w:val="24"/>
          <w:lang w:val="en-US"/>
        </w:rPr>
      </w:pPr>
    </w:p>
    <w:p w:rsidR="000E0BC4" w:rsidRPr="0065500C" w:rsidRDefault="000E0BC4" w:rsidP="0065500C">
      <w:pPr>
        <w:widowControl w:val="0"/>
        <w:autoSpaceDE w:val="0"/>
        <w:autoSpaceDN w:val="0"/>
        <w:ind w:left="851" w:right="130"/>
        <w:rPr>
          <w:i/>
          <w:sz w:val="24"/>
          <w:szCs w:val="24"/>
          <w:lang w:val="en-US"/>
        </w:rPr>
      </w:pPr>
      <w:r w:rsidRPr="0065500C">
        <w:rPr>
          <w:i/>
          <w:w w:val="105"/>
          <w:sz w:val="24"/>
          <w:szCs w:val="24"/>
          <w:lang w:val="en-US"/>
        </w:rPr>
        <w:t>Haematology</w:t>
      </w:r>
    </w:p>
    <w:p w:rsidR="000E0BC4" w:rsidRPr="0065500C" w:rsidRDefault="000E0BC4" w:rsidP="0065500C">
      <w:pPr>
        <w:pStyle w:val="Brdtekst"/>
        <w:ind w:left="851" w:right="130"/>
        <w:rPr>
          <w:sz w:val="24"/>
          <w:szCs w:val="24"/>
        </w:rPr>
      </w:pPr>
      <w:r w:rsidRPr="0065500C">
        <w:rPr>
          <w:w w:val="105"/>
          <w:sz w:val="24"/>
          <w:szCs w:val="24"/>
        </w:rPr>
        <w:t xml:space="preserve">In the Phase III newly diagnosed chronic phase CML study, the following grade 3 or 4 laboratory abnormalities were reported after a minimum of 12 months follow-up in patients taking </w:t>
      </w:r>
      <w:r w:rsidRPr="0065500C">
        <w:rPr>
          <w:sz w:val="24"/>
          <w:szCs w:val="24"/>
        </w:rPr>
        <w:t>dasatinib</w:t>
      </w:r>
      <w:r w:rsidRPr="0065500C">
        <w:rPr>
          <w:w w:val="105"/>
          <w:sz w:val="24"/>
          <w:szCs w:val="24"/>
        </w:rPr>
        <w:t>: neutropaenia (21%), thrombocytopaenia (19%), and anaemia (10%). After a minimum of 60 months follow-up,</w:t>
      </w:r>
      <w:r w:rsidRPr="0065500C">
        <w:rPr>
          <w:spacing w:val="-14"/>
          <w:w w:val="105"/>
          <w:sz w:val="24"/>
          <w:szCs w:val="24"/>
        </w:rPr>
        <w:t xml:space="preserve"> </w:t>
      </w:r>
      <w:r w:rsidRPr="0065500C">
        <w:rPr>
          <w:w w:val="105"/>
          <w:sz w:val="24"/>
          <w:szCs w:val="24"/>
        </w:rPr>
        <w:t>the</w:t>
      </w:r>
      <w:r w:rsidRPr="0065500C">
        <w:rPr>
          <w:spacing w:val="-14"/>
          <w:w w:val="105"/>
          <w:sz w:val="24"/>
          <w:szCs w:val="24"/>
        </w:rPr>
        <w:t xml:space="preserve"> </w:t>
      </w:r>
      <w:r w:rsidRPr="0065500C">
        <w:rPr>
          <w:w w:val="105"/>
          <w:sz w:val="24"/>
          <w:szCs w:val="24"/>
        </w:rPr>
        <w:t>cumulative</w:t>
      </w:r>
      <w:r w:rsidRPr="0065500C">
        <w:rPr>
          <w:spacing w:val="-14"/>
          <w:w w:val="105"/>
          <w:sz w:val="24"/>
          <w:szCs w:val="24"/>
        </w:rPr>
        <w:t xml:space="preserve"> </w:t>
      </w:r>
      <w:r w:rsidRPr="0065500C">
        <w:rPr>
          <w:w w:val="105"/>
          <w:sz w:val="24"/>
          <w:szCs w:val="24"/>
        </w:rPr>
        <w:t>rates</w:t>
      </w:r>
      <w:r w:rsidRPr="0065500C">
        <w:rPr>
          <w:spacing w:val="-14"/>
          <w:w w:val="105"/>
          <w:sz w:val="24"/>
          <w:szCs w:val="24"/>
        </w:rPr>
        <w:t xml:space="preserve"> </w:t>
      </w:r>
      <w:r w:rsidRPr="0065500C">
        <w:rPr>
          <w:w w:val="105"/>
          <w:sz w:val="24"/>
          <w:szCs w:val="24"/>
        </w:rPr>
        <w:t>of</w:t>
      </w:r>
      <w:r w:rsidRPr="0065500C">
        <w:rPr>
          <w:spacing w:val="-14"/>
          <w:w w:val="105"/>
          <w:sz w:val="24"/>
          <w:szCs w:val="24"/>
        </w:rPr>
        <w:t xml:space="preserve"> </w:t>
      </w:r>
      <w:r w:rsidRPr="0065500C">
        <w:rPr>
          <w:w w:val="105"/>
          <w:sz w:val="24"/>
          <w:szCs w:val="24"/>
        </w:rPr>
        <w:t>neutropaenia,</w:t>
      </w:r>
      <w:r w:rsidRPr="0065500C">
        <w:rPr>
          <w:spacing w:val="-14"/>
          <w:w w:val="105"/>
          <w:sz w:val="24"/>
          <w:szCs w:val="24"/>
        </w:rPr>
        <w:t xml:space="preserve"> </w:t>
      </w:r>
      <w:r w:rsidRPr="0065500C">
        <w:rPr>
          <w:w w:val="105"/>
          <w:sz w:val="24"/>
          <w:szCs w:val="24"/>
        </w:rPr>
        <w:t>thrombocytopaenia,</w:t>
      </w:r>
      <w:r w:rsidRPr="0065500C">
        <w:rPr>
          <w:spacing w:val="-14"/>
          <w:w w:val="105"/>
          <w:sz w:val="24"/>
          <w:szCs w:val="24"/>
        </w:rPr>
        <w:t xml:space="preserve"> </w:t>
      </w:r>
      <w:r w:rsidRPr="0065500C">
        <w:rPr>
          <w:w w:val="105"/>
          <w:sz w:val="24"/>
          <w:szCs w:val="24"/>
        </w:rPr>
        <w:t>and</w:t>
      </w:r>
      <w:r w:rsidRPr="0065500C">
        <w:rPr>
          <w:spacing w:val="-14"/>
          <w:w w:val="105"/>
          <w:sz w:val="24"/>
          <w:szCs w:val="24"/>
        </w:rPr>
        <w:t xml:space="preserve"> </w:t>
      </w:r>
      <w:r w:rsidRPr="0065500C">
        <w:rPr>
          <w:w w:val="105"/>
          <w:sz w:val="24"/>
          <w:szCs w:val="24"/>
        </w:rPr>
        <w:t>anaemia</w:t>
      </w:r>
      <w:r w:rsidRPr="0065500C">
        <w:rPr>
          <w:spacing w:val="-14"/>
          <w:w w:val="105"/>
          <w:sz w:val="24"/>
          <w:szCs w:val="24"/>
        </w:rPr>
        <w:t xml:space="preserve"> </w:t>
      </w:r>
      <w:r w:rsidRPr="0065500C">
        <w:rPr>
          <w:w w:val="105"/>
          <w:sz w:val="24"/>
          <w:szCs w:val="24"/>
        </w:rPr>
        <w:t>were</w:t>
      </w:r>
      <w:r w:rsidRPr="0065500C">
        <w:rPr>
          <w:spacing w:val="-14"/>
          <w:w w:val="105"/>
          <w:sz w:val="24"/>
          <w:szCs w:val="24"/>
        </w:rPr>
        <w:t xml:space="preserve"> </w:t>
      </w:r>
      <w:r w:rsidRPr="0065500C">
        <w:rPr>
          <w:w w:val="105"/>
          <w:sz w:val="24"/>
          <w:szCs w:val="24"/>
        </w:rPr>
        <w:t>29%,</w:t>
      </w:r>
      <w:r w:rsidRPr="0065500C">
        <w:rPr>
          <w:spacing w:val="-14"/>
          <w:w w:val="105"/>
          <w:sz w:val="24"/>
          <w:szCs w:val="24"/>
        </w:rPr>
        <w:t xml:space="preserve"> </w:t>
      </w:r>
      <w:r w:rsidRPr="0065500C">
        <w:rPr>
          <w:w w:val="105"/>
          <w:sz w:val="24"/>
          <w:szCs w:val="24"/>
        </w:rPr>
        <w:t>22%</w:t>
      </w:r>
      <w:r w:rsidRPr="0065500C">
        <w:rPr>
          <w:spacing w:val="-14"/>
          <w:w w:val="105"/>
          <w:sz w:val="24"/>
          <w:szCs w:val="24"/>
        </w:rPr>
        <w:t xml:space="preserve"> </w:t>
      </w:r>
      <w:r w:rsidRPr="0065500C">
        <w:rPr>
          <w:w w:val="105"/>
          <w:sz w:val="24"/>
          <w:szCs w:val="24"/>
        </w:rPr>
        <w:t>and 13%,</w:t>
      </w:r>
      <w:r w:rsidRPr="0065500C">
        <w:rPr>
          <w:spacing w:val="-34"/>
          <w:w w:val="105"/>
          <w:sz w:val="24"/>
          <w:szCs w:val="24"/>
        </w:rPr>
        <w:t xml:space="preserve"> </w:t>
      </w:r>
      <w:r w:rsidRPr="0065500C">
        <w:rPr>
          <w:w w:val="105"/>
          <w:sz w:val="24"/>
          <w:szCs w:val="24"/>
        </w:rPr>
        <w:t>respectively.</w:t>
      </w:r>
    </w:p>
    <w:p w:rsidR="000E0BC4" w:rsidRPr="0065500C" w:rsidRDefault="000E0BC4" w:rsidP="0065500C">
      <w:pPr>
        <w:pStyle w:val="Brdtekst"/>
        <w:ind w:left="851" w:right="130"/>
        <w:rPr>
          <w:sz w:val="24"/>
          <w:szCs w:val="24"/>
        </w:rPr>
      </w:pPr>
    </w:p>
    <w:p w:rsidR="000E0BC4" w:rsidRPr="0065500C" w:rsidRDefault="000E0BC4" w:rsidP="0065500C">
      <w:pPr>
        <w:pStyle w:val="Brdtekst"/>
        <w:ind w:left="851" w:right="130"/>
        <w:rPr>
          <w:sz w:val="24"/>
          <w:szCs w:val="24"/>
        </w:rPr>
      </w:pPr>
      <w:r w:rsidRPr="0065500C">
        <w:rPr>
          <w:w w:val="105"/>
          <w:sz w:val="24"/>
          <w:szCs w:val="24"/>
        </w:rPr>
        <w:t xml:space="preserve">In </w:t>
      </w:r>
      <w:r w:rsidRPr="0065500C">
        <w:rPr>
          <w:sz w:val="24"/>
          <w:szCs w:val="24"/>
        </w:rPr>
        <w:t>dasatinib</w:t>
      </w:r>
      <w:r w:rsidRPr="0065500C">
        <w:rPr>
          <w:w w:val="105"/>
          <w:sz w:val="24"/>
          <w:szCs w:val="24"/>
        </w:rPr>
        <w:t>-treated patients with newly diagnosed chronic phase CML who experienced</w:t>
      </w:r>
      <w:r w:rsidR="0065500C">
        <w:rPr>
          <w:w w:val="105"/>
          <w:sz w:val="24"/>
          <w:szCs w:val="24"/>
        </w:rPr>
        <w:t xml:space="preserve"> </w:t>
      </w:r>
      <w:r w:rsidRPr="0065500C">
        <w:rPr>
          <w:w w:val="105"/>
          <w:sz w:val="24"/>
          <w:szCs w:val="24"/>
        </w:rPr>
        <w:t>grade</w:t>
      </w:r>
      <w:r w:rsidRPr="0065500C">
        <w:rPr>
          <w:spacing w:val="-13"/>
          <w:w w:val="105"/>
          <w:sz w:val="24"/>
          <w:szCs w:val="24"/>
        </w:rPr>
        <w:t xml:space="preserve"> </w:t>
      </w:r>
      <w:r w:rsidRPr="0065500C">
        <w:rPr>
          <w:w w:val="105"/>
          <w:sz w:val="24"/>
          <w:szCs w:val="24"/>
        </w:rPr>
        <w:t>3</w:t>
      </w:r>
      <w:r w:rsidRPr="0065500C">
        <w:rPr>
          <w:spacing w:val="-14"/>
          <w:w w:val="105"/>
          <w:sz w:val="24"/>
          <w:szCs w:val="24"/>
        </w:rPr>
        <w:t xml:space="preserve"> </w:t>
      </w:r>
      <w:r w:rsidRPr="0065500C">
        <w:rPr>
          <w:w w:val="105"/>
          <w:sz w:val="24"/>
          <w:szCs w:val="24"/>
        </w:rPr>
        <w:t>or</w:t>
      </w:r>
      <w:r w:rsidRPr="0065500C">
        <w:rPr>
          <w:spacing w:val="-13"/>
          <w:w w:val="105"/>
          <w:sz w:val="24"/>
          <w:szCs w:val="24"/>
        </w:rPr>
        <w:t xml:space="preserve"> </w:t>
      </w:r>
      <w:r w:rsidRPr="0065500C">
        <w:rPr>
          <w:w w:val="105"/>
          <w:sz w:val="24"/>
          <w:szCs w:val="24"/>
        </w:rPr>
        <w:t>4</w:t>
      </w:r>
      <w:r w:rsidRPr="0065500C">
        <w:rPr>
          <w:spacing w:val="-14"/>
          <w:w w:val="105"/>
          <w:sz w:val="24"/>
          <w:szCs w:val="24"/>
        </w:rPr>
        <w:t xml:space="preserve"> </w:t>
      </w:r>
      <w:r w:rsidRPr="0065500C">
        <w:rPr>
          <w:w w:val="105"/>
          <w:sz w:val="24"/>
          <w:szCs w:val="24"/>
        </w:rPr>
        <w:t>myelosuppression,</w:t>
      </w:r>
      <w:r w:rsidRPr="0065500C">
        <w:rPr>
          <w:spacing w:val="-13"/>
          <w:w w:val="105"/>
          <w:sz w:val="24"/>
          <w:szCs w:val="24"/>
        </w:rPr>
        <w:t xml:space="preserve"> </w:t>
      </w:r>
      <w:r w:rsidRPr="0065500C">
        <w:rPr>
          <w:w w:val="105"/>
          <w:sz w:val="24"/>
          <w:szCs w:val="24"/>
        </w:rPr>
        <w:t>recovery</w:t>
      </w:r>
      <w:r w:rsidRPr="0065500C">
        <w:rPr>
          <w:spacing w:val="-11"/>
          <w:w w:val="105"/>
          <w:sz w:val="24"/>
          <w:szCs w:val="24"/>
        </w:rPr>
        <w:t xml:space="preserve"> </w:t>
      </w:r>
      <w:r w:rsidRPr="0065500C">
        <w:rPr>
          <w:w w:val="105"/>
          <w:sz w:val="24"/>
          <w:szCs w:val="24"/>
        </w:rPr>
        <w:t>generally</w:t>
      </w:r>
      <w:r w:rsidRPr="0065500C">
        <w:rPr>
          <w:spacing w:val="-11"/>
          <w:w w:val="105"/>
          <w:sz w:val="24"/>
          <w:szCs w:val="24"/>
        </w:rPr>
        <w:t xml:space="preserve"> </w:t>
      </w:r>
      <w:r w:rsidRPr="0065500C">
        <w:rPr>
          <w:w w:val="105"/>
          <w:sz w:val="24"/>
          <w:szCs w:val="24"/>
        </w:rPr>
        <w:t>occurred</w:t>
      </w:r>
      <w:r w:rsidRPr="0065500C">
        <w:rPr>
          <w:spacing w:val="-14"/>
          <w:w w:val="105"/>
          <w:sz w:val="24"/>
          <w:szCs w:val="24"/>
        </w:rPr>
        <w:t xml:space="preserve"> </w:t>
      </w:r>
      <w:r w:rsidRPr="0065500C">
        <w:rPr>
          <w:w w:val="105"/>
          <w:sz w:val="24"/>
          <w:szCs w:val="24"/>
        </w:rPr>
        <w:t>following</w:t>
      </w:r>
      <w:r w:rsidRPr="0065500C">
        <w:rPr>
          <w:spacing w:val="-14"/>
          <w:w w:val="105"/>
          <w:sz w:val="24"/>
          <w:szCs w:val="24"/>
        </w:rPr>
        <w:t xml:space="preserve"> </w:t>
      </w:r>
      <w:r w:rsidRPr="0065500C">
        <w:rPr>
          <w:w w:val="105"/>
          <w:sz w:val="24"/>
          <w:szCs w:val="24"/>
        </w:rPr>
        <w:t>brief</w:t>
      </w:r>
      <w:r w:rsidRPr="0065500C">
        <w:rPr>
          <w:spacing w:val="-14"/>
          <w:w w:val="105"/>
          <w:sz w:val="24"/>
          <w:szCs w:val="24"/>
        </w:rPr>
        <w:t xml:space="preserve"> </w:t>
      </w:r>
      <w:r w:rsidRPr="0065500C">
        <w:rPr>
          <w:w w:val="105"/>
          <w:sz w:val="24"/>
          <w:szCs w:val="24"/>
        </w:rPr>
        <w:t>dose</w:t>
      </w:r>
      <w:r w:rsidRPr="0065500C">
        <w:rPr>
          <w:spacing w:val="-14"/>
          <w:w w:val="105"/>
          <w:sz w:val="24"/>
          <w:szCs w:val="24"/>
        </w:rPr>
        <w:t xml:space="preserve"> </w:t>
      </w:r>
      <w:r w:rsidRPr="0065500C">
        <w:rPr>
          <w:w w:val="105"/>
          <w:sz w:val="24"/>
          <w:szCs w:val="24"/>
        </w:rPr>
        <w:t>interruptions</w:t>
      </w:r>
      <w:r w:rsidRPr="0065500C">
        <w:rPr>
          <w:spacing w:val="-14"/>
          <w:w w:val="105"/>
          <w:sz w:val="24"/>
          <w:szCs w:val="24"/>
        </w:rPr>
        <w:t xml:space="preserve"> </w:t>
      </w:r>
      <w:r w:rsidRPr="0065500C">
        <w:rPr>
          <w:w w:val="105"/>
          <w:sz w:val="24"/>
          <w:szCs w:val="24"/>
        </w:rPr>
        <w:t>and/or reductions</w:t>
      </w:r>
      <w:r w:rsidRPr="0065500C">
        <w:rPr>
          <w:spacing w:val="-12"/>
          <w:w w:val="105"/>
          <w:sz w:val="24"/>
          <w:szCs w:val="24"/>
        </w:rPr>
        <w:t xml:space="preserve"> </w:t>
      </w:r>
      <w:r w:rsidRPr="0065500C">
        <w:rPr>
          <w:w w:val="105"/>
          <w:sz w:val="24"/>
          <w:szCs w:val="24"/>
        </w:rPr>
        <w:t>and</w:t>
      </w:r>
      <w:r w:rsidRPr="0065500C">
        <w:rPr>
          <w:spacing w:val="-12"/>
          <w:w w:val="105"/>
          <w:sz w:val="24"/>
          <w:szCs w:val="24"/>
        </w:rPr>
        <w:t xml:space="preserve"> </w:t>
      </w:r>
      <w:r w:rsidRPr="0065500C">
        <w:rPr>
          <w:w w:val="105"/>
          <w:sz w:val="24"/>
          <w:szCs w:val="24"/>
        </w:rPr>
        <w:t>permanent</w:t>
      </w:r>
      <w:r w:rsidRPr="0065500C">
        <w:rPr>
          <w:spacing w:val="-12"/>
          <w:w w:val="105"/>
          <w:sz w:val="24"/>
          <w:szCs w:val="24"/>
        </w:rPr>
        <w:t xml:space="preserve"> </w:t>
      </w:r>
      <w:r w:rsidRPr="0065500C">
        <w:rPr>
          <w:w w:val="105"/>
          <w:sz w:val="24"/>
          <w:szCs w:val="24"/>
        </w:rPr>
        <w:t>discontinuation</w:t>
      </w:r>
      <w:r w:rsidRPr="0065500C">
        <w:rPr>
          <w:spacing w:val="-12"/>
          <w:w w:val="105"/>
          <w:sz w:val="24"/>
          <w:szCs w:val="24"/>
        </w:rPr>
        <w:t xml:space="preserve"> </w:t>
      </w:r>
      <w:r w:rsidRPr="0065500C">
        <w:rPr>
          <w:w w:val="105"/>
          <w:sz w:val="24"/>
          <w:szCs w:val="24"/>
        </w:rPr>
        <w:t>of</w:t>
      </w:r>
      <w:r w:rsidRPr="0065500C">
        <w:rPr>
          <w:spacing w:val="-12"/>
          <w:w w:val="105"/>
          <w:sz w:val="24"/>
          <w:szCs w:val="24"/>
        </w:rPr>
        <w:t xml:space="preserve"> </w:t>
      </w:r>
      <w:r w:rsidRPr="0065500C">
        <w:rPr>
          <w:w w:val="105"/>
          <w:sz w:val="24"/>
          <w:szCs w:val="24"/>
        </w:rPr>
        <w:t>treatment</w:t>
      </w:r>
      <w:r w:rsidRPr="0065500C">
        <w:rPr>
          <w:spacing w:val="-12"/>
          <w:w w:val="105"/>
          <w:sz w:val="24"/>
          <w:szCs w:val="24"/>
        </w:rPr>
        <w:t xml:space="preserve"> </w:t>
      </w:r>
      <w:r w:rsidRPr="0065500C">
        <w:rPr>
          <w:w w:val="105"/>
          <w:sz w:val="24"/>
          <w:szCs w:val="24"/>
        </w:rPr>
        <w:t>occurred</w:t>
      </w:r>
      <w:r w:rsidRPr="0065500C">
        <w:rPr>
          <w:spacing w:val="-12"/>
          <w:w w:val="105"/>
          <w:sz w:val="24"/>
          <w:szCs w:val="24"/>
        </w:rPr>
        <w:t xml:space="preserve"> </w:t>
      </w:r>
      <w:r w:rsidRPr="0065500C">
        <w:rPr>
          <w:w w:val="105"/>
          <w:sz w:val="24"/>
          <w:szCs w:val="24"/>
        </w:rPr>
        <w:t>in</w:t>
      </w:r>
      <w:r w:rsidRPr="0065500C">
        <w:rPr>
          <w:spacing w:val="-12"/>
          <w:w w:val="105"/>
          <w:sz w:val="24"/>
          <w:szCs w:val="24"/>
        </w:rPr>
        <w:t xml:space="preserve"> </w:t>
      </w:r>
      <w:r w:rsidRPr="0065500C">
        <w:rPr>
          <w:w w:val="105"/>
          <w:sz w:val="24"/>
          <w:szCs w:val="24"/>
        </w:rPr>
        <w:t>1.6%</w:t>
      </w:r>
      <w:r w:rsidRPr="0065500C">
        <w:rPr>
          <w:spacing w:val="-13"/>
          <w:w w:val="105"/>
          <w:sz w:val="24"/>
          <w:szCs w:val="24"/>
        </w:rPr>
        <w:t xml:space="preserve"> </w:t>
      </w:r>
      <w:r w:rsidRPr="0065500C">
        <w:rPr>
          <w:w w:val="105"/>
          <w:sz w:val="24"/>
          <w:szCs w:val="24"/>
        </w:rPr>
        <w:t>of</w:t>
      </w:r>
      <w:r w:rsidRPr="0065500C">
        <w:rPr>
          <w:spacing w:val="-11"/>
          <w:w w:val="105"/>
          <w:sz w:val="24"/>
          <w:szCs w:val="24"/>
        </w:rPr>
        <w:t xml:space="preserve"> </w:t>
      </w:r>
      <w:r w:rsidRPr="0065500C">
        <w:rPr>
          <w:w w:val="105"/>
          <w:sz w:val="24"/>
          <w:szCs w:val="24"/>
        </w:rPr>
        <w:t>patients</w:t>
      </w:r>
      <w:r w:rsidRPr="0065500C">
        <w:rPr>
          <w:spacing w:val="-12"/>
          <w:w w:val="105"/>
          <w:sz w:val="24"/>
          <w:szCs w:val="24"/>
        </w:rPr>
        <w:t xml:space="preserve"> </w:t>
      </w:r>
      <w:r w:rsidRPr="0065500C">
        <w:rPr>
          <w:w w:val="105"/>
          <w:sz w:val="24"/>
          <w:szCs w:val="24"/>
        </w:rPr>
        <w:t>after</w:t>
      </w:r>
      <w:r w:rsidRPr="0065500C">
        <w:rPr>
          <w:spacing w:val="-12"/>
          <w:w w:val="105"/>
          <w:sz w:val="24"/>
          <w:szCs w:val="24"/>
        </w:rPr>
        <w:t xml:space="preserve"> </w:t>
      </w:r>
      <w:r w:rsidRPr="0065500C">
        <w:rPr>
          <w:w w:val="105"/>
          <w:sz w:val="24"/>
          <w:szCs w:val="24"/>
        </w:rPr>
        <w:t>a</w:t>
      </w:r>
      <w:r w:rsidRPr="0065500C">
        <w:rPr>
          <w:spacing w:val="-11"/>
          <w:w w:val="105"/>
          <w:sz w:val="24"/>
          <w:szCs w:val="24"/>
        </w:rPr>
        <w:t xml:space="preserve"> </w:t>
      </w:r>
      <w:r w:rsidRPr="0065500C">
        <w:rPr>
          <w:w w:val="105"/>
          <w:sz w:val="24"/>
          <w:szCs w:val="24"/>
        </w:rPr>
        <w:t>minimum of</w:t>
      </w:r>
      <w:r w:rsidRPr="0065500C">
        <w:rPr>
          <w:spacing w:val="-11"/>
          <w:w w:val="105"/>
          <w:sz w:val="24"/>
          <w:szCs w:val="24"/>
        </w:rPr>
        <w:t xml:space="preserve"> </w:t>
      </w:r>
      <w:r w:rsidRPr="0065500C">
        <w:rPr>
          <w:w w:val="105"/>
          <w:sz w:val="24"/>
          <w:szCs w:val="24"/>
        </w:rPr>
        <w:t>12</w:t>
      </w:r>
      <w:r w:rsidRPr="0065500C">
        <w:rPr>
          <w:spacing w:val="-10"/>
          <w:w w:val="105"/>
          <w:sz w:val="24"/>
          <w:szCs w:val="24"/>
        </w:rPr>
        <w:t xml:space="preserve"> </w:t>
      </w:r>
      <w:r w:rsidRPr="0065500C">
        <w:rPr>
          <w:w w:val="105"/>
          <w:sz w:val="24"/>
          <w:szCs w:val="24"/>
        </w:rPr>
        <w:t>months</w:t>
      </w:r>
      <w:r w:rsidRPr="0065500C">
        <w:rPr>
          <w:spacing w:val="-11"/>
          <w:w w:val="105"/>
          <w:sz w:val="24"/>
          <w:szCs w:val="24"/>
        </w:rPr>
        <w:t xml:space="preserve"> </w:t>
      </w:r>
      <w:r w:rsidRPr="0065500C">
        <w:rPr>
          <w:w w:val="105"/>
          <w:sz w:val="24"/>
          <w:szCs w:val="24"/>
        </w:rPr>
        <w:t>follow-up.</w:t>
      </w:r>
      <w:r w:rsidRPr="0065500C">
        <w:rPr>
          <w:spacing w:val="-10"/>
          <w:w w:val="105"/>
          <w:sz w:val="24"/>
          <w:szCs w:val="24"/>
        </w:rPr>
        <w:t xml:space="preserve"> </w:t>
      </w:r>
      <w:r w:rsidRPr="0065500C">
        <w:rPr>
          <w:w w:val="105"/>
          <w:sz w:val="24"/>
          <w:szCs w:val="24"/>
        </w:rPr>
        <w:t>After</w:t>
      </w:r>
      <w:r w:rsidRPr="0065500C">
        <w:rPr>
          <w:spacing w:val="-11"/>
          <w:w w:val="105"/>
          <w:sz w:val="24"/>
          <w:szCs w:val="24"/>
        </w:rPr>
        <w:t xml:space="preserve"> </w:t>
      </w:r>
      <w:r w:rsidRPr="0065500C">
        <w:rPr>
          <w:w w:val="105"/>
          <w:sz w:val="24"/>
          <w:szCs w:val="24"/>
        </w:rPr>
        <w:t>a</w:t>
      </w:r>
      <w:r w:rsidRPr="0065500C">
        <w:rPr>
          <w:spacing w:val="-10"/>
          <w:w w:val="105"/>
          <w:sz w:val="24"/>
          <w:szCs w:val="24"/>
        </w:rPr>
        <w:t xml:space="preserve"> </w:t>
      </w:r>
      <w:r w:rsidRPr="0065500C">
        <w:rPr>
          <w:w w:val="105"/>
          <w:sz w:val="24"/>
          <w:szCs w:val="24"/>
        </w:rPr>
        <w:t>minimum</w:t>
      </w:r>
      <w:r w:rsidRPr="0065500C">
        <w:rPr>
          <w:spacing w:val="-10"/>
          <w:w w:val="105"/>
          <w:sz w:val="24"/>
          <w:szCs w:val="24"/>
        </w:rPr>
        <w:t xml:space="preserve"> </w:t>
      </w:r>
      <w:r w:rsidRPr="0065500C">
        <w:rPr>
          <w:w w:val="105"/>
          <w:sz w:val="24"/>
          <w:szCs w:val="24"/>
        </w:rPr>
        <w:t>of</w:t>
      </w:r>
      <w:r w:rsidRPr="0065500C">
        <w:rPr>
          <w:spacing w:val="-10"/>
          <w:w w:val="105"/>
          <w:sz w:val="24"/>
          <w:szCs w:val="24"/>
        </w:rPr>
        <w:t xml:space="preserve"> </w:t>
      </w:r>
      <w:r w:rsidRPr="0065500C">
        <w:rPr>
          <w:w w:val="105"/>
          <w:sz w:val="24"/>
          <w:szCs w:val="24"/>
        </w:rPr>
        <w:t>60</w:t>
      </w:r>
      <w:r w:rsidRPr="0065500C">
        <w:rPr>
          <w:spacing w:val="-9"/>
          <w:w w:val="105"/>
          <w:sz w:val="24"/>
          <w:szCs w:val="24"/>
        </w:rPr>
        <w:t xml:space="preserve"> </w:t>
      </w:r>
      <w:r w:rsidRPr="0065500C">
        <w:rPr>
          <w:w w:val="105"/>
          <w:sz w:val="24"/>
          <w:szCs w:val="24"/>
        </w:rPr>
        <w:t>months</w:t>
      </w:r>
      <w:r w:rsidRPr="0065500C">
        <w:rPr>
          <w:spacing w:val="-11"/>
          <w:w w:val="105"/>
          <w:sz w:val="24"/>
          <w:szCs w:val="24"/>
        </w:rPr>
        <w:t xml:space="preserve"> </w:t>
      </w:r>
      <w:r w:rsidRPr="0065500C">
        <w:rPr>
          <w:w w:val="105"/>
          <w:sz w:val="24"/>
          <w:szCs w:val="24"/>
        </w:rPr>
        <w:t>follow-up</w:t>
      </w:r>
      <w:r w:rsidRPr="0065500C">
        <w:rPr>
          <w:spacing w:val="-11"/>
          <w:w w:val="105"/>
          <w:sz w:val="24"/>
          <w:szCs w:val="24"/>
        </w:rPr>
        <w:t xml:space="preserve"> </w:t>
      </w:r>
      <w:r w:rsidRPr="0065500C">
        <w:rPr>
          <w:w w:val="105"/>
          <w:sz w:val="24"/>
          <w:szCs w:val="24"/>
        </w:rPr>
        <w:t>the</w:t>
      </w:r>
      <w:r w:rsidRPr="0065500C">
        <w:rPr>
          <w:spacing w:val="-10"/>
          <w:w w:val="105"/>
          <w:sz w:val="24"/>
          <w:szCs w:val="24"/>
        </w:rPr>
        <w:t xml:space="preserve"> </w:t>
      </w:r>
      <w:r w:rsidRPr="0065500C">
        <w:rPr>
          <w:w w:val="105"/>
          <w:sz w:val="24"/>
          <w:szCs w:val="24"/>
        </w:rPr>
        <w:t>cumulative</w:t>
      </w:r>
      <w:r w:rsidRPr="0065500C">
        <w:rPr>
          <w:spacing w:val="-10"/>
          <w:w w:val="105"/>
          <w:sz w:val="24"/>
          <w:szCs w:val="24"/>
        </w:rPr>
        <w:t xml:space="preserve"> </w:t>
      </w:r>
      <w:r w:rsidRPr="0065500C">
        <w:rPr>
          <w:w w:val="105"/>
          <w:sz w:val="24"/>
          <w:szCs w:val="24"/>
        </w:rPr>
        <w:t>rate</w:t>
      </w:r>
      <w:r w:rsidRPr="0065500C">
        <w:rPr>
          <w:spacing w:val="-10"/>
          <w:w w:val="105"/>
          <w:sz w:val="24"/>
          <w:szCs w:val="24"/>
        </w:rPr>
        <w:t xml:space="preserve"> </w:t>
      </w:r>
      <w:r w:rsidRPr="0065500C">
        <w:rPr>
          <w:w w:val="105"/>
          <w:sz w:val="24"/>
          <w:szCs w:val="24"/>
        </w:rPr>
        <w:t>of</w:t>
      </w:r>
      <w:r w:rsidRPr="0065500C">
        <w:rPr>
          <w:spacing w:val="-9"/>
          <w:w w:val="105"/>
          <w:sz w:val="24"/>
          <w:szCs w:val="24"/>
        </w:rPr>
        <w:t xml:space="preserve"> </w:t>
      </w:r>
      <w:r w:rsidRPr="0065500C">
        <w:rPr>
          <w:w w:val="105"/>
          <w:sz w:val="24"/>
          <w:szCs w:val="24"/>
        </w:rPr>
        <w:t>permanent discontinuation</w:t>
      </w:r>
      <w:r w:rsidRPr="0065500C">
        <w:rPr>
          <w:spacing w:val="-13"/>
          <w:w w:val="105"/>
          <w:sz w:val="24"/>
          <w:szCs w:val="24"/>
        </w:rPr>
        <w:t xml:space="preserve"> </w:t>
      </w:r>
      <w:r w:rsidRPr="0065500C">
        <w:rPr>
          <w:w w:val="105"/>
          <w:sz w:val="24"/>
          <w:szCs w:val="24"/>
        </w:rPr>
        <w:t>due</w:t>
      </w:r>
      <w:r w:rsidRPr="0065500C">
        <w:rPr>
          <w:spacing w:val="-14"/>
          <w:w w:val="105"/>
          <w:sz w:val="24"/>
          <w:szCs w:val="24"/>
        </w:rPr>
        <w:t xml:space="preserve"> </w:t>
      </w:r>
      <w:r w:rsidRPr="0065500C">
        <w:rPr>
          <w:w w:val="105"/>
          <w:sz w:val="24"/>
          <w:szCs w:val="24"/>
        </w:rPr>
        <w:t>to</w:t>
      </w:r>
      <w:r w:rsidRPr="0065500C">
        <w:rPr>
          <w:spacing w:val="-13"/>
          <w:w w:val="105"/>
          <w:sz w:val="24"/>
          <w:szCs w:val="24"/>
        </w:rPr>
        <w:t xml:space="preserve"> </w:t>
      </w:r>
      <w:r w:rsidRPr="0065500C">
        <w:rPr>
          <w:w w:val="105"/>
          <w:sz w:val="24"/>
          <w:szCs w:val="24"/>
        </w:rPr>
        <w:t>grade</w:t>
      </w:r>
      <w:r w:rsidRPr="0065500C">
        <w:rPr>
          <w:spacing w:val="-13"/>
          <w:w w:val="105"/>
          <w:sz w:val="24"/>
          <w:szCs w:val="24"/>
        </w:rPr>
        <w:t xml:space="preserve"> </w:t>
      </w:r>
      <w:r w:rsidRPr="0065500C">
        <w:rPr>
          <w:w w:val="105"/>
          <w:sz w:val="24"/>
          <w:szCs w:val="24"/>
        </w:rPr>
        <w:t>3</w:t>
      </w:r>
      <w:r w:rsidRPr="0065500C">
        <w:rPr>
          <w:spacing w:val="-14"/>
          <w:w w:val="105"/>
          <w:sz w:val="24"/>
          <w:szCs w:val="24"/>
        </w:rPr>
        <w:t xml:space="preserve"> </w:t>
      </w:r>
      <w:r w:rsidRPr="0065500C">
        <w:rPr>
          <w:w w:val="105"/>
          <w:sz w:val="24"/>
          <w:szCs w:val="24"/>
        </w:rPr>
        <w:t>or</w:t>
      </w:r>
      <w:r w:rsidRPr="0065500C">
        <w:rPr>
          <w:spacing w:val="-13"/>
          <w:w w:val="105"/>
          <w:sz w:val="24"/>
          <w:szCs w:val="24"/>
        </w:rPr>
        <w:t xml:space="preserve"> </w:t>
      </w:r>
      <w:r w:rsidRPr="0065500C">
        <w:rPr>
          <w:w w:val="105"/>
          <w:sz w:val="24"/>
          <w:szCs w:val="24"/>
        </w:rPr>
        <w:t>4</w:t>
      </w:r>
      <w:r w:rsidRPr="0065500C">
        <w:rPr>
          <w:spacing w:val="-13"/>
          <w:w w:val="105"/>
          <w:sz w:val="24"/>
          <w:szCs w:val="24"/>
        </w:rPr>
        <w:t xml:space="preserve"> </w:t>
      </w:r>
      <w:r w:rsidRPr="0065500C">
        <w:rPr>
          <w:w w:val="105"/>
          <w:sz w:val="24"/>
          <w:szCs w:val="24"/>
        </w:rPr>
        <w:t>myelosuppression</w:t>
      </w:r>
      <w:r w:rsidRPr="0065500C">
        <w:rPr>
          <w:spacing w:val="-13"/>
          <w:w w:val="105"/>
          <w:sz w:val="24"/>
          <w:szCs w:val="24"/>
        </w:rPr>
        <w:t xml:space="preserve"> </w:t>
      </w:r>
      <w:r w:rsidRPr="0065500C">
        <w:rPr>
          <w:w w:val="105"/>
          <w:sz w:val="24"/>
          <w:szCs w:val="24"/>
        </w:rPr>
        <w:t>was</w:t>
      </w:r>
      <w:r w:rsidRPr="0065500C">
        <w:rPr>
          <w:spacing w:val="-14"/>
          <w:w w:val="105"/>
          <w:sz w:val="24"/>
          <w:szCs w:val="24"/>
        </w:rPr>
        <w:t xml:space="preserve"> </w:t>
      </w:r>
      <w:r w:rsidRPr="0065500C">
        <w:rPr>
          <w:w w:val="105"/>
          <w:sz w:val="24"/>
          <w:szCs w:val="24"/>
        </w:rPr>
        <w:t>2.3%.</w:t>
      </w:r>
    </w:p>
    <w:p w:rsidR="000E0BC4" w:rsidRPr="0065500C" w:rsidRDefault="000E0BC4" w:rsidP="0065500C">
      <w:pPr>
        <w:pStyle w:val="Brdtekst"/>
        <w:ind w:left="851" w:right="130"/>
        <w:rPr>
          <w:sz w:val="24"/>
          <w:szCs w:val="24"/>
        </w:rPr>
      </w:pPr>
    </w:p>
    <w:p w:rsidR="000E0BC4" w:rsidRPr="0065500C" w:rsidRDefault="000E0BC4" w:rsidP="0065500C">
      <w:pPr>
        <w:pStyle w:val="Brdtekst"/>
        <w:ind w:left="851" w:right="130"/>
        <w:rPr>
          <w:sz w:val="24"/>
          <w:szCs w:val="24"/>
        </w:rPr>
      </w:pPr>
      <w:r w:rsidRPr="0065500C">
        <w:rPr>
          <w:w w:val="105"/>
          <w:sz w:val="24"/>
          <w:szCs w:val="24"/>
        </w:rPr>
        <w:t>In patients with CML with resistance or intolerance to prior imatinib therapy, cytopaenias (thrombocytopaenia,</w:t>
      </w:r>
      <w:r w:rsidRPr="0065500C">
        <w:rPr>
          <w:spacing w:val="-16"/>
          <w:w w:val="105"/>
          <w:sz w:val="24"/>
          <w:szCs w:val="24"/>
        </w:rPr>
        <w:t xml:space="preserve"> </w:t>
      </w:r>
      <w:r w:rsidRPr="0065500C">
        <w:rPr>
          <w:w w:val="105"/>
          <w:sz w:val="24"/>
          <w:szCs w:val="24"/>
        </w:rPr>
        <w:t>neutropaenia,</w:t>
      </w:r>
      <w:r w:rsidRPr="0065500C">
        <w:rPr>
          <w:spacing w:val="-16"/>
          <w:w w:val="105"/>
          <w:sz w:val="24"/>
          <w:szCs w:val="24"/>
        </w:rPr>
        <w:t xml:space="preserve"> </w:t>
      </w:r>
      <w:r w:rsidRPr="0065500C">
        <w:rPr>
          <w:w w:val="105"/>
          <w:sz w:val="24"/>
          <w:szCs w:val="24"/>
        </w:rPr>
        <w:t>and</w:t>
      </w:r>
      <w:r w:rsidRPr="0065500C">
        <w:rPr>
          <w:spacing w:val="-16"/>
          <w:w w:val="105"/>
          <w:sz w:val="24"/>
          <w:szCs w:val="24"/>
        </w:rPr>
        <w:t xml:space="preserve"> </w:t>
      </w:r>
      <w:r w:rsidRPr="0065500C">
        <w:rPr>
          <w:w w:val="105"/>
          <w:sz w:val="24"/>
          <w:szCs w:val="24"/>
        </w:rPr>
        <w:t>anaemia)</w:t>
      </w:r>
      <w:r w:rsidRPr="0065500C">
        <w:rPr>
          <w:spacing w:val="-17"/>
          <w:w w:val="105"/>
          <w:sz w:val="24"/>
          <w:szCs w:val="24"/>
        </w:rPr>
        <w:t xml:space="preserve"> </w:t>
      </w:r>
      <w:r w:rsidRPr="0065500C">
        <w:rPr>
          <w:w w:val="105"/>
          <w:sz w:val="24"/>
          <w:szCs w:val="24"/>
        </w:rPr>
        <w:t>were</w:t>
      </w:r>
      <w:r w:rsidRPr="0065500C">
        <w:rPr>
          <w:spacing w:val="-17"/>
          <w:w w:val="105"/>
          <w:sz w:val="24"/>
          <w:szCs w:val="24"/>
        </w:rPr>
        <w:t xml:space="preserve"> </w:t>
      </w:r>
      <w:r w:rsidRPr="0065500C">
        <w:rPr>
          <w:w w:val="105"/>
          <w:sz w:val="24"/>
          <w:szCs w:val="24"/>
        </w:rPr>
        <w:t>a</w:t>
      </w:r>
      <w:r w:rsidRPr="0065500C">
        <w:rPr>
          <w:spacing w:val="-17"/>
          <w:w w:val="105"/>
          <w:sz w:val="24"/>
          <w:szCs w:val="24"/>
        </w:rPr>
        <w:t xml:space="preserve"> </w:t>
      </w:r>
      <w:r w:rsidRPr="0065500C">
        <w:rPr>
          <w:w w:val="105"/>
          <w:sz w:val="24"/>
          <w:szCs w:val="24"/>
        </w:rPr>
        <w:t>consistent</w:t>
      </w:r>
      <w:r w:rsidRPr="0065500C">
        <w:rPr>
          <w:spacing w:val="-14"/>
          <w:w w:val="105"/>
          <w:sz w:val="24"/>
          <w:szCs w:val="24"/>
        </w:rPr>
        <w:t xml:space="preserve"> </w:t>
      </w:r>
      <w:r w:rsidRPr="0065500C">
        <w:rPr>
          <w:w w:val="105"/>
          <w:sz w:val="24"/>
          <w:szCs w:val="24"/>
        </w:rPr>
        <w:t>finding.</w:t>
      </w:r>
      <w:r w:rsidRPr="0065500C">
        <w:rPr>
          <w:spacing w:val="-16"/>
          <w:w w:val="105"/>
          <w:sz w:val="24"/>
          <w:szCs w:val="24"/>
        </w:rPr>
        <w:t xml:space="preserve"> </w:t>
      </w:r>
      <w:r w:rsidRPr="0065500C">
        <w:rPr>
          <w:w w:val="105"/>
          <w:sz w:val="24"/>
          <w:szCs w:val="24"/>
        </w:rPr>
        <w:t>However,</w:t>
      </w:r>
      <w:r w:rsidRPr="0065500C">
        <w:rPr>
          <w:spacing w:val="-16"/>
          <w:w w:val="105"/>
          <w:sz w:val="24"/>
          <w:szCs w:val="24"/>
        </w:rPr>
        <w:t xml:space="preserve"> </w:t>
      </w:r>
      <w:r w:rsidRPr="0065500C">
        <w:rPr>
          <w:w w:val="105"/>
          <w:sz w:val="24"/>
          <w:szCs w:val="24"/>
        </w:rPr>
        <w:t>the</w:t>
      </w:r>
      <w:r w:rsidRPr="0065500C">
        <w:rPr>
          <w:spacing w:val="-15"/>
          <w:w w:val="105"/>
          <w:sz w:val="24"/>
          <w:szCs w:val="24"/>
        </w:rPr>
        <w:t xml:space="preserve"> </w:t>
      </w:r>
      <w:r w:rsidRPr="0065500C">
        <w:rPr>
          <w:w w:val="105"/>
          <w:sz w:val="24"/>
          <w:szCs w:val="24"/>
        </w:rPr>
        <w:t>occurrence of</w:t>
      </w:r>
      <w:r w:rsidRPr="0065500C">
        <w:rPr>
          <w:spacing w:val="-12"/>
          <w:w w:val="105"/>
          <w:sz w:val="24"/>
          <w:szCs w:val="24"/>
        </w:rPr>
        <w:t xml:space="preserve"> </w:t>
      </w:r>
      <w:r w:rsidRPr="0065500C">
        <w:rPr>
          <w:w w:val="105"/>
          <w:sz w:val="24"/>
          <w:szCs w:val="24"/>
        </w:rPr>
        <w:t>cytopaenias</w:t>
      </w:r>
      <w:r w:rsidRPr="0065500C">
        <w:rPr>
          <w:spacing w:val="-11"/>
          <w:w w:val="105"/>
          <w:sz w:val="24"/>
          <w:szCs w:val="24"/>
        </w:rPr>
        <w:t xml:space="preserve"> </w:t>
      </w:r>
      <w:r w:rsidRPr="0065500C">
        <w:rPr>
          <w:w w:val="105"/>
          <w:sz w:val="24"/>
          <w:szCs w:val="24"/>
        </w:rPr>
        <w:t>was</w:t>
      </w:r>
      <w:r w:rsidRPr="0065500C">
        <w:rPr>
          <w:spacing w:val="-12"/>
          <w:w w:val="105"/>
          <w:sz w:val="24"/>
          <w:szCs w:val="24"/>
        </w:rPr>
        <w:t xml:space="preserve"> </w:t>
      </w:r>
      <w:r w:rsidRPr="0065500C">
        <w:rPr>
          <w:w w:val="105"/>
          <w:sz w:val="24"/>
          <w:szCs w:val="24"/>
        </w:rPr>
        <w:t>also</w:t>
      </w:r>
      <w:r w:rsidRPr="0065500C">
        <w:rPr>
          <w:spacing w:val="-10"/>
          <w:w w:val="105"/>
          <w:sz w:val="24"/>
          <w:szCs w:val="24"/>
        </w:rPr>
        <w:t xml:space="preserve"> </w:t>
      </w:r>
      <w:r w:rsidRPr="0065500C">
        <w:rPr>
          <w:w w:val="105"/>
          <w:sz w:val="24"/>
          <w:szCs w:val="24"/>
        </w:rPr>
        <w:t>clearly</w:t>
      </w:r>
      <w:r w:rsidRPr="0065500C">
        <w:rPr>
          <w:spacing w:val="-9"/>
          <w:w w:val="105"/>
          <w:sz w:val="24"/>
          <w:szCs w:val="24"/>
        </w:rPr>
        <w:t xml:space="preserve"> </w:t>
      </w:r>
      <w:r w:rsidRPr="0065500C">
        <w:rPr>
          <w:w w:val="105"/>
          <w:sz w:val="24"/>
          <w:szCs w:val="24"/>
        </w:rPr>
        <w:t>dependent</w:t>
      </w:r>
      <w:r w:rsidRPr="0065500C">
        <w:rPr>
          <w:spacing w:val="-11"/>
          <w:w w:val="105"/>
          <w:sz w:val="24"/>
          <w:szCs w:val="24"/>
        </w:rPr>
        <w:t xml:space="preserve"> </w:t>
      </w:r>
      <w:r w:rsidRPr="0065500C">
        <w:rPr>
          <w:w w:val="105"/>
          <w:sz w:val="24"/>
          <w:szCs w:val="24"/>
        </w:rPr>
        <w:t>on</w:t>
      </w:r>
      <w:r w:rsidRPr="0065500C">
        <w:rPr>
          <w:spacing w:val="-11"/>
          <w:w w:val="105"/>
          <w:sz w:val="24"/>
          <w:szCs w:val="24"/>
        </w:rPr>
        <w:t xml:space="preserve"> </w:t>
      </w:r>
      <w:r w:rsidRPr="0065500C">
        <w:rPr>
          <w:w w:val="105"/>
          <w:sz w:val="24"/>
          <w:szCs w:val="24"/>
        </w:rPr>
        <w:t>the</w:t>
      </w:r>
      <w:r w:rsidRPr="0065500C">
        <w:rPr>
          <w:spacing w:val="-11"/>
          <w:w w:val="105"/>
          <w:sz w:val="24"/>
          <w:szCs w:val="24"/>
        </w:rPr>
        <w:t xml:space="preserve"> </w:t>
      </w:r>
      <w:r w:rsidRPr="0065500C">
        <w:rPr>
          <w:w w:val="105"/>
          <w:sz w:val="24"/>
          <w:szCs w:val="24"/>
        </w:rPr>
        <w:t>stage</w:t>
      </w:r>
      <w:r w:rsidRPr="0065500C">
        <w:rPr>
          <w:spacing w:val="-11"/>
          <w:w w:val="105"/>
          <w:sz w:val="24"/>
          <w:szCs w:val="24"/>
        </w:rPr>
        <w:t xml:space="preserve"> </w:t>
      </w:r>
      <w:r w:rsidRPr="0065500C">
        <w:rPr>
          <w:w w:val="105"/>
          <w:sz w:val="24"/>
          <w:szCs w:val="24"/>
        </w:rPr>
        <w:t>of</w:t>
      </w:r>
      <w:r w:rsidRPr="0065500C">
        <w:rPr>
          <w:spacing w:val="-11"/>
          <w:w w:val="105"/>
          <w:sz w:val="24"/>
          <w:szCs w:val="24"/>
        </w:rPr>
        <w:t xml:space="preserve"> </w:t>
      </w:r>
      <w:r w:rsidRPr="0065500C">
        <w:rPr>
          <w:w w:val="105"/>
          <w:sz w:val="24"/>
          <w:szCs w:val="24"/>
        </w:rPr>
        <w:t>the</w:t>
      </w:r>
      <w:r w:rsidRPr="0065500C">
        <w:rPr>
          <w:spacing w:val="-11"/>
          <w:w w:val="105"/>
          <w:sz w:val="24"/>
          <w:szCs w:val="24"/>
        </w:rPr>
        <w:t xml:space="preserve"> </w:t>
      </w:r>
      <w:r w:rsidRPr="0065500C">
        <w:rPr>
          <w:w w:val="105"/>
          <w:sz w:val="24"/>
          <w:szCs w:val="24"/>
        </w:rPr>
        <w:t>disease.</w:t>
      </w:r>
      <w:r w:rsidRPr="0065500C">
        <w:rPr>
          <w:spacing w:val="-12"/>
          <w:w w:val="105"/>
          <w:sz w:val="24"/>
          <w:szCs w:val="24"/>
        </w:rPr>
        <w:t xml:space="preserve"> </w:t>
      </w:r>
      <w:r w:rsidRPr="0065500C">
        <w:rPr>
          <w:w w:val="105"/>
          <w:sz w:val="24"/>
          <w:szCs w:val="24"/>
        </w:rPr>
        <w:t>The</w:t>
      </w:r>
      <w:r w:rsidRPr="0065500C">
        <w:rPr>
          <w:spacing w:val="-11"/>
          <w:w w:val="105"/>
          <w:sz w:val="24"/>
          <w:szCs w:val="24"/>
        </w:rPr>
        <w:t xml:space="preserve"> </w:t>
      </w:r>
      <w:r w:rsidRPr="0065500C">
        <w:rPr>
          <w:w w:val="105"/>
          <w:sz w:val="24"/>
          <w:szCs w:val="24"/>
        </w:rPr>
        <w:t>frequency</w:t>
      </w:r>
      <w:r w:rsidRPr="0065500C">
        <w:rPr>
          <w:spacing w:val="-10"/>
          <w:w w:val="105"/>
          <w:sz w:val="24"/>
          <w:szCs w:val="24"/>
        </w:rPr>
        <w:t xml:space="preserve"> </w:t>
      </w:r>
      <w:r w:rsidRPr="0065500C">
        <w:rPr>
          <w:w w:val="105"/>
          <w:sz w:val="24"/>
          <w:szCs w:val="24"/>
        </w:rPr>
        <w:t>of</w:t>
      </w:r>
      <w:r w:rsidR="0026246B">
        <w:rPr>
          <w:w w:val="105"/>
          <w:sz w:val="24"/>
          <w:szCs w:val="24"/>
        </w:rPr>
        <w:t xml:space="preserve"> </w:t>
      </w:r>
      <w:r w:rsidRPr="0065500C">
        <w:rPr>
          <w:w w:val="105"/>
          <w:sz w:val="24"/>
          <w:szCs w:val="24"/>
        </w:rPr>
        <w:t>grade 3 and 4 haematological abnormalities is presented in Table 8.</w:t>
      </w:r>
    </w:p>
    <w:p w:rsidR="000E0BC4" w:rsidRPr="00D2165A" w:rsidRDefault="000E0BC4" w:rsidP="000E0BC4">
      <w:pPr>
        <w:pStyle w:val="Brdtekst"/>
        <w:rPr>
          <w:sz w:val="22"/>
        </w:rPr>
      </w:pPr>
    </w:p>
    <w:p w:rsidR="000E0BC4" w:rsidRPr="00D2165A" w:rsidRDefault="000E0BC4" w:rsidP="000E0BC4">
      <w:pPr>
        <w:pStyle w:val="Overskrift1"/>
        <w:tabs>
          <w:tab w:val="left" w:pos="1393"/>
        </w:tabs>
        <w:spacing w:after="6" w:line="232" w:lineRule="auto"/>
        <w:ind w:left="1394" w:right="623" w:hanging="1380"/>
        <w:rPr>
          <w:sz w:val="14"/>
        </w:rPr>
      </w:pPr>
      <w:r w:rsidRPr="00D2165A">
        <w:t>Table</w:t>
      </w:r>
      <w:r w:rsidRPr="00D2165A">
        <w:rPr>
          <w:spacing w:val="-1"/>
        </w:rPr>
        <w:t xml:space="preserve"> </w:t>
      </w:r>
      <w:r w:rsidRPr="00D2165A">
        <w:t>8:</w:t>
      </w:r>
      <w:r w:rsidRPr="00D2165A">
        <w:tab/>
        <w:t>CTC grades 3/4 haematological laboratory abnormalities in clinical</w:t>
      </w:r>
      <w:r w:rsidRPr="00D2165A">
        <w:rPr>
          <w:spacing w:val="-14"/>
        </w:rPr>
        <w:t xml:space="preserve"> </w:t>
      </w:r>
      <w:r w:rsidRPr="00D2165A">
        <w:t>studies</w:t>
      </w:r>
      <w:r w:rsidRPr="00D2165A">
        <w:rPr>
          <w:spacing w:val="-2"/>
        </w:rPr>
        <w:t xml:space="preserve"> </w:t>
      </w:r>
      <w:r w:rsidRPr="00D2165A">
        <w:t>in</w:t>
      </w:r>
      <w:r w:rsidRPr="00D2165A">
        <w:rPr>
          <w:w w:val="99"/>
        </w:rPr>
        <w:t xml:space="preserve"> </w:t>
      </w:r>
      <w:r w:rsidRPr="00D2165A">
        <w:t>patients with resistance or intolerance to prior imatinib</w:t>
      </w:r>
      <w:r w:rsidRPr="00D2165A">
        <w:rPr>
          <w:spacing w:val="-11"/>
        </w:rPr>
        <w:t xml:space="preserve"> </w:t>
      </w:r>
      <w:r w:rsidRPr="00D2165A">
        <w:t>therapy</w:t>
      </w:r>
      <w:r w:rsidRPr="00D2165A">
        <w:rPr>
          <w:position w:val="8"/>
          <w:sz w:val="14"/>
        </w:rPr>
        <w:t>a</w:t>
      </w:r>
    </w:p>
    <w:tbl>
      <w:tblPr>
        <w:tblStyle w:val="TableNormal1"/>
        <w:tblW w:w="0" w:type="auto"/>
        <w:tblInd w:w="0" w:type="dxa"/>
        <w:tblLayout w:type="fixed"/>
        <w:tblLook w:val="01E0" w:firstRow="1" w:lastRow="1" w:firstColumn="1" w:lastColumn="1" w:noHBand="0" w:noVBand="0"/>
      </w:tblPr>
      <w:tblGrid>
        <w:gridCol w:w="2410"/>
        <w:gridCol w:w="1559"/>
        <w:gridCol w:w="3261"/>
        <w:gridCol w:w="1512"/>
      </w:tblGrid>
      <w:tr w:rsidR="000E0BC4" w:rsidRPr="00F430C7" w:rsidTr="000E0BC4">
        <w:trPr>
          <w:trHeight w:val="900"/>
        </w:trPr>
        <w:tc>
          <w:tcPr>
            <w:tcW w:w="2410" w:type="dxa"/>
            <w:vMerge w:val="restart"/>
            <w:tcBorders>
              <w:top w:val="single" w:sz="4" w:space="0" w:color="000000"/>
              <w:left w:val="nil"/>
              <w:bottom w:val="single" w:sz="6" w:space="0" w:color="000000"/>
              <w:right w:val="nil"/>
            </w:tcBorders>
          </w:tcPr>
          <w:p w:rsidR="000E0BC4" w:rsidRPr="00D2165A" w:rsidRDefault="000E0BC4">
            <w:pPr>
              <w:pStyle w:val="TableParagraph"/>
              <w:rPr>
                <w:rFonts w:ascii="Times New Roman" w:hAnsi="Times New Roman" w:cs="Times New Roman"/>
                <w:sz w:val="20"/>
              </w:rPr>
            </w:pPr>
          </w:p>
        </w:tc>
        <w:tc>
          <w:tcPr>
            <w:tcW w:w="1559" w:type="dxa"/>
            <w:tcBorders>
              <w:top w:val="single" w:sz="4" w:space="0" w:color="000000"/>
              <w:left w:val="nil"/>
              <w:bottom w:val="nil"/>
              <w:right w:val="nil"/>
            </w:tcBorders>
          </w:tcPr>
          <w:p w:rsidR="000E0BC4" w:rsidRPr="00D2165A" w:rsidRDefault="000E0BC4">
            <w:pPr>
              <w:pStyle w:val="TableParagraph"/>
              <w:rPr>
                <w:rFonts w:ascii="Times New Roman" w:hAnsi="Times New Roman" w:cs="Times New Roman"/>
                <w:b/>
              </w:rPr>
            </w:pPr>
          </w:p>
          <w:p w:rsidR="000E0BC4" w:rsidRPr="00D2165A" w:rsidRDefault="000E0BC4">
            <w:pPr>
              <w:pStyle w:val="TableParagraph"/>
              <w:rPr>
                <w:rFonts w:ascii="Times New Roman" w:hAnsi="Times New Roman" w:cs="Times New Roman"/>
                <w:b/>
              </w:rPr>
            </w:pPr>
          </w:p>
          <w:p w:rsidR="000E0BC4" w:rsidRPr="00D2165A" w:rsidRDefault="000E0BC4">
            <w:pPr>
              <w:pStyle w:val="TableParagraph"/>
              <w:spacing w:before="183" w:line="204" w:lineRule="exact"/>
              <w:ind w:left="171" w:right="127"/>
              <w:jc w:val="center"/>
              <w:rPr>
                <w:rFonts w:ascii="Times New Roman" w:hAnsi="Times New Roman" w:cs="Times New Roman"/>
                <w:b/>
                <w:sz w:val="20"/>
              </w:rPr>
            </w:pPr>
            <w:r w:rsidRPr="00D2165A">
              <w:rPr>
                <w:rFonts w:ascii="Times New Roman" w:hAnsi="Times New Roman" w:cs="Times New Roman"/>
                <w:b/>
                <w:sz w:val="20"/>
              </w:rPr>
              <w:t>Chronic phase</w:t>
            </w:r>
          </w:p>
        </w:tc>
        <w:tc>
          <w:tcPr>
            <w:tcW w:w="3261" w:type="dxa"/>
            <w:tcBorders>
              <w:top w:val="single" w:sz="4" w:space="0" w:color="000000"/>
              <w:left w:val="nil"/>
              <w:bottom w:val="nil"/>
              <w:right w:val="nil"/>
            </w:tcBorders>
          </w:tcPr>
          <w:p w:rsidR="000E0BC4" w:rsidRPr="00D2165A" w:rsidRDefault="000E0BC4">
            <w:pPr>
              <w:pStyle w:val="TableParagraph"/>
              <w:rPr>
                <w:rFonts w:ascii="Times New Roman" w:hAnsi="Times New Roman" w:cs="Times New Roman"/>
                <w:b/>
              </w:rPr>
            </w:pPr>
          </w:p>
          <w:p w:rsidR="000E0BC4" w:rsidRPr="00D2165A" w:rsidRDefault="000E0BC4">
            <w:pPr>
              <w:pStyle w:val="TableParagraph"/>
              <w:spacing w:before="11"/>
              <w:rPr>
                <w:rFonts w:ascii="Times New Roman" w:hAnsi="Times New Roman" w:cs="Times New Roman"/>
                <w:b/>
                <w:sz w:val="17"/>
              </w:rPr>
            </w:pPr>
          </w:p>
          <w:p w:rsidR="000E0BC4" w:rsidRPr="00D2165A" w:rsidRDefault="000E0BC4">
            <w:pPr>
              <w:pStyle w:val="TableParagraph"/>
              <w:spacing w:line="230" w:lineRule="exact"/>
              <w:ind w:left="1872"/>
              <w:rPr>
                <w:rFonts w:ascii="Times New Roman" w:hAnsi="Times New Roman" w:cs="Times New Roman"/>
                <w:b/>
                <w:sz w:val="20"/>
              </w:rPr>
            </w:pPr>
            <w:r w:rsidRPr="00D2165A">
              <w:rPr>
                <w:rFonts w:ascii="Times New Roman" w:hAnsi="Times New Roman" w:cs="Times New Roman"/>
                <w:b/>
                <w:sz w:val="20"/>
              </w:rPr>
              <w:t>Myeloid blast</w:t>
            </w:r>
          </w:p>
          <w:p w:rsidR="000E0BC4" w:rsidRPr="00D2165A" w:rsidRDefault="000E0BC4">
            <w:pPr>
              <w:pStyle w:val="TableParagraph"/>
              <w:tabs>
                <w:tab w:val="left" w:pos="2208"/>
              </w:tabs>
              <w:spacing w:line="203" w:lineRule="exact"/>
              <w:ind w:left="147"/>
              <w:rPr>
                <w:rFonts w:ascii="Times New Roman" w:hAnsi="Times New Roman" w:cs="Times New Roman"/>
                <w:b/>
                <w:sz w:val="20"/>
              </w:rPr>
            </w:pPr>
            <w:r w:rsidRPr="00D2165A">
              <w:rPr>
                <w:rFonts w:ascii="Times New Roman" w:hAnsi="Times New Roman" w:cs="Times New Roman"/>
                <w:b/>
                <w:sz w:val="20"/>
              </w:rPr>
              <w:t>Accelerated</w:t>
            </w:r>
            <w:r w:rsidRPr="00D2165A">
              <w:rPr>
                <w:rFonts w:ascii="Times New Roman" w:hAnsi="Times New Roman" w:cs="Times New Roman"/>
                <w:b/>
                <w:spacing w:val="-5"/>
                <w:sz w:val="20"/>
              </w:rPr>
              <w:t xml:space="preserve"> </w:t>
            </w:r>
            <w:r w:rsidRPr="00D2165A">
              <w:rPr>
                <w:rFonts w:ascii="Times New Roman" w:hAnsi="Times New Roman" w:cs="Times New Roman"/>
                <w:b/>
                <w:sz w:val="20"/>
              </w:rPr>
              <w:t>phase</w:t>
            </w:r>
            <w:r w:rsidRPr="00D2165A">
              <w:rPr>
                <w:rFonts w:ascii="Times New Roman" w:hAnsi="Times New Roman" w:cs="Times New Roman"/>
                <w:b/>
                <w:sz w:val="20"/>
              </w:rPr>
              <w:tab/>
              <w:t>phase</w:t>
            </w:r>
          </w:p>
        </w:tc>
        <w:tc>
          <w:tcPr>
            <w:tcW w:w="1512" w:type="dxa"/>
            <w:tcBorders>
              <w:top w:val="single" w:sz="4" w:space="0" w:color="000000"/>
              <w:left w:val="nil"/>
              <w:bottom w:val="nil"/>
              <w:right w:val="nil"/>
            </w:tcBorders>
            <w:hideMark/>
          </w:tcPr>
          <w:p w:rsidR="000E0BC4" w:rsidRPr="00D2165A" w:rsidRDefault="000E0BC4">
            <w:pPr>
              <w:pStyle w:val="TableParagraph"/>
              <w:ind w:left="143" w:right="212" w:firstLine="1"/>
              <w:jc w:val="center"/>
              <w:rPr>
                <w:rFonts w:ascii="Times New Roman" w:hAnsi="Times New Roman" w:cs="Times New Roman"/>
                <w:b/>
                <w:sz w:val="20"/>
              </w:rPr>
            </w:pPr>
            <w:r w:rsidRPr="00D2165A">
              <w:rPr>
                <w:rFonts w:ascii="Times New Roman" w:hAnsi="Times New Roman" w:cs="Times New Roman"/>
                <w:b/>
                <w:sz w:val="20"/>
              </w:rPr>
              <w:t>Lymphoid blast phase and</w:t>
            </w:r>
          </w:p>
          <w:p w:rsidR="000E0BC4" w:rsidRPr="00D2165A" w:rsidRDefault="000E0BC4">
            <w:pPr>
              <w:pStyle w:val="TableParagraph"/>
              <w:spacing w:before="1" w:line="203" w:lineRule="exact"/>
              <w:ind w:left="196" w:right="263"/>
              <w:jc w:val="center"/>
              <w:rPr>
                <w:rFonts w:ascii="Times New Roman" w:hAnsi="Times New Roman" w:cs="Times New Roman"/>
                <w:b/>
                <w:sz w:val="20"/>
              </w:rPr>
            </w:pPr>
            <w:r w:rsidRPr="00D2165A">
              <w:rPr>
                <w:rFonts w:ascii="Times New Roman" w:hAnsi="Times New Roman" w:cs="Times New Roman"/>
                <w:b/>
                <w:sz w:val="20"/>
              </w:rPr>
              <w:t>Ph+ ALL</w:t>
            </w:r>
          </w:p>
        </w:tc>
      </w:tr>
      <w:tr w:rsidR="000E0BC4" w:rsidRPr="00D2165A" w:rsidTr="000E0BC4">
        <w:trPr>
          <w:trHeight w:val="220"/>
        </w:trPr>
        <w:tc>
          <w:tcPr>
            <w:tcW w:w="2410" w:type="dxa"/>
            <w:vMerge/>
            <w:tcBorders>
              <w:top w:val="single" w:sz="4" w:space="0" w:color="000000"/>
              <w:left w:val="nil"/>
              <w:bottom w:val="single" w:sz="6" w:space="0" w:color="000000"/>
              <w:right w:val="nil"/>
            </w:tcBorders>
            <w:vAlign w:val="center"/>
            <w:hideMark/>
          </w:tcPr>
          <w:p w:rsidR="000E0BC4" w:rsidRPr="00D2165A" w:rsidRDefault="000E0BC4">
            <w:pPr>
              <w:rPr>
                <w:rFonts w:ascii="Times New Roman" w:eastAsia="Times New Roman" w:hAnsi="Times New Roman" w:cs="Times New Roman"/>
                <w:sz w:val="20"/>
              </w:rPr>
            </w:pPr>
          </w:p>
        </w:tc>
        <w:tc>
          <w:tcPr>
            <w:tcW w:w="1559" w:type="dxa"/>
            <w:tcBorders>
              <w:top w:val="nil"/>
              <w:left w:val="nil"/>
              <w:bottom w:val="single" w:sz="6" w:space="0" w:color="000000"/>
              <w:right w:val="nil"/>
            </w:tcBorders>
            <w:hideMark/>
          </w:tcPr>
          <w:p w:rsidR="000E0BC4" w:rsidRPr="00D2165A" w:rsidRDefault="000E0BC4">
            <w:pPr>
              <w:pStyle w:val="TableParagraph"/>
              <w:spacing w:line="203" w:lineRule="exact"/>
              <w:ind w:left="171" w:right="126"/>
              <w:jc w:val="center"/>
              <w:rPr>
                <w:rFonts w:ascii="Times New Roman" w:hAnsi="Times New Roman" w:cs="Times New Roman"/>
                <w:b/>
                <w:sz w:val="13"/>
              </w:rPr>
            </w:pPr>
            <w:r w:rsidRPr="00D2165A">
              <w:rPr>
                <w:rFonts w:ascii="Times New Roman" w:hAnsi="Times New Roman" w:cs="Times New Roman"/>
                <w:b/>
                <w:sz w:val="20"/>
              </w:rPr>
              <w:t>(n= 165)</w:t>
            </w:r>
            <w:r w:rsidRPr="00D2165A">
              <w:rPr>
                <w:rFonts w:ascii="Times New Roman" w:hAnsi="Times New Roman" w:cs="Times New Roman"/>
                <w:b/>
                <w:position w:val="7"/>
                <w:sz w:val="13"/>
              </w:rPr>
              <w:t>b</w:t>
            </w:r>
          </w:p>
        </w:tc>
        <w:tc>
          <w:tcPr>
            <w:tcW w:w="3261" w:type="dxa"/>
            <w:tcBorders>
              <w:top w:val="nil"/>
              <w:left w:val="nil"/>
              <w:bottom w:val="single" w:sz="6" w:space="0" w:color="000000"/>
              <w:right w:val="nil"/>
            </w:tcBorders>
            <w:hideMark/>
          </w:tcPr>
          <w:p w:rsidR="000E0BC4" w:rsidRPr="00D2165A" w:rsidRDefault="000E0BC4">
            <w:pPr>
              <w:pStyle w:val="TableParagraph"/>
              <w:tabs>
                <w:tab w:val="left" w:pos="2119"/>
              </w:tabs>
              <w:spacing w:line="203" w:lineRule="exact"/>
              <w:ind w:left="539"/>
              <w:rPr>
                <w:rFonts w:ascii="Times New Roman" w:hAnsi="Times New Roman" w:cs="Times New Roman"/>
                <w:b/>
                <w:sz w:val="13"/>
              </w:rPr>
            </w:pPr>
            <w:r w:rsidRPr="00D2165A">
              <w:rPr>
                <w:rFonts w:ascii="Times New Roman" w:hAnsi="Times New Roman" w:cs="Times New Roman"/>
                <w:b/>
                <w:sz w:val="20"/>
              </w:rPr>
              <w:t>(n=</w:t>
            </w:r>
            <w:r w:rsidRPr="00D2165A">
              <w:rPr>
                <w:rFonts w:ascii="Times New Roman" w:hAnsi="Times New Roman" w:cs="Times New Roman"/>
                <w:b/>
                <w:spacing w:val="-3"/>
                <w:sz w:val="20"/>
              </w:rPr>
              <w:t xml:space="preserve"> </w:t>
            </w:r>
            <w:r w:rsidRPr="00D2165A">
              <w:rPr>
                <w:rFonts w:ascii="Times New Roman" w:hAnsi="Times New Roman" w:cs="Times New Roman"/>
                <w:b/>
                <w:sz w:val="20"/>
              </w:rPr>
              <w:t>157)</w:t>
            </w:r>
            <w:r w:rsidRPr="00D2165A">
              <w:rPr>
                <w:rFonts w:ascii="Times New Roman" w:hAnsi="Times New Roman" w:cs="Times New Roman"/>
                <w:b/>
                <w:position w:val="7"/>
                <w:sz w:val="13"/>
              </w:rPr>
              <w:t>c</w:t>
            </w:r>
            <w:r w:rsidRPr="00D2165A">
              <w:rPr>
                <w:rFonts w:ascii="Times New Roman" w:hAnsi="Times New Roman" w:cs="Times New Roman"/>
                <w:b/>
                <w:position w:val="7"/>
                <w:sz w:val="13"/>
              </w:rPr>
              <w:tab/>
            </w:r>
            <w:r w:rsidRPr="00D2165A">
              <w:rPr>
                <w:rFonts w:ascii="Times New Roman" w:hAnsi="Times New Roman" w:cs="Times New Roman"/>
                <w:b/>
                <w:sz w:val="20"/>
              </w:rPr>
              <w:t>(n=</w:t>
            </w:r>
            <w:r w:rsidRPr="00D2165A">
              <w:rPr>
                <w:rFonts w:ascii="Times New Roman" w:hAnsi="Times New Roman" w:cs="Times New Roman"/>
                <w:b/>
                <w:spacing w:val="-2"/>
                <w:sz w:val="20"/>
              </w:rPr>
              <w:t xml:space="preserve"> </w:t>
            </w:r>
            <w:r w:rsidRPr="00D2165A">
              <w:rPr>
                <w:rFonts w:ascii="Times New Roman" w:hAnsi="Times New Roman" w:cs="Times New Roman"/>
                <w:b/>
                <w:sz w:val="20"/>
              </w:rPr>
              <w:t>74)</w:t>
            </w:r>
            <w:r w:rsidRPr="00D2165A">
              <w:rPr>
                <w:rFonts w:ascii="Times New Roman" w:hAnsi="Times New Roman" w:cs="Times New Roman"/>
                <w:b/>
                <w:position w:val="7"/>
                <w:sz w:val="13"/>
              </w:rPr>
              <w:t>c</w:t>
            </w:r>
          </w:p>
        </w:tc>
        <w:tc>
          <w:tcPr>
            <w:tcW w:w="1512" w:type="dxa"/>
            <w:tcBorders>
              <w:top w:val="nil"/>
              <w:left w:val="nil"/>
              <w:bottom w:val="single" w:sz="6" w:space="0" w:color="000000"/>
              <w:right w:val="nil"/>
            </w:tcBorders>
            <w:hideMark/>
          </w:tcPr>
          <w:p w:rsidR="000E0BC4" w:rsidRPr="00D2165A" w:rsidRDefault="000E0BC4">
            <w:pPr>
              <w:pStyle w:val="TableParagraph"/>
              <w:spacing w:line="203" w:lineRule="exact"/>
              <w:ind w:left="236"/>
              <w:rPr>
                <w:rFonts w:ascii="Times New Roman" w:hAnsi="Times New Roman" w:cs="Times New Roman"/>
                <w:b/>
                <w:sz w:val="13"/>
              </w:rPr>
            </w:pPr>
            <w:r w:rsidRPr="00D2165A">
              <w:rPr>
                <w:rFonts w:ascii="Times New Roman" w:hAnsi="Times New Roman" w:cs="Times New Roman"/>
                <w:b/>
                <w:sz w:val="20"/>
              </w:rPr>
              <w:t>(n= 168)</w:t>
            </w:r>
            <w:r w:rsidRPr="00D2165A">
              <w:rPr>
                <w:rFonts w:ascii="Times New Roman" w:hAnsi="Times New Roman" w:cs="Times New Roman"/>
                <w:b/>
                <w:position w:val="7"/>
                <w:sz w:val="13"/>
              </w:rPr>
              <w:t>c</w:t>
            </w:r>
          </w:p>
        </w:tc>
      </w:tr>
      <w:tr w:rsidR="000E0BC4" w:rsidRPr="00D2165A" w:rsidTr="000E0BC4">
        <w:trPr>
          <w:trHeight w:val="260"/>
        </w:trPr>
        <w:tc>
          <w:tcPr>
            <w:tcW w:w="2410" w:type="dxa"/>
            <w:vMerge/>
            <w:tcBorders>
              <w:top w:val="single" w:sz="4" w:space="0" w:color="000000"/>
              <w:left w:val="nil"/>
              <w:bottom w:val="single" w:sz="6" w:space="0" w:color="000000"/>
              <w:right w:val="nil"/>
            </w:tcBorders>
            <w:vAlign w:val="center"/>
            <w:hideMark/>
          </w:tcPr>
          <w:p w:rsidR="000E0BC4" w:rsidRPr="00D2165A" w:rsidRDefault="000E0BC4">
            <w:pPr>
              <w:rPr>
                <w:rFonts w:ascii="Times New Roman" w:eastAsia="Times New Roman" w:hAnsi="Times New Roman" w:cs="Times New Roman"/>
                <w:sz w:val="20"/>
              </w:rPr>
            </w:pPr>
          </w:p>
        </w:tc>
        <w:tc>
          <w:tcPr>
            <w:tcW w:w="1559" w:type="dxa"/>
            <w:tcBorders>
              <w:top w:val="single" w:sz="6" w:space="0" w:color="000000"/>
              <w:left w:val="nil"/>
              <w:bottom w:val="single" w:sz="6" w:space="0" w:color="000000"/>
              <w:right w:val="nil"/>
            </w:tcBorders>
          </w:tcPr>
          <w:p w:rsidR="000E0BC4" w:rsidRPr="00D2165A" w:rsidRDefault="000E0BC4">
            <w:pPr>
              <w:pStyle w:val="TableParagraph"/>
              <w:rPr>
                <w:rFonts w:ascii="Times New Roman" w:hAnsi="Times New Roman" w:cs="Times New Roman"/>
                <w:sz w:val="18"/>
              </w:rPr>
            </w:pPr>
          </w:p>
        </w:tc>
        <w:tc>
          <w:tcPr>
            <w:tcW w:w="3261" w:type="dxa"/>
            <w:tcBorders>
              <w:top w:val="single" w:sz="6" w:space="0" w:color="000000"/>
              <w:left w:val="nil"/>
              <w:bottom w:val="single" w:sz="6" w:space="0" w:color="000000"/>
              <w:right w:val="nil"/>
            </w:tcBorders>
            <w:hideMark/>
          </w:tcPr>
          <w:p w:rsidR="000E0BC4" w:rsidRPr="00D2165A" w:rsidRDefault="000E0BC4">
            <w:pPr>
              <w:pStyle w:val="TableParagraph"/>
              <w:spacing w:line="229" w:lineRule="exact"/>
              <w:ind w:left="461"/>
              <w:rPr>
                <w:rFonts w:ascii="Times New Roman" w:hAnsi="Times New Roman" w:cs="Times New Roman"/>
                <w:b/>
                <w:sz w:val="20"/>
              </w:rPr>
            </w:pPr>
            <w:r w:rsidRPr="00D2165A">
              <w:rPr>
                <w:rFonts w:ascii="Times New Roman" w:hAnsi="Times New Roman" w:cs="Times New Roman"/>
                <w:b/>
                <w:sz w:val="20"/>
              </w:rPr>
              <w:t>Percent (%) of patients</w:t>
            </w:r>
          </w:p>
        </w:tc>
        <w:tc>
          <w:tcPr>
            <w:tcW w:w="1512" w:type="dxa"/>
            <w:tcBorders>
              <w:top w:val="single" w:sz="6" w:space="0" w:color="000000"/>
              <w:left w:val="nil"/>
              <w:bottom w:val="single" w:sz="6" w:space="0" w:color="000000"/>
              <w:right w:val="nil"/>
            </w:tcBorders>
          </w:tcPr>
          <w:p w:rsidR="000E0BC4" w:rsidRPr="00D2165A" w:rsidRDefault="000E0BC4">
            <w:pPr>
              <w:pStyle w:val="TableParagraph"/>
              <w:rPr>
                <w:rFonts w:ascii="Times New Roman" w:hAnsi="Times New Roman" w:cs="Times New Roman"/>
                <w:sz w:val="18"/>
              </w:rPr>
            </w:pPr>
          </w:p>
        </w:tc>
      </w:tr>
      <w:tr w:rsidR="000E0BC4" w:rsidRPr="00D2165A" w:rsidTr="000E0BC4">
        <w:trPr>
          <w:trHeight w:val="300"/>
        </w:trPr>
        <w:tc>
          <w:tcPr>
            <w:tcW w:w="2410" w:type="dxa"/>
            <w:tcBorders>
              <w:top w:val="single" w:sz="6" w:space="0" w:color="000000"/>
              <w:left w:val="nil"/>
              <w:bottom w:val="nil"/>
              <w:right w:val="nil"/>
            </w:tcBorders>
            <w:hideMark/>
          </w:tcPr>
          <w:p w:rsidR="000E0BC4" w:rsidRPr="00D2165A" w:rsidRDefault="000E0BC4">
            <w:pPr>
              <w:pStyle w:val="TableParagraph"/>
              <w:spacing w:before="48"/>
              <w:ind w:left="40"/>
              <w:rPr>
                <w:rFonts w:ascii="Times New Roman" w:hAnsi="Times New Roman" w:cs="Times New Roman"/>
                <w:b/>
                <w:sz w:val="20"/>
              </w:rPr>
            </w:pPr>
            <w:r w:rsidRPr="00D2165A">
              <w:rPr>
                <w:rFonts w:ascii="Times New Roman" w:hAnsi="Times New Roman" w:cs="Times New Roman"/>
                <w:b/>
                <w:sz w:val="20"/>
              </w:rPr>
              <w:t>Haematology parameters</w:t>
            </w:r>
          </w:p>
        </w:tc>
        <w:tc>
          <w:tcPr>
            <w:tcW w:w="1559" w:type="dxa"/>
            <w:tcBorders>
              <w:top w:val="single" w:sz="6" w:space="0" w:color="000000"/>
              <w:left w:val="nil"/>
              <w:bottom w:val="nil"/>
              <w:right w:val="nil"/>
            </w:tcBorders>
          </w:tcPr>
          <w:p w:rsidR="000E0BC4" w:rsidRPr="00D2165A" w:rsidRDefault="000E0BC4">
            <w:pPr>
              <w:pStyle w:val="TableParagraph"/>
              <w:rPr>
                <w:rFonts w:ascii="Times New Roman" w:hAnsi="Times New Roman" w:cs="Times New Roman"/>
                <w:sz w:val="20"/>
              </w:rPr>
            </w:pPr>
          </w:p>
        </w:tc>
        <w:tc>
          <w:tcPr>
            <w:tcW w:w="3261" w:type="dxa"/>
            <w:tcBorders>
              <w:top w:val="single" w:sz="6" w:space="0" w:color="000000"/>
              <w:left w:val="nil"/>
              <w:bottom w:val="nil"/>
              <w:right w:val="nil"/>
            </w:tcBorders>
          </w:tcPr>
          <w:p w:rsidR="000E0BC4" w:rsidRPr="00D2165A" w:rsidRDefault="000E0BC4">
            <w:pPr>
              <w:pStyle w:val="TableParagraph"/>
              <w:rPr>
                <w:rFonts w:ascii="Times New Roman" w:hAnsi="Times New Roman" w:cs="Times New Roman"/>
                <w:sz w:val="20"/>
              </w:rPr>
            </w:pPr>
          </w:p>
        </w:tc>
        <w:tc>
          <w:tcPr>
            <w:tcW w:w="1512" w:type="dxa"/>
            <w:tcBorders>
              <w:top w:val="single" w:sz="6" w:space="0" w:color="000000"/>
              <w:left w:val="nil"/>
              <w:bottom w:val="nil"/>
              <w:right w:val="nil"/>
            </w:tcBorders>
          </w:tcPr>
          <w:p w:rsidR="000E0BC4" w:rsidRPr="00D2165A" w:rsidRDefault="000E0BC4">
            <w:pPr>
              <w:pStyle w:val="TableParagraph"/>
              <w:rPr>
                <w:rFonts w:ascii="Times New Roman" w:hAnsi="Times New Roman" w:cs="Times New Roman"/>
                <w:sz w:val="20"/>
              </w:rPr>
            </w:pPr>
          </w:p>
        </w:tc>
      </w:tr>
      <w:tr w:rsidR="000E0BC4" w:rsidRPr="00D2165A" w:rsidTr="000E0BC4">
        <w:trPr>
          <w:trHeight w:val="300"/>
        </w:trPr>
        <w:tc>
          <w:tcPr>
            <w:tcW w:w="2410" w:type="dxa"/>
            <w:hideMark/>
          </w:tcPr>
          <w:p w:rsidR="000E0BC4" w:rsidRPr="00D2165A" w:rsidRDefault="000E0BC4">
            <w:pPr>
              <w:pStyle w:val="TableParagraph"/>
              <w:spacing w:before="30"/>
              <w:ind w:left="400"/>
              <w:rPr>
                <w:rFonts w:ascii="Times New Roman" w:hAnsi="Times New Roman" w:cs="Times New Roman"/>
                <w:sz w:val="20"/>
              </w:rPr>
            </w:pPr>
            <w:r w:rsidRPr="00D2165A">
              <w:rPr>
                <w:rFonts w:ascii="Times New Roman" w:hAnsi="Times New Roman" w:cs="Times New Roman"/>
                <w:sz w:val="20"/>
              </w:rPr>
              <w:t>Neutropaenia</w:t>
            </w:r>
          </w:p>
        </w:tc>
        <w:tc>
          <w:tcPr>
            <w:tcW w:w="1559" w:type="dxa"/>
            <w:hideMark/>
          </w:tcPr>
          <w:p w:rsidR="000E0BC4" w:rsidRPr="00D2165A" w:rsidRDefault="000E0BC4">
            <w:pPr>
              <w:pStyle w:val="TableParagraph"/>
              <w:spacing w:before="30"/>
              <w:ind w:left="141" w:right="127"/>
              <w:jc w:val="center"/>
              <w:rPr>
                <w:rFonts w:ascii="Times New Roman" w:hAnsi="Times New Roman" w:cs="Times New Roman"/>
                <w:sz w:val="20"/>
              </w:rPr>
            </w:pPr>
            <w:r w:rsidRPr="00D2165A">
              <w:rPr>
                <w:rFonts w:ascii="Times New Roman" w:hAnsi="Times New Roman" w:cs="Times New Roman"/>
                <w:sz w:val="20"/>
              </w:rPr>
              <w:t>36</w:t>
            </w:r>
          </w:p>
        </w:tc>
        <w:tc>
          <w:tcPr>
            <w:tcW w:w="3261" w:type="dxa"/>
            <w:hideMark/>
          </w:tcPr>
          <w:p w:rsidR="000E0BC4" w:rsidRPr="00D2165A" w:rsidRDefault="000E0BC4">
            <w:pPr>
              <w:pStyle w:val="TableParagraph"/>
              <w:tabs>
                <w:tab w:val="left" w:pos="2493"/>
              </w:tabs>
              <w:spacing w:before="30"/>
              <w:ind w:left="743"/>
              <w:rPr>
                <w:rFonts w:ascii="Times New Roman" w:hAnsi="Times New Roman" w:cs="Times New Roman"/>
                <w:sz w:val="20"/>
              </w:rPr>
            </w:pPr>
            <w:r w:rsidRPr="00D2165A">
              <w:rPr>
                <w:rFonts w:ascii="Times New Roman" w:hAnsi="Times New Roman" w:cs="Times New Roman"/>
                <w:sz w:val="20"/>
              </w:rPr>
              <w:t>58</w:t>
            </w:r>
            <w:r w:rsidRPr="00D2165A">
              <w:rPr>
                <w:rFonts w:ascii="Times New Roman" w:hAnsi="Times New Roman" w:cs="Times New Roman"/>
                <w:sz w:val="20"/>
              </w:rPr>
              <w:tab/>
              <w:t>77</w:t>
            </w:r>
          </w:p>
        </w:tc>
        <w:tc>
          <w:tcPr>
            <w:tcW w:w="1512" w:type="dxa"/>
            <w:hideMark/>
          </w:tcPr>
          <w:p w:rsidR="000E0BC4" w:rsidRPr="00D2165A" w:rsidRDefault="000E0BC4">
            <w:pPr>
              <w:pStyle w:val="TableParagraph"/>
              <w:spacing w:before="30"/>
              <w:ind w:left="196" w:right="104"/>
              <w:jc w:val="center"/>
              <w:rPr>
                <w:rFonts w:ascii="Times New Roman" w:hAnsi="Times New Roman" w:cs="Times New Roman"/>
                <w:sz w:val="20"/>
              </w:rPr>
            </w:pPr>
            <w:r w:rsidRPr="00D2165A">
              <w:rPr>
                <w:rFonts w:ascii="Times New Roman" w:hAnsi="Times New Roman" w:cs="Times New Roman"/>
                <w:sz w:val="20"/>
              </w:rPr>
              <w:t>76</w:t>
            </w:r>
          </w:p>
        </w:tc>
      </w:tr>
      <w:tr w:rsidR="000E0BC4" w:rsidRPr="00D2165A" w:rsidTr="000E0BC4">
        <w:trPr>
          <w:trHeight w:val="300"/>
        </w:trPr>
        <w:tc>
          <w:tcPr>
            <w:tcW w:w="2410" w:type="dxa"/>
            <w:hideMark/>
          </w:tcPr>
          <w:p w:rsidR="000E0BC4" w:rsidRPr="00D2165A" w:rsidRDefault="000E0BC4">
            <w:pPr>
              <w:pStyle w:val="TableParagraph"/>
              <w:spacing w:before="32"/>
              <w:ind w:left="400"/>
              <w:rPr>
                <w:rFonts w:ascii="Times New Roman" w:hAnsi="Times New Roman" w:cs="Times New Roman"/>
                <w:sz w:val="20"/>
              </w:rPr>
            </w:pPr>
            <w:r w:rsidRPr="00D2165A">
              <w:rPr>
                <w:rFonts w:ascii="Times New Roman" w:hAnsi="Times New Roman" w:cs="Times New Roman"/>
                <w:sz w:val="20"/>
              </w:rPr>
              <w:t>Thrombocytopaenia</w:t>
            </w:r>
          </w:p>
        </w:tc>
        <w:tc>
          <w:tcPr>
            <w:tcW w:w="1559" w:type="dxa"/>
            <w:hideMark/>
          </w:tcPr>
          <w:p w:rsidR="000E0BC4" w:rsidRPr="00D2165A" w:rsidRDefault="000E0BC4">
            <w:pPr>
              <w:pStyle w:val="TableParagraph"/>
              <w:spacing w:before="32"/>
              <w:ind w:left="142" w:right="127"/>
              <w:jc w:val="center"/>
              <w:rPr>
                <w:rFonts w:ascii="Times New Roman" w:hAnsi="Times New Roman" w:cs="Times New Roman"/>
                <w:sz w:val="20"/>
              </w:rPr>
            </w:pPr>
            <w:r w:rsidRPr="00D2165A">
              <w:rPr>
                <w:rFonts w:ascii="Times New Roman" w:hAnsi="Times New Roman" w:cs="Times New Roman"/>
                <w:sz w:val="20"/>
              </w:rPr>
              <w:t>23</w:t>
            </w:r>
          </w:p>
        </w:tc>
        <w:tc>
          <w:tcPr>
            <w:tcW w:w="3261" w:type="dxa"/>
            <w:hideMark/>
          </w:tcPr>
          <w:p w:rsidR="000E0BC4" w:rsidRPr="00D2165A" w:rsidRDefault="000E0BC4">
            <w:pPr>
              <w:pStyle w:val="TableParagraph"/>
              <w:tabs>
                <w:tab w:val="left" w:pos="2494"/>
              </w:tabs>
              <w:spacing w:before="32"/>
              <w:ind w:left="743"/>
              <w:rPr>
                <w:rFonts w:ascii="Times New Roman" w:hAnsi="Times New Roman" w:cs="Times New Roman"/>
                <w:sz w:val="20"/>
              </w:rPr>
            </w:pPr>
            <w:r w:rsidRPr="00D2165A">
              <w:rPr>
                <w:rFonts w:ascii="Times New Roman" w:hAnsi="Times New Roman" w:cs="Times New Roman"/>
                <w:sz w:val="20"/>
              </w:rPr>
              <w:t>63</w:t>
            </w:r>
            <w:r w:rsidRPr="00D2165A">
              <w:rPr>
                <w:rFonts w:ascii="Times New Roman" w:hAnsi="Times New Roman" w:cs="Times New Roman"/>
                <w:sz w:val="20"/>
              </w:rPr>
              <w:tab/>
              <w:t>78</w:t>
            </w:r>
          </w:p>
        </w:tc>
        <w:tc>
          <w:tcPr>
            <w:tcW w:w="1512" w:type="dxa"/>
            <w:hideMark/>
          </w:tcPr>
          <w:p w:rsidR="000E0BC4" w:rsidRPr="00D2165A" w:rsidRDefault="000E0BC4">
            <w:pPr>
              <w:pStyle w:val="TableParagraph"/>
              <w:spacing w:before="32"/>
              <w:ind w:left="196" w:right="103"/>
              <w:jc w:val="center"/>
              <w:rPr>
                <w:rFonts w:ascii="Times New Roman" w:hAnsi="Times New Roman" w:cs="Times New Roman"/>
                <w:sz w:val="20"/>
              </w:rPr>
            </w:pPr>
            <w:r w:rsidRPr="00D2165A">
              <w:rPr>
                <w:rFonts w:ascii="Times New Roman" w:hAnsi="Times New Roman" w:cs="Times New Roman"/>
                <w:sz w:val="20"/>
              </w:rPr>
              <w:t>74</w:t>
            </w:r>
          </w:p>
        </w:tc>
      </w:tr>
      <w:tr w:rsidR="000E0BC4" w:rsidRPr="00D2165A" w:rsidTr="000E0BC4">
        <w:trPr>
          <w:trHeight w:val="280"/>
        </w:trPr>
        <w:tc>
          <w:tcPr>
            <w:tcW w:w="2410" w:type="dxa"/>
            <w:tcBorders>
              <w:top w:val="nil"/>
              <w:left w:val="nil"/>
              <w:bottom w:val="single" w:sz="4" w:space="0" w:color="000000"/>
              <w:right w:val="nil"/>
            </w:tcBorders>
            <w:hideMark/>
          </w:tcPr>
          <w:p w:rsidR="000E0BC4" w:rsidRPr="00D2165A" w:rsidRDefault="000E0BC4">
            <w:pPr>
              <w:pStyle w:val="TableParagraph"/>
              <w:spacing w:before="32"/>
              <w:ind w:left="400"/>
              <w:rPr>
                <w:rFonts w:ascii="Times New Roman" w:hAnsi="Times New Roman" w:cs="Times New Roman"/>
                <w:sz w:val="20"/>
              </w:rPr>
            </w:pPr>
            <w:r w:rsidRPr="00D2165A">
              <w:rPr>
                <w:rFonts w:ascii="Times New Roman" w:hAnsi="Times New Roman" w:cs="Times New Roman"/>
                <w:sz w:val="20"/>
              </w:rPr>
              <w:t>Anaemia</w:t>
            </w:r>
          </w:p>
        </w:tc>
        <w:tc>
          <w:tcPr>
            <w:tcW w:w="1559" w:type="dxa"/>
            <w:tcBorders>
              <w:top w:val="nil"/>
              <w:left w:val="nil"/>
              <w:bottom w:val="single" w:sz="4" w:space="0" w:color="000000"/>
              <w:right w:val="nil"/>
            </w:tcBorders>
            <w:hideMark/>
          </w:tcPr>
          <w:p w:rsidR="000E0BC4" w:rsidRPr="00D2165A" w:rsidRDefault="000E0BC4">
            <w:pPr>
              <w:pStyle w:val="TableParagraph"/>
              <w:spacing w:before="32"/>
              <w:ind w:left="140" w:right="127"/>
              <w:jc w:val="center"/>
              <w:rPr>
                <w:rFonts w:ascii="Times New Roman" w:hAnsi="Times New Roman" w:cs="Times New Roman"/>
                <w:sz w:val="20"/>
              </w:rPr>
            </w:pPr>
            <w:r w:rsidRPr="00D2165A">
              <w:rPr>
                <w:rFonts w:ascii="Times New Roman" w:hAnsi="Times New Roman" w:cs="Times New Roman"/>
                <w:sz w:val="20"/>
              </w:rPr>
              <w:t>13</w:t>
            </w:r>
          </w:p>
        </w:tc>
        <w:tc>
          <w:tcPr>
            <w:tcW w:w="3261" w:type="dxa"/>
            <w:tcBorders>
              <w:top w:val="nil"/>
              <w:left w:val="nil"/>
              <w:bottom w:val="single" w:sz="4" w:space="0" w:color="000000"/>
              <w:right w:val="nil"/>
            </w:tcBorders>
            <w:hideMark/>
          </w:tcPr>
          <w:p w:rsidR="000E0BC4" w:rsidRPr="00D2165A" w:rsidRDefault="000E0BC4">
            <w:pPr>
              <w:pStyle w:val="TableParagraph"/>
              <w:tabs>
                <w:tab w:val="left" w:pos="2493"/>
              </w:tabs>
              <w:spacing w:before="32"/>
              <w:ind w:left="742"/>
              <w:rPr>
                <w:rFonts w:ascii="Times New Roman" w:hAnsi="Times New Roman" w:cs="Times New Roman"/>
                <w:sz w:val="20"/>
              </w:rPr>
            </w:pPr>
            <w:r w:rsidRPr="00D2165A">
              <w:rPr>
                <w:rFonts w:ascii="Times New Roman" w:hAnsi="Times New Roman" w:cs="Times New Roman"/>
                <w:sz w:val="20"/>
              </w:rPr>
              <w:t>47</w:t>
            </w:r>
            <w:r w:rsidRPr="00D2165A">
              <w:rPr>
                <w:rFonts w:ascii="Times New Roman" w:hAnsi="Times New Roman" w:cs="Times New Roman"/>
                <w:sz w:val="20"/>
              </w:rPr>
              <w:tab/>
              <w:t>74</w:t>
            </w:r>
          </w:p>
        </w:tc>
        <w:tc>
          <w:tcPr>
            <w:tcW w:w="1512" w:type="dxa"/>
            <w:tcBorders>
              <w:top w:val="nil"/>
              <w:left w:val="nil"/>
              <w:bottom w:val="single" w:sz="4" w:space="0" w:color="000000"/>
              <w:right w:val="nil"/>
            </w:tcBorders>
            <w:hideMark/>
          </w:tcPr>
          <w:p w:rsidR="000E0BC4" w:rsidRPr="00D2165A" w:rsidRDefault="000E0BC4">
            <w:pPr>
              <w:pStyle w:val="TableParagraph"/>
              <w:spacing w:before="32"/>
              <w:ind w:left="196" w:right="105"/>
              <w:jc w:val="center"/>
              <w:rPr>
                <w:rFonts w:ascii="Times New Roman" w:hAnsi="Times New Roman" w:cs="Times New Roman"/>
                <w:sz w:val="20"/>
              </w:rPr>
            </w:pPr>
            <w:r w:rsidRPr="00D2165A">
              <w:rPr>
                <w:rFonts w:ascii="Times New Roman" w:hAnsi="Times New Roman" w:cs="Times New Roman"/>
                <w:sz w:val="20"/>
              </w:rPr>
              <w:t>44</w:t>
            </w:r>
          </w:p>
        </w:tc>
      </w:tr>
    </w:tbl>
    <w:p w:rsidR="000E0BC4" w:rsidRPr="00D2165A" w:rsidRDefault="000E0BC4" w:rsidP="000E0BC4">
      <w:pPr>
        <w:spacing w:before="26"/>
        <w:ind w:left="323"/>
        <w:rPr>
          <w:sz w:val="18"/>
          <w:szCs w:val="22"/>
          <w:lang w:val="en-US" w:eastAsia="en-US"/>
        </w:rPr>
      </w:pPr>
      <w:r w:rsidRPr="00D2165A">
        <w:rPr>
          <w:position w:val="6"/>
          <w:sz w:val="12"/>
          <w:lang w:val="en-US"/>
        </w:rPr>
        <w:t xml:space="preserve">a   </w:t>
      </w:r>
      <w:r w:rsidRPr="00D2165A">
        <w:rPr>
          <w:sz w:val="18"/>
          <w:lang w:val="en-US"/>
        </w:rPr>
        <w:t>Phase 3 dose optimisation study results reported at 2 year study follow up.</w:t>
      </w:r>
    </w:p>
    <w:p w:rsidR="000E0BC4" w:rsidRPr="00D2165A" w:rsidRDefault="000E0BC4" w:rsidP="000E0BC4">
      <w:pPr>
        <w:spacing w:before="36"/>
        <w:ind w:left="323"/>
        <w:rPr>
          <w:sz w:val="18"/>
          <w:lang w:val="en-US"/>
        </w:rPr>
      </w:pPr>
      <w:r w:rsidRPr="00D2165A">
        <w:rPr>
          <w:position w:val="6"/>
          <w:sz w:val="12"/>
          <w:lang w:val="en-US"/>
        </w:rPr>
        <w:t xml:space="preserve">b   </w:t>
      </w:r>
      <w:r w:rsidRPr="00D2165A">
        <w:rPr>
          <w:sz w:val="18"/>
          <w:lang w:val="en-US"/>
        </w:rPr>
        <w:t>CA180-034 study results in recommended starting dose of 100 mg once daily.</w:t>
      </w:r>
    </w:p>
    <w:p w:rsidR="000E0BC4" w:rsidRPr="00D2165A" w:rsidRDefault="000E0BC4" w:rsidP="000E0BC4">
      <w:pPr>
        <w:spacing w:before="36"/>
        <w:ind w:left="323"/>
        <w:rPr>
          <w:sz w:val="18"/>
          <w:lang w:val="en-US"/>
        </w:rPr>
      </w:pPr>
      <w:r w:rsidRPr="00D2165A">
        <w:rPr>
          <w:position w:val="6"/>
          <w:sz w:val="12"/>
          <w:lang w:val="en-US"/>
        </w:rPr>
        <w:t xml:space="preserve">c    </w:t>
      </w:r>
      <w:r w:rsidRPr="00D2165A">
        <w:rPr>
          <w:sz w:val="18"/>
          <w:lang w:val="en-US"/>
        </w:rPr>
        <w:t>CA180-035 study results in recommended starting dose of 140 mg once daily.</w:t>
      </w:r>
    </w:p>
    <w:p w:rsidR="000E0BC4" w:rsidRPr="00D2165A" w:rsidRDefault="000E0BC4" w:rsidP="000E0BC4">
      <w:pPr>
        <w:spacing w:before="36" w:line="209" w:lineRule="exact"/>
        <w:ind w:left="323"/>
        <w:rPr>
          <w:sz w:val="18"/>
          <w:lang w:val="en-US"/>
        </w:rPr>
      </w:pPr>
      <w:r w:rsidRPr="00D2165A">
        <w:rPr>
          <w:sz w:val="18"/>
          <w:lang w:val="en-US"/>
        </w:rPr>
        <w:t>CTC grades: neutropaenia (Grade 3 ≥ 0.5– &lt; 1.0 × 10</w:t>
      </w:r>
      <w:r w:rsidRPr="00D2165A">
        <w:rPr>
          <w:position w:val="6"/>
          <w:sz w:val="12"/>
          <w:lang w:val="en-US"/>
        </w:rPr>
        <w:t>9</w:t>
      </w:r>
      <w:r w:rsidRPr="00D2165A">
        <w:rPr>
          <w:sz w:val="18"/>
          <w:lang w:val="en-US"/>
        </w:rPr>
        <w:t>/l, Grade 4 &lt; 0.5 × 10</w:t>
      </w:r>
      <w:r w:rsidRPr="00D2165A">
        <w:rPr>
          <w:position w:val="6"/>
          <w:sz w:val="12"/>
          <w:lang w:val="en-US"/>
        </w:rPr>
        <w:t>9</w:t>
      </w:r>
      <w:r w:rsidRPr="00D2165A">
        <w:rPr>
          <w:sz w:val="18"/>
          <w:lang w:val="en-US"/>
        </w:rPr>
        <w:t>/l); thrombocytopaenia (Grade 3 ≥ 25 –</w:t>
      </w:r>
    </w:p>
    <w:p w:rsidR="000E0BC4" w:rsidRPr="00D2165A" w:rsidRDefault="000E0BC4" w:rsidP="000E0BC4">
      <w:pPr>
        <w:spacing w:line="209" w:lineRule="exact"/>
        <w:ind w:left="323"/>
        <w:rPr>
          <w:sz w:val="18"/>
          <w:lang w:val="en-US"/>
        </w:rPr>
      </w:pPr>
      <w:r w:rsidRPr="00D2165A">
        <w:rPr>
          <w:sz w:val="18"/>
          <w:lang w:val="en-US"/>
        </w:rPr>
        <w:t>&lt; 50 × 10</w:t>
      </w:r>
      <w:r w:rsidRPr="00D2165A">
        <w:rPr>
          <w:position w:val="6"/>
          <w:sz w:val="12"/>
          <w:lang w:val="en-US"/>
        </w:rPr>
        <w:t>9</w:t>
      </w:r>
      <w:r w:rsidRPr="00D2165A">
        <w:rPr>
          <w:sz w:val="18"/>
          <w:lang w:val="en-US"/>
        </w:rPr>
        <w:t>/l, Grade 4 &lt; 25 × 10</w:t>
      </w:r>
      <w:r w:rsidRPr="00D2165A">
        <w:rPr>
          <w:position w:val="6"/>
          <w:sz w:val="12"/>
          <w:lang w:val="en-US"/>
        </w:rPr>
        <w:t>9</w:t>
      </w:r>
      <w:r w:rsidRPr="00D2165A">
        <w:rPr>
          <w:sz w:val="18"/>
          <w:lang w:val="en-US"/>
        </w:rPr>
        <w:t>/l); anaemia (haemoglobin Grade 3 ≥ 65 – &lt; 80 g/l, Grade 4 &lt; 65 g/l).</w:t>
      </w:r>
    </w:p>
    <w:p w:rsidR="000E0BC4" w:rsidRPr="0026246B" w:rsidRDefault="000E0BC4" w:rsidP="0026246B">
      <w:pPr>
        <w:pStyle w:val="Brdtekst"/>
        <w:ind w:left="851"/>
        <w:rPr>
          <w:sz w:val="24"/>
          <w:szCs w:val="24"/>
        </w:rPr>
      </w:pPr>
    </w:p>
    <w:p w:rsidR="000E0BC4" w:rsidRPr="0026246B" w:rsidRDefault="000E0BC4" w:rsidP="0026246B">
      <w:pPr>
        <w:pStyle w:val="Brdtekst"/>
        <w:ind w:left="851"/>
        <w:rPr>
          <w:sz w:val="24"/>
          <w:szCs w:val="24"/>
        </w:rPr>
      </w:pPr>
      <w:r w:rsidRPr="0026246B">
        <w:rPr>
          <w:w w:val="105"/>
          <w:sz w:val="24"/>
          <w:szCs w:val="24"/>
        </w:rPr>
        <w:t>Cumulative grade 3 or 4 cytopaenias among patients treated with 100 mg once daily were similar at</w:t>
      </w:r>
      <w:r w:rsidR="0026246B">
        <w:rPr>
          <w:w w:val="105"/>
          <w:sz w:val="24"/>
          <w:szCs w:val="24"/>
        </w:rPr>
        <w:t xml:space="preserve"> </w:t>
      </w:r>
      <w:r w:rsidRPr="0026246B">
        <w:rPr>
          <w:w w:val="105"/>
          <w:sz w:val="24"/>
          <w:szCs w:val="24"/>
        </w:rPr>
        <w:t>2 and 5 years including: neutropaenia (35% vs. 36%), thrombocytopaenia (23% vs. 24%) and anaemia</w:t>
      </w:r>
      <w:r w:rsidR="0026246B">
        <w:rPr>
          <w:w w:val="105"/>
          <w:sz w:val="24"/>
          <w:szCs w:val="24"/>
        </w:rPr>
        <w:t xml:space="preserve"> </w:t>
      </w:r>
      <w:r w:rsidRPr="0026246B">
        <w:rPr>
          <w:w w:val="105"/>
          <w:sz w:val="24"/>
          <w:szCs w:val="24"/>
        </w:rPr>
        <w:t>(13% vs. 13%).</w:t>
      </w:r>
    </w:p>
    <w:p w:rsidR="000E0BC4" w:rsidRPr="0026246B" w:rsidRDefault="000E0BC4" w:rsidP="0026246B">
      <w:pPr>
        <w:pStyle w:val="Brdtekst"/>
        <w:ind w:left="851" w:right="453"/>
        <w:rPr>
          <w:sz w:val="24"/>
          <w:szCs w:val="24"/>
        </w:rPr>
      </w:pPr>
      <w:r w:rsidRPr="0026246B">
        <w:rPr>
          <w:w w:val="105"/>
          <w:sz w:val="24"/>
          <w:szCs w:val="24"/>
        </w:rPr>
        <w:t>In</w:t>
      </w:r>
      <w:r w:rsidRPr="0026246B">
        <w:rPr>
          <w:spacing w:val="-14"/>
          <w:w w:val="105"/>
          <w:sz w:val="24"/>
          <w:szCs w:val="24"/>
        </w:rPr>
        <w:t xml:space="preserve"> </w:t>
      </w:r>
      <w:r w:rsidRPr="0026246B">
        <w:rPr>
          <w:w w:val="105"/>
          <w:sz w:val="24"/>
          <w:szCs w:val="24"/>
        </w:rPr>
        <w:t>patients</w:t>
      </w:r>
      <w:r w:rsidRPr="0026246B">
        <w:rPr>
          <w:spacing w:val="-14"/>
          <w:w w:val="105"/>
          <w:sz w:val="24"/>
          <w:szCs w:val="24"/>
        </w:rPr>
        <w:t xml:space="preserve"> </w:t>
      </w:r>
      <w:r w:rsidRPr="0026246B">
        <w:rPr>
          <w:w w:val="105"/>
          <w:sz w:val="24"/>
          <w:szCs w:val="24"/>
        </w:rPr>
        <w:t>who</w:t>
      </w:r>
      <w:r w:rsidRPr="0026246B">
        <w:rPr>
          <w:spacing w:val="-12"/>
          <w:w w:val="105"/>
          <w:sz w:val="24"/>
          <w:szCs w:val="24"/>
        </w:rPr>
        <w:t xml:space="preserve"> </w:t>
      </w:r>
      <w:r w:rsidRPr="0026246B">
        <w:rPr>
          <w:w w:val="105"/>
          <w:sz w:val="24"/>
          <w:szCs w:val="24"/>
        </w:rPr>
        <w:t>experienced</w:t>
      </w:r>
      <w:r w:rsidRPr="0026246B">
        <w:rPr>
          <w:spacing w:val="-15"/>
          <w:w w:val="105"/>
          <w:sz w:val="24"/>
          <w:szCs w:val="24"/>
        </w:rPr>
        <w:t xml:space="preserve"> </w:t>
      </w:r>
      <w:r w:rsidRPr="0026246B">
        <w:rPr>
          <w:w w:val="105"/>
          <w:sz w:val="24"/>
          <w:szCs w:val="24"/>
        </w:rPr>
        <w:t>grade</w:t>
      </w:r>
      <w:r w:rsidRPr="0026246B">
        <w:rPr>
          <w:spacing w:val="-13"/>
          <w:w w:val="105"/>
          <w:sz w:val="24"/>
          <w:szCs w:val="24"/>
        </w:rPr>
        <w:t xml:space="preserve"> </w:t>
      </w:r>
      <w:r w:rsidRPr="0026246B">
        <w:rPr>
          <w:w w:val="105"/>
          <w:sz w:val="24"/>
          <w:szCs w:val="24"/>
        </w:rPr>
        <w:t>3</w:t>
      </w:r>
      <w:r w:rsidRPr="0026246B">
        <w:rPr>
          <w:spacing w:val="-14"/>
          <w:w w:val="105"/>
          <w:sz w:val="24"/>
          <w:szCs w:val="24"/>
        </w:rPr>
        <w:t xml:space="preserve"> </w:t>
      </w:r>
      <w:r w:rsidRPr="0026246B">
        <w:rPr>
          <w:w w:val="105"/>
          <w:sz w:val="24"/>
          <w:szCs w:val="24"/>
        </w:rPr>
        <w:t>or</w:t>
      </w:r>
      <w:r w:rsidRPr="0026246B">
        <w:rPr>
          <w:spacing w:val="-13"/>
          <w:w w:val="105"/>
          <w:sz w:val="24"/>
          <w:szCs w:val="24"/>
        </w:rPr>
        <w:t xml:space="preserve"> </w:t>
      </w:r>
      <w:r w:rsidRPr="0026246B">
        <w:rPr>
          <w:w w:val="105"/>
          <w:sz w:val="24"/>
          <w:szCs w:val="24"/>
        </w:rPr>
        <w:t>4</w:t>
      </w:r>
      <w:r w:rsidRPr="0026246B">
        <w:rPr>
          <w:spacing w:val="-13"/>
          <w:w w:val="105"/>
          <w:sz w:val="24"/>
          <w:szCs w:val="24"/>
        </w:rPr>
        <w:t xml:space="preserve"> </w:t>
      </w:r>
      <w:r w:rsidRPr="0026246B">
        <w:rPr>
          <w:w w:val="105"/>
          <w:sz w:val="24"/>
          <w:szCs w:val="24"/>
        </w:rPr>
        <w:t>myelosuppression,</w:t>
      </w:r>
      <w:r w:rsidRPr="0026246B">
        <w:rPr>
          <w:spacing w:val="-13"/>
          <w:w w:val="105"/>
          <w:sz w:val="24"/>
          <w:szCs w:val="24"/>
        </w:rPr>
        <w:t xml:space="preserve"> </w:t>
      </w:r>
      <w:r w:rsidRPr="0026246B">
        <w:rPr>
          <w:w w:val="105"/>
          <w:sz w:val="24"/>
          <w:szCs w:val="24"/>
        </w:rPr>
        <w:t>recovery</w:t>
      </w:r>
      <w:r w:rsidRPr="0026246B">
        <w:rPr>
          <w:spacing w:val="-12"/>
          <w:w w:val="105"/>
          <w:sz w:val="24"/>
          <w:szCs w:val="24"/>
        </w:rPr>
        <w:t xml:space="preserve"> </w:t>
      </w:r>
      <w:r w:rsidRPr="0026246B">
        <w:rPr>
          <w:w w:val="105"/>
          <w:sz w:val="24"/>
          <w:szCs w:val="24"/>
        </w:rPr>
        <w:t>generally</w:t>
      </w:r>
      <w:r w:rsidRPr="0026246B">
        <w:rPr>
          <w:spacing w:val="-12"/>
          <w:w w:val="105"/>
          <w:sz w:val="24"/>
          <w:szCs w:val="24"/>
        </w:rPr>
        <w:t xml:space="preserve"> </w:t>
      </w:r>
      <w:r w:rsidRPr="0026246B">
        <w:rPr>
          <w:w w:val="105"/>
          <w:sz w:val="24"/>
          <w:szCs w:val="24"/>
        </w:rPr>
        <w:t>occurred</w:t>
      </w:r>
      <w:r w:rsidRPr="0026246B">
        <w:rPr>
          <w:spacing w:val="-15"/>
          <w:w w:val="105"/>
          <w:sz w:val="24"/>
          <w:szCs w:val="24"/>
        </w:rPr>
        <w:t xml:space="preserve"> </w:t>
      </w:r>
      <w:r w:rsidRPr="0026246B">
        <w:rPr>
          <w:w w:val="105"/>
          <w:sz w:val="24"/>
          <w:szCs w:val="24"/>
        </w:rPr>
        <w:t>following brief dose interruptions and/or reductions and permanent discontinuation of treatment occurred in 5%</w:t>
      </w:r>
      <w:r w:rsidRPr="0026246B">
        <w:rPr>
          <w:spacing w:val="-14"/>
          <w:w w:val="105"/>
          <w:sz w:val="24"/>
          <w:szCs w:val="24"/>
        </w:rPr>
        <w:t xml:space="preserve"> </w:t>
      </w:r>
      <w:r w:rsidRPr="0026246B">
        <w:rPr>
          <w:w w:val="105"/>
          <w:sz w:val="24"/>
          <w:szCs w:val="24"/>
        </w:rPr>
        <w:t>of</w:t>
      </w:r>
      <w:r w:rsidRPr="0026246B">
        <w:rPr>
          <w:spacing w:val="-15"/>
          <w:w w:val="105"/>
          <w:sz w:val="24"/>
          <w:szCs w:val="24"/>
        </w:rPr>
        <w:t xml:space="preserve"> </w:t>
      </w:r>
      <w:r w:rsidRPr="0026246B">
        <w:rPr>
          <w:w w:val="105"/>
          <w:sz w:val="24"/>
          <w:szCs w:val="24"/>
        </w:rPr>
        <w:t>patients.</w:t>
      </w:r>
      <w:r w:rsidRPr="0026246B">
        <w:rPr>
          <w:spacing w:val="-14"/>
          <w:w w:val="105"/>
          <w:sz w:val="24"/>
          <w:szCs w:val="24"/>
        </w:rPr>
        <w:t xml:space="preserve"> </w:t>
      </w:r>
      <w:r w:rsidRPr="0026246B">
        <w:rPr>
          <w:w w:val="105"/>
          <w:sz w:val="24"/>
          <w:szCs w:val="24"/>
        </w:rPr>
        <w:t>Most</w:t>
      </w:r>
      <w:r w:rsidRPr="0026246B">
        <w:rPr>
          <w:spacing w:val="-15"/>
          <w:w w:val="105"/>
          <w:sz w:val="24"/>
          <w:szCs w:val="24"/>
        </w:rPr>
        <w:t xml:space="preserve"> </w:t>
      </w:r>
      <w:r w:rsidRPr="0026246B">
        <w:rPr>
          <w:w w:val="105"/>
          <w:sz w:val="24"/>
          <w:szCs w:val="24"/>
        </w:rPr>
        <w:t>patients</w:t>
      </w:r>
      <w:r w:rsidRPr="0026246B">
        <w:rPr>
          <w:spacing w:val="-15"/>
          <w:w w:val="105"/>
          <w:sz w:val="24"/>
          <w:szCs w:val="24"/>
        </w:rPr>
        <w:t xml:space="preserve"> </w:t>
      </w:r>
      <w:r w:rsidRPr="0026246B">
        <w:rPr>
          <w:w w:val="105"/>
          <w:sz w:val="24"/>
          <w:szCs w:val="24"/>
        </w:rPr>
        <w:t>continued</w:t>
      </w:r>
      <w:r w:rsidRPr="0026246B">
        <w:rPr>
          <w:spacing w:val="-14"/>
          <w:w w:val="105"/>
          <w:sz w:val="24"/>
          <w:szCs w:val="24"/>
        </w:rPr>
        <w:t xml:space="preserve"> </w:t>
      </w:r>
      <w:r w:rsidRPr="0026246B">
        <w:rPr>
          <w:w w:val="105"/>
          <w:sz w:val="24"/>
          <w:szCs w:val="24"/>
        </w:rPr>
        <w:t>treatment</w:t>
      </w:r>
      <w:r w:rsidRPr="0026246B">
        <w:rPr>
          <w:spacing w:val="-15"/>
          <w:w w:val="105"/>
          <w:sz w:val="24"/>
          <w:szCs w:val="24"/>
        </w:rPr>
        <w:t xml:space="preserve"> </w:t>
      </w:r>
      <w:r w:rsidRPr="0026246B">
        <w:rPr>
          <w:w w:val="105"/>
          <w:sz w:val="24"/>
          <w:szCs w:val="24"/>
        </w:rPr>
        <w:t>without</w:t>
      </w:r>
      <w:r w:rsidRPr="0026246B">
        <w:rPr>
          <w:spacing w:val="-14"/>
          <w:w w:val="105"/>
          <w:sz w:val="24"/>
          <w:szCs w:val="24"/>
        </w:rPr>
        <w:t xml:space="preserve"> </w:t>
      </w:r>
      <w:r w:rsidRPr="0026246B">
        <w:rPr>
          <w:w w:val="105"/>
          <w:sz w:val="24"/>
          <w:szCs w:val="24"/>
        </w:rPr>
        <w:t>further</w:t>
      </w:r>
      <w:r w:rsidRPr="0026246B">
        <w:rPr>
          <w:spacing w:val="-15"/>
          <w:w w:val="105"/>
          <w:sz w:val="24"/>
          <w:szCs w:val="24"/>
        </w:rPr>
        <w:t xml:space="preserve"> </w:t>
      </w:r>
      <w:r w:rsidRPr="0026246B">
        <w:rPr>
          <w:w w:val="105"/>
          <w:sz w:val="24"/>
          <w:szCs w:val="24"/>
        </w:rPr>
        <w:t>evidence</w:t>
      </w:r>
      <w:r w:rsidRPr="0026246B">
        <w:rPr>
          <w:spacing w:val="-14"/>
          <w:w w:val="105"/>
          <w:sz w:val="24"/>
          <w:szCs w:val="24"/>
        </w:rPr>
        <w:t xml:space="preserve"> </w:t>
      </w:r>
      <w:r w:rsidRPr="0026246B">
        <w:rPr>
          <w:w w:val="105"/>
          <w:sz w:val="24"/>
          <w:szCs w:val="24"/>
        </w:rPr>
        <w:t>of</w:t>
      </w:r>
      <w:r w:rsidRPr="0026246B">
        <w:rPr>
          <w:spacing w:val="-14"/>
          <w:w w:val="105"/>
          <w:sz w:val="24"/>
          <w:szCs w:val="24"/>
        </w:rPr>
        <w:t xml:space="preserve"> </w:t>
      </w:r>
      <w:r w:rsidRPr="0026246B">
        <w:rPr>
          <w:w w:val="105"/>
          <w:sz w:val="24"/>
          <w:szCs w:val="24"/>
        </w:rPr>
        <w:t>myelosuppression.</w:t>
      </w:r>
    </w:p>
    <w:p w:rsidR="000E0BC4" w:rsidRPr="0026246B" w:rsidRDefault="000E0BC4" w:rsidP="0026246B">
      <w:pPr>
        <w:pStyle w:val="Brdtekst"/>
        <w:ind w:left="851"/>
        <w:rPr>
          <w:sz w:val="24"/>
          <w:szCs w:val="24"/>
        </w:rPr>
      </w:pPr>
    </w:p>
    <w:p w:rsidR="000E0BC4" w:rsidRPr="0026246B" w:rsidRDefault="000E0BC4" w:rsidP="0026246B">
      <w:pPr>
        <w:ind w:left="851"/>
        <w:rPr>
          <w:i/>
          <w:sz w:val="24"/>
          <w:szCs w:val="24"/>
          <w:lang w:val="en-US"/>
        </w:rPr>
      </w:pPr>
      <w:r w:rsidRPr="0026246B">
        <w:rPr>
          <w:i/>
          <w:w w:val="105"/>
          <w:sz w:val="24"/>
          <w:szCs w:val="24"/>
          <w:lang w:val="en-US"/>
        </w:rPr>
        <w:t>Biochemistry</w:t>
      </w:r>
    </w:p>
    <w:p w:rsidR="000E0BC4" w:rsidRPr="0026246B" w:rsidRDefault="000E0BC4" w:rsidP="0026246B">
      <w:pPr>
        <w:pStyle w:val="Brdtekst"/>
        <w:ind w:left="851" w:right="524"/>
        <w:rPr>
          <w:sz w:val="24"/>
          <w:szCs w:val="24"/>
        </w:rPr>
      </w:pPr>
      <w:r w:rsidRPr="0026246B">
        <w:rPr>
          <w:w w:val="105"/>
          <w:sz w:val="24"/>
          <w:szCs w:val="24"/>
        </w:rPr>
        <w:t>In</w:t>
      </w:r>
      <w:r w:rsidRPr="0026246B">
        <w:rPr>
          <w:spacing w:val="-12"/>
          <w:w w:val="105"/>
          <w:sz w:val="24"/>
          <w:szCs w:val="24"/>
        </w:rPr>
        <w:t xml:space="preserve"> </w:t>
      </w:r>
      <w:r w:rsidRPr="0026246B">
        <w:rPr>
          <w:w w:val="105"/>
          <w:sz w:val="24"/>
          <w:szCs w:val="24"/>
        </w:rPr>
        <w:t>the</w:t>
      </w:r>
      <w:r w:rsidRPr="0026246B">
        <w:rPr>
          <w:spacing w:val="-12"/>
          <w:w w:val="105"/>
          <w:sz w:val="24"/>
          <w:szCs w:val="24"/>
        </w:rPr>
        <w:t xml:space="preserve"> </w:t>
      </w:r>
      <w:r w:rsidRPr="0026246B">
        <w:rPr>
          <w:w w:val="105"/>
          <w:sz w:val="24"/>
          <w:szCs w:val="24"/>
        </w:rPr>
        <w:t>newly</w:t>
      </w:r>
      <w:r w:rsidRPr="0026246B">
        <w:rPr>
          <w:spacing w:val="-10"/>
          <w:w w:val="105"/>
          <w:sz w:val="24"/>
          <w:szCs w:val="24"/>
        </w:rPr>
        <w:t xml:space="preserve"> </w:t>
      </w:r>
      <w:r w:rsidRPr="0026246B">
        <w:rPr>
          <w:w w:val="105"/>
          <w:sz w:val="24"/>
          <w:szCs w:val="24"/>
        </w:rPr>
        <w:t>diagnosed</w:t>
      </w:r>
      <w:r w:rsidRPr="0026246B">
        <w:rPr>
          <w:spacing w:val="-12"/>
          <w:w w:val="105"/>
          <w:sz w:val="24"/>
          <w:szCs w:val="24"/>
        </w:rPr>
        <w:t xml:space="preserve"> </w:t>
      </w:r>
      <w:r w:rsidRPr="0026246B">
        <w:rPr>
          <w:w w:val="105"/>
          <w:sz w:val="24"/>
          <w:szCs w:val="24"/>
        </w:rPr>
        <w:t>chronic</w:t>
      </w:r>
      <w:r w:rsidRPr="0026246B">
        <w:rPr>
          <w:spacing w:val="-12"/>
          <w:w w:val="105"/>
          <w:sz w:val="24"/>
          <w:szCs w:val="24"/>
        </w:rPr>
        <w:t xml:space="preserve"> </w:t>
      </w:r>
      <w:r w:rsidRPr="0026246B">
        <w:rPr>
          <w:w w:val="105"/>
          <w:sz w:val="24"/>
          <w:szCs w:val="24"/>
        </w:rPr>
        <w:t>phase</w:t>
      </w:r>
      <w:r w:rsidRPr="0026246B">
        <w:rPr>
          <w:spacing w:val="-12"/>
          <w:w w:val="105"/>
          <w:sz w:val="24"/>
          <w:szCs w:val="24"/>
        </w:rPr>
        <w:t xml:space="preserve"> </w:t>
      </w:r>
      <w:r w:rsidRPr="0026246B">
        <w:rPr>
          <w:w w:val="105"/>
          <w:sz w:val="24"/>
          <w:szCs w:val="24"/>
        </w:rPr>
        <w:t>CML</w:t>
      </w:r>
      <w:r w:rsidRPr="0026246B">
        <w:rPr>
          <w:spacing w:val="-11"/>
          <w:w w:val="105"/>
          <w:sz w:val="24"/>
          <w:szCs w:val="24"/>
        </w:rPr>
        <w:t xml:space="preserve"> </w:t>
      </w:r>
      <w:r w:rsidRPr="0026246B">
        <w:rPr>
          <w:w w:val="105"/>
          <w:sz w:val="24"/>
          <w:szCs w:val="24"/>
        </w:rPr>
        <w:t>study,</w:t>
      </w:r>
      <w:r w:rsidRPr="0026246B">
        <w:rPr>
          <w:spacing w:val="-11"/>
          <w:w w:val="105"/>
          <w:sz w:val="24"/>
          <w:szCs w:val="24"/>
        </w:rPr>
        <w:t xml:space="preserve"> </w:t>
      </w:r>
      <w:r w:rsidRPr="0026246B">
        <w:rPr>
          <w:w w:val="105"/>
          <w:sz w:val="24"/>
          <w:szCs w:val="24"/>
        </w:rPr>
        <w:t>grade</w:t>
      </w:r>
      <w:r w:rsidRPr="0026246B">
        <w:rPr>
          <w:spacing w:val="-11"/>
          <w:w w:val="105"/>
          <w:sz w:val="24"/>
          <w:szCs w:val="24"/>
        </w:rPr>
        <w:t xml:space="preserve"> </w:t>
      </w:r>
      <w:r w:rsidRPr="0026246B">
        <w:rPr>
          <w:w w:val="105"/>
          <w:sz w:val="24"/>
          <w:szCs w:val="24"/>
        </w:rPr>
        <w:t>3</w:t>
      </w:r>
      <w:r w:rsidRPr="0026246B">
        <w:rPr>
          <w:spacing w:val="-12"/>
          <w:w w:val="105"/>
          <w:sz w:val="24"/>
          <w:szCs w:val="24"/>
        </w:rPr>
        <w:t xml:space="preserve"> </w:t>
      </w:r>
      <w:r w:rsidRPr="0026246B">
        <w:rPr>
          <w:w w:val="105"/>
          <w:sz w:val="24"/>
          <w:szCs w:val="24"/>
        </w:rPr>
        <w:t>or</w:t>
      </w:r>
      <w:r w:rsidRPr="0026246B">
        <w:rPr>
          <w:spacing w:val="-10"/>
          <w:w w:val="105"/>
          <w:sz w:val="24"/>
          <w:szCs w:val="24"/>
        </w:rPr>
        <w:t xml:space="preserve"> </w:t>
      </w:r>
      <w:r w:rsidRPr="0026246B">
        <w:rPr>
          <w:w w:val="105"/>
          <w:sz w:val="24"/>
          <w:szCs w:val="24"/>
        </w:rPr>
        <w:t>4</w:t>
      </w:r>
      <w:r w:rsidRPr="0026246B">
        <w:rPr>
          <w:spacing w:val="-12"/>
          <w:w w:val="105"/>
          <w:sz w:val="24"/>
          <w:szCs w:val="24"/>
        </w:rPr>
        <w:t xml:space="preserve"> </w:t>
      </w:r>
      <w:r w:rsidRPr="0026246B">
        <w:rPr>
          <w:w w:val="105"/>
          <w:sz w:val="24"/>
          <w:szCs w:val="24"/>
        </w:rPr>
        <w:t>hypophosphataemia</w:t>
      </w:r>
      <w:r w:rsidRPr="0026246B">
        <w:rPr>
          <w:spacing w:val="-11"/>
          <w:w w:val="105"/>
          <w:sz w:val="24"/>
          <w:szCs w:val="24"/>
        </w:rPr>
        <w:t xml:space="preserve"> </w:t>
      </w:r>
      <w:r w:rsidRPr="0026246B">
        <w:rPr>
          <w:w w:val="105"/>
          <w:sz w:val="24"/>
          <w:szCs w:val="24"/>
        </w:rPr>
        <w:t>was</w:t>
      </w:r>
      <w:r w:rsidRPr="0026246B">
        <w:rPr>
          <w:spacing w:val="-12"/>
          <w:w w:val="105"/>
          <w:sz w:val="24"/>
          <w:szCs w:val="24"/>
        </w:rPr>
        <w:t xml:space="preserve"> </w:t>
      </w:r>
      <w:r w:rsidRPr="0026246B">
        <w:rPr>
          <w:w w:val="105"/>
          <w:sz w:val="24"/>
          <w:szCs w:val="24"/>
        </w:rPr>
        <w:t>reported in</w:t>
      </w:r>
      <w:r w:rsidRPr="0026246B">
        <w:rPr>
          <w:spacing w:val="-13"/>
          <w:w w:val="105"/>
          <w:sz w:val="24"/>
          <w:szCs w:val="24"/>
        </w:rPr>
        <w:t xml:space="preserve"> </w:t>
      </w:r>
      <w:r w:rsidRPr="0026246B">
        <w:rPr>
          <w:w w:val="105"/>
          <w:sz w:val="24"/>
          <w:szCs w:val="24"/>
        </w:rPr>
        <w:t>4%</w:t>
      </w:r>
      <w:r w:rsidRPr="0026246B">
        <w:rPr>
          <w:spacing w:val="-13"/>
          <w:w w:val="105"/>
          <w:sz w:val="24"/>
          <w:szCs w:val="24"/>
        </w:rPr>
        <w:t xml:space="preserve"> </w:t>
      </w:r>
      <w:r w:rsidRPr="0026246B">
        <w:rPr>
          <w:w w:val="105"/>
          <w:sz w:val="24"/>
          <w:szCs w:val="24"/>
        </w:rPr>
        <w:t>of</w:t>
      </w:r>
      <w:r w:rsidRPr="0026246B">
        <w:rPr>
          <w:spacing w:val="-12"/>
          <w:w w:val="105"/>
          <w:sz w:val="24"/>
          <w:szCs w:val="24"/>
        </w:rPr>
        <w:t xml:space="preserve"> </w:t>
      </w:r>
      <w:r w:rsidRPr="0026246B">
        <w:rPr>
          <w:sz w:val="24"/>
          <w:szCs w:val="24"/>
        </w:rPr>
        <w:t>dasatinib</w:t>
      </w:r>
      <w:r w:rsidRPr="0026246B">
        <w:rPr>
          <w:w w:val="105"/>
          <w:sz w:val="24"/>
          <w:szCs w:val="24"/>
        </w:rPr>
        <w:t>-treated</w:t>
      </w:r>
      <w:r w:rsidRPr="0026246B">
        <w:rPr>
          <w:spacing w:val="-13"/>
          <w:w w:val="105"/>
          <w:sz w:val="24"/>
          <w:szCs w:val="24"/>
        </w:rPr>
        <w:t xml:space="preserve"> </w:t>
      </w:r>
      <w:r w:rsidRPr="0026246B">
        <w:rPr>
          <w:w w:val="105"/>
          <w:sz w:val="24"/>
          <w:szCs w:val="24"/>
        </w:rPr>
        <w:t>patients,</w:t>
      </w:r>
      <w:r w:rsidRPr="0026246B">
        <w:rPr>
          <w:spacing w:val="-13"/>
          <w:w w:val="105"/>
          <w:sz w:val="24"/>
          <w:szCs w:val="24"/>
        </w:rPr>
        <w:t xml:space="preserve"> </w:t>
      </w:r>
      <w:r w:rsidRPr="0026246B">
        <w:rPr>
          <w:w w:val="105"/>
          <w:sz w:val="24"/>
          <w:szCs w:val="24"/>
        </w:rPr>
        <w:t>and</w:t>
      </w:r>
      <w:r w:rsidRPr="0026246B">
        <w:rPr>
          <w:spacing w:val="-13"/>
          <w:w w:val="105"/>
          <w:sz w:val="24"/>
          <w:szCs w:val="24"/>
        </w:rPr>
        <w:t xml:space="preserve"> </w:t>
      </w:r>
      <w:r w:rsidRPr="0026246B">
        <w:rPr>
          <w:w w:val="105"/>
          <w:sz w:val="24"/>
          <w:szCs w:val="24"/>
        </w:rPr>
        <w:t>grade</w:t>
      </w:r>
      <w:r w:rsidRPr="0026246B">
        <w:rPr>
          <w:spacing w:val="-13"/>
          <w:w w:val="105"/>
          <w:sz w:val="24"/>
          <w:szCs w:val="24"/>
        </w:rPr>
        <w:t xml:space="preserve"> </w:t>
      </w:r>
      <w:r w:rsidRPr="0026246B">
        <w:rPr>
          <w:w w:val="105"/>
          <w:sz w:val="24"/>
          <w:szCs w:val="24"/>
        </w:rPr>
        <w:t>3</w:t>
      </w:r>
      <w:r w:rsidRPr="0026246B">
        <w:rPr>
          <w:spacing w:val="-12"/>
          <w:w w:val="105"/>
          <w:sz w:val="24"/>
          <w:szCs w:val="24"/>
        </w:rPr>
        <w:t xml:space="preserve"> </w:t>
      </w:r>
      <w:r w:rsidRPr="0026246B">
        <w:rPr>
          <w:w w:val="105"/>
          <w:sz w:val="24"/>
          <w:szCs w:val="24"/>
        </w:rPr>
        <w:t>or</w:t>
      </w:r>
      <w:r w:rsidRPr="0026246B">
        <w:rPr>
          <w:spacing w:val="-13"/>
          <w:w w:val="105"/>
          <w:sz w:val="24"/>
          <w:szCs w:val="24"/>
        </w:rPr>
        <w:t xml:space="preserve"> </w:t>
      </w:r>
      <w:r w:rsidRPr="0026246B">
        <w:rPr>
          <w:w w:val="105"/>
          <w:sz w:val="24"/>
          <w:szCs w:val="24"/>
        </w:rPr>
        <w:t>4</w:t>
      </w:r>
      <w:r w:rsidRPr="0026246B">
        <w:rPr>
          <w:spacing w:val="-12"/>
          <w:w w:val="105"/>
          <w:sz w:val="24"/>
          <w:szCs w:val="24"/>
        </w:rPr>
        <w:t xml:space="preserve"> </w:t>
      </w:r>
      <w:r w:rsidRPr="0026246B">
        <w:rPr>
          <w:w w:val="105"/>
          <w:sz w:val="24"/>
          <w:szCs w:val="24"/>
        </w:rPr>
        <w:t>elevations</w:t>
      </w:r>
      <w:r w:rsidRPr="0026246B">
        <w:rPr>
          <w:spacing w:val="-12"/>
          <w:w w:val="105"/>
          <w:sz w:val="24"/>
          <w:szCs w:val="24"/>
        </w:rPr>
        <w:t xml:space="preserve"> </w:t>
      </w:r>
      <w:r w:rsidRPr="0026246B">
        <w:rPr>
          <w:w w:val="105"/>
          <w:sz w:val="24"/>
          <w:szCs w:val="24"/>
        </w:rPr>
        <w:t>of</w:t>
      </w:r>
      <w:r w:rsidRPr="0026246B">
        <w:rPr>
          <w:spacing w:val="-11"/>
          <w:w w:val="105"/>
          <w:sz w:val="24"/>
          <w:szCs w:val="24"/>
        </w:rPr>
        <w:t xml:space="preserve"> </w:t>
      </w:r>
      <w:r w:rsidRPr="0026246B">
        <w:rPr>
          <w:w w:val="105"/>
          <w:sz w:val="24"/>
          <w:szCs w:val="24"/>
        </w:rPr>
        <w:t>transaminases,</w:t>
      </w:r>
      <w:r w:rsidRPr="0026246B">
        <w:rPr>
          <w:spacing w:val="-12"/>
          <w:w w:val="105"/>
          <w:sz w:val="24"/>
          <w:szCs w:val="24"/>
        </w:rPr>
        <w:t xml:space="preserve"> </w:t>
      </w:r>
      <w:r w:rsidRPr="0026246B">
        <w:rPr>
          <w:w w:val="105"/>
          <w:sz w:val="24"/>
          <w:szCs w:val="24"/>
        </w:rPr>
        <w:t>creatinine,</w:t>
      </w:r>
      <w:r w:rsidRPr="0026246B">
        <w:rPr>
          <w:spacing w:val="-13"/>
          <w:w w:val="105"/>
          <w:sz w:val="24"/>
          <w:szCs w:val="24"/>
        </w:rPr>
        <w:t xml:space="preserve"> </w:t>
      </w:r>
      <w:r w:rsidRPr="0026246B">
        <w:rPr>
          <w:w w:val="105"/>
          <w:sz w:val="24"/>
          <w:szCs w:val="24"/>
        </w:rPr>
        <w:t>and</w:t>
      </w:r>
      <w:r w:rsidRPr="0026246B">
        <w:rPr>
          <w:sz w:val="24"/>
          <w:szCs w:val="24"/>
        </w:rPr>
        <w:t xml:space="preserve"> </w:t>
      </w:r>
      <w:r w:rsidRPr="0026246B">
        <w:rPr>
          <w:w w:val="105"/>
          <w:sz w:val="24"/>
          <w:szCs w:val="24"/>
        </w:rPr>
        <w:t>bilirubin</w:t>
      </w:r>
      <w:r w:rsidRPr="0026246B">
        <w:rPr>
          <w:spacing w:val="-10"/>
          <w:w w:val="105"/>
          <w:sz w:val="24"/>
          <w:szCs w:val="24"/>
        </w:rPr>
        <w:t xml:space="preserve"> </w:t>
      </w:r>
      <w:r w:rsidRPr="0026246B">
        <w:rPr>
          <w:w w:val="105"/>
          <w:sz w:val="24"/>
          <w:szCs w:val="24"/>
        </w:rPr>
        <w:t>were</w:t>
      </w:r>
      <w:r w:rsidRPr="0026246B">
        <w:rPr>
          <w:spacing w:val="-10"/>
          <w:w w:val="105"/>
          <w:sz w:val="24"/>
          <w:szCs w:val="24"/>
        </w:rPr>
        <w:t xml:space="preserve"> </w:t>
      </w:r>
      <w:r w:rsidRPr="0026246B">
        <w:rPr>
          <w:w w:val="105"/>
          <w:sz w:val="24"/>
          <w:szCs w:val="24"/>
        </w:rPr>
        <w:t>reported</w:t>
      </w:r>
      <w:r w:rsidRPr="0026246B">
        <w:rPr>
          <w:spacing w:val="-11"/>
          <w:w w:val="105"/>
          <w:sz w:val="24"/>
          <w:szCs w:val="24"/>
        </w:rPr>
        <w:t xml:space="preserve"> </w:t>
      </w:r>
      <w:r w:rsidRPr="0026246B">
        <w:rPr>
          <w:w w:val="105"/>
          <w:sz w:val="24"/>
          <w:szCs w:val="24"/>
        </w:rPr>
        <w:t>in</w:t>
      </w:r>
      <w:r w:rsidRPr="0026246B">
        <w:rPr>
          <w:spacing w:val="-10"/>
          <w:w w:val="105"/>
          <w:sz w:val="24"/>
          <w:szCs w:val="24"/>
        </w:rPr>
        <w:t xml:space="preserve"> </w:t>
      </w:r>
      <w:r w:rsidRPr="0026246B">
        <w:rPr>
          <w:w w:val="105"/>
          <w:sz w:val="24"/>
          <w:szCs w:val="24"/>
        </w:rPr>
        <w:t>≤</w:t>
      </w:r>
      <w:r w:rsidRPr="0026246B">
        <w:rPr>
          <w:spacing w:val="-10"/>
          <w:w w:val="105"/>
          <w:sz w:val="24"/>
          <w:szCs w:val="24"/>
        </w:rPr>
        <w:t xml:space="preserve"> </w:t>
      </w:r>
      <w:r w:rsidRPr="0026246B">
        <w:rPr>
          <w:w w:val="105"/>
          <w:sz w:val="24"/>
          <w:szCs w:val="24"/>
        </w:rPr>
        <w:t>1%</w:t>
      </w:r>
      <w:r w:rsidRPr="0026246B">
        <w:rPr>
          <w:spacing w:val="-10"/>
          <w:w w:val="105"/>
          <w:sz w:val="24"/>
          <w:szCs w:val="24"/>
        </w:rPr>
        <w:t xml:space="preserve"> </w:t>
      </w:r>
      <w:r w:rsidRPr="0026246B">
        <w:rPr>
          <w:w w:val="105"/>
          <w:sz w:val="24"/>
          <w:szCs w:val="24"/>
        </w:rPr>
        <w:t>of</w:t>
      </w:r>
      <w:r w:rsidRPr="0026246B">
        <w:rPr>
          <w:spacing w:val="-9"/>
          <w:w w:val="105"/>
          <w:sz w:val="24"/>
          <w:szCs w:val="24"/>
        </w:rPr>
        <w:t xml:space="preserve"> </w:t>
      </w:r>
      <w:r w:rsidRPr="0026246B">
        <w:rPr>
          <w:w w:val="105"/>
          <w:sz w:val="24"/>
          <w:szCs w:val="24"/>
        </w:rPr>
        <w:t>patients</w:t>
      </w:r>
      <w:r w:rsidRPr="0026246B">
        <w:rPr>
          <w:spacing w:val="-10"/>
          <w:w w:val="105"/>
          <w:sz w:val="24"/>
          <w:szCs w:val="24"/>
        </w:rPr>
        <w:t xml:space="preserve"> </w:t>
      </w:r>
      <w:r w:rsidRPr="0026246B">
        <w:rPr>
          <w:w w:val="105"/>
          <w:sz w:val="24"/>
          <w:szCs w:val="24"/>
        </w:rPr>
        <w:t>after</w:t>
      </w:r>
      <w:r w:rsidRPr="0026246B">
        <w:rPr>
          <w:spacing w:val="-9"/>
          <w:w w:val="105"/>
          <w:sz w:val="24"/>
          <w:szCs w:val="24"/>
        </w:rPr>
        <w:t xml:space="preserve"> </w:t>
      </w:r>
      <w:r w:rsidRPr="0026246B">
        <w:rPr>
          <w:w w:val="105"/>
          <w:sz w:val="24"/>
          <w:szCs w:val="24"/>
        </w:rPr>
        <w:t>a</w:t>
      </w:r>
      <w:r w:rsidRPr="0026246B">
        <w:rPr>
          <w:spacing w:val="-9"/>
          <w:w w:val="105"/>
          <w:sz w:val="24"/>
          <w:szCs w:val="24"/>
        </w:rPr>
        <w:t xml:space="preserve"> </w:t>
      </w:r>
      <w:r w:rsidRPr="0026246B">
        <w:rPr>
          <w:w w:val="105"/>
          <w:sz w:val="24"/>
          <w:szCs w:val="24"/>
        </w:rPr>
        <w:t>minimum</w:t>
      </w:r>
      <w:r w:rsidRPr="0026246B">
        <w:rPr>
          <w:spacing w:val="-10"/>
          <w:w w:val="105"/>
          <w:sz w:val="24"/>
          <w:szCs w:val="24"/>
        </w:rPr>
        <w:t xml:space="preserve"> </w:t>
      </w:r>
      <w:r w:rsidRPr="0026246B">
        <w:rPr>
          <w:w w:val="105"/>
          <w:sz w:val="24"/>
          <w:szCs w:val="24"/>
        </w:rPr>
        <w:t>of</w:t>
      </w:r>
      <w:r w:rsidRPr="0026246B">
        <w:rPr>
          <w:spacing w:val="-10"/>
          <w:w w:val="105"/>
          <w:sz w:val="24"/>
          <w:szCs w:val="24"/>
        </w:rPr>
        <w:t xml:space="preserve"> </w:t>
      </w:r>
      <w:r w:rsidRPr="0026246B">
        <w:rPr>
          <w:w w:val="105"/>
          <w:sz w:val="24"/>
          <w:szCs w:val="24"/>
        </w:rPr>
        <w:t>12</w:t>
      </w:r>
      <w:r w:rsidRPr="0026246B">
        <w:rPr>
          <w:spacing w:val="-9"/>
          <w:w w:val="105"/>
          <w:sz w:val="24"/>
          <w:szCs w:val="24"/>
        </w:rPr>
        <w:t xml:space="preserve"> </w:t>
      </w:r>
      <w:r w:rsidRPr="0026246B">
        <w:rPr>
          <w:w w:val="105"/>
          <w:sz w:val="24"/>
          <w:szCs w:val="24"/>
        </w:rPr>
        <w:t>months</w:t>
      </w:r>
      <w:r w:rsidRPr="0026246B">
        <w:rPr>
          <w:spacing w:val="-10"/>
          <w:w w:val="105"/>
          <w:sz w:val="24"/>
          <w:szCs w:val="24"/>
        </w:rPr>
        <w:t xml:space="preserve"> </w:t>
      </w:r>
      <w:r w:rsidRPr="0026246B">
        <w:rPr>
          <w:w w:val="105"/>
          <w:sz w:val="24"/>
          <w:szCs w:val="24"/>
        </w:rPr>
        <w:t>follow-up.</w:t>
      </w:r>
      <w:r w:rsidRPr="0026246B">
        <w:rPr>
          <w:spacing w:val="-10"/>
          <w:w w:val="105"/>
          <w:sz w:val="24"/>
          <w:szCs w:val="24"/>
        </w:rPr>
        <w:t xml:space="preserve"> </w:t>
      </w:r>
      <w:r w:rsidRPr="0026246B">
        <w:rPr>
          <w:w w:val="105"/>
          <w:sz w:val="24"/>
          <w:szCs w:val="24"/>
        </w:rPr>
        <w:t>After</w:t>
      </w:r>
      <w:r w:rsidRPr="0026246B">
        <w:rPr>
          <w:spacing w:val="-10"/>
          <w:w w:val="105"/>
          <w:sz w:val="24"/>
          <w:szCs w:val="24"/>
        </w:rPr>
        <w:t xml:space="preserve"> </w:t>
      </w:r>
      <w:r w:rsidRPr="0026246B">
        <w:rPr>
          <w:w w:val="105"/>
          <w:sz w:val="24"/>
          <w:szCs w:val="24"/>
        </w:rPr>
        <w:t>a</w:t>
      </w:r>
      <w:r w:rsidRPr="0026246B">
        <w:rPr>
          <w:spacing w:val="-8"/>
          <w:w w:val="105"/>
          <w:sz w:val="24"/>
          <w:szCs w:val="24"/>
        </w:rPr>
        <w:t xml:space="preserve"> </w:t>
      </w:r>
      <w:r w:rsidRPr="0026246B">
        <w:rPr>
          <w:w w:val="105"/>
          <w:sz w:val="24"/>
          <w:szCs w:val="24"/>
        </w:rPr>
        <w:t>minimum of</w:t>
      </w:r>
      <w:r w:rsidRPr="0026246B">
        <w:rPr>
          <w:spacing w:val="-11"/>
          <w:w w:val="105"/>
          <w:sz w:val="24"/>
          <w:szCs w:val="24"/>
        </w:rPr>
        <w:t xml:space="preserve"> </w:t>
      </w:r>
      <w:r w:rsidRPr="0026246B">
        <w:rPr>
          <w:w w:val="105"/>
          <w:sz w:val="24"/>
          <w:szCs w:val="24"/>
        </w:rPr>
        <w:t>60</w:t>
      </w:r>
      <w:r w:rsidRPr="0026246B">
        <w:rPr>
          <w:spacing w:val="-10"/>
          <w:w w:val="105"/>
          <w:sz w:val="24"/>
          <w:szCs w:val="24"/>
        </w:rPr>
        <w:t xml:space="preserve"> </w:t>
      </w:r>
      <w:r w:rsidRPr="0026246B">
        <w:rPr>
          <w:w w:val="105"/>
          <w:sz w:val="24"/>
          <w:szCs w:val="24"/>
        </w:rPr>
        <w:t>months</w:t>
      </w:r>
      <w:r w:rsidRPr="0026246B">
        <w:rPr>
          <w:spacing w:val="-11"/>
          <w:w w:val="105"/>
          <w:sz w:val="24"/>
          <w:szCs w:val="24"/>
        </w:rPr>
        <w:t xml:space="preserve"> </w:t>
      </w:r>
      <w:r w:rsidRPr="0026246B">
        <w:rPr>
          <w:w w:val="105"/>
          <w:sz w:val="24"/>
          <w:szCs w:val="24"/>
        </w:rPr>
        <w:t>follow-up</w:t>
      </w:r>
      <w:r w:rsidRPr="0026246B">
        <w:rPr>
          <w:spacing w:val="-11"/>
          <w:w w:val="105"/>
          <w:sz w:val="24"/>
          <w:szCs w:val="24"/>
        </w:rPr>
        <w:t xml:space="preserve"> </w:t>
      </w:r>
      <w:r w:rsidRPr="0026246B">
        <w:rPr>
          <w:w w:val="105"/>
          <w:sz w:val="24"/>
          <w:szCs w:val="24"/>
        </w:rPr>
        <w:t>the</w:t>
      </w:r>
      <w:r w:rsidRPr="0026246B">
        <w:rPr>
          <w:spacing w:val="-10"/>
          <w:w w:val="105"/>
          <w:sz w:val="24"/>
          <w:szCs w:val="24"/>
        </w:rPr>
        <w:t xml:space="preserve"> </w:t>
      </w:r>
      <w:r w:rsidRPr="0026246B">
        <w:rPr>
          <w:w w:val="105"/>
          <w:sz w:val="24"/>
          <w:szCs w:val="24"/>
        </w:rPr>
        <w:t>cumulative</w:t>
      </w:r>
      <w:r w:rsidRPr="0026246B">
        <w:rPr>
          <w:spacing w:val="-11"/>
          <w:w w:val="105"/>
          <w:sz w:val="24"/>
          <w:szCs w:val="24"/>
        </w:rPr>
        <w:t xml:space="preserve"> </w:t>
      </w:r>
      <w:r w:rsidRPr="0026246B">
        <w:rPr>
          <w:w w:val="105"/>
          <w:sz w:val="24"/>
          <w:szCs w:val="24"/>
        </w:rPr>
        <w:t>rate</w:t>
      </w:r>
      <w:r w:rsidRPr="0026246B">
        <w:rPr>
          <w:spacing w:val="-11"/>
          <w:w w:val="105"/>
          <w:sz w:val="24"/>
          <w:szCs w:val="24"/>
        </w:rPr>
        <w:t xml:space="preserve"> </w:t>
      </w:r>
      <w:r w:rsidRPr="0026246B">
        <w:rPr>
          <w:w w:val="105"/>
          <w:sz w:val="24"/>
          <w:szCs w:val="24"/>
        </w:rPr>
        <w:t>of</w:t>
      </w:r>
      <w:r w:rsidRPr="0026246B">
        <w:rPr>
          <w:spacing w:val="-10"/>
          <w:w w:val="105"/>
          <w:sz w:val="24"/>
          <w:szCs w:val="24"/>
        </w:rPr>
        <w:t xml:space="preserve"> </w:t>
      </w:r>
      <w:r w:rsidRPr="0026246B">
        <w:rPr>
          <w:w w:val="105"/>
          <w:sz w:val="24"/>
          <w:szCs w:val="24"/>
        </w:rPr>
        <w:t>grade</w:t>
      </w:r>
      <w:r w:rsidRPr="0026246B">
        <w:rPr>
          <w:spacing w:val="-10"/>
          <w:w w:val="105"/>
          <w:sz w:val="24"/>
          <w:szCs w:val="24"/>
        </w:rPr>
        <w:t xml:space="preserve"> </w:t>
      </w:r>
      <w:r w:rsidRPr="0026246B">
        <w:rPr>
          <w:w w:val="105"/>
          <w:sz w:val="24"/>
          <w:szCs w:val="24"/>
        </w:rPr>
        <w:t>3</w:t>
      </w:r>
      <w:r w:rsidRPr="0026246B">
        <w:rPr>
          <w:spacing w:val="-10"/>
          <w:w w:val="105"/>
          <w:sz w:val="24"/>
          <w:szCs w:val="24"/>
        </w:rPr>
        <w:t xml:space="preserve"> </w:t>
      </w:r>
      <w:r w:rsidRPr="0026246B">
        <w:rPr>
          <w:w w:val="105"/>
          <w:sz w:val="24"/>
          <w:szCs w:val="24"/>
        </w:rPr>
        <w:t>or</w:t>
      </w:r>
      <w:r w:rsidRPr="0026246B">
        <w:rPr>
          <w:spacing w:val="-11"/>
          <w:w w:val="105"/>
          <w:sz w:val="24"/>
          <w:szCs w:val="24"/>
        </w:rPr>
        <w:t xml:space="preserve"> </w:t>
      </w:r>
      <w:r w:rsidRPr="0026246B">
        <w:rPr>
          <w:w w:val="105"/>
          <w:sz w:val="24"/>
          <w:szCs w:val="24"/>
        </w:rPr>
        <w:t>4</w:t>
      </w:r>
      <w:r w:rsidRPr="0026246B">
        <w:rPr>
          <w:spacing w:val="-10"/>
          <w:w w:val="105"/>
          <w:sz w:val="24"/>
          <w:szCs w:val="24"/>
        </w:rPr>
        <w:t xml:space="preserve"> </w:t>
      </w:r>
      <w:r w:rsidRPr="0026246B">
        <w:rPr>
          <w:w w:val="105"/>
          <w:sz w:val="24"/>
          <w:szCs w:val="24"/>
        </w:rPr>
        <w:t>hypophosphataemia</w:t>
      </w:r>
      <w:r w:rsidRPr="0026246B">
        <w:rPr>
          <w:spacing w:val="-10"/>
          <w:w w:val="105"/>
          <w:sz w:val="24"/>
          <w:szCs w:val="24"/>
        </w:rPr>
        <w:t xml:space="preserve"> </w:t>
      </w:r>
      <w:r w:rsidRPr="0026246B">
        <w:rPr>
          <w:w w:val="105"/>
          <w:sz w:val="24"/>
          <w:szCs w:val="24"/>
        </w:rPr>
        <w:t>was</w:t>
      </w:r>
      <w:r w:rsidRPr="0026246B">
        <w:rPr>
          <w:spacing w:val="-10"/>
          <w:w w:val="105"/>
          <w:sz w:val="24"/>
          <w:szCs w:val="24"/>
        </w:rPr>
        <w:t xml:space="preserve"> </w:t>
      </w:r>
      <w:r w:rsidRPr="0026246B">
        <w:rPr>
          <w:w w:val="105"/>
          <w:sz w:val="24"/>
          <w:szCs w:val="24"/>
        </w:rPr>
        <w:t>7%, grade</w:t>
      </w:r>
      <w:r w:rsidRPr="0026246B">
        <w:rPr>
          <w:spacing w:val="-10"/>
          <w:w w:val="105"/>
          <w:sz w:val="24"/>
          <w:szCs w:val="24"/>
        </w:rPr>
        <w:t xml:space="preserve"> </w:t>
      </w:r>
      <w:r w:rsidRPr="0026246B">
        <w:rPr>
          <w:w w:val="105"/>
          <w:sz w:val="24"/>
          <w:szCs w:val="24"/>
        </w:rPr>
        <w:t>3</w:t>
      </w:r>
      <w:r w:rsidRPr="0026246B">
        <w:rPr>
          <w:spacing w:val="-10"/>
          <w:w w:val="105"/>
          <w:sz w:val="24"/>
          <w:szCs w:val="24"/>
        </w:rPr>
        <w:t xml:space="preserve"> </w:t>
      </w:r>
      <w:r w:rsidRPr="0026246B">
        <w:rPr>
          <w:w w:val="105"/>
          <w:sz w:val="24"/>
          <w:szCs w:val="24"/>
        </w:rPr>
        <w:t>or</w:t>
      </w:r>
      <w:r w:rsidRPr="0026246B">
        <w:rPr>
          <w:spacing w:val="-10"/>
          <w:w w:val="105"/>
          <w:sz w:val="24"/>
          <w:szCs w:val="24"/>
        </w:rPr>
        <w:t xml:space="preserve"> </w:t>
      </w:r>
      <w:r w:rsidRPr="0026246B">
        <w:rPr>
          <w:w w:val="105"/>
          <w:sz w:val="24"/>
          <w:szCs w:val="24"/>
        </w:rPr>
        <w:t>4</w:t>
      </w:r>
      <w:r w:rsidRPr="0026246B">
        <w:rPr>
          <w:spacing w:val="-10"/>
          <w:w w:val="105"/>
          <w:sz w:val="24"/>
          <w:szCs w:val="24"/>
        </w:rPr>
        <w:t xml:space="preserve"> </w:t>
      </w:r>
      <w:r w:rsidRPr="0026246B">
        <w:rPr>
          <w:w w:val="105"/>
          <w:sz w:val="24"/>
          <w:szCs w:val="24"/>
        </w:rPr>
        <w:t>elevations</w:t>
      </w:r>
      <w:r w:rsidRPr="0026246B">
        <w:rPr>
          <w:spacing w:val="-10"/>
          <w:w w:val="105"/>
          <w:sz w:val="24"/>
          <w:szCs w:val="24"/>
        </w:rPr>
        <w:t xml:space="preserve"> </w:t>
      </w:r>
      <w:r w:rsidRPr="0026246B">
        <w:rPr>
          <w:w w:val="105"/>
          <w:sz w:val="24"/>
          <w:szCs w:val="24"/>
        </w:rPr>
        <w:t>of</w:t>
      </w:r>
      <w:r w:rsidRPr="0026246B">
        <w:rPr>
          <w:spacing w:val="-9"/>
          <w:w w:val="105"/>
          <w:sz w:val="24"/>
          <w:szCs w:val="24"/>
        </w:rPr>
        <w:t xml:space="preserve"> </w:t>
      </w:r>
      <w:r w:rsidRPr="0026246B">
        <w:rPr>
          <w:w w:val="105"/>
          <w:sz w:val="24"/>
          <w:szCs w:val="24"/>
        </w:rPr>
        <w:t>creatinine</w:t>
      </w:r>
      <w:r w:rsidRPr="0026246B">
        <w:rPr>
          <w:spacing w:val="-10"/>
          <w:w w:val="105"/>
          <w:sz w:val="24"/>
          <w:szCs w:val="24"/>
        </w:rPr>
        <w:t xml:space="preserve"> </w:t>
      </w:r>
      <w:r w:rsidRPr="0026246B">
        <w:rPr>
          <w:w w:val="105"/>
          <w:sz w:val="24"/>
          <w:szCs w:val="24"/>
        </w:rPr>
        <w:t>and</w:t>
      </w:r>
      <w:r w:rsidRPr="0026246B">
        <w:rPr>
          <w:spacing w:val="-10"/>
          <w:w w:val="105"/>
          <w:sz w:val="24"/>
          <w:szCs w:val="24"/>
        </w:rPr>
        <w:t xml:space="preserve"> </w:t>
      </w:r>
      <w:r w:rsidRPr="0026246B">
        <w:rPr>
          <w:w w:val="105"/>
          <w:sz w:val="24"/>
          <w:szCs w:val="24"/>
        </w:rPr>
        <w:t>bilirubin</w:t>
      </w:r>
      <w:r w:rsidRPr="0026246B">
        <w:rPr>
          <w:spacing w:val="-10"/>
          <w:w w:val="105"/>
          <w:sz w:val="24"/>
          <w:szCs w:val="24"/>
        </w:rPr>
        <w:t xml:space="preserve"> </w:t>
      </w:r>
      <w:r w:rsidRPr="0026246B">
        <w:rPr>
          <w:w w:val="105"/>
          <w:sz w:val="24"/>
          <w:szCs w:val="24"/>
        </w:rPr>
        <w:t>was</w:t>
      </w:r>
      <w:r w:rsidRPr="0026246B">
        <w:rPr>
          <w:spacing w:val="-10"/>
          <w:w w:val="105"/>
          <w:sz w:val="24"/>
          <w:szCs w:val="24"/>
        </w:rPr>
        <w:t xml:space="preserve"> </w:t>
      </w:r>
      <w:r w:rsidRPr="0026246B">
        <w:rPr>
          <w:w w:val="105"/>
          <w:sz w:val="24"/>
          <w:szCs w:val="24"/>
        </w:rPr>
        <w:t>1%</w:t>
      </w:r>
      <w:r w:rsidRPr="0026246B">
        <w:rPr>
          <w:spacing w:val="-10"/>
          <w:w w:val="105"/>
          <w:sz w:val="24"/>
          <w:szCs w:val="24"/>
        </w:rPr>
        <w:t xml:space="preserve"> </w:t>
      </w:r>
      <w:r w:rsidRPr="0026246B">
        <w:rPr>
          <w:w w:val="105"/>
          <w:sz w:val="24"/>
          <w:szCs w:val="24"/>
        </w:rPr>
        <w:t>and</w:t>
      </w:r>
      <w:r w:rsidRPr="0026246B">
        <w:rPr>
          <w:spacing w:val="-10"/>
          <w:w w:val="105"/>
          <w:sz w:val="24"/>
          <w:szCs w:val="24"/>
        </w:rPr>
        <w:t xml:space="preserve"> </w:t>
      </w:r>
      <w:r w:rsidRPr="0026246B">
        <w:rPr>
          <w:w w:val="105"/>
          <w:sz w:val="24"/>
          <w:szCs w:val="24"/>
        </w:rPr>
        <w:t>grade</w:t>
      </w:r>
      <w:r w:rsidRPr="0026246B">
        <w:rPr>
          <w:spacing w:val="-9"/>
          <w:w w:val="105"/>
          <w:sz w:val="24"/>
          <w:szCs w:val="24"/>
        </w:rPr>
        <w:t xml:space="preserve"> </w:t>
      </w:r>
      <w:r w:rsidRPr="0026246B">
        <w:rPr>
          <w:w w:val="105"/>
          <w:sz w:val="24"/>
          <w:szCs w:val="24"/>
        </w:rPr>
        <w:t>3</w:t>
      </w:r>
      <w:r w:rsidRPr="0026246B">
        <w:rPr>
          <w:spacing w:val="-10"/>
          <w:w w:val="105"/>
          <w:sz w:val="24"/>
          <w:szCs w:val="24"/>
        </w:rPr>
        <w:t xml:space="preserve"> </w:t>
      </w:r>
      <w:r w:rsidRPr="0026246B">
        <w:rPr>
          <w:w w:val="105"/>
          <w:sz w:val="24"/>
          <w:szCs w:val="24"/>
        </w:rPr>
        <w:t>or</w:t>
      </w:r>
      <w:r w:rsidRPr="0026246B">
        <w:rPr>
          <w:spacing w:val="-9"/>
          <w:w w:val="105"/>
          <w:sz w:val="24"/>
          <w:szCs w:val="24"/>
        </w:rPr>
        <w:t xml:space="preserve"> </w:t>
      </w:r>
      <w:r w:rsidRPr="0026246B">
        <w:rPr>
          <w:w w:val="105"/>
          <w:sz w:val="24"/>
          <w:szCs w:val="24"/>
        </w:rPr>
        <w:t>4</w:t>
      </w:r>
      <w:r w:rsidRPr="0026246B">
        <w:rPr>
          <w:spacing w:val="-10"/>
          <w:w w:val="105"/>
          <w:sz w:val="24"/>
          <w:szCs w:val="24"/>
        </w:rPr>
        <w:t xml:space="preserve"> </w:t>
      </w:r>
      <w:r w:rsidRPr="0026246B">
        <w:rPr>
          <w:w w:val="105"/>
          <w:sz w:val="24"/>
          <w:szCs w:val="24"/>
        </w:rPr>
        <w:t>elevations</w:t>
      </w:r>
      <w:r w:rsidRPr="0026246B">
        <w:rPr>
          <w:spacing w:val="-10"/>
          <w:w w:val="105"/>
          <w:sz w:val="24"/>
          <w:szCs w:val="24"/>
        </w:rPr>
        <w:t xml:space="preserve"> </w:t>
      </w:r>
      <w:r w:rsidRPr="0026246B">
        <w:rPr>
          <w:w w:val="105"/>
          <w:sz w:val="24"/>
          <w:szCs w:val="24"/>
        </w:rPr>
        <w:t>of</w:t>
      </w:r>
      <w:r w:rsidRPr="0026246B">
        <w:rPr>
          <w:spacing w:val="-10"/>
          <w:w w:val="105"/>
          <w:sz w:val="24"/>
          <w:szCs w:val="24"/>
        </w:rPr>
        <w:t xml:space="preserve"> </w:t>
      </w:r>
      <w:r w:rsidRPr="0026246B">
        <w:rPr>
          <w:w w:val="105"/>
          <w:sz w:val="24"/>
          <w:szCs w:val="24"/>
        </w:rPr>
        <w:t xml:space="preserve">transaminases remained 1%. There were no discontinuations of </w:t>
      </w:r>
      <w:r w:rsidRPr="0026246B">
        <w:rPr>
          <w:sz w:val="24"/>
          <w:szCs w:val="24"/>
        </w:rPr>
        <w:t>dasatinib</w:t>
      </w:r>
      <w:r w:rsidRPr="0026246B">
        <w:rPr>
          <w:w w:val="105"/>
          <w:sz w:val="24"/>
          <w:szCs w:val="24"/>
        </w:rPr>
        <w:t xml:space="preserve"> therapy due to these biochemical </w:t>
      </w:r>
      <w:r w:rsidRPr="0026246B">
        <w:rPr>
          <w:sz w:val="24"/>
          <w:szCs w:val="24"/>
        </w:rPr>
        <w:t>laboratory</w:t>
      </w:r>
      <w:r w:rsidRPr="0026246B">
        <w:rPr>
          <w:spacing w:val="46"/>
          <w:sz w:val="24"/>
          <w:szCs w:val="24"/>
        </w:rPr>
        <w:t xml:space="preserve"> </w:t>
      </w:r>
      <w:r w:rsidRPr="0026246B">
        <w:rPr>
          <w:sz w:val="24"/>
          <w:szCs w:val="24"/>
        </w:rPr>
        <w:t>parameters.</w:t>
      </w:r>
    </w:p>
    <w:p w:rsidR="000E0BC4" w:rsidRPr="0026246B" w:rsidRDefault="000E0BC4" w:rsidP="0026246B">
      <w:pPr>
        <w:pStyle w:val="Brdtekst"/>
        <w:ind w:left="851"/>
        <w:rPr>
          <w:sz w:val="24"/>
          <w:szCs w:val="24"/>
        </w:rPr>
      </w:pPr>
    </w:p>
    <w:p w:rsidR="000E0BC4" w:rsidRPr="0026246B" w:rsidRDefault="000E0BC4" w:rsidP="0026246B">
      <w:pPr>
        <w:ind w:left="851"/>
        <w:rPr>
          <w:i/>
          <w:sz w:val="24"/>
          <w:szCs w:val="24"/>
          <w:lang w:val="en-US"/>
        </w:rPr>
      </w:pPr>
      <w:r w:rsidRPr="0026246B">
        <w:rPr>
          <w:i/>
          <w:w w:val="105"/>
          <w:sz w:val="24"/>
          <w:szCs w:val="24"/>
          <w:lang w:val="en-US"/>
        </w:rPr>
        <w:t>2 year follow-up</w:t>
      </w:r>
    </w:p>
    <w:p w:rsidR="000E0BC4" w:rsidRPr="0026246B" w:rsidRDefault="000E0BC4" w:rsidP="0026246B">
      <w:pPr>
        <w:pStyle w:val="Brdtekst"/>
        <w:ind w:left="851" w:right="266"/>
        <w:rPr>
          <w:sz w:val="24"/>
          <w:szCs w:val="24"/>
        </w:rPr>
      </w:pPr>
      <w:r w:rsidRPr="0026246B">
        <w:rPr>
          <w:w w:val="105"/>
          <w:sz w:val="24"/>
          <w:szCs w:val="24"/>
        </w:rPr>
        <w:t>Grade 3 or 4 elevations of transaminases or bilirubin were reported in 1% of patients with chronic phase CML (resistant or intolerant to imatinib), but elevations were reported with an increased frequency</w:t>
      </w:r>
      <w:r w:rsidRPr="0026246B">
        <w:rPr>
          <w:spacing w:val="-5"/>
          <w:w w:val="105"/>
          <w:sz w:val="24"/>
          <w:szCs w:val="24"/>
        </w:rPr>
        <w:t xml:space="preserve"> </w:t>
      </w:r>
      <w:r w:rsidRPr="0026246B">
        <w:rPr>
          <w:w w:val="105"/>
          <w:sz w:val="24"/>
          <w:szCs w:val="24"/>
        </w:rPr>
        <w:t>of</w:t>
      </w:r>
      <w:r w:rsidRPr="0026246B">
        <w:rPr>
          <w:spacing w:val="-10"/>
          <w:w w:val="105"/>
          <w:sz w:val="24"/>
          <w:szCs w:val="24"/>
        </w:rPr>
        <w:t xml:space="preserve"> </w:t>
      </w:r>
      <w:r w:rsidRPr="0026246B">
        <w:rPr>
          <w:w w:val="105"/>
          <w:sz w:val="24"/>
          <w:szCs w:val="24"/>
        </w:rPr>
        <w:t>1</w:t>
      </w:r>
      <w:r w:rsidRPr="0026246B">
        <w:rPr>
          <w:spacing w:val="-9"/>
          <w:w w:val="105"/>
          <w:sz w:val="24"/>
          <w:szCs w:val="24"/>
        </w:rPr>
        <w:t xml:space="preserve"> </w:t>
      </w:r>
      <w:r w:rsidRPr="0026246B">
        <w:rPr>
          <w:w w:val="105"/>
          <w:sz w:val="24"/>
          <w:szCs w:val="24"/>
        </w:rPr>
        <w:t>to</w:t>
      </w:r>
      <w:r w:rsidRPr="0026246B">
        <w:rPr>
          <w:spacing w:val="-8"/>
          <w:w w:val="105"/>
          <w:sz w:val="24"/>
          <w:szCs w:val="24"/>
        </w:rPr>
        <w:t xml:space="preserve"> </w:t>
      </w:r>
      <w:r w:rsidRPr="0026246B">
        <w:rPr>
          <w:w w:val="105"/>
          <w:sz w:val="24"/>
          <w:szCs w:val="24"/>
        </w:rPr>
        <w:t>7%</w:t>
      </w:r>
      <w:r w:rsidRPr="0026246B">
        <w:rPr>
          <w:spacing w:val="-8"/>
          <w:w w:val="105"/>
          <w:sz w:val="24"/>
          <w:szCs w:val="24"/>
        </w:rPr>
        <w:t xml:space="preserve"> </w:t>
      </w:r>
      <w:r w:rsidRPr="0026246B">
        <w:rPr>
          <w:w w:val="105"/>
          <w:sz w:val="24"/>
          <w:szCs w:val="24"/>
        </w:rPr>
        <w:t>of</w:t>
      </w:r>
      <w:r w:rsidRPr="0026246B">
        <w:rPr>
          <w:spacing w:val="-9"/>
          <w:w w:val="105"/>
          <w:sz w:val="24"/>
          <w:szCs w:val="24"/>
        </w:rPr>
        <w:t xml:space="preserve"> </w:t>
      </w:r>
      <w:r w:rsidRPr="0026246B">
        <w:rPr>
          <w:w w:val="105"/>
          <w:sz w:val="24"/>
          <w:szCs w:val="24"/>
        </w:rPr>
        <w:t>patients</w:t>
      </w:r>
      <w:r w:rsidRPr="0026246B">
        <w:rPr>
          <w:spacing w:val="-9"/>
          <w:w w:val="105"/>
          <w:sz w:val="24"/>
          <w:szCs w:val="24"/>
        </w:rPr>
        <w:t xml:space="preserve"> </w:t>
      </w:r>
      <w:r w:rsidRPr="0026246B">
        <w:rPr>
          <w:w w:val="105"/>
          <w:sz w:val="24"/>
          <w:szCs w:val="24"/>
        </w:rPr>
        <w:t>with</w:t>
      </w:r>
      <w:r w:rsidRPr="0026246B">
        <w:rPr>
          <w:spacing w:val="-9"/>
          <w:w w:val="105"/>
          <w:sz w:val="24"/>
          <w:szCs w:val="24"/>
        </w:rPr>
        <w:t xml:space="preserve"> </w:t>
      </w:r>
      <w:r w:rsidRPr="0026246B">
        <w:rPr>
          <w:w w:val="105"/>
          <w:sz w:val="24"/>
          <w:szCs w:val="24"/>
        </w:rPr>
        <w:t>advanced</w:t>
      </w:r>
      <w:r w:rsidRPr="0026246B">
        <w:rPr>
          <w:spacing w:val="-8"/>
          <w:w w:val="105"/>
          <w:sz w:val="24"/>
          <w:szCs w:val="24"/>
        </w:rPr>
        <w:t xml:space="preserve"> </w:t>
      </w:r>
      <w:r w:rsidRPr="0026246B">
        <w:rPr>
          <w:w w:val="105"/>
          <w:sz w:val="24"/>
          <w:szCs w:val="24"/>
        </w:rPr>
        <w:t>phase</w:t>
      </w:r>
      <w:r w:rsidRPr="0026246B">
        <w:rPr>
          <w:spacing w:val="-8"/>
          <w:w w:val="105"/>
          <w:sz w:val="24"/>
          <w:szCs w:val="24"/>
        </w:rPr>
        <w:t xml:space="preserve"> </w:t>
      </w:r>
      <w:r w:rsidRPr="0026246B">
        <w:rPr>
          <w:w w:val="105"/>
          <w:sz w:val="24"/>
          <w:szCs w:val="24"/>
        </w:rPr>
        <w:t>CML</w:t>
      </w:r>
      <w:r w:rsidRPr="0026246B">
        <w:rPr>
          <w:spacing w:val="-9"/>
          <w:w w:val="105"/>
          <w:sz w:val="24"/>
          <w:szCs w:val="24"/>
        </w:rPr>
        <w:t xml:space="preserve"> </w:t>
      </w:r>
      <w:r w:rsidRPr="0026246B">
        <w:rPr>
          <w:w w:val="105"/>
          <w:sz w:val="24"/>
          <w:szCs w:val="24"/>
        </w:rPr>
        <w:t>and</w:t>
      </w:r>
      <w:r w:rsidRPr="0026246B">
        <w:rPr>
          <w:spacing w:val="-9"/>
          <w:w w:val="105"/>
          <w:sz w:val="24"/>
          <w:szCs w:val="24"/>
        </w:rPr>
        <w:t xml:space="preserve"> </w:t>
      </w:r>
      <w:r w:rsidRPr="0026246B">
        <w:rPr>
          <w:w w:val="105"/>
          <w:sz w:val="24"/>
          <w:szCs w:val="24"/>
        </w:rPr>
        <w:t>Ph+</w:t>
      </w:r>
      <w:r w:rsidRPr="0026246B">
        <w:rPr>
          <w:spacing w:val="-8"/>
          <w:w w:val="105"/>
          <w:sz w:val="24"/>
          <w:szCs w:val="24"/>
        </w:rPr>
        <w:t xml:space="preserve"> </w:t>
      </w:r>
      <w:r w:rsidRPr="0026246B">
        <w:rPr>
          <w:w w:val="105"/>
          <w:sz w:val="24"/>
          <w:szCs w:val="24"/>
        </w:rPr>
        <w:t>ALL.</w:t>
      </w:r>
      <w:r w:rsidRPr="0026246B">
        <w:rPr>
          <w:spacing w:val="-9"/>
          <w:w w:val="105"/>
          <w:sz w:val="24"/>
          <w:szCs w:val="24"/>
        </w:rPr>
        <w:t xml:space="preserve"> </w:t>
      </w:r>
      <w:r w:rsidRPr="0026246B">
        <w:rPr>
          <w:w w:val="105"/>
          <w:sz w:val="24"/>
          <w:szCs w:val="24"/>
        </w:rPr>
        <w:t>It</w:t>
      </w:r>
      <w:r w:rsidRPr="0026246B">
        <w:rPr>
          <w:spacing w:val="-9"/>
          <w:w w:val="105"/>
          <w:sz w:val="24"/>
          <w:szCs w:val="24"/>
        </w:rPr>
        <w:t xml:space="preserve"> </w:t>
      </w:r>
      <w:r w:rsidRPr="0026246B">
        <w:rPr>
          <w:w w:val="105"/>
          <w:sz w:val="24"/>
          <w:szCs w:val="24"/>
        </w:rPr>
        <w:t>was</w:t>
      </w:r>
      <w:r w:rsidRPr="0026246B">
        <w:rPr>
          <w:spacing w:val="-9"/>
          <w:w w:val="105"/>
          <w:sz w:val="24"/>
          <w:szCs w:val="24"/>
        </w:rPr>
        <w:t xml:space="preserve"> </w:t>
      </w:r>
      <w:r w:rsidRPr="0026246B">
        <w:rPr>
          <w:w w:val="105"/>
          <w:sz w:val="24"/>
          <w:szCs w:val="24"/>
        </w:rPr>
        <w:t>usually</w:t>
      </w:r>
      <w:r w:rsidRPr="0026246B">
        <w:rPr>
          <w:spacing w:val="-6"/>
          <w:w w:val="105"/>
          <w:sz w:val="24"/>
          <w:szCs w:val="24"/>
        </w:rPr>
        <w:t xml:space="preserve"> </w:t>
      </w:r>
      <w:r w:rsidRPr="0026246B">
        <w:rPr>
          <w:w w:val="105"/>
          <w:sz w:val="24"/>
          <w:szCs w:val="24"/>
        </w:rPr>
        <w:t>managed with</w:t>
      </w:r>
      <w:r w:rsidRPr="0026246B">
        <w:rPr>
          <w:spacing w:val="-12"/>
          <w:w w:val="105"/>
          <w:sz w:val="24"/>
          <w:szCs w:val="24"/>
        </w:rPr>
        <w:t xml:space="preserve"> </w:t>
      </w:r>
      <w:r w:rsidRPr="0026246B">
        <w:rPr>
          <w:w w:val="105"/>
          <w:sz w:val="24"/>
          <w:szCs w:val="24"/>
        </w:rPr>
        <w:t>dose</w:t>
      </w:r>
      <w:r w:rsidRPr="0026246B">
        <w:rPr>
          <w:spacing w:val="-12"/>
          <w:w w:val="105"/>
          <w:sz w:val="24"/>
          <w:szCs w:val="24"/>
        </w:rPr>
        <w:t xml:space="preserve"> </w:t>
      </w:r>
      <w:r w:rsidRPr="0026246B">
        <w:rPr>
          <w:w w:val="105"/>
          <w:sz w:val="24"/>
          <w:szCs w:val="24"/>
        </w:rPr>
        <w:t>reduction</w:t>
      </w:r>
      <w:r w:rsidRPr="0026246B">
        <w:rPr>
          <w:spacing w:val="-12"/>
          <w:w w:val="105"/>
          <w:sz w:val="24"/>
          <w:szCs w:val="24"/>
        </w:rPr>
        <w:t xml:space="preserve"> </w:t>
      </w:r>
      <w:r w:rsidRPr="0026246B">
        <w:rPr>
          <w:w w:val="105"/>
          <w:sz w:val="24"/>
          <w:szCs w:val="24"/>
        </w:rPr>
        <w:t>or</w:t>
      </w:r>
      <w:r w:rsidRPr="0026246B">
        <w:rPr>
          <w:spacing w:val="-12"/>
          <w:w w:val="105"/>
          <w:sz w:val="24"/>
          <w:szCs w:val="24"/>
        </w:rPr>
        <w:t xml:space="preserve"> </w:t>
      </w:r>
      <w:r w:rsidRPr="0026246B">
        <w:rPr>
          <w:w w:val="105"/>
          <w:sz w:val="24"/>
          <w:szCs w:val="24"/>
        </w:rPr>
        <w:t>interruption.</w:t>
      </w:r>
      <w:r w:rsidRPr="0026246B">
        <w:rPr>
          <w:spacing w:val="-12"/>
          <w:w w:val="105"/>
          <w:sz w:val="24"/>
          <w:szCs w:val="24"/>
        </w:rPr>
        <w:t xml:space="preserve"> </w:t>
      </w:r>
      <w:r w:rsidRPr="0026246B">
        <w:rPr>
          <w:w w:val="105"/>
          <w:sz w:val="24"/>
          <w:szCs w:val="24"/>
        </w:rPr>
        <w:t>In</w:t>
      </w:r>
      <w:r w:rsidRPr="0026246B">
        <w:rPr>
          <w:spacing w:val="-12"/>
          <w:w w:val="105"/>
          <w:sz w:val="24"/>
          <w:szCs w:val="24"/>
        </w:rPr>
        <w:t xml:space="preserve"> </w:t>
      </w:r>
      <w:r w:rsidRPr="0026246B">
        <w:rPr>
          <w:w w:val="105"/>
          <w:sz w:val="24"/>
          <w:szCs w:val="24"/>
        </w:rPr>
        <w:t>the</w:t>
      </w:r>
      <w:r w:rsidRPr="0026246B">
        <w:rPr>
          <w:spacing w:val="-12"/>
          <w:w w:val="105"/>
          <w:sz w:val="24"/>
          <w:szCs w:val="24"/>
        </w:rPr>
        <w:t xml:space="preserve"> </w:t>
      </w:r>
      <w:r w:rsidRPr="0026246B">
        <w:rPr>
          <w:w w:val="105"/>
          <w:sz w:val="24"/>
          <w:szCs w:val="24"/>
        </w:rPr>
        <w:t>Phase</w:t>
      </w:r>
      <w:r w:rsidRPr="0026246B">
        <w:rPr>
          <w:spacing w:val="-12"/>
          <w:w w:val="105"/>
          <w:sz w:val="24"/>
          <w:szCs w:val="24"/>
        </w:rPr>
        <w:t xml:space="preserve"> </w:t>
      </w:r>
      <w:r w:rsidRPr="0026246B">
        <w:rPr>
          <w:w w:val="105"/>
          <w:sz w:val="24"/>
          <w:szCs w:val="24"/>
        </w:rPr>
        <w:t>III</w:t>
      </w:r>
      <w:r w:rsidRPr="0026246B">
        <w:rPr>
          <w:spacing w:val="-12"/>
          <w:w w:val="105"/>
          <w:sz w:val="24"/>
          <w:szCs w:val="24"/>
        </w:rPr>
        <w:t xml:space="preserve"> </w:t>
      </w:r>
      <w:r w:rsidRPr="0026246B">
        <w:rPr>
          <w:w w:val="105"/>
          <w:sz w:val="24"/>
          <w:szCs w:val="24"/>
        </w:rPr>
        <w:t>dose-optimisation</w:t>
      </w:r>
      <w:r w:rsidRPr="0026246B">
        <w:rPr>
          <w:spacing w:val="-12"/>
          <w:w w:val="105"/>
          <w:sz w:val="24"/>
          <w:szCs w:val="24"/>
        </w:rPr>
        <w:t xml:space="preserve"> </w:t>
      </w:r>
      <w:r w:rsidRPr="0026246B">
        <w:rPr>
          <w:w w:val="105"/>
          <w:sz w:val="24"/>
          <w:szCs w:val="24"/>
        </w:rPr>
        <w:t>study</w:t>
      </w:r>
      <w:r w:rsidRPr="0026246B">
        <w:rPr>
          <w:spacing w:val="-11"/>
          <w:w w:val="105"/>
          <w:sz w:val="24"/>
          <w:szCs w:val="24"/>
        </w:rPr>
        <w:t xml:space="preserve"> </w:t>
      </w:r>
      <w:r w:rsidRPr="0026246B">
        <w:rPr>
          <w:w w:val="105"/>
          <w:sz w:val="24"/>
          <w:szCs w:val="24"/>
        </w:rPr>
        <w:t>in</w:t>
      </w:r>
      <w:r w:rsidRPr="0026246B">
        <w:rPr>
          <w:spacing w:val="-12"/>
          <w:w w:val="105"/>
          <w:sz w:val="24"/>
          <w:szCs w:val="24"/>
        </w:rPr>
        <w:t xml:space="preserve"> </w:t>
      </w:r>
      <w:r w:rsidRPr="0026246B">
        <w:rPr>
          <w:w w:val="105"/>
          <w:sz w:val="24"/>
          <w:szCs w:val="24"/>
        </w:rPr>
        <w:t>chronic</w:t>
      </w:r>
      <w:r w:rsidRPr="0026246B">
        <w:rPr>
          <w:spacing w:val="-12"/>
          <w:w w:val="105"/>
          <w:sz w:val="24"/>
          <w:szCs w:val="24"/>
        </w:rPr>
        <w:t xml:space="preserve"> </w:t>
      </w:r>
      <w:r w:rsidRPr="0026246B">
        <w:rPr>
          <w:w w:val="105"/>
          <w:sz w:val="24"/>
          <w:szCs w:val="24"/>
        </w:rPr>
        <w:t>phase</w:t>
      </w:r>
      <w:r w:rsidRPr="0026246B">
        <w:rPr>
          <w:spacing w:val="-12"/>
          <w:w w:val="105"/>
          <w:sz w:val="24"/>
          <w:szCs w:val="24"/>
        </w:rPr>
        <w:t xml:space="preserve"> </w:t>
      </w:r>
      <w:r w:rsidRPr="0026246B">
        <w:rPr>
          <w:w w:val="105"/>
          <w:sz w:val="24"/>
          <w:szCs w:val="24"/>
        </w:rPr>
        <w:t>CML, grade</w:t>
      </w:r>
      <w:r w:rsidRPr="0026246B">
        <w:rPr>
          <w:spacing w:val="-10"/>
          <w:w w:val="105"/>
          <w:sz w:val="24"/>
          <w:szCs w:val="24"/>
        </w:rPr>
        <w:t xml:space="preserve"> </w:t>
      </w:r>
      <w:r w:rsidRPr="0026246B">
        <w:rPr>
          <w:w w:val="105"/>
          <w:sz w:val="24"/>
          <w:szCs w:val="24"/>
        </w:rPr>
        <w:t>3</w:t>
      </w:r>
      <w:r w:rsidRPr="0026246B">
        <w:rPr>
          <w:spacing w:val="-10"/>
          <w:w w:val="105"/>
          <w:sz w:val="24"/>
          <w:szCs w:val="24"/>
        </w:rPr>
        <w:t xml:space="preserve"> </w:t>
      </w:r>
      <w:r w:rsidRPr="0026246B">
        <w:rPr>
          <w:w w:val="105"/>
          <w:sz w:val="24"/>
          <w:szCs w:val="24"/>
        </w:rPr>
        <w:t>or</w:t>
      </w:r>
      <w:r w:rsidRPr="0026246B">
        <w:rPr>
          <w:spacing w:val="-10"/>
          <w:w w:val="105"/>
          <w:sz w:val="24"/>
          <w:szCs w:val="24"/>
        </w:rPr>
        <w:t xml:space="preserve"> </w:t>
      </w:r>
      <w:r w:rsidRPr="0026246B">
        <w:rPr>
          <w:w w:val="105"/>
          <w:sz w:val="24"/>
          <w:szCs w:val="24"/>
        </w:rPr>
        <w:t>4</w:t>
      </w:r>
      <w:r w:rsidRPr="0026246B">
        <w:rPr>
          <w:spacing w:val="-10"/>
          <w:w w:val="105"/>
          <w:sz w:val="24"/>
          <w:szCs w:val="24"/>
        </w:rPr>
        <w:t xml:space="preserve"> </w:t>
      </w:r>
      <w:r w:rsidRPr="0026246B">
        <w:rPr>
          <w:w w:val="105"/>
          <w:sz w:val="24"/>
          <w:szCs w:val="24"/>
        </w:rPr>
        <w:t>elevations</w:t>
      </w:r>
      <w:r w:rsidRPr="0026246B">
        <w:rPr>
          <w:spacing w:val="-10"/>
          <w:w w:val="105"/>
          <w:sz w:val="24"/>
          <w:szCs w:val="24"/>
        </w:rPr>
        <w:t xml:space="preserve"> </w:t>
      </w:r>
      <w:r w:rsidRPr="0026246B">
        <w:rPr>
          <w:w w:val="105"/>
          <w:sz w:val="24"/>
          <w:szCs w:val="24"/>
        </w:rPr>
        <w:t>of</w:t>
      </w:r>
      <w:r w:rsidRPr="0026246B">
        <w:rPr>
          <w:spacing w:val="-9"/>
          <w:w w:val="105"/>
          <w:sz w:val="24"/>
          <w:szCs w:val="24"/>
        </w:rPr>
        <w:t xml:space="preserve"> </w:t>
      </w:r>
      <w:r w:rsidRPr="0026246B">
        <w:rPr>
          <w:w w:val="105"/>
          <w:sz w:val="24"/>
          <w:szCs w:val="24"/>
        </w:rPr>
        <w:t>transaminases</w:t>
      </w:r>
      <w:r w:rsidRPr="0026246B">
        <w:rPr>
          <w:spacing w:val="-9"/>
          <w:w w:val="105"/>
          <w:sz w:val="24"/>
          <w:szCs w:val="24"/>
        </w:rPr>
        <w:t xml:space="preserve"> </w:t>
      </w:r>
      <w:r w:rsidRPr="0026246B">
        <w:rPr>
          <w:w w:val="105"/>
          <w:sz w:val="24"/>
          <w:szCs w:val="24"/>
        </w:rPr>
        <w:t>or</w:t>
      </w:r>
      <w:r w:rsidRPr="0026246B">
        <w:rPr>
          <w:spacing w:val="-9"/>
          <w:w w:val="105"/>
          <w:sz w:val="24"/>
          <w:szCs w:val="24"/>
        </w:rPr>
        <w:t xml:space="preserve"> </w:t>
      </w:r>
      <w:r w:rsidRPr="0026246B">
        <w:rPr>
          <w:w w:val="105"/>
          <w:sz w:val="24"/>
          <w:szCs w:val="24"/>
        </w:rPr>
        <w:t>bilirubin</w:t>
      </w:r>
      <w:r w:rsidRPr="0026246B">
        <w:rPr>
          <w:spacing w:val="-11"/>
          <w:w w:val="105"/>
          <w:sz w:val="24"/>
          <w:szCs w:val="24"/>
        </w:rPr>
        <w:t xml:space="preserve"> </w:t>
      </w:r>
      <w:r w:rsidRPr="0026246B">
        <w:rPr>
          <w:w w:val="105"/>
          <w:sz w:val="24"/>
          <w:szCs w:val="24"/>
        </w:rPr>
        <w:t>were</w:t>
      </w:r>
      <w:r w:rsidRPr="0026246B">
        <w:rPr>
          <w:spacing w:val="-9"/>
          <w:w w:val="105"/>
          <w:sz w:val="24"/>
          <w:szCs w:val="24"/>
        </w:rPr>
        <w:t xml:space="preserve"> </w:t>
      </w:r>
      <w:r w:rsidRPr="0026246B">
        <w:rPr>
          <w:w w:val="105"/>
          <w:sz w:val="24"/>
          <w:szCs w:val="24"/>
        </w:rPr>
        <w:t>reported</w:t>
      </w:r>
      <w:r w:rsidRPr="0026246B">
        <w:rPr>
          <w:spacing w:val="-10"/>
          <w:w w:val="105"/>
          <w:sz w:val="24"/>
          <w:szCs w:val="24"/>
        </w:rPr>
        <w:t xml:space="preserve"> </w:t>
      </w:r>
      <w:r w:rsidRPr="0026246B">
        <w:rPr>
          <w:w w:val="105"/>
          <w:sz w:val="24"/>
          <w:szCs w:val="24"/>
        </w:rPr>
        <w:t>in</w:t>
      </w:r>
      <w:r w:rsidRPr="0026246B">
        <w:rPr>
          <w:spacing w:val="-10"/>
          <w:w w:val="105"/>
          <w:sz w:val="24"/>
          <w:szCs w:val="24"/>
        </w:rPr>
        <w:t xml:space="preserve"> </w:t>
      </w:r>
      <w:r w:rsidRPr="0026246B">
        <w:rPr>
          <w:w w:val="105"/>
          <w:sz w:val="24"/>
          <w:szCs w:val="24"/>
        </w:rPr>
        <w:t>≤</w:t>
      </w:r>
      <w:r w:rsidRPr="0026246B">
        <w:rPr>
          <w:spacing w:val="-9"/>
          <w:w w:val="105"/>
          <w:sz w:val="24"/>
          <w:szCs w:val="24"/>
        </w:rPr>
        <w:t xml:space="preserve"> </w:t>
      </w:r>
      <w:r w:rsidRPr="0026246B">
        <w:rPr>
          <w:w w:val="105"/>
          <w:sz w:val="24"/>
          <w:szCs w:val="24"/>
        </w:rPr>
        <w:t>1%</w:t>
      </w:r>
      <w:r w:rsidRPr="0026246B">
        <w:rPr>
          <w:spacing w:val="-9"/>
          <w:w w:val="105"/>
          <w:sz w:val="24"/>
          <w:szCs w:val="24"/>
        </w:rPr>
        <w:t xml:space="preserve"> </w:t>
      </w:r>
      <w:r w:rsidRPr="0026246B">
        <w:rPr>
          <w:w w:val="105"/>
          <w:sz w:val="24"/>
          <w:szCs w:val="24"/>
        </w:rPr>
        <w:t>of</w:t>
      </w:r>
      <w:r w:rsidRPr="0026246B">
        <w:rPr>
          <w:spacing w:val="-10"/>
          <w:w w:val="105"/>
          <w:sz w:val="24"/>
          <w:szCs w:val="24"/>
        </w:rPr>
        <w:t xml:space="preserve"> </w:t>
      </w:r>
      <w:r w:rsidRPr="0026246B">
        <w:rPr>
          <w:w w:val="105"/>
          <w:sz w:val="24"/>
          <w:szCs w:val="24"/>
        </w:rPr>
        <w:t>patients</w:t>
      </w:r>
      <w:r w:rsidRPr="0026246B">
        <w:rPr>
          <w:spacing w:val="-10"/>
          <w:w w:val="105"/>
          <w:sz w:val="24"/>
          <w:szCs w:val="24"/>
        </w:rPr>
        <w:t xml:space="preserve"> </w:t>
      </w:r>
      <w:r w:rsidRPr="0026246B">
        <w:rPr>
          <w:w w:val="105"/>
          <w:sz w:val="24"/>
          <w:szCs w:val="24"/>
        </w:rPr>
        <w:t>with</w:t>
      </w:r>
      <w:r w:rsidRPr="0026246B">
        <w:rPr>
          <w:spacing w:val="-10"/>
          <w:w w:val="105"/>
          <w:sz w:val="24"/>
          <w:szCs w:val="24"/>
        </w:rPr>
        <w:t xml:space="preserve"> </w:t>
      </w:r>
      <w:r w:rsidRPr="0026246B">
        <w:rPr>
          <w:w w:val="105"/>
          <w:sz w:val="24"/>
          <w:szCs w:val="24"/>
        </w:rPr>
        <w:t>similar</w:t>
      </w:r>
      <w:r w:rsidRPr="0026246B">
        <w:rPr>
          <w:sz w:val="24"/>
          <w:szCs w:val="24"/>
        </w:rPr>
        <w:t xml:space="preserve"> </w:t>
      </w:r>
      <w:r w:rsidRPr="0026246B">
        <w:rPr>
          <w:w w:val="105"/>
          <w:sz w:val="24"/>
          <w:szCs w:val="24"/>
        </w:rPr>
        <w:t>low</w:t>
      </w:r>
      <w:r w:rsidRPr="0026246B">
        <w:rPr>
          <w:spacing w:val="-11"/>
          <w:w w:val="105"/>
          <w:sz w:val="24"/>
          <w:szCs w:val="24"/>
        </w:rPr>
        <w:t xml:space="preserve"> </w:t>
      </w:r>
      <w:r w:rsidRPr="0026246B">
        <w:rPr>
          <w:w w:val="105"/>
          <w:sz w:val="24"/>
          <w:szCs w:val="24"/>
        </w:rPr>
        <w:t>incidence</w:t>
      </w:r>
      <w:r w:rsidRPr="0026246B">
        <w:rPr>
          <w:spacing w:val="-9"/>
          <w:w w:val="105"/>
          <w:sz w:val="24"/>
          <w:szCs w:val="24"/>
        </w:rPr>
        <w:t xml:space="preserve"> </w:t>
      </w:r>
      <w:r w:rsidRPr="0026246B">
        <w:rPr>
          <w:w w:val="105"/>
          <w:sz w:val="24"/>
          <w:szCs w:val="24"/>
        </w:rPr>
        <w:t>in</w:t>
      </w:r>
      <w:r w:rsidRPr="0026246B">
        <w:rPr>
          <w:spacing w:val="-11"/>
          <w:w w:val="105"/>
          <w:sz w:val="24"/>
          <w:szCs w:val="24"/>
        </w:rPr>
        <w:t xml:space="preserve"> </w:t>
      </w:r>
      <w:r w:rsidRPr="0026246B">
        <w:rPr>
          <w:w w:val="105"/>
          <w:sz w:val="24"/>
          <w:szCs w:val="24"/>
        </w:rPr>
        <w:t>the</w:t>
      </w:r>
      <w:r w:rsidRPr="0026246B">
        <w:rPr>
          <w:spacing w:val="-10"/>
          <w:w w:val="105"/>
          <w:sz w:val="24"/>
          <w:szCs w:val="24"/>
        </w:rPr>
        <w:t xml:space="preserve"> </w:t>
      </w:r>
      <w:r w:rsidRPr="0026246B">
        <w:rPr>
          <w:w w:val="105"/>
          <w:sz w:val="24"/>
          <w:szCs w:val="24"/>
        </w:rPr>
        <w:t>four</w:t>
      </w:r>
      <w:r w:rsidRPr="0026246B">
        <w:rPr>
          <w:spacing w:val="-11"/>
          <w:w w:val="105"/>
          <w:sz w:val="24"/>
          <w:szCs w:val="24"/>
        </w:rPr>
        <w:t xml:space="preserve"> </w:t>
      </w:r>
      <w:r w:rsidRPr="0026246B">
        <w:rPr>
          <w:w w:val="105"/>
          <w:sz w:val="24"/>
          <w:szCs w:val="24"/>
        </w:rPr>
        <w:t>treatment</w:t>
      </w:r>
      <w:r w:rsidRPr="0026246B">
        <w:rPr>
          <w:spacing w:val="-10"/>
          <w:w w:val="105"/>
          <w:sz w:val="24"/>
          <w:szCs w:val="24"/>
        </w:rPr>
        <w:t xml:space="preserve"> </w:t>
      </w:r>
      <w:r w:rsidRPr="0026246B">
        <w:rPr>
          <w:w w:val="105"/>
          <w:sz w:val="24"/>
          <w:szCs w:val="24"/>
        </w:rPr>
        <w:t>groups.</w:t>
      </w:r>
      <w:r w:rsidRPr="0026246B">
        <w:rPr>
          <w:spacing w:val="-11"/>
          <w:w w:val="105"/>
          <w:sz w:val="24"/>
          <w:szCs w:val="24"/>
        </w:rPr>
        <w:t xml:space="preserve"> </w:t>
      </w:r>
      <w:r w:rsidRPr="0026246B">
        <w:rPr>
          <w:w w:val="105"/>
          <w:sz w:val="24"/>
          <w:szCs w:val="24"/>
        </w:rPr>
        <w:t>In</w:t>
      </w:r>
      <w:r w:rsidRPr="0026246B">
        <w:rPr>
          <w:spacing w:val="-11"/>
          <w:w w:val="105"/>
          <w:sz w:val="24"/>
          <w:szCs w:val="24"/>
        </w:rPr>
        <w:t xml:space="preserve"> </w:t>
      </w:r>
      <w:r w:rsidRPr="0026246B">
        <w:rPr>
          <w:w w:val="105"/>
          <w:sz w:val="24"/>
          <w:szCs w:val="24"/>
        </w:rPr>
        <w:t>the</w:t>
      </w:r>
      <w:r w:rsidRPr="0026246B">
        <w:rPr>
          <w:spacing w:val="-10"/>
          <w:w w:val="105"/>
          <w:sz w:val="24"/>
          <w:szCs w:val="24"/>
        </w:rPr>
        <w:t xml:space="preserve"> </w:t>
      </w:r>
      <w:r w:rsidRPr="0026246B">
        <w:rPr>
          <w:w w:val="105"/>
          <w:sz w:val="24"/>
          <w:szCs w:val="24"/>
        </w:rPr>
        <w:t>Phase</w:t>
      </w:r>
      <w:r w:rsidRPr="0026246B">
        <w:rPr>
          <w:spacing w:val="-10"/>
          <w:w w:val="105"/>
          <w:sz w:val="24"/>
          <w:szCs w:val="24"/>
        </w:rPr>
        <w:t xml:space="preserve"> </w:t>
      </w:r>
      <w:r w:rsidRPr="0026246B">
        <w:rPr>
          <w:w w:val="105"/>
          <w:sz w:val="24"/>
          <w:szCs w:val="24"/>
        </w:rPr>
        <w:t>III</w:t>
      </w:r>
      <w:r w:rsidRPr="0026246B">
        <w:rPr>
          <w:spacing w:val="-11"/>
          <w:w w:val="105"/>
          <w:sz w:val="24"/>
          <w:szCs w:val="24"/>
        </w:rPr>
        <w:t xml:space="preserve"> </w:t>
      </w:r>
      <w:r w:rsidRPr="0026246B">
        <w:rPr>
          <w:w w:val="105"/>
          <w:sz w:val="24"/>
          <w:szCs w:val="24"/>
        </w:rPr>
        <w:t>dose-optimisation</w:t>
      </w:r>
      <w:r w:rsidRPr="0026246B">
        <w:rPr>
          <w:spacing w:val="-11"/>
          <w:w w:val="105"/>
          <w:sz w:val="24"/>
          <w:szCs w:val="24"/>
        </w:rPr>
        <w:t xml:space="preserve"> </w:t>
      </w:r>
      <w:r w:rsidRPr="0026246B">
        <w:rPr>
          <w:w w:val="105"/>
          <w:sz w:val="24"/>
          <w:szCs w:val="24"/>
        </w:rPr>
        <w:t>study</w:t>
      </w:r>
      <w:r w:rsidRPr="0026246B">
        <w:rPr>
          <w:spacing w:val="-10"/>
          <w:w w:val="105"/>
          <w:sz w:val="24"/>
          <w:szCs w:val="24"/>
        </w:rPr>
        <w:t xml:space="preserve"> </w:t>
      </w:r>
      <w:r w:rsidRPr="0026246B">
        <w:rPr>
          <w:w w:val="105"/>
          <w:sz w:val="24"/>
          <w:szCs w:val="24"/>
        </w:rPr>
        <w:t>in</w:t>
      </w:r>
      <w:r w:rsidRPr="0026246B">
        <w:rPr>
          <w:spacing w:val="-11"/>
          <w:w w:val="105"/>
          <w:sz w:val="24"/>
          <w:szCs w:val="24"/>
        </w:rPr>
        <w:t xml:space="preserve"> </w:t>
      </w:r>
      <w:r w:rsidRPr="0026246B">
        <w:rPr>
          <w:w w:val="105"/>
          <w:sz w:val="24"/>
          <w:szCs w:val="24"/>
        </w:rPr>
        <w:t>advanced</w:t>
      </w:r>
      <w:r w:rsidRPr="0026246B">
        <w:rPr>
          <w:spacing w:val="-11"/>
          <w:w w:val="105"/>
          <w:sz w:val="24"/>
          <w:szCs w:val="24"/>
        </w:rPr>
        <w:t xml:space="preserve"> </w:t>
      </w:r>
      <w:r w:rsidRPr="0026246B">
        <w:rPr>
          <w:w w:val="105"/>
          <w:sz w:val="24"/>
          <w:szCs w:val="24"/>
        </w:rPr>
        <w:t>phase CML</w:t>
      </w:r>
      <w:r w:rsidRPr="0026246B">
        <w:rPr>
          <w:spacing w:val="-9"/>
          <w:w w:val="105"/>
          <w:sz w:val="24"/>
          <w:szCs w:val="24"/>
        </w:rPr>
        <w:t xml:space="preserve"> </w:t>
      </w:r>
      <w:r w:rsidRPr="0026246B">
        <w:rPr>
          <w:w w:val="105"/>
          <w:sz w:val="24"/>
          <w:szCs w:val="24"/>
        </w:rPr>
        <w:t>and</w:t>
      </w:r>
      <w:r w:rsidRPr="0026246B">
        <w:rPr>
          <w:spacing w:val="-10"/>
          <w:w w:val="105"/>
          <w:sz w:val="24"/>
          <w:szCs w:val="24"/>
        </w:rPr>
        <w:t xml:space="preserve"> </w:t>
      </w:r>
      <w:r w:rsidRPr="0026246B">
        <w:rPr>
          <w:w w:val="105"/>
          <w:sz w:val="24"/>
          <w:szCs w:val="24"/>
        </w:rPr>
        <w:t>Ph+ALL,</w:t>
      </w:r>
      <w:r w:rsidRPr="0026246B">
        <w:rPr>
          <w:spacing w:val="-10"/>
          <w:w w:val="105"/>
          <w:sz w:val="24"/>
          <w:szCs w:val="24"/>
        </w:rPr>
        <w:t xml:space="preserve"> </w:t>
      </w:r>
      <w:r w:rsidRPr="0026246B">
        <w:rPr>
          <w:w w:val="105"/>
          <w:sz w:val="24"/>
          <w:szCs w:val="24"/>
        </w:rPr>
        <w:t>grade</w:t>
      </w:r>
      <w:r w:rsidRPr="0026246B">
        <w:rPr>
          <w:spacing w:val="-10"/>
          <w:w w:val="105"/>
          <w:sz w:val="24"/>
          <w:szCs w:val="24"/>
        </w:rPr>
        <w:t xml:space="preserve"> </w:t>
      </w:r>
      <w:r w:rsidRPr="0026246B">
        <w:rPr>
          <w:w w:val="105"/>
          <w:sz w:val="24"/>
          <w:szCs w:val="24"/>
        </w:rPr>
        <w:t>3</w:t>
      </w:r>
      <w:r w:rsidRPr="0026246B">
        <w:rPr>
          <w:spacing w:val="-10"/>
          <w:w w:val="105"/>
          <w:sz w:val="24"/>
          <w:szCs w:val="24"/>
        </w:rPr>
        <w:t xml:space="preserve"> </w:t>
      </w:r>
      <w:r w:rsidRPr="0026246B">
        <w:rPr>
          <w:w w:val="105"/>
          <w:sz w:val="24"/>
          <w:szCs w:val="24"/>
        </w:rPr>
        <w:t>or</w:t>
      </w:r>
      <w:r w:rsidRPr="0026246B">
        <w:rPr>
          <w:spacing w:val="-8"/>
          <w:w w:val="105"/>
          <w:sz w:val="24"/>
          <w:szCs w:val="24"/>
        </w:rPr>
        <w:t xml:space="preserve"> </w:t>
      </w:r>
      <w:r w:rsidRPr="0026246B">
        <w:rPr>
          <w:w w:val="105"/>
          <w:sz w:val="24"/>
          <w:szCs w:val="24"/>
        </w:rPr>
        <w:t>4</w:t>
      </w:r>
      <w:r w:rsidRPr="0026246B">
        <w:rPr>
          <w:spacing w:val="-10"/>
          <w:w w:val="105"/>
          <w:sz w:val="24"/>
          <w:szCs w:val="24"/>
        </w:rPr>
        <w:t xml:space="preserve"> </w:t>
      </w:r>
      <w:r w:rsidRPr="0026246B">
        <w:rPr>
          <w:w w:val="105"/>
          <w:sz w:val="24"/>
          <w:szCs w:val="24"/>
        </w:rPr>
        <w:t>elevations</w:t>
      </w:r>
      <w:r w:rsidRPr="0026246B">
        <w:rPr>
          <w:spacing w:val="-10"/>
          <w:w w:val="105"/>
          <w:sz w:val="24"/>
          <w:szCs w:val="24"/>
        </w:rPr>
        <w:t xml:space="preserve"> </w:t>
      </w:r>
      <w:r w:rsidRPr="0026246B">
        <w:rPr>
          <w:w w:val="105"/>
          <w:sz w:val="24"/>
          <w:szCs w:val="24"/>
        </w:rPr>
        <w:t>of</w:t>
      </w:r>
      <w:r w:rsidRPr="0026246B">
        <w:rPr>
          <w:spacing w:val="-10"/>
          <w:w w:val="105"/>
          <w:sz w:val="24"/>
          <w:szCs w:val="24"/>
        </w:rPr>
        <w:t xml:space="preserve"> </w:t>
      </w:r>
      <w:r w:rsidRPr="0026246B">
        <w:rPr>
          <w:w w:val="105"/>
          <w:sz w:val="24"/>
          <w:szCs w:val="24"/>
        </w:rPr>
        <w:t>transaminases</w:t>
      </w:r>
      <w:r w:rsidRPr="0026246B">
        <w:rPr>
          <w:spacing w:val="-10"/>
          <w:w w:val="105"/>
          <w:sz w:val="24"/>
          <w:szCs w:val="24"/>
        </w:rPr>
        <w:t xml:space="preserve"> </w:t>
      </w:r>
      <w:r w:rsidRPr="0026246B">
        <w:rPr>
          <w:w w:val="105"/>
          <w:sz w:val="24"/>
          <w:szCs w:val="24"/>
        </w:rPr>
        <w:t>or</w:t>
      </w:r>
      <w:r w:rsidRPr="0026246B">
        <w:rPr>
          <w:spacing w:val="-8"/>
          <w:w w:val="105"/>
          <w:sz w:val="24"/>
          <w:szCs w:val="24"/>
        </w:rPr>
        <w:t xml:space="preserve"> </w:t>
      </w:r>
      <w:r w:rsidRPr="0026246B">
        <w:rPr>
          <w:w w:val="105"/>
          <w:sz w:val="24"/>
          <w:szCs w:val="24"/>
        </w:rPr>
        <w:t>bilirubin</w:t>
      </w:r>
      <w:r w:rsidRPr="0026246B">
        <w:rPr>
          <w:spacing w:val="-10"/>
          <w:w w:val="105"/>
          <w:sz w:val="24"/>
          <w:szCs w:val="24"/>
        </w:rPr>
        <w:t xml:space="preserve"> </w:t>
      </w:r>
      <w:r w:rsidRPr="0026246B">
        <w:rPr>
          <w:w w:val="105"/>
          <w:sz w:val="24"/>
          <w:szCs w:val="24"/>
        </w:rPr>
        <w:t>were</w:t>
      </w:r>
      <w:r w:rsidRPr="0026246B">
        <w:rPr>
          <w:spacing w:val="-10"/>
          <w:w w:val="105"/>
          <w:sz w:val="24"/>
          <w:szCs w:val="24"/>
        </w:rPr>
        <w:t xml:space="preserve"> </w:t>
      </w:r>
      <w:r w:rsidRPr="0026246B">
        <w:rPr>
          <w:w w:val="105"/>
          <w:sz w:val="24"/>
          <w:szCs w:val="24"/>
        </w:rPr>
        <w:t>reported</w:t>
      </w:r>
      <w:r w:rsidRPr="0026246B">
        <w:rPr>
          <w:spacing w:val="-10"/>
          <w:w w:val="105"/>
          <w:sz w:val="24"/>
          <w:szCs w:val="24"/>
        </w:rPr>
        <w:t xml:space="preserve"> </w:t>
      </w:r>
      <w:r w:rsidRPr="0026246B">
        <w:rPr>
          <w:w w:val="105"/>
          <w:sz w:val="24"/>
          <w:szCs w:val="24"/>
        </w:rPr>
        <w:t>in</w:t>
      </w:r>
      <w:r w:rsidRPr="0026246B">
        <w:rPr>
          <w:spacing w:val="-10"/>
          <w:w w:val="105"/>
          <w:sz w:val="24"/>
          <w:szCs w:val="24"/>
        </w:rPr>
        <w:t xml:space="preserve"> </w:t>
      </w:r>
      <w:r w:rsidRPr="0026246B">
        <w:rPr>
          <w:w w:val="105"/>
          <w:sz w:val="24"/>
          <w:szCs w:val="24"/>
        </w:rPr>
        <w:t>1%</w:t>
      </w:r>
      <w:r w:rsidRPr="0026246B">
        <w:rPr>
          <w:spacing w:val="-10"/>
          <w:w w:val="105"/>
          <w:sz w:val="24"/>
          <w:szCs w:val="24"/>
        </w:rPr>
        <w:t xml:space="preserve"> </w:t>
      </w:r>
      <w:r w:rsidRPr="0026246B">
        <w:rPr>
          <w:w w:val="105"/>
          <w:sz w:val="24"/>
          <w:szCs w:val="24"/>
        </w:rPr>
        <w:t>to</w:t>
      </w:r>
      <w:r w:rsidRPr="0026246B">
        <w:rPr>
          <w:spacing w:val="-9"/>
          <w:w w:val="105"/>
          <w:sz w:val="24"/>
          <w:szCs w:val="24"/>
        </w:rPr>
        <w:t xml:space="preserve"> </w:t>
      </w:r>
      <w:r w:rsidRPr="0026246B">
        <w:rPr>
          <w:w w:val="105"/>
          <w:sz w:val="24"/>
          <w:szCs w:val="24"/>
        </w:rPr>
        <w:t>5%</w:t>
      </w:r>
      <w:r w:rsidRPr="0026246B">
        <w:rPr>
          <w:spacing w:val="-7"/>
          <w:w w:val="105"/>
          <w:sz w:val="24"/>
          <w:szCs w:val="24"/>
        </w:rPr>
        <w:t xml:space="preserve"> </w:t>
      </w:r>
      <w:r w:rsidRPr="0026246B">
        <w:rPr>
          <w:w w:val="105"/>
          <w:sz w:val="24"/>
          <w:szCs w:val="24"/>
        </w:rPr>
        <w:t>of patients</w:t>
      </w:r>
      <w:r w:rsidRPr="0026246B">
        <w:rPr>
          <w:spacing w:val="-16"/>
          <w:w w:val="105"/>
          <w:sz w:val="24"/>
          <w:szCs w:val="24"/>
        </w:rPr>
        <w:t xml:space="preserve"> </w:t>
      </w:r>
      <w:r w:rsidRPr="0026246B">
        <w:rPr>
          <w:w w:val="105"/>
          <w:sz w:val="24"/>
          <w:szCs w:val="24"/>
        </w:rPr>
        <w:t>across</w:t>
      </w:r>
      <w:r w:rsidRPr="0026246B">
        <w:rPr>
          <w:spacing w:val="-16"/>
          <w:w w:val="105"/>
          <w:sz w:val="24"/>
          <w:szCs w:val="24"/>
        </w:rPr>
        <w:t xml:space="preserve"> </w:t>
      </w:r>
      <w:r w:rsidRPr="0026246B">
        <w:rPr>
          <w:w w:val="105"/>
          <w:sz w:val="24"/>
          <w:szCs w:val="24"/>
        </w:rPr>
        <w:t>treatment</w:t>
      </w:r>
      <w:r w:rsidRPr="0026246B">
        <w:rPr>
          <w:spacing w:val="-16"/>
          <w:w w:val="105"/>
          <w:sz w:val="24"/>
          <w:szCs w:val="24"/>
        </w:rPr>
        <w:t xml:space="preserve"> </w:t>
      </w:r>
      <w:r w:rsidRPr="0026246B">
        <w:rPr>
          <w:w w:val="105"/>
          <w:sz w:val="24"/>
          <w:szCs w:val="24"/>
        </w:rPr>
        <w:t>groups.</w:t>
      </w:r>
    </w:p>
    <w:p w:rsidR="000E0BC4" w:rsidRPr="0026246B" w:rsidRDefault="000E0BC4" w:rsidP="0026246B">
      <w:pPr>
        <w:pStyle w:val="Brdtekst"/>
        <w:ind w:left="851"/>
        <w:rPr>
          <w:sz w:val="24"/>
          <w:szCs w:val="24"/>
        </w:rPr>
      </w:pPr>
    </w:p>
    <w:p w:rsidR="000E0BC4" w:rsidRPr="0026246B" w:rsidRDefault="000E0BC4" w:rsidP="0026246B">
      <w:pPr>
        <w:pStyle w:val="Brdtekst"/>
        <w:ind w:left="851" w:right="136"/>
        <w:rPr>
          <w:sz w:val="24"/>
          <w:szCs w:val="24"/>
        </w:rPr>
      </w:pPr>
      <w:r w:rsidRPr="0026246B">
        <w:rPr>
          <w:w w:val="105"/>
          <w:sz w:val="24"/>
          <w:szCs w:val="24"/>
        </w:rPr>
        <w:t xml:space="preserve">Approximately 5% of the </w:t>
      </w:r>
      <w:r w:rsidRPr="0026246B">
        <w:rPr>
          <w:sz w:val="24"/>
          <w:szCs w:val="24"/>
        </w:rPr>
        <w:t>dasatinib</w:t>
      </w:r>
      <w:r w:rsidRPr="0026246B">
        <w:rPr>
          <w:w w:val="105"/>
          <w:sz w:val="24"/>
          <w:szCs w:val="24"/>
        </w:rPr>
        <w:t>-treated patients who had normal baseline levels experienced grade</w:t>
      </w:r>
      <w:r w:rsidRPr="0026246B">
        <w:rPr>
          <w:spacing w:val="-9"/>
          <w:w w:val="105"/>
          <w:sz w:val="24"/>
          <w:szCs w:val="24"/>
        </w:rPr>
        <w:t xml:space="preserve"> </w:t>
      </w:r>
      <w:r w:rsidRPr="0026246B">
        <w:rPr>
          <w:w w:val="105"/>
          <w:sz w:val="24"/>
          <w:szCs w:val="24"/>
        </w:rPr>
        <w:t>3</w:t>
      </w:r>
      <w:r w:rsidRPr="0026246B">
        <w:rPr>
          <w:spacing w:val="-10"/>
          <w:w w:val="105"/>
          <w:sz w:val="24"/>
          <w:szCs w:val="24"/>
        </w:rPr>
        <w:t xml:space="preserve"> </w:t>
      </w:r>
      <w:r w:rsidRPr="0026246B">
        <w:rPr>
          <w:w w:val="105"/>
          <w:sz w:val="24"/>
          <w:szCs w:val="24"/>
        </w:rPr>
        <w:t>or</w:t>
      </w:r>
      <w:r w:rsidRPr="0026246B">
        <w:rPr>
          <w:spacing w:val="-9"/>
          <w:w w:val="105"/>
          <w:sz w:val="24"/>
          <w:szCs w:val="24"/>
        </w:rPr>
        <w:t xml:space="preserve"> </w:t>
      </w:r>
      <w:r w:rsidRPr="0026246B">
        <w:rPr>
          <w:w w:val="105"/>
          <w:sz w:val="24"/>
          <w:szCs w:val="24"/>
        </w:rPr>
        <w:t>4</w:t>
      </w:r>
      <w:r w:rsidRPr="0026246B">
        <w:rPr>
          <w:spacing w:val="-10"/>
          <w:w w:val="105"/>
          <w:sz w:val="24"/>
          <w:szCs w:val="24"/>
        </w:rPr>
        <w:t xml:space="preserve"> </w:t>
      </w:r>
      <w:r w:rsidRPr="0026246B">
        <w:rPr>
          <w:w w:val="105"/>
          <w:sz w:val="24"/>
          <w:szCs w:val="24"/>
        </w:rPr>
        <w:t>transient</w:t>
      </w:r>
      <w:r w:rsidRPr="0026246B">
        <w:rPr>
          <w:spacing w:val="-9"/>
          <w:w w:val="105"/>
          <w:sz w:val="24"/>
          <w:szCs w:val="24"/>
        </w:rPr>
        <w:t xml:space="preserve"> </w:t>
      </w:r>
      <w:r w:rsidRPr="0026246B">
        <w:rPr>
          <w:w w:val="105"/>
          <w:sz w:val="24"/>
          <w:szCs w:val="24"/>
        </w:rPr>
        <w:t>hypocalcaemia</w:t>
      </w:r>
      <w:r w:rsidRPr="0026246B">
        <w:rPr>
          <w:spacing w:val="-10"/>
          <w:w w:val="105"/>
          <w:sz w:val="24"/>
          <w:szCs w:val="24"/>
        </w:rPr>
        <w:t xml:space="preserve"> </w:t>
      </w:r>
      <w:r w:rsidRPr="0026246B">
        <w:rPr>
          <w:w w:val="105"/>
          <w:sz w:val="24"/>
          <w:szCs w:val="24"/>
        </w:rPr>
        <w:t>at</w:t>
      </w:r>
      <w:r w:rsidRPr="0026246B">
        <w:rPr>
          <w:spacing w:val="-9"/>
          <w:w w:val="105"/>
          <w:sz w:val="24"/>
          <w:szCs w:val="24"/>
        </w:rPr>
        <w:t xml:space="preserve"> </w:t>
      </w:r>
      <w:r w:rsidRPr="0026246B">
        <w:rPr>
          <w:w w:val="105"/>
          <w:sz w:val="24"/>
          <w:szCs w:val="24"/>
        </w:rPr>
        <w:t>some</w:t>
      </w:r>
      <w:r w:rsidRPr="0026246B">
        <w:rPr>
          <w:spacing w:val="-10"/>
          <w:w w:val="105"/>
          <w:sz w:val="24"/>
          <w:szCs w:val="24"/>
        </w:rPr>
        <w:t xml:space="preserve"> </w:t>
      </w:r>
      <w:r w:rsidRPr="0026246B">
        <w:rPr>
          <w:w w:val="105"/>
          <w:sz w:val="24"/>
          <w:szCs w:val="24"/>
        </w:rPr>
        <w:t>time</w:t>
      </w:r>
      <w:r w:rsidRPr="0026246B">
        <w:rPr>
          <w:spacing w:val="-9"/>
          <w:w w:val="105"/>
          <w:sz w:val="24"/>
          <w:szCs w:val="24"/>
        </w:rPr>
        <w:t xml:space="preserve"> </w:t>
      </w:r>
      <w:r w:rsidRPr="0026246B">
        <w:rPr>
          <w:w w:val="105"/>
          <w:sz w:val="24"/>
          <w:szCs w:val="24"/>
        </w:rPr>
        <w:t>during</w:t>
      </w:r>
      <w:r w:rsidRPr="0026246B">
        <w:rPr>
          <w:spacing w:val="-10"/>
          <w:w w:val="105"/>
          <w:sz w:val="24"/>
          <w:szCs w:val="24"/>
        </w:rPr>
        <w:t xml:space="preserve"> </w:t>
      </w:r>
      <w:r w:rsidRPr="0026246B">
        <w:rPr>
          <w:w w:val="105"/>
          <w:sz w:val="24"/>
          <w:szCs w:val="24"/>
        </w:rPr>
        <w:t>the</w:t>
      </w:r>
      <w:r w:rsidRPr="0026246B">
        <w:rPr>
          <w:spacing w:val="-10"/>
          <w:w w:val="105"/>
          <w:sz w:val="24"/>
          <w:szCs w:val="24"/>
        </w:rPr>
        <w:t xml:space="preserve"> </w:t>
      </w:r>
      <w:r w:rsidRPr="0026246B">
        <w:rPr>
          <w:w w:val="105"/>
          <w:sz w:val="24"/>
          <w:szCs w:val="24"/>
        </w:rPr>
        <w:t>course</w:t>
      </w:r>
      <w:r w:rsidRPr="0026246B">
        <w:rPr>
          <w:spacing w:val="-10"/>
          <w:w w:val="105"/>
          <w:sz w:val="24"/>
          <w:szCs w:val="24"/>
        </w:rPr>
        <w:t xml:space="preserve"> </w:t>
      </w:r>
      <w:r w:rsidRPr="0026246B">
        <w:rPr>
          <w:w w:val="105"/>
          <w:sz w:val="24"/>
          <w:szCs w:val="24"/>
        </w:rPr>
        <w:t>of</w:t>
      </w:r>
      <w:r w:rsidRPr="0026246B">
        <w:rPr>
          <w:spacing w:val="-10"/>
          <w:w w:val="105"/>
          <w:sz w:val="24"/>
          <w:szCs w:val="24"/>
        </w:rPr>
        <w:t xml:space="preserve"> </w:t>
      </w:r>
      <w:r w:rsidRPr="0026246B">
        <w:rPr>
          <w:w w:val="105"/>
          <w:sz w:val="24"/>
          <w:szCs w:val="24"/>
        </w:rPr>
        <w:t>the</w:t>
      </w:r>
      <w:r w:rsidRPr="0026246B">
        <w:rPr>
          <w:spacing w:val="-9"/>
          <w:w w:val="105"/>
          <w:sz w:val="24"/>
          <w:szCs w:val="24"/>
        </w:rPr>
        <w:t xml:space="preserve"> </w:t>
      </w:r>
      <w:r w:rsidRPr="0026246B">
        <w:rPr>
          <w:w w:val="105"/>
          <w:sz w:val="24"/>
          <w:szCs w:val="24"/>
        </w:rPr>
        <w:t>study.</w:t>
      </w:r>
      <w:r w:rsidRPr="0026246B">
        <w:rPr>
          <w:spacing w:val="-9"/>
          <w:w w:val="105"/>
          <w:sz w:val="24"/>
          <w:szCs w:val="24"/>
        </w:rPr>
        <w:t xml:space="preserve"> </w:t>
      </w:r>
      <w:r w:rsidRPr="0026246B">
        <w:rPr>
          <w:w w:val="105"/>
          <w:sz w:val="24"/>
          <w:szCs w:val="24"/>
        </w:rPr>
        <w:t>In</w:t>
      </w:r>
      <w:r w:rsidRPr="0026246B">
        <w:rPr>
          <w:spacing w:val="-10"/>
          <w:w w:val="105"/>
          <w:sz w:val="24"/>
          <w:szCs w:val="24"/>
        </w:rPr>
        <w:t xml:space="preserve"> </w:t>
      </w:r>
      <w:r w:rsidRPr="0026246B">
        <w:rPr>
          <w:w w:val="105"/>
          <w:sz w:val="24"/>
          <w:szCs w:val="24"/>
        </w:rPr>
        <w:t>general,</w:t>
      </w:r>
      <w:r w:rsidRPr="0026246B">
        <w:rPr>
          <w:spacing w:val="-9"/>
          <w:w w:val="105"/>
          <w:sz w:val="24"/>
          <w:szCs w:val="24"/>
        </w:rPr>
        <w:t xml:space="preserve"> </w:t>
      </w:r>
      <w:r w:rsidRPr="0026246B">
        <w:rPr>
          <w:w w:val="105"/>
          <w:sz w:val="24"/>
          <w:szCs w:val="24"/>
        </w:rPr>
        <w:t>there</w:t>
      </w:r>
      <w:r w:rsidRPr="0026246B">
        <w:rPr>
          <w:spacing w:val="-9"/>
          <w:w w:val="105"/>
          <w:sz w:val="24"/>
          <w:szCs w:val="24"/>
        </w:rPr>
        <w:t xml:space="preserve"> </w:t>
      </w:r>
      <w:r w:rsidRPr="0026246B">
        <w:rPr>
          <w:w w:val="105"/>
          <w:sz w:val="24"/>
          <w:szCs w:val="24"/>
        </w:rPr>
        <w:t>was no</w:t>
      </w:r>
      <w:r w:rsidRPr="0026246B">
        <w:rPr>
          <w:spacing w:val="-15"/>
          <w:w w:val="105"/>
          <w:sz w:val="24"/>
          <w:szCs w:val="24"/>
        </w:rPr>
        <w:t xml:space="preserve"> </w:t>
      </w:r>
      <w:r w:rsidRPr="0026246B">
        <w:rPr>
          <w:w w:val="105"/>
          <w:sz w:val="24"/>
          <w:szCs w:val="24"/>
        </w:rPr>
        <w:t>association</w:t>
      </w:r>
      <w:r w:rsidRPr="0026246B">
        <w:rPr>
          <w:spacing w:val="-16"/>
          <w:w w:val="105"/>
          <w:sz w:val="24"/>
          <w:szCs w:val="24"/>
        </w:rPr>
        <w:t xml:space="preserve"> </w:t>
      </w:r>
      <w:r w:rsidRPr="0026246B">
        <w:rPr>
          <w:w w:val="105"/>
          <w:sz w:val="24"/>
          <w:szCs w:val="24"/>
        </w:rPr>
        <w:t>of</w:t>
      </w:r>
      <w:r w:rsidRPr="0026246B">
        <w:rPr>
          <w:spacing w:val="-15"/>
          <w:w w:val="105"/>
          <w:sz w:val="24"/>
          <w:szCs w:val="24"/>
        </w:rPr>
        <w:t xml:space="preserve"> </w:t>
      </w:r>
      <w:r w:rsidRPr="0026246B">
        <w:rPr>
          <w:w w:val="105"/>
          <w:sz w:val="24"/>
          <w:szCs w:val="24"/>
        </w:rPr>
        <w:t>decreased</w:t>
      </w:r>
      <w:r w:rsidRPr="0026246B">
        <w:rPr>
          <w:spacing w:val="-17"/>
          <w:w w:val="105"/>
          <w:sz w:val="24"/>
          <w:szCs w:val="24"/>
        </w:rPr>
        <w:t xml:space="preserve"> </w:t>
      </w:r>
      <w:r w:rsidRPr="0026246B">
        <w:rPr>
          <w:w w:val="105"/>
          <w:sz w:val="24"/>
          <w:szCs w:val="24"/>
        </w:rPr>
        <w:t>calcium</w:t>
      </w:r>
      <w:r w:rsidRPr="0026246B">
        <w:rPr>
          <w:spacing w:val="-17"/>
          <w:w w:val="105"/>
          <w:sz w:val="24"/>
          <w:szCs w:val="24"/>
        </w:rPr>
        <w:t xml:space="preserve"> </w:t>
      </w:r>
      <w:r w:rsidRPr="0026246B">
        <w:rPr>
          <w:w w:val="105"/>
          <w:sz w:val="24"/>
          <w:szCs w:val="24"/>
        </w:rPr>
        <w:t>with</w:t>
      </w:r>
      <w:r w:rsidRPr="0026246B">
        <w:rPr>
          <w:spacing w:val="-18"/>
          <w:w w:val="105"/>
          <w:sz w:val="24"/>
          <w:szCs w:val="24"/>
        </w:rPr>
        <w:t xml:space="preserve"> </w:t>
      </w:r>
      <w:r w:rsidRPr="0026246B">
        <w:rPr>
          <w:w w:val="105"/>
          <w:sz w:val="24"/>
          <w:szCs w:val="24"/>
        </w:rPr>
        <w:t>clinical</w:t>
      </w:r>
      <w:r w:rsidRPr="0026246B">
        <w:rPr>
          <w:spacing w:val="-16"/>
          <w:w w:val="105"/>
          <w:sz w:val="24"/>
          <w:szCs w:val="24"/>
        </w:rPr>
        <w:t xml:space="preserve"> </w:t>
      </w:r>
      <w:r w:rsidRPr="0026246B">
        <w:rPr>
          <w:w w:val="105"/>
          <w:sz w:val="24"/>
          <w:szCs w:val="24"/>
        </w:rPr>
        <w:t>symptoms.</w:t>
      </w:r>
      <w:r w:rsidRPr="0026246B">
        <w:rPr>
          <w:spacing w:val="-16"/>
          <w:w w:val="105"/>
          <w:sz w:val="24"/>
          <w:szCs w:val="24"/>
        </w:rPr>
        <w:t xml:space="preserve"> </w:t>
      </w:r>
      <w:r w:rsidRPr="0026246B">
        <w:rPr>
          <w:w w:val="105"/>
          <w:sz w:val="24"/>
          <w:szCs w:val="24"/>
        </w:rPr>
        <w:t>Patients</w:t>
      </w:r>
      <w:r w:rsidRPr="0026246B">
        <w:rPr>
          <w:spacing w:val="-16"/>
          <w:w w:val="105"/>
          <w:sz w:val="24"/>
          <w:szCs w:val="24"/>
        </w:rPr>
        <w:t xml:space="preserve"> </w:t>
      </w:r>
      <w:r w:rsidRPr="0026246B">
        <w:rPr>
          <w:w w:val="105"/>
          <w:sz w:val="24"/>
          <w:szCs w:val="24"/>
        </w:rPr>
        <w:t>developing</w:t>
      </w:r>
      <w:r w:rsidRPr="0026246B">
        <w:rPr>
          <w:sz w:val="24"/>
          <w:szCs w:val="24"/>
        </w:rPr>
        <w:t xml:space="preserve"> </w:t>
      </w:r>
      <w:r w:rsidRPr="0026246B">
        <w:rPr>
          <w:w w:val="105"/>
          <w:sz w:val="24"/>
          <w:szCs w:val="24"/>
        </w:rPr>
        <w:t xml:space="preserve">grade 3 or 4 hypocalcaemia often had recovery with </w:t>
      </w:r>
      <w:r w:rsidRPr="0026246B">
        <w:rPr>
          <w:w w:val="105"/>
          <w:sz w:val="24"/>
          <w:szCs w:val="24"/>
        </w:rPr>
        <w:lastRenderedPageBreak/>
        <w:t>oral calcium supplementation.</w:t>
      </w:r>
    </w:p>
    <w:p w:rsidR="000E0BC4" w:rsidRPr="0026246B" w:rsidRDefault="000E0BC4" w:rsidP="0026246B">
      <w:pPr>
        <w:pStyle w:val="Brdtekst"/>
        <w:ind w:left="851" w:right="136"/>
        <w:rPr>
          <w:sz w:val="24"/>
          <w:szCs w:val="24"/>
        </w:rPr>
      </w:pPr>
      <w:r w:rsidRPr="0026246B">
        <w:rPr>
          <w:w w:val="105"/>
          <w:sz w:val="24"/>
          <w:szCs w:val="24"/>
        </w:rPr>
        <w:t>Grade</w:t>
      </w:r>
      <w:r w:rsidRPr="0026246B">
        <w:rPr>
          <w:spacing w:val="-12"/>
          <w:w w:val="105"/>
          <w:sz w:val="24"/>
          <w:szCs w:val="24"/>
        </w:rPr>
        <w:t xml:space="preserve"> </w:t>
      </w:r>
      <w:r w:rsidRPr="0026246B">
        <w:rPr>
          <w:w w:val="105"/>
          <w:sz w:val="24"/>
          <w:szCs w:val="24"/>
        </w:rPr>
        <w:t>3</w:t>
      </w:r>
      <w:r w:rsidRPr="0026246B">
        <w:rPr>
          <w:spacing w:val="-12"/>
          <w:w w:val="105"/>
          <w:sz w:val="24"/>
          <w:szCs w:val="24"/>
        </w:rPr>
        <w:t xml:space="preserve"> </w:t>
      </w:r>
      <w:r w:rsidRPr="0026246B">
        <w:rPr>
          <w:w w:val="105"/>
          <w:sz w:val="24"/>
          <w:szCs w:val="24"/>
        </w:rPr>
        <w:t>or</w:t>
      </w:r>
      <w:r w:rsidRPr="0026246B">
        <w:rPr>
          <w:spacing w:val="-13"/>
          <w:w w:val="105"/>
          <w:sz w:val="24"/>
          <w:szCs w:val="24"/>
        </w:rPr>
        <w:t xml:space="preserve"> </w:t>
      </w:r>
      <w:r w:rsidRPr="0026246B">
        <w:rPr>
          <w:w w:val="105"/>
          <w:sz w:val="24"/>
          <w:szCs w:val="24"/>
        </w:rPr>
        <w:t>4</w:t>
      </w:r>
      <w:r w:rsidRPr="0026246B">
        <w:rPr>
          <w:spacing w:val="-12"/>
          <w:w w:val="105"/>
          <w:sz w:val="24"/>
          <w:szCs w:val="24"/>
        </w:rPr>
        <w:t xml:space="preserve"> </w:t>
      </w:r>
      <w:r w:rsidRPr="0026246B">
        <w:rPr>
          <w:w w:val="105"/>
          <w:sz w:val="24"/>
          <w:szCs w:val="24"/>
        </w:rPr>
        <w:t>hypocalcaemia,</w:t>
      </w:r>
      <w:r w:rsidRPr="0026246B">
        <w:rPr>
          <w:spacing w:val="-14"/>
          <w:w w:val="105"/>
          <w:sz w:val="24"/>
          <w:szCs w:val="24"/>
        </w:rPr>
        <w:t xml:space="preserve"> </w:t>
      </w:r>
      <w:r w:rsidRPr="0026246B">
        <w:rPr>
          <w:w w:val="105"/>
          <w:sz w:val="24"/>
          <w:szCs w:val="24"/>
        </w:rPr>
        <w:t>hypokalaemia,</w:t>
      </w:r>
      <w:r w:rsidRPr="0026246B">
        <w:rPr>
          <w:spacing w:val="-13"/>
          <w:w w:val="105"/>
          <w:sz w:val="24"/>
          <w:szCs w:val="24"/>
        </w:rPr>
        <w:t xml:space="preserve"> </w:t>
      </w:r>
      <w:r w:rsidRPr="0026246B">
        <w:rPr>
          <w:w w:val="105"/>
          <w:sz w:val="24"/>
          <w:szCs w:val="24"/>
        </w:rPr>
        <w:t>and</w:t>
      </w:r>
      <w:r w:rsidRPr="0026246B">
        <w:rPr>
          <w:spacing w:val="-12"/>
          <w:w w:val="105"/>
          <w:sz w:val="24"/>
          <w:szCs w:val="24"/>
        </w:rPr>
        <w:t xml:space="preserve"> </w:t>
      </w:r>
      <w:r w:rsidRPr="0026246B">
        <w:rPr>
          <w:w w:val="105"/>
          <w:sz w:val="24"/>
          <w:szCs w:val="24"/>
        </w:rPr>
        <w:t>hypophosphataemia</w:t>
      </w:r>
      <w:r w:rsidRPr="0026246B">
        <w:rPr>
          <w:spacing w:val="-13"/>
          <w:w w:val="105"/>
          <w:sz w:val="24"/>
          <w:szCs w:val="24"/>
        </w:rPr>
        <w:t xml:space="preserve"> </w:t>
      </w:r>
      <w:r w:rsidRPr="0026246B">
        <w:rPr>
          <w:w w:val="105"/>
          <w:sz w:val="24"/>
          <w:szCs w:val="24"/>
        </w:rPr>
        <w:t>were</w:t>
      </w:r>
      <w:r w:rsidRPr="0026246B">
        <w:rPr>
          <w:spacing w:val="-12"/>
          <w:w w:val="105"/>
          <w:sz w:val="24"/>
          <w:szCs w:val="24"/>
        </w:rPr>
        <w:t xml:space="preserve"> </w:t>
      </w:r>
      <w:r w:rsidRPr="0026246B">
        <w:rPr>
          <w:w w:val="105"/>
          <w:sz w:val="24"/>
          <w:szCs w:val="24"/>
        </w:rPr>
        <w:t>reported</w:t>
      </w:r>
      <w:r w:rsidRPr="0026246B">
        <w:rPr>
          <w:spacing w:val="-13"/>
          <w:w w:val="105"/>
          <w:sz w:val="24"/>
          <w:szCs w:val="24"/>
        </w:rPr>
        <w:t xml:space="preserve"> </w:t>
      </w:r>
      <w:r w:rsidRPr="0026246B">
        <w:rPr>
          <w:w w:val="105"/>
          <w:sz w:val="24"/>
          <w:szCs w:val="24"/>
        </w:rPr>
        <w:t>in</w:t>
      </w:r>
      <w:r w:rsidRPr="0026246B">
        <w:rPr>
          <w:spacing w:val="-11"/>
          <w:w w:val="105"/>
          <w:sz w:val="24"/>
          <w:szCs w:val="24"/>
        </w:rPr>
        <w:t xml:space="preserve"> </w:t>
      </w:r>
      <w:r w:rsidRPr="0026246B">
        <w:rPr>
          <w:w w:val="105"/>
          <w:sz w:val="24"/>
          <w:szCs w:val="24"/>
        </w:rPr>
        <w:t>patients</w:t>
      </w:r>
      <w:r w:rsidRPr="0026246B">
        <w:rPr>
          <w:spacing w:val="-13"/>
          <w:w w:val="105"/>
          <w:sz w:val="24"/>
          <w:szCs w:val="24"/>
        </w:rPr>
        <w:t xml:space="preserve"> </w:t>
      </w:r>
      <w:r w:rsidRPr="0026246B">
        <w:rPr>
          <w:w w:val="105"/>
          <w:sz w:val="24"/>
          <w:szCs w:val="24"/>
        </w:rPr>
        <w:t>with</w:t>
      </w:r>
      <w:r w:rsidRPr="0026246B">
        <w:rPr>
          <w:spacing w:val="-13"/>
          <w:w w:val="105"/>
          <w:sz w:val="24"/>
          <w:szCs w:val="24"/>
        </w:rPr>
        <w:t xml:space="preserve"> </w:t>
      </w:r>
      <w:r w:rsidRPr="0026246B">
        <w:rPr>
          <w:w w:val="105"/>
          <w:sz w:val="24"/>
          <w:szCs w:val="24"/>
        </w:rPr>
        <w:t>all phases of CML but were reported with an increased frequency in patients with myeloid or lymphoid blast phase CML and Ph+ ALL. Grade 3 or 4 elevations in creatinine were reported in &lt; 1% of patients</w:t>
      </w:r>
      <w:r w:rsidRPr="0026246B">
        <w:rPr>
          <w:spacing w:val="-10"/>
          <w:w w:val="105"/>
          <w:sz w:val="24"/>
          <w:szCs w:val="24"/>
        </w:rPr>
        <w:t xml:space="preserve"> </w:t>
      </w:r>
      <w:r w:rsidRPr="0026246B">
        <w:rPr>
          <w:w w:val="105"/>
          <w:sz w:val="24"/>
          <w:szCs w:val="24"/>
        </w:rPr>
        <w:t>with</w:t>
      </w:r>
      <w:r w:rsidRPr="0026246B">
        <w:rPr>
          <w:spacing w:val="-9"/>
          <w:w w:val="105"/>
          <w:sz w:val="24"/>
          <w:szCs w:val="24"/>
        </w:rPr>
        <w:t xml:space="preserve"> </w:t>
      </w:r>
      <w:r w:rsidRPr="0026246B">
        <w:rPr>
          <w:w w:val="105"/>
          <w:sz w:val="24"/>
          <w:szCs w:val="24"/>
        </w:rPr>
        <w:t>chronic</w:t>
      </w:r>
      <w:r w:rsidRPr="0026246B">
        <w:rPr>
          <w:spacing w:val="-10"/>
          <w:w w:val="105"/>
          <w:sz w:val="24"/>
          <w:szCs w:val="24"/>
        </w:rPr>
        <w:t xml:space="preserve"> </w:t>
      </w:r>
      <w:r w:rsidRPr="0026246B">
        <w:rPr>
          <w:w w:val="105"/>
          <w:sz w:val="24"/>
          <w:szCs w:val="24"/>
        </w:rPr>
        <w:t>phase</w:t>
      </w:r>
      <w:r w:rsidRPr="0026246B">
        <w:rPr>
          <w:spacing w:val="-10"/>
          <w:w w:val="105"/>
          <w:sz w:val="24"/>
          <w:szCs w:val="24"/>
        </w:rPr>
        <w:t xml:space="preserve"> </w:t>
      </w:r>
      <w:r w:rsidRPr="0026246B">
        <w:rPr>
          <w:w w:val="105"/>
          <w:sz w:val="24"/>
          <w:szCs w:val="24"/>
        </w:rPr>
        <w:t>CML</w:t>
      </w:r>
      <w:r w:rsidRPr="0026246B">
        <w:rPr>
          <w:spacing w:val="-9"/>
          <w:w w:val="105"/>
          <w:sz w:val="24"/>
          <w:szCs w:val="24"/>
        </w:rPr>
        <w:t xml:space="preserve"> </w:t>
      </w:r>
      <w:r w:rsidRPr="0026246B">
        <w:rPr>
          <w:w w:val="105"/>
          <w:sz w:val="24"/>
          <w:szCs w:val="24"/>
        </w:rPr>
        <w:t>and</w:t>
      </w:r>
      <w:r w:rsidRPr="0026246B">
        <w:rPr>
          <w:spacing w:val="-11"/>
          <w:w w:val="105"/>
          <w:sz w:val="24"/>
          <w:szCs w:val="24"/>
        </w:rPr>
        <w:t xml:space="preserve"> </w:t>
      </w:r>
      <w:r w:rsidRPr="0026246B">
        <w:rPr>
          <w:w w:val="105"/>
          <w:sz w:val="24"/>
          <w:szCs w:val="24"/>
        </w:rPr>
        <w:t>were</w:t>
      </w:r>
      <w:r w:rsidRPr="0026246B">
        <w:rPr>
          <w:spacing w:val="-9"/>
          <w:w w:val="105"/>
          <w:sz w:val="24"/>
          <w:szCs w:val="24"/>
        </w:rPr>
        <w:t xml:space="preserve"> </w:t>
      </w:r>
      <w:r w:rsidRPr="0026246B">
        <w:rPr>
          <w:w w:val="105"/>
          <w:sz w:val="24"/>
          <w:szCs w:val="24"/>
        </w:rPr>
        <w:t>reported</w:t>
      </w:r>
      <w:r w:rsidRPr="0026246B">
        <w:rPr>
          <w:spacing w:val="-10"/>
          <w:w w:val="105"/>
          <w:sz w:val="24"/>
          <w:szCs w:val="24"/>
        </w:rPr>
        <w:t xml:space="preserve"> </w:t>
      </w:r>
      <w:r w:rsidRPr="0026246B">
        <w:rPr>
          <w:w w:val="105"/>
          <w:sz w:val="24"/>
          <w:szCs w:val="24"/>
        </w:rPr>
        <w:t>with</w:t>
      </w:r>
      <w:r w:rsidRPr="0026246B">
        <w:rPr>
          <w:spacing w:val="-10"/>
          <w:w w:val="105"/>
          <w:sz w:val="24"/>
          <w:szCs w:val="24"/>
        </w:rPr>
        <w:t xml:space="preserve"> </w:t>
      </w:r>
      <w:r w:rsidRPr="0026246B">
        <w:rPr>
          <w:w w:val="105"/>
          <w:sz w:val="24"/>
          <w:szCs w:val="24"/>
        </w:rPr>
        <w:t>an</w:t>
      </w:r>
      <w:r w:rsidRPr="0026246B">
        <w:rPr>
          <w:spacing w:val="-10"/>
          <w:w w:val="105"/>
          <w:sz w:val="24"/>
          <w:szCs w:val="24"/>
        </w:rPr>
        <w:t xml:space="preserve"> </w:t>
      </w:r>
      <w:r w:rsidRPr="0026246B">
        <w:rPr>
          <w:w w:val="105"/>
          <w:sz w:val="24"/>
          <w:szCs w:val="24"/>
        </w:rPr>
        <w:t>increased</w:t>
      </w:r>
      <w:r w:rsidRPr="0026246B">
        <w:rPr>
          <w:spacing w:val="-10"/>
          <w:w w:val="105"/>
          <w:sz w:val="24"/>
          <w:szCs w:val="24"/>
        </w:rPr>
        <w:t xml:space="preserve"> </w:t>
      </w:r>
      <w:r w:rsidRPr="0026246B">
        <w:rPr>
          <w:w w:val="105"/>
          <w:sz w:val="24"/>
          <w:szCs w:val="24"/>
        </w:rPr>
        <w:t>frequency</w:t>
      </w:r>
      <w:r w:rsidRPr="0026246B">
        <w:rPr>
          <w:spacing w:val="-7"/>
          <w:w w:val="105"/>
          <w:sz w:val="24"/>
          <w:szCs w:val="24"/>
        </w:rPr>
        <w:t xml:space="preserve"> </w:t>
      </w:r>
      <w:r w:rsidRPr="0026246B">
        <w:rPr>
          <w:w w:val="105"/>
          <w:sz w:val="24"/>
          <w:szCs w:val="24"/>
        </w:rPr>
        <w:t>of</w:t>
      </w:r>
      <w:r w:rsidRPr="0026246B">
        <w:rPr>
          <w:spacing w:val="-10"/>
          <w:w w:val="105"/>
          <w:sz w:val="24"/>
          <w:szCs w:val="24"/>
        </w:rPr>
        <w:t xml:space="preserve"> </w:t>
      </w:r>
      <w:r w:rsidRPr="0026246B">
        <w:rPr>
          <w:w w:val="105"/>
          <w:sz w:val="24"/>
          <w:szCs w:val="24"/>
        </w:rPr>
        <w:t>1</w:t>
      </w:r>
      <w:r w:rsidRPr="0026246B">
        <w:rPr>
          <w:spacing w:val="-10"/>
          <w:w w:val="105"/>
          <w:sz w:val="24"/>
          <w:szCs w:val="24"/>
        </w:rPr>
        <w:t xml:space="preserve"> </w:t>
      </w:r>
      <w:r w:rsidRPr="0026246B">
        <w:rPr>
          <w:w w:val="105"/>
          <w:sz w:val="24"/>
          <w:szCs w:val="24"/>
        </w:rPr>
        <w:t>to</w:t>
      </w:r>
      <w:r w:rsidRPr="0026246B">
        <w:rPr>
          <w:spacing w:val="-10"/>
          <w:w w:val="105"/>
          <w:sz w:val="24"/>
          <w:szCs w:val="24"/>
        </w:rPr>
        <w:t xml:space="preserve"> </w:t>
      </w:r>
      <w:r w:rsidRPr="0026246B">
        <w:rPr>
          <w:w w:val="105"/>
          <w:sz w:val="24"/>
          <w:szCs w:val="24"/>
        </w:rPr>
        <w:t>4%</w:t>
      </w:r>
      <w:r w:rsidRPr="0026246B">
        <w:rPr>
          <w:spacing w:val="-10"/>
          <w:w w:val="105"/>
          <w:sz w:val="24"/>
          <w:szCs w:val="24"/>
        </w:rPr>
        <w:t xml:space="preserve"> </w:t>
      </w:r>
      <w:r w:rsidRPr="0026246B">
        <w:rPr>
          <w:w w:val="105"/>
          <w:sz w:val="24"/>
          <w:szCs w:val="24"/>
        </w:rPr>
        <w:t>of</w:t>
      </w:r>
      <w:r w:rsidRPr="0026246B">
        <w:rPr>
          <w:spacing w:val="-9"/>
          <w:w w:val="105"/>
          <w:sz w:val="24"/>
          <w:szCs w:val="24"/>
        </w:rPr>
        <w:t xml:space="preserve"> </w:t>
      </w:r>
      <w:r w:rsidRPr="0026246B">
        <w:rPr>
          <w:w w:val="105"/>
          <w:sz w:val="24"/>
          <w:szCs w:val="24"/>
        </w:rPr>
        <w:t>patients with advanced phase</w:t>
      </w:r>
      <w:r w:rsidRPr="0026246B">
        <w:rPr>
          <w:spacing w:val="-40"/>
          <w:w w:val="105"/>
          <w:sz w:val="24"/>
          <w:szCs w:val="24"/>
        </w:rPr>
        <w:t xml:space="preserve"> </w:t>
      </w:r>
      <w:r w:rsidRPr="0026246B">
        <w:rPr>
          <w:w w:val="105"/>
          <w:sz w:val="24"/>
          <w:szCs w:val="24"/>
        </w:rPr>
        <w:t>CML.</w:t>
      </w:r>
    </w:p>
    <w:p w:rsidR="000E0BC4" w:rsidRPr="0026246B" w:rsidRDefault="000E0BC4" w:rsidP="0026246B">
      <w:pPr>
        <w:pStyle w:val="Brdtekst"/>
        <w:ind w:left="851"/>
        <w:rPr>
          <w:sz w:val="24"/>
          <w:szCs w:val="24"/>
        </w:rPr>
      </w:pPr>
    </w:p>
    <w:p w:rsidR="000E0BC4" w:rsidRPr="0026246B" w:rsidRDefault="000E0BC4" w:rsidP="0026246B">
      <w:pPr>
        <w:pStyle w:val="Brdtekst"/>
        <w:ind w:left="851"/>
        <w:rPr>
          <w:sz w:val="24"/>
          <w:szCs w:val="24"/>
        </w:rPr>
      </w:pPr>
      <w:r w:rsidRPr="0026246B">
        <w:rPr>
          <w:w w:val="105"/>
          <w:sz w:val="24"/>
          <w:szCs w:val="24"/>
          <w:u w:val="single"/>
        </w:rPr>
        <w:t>Paediatric population</w:t>
      </w:r>
    </w:p>
    <w:p w:rsidR="000E0BC4" w:rsidRPr="0026246B" w:rsidRDefault="000E0BC4" w:rsidP="0026246B">
      <w:pPr>
        <w:pStyle w:val="Brdtekst"/>
        <w:ind w:left="851" w:right="299"/>
        <w:rPr>
          <w:sz w:val="24"/>
          <w:szCs w:val="24"/>
        </w:rPr>
      </w:pPr>
      <w:r w:rsidRPr="0026246B">
        <w:rPr>
          <w:w w:val="105"/>
          <w:sz w:val="24"/>
          <w:szCs w:val="24"/>
        </w:rPr>
        <w:t>The safety profile of dasatinib administered as single-agent therapy in paediatric patients with Ph+ CML-CP was comparable to the safety profile in adults. The safety profile of dasatinib administered</w:t>
      </w:r>
      <w:r w:rsidRPr="0026246B">
        <w:rPr>
          <w:spacing w:val="-15"/>
          <w:w w:val="105"/>
          <w:sz w:val="24"/>
          <w:szCs w:val="24"/>
        </w:rPr>
        <w:t xml:space="preserve"> </w:t>
      </w:r>
      <w:r w:rsidRPr="0026246B">
        <w:rPr>
          <w:w w:val="105"/>
          <w:sz w:val="24"/>
          <w:szCs w:val="24"/>
        </w:rPr>
        <w:t>in</w:t>
      </w:r>
      <w:r w:rsidRPr="0026246B">
        <w:rPr>
          <w:spacing w:val="-15"/>
          <w:w w:val="105"/>
          <w:sz w:val="24"/>
          <w:szCs w:val="24"/>
        </w:rPr>
        <w:t xml:space="preserve"> </w:t>
      </w:r>
      <w:r w:rsidRPr="0026246B">
        <w:rPr>
          <w:w w:val="105"/>
          <w:sz w:val="24"/>
          <w:szCs w:val="24"/>
        </w:rPr>
        <w:t>combination</w:t>
      </w:r>
      <w:r w:rsidRPr="0026246B">
        <w:rPr>
          <w:spacing w:val="-15"/>
          <w:w w:val="105"/>
          <w:sz w:val="24"/>
          <w:szCs w:val="24"/>
        </w:rPr>
        <w:t xml:space="preserve"> </w:t>
      </w:r>
      <w:r w:rsidRPr="0026246B">
        <w:rPr>
          <w:w w:val="105"/>
          <w:sz w:val="24"/>
          <w:szCs w:val="24"/>
        </w:rPr>
        <w:t>with</w:t>
      </w:r>
      <w:r w:rsidRPr="0026246B">
        <w:rPr>
          <w:spacing w:val="-14"/>
          <w:w w:val="105"/>
          <w:sz w:val="24"/>
          <w:szCs w:val="24"/>
        </w:rPr>
        <w:t xml:space="preserve"> </w:t>
      </w:r>
      <w:r w:rsidRPr="0026246B">
        <w:rPr>
          <w:w w:val="105"/>
          <w:sz w:val="24"/>
          <w:szCs w:val="24"/>
        </w:rPr>
        <w:t>chemotherapy</w:t>
      </w:r>
      <w:r w:rsidRPr="0026246B">
        <w:rPr>
          <w:spacing w:val="-14"/>
          <w:w w:val="105"/>
          <w:sz w:val="24"/>
          <w:szCs w:val="24"/>
        </w:rPr>
        <w:t xml:space="preserve"> </w:t>
      </w:r>
      <w:r w:rsidRPr="0026246B">
        <w:rPr>
          <w:w w:val="105"/>
          <w:sz w:val="24"/>
          <w:szCs w:val="24"/>
        </w:rPr>
        <w:t>in</w:t>
      </w:r>
      <w:r w:rsidRPr="0026246B">
        <w:rPr>
          <w:spacing w:val="-15"/>
          <w:w w:val="105"/>
          <w:sz w:val="24"/>
          <w:szCs w:val="24"/>
        </w:rPr>
        <w:t xml:space="preserve"> </w:t>
      </w:r>
      <w:r w:rsidRPr="0026246B">
        <w:rPr>
          <w:w w:val="105"/>
          <w:sz w:val="24"/>
          <w:szCs w:val="24"/>
        </w:rPr>
        <w:t>paediatric</w:t>
      </w:r>
      <w:r w:rsidRPr="0026246B">
        <w:rPr>
          <w:spacing w:val="-14"/>
          <w:w w:val="105"/>
          <w:sz w:val="24"/>
          <w:szCs w:val="24"/>
        </w:rPr>
        <w:t xml:space="preserve"> </w:t>
      </w:r>
      <w:r w:rsidRPr="0026246B">
        <w:rPr>
          <w:w w:val="105"/>
          <w:sz w:val="24"/>
          <w:szCs w:val="24"/>
        </w:rPr>
        <w:t>patients</w:t>
      </w:r>
      <w:r w:rsidRPr="0026246B">
        <w:rPr>
          <w:spacing w:val="-15"/>
          <w:w w:val="105"/>
          <w:sz w:val="24"/>
          <w:szCs w:val="24"/>
        </w:rPr>
        <w:t xml:space="preserve"> </w:t>
      </w:r>
      <w:r w:rsidRPr="0026246B">
        <w:rPr>
          <w:w w:val="105"/>
          <w:sz w:val="24"/>
          <w:szCs w:val="24"/>
        </w:rPr>
        <w:t>with</w:t>
      </w:r>
      <w:r w:rsidRPr="0026246B">
        <w:rPr>
          <w:spacing w:val="-15"/>
          <w:w w:val="105"/>
          <w:sz w:val="24"/>
          <w:szCs w:val="24"/>
        </w:rPr>
        <w:t xml:space="preserve"> </w:t>
      </w:r>
      <w:r w:rsidRPr="0026246B">
        <w:rPr>
          <w:w w:val="105"/>
          <w:sz w:val="24"/>
          <w:szCs w:val="24"/>
        </w:rPr>
        <w:t>Ph+</w:t>
      </w:r>
      <w:r w:rsidRPr="0026246B">
        <w:rPr>
          <w:spacing w:val="-15"/>
          <w:w w:val="105"/>
          <w:sz w:val="24"/>
          <w:szCs w:val="24"/>
        </w:rPr>
        <w:t xml:space="preserve"> </w:t>
      </w:r>
      <w:r w:rsidRPr="0026246B">
        <w:rPr>
          <w:w w:val="105"/>
          <w:sz w:val="24"/>
          <w:szCs w:val="24"/>
        </w:rPr>
        <w:t>ALL</w:t>
      </w:r>
      <w:r w:rsidRPr="0026246B">
        <w:rPr>
          <w:spacing w:val="-15"/>
          <w:w w:val="105"/>
          <w:sz w:val="24"/>
          <w:szCs w:val="24"/>
        </w:rPr>
        <w:t xml:space="preserve"> </w:t>
      </w:r>
      <w:r w:rsidRPr="0026246B">
        <w:rPr>
          <w:w w:val="105"/>
          <w:sz w:val="24"/>
          <w:szCs w:val="24"/>
        </w:rPr>
        <w:t>was</w:t>
      </w:r>
      <w:r w:rsidRPr="0026246B">
        <w:rPr>
          <w:spacing w:val="-15"/>
          <w:w w:val="105"/>
          <w:sz w:val="24"/>
          <w:szCs w:val="24"/>
        </w:rPr>
        <w:t xml:space="preserve"> </w:t>
      </w:r>
      <w:r w:rsidRPr="0026246B">
        <w:rPr>
          <w:w w:val="105"/>
          <w:sz w:val="24"/>
          <w:szCs w:val="24"/>
        </w:rPr>
        <w:t>consistent with</w:t>
      </w:r>
      <w:r w:rsidRPr="0026246B">
        <w:rPr>
          <w:spacing w:val="-12"/>
          <w:w w:val="105"/>
          <w:sz w:val="24"/>
          <w:szCs w:val="24"/>
        </w:rPr>
        <w:t xml:space="preserve"> </w:t>
      </w:r>
      <w:r w:rsidRPr="0026246B">
        <w:rPr>
          <w:w w:val="105"/>
          <w:sz w:val="24"/>
          <w:szCs w:val="24"/>
        </w:rPr>
        <w:t>the</w:t>
      </w:r>
      <w:r w:rsidRPr="0026246B">
        <w:rPr>
          <w:spacing w:val="-12"/>
          <w:w w:val="105"/>
          <w:sz w:val="24"/>
          <w:szCs w:val="24"/>
        </w:rPr>
        <w:t xml:space="preserve"> </w:t>
      </w:r>
      <w:r w:rsidRPr="0026246B">
        <w:rPr>
          <w:w w:val="105"/>
          <w:sz w:val="24"/>
          <w:szCs w:val="24"/>
        </w:rPr>
        <w:t>known</w:t>
      </w:r>
      <w:r w:rsidRPr="0026246B">
        <w:rPr>
          <w:spacing w:val="-12"/>
          <w:w w:val="105"/>
          <w:sz w:val="24"/>
          <w:szCs w:val="24"/>
        </w:rPr>
        <w:t xml:space="preserve"> </w:t>
      </w:r>
      <w:r w:rsidRPr="0026246B">
        <w:rPr>
          <w:w w:val="105"/>
          <w:sz w:val="24"/>
          <w:szCs w:val="24"/>
        </w:rPr>
        <w:t>safety</w:t>
      </w:r>
      <w:r w:rsidRPr="0026246B">
        <w:rPr>
          <w:spacing w:val="-10"/>
          <w:w w:val="105"/>
          <w:sz w:val="24"/>
          <w:szCs w:val="24"/>
        </w:rPr>
        <w:t xml:space="preserve"> </w:t>
      </w:r>
      <w:r w:rsidRPr="0026246B">
        <w:rPr>
          <w:w w:val="105"/>
          <w:sz w:val="24"/>
          <w:szCs w:val="24"/>
        </w:rPr>
        <w:t>profile</w:t>
      </w:r>
      <w:r w:rsidRPr="0026246B">
        <w:rPr>
          <w:spacing w:val="-11"/>
          <w:w w:val="105"/>
          <w:sz w:val="24"/>
          <w:szCs w:val="24"/>
        </w:rPr>
        <w:t xml:space="preserve"> </w:t>
      </w:r>
      <w:r w:rsidRPr="0026246B">
        <w:rPr>
          <w:w w:val="105"/>
          <w:sz w:val="24"/>
          <w:szCs w:val="24"/>
        </w:rPr>
        <w:t>of</w:t>
      </w:r>
      <w:r w:rsidRPr="0026246B">
        <w:rPr>
          <w:spacing w:val="-11"/>
          <w:w w:val="105"/>
          <w:sz w:val="24"/>
          <w:szCs w:val="24"/>
        </w:rPr>
        <w:t xml:space="preserve"> dasatinib </w:t>
      </w:r>
      <w:r w:rsidRPr="0026246B">
        <w:rPr>
          <w:w w:val="105"/>
          <w:sz w:val="24"/>
          <w:szCs w:val="24"/>
        </w:rPr>
        <w:t>in</w:t>
      </w:r>
      <w:r w:rsidRPr="0026246B">
        <w:rPr>
          <w:spacing w:val="-12"/>
          <w:w w:val="105"/>
          <w:sz w:val="24"/>
          <w:szCs w:val="24"/>
        </w:rPr>
        <w:t xml:space="preserve"> </w:t>
      </w:r>
      <w:r w:rsidRPr="0026246B">
        <w:rPr>
          <w:w w:val="105"/>
          <w:sz w:val="24"/>
          <w:szCs w:val="24"/>
        </w:rPr>
        <w:t>adults</w:t>
      </w:r>
      <w:r w:rsidRPr="0026246B">
        <w:rPr>
          <w:spacing w:val="-11"/>
          <w:w w:val="105"/>
          <w:sz w:val="24"/>
          <w:szCs w:val="24"/>
        </w:rPr>
        <w:t xml:space="preserve"> </w:t>
      </w:r>
      <w:r w:rsidRPr="0026246B">
        <w:rPr>
          <w:w w:val="105"/>
          <w:sz w:val="24"/>
          <w:szCs w:val="24"/>
        </w:rPr>
        <w:t>and</w:t>
      </w:r>
      <w:r w:rsidRPr="0026246B">
        <w:rPr>
          <w:spacing w:val="-12"/>
          <w:w w:val="105"/>
          <w:sz w:val="24"/>
          <w:szCs w:val="24"/>
        </w:rPr>
        <w:t xml:space="preserve"> </w:t>
      </w:r>
      <w:r w:rsidRPr="0026246B">
        <w:rPr>
          <w:w w:val="105"/>
          <w:sz w:val="24"/>
          <w:szCs w:val="24"/>
        </w:rPr>
        <w:t>the</w:t>
      </w:r>
      <w:r w:rsidRPr="0026246B">
        <w:rPr>
          <w:spacing w:val="-9"/>
          <w:w w:val="105"/>
          <w:sz w:val="24"/>
          <w:szCs w:val="24"/>
        </w:rPr>
        <w:t xml:space="preserve"> </w:t>
      </w:r>
      <w:r w:rsidRPr="0026246B">
        <w:rPr>
          <w:w w:val="105"/>
          <w:sz w:val="24"/>
          <w:szCs w:val="24"/>
        </w:rPr>
        <w:t>expected</w:t>
      </w:r>
      <w:r w:rsidRPr="0026246B">
        <w:rPr>
          <w:spacing w:val="-11"/>
          <w:w w:val="105"/>
          <w:sz w:val="24"/>
          <w:szCs w:val="24"/>
        </w:rPr>
        <w:t xml:space="preserve"> </w:t>
      </w:r>
      <w:r w:rsidRPr="0026246B">
        <w:rPr>
          <w:w w:val="105"/>
          <w:sz w:val="24"/>
          <w:szCs w:val="24"/>
        </w:rPr>
        <w:t>effects</w:t>
      </w:r>
      <w:r w:rsidRPr="0026246B">
        <w:rPr>
          <w:spacing w:val="-12"/>
          <w:w w:val="105"/>
          <w:sz w:val="24"/>
          <w:szCs w:val="24"/>
        </w:rPr>
        <w:t xml:space="preserve"> </w:t>
      </w:r>
      <w:r w:rsidRPr="0026246B">
        <w:rPr>
          <w:w w:val="105"/>
          <w:sz w:val="24"/>
          <w:szCs w:val="24"/>
        </w:rPr>
        <w:t>of</w:t>
      </w:r>
      <w:r w:rsidRPr="0026246B">
        <w:rPr>
          <w:spacing w:val="-11"/>
          <w:w w:val="105"/>
          <w:sz w:val="24"/>
          <w:szCs w:val="24"/>
        </w:rPr>
        <w:t xml:space="preserve"> </w:t>
      </w:r>
      <w:r w:rsidRPr="0026246B">
        <w:rPr>
          <w:w w:val="105"/>
          <w:sz w:val="24"/>
          <w:szCs w:val="24"/>
        </w:rPr>
        <w:t>chemotherapy,</w:t>
      </w:r>
      <w:r w:rsidRPr="0026246B">
        <w:rPr>
          <w:spacing w:val="-11"/>
          <w:w w:val="105"/>
          <w:sz w:val="24"/>
          <w:szCs w:val="24"/>
        </w:rPr>
        <w:t xml:space="preserve"> </w:t>
      </w:r>
      <w:r w:rsidRPr="0026246B">
        <w:rPr>
          <w:w w:val="105"/>
          <w:sz w:val="24"/>
          <w:szCs w:val="24"/>
        </w:rPr>
        <w:t>with the</w:t>
      </w:r>
      <w:r w:rsidRPr="0026246B">
        <w:rPr>
          <w:spacing w:val="-10"/>
          <w:w w:val="105"/>
          <w:sz w:val="24"/>
          <w:szCs w:val="24"/>
        </w:rPr>
        <w:t xml:space="preserve"> </w:t>
      </w:r>
      <w:r w:rsidRPr="0026246B">
        <w:rPr>
          <w:w w:val="105"/>
          <w:sz w:val="24"/>
          <w:szCs w:val="24"/>
        </w:rPr>
        <w:t>exception</w:t>
      </w:r>
      <w:r w:rsidRPr="0026246B">
        <w:rPr>
          <w:spacing w:val="-9"/>
          <w:w w:val="105"/>
          <w:sz w:val="24"/>
          <w:szCs w:val="24"/>
        </w:rPr>
        <w:t xml:space="preserve"> </w:t>
      </w:r>
      <w:r w:rsidRPr="0026246B">
        <w:rPr>
          <w:w w:val="105"/>
          <w:sz w:val="24"/>
          <w:szCs w:val="24"/>
        </w:rPr>
        <w:t>of</w:t>
      </w:r>
      <w:r w:rsidRPr="0026246B">
        <w:rPr>
          <w:spacing w:val="-9"/>
          <w:w w:val="105"/>
          <w:sz w:val="24"/>
          <w:szCs w:val="24"/>
        </w:rPr>
        <w:t xml:space="preserve"> </w:t>
      </w:r>
      <w:r w:rsidRPr="0026246B">
        <w:rPr>
          <w:w w:val="105"/>
          <w:sz w:val="24"/>
          <w:szCs w:val="24"/>
        </w:rPr>
        <w:t>a</w:t>
      </w:r>
      <w:r w:rsidRPr="0026246B">
        <w:rPr>
          <w:spacing w:val="-10"/>
          <w:w w:val="105"/>
          <w:sz w:val="24"/>
          <w:szCs w:val="24"/>
        </w:rPr>
        <w:t xml:space="preserve"> </w:t>
      </w:r>
      <w:r w:rsidRPr="0026246B">
        <w:rPr>
          <w:w w:val="105"/>
          <w:sz w:val="24"/>
          <w:szCs w:val="24"/>
        </w:rPr>
        <w:t>lower</w:t>
      </w:r>
      <w:r w:rsidRPr="0026246B">
        <w:rPr>
          <w:spacing w:val="-9"/>
          <w:w w:val="105"/>
          <w:sz w:val="24"/>
          <w:szCs w:val="24"/>
        </w:rPr>
        <w:t xml:space="preserve"> </w:t>
      </w:r>
      <w:r w:rsidRPr="0026246B">
        <w:rPr>
          <w:w w:val="105"/>
          <w:sz w:val="24"/>
          <w:szCs w:val="24"/>
        </w:rPr>
        <w:t>pleural</w:t>
      </w:r>
      <w:r w:rsidRPr="0026246B">
        <w:rPr>
          <w:spacing w:val="-9"/>
          <w:w w:val="105"/>
          <w:sz w:val="24"/>
          <w:szCs w:val="24"/>
        </w:rPr>
        <w:t xml:space="preserve"> </w:t>
      </w:r>
      <w:r w:rsidRPr="0026246B">
        <w:rPr>
          <w:w w:val="105"/>
          <w:sz w:val="24"/>
          <w:szCs w:val="24"/>
        </w:rPr>
        <w:t>effusion</w:t>
      </w:r>
      <w:r w:rsidRPr="0026246B">
        <w:rPr>
          <w:spacing w:val="-9"/>
          <w:w w:val="105"/>
          <w:sz w:val="24"/>
          <w:szCs w:val="24"/>
        </w:rPr>
        <w:t xml:space="preserve"> </w:t>
      </w:r>
      <w:r w:rsidRPr="0026246B">
        <w:rPr>
          <w:w w:val="105"/>
          <w:sz w:val="24"/>
          <w:szCs w:val="24"/>
        </w:rPr>
        <w:t>rate</w:t>
      </w:r>
      <w:r w:rsidRPr="0026246B">
        <w:rPr>
          <w:spacing w:val="-9"/>
          <w:w w:val="105"/>
          <w:sz w:val="24"/>
          <w:szCs w:val="24"/>
        </w:rPr>
        <w:t xml:space="preserve"> </w:t>
      </w:r>
      <w:r w:rsidRPr="0026246B">
        <w:rPr>
          <w:w w:val="105"/>
          <w:sz w:val="24"/>
          <w:szCs w:val="24"/>
        </w:rPr>
        <w:t>in</w:t>
      </w:r>
      <w:r w:rsidRPr="0026246B">
        <w:rPr>
          <w:spacing w:val="-11"/>
          <w:w w:val="105"/>
          <w:sz w:val="24"/>
          <w:szCs w:val="24"/>
        </w:rPr>
        <w:t xml:space="preserve"> </w:t>
      </w:r>
      <w:r w:rsidRPr="0026246B">
        <w:rPr>
          <w:w w:val="105"/>
          <w:sz w:val="24"/>
          <w:szCs w:val="24"/>
        </w:rPr>
        <w:t>paediatric</w:t>
      </w:r>
      <w:r w:rsidRPr="0026246B">
        <w:rPr>
          <w:spacing w:val="-10"/>
          <w:w w:val="105"/>
          <w:sz w:val="24"/>
          <w:szCs w:val="24"/>
        </w:rPr>
        <w:t xml:space="preserve"> </w:t>
      </w:r>
      <w:r w:rsidRPr="0026246B">
        <w:rPr>
          <w:w w:val="105"/>
          <w:sz w:val="24"/>
          <w:szCs w:val="24"/>
        </w:rPr>
        <w:t>patients</w:t>
      </w:r>
      <w:r w:rsidRPr="0026246B">
        <w:rPr>
          <w:spacing w:val="-9"/>
          <w:w w:val="105"/>
          <w:sz w:val="24"/>
          <w:szCs w:val="24"/>
        </w:rPr>
        <w:t xml:space="preserve"> </w:t>
      </w:r>
      <w:r w:rsidRPr="0026246B">
        <w:rPr>
          <w:w w:val="105"/>
          <w:sz w:val="24"/>
          <w:szCs w:val="24"/>
        </w:rPr>
        <w:t>as</w:t>
      </w:r>
      <w:r w:rsidRPr="0026246B">
        <w:rPr>
          <w:spacing w:val="-10"/>
          <w:w w:val="105"/>
          <w:sz w:val="24"/>
          <w:szCs w:val="24"/>
        </w:rPr>
        <w:t xml:space="preserve"> </w:t>
      </w:r>
      <w:r w:rsidRPr="0026246B">
        <w:rPr>
          <w:w w:val="105"/>
          <w:sz w:val="24"/>
          <w:szCs w:val="24"/>
        </w:rPr>
        <w:t>compared</w:t>
      </w:r>
      <w:r w:rsidRPr="0026246B">
        <w:rPr>
          <w:spacing w:val="-10"/>
          <w:w w:val="105"/>
          <w:sz w:val="24"/>
          <w:szCs w:val="24"/>
        </w:rPr>
        <w:t xml:space="preserve"> </w:t>
      </w:r>
      <w:r w:rsidRPr="0026246B">
        <w:rPr>
          <w:w w:val="105"/>
          <w:sz w:val="24"/>
          <w:szCs w:val="24"/>
        </w:rPr>
        <w:t>to</w:t>
      </w:r>
      <w:r w:rsidRPr="0026246B">
        <w:rPr>
          <w:spacing w:val="-10"/>
          <w:w w:val="105"/>
          <w:sz w:val="24"/>
          <w:szCs w:val="24"/>
        </w:rPr>
        <w:t xml:space="preserve"> </w:t>
      </w:r>
      <w:r w:rsidRPr="0026246B">
        <w:rPr>
          <w:w w:val="105"/>
          <w:sz w:val="24"/>
          <w:szCs w:val="24"/>
        </w:rPr>
        <w:t>adults.</w:t>
      </w:r>
    </w:p>
    <w:p w:rsidR="000E0BC4" w:rsidRPr="0026246B" w:rsidRDefault="000E0BC4" w:rsidP="0026246B">
      <w:pPr>
        <w:pStyle w:val="Brdtekst"/>
        <w:ind w:left="851"/>
        <w:rPr>
          <w:sz w:val="24"/>
          <w:szCs w:val="24"/>
        </w:rPr>
      </w:pPr>
    </w:p>
    <w:p w:rsidR="000E0BC4" w:rsidRPr="0026246B" w:rsidRDefault="000E0BC4" w:rsidP="0026246B">
      <w:pPr>
        <w:pStyle w:val="Brdtekst"/>
        <w:ind w:left="851"/>
        <w:rPr>
          <w:sz w:val="24"/>
          <w:szCs w:val="24"/>
        </w:rPr>
      </w:pPr>
      <w:r w:rsidRPr="0026246B">
        <w:rPr>
          <w:w w:val="105"/>
          <w:sz w:val="24"/>
          <w:szCs w:val="24"/>
        </w:rPr>
        <w:t>In</w:t>
      </w:r>
      <w:r w:rsidRPr="0026246B">
        <w:rPr>
          <w:spacing w:val="-12"/>
          <w:w w:val="105"/>
          <w:sz w:val="24"/>
          <w:szCs w:val="24"/>
        </w:rPr>
        <w:t xml:space="preserve"> </w:t>
      </w:r>
      <w:r w:rsidRPr="0026246B">
        <w:rPr>
          <w:w w:val="105"/>
          <w:sz w:val="24"/>
          <w:szCs w:val="24"/>
        </w:rPr>
        <w:t>the</w:t>
      </w:r>
      <w:r w:rsidRPr="0026246B">
        <w:rPr>
          <w:spacing w:val="-13"/>
          <w:w w:val="105"/>
          <w:sz w:val="24"/>
          <w:szCs w:val="24"/>
        </w:rPr>
        <w:t xml:space="preserve"> </w:t>
      </w:r>
      <w:r w:rsidRPr="0026246B">
        <w:rPr>
          <w:w w:val="105"/>
          <w:sz w:val="24"/>
          <w:szCs w:val="24"/>
        </w:rPr>
        <w:t>paediatric</w:t>
      </w:r>
      <w:r w:rsidRPr="0026246B">
        <w:rPr>
          <w:spacing w:val="-11"/>
          <w:w w:val="105"/>
          <w:sz w:val="24"/>
          <w:szCs w:val="24"/>
        </w:rPr>
        <w:t xml:space="preserve"> </w:t>
      </w:r>
      <w:r w:rsidRPr="0026246B">
        <w:rPr>
          <w:w w:val="105"/>
          <w:sz w:val="24"/>
          <w:szCs w:val="24"/>
        </w:rPr>
        <w:t>CML</w:t>
      </w:r>
      <w:r w:rsidRPr="0026246B">
        <w:rPr>
          <w:spacing w:val="-11"/>
          <w:w w:val="105"/>
          <w:sz w:val="24"/>
          <w:szCs w:val="24"/>
        </w:rPr>
        <w:t xml:space="preserve"> </w:t>
      </w:r>
      <w:r w:rsidRPr="0026246B">
        <w:rPr>
          <w:w w:val="105"/>
          <w:sz w:val="24"/>
          <w:szCs w:val="24"/>
        </w:rPr>
        <w:t>studies,</w:t>
      </w:r>
      <w:r w:rsidRPr="0026246B">
        <w:rPr>
          <w:spacing w:val="-12"/>
          <w:w w:val="105"/>
          <w:sz w:val="24"/>
          <w:szCs w:val="24"/>
        </w:rPr>
        <w:t xml:space="preserve"> </w:t>
      </w:r>
      <w:r w:rsidRPr="0026246B">
        <w:rPr>
          <w:w w:val="105"/>
          <w:sz w:val="24"/>
          <w:szCs w:val="24"/>
        </w:rPr>
        <w:t>the</w:t>
      </w:r>
      <w:r w:rsidRPr="0026246B">
        <w:rPr>
          <w:spacing w:val="-12"/>
          <w:w w:val="105"/>
          <w:sz w:val="24"/>
          <w:szCs w:val="24"/>
        </w:rPr>
        <w:t xml:space="preserve"> </w:t>
      </w:r>
      <w:r w:rsidRPr="0026246B">
        <w:rPr>
          <w:w w:val="105"/>
          <w:sz w:val="24"/>
          <w:szCs w:val="24"/>
        </w:rPr>
        <w:t>rates</w:t>
      </w:r>
      <w:r w:rsidRPr="0026246B">
        <w:rPr>
          <w:spacing w:val="-11"/>
          <w:w w:val="105"/>
          <w:sz w:val="24"/>
          <w:szCs w:val="24"/>
        </w:rPr>
        <w:t xml:space="preserve"> </w:t>
      </w:r>
      <w:r w:rsidRPr="0026246B">
        <w:rPr>
          <w:w w:val="105"/>
          <w:sz w:val="24"/>
          <w:szCs w:val="24"/>
        </w:rPr>
        <w:t>of</w:t>
      </w:r>
      <w:r w:rsidRPr="0026246B">
        <w:rPr>
          <w:spacing w:val="-12"/>
          <w:w w:val="105"/>
          <w:sz w:val="24"/>
          <w:szCs w:val="24"/>
        </w:rPr>
        <w:t xml:space="preserve"> </w:t>
      </w:r>
      <w:r w:rsidRPr="0026246B">
        <w:rPr>
          <w:w w:val="105"/>
          <w:sz w:val="24"/>
          <w:szCs w:val="24"/>
        </w:rPr>
        <w:t>laboratory</w:t>
      </w:r>
      <w:r w:rsidRPr="0026246B">
        <w:rPr>
          <w:spacing w:val="-10"/>
          <w:w w:val="105"/>
          <w:sz w:val="24"/>
          <w:szCs w:val="24"/>
        </w:rPr>
        <w:t xml:space="preserve"> </w:t>
      </w:r>
      <w:r w:rsidRPr="0026246B">
        <w:rPr>
          <w:w w:val="105"/>
          <w:sz w:val="24"/>
          <w:szCs w:val="24"/>
        </w:rPr>
        <w:t>abnormalities</w:t>
      </w:r>
      <w:r w:rsidRPr="0026246B">
        <w:rPr>
          <w:spacing w:val="-12"/>
          <w:w w:val="105"/>
          <w:sz w:val="24"/>
          <w:szCs w:val="24"/>
        </w:rPr>
        <w:t xml:space="preserve"> </w:t>
      </w:r>
      <w:r w:rsidRPr="0026246B">
        <w:rPr>
          <w:w w:val="105"/>
          <w:sz w:val="24"/>
          <w:szCs w:val="24"/>
        </w:rPr>
        <w:t>were</w:t>
      </w:r>
      <w:r w:rsidRPr="0026246B">
        <w:rPr>
          <w:spacing w:val="-12"/>
          <w:w w:val="105"/>
          <w:sz w:val="24"/>
          <w:szCs w:val="24"/>
        </w:rPr>
        <w:t xml:space="preserve"> </w:t>
      </w:r>
      <w:r w:rsidRPr="0026246B">
        <w:rPr>
          <w:w w:val="105"/>
          <w:sz w:val="24"/>
          <w:szCs w:val="24"/>
        </w:rPr>
        <w:t>consistent</w:t>
      </w:r>
      <w:r w:rsidRPr="0026246B">
        <w:rPr>
          <w:spacing w:val="-12"/>
          <w:w w:val="105"/>
          <w:sz w:val="24"/>
          <w:szCs w:val="24"/>
        </w:rPr>
        <w:t xml:space="preserve"> </w:t>
      </w:r>
      <w:r w:rsidRPr="0026246B">
        <w:rPr>
          <w:w w:val="105"/>
          <w:sz w:val="24"/>
          <w:szCs w:val="24"/>
        </w:rPr>
        <w:t>with</w:t>
      </w:r>
      <w:r w:rsidRPr="0026246B">
        <w:rPr>
          <w:spacing w:val="-12"/>
          <w:w w:val="105"/>
          <w:sz w:val="24"/>
          <w:szCs w:val="24"/>
        </w:rPr>
        <w:t xml:space="preserve"> </w:t>
      </w:r>
      <w:r w:rsidRPr="0026246B">
        <w:rPr>
          <w:w w:val="105"/>
          <w:sz w:val="24"/>
          <w:szCs w:val="24"/>
        </w:rPr>
        <w:t>the</w:t>
      </w:r>
      <w:r w:rsidRPr="0026246B">
        <w:rPr>
          <w:spacing w:val="-12"/>
          <w:w w:val="105"/>
          <w:sz w:val="24"/>
          <w:szCs w:val="24"/>
        </w:rPr>
        <w:t xml:space="preserve"> </w:t>
      </w:r>
      <w:r w:rsidRPr="0026246B">
        <w:rPr>
          <w:w w:val="105"/>
          <w:sz w:val="24"/>
          <w:szCs w:val="24"/>
        </w:rPr>
        <w:t>known profile</w:t>
      </w:r>
      <w:r w:rsidRPr="0026246B">
        <w:rPr>
          <w:spacing w:val="-13"/>
          <w:w w:val="105"/>
          <w:sz w:val="24"/>
          <w:szCs w:val="24"/>
        </w:rPr>
        <w:t xml:space="preserve"> </w:t>
      </w:r>
      <w:r w:rsidRPr="0026246B">
        <w:rPr>
          <w:w w:val="105"/>
          <w:sz w:val="24"/>
          <w:szCs w:val="24"/>
        </w:rPr>
        <w:t>for</w:t>
      </w:r>
      <w:r w:rsidRPr="0026246B">
        <w:rPr>
          <w:spacing w:val="-13"/>
          <w:w w:val="105"/>
          <w:sz w:val="24"/>
          <w:szCs w:val="24"/>
        </w:rPr>
        <w:t xml:space="preserve"> </w:t>
      </w:r>
      <w:r w:rsidRPr="0026246B">
        <w:rPr>
          <w:w w:val="105"/>
          <w:sz w:val="24"/>
          <w:szCs w:val="24"/>
        </w:rPr>
        <w:t>laboratory</w:t>
      </w:r>
      <w:r w:rsidRPr="0026246B">
        <w:rPr>
          <w:spacing w:val="-11"/>
          <w:w w:val="105"/>
          <w:sz w:val="24"/>
          <w:szCs w:val="24"/>
        </w:rPr>
        <w:t xml:space="preserve"> </w:t>
      </w:r>
      <w:r w:rsidRPr="0026246B">
        <w:rPr>
          <w:w w:val="105"/>
          <w:sz w:val="24"/>
          <w:szCs w:val="24"/>
        </w:rPr>
        <w:t>parameters</w:t>
      </w:r>
      <w:r w:rsidRPr="0026246B">
        <w:rPr>
          <w:spacing w:val="-13"/>
          <w:w w:val="105"/>
          <w:sz w:val="24"/>
          <w:szCs w:val="24"/>
        </w:rPr>
        <w:t xml:space="preserve"> </w:t>
      </w:r>
      <w:r w:rsidRPr="0026246B">
        <w:rPr>
          <w:w w:val="105"/>
          <w:sz w:val="24"/>
          <w:szCs w:val="24"/>
        </w:rPr>
        <w:t>in</w:t>
      </w:r>
      <w:r w:rsidRPr="0026246B">
        <w:rPr>
          <w:spacing w:val="-15"/>
          <w:w w:val="105"/>
          <w:sz w:val="24"/>
          <w:szCs w:val="24"/>
        </w:rPr>
        <w:t xml:space="preserve"> </w:t>
      </w:r>
      <w:r w:rsidRPr="0026246B">
        <w:rPr>
          <w:w w:val="105"/>
          <w:sz w:val="24"/>
          <w:szCs w:val="24"/>
        </w:rPr>
        <w:t>adults.</w:t>
      </w:r>
    </w:p>
    <w:p w:rsidR="000E0BC4" w:rsidRPr="0026246B" w:rsidRDefault="000E0BC4" w:rsidP="0026246B">
      <w:pPr>
        <w:pStyle w:val="Brdtekst"/>
        <w:ind w:left="851"/>
        <w:rPr>
          <w:sz w:val="24"/>
          <w:szCs w:val="24"/>
        </w:rPr>
      </w:pPr>
    </w:p>
    <w:p w:rsidR="000E0BC4" w:rsidRPr="0026246B" w:rsidRDefault="000E0BC4" w:rsidP="0026246B">
      <w:pPr>
        <w:pStyle w:val="Brdtekst"/>
        <w:ind w:left="851"/>
        <w:rPr>
          <w:sz w:val="24"/>
          <w:szCs w:val="24"/>
        </w:rPr>
      </w:pPr>
      <w:r w:rsidRPr="0026246B">
        <w:rPr>
          <w:w w:val="105"/>
          <w:sz w:val="24"/>
          <w:szCs w:val="24"/>
        </w:rPr>
        <w:t>In the paediatric ALL studies, the rates of laboratory abnormalities were consistent with the known profile</w:t>
      </w:r>
      <w:r w:rsidRPr="0026246B">
        <w:rPr>
          <w:spacing w:val="-11"/>
          <w:w w:val="105"/>
          <w:sz w:val="24"/>
          <w:szCs w:val="24"/>
        </w:rPr>
        <w:t xml:space="preserve"> </w:t>
      </w:r>
      <w:r w:rsidRPr="0026246B">
        <w:rPr>
          <w:w w:val="105"/>
          <w:sz w:val="24"/>
          <w:szCs w:val="24"/>
        </w:rPr>
        <w:t>for</w:t>
      </w:r>
      <w:r w:rsidRPr="0026246B">
        <w:rPr>
          <w:spacing w:val="-11"/>
          <w:w w:val="105"/>
          <w:sz w:val="24"/>
          <w:szCs w:val="24"/>
        </w:rPr>
        <w:t xml:space="preserve"> </w:t>
      </w:r>
      <w:r w:rsidRPr="0026246B">
        <w:rPr>
          <w:w w:val="105"/>
          <w:sz w:val="24"/>
          <w:szCs w:val="24"/>
        </w:rPr>
        <w:t>laboratory</w:t>
      </w:r>
      <w:r w:rsidRPr="0026246B">
        <w:rPr>
          <w:spacing w:val="-8"/>
          <w:w w:val="105"/>
          <w:sz w:val="24"/>
          <w:szCs w:val="24"/>
        </w:rPr>
        <w:t xml:space="preserve"> </w:t>
      </w:r>
      <w:r w:rsidRPr="0026246B">
        <w:rPr>
          <w:w w:val="105"/>
          <w:sz w:val="24"/>
          <w:szCs w:val="24"/>
        </w:rPr>
        <w:t>parameters</w:t>
      </w:r>
      <w:r w:rsidRPr="0026246B">
        <w:rPr>
          <w:spacing w:val="-10"/>
          <w:w w:val="105"/>
          <w:sz w:val="24"/>
          <w:szCs w:val="24"/>
        </w:rPr>
        <w:t xml:space="preserve"> </w:t>
      </w:r>
      <w:r w:rsidRPr="0026246B">
        <w:rPr>
          <w:w w:val="105"/>
          <w:sz w:val="24"/>
          <w:szCs w:val="24"/>
        </w:rPr>
        <w:t>in</w:t>
      </w:r>
      <w:r w:rsidRPr="0026246B">
        <w:rPr>
          <w:spacing w:val="-12"/>
          <w:w w:val="105"/>
          <w:sz w:val="24"/>
          <w:szCs w:val="24"/>
        </w:rPr>
        <w:t xml:space="preserve"> </w:t>
      </w:r>
      <w:r w:rsidRPr="0026246B">
        <w:rPr>
          <w:w w:val="105"/>
          <w:sz w:val="24"/>
          <w:szCs w:val="24"/>
        </w:rPr>
        <w:t>adults,</w:t>
      </w:r>
      <w:r w:rsidRPr="0026246B">
        <w:rPr>
          <w:spacing w:val="-10"/>
          <w:w w:val="105"/>
          <w:sz w:val="24"/>
          <w:szCs w:val="24"/>
        </w:rPr>
        <w:t xml:space="preserve"> </w:t>
      </w:r>
      <w:r w:rsidRPr="0026246B">
        <w:rPr>
          <w:w w:val="105"/>
          <w:sz w:val="24"/>
          <w:szCs w:val="24"/>
        </w:rPr>
        <w:t>within</w:t>
      </w:r>
      <w:r w:rsidRPr="0026246B">
        <w:rPr>
          <w:spacing w:val="-12"/>
          <w:w w:val="105"/>
          <w:sz w:val="24"/>
          <w:szCs w:val="24"/>
        </w:rPr>
        <w:t xml:space="preserve"> </w:t>
      </w:r>
      <w:r w:rsidRPr="0026246B">
        <w:rPr>
          <w:w w:val="105"/>
          <w:sz w:val="24"/>
          <w:szCs w:val="24"/>
        </w:rPr>
        <w:t>the</w:t>
      </w:r>
      <w:r w:rsidRPr="0026246B">
        <w:rPr>
          <w:spacing w:val="-10"/>
          <w:w w:val="105"/>
          <w:sz w:val="24"/>
          <w:szCs w:val="24"/>
        </w:rPr>
        <w:t xml:space="preserve"> </w:t>
      </w:r>
      <w:r w:rsidRPr="0026246B">
        <w:rPr>
          <w:w w:val="105"/>
          <w:sz w:val="24"/>
          <w:szCs w:val="24"/>
        </w:rPr>
        <w:t>context</w:t>
      </w:r>
      <w:r w:rsidRPr="0026246B">
        <w:rPr>
          <w:spacing w:val="-10"/>
          <w:w w:val="105"/>
          <w:sz w:val="24"/>
          <w:szCs w:val="24"/>
        </w:rPr>
        <w:t xml:space="preserve"> </w:t>
      </w:r>
      <w:r w:rsidRPr="0026246B">
        <w:rPr>
          <w:w w:val="105"/>
          <w:sz w:val="24"/>
          <w:szCs w:val="24"/>
        </w:rPr>
        <w:t>of</w:t>
      </w:r>
      <w:r w:rsidRPr="0026246B">
        <w:rPr>
          <w:spacing w:val="-11"/>
          <w:w w:val="105"/>
          <w:sz w:val="24"/>
          <w:szCs w:val="24"/>
        </w:rPr>
        <w:t xml:space="preserve"> </w:t>
      </w:r>
      <w:r w:rsidRPr="0026246B">
        <w:rPr>
          <w:w w:val="105"/>
          <w:sz w:val="24"/>
          <w:szCs w:val="24"/>
        </w:rPr>
        <w:t>an</w:t>
      </w:r>
      <w:r w:rsidRPr="0026246B">
        <w:rPr>
          <w:spacing w:val="-10"/>
          <w:w w:val="105"/>
          <w:sz w:val="24"/>
          <w:szCs w:val="24"/>
        </w:rPr>
        <w:t xml:space="preserve"> </w:t>
      </w:r>
      <w:r w:rsidRPr="0026246B">
        <w:rPr>
          <w:w w:val="105"/>
          <w:sz w:val="24"/>
          <w:szCs w:val="24"/>
        </w:rPr>
        <w:t>acute</w:t>
      </w:r>
      <w:r w:rsidRPr="0026246B">
        <w:rPr>
          <w:spacing w:val="-10"/>
          <w:w w:val="105"/>
          <w:sz w:val="24"/>
          <w:szCs w:val="24"/>
        </w:rPr>
        <w:t xml:space="preserve"> </w:t>
      </w:r>
      <w:r w:rsidRPr="0026246B">
        <w:rPr>
          <w:w w:val="105"/>
          <w:sz w:val="24"/>
          <w:szCs w:val="24"/>
        </w:rPr>
        <w:t>leukaemia</w:t>
      </w:r>
      <w:r w:rsidRPr="0026246B">
        <w:rPr>
          <w:spacing w:val="-11"/>
          <w:w w:val="105"/>
          <w:sz w:val="24"/>
          <w:szCs w:val="24"/>
        </w:rPr>
        <w:t xml:space="preserve"> </w:t>
      </w:r>
      <w:r w:rsidRPr="0026246B">
        <w:rPr>
          <w:w w:val="105"/>
          <w:sz w:val="24"/>
          <w:szCs w:val="24"/>
        </w:rPr>
        <w:t>patient</w:t>
      </w:r>
      <w:r w:rsidRPr="0026246B">
        <w:rPr>
          <w:spacing w:val="-11"/>
          <w:w w:val="105"/>
          <w:sz w:val="24"/>
          <w:szCs w:val="24"/>
        </w:rPr>
        <w:t xml:space="preserve"> </w:t>
      </w:r>
      <w:r w:rsidRPr="0026246B">
        <w:rPr>
          <w:w w:val="105"/>
          <w:sz w:val="24"/>
          <w:szCs w:val="24"/>
        </w:rPr>
        <w:t>receiving</w:t>
      </w:r>
      <w:r w:rsidRPr="0026246B">
        <w:rPr>
          <w:spacing w:val="-11"/>
          <w:w w:val="105"/>
          <w:sz w:val="24"/>
          <w:szCs w:val="24"/>
        </w:rPr>
        <w:t xml:space="preserve"> </w:t>
      </w:r>
      <w:r w:rsidRPr="0026246B">
        <w:rPr>
          <w:w w:val="105"/>
          <w:sz w:val="24"/>
          <w:szCs w:val="24"/>
        </w:rPr>
        <w:t>a background</w:t>
      </w:r>
      <w:r w:rsidRPr="0026246B">
        <w:rPr>
          <w:spacing w:val="-35"/>
          <w:w w:val="105"/>
          <w:sz w:val="24"/>
          <w:szCs w:val="24"/>
        </w:rPr>
        <w:t xml:space="preserve"> </w:t>
      </w:r>
      <w:r w:rsidRPr="0026246B">
        <w:rPr>
          <w:w w:val="105"/>
          <w:sz w:val="24"/>
          <w:szCs w:val="24"/>
        </w:rPr>
        <w:t>chemotherapy</w:t>
      </w:r>
      <w:r w:rsidRPr="0026246B">
        <w:rPr>
          <w:spacing w:val="-34"/>
          <w:w w:val="105"/>
          <w:sz w:val="24"/>
          <w:szCs w:val="24"/>
        </w:rPr>
        <w:t xml:space="preserve"> </w:t>
      </w:r>
      <w:r w:rsidRPr="0026246B">
        <w:rPr>
          <w:w w:val="105"/>
          <w:sz w:val="24"/>
          <w:szCs w:val="24"/>
        </w:rPr>
        <w:t>regimen.</w:t>
      </w:r>
    </w:p>
    <w:p w:rsidR="000E0BC4" w:rsidRPr="0026246B" w:rsidRDefault="000E0BC4" w:rsidP="0026246B">
      <w:pPr>
        <w:pStyle w:val="Brdtekst"/>
        <w:ind w:left="851"/>
        <w:rPr>
          <w:sz w:val="24"/>
          <w:szCs w:val="24"/>
        </w:rPr>
      </w:pPr>
    </w:p>
    <w:p w:rsidR="000E0BC4" w:rsidRPr="0026246B" w:rsidRDefault="000E0BC4" w:rsidP="0026246B">
      <w:pPr>
        <w:pStyle w:val="Brdtekst"/>
        <w:ind w:left="851"/>
        <w:rPr>
          <w:sz w:val="24"/>
          <w:szCs w:val="24"/>
        </w:rPr>
      </w:pPr>
      <w:r w:rsidRPr="0026246B">
        <w:rPr>
          <w:sz w:val="24"/>
          <w:szCs w:val="24"/>
          <w:u w:val="single"/>
        </w:rPr>
        <w:t>Special population</w:t>
      </w:r>
    </w:p>
    <w:p w:rsidR="000E0BC4" w:rsidRPr="0026246B" w:rsidRDefault="000E0BC4" w:rsidP="0026246B">
      <w:pPr>
        <w:pStyle w:val="Brdtekst"/>
        <w:ind w:left="851" w:right="112"/>
        <w:rPr>
          <w:sz w:val="24"/>
          <w:szCs w:val="24"/>
        </w:rPr>
      </w:pPr>
      <w:r w:rsidRPr="0026246B">
        <w:rPr>
          <w:w w:val="105"/>
          <w:sz w:val="24"/>
          <w:szCs w:val="24"/>
        </w:rPr>
        <w:t>While</w:t>
      </w:r>
      <w:r w:rsidRPr="0026246B">
        <w:rPr>
          <w:spacing w:val="-10"/>
          <w:w w:val="105"/>
          <w:sz w:val="24"/>
          <w:szCs w:val="24"/>
        </w:rPr>
        <w:t xml:space="preserve"> </w:t>
      </w:r>
      <w:r w:rsidRPr="0026246B">
        <w:rPr>
          <w:w w:val="105"/>
          <w:sz w:val="24"/>
          <w:szCs w:val="24"/>
        </w:rPr>
        <w:t>the</w:t>
      </w:r>
      <w:r w:rsidRPr="0026246B">
        <w:rPr>
          <w:spacing w:val="-10"/>
          <w:w w:val="105"/>
          <w:sz w:val="24"/>
          <w:szCs w:val="24"/>
        </w:rPr>
        <w:t xml:space="preserve"> </w:t>
      </w:r>
      <w:r w:rsidRPr="0026246B">
        <w:rPr>
          <w:w w:val="105"/>
          <w:sz w:val="24"/>
          <w:szCs w:val="24"/>
        </w:rPr>
        <w:t>safety</w:t>
      </w:r>
      <w:r w:rsidRPr="0026246B">
        <w:rPr>
          <w:spacing w:val="-8"/>
          <w:w w:val="105"/>
          <w:sz w:val="24"/>
          <w:szCs w:val="24"/>
        </w:rPr>
        <w:t xml:space="preserve"> </w:t>
      </w:r>
      <w:r w:rsidRPr="0026246B">
        <w:rPr>
          <w:w w:val="105"/>
          <w:sz w:val="24"/>
          <w:szCs w:val="24"/>
        </w:rPr>
        <w:t>profile</w:t>
      </w:r>
      <w:r w:rsidRPr="0026246B">
        <w:rPr>
          <w:spacing w:val="-9"/>
          <w:w w:val="105"/>
          <w:sz w:val="24"/>
          <w:szCs w:val="24"/>
        </w:rPr>
        <w:t xml:space="preserve"> </w:t>
      </w:r>
      <w:r w:rsidRPr="0026246B">
        <w:rPr>
          <w:w w:val="105"/>
          <w:sz w:val="24"/>
          <w:szCs w:val="24"/>
        </w:rPr>
        <w:t>of</w:t>
      </w:r>
      <w:r w:rsidRPr="0026246B">
        <w:rPr>
          <w:spacing w:val="-9"/>
          <w:w w:val="105"/>
          <w:sz w:val="24"/>
          <w:szCs w:val="24"/>
        </w:rPr>
        <w:t xml:space="preserve"> </w:t>
      </w:r>
      <w:r w:rsidRPr="0026246B">
        <w:rPr>
          <w:sz w:val="24"/>
          <w:szCs w:val="24"/>
        </w:rPr>
        <w:t>dasatinib</w:t>
      </w:r>
      <w:r w:rsidRPr="0026246B">
        <w:rPr>
          <w:spacing w:val="-10"/>
          <w:w w:val="105"/>
          <w:sz w:val="24"/>
          <w:szCs w:val="24"/>
        </w:rPr>
        <w:t xml:space="preserve"> </w:t>
      </w:r>
      <w:r w:rsidRPr="0026246B">
        <w:rPr>
          <w:w w:val="105"/>
          <w:sz w:val="24"/>
          <w:szCs w:val="24"/>
        </w:rPr>
        <w:t>in</w:t>
      </w:r>
      <w:r w:rsidRPr="0026246B">
        <w:rPr>
          <w:spacing w:val="-10"/>
          <w:w w:val="105"/>
          <w:sz w:val="24"/>
          <w:szCs w:val="24"/>
        </w:rPr>
        <w:t xml:space="preserve"> </w:t>
      </w:r>
      <w:r w:rsidRPr="0026246B">
        <w:rPr>
          <w:w w:val="105"/>
          <w:sz w:val="24"/>
          <w:szCs w:val="24"/>
        </w:rPr>
        <w:t>elderly</w:t>
      </w:r>
      <w:r w:rsidRPr="0026246B">
        <w:rPr>
          <w:spacing w:val="-8"/>
          <w:w w:val="105"/>
          <w:sz w:val="24"/>
          <w:szCs w:val="24"/>
        </w:rPr>
        <w:t xml:space="preserve"> </w:t>
      </w:r>
      <w:r w:rsidRPr="0026246B">
        <w:rPr>
          <w:w w:val="105"/>
          <w:sz w:val="24"/>
          <w:szCs w:val="24"/>
        </w:rPr>
        <w:t>was</w:t>
      </w:r>
      <w:r w:rsidRPr="0026246B">
        <w:rPr>
          <w:spacing w:val="-10"/>
          <w:w w:val="105"/>
          <w:sz w:val="24"/>
          <w:szCs w:val="24"/>
        </w:rPr>
        <w:t xml:space="preserve"> </w:t>
      </w:r>
      <w:r w:rsidRPr="0026246B">
        <w:rPr>
          <w:w w:val="105"/>
          <w:sz w:val="24"/>
          <w:szCs w:val="24"/>
        </w:rPr>
        <w:t>similar</w:t>
      </w:r>
      <w:r w:rsidRPr="0026246B">
        <w:rPr>
          <w:spacing w:val="-10"/>
          <w:w w:val="105"/>
          <w:sz w:val="24"/>
          <w:szCs w:val="24"/>
        </w:rPr>
        <w:t xml:space="preserve"> </w:t>
      </w:r>
      <w:r w:rsidRPr="0026246B">
        <w:rPr>
          <w:w w:val="105"/>
          <w:sz w:val="24"/>
          <w:szCs w:val="24"/>
        </w:rPr>
        <w:t>to</w:t>
      </w:r>
      <w:r w:rsidRPr="0026246B">
        <w:rPr>
          <w:spacing w:val="-10"/>
          <w:w w:val="105"/>
          <w:sz w:val="24"/>
          <w:szCs w:val="24"/>
        </w:rPr>
        <w:t xml:space="preserve"> </w:t>
      </w:r>
      <w:r w:rsidRPr="0026246B">
        <w:rPr>
          <w:w w:val="105"/>
          <w:sz w:val="24"/>
          <w:szCs w:val="24"/>
        </w:rPr>
        <w:t>that</w:t>
      </w:r>
      <w:r w:rsidRPr="0026246B">
        <w:rPr>
          <w:spacing w:val="-9"/>
          <w:w w:val="105"/>
          <w:sz w:val="24"/>
          <w:szCs w:val="24"/>
        </w:rPr>
        <w:t xml:space="preserve"> </w:t>
      </w:r>
      <w:r w:rsidRPr="0026246B">
        <w:rPr>
          <w:w w:val="105"/>
          <w:sz w:val="24"/>
          <w:szCs w:val="24"/>
        </w:rPr>
        <w:t>in</w:t>
      </w:r>
      <w:r w:rsidRPr="0026246B">
        <w:rPr>
          <w:spacing w:val="-10"/>
          <w:w w:val="105"/>
          <w:sz w:val="24"/>
          <w:szCs w:val="24"/>
        </w:rPr>
        <w:t xml:space="preserve"> </w:t>
      </w:r>
      <w:r w:rsidRPr="0026246B">
        <w:rPr>
          <w:w w:val="105"/>
          <w:sz w:val="24"/>
          <w:szCs w:val="24"/>
        </w:rPr>
        <w:t>the</w:t>
      </w:r>
      <w:r w:rsidRPr="0026246B">
        <w:rPr>
          <w:spacing w:val="-10"/>
          <w:w w:val="105"/>
          <w:sz w:val="24"/>
          <w:szCs w:val="24"/>
        </w:rPr>
        <w:t xml:space="preserve"> </w:t>
      </w:r>
      <w:r w:rsidRPr="0026246B">
        <w:rPr>
          <w:w w:val="105"/>
          <w:sz w:val="24"/>
          <w:szCs w:val="24"/>
        </w:rPr>
        <w:t>younger</w:t>
      </w:r>
      <w:r w:rsidRPr="0026246B">
        <w:rPr>
          <w:spacing w:val="-9"/>
          <w:w w:val="105"/>
          <w:sz w:val="24"/>
          <w:szCs w:val="24"/>
        </w:rPr>
        <w:t xml:space="preserve"> </w:t>
      </w:r>
      <w:r w:rsidRPr="0026246B">
        <w:rPr>
          <w:w w:val="105"/>
          <w:sz w:val="24"/>
          <w:szCs w:val="24"/>
        </w:rPr>
        <w:t>population,</w:t>
      </w:r>
      <w:r w:rsidRPr="0026246B">
        <w:rPr>
          <w:spacing w:val="-8"/>
          <w:w w:val="105"/>
          <w:sz w:val="24"/>
          <w:szCs w:val="24"/>
        </w:rPr>
        <w:t xml:space="preserve"> </w:t>
      </w:r>
      <w:r w:rsidRPr="0026246B">
        <w:rPr>
          <w:w w:val="105"/>
          <w:sz w:val="24"/>
          <w:szCs w:val="24"/>
        </w:rPr>
        <w:t>patients aged 65 years and older are more likely to experience the commonly reported adverse reactions such as fatigue, pleural effusion, dyspnoea, cough, lower gastrointestinal haemorrhage, and appetite disturbance and more likely to experience less frequently reported adverse reactions such as abdominal</w:t>
      </w:r>
      <w:r w:rsidRPr="0026246B">
        <w:rPr>
          <w:spacing w:val="-15"/>
          <w:w w:val="105"/>
          <w:sz w:val="24"/>
          <w:szCs w:val="24"/>
        </w:rPr>
        <w:t xml:space="preserve"> </w:t>
      </w:r>
      <w:r w:rsidRPr="0026246B">
        <w:rPr>
          <w:w w:val="105"/>
          <w:sz w:val="24"/>
          <w:szCs w:val="24"/>
        </w:rPr>
        <w:t>distention,</w:t>
      </w:r>
      <w:r w:rsidRPr="0026246B">
        <w:rPr>
          <w:spacing w:val="-16"/>
          <w:w w:val="105"/>
          <w:sz w:val="24"/>
          <w:szCs w:val="24"/>
        </w:rPr>
        <w:t xml:space="preserve"> </w:t>
      </w:r>
      <w:r w:rsidRPr="0026246B">
        <w:rPr>
          <w:w w:val="105"/>
          <w:sz w:val="24"/>
          <w:szCs w:val="24"/>
        </w:rPr>
        <w:t>dizziness,</w:t>
      </w:r>
      <w:r w:rsidRPr="0026246B">
        <w:rPr>
          <w:spacing w:val="-16"/>
          <w:w w:val="105"/>
          <w:sz w:val="24"/>
          <w:szCs w:val="24"/>
        </w:rPr>
        <w:t xml:space="preserve"> </w:t>
      </w:r>
      <w:r w:rsidRPr="0026246B">
        <w:rPr>
          <w:w w:val="105"/>
          <w:sz w:val="24"/>
          <w:szCs w:val="24"/>
        </w:rPr>
        <w:t>pericardial</w:t>
      </w:r>
      <w:r w:rsidRPr="0026246B">
        <w:rPr>
          <w:spacing w:val="-16"/>
          <w:w w:val="105"/>
          <w:sz w:val="24"/>
          <w:szCs w:val="24"/>
        </w:rPr>
        <w:t xml:space="preserve"> </w:t>
      </w:r>
      <w:r w:rsidRPr="0026246B">
        <w:rPr>
          <w:w w:val="105"/>
          <w:sz w:val="24"/>
          <w:szCs w:val="24"/>
        </w:rPr>
        <w:t>effusion,</w:t>
      </w:r>
      <w:r w:rsidRPr="0026246B">
        <w:rPr>
          <w:spacing w:val="-15"/>
          <w:w w:val="105"/>
          <w:sz w:val="24"/>
          <w:szCs w:val="24"/>
        </w:rPr>
        <w:t xml:space="preserve"> </w:t>
      </w:r>
      <w:r w:rsidRPr="0026246B">
        <w:rPr>
          <w:w w:val="105"/>
          <w:sz w:val="24"/>
          <w:szCs w:val="24"/>
        </w:rPr>
        <w:t>congestive</w:t>
      </w:r>
      <w:r w:rsidRPr="0026246B">
        <w:rPr>
          <w:spacing w:val="-16"/>
          <w:w w:val="105"/>
          <w:sz w:val="24"/>
          <w:szCs w:val="24"/>
        </w:rPr>
        <w:t xml:space="preserve"> </w:t>
      </w:r>
      <w:r w:rsidRPr="0026246B">
        <w:rPr>
          <w:w w:val="105"/>
          <w:sz w:val="24"/>
          <w:szCs w:val="24"/>
        </w:rPr>
        <w:t>heart</w:t>
      </w:r>
      <w:r w:rsidRPr="0026246B">
        <w:rPr>
          <w:spacing w:val="-15"/>
          <w:w w:val="105"/>
          <w:sz w:val="24"/>
          <w:szCs w:val="24"/>
        </w:rPr>
        <w:t xml:space="preserve"> </w:t>
      </w:r>
      <w:r w:rsidRPr="0026246B">
        <w:rPr>
          <w:w w:val="105"/>
          <w:sz w:val="24"/>
          <w:szCs w:val="24"/>
        </w:rPr>
        <w:t>failure,</w:t>
      </w:r>
      <w:r w:rsidRPr="0026246B">
        <w:rPr>
          <w:spacing w:val="-15"/>
          <w:w w:val="105"/>
          <w:sz w:val="24"/>
          <w:szCs w:val="24"/>
        </w:rPr>
        <w:t xml:space="preserve"> </w:t>
      </w:r>
      <w:r w:rsidRPr="0026246B">
        <w:rPr>
          <w:w w:val="105"/>
          <w:sz w:val="24"/>
          <w:szCs w:val="24"/>
        </w:rPr>
        <w:t>and</w:t>
      </w:r>
      <w:r w:rsidRPr="0026246B">
        <w:rPr>
          <w:spacing w:val="-15"/>
          <w:w w:val="105"/>
          <w:sz w:val="24"/>
          <w:szCs w:val="24"/>
        </w:rPr>
        <w:t xml:space="preserve"> </w:t>
      </w:r>
      <w:r w:rsidRPr="0026246B">
        <w:rPr>
          <w:w w:val="105"/>
          <w:sz w:val="24"/>
          <w:szCs w:val="24"/>
        </w:rPr>
        <w:t>weight</w:t>
      </w:r>
      <w:r w:rsidRPr="0026246B">
        <w:rPr>
          <w:spacing w:val="-16"/>
          <w:w w:val="105"/>
          <w:sz w:val="24"/>
          <w:szCs w:val="24"/>
        </w:rPr>
        <w:t xml:space="preserve"> </w:t>
      </w:r>
      <w:r w:rsidRPr="0026246B">
        <w:rPr>
          <w:w w:val="105"/>
          <w:sz w:val="24"/>
          <w:szCs w:val="24"/>
        </w:rPr>
        <w:t>decrease</w:t>
      </w:r>
      <w:r w:rsidRPr="0026246B">
        <w:rPr>
          <w:spacing w:val="-15"/>
          <w:w w:val="105"/>
          <w:sz w:val="24"/>
          <w:szCs w:val="24"/>
        </w:rPr>
        <w:t xml:space="preserve"> </w:t>
      </w:r>
      <w:r w:rsidRPr="0026246B">
        <w:rPr>
          <w:w w:val="105"/>
          <w:sz w:val="24"/>
          <w:szCs w:val="24"/>
        </w:rPr>
        <w:t>and should</w:t>
      </w:r>
      <w:r w:rsidRPr="0026246B">
        <w:rPr>
          <w:spacing w:val="-16"/>
          <w:w w:val="105"/>
          <w:sz w:val="24"/>
          <w:szCs w:val="24"/>
        </w:rPr>
        <w:t xml:space="preserve"> </w:t>
      </w:r>
      <w:r w:rsidRPr="0026246B">
        <w:rPr>
          <w:w w:val="105"/>
          <w:sz w:val="24"/>
          <w:szCs w:val="24"/>
        </w:rPr>
        <w:t>be</w:t>
      </w:r>
      <w:r w:rsidRPr="0026246B">
        <w:rPr>
          <w:spacing w:val="-14"/>
          <w:w w:val="105"/>
          <w:sz w:val="24"/>
          <w:szCs w:val="24"/>
        </w:rPr>
        <w:t xml:space="preserve"> </w:t>
      </w:r>
      <w:r w:rsidRPr="0026246B">
        <w:rPr>
          <w:w w:val="105"/>
          <w:sz w:val="24"/>
          <w:szCs w:val="24"/>
        </w:rPr>
        <w:t>monitored</w:t>
      </w:r>
      <w:r w:rsidRPr="0026246B">
        <w:rPr>
          <w:spacing w:val="-15"/>
          <w:w w:val="105"/>
          <w:sz w:val="24"/>
          <w:szCs w:val="24"/>
        </w:rPr>
        <w:t xml:space="preserve"> </w:t>
      </w:r>
      <w:r w:rsidRPr="0026246B">
        <w:rPr>
          <w:w w:val="105"/>
          <w:sz w:val="24"/>
          <w:szCs w:val="24"/>
        </w:rPr>
        <w:t>closely</w:t>
      </w:r>
      <w:r w:rsidRPr="0026246B">
        <w:rPr>
          <w:spacing w:val="-14"/>
          <w:w w:val="105"/>
          <w:sz w:val="24"/>
          <w:szCs w:val="24"/>
        </w:rPr>
        <w:t xml:space="preserve"> </w:t>
      </w:r>
      <w:r w:rsidRPr="0026246B">
        <w:rPr>
          <w:w w:val="105"/>
          <w:sz w:val="24"/>
          <w:szCs w:val="24"/>
        </w:rPr>
        <w:t>(see</w:t>
      </w:r>
      <w:r w:rsidRPr="0026246B">
        <w:rPr>
          <w:spacing w:val="-14"/>
          <w:w w:val="105"/>
          <w:sz w:val="24"/>
          <w:szCs w:val="24"/>
        </w:rPr>
        <w:t xml:space="preserve"> </w:t>
      </w:r>
      <w:r w:rsidRPr="0026246B">
        <w:rPr>
          <w:w w:val="105"/>
          <w:sz w:val="24"/>
          <w:szCs w:val="24"/>
        </w:rPr>
        <w:t>section</w:t>
      </w:r>
      <w:r w:rsidRPr="0026246B">
        <w:rPr>
          <w:spacing w:val="-14"/>
          <w:w w:val="105"/>
          <w:sz w:val="24"/>
          <w:szCs w:val="24"/>
        </w:rPr>
        <w:t xml:space="preserve"> </w:t>
      </w:r>
      <w:r w:rsidRPr="0026246B">
        <w:rPr>
          <w:w w:val="105"/>
          <w:sz w:val="24"/>
          <w:szCs w:val="24"/>
        </w:rPr>
        <w:t>4.4).</w:t>
      </w:r>
    </w:p>
    <w:p w:rsidR="000E0BC4" w:rsidRPr="0026246B" w:rsidRDefault="000E0BC4" w:rsidP="0026246B">
      <w:pPr>
        <w:pStyle w:val="Brdtekst"/>
        <w:ind w:left="851"/>
        <w:rPr>
          <w:sz w:val="24"/>
          <w:szCs w:val="24"/>
        </w:rPr>
      </w:pPr>
    </w:p>
    <w:p w:rsidR="000E0BC4" w:rsidRPr="0026246B" w:rsidRDefault="000E0BC4" w:rsidP="0026246B">
      <w:pPr>
        <w:pStyle w:val="Brdtekst"/>
        <w:ind w:left="851"/>
        <w:rPr>
          <w:sz w:val="24"/>
          <w:szCs w:val="24"/>
        </w:rPr>
      </w:pPr>
      <w:r w:rsidRPr="0026246B">
        <w:rPr>
          <w:w w:val="105"/>
          <w:sz w:val="24"/>
          <w:szCs w:val="24"/>
          <w:u w:val="single"/>
        </w:rPr>
        <w:t>Reporting of suspected adverse reactions</w:t>
      </w:r>
    </w:p>
    <w:p w:rsidR="00723146" w:rsidRDefault="000E0BC4" w:rsidP="0026246B">
      <w:pPr>
        <w:pStyle w:val="Brdtekst"/>
        <w:ind w:left="851" w:right="266"/>
        <w:rPr>
          <w:w w:val="105"/>
          <w:sz w:val="24"/>
          <w:szCs w:val="24"/>
        </w:rPr>
      </w:pPr>
      <w:r w:rsidRPr="0026246B">
        <w:rPr>
          <w:noProof/>
          <w:sz w:val="24"/>
          <w:szCs w:val="24"/>
        </w:rPr>
        <mc:AlternateContent>
          <mc:Choice Requires="wps">
            <w:drawing>
              <wp:anchor distT="0" distB="0" distL="114300" distR="114300" simplePos="0" relativeHeight="251666432" behindDoc="1" locked="0" layoutInCell="1" allowOverlap="1">
                <wp:simplePos x="0" y="0"/>
                <wp:positionH relativeFrom="page">
                  <wp:posOffset>1630045</wp:posOffset>
                </wp:positionH>
                <wp:positionV relativeFrom="paragraph">
                  <wp:posOffset>593725</wp:posOffset>
                </wp:positionV>
                <wp:extent cx="645160" cy="0"/>
                <wp:effectExtent l="0" t="0" r="0" b="0"/>
                <wp:wrapNone/>
                <wp:docPr id="45" name="Lige forbindels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160" cy="0"/>
                        </a:xfrm>
                        <a:prstGeom prst="line">
                          <a:avLst/>
                        </a:prstGeom>
                        <a:noFill/>
                        <a:ln w="6096">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1A197" id="Lige forbindelse 45"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8.35pt,46.75pt" to="179.15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" strokecolor="blue" strokeweight=".48pt">
                <w10:wrap anchorx="page"/>
              </v:line>
            </w:pict>
          </mc:Fallback>
        </mc:AlternateContent>
      </w:r>
      <w:r w:rsidRPr="0026246B">
        <w:rPr>
          <w:w w:val="105"/>
          <w:sz w:val="24"/>
          <w:szCs w:val="24"/>
        </w:rPr>
        <w:t>Reporting</w:t>
      </w:r>
      <w:r w:rsidRPr="0026246B">
        <w:rPr>
          <w:spacing w:val="-14"/>
          <w:w w:val="105"/>
          <w:sz w:val="24"/>
          <w:szCs w:val="24"/>
        </w:rPr>
        <w:t xml:space="preserve"> </w:t>
      </w:r>
      <w:r w:rsidRPr="0026246B">
        <w:rPr>
          <w:w w:val="105"/>
          <w:sz w:val="24"/>
          <w:szCs w:val="24"/>
        </w:rPr>
        <w:t>suspected</w:t>
      </w:r>
      <w:r w:rsidRPr="0026246B">
        <w:rPr>
          <w:spacing w:val="-13"/>
          <w:w w:val="105"/>
          <w:sz w:val="24"/>
          <w:szCs w:val="24"/>
        </w:rPr>
        <w:t xml:space="preserve"> </w:t>
      </w:r>
      <w:r w:rsidRPr="0026246B">
        <w:rPr>
          <w:w w:val="105"/>
          <w:sz w:val="24"/>
          <w:szCs w:val="24"/>
        </w:rPr>
        <w:t>adverse</w:t>
      </w:r>
      <w:r w:rsidRPr="0026246B">
        <w:rPr>
          <w:spacing w:val="-14"/>
          <w:w w:val="105"/>
          <w:sz w:val="24"/>
          <w:szCs w:val="24"/>
        </w:rPr>
        <w:t xml:space="preserve"> </w:t>
      </w:r>
      <w:r w:rsidRPr="0026246B">
        <w:rPr>
          <w:w w:val="105"/>
          <w:sz w:val="24"/>
          <w:szCs w:val="24"/>
        </w:rPr>
        <w:t>reactions</w:t>
      </w:r>
      <w:r w:rsidRPr="0026246B">
        <w:rPr>
          <w:spacing w:val="-14"/>
          <w:w w:val="105"/>
          <w:sz w:val="24"/>
          <w:szCs w:val="24"/>
        </w:rPr>
        <w:t xml:space="preserve"> </w:t>
      </w:r>
      <w:r w:rsidRPr="0026246B">
        <w:rPr>
          <w:w w:val="105"/>
          <w:sz w:val="24"/>
          <w:szCs w:val="24"/>
        </w:rPr>
        <w:t>after</w:t>
      </w:r>
      <w:r w:rsidRPr="0026246B">
        <w:rPr>
          <w:spacing w:val="-13"/>
          <w:w w:val="105"/>
          <w:sz w:val="24"/>
          <w:szCs w:val="24"/>
        </w:rPr>
        <w:t xml:space="preserve"> </w:t>
      </w:r>
      <w:r w:rsidRPr="0026246B">
        <w:rPr>
          <w:w w:val="105"/>
          <w:sz w:val="24"/>
          <w:szCs w:val="24"/>
        </w:rPr>
        <w:t>authorisation</w:t>
      </w:r>
      <w:r w:rsidRPr="0026246B">
        <w:rPr>
          <w:spacing w:val="-12"/>
          <w:w w:val="105"/>
          <w:sz w:val="24"/>
          <w:szCs w:val="24"/>
        </w:rPr>
        <w:t xml:space="preserve"> </w:t>
      </w:r>
      <w:r w:rsidRPr="0026246B">
        <w:rPr>
          <w:w w:val="105"/>
          <w:sz w:val="24"/>
          <w:szCs w:val="24"/>
        </w:rPr>
        <w:t>of</w:t>
      </w:r>
      <w:r w:rsidRPr="0026246B">
        <w:rPr>
          <w:spacing w:val="-13"/>
          <w:w w:val="105"/>
          <w:sz w:val="24"/>
          <w:szCs w:val="24"/>
        </w:rPr>
        <w:t xml:space="preserve"> </w:t>
      </w:r>
      <w:r w:rsidRPr="0026246B">
        <w:rPr>
          <w:w w:val="105"/>
          <w:sz w:val="24"/>
          <w:szCs w:val="24"/>
        </w:rPr>
        <w:t>the</w:t>
      </w:r>
      <w:r w:rsidRPr="0026246B">
        <w:rPr>
          <w:spacing w:val="-13"/>
          <w:w w:val="105"/>
          <w:sz w:val="24"/>
          <w:szCs w:val="24"/>
        </w:rPr>
        <w:t xml:space="preserve"> </w:t>
      </w:r>
      <w:r w:rsidRPr="0026246B">
        <w:rPr>
          <w:w w:val="105"/>
          <w:sz w:val="24"/>
          <w:szCs w:val="24"/>
        </w:rPr>
        <w:t>medicinal</w:t>
      </w:r>
      <w:r w:rsidRPr="0026246B">
        <w:rPr>
          <w:spacing w:val="-13"/>
          <w:w w:val="105"/>
          <w:sz w:val="24"/>
          <w:szCs w:val="24"/>
        </w:rPr>
        <w:t xml:space="preserve"> </w:t>
      </w:r>
      <w:r w:rsidRPr="0026246B">
        <w:rPr>
          <w:w w:val="105"/>
          <w:sz w:val="24"/>
          <w:szCs w:val="24"/>
        </w:rPr>
        <w:t>product</w:t>
      </w:r>
      <w:r w:rsidRPr="0026246B">
        <w:rPr>
          <w:spacing w:val="-13"/>
          <w:w w:val="105"/>
          <w:sz w:val="24"/>
          <w:szCs w:val="24"/>
        </w:rPr>
        <w:t xml:space="preserve"> </w:t>
      </w:r>
      <w:r w:rsidRPr="0026246B">
        <w:rPr>
          <w:w w:val="105"/>
          <w:sz w:val="24"/>
          <w:szCs w:val="24"/>
        </w:rPr>
        <w:t>is</w:t>
      </w:r>
      <w:r w:rsidRPr="0026246B">
        <w:rPr>
          <w:spacing w:val="-13"/>
          <w:w w:val="105"/>
          <w:sz w:val="24"/>
          <w:szCs w:val="24"/>
        </w:rPr>
        <w:t xml:space="preserve"> </w:t>
      </w:r>
      <w:r w:rsidRPr="0026246B">
        <w:rPr>
          <w:w w:val="105"/>
          <w:sz w:val="24"/>
          <w:szCs w:val="24"/>
        </w:rPr>
        <w:t>important.</w:t>
      </w:r>
      <w:r w:rsidRPr="0026246B">
        <w:rPr>
          <w:spacing w:val="-13"/>
          <w:w w:val="105"/>
          <w:sz w:val="24"/>
          <w:szCs w:val="24"/>
        </w:rPr>
        <w:t xml:space="preserve"> </w:t>
      </w:r>
      <w:r w:rsidRPr="0026246B">
        <w:rPr>
          <w:w w:val="105"/>
          <w:sz w:val="24"/>
          <w:szCs w:val="24"/>
        </w:rPr>
        <w:t>It allows continued monitoring of the benefit/risk balance of the medicinal product. Healthcare professionals</w:t>
      </w:r>
      <w:r w:rsidRPr="0026246B">
        <w:rPr>
          <w:spacing w:val="-12"/>
          <w:w w:val="105"/>
          <w:sz w:val="24"/>
          <w:szCs w:val="24"/>
        </w:rPr>
        <w:t xml:space="preserve"> </w:t>
      </w:r>
      <w:r w:rsidRPr="0026246B">
        <w:rPr>
          <w:w w:val="105"/>
          <w:sz w:val="24"/>
          <w:szCs w:val="24"/>
        </w:rPr>
        <w:t>are</w:t>
      </w:r>
      <w:r w:rsidRPr="0026246B">
        <w:rPr>
          <w:spacing w:val="-14"/>
          <w:w w:val="105"/>
          <w:sz w:val="24"/>
          <w:szCs w:val="24"/>
        </w:rPr>
        <w:t xml:space="preserve"> </w:t>
      </w:r>
      <w:r w:rsidRPr="0026246B">
        <w:rPr>
          <w:w w:val="105"/>
          <w:sz w:val="24"/>
          <w:szCs w:val="24"/>
        </w:rPr>
        <w:t>asked</w:t>
      </w:r>
      <w:r w:rsidRPr="0026246B">
        <w:rPr>
          <w:spacing w:val="-13"/>
          <w:w w:val="105"/>
          <w:sz w:val="24"/>
          <w:szCs w:val="24"/>
        </w:rPr>
        <w:t xml:space="preserve"> </w:t>
      </w:r>
      <w:r w:rsidRPr="0026246B">
        <w:rPr>
          <w:w w:val="105"/>
          <w:sz w:val="24"/>
          <w:szCs w:val="24"/>
        </w:rPr>
        <w:t>to</w:t>
      </w:r>
      <w:r w:rsidRPr="0026246B">
        <w:rPr>
          <w:spacing w:val="-12"/>
          <w:w w:val="105"/>
          <w:sz w:val="24"/>
          <w:szCs w:val="24"/>
        </w:rPr>
        <w:t xml:space="preserve"> </w:t>
      </w:r>
      <w:r w:rsidRPr="0026246B">
        <w:rPr>
          <w:w w:val="105"/>
          <w:sz w:val="24"/>
          <w:szCs w:val="24"/>
        </w:rPr>
        <w:t>report</w:t>
      </w:r>
      <w:r w:rsidRPr="0026246B">
        <w:rPr>
          <w:spacing w:val="-13"/>
          <w:w w:val="105"/>
          <w:sz w:val="24"/>
          <w:szCs w:val="24"/>
        </w:rPr>
        <w:t xml:space="preserve"> </w:t>
      </w:r>
      <w:r w:rsidRPr="0026246B">
        <w:rPr>
          <w:w w:val="105"/>
          <w:sz w:val="24"/>
          <w:szCs w:val="24"/>
        </w:rPr>
        <w:t>any</w:t>
      </w:r>
      <w:r w:rsidRPr="0026246B">
        <w:rPr>
          <w:spacing w:val="-10"/>
          <w:w w:val="105"/>
          <w:sz w:val="24"/>
          <w:szCs w:val="24"/>
        </w:rPr>
        <w:t xml:space="preserve"> </w:t>
      </w:r>
      <w:r w:rsidRPr="0026246B">
        <w:rPr>
          <w:w w:val="105"/>
          <w:sz w:val="24"/>
          <w:szCs w:val="24"/>
        </w:rPr>
        <w:t>suspected</w:t>
      </w:r>
      <w:r w:rsidRPr="0026246B">
        <w:rPr>
          <w:spacing w:val="-12"/>
          <w:w w:val="105"/>
          <w:sz w:val="24"/>
          <w:szCs w:val="24"/>
        </w:rPr>
        <w:t xml:space="preserve"> </w:t>
      </w:r>
      <w:r w:rsidRPr="0026246B">
        <w:rPr>
          <w:w w:val="105"/>
          <w:sz w:val="24"/>
          <w:szCs w:val="24"/>
        </w:rPr>
        <w:t>adverse</w:t>
      </w:r>
      <w:r w:rsidRPr="0026246B">
        <w:rPr>
          <w:spacing w:val="-14"/>
          <w:w w:val="105"/>
          <w:sz w:val="24"/>
          <w:szCs w:val="24"/>
        </w:rPr>
        <w:t xml:space="preserve"> </w:t>
      </w:r>
      <w:r w:rsidRPr="0026246B">
        <w:rPr>
          <w:w w:val="105"/>
          <w:sz w:val="24"/>
          <w:szCs w:val="24"/>
        </w:rPr>
        <w:t>reactions</w:t>
      </w:r>
      <w:r w:rsidRPr="0026246B">
        <w:rPr>
          <w:spacing w:val="-13"/>
          <w:w w:val="105"/>
          <w:sz w:val="24"/>
          <w:szCs w:val="24"/>
        </w:rPr>
        <w:t xml:space="preserve"> </w:t>
      </w:r>
      <w:r w:rsidRPr="0026246B">
        <w:rPr>
          <w:w w:val="105"/>
          <w:sz w:val="24"/>
          <w:szCs w:val="24"/>
        </w:rPr>
        <w:t>via</w:t>
      </w:r>
      <w:r w:rsidR="00723146">
        <w:rPr>
          <w:w w:val="105"/>
          <w:sz w:val="24"/>
          <w:szCs w:val="24"/>
        </w:rPr>
        <w:t>:</w:t>
      </w:r>
    </w:p>
    <w:p w:rsidR="00723146" w:rsidRDefault="00723146" w:rsidP="0026246B">
      <w:pPr>
        <w:pStyle w:val="Brdtekst"/>
        <w:ind w:left="851" w:right="266"/>
        <w:rPr>
          <w:spacing w:val="-13"/>
          <w:w w:val="105"/>
          <w:sz w:val="24"/>
          <w:szCs w:val="24"/>
        </w:rPr>
      </w:pPr>
    </w:p>
    <w:p w:rsidR="00723146" w:rsidRDefault="00723146" w:rsidP="00723146">
      <w:pPr>
        <w:ind w:left="851"/>
        <w:rPr>
          <w:sz w:val="24"/>
          <w:szCs w:val="24"/>
        </w:rPr>
      </w:pPr>
      <w:bookmarkStart w:id="1" w:name="_Hlk112664459"/>
      <w:r>
        <w:rPr>
          <w:sz w:val="24"/>
          <w:szCs w:val="24"/>
        </w:rPr>
        <w:t>Lægemiddelstyrelsen</w:t>
      </w:r>
    </w:p>
    <w:p w:rsidR="00723146" w:rsidRDefault="00723146" w:rsidP="00723146">
      <w:pPr>
        <w:ind w:left="851"/>
        <w:rPr>
          <w:sz w:val="24"/>
          <w:szCs w:val="24"/>
        </w:rPr>
      </w:pPr>
      <w:r>
        <w:rPr>
          <w:sz w:val="24"/>
          <w:szCs w:val="24"/>
        </w:rPr>
        <w:t>Axel Heides Gade 1</w:t>
      </w:r>
    </w:p>
    <w:p w:rsidR="00723146" w:rsidRDefault="00723146" w:rsidP="00723146">
      <w:pPr>
        <w:ind w:left="851"/>
        <w:rPr>
          <w:sz w:val="24"/>
          <w:szCs w:val="24"/>
        </w:rPr>
      </w:pPr>
      <w:r>
        <w:rPr>
          <w:sz w:val="24"/>
          <w:szCs w:val="24"/>
        </w:rPr>
        <w:t>DK-2300 København S</w:t>
      </w:r>
    </w:p>
    <w:p w:rsidR="00723146" w:rsidRPr="00405FB3" w:rsidRDefault="00723146" w:rsidP="00723146">
      <w:pPr>
        <w:ind w:left="851"/>
        <w:rPr>
          <w:sz w:val="24"/>
          <w:szCs w:val="24"/>
          <w:lang w:val="en-US"/>
        </w:rPr>
      </w:pPr>
      <w:r w:rsidRPr="00405FB3">
        <w:rPr>
          <w:sz w:val="24"/>
          <w:szCs w:val="24"/>
          <w:lang w:val="en-US"/>
        </w:rPr>
        <w:t xml:space="preserve">Website: </w:t>
      </w:r>
      <w:r w:rsidRPr="00405FB3">
        <w:rPr>
          <w:sz w:val="24"/>
          <w:lang w:val="en-US"/>
        </w:rPr>
        <w:t>www.meldenbivirkning.dk</w:t>
      </w:r>
      <w:bookmarkEnd w:id="1"/>
    </w:p>
    <w:p w:rsidR="004D4F38" w:rsidRPr="00D2165A" w:rsidRDefault="004D4F38" w:rsidP="007A4CC6">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rsidR="00405FB3" w:rsidRPr="00405FB3" w:rsidRDefault="00405FB3" w:rsidP="00405FB3">
      <w:pPr>
        <w:tabs>
          <w:tab w:val="left" w:pos="851"/>
        </w:tabs>
        <w:ind w:left="851"/>
        <w:rPr>
          <w:sz w:val="24"/>
          <w:szCs w:val="24"/>
          <w:lang w:val="en-US"/>
        </w:rPr>
      </w:pPr>
      <w:r w:rsidRPr="00405FB3">
        <w:rPr>
          <w:sz w:val="24"/>
          <w:szCs w:val="24"/>
          <w:lang w:val="en-US"/>
        </w:rPr>
        <w:t>Experience with overdose of dasatinib in clinical studies is limited to isolated cases. The highest overdose of 280 mg per day for one week was reported in two patients and both developed a significant decrease in platelet counts. Since dasatinib is associated with grade 3 or 4 myelosuppression (see section 4.4), patients who ingest more than the recommended dose should be closely monitored for myelosuppression and given appropriate supportive treatment.</w:t>
      </w:r>
    </w:p>
    <w:p w:rsidR="007C5D2A" w:rsidRPr="00405FB3" w:rsidRDefault="007C5D2A" w:rsidP="003E0341">
      <w:pPr>
        <w:tabs>
          <w:tab w:val="left" w:pos="851"/>
        </w:tabs>
        <w:ind w:left="851"/>
        <w:rPr>
          <w:sz w:val="24"/>
          <w:szCs w:val="24"/>
          <w:lang w:val="en-US"/>
        </w:rPr>
      </w:pPr>
    </w:p>
    <w:p w:rsidR="008F2F8C" w:rsidRPr="00F430C7" w:rsidRDefault="0042292D" w:rsidP="0042292D">
      <w:pPr>
        <w:tabs>
          <w:tab w:val="left" w:pos="851"/>
        </w:tabs>
        <w:rPr>
          <w:b/>
          <w:sz w:val="24"/>
          <w:szCs w:val="24"/>
          <w:lang w:val="en-US"/>
        </w:rPr>
      </w:pPr>
      <w:r w:rsidRPr="00F430C7">
        <w:rPr>
          <w:b/>
          <w:sz w:val="24"/>
          <w:szCs w:val="24"/>
          <w:lang w:val="en-US"/>
        </w:rPr>
        <w:lastRenderedPageBreak/>
        <w:t>4.10</w:t>
      </w:r>
      <w:r w:rsidRPr="00F430C7">
        <w:rPr>
          <w:b/>
          <w:sz w:val="24"/>
          <w:szCs w:val="24"/>
          <w:lang w:val="en-US"/>
        </w:rPr>
        <w:tab/>
        <w:t>Legal status</w:t>
      </w:r>
    </w:p>
    <w:p w:rsidR="00405FB3" w:rsidRPr="00877F09" w:rsidRDefault="00405FB3" w:rsidP="00405FB3">
      <w:pPr>
        <w:tabs>
          <w:tab w:val="left" w:pos="851"/>
        </w:tabs>
        <w:ind w:left="851"/>
        <w:rPr>
          <w:sz w:val="24"/>
          <w:szCs w:val="24"/>
          <w:lang w:val="en-US"/>
        </w:rPr>
      </w:pPr>
      <w:r w:rsidRPr="00877F09">
        <w:rPr>
          <w:sz w:val="24"/>
          <w:szCs w:val="24"/>
          <w:lang w:val="en-US"/>
        </w:rPr>
        <w:t>BEGR (for hospitals</w:t>
      </w:r>
      <w:r w:rsidR="000A2E6A">
        <w:rPr>
          <w:sz w:val="24"/>
          <w:szCs w:val="24"/>
          <w:lang w:val="en-US"/>
        </w:rPr>
        <w:t xml:space="preserve"> only</w:t>
      </w:r>
      <w:r w:rsidRPr="00877F09">
        <w:rPr>
          <w:sz w:val="24"/>
          <w:szCs w:val="24"/>
          <w:lang w:val="en-US"/>
        </w:rPr>
        <w:t>)</w:t>
      </w:r>
    </w:p>
    <w:p w:rsidR="007C5D2A" w:rsidRPr="00877F09" w:rsidRDefault="007C5D2A" w:rsidP="003E0341">
      <w:pPr>
        <w:tabs>
          <w:tab w:val="left" w:pos="851"/>
        </w:tabs>
        <w:ind w:left="851"/>
        <w:rPr>
          <w:sz w:val="24"/>
          <w:szCs w:val="24"/>
          <w:lang w:val="en-US"/>
        </w:rPr>
      </w:pPr>
    </w:p>
    <w:p w:rsidR="00AD2E36" w:rsidRPr="00877F09" w:rsidRDefault="00AD2E36" w:rsidP="003E0341">
      <w:pPr>
        <w:tabs>
          <w:tab w:val="left" w:pos="851"/>
        </w:tabs>
        <w:ind w:left="851"/>
        <w:rPr>
          <w:sz w:val="24"/>
          <w:szCs w:val="24"/>
          <w:lang w:val="en-US"/>
        </w:rPr>
      </w:pPr>
    </w:p>
    <w:p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rsidR="007C5D2A" w:rsidRDefault="007C5D2A" w:rsidP="003E0341">
      <w:pPr>
        <w:tabs>
          <w:tab w:val="left" w:pos="851"/>
        </w:tabs>
        <w:ind w:left="851"/>
        <w:rPr>
          <w:sz w:val="24"/>
          <w:szCs w:val="24"/>
          <w:lang w:val="en-GB"/>
        </w:rPr>
      </w:pPr>
    </w:p>
    <w:p w:rsidR="004860D3" w:rsidRPr="00303008" w:rsidRDefault="004860D3" w:rsidP="004860D3">
      <w:pPr>
        <w:tabs>
          <w:tab w:val="left" w:pos="851"/>
        </w:tabs>
        <w:ind w:left="851" w:hanging="851"/>
        <w:rPr>
          <w:b/>
          <w:sz w:val="24"/>
          <w:szCs w:val="24"/>
          <w:lang w:val="en-GB"/>
        </w:rPr>
      </w:pPr>
      <w:r w:rsidRPr="00303008">
        <w:rPr>
          <w:b/>
          <w:sz w:val="24"/>
          <w:szCs w:val="24"/>
          <w:lang w:val="en-GB"/>
        </w:rPr>
        <w:t>5.</w:t>
      </w:r>
      <w:r>
        <w:rPr>
          <w:b/>
          <w:sz w:val="24"/>
          <w:szCs w:val="24"/>
          <w:lang w:val="en-GB"/>
        </w:rPr>
        <w:t>0</w:t>
      </w:r>
      <w:r w:rsidRPr="00303008">
        <w:rPr>
          <w:b/>
          <w:sz w:val="24"/>
          <w:szCs w:val="24"/>
          <w:lang w:val="en-GB"/>
        </w:rPr>
        <w:tab/>
      </w:r>
      <w:r>
        <w:rPr>
          <w:b/>
          <w:sz w:val="24"/>
          <w:szCs w:val="24"/>
          <w:lang w:val="en-GB"/>
        </w:rPr>
        <w:t>Therapeutic</w:t>
      </w:r>
      <w:r w:rsidR="00A80446">
        <w:rPr>
          <w:b/>
          <w:sz w:val="24"/>
          <w:szCs w:val="24"/>
          <w:lang w:val="en-GB"/>
        </w:rPr>
        <w:t xml:space="preserve"> classification</w:t>
      </w:r>
      <w:r w:rsidRPr="00303008">
        <w:rPr>
          <w:b/>
          <w:sz w:val="24"/>
          <w:szCs w:val="24"/>
          <w:lang w:val="en-GB"/>
        </w:rPr>
        <w:tab/>
      </w:r>
    </w:p>
    <w:p w:rsidR="004860D3" w:rsidRDefault="00877F09" w:rsidP="003E0341">
      <w:pPr>
        <w:tabs>
          <w:tab w:val="left" w:pos="851"/>
        </w:tabs>
        <w:ind w:left="851"/>
        <w:rPr>
          <w:sz w:val="24"/>
          <w:szCs w:val="24"/>
          <w:lang w:val="en-US"/>
        </w:rPr>
      </w:pPr>
      <w:r w:rsidRPr="00877F09">
        <w:rPr>
          <w:sz w:val="24"/>
          <w:szCs w:val="24"/>
          <w:lang w:val="en-US"/>
        </w:rPr>
        <w:t>ATC code: L01XE06</w:t>
      </w:r>
      <w:r w:rsidR="007E43C8">
        <w:rPr>
          <w:sz w:val="24"/>
          <w:szCs w:val="24"/>
          <w:lang w:val="en-US"/>
        </w:rPr>
        <w:t>. A</w:t>
      </w:r>
      <w:r w:rsidRPr="00877F09">
        <w:rPr>
          <w:sz w:val="24"/>
          <w:szCs w:val="24"/>
          <w:lang w:val="en-US"/>
        </w:rPr>
        <w:t>ntineoplastic agents, protein kinase inhibitors</w:t>
      </w:r>
      <w:r w:rsidR="007E43C8">
        <w:rPr>
          <w:sz w:val="24"/>
          <w:szCs w:val="24"/>
          <w:lang w:val="en-US"/>
        </w:rPr>
        <w:t>.</w:t>
      </w:r>
    </w:p>
    <w:p w:rsidR="007E43C8" w:rsidRPr="00877F09" w:rsidRDefault="007E43C8" w:rsidP="003E034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rsidR="009E30BA" w:rsidRPr="009E30BA" w:rsidRDefault="009E30BA" w:rsidP="009E30BA">
      <w:pPr>
        <w:tabs>
          <w:tab w:val="left" w:pos="851"/>
        </w:tabs>
        <w:ind w:left="851"/>
        <w:rPr>
          <w:sz w:val="24"/>
          <w:szCs w:val="24"/>
          <w:lang w:val="en-US"/>
        </w:rPr>
      </w:pPr>
    </w:p>
    <w:p w:rsidR="009E30BA" w:rsidRPr="009E30BA" w:rsidRDefault="009E30BA" w:rsidP="009E30BA">
      <w:pPr>
        <w:tabs>
          <w:tab w:val="left" w:pos="851"/>
        </w:tabs>
        <w:ind w:left="851"/>
        <w:rPr>
          <w:sz w:val="24"/>
          <w:szCs w:val="24"/>
          <w:lang w:val="en-US"/>
        </w:rPr>
      </w:pPr>
      <w:r w:rsidRPr="009E30BA">
        <w:rPr>
          <w:sz w:val="24"/>
          <w:szCs w:val="24"/>
          <w:u w:val="single"/>
          <w:lang w:val="en-US"/>
        </w:rPr>
        <w:t>Pharmacodynamics</w:t>
      </w:r>
    </w:p>
    <w:p w:rsidR="009E30BA" w:rsidRPr="009E30BA" w:rsidRDefault="009E30BA" w:rsidP="009E30BA">
      <w:pPr>
        <w:tabs>
          <w:tab w:val="left" w:pos="851"/>
        </w:tabs>
        <w:ind w:left="851"/>
        <w:rPr>
          <w:sz w:val="24"/>
          <w:szCs w:val="24"/>
          <w:lang w:val="en-US"/>
        </w:rPr>
      </w:pPr>
      <w:r w:rsidRPr="009E30BA">
        <w:rPr>
          <w:sz w:val="24"/>
          <w:szCs w:val="24"/>
          <w:lang w:val="en-US"/>
        </w:rPr>
        <w:t>Dasatinib inhibits the activity of the BCR-ABL kinase and SRC family kinases along with a number of other selected oncogenic kinases including c-KIT, ephrin (EPH) receptor kinases, and PDGFβ receptor. Dasatinib is a potent, subnanomolar inhibitor of the BCR-ABL kinase with potency at concentration of 0.6-0.8 nM. It binds to both the inactive and active conformations of the BCR-ABL enzyme.</w:t>
      </w:r>
    </w:p>
    <w:p w:rsidR="009E30BA" w:rsidRPr="009E30BA" w:rsidRDefault="009E30BA" w:rsidP="009E30BA">
      <w:pPr>
        <w:tabs>
          <w:tab w:val="left" w:pos="851"/>
        </w:tabs>
        <w:ind w:left="851"/>
        <w:rPr>
          <w:sz w:val="24"/>
          <w:szCs w:val="24"/>
          <w:lang w:val="en-US"/>
        </w:rPr>
      </w:pPr>
    </w:p>
    <w:p w:rsidR="009E30BA" w:rsidRPr="009E30BA" w:rsidRDefault="009E30BA" w:rsidP="009E30BA">
      <w:pPr>
        <w:tabs>
          <w:tab w:val="left" w:pos="851"/>
        </w:tabs>
        <w:ind w:left="851"/>
        <w:rPr>
          <w:sz w:val="24"/>
          <w:szCs w:val="24"/>
          <w:lang w:val="en-US"/>
        </w:rPr>
      </w:pPr>
      <w:r w:rsidRPr="009E30BA">
        <w:rPr>
          <w:sz w:val="24"/>
          <w:szCs w:val="24"/>
          <w:u w:val="single"/>
          <w:lang w:val="en-US"/>
        </w:rPr>
        <w:t>Mechanism of action</w:t>
      </w:r>
    </w:p>
    <w:p w:rsidR="009E30BA" w:rsidRPr="009E30BA" w:rsidRDefault="009E30BA" w:rsidP="009E30BA">
      <w:pPr>
        <w:tabs>
          <w:tab w:val="left" w:pos="851"/>
        </w:tabs>
        <w:ind w:left="851"/>
        <w:rPr>
          <w:sz w:val="24"/>
          <w:szCs w:val="24"/>
          <w:lang w:val="en-US"/>
        </w:rPr>
      </w:pPr>
      <w:r w:rsidRPr="009E30BA">
        <w:rPr>
          <w:i/>
          <w:sz w:val="24"/>
          <w:szCs w:val="24"/>
          <w:lang w:val="en-US"/>
        </w:rPr>
        <w:t>In vitro</w:t>
      </w:r>
      <w:r w:rsidRPr="009E30BA">
        <w:rPr>
          <w:sz w:val="24"/>
          <w:szCs w:val="24"/>
          <w:lang w:val="en-US"/>
        </w:rPr>
        <w:t>, dasatinib is active in leukaemic cell lines representing variants of imatinib-sensitive and resistant disease. These non-clinical studies show that dasatinib can overcome imatinib resistance resulting from BCR-ABL overexpression, BCR-ABL kinase domain mutations, activation of alternate signalling pathways involving the SRC family kinases (LYN, HCK), and multidrug resistance gene overexpression. Additionally, dasatinib inhibits SRC family kinases at subnanomolar concentrations.</w:t>
      </w:r>
    </w:p>
    <w:p w:rsidR="009E30BA" w:rsidRPr="009E30BA" w:rsidRDefault="009E30BA" w:rsidP="009E30BA">
      <w:pPr>
        <w:tabs>
          <w:tab w:val="left" w:pos="851"/>
        </w:tabs>
        <w:ind w:left="851"/>
        <w:rPr>
          <w:sz w:val="24"/>
          <w:szCs w:val="24"/>
          <w:lang w:val="en-US"/>
        </w:rPr>
      </w:pPr>
    </w:p>
    <w:p w:rsidR="009E30BA" w:rsidRPr="009E30BA" w:rsidRDefault="009E30BA" w:rsidP="009E30BA">
      <w:pPr>
        <w:tabs>
          <w:tab w:val="left" w:pos="851"/>
        </w:tabs>
        <w:ind w:left="851"/>
        <w:rPr>
          <w:sz w:val="24"/>
          <w:szCs w:val="24"/>
          <w:lang w:val="en-US"/>
        </w:rPr>
      </w:pPr>
      <w:r w:rsidRPr="009E30BA">
        <w:rPr>
          <w:i/>
          <w:sz w:val="24"/>
          <w:szCs w:val="24"/>
          <w:lang w:val="en-US"/>
        </w:rPr>
        <w:t>In vivo</w:t>
      </w:r>
      <w:r w:rsidRPr="009E30BA">
        <w:rPr>
          <w:sz w:val="24"/>
          <w:szCs w:val="24"/>
          <w:lang w:val="en-US"/>
        </w:rPr>
        <w:t>, in separate experiments using murine models of CML, dasatinib prevented the progression of chronic CML to blast phase and prolonged the survival of mice bearing patient-derived CML cell lines grown at various sites, including the central nervous system.</w:t>
      </w:r>
    </w:p>
    <w:p w:rsidR="009E30BA" w:rsidRPr="009E30BA" w:rsidRDefault="009E30BA" w:rsidP="009E30BA">
      <w:pPr>
        <w:tabs>
          <w:tab w:val="left" w:pos="851"/>
        </w:tabs>
        <w:ind w:left="851"/>
        <w:rPr>
          <w:sz w:val="24"/>
          <w:szCs w:val="24"/>
          <w:lang w:val="en-US"/>
        </w:rPr>
      </w:pPr>
    </w:p>
    <w:p w:rsidR="009E30BA" w:rsidRPr="009E30BA" w:rsidRDefault="009E30BA" w:rsidP="009E30BA">
      <w:pPr>
        <w:tabs>
          <w:tab w:val="left" w:pos="851"/>
        </w:tabs>
        <w:ind w:left="851"/>
        <w:rPr>
          <w:sz w:val="24"/>
          <w:szCs w:val="24"/>
          <w:lang w:val="en-US"/>
        </w:rPr>
      </w:pPr>
      <w:r w:rsidRPr="009E30BA">
        <w:rPr>
          <w:sz w:val="24"/>
          <w:szCs w:val="24"/>
          <w:u w:val="single"/>
          <w:lang w:val="en-US"/>
        </w:rPr>
        <w:t>Clinical efficacy and safety</w:t>
      </w:r>
    </w:p>
    <w:p w:rsidR="009E30BA" w:rsidRPr="009E30BA" w:rsidRDefault="009E30BA" w:rsidP="009E30BA">
      <w:pPr>
        <w:tabs>
          <w:tab w:val="left" w:pos="851"/>
        </w:tabs>
        <w:ind w:left="851"/>
        <w:rPr>
          <w:sz w:val="24"/>
          <w:szCs w:val="24"/>
          <w:lang w:val="en-US"/>
        </w:rPr>
      </w:pPr>
      <w:r w:rsidRPr="009E30BA">
        <w:rPr>
          <w:sz w:val="24"/>
          <w:szCs w:val="24"/>
          <w:lang w:val="en-US"/>
        </w:rPr>
        <w:t>In the Phase I study, haematologic and cytogenetic responses were observed in all phases of CML and in Ph+ ALL in the first 84 patients treated and followed for up to 27 months. Responses were durable across all phases of CML and Ph+ ALL.</w:t>
      </w:r>
    </w:p>
    <w:p w:rsidR="009E30BA" w:rsidRPr="009E30BA" w:rsidRDefault="009E30BA" w:rsidP="009E30BA">
      <w:pPr>
        <w:tabs>
          <w:tab w:val="left" w:pos="851"/>
        </w:tabs>
        <w:ind w:left="851"/>
        <w:rPr>
          <w:sz w:val="24"/>
          <w:szCs w:val="24"/>
          <w:lang w:val="en-US"/>
        </w:rPr>
      </w:pPr>
    </w:p>
    <w:p w:rsidR="009E30BA" w:rsidRPr="009E30BA" w:rsidRDefault="009E30BA" w:rsidP="009E30BA">
      <w:pPr>
        <w:tabs>
          <w:tab w:val="left" w:pos="851"/>
        </w:tabs>
        <w:ind w:left="851"/>
        <w:rPr>
          <w:sz w:val="24"/>
          <w:szCs w:val="24"/>
          <w:lang w:val="en-US"/>
        </w:rPr>
      </w:pPr>
      <w:r w:rsidRPr="009E30BA">
        <w:rPr>
          <w:sz w:val="24"/>
          <w:szCs w:val="24"/>
          <w:lang w:val="en-US"/>
        </w:rPr>
        <w:t>Four single-arm, uncontrolled, open-label Phase II clinical studies were conducted to determine the safety and efficacy of dasatinib in patients with CML in chronic, accelerated, or myeloid blast phase, who were either resistant or intolerant to imatinib. One randomised non-comparative study was conducted in chronic phase patients who failed initial treatment with 400 or 600 mg imatinib. The starting dose was 70 mg dasatinib twice daily. Dose modifications were allowed for improving activity or management of toxicity (see section 4.2).</w:t>
      </w:r>
    </w:p>
    <w:p w:rsidR="009E30BA" w:rsidRPr="009E30BA" w:rsidRDefault="009E30BA" w:rsidP="009E30BA">
      <w:pPr>
        <w:tabs>
          <w:tab w:val="left" w:pos="851"/>
        </w:tabs>
        <w:ind w:left="851"/>
        <w:rPr>
          <w:sz w:val="24"/>
          <w:szCs w:val="24"/>
          <w:lang w:val="en-US"/>
        </w:rPr>
      </w:pPr>
      <w:r w:rsidRPr="009E30BA">
        <w:rPr>
          <w:sz w:val="24"/>
          <w:szCs w:val="24"/>
          <w:lang w:val="en-US"/>
        </w:rPr>
        <w:t>Two randomised, open-label Phase III studies were conducted to evaluate the efficacy of dasatinib administered once daily compared with dasatinib administered twice daily. In addition, one open-label, randomised, comparative Phase III study was conducted in adult patients with newly diagnosed chronic phase CML.</w:t>
      </w:r>
    </w:p>
    <w:p w:rsidR="009E30BA" w:rsidRPr="009E30BA" w:rsidRDefault="009E30BA" w:rsidP="009E30BA">
      <w:pPr>
        <w:tabs>
          <w:tab w:val="left" w:pos="851"/>
        </w:tabs>
        <w:ind w:left="851"/>
        <w:rPr>
          <w:sz w:val="24"/>
          <w:szCs w:val="24"/>
          <w:lang w:val="en-US"/>
        </w:rPr>
      </w:pPr>
    </w:p>
    <w:p w:rsidR="009E30BA" w:rsidRPr="009E30BA" w:rsidRDefault="009E30BA" w:rsidP="009E30BA">
      <w:pPr>
        <w:tabs>
          <w:tab w:val="left" w:pos="851"/>
        </w:tabs>
        <w:ind w:left="851"/>
        <w:rPr>
          <w:sz w:val="24"/>
          <w:szCs w:val="24"/>
          <w:lang w:val="en-US"/>
        </w:rPr>
      </w:pPr>
      <w:r w:rsidRPr="009E30BA">
        <w:rPr>
          <w:sz w:val="24"/>
          <w:szCs w:val="24"/>
          <w:lang w:val="en-US"/>
        </w:rPr>
        <w:t>The efficacy of dasatinib is based on haematological and cytogenetic response rates.</w:t>
      </w:r>
    </w:p>
    <w:p w:rsidR="009E30BA" w:rsidRPr="009E30BA" w:rsidRDefault="009E30BA" w:rsidP="009E30BA">
      <w:pPr>
        <w:tabs>
          <w:tab w:val="left" w:pos="851"/>
        </w:tabs>
        <w:ind w:left="851"/>
        <w:rPr>
          <w:sz w:val="24"/>
          <w:szCs w:val="24"/>
          <w:lang w:val="en-US"/>
        </w:rPr>
      </w:pPr>
      <w:r w:rsidRPr="009E30BA">
        <w:rPr>
          <w:sz w:val="24"/>
          <w:szCs w:val="24"/>
          <w:lang w:val="en-US"/>
        </w:rPr>
        <w:t>Durability of response and estimated survival rates provide additional evidence of dasatinib clinical benefit.</w:t>
      </w:r>
    </w:p>
    <w:p w:rsidR="009E30BA" w:rsidRPr="009E30BA" w:rsidRDefault="009E30BA" w:rsidP="009E30BA">
      <w:pPr>
        <w:tabs>
          <w:tab w:val="left" w:pos="851"/>
        </w:tabs>
        <w:ind w:left="851"/>
        <w:rPr>
          <w:sz w:val="24"/>
          <w:szCs w:val="24"/>
          <w:lang w:val="en-US"/>
        </w:rPr>
      </w:pPr>
    </w:p>
    <w:p w:rsidR="009E30BA" w:rsidRPr="009E30BA" w:rsidRDefault="009E30BA" w:rsidP="009E30BA">
      <w:pPr>
        <w:tabs>
          <w:tab w:val="left" w:pos="851"/>
        </w:tabs>
        <w:ind w:left="851"/>
        <w:rPr>
          <w:sz w:val="24"/>
          <w:szCs w:val="24"/>
          <w:lang w:val="en-US"/>
        </w:rPr>
      </w:pPr>
      <w:r w:rsidRPr="009E30BA">
        <w:rPr>
          <w:sz w:val="24"/>
          <w:szCs w:val="24"/>
          <w:lang w:val="en-US"/>
        </w:rPr>
        <w:t>A total of 2,712 patients were evaluated in clinical studies; of these 23% were ≥ 65 years of age and 5% were ≥ 75 years of age.</w:t>
      </w:r>
    </w:p>
    <w:p w:rsidR="009E30BA" w:rsidRPr="009E30BA" w:rsidRDefault="009E30BA" w:rsidP="009E30BA">
      <w:pPr>
        <w:tabs>
          <w:tab w:val="left" w:pos="851"/>
        </w:tabs>
        <w:ind w:left="851"/>
        <w:rPr>
          <w:sz w:val="24"/>
          <w:szCs w:val="24"/>
          <w:lang w:val="en-US"/>
        </w:rPr>
      </w:pPr>
    </w:p>
    <w:p w:rsidR="009E30BA" w:rsidRPr="009E30BA" w:rsidRDefault="009E30BA" w:rsidP="009E30BA">
      <w:pPr>
        <w:tabs>
          <w:tab w:val="left" w:pos="851"/>
        </w:tabs>
        <w:ind w:left="851"/>
        <w:rPr>
          <w:i/>
          <w:sz w:val="24"/>
          <w:szCs w:val="24"/>
          <w:lang w:val="en-US"/>
        </w:rPr>
      </w:pPr>
      <w:r w:rsidRPr="009E30BA">
        <w:rPr>
          <w:i/>
          <w:sz w:val="24"/>
          <w:szCs w:val="24"/>
          <w:u w:val="single"/>
          <w:lang w:val="en-US"/>
        </w:rPr>
        <w:t>Chronic phase CML - Newly diagnosed</w:t>
      </w:r>
    </w:p>
    <w:p w:rsidR="009E30BA" w:rsidRPr="009E30BA" w:rsidRDefault="009E30BA" w:rsidP="009E30BA">
      <w:pPr>
        <w:tabs>
          <w:tab w:val="left" w:pos="851"/>
        </w:tabs>
        <w:ind w:left="851"/>
        <w:rPr>
          <w:sz w:val="24"/>
          <w:szCs w:val="24"/>
          <w:lang w:val="en-US"/>
        </w:rPr>
      </w:pPr>
      <w:r w:rsidRPr="009E30BA">
        <w:rPr>
          <w:sz w:val="24"/>
          <w:szCs w:val="24"/>
          <w:lang w:val="en-US"/>
        </w:rPr>
        <w:t>An international open-label, multicentre, randomised, comparative Phase III study was conducted in adult patients with newly diagnosed chronic phase CML. Patients were randomised to receive either dasatinib 100 mg once daily or imatinib 400 mg once daily. The primary endpoint was the rate of confirmed complete cytogenetic response (cCCyR) within 12 months. Secondary endpoints included time in cCCyR (measure of durability of response), time to cCCyR, major molecular response (MMR) rate, time to MMR, progression free survival (PFS) and overall survival (OS). Other relevant efficacy results included CCyR and complete molecular response (CMR) rates. The study is ongoing.</w:t>
      </w:r>
    </w:p>
    <w:p w:rsidR="009E30BA" w:rsidRPr="009E30BA" w:rsidRDefault="009E30BA" w:rsidP="009E30BA">
      <w:pPr>
        <w:tabs>
          <w:tab w:val="left" w:pos="851"/>
        </w:tabs>
        <w:ind w:left="851"/>
        <w:rPr>
          <w:sz w:val="24"/>
          <w:szCs w:val="24"/>
          <w:lang w:val="en-US"/>
        </w:rPr>
      </w:pPr>
    </w:p>
    <w:p w:rsidR="009E30BA" w:rsidRPr="009E30BA" w:rsidRDefault="009E30BA" w:rsidP="009E30BA">
      <w:pPr>
        <w:tabs>
          <w:tab w:val="left" w:pos="851"/>
        </w:tabs>
        <w:ind w:left="851"/>
        <w:rPr>
          <w:sz w:val="24"/>
          <w:szCs w:val="24"/>
          <w:lang w:val="en-US"/>
        </w:rPr>
      </w:pPr>
      <w:r w:rsidRPr="009E30BA">
        <w:rPr>
          <w:sz w:val="24"/>
          <w:szCs w:val="24"/>
          <w:lang w:val="en-US"/>
        </w:rPr>
        <w:t>A total of 519 patients were randomised to a treatment group: 259 to dasatinib and 260 to imatinib. Baseline characteristics were well balanced between the two treatment groups with respect to age (median age was 46 years for the dasatinib group and 49 years for the imatinib group with 10% and 11% of patients 65 years of age or older, respectively), gender (women 44% and 37%, respectively), and race (Caucasian 51% and 55%; Asian 42% and 37%, respectively). At baseline, the distribution of Hasford Scores was similar in the dasatinib and imatinib treatment groups (low risk: 33% and 34%; intermediate risk 48% and 47%; high risk: 19% and 19%, respectively).</w:t>
      </w:r>
    </w:p>
    <w:p w:rsidR="009E30BA" w:rsidRPr="009E30BA" w:rsidRDefault="009E30BA" w:rsidP="009E30BA">
      <w:pPr>
        <w:tabs>
          <w:tab w:val="left" w:pos="851"/>
        </w:tabs>
        <w:ind w:left="851"/>
        <w:rPr>
          <w:sz w:val="24"/>
          <w:szCs w:val="24"/>
          <w:lang w:val="en-US"/>
        </w:rPr>
      </w:pPr>
    </w:p>
    <w:p w:rsidR="009E30BA" w:rsidRPr="009E30BA" w:rsidRDefault="009E30BA" w:rsidP="009E30BA">
      <w:pPr>
        <w:tabs>
          <w:tab w:val="left" w:pos="851"/>
        </w:tabs>
        <w:ind w:left="851"/>
        <w:rPr>
          <w:sz w:val="24"/>
          <w:szCs w:val="24"/>
          <w:lang w:val="en-US"/>
        </w:rPr>
      </w:pPr>
      <w:r w:rsidRPr="009E30BA">
        <w:rPr>
          <w:sz w:val="24"/>
          <w:szCs w:val="24"/>
          <w:lang w:val="en-US"/>
        </w:rPr>
        <w:t>With a minimum of 12 months follow-up, 85% of patients randomised to the dasatinib group and 81% of patients randomised to the imatinib group were still receiving first-line treatment.</w:t>
      </w:r>
    </w:p>
    <w:p w:rsidR="009E30BA" w:rsidRPr="009E30BA" w:rsidRDefault="009E30BA" w:rsidP="009E30BA">
      <w:pPr>
        <w:tabs>
          <w:tab w:val="left" w:pos="851"/>
        </w:tabs>
        <w:ind w:left="851"/>
        <w:rPr>
          <w:sz w:val="24"/>
          <w:szCs w:val="24"/>
          <w:lang w:val="en-US"/>
        </w:rPr>
      </w:pPr>
      <w:r w:rsidRPr="009E30BA">
        <w:rPr>
          <w:sz w:val="24"/>
          <w:szCs w:val="24"/>
          <w:lang w:val="en-US"/>
        </w:rPr>
        <w:t>Discontinuation within 12 months due to disease progression occurred in 3% of dasatinib-treated patients and 5% of imatinib-treated patients.</w:t>
      </w:r>
    </w:p>
    <w:p w:rsidR="009E30BA" w:rsidRPr="009E30BA" w:rsidRDefault="009E30BA" w:rsidP="009E30BA">
      <w:pPr>
        <w:tabs>
          <w:tab w:val="left" w:pos="851"/>
        </w:tabs>
        <w:ind w:left="851"/>
        <w:rPr>
          <w:sz w:val="24"/>
          <w:szCs w:val="24"/>
          <w:lang w:val="en-US"/>
        </w:rPr>
      </w:pPr>
    </w:p>
    <w:p w:rsidR="009E30BA" w:rsidRPr="009E30BA" w:rsidRDefault="009E30BA" w:rsidP="009E30BA">
      <w:pPr>
        <w:tabs>
          <w:tab w:val="left" w:pos="851"/>
        </w:tabs>
        <w:ind w:left="851"/>
        <w:rPr>
          <w:sz w:val="24"/>
          <w:szCs w:val="24"/>
          <w:lang w:val="en-US"/>
        </w:rPr>
      </w:pPr>
      <w:r w:rsidRPr="009E30BA">
        <w:rPr>
          <w:sz w:val="24"/>
          <w:szCs w:val="24"/>
          <w:lang w:val="en-US"/>
        </w:rPr>
        <w:t>With a minimum of 60 months follow-up, 60% of patients randomised to the dasatinib group and 63% of patients randomised to the imatinib group were still receiving first-line treatment.</w:t>
      </w:r>
    </w:p>
    <w:p w:rsidR="009E30BA" w:rsidRPr="009E30BA" w:rsidRDefault="009E30BA" w:rsidP="009E30BA">
      <w:pPr>
        <w:tabs>
          <w:tab w:val="left" w:pos="851"/>
        </w:tabs>
        <w:ind w:left="851"/>
        <w:rPr>
          <w:sz w:val="24"/>
          <w:szCs w:val="24"/>
          <w:lang w:val="en-US"/>
        </w:rPr>
      </w:pPr>
      <w:r w:rsidRPr="009E30BA">
        <w:rPr>
          <w:sz w:val="24"/>
          <w:szCs w:val="24"/>
          <w:lang w:val="en-US"/>
        </w:rPr>
        <w:t>Discontinuation within 60 months due to disease progression occurred in 11% of dasatinib-treated patients and 14% of imatinib-treated patients.</w:t>
      </w:r>
    </w:p>
    <w:p w:rsidR="009E30BA" w:rsidRPr="009E30BA" w:rsidRDefault="009E30BA" w:rsidP="009E30BA">
      <w:pPr>
        <w:tabs>
          <w:tab w:val="left" w:pos="851"/>
        </w:tabs>
        <w:ind w:left="851"/>
        <w:rPr>
          <w:sz w:val="24"/>
          <w:szCs w:val="24"/>
          <w:lang w:val="en-US"/>
        </w:rPr>
      </w:pPr>
    </w:p>
    <w:p w:rsidR="009E30BA" w:rsidRPr="005F73E8" w:rsidRDefault="009E30BA" w:rsidP="009E30BA">
      <w:pPr>
        <w:tabs>
          <w:tab w:val="left" w:pos="851"/>
        </w:tabs>
        <w:ind w:left="851"/>
        <w:rPr>
          <w:sz w:val="24"/>
          <w:szCs w:val="24"/>
          <w:lang w:val="en-US"/>
        </w:rPr>
      </w:pPr>
      <w:r w:rsidRPr="009E30BA">
        <w:rPr>
          <w:sz w:val="24"/>
          <w:szCs w:val="24"/>
          <w:lang w:val="en-US"/>
        </w:rPr>
        <w:t xml:space="preserve">Efficacy results are presented in Table 9. A statistically significantly greater proportion of patients in the dasatinib group achieved a cCCyR compared with patients in the imatinib group within the first 12 months of treatment. Efficacy of dasatinib was consistently demonstrated across different subgroups, including age, gender, and baseline Hasford </w:t>
      </w:r>
      <w:r w:rsidRPr="005F73E8">
        <w:rPr>
          <w:sz w:val="24"/>
          <w:szCs w:val="24"/>
          <w:lang w:val="en-US"/>
        </w:rPr>
        <w:t>score.</w:t>
      </w:r>
    </w:p>
    <w:p w:rsidR="007C5D2A" w:rsidRPr="005F73E8" w:rsidRDefault="007C5D2A" w:rsidP="003E0341">
      <w:pPr>
        <w:tabs>
          <w:tab w:val="left" w:pos="851"/>
        </w:tabs>
        <w:ind w:left="851"/>
        <w:rPr>
          <w:sz w:val="24"/>
          <w:szCs w:val="24"/>
          <w:lang w:val="en-US"/>
        </w:rPr>
      </w:pPr>
    </w:p>
    <w:p w:rsidR="005F73E8" w:rsidRPr="005F73E8" w:rsidRDefault="005F73E8" w:rsidP="005F73E8">
      <w:pPr>
        <w:pStyle w:val="Overskrift1"/>
        <w:tabs>
          <w:tab w:val="left" w:pos="993"/>
        </w:tabs>
        <w:spacing w:before="74" w:line="244" w:lineRule="auto"/>
        <w:ind w:left="993" w:right="731" w:hanging="993"/>
      </w:pPr>
      <w:r w:rsidRPr="005F73E8">
        <w:rPr>
          <w:w w:val="105"/>
        </w:rPr>
        <w:t>Table</w:t>
      </w:r>
      <w:r w:rsidRPr="005F73E8">
        <w:rPr>
          <w:spacing w:val="-4"/>
          <w:w w:val="105"/>
        </w:rPr>
        <w:t xml:space="preserve"> </w:t>
      </w:r>
      <w:r w:rsidRPr="005F73E8">
        <w:rPr>
          <w:w w:val="105"/>
        </w:rPr>
        <w:t>9:</w:t>
      </w:r>
      <w:r w:rsidRPr="005F73E8">
        <w:rPr>
          <w:w w:val="105"/>
        </w:rPr>
        <w:tab/>
        <w:t>Efficacy</w:t>
      </w:r>
      <w:r w:rsidRPr="005F73E8">
        <w:rPr>
          <w:spacing w:val="-11"/>
          <w:w w:val="105"/>
        </w:rPr>
        <w:t xml:space="preserve"> </w:t>
      </w:r>
      <w:r w:rsidRPr="005F73E8">
        <w:rPr>
          <w:w w:val="105"/>
        </w:rPr>
        <w:t>results</w:t>
      </w:r>
      <w:r w:rsidRPr="005F73E8">
        <w:rPr>
          <w:spacing w:val="-12"/>
          <w:w w:val="105"/>
        </w:rPr>
        <w:t xml:space="preserve"> </w:t>
      </w:r>
      <w:r w:rsidRPr="005F73E8">
        <w:rPr>
          <w:w w:val="105"/>
        </w:rPr>
        <w:t>from</w:t>
      </w:r>
      <w:r w:rsidRPr="005F73E8">
        <w:rPr>
          <w:spacing w:val="-12"/>
          <w:w w:val="105"/>
        </w:rPr>
        <w:t xml:space="preserve"> </w:t>
      </w:r>
      <w:r w:rsidRPr="005F73E8">
        <w:rPr>
          <w:w w:val="105"/>
        </w:rPr>
        <w:t>a</w:t>
      </w:r>
      <w:r w:rsidRPr="005F73E8">
        <w:rPr>
          <w:spacing w:val="-12"/>
          <w:w w:val="105"/>
        </w:rPr>
        <w:t xml:space="preserve"> </w:t>
      </w:r>
      <w:r w:rsidRPr="005F73E8">
        <w:rPr>
          <w:w w:val="105"/>
        </w:rPr>
        <w:t>phase</w:t>
      </w:r>
      <w:r w:rsidRPr="005F73E8">
        <w:rPr>
          <w:spacing w:val="-11"/>
          <w:w w:val="105"/>
        </w:rPr>
        <w:t xml:space="preserve"> </w:t>
      </w:r>
      <w:r w:rsidRPr="005F73E8">
        <w:rPr>
          <w:w w:val="105"/>
        </w:rPr>
        <w:t>3</w:t>
      </w:r>
      <w:r w:rsidRPr="005F73E8">
        <w:rPr>
          <w:spacing w:val="-12"/>
          <w:w w:val="105"/>
        </w:rPr>
        <w:t xml:space="preserve"> </w:t>
      </w:r>
      <w:r w:rsidRPr="005F73E8">
        <w:rPr>
          <w:w w:val="105"/>
        </w:rPr>
        <w:t>study</w:t>
      </w:r>
      <w:r w:rsidRPr="005F73E8">
        <w:rPr>
          <w:spacing w:val="-12"/>
          <w:w w:val="105"/>
        </w:rPr>
        <w:t xml:space="preserve"> </w:t>
      </w:r>
      <w:r w:rsidRPr="005F73E8">
        <w:rPr>
          <w:w w:val="105"/>
        </w:rPr>
        <w:t>of</w:t>
      </w:r>
      <w:r w:rsidRPr="005F73E8">
        <w:rPr>
          <w:spacing w:val="-12"/>
          <w:w w:val="105"/>
        </w:rPr>
        <w:t xml:space="preserve"> </w:t>
      </w:r>
      <w:r w:rsidRPr="005F73E8">
        <w:rPr>
          <w:w w:val="105"/>
        </w:rPr>
        <w:t>newly</w:t>
      </w:r>
      <w:r w:rsidRPr="005F73E8">
        <w:rPr>
          <w:spacing w:val="-12"/>
          <w:w w:val="105"/>
        </w:rPr>
        <w:t xml:space="preserve"> </w:t>
      </w:r>
      <w:r w:rsidRPr="005F73E8">
        <w:rPr>
          <w:w w:val="105"/>
        </w:rPr>
        <w:t>diagnosed</w:t>
      </w:r>
      <w:r w:rsidRPr="005F73E8">
        <w:rPr>
          <w:spacing w:val="-12"/>
          <w:w w:val="105"/>
        </w:rPr>
        <w:t xml:space="preserve"> </w:t>
      </w:r>
      <w:r w:rsidRPr="005F73E8">
        <w:rPr>
          <w:w w:val="105"/>
        </w:rPr>
        <w:t>patients</w:t>
      </w:r>
      <w:r w:rsidRPr="005F73E8">
        <w:rPr>
          <w:spacing w:val="-11"/>
          <w:w w:val="105"/>
        </w:rPr>
        <w:t xml:space="preserve"> </w:t>
      </w:r>
      <w:r w:rsidRPr="005F73E8">
        <w:rPr>
          <w:w w:val="105"/>
        </w:rPr>
        <w:t>with</w:t>
      </w:r>
      <w:r w:rsidRPr="005F73E8">
        <w:rPr>
          <w:spacing w:val="-12"/>
          <w:w w:val="105"/>
        </w:rPr>
        <w:t xml:space="preserve"> </w:t>
      </w:r>
      <w:r w:rsidRPr="005F73E8">
        <w:rPr>
          <w:w w:val="105"/>
        </w:rPr>
        <w:t>chronic</w:t>
      </w:r>
      <w:r w:rsidRPr="005F73E8">
        <w:rPr>
          <w:spacing w:val="-1"/>
          <w:w w:val="103"/>
        </w:rPr>
        <w:t xml:space="preserve"> </w:t>
      </w:r>
      <w:r w:rsidRPr="005F73E8">
        <w:rPr>
          <w:w w:val="105"/>
        </w:rPr>
        <w:t>phase</w:t>
      </w:r>
      <w:r w:rsidRPr="005F73E8">
        <w:rPr>
          <w:spacing w:val="-20"/>
          <w:w w:val="105"/>
        </w:rPr>
        <w:t xml:space="preserve"> </w:t>
      </w:r>
      <w:r w:rsidRPr="005F73E8">
        <w:rPr>
          <w:w w:val="105"/>
        </w:rPr>
        <w:t>CML</w:t>
      </w:r>
    </w:p>
    <w:tbl>
      <w:tblPr>
        <w:tblStyle w:val="TableNormal1"/>
        <w:tblW w:w="8805"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267"/>
        <w:gridCol w:w="2267"/>
        <w:gridCol w:w="1753"/>
      </w:tblGrid>
      <w:tr w:rsidR="005F73E8" w:rsidRPr="005F73E8" w:rsidTr="005F73E8">
        <w:trPr>
          <w:trHeight w:val="580"/>
        </w:trPr>
        <w:tc>
          <w:tcPr>
            <w:tcW w:w="2518" w:type="dxa"/>
            <w:tcBorders>
              <w:top w:val="single" w:sz="4" w:space="0" w:color="auto"/>
              <w:left w:val="nil"/>
              <w:bottom w:val="single" w:sz="4" w:space="0" w:color="auto"/>
              <w:right w:val="nil"/>
            </w:tcBorders>
          </w:tcPr>
          <w:p w:rsidR="005F73E8" w:rsidRPr="005F73E8" w:rsidRDefault="005F73E8">
            <w:pPr>
              <w:jc w:val="center"/>
              <w:rPr>
                <w:rFonts w:ascii="Times New Roman" w:hAnsi="Times New Roman" w:cs="Times New Roman"/>
                <w:sz w:val="20"/>
              </w:rPr>
            </w:pPr>
          </w:p>
        </w:tc>
        <w:tc>
          <w:tcPr>
            <w:tcW w:w="2268" w:type="dxa"/>
            <w:tcBorders>
              <w:top w:val="single" w:sz="4" w:space="0" w:color="auto"/>
              <w:left w:val="nil"/>
              <w:bottom w:val="single" w:sz="4" w:space="0" w:color="auto"/>
              <w:right w:val="nil"/>
            </w:tcBorders>
            <w:hideMark/>
          </w:tcPr>
          <w:p w:rsidR="005F73E8" w:rsidRPr="005F73E8" w:rsidRDefault="005F73E8">
            <w:pPr>
              <w:widowControl/>
              <w:adjustRightInd w:val="0"/>
              <w:jc w:val="center"/>
              <w:rPr>
                <w:rFonts w:ascii="Times New Roman" w:hAnsi="Times New Roman" w:cs="Times New Roman"/>
                <w:b/>
                <w:bCs/>
                <w:sz w:val="20"/>
                <w:szCs w:val="20"/>
                <w:lang w:val="de-DE"/>
              </w:rPr>
            </w:pPr>
            <w:r w:rsidRPr="005F73E8">
              <w:rPr>
                <w:rFonts w:ascii="Times New Roman" w:hAnsi="Times New Roman" w:cs="Times New Roman"/>
                <w:b/>
                <w:bCs/>
                <w:sz w:val="20"/>
                <w:szCs w:val="20"/>
                <w:lang w:val="de-DE"/>
              </w:rPr>
              <w:t>dasatinib</w:t>
            </w:r>
          </w:p>
          <w:p w:rsidR="005F73E8" w:rsidRPr="005F73E8" w:rsidRDefault="005F73E8">
            <w:pPr>
              <w:ind w:left="692" w:right="159" w:hanging="514"/>
              <w:jc w:val="center"/>
              <w:rPr>
                <w:rFonts w:ascii="Times New Roman" w:eastAsia="Times New Roman" w:hAnsi="Times New Roman" w:cs="Times New Roman"/>
                <w:b/>
                <w:sz w:val="22"/>
              </w:rPr>
            </w:pPr>
            <w:r w:rsidRPr="005F73E8">
              <w:rPr>
                <w:rFonts w:ascii="Times New Roman" w:hAnsi="Times New Roman" w:cs="Times New Roman"/>
                <w:b/>
                <w:bCs/>
                <w:sz w:val="20"/>
                <w:szCs w:val="20"/>
                <w:lang w:val="de-DE"/>
              </w:rPr>
              <w:t>n= 259</w:t>
            </w:r>
          </w:p>
        </w:tc>
        <w:tc>
          <w:tcPr>
            <w:tcW w:w="2268" w:type="dxa"/>
            <w:tcBorders>
              <w:top w:val="single" w:sz="4" w:space="0" w:color="auto"/>
              <w:left w:val="nil"/>
              <w:bottom w:val="single" w:sz="4" w:space="0" w:color="auto"/>
              <w:right w:val="nil"/>
            </w:tcBorders>
            <w:hideMark/>
          </w:tcPr>
          <w:p w:rsidR="005F73E8" w:rsidRPr="005F73E8" w:rsidRDefault="005F73E8">
            <w:pPr>
              <w:widowControl/>
              <w:adjustRightInd w:val="0"/>
              <w:jc w:val="center"/>
              <w:rPr>
                <w:rFonts w:ascii="Times New Roman" w:hAnsi="Times New Roman" w:cs="Times New Roman"/>
                <w:b/>
                <w:bCs/>
                <w:sz w:val="20"/>
                <w:szCs w:val="20"/>
                <w:lang w:val="de-DE"/>
              </w:rPr>
            </w:pPr>
            <w:r w:rsidRPr="005F73E8">
              <w:rPr>
                <w:rFonts w:ascii="Times New Roman" w:hAnsi="Times New Roman" w:cs="Times New Roman"/>
                <w:b/>
                <w:bCs/>
                <w:sz w:val="20"/>
                <w:szCs w:val="20"/>
                <w:lang w:val="de-DE"/>
              </w:rPr>
              <w:t>imatinib</w:t>
            </w:r>
          </w:p>
          <w:p w:rsidR="005F73E8" w:rsidRPr="005F73E8" w:rsidRDefault="005F73E8">
            <w:pPr>
              <w:ind w:left="692" w:right="159" w:hanging="514"/>
              <w:jc w:val="center"/>
              <w:rPr>
                <w:rFonts w:ascii="Times New Roman" w:eastAsia="Times New Roman" w:hAnsi="Times New Roman" w:cs="Times New Roman"/>
                <w:b/>
                <w:sz w:val="22"/>
              </w:rPr>
            </w:pPr>
            <w:r w:rsidRPr="005F73E8">
              <w:rPr>
                <w:rFonts w:ascii="Times New Roman" w:hAnsi="Times New Roman" w:cs="Times New Roman"/>
                <w:b/>
                <w:bCs/>
                <w:sz w:val="20"/>
                <w:szCs w:val="20"/>
                <w:lang w:val="de-DE"/>
              </w:rPr>
              <w:t>n= 260</w:t>
            </w:r>
          </w:p>
        </w:tc>
        <w:tc>
          <w:tcPr>
            <w:tcW w:w="1753" w:type="dxa"/>
            <w:tcBorders>
              <w:top w:val="single" w:sz="4" w:space="0" w:color="auto"/>
              <w:left w:val="nil"/>
              <w:bottom w:val="single" w:sz="4" w:space="0" w:color="auto"/>
              <w:right w:val="nil"/>
            </w:tcBorders>
            <w:hideMark/>
          </w:tcPr>
          <w:p w:rsidR="005F73E8" w:rsidRPr="005F73E8" w:rsidRDefault="005F73E8">
            <w:pPr>
              <w:spacing w:before="45"/>
              <w:ind w:left="692" w:right="164" w:hanging="514"/>
              <w:jc w:val="center"/>
              <w:rPr>
                <w:rFonts w:ascii="Times New Roman" w:hAnsi="Times New Roman" w:cs="Times New Roman"/>
                <w:b/>
              </w:rPr>
            </w:pPr>
            <w:r w:rsidRPr="005F73E8">
              <w:rPr>
                <w:rFonts w:ascii="Times New Roman" w:hAnsi="Times New Roman" w:cs="Times New Roman"/>
                <w:b/>
                <w:bCs/>
                <w:sz w:val="20"/>
                <w:szCs w:val="20"/>
                <w:lang w:val="de-DE"/>
              </w:rPr>
              <w:t>p-value</w:t>
            </w:r>
          </w:p>
        </w:tc>
      </w:tr>
      <w:tr w:rsidR="005F73E8" w:rsidRPr="005F73E8" w:rsidTr="005F73E8">
        <w:trPr>
          <w:trHeight w:val="338"/>
        </w:trPr>
        <w:tc>
          <w:tcPr>
            <w:tcW w:w="2518" w:type="dxa"/>
            <w:tcBorders>
              <w:top w:val="single" w:sz="4" w:space="0" w:color="auto"/>
              <w:left w:val="nil"/>
              <w:bottom w:val="single" w:sz="4" w:space="0" w:color="auto"/>
              <w:right w:val="nil"/>
            </w:tcBorders>
          </w:tcPr>
          <w:p w:rsidR="005F73E8" w:rsidRPr="005F73E8" w:rsidRDefault="005F73E8">
            <w:pPr>
              <w:rPr>
                <w:rFonts w:ascii="Times New Roman" w:hAnsi="Times New Roman" w:cs="Times New Roman"/>
                <w:sz w:val="20"/>
              </w:rPr>
            </w:pPr>
          </w:p>
        </w:tc>
        <w:tc>
          <w:tcPr>
            <w:tcW w:w="6289" w:type="dxa"/>
            <w:gridSpan w:val="3"/>
            <w:tcBorders>
              <w:top w:val="single" w:sz="4" w:space="0" w:color="auto"/>
              <w:left w:val="nil"/>
              <w:bottom w:val="single" w:sz="4" w:space="0" w:color="auto"/>
              <w:right w:val="nil"/>
            </w:tcBorders>
            <w:hideMark/>
          </w:tcPr>
          <w:p w:rsidR="005F73E8" w:rsidRPr="005F73E8" w:rsidRDefault="005F73E8">
            <w:pPr>
              <w:spacing w:before="45"/>
              <w:ind w:left="692" w:right="164" w:hanging="514"/>
              <w:jc w:val="center"/>
              <w:rPr>
                <w:rFonts w:ascii="Times New Roman" w:hAnsi="Times New Roman" w:cs="Times New Roman"/>
                <w:b/>
                <w:sz w:val="22"/>
              </w:rPr>
            </w:pPr>
            <w:r w:rsidRPr="005F73E8">
              <w:rPr>
                <w:rFonts w:ascii="Times New Roman" w:hAnsi="Times New Roman" w:cs="Times New Roman"/>
                <w:b/>
                <w:bCs/>
                <w:sz w:val="20"/>
                <w:szCs w:val="20"/>
                <w:lang w:val="de-DE"/>
              </w:rPr>
              <w:t>Response rate (95% CI)</w:t>
            </w:r>
          </w:p>
        </w:tc>
      </w:tr>
      <w:tr w:rsidR="005F73E8" w:rsidRPr="005F73E8" w:rsidTr="005F73E8">
        <w:trPr>
          <w:trHeight w:val="580"/>
        </w:trPr>
        <w:tc>
          <w:tcPr>
            <w:tcW w:w="2518" w:type="dxa"/>
            <w:tcBorders>
              <w:top w:val="single" w:sz="4" w:space="0" w:color="auto"/>
              <w:left w:val="nil"/>
              <w:bottom w:val="nil"/>
              <w:right w:val="nil"/>
            </w:tcBorders>
            <w:hideMark/>
          </w:tcPr>
          <w:p w:rsidR="005F73E8" w:rsidRPr="005F73E8" w:rsidRDefault="005F73E8">
            <w:pPr>
              <w:widowControl/>
              <w:adjustRightInd w:val="0"/>
              <w:spacing w:after="120"/>
              <w:jc w:val="center"/>
              <w:rPr>
                <w:rFonts w:ascii="Times New Roman" w:hAnsi="Times New Roman" w:cs="Times New Roman"/>
                <w:b/>
                <w:bCs/>
                <w:sz w:val="20"/>
                <w:szCs w:val="20"/>
                <w:lang w:val="de-DE"/>
              </w:rPr>
            </w:pPr>
            <w:r w:rsidRPr="005F73E8">
              <w:rPr>
                <w:rFonts w:ascii="Times New Roman" w:hAnsi="Times New Roman" w:cs="Times New Roman"/>
                <w:b/>
                <w:bCs/>
                <w:sz w:val="20"/>
                <w:szCs w:val="20"/>
                <w:lang w:val="de-DE"/>
              </w:rPr>
              <w:t>Cytogenetic response</w:t>
            </w:r>
          </w:p>
          <w:p w:rsidR="005F73E8" w:rsidRPr="005F73E8" w:rsidRDefault="005F73E8">
            <w:pPr>
              <w:spacing w:after="120"/>
              <w:jc w:val="center"/>
              <w:rPr>
                <w:rFonts w:ascii="Times New Roman" w:eastAsia="Times New Roman" w:hAnsi="Times New Roman" w:cs="Times New Roman"/>
                <w:sz w:val="20"/>
              </w:rPr>
            </w:pPr>
            <w:r w:rsidRPr="005F73E8">
              <w:rPr>
                <w:rFonts w:ascii="Times New Roman" w:hAnsi="Times New Roman" w:cs="Times New Roman"/>
                <w:b/>
                <w:bCs/>
                <w:sz w:val="20"/>
                <w:szCs w:val="20"/>
                <w:lang w:val="de-DE"/>
              </w:rPr>
              <w:t>within 12 months</w:t>
            </w:r>
          </w:p>
        </w:tc>
        <w:tc>
          <w:tcPr>
            <w:tcW w:w="6289" w:type="dxa"/>
            <w:gridSpan w:val="3"/>
            <w:tcBorders>
              <w:top w:val="single" w:sz="4" w:space="0" w:color="auto"/>
              <w:left w:val="nil"/>
              <w:bottom w:val="nil"/>
              <w:right w:val="nil"/>
            </w:tcBorders>
          </w:tcPr>
          <w:p w:rsidR="005F73E8" w:rsidRPr="005F73E8" w:rsidRDefault="005F73E8">
            <w:pPr>
              <w:spacing w:before="45"/>
              <w:ind w:left="692" w:right="164" w:hanging="514"/>
              <w:rPr>
                <w:rFonts w:ascii="Times New Roman" w:hAnsi="Times New Roman" w:cs="Times New Roman"/>
                <w:b/>
                <w:sz w:val="22"/>
              </w:rPr>
            </w:pPr>
          </w:p>
        </w:tc>
      </w:tr>
      <w:tr w:rsidR="005F73E8" w:rsidRPr="005F73E8" w:rsidTr="005F73E8">
        <w:trPr>
          <w:trHeight w:val="394"/>
        </w:trPr>
        <w:tc>
          <w:tcPr>
            <w:tcW w:w="2518" w:type="dxa"/>
            <w:tcBorders>
              <w:top w:val="nil"/>
              <w:left w:val="nil"/>
              <w:bottom w:val="nil"/>
              <w:right w:val="nil"/>
            </w:tcBorders>
            <w:hideMark/>
          </w:tcPr>
          <w:p w:rsidR="005F73E8" w:rsidRPr="005F73E8" w:rsidRDefault="005F73E8">
            <w:pPr>
              <w:widowControl/>
              <w:adjustRightInd w:val="0"/>
              <w:jc w:val="center"/>
              <w:rPr>
                <w:rFonts w:ascii="Times New Roman" w:hAnsi="Times New Roman" w:cs="Times New Roman"/>
                <w:b/>
                <w:bCs/>
                <w:sz w:val="20"/>
                <w:szCs w:val="20"/>
                <w:lang w:val="de-DE"/>
              </w:rPr>
            </w:pPr>
            <w:r w:rsidRPr="005F73E8">
              <w:rPr>
                <w:rFonts w:ascii="Times New Roman" w:hAnsi="Times New Roman" w:cs="Times New Roman"/>
                <w:sz w:val="20"/>
                <w:szCs w:val="20"/>
              </w:rPr>
              <w:t>cCCyR</w:t>
            </w:r>
            <w:r w:rsidRPr="005F73E8">
              <w:rPr>
                <w:rFonts w:ascii="Times New Roman" w:hAnsi="Times New Roman" w:cs="Times New Roman"/>
                <w:position w:val="10"/>
                <w:sz w:val="13"/>
                <w:szCs w:val="13"/>
              </w:rPr>
              <w:t>a</w:t>
            </w:r>
          </w:p>
        </w:tc>
        <w:tc>
          <w:tcPr>
            <w:tcW w:w="2268" w:type="dxa"/>
            <w:tcBorders>
              <w:top w:val="nil"/>
              <w:left w:val="nil"/>
              <w:bottom w:val="nil"/>
              <w:right w:val="nil"/>
            </w:tcBorders>
            <w:hideMark/>
          </w:tcPr>
          <w:p w:rsidR="005F73E8" w:rsidRPr="005F73E8" w:rsidRDefault="005F73E8">
            <w:pPr>
              <w:spacing w:before="45"/>
              <w:ind w:left="692" w:right="159" w:hanging="514"/>
              <w:jc w:val="center"/>
              <w:rPr>
                <w:rFonts w:ascii="Times New Roman" w:eastAsia="Times New Roman" w:hAnsi="Times New Roman" w:cs="Times New Roman"/>
                <w:b/>
                <w:sz w:val="22"/>
              </w:rPr>
            </w:pPr>
            <w:r w:rsidRPr="005F73E8">
              <w:rPr>
                <w:rFonts w:ascii="Times New Roman" w:hAnsi="Times New Roman" w:cs="Times New Roman"/>
                <w:sz w:val="20"/>
                <w:szCs w:val="20"/>
                <w:lang w:val="de-DE"/>
              </w:rPr>
              <w:t>76.8% (71.2–81.8)</w:t>
            </w:r>
          </w:p>
        </w:tc>
        <w:tc>
          <w:tcPr>
            <w:tcW w:w="2268" w:type="dxa"/>
            <w:tcBorders>
              <w:top w:val="nil"/>
              <w:left w:val="nil"/>
              <w:bottom w:val="nil"/>
              <w:right w:val="nil"/>
            </w:tcBorders>
            <w:hideMark/>
          </w:tcPr>
          <w:p w:rsidR="005F73E8" w:rsidRPr="005F73E8" w:rsidRDefault="005F73E8">
            <w:pPr>
              <w:spacing w:before="45"/>
              <w:ind w:left="692" w:right="159" w:hanging="514"/>
              <w:jc w:val="center"/>
              <w:rPr>
                <w:rFonts w:ascii="Times New Roman" w:hAnsi="Times New Roman" w:cs="Times New Roman"/>
                <w:b/>
              </w:rPr>
            </w:pPr>
            <w:r w:rsidRPr="005F73E8">
              <w:rPr>
                <w:rFonts w:ascii="Times New Roman" w:hAnsi="Times New Roman" w:cs="Times New Roman"/>
                <w:sz w:val="20"/>
                <w:szCs w:val="20"/>
                <w:lang w:val="de-DE"/>
              </w:rPr>
              <w:t>66.2% (60.1–71.9)</w:t>
            </w:r>
          </w:p>
        </w:tc>
        <w:tc>
          <w:tcPr>
            <w:tcW w:w="1753" w:type="dxa"/>
            <w:tcBorders>
              <w:top w:val="nil"/>
              <w:left w:val="nil"/>
              <w:bottom w:val="nil"/>
              <w:right w:val="nil"/>
            </w:tcBorders>
            <w:hideMark/>
          </w:tcPr>
          <w:p w:rsidR="005F73E8" w:rsidRPr="005F73E8" w:rsidRDefault="005F73E8">
            <w:pPr>
              <w:spacing w:before="45"/>
              <w:ind w:left="692" w:right="164" w:hanging="514"/>
              <w:jc w:val="center"/>
              <w:rPr>
                <w:rFonts w:ascii="Times New Roman" w:hAnsi="Times New Roman" w:cs="Times New Roman"/>
                <w:b/>
              </w:rPr>
            </w:pPr>
            <w:r w:rsidRPr="005F73E8">
              <w:rPr>
                <w:rFonts w:ascii="Times New Roman" w:hAnsi="Times New Roman" w:cs="Times New Roman"/>
                <w:sz w:val="20"/>
                <w:szCs w:val="20"/>
                <w:lang w:val="de-DE"/>
              </w:rPr>
              <w:t>p&lt; 0.007*</w:t>
            </w:r>
          </w:p>
        </w:tc>
      </w:tr>
      <w:tr w:rsidR="005F73E8" w:rsidRPr="005F73E8" w:rsidTr="005F73E8">
        <w:trPr>
          <w:trHeight w:val="413"/>
        </w:trPr>
        <w:tc>
          <w:tcPr>
            <w:tcW w:w="2518" w:type="dxa"/>
            <w:tcBorders>
              <w:top w:val="nil"/>
              <w:left w:val="nil"/>
              <w:bottom w:val="nil"/>
              <w:right w:val="nil"/>
            </w:tcBorders>
            <w:hideMark/>
          </w:tcPr>
          <w:p w:rsidR="005F73E8" w:rsidRPr="005F73E8" w:rsidRDefault="005F73E8">
            <w:pPr>
              <w:kinsoku w:val="0"/>
              <w:overflowPunct w:val="0"/>
              <w:ind w:left="117"/>
              <w:jc w:val="center"/>
              <w:rPr>
                <w:rFonts w:ascii="Times New Roman" w:hAnsi="Times New Roman" w:cs="Times New Roman"/>
                <w:position w:val="10"/>
                <w:sz w:val="20"/>
                <w:szCs w:val="20"/>
              </w:rPr>
            </w:pPr>
            <w:r w:rsidRPr="005F73E8">
              <w:rPr>
                <w:rFonts w:ascii="Times New Roman" w:hAnsi="Times New Roman" w:cs="Times New Roman"/>
                <w:sz w:val="20"/>
                <w:szCs w:val="20"/>
              </w:rPr>
              <w:lastRenderedPageBreak/>
              <w:t>CCyR</w:t>
            </w:r>
            <w:r w:rsidRPr="005F73E8">
              <w:rPr>
                <w:rFonts w:ascii="Times New Roman" w:hAnsi="Times New Roman" w:cs="Times New Roman"/>
                <w:position w:val="10"/>
                <w:sz w:val="13"/>
                <w:szCs w:val="13"/>
              </w:rPr>
              <w:t>b</w:t>
            </w:r>
          </w:p>
        </w:tc>
        <w:tc>
          <w:tcPr>
            <w:tcW w:w="2268" w:type="dxa"/>
            <w:tcBorders>
              <w:top w:val="nil"/>
              <w:left w:val="nil"/>
              <w:bottom w:val="nil"/>
              <w:right w:val="nil"/>
            </w:tcBorders>
            <w:hideMark/>
          </w:tcPr>
          <w:p w:rsidR="005F73E8" w:rsidRPr="005F73E8" w:rsidRDefault="005F73E8">
            <w:pPr>
              <w:spacing w:before="45"/>
              <w:ind w:left="692" w:right="159" w:hanging="514"/>
              <w:jc w:val="center"/>
              <w:rPr>
                <w:rFonts w:ascii="Times New Roman" w:hAnsi="Times New Roman" w:cs="Times New Roman"/>
                <w:sz w:val="20"/>
                <w:szCs w:val="20"/>
                <w:lang w:val="de-DE"/>
              </w:rPr>
            </w:pPr>
            <w:r w:rsidRPr="005F73E8">
              <w:rPr>
                <w:rFonts w:ascii="Times New Roman" w:hAnsi="Times New Roman" w:cs="Times New Roman"/>
                <w:sz w:val="20"/>
                <w:szCs w:val="20"/>
                <w:lang w:val="de-DE"/>
              </w:rPr>
              <w:t>85.3% (80.4-89.4)</w:t>
            </w:r>
          </w:p>
        </w:tc>
        <w:tc>
          <w:tcPr>
            <w:tcW w:w="2268" w:type="dxa"/>
            <w:tcBorders>
              <w:top w:val="nil"/>
              <w:left w:val="nil"/>
              <w:bottom w:val="nil"/>
              <w:right w:val="nil"/>
            </w:tcBorders>
            <w:hideMark/>
          </w:tcPr>
          <w:p w:rsidR="005F73E8" w:rsidRPr="005F73E8" w:rsidRDefault="005F73E8">
            <w:pPr>
              <w:spacing w:before="45"/>
              <w:ind w:left="692" w:right="159" w:hanging="514"/>
              <w:jc w:val="center"/>
              <w:rPr>
                <w:rFonts w:ascii="Times New Roman" w:hAnsi="Times New Roman" w:cs="Times New Roman"/>
                <w:sz w:val="20"/>
                <w:szCs w:val="20"/>
                <w:lang w:val="de-DE"/>
              </w:rPr>
            </w:pPr>
            <w:r w:rsidRPr="005F73E8">
              <w:rPr>
                <w:rFonts w:ascii="Times New Roman" w:hAnsi="Times New Roman" w:cs="Times New Roman"/>
                <w:sz w:val="20"/>
                <w:szCs w:val="20"/>
                <w:lang w:val="de-DE"/>
              </w:rPr>
              <w:t>73.5% (67.7-78.7)</w:t>
            </w:r>
          </w:p>
        </w:tc>
        <w:tc>
          <w:tcPr>
            <w:tcW w:w="1753" w:type="dxa"/>
            <w:tcBorders>
              <w:top w:val="nil"/>
              <w:left w:val="nil"/>
              <w:bottom w:val="nil"/>
              <w:right w:val="nil"/>
            </w:tcBorders>
            <w:hideMark/>
          </w:tcPr>
          <w:p w:rsidR="005F73E8" w:rsidRPr="005F73E8" w:rsidRDefault="005F73E8">
            <w:pPr>
              <w:kinsoku w:val="0"/>
              <w:overflowPunct w:val="0"/>
              <w:ind w:left="117"/>
              <w:jc w:val="center"/>
              <w:rPr>
                <w:rFonts w:ascii="Times New Roman" w:eastAsia="Times New Roman" w:hAnsi="Times New Roman" w:cs="Times New Roman"/>
                <w:w w:val="166"/>
                <w:sz w:val="22"/>
              </w:rPr>
            </w:pPr>
            <w:r w:rsidRPr="005F73E8">
              <w:rPr>
                <w:rFonts w:ascii="Cambria Math" w:hAnsi="Cambria Math" w:cs="Cambria Math"/>
                <w:w w:val="166"/>
              </w:rPr>
              <w:t>⎯</w:t>
            </w:r>
          </w:p>
        </w:tc>
      </w:tr>
      <w:tr w:rsidR="005F73E8" w:rsidRPr="005F73E8" w:rsidTr="005F73E8">
        <w:trPr>
          <w:trHeight w:val="413"/>
        </w:trPr>
        <w:tc>
          <w:tcPr>
            <w:tcW w:w="2518" w:type="dxa"/>
            <w:tcBorders>
              <w:top w:val="nil"/>
              <w:left w:val="nil"/>
              <w:bottom w:val="nil"/>
              <w:right w:val="nil"/>
            </w:tcBorders>
            <w:hideMark/>
          </w:tcPr>
          <w:p w:rsidR="005F73E8" w:rsidRPr="005F73E8" w:rsidRDefault="005F73E8">
            <w:pPr>
              <w:widowControl/>
              <w:adjustRightInd w:val="0"/>
              <w:jc w:val="center"/>
              <w:rPr>
                <w:rFonts w:ascii="Times New Roman" w:hAnsi="Times New Roman" w:cs="Times New Roman"/>
                <w:sz w:val="20"/>
                <w:szCs w:val="20"/>
                <w:lang w:val="de-DE"/>
              </w:rPr>
            </w:pPr>
            <w:r w:rsidRPr="005F73E8">
              <w:rPr>
                <w:rFonts w:ascii="Times New Roman" w:hAnsi="Times New Roman" w:cs="Times New Roman"/>
                <w:b/>
                <w:bCs/>
                <w:sz w:val="20"/>
                <w:szCs w:val="20"/>
                <w:lang w:val="de-DE"/>
              </w:rPr>
              <w:t>within 24 months</w:t>
            </w:r>
          </w:p>
        </w:tc>
        <w:tc>
          <w:tcPr>
            <w:tcW w:w="6289" w:type="dxa"/>
            <w:gridSpan w:val="3"/>
            <w:tcBorders>
              <w:top w:val="nil"/>
              <w:left w:val="nil"/>
              <w:bottom w:val="nil"/>
              <w:right w:val="nil"/>
            </w:tcBorders>
          </w:tcPr>
          <w:p w:rsidR="005F73E8" w:rsidRPr="005F73E8" w:rsidRDefault="005F73E8">
            <w:pPr>
              <w:kinsoku w:val="0"/>
              <w:overflowPunct w:val="0"/>
              <w:ind w:left="117"/>
              <w:jc w:val="center"/>
              <w:rPr>
                <w:rFonts w:ascii="Times New Roman" w:eastAsia="Times New Roman" w:hAnsi="Times New Roman" w:cs="Times New Roman"/>
                <w:w w:val="166"/>
                <w:sz w:val="22"/>
              </w:rPr>
            </w:pPr>
          </w:p>
        </w:tc>
      </w:tr>
      <w:tr w:rsidR="005F73E8" w:rsidRPr="005F73E8" w:rsidTr="005F73E8">
        <w:trPr>
          <w:trHeight w:val="413"/>
        </w:trPr>
        <w:tc>
          <w:tcPr>
            <w:tcW w:w="2518" w:type="dxa"/>
            <w:tcBorders>
              <w:top w:val="nil"/>
              <w:left w:val="nil"/>
              <w:bottom w:val="nil"/>
              <w:right w:val="nil"/>
            </w:tcBorders>
            <w:hideMark/>
          </w:tcPr>
          <w:p w:rsidR="005F73E8" w:rsidRPr="005F73E8" w:rsidRDefault="005F73E8">
            <w:pPr>
              <w:widowControl/>
              <w:adjustRightInd w:val="0"/>
              <w:jc w:val="center"/>
              <w:rPr>
                <w:rFonts w:ascii="Times New Roman" w:hAnsi="Times New Roman" w:cs="Times New Roman"/>
                <w:b/>
                <w:bCs/>
                <w:sz w:val="20"/>
                <w:szCs w:val="20"/>
                <w:lang w:val="de-DE"/>
              </w:rPr>
            </w:pPr>
            <w:r w:rsidRPr="005F73E8">
              <w:rPr>
                <w:rFonts w:ascii="Times New Roman" w:hAnsi="Times New Roman" w:cs="Times New Roman"/>
                <w:sz w:val="20"/>
                <w:szCs w:val="20"/>
              </w:rPr>
              <w:t>cCCyR</w:t>
            </w:r>
            <w:r w:rsidRPr="005F73E8">
              <w:rPr>
                <w:rFonts w:ascii="Times New Roman" w:hAnsi="Times New Roman" w:cs="Times New Roman"/>
                <w:position w:val="10"/>
                <w:sz w:val="13"/>
                <w:szCs w:val="13"/>
              </w:rPr>
              <w:t>a</w:t>
            </w:r>
          </w:p>
        </w:tc>
        <w:tc>
          <w:tcPr>
            <w:tcW w:w="2268" w:type="dxa"/>
            <w:tcBorders>
              <w:top w:val="nil"/>
              <w:left w:val="nil"/>
              <w:bottom w:val="nil"/>
              <w:right w:val="nil"/>
            </w:tcBorders>
            <w:hideMark/>
          </w:tcPr>
          <w:p w:rsidR="005F73E8" w:rsidRPr="005F73E8" w:rsidRDefault="005F73E8">
            <w:pPr>
              <w:spacing w:before="45"/>
              <w:ind w:left="692" w:right="159" w:hanging="514"/>
              <w:jc w:val="center"/>
              <w:rPr>
                <w:rFonts w:ascii="Times New Roman" w:hAnsi="Times New Roman" w:cs="Times New Roman"/>
                <w:sz w:val="20"/>
                <w:szCs w:val="20"/>
                <w:lang w:val="de-DE"/>
              </w:rPr>
            </w:pPr>
            <w:r w:rsidRPr="005F73E8">
              <w:rPr>
                <w:rFonts w:ascii="Times New Roman" w:hAnsi="Times New Roman" w:cs="Times New Roman"/>
                <w:sz w:val="20"/>
                <w:szCs w:val="20"/>
                <w:lang w:val="de-DE"/>
              </w:rPr>
              <w:t>80.3%</w:t>
            </w:r>
          </w:p>
        </w:tc>
        <w:tc>
          <w:tcPr>
            <w:tcW w:w="2268" w:type="dxa"/>
            <w:tcBorders>
              <w:top w:val="nil"/>
              <w:left w:val="nil"/>
              <w:bottom w:val="nil"/>
              <w:right w:val="nil"/>
            </w:tcBorders>
            <w:hideMark/>
          </w:tcPr>
          <w:p w:rsidR="005F73E8" w:rsidRPr="005F73E8" w:rsidRDefault="005F73E8">
            <w:pPr>
              <w:spacing w:before="45"/>
              <w:ind w:left="692" w:right="159" w:hanging="514"/>
              <w:jc w:val="center"/>
              <w:rPr>
                <w:rFonts w:ascii="Times New Roman" w:hAnsi="Times New Roman" w:cs="Times New Roman"/>
                <w:sz w:val="20"/>
                <w:szCs w:val="20"/>
                <w:lang w:val="de-DE"/>
              </w:rPr>
            </w:pPr>
            <w:r w:rsidRPr="005F73E8">
              <w:rPr>
                <w:rFonts w:ascii="Times New Roman" w:hAnsi="Times New Roman" w:cs="Times New Roman"/>
                <w:sz w:val="20"/>
                <w:szCs w:val="20"/>
                <w:lang w:val="de-DE"/>
              </w:rPr>
              <w:t>74.2%</w:t>
            </w:r>
          </w:p>
        </w:tc>
        <w:tc>
          <w:tcPr>
            <w:tcW w:w="1753" w:type="dxa"/>
            <w:tcBorders>
              <w:top w:val="nil"/>
              <w:left w:val="nil"/>
              <w:bottom w:val="nil"/>
              <w:right w:val="nil"/>
            </w:tcBorders>
            <w:hideMark/>
          </w:tcPr>
          <w:p w:rsidR="005F73E8" w:rsidRPr="005F73E8" w:rsidRDefault="005F73E8">
            <w:pPr>
              <w:kinsoku w:val="0"/>
              <w:overflowPunct w:val="0"/>
              <w:ind w:left="117"/>
              <w:jc w:val="center"/>
              <w:rPr>
                <w:rFonts w:ascii="Times New Roman" w:eastAsia="Times New Roman" w:hAnsi="Times New Roman" w:cs="Times New Roman"/>
                <w:w w:val="166"/>
                <w:sz w:val="22"/>
              </w:rPr>
            </w:pPr>
            <w:r w:rsidRPr="005F73E8">
              <w:rPr>
                <w:rFonts w:ascii="Cambria Math" w:hAnsi="Cambria Math" w:cs="Cambria Math"/>
                <w:w w:val="166"/>
              </w:rPr>
              <w:t>⎯</w:t>
            </w:r>
          </w:p>
        </w:tc>
      </w:tr>
      <w:tr w:rsidR="005F73E8" w:rsidRPr="005F73E8" w:rsidTr="005F73E8">
        <w:trPr>
          <w:trHeight w:val="413"/>
        </w:trPr>
        <w:tc>
          <w:tcPr>
            <w:tcW w:w="2518" w:type="dxa"/>
            <w:tcBorders>
              <w:top w:val="nil"/>
              <w:left w:val="nil"/>
              <w:bottom w:val="nil"/>
              <w:right w:val="nil"/>
            </w:tcBorders>
            <w:hideMark/>
          </w:tcPr>
          <w:p w:rsidR="005F73E8" w:rsidRPr="005F73E8" w:rsidRDefault="005F73E8">
            <w:pPr>
              <w:widowControl/>
              <w:adjustRightInd w:val="0"/>
              <w:jc w:val="center"/>
              <w:rPr>
                <w:rFonts w:ascii="Times New Roman" w:hAnsi="Times New Roman" w:cs="Times New Roman"/>
                <w:sz w:val="20"/>
                <w:szCs w:val="20"/>
                <w:lang w:val="de-DE"/>
              </w:rPr>
            </w:pPr>
            <w:r w:rsidRPr="005F73E8">
              <w:rPr>
                <w:rFonts w:ascii="Times New Roman" w:hAnsi="Times New Roman" w:cs="Times New Roman"/>
                <w:sz w:val="20"/>
                <w:szCs w:val="20"/>
              </w:rPr>
              <w:t>CCyR</w:t>
            </w:r>
            <w:r w:rsidRPr="005F73E8">
              <w:rPr>
                <w:rFonts w:ascii="Times New Roman" w:hAnsi="Times New Roman" w:cs="Times New Roman"/>
                <w:position w:val="10"/>
                <w:sz w:val="13"/>
                <w:szCs w:val="13"/>
              </w:rPr>
              <w:t>b</w:t>
            </w:r>
          </w:p>
        </w:tc>
        <w:tc>
          <w:tcPr>
            <w:tcW w:w="2268" w:type="dxa"/>
            <w:tcBorders>
              <w:top w:val="nil"/>
              <w:left w:val="nil"/>
              <w:bottom w:val="nil"/>
              <w:right w:val="nil"/>
            </w:tcBorders>
            <w:hideMark/>
          </w:tcPr>
          <w:p w:rsidR="005F73E8" w:rsidRPr="005F73E8" w:rsidRDefault="005F73E8">
            <w:pPr>
              <w:spacing w:before="45"/>
              <w:ind w:left="692" w:right="159" w:hanging="514"/>
              <w:jc w:val="center"/>
              <w:rPr>
                <w:rFonts w:ascii="Times New Roman" w:hAnsi="Times New Roman" w:cs="Times New Roman"/>
                <w:sz w:val="20"/>
                <w:szCs w:val="20"/>
                <w:lang w:val="de-DE"/>
              </w:rPr>
            </w:pPr>
            <w:r w:rsidRPr="005F73E8">
              <w:rPr>
                <w:rFonts w:ascii="Times New Roman" w:hAnsi="Times New Roman" w:cs="Times New Roman"/>
                <w:sz w:val="20"/>
                <w:szCs w:val="20"/>
                <w:lang w:val="de-DE"/>
              </w:rPr>
              <w:t>87.3%</w:t>
            </w:r>
          </w:p>
        </w:tc>
        <w:tc>
          <w:tcPr>
            <w:tcW w:w="2268" w:type="dxa"/>
            <w:tcBorders>
              <w:top w:val="nil"/>
              <w:left w:val="nil"/>
              <w:bottom w:val="nil"/>
              <w:right w:val="nil"/>
            </w:tcBorders>
            <w:hideMark/>
          </w:tcPr>
          <w:p w:rsidR="005F73E8" w:rsidRPr="005F73E8" w:rsidRDefault="005F73E8">
            <w:pPr>
              <w:spacing w:before="45"/>
              <w:ind w:left="692" w:right="159" w:hanging="514"/>
              <w:jc w:val="center"/>
              <w:rPr>
                <w:rFonts w:ascii="Times New Roman" w:hAnsi="Times New Roman" w:cs="Times New Roman"/>
                <w:sz w:val="20"/>
                <w:szCs w:val="20"/>
                <w:lang w:val="de-DE"/>
              </w:rPr>
            </w:pPr>
            <w:r w:rsidRPr="005F73E8">
              <w:rPr>
                <w:rFonts w:ascii="Times New Roman" w:hAnsi="Times New Roman" w:cs="Times New Roman"/>
                <w:sz w:val="20"/>
                <w:szCs w:val="20"/>
                <w:lang w:val="de-DE"/>
              </w:rPr>
              <w:t>82.3%</w:t>
            </w:r>
          </w:p>
        </w:tc>
        <w:tc>
          <w:tcPr>
            <w:tcW w:w="1753" w:type="dxa"/>
            <w:tcBorders>
              <w:top w:val="nil"/>
              <w:left w:val="nil"/>
              <w:bottom w:val="nil"/>
              <w:right w:val="nil"/>
            </w:tcBorders>
            <w:hideMark/>
          </w:tcPr>
          <w:p w:rsidR="005F73E8" w:rsidRPr="005F73E8" w:rsidRDefault="005F73E8">
            <w:pPr>
              <w:kinsoku w:val="0"/>
              <w:overflowPunct w:val="0"/>
              <w:ind w:left="117"/>
              <w:jc w:val="center"/>
              <w:rPr>
                <w:rFonts w:ascii="Times New Roman" w:eastAsia="Times New Roman" w:hAnsi="Times New Roman" w:cs="Times New Roman"/>
                <w:w w:val="166"/>
                <w:sz w:val="22"/>
              </w:rPr>
            </w:pPr>
            <w:r w:rsidRPr="005F73E8">
              <w:rPr>
                <w:rFonts w:ascii="Cambria Math" w:hAnsi="Cambria Math" w:cs="Cambria Math"/>
                <w:w w:val="166"/>
              </w:rPr>
              <w:t>⎯</w:t>
            </w:r>
          </w:p>
        </w:tc>
      </w:tr>
      <w:tr w:rsidR="005F73E8" w:rsidRPr="005F73E8" w:rsidTr="005F73E8">
        <w:trPr>
          <w:trHeight w:val="413"/>
        </w:trPr>
        <w:tc>
          <w:tcPr>
            <w:tcW w:w="2518" w:type="dxa"/>
            <w:tcBorders>
              <w:top w:val="nil"/>
              <w:left w:val="nil"/>
              <w:bottom w:val="nil"/>
              <w:right w:val="nil"/>
            </w:tcBorders>
            <w:hideMark/>
          </w:tcPr>
          <w:p w:rsidR="005F73E8" w:rsidRPr="005F73E8" w:rsidRDefault="005F73E8">
            <w:pPr>
              <w:widowControl/>
              <w:adjustRightInd w:val="0"/>
              <w:jc w:val="center"/>
              <w:rPr>
                <w:rFonts w:ascii="Times New Roman" w:hAnsi="Times New Roman" w:cs="Times New Roman"/>
                <w:sz w:val="20"/>
                <w:szCs w:val="20"/>
                <w:lang w:val="de-DE"/>
              </w:rPr>
            </w:pPr>
            <w:r w:rsidRPr="005F73E8">
              <w:rPr>
                <w:rFonts w:ascii="Times New Roman" w:hAnsi="Times New Roman" w:cs="Times New Roman"/>
                <w:b/>
                <w:bCs/>
                <w:sz w:val="20"/>
                <w:szCs w:val="20"/>
                <w:lang w:val="de-DE"/>
              </w:rPr>
              <w:t>within 36 months</w:t>
            </w:r>
          </w:p>
        </w:tc>
        <w:tc>
          <w:tcPr>
            <w:tcW w:w="6289" w:type="dxa"/>
            <w:gridSpan w:val="3"/>
            <w:tcBorders>
              <w:top w:val="nil"/>
              <w:left w:val="nil"/>
              <w:bottom w:val="nil"/>
              <w:right w:val="nil"/>
            </w:tcBorders>
          </w:tcPr>
          <w:p w:rsidR="005F73E8" w:rsidRPr="005F73E8" w:rsidRDefault="005F73E8">
            <w:pPr>
              <w:kinsoku w:val="0"/>
              <w:overflowPunct w:val="0"/>
              <w:ind w:left="117"/>
              <w:jc w:val="center"/>
              <w:rPr>
                <w:rFonts w:ascii="Times New Roman" w:eastAsia="Times New Roman" w:hAnsi="Times New Roman" w:cs="Times New Roman"/>
                <w:w w:val="166"/>
                <w:sz w:val="22"/>
              </w:rPr>
            </w:pPr>
          </w:p>
        </w:tc>
      </w:tr>
      <w:tr w:rsidR="005F73E8" w:rsidRPr="005F73E8" w:rsidTr="005F73E8">
        <w:trPr>
          <w:trHeight w:val="413"/>
        </w:trPr>
        <w:tc>
          <w:tcPr>
            <w:tcW w:w="2518" w:type="dxa"/>
            <w:tcBorders>
              <w:top w:val="nil"/>
              <w:left w:val="nil"/>
              <w:bottom w:val="nil"/>
              <w:right w:val="nil"/>
            </w:tcBorders>
            <w:hideMark/>
          </w:tcPr>
          <w:p w:rsidR="005F73E8" w:rsidRPr="005F73E8" w:rsidRDefault="005F73E8">
            <w:pPr>
              <w:widowControl/>
              <w:adjustRightInd w:val="0"/>
              <w:jc w:val="center"/>
              <w:rPr>
                <w:rFonts w:ascii="Times New Roman" w:hAnsi="Times New Roman" w:cs="Times New Roman"/>
                <w:b/>
                <w:bCs/>
                <w:sz w:val="20"/>
                <w:szCs w:val="20"/>
                <w:lang w:val="de-DE"/>
              </w:rPr>
            </w:pPr>
            <w:r w:rsidRPr="005F73E8">
              <w:rPr>
                <w:rFonts w:ascii="Times New Roman" w:hAnsi="Times New Roman" w:cs="Times New Roman"/>
                <w:sz w:val="20"/>
                <w:szCs w:val="20"/>
              </w:rPr>
              <w:t>cCCyR</w:t>
            </w:r>
            <w:r w:rsidRPr="005F73E8">
              <w:rPr>
                <w:rFonts w:ascii="Times New Roman" w:hAnsi="Times New Roman" w:cs="Times New Roman"/>
                <w:position w:val="10"/>
                <w:sz w:val="13"/>
                <w:szCs w:val="13"/>
              </w:rPr>
              <w:t>a</w:t>
            </w:r>
          </w:p>
        </w:tc>
        <w:tc>
          <w:tcPr>
            <w:tcW w:w="2268" w:type="dxa"/>
            <w:tcBorders>
              <w:top w:val="nil"/>
              <w:left w:val="nil"/>
              <w:bottom w:val="nil"/>
              <w:right w:val="nil"/>
            </w:tcBorders>
            <w:hideMark/>
          </w:tcPr>
          <w:p w:rsidR="005F73E8" w:rsidRPr="005F73E8" w:rsidRDefault="005F73E8">
            <w:pPr>
              <w:spacing w:before="45"/>
              <w:ind w:left="692" w:right="159" w:hanging="514"/>
              <w:jc w:val="center"/>
              <w:rPr>
                <w:rFonts w:ascii="Times New Roman" w:hAnsi="Times New Roman" w:cs="Times New Roman"/>
                <w:sz w:val="20"/>
                <w:szCs w:val="20"/>
                <w:lang w:val="de-DE"/>
              </w:rPr>
            </w:pPr>
            <w:r w:rsidRPr="005F73E8">
              <w:rPr>
                <w:rFonts w:ascii="Times New Roman" w:hAnsi="Times New Roman" w:cs="Times New Roman"/>
                <w:sz w:val="20"/>
                <w:szCs w:val="20"/>
                <w:lang w:val="de-DE"/>
              </w:rPr>
              <w:t>82.6%</w:t>
            </w:r>
          </w:p>
        </w:tc>
        <w:tc>
          <w:tcPr>
            <w:tcW w:w="2268" w:type="dxa"/>
            <w:tcBorders>
              <w:top w:val="nil"/>
              <w:left w:val="nil"/>
              <w:bottom w:val="nil"/>
              <w:right w:val="nil"/>
            </w:tcBorders>
            <w:hideMark/>
          </w:tcPr>
          <w:p w:rsidR="005F73E8" w:rsidRPr="005F73E8" w:rsidRDefault="005F73E8">
            <w:pPr>
              <w:spacing w:before="45"/>
              <w:ind w:left="692" w:right="159" w:hanging="514"/>
              <w:jc w:val="center"/>
              <w:rPr>
                <w:rFonts w:ascii="Times New Roman" w:hAnsi="Times New Roman" w:cs="Times New Roman"/>
                <w:sz w:val="20"/>
                <w:szCs w:val="20"/>
                <w:lang w:val="de-DE"/>
              </w:rPr>
            </w:pPr>
            <w:r w:rsidRPr="005F73E8">
              <w:rPr>
                <w:rFonts w:ascii="Times New Roman" w:hAnsi="Times New Roman" w:cs="Times New Roman"/>
                <w:sz w:val="20"/>
                <w:szCs w:val="20"/>
                <w:lang w:val="de-DE"/>
              </w:rPr>
              <w:t>77.3%</w:t>
            </w:r>
          </w:p>
        </w:tc>
        <w:tc>
          <w:tcPr>
            <w:tcW w:w="1753" w:type="dxa"/>
            <w:tcBorders>
              <w:top w:val="nil"/>
              <w:left w:val="nil"/>
              <w:bottom w:val="nil"/>
              <w:right w:val="nil"/>
            </w:tcBorders>
            <w:hideMark/>
          </w:tcPr>
          <w:p w:rsidR="005F73E8" w:rsidRPr="005F73E8" w:rsidRDefault="005F73E8">
            <w:pPr>
              <w:kinsoku w:val="0"/>
              <w:overflowPunct w:val="0"/>
              <w:ind w:left="117"/>
              <w:jc w:val="center"/>
              <w:rPr>
                <w:rFonts w:ascii="Times New Roman" w:eastAsia="Times New Roman" w:hAnsi="Times New Roman" w:cs="Times New Roman"/>
                <w:w w:val="166"/>
                <w:sz w:val="22"/>
              </w:rPr>
            </w:pPr>
            <w:r w:rsidRPr="005F73E8">
              <w:rPr>
                <w:rFonts w:ascii="Cambria Math" w:hAnsi="Cambria Math" w:cs="Cambria Math"/>
                <w:w w:val="166"/>
              </w:rPr>
              <w:t>⎯</w:t>
            </w:r>
          </w:p>
        </w:tc>
      </w:tr>
      <w:tr w:rsidR="005F73E8" w:rsidRPr="005F73E8" w:rsidTr="005F73E8">
        <w:trPr>
          <w:trHeight w:val="413"/>
        </w:trPr>
        <w:tc>
          <w:tcPr>
            <w:tcW w:w="2518" w:type="dxa"/>
            <w:tcBorders>
              <w:top w:val="nil"/>
              <w:left w:val="nil"/>
              <w:bottom w:val="nil"/>
              <w:right w:val="nil"/>
            </w:tcBorders>
            <w:hideMark/>
          </w:tcPr>
          <w:p w:rsidR="005F73E8" w:rsidRPr="005F73E8" w:rsidRDefault="005F73E8">
            <w:pPr>
              <w:widowControl/>
              <w:adjustRightInd w:val="0"/>
              <w:jc w:val="center"/>
              <w:rPr>
                <w:rFonts w:ascii="Times New Roman" w:hAnsi="Times New Roman" w:cs="Times New Roman"/>
                <w:sz w:val="20"/>
                <w:szCs w:val="20"/>
                <w:lang w:val="de-DE"/>
              </w:rPr>
            </w:pPr>
            <w:r w:rsidRPr="005F73E8">
              <w:rPr>
                <w:rFonts w:ascii="Times New Roman" w:hAnsi="Times New Roman" w:cs="Times New Roman"/>
                <w:sz w:val="20"/>
                <w:szCs w:val="20"/>
              </w:rPr>
              <w:t>CCyR</w:t>
            </w:r>
            <w:r w:rsidRPr="005F73E8">
              <w:rPr>
                <w:rFonts w:ascii="Times New Roman" w:hAnsi="Times New Roman" w:cs="Times New Roman"/>
                <w:position w:val="10"/>
                <w:sz w:val="13"/>
                <w:szCs w:val="13"/>
              </w:rPr>
              <w:t>b</w:t>
            </w:r>
          </w:p>
        </w:tc>
        <w:tc>
          <w:tcPr>
            <w:tcW w:w="2268" w:type="dxa"/>
            <w:tcBorders>
              <w:top w:val="nil"/>
              <w:left w:val="nil"/>
              <w:bottom w:val="nil"/>
              <w:right w:val="nil"/>
            </w:tcBorders>
            <w:hideMark/>
          </w:tcPr>
          <w:p w:rsidR="005F73E8" w:rsidRPr="005F73E8" w:rsidRDefault="005F73E8">
            <w:pPr>
              <w:spacing w:before="45"/>
              <w:ind w:left="692" w:right="159" w:hanging="514"/>
              <w:jc w:val="center"/>
              <w:rPr>
                <w:rFonts w:ascii="Times New Roman" w:hAnsi="Times New Roman" w:cs="Times New Roman"/>
                <w:sz w:val="20"/>
                <w:szCs w:val="20"/>
                <w:lang w:val="de-DE"/>
              </w:rPr>
            </w:pPr>
            <w:r w:rsidRPr="005F73E8">
              <w:rPr>
                <w:rFonts w:ascii="Times New Roman" w:hAnsi="Times New Roman" w:cs="Times New Roman"/>
                <w:sz w:val="20"/>
                <w:szCs w:val="20"/>
                <w:lang w:val="de-DE"/>
              </w:rPr>
              <w:t>88.0%</w:t>
            </w:r>
          </w:p>
        </w:tc>
        <w:tc>
          <w:tcPr>
            <w:tcW w:w="2268" w:type="dxa"/>
            <w:tcBorders>
              <w:top w:val="nil"/>
              <w:left w:val="nil"/>
              <w:bottom w:val="nil"/>
              <w:right w:val="nil"/>
            </w:tcBorders>
            <w:hideMark/>
          </w:tcPr>
          <w:p w:rsidR="005F73E8" w:rsidRPr="005F73E8" w:rsidRDefault="005F73E8">
            <w:pPr>
              <w:spacing w:before="45"/>
              <w:ind w:left="692" w:right="159" w:hanging="514"/>
              <w:jc w:val="center"/>
              <w:rPr>
                <w:rFonts w:ascii="Times New Roman" w:hAnsi="Times New Roman" w:cs="Times New Roman"/>
                <w:sz w:val="20"/>
                <w:szCs w:val="20"/>
                <w:lang w:val="de-DE"/>
              </w:rPr>
            </w:pPr>
            <w:r w:rsidRPr="005F73E8">
              <w:rPr>
                <w:rFonts w:ascii="Times New Roman" w:hAnsi="Times New Roman" w:cs="Times New Roman"/>
                <w:sz w:val="20"/>
                <w:szCs w:val="20"/>
                <w:lang w:val="de-DE"/>
              </w:rPr>
              <w:t>83.5%</w:t>
            </w:r>
          </w:p>
        </w:tc>
        <w:tc>
          <w:tcPr>
            <w:tcW w:w="1753" w:type="dxa"/>
            <w:tcBorders>
              <w:top w:val="nil"/>
              <w:left w:val="nil"/>
              <w:bottom w:val="nil"/>
              <w:right w:val="nil"/>
            </w:tcBorders>
            <w:hideMark/>
          </w:tcPr>
          <w:p w:rsidR="005F73E8" w:rsidRPr="005F73E8" w:rsidRDefault="005F73E8">
            <w:pPr>
              <w:kinsoku w:val="0"/>
              <w:overflowPunct w:val="0"/>
              <w:ind w:left="117"/>
              <w:jc w:val="center"/>
              <w:rPr>
                <w:rFonts w:ascii="Times New Roman" w:eastAsia="Times New Roman" w:hAnsi="Times New Roman" w:cs="Times New Roman"/>
                <w:w w:val="166"/>
                <w:sz w:val="22"/>
              </w:rPr>
            </w:pPr>
            <w:r w:rsidRPr="005F73E8">
              <w:rPr>
                <w:rFonts w:ascii="Cambria Math" w:hAnsi="Cambria Math" w:cs="Cambria Math"/>
                <w:w w:val="166"/>
              </w:rPr>
              <w:t>⎯</w:t>
            </w:r>
          </w:p>
        </w:tc>
      </w:tr>
      <w:tr w:rsidR="005F73E8" w:rsidRPr="005F73E8" w:rsidTr="005F73E8">
        <w:trPr>
          <w:trHeight w:val="413"/>
        </w:trPr>
        <w:tc>
          <w:tcPr>
            <w:tcW w:w="2518" w:type="dxa"/>
            <w:tcBorders>
              <w:top w:val="nil"/>
              <w:left w:val="nil"/>
              <w:bottom w:val="nil"/>
              <w:right w:val="nil"/>
            </w:tcBorders>
            <w:hideMark/>
          </w:tcPr>
          <w:p w:rsidR="005F73E8" w:rsidRPr="005F73E8" w:rsidRDefault="005F73E8">
            <w:pPr>
              <w:widowControl/>
              <w:adjustRightInd w:val="0"/>
              <w:jc w:val="center"/>
              <w:rPr>
                <w:rFonts w:ascii="Times New Roman" w:hAnsi="Times New Roman" w:cs="Times New Roman"/>
                <w:sz w:val="20"/>
                <w:szCs w:val="20"/>
                <w:lang w:val="de-DE"/>
              </w:rPr>
            </w:pPr>
            <w:r w:rsidRPr="005F73E8">
              <w:rPr>
                <w:rFonts w:ascii="Times New Roman" w:hAnsi="Times New Roman" w:cs="Times New Roman"/>
                <w:b/>
                <w:bCs/>
                <w:sz w:val="20"/>
                <w:szCs w:val="20"/>
                <w:lang w:val="de-DE"/>
              </w:rPr>
              <w:t>within 48 months</w:t>
            </w:r>
          </w:p>
        </w:tc>
        <w:tc>
          <w:tcPr>
            <w:tcW w:w="6289" w:type="dxa"/>
            <w:gridSpan w:val="3"/>
            <w:tcBorders>
              <w:top w:val="nil"/>
              <w:left w:val="nil"/>
              <w:bottom w:val="nil"/>
              <w:right w:val="nil"/>
            </w:tcBorders>
          </w:tcPr>
          <w:p w:rsidR="005F73E8" w:rsidRPr="005F73E8" w:rsidRDefault="005F73E8">
            <w:pPr>
              <w:kinsoku w:val="0"/>
              <w:overflowPunct w:val="0"/>
              <w:ind w:left="117"/>
              <w:jc w:val="center"/>
              <w:rPr>
                <w:rFonts w:ascii="Times New Roman" w:eastAsia="Times New Roman" w:hAnsi="Times New Roman" w:cs="Times New Roman"/>
                <w:w w:val="166"/>
                <w:sz w:val="22"/>
              </w:rPr>
            </w:pPr>
          </w:p>
        </w:tc>
      </w:tr>
      <w:tr w:rsidR="005F73E8" w:rsidRPr="005F73E8" w:rsidTr="005F73E8">
        <w:trPr>
          <w:trHeight w:val="413"/>
        </w:trPr>
        <w:tc>
          <w:tcPr>
            <w:tcW w:w="2518" w:type="dxa"/>
            <w:tcBorders>
              <w:top w:val="nil"/>
              <w:left w:val="nil"/>
              <w:bottom w:val="nil"/>
              <w:right w:val="nil"/>
            </w:tcBorders>
            <w:hideMark/>
          </w:tcPr>
          <w:p w:rsidR="005F73E8" w:rsidRPr="005F73E8" w:rsidRDefault="005F73E8">
            <w:pPr>
              <w:widowControl/>
              <w:adjustRightInd w:val="0"/>
              <w:jc w:val="center"/>
              <w:rPr>
                <w:rFonts w:ascii="Times New Roman" w:hAnsi="Times New Roman" w:cs="Times New Roman"/>
                <w:b/>
                <w:bCs/>
                <w:sz w:val="20"/>
                <w:szCs w:val="20"/>
                <w:lang w:val="de-DE"/>
              </w:rPr>
            </w:pPr>
            <w:r w:rsidRPr="005F73E8">
              <w:rPr>
                <w:rFonts w:ascii="Times New Roman" w:hAnsi="Times New Roman" w:cs="Times New Roman"/>
                <w:sz w:val="20"/>
                <w:szCs w:val="20"/>
              </w:rPr>
              <w:t>cCCyR</w:t>
            </w:r>
            <w:r w:rsidRPr="005F73E8">
              <w:rPr>
                <w:rFonts w:ascii="Times New Roman" w:hAnsi="Times New Roman" w:cs="Times New Roman"/>
                <w:position w:val="10"/>
                <w:sz w:val="13"/>
                <w:szCs w:val="13"/>
              </w:rPr>
              <w:t>a</w:t>
            </w:r>
          </w:p>
        </w:tc>
        <w:tc>
          <w:tcPr>
            <w:tcW w:w="2268" w:type="dxa"/>
            <w:tcBorders>
              <w:top w:val="nil"/>
              <w:left w:val="nil"/>
              <w:bottom w:val="nil"/>
              <w:right w:val="nil"/>
            </w:tcBorders>
            <w:hideMark/>
          </w:tcPr>
          <w:p w:rsidR="005F73E8" w:rsidRPr="005F73E8" w:rsidRDefault="005F73E8">
            <w:pPr>
              <w:spacing w:before="45"/>
              <w:ind w:left="692" w:right="159" w:hanging="514"/>
              <w:jc w:val="center"/>
              <w:rPr>
                <w:rFonts w:ascii="Times New Roman" w:hAnsi="Times New Roman" w:cs="Times New Roman"/>
                <w:sz w:val="20"/>
                <w:szCs w:val="20"/>
                <w:lang w:val="de-DE"/>
              </w:rPr>
            </w:pPr>
            <w:r w:rsidRPr="005F73E8">
              <w:rPr>
                <w:rFonts w:ascii="Times New Roman" w:hAnsi="Times New Roman" w:cs="Times New Roman"/>
                <w:sz w:val="20"/>
                <w:szCs w:val="20"/>
                <w:lang w:val="de-DE"/>
              </w:rPr>
              <w:t>82.6%</w:t>
            </w:r>
          </w:p>
        </w:tc>
        <w:tc>
          <w:tcPr>
            <w:tcW w:w="2268" w:type="dxa"/>
            <w:tcBorders>
              <w:top w:val="nil"/>
              <w:left w:val="nil"/>
              <w:bottom w:val="nil"/>
              <w:right w:val="nil"/>
            </w:tcBorders>
            <w:hideMark/>
          </w:tcPr>
          <w:p w:rsidR="005F73E8" w:rsidRPr="005F73E8" w:rsidRDefault="005F73E8">
            <w:pPr>
              <w:spacing w:before="45"/>
              <w:ind w:left="692" w:right="159" w:hanging="514"/>
              <w:jc w:val="center"/>
              <w:rPr>
                <w:rFonts w:ascii="Times New Roman" w:hAnsi="Times New Roman" w:cs="Times New Roman"/>
                <w:sz w:val="20"/>
                <w:szCs w:val="20"/>
                <w:lang w:val="de-DE"/>
              </w:rPr>
            </w:pPr>
            <w:r w:rsidRPr="005F73E8">
              <w:rPr>
                <w:rFonts w:ascii="Times New Roman" w:hAnsi="Times New Roman" w:cs="Times New Roman"/>
                <w:sz w:val="20"/>
                <w:szCs w:val="20"/>
                <w:lang w:val="de-DE"/>
              </w:rPr>
              <w:t>78.5%</w:t>
            </w:r>
          </w:p>
        </w:tc>
        <w:tc>
          <w:tcPr>
            <w:tcW w:w="1753" w:type="dxa"/>
            <w:tcBorders>
              <w:top w:val="nil"/>
              <w:left w:val="nil"/>
              <w:bottom w:val="nil"/>
              <w:right w:val="nil"/>
            </w:tcBorders>
            <w:hideMark/>
          </w:tcPr>
          <w:p w:rsidR="005F73E8" w:rsidRPr="005F73E8" w:rsidRDefault="005F73E8">
            <w:pPr>
              <w:kinsoku w:val="0"/>
              <w:overflowPunct w:val="0"/>
              <w:ind w:left="117"/>
              <w:jc w:val="center"/>
              <w:rPr>
                <w:rFonts w:ascii="Times New Roman" w:eastAsia="Times New Roman" w:hAnsi="Times New Roman" w:cs="Times New Roman"/>
                <w:w w:val="166"/>
                <w:sz w:val="22"/>
              </w:rPr>
            </w:pPr>
            <w:r w:rsidRPr="005F73E8">
              <w:rPr>
                <w:rFonts w:ascii="Cambria Math" w:hAnsi="Cambria Math" w:cs="Cambria Math"/>
                <w:w w:val="166"/>
              </w:rPr>
              <w:t>⎯</w:t>
            </w:r>
          </w:p>
        </w:tc>
      </w:tr>
      <w:tr w:rsidR="005F73E8" w:rsidRPr="005F73E8" w:rsidTr="005F73E8">
        <w:trPr>
          <w:trHeight w:val="413"/>
        </w:trPr>
        <w:tc>
          <w:tcPr>
            <w:tcW w:w="2518" w:type="dxa"/>
            <w:tcBorders>
              <w:top w:val="nil"/>
              <w:left w:val="nil"/>
              <w:bottom w:val="nil"/>
              <w:right w:val="nil"/>
            </w:tcBorders>
            <w:hideMark/>
          </w:tcPr>
          <w:p w:rsidR="005F73E8" w:rsidRPr="005F73E8" w:rsidRDefault="005F73E8">
            <w:pPr>
              <w:widowControl/>
              <w:adjustRightInd w:val="0"/>
              <w:jc w:val="center"/>
              <w:rPr>
                <w:rFonts w:ascii="Times New Roman" w:hAnsi="Times New Roman" w:cs="Times New Roman"/>
                <w:sz w:val="20"/>
                <w:szCs w:val="20"/>
                <w:lang w:val="de-DE"/>
              </w:rPr>
            </w:pPr>
            <w:r w:rsidRPr="005F73E8">
              <w:rPr>
                <w:rFonts w:ascii="Times New Roman" w:hAnsi="Times New Roman" w:cs="Times New Roman"/>
                <w:sz w:val="20"/>
                <w:szCs w:val="20"/>
              </w:rPr>
              <w:t>CCyR</w:t>
            </w:r>
            <w:r w:rsidRPr="005F73E8">
              <w:rPr>
                <w:rFonts w:ascii="Times New Roman" w:hAnsi="Times New Roman" w:cs="Times New Roman"/>
                <w:position w:val="10"/>
                <w:sz w:val="13"/>
                <w:szCs w:val="13"/>
              </w:rPr>
              <w:t>b</w:t>
            </w:r>
          </w:p>
        </w:tc>
        <w:tc>
          <w:tcPr>
            <w:tcW w:w="2268" w:type="dxa"/>
            <w:tcBorders>
              <w:top w:val="nil"/>
              <w:left w:val="nil"/>
              <w:bottom w:val="nil"/>
              <w:right w:val="nil"/>
            </w:tcBorders>
            <w:hideMark/>
          </w:tcPr>
          <w:p w:rsidR="005F73E8" w:rsidRPr="005F73E8" w:rsidRDefault="005F73E8">
            <w:pPr>
              <w:spacing w:before="45"/>
              <w:ind w:left="692" w:right="159" w:hanging="514"/>
              <w:jc w:val="center"/>
              <w:rPr>
                <w:rFonts w:ascii="Times New Roman" w:hAnsi="Times New Roman" w:cs="Times New Roman"/>
                <w:sz w:val="20"/>
                <w:szCs w:val="20"/>
                <w:lang w:val="de-DE"/>
              </w:rPr>
            </w:pPr>
            <w:r w:rsidRPr="005F73E8">
              <w:rPr>
                <w:rFonts w:ascii="Times New Roman" w:hAnsi="Times New Roman" w:cs="Times New Roman"/>
                <w:sz w:val="20"/>
                <w:szCs w:val="20"/>
                <w:lang w:val="de-DE"/>
              </w:rPr>
              <w:t>87.6%</w:t>
            </w:r>
          </w:p>
        </w:tc>
        <w:tc>
          <w:tcPr>
            <w:tcW w:w="2268" w:type="dxa"/>
            <w:tcBorders>
              <w:top w:val="nil"/>
              <w:left w:val="nil"/>
              <w:bottom w:val="nil"/>
              <w:right w:val="nil"/>
            </w:tcBorders>
            <w:hideMark/>
          </w:tcPr>
          <w:p w:rsidR="005F73E8" w:rsidRPr="005F73E8" w:rsidRDefault="005F73E8">
            <w:pPr>
              <w:spacing w:before="45"/>
              <w:ind w:left="692" w:right="159" w:hanging="514"/>
              <w:jc w:val="center"/>
              <w:rPr>
                <w:rFonts w:ascii="Times New Roman" w:hAnsi="Times New Roman" w:cs="Times New Roman"/>
                <w:sz w:val="20"/>
                <w:szCs w:val="20"/>
                <w:lang w:val="de-DE"/>
              </w:rPr>
            </w:pPr>
            <w:r w:rsidRPr="005F73E8">
              <w:rPr>
                <w:rFonts w:ascii="Times New Roman" w:hAnsi="Times New Roman" w:cs="Times New Roman"/>
                <w:sz w:val="20"/>
                <w:szCs w:val="20"/>
                <w:lang w:val="de-DE"/>
              </w:rPr>
              <w:t>83.8%</w:t>
            </w:r>
          </w:p>
        </w:tc>
        <w:tc>
          <w:tcPr>
            <w:tcW w:w="1753" w:type="dxa"/>
            <w:tcBorders>
              <w:top w:val="nil"/>
              <w:left w:val="nil"/>
              <w:bottom w:val="nil"/>
              <w:right w:val="nil"/>
            </w:tcBorders>
            <w:hideMark/>
          </w:tcPr>
          <w:p w:rsidR="005F73E8" w:rsidRPr="005F73E8" w:rsidRDefault="005F73E8">
            <w:pPr>
              <w:kinsoku w:val="0"/>
              <w:overflowPunct w:val="0"/>
              <w:ind w:left="117"/>
              <w:jc w:val="center"/>
              <w:rPr>
                <w:rFonts w:ascii="Times New Roman" w:eastAsia="Times New Roman" w:hAnsi="Times New Roman" w:cs="Times New Roman"/>
                <w:w w:val="166"/>
                <w:sz w:val="22"/>
              </w:rPr>
            </w:pPr>
            <w:r w:rsidRPr="005F73E8">
              <w:rPr>
                <w:rFonts w:ascii="Cambria Math" w:hAnsi="Cambria Math" w:cs="Cambria Math"/>
                <w:w w:val="166"/>
              </w:rPr>
              <w:t>⎯</w:t>
            </w:r>
          </w:p>
        </w:tc>
      </w:tr>
      <w:tr w:rsidR="005F73E8" w:rsidRPr="005F73E8" w:rsidTr="005F73E8">
        <w:trPr>
          <w:trHeight w:val="413"/>
        </w:trPr>
        <w:tc>
          <w:tcPr>
            <w:tcW w:w="2518" w:type="dxa"/>
            <w:tcBorders>
              <w:top w:val="nil"/>
              <w:left w:val="nil"/>
              <w:bottom w:val="nil"/>
              <w:right w:val="nil"/>
            </w:tcBorders>
            <w:hideMark/>
          </w:tcPr>
          <w:p w:rsidR="005F73E8" w:rsidRPr="005F73E8" w:rsidRDefault="005F73E8">
            <w:pPr>
              <w:widowControl/>
              <w:adjustRightInd w:val="0"/>
              <w:jc w:val="center"/>
              <w:rPr>
                <w:rFonts w:ascii="Times New Roman" w:hAnsi="Times New Roman" w:cs="Times New Roman"/>
                <w:sz w:val="20"/>
                <w:szCs w:val="20"/>
                <w:lang w:val="de-DE"/>
              </w:rPr>
            </w:pPr>
            <w:r w:rsidRPr="005F73E8">
              <w:rPr>
                <w:rFonts w:ascii="Times New Roman" w:hAnsi="Times New Roman" w:cs="Times New Roman"/>
                <w:b/>
                <w:bCs/>
                <w:sz w:val="20"/>
                <w:szCs w:val="20"/>
                <w:lang w:val="de-DE"/>
              </w:rPr>
              <w:t>within 60 months</w:t>
            </w:r>
          </w:p>
        </w:tc>
        <w:tc>
          <w:tcPr>
            <w:tcW w:w="6289" w:type="dxa"/>
            <w:gridSpan w:val="3"/>
            <w:tcBorders>
              <w:top w:val="nil"/>
              <w:left w:val="nil"/>
              <w:bottom w:val="nil"/>
              <w:right w:val="nil"/>
            </w:tcBorders>
          </w:tcPr>
          <w:p w:rsidR="005F73E8" w:rsidRPr="005F73E8" w:rsidRDefault="005F73E8">
            <w:pPr>
              <w:kinsoku w:val="0"/>
              <w:overflowPunct w:val="0"/>
              <w:ind w:left="117"/>
              <w:jc w:val="center"/>
              <w:rPr>
                <w:rFonts w:ascii="Times New Roman" w:eastAsia="Times New Roman" w:hAnsi="Times New Roman" w:cs="Times New Roman"/>
                <w:w w:val="166"/>
                <w:sz w:val="22"/>
              </w:rPr>
            </w:pPr>
          </w:p>
        </w:tc>
      </w:tr>
      <w:tr w:rsidR="005F73E8" w:rsidRPr="005F73E8" w:rsidTr="005F73E8">
        <w:trPr>
          <w:trHeight w:val="413"/>
        </w:trPr>
        <w:tc>
          <w:tcPr>
            <w:tcW w:w="2518" w:type="dxa"/>
            <w:tcBorders>
              <w:top w:val="nil"/>
              <w:left w:val="nil"/>
              <w:bottom w:val="nil"/>
              <w:right w:val="nil"/>
            </w:tcBorders>
            <w:hideMark/>
          </w:tcPr>
          <w:p w:rsidR="005F73E8" w:rsidRPr="005F73E8" w:rsidRDefault="005F73E8">
            <w:pPr>
              <w:kinsoku w:val="0"/>
              <w:overflowPunct w:val="0"/>
              <w:ind w:left="117"/>
              <w:jc w:val="center"/>
              <w:rPr>
                <w:rFonts w:ascii="Times New Roman" w:hAnsi="Times New Roman" w:cs="Times New Roman"/>
                <w:position w:val="10"/>
                <w:sz w:val="20"/>
                <w:szCs w:val="20"/>
              </w:rPr>
            </w:pPr>
            <w:r w:rsidRPr="005F73E8">
              <w:rPr>
                <w:rFonts w:ascii="Times New Roman" w:hAnsi="Times New Roman" w:cs="Times New Roman"/>
                <w:sz w:val="20"/>
                <w:szCs w:val="20"/>
              </w:rPr>
              <w:t>cCCyR</w:t>
            </w:r>
            <w:r w:rsidRPr="005F73E8">
              <w:rPr>
                <w:rFonts w:ascii="Times New Roman" w:hAnsi="Times New Roman" w:cs="Times New Roman"/>
                <w:position w:val="10"/>
                <w:sz w:val="13"/>
                <w:szCs w:val="13"/>
              </w:rPr>
              <w:t>a</w:t>
            </w:r>
          </w:p>
        </w:tc>
        <w:tc>
          <w:tcPr>
            <w:tcW w:w="2268" w:type="dxa"/>
            <w:tcBorders>
              <w:top w:val="nil"/>
              <w:left w:val="nil"/>
              <w:bottom w:val="nil"/>
              <w:right w:val="nil"/>
            </w:tcBorders>
            <w:hideMark/>
          </w:tcPr>
          <w:p w:rsidR="005F73E8" w:rsidRPr="005F73E8" w:rsidRDefault="005F73E8">
            <w:pPr>
              <w:spacing w:before="45"/>
              <w:ind w:left="692" w:right="159" w:hanging="514"/>
              <w:jc w:val="center"/>
              <w:rPr>
                <w:rFonts w:ascii="Times New Roman" w:hAnsi="Times New Roman" w:cs="Times New Roman"/>
                <w:sz w:val="20"/>
                <w:szCs w:val="20"/>
                <w:lang w:val="de-DE"/>
              </w:rPr>
            </w:pPr>
            <w:r w:rsidRPr="005F73E8">
              <w:rPr>
                <w:rFonts w:ascii="Times New Roman" w:hAnsi="Times New Roman" w:cs="Times New Roman"/>
                <w:sz w:val="20"/>
                <w:szCs w:val="20"/>
                <w:lang w:val="de-DE"/>
              </w:rPr>
              <w:t>83.0%</w:t>
            </w:r>
          </w:p>
        </w:tc>
        <w:tc>
          <w:tcPr>
            <w:tcW w:w="2268" w:type="dxa"/>
            <w:tcBorders>
              <w:top w:val="nil"/>
              <w:left w:val="nil"/>
              <w:bottom w:val="nil"/>
              <w:right w:val="nil"/>
            </w:tcBorders>
            <w:hideMark/>
          </w:tcPr>
          <w:p w:rsidR="005F73E8" w:rsidRPr="005F73E8" w:rsidRDefault="005F73E8">
            <w:pPr>
              <w:spacing w:before="45"/>
              <w:ind w:left="692" w:right="159" w:hanging="514"/>
              <w:jc w:val="center"/>
              <w:rPr>
                <w:rFonts w:ascii="Times New Roman" w:hAnsi="Times New Roman" w:cs="Times New Roman"/>
                <w:sz w:val="20"/>
                <w:szCs w:val="20"/>
                <w:lang w:val="de-DE"/>
              </w:rPr>
            </w:pPr>
            <w:r w:rsidRPr="005F73E8">
              <w:rPr>
                <w:rFonts w:ascii="Times New Roman" w:hAnsi="Times New Roman" w:cs="Times New Roman"/>
                <w:sz w:val="20"/>
                <w:szCs w:val="20"/>
                <w:lang w:val="de-DE"/>
              </w:rPr>
              <w:t>78.5%</w:t>
            </w:r>
          </w:p>
        </w:tc>
        <w:tc>
          <w:tcPr>
            <w:tcW w:w="1753" w:type="dxa"/>
            <w:tcBorders>
              <w:top w:val="nil"/>
              <w:left w:val="nil"/>
              <w:bottom w:val="nil"/>
              <w:right w:val="nil"/>
            </w:tcBorders>
            <w:hideMark/>
          </w:tcPr>
          <w:p w:rsidR="005F73E8" w:rsidRPr="005F73E8" w:rsidRDefault="005F73E8">
            <w:pPr>
              <w:kinsoku w:val="0"/>
              <w:overflowPunct w:val="0"/>
              <w:ind w:left="117"/>
              <w:jc w:val="center"/>
              <w:rPr>
                <w:rFonts w:ascii="Times New Roman" w:eastAsia="Times New Roman" w:hAnsi="Times New Roman" w:cs="Times New Roman"/>
                <w:w w:val="166"/>
                <w:sz w:val="22"/>
              </w:rPr>
            </w:pPr>
            <w:r w:rsidRPr="005F73E8">
              <w:rPr>
                <w:rFonts w:ascii="Cambria Math" w:hAnsi="Cambria Math" w:cs="Cambria Math"/>
                <w:w w:val="166"/>
              </w:rPr>
              <w:t>⎯</w:t>
            </w:r>
          </w:p>
        </w:tc>
      </w:tr>
      <w:tr w:rsidR="005F73E8" w:rsidRPr="005F73E8" w:rsidTr="005F73E8">
        <w:trPr>
          <w:trHeight w:val="413"/>
        </w:trPr>
        <w:tc>
          <w:tcPr>
            <w:tcW w:w="2518" w:type="dxa"/>
            <w:tcBorders>
              <w:top w:val="nil"/>
              <w:left w:val="nil"/>
              <w:bottom w:val="nil"/>
              <w:right w:val="nil"/>
            </w:tcBorders>
            <w:hideMark/>
          </w:tcPr>
          <w:p w:rsidR="005F73E8" w:rsidRPr="005F73E8" w:rsidRDefault="005F73E8">
            <w:pPr>
              <w:kinsoku w:val="0"/>
              <w:overflowPunct w:val="0"/>
              <w:ind w:left="117"/>
              <w:jc w:val="center"/>
              <w:rPr>
                <w:rFonts w:ascii="Times New Roman" w:hAnsi="Times New Roman" w:cs="Times New Roman"/>
                <w:position w:val="10"/>
                <w:sz w:val="20"/>
                <w:szCs w:val="20"/>
              </w:rPr>
            </w:pPr>
            <w:r w:rsidRPr="005F73E8">
              <w:rPr>
                <w:rFonts w:ascii="Times New Roman" w:hAnsi="Times New Roman" w:cs="Times New Roman"/>
                <w:sz w:val="20"/>
                <w:szCs w:val="20"/>
              </w:rPr>
              <w:t>CCyR</w:t>
            </w:r>
            <w:r w:rsidRPr="005F73E8">
              <w:rPr>
                <w:rFonts w:ascii="Times New Roman" w:hAnsi="Times New Roman" w:cs="Times New Roman"/>
                <w:position w:val="10"/>
                <w:sz w:val="13"/>
                <w:szCs w:val="13"/>
              </w:rPr>
              <w:t>b</w:t>
            </w:r>
          </w:p>
        </w:tc>
        <w:tc>
          <w:tcPr>
            <w:tcW w:w="2268" w:type="dxa"/>
            <w:tcBorders>
              <w:top w:val="nil"/>
              <w:left w:val="nil"/>
              <w:bottom w:val="nil"/>
              <w:right w:val="nil"/>
            </w:tcBorders>
            <w:hideMark/>
          </w:tcPr>
          <w:p w:rsidR="005F73E8" w:rsidRPr="005F73E8" w:rsidRDefault="005F73E8">
            <w:pPr>
              <w:spacing w:before="45"/>
              <w:ind w:left="692" w:right="159" w:hanging="514"/>
              <w:jc w:val="center"/>
              <w:rPr>
                <w:rFonts w:ascii="Times New Roman" w:hAnsi="Times New Roman" w:cs="Times New Roman"/>
                <w:sz w:val="20"/>
                <w:szCs w:val="20"/>
                <w:lang w:val="de-DE"/>
              </w:rPr>
            </w:pPr>
            <w:r w:rsidRPr="005F73E8">
              <w:rPr>
                <w:rFonts w:ascii="Times New Roman" w:hAnsi="Times New Roman" w:cs="Times New Roman"/>
                <w:sz w:val="20"/>
                <w:szCs w:val="20"/>
                <w:lang w:val="de-DE"/>
              </w:rPr>
              <w:t>88.0%</w:t>
            </w:r>
          </w:p>
        </w:tc>
        <w:tc>
          <w:tcPr>
            <w:tcW w:w="2268" w:type="dxa"/>
            <w:tcBorders>
              <w:top w:val="nil"/>
              <w:left w:val="nil"/>
              <w:bottom w:val="nil"/>
              <w:right w:val="nil"/>
            </w:tcBorders>
            <w:hideMark/>
          </w:tcPr>
          <w:p w:rsidR="005F73E8" w:rsidRPr="005F73E8" w:rsidRDefault="005F73E8">
            <w:pPr>
              <w:spacing w:before="45"/>
              <w:ind w:left="692" w:right="159" w:hanging="514"/>
              <w:jc w:val="center"/>
              <w:rPr>
                <w:rFonts w:ascii="Times New Roman" w:hAnsi="Times New Roman" w:cs="Times New Roman"/>
                <w:sz w:val="20"/>
                <w:szCs w:val="20"/>
                <w:lang w:val="de-DE"/>
              </w:rPr>
            </w:pPr>
            <w:r w:rsidRPr="005F73E8">
              <w:rPr>
                <w:rFonts w:ascii="Times New Roman" w:hAnsi="Times New Roman" w:cs="Times New Roman"/>
                <w:sz w:val="20"/>
                <w:szCs w:val="20"/>
                <w:lang w:val="de-DE"/>
              </w:rPr>
              <w:t>83.8%</w:t>
            </w:r>
          </w:p>
        </w:tc>
        <w:tc>
          <w:tcPr>
            <w:tcW w:w="1753" w:type="dxa"/>
            <w:tcBorders>
              <w:top w:val="nil"/>
              <w:left w:val="nil"/>
              <w:bottom w:val="nil"/>
              <w:right w:val="nil"/>
            </w:tcBorders>
            <w:hideMark/>
          </w:tcPr>
          <w:p w:rsidR="005F73E8" w:rsidRPr="005F73E8" w:rsidRDefault="005F73E8">
            <w:pPr>
              <w:kinsoku w:val="0"/>
              <w:overflowPunct w:val="0"/>
              <w:ind w:left="117"/>
              <w:jc w:val="center"/>
              <w:rPr>
                <w:rFonts w:ascii="Times New Roman" w:eastAsia="Times New Roman" w:hAnsi="Times New Roman" w:cs="Times New Roman"/>
                <w:w w:val="166"/>
                <w:sz w:val="22"/>
              </w:rPr>
            </w:pPr>
            <w:r w:rsidRPr="005F73E8">
              <w:rPr>
                <w:rFonts w:ascii="Cambria Math" w:hAnsi="Cambria Math" w:cs="Cambria Math"/>
                <w:w w:val="166"/>
              </w:rPr>
              <w:t>⎯</w:t>
            </w:r>
          </w:p>
        </w:tc>
      </w:tr>
      <w:tr w:rsidR="005F73E8" w:rsidRPr="005F73E8" w:rsidTr="005F73E8">
        <w:trPr>
          <w:trHeight w:val="413"/>
        </w:trPr>
        <w:tc>
          <w:tcPr>
            <w:tcW w:w="2518" w:type="dxa"/>
            <w:tcBorders>
              <w:top w:val="nil"/>
              <w:left w:val="nil"/>
              <w:bottom w:val="nil"/>
              <w:right w:val="nil"/>
            </w:tcBorders>
            <w:hideMark/>
          </w:tcPr>
          <w:p w:rsidR="005F73E8" w:rsidRPr="005F73E8" w:rsidRDefault="005F73E8">
            <w:pPr>
              <w:kinsoku w:val="0"/>
              <w:overflowPunct w:val="0"/>
              <w:ind w:left="117"/>
              <w:rPr>
                <w:rFonts w:ascii="Times New Roman" w:hAnsi="Times New Roman" w:cs="Times New Roman"/>
                <w:b/>
                <w:sz w:val="20"/>
                <w:szCs w:val="20"/>
              </w:rPr>
            </w:pPr>
            <w:r w:rsidRPr="005F73E8">
              <w:rPr>
                <w:rFonts w:ascii="Times New Roman" w:hAnsi="Times New Roman" w:cs="Times New Roman"/>
                <w:b/>
                <w:sz w:val="20"/>
                <w:szCs w:val="20"/>
              </w:rPr>
              <w:t>Major molecular response</w:t>
            </w:r>
            <w:r w:rsidRPr="005F73E8">
              <w:rPr>
                <w:rFonts w:ascii="Times New Roman" w:hAnsi="Times New Roman" w:cs="Times New Roman"/>
                <w:b/>
                <w:bCs/>
                <w:position w:val="10"/>
                <w:sz w:val="13"/>
                <w:szCs w:val="13"/>
              </w:rPr>
              <w:t>c</w:t>
            </w:r>
          </w:p>
        </w:tc>
        <w:tc>
          <w:tcPr>
            <w:tcW w:w="6289" w:type="dxa"/>
            <w:gridSpan w:val="3"/>
            <w:tcBorders>
              <w:top w:val="nil"/>
              <w:left w:val="nil"/>
              <w:bottom w:val="nil"/>
              <w:right w:val="nil"/>
            </w:tcBorders>
          </w:tcPr>
          <w:p w:rsidR="005F73E8" w:rsidRPr="005F73E8" w:rsidRDefault="005F73E8">
            <w:pPr>
              <w:kinsoku w:val="0"/>
              <w:overflowPunct w:val="0"/>
              <w:ind w:left="117"/>
              <w:jc w:val="center"/>
              <w:rPr>
                <w:rFonts w:ascii="Times New Roman" w:hAnsi="Times New Roman" w:cs="Times New Roman"/>
                <w:w w:val="166"/>
                <w:sz w:val="22"/>
              </w:rPr>
            </w:pPr>
          </w:p>
        </w:tc>
      </w:tr>
      <w:tr w:rsidR="005F73E8" w:rsidRPr="005F73E8" w:rsidTr="005F73E8">
        <w:trPr>
          <w:trHeight w:val="216"/>
        </w:trPr>
        <w:tc>
          <w:tcPr>
            <w:tcW w:w="2518" w:type="dxa"/>
            <w:tcBorders>
              <w:top w:val="nil"/>
              <w:left w:val="nil"/>
              <w:bottom w:val="nil"/>
              <w:right w:val="nil"/>
            </w:tcBorders>
            <w:hideMark/>
          </w:tcPr>
          <w:p w:rsidR="005F73E8" w:rsidRPr="005F73E8" w:rsidRDefault="005F73E8">
            <w:pPr>
              <w:kinsoku w:val="0"/>
              <w:overflowPunct w:val="0"/>
              <w:ind w:left="117"/>
              <w:jc w:val="center"/>
              <w:rPr>
                <w:rFonts w:ascii="Times New Roman" w:hAnsi="Times New Roman" w:cs="Times New Roman"/>
                <w:b/>
                <w:sz w:val="20"/>
                <w:szCs w:val="20"/>
              </w:rPr>
            </w:pPr>
            <w:r w:rsidRPr="005F73E8">
              <w:rPr>
                <w:rFonts w:ascii="Times New Roman" w:hAnsi="Times New Roman" w:cs="Times New Roman"/>
                <w:b/>
                <w:sz w:val="20"/>
                <w:szCs w:val="20"/>
              </w:rPr>
              <w:t>12 months</w:t>
            </w:r>
          </w:p>
        </w:tc>
        <w:tc>
          <w:tcPr>
            <w:tcW w:w="2268" w:type="dxa"/>
            <w:tcBorders>
              <w:top w:val="nil"/>
              <w:left w:val="nil"/>
              <w:bottom w:val="nil"/>
              <w:right w:val="nil"/>
            </w:tcBorders>
            <w:hideMark/>
          </w:tcPr>
          <w:p w:rsidR="005F73E8" w:rsidRPr="005F73E8" w:rsidRDefault="005F73E8">
            <w:pPr>
              <w:spacing w:before="45"/>
              <w:ind w:left="692" w:right="159" w:hanging="514"/>
              <w:jc w:val="center"/>
              <w:rPr>
                <w:rFonts w:ascii="Times New Roman" w:hAnsi="Times New Roman" w:cs="Times New Roman"/>
                <w:sz w:val="20"/>
                <w:szCs w:val="20"/>
                <w:lang w:val="de-DE"/>
              </w:rPr>
            </w:pPr>
            <w:r w:rsidRPr="005F73E8">
              <w:rPr>
                <w:rFonts w:ascii="Times New Roman" w:hAnsi="Times New Roman" w:cs="Times New Roman"/>
                <w:sz w:val="20"/>
                <w:szCs w:val="20"/>
                <w:lang w:val="de-DE"/>
              </w:rPr>
              <w:t>52.1% (45.9–58.3)</w:t>
            </w:r>
          </w:p>
        </w:tc>
        <w:tc>
          <w:tcPr>
            <w:tcW w:w="2268" w:type="dxa"/>
            <w:tcBorders>
              <w:top w:val="nil"/>
              <w:left w:val="nil"/>
              <w:bottom w:val="nil"/>
              <w:right w:val="nil"/>
            </w:tcBorders>
            <w:hideMark/>
          </w:tcPr>
          <w:p w:rsidR="005F73E8" w:rsidRPr="005F73E8" w:rsidRDefault="005F73E8">
            <w:pPr>
              <w:spacing w:before="45"/>
              <w:ind w:left="692" w:right="159" w:hanging="514"/>
              <w:jc w:val="center"/>
              <w:rPr>
                <w:rFonts w:ascii="Times New Roman" w:hAnsi="Times New Roman" w:cs="Times New Roman"/>
                <w:sz w:val="20"/>
                <w:szCs w:val="20"/>
                <w:lang w:val="de-DE"/>
              </w:rPr>
            </w:pPr>
            <w:r w:rsidRPr="005F73E8">
              <w:rPr>
                <w:rFonts w:ascii="Times New Roman" w:hAnsi="Times New Roman" w:cs="Times New Roman"/>
                <w:sz w:val="20"/>
                <w:szCs w:val="20"/>
                <w:lang w:val="de-DE"/>
              </w:rPr>
              <w:t>33.8% (28.1–39.9)</w:t>
            </w:r>
          </w:p>
        </w:tc>
        <w:tc>
          <w:tcPr>
            <w:tcW w:w="1753" w:type="dxa"/>
            <w:tcBorders>
              <w:top w:val="nil"/>
              <w:left w:val="nil"/>
              <w:bottom w:val="nil"/>
              <w:right w:val="nil"/>
            </w:tcBorders>
            <w:hideMark/>
          </w:tcPr>
          <w:p w:rsidR="005F73E8" w:rsidRPr="005F73E8" w:rsidRDefault="005F73E8">
            <w:pPr>
              <w:kinsoku w:val="0"/>
              <w:overflowPunct w:val="0"/>
              <w:ind w:left="117"/>
              <w:jc w:val="center"/>
              <w:rPr>
                <w:rFonts w:ascii="Times New Roman" w:eastAsia="Times New Roman" w:hAnsi="Times New Roman" w:cs="Times New Roman"/>
                <w:w w:val="166"/>
                <w:sz w:val="22"/>
              </w:rPr>
            </w:pPr>
            <w:r w:rsidRPr="005F73E8">
              <w:rPr>
                <w:rFonts w:ascii="Times New Roman" w:hAnsi="Times New Roman" w:cs="Times New Roman"/>
                <w:sz w:val="20"/>
                <w:szCs w:val="20"/>
                <w:lang w:val="de-DE"/>
              </w:rPr>
              <w:t>p&lt; 0.00003*</w:t>
            </w:r>
          </w:p>
        </w:tc>
      </w:tr>
      <w:tr w:rsidR="005F73E8" w:rsidRPr="005F73E8" w:rsidTr="005F73E8">
        <w:trPr>
          <w:trHeight w:val="216"/>
        </w:trPr>
        <w:tc>
          <w:tcPr>
            <w:tcW w:w="2518" w:type="dxa"/>
            <w:tcBorders>
              <w:top w:val="nil"/>
              <w:left w:val="nil"/>
              <w:bottom w:val="nil"/>
              <w:right w:val="nil"/>
            </w:tcBorders>
            <w:hideMark/>
          </w:tcPr>
          <w:p w:rsidR="005F73E8" w:rsidRPr="005F73E8" w:rsidRDefault="005F73E8">
            <w:pPr>
              <w:kinsoku w:val="0"/>
              <w:overflowPunct w:val="0"/>
              <w:ind w:left="117"/>
              <w:jc w:val="center"/>
              <w:rPr>
                <w:rFonts w:ascii="Times New Roman" w:hAnsi="Times New Roman" w:cs="Times New Roman"/>
                <w:b/>
                <w:sz w:val="20"/>
                <w:szCs w:val="20"/>
              </w:rPr>
            </w:pPr>
            <w:r w:rsidRPr="005F73E8">
              <w:rPr>
                <w:rFonts w:ascii="Times New Roman" w:hAnsi="Times New Roman" w:cs="Times New Roman"/>
                <w:b/>
                <w:sz w:val="20"/>
                <w:szCs w:val="20"/>
              </w:rPr>
              <w:t>24 months</w:t>
            </w:r>
          </w:p>
        </w:tc>
        <w:tc>
          <w:tcPr>
            <w:tcW w:w="2268" w:type="dxa"/>
            <w:tcBorders>
              <w:top w:val="nil"/>
              <w:left w:val="nil"/>
              <w:bottom w:val="nil"/>
              <w:right w:val="nil"/>
            </w:tcBorders>
            <w:hideMark/>
          </w:tcPr>
          <w:p w:rsidR="005F73E8" w:rsidRPr="005F73E8" w:rsidRDefault="005F73E8">
            <w:pPr>
              <w:spacing w:before="45"/>
              <w:ind w:left="692" w:right="159" w:hanging="514"/>
              <w:jc w:val="center"/>
              <w:rPr>
                <w:rFonts w:ascii="Times New Roman" w:hAnsi="Times New Roman" w:cs="Times New Roman"/>
                <w:sz w:val="20"/>
                <w:szCs w:val="20"/>
                <w:lang w:val="de-DE"/>
              </w:rPr>
            </w:pPr>
            <w:r w:rsidRPr="005F73E8">
              <w:rPr>
                <w:rFonts w:ascii="Times New Roman" w:hAnsi="Times New Roman" w:cs="Times New Roman"/>
                <w:sz w:val="20"/>
                <w:szCs w:val="20"/>
                <w:lang w:val="de-DE"/>
              </w:rPr>
              <w:t>64.5% (58.3-70.3)</w:t>
            </w:r>
          </w:p>
        </w:tc>
        <w:tc>
          <w:tcPr>
            <w:tcW w:w="2268" w:type="dxa"/>
            <w:tcBorders>
              <w:top w:val="nil"/>
              <w:left w:val="nil"/>
              <w:bottom w:val="nil"/>
              <w:right w:val="nil"/>
            </w:tcBorders>
            <w:hideMark/>
          </w:tcPr>
          <w:p w:rsidR="005F73E8" w:rsidRPr="005F73E8" w:rsidRDefault="005F73E8">
            <w:pPr>
              <w:tabs>
                <w:tab w:val="left" w:pos="657"/>
              </w:tabs>
              <w:spacing w:before="45"/>
              <w:ind w:left="692" w:right="159" w:hanging="514"/>
              <w:jc w:val="center"/>
              <w:rPr>
                <w:rFonts w:ascii="Times New Roman" w:hAnsi="Times New Roman" w:cs="Times New Roman"/>
                <w:sz w:val="20"/>
                <w:szCs w:val="20"/>
                <w:lang w:val="de-DE"/>
              </w:rPr>
            </w:pPr>
            <w:r w:rsidRPr="005F73E8">
              <w:rPr>
                <w:rFonts w:ascii="Times New Roman" w:hAnsi="Times New Roman" w:cs="Times New Roman"/>
                <w:sz w:val="20"/>
                <w:szCs w:val="20"/>
                <w:lang w:val="de-DE"/>
              </w:rPr>
              <w:t>50% (43.8-56.2)</w:t>
            </w:r>
          </w:p>
        </w:tc>
        <w:tc>
          <w:tcPr>
            <w:tcW w:w="1753" w:type="dxa"/>
            <w:tcBorders>
              <w:top w:val="nil"/>
              <w:left w:val="nil"/>
              <w:bottom w:val="nil"/>
              <w:right w:val="nil"/>
            </w:tcBorders>
            <w:hideMark/>
          </w:tcPr>
          <w:p w:rsidR="005F73E8" w:rsidRPr="005F73E8" w:rsidRDefault="005F73E8">
            <w:pPr>
              <w:kinsoku w:val="0"/>
              <w:overflowPunct w:val="0"/>
              <w:ind w:left="117"/>
              <w:jc w:val="center"/>
              <w:rPr>
                <w:rFonts w:ascii="Times New Roman" w:hAnsi="Times New Roman" w:cs="Times New Roman"/>
                <w:sz w:val="20"/>
                <w:szCs w:val="20"/>
                <w:lang w:val="de-DE"/>
              </w:rPr>
            </w:pPr>
            <w:r w:rsidRPr="005F73E8">
              <w:rPr>
                <w:rFonts w:ascii="Cambria Math" w:hAnsi="Cambria Math" w:cs="Cambria Math"/>
                <w:w w:val="166"/>
              </w:rPr>
              <w:t>⎯</w:t>
            </w:r>
          </w:p>
        </w:tc>
      </w:tr>
      <w:tr w:rsidR="005F73E8" w:rsidRPr="005F73E8" w:rsidTr="005F73E8">
        <w:trPr>
          <w:trHeight w:val="216"/>
        </w:trPr>
        <w:tc>
          <w:tcPr>
            <w:tcW w:w="2518" w:type="dxa"/>
            <w:tcBorders>
              <w:top w:val="nil"/>
              <w:left w:val="nil"/>
              <w:bottom w:val="nil"/>
              <w:right w:val="nil"/>
            </w:tcBorders>
            <w:hideMark/>
          </w:tcPr>
          <w:p w:rsidR="005F73E8" w:rsidRPr="005F73E8" w:rsidRDefault="005F73E8">
            <w:pPr>
              <w:kinsoku w:val="0"/>
              <w:overflowPunct w:val="0"/>
              <w:ind w:left="117"/>
              <w:jc w:val="center"/>
              <w:rPr>
                <w:rFonts w:ascii="Times New Roman" w:eastAsia="Times New Roman" w:hAnsi="Times New Roman" w:cs="Times New Roman"/>
                <w:b/>
                <w:sz w:val="20"/>
                <w:szCs w:val="20"/>
              </w:rPr>
            </w:pPr>
            <w:r w:rsidRPr="005F73E8">
              <w:rPr>
                <w:rFonts w:ascii="Times New Roman" w:hAnsi="Times New Roman" w:cs="Times New Roman"/>
                <w:b/>
                <w:sz w:val="20"/>
                <w:szCs w:val="20"/>
              </w:rPr>
              <w:t>36 months</w:t>
            </w:r>
          </w:p>
        </w:tc>
        <w:tc>
          <w:tcPr>
            <w:tcW w:w="2268" w:type="dxa"/>
            <w:tcBorders>
              <w:top w:val="nil"/>
              <w:left w:val="nil"/>
              <w:bottom w:val="nil"/>
              <w:right w:val="nil"/>
            </w:tcBorders>
            <w:hideMark/>
          </w:tcPr>
          <w:p w:rsidR="005F73E8" w:rsidRPr="005F73E8" w:rsidRDefault="005F73E8">
            <w:pPr>
              <w:spacing w:before="45"/>
              <w:ind w:left="692" w:right="159" w:hanging="514"/>
              <w:jc w:val="center"/>
              <w:rPr>
                <w:rFonts w:ascii="Times New Roman" w:hAnsi="Times New Roman" w:cs="Times New Roman"/>
                <w:sz w:val="20"/>
                <w:szCs w:val="20"/>
                <w:lang w:val="de-DE"/>
              </w:rPr>
            </w:pPr>
            <w:r w:rsidRPr="005F73E8">
              <w:rPr>
                <w:rFonts w:ascii="Times New Roman" w:hAnsi="Times New Roman" w:cs="Times New Roman"/>
                <w:sz w:val="20"/>
                <w:szCs w:val="20"/>
                <w:lang w:val="de-DE"/>
              </w:rPr>
              <w:t>69.1% (63.1-74.7)</w:t>
            </w:r>
          </w:p>
        </w:tc>
        <w:tc>
          <w:tcPr>
            <w:tcW w:w="2268" w:type="dxa"/>
            <w:tcBorders>
              <w:top w:val="nil"/>
              <w:left w:val="nil"/>
              <w:bottom w:val="nil"/>
              <w:right w:val="nil"/>
            </w:tcBorders>
            <w:hideMark/>
          </w:tcPr>
          <w:p w:rsidR="005F73E8" w:rsidRPr="005F73E8" w:rsidRDefault="005F73E8">
            <w:pPr>
              <w:tabs>
                <w:tab w:val="left" w:pos="657"/>
              </w:tabs>
              <w:spacing w:before="45"/>
              <w:ind w:left="692" w:right="159" w:hanging="514"/>
              <w:jc w:val="center"/>
              <w:rPr>
                <w:rFonts w:ascii="Times New Roman" w:hAnsi="Times New Roman" w:cs="Times New Roman"/>
                <w:sz w:val="20"/>
                <w:szCs w:val="20"/>
                <w:lang w:val="de-DE"/>
              </w:rPr>
            </w:pPr>
            <w:r w:rsidRPr="005F73E8">
              <w:rPr>
                <w:rFonts w:ascii="Times New Roman" w:hAnsi="Times New Roman" w:cs="Times New Roman"/>
                <w:sz w:val="20"/>
                <w:szCs w:val="20"/>
                <w:lang w:val="de-DE"/>
              </w:rPr>
              <w:t>56.2% (49.9-62.3)</w:t>
            </w:r>
          </w:p>
        </w:tc>
        <w:tc>
          <w:tcPr>
            <w:tcW w:w="1753" w:type="dxa"/>
            <w:tcBorders>
              <w:top w:val="nil"/>
              <w:left w:val="nil"/>
              <w:bottom w:val="nil"/>
              <w:right w:val="nil"/>
            </w:tcBorders>
            <w:hideMark/>
          </w:tcPr>
          <w:p w:rsidR="005F73E8" w:rsidRPr="005F73E8" w:rsidRDefault="005F73E8">
            <w:pPr>
              <w:kinsoku w:val="0"/>
              <w:overflowPunct w:val="0"/>
              <w:ind w:left="117"/>
              <w:jc w:val="center"/>
              <w:rPr>
                <w:rFonts w:ascii="Times New Roman" w:eastAsia="Times New Roman" w:hAnsi="Times New Roman" w:cs="Times New Roman"/>
                <w:w w:val="166"/>
                <w:sz w:val="22"/>
              </w:rPr>
            </w:pPr>
            <w:r w:rsidRPr="005F73E8">
              <w:rPr>
                <w:rFonts w:ascii="Cambria Math" w:hAnsi="Cambria Math" w:cs="Cambria Math"/>
                <w:w w:val="166"/>
              </w:rPr>
              <w:t>⎯</w:t>
            </w:r>
          </w:p>
        </w:tc>
      </w:tr>
      <w:tr w:rsidR="005F73E8" w:rsidRPr="005F73E8" w:rsidTr="005F73E8">
        <w:trPr>
          <w:trHeight w:val="216"/>
        </w:trPr>
        <w:tc>
          <w:tcPr>
            <w:tcW w:w="2518" w:type="dxa"/>
            <w:tcBorders>
              <w:top w:val="nil"/>
              <w:left w:val="nil"/>
              <w:bottom w:val="nil"/>
              <w:right w:val="nil"/>
            </w:tcBorders>
            <w:hideMark/>
          </w:tcPr>
          <w:p w:rsidR="005F73E8" w:rsidRPr="005F73E8" w:rsidRDefault="005F73E8">
            <w:pPr>
              <w:kinsoku w:val="0"/>
              <w:overflowPunct w:val="0"/>
              <w:ind w:left="117"/>
              <w:jc w:val="center"/>
              <w:rPr>
                <w:rFonts w:ascii="Times New Roman" w:hAnsi="Times New Roman" w:cs="Times New Roman"/>
                <w:b/>
                <w:sz w:val="20"/>
                <w:szCs w:val="20"/>
              </w:rPr>
            </w:pPr>
            <w:r w:rsidRPr="005F73E8">
              <w:rPr>
                <w:rFonts w:ascii="Times New Roman" w:hAnsi="Times New Roman" w:cs="Times New Roman"/>
                <w:b/>
                <w:bCs/>
                <w:sz w:val="20"/>
                <w:szCs w:val="20"/>
                <w:lang w:val="de-DE"/>
              </w:rPr>
              <w:t>48 months</w:t>
            </w:r>
          </w:p>
        </w:tc>
        <w:tc>
          <w:tcPr>
            <w:tcW w:w="2268" w:type="dxa"/>
            <w:tcBorders>
              <w:top w:val="nil"/>
              <w:left w:val="nil"/>
              <w:bottom w:val="nil"/>
              <w:right w:val="nil"/>
            </w:tcBorders>
            <w:hideMark/>
          </w:tcPr>
          <w:p w:rsidR="005F73E8" w:rsidRPr="005F73E8" w:rsidRDefault="005F73E8">
            <w:pPr>
              <w:spacing w:before="45"/>
              <w:ind w:left="692" w:right="159" w:hanging="514"/>
              <w:jc w:val="center"/>
              <w:rPr>
                <w:rFonts w:ascii="Times New Roman" w:hAnsi="Times New Roman" w:cs="Times New Roman"/>
                <w:sz w:val="20"/>
                <w:szCs w:val="20"/>
                <w:lang w:val="de-DE"/>
              </w:rPr>
            </w:pPr>
            <w:r w:rsidRPr="005F73E8">
              <w:rPr>
                <w:rFonts w:ascii="Times New Roman" w:hAnsi="Times New Roman" w:cs="Times New Roman"/>
                <w:sz w:val="20"/>
                <w:szCs w:val="20"/>
                <w:lang w:val="de-DE"/>
              </w:rPr>
              <w:t>75.7% (70.0-80.8)</w:t>
            </w:r>
          </w:p>
        </w:tc>
        <w:tc>
          <w:tcPr>
            <w:tcW w:w="2268" w:type="dxa"/>
            <w:tcBorders>
              <w:top w:val="nil"/>
              <w:left w:val="nil"/>
              <w:bottom w:val="nil"/>
              <w:right w:val="nil"/>
            </w:tcBorders>
            <w:hideMark/>
          </w:tcPr>
          <w:p w:rsidR="005F73E8" w:rsidRPr="005F73E8" w:rsidRDefault="005F73E8">
            <w:pPr>
              <w:tabs>
                <w:tab w:val="left" w:pos="657"/>
              </w:tabs>
              <w:spacing w:before="45"/>
              <w:ind w:left="692" w:right="159" w:hanging="514"/>
              <w:jc w:val="center"/>
              <w:rPr>
                <w:rFonts w:ascii="Times New Roman" w:hAnsi="Times New Roman" w:cs="Times New Roman"/>
                <w:sz w:val="20"/>
                <w:szCs w:val="20"/>
                <w:lang w:val="de-DE"/>
              </w:rPr>
            </w:pPr>
            <w:r w:rsidRPr="005F73E8">
              <w:rPr>
                <w:rFonts w:ascii="Times New Roman" w:hAnsi="Times New Roman" w:cs="Times New Roman"/>
                <w:sz w:val="20"/>
                <w:szCs w:val="20"/>
                <w:lang w:val="de-DE"/>
              </w:rPr>
              <w:t>62.7% (56.5-68.6)</w:t>
            </w:r>
          </w:p>
        </w:tc>
        <w:tc>
          <w:tcPr>
            <w:tcW w:w="1753" w:type="dxa"/>
            <w:tcBorders>
              <w:top w:val="nil"/>
              <w:left w:val="nil"/>
              <w:bottom w:val="nil"/>
              <w:right w:val="nil"/>
            </w:tcBorders>
            <w:hideMark/>
          </w:tcPr>
          <w:p w:rsidR="005F73E8" w:rsidRPr="005F73E8" w:rsidRDefault="005F73E8">
            <w:pPr>
              <w:kinsoku w:val="0"/>
              <w:overflowPunct w:val="0"/>
              <w:ind w:left="117"/>
              <w:jc w:val="center"/>
              <w:rPr>
                <w:rFonts w:ascii="Times New Roman" w:eastAsia="Times New Roman" w:hAnsi="Times New Roman" w:cs="Times New Roman"/>
                <w:w w:val="166"/>
                <w:sz w:val="22"/>
              </w:rPr>
            </w:pPr>
            <w:r w:rsidRPr="005F73E8">
              <w:rPr>
                <w:rFonts w:ascii="Cambria Math" w:hAnsi="Cambria Math" w:cs="Cambria Math"/>
                <w:w w:val="166"/>
              </w:rPr>
              <w:t>⎯</w:t>
            </w:r>
          </w:p>
        </w:tc>
      </w:tr>
      <w:tr w:rsidR="005F73E8" w:rsidRPr="005F73E8" w:rsidTr="005F73E8">
        <w:trPr>
          <w:trHeight w:val="216"/>
        </w:trPr>
        <w:tc>
          <w:tcPr>
            <w:tcW w:w="2518" w:type="dxa"/>
            <w:tcBorders>
              <w:top w:val="nil"/>
              <w:left w:val="nil"/>
              <w:bottom w:val="single" w:sz="4" w:space="0" w:color="auto"/>
              <w:right w:val="nil"/>
            </w:tcBorders>
            <w:hideMark/>
          </w:tcPr>
          <w:p w:rsidR="005F73E8" w:rsidRPr="005F73E8" w:rsidRDefault="005F73E8">
            <w:pPr>
              <w:kinsoku w:val="0"/>
              <w:overflowPunct w:val="0"/>
              <w:ind w:left="117"/>
              <w:jc w:val="center"/>
              <w:rPr>
                <w:rFonts w:ascii="Times New Roman" w:hAnsi="Times New Roman" w:cs="Times New Roman"/>
                <w:b/>
                <w:bCs/>
                <w:sz w:val="20"/>
                <w:szCs w:val="20"/>
                <w:lang w:val="de-DE"/>
              </w:rPr>
            </w:pPr>
            <w:r w:rsidRPr="005F73E8">
              <w:rPr>
                <w:rFonts w:ascii="Times New Roman" w:hAnsi="Times New Roman" w:cs="Times New Roman"/>
                <w:b/>
                <w:bCs/>
                <w:sz w:val="20"/>
                <w:szCs w:val="20"/>
                <w:lang w:val="de-DE"/>
              </w:rPr>
              <w:t>60 months</w:t>
            </w:r>
          </w:p>
        </w:tc>
        <w:tc>
          <w:tcPr>
            <w:tcW w:w="2268" w:type="dxa"/>
            <w:tcBorders>
              <w:top w:val="nil"/>
              <w:left w:val="nil"/>
              <w:bottom w:val="single" w:sz="4" w:space="0" w:color="auto"/>
              <w:right w:val="nil"/>
            </w:tcBorders>
            <w:hideMark/>
          </w:tcPr>
          <w:p w:rsidR="005F73E8" w:rsidRPr="005F73E8" w:rsidRDefault="005F73E8">
            <w:pPr>
              <w:spacing w:before="45"/>
              <w:ind w:left="692" w:right="159" w:hanging="514"/>
              <w:jc w:val="center"/>
              <w:rPr>
                <w:rFonts w:ascii="Times New Roman" w:hAnsi="Times New Roman" w:cs="Times New Roman"/>
                <w:sz w:val="20"/>
                <w:szCs w:val="20"/>
                <w:lang w:val="de-DE"/>
              </w:rPr>
            </w:pPr>
            <w:r w:rsidRPr="005F73E8">
              <w:rPr>
                <w:rFonts w:ascii="Times New Roman" w:hAnsi="Times New Roman" w:cs="Times New Roman"/>
                <w:sz w:val="20"/>
                <w:szCs w:val="20"/>
                <w:lang w:val="de-DE"/>
              </w:rPr>
              <w:t>76.4% (70.8-81.5)</w:t>
            </w:r>
          </w:p>
        </w:tc>
        <w:tc>
          <w:tcPr>
            <w:tcW w:w="2268" w:type="dxa"/>
            <w:tcBorders>
              <w:top w:val="nil"/>
              <w:left w:val="nil"/>
              <w:bottom w:val="single" w:sz="4" w:space="0" w:color="auto"/>
              <w:right w:val="nil"/>
            </w:tcBorders>
            <w:hideMark/>
          </w:tcPr>
          <w:p w:rsidR="005F73E8" w:rsidRPr="005F73E8" w:rsidRDefault="005F73E8">
            <w:pPr>
              <w:tabs>
                <w:tab w:val="left" w:pos="657"/>
              </w:tabs>
              <w:spacing w:before="45"/>
              <w:ind w:left="692" w:right="159" w:hanging="514"/>
              <w:jc w:val="center"/>
              <w:rPr>
                <w:rFonts w:ascii="Times New Roman" w:hAnsi="Times New Roman" w:cs="Times New Roman"/>
                <w:sz w:val="20"/>
                <w:szCs w:val="20"/>
                <w:lang w:val="de-DE"/>
              </w:rPr>
            </w:pPr>
            <w:r w:rsidRPr="005F73E8">
              <w:rPr>
                <w:rFonts w:ascii="Times New Roman" w:hAnsi="Times New Roman" w:cs="Times New Roman"/>
                <w:sz w:val="20"/>
                <w:szCs w:val="20"/>
                <w:lang w:val="de-DE"/>
              </w:rPr>
              <w:t>64.2% (58.1-70.1)</w:t>
            </w:r>
          </w:p>
        </w:tc>
        <w:tc>
          <w:tcPr>
            <w:tcW w:w="1753" w:type="dxa"/>
            <w:tcBorders>
              <w:top w:val="nil"/>
              <w:left w:val="nil"/>
              <w:bottom w:val="single" w:sz="4" w:space="0" w:color="auto"/>
              <w:right w:val="nil"/>
            </w:tcBorders>
            <w:hideMark/>
          </w:tcPr>
          <w:p w:rsidR="005F73E8" w:rsidRPr="005F73E8" w:rsidRDefault="005F73E8">
            <w:pPr>
              <w:kinsoku w:val="0"/>
              <w:overflowPunct w:val="0"/>
              <w:ind w:left="117"/>
              <w:jc w:val="center"/>
              <w:rPr>
                <w:rFonts w:ascii="Times New Roman" w:eastAsia="Times New Roman" w:hAnsi="Times New Roman" w:cs="Times New Roman"/>
                <w:w w:val="166"/>
                <w:sz w:val="22"/>
              </w:rPr>
            </w:pPr>
            <w:r w:rsidRPr="005F73E8">
              <w:rPr>
                <w:rFonts w:ascii="Times New Roman" w:hAnsi="Times New Roman" w:cs="Times New Roman"/>
                <w:sz w:val="20"/>
                <w:szCs w:val="20"/>
                <w:lang w:val="de-DE"/>
              </w:rPr>
              <w:t>p=0.0021</w:t>
            </w:r>
          </w:p>
        </w:tc>
      </w:tr>
      <w:tr w:rsidR="005F73E8" w:rsidRPr="005F73E8" w:rsidTr="005F73E8">
        <w:trPr>
          <w:trHeight w:val="349"/>
        </w:trPr>
        <w:tc>
          <w:tcPr>
            <w:tcW w:w="2518" w:type="dxa"/>
            <w:tcBorders>
              <w:top w:val="single" w:sz="4" w:space="0" w:color="auto"/>
              <w:left w:val="nil"/>
              <w:bottom w:val="nil"/>
              <w:right w:val="nil"/>
            </w:tcBorders>
          </w:tcPr>
          <w:p w:rsidR="005F73E8" w:rsidRPr="005F73E8" w:rsidRDefault="005F73E8">
            <w:pPr>
              <w:kinsoku w:val="0"/>
              <w:overflowPunct w:val="0"/>
              <w:ind w:left="117"/>
              <w:jc w:val="center"/>
              <w:rPr>
                <w:rFonts w:ascii="Times New Roman" w:hAnsi="Times New Roman" w:cs="Times New Roman"/>
                <w:b/>
                <w:bCs/>
                <w:sz w:val="20"/>
                <w:szCs w:val="20"/>
                <w:lang w:val="de-DE"/>
              </w:rPr>
            </w:pPr>
          </w:p>
        </w:tc>
        <w:tc>
          <w:tcPr>
            <w:tcW w:w="4536" w:type="dxa"/>
            <w:gridSpan w:val="2"/>
            <w:tcBorders>
              <w:top w:val="single" w:sz="4" w:space="0" w:color="auto"/>
              <w:left w:val="nil"/>
              <w:bottom w:val="nil"/>
              <w:right w:val="nil"/>
            </w:tcBorders>
            <w:hideMark/>
          </w:tcPr>
          <w:p w:rsidR="005F73E8" w:rsidRPr="005F73E8" w:rsidRDefault="005F73E8">
            <w:pPr>
              <w:kinsoku w:val="0"/>
              <w:overflowPunct w:val="0"/>
              <w:ind w:left="117"/>
              <w:jc w:val="center"/>
              <w:rPr>
                <w:rFonts w:ascii="Times New Roman" w:hAnsi="Times New Roman" w:cs="Times New Roman"/>
                <w:b/>
                <w:sz w:val="20"/>
                <w:szCs w:val="20"/>
                <w:lang w:val="de-DE"/>
              </w:rPr>
            </w:pPr>
            <w:r w:rsidRPr="005F73E8">
              <w:rPr>
                <w:rFonts w:ascii="Times New Roman" w:hAnsi="Times New Roman" w:cs="Times New Roman"/>
                <w:b/>
                <w:sz w:val="20"/>
                <w:szCs w:val="20"/>
                <w:lang w:val="de-DE"/>
              </w:rPr>
              <w:t>Hazard ratio (HR)</w:t>
            </w:r>
          </w:p>
        </w:tc>
        <w:tc>
          <w:tcPr>
            <w:tcW w:w="1753" w:type="dxa"/>
            <w:tcBorders>
              <w:top w:val="single" w:sz="4" w:space="0" w:color="auto"/>
              <w:left w:val="nil"/>
              <w:bottom w:val="nil"/>
              <w:right w:val="nil"/>
            </w:tcBorders>
          </w:tcPr>
          <w:p w:rsidR="005F73E8" w:rsidRPr="005F73E8" w:rsidRDefault="005F73E8">
            <w:pPr>
              <w:kinsoku w:val="0"/>
              <w:overflowPunct w:val="0"/>
              <w:ind w:left="117"/>
              <w:jc w:val="center"/>
              <w:rPr>
                <w:rFonts w:ascii="Times New Roman" w:hAnsi="Times New Roman" w:cs="Times New Roman"/>
                <w:b/>
                <w:sz w:val="20"/>
                <w:szCs w:val="20"/>
                <w:lang w:val="de-DE"/>
              </w:rPr>
            </w:pPr>
          </w:p>
        </w:tc>
      </w:tr>
      <w:tr w:rsidR="005F73E8" w:rsidRPr="005F73E8" w:rsidTr="005F73E8">
        <w:trPr>
          <w:trHeight w:val="349"/>
        </w:trPr>
        <w:tc>
          <w:tcPr>
            <w:tcW w:w="2518" w:type="dxa"/>
            <w:tcBorders>
              <w:top w:val="nil"/>
              <w:left w:val="nil"/>
              <w:bottom w:val="nil"/>
              <w:right w:val="nil"/>
            </w:tcBorders>
          </w:tcPr>
          <w:p w:rsidR="005F73E8" w:rsidRPr="005F73E8" w:rsidRDefault="005F73E8">
            <w:pPr>
              <w:kinsoku w:val="0"/>
              <w:overflowPunct w:val="0"/>
              <w:ind w:left="117"/>
              <w:jc w:val="center"/>
              <w:rPr>
                <w:rFonts w:ascii="Times New Roman" w:hAnsi="Times New Roman" w:cs="Times New Roman"/>
                <w:b/>
                <w:bCs/>
                <w:sz w:val="20"/>
                <w:szCs w:val="20"/>
                <w:lang w:val="de-DE"/>
              </w:rPr>
            </w:pPr>
          </w:p>
        </w:tc>
        <w:tc>
          <w:tcPr>
            <w:tcW w:w="4536" w:type="dxa"/>
            <w:gridSpan w:val="2"/>
            <w:tcBorders>
              <w:top w:val="nil"/>
              <w:left w:val="nil"/>
              <w:bottom w:val="nil"/>
              <w:right w:val="nil"/>
            </w:tcBorders>
            <w:hideMark/>
          </w:tcPr>
          <w:p w:rsidR="005F73E8" w:rsidRPr="005F73E8" w:rsidRDefault="005F73E8">
            <w:pPr>
              <w:kinsoku w:val="0"/>
              <w:overflowPunct w:val="0"/>
              <w:ind w:left="117"/>
              <w:jc w:val="center"/>
              <w:rPr>
                <w:rFonts w:ascii="Times New Roman" w:hAnsi="Times New Roman" w:cs="Times New Roman"/>
                <w:b/>
                <w:sz w:val="20"/>
                <w:szCs w:val="20"/>
                <w:lang w:val="de-DE"/>
              </w:rPr>
            </w:pPr>
            <w:r w:rsidRPr="005F73E8">
              <w:rPr>
                <w:rFonts w:ascii="Times New Roman" w:hAnsi="Times New Roman" w:cs="Times New Roman"/>
                <w:b/>
                <w:sz w:val="20"/>
                <w:szCs w:val="20"/>
                <w:lang w:val="de-DE"/>
              </w:rPr>
              <w:t>within 12 months (99.99% CI)</w:t>
            </w:r>
          </w:p>
        </w:tc>
        <w:tc>
          <w:tcPr>
            <w:tcW w:w="1753" w:type="dxa"/>
            <w:tcBorders>
              <w:top w:val="nil"/>
              <w:left w:val="nil"/>
              <w:bottom w:val="nil"/>
              <w:right w:val="nil"/>
            </w:tcBorders>
          </w:tcPr>
          <w:p w:rsidR="005F73E8" w:rsidRPr="005F73E8" w:rsidRDefault="005F73E8">
            <w:pPr>
              <w:kinsoku w:val="0"/>
              <w:overflowPunct w:val="0"/>
              <w:ind w:left="117"/>
              <w:jc w:val="center"/>
              <w:rPr>
                <w:rFonts w:ascii="Times New Roman" w:hAnsi="Times New Roman" w:cs="Times New Roman"/>
                <w:b/>
                <w:sz w:val="20"/>
                <w:szCs w:val="20"/>
                <w:lang w:val="de-DE"/>
              </w:rPr>
            </w:pPr>
          </w:p>
        </w:tc>
      </w:tr>
      <w:tr w:rsidR="005F73E8" w:rsidRPr="005F73E8" w:rsidTr="005F73E8">
        <w:trPr>
          <w:trHeight w:val="349"/>
        </w:trPr>
        <w:tc>
          <w:tcPr>
            <w:tcW w:w="2518" w:type="dxa"/>
            <w:tcBorders>
              <w:top w:val="nil"/>
              <w:left w:val="nil"/>
              <w:bottom w:val="nil"/>
              <w:right w:val="nil"/>
            </w:tcBorders>
            <w:hideMark/>
          </w:tcPr>
          <w:p w:rsidR="005F73E8" w:rsidRPr="005F73E8" w:rsidRDefault="005F73E8">
            <w:pPr>
              <w:kinsoku w:val="0"/>
              <w:overflowPunct w:val="0"/>
              <w:ind w:left="117"/>
              <w:jc w:val="center"/>
              <w:rPr>
                <w:rFonts w:ascii="Times New Roman" w:hAnsi="Times New Roman" w:cs="Times New Roman"/>
                <w:b/>
                <w:bCs/>
                <w:sz w:val="20"/>
                <w:szCs w:val="20"/>
                <w:lang w:val="de-DE"/>
              </w:rPr>
            </w:pPr>
            <w:r w:rsidRPr="005F73E8">
              <w:rPr>
                <w:rFonts w:ascii="Times New Roman" w:hAnsi="Times New Roman" w:cs="Times New Roman"/>
                <w:sz w:val="20"/>
                <w:szCs w:val="20"/>
                <w:lang w:val="de-DE"/>
              </w:rPr>
              <w:t>Time-to cCCyR</w:t>
            </w:r>
          </w:p>
        </w:tc>
        <w:tc>
          <w:tcPr>
            <w:tcW w:w="4536" w:type="dxa"/>
            <w:gridSpan w:val="2"/>
            <w:tcBorders>
              <w:top w:val="nil"/>
              <w:left w:val="nil"/>
              <w:bottom w:val="nil"/>
              <w:right w:val="nil"/>
            </w:tcBorders>
            <w:hideMark/>
          </w:tcPr>
          <w:p w:rsidR="005F73E8" w:rsidRPr="005F73E8" w:rsidRDefault="005F73E8">
            <w:pPr>
              <w:kinsoku w:val="0"/>
              <w:overflowPunct w:val="0"/>
              <w:ind w:left="117"/>
              <w:jc w:val="center"/>
              <w:rPr>
                <w:rFonts w:ascii="Times New Roman" w:hAnsi="Times New Roman" w:cs="Times New Roman"/>
                <w:b/>
                <w:sz w:val="20"/>
                <w:szCs w:val="20"/>
                <w:lang w:val="de-DE"/>
              </w:rPr>
            </w:pPr>
            <w:r w:rsidRPr="005F73E8">
              <w:rPr>
                <w:rFonts w:ascii="Times New Roman" w:hAnsi="Times New Roman" w:cs="Times New Roman"/>
                <w:sz w:val="20"/>
                <w:szCs w:val="20"/>
                <w:lang w:val="de-DE"/>
              </w:rPr>
              <w:t>1.55 (1.0-2.3)</w:t>
            </w:r>
          </w:p>
        </w:tc>
        <w:tc>
          <w:tcPr>
            <w:tcW w:w="1753" w:type="dxa"/>
            <w:tcBorders>
              <w:top w:val="nil"/>
              <w:left w:val="nil"/>
              <w:bottom w:val="nil"/>
              <w:right w:val="nil"/>
            </w:tcBorders>
            <w:hideMark/>
          </w:tcPr>
          <w:p w:rsidR="005F73E8" w:rsidRPr="005F73E8" w:rsidRDefault="005F73E8">
            <w:pPr>
              <w:kinsoku w:val="0"/>
              <w:overflowPunct w:val="0"/>
              <w:ind w:left="117"/>
              <w:jc w:val="center"/>
              <w:rPr>
                <w:rFonts w:ascii="Times New Roman" w:hAnsi="Times New Roman" w:cs="Times New Roman"/>
                <w:b/>
                <w:sz w:val="20"/>
                <w:szCs w:val="20"/>
                <w:lang w:val="de-DE"/>
              </w:rPr>
            </w:pPr>
            <w:r w:rsidRPr="005F73E8">
              <w:rPr>
                <w:rFonts w:ascii="Times New Roman" w:hAnsi="Times New Roman" w:cs="Times New Roman"/>
                <w:sz w:val="20"/>
                <w:szCs w:val="20"/>
                <w:lang w:val="de-DE"/>
              </w:rPr>
              <w:t>p&lt; 0.0001*</w:t>
            </w:r>
          </w:p>
        </w:tc>
      </w:tr>
      <w:tr w:rsidR="005F73E8" w:rsidRPr="005F73E8" w:rsidTr="005F73E8">
        <w:trPr>
          <w:trHeight w:val="349"/>
        </w:trPr>
        <w:tc>
          <w:tcPr>
            <w:tcW w:w="2518" w:type="dxa"/>
            <w:tcBorders>
              <w:top w:val="nil"/>
              <w:left w:val="nil"/>
              <w:bottom w:val="nil"/>
              <w:right w:val="nil"/>
            </w:tcBorders>
            <w:hideMark/>
          </w:tcPr>
          <w:p w:rsidR="005F73E8" w:rsidRPr="005F73E8" w:rsidRDefault="005F73E8">
            <w:pPr>
              <w:kinsoku w:val="0"/>
              <w:overflowPunct w:val="0"/>
              <w:ind w:left="117"/>
              <w:jc w:val="center"/>
              <w:rPr>
                <w:rFonts w:ascii="Times New Roman" w:hAnsi="Times New Roman" w:cs="Times New Roman"/>
                <w:sz w:val="20"/>
                <w:szCs w:val="20"/>
                <w:lang w:val="de-DE"/>
              </w:rPr>
            </w:pPr>
            <w:r w:rsidRPr="005F73E8">
              <w:rPr>
                <w:rFonts w:ascii="Times New Roman" w:hAnsi="Times New Roman" w:cs="Times New Roman"/>
                <w:sz w:val="20"/>
                <w:szCs w:val="20"/>
                <w:lang w:val="de-DE"/>
              </w:rPr>
              <w:t>Time-to MMR</w:t>
            </w:r>
          </w:p>
        </w:tc>
        <w:tc>
          <w:tcPr>
            <w:tcW w:w="4536" w:type="dxa"/>
            <w:gridSpan w:val="2"/>
            <w:tcBorders>
              <w:top w:val="nil"/>
              <w:left w:val="nil"/>
              <w:bottom w:val="nil"/>
              <w:right w:val="nil"/>
            </w:tcBorders>
            <w:hideMark/>
          </w:tcPr>
          <w:p w:rsidR="005F73E8" w:rsidRPr="005F73E8" w:rsidRDefault="005F73E8">
            <w:pPr>
              <w:kinsoku w:val="0"/>
              <w:overflowPunct w:val="0"/>
              <w:ind w:left="117"/>
              <w:jc w:val="center"/>
              <w:rPr>
                <w:rFonts w:ascii="Times New Roman" w:hAnsi="Times New Roman" w:cs="Times New Roman"/>
                <w:sz w:val="20"/>
                <w:szCs w:val="20"/>
                <w:lang w:val="de-DE"/>
              </w:rPr>
            </w:pPr>
            <w:r w:rsidRPr="005F73E8">
              <w:rPr>
                <w:rFonts w:ascii="Times New Roman" w:hAnsi="Times New Roman" w:cs="Times New Roman"/>
                <w:sz w:val="20"/>
                <w:szCs w:val="20"/>
                <w:lang w:val="de-DE"/>
              </w:rPr>
              <w:t>2.01 (1.2-3.4)</w:t>
            </w:r>
          </w:p>
        </w:tc>
        <w:tc>
          <w:tcPr>
            <w:tcW w:w="1753" w:type="dxa"/>
            <w:tcBorders>
              <w:top w:val="nil"/>
              <w:left w:val="nil"/>
              <w:bottom w:val="nil"/>
              <w:right w:val="nil"/>
            </w:tcBorders>
            <w:hideMark/>
          </w:tcPr>
          <w:p w:rsidR="005F73E8" w:rsidRPr="005F73E8" w:rsidRDefault="005F73E8">
            <w:pPr>
              <w:kinsoku w:val="0"/>
              <w:overflowPunct w:val="0"/>
              <w:ind w:left="117"/>
              <w:jc w:val="center"/>
              <w:rPr>
                <w:rFonts w:ascii="Times New Roman" w:hAnsi="Times New Roman" w:cs="Times New Roman"/>
                <w:sz w:val="20"/>
                <w:szCs w:val="20"/>
                <w:lang w:val="de-DE"/>
              </w:rPr>
            </w:pPr>
            <w:r w:rsidRPr="005F73E8">
              <w:rPr>
                <w:rFonts w:ascii="Times New Roman" w:hAnsi="Times New Roman" w:cs="Times New Roman"/>
                <w:sz w:val="20"/>
                <w:szCs w:val="20"/>
                <w:lang w:val="de-DE"/>
              </w:rPr>
              <w:t>p&lt; 0.0001*</w:t>
            </w:r>
          </w:p>
        </w:tc>
      </w:tr>
      <w:tr w:rsidR="005F73E8" w:rsidRPr="005F73E8" w:rsidTr="005F73E8">
        <w:trPr>
          <w:trHeight w:val="349"/>
        </w:trPr>
        <w:tc>
          <w:tcPr>
            <w:tcW w:w="2518" w:type="dxa"/>
            <w:tcBorders>
              <w:top w:val="nil"/>
              <w:left w:val="nil"/>
              <w:bottom w:val="nil"/>
              <w:right w:val="nil"/>
            </w:tcBorders>
            <w:hideMark/>
          </w:tcPr>
          <w:p w:rsidR="005F73E8" w:rsidRPr="005F73E8" w:rsidRDefault="005F73E8">
            <w:pPr>
              <w:kinsoku w:val="0"/>
              <w:overflowPunct w:val="0"/>
              <w:ind w:left="117"/>
              <w:jc w:val="center"/>
              <w:rPr>
                <w:rFonts w:ascii="Times New Roman" w:hAnsi="Times New Roman" w:cs="Times New Roman"/>
                <w:sz w:val="20"/>
                <w:szCs w:val="20"/>
                <w:lang w:val="de-DE"/>
              </w:rPr>
            </w:pPr>
            <w:r w:rsidRPr="005F73E8">
              <w:rPr>
                <w:rFonts w:ascii="Times New Roman" w:hAnsi="Times New Roman" w:cs="Times New Roman"/>
                <w:sz w:val="20"/>
                <w:szCs w:val="20"/>
                <w:lang w:val="de-DE"/>
              </w:rPr>
              <w:t>Durability of cCCyR</w:t>
            </w:r>
          </w:p>
        </w:tc>
        <w:tc>
          <w:tcPr>
            <w:tcW w:w="4536" w:type="dxa"/>
            <w:gridSpan w:val="2"/>
            <w:tcBorders>
              <w:top w:val="nil"/>
              <w:left w:val="nil"/>
              <w:bottom w:val="nil"/>
              <w:right w:val="nil"/>
            </w:tcBorders>
            <w:hideMark/>
          </w:tcPr>
          <w:p w:rsidR="005F73E8" w:rsidRPr="005F73E8" w:rsidRDefault="005F73E8">
            <w:pPr>
              <w:kinsoku w:val="0"/>
              <w:overflowPunct w:val="0"/>
              <w:ind w:left="117"/>
              <w:jc w:val="center"/>
              <w:rPr>
                <w:rFonts w:ascii="Times New Roman" w:hAnsi="Times New Roman" w:cs="Times New Roman"/>
                <w:sz w:val="20"/>
                <w:szCs w:val="20"/>
                <w:lang w:val="de-DE"/>
              </w:rPr>
            </w:pPr>
            <w:r w:rsidRPr="005F73E8">
              <w:rPr>
                <w:rFonts w:ascii="Times New Roman" w:hAnsi="Times New Roman" w:cs="Times New Roman"/>
                <w:sz w:val="20"/>
                <w:szCs w:val="20"/>
                <w:lang w:val="de-DE"/>
              </w:rPr>
              <w:t>0.7 (0.4-1.4)</w:t>
            </w:r>
          </w:p>
        </w:tc>
        <w:tc>
          <w:tcPr>
            <w:tcW w:w="1753" w:type="dxa"/>
            <w:tcBorders>
              <w:top w:val="nil"/>
              <w:left w:val="nil"/>
              <w:bottom w:val="nil"/>
              <w:right w:val="nil"/>
            </w:tcBorders>
            <w:hideMark/>
          </w:tcPr>
          <w:p w:rsidR="005F73E8" w:rsidRPr="005F73E8" w:rsidRDefault="005F73E8">
            <w:pPr>
              <w:kinsoku w:val="0"/>
              <w:overflowPunct w:val="0"/>
              <w:ind w:left="117"/>
              <w:jc w:val="center"/>
              <w:rPr>
                <w:rFonts w:ascii="Times New Roman" w:hAnsi="Times New Roman" w:cs="Times New Roman"/>
                <w:sz w:val="20"/>
                <w:szCs w:val="20"/>
                <w:lang w:val="de-DE"/>
              </w:rPr>
            </w:pPr>
            <w:r w:rsidRPr="005F73E8">
              <w:rPr>
                <w:rFonts w:ascii="Times New Roman" w:hAnsi="Times New Roman" w:cs="Times New Roman"/>
                <w:sz w:val="20"/>
                <w:szCs w:val="20"/>
                <w:lang w:val="de-DE"/>
              </w:rPr>
              <w:t>p&lt; 0.035</w:t>
            </w:r>
          </w:p>
        </w:tc>
      </w:tr>
      <w:tr w:rsidR="005F73E8" w:rsidRPr="005F73E8" w:rsidTr="005F73E8">
        <w:trPr>
          <w:trHeight w:val="349"/>
        </w:trPr>
        <w:tc>
          <w:tcPr>
            <w:tcW w:w="2518" w:type="dxa"/>
            <w:tcBorders>
              <w:top w:val="nil"/>
              <w:left w:val="nil"/>
              <w:bottom w:val="nil"/>
              <w:right w:val="nil"/>
            </w:tcBorders>
          </w:tcPr>
          <w:p w:rsidR="005F73E8" w:rsidRPr="005F73E8" w:rsidRDefault="005F73E8">
            <w:pPr>
              <w:kinsoku w:val="0"/>
              <w:overflowPunct w:val="0"/>
              <w:ind w:left="117"/>
              <w:jc w:val="center"/>
              <w:rPr>
                <w:rFonts w:ascii="Times New Roman" w:hAnsi="Times New Roman" w:cs="Times New Roman"/>
                <w:sz w:val="20"/>
                <w:szCs w:val="20"/>
                <w:lang w:val="de-DE"/>
              </w:rPr>
            </w:pPr>
          </w:p>
        </w:tc>
        <w:tc>
          <w:tcPr>
            <w:tcW w:w="4536" w:type="dxa"/>
            <w:gridSpan w:val="2"/>
            <w:tcBorders>
              <w:top w:val="nil"/>
              <w:left w:val="nil"/>
              <w:bottom w:val="nil"/>
              <w:right w:val="nil"/>
            </w:tcBorders>
            <w:hideMark/>
          </w:tcPr>
          <w:p w:rsidR="005F73E8" w:rsidRPr="005F73E8" w:rsidRDefault="005F73E8">
            <w:pPr>
              <w:kinsoku w:val="0"/>
              <w:overflowPunct w:val="0"/>
              <w:ind w:left="117"/>
              <w:jc w:val="center"/>
              <w:rPr>
                <w:rFonts w:ascii="Times New Roman" w:hAnsi="Times New Roman" w:cs="Times New Roman"/>
                <w:sz w:val="20"/>
                <w:szCs w:val="20"/>
                <w:lang w:val="de-DE"/>
              </w:rPr>
            </w:pPr>
            <w:r w:rsidRPr="005F73E8">
              <w:rPr>
                <w:rFonts w:ascii="Times New Roman" w:hAnsi="Times New Roman" w:cs="Times New Roman"/>
                <w:b/>
                <w:sz w:val="20"/>
                <w:szCs w:val="20"/>
                <w:lang w:val="de-DE"/>
              </w:rPr>
              <w:t>within 24 months (95% CI)</w:t>
            </w:r>
          </w:p>
        </w:tc>
        <w:tc>
          <w:tcPr>
            <w:tcW w:w="1753" w:type="dxa"/>
            <w:tcBorders>
              <w:top w:val="nil"/>
              <w:left w:val="nil"/>
              <w:bottom w:val="nil"/>
              <w:right w:val="nil"/>
            </w:tcBorders>
          </w:tcPr>
          <w:p w:rsidR="005F73E8" w:rsidRPr="005F73E8" w:rsidRDefault="005F73E8">
            <w:pPr>
              <w:kinsoku w:val="0"/>
              <w:overflowPunct w:val="0"/>
              <w:ind w:left="117"/>
              <w:jc w:val="center"/>
              <w:rPr>
                <w:rFonts w:ascii="Times New Roman" w:hAnsi="Times New Roman" w:cs="Times New Roman"/>
                <w:sz w:val="20"/>
                <w:szCs w:val="20"/>
                <w:lang w:val="de-DE"/>
              </w:rPr>
            </w:pPr>
          </w:p>
        </w:tc>
      </w:tr>
      <w:tr w:rsidR="005F73E8" w:rsidRPr="005F73E8" w:rsidTr="005F73E8">
        <w:trPr>
          <w:trHeight w:val="349"/>
        </w:trPr>
        <w:tc>
          <w:tcPr>
            <w:tcW w:w="2518" w:type="dxa"/>
            <w:tcBorders>
              <w:top w:val="nil"/>
              <w:left w:val="nil"/>
              <w:bottom w:val="nil"/>
              <w:right w:val="nil"/>
            </w:tcBorders>
            <w:hideMark/>
          </w:tcPr>
          <w:p w:rsidR="005F73E8" w:rsidRPr="005F73E8" w:rsidRDefault="005F73E8">
            <w:pPr>
              <w:kinsoku w:val="0"/>
              <w:overflowPunct w:val="0"/>
              <w:ind w:left="117"/>
              <w:jc w:val="center"/>
              <w:rPr>
                <w:rFonts w:ascii="Times New Roman" w:hAnsi="Times New Roman" w:cs="Times New Roman"/>
                <w:sz w:val="20"/>
                <w:szCs w:val="20"/>
                <w:lang w:val="de-DE"/>
              </w:rPr>
            </w:pPr>
            <w:r w:rsidRPr="005F73E8">
              <w:rPr>
                <w:rFonts w:ascii="Times New Roman" w:hAnsi="Times New Roman" w:cs="Times New Roman"/>
                <w:sz w:val="20"/>
                <w:szCs w:val="20"/>
                <w:lang w:val="de-DE"/>
              </w:rPr>
              <w:t>Time-to cCCyR</w:t>
            </w:r>
          </w:p>
        </w:tc>
        <w:tc>
          <w:tcPr>
            <w:tcW w:w="4536" w:type="dxa"/>
            <w:gridSpan w:val="2"/>
            <w:tcBorders>
              <w:top w:val="nil"/>
              <w:left w:val="nil"/>
              <w:bottom w:val="nil"/>
              <w:right w:val="nil"/>
            </w:tcBorders>
            <w:hideMark/>
          </w:tcPr>
          <w:p w:rsidR="005F73E8" w:rsidRPr="005F73E8" w:rsidRDefault="005F73E8">
            <w:pPr>
              <w:kinsoku w:val="0"/>
              <w:overflowPunct w:val="0"/>
              <w:ind w:left="117"/>
              <w:jc w:val="center"/>
              <w:rPr>
                <w:rFonts w:ascii="Times New Roman" w:hAnsi="Times New Roman" w:cs="Times New Roman"/>
                <w:b/>
                <w:sz w:val="20"/>
                <w:szCs w:val="20"/>
                <w:lang w:val="de-DE"/>
              </w:rPr>
            </w:pPr>
            <w:r w:rsidRPr="005F73E8">
              <w:rPr>
                <w:rFonts w:ascii="Times New Roman" w:hAnsi="Times New Roman" w:cs="Times New Roman"/>
                <w:sz w:val="20"/>
                <w:szCs w:val="20"/>
                <w:lang w:val="de-DE"/>
              </w:rPr>
              <w:t>1.49 (1.22-1.82)</w:t>
            </w:r>
          </w:p>
        </w:tc>
        <w:tc>
          <w:tcPr>
            <w:tcW w:w="1753" w:type="dxa"/>
            <w:tcBorders>
              <w:top w:val="nil"/>
              <w:left w:val="nil"/>
              <w:bottom w:val="nil"/>
              <w:right w:val="nil"/>
            </w:tcBorders>
            <w:hideMark/>
          </w:tcPr>
          <w:p w:rsidR="005F73E8" w:rsidRPr="005F73E8" w:rsidRDefault="005F73E8">
            <w:pPr>
              <w:kinsoku w:val="0"/>
              <w:overflowPunct w:val="0"/>
              <w:ind w:left="117"/>
              <w:jc w:val="center"/>
              <w:rPr>
                <w:rFonts w:ascii="Times New Roman" w:hAnsi="Times New Roman" w:cs="Times New Roman"/>
                <w:b/>
                <w:sz w:val="20"/>
                <w:szCs w:val="20"/>
                <w:lang w:val="de-DE"/>
              </w:rPr>
            </w:pPr>
            <w:r w:rsidRPr="005F73E8">
              <w:rPr>
                <w:rFonts w:ascii="Cambria Math" w:hAnsi="Cambria Math" w:cs="Cambria Math"/>
                <w:w w:val="166"/>
              </w:rPr>
              <w:t>⎯</w:t>
            </w:r>
          </w:p>
        </w:tc>
      </w:tr>
      <w:tr w:rsidR="005F73E8" w:rsidRPr="005F73E8" w:rsidTr="005F73E8">
        <w:trPr>
          <w:trHeight w:val="349"/>
        </w:trPr>
        <w:tc>
          <w:tcPr>
            <w:tcW w:w="2518" w:type="dxa"/>
            <w:tcBorders>
              <w:top w:val="nil"/>
              <w:left w:val="nil"/>
              <w:bottom w:val="nil"/>
              <w:right w:val="nil"/>
            </w:tcBorders>
            <w:hideMark/>
          </w:tcPr>
          <w:p w:rsidR="005F73E8" w:rsidRPr="005F73E8" w:rsidRDefault="005F73E8">
            <w:pPr>
              <w:kinsoku w:val="0"/>
              <w:overflowPunct w:val="0"/>
              <w:ind w:left="117"/>
              <w:jc w:val="center"/>
              <w:rPr>
                <w:rFonts w:ascii="Times New Roman" w:hAnsi="Times New Roman" w:cs="Times New Roman"/>
                <w:sz w:val="20"/>
                <w:szCs w:val="20"/>
                <w:lang w:val="de-DE"/>
              </w:rPr>
            </w:pPr>
            <w:r w:rsidRPr="005F73E8">
              <w:rPr>
                <w:rFonts w:ascii="Times New Roman" w:hAnsi="Times New Roman" w:cs="Times New Roman"/>
                <w:sz w:val="20"/>
                <w:szCs w:val="20"/>
                <w:lang w:val="de-DE"/>
              </w:rPr>
              <w:t>Time-to MMR</w:t>
            </w:r>
          </w:p>
        </w:tc>
        <w:tc>
          <w:tcPr>
            <w:tcW w:w="4536" w:type="dxa"/>
            <w:gridSpan w:val="2"/>
            <w:tcBorders>
              <w:top w:val="nil"/>
              <w:left w:val="nil"/>
              <w:bottom w:val="nil"/>
              <w:right w:val="nil"/>
            </w:tcBorders>
            <w:hideMark/>
          </w:tcPr>
          <w:p w:rsidR="005F73E8" w:rsidRPr="005F73E8" w:rsidRDefault="005F73E8">
            <w:pPr>
              <w:kinsoku w:val="0"/>
              <w:overflowPunct w:val="0"/>
              <w:ind w:left="117"/>
              <w:jc w:val="center"/>
              <w:rPr>
                <w:rFonts w:ascii="Times New Roman" w:hAnsi="Times New Roman" w:cs="Times New Roman"/>
                <w:sz w:val="20"/>
                <w:szCs w:val="20"/>
                <w:lang w:val="de-DE"/>
              </w:rPr>
            </w:pPr>
            <w:r w:rsidRPr="005F73E8">
              <w:rPr>
                <w:rFonts w:ascii="Times New Roman" w:hAnsi="Times New Roman" w:cs="Times New Roman"/>
                <w:sz w:val="20"/>
                <w:szCs w:val="20"/>
                <w:lang w:val="de-DE"/>
              </w:rPr>
              <w:t>1.69 (1.34-2.12)</w:t>
            </w:r>
          </w:p>
        </w:tc>
        <w:tc>
          <w:tcPr>
            <w:tcW w:w="1753" w:type="dxa"/>
            <w:tcBorders>
              <w:top w:val="nil"/>
              <w:left w:val="nil"/>
              <w:bottom w:val="nil"/>
              <w:right w:val="nil"/>
            </w:tcBorders>
            <w:hideMark/>
          </w:tcPr>
          <w:p w:rsidR="005F73E8" w:rsidRPr="005F73E8" w:rsidRDefault="005F73E8">
            <w:pPr>
              <w:kinsoku w:val="0"/>
              <w:overflowPunct w:val="0"/>
              <w:ind w:left="117"/>
              <w:jc w:val="center"/>
              <w:rPr>
                <w:rFonts w:ascii="Times New Roman" w:eastAsia="Times New Roman" w:hAnsi="Times New Roman" w:cs="Times New Roman"/>
                <w:w w:val="166"/>
                <w:sz w:val="22"/>
              </w:rPr>
            </w:pPr>
            <w:r w:rsidRPr="005F73E8">
              <w:rPr>
                <w:rFonts w:ascii="Cambria Math" w:hAnsi="Cambria Math" w:cs="Cambria Math"/>
                <w:w w:val="166"/>
              </w:rPr>
              <w:t>⎯</w:t>
            </w:r>
          </w:p>
        </w:tc>
      </w:tr>
      <w:tr w:rsidR="005F73E8" w:rsidRPr="005F73E8" w:rsidTr="005F73E8">
        <w:trPr>
          <w:trHeight w:val="349"/>
        </w:trPr>
        <w:tc>
          <w:tcPr>
            <w:tcW w:w="2518" w:type="dxa"/>
            <w:tcBorders>
              <w:top w:val="nil"/>
              <w:left w:val="nil"/>
              <w:bottom w:val="nil"/>
              <w:right w:val="nil"/>
            </w:tcBorders>
            <w:hideMark/>
          </w:tcPr>
          <w:p w:rsidR="005F73E8" w:rsidRPr="005F73E8" w:rsidRDefault="005F73E8">
            <w:pPr>
              <w:kinsoku w:val="0"/>
              <w:overflowPunct w:val="0"/>
              <w:ind w:left="117"/>
              <w:jc w:val="center"/>
              <w:rPr>
                <w:rFonts w:ascii="Times New Roman" w:hAnsi="Times New Roman" w:cs="Times New Roman"/>
                <w:sz w:val="20"/>
                <w:szCs w:val="20"/>
                <w:lang w:val="de-DE"/>
              </w:rPr>
            </w:pPr>
            <w:r w:rsidRPr="005F73E8">
              <w:rPr>
                <w:rFonts w:ascii="Times New Roman" w:hAnsi="Times New Roman" w:cs="Times New Roman"/>
                <w:sz w:val="20"/>
                <w:szCs w:val="20"/>
                <w:lang w:val="de-DE"/>
              </w:rPr>
              <w:t>Durability of cCCyR</w:t>
            </w:r>
          </w:p>
        </w:tc>
        <w:tc>
          <w:tcPr>
            <w:tcW w:w="4536" w:type="dxa"/>
            <w:gridSpan w:val="2"/>
            <w:tcBorders>
              <w:top w:val="nil"/>
              <w:left w:val="nil"/>
              <w:bottom w:val="nil"/>
              <w:right w:val="nil"/>
            </w:tcBorders>
            <w:hideMark/>
          </w:tcPr>
          <w:p w:rsidR="005F73E8" w:rsidRPr="005F73E8" w:rsidRDefault="005F73E8">
            <w:pPr>
              <w:kinsoku w:val="0"/>
              <w:overflowPunct w:val="0"/>
              <w:ind w:left="117"/>
              <w:jc w:val="center"/>
              <w:rPr>
                <w:rFonts w:ascii="Times New Roman" w:hAnsi="Times New Roman" w:cs="Times New Roman"/>
                <w:sz w:val="20"/>
                <w:szCs w:val="20"/>
                <w:lang w:val="de-DE"/>
              </w:rPr>
            </w:pPr>
            <w:r w:rsidRPr="005F73E8">
              <w:rPr>
                <w:rFonts w:ascii="Times New Roman" w:hAnsi="Times New Roman" w:cs="Times New Roman"/>
                <w:sz w:val="20"/>
                <w:szCs w:val="20"/>
                <w:lang w:val="de-DE"/>
              </w:rPr>
              <w:t>0.77 (0.55-1.10)</w:t>
            </w:r>
          </w:p>
        </w:tc>
        <w:tc>
          <w:tcPr>
            <w:tcW w:w="1753" w:type="dxa"/>
            <w:tcBorders>
              <w:top w:val="nil"/>
              <w:left w:val="nil"/>
              <w:bottom w:val="nil"/>
              <w:right w:val="nil"/>
            </w:tcBorders>
            <w:hideMark/>
          </w:tcPr>
          <w:p w:rsidR="005F73E8" w:rsidRPr="005F73E8" w:rsidRDefault="005F73E8">
            <w:pPr>
              <w:kinsoku w:val="0"/>
              <w:overflowPunct w:val="0"/>
              <w:ind w:left="117"/>
              <w:jc w:val="center"/>
              <w:rPr>
                <w:rFonts w:ascii="Times New Roman" w:eastAsia="Times New Roman" w:hAnsi="Times New Roman" w:cs="Times New Roman"/>
                <w:w w:val="166"/>
                <w:sz w:val="22"/>
              </w:rPr>
            </w:pPr>
            <w:r w:rsidRPr="005F73E8">
              <w:rPr>
                <w:rFonts w:ascii="Cambria Math" w:hAnsi="Cambria Math" w:cs="Cambria Math"/>
                <w:w w:val="166"/>
              </w:rPr>
              <w:t>⎯</w:t>
            </w:r>
          </w:p>
        </w:tc>
      </w:tr>
      <w:tr w:rsidR="005F73E8" w:rsidRPr="005F73E8" w:rsidTr="005F73E8">
        <w:trPr>
          <w:trHeight w:val="349"/>
        </w:trPr>
        <w:tc>
          <w:tcPr>
            <w:tcW w:w="2518" w:type="dxa"/>
            <w:tcBorders>
              <w:top w:val="nil"/>
              <w:left w:val="nil"/>
              <w:bottom w:val="nil"/>
              <w:right w:val="nil"/>
            </w:tcBorders>
          </w:tcPr>
          <w:p w:rsidR="005F73E8" w:rsidRPr="005F73E8" w:rsidRDefault="005F73E8">
            <w:pPr>
              <w:kinsoku w:val="0"/>
              <w:overflowPunct w:val="0"/>
              <w:ind w:left="117"/>
              <w:jc w:val="center"/>
              <w:rPr>
                <w:rFonts w:ascii="Times New Roman" w:hAnsi="Times New Roman" w:cs="Times New Roman"/>
                <w:sz w:val="20"/>
                <w:szCs w:val="20"/>
                <w:lang w:val="de-DE"/>
              </w:rPr>
            </w:pPr>
          </w:p>
        </w:tc>
        <w:tc>
          <w:tcPr>
            <w:tcW w:w="4536" w:type="dxa"/>
            <w:gridSpan w:val="2"/>
            <w:tcBorders>
              <w:top w:val="nil"/>
              <w:left w:val="nil"/>
              <w:bottom w:val="nil"/>
              <w:right w:val="nil"/>
            </w:tcBorders>
            <w:hideMark/>
          </w:tcPr>
          <w:p w:rsidR="005F73E8" w:rsidRPr="005F73E8" w:rsidRDefault="005F73E8">
            <w:pPr>
              <w:kinsoku w:val="0"/>
              <w:overflowPunct w:val="0"/>
              <w:ind w:left="117"/>
              <w:jc w:val="center"/>
              <w:rPr>
                <w:rFonts w:ascii="Times New Roman" w:eastAsia="Times New Roman" w:hAnsi="Times New Roman" w:cs="Times New Roman"/>
                <w:w w:val="166"/>
                <w:sz w:val="22"/>
              </w:rPr>
            </w:pPr>
            <w:r w:rsidRPr="005F73E8">
              <w:rPr>
                <w:rFonts w:ascii="Times New Roman" w:hAnsi="Times New Roman" w:cs="Times New Roman"/>
                <w:b/>
                <w:bCs/>
                <w:sz w:val="20"/>
                <w:szCs w:val="20"/>
                <w:lang w:val="de-DE"/>
              </w:rPr>
              <w:t>within 36 months (95% CI)</w:t>
            </w:r>
          </w:p>
        </w:tc>
        <w:tc>
          <w:tcPr>
            <w:tcW w:w="1753" w:type="dxa"/>
            <w:tcBorders>
              <w:top w:val="nil"/>
              <w:left w:val="nil"/>
              <w:bottom w:val="nil"/>
              <w:right w:val="nil"/>
            </w:tcBorders>
          </w:tcPr>
          <w:p w:rsidR="005F73E8" w:rsidRPr="005F73E8" w:rsidRDefault="005F73E8">
            <w:pPr>
              <w:kinsoku w:val="0"/>
              <w:overflowPunct w:val="0"/>
              <w:ind w:left="117"/>
              <w:jc w:val="center"/>
              <w:rPr>
                <w:rFonts w:ascii="Times New Roman" w:hAnsi="Times New Roman" w:cs="Times New Roman"/>
                <w:w w:val="166"/>
              </w:rPr>
            </w:pPr>
          </w:p>
        </w:tc>
      </w:tr>
      <w:tr w:rsidR="005F73E8" w:rsidRPr="005F73E8" w:rsidTr="005F73E8">
        <w:trPr>
          <w:trHeight w:val="349"/>
        </w:trPr>
        <w:tc>
          <w:tcPr>
            <w:tcW w:w="2518" w:type="dxa"/>
            <w:tcBorders>
              <w:top w:val="nil"/>
              <w:left w:val="nil"/>
              <w:bottom w:val="single" w:sz="4" w:space="0" w:color="auto"/>
              <w:right w:val="nil"/>
            </w:tcBorders>
            <w:hideMark/>
          </w:tcPr>
          <w:p w:rsidR="005F73E8" w:rsidRPr="005F73E8" w:rsidRDefault="005F73E8">
            <w:pPr>
              <w:kinsoku w:val="0"/>
              <w:overflowPunct w:val="0"/>
              <w:ind w:left="117"/>
              <w:jc w:val="center"/>
              <w:rPr>
                <w:rFonts w:ascii="Times New Roman" w:hAnsi="Times New Roman" w:cs="Times New Roman"/>
                <w:sz w:val="20"/>
                <w:szCs w:val="20"/>
                <w:lang w:val="de-DE"/>
              </w:rPr>
            </w:pPr>
            <w:r w:rsidRPr="005F73E8">
              <w:rPr>
                <w:rFonts w:ascii="Times New Roman" w:hAnsi="Times New Roman" w:cs="Times New Roman"/>
                <w:sz w:val="20"/>
                <w:szCs w:val="20"/>
                <w:lang w:val="de-DE"/>
              </w:rPr>
              <w:t>Time-to cCCyR</w:t>
            </w:r>
          </w:p>
        </w:tc>
        <w:tc>
          <w:tcPr>
            <w:tcW w:w="4536" w:type="dxa"/>
            <w:gridSpan w:val="2"/>
            <w:tcBorders>
              <w:top w:val="nil"/>
              <w:left w:val="nil"/>
              <w:bottom w:val="single" w:sz="4" w:space="0" w:color="auto"/>
              <w:right w:val="nil"/>
            </w:tcBorders>
            <w:hideMark/>
          </w:tcPr>
          <w:p w:rsidR="005F73E8" w:rsidRPr="005F73E8" w:rsidRDefault="005F73E8">
            <w:pPr>
              <w:kinsoku w:val="0"/>
              <w:overflowPunct w:val="0"/>
              <w:ind w:left="117"/>
              <w:jc w:val="center"/>
              <w:rPr>
                <w:rFonts w:ascii="Times New Roman" w:hAnsi="Times New Roman" w:cs="Times New Roman"/>
                <w:b/>
                <w:bCs/>
                <w:sz w:val="20"/>
                <w:szCs w:val="20"/>
                <w:lang w:val="de-DE"/>
              </w:rPr>
            </w:pPr>
            <w:r w:rsidRPr="005F73E8">
              <w:rPr>
                <w:rFonts w:ascii="Times New Roman" w:hAnsi="Times New Roman" w:cs="Times New Roman"/>
                <w:sz w:val="20"/>
                <w:szCs w:val="20"/>
                <w:lang w:val="de-DE"/>
              </w:rPr>
              <w:t xml:space="preserve">1.48 (1.22-1.80)                              </w:t>
            </w:r>
          </w:p>
        </w:tc>
        <w:tc>
          <w:tcPr>
            <w:tcW w:w="1753" w:type="dxa"/>
            <w:tcBorders>
              <w:top w:val="nil"/>
              <w:left w:val="nil"/>
              <w:bottom w:val="single" w:sz="4" w:space="0" w:color="auto"/>
              <w:right w:val="nil"/>
            </w:tcBorders>
            <w:hideMark/>
          </w:tcPr>
          <w:p w:rsidR="005F73E8" w:rsidRPr="005F73E8" w:rsidRDefault="005F73E8">
            <w:pPr>
              <w:kinsoku w:val="0"/>
              <w:overflowPunct w:val="0"/>
              <w:ind w:left="117"/>
              <w:jc w:val="center"/>
              <w:rPr>
                <w:rFonts w:ascii="Times New Roman" w:hAnsi="Times New Roman" w:cs="Times New Roman"/>
                <w:b/>
                <w:bCs/>
                <w:strike/>
                <w:sz w:val="22"/>
                <w:lang w:val="de-DE"/>
              </w:rPr>
            </w:pPr>
            <w:r w:rsidRPr="005F73E8">
              <w:rPr>
                <w:rFonts w:ascii="Times New Roman" w:hAnsi="Times New Roman" w:cs="Times New Roman"/>
                <w:bCs/>
                <w:lang w:val="de-DE"/>
              </w:rPr>
              <w:t xml:space="preserve"> </w:t>
            </w:r>
            <w:r w:rsidRPr="005F73E8">
              <w:rPr>
                <w:rFonts w:ascii="Cambria Math" w:hAnsi="Cambria Math" w:cs="Cambria Math"/>
                <w:b/>
                <w:bCs/>
              </w:rPr>
              <w:t>⎯</w:t>
            </w:r>
          </w:p>
        </w:tc>
      </w:tr>
      <w:tr w:rsidR="005F73E8" w:rsidRPr="005F73E8" w:rsidTr="005F73E8">
        <w:trPr>
          <w:trHeight w:val="240"/>
        </w:trPr>
        <w:tc>
          <w:tcPr>
            <w:tcW w:w="2518" w:type="dxa"/>
            <w:tcBorders>
              <w:top w:val="nil"/>
              <w:left w:val="nil"/>
              <w:bottom w:val="nil"/>
              <w:right w:val="nil"/>
            </w:tcBorders>
            <w:hideMark/>
          </w:tcPr>
          <w:p w:rsidR="005F73E8" w:rsidRPr="005F73E8" w:rsidRDefault="005F73E8">
            <w:pPr>
              <w:pStyle w:val="TableParagraph"/>
              <w:spacing w:before="5"/>
              <w:ind w:left="727" w:hanging="131"/>
              <w:rPr>
                <w:rFonts w:ascii="Times New Roman" w:eastAsia="Times New Roman" w:hAnsi="Times New Roman" w:cs="Times New Roman"/>
                <w:sz w:val="20"/>
              </w:rPr>
            </w:pPr>
            <w:r w:rsidRPr="005F73E8">
              <w:rPr>
                <w:rFonts w:ascii="Times New Roman" w:hAnsi="Times New Roman" w:cs="Times New Roman"/>
                <w:w w:val="105"/>
                <w:sz w:val="20"/>
              </w:rPr>
              <w:t>Time-to MMR</w:t>
            </w:r>
          </w:p>
        </w:tc>
        <w:tc>
          <w:tcPr>
            <w:tcW w:w="4536" w:type="dxa"/>
            <w:gridSpan w:val="2"/>
            <w:tcBorders>
              <w:top w:val="nil"/>
              <w:left w:val="nil"/>
              <w:bottom w:val="nil"/>
              <w:right w:val="nil"/>
            </w:tcBorders>
            <w:hideMark/>
          </w:tcPr>
          <w:p w:rsidR="005F73E8" w:rsidRPr="005F73E8" w:rsidRDefault="005F73E8">
            <w:pPr>
              <w:pStyle w:val="TableParagraph"/>
              <w:spacing w:before="5"/>
              <w:ind w:left="1384" w:firstLine="227"/>
              <w:rPr>
                <w:rFonts w:ascii="Times New Roman" w:hAnsi="Times New Roman" w:cs="Times New Roman"/>
                <w:sz w:val="20"/>
              </w:rPr>
            </w:pPr>
            <w:r w:rsidRPr="005F73E8">
              <w:rPr>
                <w:rFonts w:ascii="Times New Roman" w:hAnsi="Times New Roman" w:cs="Times New Roman"/>
                <w:w w:val="105"/>
                <w:sz w:val="20"/>
              </w:rPr>
              <w:t>1.59 (1.28-1.99)</w:t>
            </w:r>
          </w:p>
        </w:tc>
        <w:tc>
          <w:tcPr>
            <w:tcW w:w="1753" w:type="dxa"/>
            <w:tcBorders>
              <w:top w:val="nil"/>
              <w:left w:val="nil"/>
              <w:bottom w:val="nil"/>
              <w:right w:val="nil"/>
            </w:tcBorders>
            <w:hideMark/>
          </w:tcPr>
          <w:p w:rsidR="005F73E8" w:rsidRPr="005F73E8" w:rsidRDefault="005F73E8">
            <w:pPr>
              <w:pStyle w:val="TableParagraph"/>
              <w:spacing w:before="8" w:line="234" w:lineRule="exact"/>
              <w:ind w:left="5"/>
              <w:jc w:val="center"/>
              <w:rPr>
                <w:rFonts w:ascii="Times New Roman" w:hAnsi="Times New Roman" w:cs="Times New Roman"/>
                <w:sz w:val="20"/>
              </w:rPr>
            </w:pPr>
            <w:r w:rsidRPr="005F73E8">
              <w:rPr>
                <w:rFonts w:ascii="Times New Roman" w:hAnsi="Times New Roman" w:cs="Times New Roman"/>
                <w:w w:val="172"/>
                <w:sz w:val="20"/>
              </w:rPr>
              <w:sym w:font="Times New Roman" w:char="F02D"/>
            </w:r>
          </w:p>
        </w:tc>
      </w:tr>
      <w:tr w:rsidR="005F73E8" w:rsidRPr="005F73E8" w:rsidTr="005F73E8">
        <w:trPr>
          <w:trHeight w:val="240"/>
        </w:trPr>
        <w:tc>
          <w:tcPr>
            <w:tcW w:w="2518" w:type="dxa"/>
            <w:tcBorders>
              <w:top w:val="nil"/>
              <w:left w:val="nil"/>
              <w:bottom w:val="nil"/>
              <w:right w:val="nil"/>
            </w:tcBorders>
            <w:hideMark/>
          </w:tcPr>
          <w:p w:rsidR="005F73E8" w:rsidRPr="005F73E8" w:rsidRDefault="005F73E8">
            <w:pPr>
              <w:pStyle w:val="TableParagraph"/>
              <w:spacing w:line="228" w:lineRule="exact"/>
              <w:ind w:left="244" w:right="225"/>
              <w:jc w:val="center"/>
              <w:rPr>
                <w:rFonts w:ascii="Times New Roman" w:hAnsi="Times New Roman" w:cs="Times New Roman"/>
                <w:sz w:val="20"/>
              </w:rPr>
            </w:pPr>
            <w:r w:rsidRPr="005F73E8">
              <w:rPr>
                <w:rFonts w:ascii="Times New Roman" w:hAnsi="Times New Roman" w:cs="Times New Roman"/>
                <w:w w:val="105"/>
                <w:sz w:val="20"/>
              </w:rPr>
              <w:t>Durability of cCCyR</w:t>
            </w:r>
          </w:p>
        </w:tc>
        <w:tc>
          <w:tcPr>
            <w:tcW w:w="4536" w:type="dxa"/>
            <w:gridSpan w:val="2"/>
            <w:tcBorders>
              <w:top w:val="nil"/>
              <w:left w:val="nil"/>
              <w:bottom w:val="nil"/>
              <w:right w:val="nil"/>
            </w:tcBorders>
            <w:hideMark/>
          </w:tcPr>
          <w:p w:rsidR="005F73E8" w:rsidRPr="005F73E8" w:rsidRDefault="005F73E8">
            <w:pPr>
              <w:pStyle w:val="TableParagraph"/>
              <w:spacing w:line="228" w:lineRule="exact"/>
              <w:ind w:left="810" w:right="786"/>
              <w:jc w:val="center"/>
              <w:rPr>
                <w:rFonts w:ascii="Times New Roman" w:hAnsi="Times New Roman" w:cs="Times New Roman"/>
                <w:sz w:val="20"/>
              </w:rPr>
            </w:pPr>
            <w:r w:rsidRPr="005F73E8">
              <w:rPr>
                <w:rFonts w:ascii="Times New Roman" w:hAnsi="Times New Roman" w:cs="Times New Roman"/>
                <w:w w:val="105"/>
                <w:sz w:val="20"/>
              </w:rPr>
              <w:t>0.77 (0.53-1.11)</w:t>
            </w:r>
          </w:p>
        </w:tc>
        <w:tc>
          <w:tcPr>
            <w:tcW w:w="1753" w:type="dxa"/>
            <w:tcBorders>
              <w:top w:val="nil"/>
              <w:left w:val="nil"/>
              <w:bottom w:val="nil"/>
              <w:right w:val="nil"/>
            </w:tcBorders>
            <w:hideMark/>
          </w:tcPr>
          <w:p w:rsidR="005F73E8" w:rsidRPr="005F73E8" w:rsidRDefault="005F73E8">
            <w:pPr>
              <w:pStyle w:val="TableParagraph"/>
              <w:spacing w:line="245" w:lineRule="exact"/>
              <w:ind w:left="5"/>
              <w:jc w:val="center"/>
              <w:rPr>
                <w:rFonts w:ascii="Times New Roman" w:hAnsi="Times New Roman" w:cs="Times New Roman"/>
                <w:sz w:val="20"/>
              </w:rPr>
            </w:pPr>
            <w:r w:rsidRPr="005F73E8">
              <w:rPr>
                <w:rFonts w:ascii="Times New Roman" w:hAnsi="Times New Roman" w:cs="Times New Roman"/>
                <w:w w:val="172"/>
                <w:sz w:val="20"/>
              </w:rPr>
              <w:sym w:font="Times New Roman" w:char="F02D"/>
            </w:r>
          </w:p>
        </w:tc>
      </w:tr>
      <w:tr w:rsidR="005F73E8" w:rsidRPr="005F73E8" w:rsidTr="005F73E8">
        <w:trPr>
          <w:trHeight w:val="240"/>
        </w:trPr>
        <w:tc>
          <w:tcPr>
            <w:tcW w:w="2518" w:type="dxa"/>
            <w:tcBorders>
              <w:top w:val="nil"/>
              <w:left w:val="nil"/>
              <w:bottom w:val="nil"/>
              <w:right w:val="nil"/>
            </w:tcBorders>
          </w:tcPr>
          <w:p w:rsidR="005F73E8" w:rsidRPr="005F73E8" w:rsidRDefault="005F73E8">
            <w:pPr>
              <w:pStyle w:val="TableParagraph"/>
              <w:spacing w:line="228" w:lineRule="exact"/>
              <w:ind w:left="244" w:right="225"/>
              <w:jc w:val="center"/>
              <w:rPr>
                <w:rFonts w:ascii="Times New Roman" w:hAnsi="Times New Roman" w:cs="Times New Roman"/>
                <w:w w:val="105"/>
                <w:sz w:val="20"/>
              </w:rPr>
            </w:pPr>
          </w:p>
        </w:tc>
        <w:tc>
          <w:tcPr>
            <w:tcW w:w="4536" w:type="dxa"/>
            <w:gridSpan w:val="2"/>
            <w:tcBorders>
              <w:top w:val="nil"/>
              <w:left w:val="nil"/>
              <w:bottom w:val="nil"/>
              <w:right w:val="nil"/>
            </w:tcBorders>
            <w:hideMark/>
          </w:tcPr>
          <w:p w:rsidR="005F73E8" w:rsidRPr="005F73E8" w:rsidRDefault="005F73E8">
            <w:pPr>
              <w:pStyle w:val="TableParagraph"/>
              <w:spacing w:before="23"/>
              <w:ind w:left="810" w:right="789"/>
              <w:jc w:val="center"/>
              <w:rPr>
                <w:rFonts w:ascii="Times New Roman" w:hAnsi="Times New Roman" w:cs="Times New Roman"/>
                <w:b/>
                <w:sz w:val="20"/>
              </w:rPr>
            </w:pPr>
            <w:r w:rsidRPr="005F73E8">
              <w:rPr>
                <w:rFonts w:ascii="Times New Roman" w:hAnsi="Times New Roman" w:cs="Times New Roman"/>
                <w:b/>
                <w:w w:val="105"/>
                <w:sz w:val="20"/>
              </w:rPr>
              <w:t>within 48 months (95% CI)</w:t>
            </w:r>
          </w:p>
        </w:tc>
        <w:tc>
          <w:tcPr>
            <w:tcW w:w="1753" w:type="dxa"/>
            <w:tcBorders>
              <w:top w:val="nil"/>
              <w:left w:val="nil"/>
              <w:bottom w:val="nil"/>
              <w:right w:val="nil"/>
            </w:tcBorders>
          </w:tcPr>
          <w:p w:rsidR="005F73E8" w:rsidRPr="005F73E8" w:rsidRDefault="005F73E8">
            <w:pPr>
              <w:pStyle w:val="TableParagraph"/>
              <w:spacing w:line="245" w:lineRule="exact"/>
              <w:ind w:left="5"/>
              <w:jc w:val="center"/>
              <w:rPr>
                <w:rFonts w:ascii="Times New Roman" w:hAnsi="Times New Roman" w:cs="Times New Roman"/>
                <w:w w:val="172"/>
                <w:sz w:val="20"/>
              </w:rPr>
            </w:pPr>
          </w:p>
        </w:tc>
      </w:tr>
      <w:tr w:rsidR="005F73E8" w:rsidRPr="005F73E8" w:rsidTr="005F73E8">
        <w:trPr>
          <w:trHeight w:val="240"/>
        </w:trPr>
        <w:tc>
          <w:tcPr>
            <w:tcW w:w="2518" w:type="dxa"/>
            <w:tcBorders>
              <w:top w:val="nil"/>
              <w:left w:val="nil"/>
              <w:bottom w:val="nil"/>
              <w:right w:val="nil"/>
            </w:tcBorders>
            <w:hideMark/>
          </w:tcPr>
          <w:p w:rsidR="005F73E8" w:rsidRPr="005F73E8" w:rsidRDefault="005F73E8">
            <w:pPr>
              <w:pStyle w:val="TableParagraph"/>
              <w:spacing w:line="228" w:lineRule="exact"/>
              <w:ind w:left="244" w:right="225"/>
              <w:jc w:val="center"/>
              <w:rPr>
                <w:rFonts w:ascii="Times New Roman" w:hAnsi="Times New Roman" w:cs="Times New Roman"/>
                <w:w w:val="105"/>
                <w:sz w:val="20"/>
              </w:rPr>
            </w:pPr>
            <w:r w:rsidRPr="005F73E8">
              <w:rPr>
                <w:rFonts w:ascii="Times New Roman" w:hAnsi="Times New Roman" w:cs="Times New Roman"/>
                <w:w w:val="105"/>
                <w:sz w:val="20"/>
              </w:rPr>
              <w:t>Time-to cCCyR</w:t>
            </w:r>
          </w:p>
        </w:tc>
        <w:tc>
          <w:tcPr>
            <w:tcW w:w="4536" w:type="dxa"/>
            <w:gridSpan w:val="2"/>
            <w:tcBorders>
              <w:top w:val="nil"/>
              <w:left w:val="nil"/>
              <w:bottom w:val="nil"/>
              <w:right w:val="nil"/>
            </w:tcBorders>
            <w:hideMark/>
          </w:tcPr>
          <w:p w:rsidR="005F73E8" w:rsidRPr="005F73E8" w:rsidRDefault="005F73E8">
            <w:pPr>
              <w:pStyle w:val="TableParagraph"/>
              <w:spacing w:before="23"/>
              <w:ind w:left="810" w:right="789"/>
              <w:jc w:val="center"/>
              <w:rPr>
                <w:rFonts w:ascii="Times New Roman" w:hAnsi="Times New Roman" w:cs="Times New Roman"/>
                <w:b/>
                <w:w w:val="105"/>
                <w:sz w:val="20"/>
              </w:rPr>
            </w:pPr>
            <w:r w:rsidRPr="005F73E8">
              <w:rPr>
                <w:rFonts w:ascii="Times New Roman" w:hAnsi="Times New Roman" w:cs="Times New Roman"/>
                <w:w w:val="105"/>
                <w:sz w:val="20"/>
              </w:rPr>
              <w:t>1.45 (1.20-1.77)</w:t>
            </w:r>
          </w:p>
        </w:tc>
        <w:tc>
          <w:tcPr>
            <w:tcW w:w="1753" w:type="dxa"/>
            <w:tcBorders>
              <w:top w:val="nil"/>
              <w:left w:val="nil"/>
              <w:bottom w:val="nil"/>
              <w:right w:val="nil"/>
            </w:tcBorders>
            <w:hideMark/>
          </w:tcPr>
          <w:p w:rsidR="005F73E8" w:rsidRPr="005F73E8" w:rsidRDefault="005F73E8">
            <w:pPr>
              <w:pStyle w:val="TableParagraph"/>
              <w:spacing w:line="245" w:lineRule="exact"/>
              <w:ind w:left="5"/>
              <w:jc w:val="center"/>
              <w:rPr>
                <w:rFonts w:ascii="Times New Roman" w:hAnsi="Times New Roman" w:cs="Times New Roman"/>
                <w:w w:val="172"/>
                <w:sz w:val="20"/>
              </w:rPr>
            </w:pPr>
            <w:r w:rsidRPr="005F73E8">
              <w:rPr>
                <w:rFonts w:ascii="Times New Roman" w:hAnsi="Times New Roman" w:cs="Times New Roman"/>
                <w:w w:val="172"/>
                <w:sz w:val="20"/>
              </w:rPr>
              <w:sym w:font="Times New Roman" w:char="F02D"/>
            </w:r>
          </w:p>
        </w:tc>
      </w:tr>
      <w:tr w:rsidR="005F73E8" w:rsidRPr="005F73E8" w:rsidTr="005F73E8">
        <w:trPr>
          <w:trHeight w:val="240"/>
        </w:trPr>
        <w:tc>
          <w:tcPr>
            <w:tcW w:w="2518" w:type="dxa"/>
            <w:tcBorders>
              <w:top w:val="nil"/>
              <w:left w:val="nil"/>
              <w:bottom w:val="nil"/>
              <w:right w:val="nil"/>
            </w:tcBorders>
            <w:hideMark/>
          </w:tcPr>
          <w:p w:rsidR="005F73E8" w:rsidRPr="005F73E8" w:rsidRDefault="005F73E8">
            <w:pPr>
              <w:pStyle w:val="TableParagraph"/>
              <w:spacing w:line="228" w:lineRule="exact"/>
              <w:ind w:left="244" w:right="225"/>
              <w:jc w:val="center"/>
              <w:rPr>
                <w:rFonts w:ascii="Times New Roman" w:hAnsi="Times New Roman" w:cs="Times New Roman"/>
                <w:w w:val="105"/>
                <w:sz w:val="20"/>
              </w:rPr>
            </w:pPr>
            <w:r w:rsidRPr="005F73E8">
              <w:rPr>
                <w:rFonts w:ascii="Times New Roman" w:hAnsi="Times New Roman" w:cs="Times New Roman"/>
                <w:w w:val="105"/>
                <w:sz w:val="20"/>
              </w:rPr>
              <w:t>Time-to MMR</w:t>
            </w:r>
          </w:p>
        </w:tc>
        <w:tc>
          <w:tcPr>
            <w:tcW w:w="4536" w:type="dxa"/>
            <w:gridSpan w:val="2"/>
            <w:tcBorders>
              <w:top w:val="nil"/>
              <w:left w:val="nil"/>
              <w:bottom w:val="nil"/>
              <w:right w:val="nil"/>
            </w:tcBorders>
            <w:hideMark/>
          </w:tcPr>
          <w:p w:rsidR="005F73E8" w:rsidRPr="005F73E8" w:rsidRDefault="005F73E8">
            <w:pPr>
              <w:pStyle w:val="TableParagraph"/>
              <w:spacing w:before="23"/>
              <w:ind w:left="810" w:right="789"/>
              <w:jc w:val="center"/>
              <w:rPr>
                <w:rFonts w:ascii="Times New Roman" w:hAnsi="Times New Roman" w:cs="Times New Roman"/>
                <w:w w:val="105"/>
                <w:sz w:val="20"/>
              </w:rPr>
            </w:pPr>
            <w:r w:rsidRPr="005F73E8">
              <w:rPr>
                <w:rFonts w:ascii="Times New Roman" w:hAnsi="Times New Roman" w:cs="Times New Roman"/>
                <w:w w:val="105"/>
                <w:sz w:val="20"/>
              </w:rPr>
              <w:t>1.55 (1.26-1.91)</w:t>
            </w:r>
          </w:p>
        </w:tc>
        <w:tc>
          <w:tcPr>
            <w:tcW w:w="1753" w:type="dxa"/>
            <w:tcBorders>
              <w:top w:val="nil"/>
              <w:left w:val="nil"/>
              <w:bottom w:val="nil"/>
              <w:right w:val="nil"/>
            </w:tcBorders>
            <w:hideMark/>
          </w:tcPr>
          <w:p w:rsidR="005F73E8" w:rsidRPr="005F73E8" w:rsidRDefault="005F73E8">
            <w:pPr>
              <w:pStyle w:val="TableParagraph"/>
              <w:spacing w:line="245" w:lineRule="exact"/>
              <w:ind w:left="5"/>
              <w:jc w:val="center"/>
              <w:rPr>
                <w:rFonts w:ascii="Times New Roman" w:hAnsi="Times New Roman" w:cs="Times New Roman"/>
                <w:w w:val="172"/>
                <w:sz w:val="20"/>
              </w:rPr>
            </w:pPr>
            <w:r w:rsidRPr="005F73E8">
              <w:rPr>
                <w:rFonts w:ascii="Times New Roman" w:hAnsi="Times New Roman" w:cs="Times New Roman"/>
                <w:w w:val="172"/>
                <w:sz w:val="20"/>
              </w:rPr>
              <w:sym w:font="Times New Roman" w:char="F02D"/>
            </w:r>
          </w:p>
        </w:tc>
      </w:tr>
      <w:tr w:rsidR="005F73E8" w:rsidRPr="005F73E8" w:rsidTr="005F73E8">
        <w:trPr>
          <w:trHeight w:val="240"/>
        </w:trPr>
        <w:tc>
          <w:tcPr>
            <w:tcW w:w="2518" w:type="dxa"/>
            <w:tcBorders>
              <w:top w:val="nil"/>
              <w:left w:val="nil"/>
              <w:bottom w:val="nil"/>
              <w:right w:val="nil"/>
            </w:tcBorders>
            <w:hideMark/>
          </w:tcPr>
          <w:p w:rsidR="005F73E8" w:rsidRPr="005F73E8" w:rsidRDefault="005F73E8">
            <w:pPr>
              <w:pStyle w:val="TableParagraph"/>
              <w:spacing w:line="228" w:lineRule="exact"/>
              <w:ind w:left="244" w:right="225"/>
              <w:jc w:val="center"/>
              <w:rPr>
                <w:rFonts w:ascii="Times New Roman" w:hAnsi="Times New Roman" w:cs="Times New Roman"/>
                <w:w w:val="105"/>
                <w:sz w:val="20"/>
              </w:rPr>
            </w:pPr>
            <w:r w:rsidRPr="005F73E8">
              <w:rPr>
                <w:rFonts w:ascii="Times New Roman" w:hAnsi="Times New Roman" w:cs="Times New Roman"/>
                <w:w w:val="105"/>
                <w:sz w:val="20"/>
              </w:rPr>
              <w:t>Durability of cCCyR</w:t>
            </w:r>
          </w:p>
        </w:tc>
        <w:tc>
          <w:tcPr>
            <w:tcW w:w="4536" w:type="dxa"/>
            <w:gridSpan w:val="2"/>
            <w:tcBorders>
              <w:top w:val="nil"/>
              <w:left w:val="nil"/>
              <w:bottom w:val="nil"/>
              <w:right w:val="nil"/>
            </w:tcBorders>
            <w:hideMark/>
          </w:tcPr>
          <w:p w:rsidR="005F73E8" w:rsidRPr="005F73E8" w:rsidRDefault="005F73E8">
            <w:pPr>
              <w:pStyle w:val="TableParagraph"/>
              <w:spacing w:line="227" w:lineRule="exact"/>
              <w:ind w:left="810" w:right="786"/>
              <w:jc w:val="center"/>
              <w:rPr>
                <w:rFonts w:ascii="Times New Roman" w:hAnsi="Times New Roman" w:cs="Times New Roman"/>
                <w:sz w:val="20"/>
              </w:rPr>
            </w:pPr>
            <w:r w:rsidRPr="005F73E8">
              <w:rPr>
                <w:rFonts w:ascii="Times New Roman" w:hAnsi="Times New Roman" w:cs="Times New Roman"/>
                <w:w w:val="105"/>
                <w:sz w:val="20"/>
              </w:rPr>
              <w:t>0.81 (0.56-1.17)</w:t>
            </w:r>
          </w:p>
        </w:tc>
        <w:tc>
          <w:tcPr>
            <w:tcW w:w="1753" w:type="dxa"/>
            <w:tcBorders>
              <w:top w:val="nil"/>
              <w:left w:val="nil"/>
              <w:bottom w:val="nil"/>
              <w:right w:val="nil"/>
            </w:tcBorders>
            <w:hideMark/>
          </w:tcPr>
          <w:p w:rsidR="005F73E8" w:rsidRPr="005F73E8" w:rsidRDefault="005F73E8">
            <w:pPr>
              <w:pStyle w:val="TableParagraph"/>
              <w:spacing w:line="245" w:lineRule="exact"/>
              <w:ind w:left="5"/>
              <w:jc w:val="center"/>
              <w:rPr>
                <w:rFonts w:ascii="Times New Roman" w:hAnsi="Times New Roman" w:cs="Times New Roman"/>
                <w:w w:val="172"/>
                <w:sz w:val="20"/>
              </w:rPr>
            </w:pPr>
            <w:r w:rsidRPr="005F73E8">
              <w:rPr>
                <w:rFonts w:ascii="Times New Roman" w:hAnsi="Times New Roman" w:cs="Times New Roman"/>
                <w:w w:val="172"/>
                <w:sz w:val="20"/>
              </w:rPr>
              <w:sym w:font="Times New Roman" w:char="F02D"/>
            </w:r>
          </w:p>
        </w:tc>
      </w:tr>
      <w:tr w:rsidR="005F73E8" w:rsidRPr="005F73E8" w:rsidTr="005F73E8">
        <w:trPr>
          <w:trHeight w:val="240"/>
        </w:trPr>
        <w:tc>
          <w:tcPr>
            <w:tcW w:w="2518" w:type="dxa"/>
            <w:tcBorders>
              <w:top w:val="nil"/>
              <w:left w:val="nil"/>
              <w:bottom w:val="nil"/>
              <w:right w:val="nil"/>
            </w:tcBorders>
          </w:tcPr>
          <w:p w:rsidR="005F73E8" w:rsidRPr="005F73E8" w:rsidRDefault="005F73E8">
            <w:pPr>
              <w:pStyle w:val="TableParagraph"/>
              <w:spacing w:line="228" w:lineRule="exact"/>
              <w:ind w:left="244" w:right="225"/>
              <w:jc w:val="center"/>
              <w:rPr>
                <w:rFonts w:ascii="Times New Roman" w:hAnsi="Times New Roman" w:cs="Times New Roman"/>
                <w:w w:val="105"/>
                <w:sz w:val="20"/>
              </w:rPr>
            </w:pPr>
          </w:p>
        </w:tc>
        <w:tc>
          <w:tcPr>
            <w:tcW w:w="4536" w:type="dxa"/>
            <w:gridSpan w:val="2"/>
            <w:tcBorders>
              <w:top w:val="nil"/>
              <w:left w:val="nil"/>
              <w:bottom w:val="nil"/>
              <w:right w:val="nil"/>
            </w:tcBorders>
            <w:hideMark/>
          </w:tcPr>
          <w:p w:rsidR="005F73E8" w:rsidRPr="005F73E8" w:rsidRDefault="005F73E8">
            <w:pPr>
              <w:pStyle w:val="TableParagraph"/>
              <w:spacing w:line="227" w:lineRule="exact"/>
              <w:ind w:left="810" w:right="786"/>
              <w:jc w:val="center"/>
              <w:rPr>
                <w:rFonts w:ascii="Times New Roman" w:hAnsi="Times New Roman" w:cs="Times New Roman"/>
                <w:w w:val="105"/>
                <w:sz w:val="20"/>
              </w:rPr>
            </w:pPr>
            <w:r w:rsidRPr="005F73E8">
              <w:rPr>
                <w:rFonts w:ascii="Times New Roman" w:hAnsi="Times New Roman" w:cs="Times New Roman"/>
                <w:b/>
                <w:w w:val="105"/>
                <w:sz w:val="20"/>
              </w:rPr>
              <w:t>within 60 months (95% CI)</w:t>
            </w:r>
          </w:p>
        </w:tc>
        <w:tc>
          <w:tcPr>
            <w:tcW w:w="1753" w:type="dxa"/>
            <w:tcBorders>
              <w:top w:val="nil"/>
              <w:left w:val="nil"/>
              <w:bottom w:val="nil"/>
              <w:right w:val="nil"/>
            </w:tcBorders>
          </w:tcPr>
          <w:p w:rsidR="005F73E8" w:rsidRPr="005F73E8" w:rsidRDefault="005F73E8">
            <w:pPr>
              <w:pStyle w:val="TableParagraph"/>
              <w:spacing w:line="245" w:lineRule="exact"/>
              <w:ind w:left="5"/>
              <w:jc w:val="center"/>
              <w:rPr>
                <w:rFonts w:ascii="Times New Roman" w:hAnsi="Times New Roman" w:cs="Times New Roman"/>
                <w:w w:val="172"/>
                <w:sz w:val="20"/>
              </w:rPr>
            </w:pPr>
          </w:p>
        </w:tc>
      </w:tr>
      <w:tr w:rsidR="005F73E8" w:rsidRPr="005F73E8" w:rsidTr="005F73E8">
        <w:trPr>
          <w:trHeight w:val="240"/>
        </w:trPr>
        <w:tc>
          <w:tcPr>
            <w:tcW w:w="2518" w:type="dxa"/>
            <w:tcBorders>
              <w:top w:val="nil"/>
              <w:left w:val="nil"/>
              <w:bottom w:val="nil"/>
              <w:right w:val="nil"/>
            </w:tcBorders>
            <w:hideMark/>
          </w:tcPr>
          <w:p w:rsidR="005F73E8" w:rsidRPr="005F73E8" w:rsidRDefault="005F73E8">
            <w:pPr>
              <w:pStyle w:val="TableParagraph"/>
              <w:spacing w:line="228" w:lineRule="exact"/>
              <w:ind w:left="244" w:right="225"/>
              <w:jc w:val="center"/>
              <w:rPr>
                <w:rFonts w:ascii="Times New Roman" w:hAnsi="Times New Roman" w:cs="Times New Roman"/>
                <w:w w:val="105"/>
                <w:sz w:val="20"/>
              </w:rPr>
            </w:pPr>
            <w:r w:rsidRPr="005F73E8">
              <w:rPr>
                <w:rFonts w:ascii="Times New Roman" w:hAnsi="Times New Roman" w:cs="Times New Roman"/>
                <w:w w:val="105"/>
                <w:sz w:val="20"/>
              </w:rPr>
              <w:t>Time-to cCCyR</w:t>
            </w:r>
          </w:p>
        </w:tc>
        <w:tc>
          <w:tcPr>
            <w:tcW w:w="4536" w:type="dxa"/>
            <w:gridSpan w:val="2"/>
            <w:tcBorders>
              <w:top w:val="nil"/>
              <w:left w:val="nil"/>
              <w:bottom w:val="nil"/>
              <w:right w:val="nil"/>
            </w:tcBorders>
            <w:hideMark/>
          </w:tcPr>
          <w:p w:rsidR="005F73E8" w:rsidRPr="005F73E8" w:rsidRDefault="005F73E8">
            <w:pPr>
              <w:pStyle w:val="TableParagraph"/>
              <w:spacing w:line="227" w:lineRule="exact"/>
              <w:ind w:left="810" w:right="786"/>
              <w:jc w:val="center"/>
              <w:rPr>
                <w:rFonts w:ascii="Times New Roman" w:hAnsi="Times New Roman" w:cs="Times New Roman"/>
                <w:b/>
                <w:w w:val="105"/>
                <w:sz w:val="20"/>
              </w:rPr>
            </w:pPr>
            <w:r w:rsidRPr="005F73E8">
              <w:rPr>
                <w:rFonts w:ascii="Times New Roman" w:hAnsi="Times New Roman" w:cs="Times New Roman"/>
                <w:w w:val="105"/>
                <w:sz w:val="20"/>
              </w:rPr>
              <w:t>1.46 (1.20-1.77)</w:t>
            </w:r>
          </w:p>
        </w:tc>
        <w:tc>
          <w:tcPr>
            <w:tcW w:w="1753" w:type="dxa"/>
            <w:tcBorders>
              <w:top w:val="nil"/>
              <w:left w:val="nil"/>
              <w:bottom w:val="nil"/>
              <w:right w:val="nil"/>
            </w:tcBorders>
            <w:hideMark/>
          </w:tcPr>
          <w:p w:rsidR="005F73E8" w:rsidRPr="005F73E8" w:rsidRDefault="005F73E8">
            <w:pPr>
              <w:pStyle w:val="TableParagraph"/>
              <w:spacing w:line="245" w:lineRule="exact"/>
              <w:ind w:left="5"/>
              <w:jc w:val="center"/>
              <w:rPr>
                <w:rFonts w:ascii="Times New Roman" w:hAnsi="Times New Roman" w:cs="Times New Roman"/>
                <w:w w:val="172"/>
                <w:sz w:val="20"/>
              </w:rPr>
            </w:pPr>
            <w:r w:rsidRPr="005F73E8">
              <w:rPr>
                <w:rFonts w:ascii="Times New Roman" w:hAnsi="Times New Roman" w:cs="Times New Roman"/>
                <w:w w:val="105"/>
                <w:sz w:val="20"/>
              </w:rPr>
              <w:t>p=0.0001</w:t>
            </w:r>
          </w:p>
        </w:tc>
      </w:tr>
      <w:tr w:rsidR="005F73E8" w:rsidRPr="005F73E8" w:rsidTr="005F73E8">
        <w:trPr>
          <w:trHeight w:val="240"/>
        </w:trPr>
        <w:tc>
          <w:tcPr>
            <w:tcW w:w="2518" w:type="dxa"/>
            <w:tcBorders>
              <w:top w:val="nil"/>
              <w:left w:val="nil"/>
              <w:bottom w:val="nil"/>
              <w:right w:val="nil"/>
            </w:tcBorders>
            <w:hideMark/>
          </w:tcPr>
          <w:p w:rsidR="005F73E8" w:rsidRPr="005F73E8" w:rsidRDefault="005F73E8">
            <w:pPr>
              <w:pStyle w:val="TableParagraph"/>
              <w:spacing w:line="228" w:lineRule="exact"/>
              <w:ind w:left="244" w:right="225"/>
              <w:jc w:val="center"/>
              <w:rPr>
                <w:rFonts w:ascii="Times New Roman" w:hAnsi="Times New Roman" w:cs="Times New Roman"/>
                <w:w w:val="105"/>
                <w:sz w:val="20"/>
              </w:rPr>
            </w:pPr>
            <w:r w:rsidRPr="005F73E8">
              <w:rPr>
                <w:rFonts w:ascii="Times New Roman" w:hAnsi="Times New Roman" w:cs="Times New Roman"/>
                <w:w w:val="105"/>
                <w:sz w:val="20"/>
              </w:rPr>
              <w:t>Time-to MMR</w:t>
            </w:r>
          </w:p>
        </w:tc>
        <w:tc>
          <w:tcPr>
            <w:tcW w:w="4536" w:type="dxa"/>
            <w:gridSpan w:val="2"/>
            <w:tcBorders>
              <w:top w:val="nil"/>
              <w:left w:val="nil"/>
              <w:bottom w:val="nil"/>
              <w:right w:val="nil"/>
            </w:tcBorders>
            <w:hideMark/>
          </w:tcPr>
          <w:p w:rsidR="005F73E8" w:rsidRPr="005F73E8" w:rsidRDefault="005F73E8">
            <w:pPr>
              <w:pStyle w:val="TableParagraph"/>
              <w:spacing w:line="227" w:lineRule="exact"/>
              <w:ind w:left="810" w:right="786"/>
              <w:jc w:val="center"/>
              <w:rPr>
                <w:rFonts w:ascii="Times New Roman" w:hAnsi="Times New Roman" w:cs="Times New Roman"/>
                <w:w w:val="105"/>
                <w:sz w:val="20"/>
              </w:rPr>
            </w:pPr>
            <w:r w:rsidRPr="005F73E8">
              <w:rPr>
                <w:rFonts w:ascii="Times New Roman" w:hAnsi="Times New Roman" w:cs="Times New Roman"/>
                <w:w w:val="105"/>
                <w:sz w:val="20"/>
              </w:rPr>
              <w:t>1.54 (1.25-1.89)</w:t>
            </w:r>
          </w:p>
        </w:tc>
        <w:tc>
          <w:tcPr>
            <w:tcW w:w="1753" w:type="dxa"/>
            <w:tcBorders>
              <w:top w:val="nil"/>
              <w:left w:val="nil"/>
              <w:bottom w:val="nil"/>
              <w:right w:val="nil"/>
            </w:tcBorders>
            <w:hideMark/>
          </w:tcPr>
          <w:p w:rsidR="005F73E8" w:rsidRPr="005F73E8" w:rsidRDefault="005F73E8">
            <w:pPr>
              <w:pStyle w:val="TableParagraph"/>
              <w:spacing w:line="245" w:lineRule="exact"/>
              <w:ind w:left="5"/>
              <w:jc w:val="center"/>
              <w:rPr>
                <w:rFonts w:ascii="Times New Roman" w:hAnsi="Times New Roman" w:cs="Times New Roman"/>
                <w:w w:val="105"/>
                <w:sz w:val="20"/>
              </w:rPr>
            </w:pPr>
            <w:r w:rsidRPr="005F73E8">
              <w:rPr>
                <w:rFonts w:ascii="Times New Roman" w:hAnsi="Times New Roman" w:cs="Times New Roman"/>
                <w:w w:val="105"/>
                <w:sz w:val="20"/>
              </w:rPr>
              <w:t>p&lt;0.0001</w:t>
            </w:r>
          </w:p>
        </w:tc>
      </w:tr>
      <w:tr w:rsidR="005F73E8" w:rsidRPr="005F73E8" w:rsidTr="005F73E8">
        <w:trPr>
          <w:trHeight w:val="240"/>
        </w:trPr>
        <w:tc>
          <w:tcPr>
            <w:tcW w:w="2518" w:type="dxa"/>
            <w:tcBorders>
              <w:top w:val="nil"/>
              <w:left w:val="nil"/>
              <w:bottom w:val="nil"/>
              <w:right w:val="nil"/>
            </w:tcBorders>
            <w:hideMark/>
          </w:tcPr>
          <w:p w:rsidR="005F73E8" w:rsidRPr="005F73E8" w:rsidRDefault="005F73E8">
            <w:pPr>
              <w:pStyle w:val="TableParagraph"/>
              <w:spacing w:line="228" w:lineRule="exact"/>
              <w:ind w:left="244" w:right="225"/>
              <w:jc w:val="center"/>
              <w:rPr>
                <w:rFonts w:ascii="Times New Roman" w:hAnsi="Times New Roman" w:cs="Times New Roman"/>
                <w:w w:val="105"/>
                <w:sz w:val="20"/>
              </w:rPr>
            </w:pPr>
            <w:r w:rsidRPr="005F73E8">
              <w:rPr>
                <w:rFonts w:ascii="Times New Roman" w:hAnsi="Times New Roman" w:cs="Times New Roman"/>
                <w:w w:val="105"/>
                <w:sz w:val="20"/>
              </w:rPr>
              <w:t>Durability of cCCyR</w:t>
            </w:r>
          </w:p>
        </w:tc>
        <w:tc>
          <w:tcPr>
            <w:tcW w:w="4536" w:type="dxa"/>
            <w:gridSpan w:val="2"/>
            <w:tcBorders>
              <w:top w:val="nil"/>
              <w:left w:val="nil"/>
              <w:bottom w:val="nil"/>
              <w:right w:val="nil"/>
            </w:tcBorders>
            <w:hideMark/>
          </w:tcPr>
          <w:p w:rsidR="005F73E8" w:rsidRPr="005F73E8" w:rsidRDefault="005F73E8">
            <w:pPr>
              <w:pStyle w:val="TableParagraph"/>
              <w:spacing w:line="227" w:lineRule="exact"/>
              <w:ind w:left="810" w:right="786"/>
              <w:jc w:val="center"/>
              <w:rPr>
                <w:rFonts w:ascii="Times New Roman" w:hAnsi="Times New Roman" w:cs="Times New Roman"/>
                <w:w w:val="105"/>
                <w:sz w:val="20"/>
              </w:rPr>
            </w:pPr>
            <w:r w:rsidRPr="005F73E8">
              <w:rPr>
                <w:rFonts w:ascii="Times New Roman" w:hAnsi="Times New Roman" w:cs="Times New Roman"/>
                <w:w w:val="105"/>
                <w:sz w:val="20"/>
              </w:rPr>
              <w:t>0.79 (0.55-1.13)</w:t>
            </w:r>
          </w:p>
        </w:tc>
        <w:tc>
          <w:tcPr>
            <w:tcW w:w="1753" w:type="dxa"/>
            <w:tcBorders>
              <w:top w:val="nil"/>
              <w:left w:val="nil"/>
              <w:bottom w:val="nil"/>
              <w:right w:val="nil"/>
            </w:tcBorders>
            <w:hideMark/>
          </w:tcPr>
          <w:p w:rsidR="005F73E8" w:rsidRPr="005F73E8" w:rsidRDefault="005F73E8">
            <w:pPr>
              <w:pStyle w:val="TableParagraph"/>
              <w:spacing w:line="245" w:lineRule="exact"/>
              <w:ind w:left="5"/>
              <w:jc w:val="center"/>
              <w:rPr>
                <w:rFonts w:ascii="Times New Roman" w:hAnsi="Times New Roman" w:cs="Times New Roman"/>
                <w:w w:val="105"/>
                <w:sz w:val="20"/>
              </w:rPr>
            </w:pPr>
            <w:r w:rsidRPr="005F73E8">
              <w:rPr>
                <w:rFonts w:ascii="Times New Roman" w:hAnsi="Times New Roman" w:cs="Times New Roman"/>
                <w:w w:val="105"/>
                <w:sz w:val="20"/>
              </w:rPr>
              <w:t>p=0.1983</w:t>
            </w:r>
          </w:p>
        </w:tc>
      </w:tr>
    </w:tbl>
    <w:p w:rsidR="005F73E8" w:rsidRPr="005F73E8" w:rsidRDefault="005F73E8" w:rsidP="005F73E8">
      <w:pPr>
        <w:ind w:right="266"/>
        <w:rPr>
          <w:sz w:val="17"/>
          <w:szCs w:val="22"/>
          <w:lang w:val="en-US" w:eastAsia="en-US"/>
        </w:rPr>
      </w:pPr>
      <w:r w:rsidRPr="005F73E8">
        <w:rPr>
          <w:position w:val="6"/>
          <w:sz w:val="11"/>
          <w:lang w:val="en-US"/>
        </w:rPr>
        <w:t xml:space="preserve">a </w:t>
      </w:r>
      <w:r w:rsidRPr="005F73E8">
        <w:rPr>
          <w:sz w:val="17"/>
          <w:lang w:val="en-US"/>
        </w:rPr>
        <w:t xml:space="preserve">Confirmed complete cytogenetic response (cCCyR) is defined as a response noted on two consecutive occasions (at least 28  </w:t>
      </w:r>
    </w:p>
    <w:p w:rsidR="005F73E8" w:rsidRPr="005F73E8" w:rsidRDefault="005F73E8" w:rsidP="005F73E8">
      <w:pPr>
        <w:ind w:right="266"/>
        <w:rPr>
          <w:sz w:val="17"/>
          <w:lang w:val="en-US"/>
        </w:rPr>
      </w:pPr>
      <w:r w:rsidRPr="005F73E8">
        <w:rPr>
          <w:sz w:val="17"/>
          <w:lang w:val="en-US"/>
        </w:rPr>
        <w:t xml:space="preserve">  days apart).</w:t>
      </w:r>
    </w:p>
    <w:p w:rsidR="005F73E8" w:rsidRPr="005F73E8" w:rsidRDefault="005F73E8" w:rsidP="005F73E8">
      <w:pPr>
        <w:spacing w:line="192" w:lineRule="exact"/>
        <w:rPr>
          <w:sz w:val="17"/>
          <w:lang w:val="en-US"/>
        </w:rPr>
      </w:pPr>
      <w:r w:rsidRPr="005F73E8">
        <w:rPr>
          <w:position w:val="6"/>
          <w:sz w:val="11"/>
          <w:lang w:val="en-US"/>
        </w:rPr>
        <w:t xml:space="preserve">b  </w:t>
      </w:r>
      <w:r w:rsidRPr="005F73E8">
        <w:rPr>
          <w:sz w:val="17"/>
          <w:lang w:val="en-US"/>
        </w:rPr>
        <w:t>Complete cytogenetic response (CCyR) is based on a single bone marrow cytogenetic evaluation.</w:t>
      </w:r>
    </w:p>
    <w:p w:rsidR="005F73E8" w:rsidRPr="005F73E8" w:rsidRDefault="005F73E8" w:rsidP="005F73E8">
      <w:pPr>
        <w:rPr>
          <w:sz w:val="17"/>
          <w:lang w:val="en-US"/>
        </w:rPr>
      </w:pPr>
      <w:r w:rsidRPr="005F73E8">
        <w:rPr>
          <w:position w:val="6"/>
          <w:sz w:val="11"/>
          <w:lang w:val="en-US"/>
        </w:rPr>
        <w:lastRenderedPageBreak/>
        <w:t xml:space="preserve">c </w:t>
      </w:r>
      <w:r w:rsidRPr="005F73E8">
        <w:rPr>
          <w:sz w:val="17"/>
          <w:lang w:val="en-US"/>
        </w:rPr>
        <w:t xml:space="preserve">Major molecular response (at any time) was defined as BCR ABL ratios ≤ 0.1% by RQ PCR in peripheral blood samples </w:t>
      </w:r>
    </w:p>
    <w:p w:rsidR="005F73E8" w:rsidRPr="005F73E8" w:rsidRDefault="005F73E8" w:rsidP="005F73E8">
      <w:pPr>
        <w:rPr>
          <w:sz w:val="17"/>
          <w:lang w:val="en-US"/>
        </w:rPr>
      </w:pPr>
      <w:r w:rsidRPr="005F73E8">
        <w:rPr>
          <w:sz w:val="17"/>
          <w:lang w:val="en-US"/>
        </w:rPr>
        <w:t xml:space="preserve">  standardised on the International scale. These are cumulative rates representing minimum follow up for the timeframe   </w:t>
      </w:r>
    </w:p>
    <w:p w:rsidR="005F73E8" w:rsidRPr="005F73E8" w:rsidRDefault="005F73E8" w:rsidP="005F73E8">
      <w:pPr>
        <w:rPr>
          <w:sz w:val="17"/>
          <w:lang w:val="en-US"/>
        </w:rPr>
      </w:pPr>
      <w:r w:rsidRPr="005F73E8">
        <w:rPr>
          <w:sz w:val="17"/>
          <w:lang w:val="en-US"/>
        </w:rPr>
        <w:t xml:space="preserve">  specified.</w:t>
      </w:r>
    </w:p>
    <w:p w:rsidR="005F73E8" w:rsidRPr="00C47EB1" w:rsidRDefault="005F73E8" w:rsidP="005F73E8">
      <w:pPr>
        <w:spacing w:line="235" w:lineRule="auto"/>
        <w:ind w:right="913"/>
        <w:rPr>
          <w:sz w:val="17"/>
          <w:lang w:val="en-US"/>
        </w:rPr>
      </w:pPr>
      <w:r w:rsidRPr="005F73E8">
        <w:rPr>
          <w:position w:val="6"/>
          <w:sz w:val="11"/>
          <w:lang w:val="en-US"/>
        </w:rPr>
        <w:t>*</w:t>
      </w:r>
      <w:r w:rsidRPr="005F73E8">
        <w:rPr>
          <w:sz w:val="17"/>
          <w:lang w:val="en-US"/>
        </w:rPr>
        <w:t xml:space="preserve">Adjusted for Hasford Score and indicated statistical significance at a pre-defined nominal level of significance. </w:t>
      </w:r>
      <w:r w:rsidRPr="00C47EB1">
        <w:rPr>
          <w:sz w:val="17"/>
          <w:lang w:val="en-US"/>
        </w:rPr>
        <w:t>CI = confidence interval</w:t>
      </w:r>
    </w:p>
    <w:p w:rsidR="005F73E8" w:rsidRPr="005F73E8" w:rsidRDefault="005F73E8" w:rsidP="003E0341">
      <w:pPr>
        <w:tabs>
          <w:tab w:val="left" w:pos="851"/>
        </w:tabs>
        <w:ind w:left="851"/>
        <w:rPr>
          <w:sz w:val="24"/>
          <w:szCs w:val="24"/>
          <w:lang w:val="en-US"/>
        </w:rPr>
      </w:pPr>
    </w:p>
    <w:p w:rsidR="00C47EB1" w:rsidRPr="00C47EB1" w:rsidRDefault="00C47EB1" w:rsidP="00C47EB1">
      <w:pPr>
        <w:tabs>
          <w:tab w:val="left" w:pos="851"/>
        </w:tabs>
        <w:ind w:left="851"/>
        <w:rPr>
          <w:sz w:val="24"/>
          <w:szCs w:val="24"/>
          <w:lang w:val="en-US"/>
        </w:rPr>
      </w:pPr>
      <w:r w:rsidRPr="00C47EB1">
        <w:rPr>
          <w:sz w:val="24"/>
          <w:szCs w:val="24"/>
          <w:lang w:val="en-US"/>
        </w:rPr>
        <w:t>After 60 months of follow-up, median time to cCCyR was 3.1 months in the dasatinib group and 5.8 months in the imatinib group in patients with a confirmed CCyR. Median time to MMR after 60 months of follow-up was 9.3 months in the dasatinib group and 15.0 months in the imatinib group in patients with a MMR. These results are consistent with those seen at 12, 24 and 36 months.</w:t>
      </w:r>
    </w:p>
    <w:p w:rsidR="00C47EB1" w:rsidRPr="00C47EB1" w:rsidRDefault="00C47EB1" w:rsidP="00C47EB1">
      <w:pPr>
        <w:tabs>
          <w:tab w:val="left" w:pos="851"/>
        </w:tabs>
        <w:ind w:left="851"/>
        <w:rPr>
          <w:sz w:val="24"/>
          <w:szCs w:val="24"/>
          <w:lang w:val="en-US"/>
        </w:rPr>
      </w:pPr>
    </w:p>
    <w:p w:rsidR="00C47EB1" w:rsidRPr="00C47EB1" w:rsidRDefault="00C47EB1" w:rsidP="00C47EB1">
      <w:pPr>
        <w:tabs>
          <w:tab w:val="left" w:pos="851"/>
        </w:tabs>
        <w:ind w:left="851"/>
        <w:rPr>
          <w:sz w:val="24"/>
          <w:szCs w:val="24"/>
          <w:lang w:val="en-US"/>
        </w:rPr>
      </w:pPr>
      <w:r w:rsidRPr="00C47EB1">
        <w:rPr>
          <w:sz w:val="24"/>
          <w:szCs w:val="24"/>
          <w:lang w:val="en-US"/>
        </w:rPr>
        <w:t>The time to MMR is displayed graphically in Figure 1. The time to MMR was consistently shorter in dasatinib-treated patients compared with imatinib-treated patients.</w:t>
      </w:r>
    </w:p>
    <w:p w:rsidR="005F73E8" w:rsidRDefault="005F73E8" w:rsidP="003E0341">
      <w:pPr>
        <w:tabs>
          <w:tab w:val="left" w:pos="851"/>
        </w:tabs>
        <w:ind w:left="851"/>
        <w:rPr>
          <w:sz w:val="24"/>
          <w:szCs w:val="24"/>
          <w:lang w:val="en-US"/>
        </w:rPr>
      </w:pPr>
    </w:p>
    <w:p w:rsidR="00FD226A" w:rsidRDefault="00FD226A" w:rsidP="00FD226A">
      <w:pPr>
        <w:pStyle w:val="Brdtekst"/>
        <w:spacing w:before="9"/>
        <w:rPr>
          <w:w w:val="105"/>
        </w:rPr>
      </w:pPr>
    </w:p>
    <w:p w:rsidR="00FD226A" w:rsidRDefault="00FD226A" w:rsidP="00FD226A">
      <w:pPr>
        <w:pStyle w:val="Brdtekst"/>
        <w:rPr>
          <w:b/>
          <w:w w:val="105"/>
        </w:rPr>
      </w:pPr>
      <w:r>
        <w:rPr>
          <w:noProof/>
        </w:rPr>
        <mc:AlternateContent>
          <mc:Choice Requires="wps">
            <w:drawing>
              <wp:anchor distT="0" distB="0" distL="114300" distR="114300" simplePos="0" relativeHeight="251668480" behindDoc="0" locked="0" layoutInCell="1" allowOverlap="1">
                <wp:simplePos x="0" y="0"/>
                <wp:positionH relativeFrom="page">
                  <wp:posOffset>1136015</wp:posOffset>
                </wp:positionH>
                <wp:positionV relativeFrom="paragraph">
                  <wp:posOffset>720725</wp:posOffset>
                </wp:positionV>
                <wp:extent cx="144780" cy="1503680"/>
                <wp:effectExtent l="0" t="0" r="7620" b="1270"/>
                <wp:wrapNone/>
                <wp:docPr id="57" name="Tekstfelt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50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0C7" w:rsidRDefault="00F430C7" w:rsidP="00FD226A"/>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felt 57" o:spid="_x0000_s1026" type="#_x0000_t202" style="position:absolute;margin-left:89.45pt;margin-top:56.75pt;width:11.4pt;height:118.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" filled="f" stroked="f">
                <v:textbox style="layout-flow:vertical;mso-layout-flow-alt:bottom-to-top" inset="0,0,0,0">
                  <w:txbxContent>
                    <w:p w:rsidR="00F430C7" w:rsidRDefault="00F430C7" w:rsidP="00FD226A"/>
                  </w:txbxContent>
                </v:textbox>
                <w10:wrap anchorx="page"/>
              </v:shape>
            </w:pict>
          </mc:Fallback>
        </mc:AlternateContent>
      </w:r>
      <w:r>
        <w:rPr>
          <w:b/>
          <w:w w:val="105"/>
        </w:rPr>
        <w:t>Figure 1: Kaplan-Meier estimate of time to major molecular response (MMR)</w:t>
      </w:r>
    </w:p>
    <w:p w:rsidR="00FD226A" w:rsidRDefault="00FD226A" w:rsidP="00FD226A">
      <w:pPr>
        <w:pStyle w:val="Brdtekst"/>
        <w:spacing w:before="9"/>
        <w:rPr>
          <w:b/>
          <w:w w:val="105"/>
        </w:rPr>
      </w:pPr>
    </w:p>
    <w:p w:rsidR="00FD226A" w:rsidRDefault="00FD226A" w:rsidP="00FD226A">
      <w:pPr>
        <w:pStyle w:val="Brdtekst"/>
        <w:spacing w:before="9"/>
        <w:rPr>
          <w:b/>
          <w:w w:val="105"/>
        </w:rPr>
      </w:pPr>
      <w:r>
        <w:rPr>
          <w:b/>
          <w:noProof/>
          <w:w w:val="105"/>
          <w:lang w:val="de-DE" w:eastAsia="de-DE"/>
        </w:rPr>
        <w:drawing>
          <wp:inline distT="0" distB="0" distL="0" distR="0">
            <wp:extent cx="5588000" cy="4102100"/>
            <wp:effectExtent l="0" t="0" r="0" b="0"/>
            <wp:docPr id="55" name="Billed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8000" cy="4102100"/>
                    </a:xfrm>
                    <a:prstGeom prst="rect">
                      <a:avLst/>
                    </a:prstGeom>
                    <a:noFill/>
                    <a:ln>
                      <a:noFill/>
                    </a:ln>
                  </pic:spPr>
                </pic:pic>
              </a:graphicData>
            </a:graphic>
          </wp:inline>
        </w:drawing>
      </w:r>
    </w:p>
    <w:p w:rsidR="00FD226A" w:rsidRDefault="00FD226A" w:rsidP="00FD226A">
      <w:pPr>
        <w:pStyle w:val="Brdtekst"/>
        <w:spacing w:before="9"/>
        <w:rPr>
          <w:b/>
          <w:w w:val="105"/>
        </w:rPr>
      </w:pPr>
    </w:p>
    <w:p w:rsidR="00C47EB1" w:rsidRDefault="00C47EB1" w:rsidP="003E0341">
      <w:pPr>
        <w:tabs>
          <w:tab w:val="left" w:pos="851"/>
        </w:tabs>
        <w:ind w:left="851"/>
        <w:rPr>
          <w:sz w:val="24"/>
          <w:szCs w:val="24"/>
          <w:lang w:val="en-US"/>
        </w:rPr>
      </w:pPr>
    </w:p>
    <w:p w:rsidR="00912C4D" w:rsidRPr="00912C4D" w:rsidRDefault="00912C4D" w:rsidP="00912C4D">
      <w:pPr>
        <w:tabs>
          <w:tab w:val="left" w:pos="851"/>
        </w:tabs>
        <w:ind w:left="851"/>
        <w:rPr>
          <w:sz w:val="24"/>
          <w:szCs w:val="24"/>
          <w:lang w:val="en-US"/>
        </w:rPr>
      </w:pPr>
      <w:r w:rsidRPr="00912C4D">
        <w:rPr>
          <w:sz w:val="24"/>
          <w:szCs w:val="24"/>
          <w:lang w:val="en-US"/>
        </w:rPr>
        <w:t>The rates of cCCyR in the dasatinib and imatinib treatment groups, respectively, within 3 months (54% and 30%), 6 months (70% and 56%), 9 months (75% and 63%), 24 months (80% and 74%), 36 months (83% and 77%), 48 months (83% and 79%) and 60 months (83% and 79%) were consistent with the primary endpoint. The rates of MMR in the dasatinib and imatinib treatment groups, respectively, within 3 months (8% and 0.4%), 6 months (27% and 8%), 9 months (39% and 18%), 12 months (46% and 28%), 24 months (64% and 46%) , 36 months (67% and 55%), 48 months (73% and 60%) and 60 months (76% and 64%)were also consistent with the primary endpoint.</w:t>
      </w:r>
    </w:p>
    <w:p w:rsidR="00912C4D" w:rsidRPr="00912C4D" w:rsidRDefault="00912C4D" w:rsidP="00912C4D">
      <w:pPr>
        <w:tabs>
          <w:tab w:val="left" w:pos="851"/>
        </w:tabs>
        <w:ind w:left="851"/>
        <w:rPr>
          <w:sz w:val="24"/>
          <w:szCs w:val="24"/>
          <w:lang w:val="en-US"/>
        </w:rPr>
      </w:pPr>
    </w:p>
    <w:p w:rsidR="00912C4D" w:rsidRPr="00912C4D" w:rsidRDefault="00912C4D" w:rsidP="00912C4D">
      <w:pPr>
        <w:tabs>
          <w:tab w:val="left" w:pos="851"/>
        </w:tabs>
        <w:ind w:left="851"/>
        <w:rPr>
          <w:sz w:val="24"/>
          <w:szCs w:val="24"/>
          <w:lang w:val="en-US"/>
        </w:rPr>
      </w:pPr>
      <w:r w:rsidRPr="00912C4D">
        <w:rPr>
          <w:sz w:val="24"/>
          <w:szCs w:val="24"/>
          <w:lang w:val="en-US"/>
        </w:rPr>
        <w:lastRenderedPageBreak/>
        <w:t>MMR rates by specific time point are displayed graphically in Figure 2. Rates of MMR were consistently higher in dasatinib-treated patients compared with imatinib-treated patients.</w:t>
      </w:r>
    </w:p>
    <w:p w:rsidR="00C47EB1" w:rsidRDefault="00C47EB1" w:rsidP="003E0341">
      <w:pPr>
        <w:tabs>
          <w:tab w:val="left" w:pos="851"/>
        </w:tabs>
        <w:ind w:left="851"/>
        <w:rPr>
          <w:sz w:val="24"/>
          <w:szCs w:val="24"/>
          <w:lang w:val="en-US"/>
        </w:rPr>
      </w:pPr>
    </w:p>
    <w:p w:rsidR="00912C4D" w:rsidRPr="00F430C7" w:rsidRDefault="00912C4D" w:rsidP="00912C4D">
      <w:pPr>
        <w:rPr>
          <w:w w:val="105"/>
          <w:sz w:val="22"/>
          <w:lang w:val="en-US"/>
        </w:rPr>
      </w:pPr>
    </w:p>
    <w:p w:rsidR="00912C4D" w:rsidRPr="00912C4D" w:rsidRDefault="00912C4D" w:rsidP="00912C4D">
      <w:pPr>
        <w:rPr>
          <w:b/>
          <w:w w:val="105"/>
          <w:sz w:val="20"/>
          <w:lang w:val="en-US"/>
        </w:rPr>
      </w:pPr>
      <w:r w:rsidRPr="00912C4D">
        <w:rPr>
          <w:b/>
          <w:w w:val="105"/>
          <w:sz w:val="20"/>
          <w:lang w:val="en-US"/>
        </w:rPr>
        <w:t xml:space="preserve">Figure 2: MMR rates over time - all randomised patients in a phase 3 study of </w:t>
      </w:r>
    </w:p>
    <w:p w:rsidR="00912C4D" w:rsidRPr="00912C4D" w:rsidRDefault="00912C4D" w:rsidP="00912C4D">
      <w:pPr>
        <w:rPr>
          <w:b/>
          <w:w w:val="105"/>
          <w:sz w:val="20"/>
          <w:lang w:val="en-US"/>
        </w:rPr>
      </w:pPr>
      <w:r w:rsidRPr="00912C4D">
        <w:rPr>
          <w:b/>
          <w:w w:val="105"/>
          <w:sz w:val="20"/>
          <w:lang w:val="en-US"/>
        </w:rPr>
        <w:tab/>
        <w:t xml:space="preserve">   newly diagnosed patients with chronic phase CML</w:t>
      </w:r>
    </w:p>
    <w:p w:rsidR="00912C4D" w:rsidRPr="00912C4D" w:rsidRDefault="00912C4D" w:rsidP="00912C4D">
      <w:pPr>
        <w:rPr>
          <w:b/>
          <w:w w:val="105"/>
          <w:sz w:val="20"/>
          <w:lang w:val="en-US"/>
        </w:rPr>
      </w:pPr>
    </w:p>
    <w:p w:rsidR="00912C4D" w:rsidRDefault="00912C4D" w:rsidP="00912C4D">
      <w:pPr>
        <w:rPr>
          <w:b/>
          <w:w w:val="105"/>
          <w:sz w:val="20"/>
        </w:rPr>
      </w:pPr>
      <w:r>
        <w:rPr>
          <w:b/>
          <w:noProof/>
          <w:w w:val="105"/>
          <w:sz w:val="20"/>
          <w:lang w:val="de-DE" w:eastAsia="de-DE"/>
        </w:rPr>
        <w:drawing>
          <wp:inline distT="0" distB="0" distL="0" distR="0">
            <wp:extent cx="4857750" cy="2901950"/>
            <wp:effectExtent l="0" t="0" r="0" b="0"/>
            <wp:docPr id="58" name="Billed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0" cy="2901950"/>
                    </a:xfrm>
                    <a:prstGeom prst="rect">
                      <a:avLst/>
                    </a:prstGeom>
                    <a:noFill/>
                    <a:ln>
                      <a:noFill/>
                    </a:ln>
                  </pic:spPr>
                </pic:pic>
              </a:graphicData>
            </a:graphic>
          </wp:inline>
        </w:drawing>
      </w:r>
    </w:p>
    <w:p w:rsidR="00912C4D" w:rsidRDefault="00912C4D" w:rsidP="003E0341">
      <w:pPr>
        <w:tabs>
          <w:tab w:val="left" w:pos="851"/>
        </w:tabs>
        <w:ind w:left="851"/>
        <w:rPr>
          <w:sz w:val="24"/>
          <w:szCs w:val="24"/>
          <w:lang w:val="en-US"/>
        </w:rPr>
      </w:pPr>
    </w:p>
    <w:p w:rsidR="00912C4D" w:rsidRPr="00912C4D" w:rsidRDefault="00912C4D" w:rsidP="00912C4D">
      <w:pPr>
        <w:tabs>
          <w:tab w:val="left" w:pos="851"/>
        </w:tabs>
        <w:ind w:left="851"/>
        <w:rPr>
          <w:sz w:val="24"/>
          <w:szCs w:val="24"/>
          <w:lang w:val="en-US"/>
        </w:rPr>
      </w:pPr>
      <w:r w:rsidRPr="00912C4D">
        <w:rPr>
          <w:sz w:val="24"/>
          <w:szCs w:val="24"/>
          <w:lang w:val="en-US"/>
        </w:rPr>
        <w:t>The proportion of patients achieving BCR-ABL ratio of ≤0.01% (4-log reduction) at any time was higher in the dasatinib group compared to the imatinib group (54.1% versus 45%). The proportion of patients achieving BCR-ABL ratio of ≤0.0032% (4.5-log reduction) at any time was higher in the dasatinib group compared to the imatinib group (44% versus 34%).</w:t>
      </w:r>
    </w:p>
    <w:p w:rsidR="00912C4D" w:rsidRPr="00912C4D" w:rsidRDefault="00912C4D" w:rsidP="00912C4D">
      <w:pPr>
        <w:tabs>
          <w:tab w:val="left" w:pos="851"/>
        </w:tabs>
        <w:ind w:left="851"/>
        <w:rPr>
          <w:sz w:val="24"/>
          <w:szCs w:val="24"/>
          <w:lang w:val="en-US"/>
        </w:rPr>
      </w:pPr>
      <w:r w:rsidRPr="00912C4D">
        <w:rPr>
          <w:sz w:val="24"/>
          <w:szCs w:val="24"/>
          <w:lang w:val="en-US"/>
        </w:rPr>
        <w:t>MR4.5 rates over time are displayed graphically in Figure 3. Rates of MR4.5 over time were consistently higher in dasatinib-treated patients compared with imatinib-treated patients.</w:t>
      </w:r>
    </w:p>
    <w:p w:rsidR="00912C4D" w:rsidRDefault="00912C4D">
      <w:pPr>
        <w:rPr>
          <w:sz w:val="24"/>
          <w:szCs w:val="24"/>
          <w:lang w:val="en-US"/>
        </w:rPr>
      </w:pPr>
      <w:r>
        <w:rPr>
          <w:sz w:val="24"/>
          <w:szCs w:val="24"/>
          <w:lang w:val="en-US"/>
        </w:rPr>
        <w:br w:type="page"/>
      </w:r>
    </w:p>
    <w:p w:rsidR="00912C4D" w:rsidRDefault="00912C4D" w:rsidP="003E0341">
      <w:pPr>
        <w:tabs>
          <w:tab w:val="left" w:pos="851"/>
        </w:tabs>
        <w:ind w:left="851"/>
        <w:rPr>
          <w:sz w:val="24"/>
          <w:szCs w:val="24"/>
          <w:lang w:val="en-US"/>
        </w:rPr>
      </w:pPr>
    </w:p>
    <w:p w:rsidR="00912C4D" w:rsidRDefault="00912C4D" w:rsidP="00912C4D">
      <w:pPr>
        <w:pStyle w:val="Brdtekst"/>
        <w:spacing w:line="249" w:lineRule="auto"/>
        <w:ind w:right="295"/>
        <w:rPr>
          <w:b/>
          <w:w w:val="103"/>
        </w:rPr>
      </w:pPr>
      <w:r>
        <w:rPr>
          <w:noProof/>
        </w:rPr>
        <w:drawing>
          <wp:anchor distT="0" distB="0" distL="0" distR="0" simplePos="0" relativeHeight="251670528" behindDoc="0" locked="0" layoutInCell="1" allowOverlap="1">
            <wp:simplePos x="0" y="0"/>
            <wp:positionH relativeFrom="page">
              <wp:posOffset>1294130</wp:posOffset>
            </wp:positionH>
            <wp:positionV relativeFrom="paragraph">
              <wp:posOffset>1151890</wp:posOffset>
            </wp:positionV>
            <wp:extent cx="360045" cy="831215"/>
            <wp:effectExtent l="0" t="0" r="0" b="0"/>
            <wp:wrapNone/>
            <wp:docPr id="61" name="Billed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45" cy="83121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552" behindDoc="0" locked="0" layoutInCell="1" allowOverlap="1">
                <wp:simplePos x="0" y="0"/>
                <wp:positionH relativeFrom="page">
                  <wp:posOffset>1376045</wp:posOffset>
                </wp:positionH>
                <wp:positionV relativeFrom="paragraph">
                  <wp:posOffset>1294130</wp:posOffset>
                </wp:positionV>
                <wp:extent cx="144780" cy="702310"/>
                <wp:effectExtent l="0" t="0" r="7620" b="2540"/>
                <wp:wrapNone/>
                <wp:docPr id="60" name="Tekstfelt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702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0C7" w:rsidRDefault="00F430C7" w:rsidP="00912C4D"/>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60" o:spid="_x0000_s1027" type="#_x0000_t202" style="position:absolute;margin-left:108.35pt;margin-top:101.9pt;width:11.4pt;height:55.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" filled="f" stroked="f">
                <v:textbox style="layout-flow:vertical;mso-layout-flow-alt:bottom-to-top" inset="0,0,0,0">
                  <w:txbxContent>
                    <w:p w:rsidR="00F430C7" w:rsidRDefault="00F430C7" w:rsidP="00912C4D"/>
                  </w:txbxContent>
                </v:textbox>
                <w10:wrap anchorx="page"/>
              </v:shape>
            </w:pict>
          </mc:Fallback>
        </mc:AlternateContent>
      </w:r>
      <w:r>
        <w:rPr>
          <w:b/>
          <w:w w:val="105"/>
        </w:rPr>
        <w:t>Figure</w:t>
      </w:r>
      <w:r>
        <w:rPr>
          <w:b/>
          <w:spacing w:val="-6"/>
          <w:w w:val="105"/>
        </w:rPr>
        <w:t xml:space="preserve"> </w:t>
      </w:r>
      <w:r>
        <w:rPr>
          <w:b/>
          <w:w w:val="105"/>
        </w:rPr>
        <w:t>3:</w:t>
      </w:r>
      <w:r>
        <w:rPr>
          <w:b/>
          <w:w w:val="105"/>
        </w:rPr>
        <w:tab/>
        <w:t>MR4.5</w:t>
      </w:r>
      <w:r>
        <w:rPr>
          <w:b/>
          <w:spacing w:val="-11"/>
          <w:w w:val="105"/>
        </w:rPr>
        <w:t xml:space="preserve"> </w:t>
      </w:r>
      <w:r>
        <w:rPr>
          <w:b/>
          <w:w w:val="105"/>
        </w:rPr>
        <w:t>rates</w:t>
      </w:r>
      <w:r>
        <w:rPr>
          <w:b/>
          <w:spacing w:val="-8"/>
          <w:w w:val="105"/>
        </w:rPr>
        <w:t xml:space="preserve"> </w:t>
      </w:r>
      <w:r>
        <w:rPr>
          <w:b/>
          <w:w w:val="105"/>
        </w:rPr>
        <w:t>over</w:t>
      </w:r>
      <w:r>
        <w:rPr>
          <w:b/>
          <w:spacing w:val="-10"/>
          <w:w w:val="105"/>
        </w:rPr>
        <w:t xml:space="preserve"> </w:t>
      </w:r>
      <w:r>
        <w:rPr>
          <w:b/>
          <w:w w:val="105"/>
        </w:rPr>
        <w:t>time</w:t>
      </w:r>
      <w:r>
        <w:rPr>
          <w:b/>
          <w:spacing w:val="-11"/>
          <w:w w:val="105"/>
        </w:rPr>
        <w:t xml:space="preserve"> </w:t>
      </w:r>
      <w:r>
        <w:rPr>
          <w:b/>
          <w:w w:val="105"/>
        </w:rPr>
        <w:t>-</w:t>
      </w:r>
      <w:r>
        <w:rPr>
          <w:b/>
          <w:spacing w:val="-10"/>
          <w:w w:val="105"/>
        </w:rPr>
        <w:t xml:space="preserve"> </w:t>
      </w:r>
      <w:r>
        <w:rPr>
          <w:b/>
          <w:w w:val="105"/>
        </w:rPr>
        <w:t>all</w:t>
      </w:r>
      <w:r>
        <w:rPr>
          <w:b/>
          <w:spacing w:val="-11"/>
          <w:w w:val="105"/>
        </w:rPr>
        <w:t xml:space="preserve"> </w:t>
      </w:r>
      <w:r>
        <w:rPr>
          <w:b/>
          <w:w w:val="105"/>
        </w:rPr>
        <w:t>randomised</w:t>
      </w:r>
      <w:r>
        <w:rPr>
          <w:b/>
          <w:spacing w:val="-11"/>
          <w:w w:val="105"/>
        </w:rPr>
        <w:t xml:space="preserve"> </w:t>
      </w:r>
      <w:r>
        <w:rPr>
          <w:b/>
          <w:w w:val="105"/>
        </w:rPr>
        <w:t>patients</w:t>
      </w:r>
      <w:r>
        <w:rPr>
          <w:b/>
          <w:spacing w:val="-11"/>
          <w:w w:val="105"/>
        </w:rPr>
        <w:t xml:space="preserve"> </w:t>
      </w:r>
      <w:r>
        <w:rPr>
          <w:b/>
          <w:w w:val="105"/>
        </w:rPr>
        <w:t>in</w:t>
      </w:r>
      <w:r>
        <w:rPr>
          <w:b/>
          <w:spacing w:val="-10"/>
          <w:w w:val="105"/>
        </w:rPr>
        <w:t xml:space="preserve"> </w:t>
      </w:r>
      <w:r>
        <w:rPr>
          <w:b/>
          <w:w w:val="105"/>
        </w:rPr>
        <w:t>a</w:t>
      </w:r>
      <w:r>
        <w:rPr>
          <w:b/>
          <w:spacing w:val="-9"/>
          <w:w w:val="105"/>
        </w:rPr>
        <w:t xml:space="preserve"> </w:t>
      </w:r>
      <w:r>
        <w:rPr>
          <w:b/>
          <w:w w:val="105"/>
        </w:rPr>
        <w:t>phase</w:t>
      </w:r>
      <w:r>
        <w:rPr>
          <w:b/>
          <w:spacing w:val="-10"/>
          <w:w w:val="105"/>
        </w:rPr>
        <w:t xml:space="preserve"> </w:t>
      </w:r>
      <w:r>
        <w:rPr>
          <w:b/>
          <w:w w:val="105"/>
        </w:rPr>
        <w:t>3</w:t>
      </w:r>
      <w:r>
        <w:rPr>
          <w:b/>
          <w:spacing w:val="-11"/>
          <w:w w:val="105"/>
        </w:rPr>
        <w:t xml:space="preserve"> </w:t>
      </w:r>
      <w:r>
        <w:rPr>
          <w:b/>
          <w:w w:val="105"/>
        </w:rPr>
        <w:t>study</w:t>
      </w:r>
      <w:r>
        <w:rPr>
          <w:b/>
          <w:spacing w:val="-10"/>
          <w:w w:val="105"/>
        </w:rPr>
        <w:t xml:space="preserve"> </w:t>
      </w:r>
      <w:r>
        <w:rPr>
          <w:b/>
          <w:w w:val="105"/>
        </w:rPr>
        <w:t>of</w:t>
      </w:r>
      <w:r>
        <w:rPr>
          <w:b/>
          <w:spacing w:val="-10"/>
          <w:w w:val="105"/>
        </w:rPr>
        <w:t xml:space="preserve"> </w:t>
      </w:r>
      <w:r>
        <w:rPr>
          <w:b/>
          <w:w w:val="105"/>
        </w:rPr>
        <w:t>newly</w:t>
      </w:r>
      <w:r>
        <w:rPr>
          <w:b/>
          <w:w w:val="103"/>
        </w:rPr>
        <w:t xml:space="preserve"> </w:t>
      </w:r>
    </w:p>
    <w:p w:rsidR="00912C4D" w:rsidRDefault="00912C4D" w:rsidP="00912C4D">
      <w:pPr>
        <w:pStyle w:val="Brdtekst"/>
        <w:spacing w:line="249" w:lineRule="auto"/>
        <w:ind w:right="295"/>
        <w:rPr>
          <w:b/>
          <w:w w:val="105"/>
        </w:rPr>
      </w:pPr>
      <w:r>
        <w:rPr>
          <w:b/>
          <w:w w:val="103"/>
        </w:rPr>
        <w:tab/>
      </w:r>
      <w:r>
        <w:rPr>
          <w:b/>
          <w:w w:val="103"/>
        </w:rPr>
        <w:tab/>
      </w:r>
      <w:r>
        <w:rPr>
          <w:b/>
          <w:w w:val="105"/>
        </w:rPr>
        <w:t>diagnosed</w:t>
      </w:r>
      <w:r>
        <w:rPr>
          <w:b/>
          <w:spacing w:val="-16"/>
          <w:w w:val="105"/>
        </w:rPr>
        <w:t xml:space="preserve"> </w:t>
      </w:r>
      <w:r>
        <w:rPr>
          <w:b/>
          <w:w w:val="105"/>
        </w:rPr>
        <w:t>patients</w:t>
      </w:r>
      <w:r>
        <w:rPr>
          <w:b/>
          <w:spacing w:val="-16"/>
          <w:w w:val="105"/>
        </w:rPr>
        <w:t xml:space="preserve"> </w:t>
      </w:r>
      <w:r>
        <w:rPr>
          <w:b/>
          <w:w w:val="105"/>
        </w:rPr>
        <w:t>with</w:t>
      </w:r>
      <w:r>
        <w:rPr>
          <w:b/>
          <w:spacing w:val="-16"/>
          <w:w w:val="105"/>
        </w:rPr>
        <w:t xml:space="preserve"> </w:t>
      </w:r>
      <w:r>
        <w:rPr>
          <w:b/>
          <w:w w:val="105"/>
        </w:rPr>
        <w:t>chronic</w:t>
      </w:r>
      <w:r>
        <w:rPr>
          <w:b/>
          <w:spacing w:val="-16"/>
          <w:w w:val="105"/>
        </w:rPr>
        <w:t xml:space="preserve"> </w:t>
      </w:r>
      <w:r>
        <w:rPr>
          <w:b/>
          <w:w w:val="105"/>
        </w:rPr>
        <w:t>phase</w:t>
      </w:r>
      <w:r>
        <w:rPr>
          <w:b/>
          <w:spacing w:val="-16"/>
          <w:w w:val="105"/>
        </w:rPr>
        <w:t xml:space="preserve"> </w:t>
      </w:r>
      <w:r>
        <w:rPr>
          <w:b/>
          <w:w w:val="105"/>
        </w:rPr>
        <w:t>CML</w:t>
      </w:r>
    </w:p>
    <w:p w:rsidR="00912C4D" w:rsidRDefault="00912C4D" w:rsidP="00912C4D">
      <w:pPr>
        <w:pStyle w:val="Brdtekst"/>
        <w:spacing w:line="249" w:lineRule="auto"/>
        <w:ind w:right="295"/>
        <w:rPr>
          <w:b/>
          <w:w w:val="105"/>
        </w:rPr>
      </w:pPr>
    </w:p>
    <w:p w:rsidR="00912C4D" w:rsidRDefault="00912C4D" w:rsidP="00912C4D">
      <w:pPr>
        <w:pStyle w:val="Brdtekst"/>
        <w:spacing w:line="249" w:lineRule="auto"/>
        <w:ind w:right="295"/>
        <w:rPr>
          <w:rFonts w:ascii="Arial"/>
          <w:sz w:val="17"/>
          <w:szCs w:val="22"/>
          <w:u w:val="single"/>
        </w:rPr>
      </w:pPr>
      <w:r>
        <w:rPr>
          <w:rFonts w:ascii="Arial"/>
          <w:noProof/>
          <w:sz w:val="17"/>
          <w:szCs w:val="22"/>
          <w:lang w:val="de-DE" w:eastAsia="de-DE"/>
        </w:rPr>
        <w:drawing>
          <wp:inline distT="0" distB="0" distL="0" distR="0">
            <wp:extent cx="5149850" cy="3028950"/>
            <wp:effectExtent l="0" t="0" r="0" b="0"/>
            <wp:docPr id="59" name="Billed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9850" cy="3028950"/>
                    </a:xfrm>
                    <a:prstGeom prst="rect">
                      <a:avLst/>
                    </a:prstGeom>
                    <a:noFill/>
                    <a:ln>
                      <a:noFill/>
                    </a:ln>
                  </pic:spPr>
                </pic:pic>
              </a:graphicData>
            </a:graphic>
          </wp:inline>
        </w:drawing>
      </w:r>
    </w:p>
    <w:p w:rsidR="00912C4D" w:rsidRDefault="00912C4D" w:rsidP="00912C4D">
      <w:pPr>
        <w:pStyle w:val="Brdtekst"/>
        <w:spacing w:line="249" w:lineRule="auto"/>
        <w:ind w:right="295"/>
        <w:rPr>
          <w:rFonts w:ascii="Arial"/>
          <w:sz w:val="17"/>
          <w:szCs w:val="22"/>
          <w:u w:val="single"/>
        </w:rPr>
      </w:pPr>
    </w:p>
    <w:p w:rsidR="00C47EB1" w:rsidRDefault="00C47EB1" w:rsidP="003E0341">
      <w:pPr>
        <w:tabs>
          <w:tab w:val="left" w:pos="851"/>
        </w:tabs>
        <w:ind w:left="851"/>
        <w:rPr>
          <w:sz w:val="24"/>
          <w:szCs w:val="24"/>
          <w:lang w:val="en-US"/>
        </w:rPr>
      </w:pPr>
    </w:p>
    <w:p w:rsidR="00CD50DC" w:rsidRPr="00CD50DC" w:rsidRDefault="00CD50DC" w:rsidP="00CD50DC">
      <w:pPr>
        <w:tabs>
          <w:tab w:val="left" w:pos="851"/>
        </w:tabs>
        <w:ind w:left="851"/>
        <w:rPr>
          <w:sz w:val="24"/>
          <w:szCs w:val="24"/>
          <w:lang w:val="en-US"/>
        </w:rPr>
      </w:pPr>
      <w:r w:rsidRPr="00CD50DC">
        <w:rPr>
          <w:sz w:val="24"/>
          <w:szCs w:val="24"/>
          <w:lang w:val="en-US"/>
        </w:rPr>
        <w:t>The rate of MMR at any time in each risk group determined by Hasford score was higher in the dasatinib group compared with the imatinib group (low risk: 90% and 69%; intermediate risk: 71% and 65%; high risk: 67% and 54%, respectively).</w:t>
      </w:r>
    </w:p>
    <w:p w:rsidR="00CD50DC" w:rsidRPr="00CD50DC" w:rsidRDefault="00CD50DC" w:rsidP="00CD50DC">
      <w:pPr>
        <w:tabs>
          <w:tab w:val="left" w:pos="851"/>
        </w:tabs>
        <w:ind w:left="851"/>
        <w:rPr>
          <w:sz w:val="24"/>
          <w:szCs w:val="24"/>
          <w:lang w:val="en-US"/>
        </w:rPr>
      </w:pPr>
    </w:p>
    <w:p w:rsidR="00CD50DC" w:rsidRPr="00CD50DC" w:rsidRDefault="00CD50DC" w:rsidP="00CD50DC">
      <w:pPr>
        <w:tabs>
          <w:tab w:val="left" w:pos="851"/>
        </w:tabs>
        <w:ind w:left="851"/>
        <w:rPr>
          <w:sz w:val="24"/>
          <w:szCs w:val="24"/>
          <w:lang w:val="en-US"/>
        </w:rPr>
      </w:pPr>
      <w:r w:rsidRPr="00CD50DC">
        <w:rPr>
          <w:sz w:val="24"/>
          <w:szCs w:val="24"/>
          <w:lang w:val="en-US"/>
        </w:rPr>
        <w:t>In an additional analysis, more dasatinib-treated patients (84%) achieved early molecular response (defined as BCR-ABL levels ≤ 10% at 3 months) compared with imatinib-treated patients (64%). Patients achieving early molecular response had a lower risk of transformation, higher rate of progression-free survival (PFS) and higher rate of overall survival (OS), as shown in Table 10.</w:t>
      </w:r>
    </w:p>
    <w:p w:rsidR="00912C4D" w:rsidRPr="00CD50DC" w:rsidRDefault="00912C4D" w:rsidP="003E0341">
      <w:pPr>
        <w:tabs>
          <w:tab w:val="left" w:pos="851"/>
        </w:tabs>
        <w:ind w:left="851"/>
        <w:rPr>
          <w:sz w:val="24"/>
          <w:szCs w:val="24"/>
          <w:lang w:val="en-US"/>
        </w:rPr>
      </w:pPr>
    </w:p>
    <w:p w:rsidR="00CD50DC" w:rsidRPr="00CD50DC" w:rsidRDefault="00CD50DC" w:rsidP="00CD50DC">
      <w:pPr>
        <w:pStyle w:val="Overskrift1"/>
        <w:tabs>
          <w:tab w:val="left" w:pos="1303"/>
        </w:tabs>
        <w:spacing w:before="1" w:after="6"/>
        <w:ind w:left="0"/>
        <w:rPr>
          <w:b w:val="0"/>
          <w:bCs w:val="0"/>
        </w:rPr>
      </w:pPr>
    </w:p>
    <w:p w:rsidR="00CD50DC" w:rsidRPr="00CD50DC" w:rsidRDefault="00CD50DC" w:rsidP="00CD50DC">
      <w:pPr>
        <w:pStyle w:val="Overskrift1"/>
        <w:tabs>
          <w:tab w:val="left" w:pos="1303"/>
        </w:tabs>
        <w:spacing w:before="1" w:after="6"/>
        <w:ind w:left="0"/>
      </w:pPr>
      <w:r w:rsidRPr="00CD50DC">
        <w:rPr>
          <w:w w:val="105"/>
        </w:rPr>
        <w:t>Table</w:t>
      </w:r>
      <w:r w:rsidRPr="00CD50DC">
        <w:rPr>
          <w:spacing w:val="-6"/>
          <w:w w:val="105"/>
        </w:rPr>
        <w:t xml:space="preserve"> </w:t>
      </w:r>
      <w:r w:rsidRPr="00CD50DC">
        <w:rPr>
          <w:w w:val="105"/>
        </w:rPr>
        <w:t>10:</w:t>
      </w:r>
      <w:r w:rsidRPr="00CD50DC">
        <w:rPr>
          <w:w w:val="105"/>
        </w:rPr>
        <w:tab/>
        <w:t>Dasatinib</w:t>
      </w:r>
      <w:r w:rsidRPr="00CD50DC">
        <w:rPr>
          <w:spacing w:val="-10"/>
          <w:w w:val="105"/>
        </w:rPr>
        <w:t xml:space="preserve"> </w:t>
      </w:r>
      <w:r w:rsidRPr="00CD50DC">
        <w:rPr>
          <w:w w:val="105"/>
        </w:rPr>
        <w:t>patients</w:t>
      </w:r>
      <w:r w:rsidRPr="00CD50DC">
        <w:rPr>
          <w:spacing w:val="-12"/>
          <w:w w:val="105"/>
        </w:rPr>
        <w:t xml:space="preserve"> </w:t>
      </w:r>
      <w:r w:rsidRPr="00CD50DC">
        <w:rPr>
          <w:w w:val="105"/>
        </w:rPr>
        <w:t>with</w:t>
      </w:r>
      <w:r w:rsidRPr="00CD50DC">
        <w:rPr>
          <w:spacing w:val="-10"/>
          <w:w w:val="105"/>
        </w:rPr>
        <w:t xml:space="preserve"> </w:t>
      </w:r>
      <w:r w:rsidRPr="00CD50DC">
        <w:rPr>
          <w:w w:val="105"/>
        </w:rPr>
        <w:t>BCR-ABL</w:t>
      </w:r>
      <w:r w:rsidRPr="00CD50DC">
        <w:rPr>
          <w:spacing w:val="-10"/>
          <w:w w:val="105"/>
        </w:rPr>
        <w:t xml:space="preserve"> </w:t>
      </w:r>
      <w:r w:rsidRPr="00CD50DC">
        <w:rPr>
          <w:w w:val="105"/>
        </w:rPr>
        <w:t>≤</w:t>
      </w:r>
      <w:r w:rsidRPr="00CD50DC">
        <w:rPr>
          <w:spacing w:val="-10"/>
          <w:w w:val="105"/>
        </w:rPr>
        <w:t xml:space="preserve"> </w:t>
      </w:r>
      <w:r w:rsidRPr="00CD50DC">
        <w:rPr>
          <w:w w:val="105"/>
        </w:rPr>
        <w:t>10%</w:t>
      </w:r>
      <w:r w:rsidRPr="00CD50DC">
        <w:rPr>
          <w:spacing w:val="-10"/>
          <w:w w:val="105"/>
        </w:rPr>
        <w:t xml:space="preserve"> </w:t>
      </w:r>
      <w:r w:rsidRPr="00CD50DC">
        <w:rPr>
          <w:w w:val="105"/>
        </w:rPr>
        <w:t>and</w:t>
      </w:r>
      <w:r w:rsidRPr="00CD50DC">
        <w:rPr>
          <w:spacing w:val="-10"/>
          <w:w w:val="105"/>
        </w:rPr>
        <w:t xml:space="preserve"> </w:t>
      </w:r>
      <w:r w:rsidRPr="00CD50DC">
        <w:rPr>
          <w:w w:val="105"/>
        </w:rPr>
        <w:t>&gt;</w:t>
      </w:r>
      <w:r w:rsidRPr="00CD50DC">
        <w:rPr>
          <w:spacing w:val="-10"/>
          <w:w w:val="105"/>
        </w:rPr>
        <w:t xml:space="preserve"> </w:t>
      </w:r>
      <w:r w:rsidRPr="00CD50DC">
        <w:rPr>
          <w:w w:val="105"/>
        </w:rPr>
        <w:t>10%</w:t>
      </w:r>
      <w:r w:rsidRPr="00CD50DC">
        <w:rPr>
          <w:spacing w:val="-10"/>
          <w:w w:val="105"/>
        </w:rPr>
        <w:t xml:space="preserve"> </w:t>
      </w:r>
      <w:r w:rsidRPr="00CD50DC">
        <w:rPr>
          <w:w w:val="105"/>
        </w:rPr>
        <w:t>at</w:t>
      </w:r>
      <w:r w:rsidRPr="00CD50DC">
        <w:rPr>
          <w:spacing w:val="-10"/>
          <w:w w:val="105"/>
        </w:rPr>
        <w:t xml:space="preserve"> </w:t>
      </w:r>
      <w:r w:rsidRPr="00CD50DC">
        <w:rPr>
          <w:w w:val="105"/>
        </w:rPr>
        <w:t>3</w:t>
      </w:r>
      <w:r w:rsidRPr="00CD50DC">
        <w:rPr>
          <w:spacing w:val="-10"/>
          <w:w w:val="105"/>
        </w:rPr>
        <w:t xml:space="preserve"> </w:t>
      </w:r>
      <w:r w:rsidRPr="00CD50DC">
        <w:rPr>
          <w:w w:val="105"/>
        </w:rPr>
        <w:t>months</w:t>
      </w:r>
    </w:p>
    <w:tbl>
      <w:tblPr>
        <w:tblStyle w:val="TableNormal1"/>
        <w:tblW w:w="0" w:type="auto"/>
        <w:tblInd w:w="0" w:type="dxa"/>
        <w:tblLayout w:type="fixed"/>
        <w:tblLook w:val="01E0" w:firstRow="1" w:lastRow="1" w:firstColumn="1" w:lastColumn="1" w:noHBand="0" w:noVBand="0"/>
      </w:tblPr>
      <w:tblGrid>
        <w:gridCol w:w="3509"/>
        <w:gridCol w:w="2624"/>
        <w:gridCol w:w="2771"/>
      </w:tblGrid>
      <w:tr w:rsidR="00CD50DC" w:rsidRPr="00F430C7" w:rsidTr="00CD50DC">
        <w:trPr>
          <w:trHeight w:val="460"/>
        </w:trPr>
        <w:tc>
          <w:tcPr>
            <w:tcW w:w="3509" w:type="dxa"/>
            <w:tcBorders>
              <w:top w:val="single" w:sz="4" w:space="0" w:color="000000"/>
              <w:left w:val="nil"/>
              <w:bottom w:val="single" w:sz="6" w:space="0" w:color="000000"/>
              <w:right w:val="nil"/>
            </w:tcBorders>
          </w:tcPr>
          <w:p w:rsidR="00CD50DC" w:rsidRPr="00CD50DC" w:rsidRDefault="00CD50DC">
            <w:pPr>
              <w:pStyle w:val="TableParagraph"/>
              <w:spacing w:before="2"/>
              <w:rPr>
                <w:rFonts w:ascii="Times New Roman" w:hAnsi="Times New Roman" w:cs="Times New Roman"/>
                <w:b/>
                <w:sz w:val="21"/>
              </w:rPr>
            </w:pPr>
          </w:p>
          <w:p w:rsidR="00CD50DC" w:rsidRPr="00CD50DC" w:rsidRDefault="00CD50DC">
            <w:pPr>
              <w:pStyle w:val="TableParagraph"/>
              <w:spacing w:line="210" w:lineRule="exact"/>
              <w:ind w:left="100"/>
              <w:rPr>
                <w:rFonts w:ascii="Times New Roman" w:hAnsi="Times New Roman" w:cs="Times New Roman"/>
                <w:b/>
                <w:sz w:val="20"/>
              </w:rPr>
            </w:pPr>
            <w:r w:rsidRPr="00CD50DC">
              <w:rPr>
                <w:rFonts w:ascii="Times New Roman" w:hAnsi="Times New Roman" w:cs="Times New Roman"/>
                <w:b/>
                <w:w w:val="105"/>
                <w:sz w:val="20"/>
              </w:rPr>
              <w:t>Dasatinib N = 235</w:t>
            </w:r>
          </w:p>
        </w:tc>
        <w:tc>
          <w:tcPr>
            <w:tcW w:w="2624" w:type="dxa"/>
            <w:tcBorders>
              <w:top w:val="single" w:sz="4" w:space="0" w:color="000000"/>
              <w:left w:val="nil"/>
              <w:bottom w:val="single" w:sz="6" w:space="0" w:color="000000"/>
              <w:right w:val="nil"/>
            </w:tcBorders>
            <w:hideMark/>
          </w:tcPr>
          <w:p w:rsidR="00CD50DC" w:rsidRPr="00CD50DC" w:rsidRDefault="00CD50DC">
            <w:pPr>
              <w:pStyle w:val="TableParagraph"/>
              <w:spacing w:before="6"/>
              <w:ind w:left="187" w:right="226"/>
              <w:jc w:val="center"/>
              <w:rPr>
                <w:rFonts w:ascii="Times New Roman" w:hAnsi="Times New Roman" w:cs="Times New Roman"/>
                <w:b/>
                <w:sz w:val="20"/>
              </w:rPr>
            </w:pPr>
            <w:r w:rsidRPr="00CD50DC">
              <w:rPr>
                <w:rFonts w:ascii="Times New Roman" w:hAnsi="Times New Roman" w:cs="Times New Roman"/>
                <w:b/>
                <w:w w:val="105"/>
                <w:sz w:val="20"/>
              </w:rPr>
              <w:t>Patients with BCR-ABL</w:t>
            </w:r>
          </w:p>
          <w:p w:rsidR="00CD50DC" w:rsidRPr="00CD50DC" w:rsidRDefault="00CD50DC">
            <w:pPr>
              <w:pStyle w:val="TableParagraph"/>
              <w:spacing w:before="7" w:line="210" w:lineRule="exact"/>
              <w:ind w:left="185" w:right="226"/>
              <w:jc w:val="center"/>
              <w:rPr>
                <w:rFonts w:ascii="Times New Roman" w:hAnsi="Times New Roman" w:cs="Times New Roman"/>
                <w:b/>
                <w:sz w:val="20"/>
              </w:rPr>
            </w:pPr>
            <w:r w:rsidRPr="00CD50DC">
              <w:rPr>
                <w:rFonts w:ascii="Times New Roman" w:hAnsi="Times New Roman" w:cs="Times New Roman"/>
                <w:b/>
                <w:w w:val="105"/>
                <w:sz w:val="20"/>
              </w:rPr>
              <w:t>≤ 10% at 3 months</w:t>
            </w:r>
          </w:p>
        </w:tc>
        <w:tc>
          <w:tcPr>
            <w:tcW w:w="2771" w:type="dxa"/>
            <w:tcBorders>
              <w:top w:val="single" w:sz="4" w:space="0" w:color="000000"/>
              <w:left w:val="nil"/>
              <w:bottom w:val="single" w:sz="6" w:space="0" w:color="000000"/>
              <w:right w:val="nil"/>
            </w:tcBorders>
            <w:hideMark/>
          </w:tcPr>
          <w:p w:rsidR="00CD50DC" w:rsidRPr="00CD50DC" w:rsidRDefault="00CD50DC">
            <w:pPr>
              <w:pStyle w:val="TableParagraph"/>
              <w:spacing w:before="2" w:line="238" w:lineRule="exact"/>
              <w:ind w:left="667" w:hanging="405"/>
              <w:rPr>
                <w:rFonts w:ascii="Times New Roman" w:hAnsi="Times New Roman" w:cs="Times New Roman"/>
                <w:b/>
                <w:sz w:val="20"/>
              </w:rPr>
            </w:pPr>
            <w:r w:rsidRPr="00CD50DC">
              <w:rPr>
                <w:rFonts w:ascii="Times New Roman" w:hAnsi="Times New Roman" w:cs="Times New Roman"/>
                <w:b/>
                <w:w w:val="105"/>
                <w:sz w:val="20"/>
              </w:rPr>
              <w:t>Patients with BCR-ABL &gt; 10% at 3 months</w:t>
            </w:r>
          </w:p>
        </w:tc>
      </w:tr>
      <w:tr w:rsidR="00CD50DC" w:rsidRPr="00CD50DC" w:rsidTr="00CD50DC">
        <w:trPr>
          <w:trHeight w:val="235"/>
        </w:trPr>
        <w:tc>
          <w:tcPr>
            <w:tcW w:w="3509" w:type="dxa"/>
            <w:tcBorders>
              <w:top w:val="single" w:sz="6" w:space="0" w:color="000000"/>
              <w:left w:val="nil"/>
              <w:bottom w:val="nil"/>
              <w:right w:val="nil"/>
            </w:tcBorders>
            <w:hideMark/>
          </w:tcPr>
          <w:p w:rsidR="00CD50DC" w:rsidRPr="00CD50DC" w:rsidRDefault="00CD50DC">
            <w:pPr>
              <w:pStyle w:val="TableParagraph"/>
              <w:spacing w:before="2" w:line="216" w:lineRule="exact"/>
              <w:ind w:left="100"/>
              <w:rPr>
                <w:rFonts w:ascii="Times New Roman" w:hAnsi="Times New Roman" w:cs="Times New Roman"/>
                <w:sz w:val="20"/>
              </w:rPr>
            </w:pPr>
            <w:r w:rsidRPr="00CD50DC">
              <w:rPr>
                <w:rFonts w:ascii="Times New Roman" w:hAnsi="Times New Roman" w:cs="Times New Roman"/>
                <w:w w:val="105"/>
                <w:sz w:val="20"/>
              </w:rPr>
              <w:t>Number of patients (%)</w:t>
            </w:r>
          </w:p>
        </w:tc>
        <w:tc>
          <w:tcPr>
            <w:tcW w:w="2624" w:type="dxa"/>
            <w:tcBorders>
              <w:top w:val="single" w:sz="6" w:space="0" w:color="000000"/>
              <w:left w:val="nil"/>
              <w:bottom w:val="nil"/>
              <w:right w:val="nil"/>
            </w:tcBorders>
            <w:hideMark/>
          </w:tcPr>
          <w:p w:rsidR="00CD50DC" w:rsidRPr="00CD50DC" w:rsidRDefault="00CD50DC">
            <w:pPr>
              <w:pStyle w:val="TableParagraph"/>
              <w:spacing w:before="2" w:line="216" w:lineRule="exact"/>
              <w:ind w:left="187" w:right="225"/>
              <w:jc w:val="center"/>
              <w:rPr>
                <w:rFonts w:ascii="Times New Roman" w:hAnsi="Times New Roman" w:cs="Times New Roman"/>
                <w:sz w:val="20"/>
              </w:rPr>
            </w:pPr>
            <w:r w:rsidRPr="00CD50DC">
              <w:rPr>
                <w:rFonts w:ascii="Times New Roman" w:hAnsi="Times New Roman" w:cs="Times New Roman"/>
                <w:w w:val="105"/>
                <w:sz w:val="20"/>
              </w:rPr>
              <w:t>198 (84.3)</w:t>
            </w:r>
          </w:p>
        </w:tc>
        <w:tc>
          <w:tcPr>
            <w:tcW w:w="2771" w:type="dxa"/>
            <w:tcBorders>
              <w:top w:val="single" w:sz="6" w:space="0" w:color="000000"/>
              <w:left w:val="nil"/>
              <w:bottom w:val="nil"/>
              <w:right w:val="nil"/>
            </w:tcBorders>
            <w:hideMark/>
          </w:tcPr>
          <w:p w:rsidR="00CD50DC" w:rsidRPr="00CD50DC" w:rsidRDefault="00CD50DC">
            <w:pPr>
              <w:pStyle w:val="TableParagraph"/>
              <w:spacing w:before="2" w:line="216" w:lineRule="exact"/>
              <w:ind w:left="608" w:right="545"/>
              <w:jc w:val="center"/>
              <w:rPr>
                <w:rFonts w:ascii="Times New Roman" w:hAnsi="Times New Roman" w:cs="Times New Roman"/>
                <w:sz w:val="20"/>
              </w:rPr>
            </w:pPr>
            <w:r w:rsidRPr="00CD50DC">
              <w:rPr>
                <w:rFonts w:ascii="Times New Roman" w:hAnsi="Times New Roman" w:cs="Times New Roman"/>
                <w:w w:val="105"/>
                <w:sz w:val="20"/>
              </w:rPr>
              <w:t>37 (15.7)</w:t>
            </w:r>
          </w:p>
        </w:tc>
      </w:tr>
      <w:tr w:rsidR="00CD50DC" w:rsidRPr="00CD50DC" w:rsidTr="00CD50DC">
        <w:trPr>
          <w:trHeight w:val="220"/>
        </w:trPr>
        <w:tc>
          <w:tcPr>
            <w:tcW w:w="3509" w:type="dxa"/>
            <w:hideMark/>
          </w:tcPr>
          <w:p w:rsidR="00CD50DC" w:rsidRPr="00CD50DC" w:rsidRDefault="00CD50DC">
            <w:pPr>
              <w:pStyle w:val="TableParagraph"/>
              <w:spacing w:before="1" w:line="216" w:lineRule="exact"/>
              <w:ind w:left="100"/>
              <w:rPr>
                <w:rFonts w:ascii="Times New Roman" w:hAnsi="Times New Roman" w:cs="Times New Roman"/>
                <w:sz w:val="20"/>
              </w:rPr>
            </w:pPr>
            <w:r w:rsidRPr="00CD50DC">
              <w:rPr>
                <w:rFonts w:ascii="Times New Roman" w:hAnsi="Times New Roman" w:cs="Times New Roman"/>
                <w:w w:val="105"/>
                <w:sz w:val="20"/>
              </w:rPr>
              <w:t>Transformation at 60 months, n/N (%)</w:t>
            </w:r>
          </w:p>
        </w:tc>
        <w:tc>
          <w:tcPr>
            <w:tcW w:w="2624" w:type="dxa"/>
            <w:hideMark/>
          </w:tcPr>
          <w:p w:rsidR="00CD50DC" w:rsidRPr="00CD50DC" w:rsidRDefault="00CD50DC">
            <w:pPr>
              <w:pStyle w:val="TableParagraph"/>
              <w:spacing w:before="1" w:line="216" w:lineRule="exact"/>
              <w:ind w:left="187" w:right="222"/>
              <w:jc w:val="center"/>
              <w:rPr>
                <w:rFonts w:ascii="Times New Roman" w:hAnsi="Times New Roman" w:cs="Times New Roman"/>
                <w:sz w:val="20"/>
              </w:rPr>
            </w:pPr>
            <w:r w:rsidRPr="00CD50DC">
              <w:rPr>
                <w:rFonts w:ascii="Times New Roman" w:hAnsi="Times New Roman" w:cs="Times New Roman"/>
                <w:w w:val="105"/>
                <w:sz w:val="20"/>
              </w:rPr>
              <w:t>6/198 (3.0)</w:t>
            </w:r>
          </w:p>
        </w:tc>
        <w:tc>
          <w:tcPr>
            <w:tcW w:w="2771" w:type="dxa"/>
            <w:hideMark/>
          </w:tcPr>
          <w:p w:rsidR="00CD50DC" w:rsidRPr="00CD50DC" w:rsidRDefault="00CD50DC">
            <w:pPr>
              <w:pStyle w:val="TableParagraph"/>
              <w:spacing w:before="1" w:line="216" w:lineRule="exact"/>
              <w:ind w:left="608" w:right="540"/>
              <w:jc w:val="center"/>
              <w:rPr>
                <w:rFonts w:ascii="Times New Roman" w:hAnsi="Times New Roman" w:cs="Times New Roman"/>
                <w:sz w:val="20"/>
              </w:rPr>
            </w:pPr>
            <w:r w:rsidRPr="00CD50DC">
              <w:rPr>
                <w:rFonts w:ascii="Times New Roman" w:hAnsi="Times New Roman" w:cs="Times New Roman"/>
                <w:w w:val="105"/>
                <w:sz w:val="20"/>
              </w:rPr>
              <w:t>5/37 (13.5)</w:t>
            </w:r>
          </w:p>
        </w:tc>
      </w:tr>
      <w:tr w:rsidR="00CD50DC" w:rsidRPr="00CD50DC" w:rsidTr="00CD50DC">
        <w:trPr>
          <w:trHeight w:val="220"/>
        </w:trPr>
        <w:tc>
          <w:tcPr>
            <w:tcW w:w="3509" w:type="dxa"/>
            <w:hideMark/>
          </w:tcPr>
          <w:p w:rsidR="00CD50DC" w:rsidRPr="00CD50DC" w:rsidRDefault="00CD50DC">
            <w:pPr>
              <w:pStyle w:val="TableParagraph"/>
              <w:spacing w:before="1" w:line="216" w:lineRule="exact"/>
              <w:ind w:left="100"/>
              <w:rPr>
                <w:rFonts w:ascii="Times New Roman" w:hAnsi="Times New Roman" w:cs="Times New Roman"/>
                <w:sz w:val="20"/>
              </w:rPr>
            </w:pPr>
            <w:r w:rsidRPr="00CD50DC">
              <w:rPr>
                <w:rFonts w:ascii="Times New Roman" w:hAnsi="Times New Roman" w:cs="Times New Roman"/>
                <w:w w:val="105"/>
                <w:sz w:val="20"/>
              </w:rPr>
              <w:t>Rate of PFS at 60 months (95% CI)</w:t>
            </w:r>
          </w:p>
        </w:tc>
        <w:tc>
          <w:tcPr>
            <w:tcW w:w="2624" w:type="dxa"/>
            <w:hideMark/>
          </w:tcPr>
          <w:p w:rsidR="00CD50DC" w:rsidRPr="00CD50DC" w:rsidRDefault="00CD50DC">
            <w:pPr>
              <w:pStyle w:val="TableParagraph"/>
              <w:spacing w:before="1" w:line="216" w:lineRule="exact"/>
              <w:ind w:left="187" w:right="226"/>
              <w:jc w:val="center"/>
              <w:rPr>
                <w:rFonts w:ascii="Times New Roman" w:hAnsi="Times New Roman" w:cs="Times New Roman"/>
                <w:sz w:val="20"/>
              </w:rPr>
            </w:pPr>
            <w:r w:rsidRPr="00CD50DC">
              <w:rPr>
                <w:rFonts w:ascii="Times New Roman" w:hAnsi="Times New Roman" w:cs="Times New Roman"/>
                <w:w w:val="105"/>
                <w:sz w:val="20"/>
              </w:rPr>
              <w:t>92.0% (89.6, 95.2)</w:t>
            </w:r>
          </w:p>
        </w:tc>
        <w:tc>
          <w:tcPr>
            <w:tcW w:w="2771" w:type="dxa"/>
            <w:hideMark/>
          </w:tcPr>
          <w:p w:rsidR="00CD50DC" w:rsidRPr="00CD50DC" w:rsidRDefault="00CD50DC">
            <w:pPr>
              <w:pStyle w:val="TableParagraph"/>
              <w:spacing w:before="1" w:line="216" w:lineRule="exact"/>
              <w:ind w:left="607" w:right="547"/>
              <w:jc w:val="center"/>
              <w:rPr>
                <w:rFonts w:ascii="Times New Roman" w:hAnsi="Times New Roman" w:cs="Times New Roman"/>
                <w:sz w:val="20"/>
              </w:rPr>
            </w:pPr>
            <w:r w:rsidRPr="00CD50DC">
              <w:rPr>
                <w:rFonts w:ascii="Times New Roman" w:hAnsi="Times New Roman" w:cs="Times New Roman"/>
                <w:w w:val="105"/>
                <w:sz w:val="20"/>
              </w:rPr>
              <w:t>73.8% (52.0, 86.8)</w:t>
            </w:r>
          </w:p>
        </w:tc>
      </w:tr>
      <w:tr w:rsidR="00CD50DC" w:rsidRPr="00CD50DC" w:rsidTr="00CD50DC">
        <w:trPr>
          <w:trHeight w:val="220"/>
        </w:trPr>
        <w:tc>
          <w:tcPr>
            <w:tcW w:w="3509" w:type="dxa"/>
            <w:tcBorders>
              <w:top w:val="nil"/>
              <w:left w:val="nil"/>
              <w:bottom w:val="single" w:sz="4" w:space="0" w:color="000000"/>
              <w:right w:val="nil"/>
            </w:tcBorders>
            <w:hideMark/>
          </w:tcPr>
          <w:p w:rsidR="00CD50DC" w:rsidRPr="00CD50DC" w:rsidRDefault="00CD50DC">
            <w:pPr>
              <w:pStyle w:val="TableParagraph"/>
              <w:spacing w:before="1" w:line="213" w:lineRule="exact"/>
              <w:ind w:left="100"/>
              <w:rPr>
                <w:rFonts w:ascii="Times New Roman" w:hAnsi="Times New Roman" w:cs="Times New Roman"/>
                <w:sz w:val="20"/>
              </w:rPr>
            </w:pPr>
            <w:r w:rsidRPr="00CD50DC">
              <w:rPr>
                <w:rFonts w:ascii="Times New Roman" w:hAnsi="Times New Roman" w:cs="Times New Roman"/>
                <w:w w:val="105"/>
                <w:sz w:val="20"/>
              </w:rPr>
              <w:t>Rate of OS at 60 months (95% CI)</w:t>
            </w:r>
          </w:p>
        </w:tc>
        <w:tc>
          <w:tcPr>
            <w:tcW w:w="2624" w:type="dxa"/>
            <w:tcBorders>
              <w:top w:val="nil"/>
              <w:left w:val="nil"/>
              <w:bottom w:val="single" w:sz="4" w:space="0" w:color="000000"/>
              <w:right w:val="nil"/>
            </w:tcBorders>
            <w:hideMark/>
          </w:tcPr>
          <w:p w:rsidR="00CD50DC" w:rsidRPr="00CD50DC" w:rsidRDefault="00CD50DC">
            <w:pPr>
              <w:pStyle w:val="TableParagraph"/>
              <w:spacing w:before="1" w:line="213" w:lineRule="exact"/>
              <w:ind w:left="186" w:right="226"/>
              <w:jc w:val="center"/>
              <w:rPr>
                <w:rFonts w:ascii="Times New Roman" w:hAnsi="Times New Roman" w:cs="Times New Roman"/>
                <w:sz w:val="20"/>
              </w:rPr>
            </w:pPr>
            <w:r w:rsidRPr="00CD50DC">
              <w:rPr>
                <w:rFonts w:ascii="Times New Roman" w:hAnsi="Times New Roman" w:cs="Times New Roman"/>
                <w:w w:val="105"/>
                <w:sz w:val="20"/>
              </w:rPr>
              <w:t>93.8% (89.3, 96.4)</w:t>
            </w:r>
          </w:p>
        </w:tc>
        <w:tc>
          <w:tcPr>
            <w:tcW w:w="2771" w:type="dxa"/>
            <w:tcBorders>
              <w:top w:val="nil"/>
              <w:left w:val="nil"/>
              <w:bottom w:val="single" w:sz="4" w:space="0" w:color="000000"/>
              <w:right w:val="nil"/>
            </w:tcBorders>
            <w:hideMark/>
          </w:tcPr>
          <w:p w:rsidR="00CD50DC" w:rsidRPr="00CD50DC" w:rsidRDefault="00CD50DC">
            <w:pPr>
              <w:pStyle w:val="TableParagraph"/>
              <w:spacing w:before="1" w:line="213" w:lineRule="exact"/>
              <w:ind w:left="608" w:right="547"/>
              <w:jc w:val="center"/>
              <w:rPr>
                <w:rFonts w:ascii="Times New Roman" w:hAnsi="Times New Roman" w:cs="Times New Roman"/>
                <w:sz w:val="20"/>
              </w:rPr>
            </w:pPr>
            <w:r w:rsidRPr="00CD50DC">
              <w:rPr>
                <w:rFonts w:ascii="Times New Roman" w:hAnsi="Times New Roman" w:cs="Times New Roman"/>
                <w:w w:val="105"/>
                <w:sz w:val="20"/>
              </w:rPr>
              <w:t>80.6% (63.5, 90.2)</w:t>
            </w:r>
          </w:p>
        </w:tc>
      </w:tr>
    </w:tbl>
    <w:p w:rsidR="00CD50DC" w:rsidRPr="00CD50DC" w:rsidRDefault="00CD50DC" w:rsidP="00CD50DC">
      <w:pPr>
        <w:pStyle w:val="Brdtekst"/>
        <w:spacing w:before="9"/>
        <w:rPr>
          <w:b/>
        </w:rPr>
      </w:pPr>
    </w:p>
    <w:p w:rsidR="00CD50DC" w:rsidRPr="00CD50DC" w:rsidRDefault="00CD50DC" w:rsidP="00CD50DC">
      <w:pPr>
        <w:pStyle w:val="Brdtekst"/>
        <w:spacing w:before="1" w:line="247" w:lineRule="auto"/>
        <w:ind w:right="11"/>
      </w:pPr>
      <w:r w:rsidRPr="00CD50DC">
        <w:rPr>
          <w:w w:val="105"/>
        </w:rPr>
        <w:t>The</w:t>
      </w:r>
      <w:r w:rsidRPr="00CD50DC">
        <w:rPr>
          <w:spacing w:val="-9"/>
          <w:w w:val="105"/>
        </w:rPr>
        <w:t xml:space="preserve"> </w:t>
      </w:r>
      <w:r w:rsidRPr="00CD50DC">
        <w:rPr>
          <w:w w:val="105"/>
        </w:rPr>
        <w:t>OS</w:t>
      </w:r>
      <w:r w:rsidRPr="00CD50DC">
        <w:rPr>
          <w:spacing w:val="-8"/>
          <w:w w:val="105"/>
        </w:rPr>
        <w:t xml:space="preserve"> </w:t>
      </w:r>
      <w:r w:rsidRPr="00CD50DC">
        <w:rPr>
          <w:w w:val="105"/>
        </w:rPr>
        <w:t>rate</w:t>
      </w:r>
      <w:r w:rsidRPr="00CD50DC">
        <w:rPr>
          <w:spacing w:val="-8"/>
          <w:w w:val="105"/>
        </w:rPr>
        <w:t xml:space="preserve"> </w:t>
      </w:r>
      <w:r w:rsidRPr="00CD50DC">
        <w:rPr>
          <w:w w:val="105"/>
        </w:rPr>
        <w:t>by</w:t>
      </w:r>
      <w:r w:rsidRPr="00CD50DC">
        <w:rPr>
          <w:spacing w:val="-7"/>
          <w:w w:val="105"/>
        </w:rPr>
        <w:t xml:space="preserve"> </w:t>
      </w:r>
      <w:r w:rsidRPr="00CD50DC">
        <w:rPr>
          <w:w w:val="105"/>
        </w:rPr>
        <w:t>specific</w:t>
      </w:r>
      <w:r w:rsidRPr="00CD50DC">
        <w:rPr>
          <w:spacing w:val="-8"/>
          <w:w w:val="105"/>
        </w:rPr>
        <w:t xml:space="preserve"> </w:t>
      </w:r>
      <w:r w:rsidRPr="00CD50DC">
        <w:rPr>
          <w:w w:val="105"/>
        </w:rPr>
        <w:t>time</w:t>
      </w:r>
      <w:r w:rsidRPr="00CD50DC">
        <w:rPr>
          <w:spacing w:val="-9"/>
          <w:w w:val="105"/>
        </w:rPr>
        <w:t xml:space="preserve"> </w:t>
      </w:r>
      <w:r w:rsidRPr="00CD50DC">
        <w:rPr>
          <w:w w:val="105"/>
        </w:rPr>
        <w:t>point</w:t>
      </w:r>
      <w:r w:rsidRPr="00CD50DC">
        <w:rPr>
          <w:spacing w:val="-9"/>
          <w:w w:val="105"/>
        </w:rPr>
        <w:t xml:space="preserve"> </w:t>
      </w:r>
      <w:r w:rsidRPr="00CD50DC">
        <w:rPr>
          <w:w w:val="105"/>
        </w:rPr>
        <w:t>is</w:t>
      </w:r>
      <w:r w:rsidRPr="00CD50DC">
        <w:rPr>
          <w:spacing w:val="-8"/>
          <w:w w:val="105"/>
        </w:rPr>
        <w:t xml:space="preserve"> </w:t>
      </w:r>
      <w:r w:rsidRPr="00CD50DC">
        <w:rPr>
          <w:w w:val="105"/>
        </w:rPr>
        <w:t>displayed</w:t>
      </w:r>
      <w:r w:rsidRPr="00CD50DC">
        <w:rPr>
          <w:spacing w:val="-9"/>
          <w:w w:val="105"/>
        </w:rPr>
        <w:t xml:space="preserve"> </w:t>
      </w:r>
      <w:r w:rsidRPr="00CD50DC">
        <w:rPr>
          <w:w w:val="105"/>
        </w:rPr>
        <w:t>graphically</w:t>
      </w:r>
      <w:r w:rsidRPr="00CD50DC">
        <w:rPr>
          <w:spacing w:val="-6"/>
          <w:w w:val="105"/>
        </w:rPr>
        <w:t xml:space="preserve"> </w:t>
      </w:r>
      <w:r w:rsidRPr="00CD50DC">
        <w:rPr>
          <w:w w:val="105"/>
        </w:rPr>
        <w:t>in</w:t>
      </w:r>
      <w:r w:rsidRPr="00CD50DC">
        <w:rPr>
          <w:spacing w:val="-9"/>
          <w:w w:val="105"/>
        </w:rPr>
        <w:t xml:space="preserve"> </w:t>
      </w:r>
      <w:r w:rsidRPr="00CD50DC">
        <w:rPr>
          <w:w w:val="105"/>
        </w:rPr>
        <w:t>Figure</w:t>
      </w:r>
      <w:r w:rsidRPr="00CD50DC">
        <w:rPr>
          <w:spacing w:val="-8"/>
          <w:w w:val="105"/>
        </w:rPr>
        <w:t xml:space="preserve"> </w:t>
      </w:r>
      <w:r w:rsidRPr="00CD50DC">
        <w:rPr>
          <w:w w:val="105"/>
        </w:rPr>
        <w:t>4.</w:t>
      </w:r>
      <w:r w:rsidRPr="00CD50DC">
        <w:rPr>
          <w:spacing w:val="-7"/>
          <w:w w:val="105"/>
        </w:rPr>
        <w:t xml:space="preserve"> </w:t>
      </w:r>
      <w:r w:rsidRPr="00CD50DC">
        <w:rPr>
          <w:w w:val="105"/>
        </w:rPr>
        <w:t>Rate</w:t>
      </w:r>
      <w:r w:rsidRPr="00CD50DC">
        <w:rPr>
          <w:spacing w:val="-7"/>
          <w:w w:val="105"/>
        </w:rPr>
        <w:t xml:space="preserve"> </w:t>
      </w:r>
      <w:r w:rsidRPr="00CD50DC">
        <w:rPr>
          <w:w w:val="105"/>
        </w:rPr>
        <w:t>of</w:t>
      </w:r>
      <w:r w:rsidRPr="00CD50DC">
        <w:rPr>
          <w:spacing w:val="-8"/>
          <w:w w:val="105"/>
        </w:rPr>
        <w:t xml:space="preserve"> </w:t>
      </w:r>
      <w:r w:rsidRPr="00CD50DC">
        <w:rPr>
          <w:w w:val="105"/>
        </w:rPr>
        <w:t>OS</w:t>
      </w:r>
      <w:r w:rsidRPr="00CD50DC">
        <w:rPr>
          <w:spacing w:val="-7"/>
          <w:w w:val="105"/>
        </w:rPr>
        <w:t xml:space="preserve"> </w:t>
      </w:r>
      <w:r w:rsidRPr="00CD50DC">
        <w:rPr>
          <w:w w:val="105"/>
        </w:rPr>
        <w:t>was</w:t>
      </w:r>
      <w:r w:rsidRPr="00CD50DC">
        <w:rPr>
          <w:spacing w:val="-8"/>
          <w:w w:val="105"/>
        </w:rPr>
        <w:t xml:space="preserve"> </w:t>
      </w:r>
      <w:r w:rsidRPr="00CD50DC">
        <w:rPr>
          <w:w w:val="105"/>
        </w:rPr>
        <w:t>consistently higher</w:t>
      </w:r>
      <w:r w:rsidRPr="00CD50DC">
        <w:rPr>
          <w:spacing w:val="-10"/>
          <w:w w:val="105"/>
        </w:rPr>
        <w:t xml:space="preserve"> </w:t>
      </w:r>
      <w:r w:rsidRPr="00CD50DC">
        <w:rPr>
          <w:w w:val="105"/>
        </w:rPr>
        <w:t>in</w:t>
      </w:r>
      <w:r w:rsidRPr="00CD50DC">
        <w:rPr>
          <w:spacing w:val="-10"/>
          <w:w w:val="105"/>
        </w:rPr>
        <w:t xml:space="preserve"> </w:t>
      </w:r>
      <w:r w:rsidRPr="00CD50DC">
        <w:rPr>
          <w:w w:val="105"/>
        </w:rPr>
        <w:t>dasatinib</w:t>
      </w:r>
      <w:r w:rsidRPr="00CD50DC">
        <w:rPr>
          <w:spacing w:val="-10"/>
          <w:w w:val="105"/>
        </w:rPr>
        <w:t xml:space="preserve"> </w:t>
      </w:r>
      <w:r w:rsidRPr="00CD50DC">
        <w:rPr>
          <w:w w:val="105"/>
        </w:rPr>
        <w:t>treated</w:t>
      </w:r>
      <w:r w:rsidRPr="00CD50DC">
        <w:rPr>
          <w:spacing w:val="-10"/>
          <w:w w:val="105"/>
        </w:rPr>
        <w:t xml:space="preserve"> </w:t>
      </w:r>
      <w:r w:rsidRPr="00CD50DC">
        <w:rPr>
          <w:w w:val="105"/>
        </w:rPr>
        <w:t>patients</w:t>
      </w:r>
      <w:r w:rsidRPr="00CD50DC">
        <w:rPr>
          <w:spacing w:val="-11"/>
          <w:w w:val="105"/>
        </w:rPr>
        <w:t xml:space="preserve"> </w:t>
      </w:r>
      <w:r w:rsidRPr="00CD50DC">
        <w:rPr>
          <w:w w:val="105"/>
        </w:rPr>
        <w:t>who</w:t>
      </w:r>
      <w:r w:rsidRPr="00CD50DC">
        <w:rPr>
          <w:spacing w:val="-10"/>
          <w:w w:val="105"/>
        </w:rPr>
        <w:t xml:space="preserve"> </w:t>
      </w:r>
      <w:r w:rsidRPr="00CD50DC">
        <w:rPr>
          <w:w w:val="105"/>
        </w:rPr>
        <w:t>achieved</w:t>
      </w:r>
      <w:r w:rsidRPr="00CD50DC">
        <w:rPr>
          <w:spacing w:val="-10"/>
          <w:w w:val="105"/>
        </w:rPr>
        <w:t xml:space="preserve"> </w:t>
      </w:r>
      <w:r w:rsidRPr="00CD50DC">
        <w:rPr>
          <w:w w:val="105"/>
        </w:rPr>
        <w:t>BCR-ABL</w:t>
      </w:r>
      <w:r w:rsidRPr="00CD50DC">
        <w:rPr>
          <w:spacing w:val="-10"/>
          <w:w w:val="105"/>
        </w:rPr>
        <w:t xml:space="preserve"> </w:t>
      </w:r>
      <w:r w:rsidRPr="00CD50DC">
        <w:rPr>
          <w:w w:val="105"/>
        </w:rPr>
        <w:t>level</w:t>
      </w:r>
      <w:r w:rsidRPr="00CD50DC">
        <w:rPr>
          <w:spacing w:val="-9"/>
          <w:w w:val="105"/>
        </w:rPr>
        <w:t xml:space="preserve"> </w:t>
      </w:r>
      <w:r w:rsidRPr="00CD50DC">
        <w:rPr>
          <w:w w:val="105"/>
        </w:rPr>
        <w:t>≤</w:t>
      </w:r>
      <w:r w:rsidRPr="00CD50DC">
        <w:rPr>
          <w:spacing w:val="-11"/>
          <w:w w:val="105"/>
        </w:rPr>
        <w:t xml:space="preserve"> </w:t>
      </w:r>
      <w:r w:rsidRPr="00CD50DC">
        <w:rPr>
          <w:w w:val="105"/>
        </w:rPr>
        <w:t>10%</w:t>
      </w:r>
      <w:r w:rsidRPr="00CD50DC">
        <w:rPr>
          <w:spacing w:val="-10"/>
          <w:w w:val="105"/>
        </w:rPr>
        <w:t xml:space="preserve"> </w:t>
      </w:r>
      <w:r w:rsidRPr="00CD50DC">
        <w:rPr>
          <w:w w:val="105"/>
        </w:rPr>
        <w:t>at</w:t>
      </w:r>
      <w:r w:rsidRPr="00CD50DC">
        <w:rPr>
          <w:spacing w:val="-11"/>
          <w:w w:val="105"/>
        </w:rPr>
        <w:t xml:space="preserve"> </w:t>
      </w:r>
      <w:r w:rsidRPr="00CD50DC">
        <w:rPr>
          <w:w w:val="105"/>
        </w:rPr>
        <w:t>3</w:t>
      </w:r>
      <w:r w:rsidRPr="00CD50DC">
        <w:rPr>
          <w:spacing w:val="-8"/>
          <w:w w:val="105"/>
        </w:rPr>
        <w:t xml:space="preserve"> </w:t>
      </w:r>
      <w:r w:rsidRPr="00CD50DC">
        <w:rPr>
          <w:w w:val="105"/>
        </w:rPr>
        <w:t>months</w:t>
      </w:r>
      <w:r w:rsidRPr="00CD50DC">
        <w:rPr>
          <w:spacing w:val="-11"/>
          <w:w w:val="105"/>
        </w:rPr>
        <w:t xml:space="preserve"> </w:t>
      </w:r>
      <w:r w:rsidRPr="00CD50DC">
        <w:rPr>
          <w:w w:val="105"/>
        </w:rPr>
        <w:t>than</w:t>
      </w:r>
      <w:r w:rsidRPr="00CD50DC">
        <w:rPr>
          <w:spacing w:val="-11"/>
          <w:w w:val="105"/>
        </w:rPr>
        <w:t xml:space="preserve"> </w:t>
      </w:r>
      <w:r w:rsidRPr="00CD50DC">
        <w:rPr>
          <w:w w:val="105"/>
        </w:rPr>
        <w:t>those</w:t>
      </w:r>
      <w:r w:rsidRPr="00CD50DC">
        <w:rPr>
          <w:spacing w:val="-9"/>
          <w:w w:val="105"/>
        </w:rPr>
        <w:t xml:space="preserve"> </w:t>
      </w:r>
      <w:r w:rsidRPr="00CD50DC">
        <w:rPr>
          <w:w w:val="105"/>
        </w:rPr>
        <w:t>who did</w:t>
      </w:r>
      <w:r w:rsidRPr="00CD50DC">
        <w:rPr>
          <w:spacing w:val="-16"/>
          <w:w w:val="105"/>
        </w:rPr>
        <w:t xml:space="preserve"> </w:t>
      </w:r>
      <w:r w:rsidRPr="00CD50DC">
        <w:rPr>
          <w:w w:val="105"/>
        </w:rPr>
        <w:t>not.</w:t>
      </w:r>
    </w:p>
    <w:p w:rsidR="00912C4D" w:rsidRDefault="00912C4D" w:rsidP="003E0341">
      <w:pPr>
        <w:tabs>
          <w:tab w:val="left" w:pos="851"/>
        </w:tabs>
        <w:ind w:left="851"/>
        <w:rPr>
          <w:sz w:val="24"/>
          <w:szCs w:val="24"/>
          <w:lang w:val="en-US"/>
        </w:rPr>
      </w:pPr>
    </w:p>
    <w:p w:rsidR="00CD50DC" w:rsidRDefault="00CD50DC">
      <w:pPr>
        <w:rPr>
          <w:sz w:val="24"/>
          <w:szCs w:val="24"/>
          <w:lang w:val="en-US"/>
        </w:rPr>
      </w:pPr>
      <w:r>
        <w:rPr>
          <w:sz w:val="24"/>
          <w:szCs w:val="24"/>
          <w:lang w:val="en-US"/>
        </w:rPr>
        <w:br w:type="page"/>
      </w:r>
    </w:p>
    <w:p w:rsidR="00CD50DC" w:rsidRDefault="00CD50DC" w:rsidP="00CD50DC">
      <w:pPr>
        <w:pStyle w:val="Overskrift1"/>
        <w:tabs>
          <w:tab w:val="left" w:pos="993"/>
        </w:tabs>
        <w:spacing w:before="74"/>
        <w:ind w:left="0" w:right="11"/>
        <w:contextualSpacing/>
      </w:pPr>
      <w:r>
        <w:rPr>
          <w:w w:val="105"/>
        </w:rPr>
        <w:lastRenderedPageBreak/>
        <w:t>Figure</w:t>
      </w:r>
      <w:r>
        <w:rPr>
          <w:spacing w:val="-4"/>
          <w:w w:val="105"/>
        </w:rPr>
        <w:t xml:space="preserve"> </w:t>
      </w:r>
      <w:r>
        <w:rPr>
          <w:w w:val="105"/>
        </w:rPr>
        <w:t>4:</w:t>
      </w:r>
      <w:r>
        <w:rPr>
          <w:w w:val="105"/>
        </w:rPr>
        <w:tab/>
        <w:t>Landmark</w:t>
      </w:r>
      <w:r>
        <w:rPr>
          <w:spacing w:val="-10"/>
          <w:w w:val="105"/>
        </w:rPr>
        <w:t xml:space="preserve"> </w:t>
      </w:r>
      <w:r>
        <w:rPr>
          <w:w w:val="105"/>
        </w:rPr>
        <w:t>plot</w:t>
      </w:r>
      <w:r>
        <w:rPr>
          <w:spacing w:val="-11"/>
          <w:w w:val="105"/>
        </w:rPr>
        <w:t xml:space="preserve"> </w:t>
      </w:r>
      <w:r>
        <w:rPr>
          <w:w w:val="105"/>
        </w:rPr>
        <w:t>for</w:t>
      </w:r>
      <w:r>
        <w:rPr>
          <w:spacing w:val="-11"/>
          <w:w w:val="105"/>
        </w:rPr>
        <w:t xml:space="preserve"> </w:t>
      </w:r>
      <w:r>
        <w:rPr>
          <w:w w:val="105"/>
        </w:rPr>
        <w:t>overall</w:t>
      </w:r>
      <w:r>
        <w:rPr>
          <w:spacing w:val="-11"/>
          <w:w w:val="105"/>
        </w:rPr>
        <w:t xml:space="preserve"> </w:t>
      </w:r>
      <w:r>
        <w:rPr>
          <w:w w:val="105"/>
        </w:rPr>
        <w:t>survival</w:t>
      </w:r>
      <w:r>
        <w:rPr>
          <w:spacing w:val="-11"/>
          <w:w w:val="105"/>
        </w:rPr>
        <w:t xml:space="preserve"> </w:t>
      </w:r>
      <w:r>
        <w:rPr>
          <w:w w:val="105"/>
        </w:rPr>
        <w:t>for</w:t>
      </w:r>
      <w:r>
        <w:rPr>
          <w:spacing w:val="-11"/>
          <w:w w:val="105"/>
        </w:rPr>
        <w:t xml:space="preserve"> </w:t>
      </w:r>
      <w:r>
        <w:rPr>
          <w:w w:val="105"/>
        </w:rPr>
        <w:t>dasatinib</w:t>
      </w:r>
      <w:r>
        <w:rPr>
          <w:spacing w:val="-11"/>
          <w:w w:val="105"/>
        </w:rPr>
        <w:t xml:space="preserve"> </w:t>
      </w:r>
      <w:r>
        <w:rPr>
          <w:w w:val="105"/>
        </w:rPr>
        <w:t>by</w:t>
      </w:r>
      <w:r>
        <w:rPr>
          <w:spacing w:val="-11"/>
          <w:w w:val="105"/>
        </w:rPr>
        <w:t xml:space="preserve"> </w:t>
      </w:r>
      <w:r>
        <w:rPr>
          <w:w w:val="105"/>
        </w:rPr>
        <w:t>BCR-ABL</w:t>
      </w:r>
      <w:r>
        <w:rPr>
          <w:spacing w:val="-12"/>
          <w:w w:val="105"/>
        </w:rPr>
        <w:t xml:space="preserve"> </w:t>
      </w:r>
      <w:r>
        <w:rPr>
          <w:w w:val="105"/>
        </w:rPr>
        <w:t>level</w:t>
      </w:r>
      <w:r>
        <w:rPr>
          <w:spacing w:val="-12"/>
          <w:w w:val="105"/>
        </w:rPr>
        <w:t xml:space="preserve"> </w:t>
      </w:r>
      <w:r>
        <w:rPr>
          <w:w w:val="105"/>
        </w:rPr>
        <w:t>(≤</w:t>
      </w:r>
      <w:r>
        <w:rPr>
          <w:spacing w:val="-11"/>
          <w:w w:val="105"/>
        </w:rPr>
        <w:t xml:space="preserve"> </w:t>
      </w:r>
      <w:r>
        <w:rPr>
          <w:w w:val="105"/>
        </w:rPr>
        <w:t>10%</w:t>
      </w:r>
      <w:r>
        <w:rPr>
          <w:spacing w:val="-11"/>
          <w:w w:val="105"/>
        </w:rPr>
        <w:t xml:space="preserve"> </w:t>
      </w:r>
      <w:r>
        <w:rPr>
          <w:w w:val="105"/>
        </w:rPr>
        <w:t>or</w:t>
      </w:r>
    </w:p>
    <w:p w:rsidR="00CD50DC" w:rsidRDefault="00CD50DC" w:rsidP="00CD50DC">
      <w:pPr>
        <w:pStyle w:val="Overskrift1"/>
        <w:tabs>
          <w:tab w:val="left" w:pos="993"/>
        </w:tabs>
        <w:ind w:left="0"/>
        <w:contextualSpacing/>
      </w:pPr>
      <w:r>
        <w:rPr>
          <w:noProof/>
        </w:rPr>
        <mc:AlternateContent>
          <mc:Choice Requires="wps">
            <w:drawing>
              <wp:anchor distT="0" distB="0" distL="114300" distR="114300" simplePos="0" relativeHeight="251673600" behindDoc="0" locked="0" layoutInCell="1" allowOverlap="1">
                <wp:simplePos x="0" y="0"/>
                <wp:positionH relativeFrom="page">
                  <wp:posOffset>951230</wp:posOffset>
                </wp:positionH>
                <wp:positionV relativeFrom="paragraph">
                  <wp:posOffset>743585</wp:posOffset>
                </wp:positionV>
                <wp:extent cx="144780" cy="1121410"/>
                <wp:effectExtent l="0" t="0" r="7620" b="2540"/>
                <wp:wrapNone/>
                <wp:docPr id="63" name="Tekstfelt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121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0C7" w:rsidRDefault="00F430C7" w:rsidP="00CD50DC"/>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63" o:spid="_x0000_s1028" type="#_x0000_t202" style="position:absolute;margin-left:74.9pt;margin-top:58.55pt;width:11.4pt;height:88.3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" filled="f" stroked="f">
                <v:textbox style="layout-flow:vertical;mso-layout-flow-alt:bottom-to-top" inset="0,0,0,0">
                  <w:txbxContent>
                    <w:p w:rsidR="00F430C7" w:rsidRDefault="00F430C7" w:rsidP="00CD50DC"/>
                  </w:txbxContent>
                </v:textbox>
                <w10:wrap anchorx="page"/>
              </v:shape>
            </w:pict>
          </mc:Fallback>
        </mc:AlternateContent>
      </w:r>
      <w:r>
        <w:tab/>
      </w:r>
      <w:r>
        <w:rPr>
          <w:w w:val="105"/>
        </w:rPr>
        <w:t>&gt;</w:t>
      </w:r>
      <w:r>
        <w:rPr>
          <w:spacing w:val="-9"/>
          <w:w w:val="105"/>
        </w:rPr>
        <w:t xml:space="preserve"> </w:t>
      </w:r>
      <w:r>
        <w:rPr>
          <w:w w:val="105"/>
        </w:rPr>
        <w:t>10%)</w:t>
      </w:r>
      <w:r>
        <w:rPr>
          <w:spacing w:val="-9"/>
          <w:w w:val="105"/>
        </w:rPr>
        <w:t xml:space="preserve"> </w:t>
      </w:r>
      <w:r>
        <w:rPr>
          <w:w w:val="105"/>
        </w:rPr>
        <w:t>at</w:t>
      </w:r>
      <w:r>
        <w:rPr>
          <w:spacing w:val="-9"/>
          <w:w w:val="105"/>
        </w:rPr>
        <w:t xml:space="preserve"> </w:t>
      </w:r>
      <w:r>
        <w:rPr>
          <w:w w:val="105"/>
        </w:rPr>
        <w:t>3</w:t>
      </w:r>
      <w:r>
        <w:rPr>
          <w:spacing w:val="-8"/>
          <w:w w:val="105"/>
        </w:rPr>
        <w:t xml:space="preserve"> </w:t>
      </w:r>
      <w:r>
        <w:rPr>
          <w:w w:val="105"/>
        </w:rPr>
        <w:t>months</w:t>
      </w:r>
      <w:r>
        <w:rPr>
          <w:spacing w:val="-10"/>
          <w:w w:val="105"/>
        </w:rPr>
        <w:t xml:space="preserve"> </w:t>
      </w:r>
      <w:r>
        <w:rPr>
          <w:w w:val="105"/>
        </w:rPr>
        <w:t>in</w:t>
      </w:r>
      <w:r>
        <w:rPr>
          <w:spacing w:val="-9"/>
          <w:w w:val="105"/>
        </w:rPr>
        <w:t xml:space="preserve"> </w:t>
      </w:r>
      <w:r>
        <w:rPr>
          <w:w w:val="105"/>
        </w:rPr>
        <w:t>a</w:t>
      </w:r>
      <w:r>
        <w:rPr>
          <w:spacing w:val="-8"/>
          <w:w w:val="105"/>
        </w:rPr>
        <w:t xml:space="preserve"> </w:t>
      </w:r>
      <w:r>
        <w:rPr>
          <w:w w:val="105"/>
        </w:rPr>
        <w:t>phase</w:t>
      </w:r>
      <w:r>
        <w:rPr>
          <w:spacing w:val="-7"/>
          <w:w w:val="105"/>
        </w:rPr>
        <w:t xml:space="preserve"> </w:t>
      </w:r>
      <w:r>
        <w:rPr>
          <w:w w:val="105"/>
        </w:rPr>
        <w:t>3</w:t>
      </w:r>
      <w:r>
        <w:rPr>
          <w:spacing w:val="-11"/>
          <w:w w:val="105"/>
        </w:rPr>
        <w:t xml:space="preserve"> </w:t>
      </w:r>
      <w:r>
        <w:rPr>
          <w:w w:val="105"/>
        </w:rPr>
        <w:t>study</w:t>
      </w:r>
      <w:r>
        <w:rPr>
          <w:spacing w:val="-9"/>
          <w:w w:val="105"/>
        </w:rPr>
        <w:t xml:space="preserve"> </w:t>
      </w:r>
      <w:r>
        <w:rPr>
          <w:w w:val="105"/>
        </w:rPr>
        <w:t>of</w:t>
      </w:r>
      <w:r>
        <w:rPr>
          <w:spacing w:val="-9"/>
          <w:w w:val="105"/>
        </w:rPr>
        <w:t xml:space="preserve"> </w:t>
      </w:r>
      <w:r>
        <w:rPr>
          <w:w w:val="105"/>
        </w:rPr>
        <w:t>newly</w:t>
      </w:r>
      <w:r>
        <w:rPr>
          <w:spacing w:val="-10"/>
          <w:w w:val="105"/>
        </w:rPr>
        <w:t xml:space="preserve"> </w:t>
      </w:r>
      <w:r>
        <w:rPr>
          <w:w w:val="105"/>
        </w:rPr>
        <w:t>diagnosed</w:t>
      </w:r>
      <w:r>
        <w:rPr>
          <w:spacing w:val="-9"/>
          <w:w w:val="105"/>
        </w:rPr>
        <w:t xml:space="preserve"> </w:t>
      </w:r>
      <w:r>
        <w:rPr>
          <w:w w:val="105"/>
        </w:rPr>
        <w:t>patients</w:t>
      </w:r>
      <w:r>
        <w:rPr>
          <w:spacing w:val="-10"/>
          <w:w w:val="105"/>
        </w:rPr>
        <w:t xml:space="preserve"> </w:t>
      </w:r>
      <w:r>
        <w:rPr>
          <w:w w:val="105"/>
        </w:rPr>
        <w:t>with</w:t>
      </w:r>
      <w:r>
        <w:rPr>
          <w:spacing w:val="-10"/>
          <w:w w:val="105"/>
        </w:rPr>
        <w:t xml:space="preserve"> </w:t>
      </w:r>
      <w:r>
        <w:rPr>
          <w:w w:val="105"/>
        </w:rPr>
        <w:t>chronic phase</w:t>
      </w:r>
      <w:r>
        <w:rPr>
          <w:spacing w:val="-21"/>
          <w:w w:val="105"/>
        </w:rPr>
        <w:t xml:space="preserve"> </w:t>
      </w:r>
      <w:r>
        <w:rPr>
          <w:spacing w:val="-21"/>
          <w:w w:val="105"/>
        </w:rPr>
        <w:tab/>
      </w:r>
      <w:r>
        <w:rPr>
          <w:w w:val="105"/>
        </w:rPr>
        <w:t>CML</w:t>
      </w:r>
    </w:p>
    <w:p w:rsidR="00CD50DC" w:rsidRDefault="00CD50DC" w:rsidP="00CD50DC">
      <w:pPr>
        <w:pStyle w:val="Brdtekst"/>
        <w:spacing w:before="6"/>
        <w:rPr>
          <w:sz w:val="17"/>
        </w:rPr>
      </w:pPr>
    </w:p>
    <w:p w:rsidR="00CD50DC" w:rsidRDefault="00CD50DC" w:rsidP="00CD50DC">
      <w:pPr>
        <w:pStyle w:val="Brdtekst"/>
        <w:spacing w:before="6"/>
        <w:rPr>
          <w:sz w:val="17"/>
        </w:rPr>
      </w:pPr>
      <w:r>
        <w:rPr>
          <w:noProof/>
          <w:sz w:val="17"/>
          <w:lang w:val="de-DE" w:eastAsia="de-DE"/>
        </w:rPr>
        <w:drawing>
          <wp:inline distT="0" distB="0" distL="0" distR="0">
            <wp:extent cx="5327650" cy="2616200"/>
            <wp:effectExtent l="0" t="0" r="6350" b="0"/>
            <wp:docPr id="62" name="Billed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7650" cy="2616200"/>
                    </a:xfrm>
                    <a:prstGeom prst="rect">
                      <a:avLst/>
                    </a:prstGeom>
                    <a:noFill/>
                    <a:ln>
                      <a:noFill/>
                    </a:ln>
                  </pic:spPr>
                </pic:pic>
              </a:graphicData>
            </a:graphic>
          </wp:inline>
        </w:drawing>
      </w:r>
    </w:p>
    <w:p w:rsidR="00CD50DC" w:rsidRDefault="00CD50DC" w:rsidP="00CD50DC">
      <w:pPr>
        <w:pStyle w:val="Brdtekst"/>
        <w:spacing w:before="6"/>
        <w:rPr>
          <w:sz w:val="17"/>
        </w:rPr>
      </w:pPr>
    </w:p>
    <w:tbl>
      <w:tblPr>
        <w:tblStyle w:val="TableNormal1"/>
        <w:tblW w:w="0" w:type="auto"/>
        <w:tblInd w:w="225" w:type="dxa"/>
        <w:tblLayout w:type="fixed"/>
        <w:tblLook w:val="01E0" w:firstRow="1" w:lastRow="1" w:firstColumn="1" w:lastColumn="1" w:noHBand="0" w:noVBand="0"/>
      </w:tblPr>
      <w:tblGrid>
        <w:gridCol w:w="1136"/>
        <w:gridCol w:w="2804"/>
        <w:gridCol w:w="2120"/>
        <w:gridCol w:w="2382"/>
      </w:tblGrid>
      <w:tr w:rsidR="00CD50DC" w:rsidTr="00CD50DC">
        <w:trPr>
          <w:trHeight w:val="180"/>
        </w:trPr>
        <w:tc>
          <w:tcPr>
            <w:tcW w:w="1136" w:type="dxa"/>
            <w:hideMark/>
          </w:tcPr>
          <w:p w:rsidR="00CD50DC" w:rsidRDefault="00CD50DC">
            <w:pPr>
              <w:pStyle w:val="TableParagraph"/>
              <w:spacing w:line="170" w:lineRule="exact"/>
              <w:ind w:left="50"/>
              <w:rPr>
                <w:sz w:val="17"/>
              </w:rPr>
            </w:pPr>
            <w:r>
              <w:rPr>
                <w:sz w:val="17"/>
              </w:rPr>
              <w:t>GROUP</w:t>
            </w:r>
          </w:p>
        </w:tc>
        <w:tc>
          <w:tcPr>
            <w:tcW w:w="2804" w:type="dxa"/>
            <w:hideMark/>
          </w:tcPr>
          <w:p w:rsidR="00CD50DC" w:rsidRDefault="00CD50DC">
            <w:pPr>
              <w:pStyle w:val="TableParagraph"/>
              <w:spacing w:line="170" w:lineRule="exact"/>
              <w:ind w:left="513"/>
              <w:rPr>
                <w:sz w:val="17"/>
              </w:rPr>
            </w:pPr>
            <w:r>
              <w:rPr>
                <w:sz w:val="17"/>
              </w:rPr>
              <w:t># DEATHS / # Land Patient</w:t>
            </w:r>
          </w:p>
        </w:tc>
        <w:tc>
          <w:tcPr>
            <w:tcW w:w="2120" w:type="dxa"/>
            <w:hideMark/>
          </w:tcPr>
          <w:p w:rsidR="00CD50DC" w:rsidRDefault="00CD50DC">
            <w:pPr>
              <w:pStyle w:val="TableParagraph"/>
              <w:spacing w:line="170" w:lineRule="exact"/>
              <w:ind w:left="376"/>
              <w:rPr>
                <w:sz w:val="17"/>
              </w:rPr>
            </w:pPr>
            <w:r>
              <w:rPr>
                <w:sz w:val="17"/>
              </w:rPr>
              <w:t>MEDIAN (95% CI)</w:t>
            </w:r>
          </w:p>
        </w:tc>
        <w:tc>
          <w:tcPr>
            <w:tcW w:w="2382" w:type="dxa"/>
            <w:hideMark/>
          </w:tcPr>
          <w:p w:rsidR="00CD50DC" w:rsidRDefault="00CD50DC">
            <w:pPr>
              <w:pStyle w:val="TableParagraph"/>
              <w:spacing w:line="170" w:lineRule="exact"/>
              <w:ind w:left="389"/>
              <w:rPr>
                <w:sz w:val="17"/>
              </w:rPr>
            </w:pPr>
            <w:r>
              <w:rPr>
                <w:sz w:val="17"/>
              </w:rPr>
              <w:t>HAZARD RATIO (95% CI)</w:t>
            </w:r>
          </w:p>
        </w:tc>
      </w:tr>
      <w:tr w:rsidR="00CD50DC" w:rsidTr="00CD50DC">
        <w:trPr>
          <w:trHeight w:val="180"/>
        </w:trPr>
        <w:tc>
          <w:tcPr>
            <w:tcW w:w="1136" w:type="dxa"/>
            <w:hideMark/>
          </w:tcPr>
          <w:p w:rsidR="00CD50DC" w:rsidRDefault="00CD50DC">
            <w:pPr>
              <w:pStyle w:val="TableParagraph"/>
              <w:spacing w:line="174" w:lineRule="exact"/>
              <w:ind w:left="50"/>
              <w:rPr>
                <w:sz w:val="17"/>
              </w:rPr>
            </w:pPr>
            <w:r>
              <w:rPr>
                <w:sz w:val="17"/>
              </w:rPr>
              <w:t>≤10%</w:t>
            </w:r>
          </w:p>
        </w:tc>
        <w:tc>
          <w:tcPr>
            <w:tcW w:w="2804" w:type="dxa"/>
            <w:hideMark/>
          </w:tcPr>
          <w:p w:rsidR="00CD50DC" w:rsidRDefault="00CD50DC">
            <w:pPr>
              <w:pStyle w:val="TableParagraph"/>
              <w:spacing w:line="174" w:lineRule="exact"/>
              <w:ind w:left="514"/>
              <w:rPr>
                <w:sz w:val="17"/>
              </w:rPr>
            </w:pPr>
            <w:r>
              <w:rPr>
                <w:sz w:val="17"/>
              </w:rPr>
              <w:t>14/198</w:t>
            </w:r>
          </w:p>
        </w:tc>
        <w:tc>
          <w:tcPr>
            <w:tcW w:w="2120" w:type="dxa"/>
            <w:hideMark/>
          </w:tcPr>
          <w:p w:rsidR="00CD50DC" w:rsidRDefault="00CD50DC">
            <w:pPr>
              <w:pStyle w:val="TableParagraph"/>
              <w:spacing w:line="174" w:lineRule="exact"/>
              <w:ind w:left="377"/>
              <w:rPr>
                <w:sz w:val="17"/>
              </w:rPr>
            </w:pPr>
            <w:r>
              <w:rPr>
                <w:sz w:val="17"/>
              </w:rPr>
              <w:t>.(. - .)</w:t>
            </w:r>
          </w:p>
        </w:tc>
        <w:tc>
          <w:tcPr>
            <w:tcW w:w="2382" w:type="dxa"/>
          </w:tcPr>
          <w:p w:rsidR="00CD50DC" w:rsidRDefault="00CD50DC">
            <w:pPr>
              <w:pStyle w:val="TableParagraph"/>
              <w:rPr>
                <w:sz w:val="12"/>
              </w:rPr>
            </w:pPr>
          </w:p>
        </w:tc>
      </w:tr>
      <w:tr w:rsidR="00CD50DC" w:rsidTr="00CD50DC">
        <w:trPr>
          <w:trHeight w:val="180"/>
        </w:trPr>
        <w:tc>
          <w:tcPr>
            <w:tcW w:w="1136" w:type="dxa"/>
            <w:hideMark/>
          </w:tcPr>
          <w:p w:rsidR="00CD50DC" w:rsidRDefault="00CD50DC">
            <w:pPr>
              <w:pStyle w:val="TableParagraph"/>
              <w:spacing w:line="175" w:lineRule="exact"/>
              <w:ind w:left="50"/>
              <w:rPr>
                <w:sz w:val="17"/>
              </w:rPr>
            </w:pPr>
            <w:r>
              <w:rPr>
                <w:sz w:val="17"/>
              </w:rPr>
              <w:t>&gt;10%</w:t>
            </w:r>
          </w:p>
        </w:tc>
        <w:tc>
          <w:tcPr>
            <w:tcW w:w="2804" w:type="dxa"/>
            <w:hideMark/>
          </w:tcPr>
          <w:p w:rsidR="00CD50DC" w:rsidRDefault="00CD50DC">
            <w:pPr>
              <w:pStyle w:val="TableParagraph"/>
              <w:spacing w:line="175" w:lineRule="exact"/>
              <w:ind w:left="514"/>
              <w:rPr>
                <w:sz w:val="17"/>
              </w:rPr>
            </w:pPr>
            <w:r>
              <w:rPr>
                <w:sz w:val="17"/>
              </w:rPr>
              <w:t>8/37</w:t>
            </w:r>
          </w:p>
        </w:tc>
        <w:tc>
          <w:tcPr>
            <w:tcW w:w="2120" w:type="dxa"/>
            <w:hideMark/>
          </w:tcPr>
          <w:p w:rsidR="00CD50DC" w:rsidRDefault="00CD50DC">
            <w:pPr>
              <w:pStyle w:val="TableParagraph"/>
              <w:spacing w:line="175" w:lineRule="exact"/>
              <w:ind w:left="376"/>
              <w:rPr>
                <w:sz w:val="17"/>
              </w:rPr>
            </w:pPr>
            <w:r>
              <w:rPr>
                <w:sz w:val="17"/>
              </w:rPr>
              <w:t>.(. - .)</w:t>
            </w:r>
          </w:p>
        </w:tc>
        <w:tc>
          <w:tcPr>
            <w:tcW w:w="2382" w:type="dxa"/>
          </w:tcPr>
          <w:p w:rsidR="00CD50DC" w:rsidRDefault="00CD50DC">
            <w:pPr>
              <w:pStyle w:val="TableParagraph"/>
              <w:rPr>
                <w:sz w:val="12"/>
              </w:rPr>
            </w:pPr>
          </w:p>
        </w:tc>
      </w:tr>
      <w:tr w:rsidR="00CD50DC" w:rsidTr="00CD50DC">
        <w:trPr>
          <w:trHeight w:val="180"/>
        </w:trPr>
        <w:tc>
          <w:tcPr>
            <w:tcW w:w="1136" w:type="dxa"/>
          </w:tcPr>
          <w:p w:rsidR="00CD50DC" w:rsidRDefault="00CD50DC">
            <w:pPr>
              <w:pStyle w:val="TableParagraph"/>
              <w:rPr>
                <w:sz w:val="12"/>
              </w:rPr>
            </w:pPr>
          </w:p>
        </w:tc>
        <w:tc>
          <w:tcPr>
            <w:tcW w:w="2804" w:type="dxa"/>
          </w:tcPr>
          <w:p w:rsidR="00CD50DC" w:rsidRDefault="00CD50DC">
            <w:pPr>
              <w:pStyle w:val="TableParagraph"/>
              <w:rPr>
                <w:sz w:val="12"/>
              </w:rPr>
            </w:pPr>
          </w:p>
        </w:tc>
        <w:tc>
          <w:tcPr>
            <w:tcW w:w="2120" w:type="dxa"/>
          </w:tcPr>
          <w:p w:rsidR="00CD50DC" w:rsidRDefault="00CD50DC">
            <w:pPr>
              <w:pStyle w:val="TableParagraph"/>
              <w:rPr>
                <w:sz w:val="12"/>
              </w:rPr>
            </w:pPr>
          </w:p>
        </w:tc>
        <w:tc>
          <w:tcPr>
            <w:tcW w:w="2382" w:type="dxa"/>
            <w:hideMark/>
          </w:tcPr>
          <w:p w:rsidR="00CD50DC" w:rsidRDefault="00CD50DC">
            <w:pPr>
              <w:pStyle w:val="TableParagraph"/>
              <w:spacing w:line="171" w:lineRule="exact"/>
              <w:ind w:left="390"/>
              <w:rPr>
                <w:sz w:val="17"/>
              </w:rPr>
            </w:pPr>
            <w:r>
              <w:rPr>
                <w:sz w:val="17"/>
              </w:rPr>
              <w:t>0.29 (0.12 - 0.69)</w:t>
            </w:r>
          </w:p>
        </w:tc>
      </w:tr>
    </w:tbl>
    <w:p w:rsidR="00CD50DC" w:rsidRDefault="00CD50DC" w:rsidP="00CD50DC">
      <w:pPr>
        <w:pStyle w:val="Brdtekst"/>
        <w:spacing w:before="6"/>
        <w:rPr>
          <w:sz w:val="21"/>
        </w:rPr>
      </w:pPr>
    </w:p>
    <w:p w:rsidR="00CD50DC" w:rsidRDefault="00CD50DC" w:rsidP="003E0341">
      <w:pPr>
        <w:tabs>
          <w:tab w:val="left" w:pos="851"/>
        </w:tabs>
        <w:ind w:left="851"/>
        <w:rPr>
          <w:sz w:val="24"/>
          <w:szCs w:val="24"/>
          <w:lang w:val="en-US"/>
        </w:rPr>
      </w:pPr>
    </w:p>
    <w:p w:rsidR="00CD50DC" w:rsidRPr="00CD50DC" w:rsidRDefault="00CD50DC" w:rsidP="00CD50DC">
      <w:pPr>
        <w:tabs>
          <w:tab w:val="left" w:pos="851"/>
        </w:tabs>
        <w:ind w:left="851"/>
        <w:rPr>
          <w:sz w:val="24"/>
          <w:szCs w:val="24"/>
          <w:lang w:val="en-US"/>
        </w:rPr>
      </w:pPr>
      <w:r w:rsidRPr="00CD50DC">
        <w:rPr>
          <w:sz w:val="24"/>
          <w:szCs w:val="24"/>
          <w:lang w:val="en-US"/>
        </w:rPr>
        <w:t>Disease progression was defined as increasing white blood cells despite appropriate therapeutic management, loss of CHR, partial CyR or CCyR, progression to accelerated phase or blast phase, or death. The estimated 60-month PFS rate was 88.9% (CI: 84% - 92.4%) for both the dasatinib and imatinib treatment groups. At 60 months, transformation to accelerated or blast phase occurred in fewer dasatinib-treated patients (n=8; 3%) compared with imatinib-treated patients (n=15; 5.8%). The estimated 60-month survival rates for dasatinib and imatinib-treated patients were 90.9% (CI: 86.6% - 93.8%) and 89.6% (CI: 85.2% - 92.8%), respectively. There was no difference in OS (HR 1.01, 95% CI: 0.58-1.73, p= 0.9800) and PFS (HR 1.00, 95% CI: 0.58-1.72, p = 0.9998) between dasatinib and imatinib.</w:t>
      </w:r>
    </w:p>
    <w:p w:rsidR="00CD50DC" w:rsidRPr="00CD50DC" w:rsidRDefault="00CD50DC" w:rsidP="00CD50DC">
      <w:pPr>
        <w:tabs>
          <w:tab w:val="left" w:pos="851"/>
        </w:tabs>
        <w:ind w:left="851"/>
        <w:rPr>
          <w:sz w:val="24"/>
          <w:szCs w:val="24"/>
          <w:lang w:val="en-US"/>
        </w:rPr>
      </w:pPr>
    </w:p>
    <w:p w:rsidR="00CD50DC" w:rsidRPr="00CD50DC" w:rsidRDefault="00CD50DC" w:rsidP="00CD50DC">
      <w:pPr>
        <w:tabs>
          <w:tab w:val="left" w:pos="851"/>
        </w:tabs>
        <w:ind w:left="851"/>
        <w:rPr>
          <w:sz w:val="24"/>
          <w:szCs w:val="24"/>
          <w:lang w:val="en-US"/>
        </w:rPr>
      </w:pPr>
      <w:r w:rsidRPr="00CD50DC">
        <w:rPr>
          <w:sz w:val="24"/>
          <w:szCs w:val="24"/>
          <w:lang w:val="en-US"/>
        </w:rPr>
        <w:t xml:space="preserve">In patients who report disease progression or discontinue dasatinib or imatinib therapy, BCR-ABL sequencing was performed on blood samples from patients where these are available. Similar rates of mutation were observed in both the treatment arms. The mutations detected among the dasatinib-treated patients were T315I, F317I/L and V299L. A different spectrum of mutation was detected in the imatinib treatment arm. Dasatinib does not appear to be active against the T315I mutation, based on </w:t>
      </w:r>
      <w:r w:rsidRPr="00CD50DC">
        <w:rPr>
          <w:i/>
          <w:sz w:val="24"/>
          <w:szCs w:val="24"/>
          <w:lang w:val="en-US"/>
        </w:rPr>
        <w:t xml:space="preserve">in vitro </w:t>
      </w:r>
      <w:r w:rsidRPr="00CD50DC">
        <w:rPr>
          <w:sz w:val="24"/>
          <w:szCs w:val="24"/>
          <w:lang w:val="en-US"/>
        </w:rPr>
        <w:t>data.</w:t>
      </w:r>
    </w:p>
    <w:p w:rsidR="00CD50DC" w:rsidRPr="00CD50DC" w:rsidRDefault="00CD50DC" w:rsidP="00CD50DC">
      <w:pPr>
        <w:tabs>
          <w:tab w:val="left" w:pos="851"/>
        </w:tabs>
        <w:ind w:left="851"/>
        <w:rPr>
          <w:sz w:val="24"/>
          <w:szCs w:val="24"/>
          <w:lang w:val="en-US"/>
        </w:rPr>
      </w:pPr>
    </w:p>
    <w:p w:rsidR="00CD50DC" w:rsidRPr="00CD50DC" w:rsidRDefault="00CD50DC" w:rsidP="00CD50DC">
      <w:pPr>
        <w:tabs>
          <w:tab w:val="left" w:pos="851"/>
        </w:tabs>
        <w:ind w:left="851"/>
        <w:rPr>
          <w:i/>
          <w:sz w:val="24"/>
          <w:szCs w:val="24"/>
          <w:lang w:val="en-US"/>
        </w:rPr>
      </w:pPr>
      <w:r w:rsidRPr="00CD50DC">
        <w:rPr>
          <w:i/>
          <w:sz w:val="24"/>
          <w:szCs w:val="24"/>
          <w:u w:val="single"/>
          <w:lang w:val="en-US"/>
        </w:rPr>
        <w:t>Chronic phase CML - Resistance or intolerance to prior imatinib therapy</w:t>
      </w:r>
    </w:p>
    <w:p w:rsidR="00CD50DC" w:rsidRPr="00CD50DC" w:rsidRDefault="00CD50DC" w:rsidP="00CD50DC">
      <w:pPr>
        <w:tabs>
          <w:tab w:val="left" w:pos="851"/>
        </w:tabs>
        <w:ind w:left="851"/>
        <w:rPr>
          <w:sz w:val="24"/>
          <w:szCs w:val="24"/>
          <w:lang w:val="en-US"/>
        </w:rPr>
      </w:pPr>
      <w:r w:rsidRPr="00CD50DC">
        <w:rPr>
          <w:sz w:val="24"/>
          <w:szCs w:val="24"/>
          <w:lang w:val="en-US"/>
        </w:rPr>
        <w:t>Two clinical studies were conducted in patients resistant or intolerant to imatinib; the primary efficacy endpoint in these studies was Major Cytogenetic Response (MCyR).</w:t>
      </w:r>
    </w:p>
    <w:p w:rsidR="00CD50DC" w:rsidRPr="00CD50DC" w:rsidRDefault="00CD50DC" w:rsidP="00CD50DC">
      <w:pPr>
        <w:tabs>
          <w:tab w:val="left" w:pos="851"/>
        </w:tabs>
        <w:ind w:left="851"/>
        <w:rPr>
          <w:sz w:val="24"/>
          <w:szCs w:val="24"/>
          <w:lang w:val="en-US"/>
        </w:rPr>
      </w:pPr>
    </w:p>
    <w:p w:rsidR="00CD50DC" w:rsidRPr="00CD50DC" w:rsidRDefault="00CD50DC" w:rsidP="00CD50DC">
      <w:pPr>
        <w:tabs>
          <w:tab w:val="left" w:pos="851"/>
        </w:tabs>
        <w:ind w:left="851"/>
        <w:rPr>
          <w:i/>
          <w:sz w:val="24"/>
          <w:szCs w:val="24"/>
          <w:lang w:val="en-US"/>
        </w:rPr>
      </w:pPr>
      <w:r w:rsidRPr="00CD50DC">
        <w:rPr>
          <w:i/>
          <w:sz w:val="24"/>
          <w:szCs w:val="24"/>
          <w:lang w:val="en-US"/>
        </w:rPr>
        <w:t>Study 1</w:t>
      </w:r>
    </w:p>
    <w:p w:rsidR="00CD50DC" w:rsidRPr="00CD50DC" w:rsidRDefault="00CD50DC" w:rsidP="00CD50DC">
      <w:pPr>
        <w:tabs>
          <w:tab w:val="left" w:pos="851"/>
        </w:tabs>
        <w:ind w:left="851"/>
        <w:rPr>
          <w:sz w:val="24"/>
          <w:szCs w:val="24"/>
          <w:lang w:val="en-US"/>
        </w:rPr>
      </w:pPr>
      <w:r w:rsidRPr="00CD50DC">
        <w:rPr>
          <w:sz w:val="24"/>
          <w:szCs w:val="24"/>
          <w:lang w:val="en-US"/>
        </w:rPr>
        <w:t xml:space="preserve">An open-label, randomised, non-comparative multicentre study was conducted in patients who failed initial treatment with 400 or 600 mg imatinib. They were randomised (2:1) to either dasatinib (70 mg twice daily) or imatinib (400 mg twice daily). Crossover to the alternative treatment arm was allowed if patients showed evidence of disease progression or intolerance that could not be managed by dose modification. The primary endpoint was </w:t>
      </w:r>
      <w:r w:rsidRPr="00CD50DC">
        <w:rPr>
          <w:sz w:val="24"/>
          <w:szCs w:val="24"/>
          <w:lang w:val="en-US"/>
        </w:rPr>
        <w:lastRenderedPageBreak/>
        <w:t>MCyR at 12 weeks. Results are available for 150 patients: 101 were randomised to dasatinib and 49 to imatinib (all imatinib-resistant). The median time from diagnosis to randomisation was 64 months in the dasatinib group and 52 months in the imatinib group.</w:t>
      </w:r>
    </w:p>
    <w:p w:rsidR="00CD50DC" w:rsidRPr="00CD50DC" w:rsidRDefault="00CD50DC" w:rsidP="00CD50DC">
      <w:pPr>
        <w:tabs>
          <w:tab w:val="left" w:pos="851"/>
        </w:tabs>
        <w:ind w:left="851"/>
        <w:rPr>
          <w:sz w:val="24"/>
          <w:szCs w:val="24"/>
          <w:lang w:val="en-US"/>
        </w:rPr>
      </w:pPr>
      <w:r w:rsidRPr="00CD50DC">
        <w:rPr>
          <w:sz w:val="24"/>
          <w:szCs w:val="24"/>
          <w:lang w:val="en-US"/>
        </w:rPr>
        <w:t>All patients were extensively pretreated. Prior complete haematologic response (CHR) to imatinib wasachieved in 93% of the overall patient population. A prior MCyR to imatinib was achieved in 28% and 29% of the patients in the dasatinib and imatinib arms, respectively.</w:t>
      </w:r>
    </w:p>
    <w:p w:rsidR="00CD50DC" w:rsidRPr="00CD50DC" w:rsidRDefault="00CD50DC" w:rsidP="00CD50DC">
      <w:pPr>
        <w:tabs>
          <w:tab w:val="left" w:pos="851"/>
        </w:tabs>
        <w:ind w:left="851"/>
        <w:rPr>
          <w:sz w:val="24"/>
          <w:szCs w:val="24"/>
          <w:lang w:val="en-US"/>
        </w:rPr>
      </w:pPr>
      <w:r w:rsidRPr="00CD50DC">
        <w:rPr>
          <w:sz w:val="24"/>
          <w:szCs w:val="24"/>
          <w:lang w:val="en-US"/>
        </w:rPr>
        <w:t>Median duration of treatment was 23 months for dasatinib (with 44% of patients treated for &gt; 24 months to date) and 3 months for imatinib (with 10% of patients treated for &gt; 24 months to date). Ninety-three percent of patients in the dasatinib arm and 82% of patients in the imatinib arm achieved a CHR prior to crossover.</w:t>
      </w:r>
    </w:p>
    <w:p w:rsidR="00CD50DC" w:rsidRPr="00CD50DC" w:rsidRDefault="00CD50DC" w:rsidP="00CD50DC">
      <w:pPr>
        <w:tabs>
          <w:tab w:val="left" w:pos="851"/>
        </w:tabs>
        <w:ind w:left="851"/>
        <w:rPr>
          <w:sz w:val="24"/>
          <w:szCs w:val="24"/>
          <w:lang w:val="en-US"/>
        </w:rPr>
      </w:pPr>
    </w:p>
    <w:p w:rsidR="00CD50DC" w:rsidRPr="00CD50DC" w:rsidRDefault="00CD50DC" w:rsidP="00CD50DC">
      <w:pPr>
        <w:tabs>
          <w:tab w:val="left" w:pos="851"/>
        </w:tabs>
        <w:ind w:left="851"/>
        <w:rPr>
          <w:sz w:val="24"/>
          <w:szCs w:val="24"/>
          <w:lang w:val="en-US"/>
        </w:rPr>
      </w:pPr>
      <w:r w:rsidRPr="00CD50DC">
        <w:rPr>
          <w:sz w:val="24"/>
          <w:szCs w:val="24"/>
          <w:lang w:val="en-US"/>
        </w:rPr>
        <w:t>At 3 months, a MCyR occurred more often in the dasatinib arm (36%) than in the imatinib arm (29%). Notably, 22% of patients reported a complete cytogenetic response (CCyR) in the dasatinib arm while only 8% achieved a CCyR in the imatinib arm. With longer treatment and follow-up (median of 24 months), MCyR was achieved in 53% of the dasatinib-treated patients (CCyR in 44%) and 33% of the imatinib-treated patients (CCyR in 18%) prior to crossover. Among patients who had received imatinib 400 mg prior to study entry, MCyR was achieved in 61% of patients in the dasatinib arm and 50% in the imatinib arm.</w:t>
      </w:r>
    </w:p>
    <w:p w:rsidR="00CD50DC" w:rsidRPr="00CD50DC" w:rsidRDefault="00CD50DC" w:rsidP="00CD50DC">
      <w:pPr>
        <w:tabs>
          <w:tab w:val="left" w:pos="851"/>
        </w:tabs>
        <w:ind w:left="851"/>
        <w:rPr>
          <w:sz w:val="24"/>
          <w:szCs w:val="24"/>
          <w:lang w:val="en-US"/>
        </w:rPr>
      </w:pPr>
      <w:r w:rsidRPr="00CD50DC">
        <w:rPr>
          <w:sz w:val="24"/>
          <w:szCs w:val="24"/>
          <w:lang w:val="en-US"/>
        </w:rPr>
        <w:t>Based on the Kaplan-Meier estimates, the proportion of patients who maintained MCyR for 1 year was 92% (95% CI: [85%-100%]) for dasatinib (CCyR 97%, 95% CI: [92%-100%]) and 74% (95% CI: [49%-100%]) for imatinib (CCyR 100%). The proportion of patients who maintained MCyR for 18 months was 90% (95% CI: [82%-98%]) for dasatinib (CCyR 94%, 95% CI: [87%-100%]) and 74% (95% CI: [49%-100%]) for imatinib (CCyR 100%).</w:t>
      </w:r>
    </w:p>
    <w:p w:rsidR="00CD50DC" w:rsidRPr="00CD50DC" w:rsidRDefault="00CD50DC" w:rsidP="00CD50DC">
      <w:pPr>
        <w:tabs>
          <w:tab w:val="left" w:pos="851"/>
        </w:tabs>
        <w:ind w:left="851"/>
        <w:rPr>
          <w:sz w:val="24"/>
          <w:szCs w:val="24"/>
          <w:lang w:val="en-US"/>
        </w:rPr>
      </w:pPr>
    </w:p>
    <w:p w:rsidR="00CD50DC" w:rsidRPr="00CD50DC" w:rsidRDefault="00CD50DC" w:rsidP="00CD50DC">
      <w:pPr>
        <w:tabs>
          <w:tab w:val="left" w:pos="851"/>
        </w:tabs>
        <w:ind w:left="851"/>
        <w:rPr>
          <w:sz w:val="24"/>
          <w:szCs w:val="24"/>
          <w:lang w:val="en-US"/>
        </w:rPr>
      </w:pPr>
      <w:r w:rsidRPr="00CD50DC">
        <w:rPr>
          <w:sz w:val="24"/>
          <w:szCs w:val="24"/>
          <w:lang w:val="en-US"/>
        </w:rPr>
        <w:t>Based on the Kaplan-Meier estimates, the proportion of patients who had progression-free survival (PFS) for 1 year was 91% (95% CI: [85%-97%]) for dasatinib and 73% (95% CI: [54%-91%]) for imatinib. The proportion of patients who had PFS at 2 years was 86% (95% CI: [78%-93%]) for dasatinib and 65% (95% CI: [43%-87%]) for imatinib.</w:t>
      </w:r>
    </w:p>
    <w:p w:rsidR="00CD50DC" w:rsidRPr="00CD50DC" w:rsidRDefault="00CD50DC" w:rsidP="00CD50DC">
      <w:pPr>
        <w:tabs>
          <w:tab w:val="left" w:pos="851"/>
        </w:tabs>
        <w:ind w:left="851"/>
        <w:rPr>
          <w:sz w:val="24"/>
          <w:szCs w:val="24"/>
          <w:lang w:val="en-US"/>
        </w:rPr>
      </w:pPr>
    </w:p>
    <w:p w:rsidR="00CD50DC" w:rsidRPr="00CD50DC" w:rsidRDefault="00CD50DC" w:rsidP="00CD50DC">
      <w:pPr>
        <w:tabs>
          <w:tab w:val="left" w:pos="851"/>
        </w:tabs>
        <w:ind w:left="851"/>
        <w:rPr>
          <w:sz w:val="24"/>
          <w:szCs w:val="24"/>
          <w:lang w:val="en-US"/>
        </w:rPr>
      </w:pPr>
      <w:r w:rsidRPr="00CD50DC">
        <w:rPr>
          <w:sz w:val="24"/>
          <w:szCs w:val="24"/>
          <w:lang w:val="en-US"/>
        </w:rPr>
        <w:t>A total of 43% of the patients in the dasatinib arm, and 82% in the imatinib arm had treatment failure, defined as disease progression or cross-over to the other treatment (lack of response, intolerance of study medicinal product, etc.).</w:t>
      </w:r>
    </w:p>
    <w:p w:rsidR="00CD50DC" w:rsidRPr="00CD50DC" w:rsidRDefault="00CD50DC" w:rsidP="00CD50DC">
      <w:pPr>
        <w:tabs>
          <w:tab w:val="left" w:pos="851"/>
        </w:tabs>
        <w:ind w:left="851"/>
        <w:rPr>
          <w:sz w:val="24"/>
          <w:szCs w:val="24"/>
          <w:lang w:val="en-US"/>
        </w:rPr>
      </w:pPr>
    </w:p>
    <w:p w:rsidR="00CD50DC" w:rsidRPr="00CD50DC" w:rsidRDefault="00CD50DC" w:rsidP="00CD50DC">
      <w:pPr>
        <w:tabs>
          <w:tab w:val="left" w:pos="851"/>
        </w:tabs>
        <w:ind w:left="851"/>
        <w:rPr>
          <w:sz w:val="24"/>
          <w:szCs w:val="24"/>
          <w:lang w:val="en-US"/>
        </w:rPr>
      </w:pPr>
      <w:r w:rsidRPr="00CD50DC">
        <w:rPr>
          <w:sz w:val="24"/>
          <w:szCs w:val="24"/>
          <w:lang w:val="en-US"/>
        </w:rPr>
        <w:t>The rate of major molecular response (defined as BCR-ABL/control transcripts ≤ 0.1% by RQ-PCR in peripheral blood samples) prior to crossover was 29% for dasatinib and 12% for imatinib.</w:t>
      </w:r>
    </w:p>
    <w:p w:rsidR="00CD50DC" w:rsidRPr="00CD50DC" w:rsidRDefault="00CD50DC" w:rsidP="00CD50DC">
      <w:pPr>
        <w:tabs>
          <w:tab w:val="left" w:pos="851"/>
        </w:tabs>
        <w:ind w:left="851"/>
        <w:rPr>
          <w:sz w:val="24"/>
          <w:szCs w:val="24"/>
          <w:lang w:val="en-US"/>
        </w:rPr>
      </w:pPr>
    </w:p>
    <w:p w:rsidR="00CD50DC" w:rsidRPr="00CD50DC" w:rsidRDefault="00CD50DC" w:rsidP="00CD50DC">
      <w:pPr>
        <w:tabs>
          <w:tab w:val="left" w:pos="851"/>
        </w:tabs>
        <w:ind w:left="851"/>
        <w:rPr>
          <w:i/>
          <w:sz w:val="24"/>
          <w:szCs w:val="24"/>
          <w:lang w:val="en-US"/>
        </w:rPr>
      </w:pPr>
      <w:r w:rsidRPr="00CD50DC">
        <w:rPr>
          <w:i/>
          <w:sz w:val="24"/>
          <w:szCs w:val="24"/>
          <w:lang w:val="en-US"/>
        </w:rPr>
        <w:t>Study 2</w:t>
      </w:r>
    </w:p>
    <w:p w:rsidR="00CD50DC" w:rsidRPr="00CD50DC" w:rsidRDefault="00CD50DC" w:rsidP="00CD50DC">
      <w:pPr>
        <w:tabs>
          <w:tab w:val="left" w:pos="851"/>
        </w:tabs>
        <w:ind w:left="851"/>
        <w:rPr>
          <w:sz w:val="24"/>
          <w:szCs w:val="24"/>
          <w:lang w:val="en-US"/>
        </w:rPr>
      </w:pPr>
      <w:r w:rsidRPr="00CD50DC">
        <w:rPr>
          <w:sz w:val="24"/>
          <w:szCs w:val="24"/>
          <w:lang w:val="en-US"/>
        </w:rPr>
        <w:t>An open-label, single-arm, multicentre study was conducted in patients resistant or intolerant to imatinib (i.e. patients who experienced significant toxicity during treatment with imatinib that precluded further treatment).</w:t>
      </w:r>
    </w:p>
    <w:p w:rsidR="00CD50DC" w:rsidRPr="00CD50DC" w:rsidRDefault="00CD50DC" w:rsidP="00CD50DC">
      <w:pPr>
        <w:tabs>
          <w:tab w:val="left" w:pos="851"/>
        </w:tabs>
        <w:ind w:left="851"/>
        <w:rPr>
          <w:sz w:val="24"/>
          <w:szCs w:val="24"/>
          <w:lang w:val="en-US"/>
        </w:rPr>
      </w:pPr>
      <w:r w:rsidRPr="00CD50DC">
        <w:rPr>
          <w:sz w:val="24"/>
          <w:szCs w:val="24"/>
          <w:lang w:val="en-US"/>
        </w:rPr>
        <w:t xml:space="preserve">A total of 387 patients received dasatinib 70 mg twice daily (288 resistant and 99 intolerant). The median time from diagnosis to start of treatment was 61 months. The majority of the patients (53%) had received prior imatinib treatment for more than 3 years. Most resistant patients (72%) had received &gt; 600 mg imatinib. In addition to imatinib, 35% of patients had received prior cytotoxic chemotherapy, 65% had received prior interferon, and 10% had received a prior stem cell transplant. Thirty-eight percent of patients had baseline mutations known to confer imatinib resistance. Median duration of treatment on </w:t>
      </w:r>
      <w:r w:rsidRPr="00CD50DC">
        <w:rPr>
          <w:sz w:val="24"/>
          <w:szCs w:val="24"/>
          <w:lang w:val="en-US"/>
        </w:rPr>
        <w:lastRenderedPageBreak/>
        <w:t>dasatinib was 24 months with 51% of patients treated for &gt; 24 months to date. Efficacy results are reported in Table 11. MCyR was achieved in 55% of imatinib-resistant patients and 82% of imatinib-intolerant patients. With a minimum of 24 months follow-up, 21 of the</w:t>
      </w:r>
      <w:r>
        <w:rPr>
          <w:sz w:val="24"/>
          <w:szCs w:val="24"/>
          <w:lang w:val="en-US"/>
        </w:rPr>
        <w:t xml:space="preserve"> </w:t>
      </w:r>
      <w:r w:rsidRPr="00CD50DC">
        <w:rPr>
          <w:sz w:val="24"/>
          <w:szCs w:val="24"/>
          <w:lang w:val="en-US"/>
        </w:rPr>
        <w:t>240 patients who had achieved a MCyR had progressed and the median duration of MCyR had not been reached.</w:t>
      </w:r>
    </w:p>
    <w:p w:rsidR="00CD50DC" w:rsidRPr="00CD50DC" w:rsidRDefault="00CD50DC" w:rsidP="00CD50DC">
      <w:pPr>
        <w:tabs>
          <w:tab w:val="left" w:pos="851"/>
        </w:tabs>
        <w:ind w:left="851"/>
        <w:rPr>
          <w:sz w:val="24"/>
          <w:szCs w:val="24"/>
          <w:lang w:val="en-US"/>
        </w:rPr>
      </w:pPr>
    </w:p>
    <w:p w:rsidR="00CD50DC" w:rsidRPr="00CD50DC" w:rsidRDefault="00CD50DC" w:rsidP="00CD50DC">
      <w:pPr>
        <w:tabs>
          <w:tab w:val="left" w:pos="851"/>
        </w:tabs>
        <w:ind w:left="851"/>
        <w:rPr>
          <w:sz w:val="24"/>
          <w:szCs w:val="24"/>
          <w:lang w:val="en-US"/>
        </w:rPr>
      </w:pPr>
      <w:r w:rsidRPr="00CD50DC">
        <w:rPr>
          <w:sz w:val="24"/>
          <w:szCs w:val="24"/>
          <w:lang w:val="en-US"/>
        </w:rPr>
        <w:t>Based on the Kaplan-Meier estimates, 95% (95% CI: [92%-98%]) of the patients maintained MCyR for 1 year and 88% (95% CI: [83%-93%]) maintained MCyR for 2 years. The proportion of patients who maintained CCyR for 1 year was 97% (95% CI: [94%-99%]) and for 2 years was 90% (95% CI: [86%-95%]). Forty-two percent of the imatinib-resistant patients with no prior MCyR to imatinib (n= 188) achieved a MCyR with dasatinib.</w:t>
      </w:r>
    </w:p>
    <w:p w:rsidR="00CD50DC" w:rsidRPr="00CD50DC" w:rsidRDefault="00CD50DC" w:rsidP="00CD50DC">
      <w:pPr>
        <w:tabs>
          <w:tab w:val="left" w:pos="851"/>
        </w:tabs>
        <w:ind w:left="851"/>
        <w:rPr>
          <w:sz w:val="24"/>
          <w:szCs w:val="24"/>
          <w:lang w:val="en-US"/>
        </w:rPr>
      </w:pPr>
      <w:r w:rsidRPr="00CD50DC">
        <w:rPr>
          <w:sz w:val="24"/>
          <w:szCs w:val="24"/>
          <w:lang w:val="en-US"/>
        </w:rPr>
        <w:t>There were 45 different BCR-ABL mutations in 38% of patients enrolled in this study. Complete haematologic response or MCyR was achieved in patients harbouring a variety of BCR-ABL mutations associated with imatinib resistance except T315I. The rates of MCyR at 2 years were similar</w:t>
      </w:r>
      <w:r>
        <w:rPr>
          <w:sz w:val="24"/>
          <w:szCs w:val="24"/>
          <w:lang w:val="en-US"/>
        </w:rPr>
        <w:t xml:space="preserve"> </w:t>
      </w:r>
      <w:r w:rsidRPr="00CD50DC">
        <w:rPr>
          <w:sz w:val="24"/>
          <w:szCs w:val="24"/>
          <w:lang w:val="en-US"/>
        </w:rPr>
        <w:t>whether patients had any baseline BCR-ABL mutation, P-loop mutation, or no mutation (63%, 61% and 62%, respectively).</w:t>
      </w:r>
    </w:p>
    <w:p w:rsidR="00CD50DC" w:rsidRPr="00CD50DC" w:rsidRDefault="00CD50DC" w:rsidP="00CD50DC">
      <w:pPr>
        <w:tabs>
          <w:tab w:val="left" w:pos="851"/>
        </w:tabs>
        <w:ind w:left="851"/>
        <w:rPr>
          <w:sz w:val="24"/>
          <w:szCs w:val="24"/>
          <w:lang w:val="en-US"/>
        </w:rPr>
      </w:pPr>
    </w:p>
    <w:p w:rsidR="00CD50DC" w:rsidRPr="00CD50DC" w:rsidRDefault="00CD50DC" w:rsidP="00CD50DC">
      <w:pPr>
        <w:tabs>
          <w:tab w:val="left" w:pos="851"/>
        </w:tabs>
        <w:ind w:left="851"/>
        <w:rPr>
          <w:sz w:val="24"/>
          <w:szCs w:val="24"/>
          <w:lang w:val="en-US"/>
        </w:rPr>
      </w:pPr>
      <w:r w:rsidRPr="00CD50DC">
        <w:rPr>
          <w:sz w:val="24"/>
          <w:szCs w:val="24"/>
          <w:lang w:val="en-US"/>
        </w:rPr>
        <w:t>Among imatinib-resistant patients, the estimated rate of PFS was 88% (95% CI: [84%-92%]) at 1 year and 75% (95% CI: [69%-81%]) at 2 years. Among imatinib-intolerant patients, the estimated rate of PFS was 98% (95% CI: [95%-100%]) at 1 year and 94% (95% CI: [88%-99%]) at 2 years.</w:t>
      </w:r>
    </w:p>
    <w:p w:rsidR="00CD50DC" w:rsidRPr="00CD50DC" w:rsidRDefault="00CD50DC" w:rsidP="00CD50DC">
      <w:pPr>
        <w:tabs>
          <w:tab w:val="left" w:pos="851"/>
        </w:tabs>
        <w:ind w:left="851"/>
        <w:rPr>
          <w:sz w:val="24"/>
          <w:szCs w:val="24"/>
          <w:lang w:val="en-US"/>
        </w:rPr>
      </w:pPr>
    </w:p>
    <w:p w:rsidR="00CD50DC" w:rsidRPr="00CD50DC" w:rsidRDefault="00CD50DC" w:rsidP="00CD50DC">
      <w:pPr>
        <w:tabs>
          <w:tab w:val="left" w:pos="851"/>
        </w:tabs>
        <w:ind w:left="851"/>
        <w:rPr>
          <w:sz w:val="24"/>
          <w:szCs w:val="24"/>
          <w:lang w:val="en-US"/>
        </w:rPr>
      </w:pPr>
      <w:r w:rsidRPr="00CD50DC">
        <w:rPr>
          <w:sz w:val="24"/>
          <w:szCs w:val="24"/>
          <w:lang w:val="en-US"/>
        </w:rPr>
        <w:t>The rate of major molecular response at 24 months was 45% (35% for imatinib-resistant patients and 74% for imatinib-intolerant patients).</w:t>
      </w:r>
    </w:p>
    <w:p w:rsidR="00CD50DC" w:rsidRPr="00CD50DC" w:rsidRDefault="00CD50DC" w:rsidP="00CD50DC">
      <w:pPr>
        <w:tabs>
          <w:tab w:val="left" w:pos="851"/>
        </w:tabs>
        <w:ind w:left="851"/>
        <w:rPr>
          <w:sz w:val="24"/>
          <w:szCs w:val="24"/>
          <w:lang w:val="en-US"/>
        </w:rPr>
      </w:pPr>
    </w:p>
    <w:p w:rsidR="00CD50DC" w:rsidRPr="00CD50DC" w:rsidRDefault="00CD50DC" w:rsidP="00CD50DC">
      <w:pPr>
        <w:tabs>
          <w:tab w:val="left" w:pos="851"/>
        </w:tabs>
        <w:ind w:left="851"/>
        <w:rPr>
          <w:i/>
          <w:sz w:val="24"/>
          <w:szCs w:val="24"/>
          <w:lang w:val="en-US"/>
        </w:rPr>
      </w:pPr>
      <w:r w:rsidRPr="00CD50DC">
        <w:rPr>
          <w:i/>
          <w:sz w:val="24"/>
          <w:szCs w:val="24"/>
          <w:u w:val="single"/>
          <w:lang w:val="en-US"/>
        </w:rPr>
        <w:t>Accelerated phase CML</w:t>
      </w:r>
    </w:p>
    <w:p w:rsidR="00CD50DC" w:rsidRPr="00CD50DC" w:rsidRDefault="00CD50DC" w:rsidP="00CD50DC">
      <w:pPr>
        <w:tabs>
          <w:tab w:val="left" w:pos="851"/>
        </w:tabs>
        <w:ind w:left="851"/>
        <w:rPr>
          <w:sz w:val="24"/>
          <w:szCs w:val="24"/>
          <w:lang w:val="en-US"/>
        </w:rPr>
      </w:pPr>
      <w:r w:rsidRPr="00CD50DC">
        <w:rPr>
          <w:sz w:val="24"/>
          <w:szCs w:val="24"/>
          <w:lang w:val="en-US"/>
        </w:rPr>
        <w:t>An open-label, single-arm, multicentre study was conducted in patients intolerant or resistant to imatinib. A total of 174 patients received dasatinib 70 mg twice daily (161 resistant and 13 intolerant to imatinib). The median time from diagnosis to start of treatment was 82 months. Median duration of treatment on dasatinib was 14 months with 31% of patients treated for &gt; 24 months to date. The rate of major molecular response (assessed in 41 patients with a CCyR) was 46% at 24 months. Further efficacy results are reported in Table 11.</w:t>
      </w:r>
    </w:p>
    <w:p w:rsidR="00CD50DC" w:rsidRPr="00CD50DC" w:rsidRDefault="00CD50DC" w:rsidP="00CD50DC">
      <w:pPr>
        <w:tabs>
          <w:tab w:val="left" w:pos="851"/>
        </w:tabs>
        <w:ind w:left="851"/>
        <w:rPr>
          <w:sz w:val="24"/>
          <w:szCs w:val="24"/>
          <w:lang w:val="en-US"/>
        </w:rPr>
      </w:pPr>
    </w:p>
    <w:p w:rsidR="00CD50DC" w:rsidRPr="00CD50DC" w:rsidRDefault="00CD50DC" w:rsidP="00CD50DC">
      <w:pPr>
        <w:tabs>
          <w:tab w:val="left" w:pos="851"/>
        </w:tabs>
        <w:ind w:left="851"/>
        <w:rPr>
          <w:i/>
          <w:sz w:val="24"/>
          <w:szCs w:val="24"/>
          <w:lang w:val="en-US"/>
        </w:rPr>
      </w:pPr>
      <w:r w:rsidRPr="00CD50DC">
        <w:rPr>
          <w:i/>
          <w:sz w:val="24"/>
          <w:szCs w:val="24"/>
          <w:u w:val="single"/>
          <w:lang w:val="en-US"/>
        </w:rPr>
        <w:t>Myeloid blast phase CML</w:t>
      </w:r>
    </w:p>
    <w:p w:rsidR="00CD50DC" w:rsidRPr="00CD50DC" w:rsidRDefault="00CD50DC" w:rsidP="00CD50DC">
      <w:pPr>
        <w:tabs>
          <w:tab w:val="left" w:pos="851"/>
        </w:tabs>
        <w:ind w:left="851"/>
        <w:rPr>
          <w:sz w:val="24"/>
          <w:szCs w:val="24"/>
          <w:lang w:val="en-US"/>
        </w:rPr>
      </w:pPr>
      <w:r w:rsidRPr="00CD50DC">
        <w:rPr>
          <w:sz w:val="24"/>
          <w:szCs w:val="24"/>
          <w:lang w:val="en-US"/>
        </w:rPr>
        <w:t>An open-label, single-arm, multicentre study was conducted in patients intolerant or resistant to imatinib. A total of 109 patients received dasatinib 70 mg twice daily (99 resistant and 10 intolerant to imatinib). The median time from diagnosis to start of treatment was 48 months. Median duration of treatment on dasatinib was 3.5 months with 12% of patients treated for &gt; 24 months to date. The rate of major molecular response (assessed in 19 patients with a CCyR) was 68% at 24 months. Further efficacy results are reported in Table 11.</w:t>
      </w:r>
    </w:p>
    <w:p w:rsidR="00CD50DC" w:rsidRPr="00CD50DC" w:rsidRDefault="00CD50DC" w:rsidP="00CD50DC">
      <w:pPr>
        <w:tabs>
          <w:tab w:val="left" w:pos="851"/>
        </w:tabs>
        <w:ind w:left="851"/>
        <w:rPr>
          <w:sz w:val="24"/>
          <w:szCs w:val="24"/>
          <w:lang w:val="en-US"/>
        </w:rPr>
      </w:pPr>
    </w:p>
    <w:p w:rsidR="00CD50DC" w:rsidRPr="00CD50DC" w:rsidRDefault="00CD50DC" w:rsidP="00CD50DC">
      <w:pPr>
        <w:tabs>
          <w:tab w:val="left" w:pos="851"/>
        </w:tabs>
        <w:ind w:left="851"/>
        <w:rPr>
          <w:i/>
          <w:sz w:val="24"/>
          <w:szCs w:val="24"/>
          <w:lang w:val="en-US"/>
        </w:rPr>
      </w:pPr>
      <w:r w:rsidRPr="00CD50DC">
        <w:rPr>
          <w:i/>
          <w:sz w:val="24"/>
          <w:szCs w:val="24"/>
          <w:u w:val="single"/>
          <w:lang w:val="en-US"/>
        </w:rPr>
        <w:t>Lymphoid blast phase CML and Ph+ ALL</w:t>
      </w:r>
    </w:p>
    <w:p w:rsidR="00CD50DC" w:rsidRPr="00CD50DC" w:rsidRDefault="00CD50DC" w:rsidP="00CD50DC">
      <w:pPr>
        <w:tabs>
          <w:tab w:val="left" w:pos="851"/>
        </w:tabs>
        <w:ind w:left="851"/>
        <w:rPr>
          <w:sz w:val="24"/>
          <w:szCs w:val="24"/>
          <w:lang w:val="en-US"/>
        </w:rPr>
      </w:pPr>
      <w:r w:rsidRPr="00CD50DC">
        <w:rPr>
          <w:sz w:val="24"/>
          <w:szCs w:val="24"/>
          <w:lang w:val="en-US"/>
        </w:rPr>
        <w:t xml:space="preserve">An open-label, single-arm, multicentre study was conducted in patients with lymphoid blast phase CML or Ph+ ALL who were resistant or intolerant to prior imatinib therapy. A total of 48 patients with lymphoid blast CML received dasatinib 70 mg twice daily (42 resistant and 6 intolerant to imatinib). The median time from diagnosis to start of treatment was 28 months. Median duration of treatment on dasatinib was 3 months with 2% treated for &gt; 24 months to date. The rate of major molecular response (all 22 treated patients with </w:t>
      </w:r>
      <w:r w:rsidRPr="00CD50DC">
        <w:rPr>
          <w:sz w:val="24"/>
          <w:szCs w:val="24"/>
          <w:lang w:val="en-US"/>
        </w:rPr>
        <w:lastRenderedPageBreak/>
        <w:t>a CCyR) was 50% at 24 months. In addition, 46 patients with Ph+ ALL received dasatinib 70 mg twice daily (44 resistant and 2 intolerant to imatinib). The median time from diagnosis to start of treatment was 18 months. Median duration of treatment on dasatinib was 3 months with 7% of patients treated for &gt; 24 months to date. The rate of major molecular response (all 25 treated patients with a CCyR) was 52% at 24 months. Further efficacy results are reported in Table 11. Of note, major haematologic responses (MaHR) were achieved quickly (most within 35 days of first dasatinib administration for patients with lymphoid blast CML, and within 55 days for patients with Ph+ ALL).</w:t>
      </w:r>
    </w:p>
    <w:p w:rsidR="00CD50DC" w:rsidRPr="00CD50DC" w:rsidRDefault="00CD50DC" w:rsidP="003E0341">
      <w:pPr>
        <w:tabs>
          <w:tab w:val="left" w:pos="851"/>
        </w:tabs>
        <w:ind w:left="851"/>
        <w:rPr>
          <w:sz w:val="24"/>
          <w:szCs w:val="24"/>
          <w:lang w:val="en-US"/>
        </w:rPr>
      </w:pPr>
    </w:p>
    <w:p w:rsidR="00CD50DC" w:rsidRPr="00CD50DC" w:rsidRDefault="00CD50DC" w:rsidP="00CD50DC">
      <w:pPr>
        <w:pStyle w:val="Brdtekst"/>
        <w:spacing w:before="7" w:line="247" w:lineRule="auto"/>
        <w:ind w:right="266"/>
        <w:rPr>
          <w:w w:val="105"/>
        </w:rPr>
      </w:pPr>
    </w:p>
    <w:p w:rsidR="00CD50DC" w:rsidRPr="00CD50DC" w:rsidRDefault="00CD50DC" w:rsidP="00CD50DC">
      <w:pPr>
        <w:pStyle w:val="Overskrift1"/>
        <w:tabs>
          <w:tab w:val="left" w:pos="2384"/>
        </w:tabs>
        <w:spacing w:before="67"/>
        <w:ind w:left="225"/>
        <w:rPr>
          <w:position w:val="8"/>
          <w:sz w:val="14"/>
        </w:rPr>
      </w:pPr>
      <w:r w:rsidRPr="00CD50DC">
        <w:t>Table</w:t>
      </w:r>
      <w:r w:rsidRPr="00CD50DC">
        <w:rPr>
          <w:spacing w:val="-1"/>
        </w:rPr>
        <w:t xml:space="preserve"> </w:t>
      </w:r>
      <w:r w:rsidRPr="00CD50DC">
        <w:t>11:</w:t>
      </w:r>
      <w:r w:rsidRPr="00CD50DC">
        <w:tab/>
        <w:t>Efficacy in phase II dasatinib single-arm clinical</w:t>
      </w:r>
      <w:r w:rsidRPr="00CD50DC">
        <w:rPr>
          <w:spacing w:val="-6"/>
        </w:rPr>
        <w:t xml:space="preserve"> </w:t>
      </w:r>
      <w:r w:rsidRPr="00CD50DC">
        <w:t>studies</w:t>
      </w:r>
      <w:r w:rsidRPr="00CD50DC">
        <w:rPr>
          <w:position w:val="8"/>
          <w:sz w:val="14"/>
        </w:rPr>
        <w:t>a</w:t>
      </w:r>
    </w:p>
    <w:tbl>
      <w:tblPr>
        <w:tblStyle w:val="Tabel-Gitter"/>
        <w:tblW w:w="0" w:type="auto"/>
        <w:tblInd w:w="225" w:type="dxa"/>
        <w:tblLook w:val="04A0" w:firstRow="1" w:lastRow="0" w:firstColumn="1" w:lastColumn="0" w:noHBand="0" w:noVBand="1"/>
      </w:tblPr>
      <w:tblGrid>
        <w:gridCol w:w="1771"/>
        <w:gridCol w:w="134"/>
        <w:gridCol w:w="1224"/>
        <w:gridCol w:w="135"/>
        <w:gridCol w:w="1171"/>
        <w:gridCol w:w="225"/>
        <w:gridCol w:w="1359"/>
        <w:gridCol w:w="101"/>
        <w:gridCol w:w="1239"/>
        <w:gridCol w:w="19"/>
        <w:gridCol w:w="1413"/>
      </w:tblGrid>
      <w:tr w:rsidR="00CD50DC" w:rsidRPr="00CD50DC" w:rsidTr="00CD50DC">
        <w:tc>
          <w:tcPr>
            <w:tcW w:w="1771" w:type="dxa"/>
            <w:tcBorders>
              <w:top w:val="single" w:sz="4" w:space="0" w:color="auto"/>
              <w:left w:val="nil"/>
              <w:bottom w:val="nil"/>
              <w:right w:val="nil"/>
            </w:tcBorders>
          </w:tcPr>
          <w:p w:rsidR="00CD50DC" w:rsidRPr="00CD50DC" w:rsidRDefault="00CD50DC">
            <w:pPr>
              <w:pStyle w:val="Overskrift1"/>
              <w:tabs>
                <w:tab w:val="left" w:pos="2384"/>
              </w:tabs>
              <w:spacing w:before="67"/>
              <w:ind w:left="0"/>
              <w:outlineLvl w:val="0"/>
              <w:rPr>
                <w:rFonts w:ascii="Times New Roman" w:hAnsi="Times New Roman" w:cs="Times New Roman"/>
                <w:sz w:val="14"/>
              </w:rPr>
            </w:pPr>
          </w:p>
        </w:tc>
        <w:tc>
          <w:tcPr>
            <w:tcW w:w="1358" w:type="dxa"/>
            <w:gridSpan w:val="2"/>
            <w:tcBorders>
              <w:top w:val="single" w:sz="4" w:space="0" w:color="auto"/>
              <w:left w:val="nil"/>
              <w:bottom w:val="nil"/>
              <w:right w:val="nil"/>
            </w:tcBorders>
          </w:tcPr>
          <w:p w:rsidR="00CD50DC" w:rsidRPr="00CD50DC" w:rsidRDefault="00CD50DC">
            <w:pPr>
              <w:pStyle w:val="Overskrift1"/>
              <w:tabs>
                <w:tab w:val="left" w:pos="2384"/>
              </w:tabs>
              <w:spacing w:before="67"/>
              <w:ind w:left="0"/>
              <w:outlineLvl w:val="0"/>
              <w:rPr>
                <w:rFonts w:ascii="Times New Roman" w:hAnsi="Times New Roman" w:cs="Times New Roman"/>
                <w:sz w:val="14"/>
              </w:rPr>
            </w:pPr>
          </w:p>
        </w:tc>
        <w:tc>
          <w:tcPr>
            <w:tcW w:w="1306" w:type="dxa"/>
            <w:gridSpan w:val="2"/>
            <w:tcBorders>
              <w:top w:val="single" w:sz="4" w:space="0" w:color="auto"/>
              <w:left w:val="nil"/>
              <w:bottom w:val="nil"/>
              <w:right w:val="nil"/>
            </w:tcBorders>
          </w:tcPr>
          <w:p w:rsidR="00CD50DC" w:rsidRPr="00CD50DC" w:rsidRDefault="00CD50DC">
            <w:pPr>
              <w:pStyle w:val="Overskrift1"/>
              <w:tabs>
                <w:tab w:val="left" w:pos="2384"/>
              </w:tabs>
              <w:spacing w:before="67"/>
              <w:ind w:left="0"/>
              <w:outlineLvl w:val="0"/>
              <w:rPr>
                <w:rFonts w:ascii="Times New Roman" w:hAnsi="Times New Roman" w:cs="Times New Roman"/>
                <w:sz w:val="14"/>
              </w:rPr>
            </w:pPr>
          </w:p>
        </w:tc>
        <w:tc>
          <w:tcPr>
            <w:tcW w:w="1685" w:type="dxa"/>
            <w:gridSpan w:val="3"/>
            <w:tcBorders>
              <w:top w:val="single" w:sz="4" w:space="0" w:color="auto"/>
              <w:left w:val="nil"/>
              <w:bottom w:val="nil"/>
              <w:right w:val="nil"/>
            </w:tcBorders>
          </w:tcPr>
          <w:p w:rsidR="00CD50DC" w:rsidRPr="00CD50DC" w:rsidRDefault="00CD50DC">
            <w:pPr>
              <w:pStyle w:val="Overskrift1"/>
              <w:tabs>
                <w:tab w:val="left" w:pos="2384"/>
              </w:tabs>
              <w:spacing w:before="67"/>
              <w:ind w:left="0"/>
              <w:outlineLvl w:val="0"/>
              <w:rPr>
                <w:rFonts w:ascii="Times New Roman" w:hAnsi="Times New Roman" w:cs="Times New Roman"/>
                <w:sz w:val="14"/>
              </w:rPr>
            </w:pPr>
          </w:p>
        </w:tc>
        <w:tc>
          <w:tcPr>
            <w:tcW w:w="1258" w:type="dxa"/>
            <w:gridSpan w:val="2"/>
            <w:tcBorders>
              <w:top w:val="single" w:sz="4" w:space="0" w:color="auto"/>
              <w:left w:val="nil"/>
              <w:bottom w:val="nil"/>
              <w:right w:val="nil"/>
            </w:tcBorders>
            <w:hideMark/>
          </w:tcPr>
          <w:p w:rsidR="00CD50DC" w:rsidRPr="00CD50DC" w:rsidRDefault="00CD50DC">
            <w:pPr>
              <w:pStyle w:val="Overskrift1"/>
              <w:tabs>
                <w:tab w:val="left" w:pos="2384"/>
              </w:tabs>
              <w:spacing w:before="67"/>
              <w:ind w:left="0"/>
              <w:jc w:val="center"/>
              <w:outlineLvl w:val="0"/>
              <w:rPr>
                <w:rFonts w:ascii="Times New Roman" w:hAnsi="Times New Roman" w:cs="Times New Roman"/>
                <w:sz w:val="14"/>
              </w:rPr>
            </w:pPr>
            <w:r w:rsidRPr="00CD50DC">
              <w:rPr>
                <w:rFonts w:ascii="Times New Roman" w:hAnsi="Times New Roman" w:cs="Times New Roman"/>
                <w:bCs w:val="0"/>
                <w:lang w:val="de-DE"/>
              </w:rPr>
              <w:t>Lymphoid</w:t>
            </w:r>
          </w:p>
        </w:tc>
        <w:tc>
          <w:tcPr>
            <w:tcW w:w="1413" w:type="dxa"/>
            <w:tcBorders>
              <w:top w:val="single" w:sz="4" w:space="0" w:color="auto"/>
              <w:left w:val="nil"/>
              <w:bottom w:val="nil"/>
              <w:right w:val="nil"/>
            </w:tcBorders>
          </w:tcPr>
          <w:p w:rsidR="00CD50DC" w:rsidRPr="00CD50DC" w:rsidRDefault="00CD50DC">
            <w:pPr>
              <w:pStyle w:val="Overskrift1"/>
              <w:tabs>
                <w:tab w:val="left" w:pos="2384"/>
              </w:tabs>
              <w:spacing w:before="67"/>
              <w:ind w:left="0"/>
              <w:outlineLvl w:val="0"/>
              <w:rPr>
                <w:rFonts w:ascii="Times New Roman" w:hAnsi="Times New Roman" w:cs="Times New Roman"/>
                <w:sz w:val="14"/>
              </w:rPr>
            </w:pPr>
          </w:p>
        </w:tc>
      </w:tr>
      <w:tr w:rsidR="00CD50DC" w:rsidRPr="00CD50DC" w:rsidTr="00CD50DC">
        <w:tc>
          <w:tcPr>
            <w:tcW w:w="1905" w:type="dxa"/>
            <w:gridSpan w:val="2"/>
            <w:tcBorders>
              <w:top w:val="nil"/>
              <w:left w:val="nil"/>
              <w:bottom w:val="single" w:sz="4" w:space="0" w:color="auto"/>
              <w:right w:val="nil"/>
            </w:tcBorders>
          </w:tcPr>
          <w:p w:rsidR="00CD50DC" w:rsidRPr="00CD50DC" w:rsidRDefault="00CD50DC">
            <w:pPr>
              <w:pStyle w:val="Overskrift1"/>
              <w:tabs>
                <w:tab w:val="left" w:pos="2384"/>
              </w:tabs>
              <w:spacing w:before="67"/>
              <w:ind w:left="0"/>
              <w:outlineLvl w:val="0"/>
              <w:rPr>
                <w:rFonts w:ascii="Times New Roman" w:hAnsi="Times New Roman" w:cs="Times New Roman"/>
                <w:sz w:val="14"/>
              </w:rPr>
            </w:pPr>
          </w:p>
        </w:tc>
        <w:tc>
          <w:tcPr>
            <w:tcW w:w="1359" w:type="dxa"/>
            <w:gridSpan w:val="2"/>
            <w:tcBorders>
              <w:top w:val="nil"/>
              <w:left w:val="nil"/>
              <w:bottom w:val="single" w:sz="4" w:space="0" w:color="auto"/>
              <w:right w:val="nil"/>
            </w:tcBorders>
            <w:hideMark/>
          </w:tcPr>
          <w:p w:rsidR="00CD50DC" w:rsidRPr="00CD50DC" w:rsidRDefault="00CD50DC">
            <w:pPr>
              <w:widowControl/>
              <w:adjustRightInd w:val="0"/>
              <w:jc w:val="center"/>
              <w:rPr>
                <w:rFonts w:ascii="Times New Roman" w:hAnsi="Times New Roman" w:cs="Times New Roman"/>
                <w:b/>
                <w:bCs/>
                <w:sz w:val="20"/>
                <w:szCs w:val="20"/>
                <w:lang w:val="de-DE"/>
              </w:rPr>
            </w:pPr>
            <w:r w:rsidRPr="00CD50DC">
              <w:rPr>
                <w:rFonts w:ascii="Times New Roman" w:hAnsi="Times New Roman" w:cs="Times New Roman"/>
                <w:b/>
                <w:bCs/>
                <w:sz w:val="20"/>
                <w:szCs w:val="20"/>
                <w:lang w:val="de-DE"/>
              </w:rPr>
              <w:t>Chronic</w:t>
            </w:r>
          </w:p>
          <w:p w:rsidR="00CD50DC" w:rsidRPr="00CD50DC" w:rsidRDefault="00CD50DC">
            <w:pPr>
              <w:pStyle w:val="Overskrift1"/>
              <w:tabs>
                <w:tab w:val="left" w:pos="2384"/>
              </w:tabs>
              <w:ind w:left="0"/>
              <w:jc w:val="center"/>
              <w:outlineLvl w:val="0"/>
              <w:rPr>
                <w:rFonts w:ascii="Times New Roman" w:eastAsia="Times New Roman" w:hAnsi="Times New Roman" w:cs="Times New Roman"/>
                <w:sz w:val="14"/>
                <w:szCs w:val="20"/>
              </w:rPr>
            </w:pPr>
            <w:r w:rsidRPr="00CD50DC">
              <w:rPr>
                <w:rFonts w:ascii="Times New Roman" w:hAnsi="Times New Roman" w:cs="Times New Roman"/>
                <w:bCs w:val="0"/>
                <w:lang w:val="de-DE"/>
              </w:rPr>
              <w:t>(n= 387)</w:t>
            </w:r>
          </w:p>
        </w:tc>
        <w:tc>
          <w:tcPr>
            <w:tcW w:w="1396" w:type="dxa"/>
            <w:gridSpan w:val="2"/>
            <w:tcBorders>
              <w:top w:val="nil"/>
              <w:left w:val="nil"/>
              <w:bottom w:val="single" w:sz="4" w:space="0" w:color="auto"/>
              <w:right w:val="nil"/>
            </w:tcBorders>
            <w:hideMark/>
          </w:tcPr>
          <w:p w:rsidR="00CD50DC" w:rsidRPr="00CD50DC" w:rsidRDefault="00CD50DC">
            <w:pPr>
              <w:widowControl/>
              <w:adjustRightInd w:val="0"/>
              <w:jc w:val="center"/>
              <w:rPr>
                <w:rFonts w:ascii="Times New Roman" w:hAnsi="Times New Roman" w:cs="Times New Roman"/>
                <w:b/>
                <w:bCs/>
                <w:sz w:val="20"/>
                <w:szCs w:val="20"/>
                <w:lang w:val="de-DE"/>
              </w:rPr>
            </w:pPr>
            <w:r w:rsidRPr="00CD50DC">
              <w:rPr>
                <w:rFonts w:ascii="Times New Roman" w:hAnsi="Times New Roman" w:cs="Times New Roman"/>
                <w:b/>
                <w:bCs/>
                <w:sz w:val="20"/>
                <w:szCs w:val="20"/>
                <w:lang w:val="de-DE"/>
              </w:rPr>
              <w:t>Accelerated</w:t>
            </w:r>
          </w:p>
          <w:p w:rsidR="00CD50DC" w:rsidRPr="00CD50DC" w:rsidRDefault="00CD50DC">
            <w:pPr>
              <w:pStyle w:val="Overskrift1"/>
              <w:tabs>
                <w:tab w:val="left" w:pos="2384"/>
              </w:tabs>
              <w:ind w:left="0"/>
              <w:jc w:val="center"/>
              <w:outlineLvl w:val="0"/>
              <w:rPr>
                <w:rFonts w:ascii="Times New Roman" w:eastAsia="Times New Roman" w:hAnsi="Times New Roman" w:cs="Times New Roman"/>
                <w:sz w:val="14"/>
                <w:szCs w:val="20"/>
              </w:rPr>
            </w:pPr>
            <w:r w:rsidRPr="00CD50DC">
              <w:rPr>
                <w:rFonts w:ascii="Times New Roman" w:hAnsi="Times New Roman" w:cs="Times New Roman"/>
                <w:bCs w:val="0"/>
                <w:lang w:val="de-DE"/>
              </w:rPr>
              <w:t>(n= 174)</w:t>
            </w:r>
          </w:p>
        </w:tc>
        <w:tc>
          <w:tcPr>
            <w:tcW w:w="1460" w:type="dxa"/>
            <w:gridSpan w:val="2"/>
            <w:tcBorders>
              <w:top w:val="nil"/>
              <w:left w:val="nil"/>
              <w:bottom w:val="single" w:sz="4" w:space="0" w:color="auto"/>
              <w:right w:val="nil"/>
            </w:tcBorders>
            <w:hideMark/>
          </w:tcPr>
          <w:p w:rsidR="00CD50DC" w:rsidRPr="00CD50DC" w:rsidRDefault="00CD50DC">
            <w:pPr>
              <w:widowControl/>
              <w:adjustRightInd w:val="0"/>
              <w:jc w:val="center"/>
              <w:rPr>
                <w:rFonts w:ascii="Times New Roman" w:hAnsi="Times New Roman" w:cs="Times New Roman"/>
                <w:b/>
                <w:bCs/>
                <w:sz w:val="20"/>
                <w:szCs w:val="20"/>
                <w:lang w:val="de-DE"/>
              </w:rPr>
            </w:pPr>
            <w:r w:rsidRPr="00CD50DC">
              <w:rPr>
                <w:rFonts w:ascii="Times New Roman" w:hAnsi="Times New Roman" w:cs="Times New Roman"/>
                <w:b/>
                <w:bCs/>
                <w:sz w:val="20"/>
                <w:szCs w:val="20"/>
                <w:lang w:val="de-DE"/>
              </w:rPr>
              <w:t>Myeloid blast</w:t>
            </w:r>
          </w:p>
          <w:p w:rsidR="00CD50DC" w:rsidRPr="00CD50DC" w:rsidRDefault="00CD50DC">
            <w:pPr>
              <w:pStyle w:val="Overskrift1"/>
              <w:tabs>
                <w:tab w:val="left" w:pos="2384"/>
              </w:tabs>
              <w:ind w:left="0"/>
              <w:jc w:val="center"/>
              <w:outlineLvl w:val="0"/>
              <w:rPr>
                <w:rFonts w:ascii="Times New Roman" w:eastAsia="Times New Roman" w:hAnsi="Times New Roman" w:cs="Times New Roman"/>
                <w:sz w:val="14"/>
                <w:szCs w:val="20"/>
              </w:rPr>
            </w:pPr>
            <w:r w:rsidRPr="00CD50DC">
              <w:rPr>
                <w:rFonts w:ascii="Times New Roman" w:hAnsi="Times New Roman" w:cs="Times New Roman"/>
                <w:bCs w:val="0"/>
                <w:lang w:val="de-DE"/>
              </w:rPr>
              <w:t>(n= 109)</w:t>
            </w:r>
          </w:p>
        </w:tc>
        <w:tc>
          <w:tcPr>
            <w:tcW w:w="1258" w:type="dxa"/>
            <w:gridSpan w:val="2"/>
            <w:tcBorders>
              <w:top w:val="nil"/>
              <w:left w:val="nil"/>
              <w:bottom w:val="single" w:sz="4" w:space="0" w:color="auto"/>
              <w:right w:val="nil"/>
            </w:tcBorders>
            <w:hideMark/>
          </w:tcPr>
          <w:p w:rsidR="00CD50DC" w:rsidRPr="00CD50DC" w:rsidRDefault="00CD50DC">
            <w:pPr>
              <w:widowControl/>
              <w:adjustRightInd w:val="0"/>
              <w:jc w:val="center"/>
              <w:rPr>
                <w:rFonts w:ascii="Times New Roman" w:hAnsi="Times New Roman" w:cs="Times New Roman"/>
                <w:b/>
                <w:bCs/>
                <w:sz w:val="20"/>
                <w:szCs w:val="20"/>
                <w:lang w:val="de-DE"/>
              </w:rPr>
            </w:pPr>
            <w:r w:rsidRPr="00CD50DC">
              <w:rPr>
                <w:rFonts w:ascii="Times New Roman" w:hAnsi="Times New Roman" w:cs="Times New Roman"/>
                <w:b/>
                <w:bCs/>
                <w:sz w:val="20"/>
                <w:szCs w:val="20"/>
                <w:lang w:val="de-DE"/>
              </w:rPr>
              <w:t>blast</w:t>
            </w:r>
          </w:p>
          <w:p w:rsidR="00CD50DC" w:rsidRPr="00CD50DC" w:rsidRDefault="00CD50DC">
            <w:pPr>
              <w:pStyle w:val="Overskrift1"/>
              <w:tabs>
                <w:tab w:val="left" w:pos="2384"/>
              </w:tabs>
              <w:ind w:left="0"/>
              <w:jc w:val="center"/>
              <w:outlineLvl w:val="0"/>
              <w:rPr>
                <w:rFonts w:ascii="Times New Roman" w:eastAsia="Times New Roman" w:hAnsi="Times New Roman" w:cs="Times New Roman"/>
                <w:sz w:val="14"/>
                <w:szCs w:val="20"/>
              </w:rPr>
            </w:pPr>
            <w:r w:rsidRPr="00CD50DC">
              <w:rPr>
                <w:rFonts w:ascii="Times New Roman" w:hAnsi="Times New Roman" w:cs="Times New Roman"/>
                <w:bCs w:val="0"/>
                <w:lang w:val="de-DE"/>
              </w:rPr>
              <w:t>(n= 48)</w:t>
            </w:r>
          </w:p>
        </w:tc>
        <w:tc>
          <w:tcPr>
            <w:tcW w:w="1413" w:type="dxa"/>
            <w:tcBorders>
              <w:top w:val="nil"/>
              <w:left w:val="nil"/>
              <w:bottom w:val="single" w:sz="4" w:space="0" w:color="auto"/>
              <w:right w:val="nil"/>
            </w:tcBorders>
            <w:hideMark/>
          </w:tcPr>
          <w:p w:rsidR="00CD50DC" w:rsidRPr="00CD50DC" w:rsidRDefault="00CD50DC">
            <w:pPr>
              <w:widowControl/>
              <w:adjustRightInd w:val="0"/>
              <w:jc w:val="center"/>
              <w:rPr>
                <w:rFonts w:ascii="Times New Roman" w:hAnsi="Times New Roman" w:cs="Times New Roman"/>
                <w:b/>
                <w:bCs/>
                <w:sz w:val="20"/>
                <w:szCs w:val="20"/>
                <w:lang w:val="de-DE"/>
              </w:rPr>
            </w:pPr>
            <w:r w:rsidRPr="00CD50DC">
              <w:rPr>
                <w:rFonts w:ascii="Times New Roman" w:hAnsi="Times New Roman" w:cs="Times New Roman"/>
                <w:b/>
                <w:bCs/>
                <w:sz w:val="20"/>
                <w:szCs w:val="20"/>
                <w:lang w:val="de-DE"/>
              </w:rPr>
              <w:t>Ph+ ALL</w:t>
            </w:r>
          </w:p>
          <w:p w:rsidR="00CD50DC" w:rsidRPr="00CD50DC" w:rsidRDefault="00CD50DC">
            <w:pPr>
              <w:pStyle w:val="Overskrift1"/>
              <w:tabs>
                <w:tab w:val="left" w:pos="2384"/>
              </w:tabs>
              <w:ind w:left="0"/>
              <w:jc w:val="center"/>
              <w:outlineLvl w:val="0"/>
              <w:rPr>
                <w:rFonts w:ascii="Times New Roman" w:eastAsia="Times New Roman" w:hAnsi="Times New Roman" w:cs="Times New Roman"/>
                <w:sz w:val="14"/>
                <w:szCs w:val="20"/>
              </w:rPr>
            </w:pPr>
            <w:r w:rsidRPr="00CD50DC">
              <w:rPr>
                <w:rFonts w:ascii="Times New Roman" w:hAnsi="Times New Roman" w:cs="Times New Roman"/>
                <w:bCs w:val="0"/>
                <w:lang w:val="de-DE"/>
              </w:rPr>
              <w:t>(n= 46)</w:t>
            </w:r>
          </w:p>
        </w:tc>
      </w:tr>
      <w:tr w:rsidR="00CD50DC" w:rsidRPr="00CD50DC" w:rsidTr="00CD50DC">
        <w:tc>
          <w:tcPr>
            <w:tcW w:w="8791" w:type="dxa"/>
            <w:gridSpan w:val="11"/>
            <w:tcBorders>
              <w:top w:val="single" w:sz="4" w:space="0" w:color="auto"/>
              <w:left w:val="nil"/>
              <w:bottom w:val="single" w:sz="4" w:space="0" w:color="auto"/>
              <w:right w:val="nil"/>
            </w:tcBorders>
            <w:hideMark/>
          </w:tcPr>
          <w:p w:rsidR="00CD50DC" w:rsidRPr="00CD50DC" w:rsidRDefault="00CD50DC">
            <w:pPr>
              <w:pStyle w:val="Brdtekst"/>
              <w:kinsoku w:val="0"/>
              <w:overflowPunct w:val="0"/>
              <w:spacing w:after="60"/>
              <w:rPr>
                <w:rFonts w:ascii="Times New Roman" w:hAnsi="Times New Roman" w:cs="Times New Roman"/>
                <w:b/>
                <w:bCs/>
                <w:lang w:val="de-DE"/>
              </w:rPr>
            </w:pPr>
            <w:r w:rsidRPr="00CD50DC">
              <w:rPr>
                <w:rFonts w:ascii="Times New Roman" w:hAnsi="Times New Roman" w:cs="Times New Roman"/>
                <w:b/>
                <w:bCs/>
                <w:lang w:val="de-DE"/>
              </w:rPr>
              <w:t>Haematologic response rate</w:t>
            </w:r>
            <w:r w:rsidRPr="00CD50DC">
              <w:rPr>
                <w:rFonts w:ascii="Times New Roman" w:hAnsi="Times New Roman" w:cs="Times New Roman"/>
                <w:b/>
                <w:bCs/>
                <w:vertAlign w:val="superscript"/>
                <w:lang w:val="de-DE"/>
              </w:rPr>
              <w:t>b</w:t>
            </w:r>
            <w:r w:rsidRPr="00CD50DC">
              <w:rPr>
                <w:rFonts w:ascii="Times New Roman" w:hAnsi="Times New Roman" w:cs="Times New Roman"/>
                <w:b/>
                <w:bCs/>
                <w:lang w:val="de-DE"/>
              </w:rPr>
              <w:t xml:space="preserve"> (%)</w:t>
            </w:r>
          </w:p>
        </w:tc>
      </w:tr>
      <w:tr w:rsidR="00CD50DC" w:rsidRPr="00CD50DC" w:rsidTr="00CD50DC">
        <w:tc>
          <w:tcPr>
            <w:tcW w:w="1905" w:type="dxa"/>
            <w:gridSpan w:val="2"/>
            <w:tcBorders>
              <w:top w:val="single" w:sz="4" w:space="0" w:color="auto"/>
              <w:left w:val="nil"/>
              <w:bottom w:val="nil"/>
              <w:right w:val="nil"/>
            </w:tcBorders>
            <w:hideMark/>
          </w:tcPr>
          <w:p w:rsidR="00CD50DC" w:rsidRPr="00CD50DC" w:rsidRDefault="00CD50DC">
            <w:pPr>
              <w:pStyle w:val="Brdtekst"/>
              <w:kinsoku w:val="0"/>
              <w:overflowPunct w:val="0"/>
              <w:spacing w:line="314" w:lineRule="exact"/>
              <w:rPr>
                <w:rFonts w:ascii="Times New Roman" w:hAnsi="Times New Roman" w:cs="Times New Roman"/>
                <w:bCs/>
                <w:lang w:val="de-DE"/>
              </w:rPr>
            </w:pPr>
            <w:r w:rsidRPr="00CD50DC">
              <w:rPr>
                <w:rFonts w:ascii="Times New Roman" w:hAnsi="Times New Roman" w:cs="Times New Roman"/>
                <w:lang w:val="de-DE"/>
              </w:rPr>
              <w:t>MaHR (95% CI)</w:t>
            </w:r>
          </w:p>
        </w:tc>
        <w:tc>
          <w:tcPr>
            <w:tcW w:w="1359" w:type="dxa"/>
            <w:gridSpan w:val="2"/>
            <w:tcBorders>
              <w:top w:val="single" w:sz="4" w:space="0" w:color="auto"/>
              <w:left w:val="nil"/>
              <w:bottom w:val="nil"/>
              <w:right w:val="nil"/>
            </w:tcBorders>
            <w:hideMark/>
          </w:tcPr>
          <w:p w:rsidR="00CD50DC" w:rsidRPr="00CD50DC" w:rsidRDefault="00CD50DC">
            <w:pPr>
              <w:widowControl/>
              <w:adjustRightInd w:val="0"/>
              <w:jc w:val="center"/>
              <w:rPr>
                <w:rFonts w:ascii="Times New Roman" w:hAnsi="Times New Roman" w:cs="Times New Roman"/>
                <w:b/>
                <w:bCs/>
                <w:sz w:val="20"/>
                <w:szCs w:val="20"/>
                <w:lang w:val="de-DE"/>
              </w:rPr>
            </w:pPr>
            <w:r w:rsidRPr="00CD50DC">
              <w:rPr>
                <w:rFonts w:ascii="Times New Roman" w:hAnsi="Times New Roman" w:cs="Times New Roman"/>
                <w:sz w:val="20"/>
                <w:szCs w:val="20"/>
                <w:lang w:val="de-DE"/>
              </w:rPr>
              <w:t>n/a</w:t>
            </w:r>
          </w:p>
        </w:tc>
        <w:tc>
          <w:tcPr>
            <w:tcW w:w="1396" w:type="dxa"/>
            <w:gridSpan w:val="2"/>
            <w:tcBorders>
              <w:top w:val="single" w:sz="4" w:space="0" w:color="auto"/>
              <w:left w:val="nil"/>
              <w:bottom w:val="nil"/>
              <w:right w:val="nil"/>
            </w:tcBorders>
            <w:hideMark/>
          </w:tcPr>
          <w:p w:rsidR="00CD50DC" w:rsidRPr="00CD50DC" w:rsidRDefault="00CD50DC">
            <w:pPr>
              <w:widowControl/>
              <w:adjustRightInd w:val="0"/>
              <w:jc w:val="center"/>
              <w:rPr>
                <w:rFonts w:ascii="Times New Roman" w:hAnsi="Times New Roman" w:cs="Times New Roman"/>
                <w:b/>
                <w:bCs/>
                <w:sz w:val="20"/>
                <w:szCs w:val="20"/>
                <w:lang w:val="de-DE"/>
              </w:rPr>
            </w:pPr>
            <w:r w:rsidRPr="00CD50DC">
              <w:rPr>
                <w:rFonts w:ascii="Times New Roman" w:hAnsi="Times New Roman" w:cs="Times New Roman"/>
                <w:b/>
                <w:bCs/>
                <w:sz w:val="20"/>
                <w:szCs w:val="20"/>
                <w:lang w:val="de-DE"/>
              </w:rPr>
              <w:t>64% (57-72)</w:t>
            </w:r>
          </w:p>
        </w:tc>
        <w:tc>
          <w:tcPr>
            <w:tcW w:w="1359" w:type="dxa"/>
            <w:tcBorders>
              <w:top w:val="single" w:sz="4" w:space="0" w:color="auto"/>
              <w:left w:val="nil"/>
              <w:bottom w:val="nil"/>
              <w:right w:val="nil"/>
            </w:tcBorders>
            <w:hideMark/>
          </w:tcPr>
          <w:p w:rsidR="00CD50DC" w:rsidRPr="00CD50DC" w:rsidRDefault="00CD50DC">
            <w:pPr>
              <w:widowControl/>
              <w:adjustRightInd w:val="0"/>
              <w:jc w:val="center"/>
              <w:rPr>
                <w:rFonts w:ascii="Times New Roman" w:hAnsi="Times New Roman" w:cs="Times New Roman"/>
                <w:b/>
                <w:bCs/>
                <w:sz w:val="20"/>
                <w:szCs w:val="20"/>
                <w:lang w:val="de-DE"/>
              </w:rPr>
            </w:pPr>
            <w:r w:rsidRPr="00CD50DC">
              <w:rPr>
                <w:rFonts w:ascii="Times New Roman" w:hAnsi="Times New Roman" w:cs="Times New Roman"/>
                <w:b/>
                <w:bCs/>
                <w:sz w:val="20"/>
                <w:szCs w:val="20"/>
                <w:lang w:val="de-DE"/>
              </w:rPr>
              <w:t>33% (24-43)</w:t>
            </w:r>
          </w:p>
        </w:tc>
        <w:tc>
          <w:tcPr>
            <w:tcW w:w="1359" w:type="dxa"/>
            <w:gridSpan w:val="3"/>
            <w:tcBorders>
              <w:top w:val="single" w:sz="4" w:space="0" w:color="auto"/>
              <w:left w:val="nil"/>
              <w:bottom w:val="nil"/>
              <w:right w:val="nil"/>
            </w:tcBorders>
            <w:hideMark/>
          </w:tcPr>
          <w:p w:rsidR="00CD50DC" w:rsidRPr="00CD50DC" w:rsidRDefault="00CD50DC">
            <w:pPr>
              <w:widowControl/>
              <w:adjustRightInd w:val="0"/>
              <w:jc w:val="center"/>
              <w:rPr>
                <w:rFonts w:ascii="Times New Roman" w:hAnsi="Times New Roman" w:cs="Times New Roman"/>
                <w:b/>
                <w:bCs/>
                <w:sz w:val="20"/>
                <w:szCs w:val="20"/>
                <w:lang w:val="de-DE"/>
              </w:rPr>
            </w:pPr>
            <w:r w:rsidRPr="00CD50DC">
              <w:rPr>
                <w:rFonts w:ascii="Times New Roman" w:hAnsi="Times New Roman" w:cs="Times New Roman"/>
                <w:b/>
                <w:bCs/>
                <w:sz w:val="20"/>
                <w:szCs w:val="20"/>
                <w:lang w:val="de-DE"/>
              </w:rPr>
              <w:t>35% (22-51)</w:t>
            </w:r>
          </w:p>
        </w:tc>
        <w:tc>
          <w:tcPr>
            <w:tcW w:w="1413" w:type="dxa"/>
            <w:tcBorders>
              <w:top w:val="single" w:sz="4" w:space="0" w:color="auto"/>
              <w:left w:val="nil"/>
              <w:bottom w:val="nil"/>
              <w:right w:val="nil"/>
            </w:tcBorders>
            <w:hideMark/>
          </w:tcPr>
          <w:p w:rsidR="00CD50DC" w:rsidRPr="00CD50DC" w:rsidRDefault="00CD50DC">
            <w:pPr>
              <w:widowControl/>
              <w:adjustRightInd w:val="0"/>
              <w:jc w:val="center"/>
              <w:rPr>
                <w:rFonts w:ascii="Times New Roman" w:hAnsi="Times New Roman" w:cs="Times New Roman"/>
                <w:b/>
                <w:bCs/>
                <w:sz w:val="20"/>
                <w:szCs w:val="20"/>
                <w:lang w:val="de-DE"/>
              </w:rPr>
            </w:pPr>
            <w:r w:rsidRPr="00CD50DC">
              <w:rPr>
                <w:rFonts w:ascii="Times New Roman" w:hAnsi="Times New Roman" w:cs="Times New Roman"/>
                <w:b/>
                <w:bCs/>
                <w:sz w:val="20"/>
                <w:szCs w:val="20"/>
                <w:lang w:val="de-DE"/>
              </w:rPr>
              <w:t>41% (27-57)</w:t>
            </w:r>
          </w:p>
        </w:tc>
      </w:tr>
      <w:tr w:rsidR="00CD50DC" w:rsidRPr="00CD50DC" w:rsidTr="00CD50DC">
        <w:tc>
          <w:tcPr>
            <w:tcW w:w="1905" w:type="dxa"/>
            <w:gridSpan w:val="2"/>
            <w:tcBorders>
              <w:top w:val="nil"/>
              <w:left w:val="nil"/>
              <w:bottom w:val="nil"/>
              <w:right w:val="nil"/>
            </w:tcBorders>
            <w:hideMark/>
          </w:tcPr>
          <w:p w:rsidR="00CD50DC" w:rsidRPr="00CD50DC" w:rsidRDefault="00CD50DC">
            <w:pPr>
              <w:pStyle w:val="Brdtekst"/>
              <w:kinsoku w:val="0"/>
              <w:overflowPunct w:val="0"/>
              <w:spacing w:line="314" w:lineRule="exact"/>
              <w:ind w:left="397"/>
              <w:rPr>
                <w:rFonts w:ascii="Times New Roman" w:hAnsi="Times New Roman" w:cs="Times New Roman"/>
                <w:szCs w:val="20"/>
                <w:lang w:val="de-DE"/>
              </w:rPr>
            </w:pPr>
            <w:r w:rsidRPr="00CD50DC">
              <w:rPr>
                <w:rFonts w:ascii="Times New Roman" w:hAnsi="Times New Roman" w:cs="Times New Roman"/>
                <w:lang w:val="de-DE"/>
              </w:rPr>
              <w:t>CHR (95% CI)</w:t>
            </w:r>
          </w:p>
        </w:tc>
        <w:tc>
          <w:tcPr>
            <w:tcW w:w="1359" w:type="dxa"/>
            <w:gridSpan w:val="2"/>
            <w:tcBorders>
              <w:top w:val="nil"/>
              <w:left w:val="nil"/>
              <w:bottom w:val="nil"/>
              <w:right w:val="nil"/>
            </w:tcBorders>
            <w:hideMark/>
          </w:tcPr>
          <w:p w:rsidR="00CD50DC" w:rsidRPr="00CD50DC" w:rsidRDefault="00CD50DC">
            <w:pPr>
              <w:widowControl/>
              <w:adjustRightInd w:val="0"/>
              <w:jc w:val="center"/>
              <w:rPr>
                <w:rFonts w:ascii="Times New Roman" w:hAnsi="Times New Roman" w:cs="Times New Roman"/>
                <w:sz w:val="20"/>
                <w:szCs w:val="20"/>
                <w:lang w:val="de-DE"/>
              </w:rPr>
            </w:pPr>
            <w:r w:rsidRPr="00CD50DC">
              <w:rPr>
                <w:rFonts w:ascii="Times New Roman" w:hAnsi="Times New Roman" w:cs="Times New Roman"/>
                <w:b/>
                <w:bCs/>
                <w:sz w:val="20"/>
                <w:szCs w:val="20"/>
                <w:lang w:val="de-DE"/>
              </w:rPr>
              <w:t>91% (88-94)</w:t>
            </w:r>
          </w:p>
        </w:tc>
        <w:tc>
          <w:tcPr>
            <w:tcW w:w="1396" w:type="dxa"/>
            <w:gridSpan w:val="2"/>
            <w:tcBorders>
              <w:top w:val="nil"/>
              <w:left w:val="nil"/>
              <w:bottom w:val="nil"/>
              <w:right w:val="nil"/>
            </w:tcBorders>
            <w:hideMark/>
          </w:tcPr>
          <w:p w:rsidR="00CD50DC" w:rsidRPr="00CD50DC" w:rsidRDefault="00CD50DC">
            <w:pPr>
              <w:widowControl/>
              <w:adjustRightInd w:val="0"/>
              <w:jc w:val="center"/>
              <w:rPr>
                <w:rFonts w:ascii="Times New Roman" w:hAnsi="Times New Roman" w:cs="Times New Roman"/>
                <w:b/>
                <w:bCs/>
                <w:sz w:val="20"/>
                <w:szCs w:val="20"/>
                <w:lang w:val="de-DE"/>
              </w:rPr>
            </w:pPr>
            <w:r w:rsidRPr="00CD50DC">
              <w:rPr>
                <w:rFonts w:ascii="Times New Roman" w:hAnsi="Times New Roman" w:cs="Times New Roman"/>
                <w:sz w:val="20"/>
                <w:szCs w:val="20"/>
                <w:lang w:val="de-DE"/>
              </w:rPr>
              <w:t>50% (42-58)</w:t>
            </w:r>
          </w:p>
        </w:tc>
        <w:tc>
          <w:tcPr>
            <w:tcW w:w="1359" w:type="dxa"/>
            <w:tcBorders>
              <w:top w:val="nil"/>
              <w:left w:val="nil"/>
              <w:bottom w:val="nil"/>
              <w:right w:val="nil"/>
            </w:tcBorders>
            <w:hideMark/>
          </w:tcPr>
          <w:p w:rsidR="00CD50DC" w:rsidRPr="00CD50DC" w:rsidRDefault="00CD50DC">
            <w:pPr>
              <w:widowControl/>
              <w:adjustRightInd w:val="0"/>
              <w:jc w:val="center"/>
              <w:rPr>
                <w:rFonts w:ascii="Times New Roman" w:hAnsi="Times New Roman" w:cs="Times New Roman"/>
                <w:b/>
                <w:bCs/>
                <w:sz w:val="20"/>
                <w:szCs w:val="20"/>
                <w:lang w:val="de-DE"/>
              </w:rPr>
            </w:pPr>
            <w:r w:rsidRPr="00CD50DC">
              <w:rPr>
                <w:rFonts w:ascii="Times New Roman" w:hAnsi="Times New Roman" w:cs="Times New Roman"/>
                <w:sz w:val="20"/>
                <w:szCs w:val="20"/>
                <w:lang w:val="de-DE"/>
              </w:rPr>
              <w:t>26% (18-35)</w:t>
            </w:r>
          </w:p>
        </w:tc>
        <w:tc>
          <w:tcPr>
            <w:tcW w:w="1359" w:type="dxa"/>
            <w:gridSpan w:val="3"/>
            <w:tcBorders>
              <w:top w:val="nil"/>
              <w:left w:val="nil"/>
              <w:bottom w:val="nil"/>
              <w:right w:val="nil"/>
            </w:tcBorders>
            <w:hideMark/>
          </w:tcPr>
          <w:p w:rsidR="00CD50DC" w:rsidRPr="00CD50DC" w:rsidRDefault="00CD50DC">
            <w:pPr>
              <w:widowControl/>
              <w:adjustRightInd w:val="0"/>
              <w:jc w:val="center"/>
              <w:rPr>
                <w:rFonts w:ascii="Times New Roman" w:hAnsi="Times New Roman" w:cs="Times New Roman"/>
                <w:b/>
                <w:bCs/>
                <w:sz w:val="20"/>
                <w:szCs w:val="20"/>
                <w:lang w:val="de-DE"/>
              </w:rPr>
            </w:pPr>
            <w:r w:rsidRPr="00CD50DC">
              <w:rPr>
                <w:rFonts w:ascii="Times New Roman" w:hAnsi="Times New Roman" w:cs="Times New Roman"/>
                <w:sz w:val="20"/>
                <w:szCs w:val="20"/>
                <w:lang w:val="de-DE"/>
              </w:rPr>
              <w:t>29% (17-44)</w:t>
            </w:r>
          </w:p>
        </w:tc>
        <w:tc>
          <w:tcPr>
            <w:tcW w:w="1413" w:type="dxa"/>
            <w:tcBorders>
              <w:top w:val="nil"/>
              <w:left w:val="nil"/>
              <w:bottom w:val="nil"/>
              <w:right w:val="nil"/>
            </w:tcBorders>
            <w:hideMark/>
          </w:tcPr>
          <w:p w:rsidR="00CD50DC" w:rsidRPr="00CD50DC" w:rsidRDefault="00CD50DC">
            <w:pPr>
              <w:widowControl/>
              <w:adjustRightInd w:val="0"/>
              <w:jc w:val="center"/>
              <w:rPr>
                <w:rFonts w:ascii="Times New Roman" w:hAnsi="Times New Roman" w:cs="Times New Roman"/>
                <w:b/>
                <w:bCs/>
                <w:sz w:val="20"/>
                <w:szCs w:val="20"/>
                <w:lang w:val="de-DE"/>
              </w:rPr>
            </w:pPr>
            <w:r w:rsidRPr="00CD50DC">
              <w:rPr>
                <w:rFonts w:ascii="Times New Roman" w:hAnsi="Times New Roman" w:cs="Times New Roman"/>
                <w:sz w:val="20"/>
                <w:szCs w:val="20"/>
                <w:lang w:val="de-DE"/>
              </w:rPr>
              <w:t>35% (21-50)</w:t>
            </w:r>
          </w:p>
        </w:tc>
      </w:tr>
      <w:tr w:rsidR="00CD50DC" w:rsidRPr="00CD50DC" w:rsidTr="00CD50DC">
        <w:tc>
          <w:tcPr>
            <w:tcW w:w="1905" w:type="dxa"/>
            <w:gridSpan w:val="2"/>
            <w:tcBorders>
              <w:top w:val="nil"/>
              <w:left w:val="nil"/>
              <w:bottom w:val="nil"/>
              <w:right w:val="nil"/>
            </w:tcBorders>
            <w:hideMark/>
          </w:tcPr>
          <w:p w:rsidR="00CD50DC" w:rsidRPr="00CD50DC" w:rsidRDefault="00CD50DC">
            <w:pPr>
              <w:pStyle w:val="Brdtekst"/>
              <w:kinsoku w:val="0"/>
              <w:overflowPunct w:val="0"/>
              <w:spacing w:line="314" w:lineRule="exact"/>
              <w:ind w:left="397"/>
              <w:rPr>
                <w:rFonts w:ascii="Times New Roman" w:hAnsi="Times New Roman" w:cs="Times New Roman"/>
                <w:szCs w:val="20"/>
                <w:lang w:val="de-DE"/>
              </w:rPr>
            </w:pPr>
            <w:r w:rsidRPr="00CD50DC">
              <w:rPr>
                <w:rFonts w:ascii="Times New Roman" w:hAnsi="Times New Roman" w:cs="Times New Roman"/>
                <w:lang w:val="de-DE"/>
              </w:rPr>
              <w:t>NEL (95% CI)</w:t>
            </w:r>
          </w:p>
        </w:tc>
        <w:tc>
          <w:tcPr>
            <w:tcW w:w="1359" w:type="dxa"/>
            <w:gridSpan w:val="2"/>
            <w:tcBorders>
              <w:top w:val="nil"/>
              <w:left w:val="nil"/>
              <w:bottom w:val="nil"/>
              <w:right w:val="nil"/>
            </w:tcBorders>
            <w:hideMark/>
          </w:tcPr>
          <w:p w:rsidR="00CD50DC" w:rsidRPr="00CD50DC" w:rsidRDefault="00CD50DC">
            <w:pPr>
              <w:widowControl/>
              <w:adjustRightInd w:val="0"/>
              <w:jc w:val="center"/>
              <w:rPr>
                <w:rFonts w:ascii="Times New Roman" w:hAnsi="Times New Roman" w:cs="Times New Roman"/>
                <w:sz w:val="20"/>
                <w:szCs w:val="20"/>
                <w:lang w:val="de-DE"/>
              </w:rPr>
            </w:pPr>
            <w:r w:rsidRPr="00CD50DC">
              <w:rPr>
                <w:rFonts w:ascii="Times New Roman" w:hAnsi="Times New Roman" w:cs="Times New Roman"/>
                <w:sz w:val="20"/>
                <w:szCs w:val="20"/>
                <w:lang w:val="de-DE"/>
              </w:rPr>
              <w:t>n/a</w:t>
            </w:r>
          </w:p>
        </w:tc>
        <w:tc>
          <w:tcPr>
            <w:tcW w:w="1396" w:type="dxa"/>
            <w:gridSpan w:val="2"/>
            <w:tcBorders>
              <w:top w:val="nil"/>
              <w:left w:val="nil"/>
              <w:bottom w:val="nil"/>
              <w:right w:val="nil"/>
            </w:tcBorders>
            <w:hideMark/>
          </w:tcPr>
          <w:p w:rsidR="00CD50DC" w:rsidRPr="00CD50DC" w:rsidRDefault="00CD50DC">
            <w:pPr>
              <w:widowControl/>
              <w:adjustRightInd w:val="0"/>
              <w:jc w:val="center"/>
              <w:rPr>
                <w:rFonts w:ascii="Times New Roman" w:hAnsi="Times New Roman" w:cs="Times New Roman"/>
                <w:b/>
                <w:bCs/>
                <w:sz w:val="20"/>
                <w:szCs w:val="20"/>
                <w:lang w:val="de-DE"/>
              </w:rPr>
            </w:pPr>
            <w:r w:rsidRPr="00CD50DC">
              <w:rPr>
                <w:rFonts w:ascii="Times New Roman" w:hAnsi="Times New Roman" w:cs="Times New Roman"/>
                <w:sz w:val="20"/>
                <w:szCs w:val="20"/>
                <w:lang w:val="de-DE"/>
              </w:rPr>
              <w:t>14% (10-21)</w:t>
            </w:r>
          </w:p>
        </w:tc>
        <w:tc>
          <w:tcPr>
            <w:tcW w:w="1359" w:type="dxa"/>
            <w:tcBorders>
              <w:top w:val="nil"/>
              <w:left w:val="nil"/>
              <w:bottom w:val="nil"/>
              <w:right w:val="nil"/>
            </w:tcBorders>
            <w:hideMark/>
          </w:tcPr>
          <w:p w:rsidR="00CD50DC" w:rsidRPr="00CD50DC" w:rsidRDefault="00CD50DC">
            <w:pPr>
              <w:widowControl/>
              <w:adjustRightInd w:val="0"/>
              <w:jc w:val="center"/>
              <w:rPr>
                <w:rFonts w:ascii="Times New Roman" w:hAnsi="Times New Roman" w:cs="Times New Roman"/>
                <w:b/>
                <w:bCs/>
                <w:sz w:val="20"/>
                <w:szCs w:val="20"/>
                <w:lang w:val="de-DE"/>
              </w:rPr>
            </w:pPr>
            <w:r w:rsidRPr="00CD50DC">
              <w:rPr>
                <w:rFonts w:ascii="Times New Roman" w:hAnsi="Times New Roman" w:cs="Times New Roman"/>
                <w:sz w:val="20"/>
                <w:szCs w:val="20"/>
                <w:lang w:val="de-DE"/>
              </w:rPr>
              <w:t>7% (3-14)</w:t>
            </w:r>
          </w:p>
        </w:tc>
        <w:tc>
          <w:tcPr>
            <w:tcW w:w="1359" w:type="dxa"/>
            <w:gridSpan w:val="3"/>
            <w:tcBorders>
              <w:top w:val="nil"/>
              <w:left w:val="nil"/>
              <w:bottom w:val="nil"/>
              <w:right w:val="nil"/>
            </w:tcBorders>
            <w:hideMark/>
          </w:tcPr>
          <w:p w:rsidR="00CD50DC" w:rsidRPr="00CD50DC" w:rsidRDefault="00CD50DC">
            <w:pPr>
              <w:widowControl/>
              <w:adjustRightInd w:val="0"/>
              <w:jc w:val="center"/>
              <w:rPr>
                <w:rFonts w:ascii="Times New Roman" w:hAnsi="Times New Roman" w:cs="Times New Roman"/>
                <w:b/>
                <w:bCs/>
                <w:sz w:val="20"/>
                <w:szCs w:val="20"/>
                <w:lang w:val="de-DE"/>
              </w:rPr>
            </w:pPr>
            <w:r w:rsidRPr="00CD50DC">
              <w:rPr>
                <w:rFonts w:ascii="Times New Roman" w:hAnsi="Times New Roman" w:cs="Times New Roman"/>
                <w:sz w:val="20"/>
                <w:szCs w:val="20"/>
                <w:lang w:val="de-DE"/>
              </w:rPr>
              <w:t>6% (1-17)</w:t>
            </w:r>
          </w:p>
        </w:tc>
        <w:tc>
          <w:tcPr>
            <w:tcW w:w="1413" w:type="dxa"/>
            <w:tcBorders>
              <w:top w:val="nil"/>
              <w:left w:val="nil"/>
              <w:bottom w:val="nil"/>
              <w:right w:val="nil"/>
            </w:tcBorders>
            <w:hideMark/>
          </w:tcPr>
          <w:p w:rsidR="00CD50DC" w:rsidRPr="00CD50DC" w:rsidRDefault="00CD50DC">
            <w:pPr>
              <w:widowControl/>
              <w:adjustRightInd w:val="0"/>
              <w:jc w:val="center"/>
              <w:rPr>
                <w:rFonts w:ascii="Times New Roman" w:hAnsi="Times New Roman" w:cs="Times New Roman"/>
                <w:b/>
                <w:bCs/>
                <w:sz w:val="20"/>
                <w:szCs w:val="20"/>
                <w:lang w:val="de-DE"/>
              </w:rPr>
            </w:pPr>
            <w:r w:rsidRPr="00CD50DC">
              <w:rPr>
                <w:rFonts w:ascii="Times New Roman" w:hAnsi="Times New Roman" w:cs="Times New Roman"/>
                <w:sz w:val="20"/>
                <w:szCs w:val="20"/>
                <w:lang w:val="de-DE"/>
              </w:rPr>
              <w:t>7% (1-18)</w:t>
            </w:r>
          </w:p>
        </w:tc>
      </w:tr>
      <w:tr w:rsidR="00CD50DC" w:rsidRPr="00F430C7" w:rsidTr="00CD50DC">
        <w:tc>
          <w:tcPr>
            <w:tcW w:w="8791" w:type="dxa"/>
            <w:gridSpan w:val="11"/>
            <w:tcBorders>
              <w:top w:val="nil"/>
              <w:left w:val="nil"/>
              <w:bottom w:val="nil"/>
              <w:right w:val="nil"/>
            </w:tcBorders>
            <w:hideMark/>
          </w:tcPr>
          <w:p w:rsidR="00CD50DC" w:rsidRPr="00CD50DC" w:rsidRDefault="00CD50DC">
            <w:pPr>
              <w:widowControl/>
              <w:adjustRightInd w:val="0"/>
              <w:spacing w:after="40"/>
              <w:rPr>
                <w:rFonts w:ascii="Times New Roman" w:hAnsi="Times New Roman" w:cs="Times New Roman"/>
                <w:sz w:val="20"/>
                <w:szCs w:val="20"/>
                <w:lang w:val="de-DE"/>
              </w:rPr>
            </w:pPr>
            <w:r w:rsidRPr="00CD50DC">
              <w:rPr>
                <w:rFonts w:ascii="Times New Roman" w:hAnsi="Times New Roman" w:cs="Times New Roman"/>
                <w:sz w:val="20"/>
                <w:szCs w:val="20"/>
                <w:lang w:val="de-DE"/>
              </w:rPr>
              <w:t>Duration of MaHR (%; Kaplan-Meier estimates)</w:t>
            </w:r>
          </w:p>
        </w:tc>
      </w:tr>
      <w:tr w:rsidR="00CD50DC" w:rsidRPr="00CD50DC" w:rsidTr="00CD50DC">
        <w:tc>
          <w:tcPr>
            <w:tcW w:w="1905" w:type="dxa"/>
            <w:gridSpan w:val="2"/>
            <w:tcBorders>
              <w:top w:val="nil"/>
              <w:left w:val="nil"/>
              <w:bottom w:val="nil"/>
              <w:right w:val="nil"/>
            </w:tcBorders>
            <w:hideMark/>
          </w:tcPr>
          <w:p w:rsidR="00CD50DC" w:rsidRPr="00CD50DC" w:rsidRDefault="00CD50DC">
            <w:pPr>
              <w:widowControl/>
              <w:adjustRightInd w:val="0"/>
              <w:spacing w:after="60"/>
              <w:ind w:left="397"/>
              <w:rPr>
                <w:rFonts w:ascii="Times New Roman" w:hAnsi="Times New Roman" w:cs="Times New Roman"/>
                <w:sz w:val="20"/>
                <w:szCs w:val="20"/>
                <w:lang w:val="de-DE"/>
              </w:rPr>
            </w:pPr>
            <w:r w:rsidRPr="00CD50DC">
              <w:rPr>
                <w:rFonts w:ascii="Times New Roman" w:hAnsi="Times New Roman" w:cs="Times New Roman"/>
                <w:sz w:val="20"/>
                <w:szCs w:val="20"/>
                <w:lang w:val="de-DE"/>
              </w:rPr>
              <w:t>1 year</w:t>
            </w:r>
          </w:p>
        </w:tc>
        <w:tc>
          <w:tcPr>
            <w:tcW w:w="1359" w:type="dxa"/>
            <w:gridSpan w:val="2"/>
            <w:tcBorders>
              <w:top w:val="nil"/>
              <w:left w:val="nil"/>
              <w:bottom w:val="nil"/>
              <w:right w:val="nil"/>
            </w:tcBorders>
            <w:hideMark/>
          </w:tcPr>
          <w:p w:rsidR="00CD50DC" w:rsidRPr="00CD50DC" w:rsidRDefault="00CD50DC">
            <w:pPr>
              <w:widowControl/>
              <w:adjustRightInd w:val="0"/>
              <w:spacing w:after="60"/>
              <w:jc w:val="center"/>
              <w:rPr>
                <w:rFonts w:ascii="Times New Roman" w:hAnsi="Times New Roman" w:cs="Times New Roman"/>
                <w:sz w:val="20"/>
                <w:szCs w:val="20"/>
                <w:lang w:val="de-DE"/>
              </w:rPr>
            </w:pPr>
            <w:r w:rsidRPr="00CD50DC">
              <w:rPr>
                <w:rFonts w:ascii="Times New Roman" w:hAnsi="Times New Roman" w:cs="Times New Roman"/>
                <w:sz w:val="20"/>
                <w:szCs w:val="20"/>
                <w:lang w:val="de-DE"/>
              </w:rPr>
              <w:t>n/a</w:t>
            </w:r>
          </w:p>
        </w:tc>
        <w:tc>
          <w:tcPr>
            <w:tcW w:w="1396" w:type="dxa"/>
            <w:gridSpan w:val="2"/>
            <w:tcBorders>
              <w:top w:val="nil"/>
              <w:left w:val="nil"/>
              <w:bottom w:val="nil"/>
              <w:right w:val="nil"/>
            </w:tcBorders>
            <w:hideMark/>
          </w:tcPr>
          <w:p w:rsidR="00CD50DC" w:rsidRPr="00CD50DC" w:rsidRDefault="00CD50DC">
            <w:pPr>
              <w:widowControl/>
              <w:adjustRightInd w:val="0"/>
              <w:spacing w:after="60"/>
              <w:ind w:left="119"/>
              <w:jc w:val="center"/>
              <w:rPr>
                <w:rFonts w:ascii="Times New Roman" w:hAnsi="Times New Roman" w:cs="Times New Roman"/>
                <w:sz w:val="20"/>
                <w:szCs w:val="20"/>
                <w:lang w:val="de-DE"/>
              </w:rPr>
            </w:pPr>
            <w:r w:rsidRPr="00CD50DC">
              <w:rPr>
                <w:rFonts w:ascii="Times New Roman" w:hAnsi="Times New Roman" w:cs="Times New Roman"/>
                <w:sz w:val="20"/>
                <w:szCs w:val="20"/>
                <w:lang w:val="de-DE"/>
              </w:rPr>
              <w:t>79% (71-87)</w:t>
            </w:r>
          </w:p>
        </w:tc>
        <w:tc>
          <w:tcPr>
            <w:tcW w:w="1359" w:type="dxa"/>
            <w:tcBorders>
              <w:top w:val="nil"/>
              <w:left w:val="nil"/>
              <w:bottom w:val="nil"/>
              <w:right w:val="nil"/>
            </w:tcBorders>
            <w:hideMark/>
          </w:tcPr>
          <w:p w:rsidR="00CD50DC" w:rsidRPr="00CD50DC" w:rsidRDefault="00CD50DC">
            <w:pPr>
              <w:widowControl/>
              <w:adjustRightInd w:val="0"/>
              <w:spacing w:after="60"/>
              <w:ind w:left="119"/>
              <w:jc w:val="center"/>
              <w:rPr>
                <w:rFonts w:ascii="Times New Roman" w:hAnsi="Times New Roman" w:cs="Times New Roman"/>
                <w:sz w:val="20"/>
                <w:szCs w:val="20"/>
                <w:lang w:val="de-DE"/>
              </w:rPr>
            </w:pPr>
            <w:r w:rsidRPr="00CD50DC">
              <w:rPr>
                <w:rFonts w:ascii="Times New Roman" w:hAnsi="Times New Roman" w:cs="Times New Roman"/>
                <w:sz w:val="20"/>
                <w:szCs w:val="20"/>
                <w:lang w:val="de-DE"/>
              </w:rPr>
              <w:t>71% (55-87)</w:t>
            </w:r>
          </w:p>
        </w:tc>
        <w:tc>
          <w:tcPr>
            <w:tcW w:w="1340" w:type="dxa"/>
            <w:gridSpan w:val="2"/>
            <w:tcBorders>
              <w:top w:val="nil"/>
              <w:left w:val="nil"/>
              <w:bottom w:val="nil"/>
              <w:right w:val="nil"/>
            </w:tcBorders>
            <w:hideMark/>
          </w:tcPr>
          <w:p w:rsidR="00CD50DC" w:rsidRPr="00CD50DC" w:rsidRDefault="00CD50DC">
            <w:pPr>
              <w:widowControl/>
              <w:adjustRightInd w:val="0"/>
              <w:spacing w:after="60"/>
              <w:ind w:left="119"/>
              <w:jc w:val="center"/>
              <w:rPr>
                <w:rFonts w:ascii="Times New Roman" w:hAnsi="Times New Roman" w:cs="Times New Roman"/>
                <w:sz w:val="20"/>
                <w:szCs w:val="20"/>
                <w:lang w:val="de-DE"/>
              </w:rPr>
            </w:pPr>
            <w:r w:rsidRPr="00CD50DC">
              <w:rPr>
                <w:rFonts w:ascii="Times New Roman" w:hAnsi="Times New Roman" w:cs="Times New Roman"/>
                <w:sz w:val="20"/>
                <w:szCs w:val="20"/>
                <w:lang w:val="de-DE"/>
              </w:rPr>
              <w:t>29% (3-56)</w:t>
            </w:r>
          </w:p>
        </w:tc>
        <w:tc>
          <w:tcPr>
            <w:tcW w:w="1432" w:type="dxa"/>
            <w:gridSpan w:val="2"/>
            <w:tcBorders>
              <w:top w:val="nil"/>
              <w:left w:val="nil"/>
              <w:bottom w:val="nil"/>
              <w:right w:val="nil"/>
            </w:tcBorders>
            <w:hideMark/>
          </w:tcPr>
          <w:p w:rsidR="00CD50DC" w:rsidRPr="00CD50DC" w:rsidRDefault="00CD50DC">
            <w:pPr>
              <w:widowControl/>
              <w:adjustRightInd w:val="0"/>
              <w:spacing w:after="60"/>
              <w:ind w:left="119"/>
              <w:jc w:val="center"/>
              <w:rPr>
                <w:rFonts w:ascii="Times New Roman" w:hAnsi="Times New Roman" w:cs="Times New Roman"/>
                <w:sz w:val="20"/>
                <w:szCs w:val="20"/>
                <w:lang w:val="de-DE"/>
              </w:rPr>
            </w:pPr>
            <w:r w:rsidRPr="00CD50DC">
              <w:rPr>
                <w:rFonts w:ascii="Times New Roman" w:hAnsi="Times New Roman" w:cs="Times New Roman"/>
                <w:sz w:val="20"/>
                <w:szCs w:val="20"/>
                <w:lang w:val="de-DE"/>
              </w:rPr>
              <w:t>32% (8-56)</w:t>
            </w:r>
          </w:p>
        </w:tc>
      </w:tr>
      <w:tr w:rsidR="00CD50DC" w:rsidRPr="00CD50DC" w:rsidTr="00CD50DC">
        <w:tc>
          <w:tcPr>
            <w:tcW w:w="1905" w:type="dxa"/>
            <w:gridSpan w:val="2"/>
            <w:tcBorders>
              <w:top w:val="nil"/>
              <w:left w:val="nil"/>
              <w:bottom w:val="single" w:sz="4" w:space="0" w:color="auto"/>
              <w:right w:val="nil"/>
            </w:tcBorders>
            <w:hideMark/>
          </w:tcPr>
          <w:p w:rsidR="00CD50DC" w:rsidRPr="00CD50DC" w:rsidRDefault="00CD50DC">
            <w:pPr>
              <w:widowControl/>
              <w:adjustRightInd w:val="0"/>
              <w:spacing w:after="60"/>
              <w:ind w:left="397"/>
              <w:rPr>
                <w:rFonts w:ascii="Times New Roman" w:hAnsi="Times New Roman" w:cs="Times New Roman"/>
                <w:sz w:val="20"/>
                <w:szCs w:val="20"/>
                <w:lang w:val="de-DE"/>
              </w:rPr>
            </w:pPr>
            <w:r w:rsidRPr="00CD50DC">
              <w:rPr>
                <w:rFonts w:ascii="Times New Roman" w:hAnsi="Times New Roman" w:cs="Times New Roman"/>
                <w:sz w:val="20"/>
                <w:szCs w:val="20"/>
                <w:lang w:val="de-DE"/>
              </w:rPr>
              <w:t>2 year</w:t>
            </w:r>
          </w:p>
        </w:tc>
        <w:tc>
          <w:tcPr>
            <w:tcW w:w="1359" w:type="dxa"/>
            <w:gridSpan w:val="2"/>
            <w:tcBorders>
              <w:top w:val="nil"/>
              <w:left w:val="nil"/>
              <w:bottom w:val="single" w:sz="4" w:space="0" w:color="auto"/>
              <w:right w:val="nil"/>
            </w:tcBorders>
            <w:hideMark/>
          </w:tcPr>
          <w:p w:rsidR="00CD50DC" w:rsidRPr="00CD50DC" w:rsidRDefault="00CD50DC">
            <w:pPr>
              <w:widowControl/>
              <w:adjustRightInd w:val="0"/>
              <w:spacing w:after="60"/>
              <w:jc w:val="center"/>
              <w:rPr>
                <w:rFonts w:ascii="Times New Roman" w:hAnsi="Times New Roman" w:cs="Times New Roman"/>
                <w:sz w:val="20"/>
                <w:szCs w:val="20"/>
                <w:lang w:val="de-DE"/>
              </w:rPr>
            </w:pPr>
            <w:r w:rsidRPr="00CD50DC">
              <w:rPr>
                <w:rFonts w:ascii="Times New Roman" w:hAnsi="Times New Roman" w:cs="Times New Roman"/>
                <w:sz w:val="20"/>
                <w:szCs w:val="20"/>
                <w:lang w:val="de-DE"/>
              </w:rPr>
              <w:t>n/a</w:t>
            </w:r>
          </w:p>
        </w:tc>
        <w:tc>
          <w:tcPr>
            <w:tcW w:w="1396" w:type="dxa"/>
            <w:gridSpan w:val="2"/>
            <w:tcBorders>
              <w:top w:val="nil"/>
              <w:left w:val="nil"/>
              <w:bottom w:val="single" w:sz="4" w:space="0" w:color="auto"/>
              <w:right w:val="nil"/>
            </w:tcBorders>
            <w:hideMark/>
          </w:tcPr>
          <w:p w:rsidR="00CD50DC" w:rsidRPr="00CD50DC" w:rsidRDefault="00CD50DC">
            <w:pPr>
              <w:widowControl/>
              <w:adjustRightInd w:val="0"/>
              <w:spacing w:after="60"/>
              <w:ind w:left="119"/>
              <w:jc w:val="center"/>
              <w:rPr>
                <w:rFonts w:ascii="Times New Roman" w:hAnsi="Times New Roman" w:cs="Times New Roman"/>
                <w:sz w:val="20"/>
                <w:szCs w:val="20"/>
                <w:lang w:val="de-DE"/>
              </w:rPr>
            </w:pPr>
            <w:r w:rsidRPr="00CD50DC">
              <w:rPr>
                <w:rFonts w:ascii="Times New Roman" w:hAnsi="Times New Roman" w:cs="Times New Roman"/>
                <w:sz w:val="20"/>
                <w:szCs w:val="20"/>
                <w:lang w:val="de-DE"/>
              </w:rPr>
              <w:t>60% (50-70)</w:t>
            </w:r>
          </w:p>
        </w:tc>
        <w:tc>
          <w:tcPr>
            <w:tcW w:w="1359" w:type="dxa"/>
            <w:tcBorders>
              <w:top w:val="nil"/>
              <w:left w:val="nil"/>
              <w:bottom w:val="single" w:sz="4" w:space="0" w:color="auto"/>
              <w:right w:val="nil"/>
            </w:tcBorders>
            <w:hideMark/>
          </w:tcPr>
          <w:p w:rsidR="00CD50DC" w:rsidRPr="00CD50DC" w:rsidRDefault="00CD50DC">
            <w:pPr>
              <w:widowControl/>
              <w:adjustRightInd w:val="0"/>
              <w:spacing w:after="60"/>
              <w:ind w:left="119"/>
              <w:jc w:val="center"/>
              <w:rPr>
                <w:rFonts w:ascii="Times New Roman" w:hAnsi="Times New Roman" w:cs="Times New Roman"/>
                <w:sz w:val="20"/>
                <w:szCs w:val="20"/>
                <w:lang w:val="de-DE"/>
              </w:rPr>
            </w:pPr>
            <w:r w:rsidRPr="00CD50DC">
              <w:rPr>
                <w:rFonts w:ascii="Times New Roman" w:hAnsi="Times New Roman" w:cs="Times New Roman"/>
                <w:sz w:val="20"/>
                <w:szCs w:val="20"/>
                <w:lang w:val="de-DE"/>
              </w:rPr>
              <w:t>41% (21-60)</w:t>
            </w:r>
          </w:p>
        </w:tc>
        <w:tc>
          <w:tcPr>
            <w:tcW w:w="1340" w:type="dxa"/>
            <w:gridSpan w:val="2"/>
            <w:tcBorders>
              <w:top w:val="nil"/>
              <w:left w:val="nil"/>
              <w:bottom w:val="single" w:sz="4" w:space="0" w:color="auto"/>
              <w:right w:val="nil"/>
            </w:tcBorders>
            <w:hideMark/>
          </w:tcPr>
          <w:p w:rsidR="00CD50DC" w:rsidRPr="00CD50DC" w:rsidRDefault="00CD50DC">
            <w:pPr>
              <w:widowControl/>
              <w:adjustRightInd w:val="0"/>
              <w:spacing w:after="60"/>
              <w:ind w:left="119"/>
              <w:jc w:val="center"/>
              <w:rPr>
                <w:rFonts w:ascii="Times New Roman" w:hAnsi="Times New Roman" w:cs="Times New Roman"/>
                <w:sz w:val="20"/>
                <w:szCs w:val="20"/>
                <w:lang w:val="de-DE"/>
              </w:rPr>
            </w:pPr>
            <w:r w:rsidRPr="00CD50DC">
              <w:rPr>
                <w:rFonts w:ascii="Times New Roman" w:hAnsi="Times New Roman" w:cs="Times New Roman"/>
                <w:sz w:val="20"/>
                <w:szCs w:val="20"/>
                <w:lang w:val="de-DE"/>
              </w:rPr>
              <w:t>10% (0-28)</w:t>
            </w:r>
          </w:p>
        </w:tc>
        <w:tc>
          <w:tcPr>
            <w:tcW w:w="1432" w:type="dxa"/>
            <w:gridSpan w:val="2"/>
            <w:tcBorders>
              <w:top w:val="nil"/>
              <w:left w:val="nil"/>
              <w:bottom w:val="single" w:sz="4" w:space="0" w:color="auto"/>
              <w:right w:val="nil"/>
            </w:tcBorders>
            <w:hideMark/>
          </w:tcPr>
          <w:p w:rsidR="00CD50DC" w:rsidRPr="00CD50DC" w:rsidRDefault="00CD50DC">
            <w:pPr>
              <w:widowControl/>
              <w:adjustRightInd w:val="0"/>
              <w:spacing w:after="60"/>
              <w:ind w:left="119"/>
              <w:jc w:val="center"/>
              <w:rPr>
                <w:rFonts w:ascii="Times New Roman" w:hAnsi="Times New Roman" w:cs="Times New Roman"/>
                <w:sz w:val="20"/>
                <w:szCs w:val="20"/>
                <w:lang w:val="de-DE"/>
              </w:rPr>
            </w:pPr>
            <w:r w:rsidRPr="00CD50DC">
              <w:rPr>
                <w:rFonts w:ascii="Times New Roman" w:hAnsi="Times New Roman" w:cs="Times New Roman"/>
                <w:sz w:val="20"/>
                <w:szCs w:val="20"/>
                <w:lang w:val="de-DE"/>
              </w:rPr>
              <w:t>24% (2-47)</w:t>
            </w:r>
          </w:p>
        </w:tc>
      </w:tr>
      <w:tr w:rsidR="00CD50DC" w:rsidRPr="00CD50DC" w:rsidTr="00CD50DC">
        <w:tc>
          <w:tcPr>
            <w:tcW w:w="8791" w:type="dxa"/>
            <w:gridSpan w:val="11"/>
            <w:tcBorders>
              <w:top w:val="single" w:sz="4" w:space="0" w:color="auto"/>
              <w:left w:val="nil"/>
              <w:bottom w:val="single" w:sz="4" w:space="0" w:color="auto"/>
              <w:right w:val="nil"/>
            </w:tcBorders>
            <w:hideMark/>
          </w:tcPr>
          <w:p w:rsidR="00CD50DC" w:rsidRPr="00CD50DC" w:rsidRDefault="00CD50DC">
            <w:pPr>
              <w:pStyle w:val="Brdtekst"/>
              <w:kinsoku w:val="0"/>
              <w:overflowPunct w:val="0"/>
              <w:spacing w:after="60"/>
              <w:rPr>
                <w:rFonts w:ascii="Times New Roman" w:eastAsia="Times New Roman" w:hAnsi="Times New Roman" w:cs="Times New Roman"/>
                <w:b/>
                <w:szCs w:val="20"/>
              </w:rPr>
            </w:pPr>
            <w:r w:rsidRPr="00CD50DC">
              <w:rPr>
                <w:rFonts w:ascii="Times New Roman" w:hAnsi="Times New Roman" w:cs="Times New Roman"/>
                <w:b/>
                <w:bCs/>
                <w:lang w:val="de-DE"/>
              </w:rPr>
              <w:t>Cytogenetic response</w:t>
            </w:r>
            <w:r w:rsidRPr="00CD50DC">
              <w:rPr>
                <w:rFonts w:ascii="Times New Roman" w:hAnsi="Times New Roman" w:cs="Times New Roman"/>
                <w:b/>
                <w:bCs/>
                <w:vertAlign w:val="superscript"/>
                <w:lang w:val="de-DE"/>
              </w:rPr>
              <w:t>c</w:t>
            </w:r>
            <w:r w:rsidRPr="00CD50DC">
              <w:rPr>
                <w:rFonts w:ascii="Times New Roman" w:hAnsi="Times New Roman" w:cs="Times New Roman"/>
                <w:b/>
                <w:bCs/>
                <w:lang w:val="de-DE"/>
              </w:rPr>
              <w:t xml:space="preserve"> (%)</w:t>
            </w:r>
          </w:p>
        </w:tc>
      </w:tr>
      <w:tr w:rsidR="00CD50DC" w:rsidRPr="00CD50DC" w:rsidTr="00CD50DC">
        <w:tc>
          <w:tcPr>
            <w:tcW w:w="1905" w:type="dxa"/>
            <w:gridSpan w:val="2"/>
            <w:tcBorders>
              <w:top w:val="single" w:sz="4" w:space="0" w:color="auto"/>
              <w:left w:val="nil"/>
              <w:bottom w:val="nil"/>
              <w:right w:val="nil"/>
            </w:tcBorders>
            <w:hideMark/>
          </w:tcPr>
          <w:p w:rsidR="00CD50DC" w:rsidRPr="00CD50DC" w:rsidRDefault="00CD50DC">
            <w:pPr>
              <w:pStyle w:val="Brdtekst"/>
              <w:kinsoku w:val="0"/>
              <w:overflowPunct w:val="0"/>
              <w:spacing w:before="40" w:after="60"/>
              <w:rPr>
                <w:rFonts w:ascii="Times New Roman" w:hAnsi="Times New Roman" w:cs="Times New Roman"/>
              </w:rPr>
            </w:pPr>
            <w:r w:rsidRPr="00CD50DC">
              <w:rPr>
                <w:rFonts w:ascii="Times New Roman" w:hAnsi="Times New Roman" w:cs="Times New Roman"/>
                <w:lang w:val="de-DE"/>
              </w:rPr>
              <w:t>MCyR (95% CI)</w:t>
            </w:r>
          </w:p>
        </w:tc>
        <w:tc>
          <w:tcPr>
            <w:tcW w:w="1359" w:type="dxa"/>
            <w:gridSpan w:val="2"/>
            <w:tcBorders>
              <w:top w:val="single" w:sz="4" w:space="0" w:color="auto"/>
              <w:left w:val="nil"/>
              <w:bottom w:val="nil"/>
              <w:right w:val="nil"/>
            </w:tcBorders>
            <w:hideMark/>
          </w:tcPr>
          <w:p w:rsidR="00CD50DC" w:rsidRPr="00CD50DC" w:rsidRDefault="00CD50DC">
            <w:pPr>
              <w:pStyle w:val="Brdtekst"/>
              <w:tabs>
                <w:tab w:val="left" w:pos="680"/>
              </w:tabs>
              <w:kinsoku w:val="0"/>
              <w:overflowPunct w:val="0"/>
              <w:spacing w:before="40" w:after="60"/>
              <w:jc w:val="center"/>
              <w:rPr>
                <w:rFonts w:ascii="Times New Roman" w:hAnsi="Times New Roman" w:cs="Times New Roman"/>
              </w:rPr>
            </w:pPr>
            <w:r w:rsidRPr="00CD50DC">
              <w:rPr>
                <w:rFonts w:ascii="Times New Roman" w:hAnsi="Times New Roman" w:cs="Times New Roman"/>
                <w:b/>
                <w:bCs/>
                <w:lang w:val="de-DE"/>
              </w:rPr>
              <w:t>62% (57-67)</w:t>
            </w:r>
          </w:p>
        </w:tc>
        <w:tc>
          <w:tcPr>
            <w:tcW w:w="1396" w:type="dxa"/>
            <w:gridSpan w:val="2"/>
            <w:tcBorders>
              <w:top w:val="single" w:sz="4" w:space="0" w:color="auto"/>
              <w:left w:val="nil"/>
              <w:bottom w:val="nil"/>
              <w:right w:val="nil"/>
            </w:tcBorders>
            <w:hideMark/>
          </w:tcPr>
          <w:p w:rsidR="00CD50DC" w:rsidRPr="00CD50DC" w:rsidRDefault="00CD50DC">
            <w:pPr>
              <w:pStyle w:val="Brdtekst"/>
              <w:kinsoku w:val="0"/>
              <w:overflowPunct w:val="0"/>
              <w:spacing w:before="40" w:after="60"/>
              <w:jc w:val="center"/>
              <w:rPr>
                <w:rFonts w:ascii="Times New Roman" w:hAnsi="Times New Roman" w:cs="Times New Roman"/>
              </w:rPr>
            </w:pPr>
            <w:r w:rsidRPr="00CD50DC">
              <w:rPr>
                <w:rFonts w:ascii="Times New Roman" w:hAnsi="Times New Roman" w:cs="Times New Roman"/>
                <w:lang w:val="de-DE"/>
              </w:rPr>
              <w:t>40% (33-48)</w:t>
            </w:r>
          </w:p>
        </w:tc>
        <w:tc>
          <w:tcPr>
            <w:tcW w:w="1359" w:type="dxa"/>
            <w:tcBorders>
              <w:top w:val="single" w:sz="4" w:space="0" w:color="auto"/>
              <w:left w:val="nil"/>
              <w:bottom w:val="nil"/>
              <w:right w:val="nil"/>
            </w:tcBorders>
            <w:hideMark/>
          </w:tcPr>
          <w:p w:rsidR="00CD50DC" w:rsidRPr="00CD50DC" w:rsidRDefault="00CD50DC">
            <w:pPr>
              <w:pStyle w:val="Brdtekst"/>
              <w:kinsoku w:val="0"/>
              <w:overflowPunct w:val="0"/>
              <w:spacing w:before="40" w:after="60"/>
              <w:jc w:val="center"/>
              <w:rPr>
                <w:rFonts w:ascii="Times New Roman" w:hAnsi="Times New Roman" w:cs="Times New Roman"/>
              </w:rPr>
            </w:pPr>
            <w:r w:rsidRPr="00CD50DC">
              <w:rPr>
                <w:rFonts w:ascii="Times New Roman" w:hAnsi="Times New Roman" w:cs="Times New Roman"/>
                <w:lang w:val="de-DE"/>
              </w:rPr>
              <w:t>34% (25-44)</w:t>
            </w:r>
          </w:p>
        </w:tc>
        <w:tc>
          <w:tcPr>
            <w:tcW w:w="1340" w:type="dxa"/>
            <w:gridSpan w:val="2"/>
            <w:tcBorders>
              <w:top w:val="single" w:sz="4" w:space="0" w:color="auto"/>
              <w:left w:val="nil"/>
              <w:bottom w:val="nil"/>
              <w:right w:val="nil"/>
            </w:tcBorders>
            <w:hideMark/>
          </w:tcPr>
          <w:p w:rsidR="00CD50DC" w:rsidRPr="00CD50DC" w:rsidRDefault="00CD50DC">
            <w:pPr>
              <w:pStyle w:val="Brdtekst"/>
              <w:kinsoku w:val="0"/>
              <w:overflowPunct w:val="0"/>
              <w:spacing w:before="40" w:after="60"/>
              <w:jc w:val="center"/>
              <w:rPr>
                <w:rFonts w:ascii="Times New Roman" w:hAnsi="Times New Roman" w:cs="Times New Roman"/>
              </w:rPr>
            </w:pPr>
            <w:r w:rsidRPr="00CD50DC">
              <w:rPr>
                <w:rFonts w:ascii="Times New Roman" w:hAnsi="Times New Roman" w:cs="Times New Roman"/>
                <w:lang w:val="de-DE"/>
              </w:rPr>
              <w:t>52% (37-67)</w:t>
            </w:r>
          </w:p>
        </w:tc>
        <w:tc>
          <w:tcPr>
            <w:tcW w:w="1432" w:type="dxa"/>
            <w:gridSpan w:val="2"/>
            <w:tcBorders>
              <w:top w:val="single" w:sz="4" w:space="0" w:color="auto"/>
              <w:left w:val="nil"/>
              <w:bottom w:val="nil"/>
              <w:right w:val="nil"/>
            </w:tcBorders>
            <w:hideMark/>
          </w:tcPr>
          <w:p w:rsidR="00CD50DC" w:rsidRPr="00CD50DC" w:rsidRDefault="00CD50DC">
            <w:pPr>
              <w:pStyle w:val="Brdtekst"/>
              <w:kinsoku w:val="0"/>
              <w:overflowPunct w:val="0"/>
              <w:spacing w:before="40" w:after="60"/>
              <w:jc w:val="center"/>
              <w:rPr>
                <w:rFonts w:ascii="Times New Roman" w:hAnsi="Times New Roman" w:cs="Times New Roman"/>
              </w:rPr>
            </w:pPr>
            <w:r w:rsidRPr="00CD50DC">
              <w:rPr>
                <w:rFonts w:ascii="Times New Roman" w:hAnsi="Times New Roman" w:cs="Times New Roman"/>
                <w:lang w:val="de-DE"/>
              </w:rPr>
              <w:t>57% (41-71)</w:t>
            </w:r>
          </w:p>
        </w:tc>
      </w:tr>
      <w:tr w:rsidR="00CD50DC" w:rsidRPr="00CD50DC" w:rsidTr="00CD50DC">
        <w:tc>
          <w:tcPr>
            <w:tcW w:w="1905" w:type="dxa"/>
            <w:gridSpan w:val="2"/>
            <w:tcBorders>
              <w:top w:val="nil"/>
              <w:left w:val="nil"/>
              <w:bottom w:val="single" w:sz="4" w:space="0" w:color="auto"/>
              <w:right w:val="nil"/>
            </w:tcBorders>
            <w:hideMark/>
          </w:tcPr>
          <w:p w:rsidR="00CD50DC" w:rsidRPr="00CD50DC" w:rsidRDefault="00CD50DC">
            <w:pPr>
              <w:pStyle w:val="Brdtekst"/>
              <w:kinsoku w:val="0"/>
              <w:overflowPunct w:val="0"/>
              <w:spacing w:after="60"/>
              <w:ind w:left="59"/>
              <w:rPr>
                <w:rFonts w:ascii="Times New Roman" w:hAnsi="Times New Roman" w:cs="Times New Roman"/>
                <w:lang w:val="de-DE"/>
              </w:rPr>
            </w:pPr>
            <w:r w:rsidRPr="00CD50DC">
              <w:rPr>
                <w:rFonts w:ascii="Times New Roman" w:hAnsi="Times New Roman" w:cs="Times New Roman"/>
                <w:lang w:val="de-DE"/>
              </w:rPr>
              <w:t>CCyR (95% CI)</w:t>
            </w:r>
          </w:p>
        </w:tc>
        <w:tc>
          <w:tcPr>
            <w:tcW w:w="1359" w:type="dxa"/>
            <w:gridSpan w:val="2"/>
            <w:tcBorders>
              <w:top w:val="nil"/>
              <w:left w:val="nil"/>
              <w:bottom w:val="single" w:sz="4" w:space="0" w:color="auto"/>
              <w:right w:val="nil"/>
            </w:tcBorders>
            <w:hideMark/>
          </w:tcPr>
          <w:p w:rsidR="00CD50DC" w:rsidRPr="00CD50DC" w:rsidRDefault="00CD50DC">
            <w:pPr>
              <w:pStyle w:val="Brdtekst"/>
              <w:tabs>
                <w:tab w:val="left" w:pos="680"/>
              </w:tabs>
              <w:kinsoku w:val="0"/>
              <w:overflowPunct w:val="0"/>
              <w:spacing w:after="60"/>
              <w:jc w:val="center"/>
              <w:rPr>
                <w:rFonts w:ascii="Times New Roman" w:hAnsi="Times New Roman" w:cs="Times New Roman"/>
                <w:b/>
                <w:bCs/>
                <w:lang w:val="de-DE"/>
              </w:rPr>
            </w:pPr>
            <w:r w:rsidRPr="00CD50DC">
              <w:rPr>
                <w:rFonts w:ascii="Times New Roman" w:hAnsi="Times New Roman" w:cs="Times New Roman"/>
                <w:lang w:val="de-DE"/>
              </w:rPr>
              <w:t>54% (48-59)</w:t>
            </w:r>
          </w:p>
        </w:tc>
        <w:tc>
          <w:tcPr>
            <w:tcW w:w="1396" w:type="dxa"/>
            <w:gridSpan w:val="2"/>
            <w:tcBorders>
              <w:top w:val="nil"/>
              <w:left w:val="nil"/>
              <w:bottom w:val="single" w:sz="4" w:space="0" w:color="auto"/>
              <w:right w:val="nil"/>
            </w:tcBorders>
            <w:hideMark/>
          </w:tcPr>
          <w:p w:rsidR="00CD50DC" w:rsidRPr="00CD50DC" w:rsidRDefault="00CD50DC">
            <w:pPr>
              <w:pStyle w:val="Brdtekst"/>
              <w:kinsoku w:val="0"/>
              <w:overflowPunct w:val="0"/>
              <w:spacing w:after="60"/>
              <w:jc w:val="center"/>
              <w:rPr>
                <w:rFonts w:ascii="Times New Roman" w:hAnsi="Times New Roman" w:cs="Times New Roman"/>
                <w:lang w:val="de-DE"/>
              </w:rPr>
            </w:pPr>
            <w:r w:rsidRPr="00CD50DC">
              <w:rPr>
                <w:rFonts w:ascii="Times New Roman" w:hAnsi="Times New Roman" w:cs="Times New Roman"/>
                <w:lang w:val="de-DE"/>
              </w:rPr>
              <w:t>33% (26-41)</w:t>
            </w:r>
          </w:p>
        </w:tc>
        <w:tc>
          <w:tcPr>
            <w:tcW w:w="1359" w:type="dxa"/>
            <w:tcBorders>
              <w:top w:val="nil"/>
              <w:left w:val="nil"/>
              <w:bottom w:val="single" w:sz="4" w:space="0" w:color="auto"/>
              <w:right w:val="nil"/>
            </w:tcBorders>
            <w:hideMark/>
          </w:tcPr>
          <w:p w:rsidR="00CD50DC" w:rsidRPr="00CD50DC" w:rsidRDefault="00CD50DC">
            <w:pPr>
              <w:pStyle w:val="Brdtekst"/>
              <w:kinsoku w:val="0"/>
              <w:overflowPunct w:val="0"/>
              <w:spacing w:after="60"/>
              <w:jc w:val="center"/>
              <w:rPr>
                <w:rFonts w:ascii="Times New Roman" w:hAnsi="Times New Roman" w:cs="Times New Roman"/>
                <w:lang w:val="de-DE"/>
              </w:rPr>
            </w:pPr>
            <w:r w:rsidRPr="00CD50DC">
              <w:rPr>
                <w:rFonts w:ascii="Times New Roman" w:hAnsi="Times New Roman" w:cs="Times New Roman"/>
                <w:lang w:val="de-DE"/>
              </w:rPr>
              <w:t>27% (19-36)</w:t>
            </w:r>
          </w:p>
        </w:tc>
        <w:tc>
          <w:tcPr>
            <w:tcW w:w="1340" w:type="dxa"/>
            <w:gridSpan w:val="2"/>
            <w:tcBorders>
              <w:top w:val="nil"/>
              <w:left w:val="nil"/>
              <w:bottom w:val="single" w:sz="4" w:space="0" w:color="auto"/>
              <w:right w:val="nil"/>
            </w:tcBorders>
            <w:hideMark/>
          </w:tcPr>
          <w:p w:rsidR="00CD50DC" w:rsidRPr="00CD50DC" w:rsidRDefault="00CD50DC">
            <w:pPr>
              <w:pStyle w:val="Brdtekst"/>
              <w:kinsoku w:val="0"/>
              <w:overflowPunct w:val="0"/>
              <w:spacing w:after="60"/>
              <w:jc w:val="center"/>
              <w:rPr>
                <w:rFonts w:ascii="Times New Roman" w:hAnsi="Times New Roman" w:cs="Times New Roman"/>
                <w:lang w:val="de-DE"/>
              </w:rPr>
            </w:pPr>
            <w:r w:rsidRPr="00CD50DC">
              <w:rPr>
                <w:rFonts w:ascii="Times New Roman" w:hAnsi="Times New Roman" w:cs="Times New Roman"/>
                <w:lang w:val="de-DE"/>
              </w:rPr>
              <w:t>46% (31-61)</w:t>
            </w:r>
          </w:p>
        </w:tc>
        <w:tc>
          <w:tcPr>
            <w:tcW w:w="1432" w:type="dxa"/>
            <w:gridSpan w:val="2"/>
            <w:tcBorders>
              <w:top w:val="nil"/>
              <w:left w:val="nil"/>
              <w:bottom w:val="single" w:sz="4" w:space="0" w:color="auto"/>
              <w:right w:val="nil"/>
            </w:tcBorders>
            <w:hideMark/>
          </w:tcPr>
          <w:p w:rsidR="00CD50DC" w:rsidRPr="00CD50DC" w:rsidRDefault="00CD50DC">
            <w:pPr>
              <w:pStyle w:val="Brdtekst"/>
              <w:kinsoku w:val="0"/>
              <w:overflowPunct w:val="0"/>
              <w:spacing w:after="60"/>
              <w:jc w:val="center"/>
              <w:rPr>
                <w:rFonts w:ascii="Times New Roman" w:hAnsi="Times New Roman" w:cs="Times New Roman"/>
                <w:lang w:val="de-DE"/>
              </w:rPr>
            </w:pPr>
            <w:r w:rsidRPr="00CD50DC">
              <w:rPr>
                <w:rFonts w:ascii="Times New Roman" w:hAnsi="Times New Roman" w:cs="Times New Roman"/>
                <w:lang w:val="de-DE"/>
              </w:rPr>
              <w:t>54% (39-69)</w:t>
            </w:r>
          </w:p>
        </w:tc>
      </w:tr>
      <w:tr w:rsidR="00CD50DC" w:rsidRPr="00CD50DC" w:rsidTr="00CD50DC">
        <w:tc>
          <w:tcPr>
            <w:tcW w:w="8791" w:type="dxa"/>
            <w:gridSpan w:val="11"/>
            <w:tcBorders>
              <w:top w:val="single" w:sz="4" w:space="0" w:color="auto"/>
              <w:left w:val="nil"/>
              <w:bottom w:val="single" w:sz="4" w:space="0" w:color="auto"/>
              <w:right w:val="nil"/>
            </w:tcBorders>
            <w:hideMark/>
          </w:tcPr>
          <w:p w:rsidR="00CD50DC" w:rsidRPr="00CD50DC" w:rsidRDefault="00CD50DC">
            <w:pPr>
              <w:pStyle w:val="Brdtekst"/>
              <w:kinsoku w:val="0"/>
              <w:overflowPunct w:val="0"/>
              <w:spacing w:after="60"/>
              <w:rPr>
                <w:rFonts w:ascii="Times New Roman" w:hAnsi="Times New Roman" w:cs="Times New Roman"/>
                <w:lang w:val="de-DE"/>
              </w:rPr>
            </w:pPr>
            <w:r w:rsidRPr="00CD50DC">
              <w:rPr>
                <w:rFonts w:ascii="Times New Roman" w:hAnsi="Times New Roman" w:cs="Times New Roman"/>
                <w:b/>
                <w:bCs/>
                <w:lang w:val="de-DE"/>
              </w:rPr>
              <w:t>Survival (%; Kaplan-Meier estimates)</w:t>
            </w:r>
          </w:p>
        </w:tc>
      </w:tr>
      <w:tr w:rsidR="00CD50DC" w:rsidRPr="00CD50DC" w:rsidTr="00CD50DC">
        <w:tc>
          <w:tcPr>
            <w:tcW w:w="8791" w:type="dxa"/>
            <w:gridSpan w:val="11"/>
            <w:tcBorders>
              <w:top w:val="single" w:sz="4" w:space="0" w:color="auto"/>
              <w:left w:val="nil"/>
              <w:bottom w:val="nil"/>
              <w:right w:val="nil"/>
            </w:tcBorders>
            <w:hideMark/>
          </w:tcPr>
          <w:p w:rsidR="00CD50DC" w:rsidRPr="00CD50DC" w:rsidRDefault="00CD50DC">
            <w:pPr>
              <w:pStyle w:val="Brdtekst"/>
              <w:kinsoku w:val="0"/>
              <w:overflowPunct w:val="0"/>
              <w:spacing w:before="40"/>
              <w:rPr>
                <w:rFonts w:ascii="Times New Roman" w:hAnsi="Times New Roman" w:cs="Times New Roman"/>
                <w:bCs/>
                <w:lang w:val="de-DE"/>
              </w:rPr>
            </w:pPr>
            <w:r w:rsidRPr="00CD50DC">
              <w:rPr>
                <w:rFonts w:ascii="Times New Roman" w:hAnsi="Times New Roman" w:cs="Times New Roman"/>
                <w:bCs/>
                <w:lang w:val="de-DE"/>
              </w:rPr>
              <w:t>Progression-Free</w:t>
            </w:r>
          </w:p>
        </w:tc>
      </w:tr>
      <w:tr w:rsidR="00CD50DC" w:rsidRPr="00CD50DC" w:rsidTr="00CD50DC">
        <w:tc>
          <w:tcPr>
            <w:tcW w:w="1905" w:type="dxa"/>
            <w:gridSpan w:val="2"/>
            <w:tcBorders>
              <w:top w:val="nil"/>
              <w:left w:val="nil"/>
              <w:bottom w:val="nil"/>
              <w:right w:val="nil"/>
            </w:tcBorders>
            <w:hideMark/>
          </w:tcPr>
          <w:p w:rsidR="00CD50DC" w:rsidRPr="00CD50DC" w:rsidRDefault="00CD50DC">
            <w:pPr>
              <w:pStyle w:val="Brdtekst"/>
              <w:kinsoku w:val="0"/>
              <w:overflowPunct w:val="0"/>
              <w:spacing w:after="60"/>
              <w:ind w:left="397"/>
              <w:rPr>
                <w:rFonts w:ascii="Times New Roman" w:hAnsi="Times New Roman" w:cs="Times New Roman"/>
                <w:b/>
                <w:bCs/>
                <w:lang w:val="de-DE"/>
              </w:rPr>
            </w:pPr>
            <w:r w:rsidRPr="00CD50DC">
              <w:rPr>
                <w:rFonts w:ascii="Times New Roman" w:hAnsi="Times New Roman" w:cs="Times New Roman"/>
                <w:lang w:val="de-DE"/>
              </w:rPr>
              <w:t>1 year</w:t>
            </w:r>
          </w:p>
        </w:tc>
        <w:tc>
          <w:tcPr>
            <w:tcW w:w="1359" w:type="dxa"/>
            <w:gridSpan w:val="2"/>
            <w:tcBorders>
              <w:top w:val="nil"/>
              <w:left w:val="nil"/>
              <w:bottom w:val="nil"/>
              <w:right w:val="nil"/>
            </w:tcBorders>
            <w:hideMark/>
          </w:tcPr>
          <w:p w:rsidR="00CD50DC" w:rsidRPr="00CD50DC" w:rsidRDefault="00CD50DC">
            <w:pPr>
              <w:pStyle w:val="Brdtekst"/>
              <w:kinsoku w:val="0"/>
              <w:overflowPunct w:val="0"/>
              <w:spacing w:after="60"/>
              <w:jc w:val="center"/>
              <w:rPr>
                <w:rFonts w:ascii="Times New Roman" w:hAnsi="Times New Roman" w:cs="Times New Roman"/>
                <w:b/>
                <w:bCs/>
                <w:lang w:val="de-DE"/>
              </w:rPr>
            </w:pPr>
            <w:r w:rsidRPr="00CD50DC">
              <w:rPr>
                <w:rFonts w:ascii="Times New Roman" w:hAnsi="Times New Roman" w:cs="Times New Roman"/>
                <w:lang w:val="de-DE"/>
              </w:rPr>
              <w:t>91% (88-94)</w:t>
            </w:r>
          </w:p>
        </w:tc>
        <w:tc>
          <w:tcPr>
            <w:tcW w:w="1396" w:type="dxa"/>
            <w:gridSpan w:val="2"/>
            <w:tcBorders>
              <w:top w:val="nil"/>
              <w:left w:val="nil"/>
              <w:bottom w:val="nil"/>
              <w:right w:val="nil"/>
            </w:tcBorders>
            <w:hideMark/>
          </w:tcPr>
          <w:p w:rsidR="00CD50DC" w:rsidRPr="00CD50DC" w:rsidRDefault="00CD50DC">
            <w:pPr>
              <w:pStyle w:val="Brdtekst"/>
              <w:tabs>
                <w:tab w:val="left" w:pos="554"/>
              </w:tabs>
              <w:kinsoku w:val="0"/>
              <w:overflowPunct w:val="0"/>
              <w:spacing w:after="60"/>
              <w:jc w:val="center"/>
              <w:rPr>
                <w:rFonts w:ascii="Times New Roman" w:hAnsi="Times New Roman" w:cs="Times New Roman"/>
                <w:b/>
                <w:bCs/>
                <w:lang w:val="de-DE"/>
              </w:rPr>
            </w:pPr>
            <w:r w:rsidRPr="00CD50DC">
              <w:rPr>
                <w:rFonts w:ascii="Times New Roman" w:hAnsi="Times New Roman" w:cs="Times New Roman"/>
                <w:lang w:val="de-DE"/>
              </w:rPr>
              <w:t>64% (57-72)</w:t>
            </w:r>
          </w:p>
        </w:tc>
        <w:tc>
          <w:tcPr>
            <w:tcW w:w="1359" w:type="dxa"/>
            <w:tcBorders>
              <w:top w:val="nil"/>
              <w:left w:val="nil"/>
              <w:bottom w:val="nil"/>
              <w:right w:val="nil"/>
            </w:tcBorders>
            <w:hideMark/>
          </w:tcPr>
          <w:p w:rsidR="00CD50DC" w:rsidRPr="00CD50DC" w:rsidRDefault="00CD50DC">
            <w:pPr>
              <w:pStyle w:val="Brdtekst"/>
              <w:kinsoku w:val="0"/>
              <w:overflowPunct w:val="0"/>
              <w:spacing w:after="60"/>
              <w:jc w:val="center"/>
              <w:rPr>
                <w:rFonts w:ascii="Times New Roman" w:hAnsi="Times New Roman" w:cs="Times New Roman"/>
                <w:b/>
                <w:bCs/>
                <w:lang w:val="de-DE"/>
              </w:rPr>
            </w:pPr>
            <w:r w:rsidRPr="00CD50DC">
              <w:rPr>
                <w:rFonts w:ascii="Times New Roman" w:hAnsi="Times New Roman" w:cs="Times New Roman"/>
                <w:lang w:val="de-DE"/>
              </w:rPr>
              <w:t>35% (25-45)</w:t>
            </w:r>
          </w:p>
        </w:tc>
        <w:tc>
          <w:tcPr>
            <w:tcW w:w="1340" w:type="dxa"/>
            <w:gridSpan w:val="2"/>
            <w:tcBorders>
              <w:top w:val="nil"/>
              <w:left w:val="nil"/>
              <w:bottom w:val="nil"/>
              <w:right w:val="nil"/>
            </w:tcBorders>
            <w:hideMark/>
          </w:tcPr>
          <w:p w:rsidR="00CD50DC" w:rsidRPr="00CD50DC" w:rsidRDefault="00CD50DC">
            <w:pPr>
              <w:pStyle w:val="Brdtekst"/>
              <w:kinsoku w:val="0"/>
              <w:overflowPunct w:val="0"/>
              <w:spacing w:after="60"/>
              <w:jc w:val="center"/>
              <w:rPr>
                <w:rFonts w:ascii="Times New Roman" w:hAnsi="Times New Roman" w:cs="Times New Roman"/>
                <w:b/>
                <w:bCs/>
                <w:lang w:val="de-DE"/>
              </w:rPr>
            </w:pPr>
            <w:r w:rsidRPr="00CD50DC">
              <w:rPr>
                <w:rFonts w:ascii="Times New Roman" w:hAnsi="Times New Roman" w:cs="Times New Roman"/>
                <w:lang w:val="de-DE"/>
              </w:rPr>
              <w:t>14% (3-25)</w:t>
            </w:r>
          </w:p>
        </w:tc>
        <w:tc>
          <w:tcPr>
            <w:tcW w:w="1432" w:type="dxa"/>
            <w:gridSpan w:val="2"/>
            <w:tcBorders>
              <w:top w:val="nil"/>
              <w:left w:val="nil"/>
              <w:bottom w:val="nil"/>
              <w:right w:val="nil"/>
            </w:tcBorders>
            <w:hideMark/>
          </w:tcPr>
          <w:p w:rsidR="00CD50DC" w:rsidRPr="00CD50DC" w:rsidRDefault="00CD50DC">
            <w:pPr>
              <w:pStyle w:val="Brdtekst"/>
              <w:kinsoku w:val="0"/>
              <w:overflowPunct w:val="0"/>
              <w:spacing w:after="60"/>
              <w:jc w:val="center"/>
              <w:rPr>
                <w:rFonts w:ascii="Times New Roman" w:hAnsi="Times New Roman" w:cs="Times New Roman"/>
                <w:b/>
                <w:bCs/>
                <w:lang w:val="de-DE"/>
              </w:rPr>
            </w:pPr>
            <w:r w:rsidRPr="00CD50DC">
              <w:rPr>
                <w:rFonts w:ascii="Times New Roman" w:hAnsi="Times New Roman" w:cs="Times New Roman"/>
                <w:lang w:val="de-DE"/>
              </w:rPr>
              <w:t>21% (9-34)</w:t>
            </w:r>
          </w:p>
        </w:tc>
      </w:tr>
      <w:tr w:rsidR="00CD50DC" w:rsidRPr="00CD50DC" w:rsidTr="00CD50DC">
        <w:tc>
          <w:tcPr>
            <w:tcW w:w="1905" w:type="dxa"/>
            <w:gridSpan w:val="2"/>
            <w:tcBorders>
              <w:top w:val="nil"/>
              <w:left w:val="nil"/>
              <w:bottom w:val="single" w:sz="4" w:space="0" w:color="auto"/>
              <w:right w:val="nil"/>
            </w:tcBorders>
            <w:hideMark/>
          </w:tcPr>
          <w:p w:rsidR="00CD50DC" w:rsidRPr="00CD50DC" w:rsidRDefault="00CD50DC">
            <w:pPr>
              <w:pStyle w:val="Brdtekst"/>
              <w:kinsoku w:val="0"/>
              <w:overflowPunct w:val="0"/>
              <w:spacing w:after="60"/>
              <w:ind w:left="397"/>
              <w:rPr>
                <w:rFonts w:ascii="Times New Roman" w:hAnsi="Times New Roman" w:cs="Times New Roman"/>
                <w:lang w:val="de-DE"/>
              </w:rPr>
            </w:pPr>
            <w:r w:rsidRPr="00CD50DC">
              <w:rPr>
                <w:rFonts w:ascii="Times New Roman" w:hAnsi="Times New Roman" w:cs="Times New Roman"/>
                <w:lang w:val="de-DE"/>
              </w:rPr>
              <w:t>2 year</w:t>
            </w:r>
          </w:p>
        </w:tc>
        <w:tc>
          <w:tcPr>
            <w:tcW w:w="1359" w:type="dxa"/>
            <w:gridSpan w:val="2"/>
            <w:tcBorders>
              <w:top w:val="nil"/>
              <w:left w:val="nil"/>
              <w:bottom w:val="single" w:sz="4" w:space="0" w:color="auto"/>
              <w:right w:val="nil"/>
            </w:tcBorders>
            <w:hideMark/>
          </w:tcPr>
          <w:p w:rsidR="00CD50DC" w:rsidRPr="00CD50DC" w:rsidRDefault="00CD50DC">
            <w:pPr>
              <w:pStyle w:val="Brdtekst"/>
              <w:kinsoku w:val="0"/>
              <w:overflowPunct w:val="0"/>
              <w:spacing w:after="60"/>
              <w:jc w:val="center"/>
              <w:rPr>
                <w:rFonts w:ascii="Times New Roman" w:hAnsi="Times New Roman" w:cs="Times New Roman"/>
                <w:lang w:val="de-DE"/>
              </w:rPr>
            </w:pPr>
            <w:r w:rsidRPr="00CD50DC">
              <w:rPr>
                <w:rFonts w:ascii="Times New Roman" w:hAnsi="Times New Roman" w:cs="Times New Roman"/>
                <w:lang w:val="de-DE"/>
              </w:rPr>
              <w:t>80% (75-84)</w:t>
            </w:r>
          </w:p>
        </w:tc>
        <w:tc>
          <w:tcPr>
            <w:tcW w:w="1396" w:type="dxa"/>
            <w:gridSpan w:val="2"/>
            <w:tcBorders>
              <w:top w:val="nil"/>
              <w:left w:val="nil"/>
              <w:bottom w:val="single" w:sz="4" w:space="0" w:color="auto"/>
              <w:right w:val="nil"/>
            </w:tcBorders>
            <w:hideMark/>
          </w:tcPr>
          <w:p w:rsidR="00CD50DC" w:rsidRPr="00CD50DC" w:rsidRDefault="00CD50DC">
            <w:pPr>
              <w:pStyle w:val="Brdtekst"/>
              <w:tabs>
                <w:tab w:val="left" w:pos="554"/>
              </w:tabs>
              <w:kinsoku w:val="0"/>
              <w:overflowPunct w:val="0"/>
              <w:spacing w:after="60"/>
              <w:jc w:val="center"/>
              <w:rPr>
                <w:rFonts w:ascii="Times New Roman" w:hAnsi="Times New Roman" w:cs="Times New Roman"/>
                <w:lang w:val="de-DE"/>
              </w:rPr>
            </w:pPr>
            <w:r w:rsidRPr="00CD50DC">
              <w:rPr>
                <w:rFonts w:ascii="Times New Roman" w:hAnsi="Times New Roman" w:cs="Times New Roman"/>
                <w:lang w:val="de-DE"/>
              </w:rPr>
              <w:t>46% (38-54)</w:t>
            </w:r>
          </w:p>
        </w:tc>
        <w:tc>
          <w:tcPr>
            <w:tcW w:w="1359" w:type="dxa"/>
            <w:tcBorders>
              <w:top w:val="nil"/>
              <w:left w:val="nil"/>
              <w:bottom w:val="single" w:sz="4" w:space="0" w:color="auto"/>
              <w:right w:val="nil"/>
            </w:tcBorders>
            <w:hideMark/>
          </w:tcPr>
          <w:p w:rsidR="00CD50DC" w:rsidRPr="00CD50DC" w:rsidRDefault="00CD50DC">
            <w:pPr>
              <w:pStyle w:val="Brdtekst"/>
              <w:kinsoku w:val="0"/>
              <w:overflowPunct w:val="0"/>
              <w:spacing w:after="60"/>
              <w:jc w:val="center"/>
              <w:rPr>
                <w:rFonts w:ascii="Times New Roman" w:hAnsi="Times New Roman" w:cs="Times New Roman"/>
                <w:lang w:val="de-DE"/>
              </w:rPr>
            </w:pPr>
            <w:r w:rsidRPr="00CD50DC">
              <w:rPr>
                <w:rFonts w:ascii="Times New Roman" w:hAnsi="Times New Roman" w:cs="Times New Roman"/>
                <w:lang w:val="de-DE"/>
              </w:rPr>
              <w:t>20% (11-29)</w:t>
            </w:r>
          </w:p>
        </w:tc>
        <w:tc>
          <w:tcPr>
            <w:tcW w:w="1340" w:type="dxa"/>
            <w:gridSpan w:val="2"/>
            <w:tcBorders>
              <w:top w:val="nil"/>
              <w:left w:val="nil"/>
              <w:bottom w:val="single" w:sz="4" w:space="0" w:color="auto"/>
              <w:right w:val="nil"/>
            </w:tcBorders>
            <w:hideMark/>
          </w:tcPr>
          <w:p w:rsidR="00CD50DC" w:rsidRPr="00CD50DC" w:rsidRDefault="00CD50DC">
            <w:pPr>
              <w:pStyle w:val="Brdtekst"/>
              <w:kinsoku w:val="0"/>
              <w:overflowPunct w:val="0"/>
              <w:spacing w:after="60"/>
              <w:jc w:val="center"/>
              <w:rPr>
                <w:rFonts w:ascii="Times New Roman" w:hAnsi="Times New Roman" w:cs="Times New Roman"/>
                <w:lang w:val="de-DE"/>
              </w:rPr>
            </w:pPr>
            <w:r w:rsidRPr="00CD50DC">
              <w:rPr>
                <w:rFonts w:ascii="Times New Roman" w:hAnsi="Times New Roman" w:cs="Times New Roman"/>
                <w:lang w:val="de-DE"/>
              </w:rPr>
              <w:t>5% (0-13)</w:t>
            </w:r>
          </w:p>
        </w:tc>
        <w:tc>
          <w:tcPr>
            <w:tcW w:w="1432" w:type="dxa"/>
            <w:gridSpan w:val="2"/>
            <w:tcBorders>
              <w:top w:val="nil"/>
              <w:left w:val="nil"/>
              <w:bottom w:val="single" w:sz="4" w:space="0" w:color="auto"/>
              <w:right w:val="nil"/>
            </w:tcBorders>
            <w:hideMark/>
          </w:tcPr>
          <w:p w:rsidR="00CD50DC" w:rsidRPr="00CD50DC" w:rsidRDefault="00CD50DC">
            <w:pPr>
              <w:pStyle w:val="Brdtekst"/>
              <w:kinsoku w:val="0"/>
              <w:overflowPunct w:val="0"/>
              <w:spacing w:after="60"/>
              <w:jc w:val="center"/>
              <w:rPr>
                <w:rFonts w:ascii="Times New Roman" w:hAnsi="Times New Roman" w:cs="Times New Roman"/>
                <w:lang w:val="de-DE"/>
              </w:rPr>
            </w:pPr>
            <w:r w:rsidRPr="00CD50DC">
              <w:rPr>
                <w:rFonts w:ascii="Times New Roman" w:hAnsi="Times New Roman" w:cs="Times New Roman"/>
                <w:lang w:val="de-DE"/>
              </w:rPr>
              <w:t>12% (2-23)</w:t>
            </w:r>
          </w:p>
        </w:tc>
      </w:tr>
      <w:tr w:rsidR="00CD50DC" w:rsidRPr="00CD50DC" w:rsidTr="00CD50DC">
        <w:tc>
          <w:tcPr>
            <w:tcW w:w="1905" w:type="dxa"/>
            <w:gridSpan w:val="2"/>
            <w:tcBorders>
              <w:top w:val="single" w:sz="4" w:space="0" w:color="auto"/>
              <w:left w:val="nil"/>
              <w:bottom w:val="nil"/>
              <w:right w:val="nil"/>
            </w:tcBorders>
            <w:hideMark/>
          </w:tcPr>
          <w:p w:rsidR="00CD50DC" w:rsidRPr="00CD50DC" w:rsidRDefault="00CD50DC">
            <w:pPr>
              <w:pStyle w:val="Brdtekst"/>
              <w:kinsoku w:val="0"/>
              <w:overflowPunct w:val="0"/>
              <w:spacing w:before="40"/>
              <w:rPr>
                <w:rFonts w:ascii="Times New Roman" w:hAnsi="Times New Roman" w:cs="Times New Roman"/>
                <w:lang w:val="de-DE"/>
              </w:rPr>
            </w:pPr>
            <w:r w:rsidRPr="00CD50DC">
              <w:rPr>
                <w:rFonts w:ascii="Times New Roman" w:hAnsi="Times New Roman" w:cs="Times New Roman"/>
                <w:lang w:val="de-DE"/>
              </w:rPr>
              <w:t>Overall</w:t>
            </w:r>
          </w:p>
        </w:tc>
        <w:tc>
          <w:tcPr>
            <w:tcW w:w="1359" w:type="dxa"/>
            <w:gridSpan w:val="2"/>
            <w:tcBorders>
              <w:top w:val="single" w:sz="4" w:space="0" w:color="auto"/>
              <w:left w:val="nil"/>
              <w:bottom w:val="nil"/>
              <w:right w:val="nil"/>
            </w:tcBorders>
          </w:tcPr>
          <w:p w:rsidR="00CD50DC" w:rsidRPr="00CD50DC" w:rsidRDefault="00CD50DC">
            <w:pPr>
              <w:pStyle w:val="Brdtekst"/>
              <w:kinsoku w:val="0"/>
              <w:overflowPunct w:val="0"/>
              <w:spacing w:before="40"/>
              <w:jc w:val="center"/>
              <w:rPr>
                <w:rFonts w:ascii="Times New Roman" w:hAnsi="Times New Roman" w:cs="Times New Roman"/>
                <w:lang w:val="de-DE"/>
              </w:rPr>
            </w:pPr>
          </w:p>
        </w:tc>
        <w:tc>
          <w:tcPr>
            <w:tcW w:w="1396" w:type="dxa"/>
            <w:gridSpan w:val="2"/>
            <w:tcBorders>
              <w:top w:val="single" w:sz="4" w:space="0" w:color="auto"/>
              <w:left w:val="nil"/>
              <w:bottom w:val="nil"/>
              <w:right w:val="nil"/>
            </w:tcBorders>
          </w:tcPr>
          <w:p w:rsidR="00CD50DC" w:rsidRPr="00CD50DC" w:rsidRDefault="00CD50DC">
            <w:pPr>
              <w:pStyle w:val="Brdtekst"/>
              <w:tabs>
                <w:tab w:val="left" w:pos="554"/>
              </w:tabs>
              <w:kinsoku w:val="0"/>
              <w:overflowPunct w:val="0"/>
              <w:spacing w:before="40"/>
              <w:jc w:val="center"/>
              <w:rPr>
                <w:rFonts w:ascii="Times New Roman" w:hAnsi="Times New Roman" w:cs="Times New Roman"/>
                <w:lang w:val="de-DE"/>
              </w:rPr>
            </w:pPr>
          </w:p>
        </w:tc>
        <w:tc>
          <w:tcPr>
            <w:tcW w:w="1359" w:type="dxa"/>
            <w:tcBorders>
              <w:top w:val="single" w:sz="4" w:space="0" w:color="auto"/>
              <w:left w:val="nil"/>
              <w:bottom w:val="nil"/>
              <w:right w:val="nil"/>
            </w:tcBorders>
          </w:tcPr>
          <w:p w:rsidR="00CD50DC" w:rsidRPr="00CD50DC" w:rsidRDefault="00CD50DC">
            <w:pPr>
              <w:pStyle w:val="Brdtekst"/>
              <w:kinsoku w:val="0"/>
              <w:overflowPunct w:val="0"/>
              <w:spacing w:before="40"/>
              <w:jc w:val="center"/>
              <w:rPr>
                <w:rFonts w:ascii="Times New Roman" w:hAnsi="Times New Roman" w:cs="Times New Roman"/>
                <w:lang w:val="de-DE"/>
              </w:rPr>
            </w:pPr>
          </w:p>
        </w:tc>
        <w:tc>
          <w:tcPr>
            <w:tcW w:w="1340" w:type="dxa"/>
            <w:gridSpan w:val="2"/>
            <w:tcBorders>
              <w:top w:val="single" w:sz="4" w:space="0" w:color="auto"/>
              <w:left w:val="nil"/>
              <w:bottom w:val="nil"/>
              <w:right w:val="nil"/>
            </w:tcBorders>
          </w:tcPr>
          <w:p w:rsidR="00CD50DC" w:rsidRPr="00CD50DC" w:rsidRDefault="00CD50DC">
            <w:pPr>
              <w:pStyle w:val="Brdtekst"/>
              <w:kinsoku w:val="0"/>
              <w:overflowPunct w:val="0"/>
              <w:spacing w:before="40"/>
              <w:jc w:val="center"/>
              <w:rPr>
                <w:rFonts w:ascii="Times New Roman" w:hAnsi="Times New Roman" w:cs="Times New Roman"/>
                <w:lang w:val="de-DE"/>
              </w:rPr>
            </w:pPr>
          </w:p>
        </w:tc>
        <w:tc>
          <w:tcPr>
            <w:tcW w:w="1432" w:type="dxa"/>
            <w:gridSpan w:val="2"/>
            <w:tcBorders>
              <w:top w:val="single" w:sz="4" w:space="0" w:color="auto"/>
              <w:left w:val="nil"/>
              <w:bottom w:val="nil"/>
              <w:right w:val="nil"/>
            </w:tcBorders>
          </w:tcPr>
          <w:p w:rsidR="00CD50DC" w:rsidRPr="00CD50DC" w:rsidRDefault="00CD50DC">
            <w:pPr>
              <w:pStyle w:val="Brdtekst"/>
              <w:kinsoku w:val="0"/>
              <w:overflowPunct w:val="0"/>
              <w:spacing w:before="40"/>
              <w:jc w:val="center"/>
              <w:rPr>
                <w:rFonts w:ascii="Times New Roman" w:hAnsi="Times New Roman" w:cs="Times New Roman"/>
                <w:lang w:val="de-DE"/>
              </w:rPr>
            </w:pPr>
          </w:p>
        </w:tc>
      </w:tr>
      <w:tr w:rsidR="00CD50DC" w:rsidRPr="00CD50DC" w:rsidTr="00CD50DC">
        <w:tc>
          <w:tcPr>
            <w:tcW w:w="1905" w:type="dxa"/>
            <w:gridSpan w:val="2"/>
            <w:tcBorders>
              <w:top w:val="nil"/>
              <w:left w:val="nil"/>
              <w:bottom w:val="nil"/>
              <w:right w:val="nil"/>
            </w:tcBorders>
            <w:hideMark/>
          </w:tcPr>
          <w:p w:rsidR="00CD50DC" w:rsidRPr="00CD50DC" w:rsidRDefault="00CD50DC">
            <w:pPr>
              <w:pStyle w:val="Brdtekst"/>
              <w:kinsoku w:val="0"/>
              <w:overflowPunct w:val="0"/>
              <w:spacing w:after="60"/>
              <w:ind w:left="397"/>
              <w:rPr>
                <w:rFonts w:ascii="Times New Roman" w:hAnsi="Times New Roman" w:cs="Times New Roman"/>
                <w:lang w:val="de-DE"/>
              </w:rPr>
            </w:pPr>
            <w:r w:rsidRPr="00CD50DC">
              <w:rPr>
                <w:rFonts w:ascii="Times New Roman" w:hAnsi="Times New Roman" w:cs="Times New Roman"/>
                <w:lang w:val="de-DE"/>
              </w:rPr>
              <w:t>1 year</w:t>
            </w:r>
          </w:p>
        </w:tc>
        <w:tc>
          <w:tcPr>
            <w:tcW w:w="1359" w:type="dxa"/>
            <w:gridSpan w:val="2"/>
            <w:tcBorders>
              <w:top w:val="nil"/>
              <w:left w:val="nil"/>
              <w:bottom w:val="nil"/>
              <w:right w:val="nil"/>
            </w:tcBorders>
            <w:hideMark/>
          </w:tcPr>
          <w:p w:rsidR="00CD50DC" w:rsidRPr="00CD50DC" w:rsidRDefault="00CD50DC">
            <w:pPr>
              <w:pStyle w:val="Brdtekst"/>
              <w:kinsoku w:val="0"/>
              <w:overflowPunct w:val="0"/>
              <w:spacing w:after="60"/>
              <w:jc w:val="center"/>
              <w:rPr>
                <w:rFonts w:ascii="Times New Roman" w:hAnsi="Times New Roman" w:cs="Times New Roman"/>
                <w:lang w:val="de-DE"/>
              </w:rPr>
            </w:pPr>
            <w:r w:rsidRPr="00CD50DC">
              <w:rPr>
                <w:rFonts w:ascii="Times New Roman" w:hAnsi="Times New Roman" w:cs="Times New Roman"/>
                <w:lang w:val="de-DE"/>
              </w:rPr>
              <w:t>97% (95-99)</w:t>
            </w:r>
          </w:p>
        </w:tc>
        <w:tc>
          <w:tcPr>
            <w:tcW w:w="1396" w:type="dxa"/>
            <w:gridSpan w:val="2"/>
            <w:tcBorders>
              <w:top w:val="nil"/>
              <w:left w:val="nil"/>
              <w:bottom w:val="nil"/>
              <w:right w:val="nil"/>
            </w:tcBorders>
            <w:hideMark/>
          </w:tcPr>
          <w:p w:rsidR="00CD50DC" w:rsidRPr="00CD50DC" w:rsidRDefault="00CD50DC">
            <w:pPr>
              <w:pStyle w:val="Brdtekst"/>
              <w:tabs>
                <w:tab w:val="left" w:pos="554"/>
              </w:tabs>
              <w:kinsoku w:val="0"/>
              <w:overflowPunct w:val="0"/>
              <w:spacing w:after="60"/>
              <w:jc w:val="center"/>
              <w:rPr>
                <w:rFonts w:ascii="Times New Roman" w:hAnsi="Times New Roman" w:cs="Times New Roman"/>
                <w:lang w:val="de-DE"/>
              </w:rPr>
            </w:pPr>
            <w:r w:rsidRPr="00CD50DC">
              <w:rPr>
                <w:rFonts w:ascii="Times New Roman" w:hAnsi="Times New Roman" w:cs="Times New Roman"/>
                <w:lang w:val="de-DE"/>
              </w:rPr>
              <w:t>83% (77-89)</w:t>
            </w:r>
          </w:p>
        </w:tc>
        <w:tc>
          <w:tcPr>
            <w:tcW w:w="1359" w:type="dxa"/>
            <w:tcBorders>
              <w:top w:val="nil"/>
              <w:left w:val="nil"/>
              <w:bottom w:val="nil"/>
              <w:right w:val="nil"/>
            </w:tcBorders>
            <w:hideMark/>
          </w:tcPr>
          <w:p w:rsidR="00CD50DC" w:rsidRPr="00CD50DC" w:rsidRDefault="00CD50DC">
            <w:pPr>
              <w:pStyle w:val="Brdtekst"/>
              <w:kinsoku w:val="0"/>
              <w:overflowPunct w:val="0"/>
              <w:spacing w:after="60"/>
              <w:jc w:val="center"/>
              <w:rPr>
                <w:rFonts w:ascii="Times New Roman" w:hAnsi="Times New Roman" w:cs="Times New Roman"/>
                <w:lang w:val="de-DE"/>
              </w:rPr>
            </w:pPr>
            <w:r w:rsidRPr="00CD50DC">
              <w:rPr>
                <w:rFonts w:ascii="Times New Roman" w:hAnsi="Times New Roman" w:cs="Times New Roman"/>
                <w:lang w:val="de-DE"/>
              </w:rPr>
              <w:t>48% (38-59)</w:t>
            </w:r>
          </w:p>
        </w:tc>
        <w:tc>
          <w:tcPr>
            <w:tcW w:w="1340" w:type="dxa"/>
            <w:gridSpan w:val="2"/>
            <w:tcBorders>
              <w:top w:val="nil"/>
              <w:left w:val="nil"/>
              <w:bottom w:val="nil"/>
              <w:right w:val="nil"/>
            </w:tcBorders>
            <w:hideMark/>
          </w:tcPr>
          <w:p w:rsidR="00CD50DC" w:rsidRPr="00CD50DC" w:rsidRDefault="00CD50DC">
            <w:pPr>
              <w:pStyle w:val="Brdtekst"/>
              <w:kinsoku w:val="0"/>
              <w:overflowPunct w:val="0"/>
              <w:spacing w:after="60"/>
              <w:jc w:val="center"/>
              <w:rPr>
                <w:rFonts w:ascii="Times New Roman" w:hAnsi="Times New Roman" w:cs="Times New Roman"/>
                <w:lang w:val="de-DE"/>
              </w:rPr>
            </w:pPr>
            <w:r w:rsidRPr="00CD50DC">
              <w:rPr>
                <w:rFonts w:ascii="Times New Roman" w:hAnsi="Times New Roman" w:cs="Times New Roman"/>
                <w:lang w:val="de-DE"/>
              </w:rPr>
              <w:t>30% (14-47)</w:t>
            </w:r>
          </w:p>
        </w:tc>
        <w:tc>
          <w:tcPr>
            <w:tcW w:w="1432" w:type="dxa"/>
            <w:gridSpan w:val="2"/>
            <w:tcBorders>
              <w:top w:val="nil"/>
              <w:left w:val="nil"/>
              <w:bottom w:val="nil"/>
              <w:right w:val="nil"/>
            </w:tcBorders>
            <w:hideMark/>
          </w:tcPr>
          <w:p w:rsidR="00CD50DC" w:rsidRPr="00CD50DC" w:rsidRDefault="00CD50DC">
            <w:pPr>
              <w:pStyle w:val="Brdtekst"/>
              <w:kinsoku w:val="0"/>
              <w:overflowPunct w:val="0"/>
              <w:spacing w:after="60"/>
              <w:jc w:val="center"/>
              <w:rPr>
                <w:rFonts w:ascii="Times New Roman" w:hAnsi="Times New Roman" w:cs="Times New Roman"/>
                <w:lang w:val="de-DE"/>
              </w:rPr>
            </w:pPr>
            <w:r w:rsidRPr="00CD50DC">
              <w:rPr>
                <w:rFonts w:ascii="Times New Roman" w:hAnsi="Times New Roman" w:cs="Times New Roman"/>
                <w:lang w:val="de-DE"/>
              </w:rPr>
              <w:t>35% (20-51)</w:t>
            </w:r>
          </w:p>
        </w:tc>
      </w:tr>
      <w:tr w:rsidR="00CD50DC" w:rsidRPr="00CD50DC" w:rsidTr="00CD50DC">
        <w:tc>
          <w:tcPr>
            <w:tcW w:w="1905" w:type="dxa"/>
            <w:gridSpan w:val="2"/>
            <w:tcBorders>
              <w:top w:val="nil"/>
              <w:left w:val="nil"/>
              <w:bottom w:val="single" w:sz="4" w:space="0" w:color="auto"/>
              <w:right w:val="nil"/>
            </w:tcBorders>
            <w:hideMark/>
          </w:tcPr>
          <w:p w:rsidR="00CD50DC" w:rsidRPr="00CD50DC" w:rsidRDefault="00CD50DC">
            <w:pPr>
              <w:pStyle w:val="Brdtekst"/>
              <w:kinsoku w:val="0"/>
              <w:overflowPunct w:val="0"/>
              <w:spacing w:after="60"/>
              <w:ind w:left="397"/>
              <w:rPr>
                <w:rFonts w:ascii="Times New Roman" w:hAnsi="Times New Roman" w:cs="Times New Roman"/>
                <w:lang w:val="de-DE"/>
              </w:rPr>
            </w:pPr>
            <w:r w:rsidRPr="00CD50DC">
              <w:rPr>
                <w:rFonts w:ascii="Times New Roman" w:hAnsi="Times New Roman" w:cs="Times New Roman"/>
                <w:lang w:val="de-DE"/>
              </w:rPr>
              <w:t>2 year</w:t>
            </w:r>
          </w:p>
        </w:tc>
        <w:tc>
          <w:tcPr>
            <w:tcW w:w="1359" w:type="dxa"/>
            <w:gridSpan w:val="2"/>
            <w:tcBorders>
              <w:top w:val="nil"/>
              <w:left w:val="nil"/>
              <w:bottom w:val="single" w:sz="4" w:space="0" w:color="auto"/>
              <w:right w:val="nil"/>
            </w:tcBorders>
            <w:hideMark/>
          </w:tcPr>
          <w:p w:rsidR="00CD50DC" w:rsidRPr="00CD50DC" w:rsidRDefault="00CD50DC">
            <w:pPr>
              <w:pStyle w:val="Brdtekst"/>
              <w:kinsoku w:val="0"/>
              <w:overflowPunct w:val="0"/>
              <w:spacing w:after="60"/>
              <w:jc w:val="center"/>
              <w:rPr>
                <w:rFonts w:ascii="Times New Roman" w:hAnsi="Times New Roman" w:cs="Times New Roman"/>
                <w:lang w:val="de-DE"/>
              </w:rPr>
            </w:pPr>
            <w:r w:rsidRPr="00CD50DC">
              <w:rPr>
                <w:rFonts w:ascii="Times New Roman" w:hAnsi="Times New Roman" w:cs="Times New Roman"/>
                <w:lang w:val="de-DE"/>
              </w:rPr>
              <w:t>94% (91-97)</w:t>
            </w:r>
          </w:p>
        </w:tc>
        <w:tc>
          <w:tcPr>
            <w:tcW w:w="1396" w:type="dxa"/>
            <w:gridSpan w:val="2"/>
            <w:tcBorders>
              <w:top w:val="nil"/>
              <w:left w:val="nil"/>
              <w:bottom w:val="single" w:sz="4" w:space="0" w:color="auto"/>
              <w:right w:val="nil"/>
            </w:tcBorders>
            <w:hideMark/>
          </w:tcPr>
          <w:p w:rsidR="00CD50DC" w:rsidRPr="00CD50DC" w:rsidRDefault="00CD50DC">
            <w:pPr>
              <w:pStyle w:val="Brdtekst"/>
              <w:tabs>
                <w:tab w:val="left" w:pos="554"/>
              </w:tabs>
              <w:kinsoku w:val="0"/>
              <w:overflowPunct w:val="0"/>
              <w:spacing w:after="60"/>
              <w:jc w:val="center"/>
              <w:rPr>
                <w:rFonts w:ascii="Times New Roman" w:hAnsi="Times New Roman" w:cs="Times New Roman"/>
                <w:lang w:val="de-DE"/>
              </w:rPr>
            </w:pPr>
            <w:r w:rsidRPr="00CD50DC">
              <w:rPr>
                <w:rFonts w:ascii="Times New Roman" w:hAnsi="Times New Roman" w:cs="Times New Roman"/>
                <w:lang w:val="de-DE"/>
              </w:rPr>
              <w:t>72% (64-79)</w:t>
            </w:r>
          </w:p>
        </w:tc>
        <w:tc>
          <w:tcPr>
            <w:tcW w:w="1359" w:type="dxa"/>
            <w:tcBorders>
              <w:top w:val="nil"/>
              <w:left w:val="nil"/>
              <w:bottom w:val="single" w:sz="4" w:space="0" w:color="auto"/>
              <w:right w:val="nil"/>
            </w:tcBorders>
            <w:hideMark/>
          </w:tcPr>
          <w:p w:rsidR="00CD50DC" w:rsidRPr="00CD50DC" w:rsidRDefault="00CD50DC">
            <w:pPr>
              <w:pStyle w:val="Brdtekst"/>
              <w:kinsoku w:val="0"/>
              <w:overflowPunct w:val="0"/>
              <w:spacing w:after="60"/>
              <w:jc w:val="center"/>
              <w:rPr>
                <w:rFonts w:ascii="Times New Roman" w:hAnsi="Times New Roman" w:cs="Times New Roman"/>
                <w:lang w:val="de-DE"/>
              </w:rPr>
            </w:pPr>
            <w:r w:rsidRPr="00CD50DC">
              <w:rPr>
                <w:rFonts w:ascii="Times New Roman" w:hAnsi="Times New Roman" w:cs="Times New Roman"/>
                <w:lang w:val="de-DE"/>
              </w:rPr>
              <w:t>38% (27-50)</w:t>
            </w:r>
          </w:p>
        </w:tc>
        <w:tc>
          <w:tcPr>
            <w:tcW w:w="1340" w:type="dxa"/>
            <w:gridSpan w:val="2"/>
            <w:tcBorders>
              <w:top w:val="nil"/>
              <w:left w:val="nil"/>
              <w:bottom w:val="single" w:sz="4" w:space="0" w:color="auto"/>
              <w:right w:val="nil"/>
            </w:tcBorders>
            <w:hideMark/>
          </w:tcPr>
          <w:p w:rsidR="00CD50DC" w:rsidRPr="00CD50DC" w:rsidRDefault="00CD50DC">
            <w:pPr>
              <w:pStyle w:val="Brdtekst"/>
              <w:kinsoku w:val="0"/>
              <w:overflowPunct w:val="0"/>
              <w:spacing w:after="60"/>
              <w:jc w:val="center"/>
              <w:rPr>
                <w:rFonts w:ascii="Times New Roman" w:hAnsi="Times New Roman" w:cs="Times New Roman"/>
                <w:lang w:val="de-DE"/>
              </w:rPr>
            </w:pPr>
            <w:r w:rsidRPr="00CD50DC">
              <w:rPr>
                <w:rFonts w:ascii="Times New Roman" w:hAnsi="Times New Roman" w:cs="Times New Roman"/>
                <w:lang w:val="de-DE"/>
              </w:rPr>
              <w:t>26% (10-42)</w:t>
            </w:r>
          </w:p>
        </w:tc>
        <w:tc>
          <w:tcPr>
            <w:tcW w:w="1432" w:type="dxa"/>
            <w:gridSpan w:val="2"/>
            <w:tcBorders>
              <w:top w:val="nil"/>
              <w:left w:val="nil"/>
              <w:bottom w:val="single" w:sz="4" w:space="0" w:color="auto"/>
              <w:right w:val="nil"/>
            </w:tcBorders>
            <w:hideMark/>
          </w:tcPr>
          <w:p w:rsidR="00CD50DC" w:rsidRPr="00CD50DC" w:rsidRDefault="00CD50DC">
            <w:pPr>
              <w:pStyle w:val="Brdtekst"/>
              <w:kinsoku w:val="0"/>
              <w:overflowPunct w:val="0"/>
              <w:spacing w:after="60"/>
              <w:jc w:val="center"/>
              <w:rPr>
                <w:rFonts w:ascii="Times New Roman" w:hAnsi="Times New Roman" w:cs="Times New Roman"/>
                <w:lang w:val="de-DE"/>
              </w:rPr>
            </w:pPr>
            <w:r w:rsidRPr="00CD50DC">
              <w:rPr>
                <w:rFonts w:ascii="Times New Roman" w:hAnsi="Times New Roman" w:cs="Times New Roman"/>
                <w:lang w:val="de-DE"/>
              </w:rPr>
              <w:t>31% (16-47)</w:t>
            </w:r>
          </w:p>
        </w:tc>
      </w:tr>
    </w:tbl>
    <w:p w:rsidR="00CD50DC" w:rsidRPr="00CD50DC" w:rsidRDefault="00CD50DC" w:rsidP="00CD50DC">
      <w:pPr>
        <w:ind w:left="134"/>
        <w:rPr>
          <w:sz w:val="17"/>
          <w:szCs w:val="22"/>
          <w:lang w:val="en-US" w:eastAsia="en-US"/>
        </w:rPr>
      </w:pPr>
      <w:r w:rsidRPr="00CD50DC">
        <w:rPr>
          <w:sz w:val="17"/>
          <w:lang w:val="en-US"/>
        </w:rPr>
        <w:t>Data described in this table are from studies using a starting dose of 70 mg twice daily. See section 4.2 for the recommended starting dose.</w:t>
      </w:r>
    </w:p>
    <w:p w:rsidR="00CD50DC" w:rsidRPr="00CD50DC" w:rsidRDefault="00CD50DC" w:rsidP="00CD50DC">
      <w:pPr>
        <w:spacing w:line="191" w:lineRule="exact"/>
        <w:ind w:left="134"/>
        <w:rPr>
          <w:sz w:val="17"/>
          <w:lang w:val="en-US"/>
        </w:rPr>
      </w:pPr>
      <w:r w:rsidRPr="00CD50DC">
        <w:rPr>
          <w:position w:val="6"/>
          <w:sz w:val="11"/>
          <w:lang w:val="en-US"/>
        </w:rPr>
        <w:t xml:space="preserve">a  </w:t>
      </w:r>
      <w:r w:rsidRPr="00CD50DC">
        <w:rPr>
          <w:sz w:val="17"/>
          <w:lang w:val="en-US"/>
        </w:rPr>
        <w:t>Numbers in bold font are the results of primary endpoints.</w:t>
      </w:r>
    </w:p>
    <w:p w:rsidR="00CD50DC" w:rsidRPr="00CD50DC" w:rsidRDefault="00CD50DC" w:rsidP="00CD50DC">
      <w:pPr>
        <w:ind w:left="310" w:hanging="177"/>
        <w:rPr>
          <w:sz w:val="17"/>
          <w:lang w:val="en-US"/>
        </w:rPr>
      </w:pPr>
      <w:r w:rsidRPr="00CD50DC">
        <w:rPr>
          <w:position w:val="6"/>
          <w:sz w:val="11"/>
          <w:lang w:val="en-US"/>
        </w:rPr>
        <w:t xml:space="preserve">b </w:t>
      </w:r>
      <w:r w:rsidRPr="00CD50DC">
        <w:rPr>
          <w:sz w:val="17"/>
          <w:lang w:val="en-US"/>
        </w:rPr>
        <w:t>Haematologic response criteria (all responses confirmed after 4 weeks): Major haematologic response (MaHR) = complete haematologic response (CHR) + no evidence of leukaemia (NEL).</w:t>
      </w:r>
    </w:p>
    <w:p w:rsidR="00CD50DC" w:rsidRPr="00CD50DC" w:rsidRDefault="00CD50DC" w:rsidP="00CD50DC">
      <w:pPr>
        <w:spacing w:line="235" w:lineRule="auto"/>
        <w:ind w:left="624"/>
        <w:rPr>
          <w:sz w:val="17"/>
          <w:lang w:val="en-US"/>
        </w:rPr>
      </w:pPr>
      <w:r w:rsidRPr="00CD50DC">
        <w:rPr>
          <w:sz w:val="17"/>
          <w:lang w:val="en-US"/>
        </w:rPr>
        <w:t>CHR (chronic CML): WBC ≤ institutional ULN, platelets &lt; 450,000/mm</w:t>
      </w:r>
      <w:r w:rsidRPr="00CD50DC">
        <w:rPr>
          <w:position w:val="6"/>
          <w:sz w:val="11"/>
          <w:lang w:val="en-US"/>
        </w:rPr>
        <w:t>3</w:t>
      </w:r>
      <w:r w:rsidRPr="00CD50DC">
        <w:rPr>
          <w:sz w:val="17"/>
          <w:lang w:val="en-US"/>
        </w:rPr>
        <w:t>, no blasts or promyelocytes in peripheral blood, &lt; 5% myelocytes plus metamyelocytes in peripheral blood, basophils in peripheral blood &lt; 20%, and no extramedullary involvement.</w:t>
      </w:r>
    </w:p>
    <w:p w:rsidR="00CD50DC" w:rsidRPr="00CD50DC" w:rsidRDefault="00CD50DC" w:rsidP="00CD50DC">
      <w:pPr>
        <w:ind w:left="624" w:right="136"/>
        <w:rPr>
          <w:sz w:val="17"/>
          <w:lang w:val="en-US"/>
        </w:rPr>
      </w:pPr>
      <w:r w:rsidRPr="00CD50DC">
        <w:rPr>
          <w:sz w:val="17"/>
          <w:lang w:val="en-US"/>
        </w:rPr>
        <w:t>CHR (advanced CML/Ph+ ALL): WBC ≤ institutional ULN, ANC ≥ 1,000/mm</w:t>
      </w:r>
      <w:r w:rsidRPr="00CD50DC">
        <w:rPr>
          <w:position w:val="6"/>
          <w:sz w:val="11"/>
          <w:lang w:val="en-US"/>
        </w:rPr>
        <w:t>3</w:t>
      </w:r>
      <w:r w:rsidRPr="00CD50DC">
        <w:rPr>
          <w:sz w:val="17"/>
          <w:lang w:val="en-US"/>
        </w:rPr>
        <w:t>, platelets ≥ 100,000/mm</w:t>
      </w:r>
      <w:r w:rsidRPr="00CD50DC">
        <w:rPr>
          <w:position w:val="6"/>
          <w:sz w:val="11"/>
          <w:lang w:val="en-US"/>
        </w:rPr>
        <w:t>3</w:t>
      </w:r>
      <w:r w:rsidRPr="00CD50DC">
        <w:rPr>
          <w:sz w:val="17"/>
          <w:lang w:val="en-US"/>
        </w:rPr>
        <w:t>, no blasts or promyelocytes in peripheral blood, bone marrow blasts ≤ 5%, &lt; 5% myelocytes plus metamyelocytes in peripheral blood, basophils in peripheral blood &lt; 20%, and no extramedullary involvement.</w:t>
      </w:r>
    </w:p>
    <w:p w:rsidR="00CD50DC" w:rsidRPr="00CD50DC" w:rsidRDefault="00CD50DC" w:rsidP="00CD50DC">
      <w:pPr>
        <w:spacing w:before="4" w:line="192" w:lineRule="exact"/>
        <w:ind w:left="624"/>
        <w:rPr>
          <w:sz w:val="17"/>
          <w:lang w:val="en-US"/>
        </w:rPr>
      </w:pPr>
      <w:r w:rsidRPr="00CD50DC">
        <w:rPr>
          <w:sz w:val="17"/>
          <w:lang w:val="en-US"/>
        </w:rPr>
        <w:t>NEL: same criteria as for CHR but ANC ≥ 500/mm</w:t>
      </w:r>
      <w:r w:rsidRPr="00CD50DC">
        <w:rPr>
          <w:position w:val="6"/>
          <w:sz w:val="11"/>
          <w:lang w:val="en-US"/>
        </w:rPr>
        <w:t xml:space="preserve">3 </w:t>
      </w:r>
      <w:r w:rsidRPr="00CD50DC">
        <w:rPr>
          <w:sz w:val="17"/>
          <w:lang w:val="en-US"/>
        </w:rPr>
        <w:t>and &lt; 1,000/mm</w:t>
      </w:r>
      <w:r w:rsidRPr="00CD50DC">
        <w:rPr>
          <w:position w:val="6"/>
          <w:sz w:val="11"/>
          <w:lang w:val="en-US"/>
        </w:rPr>
        <w:t>3</w:t>
      </w:r>
      <w:r w:rsidRPr="00CD50DC">
        <w:rPr>
          <w:sz w:val="17"/>
          <w:lang w:val="en-US"/>
        </w:rPr>
        <w:t>, or platelets ≥ 20,000/mm</w:t>
      </w:r>
      <w:r w:rsidRPr="00CD50DC">
        <w:rPr>
          <w:position w:val="6"/>
          <w:sz w:val="11"/>
          <w:lang w:val="en-US"/>
        </w:rPr>
        <w:t xml:space="preserve">3 </w:t>
      </w:r>
      <w:r w:rsidRPr="00CD50DC">
        <w:rPr>
          <w:sz w:val="17"/>
          <w:lang w:val="en-US"/>
        </w:rPr>
        <w:t>and ≤ 100,000/mm</w:t>
      </w:r>
      <w:r w:rsidRPr="00CD50DC">
        <w:rPr>
          <w:position w:val="6"/>
          <w:sz w:val="11"/>
          <w:lang w:val="en-US"/>
        </w:rPr>
        <w:t>3</w:t>
      </w:r>
      <w:r w:rsidRPr="00CD50DC">
        <w:rPr>
          <w:sz w:val="17"/>
          <w:lang w:val="en-US"/>
        </w:rPr>
        <w:t>.</w:t>
      </w:r>
    </w:p>
    <w:p w:rsidR="00CD50DC" w:rsidRPr="00CD50DC" w:rsidRDefault="00CD50DC" w:rsidP="00CD50DC">
      <w:pPr>
        <w:spacing w:line="235" w:lineRule="auto"/>
        <w:ind w:left="303" w:hanging="170"/>
        <w:rPr>
          <w:sz w:val="17"/>
          <w:lang w:val="en-US"/>
        </w:rPr>
      </w:pPr>
      <w:r w:rsidRPr="00CD50DC">
        <w:rPr>
          <w:position w:val="6"/>
          <w:sz w:val="11"/>
          <w:lang w:val="en-US"/>
        </w:rPr>
        <w:t xml:space="preserve">c </w:t>
      </w:r>
      <w:r w:rsidRPr="00CD50DC">
        <w:rPr>
          <w:sz w:val="17"/>
          <w:lang w:val="en-US"/>
        </w:rPr>
        <w:t>Cytogenetic response criteria: complete (0% Ph+ metaphases) or partial (&gt; 0%-35%). MCyR (0%-35%) combines both complete and partial responses.</w:t>
      </w:r>
    </w:p>
    <w:p w:rsidR="00CD50DC" w:rsidRPr="00CD50DC" w:rsidRDefault="00CD50DC" w:rsidP="00CD50DC">
      <w:pPr>
        <w:ind w:left="134"/>
        <w:rPr>
          <w:sz w:val="17"/>
          <w:lang w:val="en-US"/>
        </w:rPr>
      </w:pPr>
      <w:r w:rsidRPr="00CD50DC">
        <w:rPr>
          <w:sz w:val="17"/>
          <w:lang w:val="en-US"/>
        </w:rPr>
        <w:t>n/a = not applicable; CI = confidence interval; ULN = upper limit of normal range.</w:t>
      </w:r>
    </w:p>
    <w:p w:rsidR="00CD50DC" w:rsidRPr="00CD50DC" w:rsidRDefault="00CD50DC" w:rsidP="003E0341">
      <w:pPr>
        <w:tabs>
          <w:tab w:val="left" w:pos="851"/>
        </w:tabs>
        <w:ind w:left="851"/>
        <w:rPr>
          <w:sz w:val="24"/>
          <w:szCs w:val="24"/>
          <w:lang w:val="en-US"/>
        </w:rPr>
      </w:pPr>
    </w:p>
    <w:p w:rsidR="00A90DBB" w:rsidRPr="00A90DBB" w:rsidRDefault="00A90DBB" w:rsidP="00A90DBB">
      <w:pPr>
        <w:tabs>
          <w:tab w:val="left" w:pos="851"/>
        </w:tabs>
        <w:ind w:left="851"/>
        <w:rPr>
          <w:sz w:val="24"/>
          <w:szCs w:val="24"/>
          <w:lang w:val="en-US"/>
        </w:rPr>
      </w:pPr>
      <w:r w:rsidRPr="00A90DBB">
        <w:rPr>
          <w:sz w:val="24"/>
          <w:szCs w:val="24"/>
          <w:lang w:val="en-US"/>
        </w:rPr>
        <w:t>The outcome of patients with bone marrow transplantation after dasatinib treatment has not been fully evaluated.</w:t>
      </w:r>
    </w:p>
    <w:p w:rsidR="00A90DBB" w:rsidRPr="00A90DBB" w:rsidRDefault="00A90DBB" w:rsidP="00A90DBB">
      <w:pPr>
        <w:tabs>
          <w:tab w:val="left" w:pos="851"/>
        </w:tabs>
        <w:ind w:left="851"/>
        <w:rPr>
          <w:sz w:val="24"/>
          <w:szCs w:val="24"/>
          <w:lang w:val="en-US"/>
        </w:rPr>
      </w:pPr>
    </w:p>
    <w:p w:rsidR="00A90DBB" w:rsidRPr="00A90DBB" w:rsidRDefault="00A90DBB" w:rsidP="00A90DBB">
      <w:pPr>
        <w:tabs>
          <w:tab w:val="left" w:pos="851"/>
        </w:tabs>
        <w:ind w:left="851"/>
        <w:rPr>
          <w:i/>
          <w:sz w:val="24"/>
          <w:szCs w:val="24"/>
          <w:lang w:val="en-US"/>
        </w:rPr>
      </w:pPr>
      <w:r w:rsidRPr="00A90DBB">
        <w:rPr>
          <w:i/>
          <w:sz w:val="24"/>
          <w:szCs w:val="24"/>
          <w:u w:val="single"/>
          <w:lang w:val="en-US"/>
        </w:rPr>
        <w:t>Phase III clinical studies in patients with CML in chronic, accelerated, or myeloid blast phase, and</w:t>
      </w:r>
      <w:r w:rsidRPr="00A90DBB">
        <w:rPr>
          <w:i/>
          <w:sz w:val="24"/>
          <w:szCs w:val="24"/>
          <w:lang w:val="en-US"/>
        </w:rPr>
        <w:t xml:space="preserve"> </w:t>
      </w:r>
      <w:r w:rsidRPr="00A90DBB">
        <w:rPr>
          <w:i/>
          <w:sz w:val="24"/>
          <w:szCs w:val="24"/>
          <w:u w:val="single"/>
          <w:lang w:val="en-US"/>
        </w:rPr>
        <w:t>Ph+ ALL who were resistant or intolerant to imatinib</w:t>
      </w:r>
    </w:p>
    <w:p w:rsidR="00A90DBB" w:rsidRPr="00A90DBB" w:rsidRDefault="00A90DBB" w:rsidP="00A90DBB">
      <w:pPr>
        <w:tabs>
          <w:tab w:val="left" w:pos="851"/>
        </w:tabs>
        <w:ind w:left="851"/>
        <w:rPr>
          <w:sz w:val="24"/>
          <w:szCs w:val="24"/>
          <w:lang w:val="en-US"/>
        </w:rPr>
      </w:pPr>
      <w:r w:rsidRPr="00A90DBB">
        <w:rPr>
          <w:sz w:val="24"/>
          <w:szCs w:val="24"/>
          <w:lang w:val="en-US"/>
        </w:rPr>
        <w:t xml:space="preserve">Two randomised, open-label studies were conducted to evaluate the efficacy of dasatinib administered once daily compared with dasatinib administered twice daily. Results </w:t>
      </w:r>
      <w:r w:rsidRPr="00A90DBB">
        <w:rPr>
          <w:sz w:val="24"/>
          <w:szCs w:val="24"/>
          <w:lang w:val="en-US"/>
        </w:rPr>
        <w:lastRenderedPageBreak/>
        <w:t>described below are based on a minimum of 2 years and 7 years follow-up after the start of dasatinib therapy.</w:t>
      </w:r>
    </w:p>
    <w:p w:rsidR="00A90DBB" w:rsidRPr="00A90DBB" w:rsidRDefault="00A90DBB" w:rsidP="00A90DBB">
      <w:pPr>
        <w:tabs>
          <w:tab w:val="left" w:pos="851"/>
        </w:tabs>
        <w:ind w:left="851"/>
        <w:rPr>
          <w:sz w:val="24"/>
          <w:szCs w:val="24"/>
          <w:lang w:val="en-US"/>
        </w:rPr>
      </w:pPr>
    </w:p>
    <w:p w:rsidR="00A90DBB" w:rsidRPr="00A90DBB" w:rsidRDefault="00A90DBB" w:rsidP="00A90DBB">
      <w:pPr>
        <w:tabs>
          <w:tab w:val="left" w:pos="851"/>
        </w:tabs>
        <w:ind w:left="851"/>
        <w:rPr>
          <w:i/>
          <w:sz w:val="24"/>
          <w:szCs w:val="24"/>
          <w:lang w:val="en-US"/>
        </w:rPr>
      </w:pPr>
      <w:r w:rsidRPr="00A90DBB">
        <w:rPr>
          <w:i/>
          <w:sz w:val="24"/>
          <w:szCs w:val="24"/>
          <w:lang w:val="en-US"/>
        </w:rPr>
        <w:t>Study 1</w:t>
      </w:r>
    </w:p>
    <w:p w:rsidR="00A90DBB" w:rsidRPr="00A90DBB" w:rsidRDefault="00A90DBB" w:rsidP="00A90DBB">
      <w:pPr>
        <w:tabs>
          <w:tab w:val="left" w:pos="851"/>
        </w:tabs>
        <w:ind w:left="851"/>
        <w:rPr>
          <w:sz w:val="24"/>
          <w:szCs w:val="24"/>
          <w:lang w:val="en-US"/>
        </w:rPr>
      </w:pPr>
      <w:r w:rsidRPr="00A90DBB">
        <w:rPr>
          <w:sz w:val="24"/>
          <w:szCs w:val="24"/>
          <w:lang w:val="en-US"/>
        </w:rPr>
        <w:t>In the study in chronic phase CML, the primary endpoint was MCyR in imatinib-resistant patients. The main secondary endpoint was MCyR by total daily dose level in the imatinib-resistant patients. Other secondary endpoints included duration of MCyR, PFS, and overall survival. A total of</w:t>
      </w:r>
      <w:r>
        <w:rPr>
          <w:sz w:val="24"/>
          <w:szCs w:val="24"/>
          <w:lang w:val="en-US"/>
        </w:rPr>
        <w:t xml:space="preserve"> </w:t>
      </w:r>
      <w:r w:rsidRPr="00A90DBB">
        <w:rPr>
          <w:sz w:val="24"/>
          <w:szCs w:val="24"/>
          <w:lang w:val="en-US"/>
        </w:rPr>
        <w:t>670 patients, of whom 497 were imatinib-resistant, were randomised to the dasatinib 100 mg once daily, 140 mg once daily, 50 mg twice daily, or 70 mg twice daily group. The median duration of treatment for all patients still on therapy with a minimum of 5 years of follow-up (n=205) was</w:t>
      </w:r>
      <w:r>
        <w:rPr>
          <w:sz w:val="24"/>
          <w:szCs w:val="24"/>
          <w:lang w:val="en-US"/>
        </w:rPr>
        <w:t xml:space="preserve"> </w:t>
      </w:r>
      <w:r w:rsidRPr="00A90DBB">
        <w:rPr>
          <w:sz w:val="24"/>
          <w:szCs w:val="24"/>
          <w:lang w:val="en-US"/>
        </w:rPr>
        <w:t>59 months (range 28-66 months). Median duration of treatment for all patients at 7 years of follow-up was 29.8 months (range &lt; 1-92.9 months).</w:t>
      </w:r>
    </w:p>
    <w:p w:rsidR="00A90DBB" w:rsidRPr="00A90DBB" w:rsidRDefault="00A90DBB" w:rsidP="00A90DBB">
      <w:pPr>
        <w:tabs>
          <w:tab w:val="left" w:pos="851"/>
        </w:tabs>
        <w:ind w:left="851"/>
        <w:rPr>
          <w:sz w:val="24"/>
          <w:szCs w:val="24"/>
          <w:lang w:val="en-US"/>
        </w:rPr>
      </w:pPr>
    </w:p>
    <w:p w:rsidR="00A90DBB" w:rsidRPr="00A90DBB" w:rsidRDefault="00A90DBB" w:rsidP="00A90DBB">
      <w:pPr>
        <w:tabs>
          <w:tab w:val="left" w:pos="851"/>
        </w:tabs>
        <w:ind w:left="851"/>
        <w:rPr>
          <w:sz w:val="24"/>
          <w:szCs w:val="24"/>
          <w:lang w:val="en-US"/>
        </w:rPr>
      </w:pPr>
      <w:r w:rsidRPr="00A90DBB">
        <w:rPr>
          <w:sz w:val="24"/>
          <w:szCs w:val="24"/>
          <w:lang w:val="en-US"/>
        </w:rPr>
        <w:t>Efficacy was achieved across all dasatinib treatment groups with the once daily schedule demonstrating comparable efficacy (non-inferiority) to the twice daily schedule on the primary efficacy endpoint (difference in MCyR 1.9%; 95% confidence interval [-6.8% - 10.6%]); however, the 100 mg once daily regimen demonstrated improved safety and tolerability. Efficacy results are presented in Tables 12 and 13.</w:t>
      </w:r>
    </w:p>
    <w:p w:rsidR="00A90DBB" w:rsidRPr="00A90DBB" w:rsidRDefault="00A90DBB" w:rsidP="00A90DBB">
      <w:pPr>
        <w:tabs>
          <w:tab w:val="left" w:pos="851"/>
        </w:tabs>
        <w:ind w:left="851"/>
        <w:rPr>
          <w:sz w:val="24"/>
          <w:szCs w:val="24"/>
          <w:lang w:val="en-US"/>
        </w:rPr>
      </w:pPr>
    </w:p>
    <w:p w:rsidR="00A90DBB" w:rsidRPr="00A90DBB" w:rsidRDefault="00A90DBB" w:rsidP="00A90DBB">
      <w:pPr>
        <w:pStyle w:val="Brdtekst"/>
        <w:spacing w:before="3"/>
        <w:rPr>
          <w:sz w:val="21"/>
        </w:rPr>
      </w:pPr>
    </w:p>
    <w:p w:rsidR="00A90DBB" w:rsidRPr="00A90DBB" w:rsidRDefault="00A90DBB" w:rsidP="00A90DBB">
      <w:pPr>
        <w:pStyle w:val="Overskrift1"/>
        <w:tabs>
          <w:tab w:val="left" w:pos="1350"/>
        </w:tabs>
        <w:spacing w:line="228" w:lineRule="auto"/>
        <w:ind w:left="1349" w:right="471" w:hanging="1134"/>
        <w:rPr>
          <w:spacing w:val="-10"/>
        </w:rPr>
      </w:pPr>
      <w:r w:rsidRPr="00A90DBB">
        <w:rPr>
          <w:noProof/>
        </w:rPr>
        <mc:AlternateContent>
          <mc:Choice Requires="wps">
            <w:drawing>
              <wp:anchor distT="0" distB="0" distL="0" distR="0" simplePos="0" relativeHeight="251675648" behindDoc="0" locked="0" layoutInCell="1" allowOverlap="1">
                <wp:simplePos x="0" y="0"/>
                <wp:positionH relativeFrom="page">
                  <wp:posOffset>831215</wp:posOffset>
                </wp:positionH>
                <wp:positionV relativeFrom="paragraph">
                  <wp:posOffset>436880</wp:posOffset>
                </wp:positionV>
                <wp:extent cx="5829300" cy="0"/>
                <wp:effectExtent l="0" t="0" r="0" b="0"/>
                <wp:wrapTopAndBottom/>
                <wp:docPr id="76" name="Lige forbindels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10656" id="Lige forbindelse 76"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45pt,34.4pt" to="524.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" strokeweight=".48pt">
                <w10:wrap type="topAndBottom" anchorx="page"/>
              </v:line>
            </w:pict>
          </mc:Fallback>
        </mc:AlternateContent>
      </w:r>
      <w:r w:rsidRPr="00A90DBB">
        <w:t>Table</w:t>
      </w:r>
      <w:r w:rsidRPr="00A90DBB">
        <w:rPr>
          <w:spacing w:val="-1"/>
        </w:rPr>
        <w:t xml:space="preserve"> </w:t>
      </w:r>
      <w:r w:rsidRPr="00A90DBB">
        <w:t>12:</w:t>
      </w:r>
      <w:r w:rsidRPr="00A90DBB">
        <w:tab/>
        <w:t>Efficacy of dasatinib in phase III dose-optimization study: imatinib</w:t>
      </w:r>
      <w:r w:rsidRPr="00A90DBB">
        <w:rPr>
          <w:spacing w:val="-10"/>
        </w:rPr>
        <w:t xml:space="preserve"> </w:t>
      </w:r>
    </w:p>
    <w:p w:rsidR="00A90DBB" w:rsidRPr="00A90DBB" w:rsidRDefault="00A90DBB" w:rsidP="00A90DBB">
      <w:pPr>
        <w:pStyle w:val="Overskrift1"/>
        <w:tabs>
          <w:tab w:val="left" w:pos="1350"/>
        </w:tabs>
        <w:spacing w:line="228" w:lineRule="auto"/>
        <w:ind w:left="1349" w:right="471" w:hanging="1134"/>
        <w:rPr>
          <w:sz w:val="18"/>
        </w:rPr>
      </w:pPr>
      <w:r w:rsidRPr="00A90DBB">
        <w:rPr>
          <w:spacing w:val="-10"/>
        </w:rPr>
        <w:tab/>
      </w:r>
      <w:r w:rsidRPr="00A90DBB">
        <w:t>resistant</w:t>
      </w:r>
      <w:r w:rsidRPr="00A90DBB">
        <w:rPr>
          <w:spacing w:val="-2"/>
        </w:rPr>
        <w:t xml:space="preserve"> </w:t>
      </w:r>
      <w:r w:rsidRPr="00A90DBB">
        <w:t>or</w:t>
      </w:r>
      <w:r w:rsidRPr="00A90DBB">
        <w:rPr>
          <w:w w:val="99"/>
        </w:rPr>
        <w:t xml:space="preserve"> </w:t>
      </w:r>
      <w:r w:rsidRPr="00A90DBB">
        <w:t>intolerant chronic phase CML (2-year</w:t>
      </w:r>
      <w:r w:rsidRPr="00A90DBB">
        <w:rPr>
          <w:spacing w:val="-17"/>
        </w:rPr>
        <w:t xml:space="preserve"> </w:t>
      </w:r>
      <w:r w:rsidRPr="00A90DBB">
        <w:t>results)</w:t>
      </w:r>
      <w:r w:rsidRPr="00A90DBB">
        <w:rPr>
          <w:position w:val="11"/>
          <w:sz w:val="18"/>
        </w:rPr>
        <w:t>a</w:t>
      </w:r>
    </w:p>
    <w:p w:rsidR="00A90DBB" w:rsidRPr="00A90DBB" w:rsidRDefault="00A90DBB" w:rsidP="00A90DBB">
      <w:pPr>
        <w:tabs>
          <w:tab w:val="left" w:pos="2967"/>
          <w:tab w:val="left" w:pos="5864"/>
          <w:tab w:val="left" w:pos="8789"/>
        </w:tabs>
        <w:spacing w:line="247" w:lineRule="auto"/>
        <w:ind w:left="436" w:right="113"/>
        <w:rPr>
          <w:b/>
          <w:sz w:val="20"/>
          <w:lang w:val="fr-FR"/>
        </w:rPr>
      </w:pPr>
      <w:r w:rsidRPr="00A90DBB">
        <w:rPr>
          <w:b/>
          <w:sz w:val="20"/>
          <w:lang w:val="fr-FR"/>
        </w:rPr>
        <w:t>All</w:t>
      </w:r>
      <w:r w:rsidRPr="00A90DBB">
        <w:rPr>
          <w:b/>
          <w:spacing w:val="-3"/>
          <w:sz w:val="20"/>
          <w:lang w:val="fr-FR"/>
        </w:rPr>
        <w:t xml:space="preserve"> </w:t>
      </w:r>
      <w:r w:rsidRPr="00A90DBB">
        <w:rPr>
          <w:b/>
          <w:sz w:val="20"/>
          <w:lang w:val="fr-FR"/>
        </w:rPr>
        <w:t>patients</w:t>
      </w:r>
      <w:r w:rsidRPr="00A90DBB">
        <w:rPr>
          <w:b/>
          <w:sz w:val="20"/>
          <w:lang w:val="fr-FR"/>
        </w:rPr>
        <w:tab/>
      </w:r>
      <w:r w:rsidRPr="00A90DBB">
        <w:rPr>
          <w:b/>
          <w:sz w:val="20"/>
          <w:u w:val="single"/>
          <w:lang w:val="fr-FR"/>
        </w:rPr>
        <w:t xml:space="preserve"> </w:t>
      </w:r>
      <w:r w:rsidRPr="00A90DBB">
        <w:rPr>
          <w:b/>
          <w:sz w:val="20"/>
          <w:u w:val="single"/>
          <w:lang w:val="fr-FR"/>
        </w:rPr>
        <w:tab/>
        <w:t>n=167</w:t>
      </w:r>
      <w:r w:rsidRPr="00A90DBB">
        <w:rPr>
          <w:b/>
          <w:sz w:val="20"/>
          <w:u w:val="single"/>
          <w:lang w:val="fr-FR"/>
        </w:rPr>
        <w:tab/>
      </w:r>
    </w:p>
    <w:p w:rsidR="00A90DBB" w:rsidRPr="00A90DBB" w:rsidRDefault="00A90DBB" w:rsidP="00A90DBB">
      <w:pPr>
        <w:tabs>
          <w:tab w:val="left" w:pos="2967"/>
          <w:tab w:val="left" w:pos="5864"/>
          <w:tab w:val="left" w:pos="8789"/>
        </w:tabs>
        <w:spacing w:line="247" w:lineRule="auto"/>
        <w:ind w:left="436" w:right="113"/>
        <w:rPr>
          <w:sz w:val="2"/>
          <w:lang w:val="fr-FR"/>
        </w:rPr>
      </w:pPr>
      <w:r w:rsidRPr="00A90DBB">
        <w:rPr>
          <w:b/>
          <w:sz w:val="20"/>
          <w:lang w:val="fr-FR"/>
        </w:rPr>
        <w:t>Imatinib-resistant</w:t>
      </w:r>
      <w:r w:rsidRPr="00A90DBB">
        <w:rPr>
          <w:b/>
          <w:spacing w:val="-2"/>
          <w:sz w:val="20"/>
          <w:lang w:val="fr-FR"/>
        </w:rPr>
        <w:t xml:space="preserve"> </w:t>
      </w:r>
      <w:r w:rsidRPr="00A90DBB">
        <w:rPr>
          <w:b/>
          <w:sz w:val="20"/>
          <w:lang w:val="fr-FR"/>
        </w:rPr>
        <w:t>patients</w:t>
      </w:r>
      <w:r w:rsidRPr="00A90DBB">
        <w:rPr>
          <w:b/>
          <w:sz w:val="20"/>
          <w:lang w:val="fr-FR"/>
        </w:rPr>
        <w:tab/>
      </w:r>
      <w:r w:rsidRPr="00A90DBB">
        <w:rPr>
          <w:b/>
          <w:sz w:val="20"/>
          <w:lang w:val="fr-FR"/>
        </w:rPr>
        <w:tab/>
        <w:t>n=124</w:t>
      </w:r>
      <w:r w:rsidRPr="00A90DBB">
        <w:rPr>
          <w:noProof/>
          <w:sz w:val="22"/>
          <w:lang w:val="en-US"/>
        </w:rPr>
        <mc:AlternateContent>
          <mc:Choice Requires="wpg">
            <w:drawing>
              <wp:inline distT="0" distB="0" distL="0" distR="0">
                <wp:extent cx="5835650" cy="6350"/>
                <wp:effectExtent l="9525" t="9525" r="3175" b="3175"/>
                <wp:docPr id="72" name="Gruppe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5650" cy="6350"/>
                          <a:chOff x="0" y="0"/>
                          <a:chExt cx="9190" cy="10"/>
                        </a:xfrm>
                      </wpg:grpSpPr>
                      <wps:wsp>
                        <wps:cNvPr id="73" name="Line 12"/>
                        <wps:cNvCnPr>
                          <a:cxnSpLocks noChangeShapeType="1"/>
                        </wps:cNvCnPr>
                        <wps:spPr bwMode="auto">
                          <a:xfrm>
                            <a:off x="5" y="5"/>
                            <a:ext cx="9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C8AEA4" id="Gruppe 72" o:spid="_x0000_s1026" style="width:459.5pt;height:.5pt;mso-position-horizontal-relative:char;mso-position-vertical-relative:line" coordsize="91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">
                <v:line id="Line 12" o:spid="_x0000_s1027" style="position:absolute;visibility:visible;mso-wrap-style:square" from="5,5" to="9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C2xAAAANsAAAAPAAAAZHJzL2Rvd25yZXYueG1sRI/NasMw&#10;EITvgbyD2EBvidwW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B5CELbEAAAA2wAAAA8A&#10;AAAAAAAAAAAAAAAABwIAAGRycy9kb3ducmV2LnhtbFBLBQYAAAAAAwADALcAAAD4AgAAAAA=&#10;" strokeweight=".48pt"/>
                <w10:anchorlock/>
              </v:group>
            </w:pict>
          </mc:Fallback>
        </mc:AlternateContent>
      </w:r>
    </w:p>
    <w:p w:rsidR="00A90DBB" w:rsidRPr="00A90DBB" w:rsidRDefault="00A90DBB" w:rsidP="00A90DBB">
      <w:pPr>
        <w:spacing w:before="13"/>
        <w:ind w:left="217"/>
        <w:rPr>
          <w:b/>
          <w:sz w:val="20"/>
          <w:lang w:val="fr-FR"/>
        </w:rPr>
      </w:pPr>
      <w:r w:rsidRPr="00A90DBB">
        <w:rPr>
          <w:noProof/>
          <w:sz w:val="22"/>
          <w:lang w:val="en-US"/>
        </w:rPr>
        <mc:AlternateContent>
          <mc:Choice Requires="wps">
            <w:drawing>
              <wp:anchor distT="0" distB="0" distL="0" distR="0" simplePos="0" relativeHeight="251676672" behindDoc="0" locked="0" layoutInCell="1" allowOverlap="1">
                <wp:simplePos x="0" y="0"/>
                <wp:positionH relativeFrom="page">
                  <wp:posOffset>831215</wp:posOffset>
                </wp:positionH>
                <wp:positionV relativeFrom="paragraph">
                  <wp:posOffset>256540</wp:posOffset>
                </wp:positionV>
                <wp:extent cx="5829300" cy="0"/>
                <wp:effectExtent l="0" t="0" r="0" b="0"/>
                <wp:wrapTopAndBottom/>
                <wp:docPr id="71" name="Lige forbindels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112E3" id="Lige forbindelse 71"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45pt,20.2pt" to="524.4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" strokeweight=".16936mm">
                <w10:wrap type="topAndBottom" anchorx="page"/>
              </v:line>
            </w:pict>
          </mc:Fallback>
        </mc:AlternateContent>
      </w:r>
      <w:r w:rsidRPr="00A90DBB">
        <w:rPr>
          <w:b/>
          <w:sz w:val="20"/>
          <w:lang w:val="fr-FR"/>
        </w:rPr>
        <w:t>Haematologic response rate</w:t>
      </w:r>
      <w:r w:rsidRPr="00A90DBB">
        <w:rPr>
          <w:b/>
          <w:position w:val="11"/>
          <w:sz w:val="18"/>
          <w:lang w:val="fr-FR"/>
        </w:rPr>
        <w:t xml:space="preserve">b </w:t>
      </w:r>
      <w:r w:rsidRPr="00A90DBB">
        <w:rPr>
          <w:b/>
          <w:sz w:val="20"/>
          <w:lang w:val="fr-FR"/>
        </w:rPr>
        <w:t>(%) (95% CI)</w:t>
      </w:r>
    </w:p>
    <w:p w:rsidR="00A90DBB" w:rsidRPr="00A90DBB" w:rsidRDefault="00A90DBB" w:rsidP="00A90DBB">
      <w:pPr>
        <w:tabs>
          <w:tab w:val="left" w:pos="5585"/>
        </w:tabs>
        <w:ind w:left="217"/>
        <w:rPr>
          <w:b/>
          <w:sz w:val="20"/>
          <w:lang w:val="fr-FR"/>
        </w:rPr>
      </w:pPr>
      <w:r w:rsidRPr="00A90DBB">
        <w:rPr>
          <w:sz w:val="20"/>
          <w:lang w:val="fr-FR"/>
        </w:rPr>
        <w:t>CHR</w:t>
      </w:r>
      <w:r w:rsidRPr="00A90DBB">
        <w:rPr>
          <w:sz w:val="20"/>
          <w:lang w:val="fr-FR"/>
        </w:rPr>
        <w:tab/>
      </w:r>
      <w:r w:rsidRPr="00A90DBB">
        <w:rPr>
          <w:b/>
          <w:sz w:val="20"/>
          <w:lang w:val="fr-FR"/>
        </w:rPr>
        <w:t>92%</w:t>
      </w:r>
      <w:r w:rsidRPr="00A90DBB">
        <w:rPr>
          <w:b/>
          <w:spacing w:val="-4"/>
          <w:sz w:val="20"/>
          <w:lang w:val="fr-FR"/>
        </w:rPr>
        <w:t xml:space="preserve"> </w:t>
      </w:r>
      <w:r w:rsidRPr="00A90DBB">
        <w:rPr>
          <w:b/>
          <w:sz w:val="20"/>
          <w:lang w:val="fr-FR"/>
        </w:rPr>
        <w:t>(86–95)</w:t>
      </w:r>
    </w:p>
    <w:p w:rsidR="00A90DBB" w:rsidRPr="00A90DBB" w:rsidRDefault="00A90DBB" w:rsidP="00A90DBB">
      <w:pPr>
        <w:pStyle w:val="Brdtekst"/>
        <w:spacing w:line="20" w:lineRule="exact"/>
        <w:ind w:left="104"/>
        <w:rPr>
          <w:sz w:val="2"/>
        </w:rPr>
      </w:pPr>
      <w:r w:rsidRPr="00A90DBB">
        <w:rPr>
          <w:noProof/>
        </w:rPr>
        <mc:AlternateContent>
          <mc:Choice Requires="wpg">
            <w:drawing>
              <wp:inline distT="0" distB="0" distL="0" distR="0">
                <wp:extent cx="5835650" cy="6350"/>
                <wp:effectExtent l="9525" t="9525" r="3175" b="3175"/>
                <wp:docPr id="69" name="Gruppe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5650" cy="6350"/>
                          <a:chOff x="0" y="0"/>
                          <a:chExt cx="9190" cy="10"/>
                        </a:xfrm>
                      </wpg:grpSpPr>
                      <wps:wsp>
                        <wps:cNvPr id="70" name="Line 9"/>
                        <wps:cNvCnPr>
                          <a:cxnSpLocks noChangeShapeType="1"/>
                        </wps:cNvCnPr>
                        <wps:spPr bwMode="auto">
                          <a:xfrm>
                            <a:off x="5" y="5"/>
                            <a:ext cx="9180"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09691F" id="Gruppe 69" o:spid="_x0000_s1026" style="width:459.5pt;height:.5pt;mso-position-horizontal-relative:char;mso-position-vertical-relative:line" coordsize="91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">
                <v:line id="Line 9" o:spid="_x0000_s1027" style="position:absolute;visibility:visible;mso-wrap-style:square" from="5,5" to="9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" strokeweight=".16936mm"/>
                <w10:anchorlock/>
              </v:group>
            </w:pict>
          </mc:Fallback>
        </mc:AlternateContent>
      </w:r>
    </w:p>
    <w:p w:rsidR="00A90DBB" w:rsidRPr="00A90DBB" w:rsidRDefault="00A90DBB" w:rsidP="00A90DBB">
      <w:pPr>
        <w:spacing w:before="21"/>
        <w:ind w:left="217"/>
        <w:rPr>
          <w:b/>
          <w:sz w:val="20"/>
          <w:lang w:val="en-US"/>
        </w:rPr>
      </w:pPr>
      <w:r w:rsidRPr="00A90DBB">
        <w:rPr>
          <w:noProof/>
          <w:sz w:val="22"/>
        </w:rPr>
        <mc:AlternateContent>
          <mc:Choice Requires="wps">
            <w:drawing>
              <wp:anchor distT="0" distB="0" distL="0" distR="0" simplePos="0" relativeHeight="251677696" behindDoc="0" locked="0" layoutInCell="1" allowOverlap="1">
                <wp:simplePos x="0" y="0"/>
                <wp:positionH relativeFrom="page">
                  <wp:posOffset>831215</wp:posOffset>
                </wp:positionH>
                <wp:positionV relativeFrom="paragraph">
                  <wp:posOffset>262255</wp:posOffset>
                </wp:positionV>
                <wp:extent cx="5829300" cy="0"/>
                <wp:effectExtent l="0" t="0" r="0" b="0"/>
                <wp:wrapTopAndBottom/>
                <wp:docPr id="74" name="Lige forbindels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FEBFF" id="Lige forbindelse 74"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45pt,20.65pt" to="524.4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" strokeweight=".16936mm">
                <w10:wrap type="topAndBottom" anchorx="page"/>
              </v:line>
            </w:pict>
          </mc:Fallback>
        </mc:AlternateContent>
      </w:r>
      <w:r w:rsidRPr="00A90DBB">
        <w:rPr>
          <w:b/>
          <w:sz w:val="20"/>
          <w:lang w:val="en-US"/>
        </w:rPr>
        <w:t>Cytogenetic response</w:t>
      </w:r>
      <w:r w:rsidRPr="00A90DBB">
        <w:rPr>
          <w:b/>
          <w:position w:val="11"/>
          <w:sz w:val="18"/>
          <w:lang w:val="en-US"/>
        </w:rPr>
        <w:t xml:space="preserve">c </w:t>
      </w:r>
      <w:r w:rsidRPr="00A90DBB">
        <w:rPr>
          <w:b/>
          <w:sz w:val="20"/>
          <w:lang w:val="en-US"/>
        </w:rPr>
        <w:t>(%) (95% CI)</w:t>
      </w:r>
    </w:p>
    <w:p w:rsidR="00A90DBB" w:rsidRPr="00A90DBB" w:rsidRDefault="00A90DBB" w:rsidP="00A90DBB">
      <w:pPr>
        <w:ind w:left="217"/>
        <w:rPr>
          <w:sz w:val="20"/>
          <w:lang w:val="en-US"/>
        </w:rPr>
      </w:pPr>
      <w:r w:rsidRPr="00A90DBB">
        <w:rPr>
          <w:sz w:val="20"/>
          <w:lang w:val="en-US"/>
        </w:rPr>
        <w:t>MCyR</w:t>
      </w:r>
    </w:p>
    <w:p w:rsidR="00A90DBB" w:rsidRPr="00A90DBB" w:rsidRDefault="00A90DBB" w:rsidP="00A90DBB">
      <w:pPr>
        <w:tabs>
          <w:tab w:val="left" w:pos="5585"/>
        </w:tabs>
        <w:spacing w:before="1"/>
        <w:ind w:left="397"/>
        <w:rPr>
          <w:b/>
          <w:sz w:val="20"/>
          <w:lang w:val="en-US"/>
        </w:rPr>
      </w:pPr>
      <w:r w:rsidRPr="00A90DBB">
        <w:rPr>
          <w:sz w:val="20"/>
          <w:lang w:val="en-US"/>
        </w:rPr>
        <w:t>All</w:t>
      </w:r>
      <w:r w:rsidRPr="00A90DBB">
        <w:rPr>
          <w:spacing w:val="-2"/>
          <w:sz w:val="20"/>
          <w:lang w:val="en-US"/>
        </w:rPr>
        <w:t xml:space="preserve"> </w:t>
      </w:r>
      <w:r w:rsidRPr="00A90DBB">
        <w:rPr>
          <w:sz w:val="20"/>
          <w:lang w:val="en-US"/>
        </w:rPr>
        <w:t>patients</w:t>
      </w:r>
      <w:r w:rsidRPr="00A90DBB">
        <w:rPr>
          <w:sz w:val="20"/>
          <w:lang w:val="en-US"/>
        </w:rPr>
        <w:tab/>
      </w:r>
      <w:r w:rsidRPr="00A90DBB">
        <w:rPr>
          <w:b/>
          <w:sz w:val="20"/>
          <w:lang w:val="en-US"/>
        </w:rPr>
        <w:t>63%</w:t>
      </w:r>
      <w:r w:rsidRPr="00A90DBB">
        <w:rPr>
          <w:b/>
          <w:spacing w:val="-4"/>
          <w:sz w:val="20"/>
          <w:lang w:val="en-US"/>
        </w:rPr>
        <w:t xml:space="preserve"> </w:t>
      </w:r>
      <w:r w:rsidRPr="00A90DBB">
        <w:rPr>
          <w:b/>
          <w:sz w:val="20"/>
          <w:lang w:val="en-US"/>
        </w:rPr>
        <w:t>(56–71)</w:t>
      </w:r>
    </w:p>
    <w:p w:rsidR="00A90DBB" w:rsidRPr="00A90DBB" w:rsidRDefault="00A90DBB" w:rsidP="00A90DBB">
      <w:pPr>
        <w:tabs>
          <w:tab w:val="left" w:pos="5585"/>
        </w:tabs>
        <w:spacing w:line="229" w:lineRule="exact"/>
        <w:ind w:left="397"/>
        <w:rPr>
          <w:b/>
          <w:sz w:val="20"/>
          <w:lang w:val="en-US"/>
        </w:rPr>
      </w:pPr>
      <w:r w:rsidRPr="00A90DBB">
        <w:rPr>
          <w:sz w:val="20"/>
          <w:lang w:val="en-US"/>
        </w:rPr>
        <w:t>Imatinib-resistant</w:t>
      </w:r>
      <w:r w:rsidRPr="00A90DBB">
        <w:rPr>
          <w:spacing w:val="-6"/>
          <w:sz w:val="20"/>
          <w:lang w:val="en-US"/>
        </w:rPr>
        <w:t xml:space="preserve"> </w:t>
      </w:r>
      <w:r w:rsidRPr="00A90DBB">
        <w:rPr>
          <w:sz w:val="20"/>
          <w:lang w:val="en-US"/>
        </w:rPr>
        <w:t>patients</w:t>
      </w:r>
      <w:r w:rsidRPr="00A90DBB">
        <w:rPr>
          <w:sz w:val="20"/>
          <w:lang w:val="en-US"/>
        </w:rPr>
        <w:tab/>
      </w:r>
      <w:r w:rsidRPr="00A90DBB">
        <w:rPr>
          <w:b/>
          <w:sz w:val="20"/>
          <w:lang w:val="en-US"/>
        </w:rPr>
        <w:t>59%</w:t>
      </w:r>
      <w:r w:rsidRPr="00A90DBB">
        <w:rPr>
          <w:b/>
          <w:spacing w:val="-4"/>
          <w:sz w:val="20"/>
          <w:lang w:val="en-US"/>
        </w:rPr>
        <w:t xml:space="preserve"> </w:t>
      </w:r>
      <w:r w:rsidRPr="00A90DBB">
        <w:rPr>
          <w:b/>
          <w:sz w:val="20"/>
          <w:lang w:val="en-US"/>
        </w:rPr>
        <w:t>(50–68)</w:t>
      </w:r>
    </w:p>
    <w:p w:rsidR="00A90DBB" w:rsidRPr="00A90DBB" w:rsidRDefault="00A90DBB" w:rsidP="00A90DBB">
      <w:pPr>
        <w:spacing w:line="229" w:lineRule="exact"/>
        <w:ind w:left="547"/>
        <w:rPr>
          <w:sz w:val="20"/>
          <w:lang w:val="en-US"/>
        </w:rPr>
      </w:pPr>
      <w:r w:rsidRPr="00A90DBB">
        <w:rPr>
          <w:sz w:val="20"/>
          <w:lang w:val="en-US"/>
        </w:rPr>
        <w:t>CCyR</w:t>
      </w:r>
    </w:p>
    <w:p w:rsidR="00A90DBB" w:rsidRPr="00A90DBB" w:rsidRDefault="00A90DBB" w:rsidP="00A90DBB">
      <w:pPr>
        <w:tabs>
          <w:tab w:val="left" w:pos="5585"/>
        </w:tabs>
        <w:spacing w:before="1"/>
        <w:ind w:left="657"/>
        <w:rPr>
          <w:b/>
          <w:sz w:val="20"/>
          <w:lang w:val="en-US"/>
        </w:rPr>
      </w:pPr>
      <w:r w:rsidRPr="00A90DBB">
        <w:rPr>
          <w:sz w:val="20"/>
          <w:lang w:val="en-US"/>
        </w:rPr>
        <w:t>All</w:t>
      </w:r>
      <w:r w:rsidRPr="00A90DBB">
        <w:rPr>
          <w:spacing w:val="-3"/>
          <w:sz w:val="20"/>
          <w:lang w:val="en-US"/>
        </w:rPr>
        <w:t xml:space="preserve"> </w:t>
      </w:r>
      <w:r w:rsidRPr="00A90DBB">
        <w:rPr>
          <w:sz w:val="20"/>
          <w:lang w:val="en-US"/>
        </w:rPr>
        <w:t>patients</w:t>
      </w:r>
      <w:r w:rsidRPr="00A90DBB">
        <w:rPr>
          <w:sz w:val="20"/>
          <w:lang w:val="en-US"/>
        </w:rPr>
        <w:tab/>
      </w:r>
      <w:r w:rsidRPr="00A90DBB">
        <w:rPr>
          <w:b/>
          <w:sz w:val="20"/>
          <w:lang w:val="en-US"/>
        </w:rPr>
        <w:t>50%</w:t>
      </w:r>
      <w:r w:rsidRPr="00A90DBB">
        <w:rPr>
          <w:b/>
          <w:spacing w:val="-4"/>
          <w:sz w:val="20"/>
          <w:lang w:val="en-US"/>
        </w:rPr>
        <w:t xml:space="preserve"> </w:t>
      </w:r>
      <w:r w:rsidRPr="00A90DBB">
        <w:rPr>
          <w:b/>
          <w:sz w:val="20"/>
          <w:lang w:val="en-US"/>
        </w:rPr>
        <w:t>(42–58)</w:t>
      </w:r>
    </w:p>
    <w:p w:rsidR="00A90DBB" w:rsidRPr="00A90DBB" w:rsidRDefault="00A90DBB" w:rsidP="00A90DBB">
      <w:pPr>
        <w:tabs>
          <w:tab w:val="left" w:pos="5585"/>
          <w:tab w:val="left" w:pos="7230"/>
        </w:tabs>
        <w:spacing w:after="8" w:line="280" w:lineRule="auto"/>
        <w:ind w:left="217" w:right="2082" w:firstLine="440"/>
        <w:rPr>
          <w:b/>
          <w:sz w:val="20"/>
          <w:lang w:val="en-US"/>
        </w:rPr>
      </w:pPr>
      <w:r w:rsidRPr="00A90DBB">
        <w:rPr>
          <w:noProof/>
          <w:sz w:val="22"/>
        </w:rPr>
        <mc:AlternateContent>
          <mc:Choice Requires="wps">
            <w:drawing>
              <wp:anchor distT="0" distB="0" distL="114300" distR="114300" simplePos="0" relativeHeight="251678720" behindDoc="1" locked="0" layoutInCell="1" allowOverlap="1">
                <wp:simplePos x="0" y="0"/>
                <wp:positionH relativeFrom="page">
                  <wp:posOffset>831215</wp:posOffset>
                </wp:positionH>
                <wp:positionV relativeFrom="paragraph">
                  <wp:posOffset>149860</wp:posOffset>
                </wp:positionV>
                <wp:extent cx="5829300" cy="0"/>
                <wp:effectExtent l="0" t="0" r="0" b="0"/>
                <wp:wrapNone/>
                <wp:docPr id="75" name="Lige forbindels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C73C1" id="Lige forbindelse 75"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45pt,11.8pt" to="524.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" strokeweight=".48pt">
                <w10:wrap anchorx="page"/>
              </v:line>
            </w:pict>
          </mc:Fallback>
        </mc:AlternateContent>
      </w:r>
      <w:r w:rsidRPr="00A90DBB">
        <w:rPr>
          <w:sz w:val="20"/>
          <w:lang w:val="en-US"/>
        </w:rPr>
        <w:t>Imatinib-resistant</w:t>
      </w:r>
      <w:r w:rsidRPr="00A90DBB">
        <w:rPr>
          <w:spacing w:val="-6"/>
          <w:sz w:val="20"/>
          <w:lang w:val="en-US"/>
        </w:rPr>
        <w:t xml:space="preserve"> </w:t>
      </w:r>
      <w:r w:rsidRPr="00A90DBB">
        <w:rPr>
          <w:sz w:val="20"/>
          <w:lang w:val="en-US"/>
        </w:rPr>
        <w:t>patients</w:t>
      </w:r>
      <w:r w:rsidRPr="00A90DBB">
        <w:rPr>
          <w:sz w:val="20"/>
          <w:lang w:val="en-US"/>
        </w:rPr>
        <w:tab/>
      </w:r>
      <w:r w:rsidRPr="00A90DBB">
        <w:rPr>
          <w:b/>
          <w:sz w:val="20"/>
          <w:lang w:val="en-US"/>
        </w:rPr>
        <w:t>44%</w:t>
      </w:r>
      <w:r w:rsidRPr="00A90DBB">
        <w:rPr>
          <w:b/>
          <w:spacing w:val="-4"/>
          <w:sz w:val="20"/>
          <w:lang w:val="en-US"/>
        </w:rPr>
        <w:t xml:space="preserve"> </w:t>
      </w:r>
      <w:r w:rsidRPr="00A90DBB">
        <w:rPr>
          <w:b/>
          <w:sz w:val="20"/>
          <w:lang w:val="en-US"/>
        </w:rPr>
        <w:t>(35–53) Major molecular response in patients achieving CCyR</w:t>
      </w:r>
      <w:r w:rsidRPr="00A90DBB">
        <w:rPr>
          <w:b/>
          <w:position w:val="11"/>
          <w:sz w:val="18"/>
          <w:lang w:val="en-US"/>
        </w:rPr>
        <w:t xml:space="preserve">d </w:t>
      </w:r>
      <w:r w:rsidRPr="00A90DBB">
        <w:rPr>
          <w:b/>
          <w:sz w:val="20"/>
          <w:lang w:val="en-US"/>
        </w:rPr>
        <w:t>(%) (95%</w:t>
      </w:r>
      <w:r w:rsidRPr="00A90DBB">
        <w:rPr>
          <w:b/>
          <w:spacing w:val="-33"/>
          <w:sz w:val="20"/>
          <w:lang w:val="en-US"/>
        </w:rPr>
        <w:t xml:space="preserve"> </w:t>
      </w:r>
      <w:r w:rsidRPr="00A90DBB">
        <w:rPr>
          <w:b/>
          <w:sz w:val="20"/>
          <w:lang w:val="en-US"/>
        </w:rPr>
        <w:t>CI)</w:t>
      </w:r>
    </w:p>
    <w:p w:rsidR="00A90DBB" w:rsidRPr="00A90DBB" w:rsidRDefault="00A90DBB" w:rsidP="00A90DBB">
      <w:pPr>
        <w:pStyle w:val="Brdtekst"/>
        <w:spacing w:line="20" w:lineRule="exact"/>
        <w:ind w:left="104"/>
        <w:rPr>
          <w:sz w:val="2"/>
        </w:rPr>
      </w:pPr>
      <w:r w:rsidRPr="00A90DBB">
        <w:rPr>
          <w:noProof/>
        </w:rPr>
        <mc:AlternateContent>
          <mc:Choice Requires="wpg">
            <w:drawing>
              <wp:inline distT="0" distB="0" distL="0" distR="0">
                <wp:extent cx="5835650" cy="6350"/>
                <wp:effectExtent l="9525" t="9525" r="3175" b="3175"/>
                <wp:docPr id="67" name="Gruppe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5650" cy="6350"/>
                          <a:chOff x="0" y="0"/>
                          <a:chExt cx="9190" cy="10"/>
                        </a:xfrm>
                      </wpg:grpSpPr>
                      <wps:wsp>
                        <wps:cNvPr id="68" name="Line 5"/>
                        <wps:cNvCnPr>
                          <a:cxnSpLocks noChangeShapeType="1"/>
                        </wps:cNvCnPr>
                        <wps:spPr bwMode="auto">
                          <a:xfrm>
                            <a:off x="5" y="5"/>
                            <a:ext cx="9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187CDF" id="Gruppe 67" o:spid="_x0000_s1026" style="width:459.5pt;height:.5pt;mso-position-horizontal-relative:char;mso-position-vertical-relative:line" coordsize="91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">
                <v:line id="Line 5" o:spid="_x0000_s1027" style="position:absolute;visibility:visible;mso-wrap-style:square" from="5,5" to="9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strokeweight=".48pt"/>
                <w10:anchorlock/>
              </v:group>
            </w:pict>
          </mc:Fallback>
        </mc:AlternateContent>
      </w:r>
    </w:p>
    <w:p w:rsidR="00A90DBB" w:rsidRPr="00A90DBB" w:rsidRDefault="00A90DBB" w:rsidP="00A90DBB">
      <w:pPr>
        <w:tabs>
          <w:tab w:val="left" w:pos="5585"/>
        </w:tabs>
        <w:spacing w:line="220" w:lineRule="exact"/>
        <w:ind w:left="217"/>
        <w:rPr>
          <w:b/>
          <w:sz w:val="20"/>
          <w:lang w:val="en-US"/>
        </w:rPr>
      </w:pPr>
      <w:r w:rsidRPr="00A90DBB">
        <w:rPr>
          <w:sz w:val="20"/>
          <w:lang w:val="en-US"/>
        </w:rPr>
        <w:t>All</w:t>
      </w:r>
      <w:r w:rsidRPr="00A90DBB">
        <w:rPr>
          <w:spacing w:val="-3"/>
          <w:sz w:val="20"/>
          <w:lang w:val="en-US"/>
        </w:rPr>
        <w:t xml:space="preserve"> </w:t>
      </w:r>
      <w:r w:rsidRPr="00A90DBB">
        <w:rPr>
          <w:sz w:val="20"/>
          <w:lang w:val="en-US"/>
        </w:rPr>
        <w:t>patients</w:t>
      </w:r>
      <w:r w:rsidRPr="00A90DBB">
        <w:rPr>
          <w:sz w:val="20"/>
          <w:lang w:val="en-US"/>
        </w:rPr>
        <w:tab/>
      </w:r>
      <w:r w:rsidRPr="00A90DBB">
        <w:rPr>
          <w:b/>
          <w:sz w:val="20"/>
          <w:lang w:val="en-US"/>
        </w:rPr>
        <w:t>69%</w:t>
      </w:r>
      <w:r w:rsidRPr="00A90DBB">
        <w:rPr>
          <w:b/>
          <w:spacing w:val="-4"/>
          <w:sz w:val="20"/>
          <w:lang w:val="en-US"/>
        </w:rPr>
        <w:t xml:space="preserve"> </w:t>
      </w:r>
      <w:r w:rsidRPr="00A90DBB">
        <w:rPr>
          <w:b/>
          <w:sz w:val="20"/>
          <w:lang w:val="en-US"/>
        </w:rPr>
        <w:t>(58–79)</w:t>
      </w:r>
    </w:p>
    <w:p w:rsidR="00A90DBB" w:rsidRPr="00A90DBB" w:rsidRDefault="00A90DBB" w:rsidP="00A90DBB">
      <w:pPr>
        <w:tabs>
          <w:tab w:val="left" w:pos="5585"/>
        </w:tabs>
        <w:spacing w:line="230" w:lineRule="exact"/>
        <w:ind w:left="217"/>
        <w:rPr>
          <w:b/>
          <w:sz w:val="20"/>
          <w:lang w:val="en-US"/>
        </w:rPr>
      </w:pPr>
      <w:r w:rsidRPr="00A90DBB">
        <w:rPr>
          <w:sz w:val="20"/>
          <w:lang w:val="en-US"/>
        </w:rPr>
        <w:t>Imatinib-resistant</w:t>
      </w:r>
      <w:r w:rsidRPr="00A90DBB">
        <w:rPr>
          <w:spacing w:val="-6"/>
          <w:sz w:val="20"/>
          <w:lang w:val="en-US"/>
        </w:rPr>
        <w:t xml:space="preserve"> </w:t>
      </w:r>
      <w:r w:rsidRPr="00A90DBB">
        <w:rPr>
          <w:sz w:val="20"/>
          <w:lang w:val="en-US"/>
        </w:rPr>
        <w:t>patients</w:t>
      </w:r>
      <w:r w:rsidRPr="00A90DBB">
        <w:rPr>
          <w:sz w:val="20"/>
          <w:lang w:val="en-US"/>
        </w:rPr>
        <w:tab/>
      </w:r>
      <w:r w:rsidRPr="00A90DBB">
        <w:rPr>
          <w:b/>
          <w:sz w:val="20"/>
          <w:lang w:val="en-US"/>
        </w:rPr>
        <w:t>72%</w:t>
      </w:r>
      <w:r w:rsidRPr="00A90DBB">
        <w:rPr>
          <w:b/>
          <w:spacing w:val="-4"/>
          <w:sz w:val="20"/>
          <w:lang w:val="en-US"/>
        </w:rPr>
        <w:t xml:space="preserve"> </w:t>
      </w:r>
      <w:r w:rsidRPr="00A90DBB">
        <w:rPr>
          <w:b/>
          <w:sz w:val="20"/>
          <w:lang w:val="en-US"/>
        </w:rPr>
        <w:t>(58–83)</w:t>
      </w:r>
    </w:p>
    <w:p w:rsidR="00A90DBB" w:rsidRPr="00A90DBB" w:rsidRDefault="00A90DBB" w:rsidP="00A90DBB">
      <w:pPr>
        <w:pStyle w:val="Brdtekst"/>
        <w:spacing w:line="20" w:lineRule="exact"/>
        <w:ind w:left="116"/>
        <w:rPr>
          <w:sz w:val="2"/>
        </w:rPr>
      </w:pPr>
      <w:r w:rsidRPr="00A90DBB">
        <w:rPr>
          <w:noProof/>
        </w:rPr>
        <mc:AlternateContent>
          <mc:Choice Requires="wpg">
            <w:drawing>
              <wp:inline distT="0" distB="0" distL="0" distR="0">
                <wp:extent cx="5498465" cy="5715"/>
                <wp:effectExtent l="9525" t="9525" r="6985" b="3810"/>
                <wp:docPr id="64" name="Gruppe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8465" cy="5715"/>
                          <a:chOff x="0" y="0"/>
                          <a:chExt cx="8659" cy="9"/>
                        </a:xfrm>
                      </wpg:grpSpPr>
                      <wps:wsp>
                        <wps:cNvPr id="65" name="Line 11"/>
                        <wps:cNvCnPr>
                          <a:cxnSpLocks noChangeShapeType="1"/>
                        </wps:cNvCnPr>
                        <wps:spPr bwMode="auto">
                          <a:xfrm>
                            <a:off x="4" y="4"/>
                            <a:ext cx="2825" cy="0"/>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wps:wsp>
                        <wps:cNvPr id="66" name="Line 62"/>
                        <wps:cNvCnPr>
                          <a:cxnSpLocks noChangeShapeType="1"/>
                        </wps:cNvCnPr>
                        <wps:spPr bwMode="auto">
                          <a:xfrm>
                            <a:off x="2815" y="4"/>
                            <a:ext cx="5839" cy="0"/>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859344" id="Gruppe 64" o:spid="_x0000_s1026" style="width:432.95pt;height:.45pt;mso-position-horizontal-relative:char;mso-position-vertical-relative:line" coordsize="86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">
                <v:line id="Line 11" o:spid="_x0000_s1027" style="position:absolute;visibility:visible;mso-wrap-style:square" from="4,4" to="2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" strokeweight=".42pt"/>
                <v:line id="Line 62" o:spid="_x0000_s1028" style="position:absolute;visibility:visible;mso-wrap-style:square" from="2815,4" to="8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" strokeweight=".42pt"/>
                <w10:anchorlock/>
              </v:group>
            </w:pict>
          </mc:Fallback>
        </mc:AlternateContent>
      </w:r>
    </w:p>
    <w:p w:rsidR="00A90DBB" w:rsidRPr="00A90DBB" w:rsidRDefault="00A90DBB" w:rsidP="00A90DBB">
      <w:pPr>
        <w:spacing w:line="176" w:lineRule="exact"/>
        <w:ind w:left="134"/>
        <w:rPr>
          <w:sz w:val="17"/>
          <w:lang w:val="en-US"/>
        </w:rPr>
      </w:pPr>
      <w:r w:rsidRPr="00A90DBB">
        <w:rPr>
          <w:position w:val="6"/>
          <w:sz w:val="11"/>
          <w:lang w:val="en-US"/>
        </w:rPr>
        <w:t xml:space="preserve">a  </w:t>
      </w:r>
      <w:r w:rsidRPr="00A90DBB">
        <w:rPr>
          <w:sz w:val="17"/>
          <w:lang w:val="en-US"/>
        </w:rPr>
        <w:t>Results reported in recommended starting dose of 100 mg once daily.</w:t>
      </w:r>
    </w:p>
    <w:p w:rsidR="00A90DBB" w:rsidRPr="00A90DBB" w:rsidRDefault="00A90DBB" w:rsidP="00A90DBB">
      <w:pPr>
        <w:spacing w:line="235" w:lineRule="auto"/>
        <w:ind w:left="303" w:right="547" w:hanging="170"/>
        <w:rPr>
          <w:sz w:val="17"/>
          <w:lang w:val="en-US"/>
        </w:rPr>
      </w:pPr>
      <w:r w:rsidRPr="00A90DBB">
        <w:rPr>
          <w:position w:val="6"/>
          <w:sz w:val="11"/>
          <w:lang w:val="en-US"/>
        </w:rPr>
        <w:t xml:space="preserve">b </w:t>
      </w:r>
      <w:r w:rsidRPr="00A90DBB">
        <w:rPr>
          <w:sz w:val="17"/>
          <w:lang w:val="en-US"/>
        </w:rPr>
        <w:t>Haematologic response criteria (all responses confirmed after 4 weeks): Complete haematologic response (CHR) (chronic CML): WBC ≤ institutional ULN, platelets &lt;450,000/mm</w:t>
      </w:r>
      <w:r w:rsidRPr="00A90DBB">
        <w:rPr>
          <w:position w:val="6"/>
          <w:sz w:val="11"/>
          <w:lang w:val="en-US"/>
        </w:rPr>
        <w:t>3</w:t>
      </w:r>
      <w:r w:rsidRPr="00A90DBB">
        <w:rPr>
          <w:sz w:val="17"/>
          <w:lang w:val="en-US"/>
        </w:rPr>
        <w:t>, no blasts or promyelocytes in peripheral blood, &lt;5% myelocytes plus metamyelocytes in peripheral blood, basophils in peripheral blood &lt;20%, and no extramedullary involvement.</w:t>
      </w:r>
    </w:p>
    <w:p w:rsidR="00A90DBB" w:rsidRPr="00A90DBB" w:rsidRDefault="00A90DBB" w:rsidP="00A90DBB">
      <w:pPr>
        <w:ind w:left="303" w:right="547" w:hanging="170"/>
        <w:rPr>
          <w:sz w:val="17"/>
          <w:lang w:val="en-US"/>
        </w:rPr>
      </w:pPr>
      <w:r w:rsidRPr="00A90DBB">
        <w:rPr>
          <w:position w:val="6"/>
          <w:sz w:val="11"/>
          <w:lang w:val="en-US"/>
        </w:rPr>
        <w:t xml:space="preserve">c </w:t>
      </w:r>
      <w:r w:rsidRPr="00A90DBB">
        <w:rPr>
          <w:sz w:val="17"/>
          <w:lang w:val="en-US"/>
        </w:rPr>
        <w:t>Cytogenetic response criteria: complete (0% Ph+ metaphases) or partial (&gt;0%–35%). MCyR (0%–35%) combines both complete and partial responses.</w:t>
      </w:r>
    </w:p>
    <w:p w:rsidR="00A90DBB" w:rsidRPr="00A90DBB" w:rsidRDefault="00A90DBB" w:rsidP="00A90DBB">
      <w:pPr>
        <w:ind w:left="303" w:right="807" w:hanging="170"/>
        <w:rPr>
          <w:sz w:val="17"/>
          <w:lang w:val="en-US"/>
        </w:rPr>
      </w:pPr>
      <w:r w:rsidRPr="00A90DBB">
        <w:rPr>
          <w:position w:val="6"/>
          <w:sz w:val="11"/>
          <w:lang w:val="en-US"/>
        </w:rPr>
        <w:t xml:space="preserve">d </w:t>
      </w:r>
      <w:r w:rsidRPr="00A90DBB">
        <w:rPr>
          <w:sz w:val="17"/>
          <w:lang w:val="en-US"/>
        </w:rPr>
        <w:t>Major molecular response criteria: Defined as BCR-ABL/control transcripts ≤0.1% by RQ-PCR in peripheral blood samples</w:t>
      </w:r>
    </w:p>
    <w:p w:rsidR="00A90DBB" w:rsidRPr="00A90DBB" w:rsidRDefault="00A90DBB" w:rsidP="00A90DBB">
      <w:pPr>
        <w:pStyle w:val="Brdtekst"/>
        <w:spacing w:before="3"/>
        <w:rPr>
          <w:sz w:val="22"/>
        </w:rPr>
      </w:pPr>
    </w:p>
    <w:p w:rsidR="00A90DBB" w:rsidRPr="00A90DBB" w:rsidRDefault="00A90DBB" w:rsidP="00A90DBB">
      <w:pPr>
        <w:pStyle w:val="Overskrift1"/>
        <w:tabs>
          <w:tab w:val="left" w:pos="1406"/>
        </w:tabs>
        <w:spacing w:before="85" w:line="228" w:lineRule="auto"/>
        <w:ind w:left="1407" w:right="257" w:hanging="1171"/>
        <w:rPr>
          <w:sz w:val="13"/>
        </w:rPr>
      </w:pPr>
      <w:r w:rsidRPr="00A90DBB">
        <w:rPr>
          <w:w w:val="105"/>
        </w:rPr>
        <w:t>Table</w:t>
      </w:r>
      <w:r w:rsidRPr="00A90DBB">
        <w:rPr>
          <w:spacing w:val="-6"/>
          <w:w w:val="105"/>
        </w:rPr>
        <w:t xml:space="preserve"> </w:t>
      </w:r>
      <w:r w:rsidRPr="00A90DBB">
        <w:rPr>
          <w:w w:val="105"/>
        </w:rPr>
        <w:t>13:</w:t>
      </w:r>
      <w:r w:rsidRPr="00A90DBB">
        <w:rPr>
          <w:w w:val="105"/>
        </w:rPr>
        <w:tab/>
      </w:r>
      <w:r w:rsidRPr="00A90DBB">
        <w:rPr>
          <w:w w:val="105"/>
        </w:rPr>
        <w:tab/>
        <w:t>Long</w:t>
      </w:r>
      <w:r w:rsidRPr="00A90DBB">
        <w:rPr>
          <w:spacing w:val="-13"/>
          <w:w w:val="105"/>
        </w:rPr>
        <w:t xml:space="preserve"> </w:t>
      </w:r>
      <w:r w:rsidRPr="00A90DBB">
        <w:rPr>
          <w:w w:val="105"/>
        </w:rPr>
        <w:t>term</w:t>
      </w:r>
      <w:r w:rsidRPr="00A90DBB">
        <w:rPr>
          <w:spacing w:val="-13"/>
          <w:w w:val="105"/>
        </w:rPr>
        <w:t xml:space="preserve"> </w:t>
      </w:r>
      <w:r w:rsidRPr="00A90DBB">
        <w:rPr>
          <w:w w:val="105"/>
        </w:rPr>
        <w:t>efficacy</w:t>
      </w:r>
      <w:r w:rsidRPr="00A90DBB">
        <w:rPr>
          <w:spacing w:val="-12"/>
          <w:w w:val="105"/>
        </w:rPr>
        <w:t xml:space="preserve"> </w:t>
      </w:r>
      <w:r w:rsidRPr="00A90DBB">
        <w:rPr>
          <w:w w:val="105"/>
        </w:rPr>
        <w:t>of</w:t>
      </w:r>
      <w:r w:rsidRPr="00A90DBB">
        <w:rPr>
          <w:spacing w:val="-13"/>
          <w:w w:val="105"/>
        </w:rPr>
        <w:t xml:space="preserve"> </w:t>
      </w:r>
      <w:r w:rsidRPr="00A90DBB">
        <w:t>dasatinib</w:t>
      </w:r>
      <w:r w:rsidRPr="00A90DBB">
        <w:rPr>
          <w:spacing w:val="-13"/>
          <w:w w:val="105"/>
        </w:rPr>
        <w:t xml:space="preserve"> </w:t>
      </w:r>
      <w:r w:rsidRPr="00A90DBB">
        <w:rPr>
          <w:w w:val="105"/>
        </w:rPr>
        <w:t>in</w:t>
      </w:r>
      <w:r w:rsidRPr="00A90DBB">
        <w:rPr>
          <w:spacing w:val="-13"/>
          <w:w w:val="105"/>
        </w:rPr>
        <w:t xml:space="preserve"> </w:t>
      </w:r>
      <w:r w:rsidRPr="00A90DBB">
        <w:rPr>
          <w:w w:val="105"/>
        </w:rPr>
        <w:t>phase</w:t>
      </w:r>
      <w:r w:rsidRPr="00A90DBB">
        <w:rPr>
          <w:spacing w:val="-12"/>
          <w:w w:val="105"/>
        </w:rPr>
        <w:t xml:space="preserve"> </w:t>
      </w:r>
      <w:r w:rsidRPr="00A90DBB">
        <w:rPr>
          <w:w w:val="105"/>
        </w:rPr>
        <w:t>3</w:t>
      </w:r>
      <w:r w:rsidRPr="00A90DBB">
        <w:rPr>
          <w:spacing w:val="-13"/>
          <w:w w:val="105"/>
        </w:rPr>
        <w:t xml:space="preserve"> </w:t>
      </w:r>
      <w:r w:rsidRPr="00A90DBB">
        <w:rPr>
          <w:w w:val="105"/>
        </w:rPr>
        <w:t>dose</w:t>
      </w:r>
      <w:r w:rsidRPr="00A90DBB">
        <w:rPr>
          <w:spacing w:val="-12"/>
          <w:w w:val="105"/>
        </w:rPr>
        <w:t xml:space="preserve"> </w:t>
      </w:r>
      <w:r w:rsidRPr="00A90DBB">
        <w:rPr>
          <w:w w:val="105"/>
        </w:rPr>
        <w:t>optimisation</w:t>
      </w:r>
      <w:r w:rsidRPr="00A90DBB">
        <w:rPr>
          <w:spacing w:val="-13"/>
          <w:w w:val="105"/>
        </w:rPr>
        <w:t xml:space="preserve"> </w:t>
      </w:r>
      <w:r w:rsidRPr="00A90DBB">
        <w:rPr>
          <w:w w:val="105"/>
        </w:rPr>
        <w:t>study:</w:t>
      </w:r>
      <w:r w:rsidRPr="00A90DBB">
        <w:rPr>
          <w:spacing w:val="-13"/>
          <w:w w:val="105"/>
        </w:rPr>
        <w:t xml:space="preserve"> </w:t>
      </w:r>
      <w:r w:rsidRPr="00A90DBB">
        <w:rPr>
          <w:w w:val="105"/>
        </w:rPr>
        <w:t>imatinib</w:t>
      </w:r>
      <w:r w:rsidRPr="00A90DBB">
        <w:rPr>
          <w:spacing w:val="-13"/>
          <w:w w:val="105"/>
        </w:rPr>
        <w:t xml:space="preserve"> </w:t>
      </w:r>
      <w:r w:rsidRPr="00A90DBB">
        <w:rPr>
          <w:w w:val="105"/>
        </w:rPr>
        <w:t>resistant</w:t>
      </w:r>
      <w:r w:rsidRPr="00A90DBB">
        <w:rPr>
          <w:w w:val="103"/>
        </w:rPr>
        <w:t xml:space="preserve"> </w:t>
      </w:r>
      <w:r w:rsidRPr="00A90DBB">
        <w:rPr>
          <w:w w:val="105"/>
        </w:rPr>
        <w:t>or</w:t>
      </w:r>
      <w:r w:rsidRPr="00A90DBB">
        <w:rPr>
          <w:spacing w:val="-17"/>
          <w:w w:val="105"/>
        </w:rPr>
        <w:t xml:space="preserve"> </w:t>
      </w:r>
      <w:r w:rsidRPr="00A90DBB">
        <w:rPr>
          <w:w w:val="105"/>
        </w:rPr>
        <w:t>intolerant</w:t>
      </w:r>
      <w:r w:rsidRPr="00A90DBB">
        <w:rPr>
          <w:spacing w:val="-16"/>
          <w:w w:val="105"/>
        </w:rPr>
        <w:t xml:space="preserve"> </w:t>
      </w:r>
      <w:r w:rsidRPr="00A90DBB">
        <w:rPr>
          <w:w w:val="105"/>
        </w:rPr>
        <w:t>chronic</w:t>
      </w:r>
      <w:r w:rsidRPr="00A90DBB">
        <w:rPr>
          <w:spacing w:val="-17"/>
          <w:w w:val="105"/>
        </w:rPr>
        <w:t xml:space="preserve"> </w:t>
      </w:r>
      <w:r w:rsidRPr="00A90DBB">
        <w:rPr>
          <w:w w:val="105"/>
        </w:rPr>
        <w:t>phase</w:t>
      </w:r>
      <w:r w:rsidRPr="00A90DBB">
        <w:rPr>
          <w:spacing w:val="-16"/>
          <w:w w:val="105"/>
        </w:rPr>
        <w:t xml:space="preserve"> </w:t>
      </w:r>
      <w:r w:rsidRPr="00A90DBB">
        <w:rPr>
          <w:w w:val="105"/>
        </w:rPr>
        <w:t>CML</w:t>
      </w:r>
      <w:r w:rsidRPr="00A90DBB">
        <w:rPr>
          <w:spacing w:val="-16"/>
          <w:w w:val="105"/>
        </w:rPr>
        <w:t xml:space="preserve"> </w:t>
      </w:r>
      <w:r w:rsidRPr="00A90DBB">
        <w:rPr>
          <w:w w:val="105"/>
        </w:rPr>
        <w:t>patients</w:t>
      </w:r>
      <w:r w:rsidRPr="00A90DBB">
        <w:rPr>
          <w:w w:val="105"/>
          <w:position w:val="8"/>
          <w:sz w:val="13"/>
        </w:rPr>
        <w:t>a</w:t>
      </w:r>
    </w:p>
    <w:p w:rsidR="00A90DBB" w:rsidRPr="00A90DBB" w:rsidRDefault="00A90DBB" w:rsidP="00A90DBB">
      <w:pPr>
        <w:spacing w:before="9" w:after="5"/>
        <w:ind w:left="4791"/>
        <w:rPr>
          <w:b/>
          <w:sz w:val="20"/>
        </w:rPr>
      </w:pPr>
      <w:r w:rsidRPr="00A90DBB">
        <w:rPr>
          <w:b/>
          <w:w w:val="105"/>
          <w:sz w:val="20"/>
        </w:rPr>
        <w:t>Minimum follow-up period</w:t>
      </w:r>
    </w:p>
    <w:tbl>
      <w:tblPr>
        <w:tblStyle w:val="TableNormal1"/>
        <w:tblW w:w="0" w:type="auto"/>
        <w:tblInd w:w="120" w:type="dxa"/>
        <w:tblLayout w:type="fixed"/>
        <w:tblLook w:val="01E0" w:firstRow="1" w:lastRow="1" w:firstColumn="1" w:lastColumn="1" w:noHBand="0" w:noVBand="0"/>
      </w:tblPr>
      <w:tblGrid>
        <w:gridCol w:w="2574"/>
        <w:gridCol w:w="1559"/>
        <w:gridCol w:w="1559"/>
        <w:gridCol w:w="1418"/>
        <w:gridCol w:w="1559"/>
      </w:tblGrid>
      <w:tr w:rsidR="00A90DBB" w:rsidRPr="00A90DBB" w:rsidTr="00A90DBB">
        <w:trPr>
          <w:trHeight w:val="254"/>
        </w:trPr>
        <w:tc>
          <w:tcPr>
            <w:tcW w:w="2574" w:type="dxa"/>
            <w:tcBorders>
              <w:top w:val="nil"/>
              <w:left w:val="nil"/>
              <w:bottom w:val="single" w:sz="4" w:space="0" w:color="000000"/>
              <w:right w:val="nil"/>
            </w:tcBorders>
          </w:tcPr>
          <w:p w:rsidR="00A90DBB" w:rsidRPr="00A90DBB" w:rsidRDefault="00A90DBB">
            <w:pPr>
              <w:pStyle w:val="TableParagraph"/>
              <w:rPr>
                <w:rFonts w:ascii="Times New Roman" w:hAnsi="Times New Roman" w:cs="Times New Roman"/>
                <w:sz w:val="16"/>
              </w:rPr>
            </w:pPr>
          </w:p>
        </w:tc>
        <w:tc>
          <w:tcPr>
            <w:tcW w:w="1559" w:type="dxa"/>
            <w:tcBorders>
              <w:top w:val="single" w:sz="4" w:space="0" w:color="000000"/>
              <w:left w:val="nil"/>
              <w:bottom w:val="single" w:sz="4" w:space="0" w:color="000000"/>
              <w:right w:val="nil"/>
            </w:tcBorders>
            <w:hideMark/>
          </w:tcPr>
          <w:p w:rsidR="00A90DBB" w:rsidRPr="00A90DBB" w:rsidRDefault="00A90DBB">
            <w:pPr>
              <w:pStyle w:val="TableParagraph"/>
              <w:spacing w:before="7" w:line="210" w:lineRule="exact"/>
              <w:ind w:left="116" w:right="107"/>
              <w:jc w:val="center"/>
              <w:rPr>
                <w:rFonts w:ascii="Times New Roman" w:hAnsi="Times New Roman" w:cs="Times New Roman"/>
                <w:b/>
                <w:sz w:val="20"/>
              </w:rPr>
            </w:pPr>
            <w:r w:rsidRPr="00A90DBB">
              <w:rPr>
                <w:rFonts w:ascii="Times New Roman" w:hAnsi="Times New Roman" w:cs="Times New Roman"/>
                <w:b/>
                <w:w w:val="105"/>
                <w:sz w:val="20"/>
              </w:rPr>
              <w:t>1 year</w:t>
            </w:r>
          </w:p>
        </w:tc>
        <w:tc>
          <w:tcPr>
            <w:tcW w:w="1559" w:type="dxa"/>
            <w:tcBorders>
              <w:top w:val="single" w:sz="4" w:space="0" w:color="000000"/>
              <w:left w:val="nil"/>
              <w:bottom w:val="single" w:sz="4" w:space="0" w:color="000000"/>
              <w:right w:val="nil"/>
            </w:tcBorders>
            <w:hideMark/>
          </w:tcPr>
          <w:p w:rsidR="00A90DBB" w:rsidRPr="00A90DBB" w:rsidRDefault="00A90DBB">
            <w:pPr>
              <w:pStyle w:val="TableParagraph"/>
              <w:spacing w:before="7" w:line="210" w:lineRule="exact"/>
              <w:ind w:left="112" w:right="139"/>
              <w:jc w:val="center"/>
              <w:rPr>
                <w:rFonts w:ascii="Times New Roman" w:hAnsi="Times New Roman" w:cs="Times New Roman"/>
                <w:b/>
                <w:sz w:val="20"/>
              </w:rPr>
            </w:pPr>
            <w:r w:rsidRPr="00A90DBB">
              <w:rPr>
                <w:rFonts w:ascii="Times New Roman" w:hAnsi="Times New Roman" w:cs="Times New Roman"/>
                <w:b/>
                <w:w w:val="105"/>
                <w:sz w:val="20"/>
              </w:rPr>
              <w:t>2 years</w:t>
            </w:r>
          </w:p>
        </w:tc>
        <w:tc>
          <w:tcPr>
            <w:tcW w:w="1418" w:type="dxa"/>
            <w:tcBorders>
              <w:top w:val="single" w:sz="4" w:space="0" w:color="000000"/>
              <w:left w:val="nil"/>
              <w:bottom w:val="single" w:sz="4" w:space="0" w:color="000000"/>
              <w:right w:val="nil"/>
            </w:tcBorders>
            <w:hideMark/>
          </w:tcPr>
          <w:p w:rsidR="00A90DBB" w:rsidRPr="00A90DBB" w:rsidRDefault="00A90DBB">
            <w:pPr>
              <w:pStyle w:val="TableParagraph"/>
              <w:spacing w:before="7" w:line="210" w:lineRule="exact"/>
              <w:ind w:left="142" w:right="178"/>
              <w:jc w:val="center"/>
              <w:rPr>
                <w:rFonts w:ascii="Times New Roman" w:hAnsi="Times New Roman" w:cs="Times New Roman"/>
                <w:b/>
                <w:sz w:val="20"/>
              </w:rPr>
            </w:pPr>
            <w:r w:rsidRPr="00A90DBB">
              <w:rPr>
                <w:rFonts w:ascii="Times New Roman" w:hAnsi="Times New Roman" w:cs="Times New Roman"/>
                <w:b/>
                <w:w w:val="105"/>
                <w:sz w:val="20"/>
              </w:rPr>
              <w:t>5 years</w:t>
            </w:r>
          </w:p>
        </w:tc>
        <w:tc>
          <w:tcPr>
            <w:tcW w:w="1559" w:type="dxa"/>
            <w:tcBorders>
              <w:top w:val="single" w:sz="4" w:space="0" w:color="000000"/>
              <w:left w:val="nil"/>
              <w:bottom w:val="single" w:sz="4" w:space="0" w:color="000000"/>
              <w:right w:val="nil"/>
            </w:tcBorders>
            <w:hideMark/>
          </w:tcPr>
          <w:p w:rsidR="00A90DBB" w:rsidRPr="00A90DBB" w:rsidRDefault="00A90DBB">
            <w:pPr>
              <w:pStyle w:val="TableParagraph"/>
              <w:spacing w:before="7" w:line="210" w:lineRule="exact"/>
              <w:ind w:left="179" w:right="175"/>
              <w:jc w:val="center"/>
              <w:rPr>
                <w:rFonts w:ascii="Times New Roman" w:hAnsi="Times New Roman" w:cs="Times New Roman"/>
                <w:b/>
                <w:sz w:val="20"/>
              </w:rPr>
            </w:pPr>
            <w:r w:rsidRPr="00A90DBB">
              <w:rPr>
                <w:rFonts w:ascii="Times New Roman" w:hAnsi="Times New Roman" w:cs="Times New Roman"/>
                <w:b/>
                <w:w w:val="105"/>
                <w:sz w:val="20"/>
              </w:rPr>
              <w:t>7 years</w:t>
            </w:r>
          </w:p>
        </w:tc>
      </w:tr>
      <w:tr w:rsidR="00A90DBB" w:rsidRPr="00A90DBB" w:rsidTr="00A90DBB">
        <w:trPr>
          <w:trHeight w:val="278"/>
        </w:trPr>
        <w:tc>
          <w:tcPr>
            <w:tcW w:w="2574" w:type="dxa"/>
            <w:tcBorders>
              <w:top w:val="single" w:sz="4" w:space="0" w:color="000000"/>
              <w:left w:val="nil"/>
              <w:bottom w:val="nil"/>
              <w:right w:val="nil"/>
            </w:tcBorders>
            <w:hideMark/>
          </w:tcPr>
          <w:p w:rsidR="00A90DBB" w:rsidRPr="00A90DBB" w:rsidRDefault="00A90DBB">
            <w:pPr>
              <w:pStyle w:val="TableParagraph"/>
              <w:spacing w:before="7" w:line="215" w:lineRule="exact"/>
              <w:rPr>
                <w:rFonts w:ascii="Times New Roman" w:hAnsi="Times New Roman" w:cs="Times New Roman"/>
                <w:b/>
                <w:sz w:val="18"/>
                <w:szCs w:val="18"/>
              </w:rPr>
            </w:pPr>
            <w:r w:rsidRPr="00A90DBB">
              <w:rPr>
                <w:rFonts w:ascii="Times New Roman" w:hAnsi="Times New Roman" w:cs="Times New Roman"/>
                <w:b/>
                <w:w w:val="105"/>
                <w:sz w:val="18"/>
                <w:szCs w:val="18"/>
              </w:rPr>
              <w:t>Major molecular response</w:t>
            </w:r>
          </w:p>
        </w:tc>
        <w:tc>
          <w:tcPr>
            <w:tcW w:w="1559" w:type="dxa"/>
            <w:tcBorders>
              <w:top w:val="single" w:sz="4" w:space="0" w:color="000000"/>
              <w:left w:val="nil"/>
              <w:bottom w:val="nil"/>
              <w:right w:val="nil"/>
            </w:tcBorders>
          </w:tcPr>
          <w:p w:rsidR="00A90DBB" w:rsidRPr="00A90DBB" w:rsidRDefault="00A90DBB">
            <w:pPr>
              <w:pStyle w:val="TableParagraph"/>
              <w:rPr>
                <w:rFonts w:ascii="Times New Roman" w:hAnsi="Times New Roman" w:cs="Times New Roman"/>
                <w:sz w:val="18"/>
                <w:szCs w:val="18"/>
              </w:rPr>
            </w:pPr>
          </w:p>
        </w:tc>
        <w:tc>
          <w:tcPr>
            <w:tcW w:w="1559" w:type="dxa"/>
            <w:tcBorders>
              <w:top w:val="single" w:sz="4" w:space="0" w:color="000000"/>
              <w:left w:val="nil"/>
              <w:bottom w:val="nil"/>
              <w:right w:val="nil"/>
            </w:tcBorders>
          </w:tcPr>
          <w:p w:rsidR="00A90DBB" w:rsidRPr="00A90DBB" w:rsidRDefault="00A90DBB">
            <w:pPr>
              <w:pStyle w:val="TableParagraph"/>
              <w:rPr>
                <w:rFonts w:ascii="Times New Roman" w:hAnsi="Times New Roman" w:cs="Times New Roman"/>
                <w:sz w:val="18"/>
                <w:szCs w:val="18"/>
              </w:rPr>
            </w:pPr>
          </w:p>
        </w:tc>
        <w:tc>
          <w:tcPr>
            <w:tcW w:w="1418" w:type="dxa"/>
            <w:tcBorders>
              <w:top w:val="single" w:sz="4" w:space="0" w:color="000000"/>
              <w:left w:val="nil"/>
              <w:bottom w:val="nil"/>
              <w:right w:val="nil"/>
            </w:tcBorders>
          </w:tcPr>
          <w:p w:rsidR="00A90DBB" w:rsidRPr="00A90DBB" w:rsidRDefault="00A90DBB">
            <w:pPr>
              <w:pStyle w:val="TableParagraph"/>
              <w:rPr>
                <w:rFonts w:ascii="Times New Roman" w:hAnsi="Times New Roman" w:cs="Times New Roman"/>
                <w:sz w:val="18"/>
                <w:szCs w:val="18"/>
              </w:rPr>
            </w:pPr>
          </w:p>
        </w:tc>
        <w:tc>
          <w:tcPr>
            <w:tcW w:w="1559" w:type="dxa"/>
            <w:tcBorders>
              <w:top w:val="single" w:sz="4" w:space="0" w:color="000000"/>
              <w:left w:val="nil"/>
              <w:bottom w:val="nil"/>
              <w:right w:val="nil"/>
            </w:tcBorders>
          </w:tcPr>
          <w:p w:rsidR="00A90DBB" w:rsidRPr="00A90DBB" w:rsidRDefault="00A90DBB">
            <w:pPr>
              <w:pStyle w:val="TableParagraph"/>
              <w:rPr>
                <w:rFonts w:ascii="Times New Roman" w:hAnsi="Times New Roman" w:cs="Times New Roman"/>
                <w:sz w:val="18"/>
                <w:szCs w:val="18"/>
              </w:rPr>
            </w:pPr>
          </w:p>
        </w:tc>
      </w:tr>
      <w:tr w:rsidR="00A90DBB" w:rsidRPr="00A90DBB" w:rsidTr="00A90DBB">
        <w:trPr>
          <w:trHeight w:val="254"/>
        </w:trPr>
        <w:tc>
          <w:tcPr>
            <w:tcW w:w="2574" w:type="dxa"/>
            <w:hideMark/>
          </w:tcPr>
          <w:p w:rsidR="00A90DBB" w:rsidRPr="00A90DBB" w:rsidRDefault="00A90DBB">
            <w:pPr>
              <w:pStyle w:val="TableParagraph"/>
              <w:spacing w:before="1" w:line="216" w:lineRule="exact"/>
              <w:ind w:left="164"/>
              <w:rPr>
                <w:rFonts w:ascii="Times New Roman" w:hAnsi="Times New Roman" w:cs="Times New Roman"/>
                <w:sz w:val="18"/>
                <w:szCs w:val="18"/>
              </w:rPr>
            </w:pPr>
            <w:r w:rsidRPr="00A90DBB">
              <w:rPr>
                <w:rFonts w:ascii="Times New Roman" w:hAnsi="Times New Roman" w:cs="Times New Roman"/>
                <w:w w:val="105"/>
                <w:sz w:val="18"/>
                <w:szCs w:val="18"/>
              </w:rPr>
              <w:t>All patients</w:t>
            </w:r>
          </w:p>
        </w:tc>
        <w:tc>
          <w:tcPr>
            <w:tcW w:w="1559" w:type="dxa"/>
            <w:hideMark/>
          </w:tcPr>
          <w:p w:rsidR="00A90DBB" w:rsidRPr="00A90DBB" w:rsidRDefault="00A90DBB">
            <w:pPr>
              <w:pStyle w:val="TableParagraph"/>
              <w:spacing w:before="1" w:line="216" w:lineRule="exact"/>
              <w:ind w:left="116" w:right="106"/>
              <w:jc w:val="center"/>
              <w:rPr>
                <w:rFonts w:ascii="Times New Roman" w:hAnsi="Times New Roman" w:cs="Times New Roman"/>
                <w:sz w:val="18"/>
                <w:szCs w:val="18"/>
              </w:rPr>
            </w:pPr>
            <w:r w:rsidRPr="00A90DBB">
              <w:rPr>
                <w:rFonts w:ascii="Times New Roman" w:hAnsi="Times New Roman" w:cs="Times New Roman"/>
                <w:w w:val="105"/>
                <w:sz w:val="18"/>
                <w:szCs w:val="18"/>
              </w:rPr>
              <w:t>NA</w:t>
            </w:r>
          </w:p>
        </w:tc>
        <w:tc>
          <w:tcPr>
            <w:tcW w:w="1559" w:type="dxa"/>
            <w:hideMark/>
          </w:tcPr>
          <w:p w:rsidR="00A90DBB" w:rsidRPr="00A90DBB" w:rsidRDefault="00A90DBB">
            <w:pPr>
              <w:pStyle w:val="TableParagraph"/>
              <w:spacing w:before="1" w:line="216" w:lineRule="exact"/>
              <w:ind w:left="111" w:right="141"/>
              <w:jc w:val="center"/>
              <w:rPr>
                <w:rFonts w:ascii="Times New Roman" w:hAnsi="Times New Roman" w:cs="Times New Roman"/>
                <w:sz w:val="18"/>
                <w:szCs w:val="18"/>
              </w:rPr>
            </w:pPr>
            <w:r w:rsidRPr="00A90DBB">
              <w:rPr>
                <w:rFonts w:ascii="Times New Roman" w:hAnsi="Times New Roman" w:cs="Times New Roman"/>
                <w:w w:val="105"/>
                <w:sz w:val="18"/>
                <w:szCs w:val="18"/>
              </w:rPr>
              <w:t>37% (57/154)</w:t>
            </w:r>
          </w:p>
        </w:tc>
        <w:tc>
          <w:tcPr>
            <w:tcW w:w="1418" w:type="dxa"/>
            <w:hideMark/>
          </w:tcPr>
          <w:p w:rsidR="00A90DBB" w:rsidRPr="00A90DBB" w:rsidRDefault="00A90DBB">
            <w:pPr>
              <w:pStyle w:val="TableParagraph"/>
              <w:spacing w:before="1" w:line="216" w:lineRule="exact"/>
              <w:ind w:left="140" w:right="178"/>
              <w:jc w:val="center"/>
              <w:rPr>
                <w:rFonts w:ascii="Times New Roman" w:hAnsi="Times New Roman" w:cs="Times New Roman"/>
                <w:sz w:val="18"/>
                <w:szCs w:val="18"/>
              </w:rPr>
            </w:pPr>
            <w:r w:rsidRPr="00A90DBB">
              <w:rPr>
                <w:rFonts w:ascii="Times New Roman" w:hAnsi="Times New Roman" w:cs="Times New Roman"/>
                <w:w w:val="105"/>
                <w:sz w:val="18"/>
                <w:szCs w:val="18"/>
              </w:rPr>
              <w:t>44% (71/160)</w:t>
            </w:r>
          </w:p>
        </w:tc>
        <w:tc>
          <w:tcPr>
            <w:tcW w:w="1559" w:type="dxa"/>
            <w:hideMark/>
          </w:tcPr>
          <w:p w:rsidR="00A90DBB" w:rsidRPr="00A90DBB" w:rsidRDefault="00A90DBB">
            <w:pPr>
              <w:pStyle w:val="TableParagraph"/>
              <w:spacing w:before="1" w:line="216" w:lineRule="exact"/>
              <w:ind w:left="178" w:right="176"/>
              <w:jc w:val="center"/>
              <w:rPr>
                <w:rFonts w:ascii="Times New Roman" w:hAnsi="Times New Roman" w:cs="Times New Roman"/>
                <w:sz w:val="18"/>
                <w:szCs w:val="18"/>
              </w:rPr>
            </w:pPr>
            <w:r w:rsidRPr="00A90DBB">
              <w:rPr>
                <w:rFonts w:ascii="Times New Roman" w:hAnsi="Times New Roman" w:cs="Times New Roman"/>
                <w:w w:val="105"/>
                <w:sz w:val="18"/>
                <w:szCs w:val="18"/>
              </w:rPr>
              <w:t>46% (73/160)</w:t>
            </w:r>
          </w:p>
        </w:tc>
      </w:tr>
      <w:tr w:rsidR="00A90DBB" w:rsidRPr="00A90DBB" w:rsidTr="00A90DBB">
        <w:trPr>
          <w:trHeight w:val="254"/>
        </w:trPr>
        <w:tc>
          <w:tcPr>
            <w:tcW w:w="2574" w:type="dxa"/>
            <w:hideMark/>
          </w:tcPr>
          <w:p w:rsidR="00A90DBB" w:rsidRPr="00A90DBB" w:rsidRDefault="00A90DBB">
            <w:pPr>
              <w:pStyle w:val="TableParagraph"/>
              <w:spacing w:before="1" w:line="216" w:lineRule="exact"/>
              <w:ind w:left="164"/>
              <w:jc w:val="both"/>
              <w:rPr>
                <w:rFonts w:ascii="Times New Roman" w:hAnsi="Times New Roman" w:cs="Times New Roman"/>
                <w:sz w:val="18"/>
                <w:szCs w:val="18"/>
              </w:rPr>
            </w:pPr>
            <w:r w:rsidRPr="00A90DBB">
              <w:rPr>
                <w:rFonts w:ascii="Times New Roman" w:hAnsi="Times New Roman" w:cs="Times New Roman"/>
                <w:sz w:val="18"/>
                <w:szCs w:val="18"/>
              </w:rPr>
              <w:t>Imatinib-resistant  patients</w:t>
            </w:r>
          </w:p>
        </w:tc>
        <w:tc>
          <w:tcPr>
            <w:tcW w:w="1559" w:type="dxa"/>
            <w:hideMark/>
          </w:tcPr>
          <w:p w:rsidR="00A90DBB" w:rsidRPr="00A90DBB" w:rsidRDefault="00A90DBB">
            <w:pPr>
              <w:pStyle w:val="TableParagraph"/>
              <w:spacing w:before="1" w:line="216" w:lineRule="exact"/>
              <w:ind w:left="116" w:right="105"/>
              <w:jc w:val="center"/>
              <w:rPr>
                <w:rFonts w:ascii="Times New Roman" w:hAnsi="Times New Roman" w:cs="Times New Roman"/>
                <w:sz w:val="18"/>
                <w:szCs w:val="18"/>
              </w:rPr>
            </w:pPr>
            <w:r w:rsidRPr="00A90DBB">
              <w:rPr>
                <w:rFonts w:ascii="Times New Roman" w:hAnsi="Times New Roman" w:cs="Times New Roman"/>
                <w:w w:val="105"/>
                <w:sz w:val="18"/>
                <w:szCs w:val="18"/>
              </w:rPr>
              <w:t>NA</w:t>
            </w:r>
          </w:p>
        </w:tc>
        <w:tc>
          <w:tcPr>
            <w:tcW w:w="1559" w:type="dxa"/>
            <w:hideMark/>
          </w:tcPr>
          <w:p w:rsidR="00A90DBB" w:rsidRPr="00A90DBB" w:rsidRDefault="00A90DBB">
            <w:pPr>
              <w:pStyle w:val="TableParagraph"/>
              <w:spacing w:before="1" w:line="216" w:lineRule="exact"/>
              <w:ind w:left="112" w:right="139"/>
              <w:jc w:val="center"/>
              <w:rPr>
                <w:rFonts w:ascii="Times New Roman" w:hAnsi="Times New Roman" w:cs="Times New Roman"/>
                <w:sz w:val="18"/>
                <w:szCs w:val="18"/>
              </w:rPr>
            </w:pPr>
            <w:r w:rsidRPr="00A90DBB">
              <w:rPr>
                <w:rFonts w:ascii="Times New Roman" w:hAnsi="Times New Roman" w:cs="Times New Roman"/>
                <w:w w:val="105"/>
                <w:sz w:val="18"/>
                <w:szCs w:val="18"/>
              </w:rPr>
              <w:t>35% (41/117)</w:t>
            </w:r>
          </w:p>
        </w:tc>
        <w:tc>
          <w:tcPr>
            <w:tcW w:w="1418" w:type="dxa"/>
            <w:hideMark/>
          </w:tcPr>
          <w:p w:rsidR="00A90DBB" w:rsidRPr="00A90DBB" w:rsidRDefault="00A90DBB">
            <w:pPr>
              <w:pStyle w:val="TableParagraph"/>
              <w:spacing w:before="1" w:line="216" w:lineRule="exact"/>
              <w:ind w:left="143" w:right="176"/>
              <w:jc w:val="center"/>
              <w:rPr>
                <w:rFonts w:ascii="Times New Roman" w:hAnsi="Times New Roman" w:cs="Times New Roman"/>
                <w:sz w:val="18"/>
                <w:szCs w:val="18"/>
              </w:rPr>
            </w:pPr>
            <w:r w:rsidRPr="00A90DBB">
              <w:rPr>
                <w:rFonts w:ascii="Times New Roman" w:hAnsi="Times New Roman" w:cs="Times New Roman"/>
                <w:w w:val="105"/>
                <w:sz w:val="18"/>
                <w:szCs w:val="18"/>
              </w:rPr>
              <w:t>42% (50/120)</w:t>
            </w:r>
          </w:p>
        </w:tc>
        <w:tc>
          <w:tcPr>
            <w:tcW w:w="1559" w:type="dxa"/>
            <w:hideMark/>
          </w:tcPr>
          <w:p w:rsidR="00A90DBB" w:rsidRPr="00A90DBB" w:rsidRDefault="00A90DBB">
            <w:pPr>
              <w:pStyle w:val="TableParagraph"/>
              <w:spacing w:before="1" w:line="216" w:lineRule="exact"/>
              <w:ind w:left="179" w:right="175"/>
              <w:jc w:val="center"/>
              <w:rPr>
                <w:rFonts w:ascii="Times New Roman" w:hAnsi="Times New Roman" w:cs="Times New Roman"/>
                <w:sz w:val="18"/>
                <w:szCs w:val="18"/>
              </w:rPr>
            </w:pPr>
            <w:r w:rsidRPr="00A90DBB">
              <w:rPr>
                <w:rFonts w:ascii="Times New Roman" w:hAnsi="Times New Roman" w:cs="Times New Roman"/>
                <w:w w:val="105"/>
                <w:sz w:val="18"/>
                <w:szCs w:val="18"/>
              </w:rPr>
              <w:t>43% (51/120)</w:t>
            </w:r>
          </w:p>
        </w:tc>
      </w:tr>
      <w:tr w:rsidR="00A90DBB" w:rsidRPr="00A90DBB" w:rsidTr="00A90DBB">
        <w:trPr>
          <w:trHeight w:val="254"/>
        </w:trPr>
        <w:tc>
          <w:tcPr>
            <w:tcW w:w="2574" w:type="dxa"/>
            <w:hideMark/>
          </w:tcPr>
          <w:p w:rsidR="00A90DBB" w:rsidRPr="00A90DBB" w:rsidRDefault="00A90DBB">
            <w:pPr>
              <w:pStyle w:val="TableParagraph"/>
              <w:spacing w:before="2" w:line="211" w:lineRule="exact"/>
              <w:ind w:left="164" w:right="163"/>
              <w:rPr>
                <w:rFonts w:ascii="Times New Roman" w:hAnsi="Times New Roman" w:cs="Times New Roman"/>
                <w:sz w:val="18"/>
                <w:szCs w:val="18"/>
              </w:rPr>
            </w:pPr>
            <w:r w:rsidRPr="00A90DBB">
              <w:rPr>
                <w:rFonts w:ascii="Times New Roman" w:hAnsi="Times New Roman" w:cs="Times New Roman"/>
                <w:sz w:val="18"/>
                <w:szCs w:val="18"/>
              </w:rPr>
              <w:t>Imatinib-intolerant  patients</w:t>
            </w:r>
          </w:p>
        </w:tc>
        <w:tc>
          <w:tcPr>
            <w:tcW w:w="1559" w:type="dxa"/>
            <w:hideMark/>
          </w:tcPr>
          <w:p w:rsidR="00A90DBB" w:rsidRPr="00A90DBB" w:rsidRDefault="00A90DBB">
            <w:pPr>
              <w:pStyle w:val="TableParagraph"/>
              <w:spacing w:before="2" w:line="211" w:lineRule="exact"/>
              <w:ind w:left="116" w:right="109"/>
              <w:jc w:val="center"/>
              <w:rPr>
                <w:rFonts w:ascii="Times New Roman" w:hAnsi="Times New Roman" w:cs="Times New Roman"/>
                <w:sz w:val="18"/>
                <w:szCs w:val="18"/>
              </w:rPr>
            </w:pPr>
            <w:r w:rsidRPr="00A90DBB">
              <w:rPr>
                <w:rFonts w:ascii="Times New Roman" w:hAnsi="Times New Roman" w:cs="Times New Roman"/>
                <w:w w:val="105"/>
                <w:sz w:val="18"/>
                <w:szCs w:val="18"/>
              </w:rPr>
              <w:t>NA</w:t>
            </w:r>
          </w:p>
        </w:tc>
        <w:tc>
          <w:tcPr>
            <w:tcW w:w="1559" w:type="dxa"/>
            <w:hideMark/>
          </w:tcPr>
          <w:p w:rsidR="00A90DBB" w:rsidRPr="00A90DBB" w:rsidRDefault="00A90DBB">
            <w:pPr>
              <w:pStyle w:val="TableParagraph"/>
              <w:spacing w:before="2" w:line="211" w:lineRule="exact"/>
              <w:ind w:left="111" w:right="141"/>
              <w:jc w:val="center"/>
              <w:rPr>
                <w:rFonts w:ascii="Times New Roman" w:hAnsi="Times New Roman" w:cs="Times New Roman"/>
                <w:sz w:val="18"/>
                <w:szCs w:val="18"/>
              </w:rPr>
            </w:pPr>
            <w:r w:rsidRPr="00A90DBB">
              <w:rPr>
                <w:rFonts w:ascii="Times New Roman" w:hAnsi="Times New Roman" w:cs="Times New Roman"/>
                <w:w w:val="105"/>
                <w:sz w:val="18"/>
                <w:szCs w:val="18"/>
              </w:rPr>
              <w:t>43% (16/37)</w:t>
            </w:r>
          </w:p>
        </w:tc>
        <w:tc>
          <w:tcPr>
            <w:tcW w:w="1418" w:type="dxa"/>
            <w:hideMark/>
          </w:tcPr>
          <w:p w:rsidR="00A90DBB" w:rsidRPr="00A90DBB" w:rsidRDefault="00A90DBB">
            <w:pPr>
              <w:pStyle w:val="TableParagraph"/>
              <w:spacing w:before="2" w:line="211" w:lineRule="exact"/>
              <w:ind w:left="141" w:right="178"/>
              <w:jc w:val="center"/>
              <w:rPr>
                <w:rFonts w:ascii="Times New Roman" w:hAnsi="Times New Roman" w:cs="Times New Roman"/>
                <w:sz w:val="18"/>
                <w:szCs w:val="18"/>
              </w:rPr>
            </w:pPr>
            <w:r w:rsidRPr="00A90DBB">
              <w:rPr>
                <w:rFonts w:ascii="Times New Roman" w:hAnsi="Times New Roman" w:cs="Times New Roman"/>
                <w:w w:val="105"/>
                <w:sz w:val="18"/>
                <w:szCs w:val="18"/>
              </w:rPr>
              <w:t>53% (21/40)</w:t>
            </w:r>
          </w:p>
        </w:tc>
        <w:tc>
          <w:tcPr>
            <w:tcW w:w="1559" w:type="dxa"/>
            <w:hideMark/>
          </w:tcPr>
          <w:p w:rsidR="00A90DBB" w:rsidRPr="00A90DBB" w:rsidRDefault="00A90DBB">
            <w:pPr>
              <w:pStyle w:val="TableParagraph"/>
              <w:spacing w:before="2" w:line="211" w:lineRule="exact"/>
              <w:ind w:left="176" w:right="176"/>
              <w:jc w:val="center"/>
              <w:rPr>
                <w:rFonts w:ascii="Times New Roman" w:hAnsi="Times New Roman" w:cs="Times New Roman"/>
                <w:sz w:val="18"/>
                <w:szCs w:val="18"/>
              </w:rPr>
            </w:pPr>
            <w:r w:rsidRPr="00A90DBB">
              <w:rPr>
                <w:rFonts w:ascii="Times New Roman" w:hAnsi="Times New Roman" w:cs="Times New Roman"/>
                <w:w w:val="105"/>
                <w:sz w:val="18"/>
                <w:szCs w:val="18"/>
              </w:rPr>
              <w:t>55% (22/40)</w:t>
            </w:r>
          </w:p>
        </w:tc>
      </w:tr>
      <w:tr w:rsidR="00A90DBB" w:rsidRPr="00A90DBB" w:rsidTr="00A90DBB">
        <w:trPr>
          <w:trHeight w:val="254"/>
        </w:trPr>
        <w:tc>
          <w:tcPr>
            <w:tcW w:w="2574" w:type="dxa"/>
            <w:hideMark/>
          </w:tcPr>
          <w:p w:rsidR="00A90DBB" w:rsidRPr="00A90DBB" w:rsidRDefault="00A90DBB">
            <w:pPr>
              <w:pStyle w:val="TableParagraph"/>
              <w:spacing w:line="219" w:lineRule="exact"/>
              <w:rPr>
                <w:rFonts w:ascii="Times New Roman" w:hAnsi="Times New Roman" w:cs="Times New Roman"/>
                <w:b/>
                <w:sz w:val="18"/>
                <w:szCs w:val="18"/>
              </w:rPr>
            </w:pPr>
            <w:r w:rsidRPr="00A90DBB">
              <w:rPr>
                <w:rFonts w:ascii="Times New Roman" w:hAnsi="Times New Roman" w:cs="Times New Roman"/>
                <w:b/>
                <w:sz w:val="18"/>
                <w:szCs w:val="18"/>
              </w:rPr>
              <w:lastRenderedPageBreak/>
              <w:t>Progression-free  survival</w:t>
            </w:r>
            <w:r w:rsidRPr="00A90DBB">
              <w:rPr>
                <w:rFonts w:ascii="Times New Roman" w:hAnsi="Times New Roman" w:cs="Times New Roman"/>
                <w:b/>
                <w:position w:val="8"/>
                <w:sz w:val="18"/>
                <w:szCs w:val="18"/>
              </w:rPr>
              <w:t>b</w:t>
            </w:r>
          </w:p>
        </w:tc>
        <w:tc>
          <w:tcPr>
            <w:tcW w:w="1559" w:type="dxa"/>
          </w:tcPr>
          <w:p w:rsidR="00A90DBB" w:rsidRPr="00A90DBB" w:rsidRDefault="00A90DBB">
            <w:pPr>
              <w:pStyle w:val="TableParagraph"/>
              <w:rPr>
                <w:rFonts w:ascii="Times New Roman" w:hAnsi="Times New Roman" w:cs="Times New Roman"/>
                <w:sz w:val="18"/>
                <w:szCs w:val="18"/>
              </w:rPr>
            </w:pPr>
          </w:p>
        </w:tc>
        <w:tc>
          <w:tcPr>
            <w:tcW w:w="1559" w:type="dxa"/>
          </w:tcPr>
          <w:p w:rsidR="00A90DBB" w:rsidRPr="00A90DBB" w:rsidRDefault="00A90DBB">
            <w:pPr>
              <w:pStyle w:val="TableParagraph"/>
              <w:rPr>
                <w:rFonts w:ascii="Times New Roman" w:hAnsi="Times New Roman" w:cs="Times New Roman"/>
                <w:sz w:val="18"/>
                <w:szCs w:val="18"/>
              </w:rPr>
            </w:pPr>
          </w:p>
        </w:tc>
        <w:tc>
          <w:tcPr>
            <w:tcW w:w="1418" w:type="dxa"/>
          </w:tcPr>
          <w:p w:rsidR="00A90DBB" w:rsidRPr="00A90DBB" w:rsidRDefault="00A90DBB">
            <w:pPr>
              <w:pStyle w:val="TableParagraph"/>
              <w:rPr>
                <w:rFonts w:ascii="Times New Roman" w:hAnsi="Times New Roman" w:cs="Times New Roman"/>
                <w:sz w:val="18"/>
                <w:szCs w:val="18"/>
              </w:rPr>
            </w:pPr>
          </w:p>
        </w:tc>
        <w:tc>
          <w:tcPr>
            <w:tcW w:w="1559" w:type="dxa"/>
          </w:tcPr>
          <w:p w:rsidR="00A90DBB" w:rsidRPr="00A90DBB" w:rsidRDefault="00A90DBB">
            <w:pPr>
              <w:pStyle w:val="TableParagraph"/>
              <w:rPr>
                <w:rFonts w:ascii="Times New Roman" w:hAnsi="Times New Roman" w:cs="Times New Roman"/>
                <w:sz w:val="18"/>
                <w:szCs w:val="18"/>
              </w:rPr>
            </w:pPr>
          </w:p>
        </w:tc>
      </w:tr>
      <w:tr w:rsidR="00A90DBB" w:rsidRPr="00A90DBB" w:rsidTr="00A90DBB">
        <w:trPr>
          <w:trHeight w:val="278"/>
        </w:trPr>
        <w:tc>
          <w:tcPr>
            <w:tcW w:w="2574" w:type="dxa"/>
            <w:hideMark/>
          </w:tcPr>
          <w:p w:rsidR="00A90DBB" w:rsidRPr="00A90DBB" w:rsidRDefault="00A90DBB">
            <w:pPr>
              <w:pStyle w:val="TableParagraph"/>
              <w:spacing w:line="213" w:lineRule="exact"/>
              <w:rPr>
                <w:rFonts w:ascii="Times New Roman" w:hAnsi="Times New Roman" w:cs="Times New Roman"/>
                <w:sz w:val="18"/>
                <w:szCs w:val="18"/>
              </w:rPr>
            </w:pPr>
            <w:r w:rsidRPr="00A90DBB">
              <w:rPr>
                <w:rFonts w:ascii="Times New Roman" w:hAnsi="Times New Roman" w:cs="Times New Roman"/>
                <w:w w:val="105"/>
                <w:sz w:val="18"/>
                <w:szCs w:val="18"/>
              </w:rPr>
              <w:t>All patients</w:t>
            </w:r>
          </w:p>
        </w:tc>
        <w:tc>
          <w:tcPr>
            <w:tcW w:w="1559" w:type="dxa"/>
            <w:hideMark/>
          </w:tcPr>
          <w:p w:rsidR="00A90DBB" w:rsidRPr="00A90DBB" w:rsidRDefault="00A90DBB">
            <w:pPr>
              <w:pStyle w:val="TableParagraph"/>
              <w:spacing w:line="213" w:lineRule="exact"/>
              <w:ind w:left="116" w:right="109"/>
              <w:jc w:val="center"/>
              <w:rPr>
                <w:rFonts w:ascii="Times New Roman" w:hAnsi="Times New Roman" w:cs="Times New Roman"/>
                <w:sz w:val="18"/>
                <w:szCs w:val="18"/>
              </w:rPr>
            </w:pPr>
            <w:r w:rsidRPr="00A90DBB">
              <w:rPr>
                <w:rFonts w:ascii="Times New Roman" w:hAnsi="Times New Roman" w:cs="Times New Roman"/>
                <w:w w:val="105"/>
                <w:sz w:val="18"/>
                <w:szCs w:val="18"/>
              </w:rPr>
              <w:t>90% (86, 95)</w:t>
            </w:r>
          </w:p>
        </w:tc>
        <w:tc>
          <w:tcPr>
            <w:tcW w:w="1559" w:type="dxa"/>
            <w:hideMark/>
          </w:tcPr>
          <w:p w:rsidR="00A90DBB" w:rsidRPr="00A90DBB" w:rsidRDefault="00A90DBB">
            <w:pPr>
              <w:pStyle w:val="TableParagraph"/>
              <w:spacing w:line="213" w:lineRule="exact"/>
              <w:ind w:left="111" w:right="141"/>
              <w:jc w:val="center"/>
              <w:rPr>
                <w:rFonts w:ascii="Times New Roman" w:hAnsi="Times New Roman" w:cs="Times New Roman"/>
                <w:sz w:val="18"/>
                <w:szCs w:val="18"/>
              </w:rPr>
            </w:pPr>
            <w:r w:rsidRPr="00A90DBB">
              <w:rPr>
                <w:rFonts w:ascii="Times New Roman" w:hAnsi="Times New Roman" w:cs="Times New Roman"/>
                <w:w w:val="105"/>
                <w:sz w:val="18"/>
                <w:szCs w:val="18"/>
              </w:rPr>
              <w:t>80% (73, 87)</w:t>
            </w:r>
          </w:p>
        </w:tc>
        <w:tc>
          <w:tcPr>
            <w:tcW w:w="1418" w:type="dxa"/>
            <w:hideMark/>
          </w:tcPr>
          <w:p w:rsidR="00A90DBB" w:rsidRPr="00A90DBB" w:rsidRDefault="00A90DBB">
            <w:pPr>
              <w:pStyle w:val="TableParagraph"/>
              <w:spacing w:line="213" w:lineRule="exact"/>
              <w:ind w:left="141" w:right="178"/>
              <w:jc w:val="center"/>
              <w:rPr>
                <w:rFonts w:ascii="Times New Roman" w:hAnsi="Times New Roman" w:cs="Times New Roman"/>
                <w:sz w:val="18"/>
                <w:szCs w:val="18"/>
              </w:rPr>
            </w:pPr>
            <w:r w:rsidRPr="00A90DBB">
              <w:rPr>
                <w:rFonts w:ascii="Times New Roman" w:hAnsi="Times New Roman" w:cs="Times New Roman"/>
                <w:w w:val="105"/>
                <w:sz w:val="18"/>
                <w:szCs w:val="18"/>
              </w:rPr>
              <w:t>51% (41, 60)</w:t>
            </w:r>
          </w:p>
        </w:tc>
        <w:tc>
          <w:tcPr>
            <w:tcW w:w="1559" w:type="dxa"/>
            <w:hideMark/>
          </w:tcPr>
          <w:p w:rsidR="00A90DBB" w:rsidRPr="00A90DBB" w:rsidRDefault="00A90DBB">
            <w:pPr>
              <w:pStyle w:val="TableParagraph"/>
              <w:spacing w:line="213" w:lineRule="exact"/>
              <w:ind w:left="177" w:right="176"/>
              <w:jc w:val="center"/>
              <w:rPr>
                <w:rFonts w:ascii="Times New Roman" w:hAnsi="Times New Roman" w:cs="Times New Roman"/>
                <w:sz w:val="18"/>
                <w:szCs w:val="18"/>
              </w:rPr>
            </w:pPr>
            <w:r w:rsidRPr="00A90DBB">
              <w:rPr>
                <w:rFonts w:ascii="Times New Roman" w:hAnsi="Times New Roman" w:cs="Times New Roman"/>
                <w:w w:val="105"/>
                <w:sz w:val="18"/>
                <w:szCs w:val="18"/>
              </w:rPr>
              <w:t>42% (33,51)</w:t>
            </w:r>
          </w:p>
        </w:tc>
      </w:tr>
      <w:tr w:rsidR="00A90DBB" w:rsidRPr="00A90DBB" w:rsidTr="00A90DBB">
        <w:trPr>
          <w:trHeight w:val="254"/>
        </w:trPr>
        <w:tc>
          <w:tcPr>
            <w:tcW w:w="2574" w:type="dxa"/>
            <w:hideMark/>
          </w:tcPr>
          <w:p w:rsidR="00A90DBB" w:rsidRPr="00A90DBB" w:rsidRDefault="00A90DBB">
            <w:pPr>
              <w:pStyle w:val="TableParagraph"/>
              <w:spacing w:before="1" w:line="216" w:lineRule="exact"/>
              <w:rPr>
                <w:rFonts w:ascii="Times New Roman" w:hAnsi="Times New Roman" w:cs="Times New Roman"/>
                <w:sz w:val="18"/>
                <w:szCs w:val="18"/>
              </w:rPr>
            </w:pPr>
            <w:r w:rsidRPr="00A90DBB">
              <w:rPr>
                <w:rFonts w:ascii="Times New Roman" w:hAnsi="Times New Roman" w:cs="Times New Roman"/>
                <w:sz w:val="18"/>
                <w:szCs w:val="18"/>
              </w:rPr>
              <w:t>Imatinib-resistant  patients</w:t>
            </w:r>
          </w:p>
        </w:tc>
        <w:tc>
          <w:tcPr>
            <w:tcW w:w="1559" w:type="dxa"/>
            <w:hideMark/>
          </w:tcPr>
          <w:p w:rsidR="00A90DBB" w:rsidRPr="00A90DBB" w:rsidRDefault="00A90DBB">
            <w:pPr>
              <w:pStyle w:val="TableParagraph"/>
              <w:spacing w:before="1" w:line="216" w:lineRule="exact"/>
              <w:ind w:left="116" w:right="108"/>
              <w:jc w:val="center"/>
              <w:rPr>
                <w:rFonts w:ascii="Times New Roman" w:hAnsi="Times New Roman" w:cs="Times New Roman"/>
                <w:sz w:val="18"/>
                <w:szCs w:val="18"/>
              </w:rPr>
            </w:pPr>
            <w:r w:rsidRPr="00A90DBB">
              <w:rPr>
                <w:rFonts w:ascii="Times New Roman" w:hAnsi="Times New Roman" w:cs="Times New Roman"/>
                <w:w w:val="105"/>
                <w:sz w:val="18"/>
                <w:szCs w:val="18"/>
              </w:rPr>
              <w:t>88% (82, 94)</w:t>
            </w:r>
          </w:p>
        </w:tc>
        <w:tc>
          <w:tcPr>
            <w:tcW w:w="1559" w:type="dxa"/>
            <w:hideMark/>
          </w:tcPr>
          <w:p w:rsidR="00A90DBB" w:rsidRPr="00A90DBB" w:rsidRDefault="00A90DBB">
            <w:pPr>
              <w:pStyle w:val="TableParagraph"/>
              <w:spacing w:before="1" w:line="216" w:lineRule="exact"/>
              <w:ind w:left="111" w:right="141"/>
              <w:jc w:val="center"/>
              <w:rPr>
                <w:rFonts w:ascii="Times New Roman" w:hAnsi="Times New Roman" w:cs="Times New Roman"/>
                <w:sz w:val="18"/>
                <w:szCs w:val="18"/>
              </w:rPr>
            </w:pPr>
            <w:r w:rsidRPr="00A90DBB">
              <w:rPr>
                <w:rFonts w:ascii="Times New Roman" w:hAnsi="Times New Roman" w:cs="Times New Roman"/>
                <w:w w:val="105"/>
                <w:sz w:val="18"/>
                <w:szCs w:val="18"/>
              </w:rPr>
              <w:t>77% (68, 85)</w:t>
            </w:r>
          </w:p>
        </w:tc>
        <w:tc>
          <w:tcPr>
            <w:tcW w:w="1418" w:type="dxa"/>
            <w:hideMark/>
          </w:tcPr>
          <w:p w:rsidR="00A90DBB" w:rsidRPr="00A90DBB" w:rsidRDefault="00A90DBB">
            <w:pPr>
              <w:pStyle w:val="TableParagraph"/>
              <w:spacing w:before="1" w:line="216" w:lineRule="exact"/>
              <w:ind w:left="140" w:right="178"/>
              <w:jc w:val="center"/>
              <w:rPr>
                <w:rFonts w:ascii="Times New Roman" w:hAnsi="Times New Roman" w:cs="Times New Roman"/>
                <w:sz w:val="18"/>
                <w:szCs w:val="18"/>
              </w:rPr>
            </w:pPr>
            <w:r w:rsidRPr="00A90DBB">
              <w:rPr>
                <w:rFonts w:ascii="Times New Roman" w:hAnsi="Times New Roman" w:cs="Times New Roman"/>
                <w:w w:val="105"/>
                <w:sz w:val="18"/>
                <w:szCs w:val="18"/>
              </w:rPr>
              <w:t>49% (39, 59)</w:t>
            </w:r>
          </w:p>
        </w:tc>
        <w:tc>
          <w:tcPr>
            <w:tcW w:w="1559" w:type="dxa"/>
            <w:hideMark/>
          </w:tcPr>
          <w:p w:rsidR="00A90DBB" w:rsidRPr="00A90DBB" w:rsidRDefault="00A90DBB">
            <w:pPr>
              <w:pStyle w:val="TableParagraph"/>
              <w:spacing w:before="1" w:line="216" w:lineRule="exact"/>
              <w:ind w:left="177" w:right="176"/>
              <w:jc w:val="center"/>
              <w:rPr>
                <w:rFonts w:ascii="Times New Roman" w:hAnsi="Times New Roman" w:cs="Times New Roman"/>
                <w:sz w:val="18"/>
                <w:szCs w:val="18"/>
              </w:rPr>
            </w:pPr>
            <w:r w:rsidRPr="00A90DBB">
              <w:rPr>
                <w:rFonts w:ascii="Times New Roman" w:hAnsi="Times New Roman" w:cs="Times New Roman"/>
                <w:w w:val="105"/>
                <w:sz w:val="18"/>
                <w:szCs w:val="18"/>
              </w:rPr>
              <w:t>39% (29,49)</w:t>
            </w:r>
          </w:p>
        </w:tc>
      </w:tr>
      <w:tr w:rsidR="00A90DBB" w:rsidRPr="00A90DBB" w:rsidTr="00A90DBB">
        <w:trPr>
          <w:trHeight w:val="254"/>
        </w:trPr>
        <w:tc>
          <w:tcPr>
            <w:tcW w:w="2574" w:type="dxa"/>
            <w:hideMark/>
          </w:tcPr>
          <w:p w:rsidR="00A90DBB" w:rsidRPr="00A90DBB" w:rsidRDefault="00A90DBB">
            <w:pPr>
              <w:pStyle w:val="TableParagraph"/>
              <w:spacing w:before="2" w:line="216" w:lineRule="exact"/>
              <w:ind w:right="163"/>
              <w:jc w:val="center"/>
              <w:rPr>
                <w:rFonts w:ascii="Times New Roman" w:hAnsi="Times New Roman" w:cs="Times New Roman"/>
                <w:sz w:val="18"/>
                <w:szCs w:val="18"/>
              </w:rPr>
            </w:pPr>
            <w:r w:rsidRPr="00A90DBB">
              <w:rPr>
                <w:rFonts w:ascii="Times New Roman" w:hAnsi="Times New Roman" w:cs="Times New Roman"/>
                <w:sz w:val="18"/>
                <w:szCs w:val="18"/>
              </w:rPr>
              <w:t>Imatinib-intolerant  patients</w:t>
            </w:r>
          </w:p>
        </w:tc>
        <w:tc>
          <w:tcPr>
            <w:tcW w:w="1559" w:type="dxa"/>
            <w:hideMark/>
          </w:tcPr>
          <w:p w:rsidR="00A90DBB" w:rsidRPr="00A90DBB" w:rsidRDefault="00A90DBB">
            <w:pPr>
              <w:pStyle w:val="TableParagraph"/>
              <w:spacing w:before="2" w:line="216" w:lineRule="exact"/>
              <w:ind w:left="116" w:right="107"/>
              <w:jc w:val="center"/>
              <w:rPr>
                <w:rFonts w:ascii="Times New Roman" w:hAnsi="Times New Roman" w:cs="Times New Roman"/>
                <w:sz w:val="18"/>
                <w:szCs w:val="18"/>
              </w:rPr>
            </w:pPr>
            <w:r w:rsidRPr="00A90DBB">
              <w:rPr>
                <w:rFonts w:ascii="Times New Roman" w:hAnsi="Times New Roman" w:cs="Times New Roman"/>
                <w:w w:val="105"/>
                <w:sz w:val="18"/>
                <w:szCs w:val="18"/>
              </w:rPr>
              <w:t>97% (92, 100)</w:t>
            </w:r>
          </w:p>
        </w:tc>
        <w:tc>
          <w:tcPr>
            <w:tcW w:w="1559" w:type="dxa"/>
            <w:hideMark/>
          </w:tcPr>
          <w:p w:rsidR="00A90DBB" w:rsidRPr="00A90DBB" w:rsidRDefault="00A90DBB">
            <w:pPr>
              <w:pStyle w:val="TableParagraph"/>
              <w:spacing w:before="2" w:line="216" w:lineRule="exact"/>
              <w:ind w:left="112" w:right="141"/>
              <w:jc w:val="center"/>
              <w:rPr>
                <w:rFonts w:ascii="Times New Roman" w:hAnsi="Times New Roman" w:cs="Times New Roman"/>
                <w:sz w:val="18"/>
                <w:szCs w:val="18"/>
              </w:rPr>
            </w:pPr>
            <w:r w:rsidRPr="00A90DBB">
              <w:rPr>
                <w:rFonts w:ascii="Times New Roman" w:hAnsi="Times New Roman" w:cs="Times New Roman"/>
                <w:w w:val="105"/>
                <w:sz w:val="18"/>
                <w:szCs w:val="18"/>
              </w:rPr>
              <w:t>87% (76, 99)</w:t>
            </w:r>
          </w:p>
        </w:tc>
        <w:tc>
          <w:tcPr>
            <w:tcW w:w="1418" w:type="dxa"/>
            <w:hideMark/>
          </w:tcPr>
          <w:p w:rsidR="00A90DBB" w:rsidRPr="00A90DBB" w:rsidRDefault="00A90DBB">
            <w:pPr>
              <w:pStyle w:val="TableParagraph"/>
              <w:spacing w:before="2" w:line="216" w:lineRule="exact"/>
              <w:ind w:left="141" w:right="178"/>
              <w:jc w:val="center"/>
              <w:rPr>
                <w:rFonts w:ascii="Times New Roman" w:hAnsi="Times New Roman" w:cs="Times New Roman"/>
                <w:sz w:val="18"/>
                <w:szCs w:val="18"/>
              </w:rPr>
            </w:pPr>
            <w:r w:rsidRPr="00A90DBB">
              <w:rPr>
                <w:rFonts w:ascii="Times New Roman" w:hAnsi="Times New Roman" w:cs="Times New Roman"/>
                <w:w w:val="105"/>
                <w:sz w:val="18"/>
                <w:szCs w:val="18"/>
              </w:rPr>
              <w:t>56% (37, 76)</w:t>
            </w:r>
          </w:p>
        </w:tc>
        <w:tc>
          <w:tcPr>
            <w:tcW w:w="1559" w:type="dxa"/>
            <w:hideMark/>
          </w:tcPr>
          <w:p w:rsidR="00A90DBB" w:rsidRPr="00A90DBB" w:rsidRDefault="00A90DBB">
            <w:pPr>
              <w:pStyle w:val="TableParagraph"/>
              <w:spacing w:before="2" w:line="216" w:lineRule="exact"/>
              <w:ind w:left="176" w:right="176"/>
              <w:jc w:val="center"/>
              <w:rPr>
                <w:rFonts w:ascii="Times New Roman" w:hAnsi="Times New Roman" w:cs="Times New Roman"/>
                <w:sz w:val="18"/>
                <w:szCs w:val="18"/>
              </w:rPr>
            </w:pPr>
            <w:r w:rsidRPr="00A90DBB">
              <w:rPr>
                <w:rFonts w:ascii="Times New Roman" w:hAnsi="Times New Roman" w:cs="Times New Roman"/>
                <w:w w:val="105"/>
                <w:sz w:val="18"/>
                <w:szCs w:val="18"/>
              </w:rPr>
              <w:t>51% (32,67)</w:t>
            </w:r>
          </w:p>
        </w:tc>
      </w:tr>
      <w:tr w:rsidR="00A90DBB" w:rsidRPr="00A90DBB" w:rsidTr="00A90DBB">
        <w:trPr>
          <w:trHeight w:val="254"/>
        </w:trPr>
        <w:tc>
          <w:tcPr>
            <w:tcW w:w="2574" w:type="dxa"/>
            <w:hideMark/>
          </w:tcPr>
          <w:p w:rsidR="00A90DBB" w:rsidRPr="00A90DBB" w:rsidRDefault="00A90DBB">
            <w:pPr>
              <w:pStyle w:val="TableParagraph"/>
              <w:spacing w:before="1" w:line="216" w:lineRule="exact"/>
              <w:rPr>
                <w:rFonts w:ascii="Times New Roman" w:hAnsi="Times New Roman" w:cs="Times New Roman"/>
                <w:b/>
                <w:sz w:val="18"/>
                <w:szCs w:val="18"/>
              </w:rPr>
            </w:pPr>
            <w:r w:rsidRPr="00A90DBB">
              <w:rPr>
                <w:rFonts w:ascii="Times New Roman" w:hAnsi="Times New Roman" w:cs="Times New Roman"/>
                <w:b/>
                <w:w w:val="105"/>
                <w:sz w:val="18"/>
                <w:szCs w:val="18"/>
              </w:rPr>
              <w:t>Overall survival</w:t>
            </w:r>
          </w:p>
        </w:tc>
        <w:tc>
          <w:tcPr>
            <w:tcW w:w="1559" w:type="dxa"/>
          </w:tcPr>
          <w:p w:rsidR="00A90DBB" w:rsidRPr="00A90DBB" w:rsidRDefault="00A90DBB">
            <w:pPr>
              <w:pStyle w:val="TableParagraph"/>
              <w:rPr>
                <w:rFonts w:ascii="Times New Roman" w:hAnsi="Times New Roman" w:cs="Times New Roman"/>
                <w:sz w:val="18"/>
                <w:szCs w:val="18"/>
              </w:rPr>
            </w:pPr>
          </w:p>
        </w:tc>
        <w:tc>
          <w:tcPr>
            <w:tcW w:w="1559" w:type="dxa"/>
          </w:tcPr>
          <w:p w:rsidR="00A90DBB" w:rsidRPr="00A90DBB" w:rsidRDefault="00A90DBB">
            <w:pPr>
              <w:pStyle w:val="TableParagraph"/>
              <w:rPr>
                <w:rFonts w:ascii="Times New Roman" w:hAnsi="Times New Roman" w:cs="Times New Roman"/>
                <w:sz w:val="18"/>
                <w:szCs w:val="18"/>
              </w:rPr>
            </w:pPr>
          </w:p>
        </w:tc>
        <w:tc>
          <w:tcPr>
            <w:tcW w:w="1418" w:type="dxa"/>
          </w:tcPr>
          <w:p w:rsidR="00A90DBB" w:rsidRPr="00A90DBB" w:rsidRDefault="00A90DBB">
            <w:pPr>
              <w:pStyle w:val="TableParagraph"/>
              <w:rPr>
                <w:rFonts w:ascii="Times New Roman" w:hAnsi="Times New Roman" w:cs="Times New Roman"/>
                <w:sz w:val="18"/>
                <w:szCs w:val="18"/>
              </w:rPr>
            </w:pPr>
          </w:p>
        </w:tc>
        <w:tc>
          <w:tcPr>
            <w:tcW w:w="1559" w:type="dxa"/>
          </w:tcPr>
          <w:p w:rsidR="00A90DBB" w:rsidRPr="00A90DBB" w:rsidRDefault="00A90DBB">
            <w:pPr>
              <w:pStyle w:val="TableParagraph"/>
              <w:rPr>
                <w:rFonts w:ascii="Times New Roman" w:hAnsi="Times New Roman" w:cs="Times New Roman"/>
                <w:sz w:val="18"/>
                <w:szCs w:val="18"/>
              </w:rPr>
            </w:pPr>
          </w:p>
        </w:tc>
      </w:tr>
      <w:tr w:rsidR="00A90DBB" w:rsidRPr="00A90DBB" w:rsidTr="00A90DBB">
        <w:trPr>
          <w:trHeight w:val="254"/>
        </w:trPr>
        <w:tc>
          <w:tcPr>
            <w:tcW w:w="2574" w:type="dxa"/>
            <w:hideMark/>
          </w:tcPr>
          <w:p w:rsidR="00A90DBB" w:rsidRPr="00A90DBB" w:rsidRDefault="00A90DBB">
            <w:pPr>
              <w:pStyle w:val="TableParagraph"/>
              <w:spacing w:before="1" w:line="216" w:lineRule="exact"/>
              <w:rPr>
                <w:rFonts w:ascii="Times New Roman" w:hAnsi="Times New Roman" w:cs="Times New Roman"/>
                <w:sz w:val="18"/>
                <w:szCs w:val="18"/>
              </w:rPr>
            </w:pPr>
            <w:r w:rsidRPr="00A90DBB">
              <w:rPr>
                <w:rFonts w:ascii="Times New Roman" w:hAnsi="Times New Roman" w:cs="Times New Roman"/>
                <w:w w:val="105"/>
                <w:sz w:val="18"/>
                <w:szCs w:val="18"/>
              </w:rPr>
              <w:t>All patients</w:t>
            </w:r>
          </w:p>
        </w:tc>
        <w:tc>
          <w:tcPr>
            <w:tcW w:w="1559" w:type="dxa"/>
            <w:hideMark/>
          </w:tcPr>
          <w:p w:rsidR="00A90DBB" w:rsidRPr="00A90DBB" w:rsidRDefault="00A90DBB">
            <w:pPr>
              <w:pStyle w:val="TableParagraph"/>
              <w:spacing w:before="1" w:line="216" w:lineRule="exact"/>
              <w:ind w:left="116" w:right="109"/>
              <w:jc w:val="center"/>
              <w:rPr>
                <w:rFonts w:ascii="Times New Roman" w:hAnsi="Times New Roman" w:cs="Times New Roman"/>
                <w:sz w:val="18"/>
                <w:szCs w:val="18"/>
              </w:rPr>
            </w:pPr>
            <w:r w:rsidRPr="00A90DBB">
              <w:rPr>
                <w:rFonts w:ascii="Times New Roman" w:hAnsi="Times New Roman" w:cs="Times New Roman"/>
                <w:w w:val="105"/>
                <w:sz w:val="18"/>
                <w:szCs w:val="18"/>
              </w:rPr>
              <w:t>96% (93, 99)</w:t>
            </w:r>
          </w:p>
        </w:tc>
        <w:tc>
          <w:tcPr>
            <w:tcW w:w="1559" w:type="dxa"/>
            <w:hideMark/>
          </w:tcPr>
          <w:p w:rsidR="00A90DBB" w:rsidRPr="00A90DBB" w:rsidRDefault="00A90DBB">
            <w:pPr>
              <w:pStyle w:val="TableParagraph"/>
              <w:spacing w:before="1" w:line="216" w:lineRule="exact"/>
              <w:ind w:left="111" w:right="141"/>
              <w:jc w:val="center"/>
              <w:rPr>
                <w:rFonts w:ascii="Times New Roman" w:hAnsi="Times New Roman" w:cs="Times New Roman"/>
                <w:sz w:val="18"/>
                <w:szCs w:val="18"/>
              </w:rPr>
            </w:pPr>
            <w:r w:rsidRPr="00A90DBB">
              <w:rPr>
                <w:rFonts w:ascii="Times New Roman" w:hAnsi="Times New Roman" w:cs="Times New Roman"/>
                <w:w w:val="105"/>
                <w:sz w:val="18"/>
                <w:szCs w:val="18"/>
              </w:rPr>
              <w:t>91% (86, 96)</w:t>
            </w:r>
          </w:p>
        </w:tc>
        <w:tc>
          <w:tcPr>
            <w:tcW w:w="1418" w:type="dxa"/>
            <w:hideMark/>
          </w:tcPr>
          <w:p w:rsidR="00A90DBB" w:rsidRPr="00A90DBB" w:rsidRDefault="00A90DBB">
            <w:pPr>
              <w:pStyle w:val="TableParagraph"/>
              <w:spacing w:before="1" w:line="216" w:lineRule="exact"/>
              <w:ind w:left="141" w:right="178"/>
              <w:jc w:val="center"/>
              <w:rPr>
                <w:rFonts w:ascii="Times New Roman" w:hAnsi="Times New Roman" w:cs="Times New Roman"/>
                <w:sz w:val="18"/>
                <w:szCs w:val="18"/>
              </w:rPr>
            </w:pPr>
            <w:r w:rsidRPr="00A90DBB">
              <w:rPr>
                <w:rFonts w:ascii="Times New Roman" w:hAnsi="Times New Roman" w:cs="Times New Roman"/>
                <w:w w:val="105"/>
                <w:sz w:val="18"/>
                <w:szCs w:val="18"/>
              </w:rPr>
              <w:t>78% (72, 85)</w:t>
            </w:r>
          </w:p>
        </w:tc>
        <w:tc>
          <w:tcPr>
            <w:tcW w:w="1559" w:type="dxa"/>
            <w:hideMark/>
          </w:tcPr>
          <w:p w:rsidR="00A90DBB" w:rsidRPr="00A90DBB" w:rsidRDefault="00A90DBB">
            <w:pPr>
              <w:pStyle w:val="TableParagraph"/>
              <w:spacing w:before="1" w:line="216" w:lineRule="exact"/>
              <w:ind w:left="177" w:right="176"/>
              <w:jc w:val="center"/>
              <w:rPr>
                <w:rFonts w:ascii="Times New Roman" w:hAnsi="Times New Roman" w:cs="Times New Roman"/>
                <w:sz w:val="18"/>
                <w:szCs w:val="18"/>
              </w:rPr>
            </w:pPr>
            <w:r w:rsidRPr="00A90DBB">
              <w:rPr>
                <w:rFonts w:ascii="Times New Roman" w:hAnsi="Times New Roman" w:cs="Times New Roman"/>
                <w:w w:val="105"/>
                <w:sz w:val="18"/>
                <w:szCs w:val="18"/>
              </w:rPr>
              <w:t>65% (56,72)</w:t>
            </w:r>
          </w:p>
        </w:tc>
      </w:tr>
      <w:tr w:rsidR="00A90DBB" w:rsidRPr="00A90DBB" w:rsidTr="00A90DBB">
        <w:trPr>
          <w:trHeight w:val="254"/>
        </w:trPr>
        <w:tc>
          <w:tcPr>
            <w:tcW w:w="2574" w:type="dxa"/>
            <w:hideMark/>
          </w:tcPr>
          <w:p w:rsidR="00A90DBB" w:rsidRPr="00A90DBB" w:rsidRDefault="00A90DBB">
            <w:pPr>
              <w:pStyle w:val="TableParagraph"/>
              <w:spacing w:before="1" w:line="216" w:lineRule="exact"/>
              <w:rPr>
                <w:rFonts w:ascii="Times New Roman" w:hAnsi="Times New Roman" w:cs="Times New Roman"/>
                <w:sz w:val="18"/>
                <w:szCs w:val="18"/>
              </w:rPr>
            </w:pPr>
            <w:r w:rsidRPr="00A90DBB">
              <w:rPr>
                <w:rFonts w:ascii="Times New Roman" w:hAnsi="Times New Roman" w:cs="Times New Roman"/>
                <w:sz w:val="18"/>
                <w:szCs w:val="18"/>
              </w:rPr>
              <w:t>Imatinib-resistant  patients</w:t>
            </w:r>
          </w:p>
        </w:tc>
        <w:tc>
          <w:tcPr>
            <w:tcW w:w="1559" w:type="dxa"/>
            <w:hideMark/>
          </w:tcPr>
          <w:p w:rsidR="00A90DBB" w:rsidRPr="00A90DBB" w:rsidRDefault="00A90DBB">
            <w:pPr>
              <w:pStyle w:val="TableParagraph"/>
              <w:spacing w:before="1" w:line="216" w:lineRule="exact"/>
              <w:ind w:left="116" w:right="108"/>
              <w:jc w:val="center"/>
              <w:rPr>
                <w:rFonts w:ascii="Times New Roman" w:hAnsi="Times New Roman" w:cs="Times New Roman"/>
                <w:sz w:val="18"/>
                <w:szCs w:val="18"/>
              </w:rPr>
            </w:pPr>
            <w:r w:rsidRPr="00A90DBB">
              <w:rPr>
                <w:rFonts w:ascii="Times New Roman" w:hAnsi="Times New Roman" w:cs="Times New Roman"/>
                <w:w w:val="105"/>
                <w:sz w:val="18"/>
                <w:szCs w:val="18"/>
              </w:rPr>
              <w:t>94% (90, 98)</w:t>
            </w:r>
          </w:p>
        </w:tc>
        <w:tc>
          <w:tcPr>
            <w:tcW w:w="1559" w:type="dxa"/>
            <w:hideMark/>
          </w:tcPr>
          <w:p w:rsidR="00A90DBB" w:rsidRPr="00A90DBB" w:rsidRDefault="00A90DBB">
            <w:pPr>
              <w:pStyle w:val="TableParagraph"/>
              <w:spacing w:before="1" w:line="216" w:lineRule="exact"/>
              <w:ind w:left="111" w:right="141"/>
              <w:jc w:val="center"/>
              <w:rPr>
                <w:rFonts w:ascii="Times New Roman" w:hAnsi="Times New Roman" w:cs="Times New Roman"/>
                <w:sz w:val="18"/>
                <w:szCs w:val="18"/>
              </w:rPr>
            </w:pPr>
            <w:r w:rsidRPr="00A90DBB">
              <w:rPr>
                <w:rFonts w:ascii="Times New Roman" w:hAnsi="Times New Roman" w:cs="Times New Roman"/>
                <w:w w:val="105"/>
                <w:sz w:val="18"/>
                <w:szCs w:val="18"/>
              </w:rPr>
              <w:t>89% (84, 95)</w:t>
            </w:r>
          </w:p>
        </w:tc>
        <w:tc>
          <w:tcPr>
            <w:tcW w:w="1418" w:type="dxa"/>
            <w:hideMark/>
          </w:tcPr>
          <w:p w:rsidR="00A90DBB" w:rsidRPr="00A90DBB" w:rsidRDefault="00A90DBB">
            <w:pPr>
              <w:pStyle w:val="TableParagraph"/>
              <w:spacing w:before="1" w:line="216" w:lineRule="exact"/>
              <w:ind w:left="140" w:right="178"/>
              <w:jc w:val="center"/>
              <w:rPr>
                <w:rFonts w:ascii="Times New Roman" w:hAnsi="Times New Roman" w:cs="Times New Roman"/>
                <w:sz w:val="18"/>
                <w:szCs w:val="18"/>
              </w:rPr>
            </w:pPr>
            <w:r w:rsidRPr="00A90DBB">
              <w:rPr>
                <w:rFonts w:ascii="Times New Roman" w:hAnsi="Times New Roman" w:cs="Times New Roman"/>
                <w:w w:val="105"/>
                <w:sz w:val="18"/>
                <w:szCs w:val="18"/>
              </w:rPr>
              <w:t>77% (69, 85)</w:t>
            </w:r>
          </w:p>
        </w:tc>
        <w:tc>
          <w:tcPr>
            <w:tcW w:w="1559" w:type="dxa"/>
            <w:hideMark/>
          </w:tcPr>
          <w:p w:rsidR="00A90DBB" w:rsidRPr="00A90DBB" w:rsidRDefault="00A90DBB">
            <w:pPr>
              <w:pStyle w:val="TableParagraph"/>
              <w:spacing w:before="1" w:line="216" w:lineRule="exact"/>
              <w:ind w:left="177" w:right="176"/>
              <w:jc w:val="center"/>
              <w:rPr>
                <w:rFonts w:ascii="Times New Roman" w:hAnsi="Times New Roman" w:cs="Times New Roman"/>
                <w:sz w:val="18"/>
                <w:szCs w:val="18"/>
              </w:rPr>
            </w:pPr>
            <w:r w:rsidRPr="00A90DBB">
              <w:rPr>
                <w:rFonts w:ascii="Times New Roman" w:hAnsi="Times New Roman" w:cs="Times New Roman"/>
                <w:w w:val="105"/>
                <w:sz w:val="18"/>
                <w:szCs w:val="18"/>
              </w:rPr>
              <w:t>63% (53,71)</w:t>
            </w:r>
          </w:p>
        </w:tc>
      </w:tr>
      <w:tr w:rsidR="00A90DBB" w:rsidRPr="00A90DBB" w:rsidTr="00A90DBB">
        <w:trPr>
          <w:trHeight w:val="254"/>
        </w:trPr>
        <w:tc>
          <w:tcPr>
            <w:tcW w:w="2574" w:type="dxa"/>
            <w:tcBorders>
              <w:top w:val="nil"/>
              <w:left w:val="nil"/>
              <w:bottom w:val="single" w:sz="4" w:space="0" w:color="000000"/>
              <w:right w:val="nil"/>
            </w:tcBorders>
            <w:hideMark/>
          </w:tcPr>
          <w:p w:rsidR="00A90DBB" w:rsidRPr="00A90DBB" w:rsidRDefault="00A90DBB">
            <w:pPr>
              <w:pStyle w:val="TableParagraph"/>
              <w:spacing w:before="2" w:line="211" w:lineRule="exact"/>
              <w:ind w:right="163"/>
              <w:jc w:val="center"/>
              <w:rPr>
                <w:rFonts w:ascii="Times New Roman" w:hAnsi="Times New Roman" w:cs="Times New Roman"/>
                <w:sz w:val="18"/>
                <w:szCs w:val="18"/>
              </w:rPr>
            </w:pPr>
            <w:r w:rsidRPr="00A90DBB">
              <w:rPr>
                <w:rFonts w:ascii="Times New Roman" w:hAnsi="Times New Roman" w:cs="Times New Roman"/>
                <w:sz w:val="18"/>
                <w:szCs w:val="18"/>
              </w:rPr>
              <w:t>Imatinib-intolerant  patients</w:t>
            </w:r>
          </w:p>
        </w:tc>
        <w:tc>
          <w:tcPr>
            <w:tcW w:w="1559" w:type="dxa"/>
            <w:tcBorders>
              <w:top w:val="nil"/>
              <w:left w:val="nil"/>
              <w:bottom w:val="single" w:sz="4" w:space="0" w:color="000000"/>
              <w:right w:val="nil"/>
            </w:tcBorders>
            <w:hideMark/>
          </w:tcPr>
          <w:p w:rsidR="00A90DBB" w:rsidRPr="00A90DBB" w:rsidRDefault="00A90DBB">
            <w:pPr>
              <w:pStyle w:val="TableParagraph"/>
              <w:spacing w:before="2" w:line="211" w:lineRule="exact"/>
              <w:ind w:left="116" w:right="109"/>
              <w:jc w:val="center"/>
              <w:rPr>
                <w:rFonts w:ascii="Times New Roman" w:hAnsi="Times New Roman" w:cs="Times New Roman"/>
                <w:sz w:val="18"/>
                <w:szCs w:val="18"/>
              </w:rPr>
            </w:pPr>
            <w:r w:rsidRPr="00A90DBB">
              <w:rPr>
                <w:rFonts w:ascii="Times New Roman" w:hAnsi="Times New Roman" w:cs="Times New Roman"/>
                <w:w w:val="105"/>
                <w:sz w:val="18"/>
                <w:szCs w:val="18"/>
              </w:rPr>
              <w:t>100% (100, 100)</w:t>
            </w:r>
          </w:p>
        </w:tc>
        <w:tc>
          <w:tcPr>
            <w:tcW w:w="1559" w:type="dxa"/>
            <w:tcBorders>
              <w:top w:val="nil"/>
              <w:left w:val="nil"/>
              <w:bottom w:val="single" w:sz="4" w:space="0" w:color="000000"/>
              <w:right w:val="nil"/>
            </w:tcBorders>
            <w:hideMark/>
          </w:tcPr>
          <w:p w:rsidR="00A90DBB" w:rsidRPr="00A90DBB" w:rsidRDefault="00A90DBB">
            <w:pPr>
              <w:pStyle w:val="TableParagraph"/>
              <w:spacing w:before="2" w:line="211" w:lineRule="exact"/>
              <w:ind w:left="112" w:right="141"/>
              <w:jc w:val="center"/>
              <w:rPr>
                <w:rFonts w:ascii="Times New Roman" w:hAnsi="Times New Roman" w:cs="Times New Roman"/>
                <w:sz w:val="18"/>
                <w:szCs w:val="18"/>
              </w:rPr>
            </w:pPr>
            <w:r w:rsidRPr="00A90DBB">
              <w:rPr>
                <w:rFonts w:ascii="Times New Roman" w:hAnsi="Times New Roman" w:cs="Times New Roman"/>
                <w:w w:val="105"/>
                <w:sz w:val="18"/>
                <w:szCs w:val="18"/>
              </w:rPr>
              <w:t>95% (88, 100)</w:t>
            </w:r>
          </w:p>
        </w:tc>
        <w:tc>
          <w:tcPr>
            <w:tcW w:w="1418" w:type="dxa"/>
            <w:tcBorders>
              <w:top w:val="nil"/>
              <w:left w:val="nil"/>
              <w:bottom w:val="single" w:sz="4" w:space="0" w:color="000000"/>
              <w:right w:val="nil"/>
            </w:tcBorders>
            <w:hideMark/>
          </w:tcPr>
          <w:p w:rsidR="00A90DBB" w:rsidRPr="00A90DBB" w:rsidRDefault="00A90DBB">
            <w:pPr>
              <w:pStyle w:val="TableParagraph"/>
              <w:spacing w:before="2" w:line="211" w:lineRule="exact"/>
              <w:ind w:left="140" w:right="178"/>
              <w:jc w:val="center"/>
              <w:rPr>
                <w:rFonts w:ascii="Times New Roman" w:hAnsi="Times New Roman" w:cs="Times New Roman"/>
                <w:sz w:val="18"/>
                <w:szCs w:val="18"/>
              </w:rPr>
            </w:pPr>
            <w:r w:rsidRPr="00A90DBB">
              <w:rPr>
                <w:rFonts w:ascii="Times New Roman" w:hAnsi="Times New Roman" w:cs="Times New Roman"/>
                <w:w w:val="105"/>
                <w:sz w:val="18"/>
                <w:szCs w:val="18"/>
              </w:rPr>
              <w:t>82% (70, 94)</w:t>
            </w:r>
          </w:p>
        </w:tc>
        <w:tc>
          <w:tcPr>
            <w:tcW w:w="1559" w:type="dxa"/>
            <w:tcBorders>
              <w:top w:val="nil"/>
              <w:left w:val="nil"/>
              <w:bottom w:val="single" w:sz="4" w:space="0" w:color="000000"/>
              <w:right w:val="nil"/>
            </w:tcBorders>
            <w:hideMark/>
          </w:tcPr>
          <w:p w:rsidR="00A90DBB" w:rsidRPr="00A90DBB" w:rsidRDefault="00A90DBB">
            <w:pPr>
              <w:pStyle w:val="TableParagraph"/>
              <w:spacing w:before="2" w:line="211" w:lineRule="exact"/>
              <w:ind w:left="176" w:right="176"/>
              <w:jc w:val="center"/>
              <w:rPr>
                <w:rFonts w:ascii="Times New Roman" w:hAnsi="Times New Roman" w:cs="Times New Roman"/>
                <w:sz w:val="18"/>
                <w:szCs w:val="18"/>
              </w:rPr>
            </w:pPr>
            <w:r w:rsidRPr="00A90DBB">
              <w:rPr>
                <w:rFonts w:ascii="Times New Roman" w:hAnsi="Times New Roman" w:cs="Times New Roman"/>
                <w:w w:val="105"/>
                <w:sz w:val="18"/>
                <w:szCs w:val="18"/>
              </w:rPr>
              <w:t>70% (52,82)</w:t>
            </w:r>
          </w:p>
        </w:tc>
      </w:tr>
    </w:tbl>
    <w:p w:rsidR="00A90DBB" w:rsidRPr="00A90DBB" w:rsidRDefault="00A90DBB" w:rsidP="00A90DBB">
      <w:pPr>
        <w:spacing w:line="184" w:lineRule="exact"/>
        <w:ind w:left="134"/>
        <w:rPr>
          <w:sz w:val="17"/>
          <w:szCs w:val="22"/>
          <w:lang w:val="en-US" w:eastAsia="en-US"/>
        </w:rPr>
      </w:pPr>
      <w:r w:rsidRPr="00A90DBB">
        <w:rPr>
          <w:position w:val="6"/>
          <w:sz w:val="11"/>
          <w:lang w:val="en-US"/>
        </w:rPr>
        <w:t xml:space="preserve">a   </w:t>
      </w:r>
      <w:r w:rsidRPr="00A90DBB">
        <w:rPr>
          <w:sz w:val="17"/>
          <w:lang w:val="en-US"/>
        </w:rPr>
        <w:t>Results reported in recommended starting dose of 100 mg once daily.</w:t>
      </w:r>
    </w:p>
    <w:p w:rsidR="00A90DBB" w:rsidRPr="00A90DBB" w:rsidRDefault="00A90DBB" w:rsidP="00A90DBB">
      <w:pPr>
        <w:spacing w:line="235" w:lineRule="auto"/>
        <w:ind w:left="336" w:right="569" w:hanging="203"/>
        <w:jc w:val="both"/>
        <w:rPr>
          <w:sz w:val="17"/>
          <w:lang w:val="en-US"/>
        </w:rPr>
      </w:pPr>
      <w:r w:rsidRPr="00A90DBB">
        <w:rPr>
          <w:position w:val="6"/>
          <w:sz w:val="11"/>
          <w:lang w:val="en-US"/>
        </w:rPr>
        <w:t xml:space="preserve">b </w:t>
      </w:r>
      <w:r w:rsidRPr="00A90DBB">
        <w:rPr>
          <w:sz w:val="17"/>
          <w:lang w:val="en-US"/>
        </w:rPr>
        <w:t>Progression was defined as increasing WBC count, loss of CHR or MCyR, ≥30% increase in Ph+ metaphases, confirmed AP/BP disease or death. PFS was analysed on an intent-to-treat principle and patients were followed to events including subsequent therapy.</w:t>
      </w:r>
    </w:p>
    <w:p w:rsidR="00CD50DC" w:rsidRPr="00A90DBB" w:rsidRDefault="00CD50DC" w:rsidP="003E0341">
      <w:pPr>
        <w:tabs>
          <w:tab w:val="left" w:pos="851"/>
        </w:tabs>
        <w:ind w:left="851"/>
        <w:rPr>
          <w:sz w:val="24"/>
          <w:szCs w:val="24"/>
          <w:lang w:val="en-US"/>
        </w:rPr>
      </w:pPr>
    </w:p>
    <w:p w:rsidR="008F6A24" w:rsidRPr="008F6A24" w:rsidRDefault="008F6A24" w:rsidP="008F6A24">
      <w:pPr>
        <w:tabs>
          <w:tab w:val="left" w:pos="851"/>
        </w:tabs>
        <w:ind w:left="851"/>
        <w:rPr>
          <w:sz w:val="24"/>
          <w:szCs w:val="24"/>
          <w:lang w:val="en-US"/>
        </w:rPr>
      </w:pPr>
      <w:r w:rsidRPr="008F6A24">
        <w:rPr>
          <w:sz w:val="24"/>
          <w:szCs w:val="24"/>
          <w:lang w:val="en-US"/>
        </w:rPr>
        <w:t>Based on the Kaplan-Meier estimates, the proportion of patients treated with dasatinib 100 mg once daily who maintained MCyR for 18 months was 93% (95% CI: [88%-98%]).</w:t>
      </w:r>
    </w:p>
    <w:p w:rsidR="008F6A24" w:rsidRPr="008F6A24" w:rsidRDefault="008F6A24" w:rsidP="008F6A24">
      <w:pPr>
        <w:tabs>
          <w:tab w:val="left" w:pos="851"/>
        </w:tabs>
        <w:ind w:left="851"/>
        <w:rPr>
          <w:sz w:val="24"/>
          <w:szCs w:val="24"/>
          <w:lang w:val="en-US"/>
        </w:rPr>
      </w:pPr>
    </w:p>
    <w:p w:rsidR="008F6A24" w:rsidRPr="008F6A24" w:rsidRDefault="008F6A24" w:rsidP="008F6A24">
      <w:pPr>
        <w:tabs>
          <w:tab w:val="left" w:pos="851"/>
        </w:tabs>
        <w:ind w:left="851"/>
        <w:rPr>
          <w:sz w:val="24"/>
          <w:szCs w:val="24"/>
          <w:lang w:val="en-US"/>
        </w:rPr>
      </w:pPr>
      <w:r w:rsidRPr="008F6A24">
        <w:rPr>
          <w:sz w:val="24"/>
          <w:szCs w:val="24"/>
          <w:lang w:val="en-US"/>
        </w:rPr>
        <w:t>Efficacy was also assessed in patients who were intolerant to imatinib. In this population of patients who received 100 mg once daily, MCyR was achieved in 77% and CCyR in 67%.</w:t>
      </w:r>
    </w:p>
    <w:p w:rsidR="008F6A24" w:rsidRPr="008F6A24" w:rsidRDefault="008F6A24" w:rsidP="008F6A24">
      <w:pPr>
        <w:tabs>
          <w:tab w:val="left" w:pos="851"/>
        </w:tabs>
        <w:ind w:left="851"/>
        <w:rPr>
          <w:sz w:val="24"/>
          <w:szCs w:val="24"/>
          <w:lang w:val="en-US"/>
        </w:rPr>
      </w:pPr>
    </w:p>
    <w:p w:rsidR="008F6A24" w:rsidRPr="008F6A24" w:rsidRDefault="008F6A24" w:rsidP="008F6A24">
      <w:pPr>
        <w:tabs>
          <w:tab w:val="left" w:pos="851"/>
        </w:tabs>
        <w:ind w:left="851"/>
        <w:rPr>
          <w:i/>
          <w:sz w:val="24"/>
          <w:szCs w:val="24"/>
          <w:lang w:val="en-US"/>
        </w:rPr>
      </w:pPr>
      <w:r w:rsidRPr="008F6A24">
        <w:rPr>
          <w:i/>
          <w:sz w:val="24"/>
          <w:szCs w:val="24"/>
          <w:lang w:val="en-US"/>
        </w:rPr>
        <w:t>Study 2</w:t>
      </w:r>
    </w:p>
    <w:p w:rsidR="008F6A24" w:rsidRPr="008F6A24" w:rsidRDefault="008F6A24" w:rsidP="008F6A24">
      <w:pPr>
        <w:tabs>
          <w:tab w:val="left" w:pos="851"/>
        </w:tabs>
        <w:ind w:left="851"/>
        <w:rPr>
          <w:sz w:val="24"/>
          <w:szCs w:val="24"/>
          <w:lang w:val="en-US"/>
        </w:rPr>
      </w:pPr>
      <w:r w:rsidRPr="008F6A24">
        <w:rPr>
          <w:sz w:val="24"/>
          <w:szCs w:val="24"/>
          <w:lang w:val="en-US"/>
        </w:rPr>
        <w:t>In the study in advanced phase CML and Ph+ ALL, the primary endpoint was MaHR. A total of 611 patients were randomised to either the dasatinib 140 mg once daily or 70 mg twice daily group. Median duration of treatment was approximately 6 months (range 0.03-31 months).</w:t>
      </w:r>
    </w:p>
    <w:p w:rsidR="008F6A24" w:rsidRPr="008F6A24" w:rsidRDefault="008F6A24" w:rsidP="008F6A24">
      <w:pPr>
        <w:tabs>
          <w:tab w:val="left" w:pos="851"/>
        </w:tabs>
        <w:ind w:left="851"/>
        <w:rPr>
          <w:sz w:val="24"/>
          <w:szCs w:val="24"/>
          <w:lang w:val="en-US"/>
        </w:rPr>
      </w:pPr>
    </w:p>
    <w:p w:rsidR="008F6A24" w:rsidRPr="008F6A24" w:rsidRDefault="008F6A24" w:rsidP="008F6A24">
      <w:pPr>
        <w:tabs>
          <w:tab w:val="left" w:pos="851"/>
        </w:tabs>
        <w:ind w:left="851"/>
        <w:rPr>
          <w:sz w:val="24"/>
          <w:szCs w:val="24"/>
          <w:lang w:val="en-US"/>
        </w:rPr>
      </w:pPr>
      <w:r w:rsidRPr="008F6A24">
        <w:rPr>
          <w:sz w:val="24"/>
          <w:szCs w:val="24"/>
          <w:lang w:val="en-US"/>
        </w:rPr>
        <w:t>The once daily schedule demonstrated comparable efficacy (non-inferiority) to the twice daily schedule on the primary efficacy endpoint (difference in MaHR 0.8%; 95% confidence interval [-7.1% - 8.7%]); however, the 140 mg once daily regimen demonstrated improved safety and tolerability.</w:t>
      </w:r>
    </w:p>
    <w:p w:rsidR="008F6A24" w:rsidRPr="008F6A24" w:rsidRDefault="008F6A24" w:rsidP="008F6A24">
      <w:pPr>
        <w:tabs>
          <w:tab w:val="left" w:pos="851"/>
        </w:tabs>
        <w:ind w:left="851"/>
        <w:rPr>
          <w:sz w:val="24"/>
          <w:szCs w:val="24"/>
          <w:lang w:val="en-US"/>
        </w:rPr>
      </w:pPr>
    </w:p>
    <w:p w:rsidR="008F6A24" w:rsidRPr="008F6A24" w:rsidRDefault="008F6A24" w:rsidP="008F6A24">
      <w:pPr>
        <w:tabs>
          <w:tab w:val="left" w:pos="851"/>
        </w:tabs>
        <w:ind w:left="851"/>
        <w:rPr>
          <w:sz w:val="24"/>
          <w:szCs w:val="24"/>
          <w:lang w:val="en-US"/>
        </w:rPr>
      </w:pPr>
      <w:r w:rsidRPr="008F6A24">
        <w:rPr>
          <w:sz w:val="24"/>
          <w:szCs w:val="24"/>
          <w:lang w:val="en-US"/>
        </w:rPr>
        <w:t>Response rates are presented in Table 14.</w:t>
      </w:r>
    </w:p>
    <w:p w:rsidR="008F6A24" w:rsidRPr="008F6A24" w:rsidRDefault="008F6A24" w:rsidP="008F6A24">
      <w:pPr>
        <w:tabs>
          <w:tab w:val="left" w:pos="851"/>
        </w:tabs>
        <w:ind w:left="851"/>
        <w:rPr>
          <w:sz w:val="24"/>
          <w:szCs w:val="24"/>
          <w:lang w:val="en-US"/>
        </w:rPr>
      </w:pPr>
    </w:p>
    <w:p w:rsidR="008F6A24" w:rsidRPr="008F6A24" w:rsidRDefault="008F6A24" w:rsidP="008F6A24">
      <w:pPr>
        <w:pStyle w:val="Brdtekst"/>
        <w:spacing w:before="1"/>
        <w:ind w:right="98"/>
        <w:rPr>
          <w:b/>
        </w:rPr>
      </w:pPr>
      <w:r w:rsidRPr="008F6A24">
        <w:rPr>
          <w:b/>
        </w:rPr>
        <w:t xml:space="preserve">Table 14: </w:t>
      </w:r>
      <w:r w:rsidRPr="008F6A24">
        <w:rPr>
          <w:b/>
        </w:rPr>
        <w:tab/>
        <w:t xml:space="preserve">Efficacy of dasatinib in phase III dose-optimisation study: advanced phase </w:t>
      </w:r>
    </w:p>
    <w:p w:rsidR="008F6A24" w:rsidRPr="008F6A24" w:rsidRDefault="008F6A24" w:rsidP="008F6A24">
      <w:pPr>
        <w:pStyle w:val="Brdtekst"/>
        <w:spacing w:before="1"/>
        <w:ind w:right="98"/>
        <w:rPr>
          <w:b/>
        </w:rPr>
      </w:pPr>
      <w:r w:rsidRPr="008F6A24">
        <w:rPr>
          <w:b/>
        </w:rPr>
        <w:tab/>
      </w:r>
      <w:r w:rsidRPr="008F6A24">
        <w:rPr>
          <w:b/>
        </w:rPr>
        <w:tab/>
        <w:t>CML and Ph+ ALL (2 year results)</w:t>
      </w:r>
      <w:r w:rsidRPr="008F6A24">
        <w:rPr>
          <w:b/>
          <w:position w:val="8"/>
          <w:sz w:val="14"/>
        </w:rPr>
        <w:t>a</w:t>
      </w:r>
    </w:p>
    <w:tbl>
      <w:tblPr>
        <w:tblStyle w:val="TableNormal1"/>
        <w:tblW w:w="8685" w:type="dxa"/>
        <w:tblInd w:w="117" w:type="dxa"/>
        <w:tblLayout w:type="fixed"/>
        <w:tblLook w:val="01E0" w:firstRow="1" w:lastRow="1" w:firstColumn="1" w:lastColumn="1" w:noHBand="0" w:noVBand="0"/>
      </w:tblPr>
      <w:tblGrid>
        <w:gridCol w:w="1240"/>
        <w:gridCol w:w="1732"/>
        <w:gridCol w:w="1969"/>
        <w:gridCol w:w="2086"/>
        <w:gridCol w:w="1658"/>
      </w:tblGrid>
      <w:tr w:rsidR="008F6A24" w:rsidRPr="008F6A24" w:rsidTr="008F6A24">
        <w:trPr>
          <w:trHeight w:val="427"/>
        </w:trPr>
        <w:tc>
          <w:tcPr>
            <w:tcW w:w="1241" w:type="dxa"/>
            <w:tcBorders>
              <w:top w:val="single" w:sz="4" w:space="0" w:color="000000"/>
              <w:left w:val="nil"/>
              <w:bottom w:val="single" w:sz="4" w:space="0" w:color="000000"/>
              <w:right w:val="nil"/>
            </w:tcBorders>
          </w:tcPr>
          <w:p w:rsidR="008F6A24" w:rsidRPr="008F6A24" w:rsidRDefault="008F6A24">
            <w:pPr>
              <w:pStyle w:val="TableParagraph"/>
              <w:rPr>
                <w:rFonts w:ascii="Times New Roman" w:hAnsi="Times New Roman" w:cs="Times New Roman"/>
                <w:sz w:val="20"/>
              </w:rPr>
            </w:pPr>
          </w:p>
        </w:tc>
        <w:tc>
          <w:tcPr>
            <w:tcW w:w="1733" w:type="dxa"/>
            <w:tcBorders>
              <w:top w:val="single" w:sz="4" w:space="0" w:color="000000"/>
              <w:left w:val="nil"/>
              <w:bottom w:val="single" w:sz="4" w:space="0" w:color="000000"/>
              <w:right w:val="nil"/>
            </w:tcBorders>
            <w:hideMark/>
          </w:tcPr>
          <w:p w:rsidR="008F6A24" w:rsidRPr="008F6A24" w:rsidRDefault="008F6A24">
            <w:pPr>
              <w:pStyle w:val="TableParagraph"/>
              <w:spacing w:before="2" w:line="230" w:lineRule="exact"/>
              <w:ind w:left="458" w:right="474" w:hanging="152"/>
              <w:rPr>
                <w:rFonts w:ascii="Times New Roman" w:hAnsi="Times New Roman" w:cs="Times New Roman"/>
                <w:b/>
                <w:sz w:val="20"/>
              </w:rPr>
            </w:pPr>
            <w:r w:rsidRPr="008F6A24">
              <w:rPr>
                <w:rFonts w:ascii="Times New Roman" w:hAnsi="Times New Roman" w:cs="Times New Roman"/>
                <w:b/>
                <w:sz w:val="20"/>
              </w:rPr>
              <w:t>Accelerated (n= 158)</w:t>
            </w:r>
          </w:p>
        </w:tc>
        <w:tc>
          <w:tcPr>
            <w:tcW w:w="1969" w:type="dxa"/>
            <w:tcBorders>
              <w:top w:val="single" w:sz="4" w:space="0" w:color="000000"/>
              <w:left w:val="nil"/>
              <w:bottom w:val="single" w:sz="4" w:space="0" w:color="000000"/>
              <w:right w:val="nil"/>
            </w:tcBorders>
            <w:hideMark/>
          </w:tcPr>
          <w:p w:rsidR="008F6A24" w:rsidRPr="008F6A24" w:rsidRDefault="008F6A24">
            <w:pPr>
              <w:pStyle w:val="TableParagraph"/>
              <w:spacing w:before="2" w:line="230" w:lineRule="exact"/>
              <w:ind w:left="769" w:right="381" w:hanging="276"/>
              <w:rPr>
                <w:rFonts w:ascii="Times New Roman" w:hAnsi="Times New Roman" w:cs="Times New Roman"/>
                <w:b/>
                <w:sz w:val="20"/>
              </w:rPr>
            </w:pPr>
            <w:r w:rsidRPr="008F6A24">
              <w:rPr>
                <w:rFonts w:ascii="Times New Roman" w:hAnsi="Times New Roman" w:cs="Times New Roman"/>
                <w:b/>
                <w:sz w:val="20"/>
              </w:rPr>
              <w:t>Myeloid blast (n= 75)</w:t>
            </w:r>
          </w:p>
        </w:tc>
        <w:tc>
          <w:tcPr>
            <w:tcW w:w="2086" w:type="dxa"/>
            <w:tcBorders>
              <w:top w:val="single" w:sz="4" w:space="0" w:color="000000"/>
              <w:left w:val="nil"/>
              <w:bottom w:val="single" w:sz="4" w:space="0" w:color="000000"/>
              <w:right w:val="nil"/>
            </w:tcBorders>
            <w:hideMark/>
          </w:tcPr>
          <w:p w:rsidR="008F6A24" w:rsidRPr="008F6A24" w:rsidRDefault="008F6A24">
            <w:pPr>
              <w:pStyle w:val="TableParagraph"/>
              <w:spacing w:before="2" w:line="230" w:lineRule="exact"/>
              <w:ind w:left="771" w:right="408" w:hanging="371"/>
              <w:rPr>
                <w:rFonts w:ascii="Times New Roman" w:hAnsi="Times New Roman" w:cs="Times New Roman"/>
                <w:b/>
                <w:sz w:val="20"/>
              </w:rPr>
            </w:pPr>
            <w:r w:rsidRPr="008F6A24">
              <w:rPr>
                <w:rFonts w:ascii="Times New Roman" w:hAnsi="Times New Roman" w:cs="Times New Roman"/>
                <w:b/>
                <w:sz w:val="20"/>
              </w:rPr>
              <w:t>Lymphoid blast (n= 33)</w:t>
            </w:r>
          </w:p>
        </w:tc>
        <w:tc>
          <w:tcPr>
            <w:tcW w:w="1658" w:type="dxa"/>
            <w:tcBorders>
              <w:top w:val="single" w:sz="4" w:space="0" w:color="000000"/>
              <w:left w:val="nil"/>
              <w:bottom w:val="single" w:sz="4" w:space="0" w:color="000000"/>
              <w:right w:val="nil"/>
            </w:tcBorders>
            <w:hideMark/>
          </w:tcPr>
          <w:p w:rsidR="008F6A24" w:rsidRPr="008F6A24" w:rsidRDefault="008F6A24">
            <w:pPr>
              <w:pStyle w:val="TableParagraph"/>
              <w:spacing w:before="2" w:line="230" w:lineRule="exact"/>
              <w:ind w:left="505" w:right="524" w:hanging="76"/>
              <w:rPr>
                <w:rFonts w:ascii="Times New Roman" w:hAnsi="Times New Roman" w:cs="Times New Roman"/>
                <w:b/>
                <w:sz w:val="20"/>
              </w:rPr>
            </w:pPr>
            <w:r w:rsidRPr="008F6A24">
              <w:rPr>
                <w:rFonts w:ascii="Times New Roman" w:hAnsi="Times New Roman" w:cs="Times New Roman"/>
                <w:b/>
                <w:sz w:val="20"/>
              </w:rPr>
              <w:t>Ph+ALL (n= 40)</w:t>
            </w:r>
          </w:p>
        </w:tc>
      </w:tr>
      <w:tr w:rsidR="008F6A24" w:rsidRPr="008F6A24" w:rsidTr="008F6A24">
        <w:trPr>
          <w:trHeight w:val="288"/>
        </w:trPr>
        <w:tc>
          <w:tcPr>
            <w:tcW w:w="1241" w:type="dxa"/>
            <w:tcBorders>
              <w:top w:val="single" w:sz="4" w:space="0" w:color="000000"/>
              <w:left w:val="nil"/>
              <w:bottom w:val="nil"/>
              <w:right w:val="nil"/>
            </w:tcBorders>
            <w:hideMark/>
          </w:tcPr>
          <w:p w:rsidR="008F6A24" w:rsidRPr="008F6A24" w:rsidRDefault="008F6A24">
            <w:pPr>
              <w:pStyle w:val="TableParagraph"/>
              <w:spacing w:before="51" w:line="241" w:lineRule="exact"/>
              <w:ind w:left="108"/>
              <w:rPr>
                <w:rFonts w:ascii="Times New Roman" w:hAnsi="Times New Roman" w:cs="Times New Roman"/>
                <w:b/>
                <w:sz w:val="18"/>
                <w:szCs w:val="18"/>
              </w:rPr>
            </w:pPr>
            <w:r w:rsidRPr="008F6A24">
              <w:rPr>
                <w:rFonts w:ascii="Times New Roman" w:hAnsi="Times New Roman" w:cs="Times New Roman"/>
                <w:b/>
                <w:sz w:val="18"/>
                <w:szCs w:val="18"/>
              </w:rPr>
              <w:t>MaHR</w:t>
            </w:r>
            <w:r w:rsidRPr="008F6A24">
              <w:rPr>
                <w:rFonts w:ascii="Times New Roman" w:hAnsi="Times New Roman" w:cs="Times New Roman"/>
                <w:b/>
                <w:position w:val="8"/>
                <w:sz w:val="18"/>
                <w:szCs w:val="18"/>
              </w:rPr>
              <w:t>b</w:t>
            </w:r>
          </w:p>
        </w:tc>
        <w:tc>
          <w:tcPr>
            <w:tcW w:w="1733" w:type="dxa"/>
            <w:tcBorders>
              <w:top w:val="single" w:sz="4" w:space="0" w:color="000000"/>
              <w:left w:val="nil"/>
              <w:bottom w:val="nil"/>
              <w:right w:val="nil"/>
            </w:tcBorders>
            <w:hideMark/>
          </w:tcPr>
          <w:p w:rsidR="008F6A24" w:rsidRPr="008F6A24" w:rsidRDefault="008F6A24">
            <w:pPr>
              <w:pStyle w:val="TableParagraph"/>
              <w:spacing w:before="78" w:line="215" w:lineRule="exact"/>
              <w:ind w:left="493" w:right="676"/>
              <w:jc w:val="center"/>
              <w:rPr>
                <w:rFonts w:ascii="Times New Roman" w:hAnsi="Times New Roman" w:cs="Times New Roman"/>
                <w:sz w:val="18"/>
                <w:szCs w:val="18"/>
              </w:rPr>
            </w:pPr>
            <w:r w:rsidRPr="008F6A24">
              <w:rPr>
                <w:rFonts w:ascii="Times New Roman" w:hAnsi="Times New Roman" w:cs="Times New Roman"/>
                <w:sz w:val="18"/>
                <w:szCs w:val="18"/>
              </w:rPr>
              <w:t>66%</w:t>
            </w:r>
          </w:p>
        </w:tc>
        <w:tc>
          <w:tcPr>
            <w:tcW w:w="1969" w:type="dxa"/>
            <w:tcBorders>
              <w:top w:val="single" w:sz="4" w:space="0" w:color="000000"/>
              <w:left w:val="nil"/>
              <w:bottom w:val="nil"/>
              <w:right w:val="nil"/>
            </w:tcBorders>
            <w:hideMark/>
          </w:tcPr>
          <w:p w:rsidR="008F6A24" w:rsidRPr="008F6A24" w:rsidRDefault="008F6A24">
            <w:pPr>
              <w:pStyle w:val="TableParagraph"/>
              <w:spacing w:before="78" w:line="215" w:lineRule="exact"/>
              <w:ind w:left="754" w:right="661"/>
              <w:jc w:val="center"/>
              <w:rPr>
                <w:rFonts w:ascii="Times New Roman" w:hAnsi="Times New Roman" w:cs="Times New Roman"/>
                <w:sz w:val="18"/>
                <w:szCs w:val="18"/>
              </w:rPr>
            </w:pPr>
            <w:r w:rsidRPr="008F6A24">
              <w:rPr>
                <w:rFonts w:ascii="Times New Roman" w:hAnsi="Times New Roman" w:cs="Times New Roman"/>
                <w:sz w:val="18"/>
                <w:szCs w:val="18"/>
              </w:rPr>
              <w:t>28%</w:t>
            </w:r>
          </w:p>
        </w:tc>
        <w:tc>
          <w:tcPr>
            <w:tcW w:w="2086" w:type="dxa"/>
            <w:tcBorders>
              <w:top w:val="single" w:sz="4" w:space="0" w:color="000000"/>
              <w:left w:val="nil"/>
              <w:bottom w:val="nil"/>
              <w:right w:val="nil"/>
            </w:tcBorders>
            <w:hideMark/>
          </w:tcPr>
          <w:p w:rsidR="008F6A24" w:rsidRPr="008F6A24" w:rsidRDefault="008F6A24">
            <w:pPr>
              <w:pStyle w:val="TableParagraph"/>
              <w:spacing w:before="78" w:line="215" w:lineRule="exact"/>
              <w:ind w:left="756" w:right="782"/>
              <w:jc w:val="center"/>
              <w:rPr>
                <w:rFonts w:ascii="Times New Roman" w:hAnsi="Times New Roman" w:cs="Times New Roman"/>
                <w:sz w:val="18"/>
                <w:szCs w:val="18"/>
              </w:rPr>
            </w:pPr>
            <w:r w:rsidRPr="008F6A24">
              <w:rPr>
                <w:rFonts w:ascii="Times New Roman" w:hAnsi="Times New Roman" w:cs="Times New Roman"/>
                <w:sz w:val="18"/>
                <w:szCs w:val="18"/>
              </w:rPr>
              <w:t>42%</w:t>
            </w:r>
          </w:p>
        </w:tc>
        <w:tc>
          <w:tcPr>
            <w:tcW w:w="1658" w:type="dxa"/>
            <w:tcBorders>
              <w:top w:val="single" w:sz="4" w:space="0" w:color="000000"/>
              <w:left w:val="nil"/>
              <w:bottom w:val="nil"/>
              <w:right w:val="nil"/>
            </w:tcBorders>
            <w:hideMark/>
          </w:tcPr>
          <w:p w:rsidR="008F6A24" w:rsidRPr="008F6A24" w:rsidRDefault="008F6A24">
            <w:pPr>
              <w:pStyle w:val="TableParagraph"/>
              <w:spacing w:before="78" w:line="215" w:lineRule="exact"/>
              <w:ind w:left="490" w:right="599"/>
              <w:jc w:val="center"/>
              <w:rPr>
                <w:rFonts w:ascii="Times New Roman" w:hAnsi="Times New Roman" w:cs="Times New Roman"/>
                <w:sz w:val="18"/>
                <w:szCs w:val="18"/>
              </w:rPr>
            </w:pPr>
            <w:r w:rsidRPr="008F6A24">
              <w:rPr>
                <w:rFonts w:ascii="Times New Roman" w:hAnsi="Times New Roman" w:cs="Times New Roman"/>
                <w:sz w:val="18"/>
                <w:szCs w:val="18"/>
              </w:rPr>
              <w:t>38%</w:t>
            </w:r>
          </w:p>
        </w:tc>
      </w:tr>
      <w:tr w:rsidR="008F6A24" w:rsidRPr="008F6A24" w:rsidTr="008F6A24">
        <w:trPr>
          <w:trHeight w:val="291"/>
        </w:trPr>
        <w:tc>
          <w:tcPr>
            <w:tcW w:w="1241" w:type="dxa"/>
            <w:hideMark/>
          </w:tcPr>
          <w:p w:rsidR="008F6A24" w:rsidRPr="008F6A24" w:rsidRDefault="008F6A24">
            <w:pPr>
              <w:pStyle w:val="TableParagraph"/>
              <w:spacing w:line="248" w:lineRule="exact"/>
              <w:ind w:left="163"/>
              <w:rPr>
                <w:rFonts w:ascii="Times New Roman" w:hAnsi="Times New Roman" w:cs="Times New Roman"/>
                <w:sz w:val="18"/>
                <w:szCs w:val="18"/>
              </w:rPr>
            </w:pPr>
            <w:r w:rsidRPr="008F6A24">
              <w:rPr>
                <w:rFonts w:ascii="Times New Roman" w:hAnsi="Times New Roman" w:cs="Times New Roman"/>
                <w:sz w:val="18"/>
                <w:szCs w:val="18"/>
              </w:rPr>
              <w:t>(95% CI)</w:t>
            </w:r>
          </w:p>
        </w:tc>
        <w:tc>
          <w:tcPr>
            <w:tcW w:w="1733" w:type="dxa"/>
            <w:hideMark/>
          </w:tcPr>
          <w:p w:rsidR="008F6A24" w:rsidRPr="008F6A24" w:rsidRDefault="008F6A24">
            <w:pPr>
              <w:pStyle w:val="TableParagraph"/>
              <w:spacing w:line="225" w:lineRule="exact"/>
              <w:ind w:left="494" w:right="676"/>
              <w:jc w:val="center"/>
              <w:rPr>
                <w:rFonts w:ascii="Times New Roman" w:hAnsi="Times New Roman" w:cs="Times New Roman"/>
                <w:sz w:val="18"/>
                <w:szCs w:val="18"/>
              </w:rPr>
            </w:pPr>
            <w:r w:rsidRPr="008F6A24">
              <w:rPr>
                <w:rFonts w:ascii="Times New Roman" w:hAnsi="Times New Roman" w:cs="Times New Roman"/>
                <w:sz w:val="18"/>
                <w:szCs w:val="18"/>
              </w:rPr>
              <w:t>(59-74)</w:t>
            </w:r>
          </w:p>
        </w:tc>
        <w:tc>
          <w:tcPr>
            <w:tcW w:w="1969" w:type="dxa"/>
            <w:hideMark/>
          </w:tcPr>
          <w:p w:rsidR="008F6A24" w:rsidRPr="008F6A24" w:rsidRDefault="008F6A24">
            <w:pPr>
              <w:pStyle w:val="TableParagraph"/>
              <w:spacing w:line="225" w:lineRule="exact"/>
              <w:ind w:left="755" w:right="661"/>
              <w:jc w:val="center"/>
              <w:rPr>
                <w:rFonts w:ascii="Times New Roman" w:hAnsi="Times New Roman" w:cs="Times New Roman"/>
                <w:sz w:val="18"/>
                <w:szCs w:val="18"/>
              </w:rPr>
            </w:pPr>
            <w:r w:rsidRPr="008F6A24">
              <w:rPr>
                <w:rFonts w:ascii="Times New Roman" w:hAnsi="Times New Roman" w:cs="Times New Roman"/>
                <w:sz w:val="18"/>
                <w:szCs w:val="18"/>
              </w:rPr>
              <w:t>(18-40)</w:t>
            </w:r>
          </w:p>
        </w:tc>
        <w:tc>
          <w:tcPr>
            <w:tcW w:w="2086" w:type="dxa"/>
            <w:hideMark/>
          </w:tcPr>
          <w:p w:rsidR="008F6A24" w:rsidRPr="008F6A24" w:rsidRDefault="008F6A24">
            <w:pPr>
              <w:pStyle w:val="TableParagraph"/>
              <w:spacing w:line="225" w:lineRule="exact"/>
              <w:ind w:left="757" w:right="782"/>
              <w:jc w:val="center"/>
              <w:rPr>
                <w:rFonts w:ascii="Times New Roman" w:hAnsi="Times New Roman" w:cs="Times New Roman"/>
                <w:sz w:val="18"/>
                <w:szCs w:val="18"/>
              </w:rPr>
            </w:pPr>
            <w:r w:rsidRPr="008F6A24">
              <w:rPr>
                <w:rFonts w:ascii="Times New Roman" w:hAnsi="Times New Roman" w:cs="Times New Roman"/>
                <w:sz w:val="18"/>
                <w:szCs w:val="18"/>
              </w:rPr>
              <w:t>(26-61)</w:t>
            </w:r>
          </w:p>
        </w:tc>
        <w:tc>
          <w:tcPr>
            <w:tcW w:w="1658" w:type="dxa"/>
            <w:hideMark/>
          </w:tcPr>
          <w:p w:rsidR="008F6A24" w:rsidRPr="008F6A24" w:rsidRDefault="008F6A24">
            <w:pPr>
              <w:pStyle w:val="TableParagraph"/>
              <w:spacing w:line="225" w:lineRule="exact"/>
              <w:ind w:left="490" w:right="601"/>
              <w:jc w:val="center"/>
              <w:rPr>
                <w:rFonts w:ascii="Times New Roman" w:hAnsi="Times New Roman" w:cs="Times New Roman"/>
                <w:sz w:val="18"/>
                <w:szCs w:val="18"/>
              </w:rPr>
            </w:pPr>
            <w:r w:rsidRPr="008F6A24">
              <w:rPr>
                <w:rFonts w:ascii="Times New Roman" w:hAnsi="Times New Roman" w:cs="Times New Roman"/>
                <w:sz w:val="18"/>
                <w:szCs w:val="18"/>
              </w:rPr>
              <w:t>(23-54)</w:t>
            </w:r>
          </w:p>
        </w:tc>
      </w:tr>
      <w:tr w:rsidR="008F6A24" w:rsidRPr="008F6A24" w:rsidTr="008F6A24">
        <w:trPr>
          <w:trHeight w:val="349"/>
        </w:trPr>
        <w:tc>
          <w:tcPr>
            <w:tcW w:w="1241" w:type="dxa"/>
            <w:hideMark/>
          </w:tcPr>
          <w:p w:rsidR="008F6A24" w:rsidRPr="008F6A24" w:rsidRDefault="008F6A24">
            <w:pPr>
              <w:pStyle w:val="TableParagraph"/>
              <w:spacing w:before="49"/>
              <w:ind w:left="215"/>
              <w:rPr>
                <w:rFonts w:ascii="Times New Roman" w:hAnsi="Times New Roman" w:cs="Times New Roman"/>
                <w:sz w:val="18"/>
                <w:szCs w:val="18"/>
              </w:rPr>
            </w:pPr>
            <w:r w:rsidRPr="008F6A24">
              <w:rPr>
                <w:rFonts w:ascii="Times New Roman" w:hAnsi="Times New Roman" w:cs="Times New Roman"/>
                <w:sz w:val="18"/>
                <w:szCs w:val="18"/>
              </w:rPr>
              <w:t>CHR</w:t>
            </w:r>
            <w:r w:rsidRPr="008F6A24">
              <w:rPr>
                <w:rFonts w:ascii="Times New Roman" w:hAnsi="Times New Roman" w:cs="Times New Roman"/>
                <w:position w:val="9"/>
                <w:sz w:val="18"/>
                <w:szCs w:val="18"/>
              </w:rPr>
              <w:t>b</w:t>
            </w:r>
          </w:p>
        </w:tc>
        <w:tc>
          <w:tcPr>
            <w:tcW w:w="1733" w:type="dxa"/>
            <w:hideMark/>
          </w:tcPr>
          <w:p w:rsidR="008F6A24" w:rsidRPr="008F6A24" w:rsidRDefault="008F6A24">
            <w:pPr>
              <w:pStyle w:val="TableParagraph"/>
              <w:spacing w:before="107"/>
              <w:ind w:left="493" w:right="676"/>
              <w:jc w:val="center"/>
              <w:rPr>
                <w:rFonts w:ascii="Times New Roman" w:hAnsi="Times New Roman" w:cs="Times New Roman"/>
                <w:sz w:val="18"/>
                <w:szCs w:val="18"/>
              </w:rPr>
            </w:pPr>
            <w:r w:rsidRPr="008F6A24">
              <w:rPr>
                <w:rFonts w:ascii="Times New Roman" w:hAnsi="Times New Roman" w:cs="Times New Roman"/>
                <w:sz w:val="18"/>
                <w:szCs w:val="18"/>
              </w:rPr>
              <w:t>47%</w:t>
            </w:r>
          </w:p>
        </w:tc>
        <w:tc>
          <w:tcPr>
            <w:tcW w:w="1969" w:type="dxa"/>
            <w:hideMark/>
          </w:tcPr>
          <w:p w:rsidR="008F6A24" w:rsidRPr="008F6A24" w:rsidRDefault="008F6A24">
            <w:pPr>
              <w:pStyle w:val="TableParagraph"/>
              <w:spacing w:before="107"/>
              <w:ind w:left="754" w:right="661"/>
              <w:jc w:val="center"/>
              <w:rPr>
                <w:rFonts w:ascii="Times New Roman" w:hAnsi="Times New Roman" w:cs="Times New Roman"/>
                <w:sz w:val="18"/>
                <w:szCs w:val="18"/>
              </w:rPr>
            </w:pPr>
            <w:r w:rsidRPr="008F6A24">
              <w:rPr>
                <w:rFonts w:ascii="Times New Roman" w:hAnsi="Times New Roman" w:cs="Times New Roman"/>
                <w:sz w:val="18"/>
                <w:szCs w:val="18"/>
              </w:rPr>
              <w:t>17%</w:t>
            </w:r>
          </w:p>
        </w:tc>
        <w:tc>
          <w:tcPr>
            <w:tcW w:w="2086" w:type="dxa"/>
            <w:hideMark/>
          </w:tcPr>
          <w:p w:rsidR="008F6A24" w:rsidRPr="008F6A24" w:rsidRDefault="008F6A24">
            <w:pPr>
              <w:pStyle w:val="TableParagraph"/>
              <w:spacing w:before="107"/>
              <w:ind w:left="756" w:right="782"/>
              <w:jc w:val="center"/>
              <w:rPr>
                <w:rFonts w:ascii="Times New Roman" w:hAnsi="Times New Roman" w:cs="Times New Roman"/>
                <w:sz w:val="18"/>
                <w:szCs w:val="18"/>
              </w:rPr>
            </w:pPr>
            <w:r w:rsidRPr="008F6A24">
              <w:rPr>
                <w:rFonts w:ascii="Times New Roman" w:hAnsi="Times New Roman" w:cs="Times New Roman"/>
                <w:sz w:val="18"/>
                <w:szCs w:val="18"/>
              </w:rPr>
              <w:t>21%</w:t>
            </w:r>
          </w:p>
        </w:tc>
        <w:tc>
          <w:tcPr>
            <w:tcW w:w="1658" w:type="dxa"/>
            <w:hideMark/>
          </w:tcPr>
          <w:p w:rsidR="008F6A24" w:rsidRPr="008F6A24" w:rsidRDefault="008F6A24">
            <w:pPr>
              <w:pStyle w:val="TableParagraph"/>
              <w:spacing w:before="107"/>
              <w:ind w:left="490" w:right="599"/>
              <w:jc w:val="center"/>
              <w:rPr>
                <w:rFonts w:ascii="Times New Roman" w:hAnsi="Times New Roman" w:cs="Times New Roman"/>
                <w:sz w:val="18"/>
                <w:szCs w:val="18"/>
              </w:rPr>
            </w:pPr>
            <w:r w:rsidRPr="008F6A24">
              <w:rPr>
                <w:rFonts w:ascii="Times New Roman" w:hAnsi="Times New Roman" w:cs="Times New Roman"/>
                <w:sz w:val="18"/>
                <w:szCs w:val="18"/>
              </w:rPr>
              <w:t>33%</w:t>
            </w:r>
          </w:p>
        </w:tc>
      </w:tr>
      <w:tr w:rsidR="008F6A24" w:rsidRPr="008F6A24" w:rsidTr="008F6A24">
        <w:trPr>
          <w:trHeight w:val="291"/>
        </w:trPr>
        <w:tc>
          <w:tcPr>
            <w:tcW w:w="1241" w:type="dxa"/>
            <w:hideMark/>
          </w:tcPr>
          <w:p w:rsidR="008F6A24" w:rsidRPr="008F6A24" w:rsidRDefault="008F6A24">
            <w:pPr>
              <w:pStyle w:val="TableParagraph"/>
              <w:spacing w:before="25"/>
              <w:ind w:left="107"/>
              <w:rPr>
                <w:rFonts w:ascii="Times New Roman" w:hAnsi="Times New Roman" w:cs="Times New Roman"/>
                <w:sz w:val="18"/>
                <w:szCs w:val="18"/>
              </w:rPr>
            </w:pPr>
            <w:r w:rsidRPr="008F6A24">
              <w:rPr>
                <w:rFonts w:ascii="Times New Roman" w:hAnsi="Times New Roman" w:cs="Times New Roman"/>
                <w:sz w:val="18"/>
                <w:szCs w:val="18"/>
              </w:rPr>
              <w:t>(95% CI)</w:t>
            </w:r>
          </w:p>
        </w:tc>
        <w:tc>
          <w:tcPr>
            <w:tcW w:w="1733" w:type="dxa"/>
            <w:hideMark/>
          </w:tcPr>
          <w:p w:rsidR="008F6A24" w:rsidRPr="008F6A24" w:rsidRDefault="008F6A24">
            <w:pPr>
              <w:pStyle w:val="TableParagraph"/>
              <w:spacing w:line="195" w:lineRule="exact"/>
              <w:ind w:left="494" w:right="676"/>
              <w:jc w:val="center"/>
              <w:rPr>
                <w:rFonts w:ascii="Times New Roman" w:hAnsi="Times New Roman" w:cs="Times New Roman"/>
                <w:sz w:val="18"/>
                <w:szCs w:val="18"/>
              </w:rPr>
            </w:pPr>
            <w:r w:rsidRPr="008F6A24">
              <w:rPr>
                <w:rFonts w:ascii="Times New Roman" w:hAnsi="Times New Roman" w:cs="Times New Roman"/>
                <w:sz w:val="18"/>
                <w:szCs w:val="18"/>
              </w:rPr>
              <w:t>(40-56)</w:t>
            </w:r>
          </w:p>
        </w:tc>
        <w:tc>
          <w:tcPr>
            <w:tcW w:w="1969" w:type="dxa"/>
            <w:hideMark/>
          </w:tcPr>
          <w:p w:rsidR="008F6A24" w:rsidRPr="008F6A24" w:rsidRDefault="008F6A24">
            <w:pPr>
              <w:pStyle w:val="TableParagraph"/>
              <w:spacing w:line="195" w:lineRule="exact"/>
              <w:ind w:left="755" w:right="661"/>
              <w:jc w:val="center"/>
              <w:rPr>
                <w:rFonts w:ascii="Times New Roman" w:hAnsi="Times New Roman" w:cs="Times New Roman"/>
                <w:sz w:val="18"/>
                <w:szCs w:val="18"/>
              </w:rPr>
            </w:pPr>
            <w:r w:rsidRPr="008F6A24">
              <w:rPr>
                <w:rFonts w:ascii="Times New Roman" w:hAnsi="Times New Roman" w:cs="Times New Roman"/>
                <w:sz w:val="18"/>
                <w:szCs w:val="18"/>
              </w:rPr>
              <w:t>(10-28)</w:t>
            </w:r>
          </w:p>
        </w:tc>
        <w:tc>
          <w:tcPr>
            <w:tcW w:w="2086" w:type="dxa"/>
            <w:hideMark/>
          </w:tcPr>
          <w:p w:rsidR="008F6A24" w:rsidRPr="008F6A24" w:rsidRDefault="008F6A24">
            <w:pPr>
              <w:pStyle w:val="TableParagraph"/>
              <w:spacing w:line="195" w:lineRule="exact"/>
              <w:ind w:left="757" w:right="782"/>
              <w:jc w:val="center"/>
              <w:rPr>
                <w:rFonts w:ascii="Times New Roman" w:hAnsi="Times New Roman" w:cs="Times New Roman"/>
                <w:sz w:val="18"/>
                <w:szCs w:val="18"/>
              </w:rPr>
            </w:pPr>
            <w:r w:rsidRPr="008F6A24">
              <w:rPr>
                <w:rFonts w:ascii="Times New Roman" w:hAnsi="Times New Roman" w:cs="Times New Roman"/>
                <w:sz w:val="18"/>
                <w:szCs w:val="18"/>
              </w:rPr>
              <w:t>(9-39)</w:t>
            </w:r>
          </w:p>
        </w:tc>
        <w:tc>
          <w:tcPr>
            <w:tcW w:w="1658" w:type="dxa"/>
            <w:hideMark/>
          </w:tcPr>
          <w:p w:rsidR="008F6A24" w:rsidRPr="008F6A24" w:rsidRDefault="008F6A24">
            <w:pPr>
              <w:pStyle w:val="TableParagraph"/>
              <w:spacing w:line="195" w:lineRule="exact"/>
              <w:ind w:left="490" w:right="601"/>
              <w:jc w:val="center"/>
              <w:rPr>
                <w:rFonts w:ascii="Times New Roman" w:hAnsi="Times New Roman" w:cs="Times New Roman"/>
                <w:sz w:val="18"/>
                <w:szCs w:val="18"/>
              </w:rPr>
            </w:pPr>
            <w:r w:rsidRPr="008F6A24">
              <w:rPr>
                <w:rFonts w:ascii="Times New Roman" w:hAnsi="Times New Roman" w:cs="Times New Roman"/>
                <w:sz w:val="18"/>
                <w:szCs w:val="18"/>
              </w:rPr>
              <w:t>(19-49)</w:t>
            </w:r>
          </w:p>
        </w:tc>
      </w:tr>
      <w:tr w:rsidR="008F6A24" w:rsidRPr="008F6A24" w:rsidTr="008F6A24">
        <w:trPr>
          <w:trHeight w:val="291"/>
        </w:trPr>
        <w:tc>
          <w:tcPr>
            <w:tcW w:w="1241" w:type="dxa"/>
            <w:hideMark/>
          </w:tcPr>
          <w:p w:rsidR="008F6A24" w:rsidRPr="008F6A24" w:rsidRDefault="008F6A24">
            <w:pPr>
              <w:pStyle w:val="TableParagraph"/>
              <w:spacing w:before="29" w:line="252" w:lineRule="exact"/>
              <w:ind w:left="163"/>
              <w:rPr>
                <w:rFonts w:ascii="Times New Roman" w:hAnsi="Times New Roman" w:cs="Times New Roman"/>
                <w:sz w:val="18"/>
                <w:szCs w:val="18"/>
              </w:rPr>
            </w:pPr>
            <w:r w:rsidRPr="008F6A24">
              <w:rPr>
                <w:rFonts w:ascii="Times New Roman" w:hAnsi="Times New Roman" w:cs="Times New Roman"/>
                <w:sz w:val="18"/>
                <w:szCs w:val="18"/>
              </w:rPr>
              <w:t>NEL</w:t>
            </w:r>
            <w:r w:rsidRPr="008F6A24">
              <w:rPr>
                <w:rFonts w:ascii="Times New Roman" w:hAnsi="Times New Roman" w:cs="Times New Roman"/>
                <w:position w:val="9"/>
                <w:sz w:val="18"/>
                <w:szCs w:val="18"/>
              </w:rPr>
              <w:t>b</w:t>
            </w:r>
          </w:p>
        </w:tc>
        <w:tc>
          <w:tcPr>
            <w:tcW w:w="1733" w:type="dxa"/>
            <w:hideMark/>
          </w:tcPr>
          <w:p w:rsidR="008F6A24" w:rsidRPr="008F6A24" w:rsidRDefault="008F6A24">
            <w:pPr>
              <w:pStyle w:val="TableParagraph"/>
              <w:spacing w:before="68" w:line="214" w:lineRule="exact"/>
              <w:ind w:left="493" w:right="676"/>
              <w:jc w:val="center"/>
              <w:rPr>
                <w:rFonts w:ascii="Times New Roman" w:hAnsi="Times New Roman" w:cs="Times New Roman"/>
                <w:sz w:val="18"/>
                <w:szCs w:val="18"/>
              </w:rPr>
            </w:pPr>
            <w:r w:rsidRPr="008F6A24">
              <w:rPr>
                <w:rFonts w:ascii="Times New Roman" w:hAnsi="Times New Roman" w:cs="Times New Roman"/>
                <w:sz w:val="18"/>
                <w:szCs w:val="18"/>
              </w:rPr>
              <w:t>19%</w:t>
            </w:r>
          </w:p>
        </w:tc>
        <w:tc>
          <w:tcPr>
            <w:tcW w:w="1969" w:type="dxa"/>
            <w:hideMark/>
          </w:tcPr>
          <w:p w:rsidR="008F6A24" w:rsidRPr="008F6A24" w:rsidRDefault="008F6A24">
            <w:pPr>
              <w:pStyle w:val="TableParagraph"/>
              <w:spacing w:before="68" w:line="214" w:lineRule="exact"/>
              <w:ind w:left="754" w:right="661"/>
              <w:jc w:val="center"/>
              <w:rPr>
                <w:rFonts w:ascii="Times New Roman" w:hAnsi="Times New Roman" w:cs="Times New Roman"/>
                <w:sz w:val="18"/>
                <w:szCs w:val="18"/>
              </w:rPr>
            </w:pPr>
            <w:r w:rsidRPr="008F6A24">
              <w:rPr>
                <w:rFonts w:ascii="Times New Roman" w:hAnsi="Times New Roman" w:cs="Times New Roman"/>
                <w:sz w:val="18"/>
                <w:szCs w:val="18"/>
              </w:rPr>
              <w:t>11%</w:t>
            </w:r>
          </w:p>
        </w:tc>
        <w:tc>
          <w:tcPr>
            <w:tcW w:w="2086" w:type="dxa"/>
            <w:hideMark/>
          </w:tcPr>
          <w:p w:rsidR="008F6A24" w:rsidRPr="008F6A24" w:rsidRDefault="008F6A24">
            <w:pPr>
              <w:pStyle w:val="TableParagraph"/>
              <w:spacing w:before="68" w:line="214" w:lineRule="exact"/>
              <w:ind w:left="756" w:right="782"/>
              <w:jc w:val="center"/>
              <w:rPr>
                <w:rFonts w:ascii="Times New Roman" w:hAnsi="Times New Roman" w:cs="Times New Roman"/>
                <w:sz w:val="18"/>
                <w:szCs w:val="18"/>
              </w:rPr>
            </w:pPr>
            <w:r w:rsidRPr="008F6A24">
              <w:rPr>
                <w:rFonts w:ascii="Times New Roman" w:hAnsi="Times New Roman" w:cs="Times New Roman"/>
                <w:sz w:val="18"/>
                <w:szCs w:val="18"/>
              </w:rPr>
              <w:t>21%</w:t>
            </w:r>
          </w:p>
        </w:tc>
        <w:tc>
          <w:tcPr>
            <w:tcW w:w="1658" w:type="dxa"/>
            <w:hideMark/>
          </w:tcPr>
          <w:p w:rsidR="008F6A24" w:rsidRPr="008F6A24" w:rsidRDefault="008F6A24">
            <w:pPr>
              <w:pStyle w:val="TableParagraph"/>
              <w:spacing w:before="68" w:line="214" w:lineRule="exact"/>
              <w:ind w:left="490" w:right="599"/>
              <w:jc w:val="center"/>
              <w:rPr>
                <w:rFonts w:ascii="Times New Roman" w:hAnsi="Times New Roman" w:cs="Times New Roman"/>
                <w:sz w:val="18"/>
                <w:szCs w:val="18"/>
              </w:rPr>
            </w:pPr>
            <w:r w:rsidRPr="008F6A24">
              <w:rPr>
                <w:rFonts w:ascii="Times New Roman" w:hAnsi="Times New Roman" w:cs="Times New Roman"/>
                <w:sz w:val="18"/>
                <w:szCs w:val="18"/>
              </w:rPr>
              <w:t>5%</w:t>
            </w:r>
          </w:p>
        </w:tc>
      </w:tr>
      <w:tr w:rsidR="008F6A24" w:rsidRPr="008F6A24" w:rsidTr="008F6A24">
        <w:trPr>
          <w:trHeight w:val="291"/>
        </w:trPr>
        <w:tc>
          <w:tcPr>
            <w:tcW w:w="1241" w:type="dxa"/>
            <w:tcBorders>
              <w:top w:val="nil"/>
              <w:left w:val="nil"/>
              <w:bottom w:val="single" w:sz="4" w:space="0" w:color="000000"/>
              <w:right w:val="nil"/>
            </w:tcBorders>
            <w:hideMark/>
          </w:tcPr>
          <w:p w:rsidR="008F6A24" w:rsidRPr="008F6A24" w:rsidRDefault="008F6A24">
            <w:pPr>
              <w:pStyle w:val="TableParagraph"/>
              <w:spacing w:line="249" w:lineRule="exact"/>
              <w:ind w:left="108"/>
              <w:rPr>
                <w:rFonts w:ascii="Times New Roman" w:hAnsi="Times New Roman" w:cs="Times New Roman"/>
                <w:sz w:val="18"/>
                <w:szCs w:val="18"/>
              </w:rPr>
            </w:pPr>
            <w:r w:rsidRPr="008F6A24">
              <w:rPr>
                <w:rFonts w:ascii="Times New Roman" w:hAnsi="Times New Roman" w:cs="Times New Roman"/>
                <w:sz w:val="18"/>
                <w:szCs w:val="18"/>
              </w:rPr>
              <w:t>(95% CI)</w:t>
            </w:r>
          </w:p>
        </w:tc>
        <w:tc>
          <w:tcPr>
            <w:tcW w:w="1733" w:type="dxa"/>
            <w:tcBorders>
              <w:top w:val="nil"/>
              <w:left w:val="nil"/>
              <w:bottom w:val="single" w:sz="4" w:space="0" w:color="000000"/>
              <w:right w:val="nil"/>
            </w:tcBorders>
            <w:hideMark/>
          </w:tcPr>
          <w:p w:rsidR="008F6A24" w:rsidRPr="008F6A24" w:rsidRDefault="008F6A24">
            <w:pPr>
              <w:pStyle w:val="TableParagraph"/>
              <w:spacing w:line="225" w:lineRule="exact"/>
              <w:ind w:left="494" w:right="676"/>
              <w:jc w:val="center"/>
              <w:rPr>
                <w:rFonts w:ascii="Times New Roman" w:hAnsi="Times New Roman" w:cs="Times New Roman"/>
                <w:sz w:val="18"/>
                <w:szCs w:val="18"/>
              </w:rPr>
            </w:pPr>
            <w:r w:rsidRPr="008F6A24">
              <w:rPr>
                <w:rFonts w:ascii="Times New Roman" w:hAnsi="Times New Roman" w:cs="Times New Roman"/>
                <w:sz w:val="18"/>
                <w:szCs w:val="18"/>
              </w:rPr>
              <w:t>(13-26)</w:t>
            </w:r>
          </w:p>
        </w:tc>
        <w:tc>
          <w:tcPr>
            <w:tcW w:w="1969" w:type="dxa"/>
            <w:tcBorders>
              <w:top w:val="nil"/>
              <w:left w:val="nil"/>
              <w:bottom w:val="single" w:sz="4" w:space="0" w:color="000000"/>
              <w:right w:val="nil"/>
            </w:tcBorders>
            <w:hideMark/>
          </w:tcPr>
          <w:p w:rsidR="008F6A24" w:rsidRPr="008F6A24" w:rsidRDefault="008F6A24">
            <w:pPr>
              <w:pStyle w:val="TableParagraph"/>
              <w:spacing w:line="225" w:lineRule="exact"/>
              <w:ind w:left="755" w:right="661"/>
              <w:jc w:val="center"/>
              <w:rPr>
                <w:rFonts w:ascii="Times New Roman" w:hAnsi="Times New Roman" w:cs="Times New Roman"/>
                <w:sz w:val="18"/>
                <w:szCs w:val="18"/>
              </w:rPr>
            </w:pPr>
            <w:r w:rsidRPr="008F6A24">
              <w:rPr>
                <w:rFonts w:ascii="Times New Roman" w:hAnsi="Times New Roman" w:cs="Times New Roman"/>
                <w:sz w:val="18"/>
                <w:szCs w:val="18"/>
              </w:rPr>
              <w:t>(5-20)</w:t>
            </w:r>
          </w:p>
        </w:tc>
        <w:tc>
          <w:tcPr>
            <w:tcW w:w="2086" w:type="dxa"/>
            <w:tcBorders>
              <w:top w:val="nil"/>
              <w:left w:val="nil"/>
              <w:bottom w:val="single" w:sz="4" w:space="0" w:color="000000"/>
              <w:right w:val="nil"/>
            </w:tcBorders>
            <w:hideMark/>
          </w:tcPr>
          <w:p w:rsidR="008F6A24" w:rsidRPr="008F6A24" w:rsidRDefault="008F6A24">
            <w:pPr>
              <w:pStyle w:val="TableParagraph"/>
              <w:spacing w:line="225" w:lineRule="exact"/>
              <w:ind w:left="757" w:right="782"/>
              <w:jc w:val="center"/>
              <w:rPr>
                <w:rFonts w:ascii="Times New Roman" w:hAnsi="Times New Roman" w:cs="Times New Roman"/>
                <w:sz w:val="18"/>
                <w:szCs w:val="18"/>
              </w:rPr>
            </w:pPr>
            <w:r w:rsidRPr="008F6A24">
              <w:rPr>
                <w:rFonts w:ascii="Times New Roman" w:hAnsi="Times New Roman" w:cs="Times New Roman"/>
                <w:sz w:val="18"/>
                <w:szCs w:val="18"/>
              </w:rPr>
              <w:t>(9-39)</w:t>
            </w:r>
          </w:p>
        </w:tc>
        <w:tc>
          <w:tcPr>
            <w:tcW w:w="1658" w:type="dxa"/>
            <w:tcBorders>
              <w:top w:val="nil"/>
              <w:left w:val="nil"/>
              <w:bottom w:val="single" w:sz="4" w:space="0" w:color="000000"/>
              <w:right w:val="nil"/>
            </w:tcBorders>
            <w:hideMark/>
          </w:tcPr>
          <w:p w:rsidR="008F6A24" w:rsidRPr="008F6A24" w:rsidRDefault="008F6A24">
            <w:pPr>
              <w:pStyle w:val="TableParagraph"/>
              <w:spacing w:line="225" w:lineRule="exact"/>
              <w:ind w:left="490" w:right="601"/>
              <w:jc w:val="center"/>
              <w:rPr>
                <w:rFonts w:ascii="Times New Roman" w:hAnsi="Times New Roman" w:cs="Times New Roman"/>
                <w:sz w:val="18"/>
                <w:szCs w:val="18"/>
              </w:rPr>
            </w:pPr>
            <w:r w:rsidRPr="008F6A24">
              <w:rPr>
                <w:rFonts w:ascii="Times New Roman" w:hAnsi="Times New Roman" w:cs="Times New Roman"/>
                <w:sz w:val="18"/>
                <w:szCs w:val="18"/>
              </w:rPr>
              <w:t>(1-17)</w:t>
            </w:r>
          </w:p>
        </w:tc>
      </w:tr>
      <w:tr w:rsidR="008F6A24" w:rsidRPr="008F6A24" w:rsidTr="008F6A24">
        <w:trPr>
          <w:trHeight w:val="291"/>
        </w:trPr>
        <w:tc>
          <w:tcPr>
            <w:tcW w:w="1241" w:type="dxa"/>
            <w:tcBorders>
              <w:top w:val="single" w:sz="4" w:space="0" w:color="000000"/>
              <w:left w:val="nil"/>
              <w:bottom w:val="nil"/>
              <w:right w:val="nil"/>
            </w:tcBorders>
            <w:hideMark/>
          </w:tcPr>
          <w:p w:rsidR="008F6A24" w:rsidRPr="008F6A24" w:rsidRDefault="008F6A24">
            <w:pPr>
              <w:pStyle w:val="TableParagraph"/>
              <w:spacing w:before="41" w:line="242" w:lineRule="exact"/>
              <w:ind w:left="108"/>
              <w:rPr>
                <w:rFonts w:ascii="Times New Roman" w:hAnsi="Times New Roman" w:cs="Times New Roman"/>
                <w:b/>
                <w:sz w:val="18"/>
                <w:szCs w:val="18"/>
              </w:rPr>
            </w:pPr>
            <w:r w:rsidRPr="008F6A24">
              <w:rPr>
                <w:rFonts w:ascii="Times New Roman" w:hAnsi="Times New Roman" w:cs="Times New Roman"/>
                <w:b/>
                <w:sz w:val="18"/>
                <w:szCs w:val="18"/>
              </w:rPr>
              <w:t>MCyR</w:t>
            </w:r>
            <w:r w:rsidRPr="008F6A24">
              <w:rPr>
                <w:rFonts w:ascii="Times New Roman" w:hAnsi="Times New Roman" w:cs="Times New Roman"/>
                <w:b/>
                <w:position w:val="8"/>
                <w:sz w:val="18"/>
                <w:szCs w:val="18"/>
              </w:rPr>
              <w:t>c</w:t>
            </w:r>
          </w:p>
        </w:tc>
        <w:tc>
          <w:tcPr>
            <w:tcW w:w="1733" w:type="dxa"/>
            <w:tcBorders>
              <w:top w:val="single" w:sz="4" w:space="0" w:color="000000"/>
              <w:left w:val="nil"/>
              <w:bottom w:val="nil"/>
              <w:right w:val="nil"/>
            </w:tcBorders>
            <w:hideMark/>
          </w:tcPr>
          <w:p w:rsidR="008F6A24" w:rsidRPr="008F6A24" w:rsidRDefault="008F6A24">
            <w:pPr>
              <w:pStyle w:val="TableParagraph"/>
              <w:spacing w:before="67" w:line="215" w:lineRule="exact"/>
              <w:ind w:left="493" w:right="676"/>
              <w:jc w:val="center"/>
              <w:rPr>
                <w:rFonts w:ascii="Times New Roman" w:hAnsi="Times New Roman" w:cs="Times New Roman"/>
                <w:sz w:val="18"/>
                <w:szCs w:val="18"/>
              </w:rPr>
            </w:pPr>
            <w:r w:rsidRPr="008F6A24">
              <w:rPr>
                <w:rFonts w:ascii="Times New Roman" w:hAnsi="Times New Roman" w:cs="Times New Roman"/>
                <w:sz w:val="18"/>
                <w:szCs w:val="18"/>
              </w:rPr>
              <w:t>39%</w:t>
            </w:r>
          </w:p>
        </w:tc>
        <w:tc>
          <w:tcPr>
            <w:tcW w:w="1969" w:type="dxa"/>
            <w:tcBorders>
              <w:top w:val="single" w:sz="4" w:space="0" w:color="000000"/>
              <w:left w:val="nil"/>
              <w:bottom w:val="nil"/>
              <w:right w:val="nil"/>
            </w:tcBorders>
            <w:hideMark/>
          </w:tcPr>
          <w:p w:rsidR="008F6A24" w:rsidRPr="008F6A24" w:rsidRDefault="008F6A24">
            <w:pPr>
              <w:pStyle w:val="TableParagraph"/>
              <w:spacing w:before="67" w:line="215" w:lineRule="exact"/>
              <w:ind w:left="754" w:right="661"/>
              <w:jc w:val="center"/>
              <w:rPr>
                <w:rFonts w:ascii="Times New Roman" w:hAnsi="Times New Roman" w:cs="Times New Roman"/>
                <w:sz w:val="18"/>
                <w:szCs w:val="18"/>
              </w:rPr>
            </w:pPr>
            <w:r w:rsidRPr="008F6A24">
              <w:rPr>
                <w:rFonts w:ascii="Times New Roman" w:hAnsi="Times New Roman" w:cs="Times New Roman"/>
                <w:sz w:val="18"/>
                <w:szCs w:val="18"/>
              </w:rPr>
              <w:t>28%</w:t>
            </w:r>
          </w:p>
        </w:tc>
        <w:tc>
          <w:tcPr>
            <w:tcW w:w="2086" w:type="dxa"/>
            <w:tcBorders>
              <w:top w:val="single" w:sz="4" w:space="0" w:color="000000"/>
              <w:left w:val="nil"/>
              <w:bottom w:val="nil"/>
              <w:right w:val="nil"/>
            </w:tcBorders>
            <w:hideMark/>
          </w:tcPr>
          <w:p w:rsidR="008F6A24" w:rsidRPr="008F6A24" w:rsidRDefault="008F6A24">
            <w:pPr>
              <w:pStyle w:val="TableParagraph"/>
              <w:spacing w:before="67" w:line="215" w:lineRule="exact"/>
              <w:ind w:left="756" w:right="782"/>
              <w:jc w:val="center"/>
              <w:rPr>
                <w:rFonts w:ascii="Times New Roman" w:hAnsi="Times New Roman" w:cs="Times New Roman"/>
                <w:sz w:val="18"/>
                <w:szCs w:val="18"/>
              </w:rPr>
            </w:pPr>
            <w:r w:rsidRPr="008F6A24">
              <w:rPr>
                <w:rFonts w:ascii="Times New Roman" w:hAnsi="Times New Roman" w:cs="Times New Roman"/>
                <w:sz w:val="18"/>
                <w:szCs w:val="18"/>
              </w:rPr>
              <w:t>52%</w:t>
            </w:r>
          </w:p>
        </w:tc>
        <w:tc>
          <w:tcPr>
            <w:tcW w:w="1658" w:type="dxa"/>
            <w:tcBorders>
              <w:top w:val="single" w:sz="4" w:space="0" w:color="000000"/>
              <w:left w:val="nil"/>
              <w:bottom w:val="nil"/>
              <w:right w:val="nil"/>
            </w:tcBorders>
            <w:hideMark/>
          </w:tcPr>
          <w:p w:rsidR="008F6A24" w:rsidRPr="008F6A24" w:rsidRDefault="008F6A24">
            <w:pPr>
              <w:pStyle w:val="TableParagraph"/>
              <w:spacing w:before="67" w:line="215" w:lineRule="exact"/>
              <w:ind w:left="490" w:right="599"/>
              <w:jc w:val="center"/>
              <w:rPr>
                <w:rFonts w:ascii="Times New Roman" w:hAnsi="Times New Roman" w:cs="Times New Roman"/>
                <w:sz w:val="18"/>
                <w:szCs w:val="18"/>
              </w:rPr>
            </w:pPr>
            <w:r w:rsidRPr="008F6A24">
              <w:rPr>
                <w:rFonts w:ascii="Times New Roman" w:hAnsi="Times New Roman" w:cs="Times New Roman"/>
                <w:sz w:val="18"/>
                <w:szCs w:val="18"/>
              </w:rPr>
              <w:t>70%</w:t>
            </w:r>
          </w:p>
        </w:tc>
      </w:tr>
      <w:tr w:rsidR="008F6A24" w:rsidRPr="008F6A24" w:rsidTr="008F6A24">
        <w:trPr>
          <w:trHeight w:val="272"/>
        </w:trPr>
        <w:tc>
          <w:tcPr>
            <w:tcW w:w="1241" w:type="dxa"/>
            <w:hideMark/>
          </w:tcPr>
          <w:p w:rsidR="008F6A24" w:rsidRPr="008F6A24" w:rsidRDefault="008F6A24">
            <w:pPr>
              <w:pStyle w:val="TableParagraph"/>
              <w:spacing w:line="249" w:lineRule="exact"/>
              <w:ind w:left="107"/>
              <w:rPr>
                <w:rFonts w:ascii="Times New Roman" w:hAnsi="Times New Roman" w:cs="Times New Roman"/>
                <w:sz w:val="18"/>
                <w:szCs w:val="18"/>
              </w:rPr>
            </w:pPr>
            <w:r w:rsidRPr="008F6A24">
              <w:rPr>
                <w:rFonts w:ascii="Times New Roman" w:hAnsi="Times New Roman" w:cs="Times New Roman"/>
                <w:sz w:val="18"/>
                <w:szCs w:val="18"/>
              </w:rPr>
              <w:t>(95% CI)</w:t>
            </w:r>
          </w:p>
        </w:tc>
        <w:tc>
          <w:tcPr>
            <w:tcW w:w="1733" w:type="dxa"/>
            <w:hideMark/>
          </w:tcPr>
          <w:p w:rsidR="008F6A24" w:rsidRPr="008F6A24" w:rsidRDefault="008F6A24">
            <w:pPr>
              <w:pStyle w:val="TableParagraph"/>
              <w:spacing w:line="225" w:lineRule="exact"/>
              <w:ind w:left="494" w:right="676"/>
              <w:jc w:val="center"/>
              <w:rPr>
                <w:rFonts w:ascii="Times New Roman" w:hAnsi="Times New Roman" w:cs="Times New Roman"/>
                <w:sz w:val="18"/>
                <w:szCs w:val="18"/>
              </w:rPr>
            </w:pPr>
            <w:r w:rsidRPr="008F6A24">
              <w:rPr>
                <w:rFonts w:ascii="Times New Roman" w:hAnsi="Times New Roman" w:cs="Times New Roman"/>
                <w:sz w:val="18"/>
                <w:szCs w:val="18"/>
              </w:rPr>
              <w:t>(31-47)</w:t>
            </w:r>
          </w:p>
        </w:tc>
        <w:tc>
          <w:tcPr>
            <w:tcW w:w="1969" w:type="dxa"/>
            <w:hideMark/>
          </w:tcPr>
          <w:p w:rsidR="008F6A24" w:rsidRPr="008F6A24" w:rsidRDefault="008F6A24">
            <w:pPr>
              <w:pStyle w:val="TableParagraph"/>
              <w:spacing w:line="225" w:lineRule="exact"/>
              <w:ind w:left="755" w:right="661"/>
              <w:jc w:val="center"/>
              <w:rPr>
                <w:rFonts w:ascii="Times New Roman" w:hAnsi="Times New Roman" w:cs="Times New Roman"/>
                <w:sz w:val="18"/>
                <w:szCs w:val="18"/>
              </w:rPr>
            </w:pPr>
            <w:r w:rsidRPr="008F6A24">
              <w:rPr>
                <w:rFonts w:ascii="Times New Roman" w:hAnsi="Times New Roman" w:cs="Times New Roman"/>
                <w:sz w:val="18"/>
                <w:szCs w:val="18"/>
              </w:rPr>
              <w:t>(18-40)</w:t>
            </w:r>
          </w:p>
        </w:tc>
        <w:tc>
          <w:tcPr>
            <w:tcW w:w="2086" w:type="dxa"/>
            <w:hideMark/>
          </w:tcPr>
          <w:p w:rsidR="008F6A24" w:rsidRPr="008F6A24" w:rsidRDefault="008F6A24">
            <w:pPr>
              <w:pStyle w:val="TableParagraph"/>
              <w:spacing w:line="225" w:lineRule="exact"/>
              <w:ind w:left="757" w:right="782"/>
              <w:jc w:val="center"/>
              <w:rPr>
                <w:rFonts w:ascii="Times New Roman" w:hAnsi="Times New Roman" w:cs="Times New Roman"/>
                <w:sz w:val="18"/>
                <w:szCs w:val="18"/>
              </w:rPr>
            </w:pPr>
            <w:r w:rsidRPr="008F6A24">
              <w:rPr>
                <w:rFonts w:ascii="Times New Roman" w:hAnsi="Times New Roman" w:cs="Times New Roman"/>
                <w:sz w:val="18"/>
                <w:szCs w:val="18"/>
              </w:rPr>
              <w:t>(34-69)</w:t>
            </w:r>
          </w:p>
        </w:tc>
        <w:tc>
          <w:tcPr>
            <w:tcW w:w="1658" w:type="dxa"/>
            <w:hideMark/>
          </w:tcPr>
          <w:p w:rsidR="008F6A24" w:rsidRPr="008F6A24" w:rsidRDefault="008F6A24">
            <w:pPr>
              <w:pStyle w:val="TableParagraph"/>
              <w:spacing w:line="225" w:lineRule="exact"/>
              <w:ind w:left="490" w:right="601"/>
              <w:jc w:val="center"/>
              <w:rPr>
                <w:rFonts w:ascii="Times New Roman" w:hAnsi="Times New Roman" w:cs="Times New Roman"/>
                <w:sz w:val="18"/>
                <w:szCs w:val="18"/>
              </w:rPr>
            </w:pPr>
            <w:r w:rsidRPr="008F6A24">
              <w:rPr>
                <w:rFonts w:ascii="Times New Roman" w:hAnsi="Times New Roman" w:cs="Times New Roman"/>
                <w:sz w:val="18"/>
                <w:szCs w:val="18"/>
              </w:rPr>
              <w:t>(54-83)</w:t>
            </w:r>
          </w:p>
        </w:tc>
      </w:tr>
      <w:tr w:rsidR="008F6A24" w:rsidRPr="008F6A24" w:rsidTr="008F6A24">
        <w:trPr>
          <w:trHeight w:val="272"/>
        </w:trPr>
        <w:tc>
          <w:tcPr>
            <w:tcW w:w="1241" w:type="dxa"/>
            <w:hideMark/>
          </w:tcPr>
          <w:p w:rsidR="008F6A24" w:rsidRPr="008F6A24" w:rsidRDefault="008F6A24">
            <w:pPr>
              <w:pStyle w:val="TableParagraph"/>
              <w:spacing w:before="29" w:line="236" w:lineRule="exact"/>
              <w:ind w:left="163"/>
              <w:rPr>
                <w:rFonts w:ascii="Times New Roman" w:hAnsi="Times New Roman" w:cs="Times New Roman"/>
                <w:sz w:val="18"/>
                <w:szCs w:val="18"/>
              </w:rPr>
            </w:pPr>
            <w:r w:rsidRPr="008F6A24">
              <w:rPr>
                <w:rFonts w:ascii="Times New Roman" w:hAnsi="Times New Roman" w:cs="Times New Roman"/>
                <w:sz w:val="18"/>
                <w:szCs w:val="18"/>
              </w:rPr>
              <w:t>CCyR</w:t>
            </w:r>
          </w:p>
        </w:tc>
        <w:tc>
          <w:tcPr>
            <w:tcW w:w="1733" w:type="dxa"/>
            <w:hideMark/>
          </w:tcPr>
          <w:p w:rsidR="008F6A24" w:rsidRPr="008F6A24" w:rsidRDefault="008F6A24">
            <w:pPr>
              <w:pStyle w:val="TableParagraph"/>
              <w:spacing w:before="51" w:line="214" w:lineRule="exact"/>
              <w:ind w:left="493" w:right="676"/>
              <w:jc w:val="center"/>
              <w:rPr>
                <w:rFonts w:ascii="Times New Roman" w:hAnsi="Times New Roman" w:cs="Times New Roman"/>
                <w:sz w:val="18"/>
                <w:szCs w:val="18"/>
              </w:rPr>
            </w:pPr>
            <w:r w:rsidRPr="008F6A24">
              <w:rPr>
                <w:rFonts w:ascii="Times New Roman" w:hAnsi="Times New Roman" w:cs="Times New Roman"/>
                <w:sz w:val="18"/>
                <w:szCs w:val="18"/>
              </w:rPr>
              <w:t>32%</w:t>
            </w:r>
          </w:p>
        </w:tc>
        <w:tc>
          <w:tcPr>
            <w:tcW w:w="1969" w:type="dxa"/>
            <w:hideMark/>
          </w:tcPr>
          <w:p w:rsidR="008F6A24" w:rsidRPr="008F6A24" w:rsidRDefault="008F6A24">
            <w:pPr>
              <w:pStyle w:val="TableParagraph"/>
              <w:spacing w:before="51" w:line="214" w:lineRule="exact"/>
              <w:ind w:left="754" w:right="661"/>
              <w:jc w:val="center"/>
              <w:rPr>
                <w:rFonts w:ascii="Times New Roman" w:hAnsi="Times New Roman" w:cs="Times New Roman"/>
                <w:sz w:val="18"/>
                <w:szCs w:val="18"/>
              </w:rPr>
            </w:pPr>
            <w:r w:rsidRPr="008F6A24">
              <w:rPr>
                <w:rFonts w:ascii="Times New Roman" w:hAnsi="Times New Roman" w:cs="Times New Roman"/>
                <w:sz w:val="18"/>
                <w:szCs w:val="18"/>
              </w:rPr>
              <w:t>17%</w:t>
            </w:r>
          </w:p>
        </w:tc>
        <w:tc>
          <w:tcPr>
            <w:tcW w:w="2086" w:type="dxa"/>
            <w:hideMark/>
          </w:tcPr>
          <w:p w:rsidR="008F6A24" w:rsidRPr="008F6A24" w:rsidRDefault="008F6A24">
            <w:pPr>
              <w:pStyle w:val="TableParagraph"/>
              <w:spacing w:before="51" w:line="214" w:lineRule="exact"/>
              <w:ind w:left="756" w:right="782"/>
              <w:jc w:val="center"/>
              <w:rPr>
                <w:rFonts w:ascii="Times New Roman" w:hAnsi="Times New Roman" w:cs="Times New Roman"/>
                <w:sz w:val="18"/>
                <w:szCs w:val="18"/>
              </w:rPr>
            </w:pPr>
            <w:r w:rsidRPr="008F6A24">
              <w:rPr>
                <w:rFonts w:ascii="Times New Roman" w:hAnsi="Times New Roman" w:cs="Times New Roman"/>
                <w:sz w:val="18"/>
                <w:szCs w:val="18"/>
              </w:rPr>
              <w:t>39%</w:t>
            </w:r>
          </w:p>
        </w:tc>
        <w:tc>
          <w:tcPr>
            <w:tcW w:w="1658" w:type="dxa"/>
            <w:hideMark/>
          </w:tcPr>
          <w:p w:rsidR="008F6A24" w:rsidRPr="008F6A24" w:rsidRDefault="008F6A24">
            <w:pPr>
              <w:pStyle w:val="TableParagraph"/>
              <w:spacing w:before="51" w:line="214" w:lineRule="exact"/>
              <w:ind w:left="490" w:right="599"/>
              <w:jc w:val="center"/>
              <w:rPr>
                <w:rFonts w:ascii="Times New Roman" w:hAnsi="Times New Roman" w:cs="Times New Roman"/>
                <w:sz w:val="18"/>
                <w:szCs w:val="18"/>
              </w:rPr>
            </w:pPr>
            <w:r w:rsidRPr="008F6A24">
              <w:rPr>
                <w:rFonts w:ascii="Times New Roman" w:hAnsi="Times New Roman" w:cs="Times New Roman"/>
                <w:sz w:val="18"/>
                <w:szCs w:val="18"/>
              </w:rPr>
              <w:t>50%</w:t>
            </w:r>
          </w:p>
        </w:tc>
      </w:tr>
      <w:tr w:rsidR="008F6A24" w:rsidRPr="008F6A24" w:rsidTr="008F6A24">
        <w:trPr>
          <w:trHeight w:val="252"/>
        </w:trPr>
        <w:tc>
          <w:tcPr>
            <w:tcW w:w="1241" w:type="dxa"/>
            <w:tcBorders>
              <w:top w:val="nil"/>
              <w:left w:val="nil"/>
              <w:bottom w:val="single" w:sz="4" w:space="0" w:color="000000"/>
              <w:right w:val="nil"/>
            </w:tcBorders>
            <w:hideMark/>
          </w:tcPr>
          <w:p w:rsidR="008F6A24" w:rsidRPr="008F6A24" w:rsidRDefault="008F6A24">
            <w:pPr>
              <w:pStyle w:val="TableParagraph"/>
              <w:spacing w:line="249" w:lineRule="exact"/>
              <w:ind w:left="108"/>
              <w:rPr>
                <w:rFonts w:ascii="Times New Roman" w:hAnsi="Times New Roman" w:cs="Times New Roman"/>
                <w:sz w:val="18"/>
                <w:szCs w:val="18"/>
              </w:rPr>
            </w:pPr>
            <w:r w:rsidRPr="008F6A24">
              <w:rPr>
                <w:rFonts w:ascii="Times New Roman" w:hAnsi="Times New Roman" w:cs="Times New Roman"/>
                <w:sz w:val="18"/>
                <w:szCs w:val="18"/>
              </w:rPr>
              <w:t>(95% CI)</w:t>
            </w:r>
          </w:p>
        </w:tc>
        <w:tc>
          <w:tcPr>
            <w:tcW w:w="1733" w:type="dxa"/>
            <w:tcBorders>
              <w:top w:val="nil"/>
              <w:left w:val="nil"/>
              <w:bottom w:val="single" w:sz="4" w:space="0" w:color="000000"/>
              <w:right w:val="nil"/>
            </w:tcBorders>
            <w:hideMark/>
          </w:tcPr>
          <w:p w:rsidR="008F6A24" w:rsidRPr="008F6A24" w:rsidRDefault="008F6A24">
            <w:pPr>
              <w:pStyle w:val="TableParagraph"/>
              <w:spacing w:line="225" w:lineRule="exact"/>
              <w:ind w:left="494" w:right="676"/>
              <w:jc w:val="center"/>
              <w:rPr>
                <w:rFonts w:ascii="Times New Roman" w:hAnsi="Times New Roman" w:cs="Times New Roman"/>
                <w:sz w:val="18"/>
                <w:szCs w:val="18"/>
              </w:rPr>
            </w:pPr>
            <w:r w:rsidRPr="008F6A24">
              <w:rPr>
                <w:rFonts w:ascii="Times New Roman" w:hAnsi="Times New Roman" w:cs="Times New Roman"/>
                <w:sz w:val="18"/>
                <w:szCs w:val="18"/>
              </w:rPr>
              <w:t>(25-40)</w:t>
            </w:r>
          </w:p>
        </w:tc>
        <w:tc>
          <w:tcPr>
            <w:tcW w:w="1969" w:type="dxa"/>
            <w:tcBorders>
              <w:top w:val="nil"/>
              <w:left w:val="nil"/>
              <w:bottom w:val="single" w:sz="4" w:space="0" w:color="000000"/>
              <w:right w:val="nil"/>
            </w:tcBorders>
            <w:hideMark/>
          </w:tcPr>
          <w:p w:rsidR="008F6A24" w:rsidRPr="008F6A24" w:rsidRDefault="008F6A24">
            <w:pPr>
              <w:pStyle w:val="TableParagraph"/>
              <w:spacing w:line="225" w:lineRule="exact"/>
              <w:ind w:left="755" w:right="661"/>
              <w:jc w:val="center"/>
              <w:rPr>
                <w:rFonts w:ascii="Times New Roman" w:hAnsi="Times New Roman" w:cs="Times New Roman"/>
                <w:sz w:val="18"/>
                <w:szCs w:val="18"/>
              </w:rPr>
            </w:pPr>
            <w:r w:rsidRPr="008F6A24">
              <w:rPr>
                <w:rFonts w:ascii="Times New Roman" w:hAnsi="Times New Roman" w:cs="Times New Roman"/>
                <w:sz w:val="18"/>
                <w:szCs w:val="18"/>
              </w:rPr>
              <w:t>(10-28)</w:t>
            </w:r>
          </w:p>
        </w:tc>
        <w:tc>
          <w:tcPr>
            <w:tcW w:w="2086" w:type="dxa"/>
            <w:tcBorders>
              <w:top w:val="nil"/>
              <w:left w:val="nil"/>
              <w:bottom w:val="single" w:sz="4" w:space="0" w:color="000000"/>
              <w:right w:val="nil"/>
            </w:tcBorders>
            <w:hideMark/>
          </w:tcPr>
          <w:p w:rsidR="008F6A24" w:rsidRPr="008F6A24" w:rsidRDefault="008F6A24">
            <w:pPr>
              <w:pStyle w:val="TableParagraph"/>
              <w:spacing w:line="225" w:lineRule="exact"/>
              <w:ind w:left="757" w:right="782"/>
              <w:jc w:val="center"/>
              <w:rPr>
                <w:rFonts w:ascii="Times New Roman" w:hAnsi="Times New Roman" w:cs="Times New Roman"/>
                <w:sz w:val="18"/>
                <w:szCs w:val="18"/>
              </w:rPr>
            </w:pPr>
            <w:r w:rsidRPr="008F6A24">
              <w:rPr>
                <w:rFonts w:ascii="Times New Roman" w:hAnsi="Times New Roman" w:cs="Times New Roman"/>
                <w:sz w:val="18"/>
                <w:szCs w:val="18"/>
              </w:rPr>
              <w:t>(23-58)</w:t>
            </w:r>
          </w:p>
        </w:tc>
        <w:tc>
          <w:tcPr>
            <w:tcW w:w="1658" w:type="dxa"/>
            <w:tcBorders>
              <w:top w:val="nil"/>
              <w:left w:val="nil"/>
              <w:bottom w:val="single" w:sz="4" w:space="0" w:color="000000"/>
              <w:right w:val="nil"/>
            </w:tcBorders>
            <w:hideMark/>
          </w:tcPr>
          <w:p w:rsidR="008F6A24" w:rsidRPr="008F6A24" w:rsidRDefault="008F6A24">
            <w:pPr>
              <w:pStyle w:val="TableParagraph"/>
              <w:spacing w:line="225" w:lineRule="exact"/>
              <w:ind w:left="490" w:right="601"/>
              <w:jc w:val="center"/>
              <w:rPr>
                <w:rFonts w:ascii="Times New Roman" w:hAnsi="Times New Roman" w:cs="Times New Roman"/>
                <w:sz w:val="18"/>
                <w:szCs w:val="18"/>
              </w:rPr>
            </w:pPr>
            <w:r w:rsidRPr="008F6A24">
              <w:rPr>
                <w:rFonts w:ascii="Times New Roman" w:hAnsi="Times New Roman" w:cs="Times New Roman"/>
                <w:sz w:val="18"/>
                <w:szCs w:val="18"/>
              </w:rPr>
              <w:t>(34-66)</w:t>
            </w:r>
          </w:p>
        </w:tc>
      </w:tr>
    </w:tbl>
    <w:p w:rsidR="008F6A24" w:rsidRPr="008F6A24" w:rsidRDefault="008F6A24" w:rsidP="008F6A24">
      <w:pPr>
        <w:spacing w:before="26" w:line="210" w:lineRule="exact"/>
        <w:ind w:left="225"/>
        <w:rPr>
          <w:sz w:val="18"/>
          <w:szCs w:val="22"/>
          <w:lang w:val="en-US" w:eastAsia="en-US"/>
        </w:rPr>
      </w:pPr>
      <w:r w:rsidRPr="008F6A24">
        <w:rPr>
          <w:position w:val="6"/>
          <w:sz w:val="12"/>
          <w:lang w:val="en-US"/>
        </w:rPr>
        <w:t xml:space="preserve">a   </w:t>
      </w:r>
      <w:r w:rsidRPr="008F6A24">
        <w:rPr>
          <w:sz w:val="18"/>
          <w:lang w:val="en-US"/>
        </w:rPr>
        <w:t>Results reported in recommended starting dose of 140 mg once daily (see section 4.2).</w:t>
      </w:r>
    </w:p>
    <w:p w:rsidR="008F6A24" w:rsidRPr="008F6A24" w:rsidRDefault="008F6A24" w:rsidP="008F6A24">
      <w:pPr>
        <w:spacing w:line="210" w:lineRule="exact"/>
        <w:ind w:left="207"/>
        <w:rPr>
          <w:sz w:val="18"/>
          <w:lang w:val="en-US"/>
        </w:rPr>
      </w:pPr>
      <w:r w:rsidRPr="008F6A24">
        <w:rPr>
          <w:position w:val="6"/>
          <w:sz w:val="12"/>
          <w:lang w:val="en-US"/>
        </w:rPr>
        <w:t xml:space="preserve">b    </w:t>
      </w:r>
      <w:r w:rsidRPr="008F6A24">
        <w:rPr>
          <w:sz w:val="18"/>
          <w:lang w:val="en-US"/>
        </w:rPr>
        <w:t>Haematologic response criteria (all responses confirmed after 4 weeks): Major haematologic response (MaHR)</w:t>
      </w:r>
    </w:p>
    <w:p w:rsidR="008F6A24" w:rsidRPr="008F6A24" w:rsidRDefault="008F6A24" w:rsidP="008F6A24">
      <w:pPr>
        <w:spacing w:line="207" w:lineRule="exact"/>
        <w:ind w:left="441"/>
        <w:rPr>
          <w:sz w:val="18"/>
          <w:lang w:val="en-US"/>
        </w:rPr>
      </w:pPr>
      <w:r w:rsidRPr="008F6A24">
        <w:rPr>
          <w:sz w:val="18"/>
          <w:lang w:val="en-US"/>
        </w:rPr>
        <w:t>= complete haematologic response (CHR) + no evidence of leukaemia (NEL).</w:t>
      </w:r>
    </w:p>
    <w:p w:rsidR="008F6A24" w:rsidRPr="008F6A24" w:rsidRDefault="008F6A24" w:rsidP="008F6A24">
      <w:pPr>
        <w:ind w:left="996" w:right="820" w:hanging="440"/>
        <w:rPr>
          <w:sz w:val="18"/>
          <w:lang w:val="en-US"/>
        </w:rPr>
      </w:pPr>
      <w:r w:rsidRPr="008F6A24">
        <w:rPr>
          <w:sz w:val="18"/>
          <w:lang w:val="en-US"/>
        </w:rPr>
        <w:t>CHR: WBC ≤ institutional ULN, ANC ≥ 1,000/mm</w:t>
      </w:r>
      <w:r w:rsidRPr="008F6A24">
        <w:rPr>
          <w:position w:val="6"/>
          <w:sz w:val="12"/>
          <w:lang w:val="en-US"/>
        </w:rPr>
        <w:t>3</w:t>
      </w:r>
      <w:r w:rsidRPr="008F6A24">
        <w:rPr>
          <w:sz w:val="18"/>
          <w:lang w:val="en-US"/>
        </w:rPr>
        <w:t>, platelets ≥ 100,000/mm</w:t>
      </w:r>
      <w:r w:rsidRPr="008F6A24">
        <w:rPr>
          <w:position w:val="6"/>
          <w:sz w:val="12"/>
          <w:lang w:val="en-US"/>
        </w:rPr>
        <w:t>3</w:t>
      </w:r>
      <w:r w:rsidRPr="008F6A24">
        <w:rPr>
          <w:sz w:val="18"/>
          <w:lang w:val="en-US"/>
        </w:rPr>
        <w:t>, no blasts or promyelocytes in peripheral blood, bone marrow blasts ≤ 5%, &lt; 5% myelocytes plus metamyelocytes in peripheral blood, basophils in peripheral blood &lt; 20%, and no extramedullary involvement.</w:t>
      </w:r>
    </w:p>
    <w:p w:rsidR="008F6A24" w:rsidRPr="008F6A24" w:rsidRDefault="008F6A24" w:rsidP="008F6A24">
      <w:pPr>
        <w:spacing w:line="209" w:lineRule="exact"/>
        <w:ind w:left="560"/>
        <w:rPr>
          <w:sz w:val="18"/>
          <w:lang w:val="en-US"/>
        </w:rPr>
      </w:pPr>
      <w:r w:rsidRPr="008F6A24">
        <w:rPr>
          <w:sz w:val="18"/>
          <w:lang w:val="en-US"/>
        </w:rPr>
        <w:t>NEL: same criteria as for CHR but ANC ≥ 500/mm</w:t>
      </w:r>
      <w:r w:rsidRPr="008F6A24">
        <w:rPr>
          <w:position w:val="6"/>
          <w:sz w:val="12"/>
          <w:lang w:val="en-US"/>
        </w:rPr>
        <w:t xml:space="preserve">3 </w:t>
      </w:r>
      <w:r w:rsidRPr="008F6A24">
        <w:rPr>
          <w:sz w:val="18"/>
          <w:lang w:val="en-US"/>
        </w:rPr>
        <w:t>and &lt; 1,000/mm</w:t>
      </w:r>
      <w:r w:rsidRPr="008F6A24">
        <w:rPr>
          <w:position w:val="6"/>
          <w:sz w:val="12"/>
          <w:lang w:val="en-US"/>
        </w:rPr>
        <w:t>3</w:t>
      </w:r>
      <w:r w:rsidRPr="008F6A24">
        <w:rPr>
          <w:sz w:val="18"/>
          <w:lang w:val="en-US"/>
        </w:rPr>
        <w:t>, or platelets ≥ 20,000/mm</w:t>
      </w:r>
      <w:r w:rsidRPr="008F6A24">
        <w:rPr>
          <w:position w:val="6"/>
          <w:sz w:val="12"/>
          <w:lang w:val="en-US"/>
        </w:rPr>
        <w:t xml:space="preserve">3 </w:t>
      </w:r>
      <w:r w:rsidRPr="008F6A24">
        <w:rPr>
          <w:sz w:val="18"/>
          <w:lang w:val="en-US"/>
        </w:rPr>
        <w:t>and</w:t>
      </w:r>
    </w:p>
    <w:p w:rsidR="008F6A24" w:rsidRPr="008F6A24" w:rsidRDefault="008F6A24" w:rsidP="008F6A24">
      <w:pPr>
        <w:spacing w:line="208" w:lineRule="exact"/>
        <w:ind w:left="753"/>
        <w:rPr>
          <w:sz w:val="18"/>
          <w:lang w:val="en-US"/>
        </w:rPr>
      </w:pPr>
      <w:r w:rsidRPr="008F6A24">
        <w:rPr>
          <w:sz w:val="18"/>
          <w:lang w:val="en-US"/>
        </w:rPr>
        <w:lastRenderedPageBreak/>
        <w:t>≤ 100,000/mm</w:t>
      </w:r>
      <w:r w:rsidRPr="008F6A24">
        <w:rPr>
          <w:position w:val="6"/>
          <w:sz w:val="12"/>
          <w:lang w:val="en-US"/>
        </w:rPr>
        <w:t>3</w:t>
      </w:r>
      <w:r w:rsidRPr="008F6A24">
        <w:rPr>
          <w:sz w:val="18"/>
          <w:lang w:val="en-US"/>
        </w:rPr>
        <w:t>.</w:t>
      </w:r>
    </w:p>
    <w:p w:rsidR="008F6A24" w:rsidRPr="008F6A24" w:rsidRDefault="008F6A24" w:rsidP="008F6A24">
      <w:pPr>
        <w:spacing w:line="302" w:lineRule="auto"/>
        <w:ind w:left="225" w:right="153"/>
        <w:rPr>
          <w:sz w:val="18"/>
          <w:lang w:val="en-US"/>
        </w:rPr>
      </w:pPr>
      <w:r w:rsidRPr="008F6A24">
        <w:rPr>
          <w:position w:val="6"/>
          <w:sz w:val="12"/>
          <w:lang w:val="en-US"/>
        </w:rPr>
        <w:t xml:space="preserve">c </w:t>
      </w:r>
      <w:r w:rsidRPr="008F6A24">
        <w:rPr>
          <w:sz w:val="18"/>
          <w:lang w:val="en-US"/>
        </w:rPr>
        <w:t>MCyR combines both complete (0% Ph+ metaphases) and partial (&gt; 0%-35%) responses. CI = confidence interval; ULN = upper limit of normal range.</w:t>
      </w:r>
    </w:p>
    <w:p w:rsidR="005F73E8" w:rsidRPr="008F6A24" w:rsidRDefault="005F73E8" w:rsidP="003E0341">
      <w:pPr>
        <w:tabs>
          <w:tab w:val="left" w:pos="851"/>
        </w:tabs>
        <w:ind w:left="851"/>
        <w:rPr>
          <w:sz w:val="24"/>
          <w:szCs w:val="24"/>
          <w:lang w:val="en-US"/>
        </w:rPr>
      </w:pPr>
    </w:p>
    <w:p w:rsidR="008F6A24" w:rsidRPr="008F6A24" w:rsidRDefault="008F6A24" w:rsidP="008F6A24">
      <w:pPr>
        <w:tabs>
          <w:tab w:val="left" w:pos="851"/>
        </w:tabs>
        <w:ind w:left="851"/>
        <w:rPr>
          <w:sz w:val="24"/>
          <w:szCs w:val="24"/>
          <w:lang w:val="en-US"/>
        </w:rPr>
      </w:pPr>
      <w:r w:rsidRPr="008F6A24">
        <w:rPr>
          <w:sz w:val="24"/>
          <w:szCs w:val="24"/>
          <w:lang w:val="en-US"/>
        </w:rPr>
        <w:t>In patients with accelerated phase CML treated with the 140 mg once daily regimen, the median duration of MaHR and the median overall survival was not reached and the median PFS was</w:t>
      </w:r>
      <w:r>
        <w:rPr>
          <w:sz w:val="24"/>
          <w:szCs w:val="24"/>
          <w:lang w:val="en-US"/>
        </w:rPr>
        <w:t xml:space="preserve"> </w:t>
      </w:r>
      <w:r w:rsidRPr="008F6A24">
        <w:rPr>
          <w:sz w:val="24"/>
          <w:szCs w:val="24"/>
          <w:lang w:val="en-US"/>
        </w:rPr>
        <w:t>25 months.</w:t>
      </w:r>
    </w:p>
    <w:p w:rsidR="008F6A24" w:rsidRPr="008F6A24" w:rsidRDefault="008F6A24" w:rsidP="008F6A24">
      <w:pPr>
        <w:tabs>
          <w:tab w:val="left" w:pos="851"/>
        </w:tabs>
        <w:ind w:left="851"/>
        <w:rPr>
          <w:sz w:val="24"/>
          <w:szCs w:val="24"/>
          <w:lang w:val="en-US"/>
        </w:rPr>
      </w:pPr>
    </w:p>
    <w:p w:rsidR="008F6A24" w:rsidRPr="008F6A24" w:rsidRDefault="008F6A24" w:rsidP="008F6A24">
      <w:pPr>
        <w:tabs>
          <w:tab w:val="left" w:pos="851"/>
        </w:tabs>
        <w:ind w:left="851"/>
        <w:rPr>
          <w:sz w:val="24"/>
          <w:szCs w:val="24"/>
          <w:lang w:val="en-US"/>
        </w:rPr>
      </w:pPr>
      <w:r w:rsidRPr="008F6A24">
        <w:rPr>
          <w:sz w:val="24"/>
          <w:szCs w:val="24"/>
          <w:lang w:val="en-US"/>
        </w:rPr>
        <w:t>In patients with myeloid blast phase CML treated with the 140 mg once daily regimen, the median duration of MaHR was 8 months, the median PFS was 4 months, and the median overall survival was 8 months. In patients with lymphoid blast phase CML treated with the 140 mg once daily regimen, the median duration of MaHR was 5 months, the median PFS was 5 months, and the median overall survival was 11 months.</w:t>
      </w:r>
    </w:p>
    <w:p w:rsidR="008F6A24" w:rsidRPr="008F6A24" w:rsidRDefault="008F6A24" w:rsidP="008F6A24">
      <w:pPr>
        <w:tabs>
          <w:tab w:val="left" w:pos="851"/>
        </w:tabs>
        <w:ind w:left="851"/>
        <w:rPr>
          <w:sz w:val="24"/>
          <w:szCs w:val="24"/>
          <w:lang w:val="en-US"/>
        </w:rPr>
      </w:pPr>
    </w:p>
    <w:p w:rsidR="008F6A24" w:rsidRPr="008F6A24" w:rsidRDefault="008F6A24" w:rsidP="008F6A24">
      <w:pPr>
        <w:tabs>
          <w:tab w:val="left" w:pos="851"/>
        </w:tabs>
        <w:ind w:left="851"/>
        <w:rPr>
          <w:sz w:val="24"/>
          <w:szCs w:val="24"/>
          <w:lang w:val="en-US"/>
        </w:rPr>
      </w:pPr>
      <w:r w:rsidRPr="008F6A24">
        <w:rPr>
          <w:sz w:val="24"/>
          <w:szCs w:val="24"/>
          <w:lang w:val="en-US"/>
        </w:rPr>
        <w:t>In patients with Ph+ ALL treated with the 140 mg once daily regimen, the median duration of MaHR was 5 months the median PFS was 4 months, and the median overall survival was 7 months.</w:t>
      </w:r>
    </w:p>
    <w:p w:rsidR="008F6A24" w:rsidRPr="008F6A24" w:rsidRDefault="008F6A24" w:rsidP="008F6A24">
      <w:pPr>
        <w:tabs>
          <w:tab w:val="left" w:pos="851"/>
        </w:tabs>
        <w:ind w:left="851"/>
        <w:rPr>
          <w:sz w:val="24"/>
          <w:szCs w:val="24"/>
          <w:lang w:val="en-US"/>
        </w:rPr>
      </w:pPr>
    </w:p>
    <w:p w:rsidR="008F6A24" w:rsidRPr="008F6A24" w:rsidRDefault="008F6A24" w:rsidP="008F6A24">
      <w:pPr>
        <w:tabs>
          <w:tab w:val="left" w:pos="851"/>
        </w:tabs>
        <w:ind w:left="851"/>
        <w:rPr>
          <w:sz w:val="24"/>
          <w:szCs w:val="24"/>
          <w:u w:val="single"/>
          <w:lang w:val="en-US"/>
        </w:rPr>
      </w:pPr>
      <w:r w:rsidRPr="008F6A24">
        <w:rPr>
          <w:sz w:val="24"/>
          <w:szCs w:val="24"/>
          <w:u w:val="single"/>
          <w:lang w:val="en-US"/>
        </w:rPr>
        <w:t>Paediatric population</w:t>
      </w:r>
    </w:p>
    <w:p w:rsidR="008F6A24" w:rsidRPr="008F6A24" w:rsidRDefault="008F6A24" w:rsidP="008F6A24">
      <w:pPr>
        <w:tabs>
          <w:tab w:val="left" w:pos="851"/>
        </w:tabs>
        <w:ind w:left="851"/>
        <w:rPr>
          <w:sz w:val="24"/>
          <w:szCs w:val="24"/>
          <w:lang w:val="en-US"/>
        </w:rPr>
      </w:pPr>
    </w:p>
    <w:p w:rsidR="008F6A24" w:rsidRPr="008F6A24" w:rsidRDefault="008F6A24" w:rsidP="008F6A24">
      <w:pPr>
        <w:tabs>
          <w:tab w:val="left" w:pos="851"/>
        </w:tabs>
        <w:ind w:left="851"/>
        <w:rPr>
          <w:i/>
          <w:sz w:val="24"/>
          <w:szCs w:val="24"/>
          <w:lang w:val="en-US"/>
        </w:rPr>
      </w:pPr>
      <w:r w:rsidRPr="008F6A24">
        <w:rPr>
          <w:i/>
          <w:sz w:val="24"/>
          <w:szCs w:val="24"/>
          <w:u w:val="single"/>
          <w:lang w:val="en-US"/>
        </w:rPr>
        <w:t>Paediatric patients with CML</w:t>
      </w:r>
    </w:p>
    <w:p w:rsidR="008F6A24" w:rsidRPr="001F2598" w:rsidRDefault="008F6A24" w:rsidP="008F6A24">
      <w:pPr>
        <w:tabs>
          <w:tab w:val="left" w:pos="851"/>
        </w:tabs>
        <w:ind w:left="851"/>
        <w:rPr>
          <w:sz w:val="24"/>
          <w:szCs w:val="24"/>
          <w:lang w:val="en-US"/>
        </w:rPr>
      </w:pPr>
      <w:r w:rsidRPr="008F6A24">
        <w:rPr>
          <w:sz w:val="24"/>
          <w:szCs w:val="24"/>
          <w:lang w:val="en-US"/>
        </w:rPr>
        <w:t>Among 130 patients with chronic phase CML (CML-CP) treated in two paediatric studies, a Phase I, open-label, nonrandomized dose-ranging trial and a Phase II, open-label, nonrandomized trial,</w:t>
      </w:r>
      <w:r>
        <w:rPr>
          <w:sz w:val="24"/>
          <w:szCs w:val="24"/>
          <w:lang w:val="en-US"/>
        </w:rPr>
        <w:t xml:space="preserve"> </w:t>
      </w:r>
      <w:r w:rsidRPr="008F6A24">
        <w:rPr>
          <w:sz w:val="24"/>
          <w:szCs w:val="24"/>
          <w:lang w:val="en-US"/>
        </w:rPr>
        <w:t xml:space="preserve">84 patients (exclusively from the Phase II trial) were newly diagnosed with CML-CP and 46 patients (17 from the Phase I trial and 29 from the Phase II trial) were resistant or intolerant to previous treatment with imatinib. Ninety-seven of the </w:t>
      </w:r>
      <w:r w:rsidRPr="001F2598">
        <w:rPr>
          <w:sz w:val="24"/>
          <w:szCs w:val="24"/>
          <w:lang w:val="en-US"/>
        </w:rPr>
        <w:t>130 paediatric patients with CML-CP were treated with dasatinib tablets 60 mg/m2 once daily (maximum dose of 100 mg once daily for patients with high BSA). Patients were treated until disease progression or unacceptable toxicity.</w:t>
      </w:r>
    </w:p>
    <w:p w:rsidR="008F6A24" w:rsidRPr="001F2598" w:rsidRDefault="008F6A24" w:rsidP="008F6A24">
      <w:pPr>
        <w:tabs>
          <w:tab w:val="left" w:pos="851"/>
        </w:tabs>
        <w:ind w:left="851"/>
        <w:rPr>
          <w:sz w:val="24"/>
          <w:szCs w:val="24"/>
          <w:lang w:val="en-US"/>
        </w:rPr>
      </w:pPr>
    </w:p>
    <w:p w:rsidR="008F6A24" w:rsidRPr="001F2598" w:rsidRDefault="008F6A24" w:rsidP="008F6A24">
      <w:pPr>
        <w:tabs>
          <w:tab w:val="left" w:pos="851"/>
        </w:tabs>
        <w:ind w:left="851"/>
        <w:rPr>
          <w:sz w:val="24"/>
          <w:szCs w:val="24"/>
          <w:lang w:val="en-US"/>
        </w:rPr>
      </w:pPr>
      <w:r w:rsidRPr="001F2598">
        <w:rPr>
          <w:sz w:val="24"/>
          <w:szCs w:val="24"/>
          <w:lang w:val="en-US"/>
        </w:rPr>
        <w:t>Key efficacy endpoints were: complete cytogenetic response (CCyR), major cytogenetic response (MCyR) and major molecular response (MMR). Results are shown in Table 15.</w:t>
      </w:r>
    </w:p>
    <w:p w:rsidR="008F6A24" w:rsidRPr="001F2598" w:rsidRDefault="008F6A24" w:rsidP="003E0341">
      <w:pPr>
        <w:tabs>
          <w:tab w:val="left" w:pos="851"/>
        </w:tabs>
        <w:ind w:left="851"/>
        <w:rPr>
          <w:sz w:val="24"/>
          <w:szCs w:val="24"/>
          <w:lang w:val="en-US"/>
        </w:rPr>
      </w:pPr>
    </w:p>
    <w:p w:rsidR="001F2598" w:rsidRPr="001F2598" w:rsidRDefault="001F2598" w:rsidP="001F2598">
      <w:pPr>
        <w:pStyle w:val="Brdtekst"/>
        <w:spacing w:before="10"/>
      </w:pPr>
    </w:p>
    <w:p w:rsidR="001F2598" w:rsidRPr="001F2598" w:rsidRDefault="001F2598" w:rsidP="001F2598">
      <w:pPr>
        <w:pStyle w:val="Overskrift1"/>
        <w:spacing w:before="1" w:line="247" w:lineRule="auto"/>
        <w:ind w:left="1200" w:right="295" w:hanging="965"/>
        <w:rPr>
          <w:w w:val="105"/>
        </w:rPr>
      </w:pPr>
      <w:r w:rsidRPr="001F2598">
        <w:rPr>
          <w:w w:val="105"/>
        </w:rPr>
        <w:t xml:space="preserve">Table 15: </w:t>
      </w:r>
      <w:r w:rsidRPr="001F2598">
        <w:rPr>
          <w:w w:val="105"/>
        </w:rPr>
        <w:tab/>
        <w:t xml:space="preserve">Efficacy of dasatinib in paediatric patients with CML-CP </w:t>
      </w:r>
    </w:p>
    <w:p w:rsidR="001F2598" w:rsidRPr="001F2598" w:rsidRDefault="001F2598" w:rsidP="001F2598">
      <w:pPr>
        <w:pStyle w:val="Overskrift1"/>
        <w:spacing w:before="1" w:line="247" w:lineRule="auto"/>
        <w:ind w:left="1200" w:right="295" w:hanging="965"/>
      </w:pPr>
      <w:r w:rsidRPr="001F2598">
        <w:rPr>
          <w:w w:val="105"/>
        </w:rPr>
        <w:t xml:space="preserve">                </w:t>
      </w:r>
      <w:r w:rsidRPr="001F2598">
        <w:rPr>
          <w:w w:val="105"/>
        </w:rPr>
        <w:tab/>
        <w:t>Cumulative response over time by minimum follow-up period</w:t>
      </w:r>
    </w:p>
    <w:tbl>
      <w:tblPr>
        <w:tblStyle w:val="TableNormal1"/>
        <w:tblW w:w="8685" w:type="dxa"/>
        <w:tblInd w:w="133" w:type="dxa"/>
        <w:tblLayout w:type="fixed"/>
        <w:tblLook w:val="01E0" w:firstRow="1" w:lastRow="1" w:firstColumn="1" w:lastColumn="1" w:noHBand="0" w:noVBand="0"/>
      </w:tblPr>
      <w:tblGrid>
        <w:gridCol w:w="1813"/>
        <w:gridCol w:w="1658"/>
        <w:gridCol w:w="1737"/>
        <w:gridCol w:w="1738"/>
        <w:gridCol w:w="1739"/>
      </w:tblGrid>
      <w:tr w:rsidR="001F2598" w:rsidRPr="001F2598" w:rsidTr="001F2598">
        <w:trPr>
          <w:trHeight w:val="218"/>
        </w:trPr>
        <w:tc>
          <w:tcPr>
            <w:tcW w:w="1813" w:type="dxa"/>
            <w:tcBorders>
              <w:top w:val="single" w:sz="4" w:space="0" w:color="000000"/>
              <w:left w:val="nil"/>
              <w:bottom w:val="single" w:sz="6" w:space="0" w:color="000000"/>
              <w:right w:val="nil"/>
            </w:tcBorders>
          </w:tcPr>
          <w:p w:rsidR="001F2598" w:rsidRPr="001F2598" w:rsidRDefault="001F2598">
            <w:pPr>
              <w:pStyle w:val="TableParagraph"/>
              <w:rPr>
                <w:rFonts w:ascii="Times New Roman" w:hAnsi="Times New Roman" w:cs="Times New Roman"/>
                <w:sz w:val="16"/>
              </w:rPr>
            </w:pPr>
          </w:p>
        </w:tc>
        <w:tc>
          <w:tcPr>
            <w:tcW w:w="1658" w:type="dxa"/>
            <w:tcBorders>
              <w:top w:val="single" w:sz="4" w:space="0" w:color="000000"/>
              <w:left w:val="nil"/>
              <w:bottom w:val="single" w:sz="6" w:space="0" w:color="000000"/>
              <w:right w:val="nil"/>
            </w:tcBorders>
            <w:hideMark/>
          </w:tcPr>
          <w:p w:rsidR="001F2598" w:rsidRPr="001F2598" w:rsidRDefault="001F2598">
            <w:pPr>
              <w:pStyle w:val="TableParagraph"/>
              <w:spacing w:before="3" w:line="214" w:lineRule="exact"/>
              <w:ind w:right="492"/>
              <w:jc w:val="right"/>
              <w:rPr>
                <w:rFonts w:ascii="Times New Roman" w:hAnsi="Times New Roman" w:cs="Times New Roman"/>
                <w:b/>
                <w:sz w:val="20"/>
              </w:rPr>
            </w:pPr>
            <w:r w:rsidRPr="001F2598">
              <w:rPr>
                <w:rFonts w:ascii="Times New Roman" w:hAnsi="Times New Roman" w:cs="Times New Roman"/>
                <w:b/>
                <w:w w:val="105"/>
                <w:sz w:val="20"/>
              </w:rPr>
              <w:t>3 months</w:t>
            </w:r>
          </w:p>
        </w:tc>
        <w:tc>
          <w:tcPr>
            <w:tcW w:w="1737" w:type="dxa"/>
            <w:tcBorders>
              <w:top w:val="single" w:sz="4" w:space="0" w:color="000000"/>
              <w:left w:val="nil"/>
              <w:bottom w:val="single" w:sz="6" w:space="0" w:color="000000"/>
              <w:right w:val="nil"/>
            </w:tcBorders>
            <w:hideMark/>
          </w:tcPr>
          <w:p w:rsidR="001F2598" w:rsidRPr="001F2598" w:rsidRDefault="001F2598">
            <w:pPr>
              <w:pStyle w:val="TableParagraph"/>
              <w:spacing w:before="3" w:line="214" w:lineRule="exact"/>
              <w:ind w:right="493"/>
              <w:jc w:val="right"/>
              <w:rPr>
                <w:rFonts w:ascii="Times New Roman" w:hAnsi="Times New Roman" w:cs="Times New Roman"/>
                <w:b/>
                <w:sz w:val="20"/>
              </w:rPr>
            </w:pPr>
            <w:r w:rsidRPr="001F2598">
              <w:rPr>
                <w:rFonts w:ascii="Times New Roman" w:hAnsi="Times New Roman" w:cs="Times New Roman"/>
                <w:b/>
                <w:w w:val="105"/>
                <w:sz w:val="20"/>
              </w:rPr>
              <w:t>6 months</w:t>
            </w:r>
          </w:p>
        </w:tc>
        <w:tc>
          <w:tcPr>
            <w:tcW w:w="1738" w:type="dxa"/>
            <w:tcBorders>
              <w:top w:val="single" w:sz="4" w:space="0" w:color="000000"/>
              <w:left w:val="nil"/>
              <w:bottom w:val="single" w:sz="6" w:space="0" w:color="000000"/>
              <w:right w:val="nil"/>
            </w:tcBorders>
            <w:hideMark/>
          </w:tcPr>
          <w:p w:rsidR="001F2598" w:rsidRPr="001F2598" w:rsidRDefault="001F2598">
            <w:pPr>
              <w:pStyle w:val="TableParagraph"/>
              <w:spacing w:before="3" w:line="214" w:lineRule="exact"/>
              <w:ind w:left="391" w:right="390"/>
              <w:jc w:val="center"/>
              <w:rPr>
                <w:rFonts w:ascii="Times New Roman" w:hAnsi="Times New Roman" w:cs="Times New Roman"/>
                <w:b/>
                <w:sz w:val="20"/>
              </w:rPr>
            </w:pPr>
            <w:r w:rsidRPr="001F2598">
              <w:rPr>
                <w:rFonts w:ascii="Times New Roman" w:hAnsi="Times New Roman" w:cs="Times New Roman"/>
                <w:b/>
                <w:w w:val="105"/>
                <w:sz w:val="20"/>
              </w:rPr>
              <w:t>12 months</w:t>
            </w:r>
          </w:p>
        </w:tc>
        <w:tc>
          <w:tcPr>
            <w:tcW w:w="1739" w:type="dxa"/>
            <w:tcBorders>
              <w:top w:val="single" w:sz="4" w:space="0" w:color="000000"/>
              <w:left w:val="nil"/>
              <w:bottom w:val="single" w:sz="6" w:space="0" w:color="000000"/>
              <w:right w:val="nil"/>
            </w:tcBorders>
            <w:hideMark/>
          </w:tcPr>
          <w:p w:rsidR="001F2598" w:rsidRPr="001F2598" w:rsidRDefault="001F2598">
            <w:pPr>
              <w:pStyle w:val="TableParagraph"/>
              <w:spacing w:before="3" w:line="214" w:lineRule="exact"/>
              <w:ind w:left="364" w:right="366"/>
              <w:jc w:val="center"/>
              <w:rPr>
                <w:rFonts w:ascii="Times New Roman" w:hAnsi="Times New Roman" w:cs="Times New Roman"/>
                <w:b/>
                <w:sz w:val="20"/>
              </w:rPr>
            </w:pPr>
            <w:r w:rsidRPr="001F2598">
              <w:rPr>
                <w:rFonts w:ascii="Times New Roman" w:hAnsi="Times New Roman" w:cs="Times New Roman"/>
                <w:b/>
                <w:w w:val="105"/>
                <w:sz w:val="20"/>
              </w:rPr>
              <w:t>24 months</w:t>
            </w:r>
          </w:p>
        </w:tc>
      </w:tr>
      <w:tr w:rsidR="001F2598" w:rsidRPr="001F2598" w:rsidTr="001F2598">
        <w:trPr>
          <w:trHeight w:val="238"/>
        </w:trPr>
        <w:tc>
          <w:tcPr>
            <w:tcW w:w="1813" w:type="dxa"/>
            <w:tcBorders>
              <w:top w:val="single" w:sz="6" w:space="0" w:color="000000"/>
              <w:left w:val="nil"/>
              <w:bottom w:val="nil"/>
              <w:right w:val="nil"/>
            </w:tcBorders>
            <w:hideMark/>
          </w:tcPr>
          <w:p w:rsidR="001F2598" w:rsidRPr="001F2598" w:rsidRDefault="001F2598">
            <w:pPr>
              <w:pStyle w:val="TableParagraph"/>
              <w:spacing w:before="2" w:line="220" w:lineRule="exact"/>
              <w:ind w:left="101"/>
              <w:rPr>
                <w:rFonts w:ascii="Times New Roman" w:hAnsi="Times New Roman" w:cs="Times New Roman"/>
                <w:b/>
                <w:sz w:val="18"/>
                <w:szCs w:val="18"/>
              </w:rPr>
            </w:pPr>
            <w:r w:rsidRPr="001F2598">
              <w:rPr>
                <w:rFonts w:ascii="Times New Roman" w:hAnsi="Times New Roman" w:cs="Times New Roman"/>
                <w:b/>
                <w:w w:val="105"/>
                <w:sz w:val="18"/>
                <w:szCs w:val="18"/>
              </w:rPr>
              <w:t>CCyR</w:t>
            </w:r>
          </w:p>
        </w:tc>
        <w:tc>
          <w:tcPr>
            <w:tcW w:w="1658" w:type="dxa"/>
            <w:tcBorders>
              <w:top w:val="single" w:sz="6" w:space="0" w:color="000000"/>
              <w:left w:val="nil"/>
              <w:bottom w:val="nil"/>
              <w:right w:val="nil"/>
            </w:tcBorders>
          </w:tcPr>
          <w:p w:rsidR="001F2598" w:rsidRPr="001F2598" w:rsidRDefault="001F2598">
            <w:pPr>
              <w:pStyle w:val="TableParagraph"/>
              <w:rPr>
                <w:rFonts w:ascii="Times New Roman" w:hAnsi="Times New Roman" w:cs="Times New Roman"/>
                <w:sz w:val="18"/>
                <w:szCs w:val="18"/>
              </w:rPr>
            </w:pPr>
          </w:p>
        </w:tc>
        <w:tc>
          <w:tcPr>
            <w:tcW w:w="1737" w:type="dxa"/>
            <w:tcBorders>
              <w:top w:val="single" w:sz="6" w:space="0" w:color="000000"/>
              <w:left w:val="nil"/>
              <w:bottom w:val="nil"/>
              <w:right w:val="nil"/>
            </w:tcBorders>
          </w:tcPr>
          <w:p w:rsidR="001F2598" w:rsidRPr="001F2598" w:rsidRDefault="001F2598">
            <w:pPr>
              <w:pStyle w:val="TableParagraph"/>
              <w:rPr>
                <w:rFonts w:ascii="Times New Roman" w:hAnsi="Times New Roman" w:cs="Times New Roman"/>
                <w:sz w:val="18"/>
                <w:szCs w:val="18"/>
              </w:rPr>
            </w:pPr>
          </w:p>
        </w:tc>
        <w:tc>
          <w:tcPr>
            <w:tcW w:w="1738" w:type="dxa"/>
            <w:tcBorders>
              <w:top w:val="single" w:sz="6" w:space="0" w:color="000000"/>
              <w:left w:val="nil"/>
              <w:bottom w:val="nil"/>
              <w:right w:val="nil"/>
            </w:tcBorders>
          </w:tcPr>
          <w:p w:rsidR="001F2598" w:rsidRPr="001F2598" w:rsidRDefault="001F2598">
            <w:pPr>
              <w:pStyle w:val="TableParagraph"/>
              <w:rPr>
                <w:rFonts w:ascii="Times New Roman" w:hAnsi="Times New Roman" w:cs="Times New Roman"/>
                <w:sz w:val="18"/>
                <w:szCs w:val="18"/>
              </w:rPr>
            </w:pPr>
          </w:p>
        </w:tc>
        <w:tc>
          <w:tcPr>
            <w:tcW w:w="1739" w:type="dxa"/>
            <w:tcBorders>
              <w:top w:val="single" w:sz="6" w:space="0" w:color="000000"/>
              <w:left w:val="nil"/>
              <w:bottom w:val="nil"/>
              <w:right w:val="nil"/>
            </w:tcBorders>
          </w:tcPr>
          <w:p w:rsidR="001F2598" w:rsidRPr="001F2598" w:rsidRDefault="001F2598">
            <w:pPr>
              <w:pStyle w:val="TableParagraph"/>
              <w:rPr>
                <w:rFonts w:ascii="Times New Roman" w:hAnsi="Times New Roman" w:cs="Times New Roman"/>
                <w:sz w:val="18"/>
                <w:szCs w:val="18"/>
              </w:rPr>
            </w:pPr>
          </w:p>
        </w:tc>
      </w:tr>
      <w:tr w:rsidR="001F2598" w:rsidRPr="001F2598" w:rsidTr="001F2598">
        <w:trPr>
          <w:trHeight w:val="218"/>
        </w:trPr>
        <w:tc>
          <w:tcPr>
            <w:tcW w:w="1813" w:type="dxa"/>
            <w:hideMark/>
          </w:tcPr>
          <w:p w:rsidR="001F2598" w:rsidRPr="001F2598" w:rsidRDefault="001F2598">
            <w:pPr>
              <w:pStyle w:val="TableParagraph"/>
              <w:spacing w:line="218" w:lineRule="exact"/>
              <w:ind w:left="101"/>
              <w:rPr>
                <w:rFonts w:ascii="Times New Roman" w:hAnsi="Times New Roman" w:cs="Times New Roman"/>
                <w:b/>
                <w:sz w:val="18"/>
                <w:szCs w:val="18"/>
              </w:rPr>
            </w:pPr>
            <w:r w:rsidRPr="001F2598">
              <w:rPr>
                <w:rFonts w:ascii="Times New Roman" w:hAnsi="Times New Roman" w:cs="Times New Roman"/>
                <w:b/>
                <w:w w:val="105"/>
                <w:sz w:val="18"/>
                <w:szCs w:val="18"/>
              </w:rPr>
              <w:t>(95% CI)</w:t>
            </w:r>
          </w:p>
        </w:tc>
        <w:tc>
          <w:tcPr>
            <w:tcW w:w="1658" w:type="dxa"/>
          </w:tcPr>
          <w:p w:rsidR="001F2598" w:rsidRPr="001F2598" w:rsidRDefault="001F2598">
            <w:pPr>
              <w:pStyle w:val="TableParagraph"/>
              <w:rPr>
                <w:rFonts w:ascii="Times New Roman" w:hAnsi="Times New Roman" w:cs="Times New Roman"/>
                <w:sz w:val="18"/>
                <w:szCs w:val="18"/>
              </w:rPr>
            </w:pPr>
          </w:p>
        </w:tc>
        <w:tc>
          <w:tcPr>
            <w:tcW w:w="1737" w:type="dxa"/>
          </w:tcPr>
          <w:p w:rsidR="001F2598" w:rsidRPr="001F2598" w:rsidRDefault="001F2598">
            <w:pPr>
              <w:pStyle w:val="TableParagraph"/>
              <w:rPr>
                <w:rFonts w:ascii="Times New Roman" w:hAnsi="Times New Roman" w:cs="Times New Roman"/>
                <w:sz w:val="18"/>
                <w:szCs w:val="18"/>
              </w:rPr>
            </w:pPr>
          </w:p>
        </w:tc>
        <w:tc>
          <w:tcPr>
            <w:tcW w:w="1738" w:type="dxa"/>
          </w:tcPr>
          <w:p w:rsidR="001F2598" w:rsidRPr="001F2598" w:rsidRDefault="001F2598">
            <w:pPr>
              <w:pStyle w:val="TableParagraph"/>
              <w:rPr>
                <w:rFonts w:ascii="Times New Roman" w:hAnsi="Times New Roman" w:cs="Times New Roman"/>
                <w:sz w:val="18"/>
                <w:szCs w:val="18"/>
              </w:rPr>
            </w:pPr>
          </w:p>
        </w:tc>
        <w:tc>
          <w:tcPr>
            <w:tcW w:w="1739" w:type="dxa"/>
          </w:tcPr>
          <w:p w:rsidR="001F2598" w:rsidRPr="001F2598" w:rsidRDefault="001F2598">
            <w:pPr>
              <w:pStyle w:val="TableParagraph"/>
              <w:rPr>
                <w:rFonts w:ascii="Times New Roman" w:hAnsi="Times New Roman" w:cs="Times New Roman"/>
                <w:sz w:val="18"/>
                <w:szCs w:val="18"/>
              </w:rPr>
            </w:pPr>
          </w:p>
        </w:tc>
      </w:tr>
      <w:tr w:rsidR="001F2598" w:rsidRPr="001F2598" w:rsidTr="001F2598">
        <w:trPr>
          <w:trHeight w:val="218"/>
        </w:trPr>
        <w:tc>
          <w:tcPr>
            <w:tcW w:w="1813" w:type="dxa"/>
            <w:hideMark/>
          </w:tcPr>
          <w:p w:rsidR="001F2598" w:rsidRPr="001F2598" w:rsidRDefault="001F2598">
            <w:pPr>
              <w:pStyle w:val="TableParagraph"/>
              <w:spacing w:line="208" w:lineRule="exact"/>
              <w:ind w:left="101"/>
              <w:rPr>
                <w:rFonts w:ascii="Times New Roman" w:hAnsi="Times New Roman" w:cs="Times New Roman"/>
                <w:sz w:val="18"/>
                <w:szCs w:val="18"/>
              </w:rPr>
            </w:pPr>
            <w:r w:rsidRPr="001F2598">
              <w:rPr>
                <w:rFonts w:ascii="Times New Roman" w:hAnsi="Times New Roman" w:cs="Times New Roman"/>
                <w:w w:val="105"/>
                <w:sz w:val="18"/>
                <w:szCs w:val="18"/>
              </w:rPr>
              <w:t>Newly diagnosed</w:t>
            </w:r>
          </w:p>
        </w:tc>
        <w:tc>
          <w:tcPr>
            <w:tcW w:w="1658" w:type="dxa"/>
            <w:hideMark/>
          </w:tcPr>
          <w:p w:rsidR="001F2598" w:rsidRPr="001F2598" w:rsidRDefault="001F2598">
            <w:pPr>
              <w:pStyle w:val="TableParagraph"/>
              <w:spacing w:line="208" w:lineRule="exact"/>
              <w:ind w:left="553"/>
              <w:rPr>
                <w:rFonts w:ascii="Times New Roman" w:hAnsi="Times New Roman" w:cs="Times New Roman"/>
                <w:sz w:val="18"/>
                <w:szCs w:val="18"/>
              </w:rPr>
            </w:pPr>
            <w:r w:rsidRPr="001F2598">
              <w:rPr>
                <w:rFonts w:ascii="Times New Roman" w:hAnsi="Times New Roman" w:cs="Times New Roman"/>
                <w:w w:val="105"/>
                <w:sz w:val="18"/>
                <w:szCs w:val="18"/>
              </w:rPr>
              <w:t>43.1%</w:t>
            </w:r>
          </w:p>
        </w:tc>
        <w:tc>
          <w:tcPr>
            <w:tcW w:w="1737" w:type="dxa"/>
            <w:hideMark/>
          </w:tcPr>
          <w:p w:rsidR="001F2598" w:rsidRPr="001F2598" w:rsidRDefault="001F2598">
            <w:pPr>
              <w:pStyle w:val="TableParagraph"/>
              <w:spacing w:line="208" w:lineRule="exact"/>
              <w:ind w:left="585" w:right="584"/>
              <w:jc w:val="center"/>
              <w:rPr>
                <w:rFonts w:ascii="Times New Roman" w:hAnsi="Times New Roman" w:cs="Times New Roman"/>
                <w:sz w:val="18"/>
                <w:szCs w:val="18"/>
              </w:rPr>
            </w:pPr>
            <w:r w:rsidRPr="001F2598">
              <w:rPr>
                <w:rFonts w:ascii="Times New Roman" w:hAnsi="Times New Roman" w:cs="Times New Roman"/>
                <w:w w:val="105"/>
                <w:sz w:val="18"/>
                <w:szCs w:val="18"/>
              </w:rPr>
              <w:t>66.7%</w:t>
            </w:r>
          </w:p>
        </w:tc>
        <w:tc>
          <w:tcPr>
            <w:tcW w:w="1738" w:type="dxa"/>
            <w:hideMark/>
          </w:tcPr>
          <w:p w:rsidR="001F2598" w:rsidRPr="001F2598" w:rsidRDefault="001F2598">
            <w:pPr>
              <w:pStyle w:val="TableParagraph"/>
              <w:spacing w:line="208" w:lineRule="exact"/>
              <w:ind w:left="391" w:right="389"/>
              <w:jc w:val="center"/>
              <w:rPr>
                <w:rFonts w:ascii="Times New Roman" w:hAnsi="Times New Roman" w:cs="Times New Roman"/>
                <w:sz w:val="18"/>
                <w:szCs w:val="18"/>
              </w:rPr>
            </w:pPr>
            <w:r w:rsidRPr="001F2598">
              <w:rPr>
                <w:rFonts w:ascii="Times New Roman" w:hAnsi="Times New Roman" w:cs="Times New Roman"/>
                <w:w w:val="105"/>
                <w:sz w:val="18"/>
                <w:szCs w:val="18"/>
              </w:rPr>
              <w:t>96.1%</w:t>
            </w:r>
          </w:p>
        </w:tc>
        <w:tc>
          <w:tcPr>
            <w:tcW w:w="1739" w:type="dxa"/>
            <w:hideMark/>
          </w:tcPr>
          <w:p w:rsidR="001F2598" w:rsidRPr="001F2598" w:rsidRDefault="001F2598">
            <w:pPr>
              <w:pStyle w:val="TableParagraph"/>
              <w:spacing w:line="208" w:lineRule="exact"/>
              <w:ind w:left="366" w:right="366"/>
              <w:jc w:val="center"/>
              <w:rPr>
                <w:rFonts w:ascii="Times New Roman" w:hAnsi="Times New Roman" w:cs="Times New Roman"/>
                <w:sz w:val="18"/>
                <w:szCs w:val="18"/>
              </w:rPr>
            </w:pPr>
            <w:r w:rsidRPr="001F2598">
              <w:rPr>
                <w:rFonts w:ascii="Times New Roman" w:hAnsi="Times New Roman" w:cs="Times New Roman"/>
                <w:w w:val="105"/>
                <w:sz w:val="18"/>
                <w:szCs w:val="18"/>
              </w:rPr>
              <w:t>96.1%</w:t>
            </w:r>
          </w:p>
        </w:tc>
      </w:tr>
      <w:tr w:rsidR="001F2598" w:rsidRPr="001F2598" w:rsidTr="001F2598">
        <w:trPr>
          <w:trHeight w:val="357"/>
        </w:trPr>
        <w:tc>
          <w:tcPr>
            <w:tcW w:w="1813" w:type="dxa"/>
            <w:hideMark/>
          </w:tcPr>
          <w:p w:rsidR="001F2598" w:rsidRPr="001F2598" w:rsidRDefault="001F2598">
            <w:pPr>
              <w:pStyle w:val="TableParagraph"/>
              <w:spacing w:line="237" w:lineRule="exact"/>
              <w:ind w:left="101"/>
              <w:rPr>
                <w:rFonts w:ascii="Times New Roman" w:hAnsi="Times New Roman" w:cs="Times New Roman"/>
                <w:sz w:val="18"/>
                <w:szCs w:val="18"/>
              </w:rPr>
            </w:pPr>
            <w:r w:rsidRPr="001F2598">
              <w:rPr>
                <w:rFonts w:ascii="Times New Roman" w:hAnsi="Times New Roman" w:cs="Times New Roman"/>
                <w:w w:val="105"/>
                <w:sz w:val="18"/>
                <w:szCs w:val="18"/>
              </w:rPr>
              <w:t>(N = 51)</w:t>
            </w:r>
            <w:r w:rsidRPr="001F2598">
              <w:rPr>
                <w:rFonts w:ascii="Times New Roman" w:hAnsi="Times New Roman" w:cs="Times New Roman"/>
                <w:w w:val="105"/>
                <w:position w:val="9"/>
                <w:sz w:val="18"/>
                <w:szCs w:val="18"/>
              </w:rPr>
              <w:t>a</w:t>
            </w:r>
          </w:p>
        </w:tc>
        <w:tc>
          <w:tcPr>
            <w:tcW w:w="1658" w:type="dxa"/>
            <w:hideMark/>
          </w:tcPr>
          <w:p w:rsidR="001F2598" w:rsidRPr="001F2598" w:rsidRDefault="001F2598">
            <w:pPr>
              <w:pStyle w:val="TableParagraph"/>
              <w:spacing w:before="7"/>
              <w:ind w:right="416"/>
              <w:jc w:val="right"/>
              <w:rPr>
                <w:rFonts w:ascii="Times New Roman" w:hAnsi="Times New Roman" w:cs="Times New Roman"/>
                <w:sz w:val="18"/>
                <w:szCs w:val="18"/>
              </w:rPr>
            </w:pPr>
            <w:r w:rsidRPr="001F2598">
              <w:rPr>
                <w:rFonts w:ascii="Times New Roman" w:hAnsi="Times New Roman" w:cs="Times New Roman"/>
                <w:w w:val="105"/>
                <w:sz w:val="18"/>
                <w:szCs w:val="18"/>
              </w:rPr>
              <w:t>(29.3, 57.8)</w:t>
            </w:r>
          </w:p>
        </w:tc>
        <w:tc>
          <w:tcPr>
            <w:tcW w:w="1737" w:type="dxa"/>
            <w:hideMark/>
          </w:tcPr>
          <w:p w:rsidR="001F2598" w:rsidRPr="001F2598" w:rsidRDefault="001F2598">
            <w:pPr>
              <w:pStyle w:val="TableParagraph"/>
              <w:spacing w:before="7"/>
              <w:ind w:right="417"/>
              <w:jc w:val="right"/>
              <w:rPr>
                <w:rFonts w:ascii="Times New Roman" w:hAnsi="Times New Roman" w:cs="Times New Roman"/>
                <w:sz w:val="18"/>
                <w:szCs w:val="18"/>
              </w:rPr>
            </w:pPr>
            <w:r w:rsidRPr="001F2598">
              <w:rPr>
                <w:rFonts w:ascii="Times New Roman" w:hAnsi="Times New Roman" w:cs="Times New Roman"/>
                <w:w w:val="105"/>
                <w:sz w:val="18"/>
                <w:szCs w:val="18"/>
              </w:rPr>
              <w:t>(52.1, 79.2)</w:t>
            </w:r>
          </w:p>
        </w:tc>
        <w:tc>
          <w:tcPr>
            <w:tcW w:w="1738" w:type="dxa"/>
            <w:hideMark/>
          </w:tcPr>
          <w:p w:rsidR="001F2598" w:rsidRPr="001F2598" w:rsidRDefault="001F2598">
            <w:pPr>
              <w:pStyle w:val="TableParagraph"/>
              <w:spacing w:before="7"/>
              <w:ind w:left="391" w:right="391"/>
              <w:jc w:val="center"/>
              <w:rPr>
                <w:rFonts w:ascii="Times New Roman" w:hAnsi="Times New Roman" w:cs="Times New Roman"/>
                <w:sz w:val="18"/>
                <w:szCs w:val="18"/>
              </w:rPr>
            </w:pPr>
            <w:r w:rsidRPr="001F2598">
              <w:rPr>
                <w:rFonts w:ascii="Times New Roman" w:hAnsi="Times New Roman" w:cs="Times New Roman"/>
                <w:w w:val="105"/>
                <w:sz w:val="18"/>
                <w:szCs w:val="18"/>
              </w:rPr>
              <w:t>(86.5, 99.5)</w:t>
            </w:r>
          </w:p>
        </w:tc>
        <w:tc>
          <w:tcPr>
            <w:tcW w:w="1739" w:type="dxa"/>
            <w:hideMark/>
          </w:tcPr>
          <w:p w:rsidR="001F2598" w:rsidRPr="001F2598" w:rsidRDefault="001F2598">
            <w:pPr>
              <w:pStyle w:val="TableParagraph"/>
              <w:spacing w:before="7"/>
              <w:ind w:left="366" w:right="366"/>
              <w:jc w:val="center"/>
              <w:rPr>
                <w:rFonts w:ascii="Times New Roman" w:hAnsi="Times New Roman" w:cs="Times New Roman"/>
                <w:sz w:val="18"/>
                <w:szCs w:val="18"/>
              </w:rPr>
            </w:pPr>
            <w:r w:rsidRPr="001F2598">
              <w:rPr>
                <w:rFonts w:ascii="Times New Roman" w:hAnsi="Times New Roman" w:cs="Times New Roman"/>
                <w:w w:val="105"/>
                <w:sz w:val="18"/>
                <w:szCs w:val="18"/>
              </w:rPr>
              <w:t>(86.5, 99.5)</w:t>
            </w:r>
          </w:p>
        </w:tc>
      </w:tr>
      <w:tr w:rsidR="001F2598" w:rsidRPr="001F2598" w:rsidTr="001F2598">
        <w:trPr>
          <w:trHeight w:val="337"/>
        </w:trPr>
        <w:tc>
          <w:tcPr>
            <w:tcW w:w="1813" w:type="dxa"/>
            <w:hideMark/>
          </w:tcPr>
          <w:p w:rsidR="001F2598" w:rsidRPr="001F2598" w:rsidRDefault="001F2598">
            <w:pPr>
              <w:pStyle w:val="TableParagraph"/>
              <w:spacing w:before="116" w:line="211" w:lineRule="exact"/>
              <w:ind w:left="101"/>
              <w:rPr>
                <w:rFonts w:ascii="Times New Roman" w:hAnsi="Times New Roman" w:cs="Times New Roman"/>
                <w:sz w:val="18"/>
                <w:szCs w:val="18"/>
              </w:rPr>
            </w:pPr>
            <w:r w:rsidRPr="001F2598">
              <w:rPr>
                <w:rFonts w:ascii="Times New Roman" w:hAnsi="Times New Roman" w:cs="Times New Roman"/>
                <w:w w:val="105"/>
                <w:sz w:val="18"/>
                <w:szCs w:val="18"/>
              </w:rPr>
              <w:t>Prior imatinib</w:t>
            </w:r>
          </w:p>
        </w:tc>
        <w:tc>
          <w:tcPr>
            <w:tcW w:w="1658" w:type="dxa"/>
            <w:hideMark/>
          </w:tcPr>
          <w:p w:rsidR="001F2598" w:rsidRPr="001F2598" w:rsidRDefault="001F2598">
            <w:pPr>
              <w:pStyle w:val="TableParagraph"/>
              <w:spacing w:before="116" w:line="211" w:lineRule="exact"/>
              <w:ind w:left="553"/>
              <w:rPr>
                <w:rFonts w:ascii="Times New Roman" w:hAnsi="Times New Roman" w:cs="Times New Roman"/>
                <w:sz w:val="18"/>
                <w:szCs w:val="18"/>
              </w:rPr>
            </w:pPr>
            <w:r w:rsidRPr="001F2598">
              <w:rPr>
                <w:rFonts w:ascii="Times New Roman" w:hAnsi="Times New Roman" w:cs="Times New Roman"/>
                <w:w w:val="105"/>
                <w:sz w:val="18"/>
                <w:szCs w:val="18"/>
              </w:rPr>
              <w:t>45.7%</w:t>
            </w:r>
          </w:p>
        </w:tc>
        <w:tc>
          <w:tcPr>
            <w:tcW w:w="1737" w:type="dxa"/>
            <w:hideMark/>
          </w:tcPr>
          <w:p w:rsidR="001F2598" w:rsidRPr="001F2598" w:rsidRDefault="001F2598">
            <w:pPr>
              <w:pStyle w:val="TableParagraph"/>
              <w:spacing w:before="116" w:line="211" w:lineRule="exact"/>
              <w:ind w:left="585" w:right="584"/>
              <w:jc w:val="center"/>
              <w:rPr>
                <w:rFonts w:ascii="Times New Roman" w:hAnsi="Times New Roman" w:cs="Times New Roman"/>
                <w:sz w:val="18"/>
                <w:szCs w:val="18"/>
              </w:rPr>
            </w:pPr>
            <w:r w:rsidRPr="001F2598">
              <w:rPr>
                <w:rFonts w:ascii="Times New Roman" w:hAnsi="Times New Roman" w:cs="Times New Roman"/>
                <w:w w:val="105"/>
                <w:sz w:val="18"/>
                <w:szCs w:val="18"/>
              </w:rPr>
              <w:t>71.7%</w:t>
            </w:r>
          </w:p>
        </w:tc>
        <w:tc>
          <w:tcPr>
            <w:tcW w:w="1738" w:type="dxa"/>
            <w:hideMark/>
          </w:tcPr>
          <w:p w:rsidR="001F2598" w:rsidRPr="001F2598" w:rsidRDefault="001F2598">
            <w:pPr>
              <w:pStyle w:val="TableParagraph"/>
              <w:spacing w:before="116" w:line="211" w:lineRule="exact"/>
              <w:ind w:left="391" w:right="390"/>
              <w:jc w:val="center"/>
              <w:rPr>
                <w:rFonts w:ascii="Times New Roman" w:hAnsi="Times New Roman" w:cs="Times New Roman"/>
                <w:sz w:val="18"/>
                <w:szCs w:val="18"/>
              </w:rPr>
            </w:pPr>
            <w:r w:rsidRPr="001F2598">
              <w:rPr>
                <w:rFonts w:ascii="Times New Roman" w:hAnsi="Times New Roman" w:cs="Times New Roman"/>
                <w:w w:val="105"/>
                <w:sz w:val="18"/>
                <w:szCs w:val="18"/>
              </w:rPr>
              <w:t>78.3%</w:t>
            </w:r>
          </w:p>
        </w:tc>
        <w:tc>
          <w:tcPr>
            <w:tcW w:w="1739" w:type="dxa"/>
            <w:hideMark/>
          </w:tcPr>
          <w:p w:rsidR="001F2598" w:rsidRPr="001F2598" w:rsidRDefault="001F2598">
            <w:pPr>
              <w:pStyle w:val="TableParagraph"/>
              <w:spacing w:before="116" w:line="211" w:lineRule="exact"/>
              <w:ind w:left="365" w:right="366"/>
              <w:jc w:val="center"/>
              <w:rPr>
                <w:rFonts w:ascii="Times New Roman" w:hAnsi="Times New Roman" w:cs="Times New Roman"/>
                <w:sz w:val="18"/>
                <w:szCs w:val="18"/>
              </w:rPr>
            </w:pPr>
            <w:r w:rsidRPr="001F2598">
              <w:rPr>
                <w:rFonts w:ascii="Times New Roman" w:hAnsi="Times New Roman" w:cs="Times New Roman"/>
                <w:w w:val="105"/>
                <w:sz w:val="18"/>
                <w:szCs w:val="18"/>
              </w:rPr>
              <w:t>82.6%</w:t>
            </w:r>
          </w:p>
        </w:tc>
      </w:tr>
      <w:tr w:rsidR="001F2598" w:rsidRPr="001F2598" w:rsidTr="001F2598">
        <w:trPr>
          <w:trHeight w:val="357"/>
        </w:trPr>
        <w:tc>
          <w:tcPr>
            <w:tcW w:w="1813" w:type="dxa"/>
            <w:hideMark/>
          </w:tcPr>
          <w:p w:rsidR="001F2598" w:rsidRPr="001F2598" w:rsidRDefault="001F2598">
            <w:pPr>
              <w:pStyle w:val="TableParagraph"/>
              <w:spacing w:line="238" w:lineRule="exact"/>
              <w:ind w:left="101"/>
              <w:rPr>
                <w:rFonts w:ascii="Times New Roman" w:hAnsi="Times New Roman" w:cs="Times New Roman"/>
                <w:sz w:val="18"/>
                <w:szCs w:val="18"/>
              </w:rPr>
            </w:pPr>
            <w:r w:rsidRPr="001F2598">
              <w:rPr>
                <w:rFonts w:ascii="Times New Roman" w:hAnsi="Times New Roman" w:cs="Times New Roman"/>
                <w:w w:val="105"/>
                <w:sz w:val="18"/>
                <w:szCs w:val="18"/>
              </w:rPr>
              <w:t>(N = 46)</w:t>
            </w:r>
            <w:r w:rsidRPr="001F2598">
              <w:rPr>
                <w:rFonts w:ascii="Times New Roman" w:hAnsi="Times New Roman" w:cs="Times New Roman"/>
                <w:w w:val="105"/>
                <w:position w:val="9"/>
                <w:sz w:val="18"/>
                <w:szCs w:val="18"/>
              </w:rPr>
              <w:t>b</w:t>
            </w:r>
          </w:p>
        </w:tc>
        <w:tc>
          <w:tcPr>
            <w:tcW w:w="1658" w:type="dxa"/>
            <w:hideMark/>
          </w:tcPr>
          <w:p w:rsidR="001F2598" w:rsidRPr="001F2598" w:rsidRDefault="001F2598">
            <w:pPr>
              <w:pStyle w:val="TableParagraph"/>
              <w:spacing w:before="7"/>
              <w:ind w:right="416"/>
              <w:jc w:val="right"/>
              <w:rPr>
                <w:rFonts w:ascii="Times New Roman" w:hAnsi="Times New Roman" w:cs="Times New Roman"/>
                <w:sz w:val="18"/>
                <w:szCs w:val="18"/>
              </w:rPr>
            </w:pPr>
            <w:r w:rsidRPr="001F2598">
              <w:rPr>
                <w:rFonts w:ascii="Times New Roman" w:hAnsi="Times New Roman" w:cs="Times New Roman"/>
                <w:w w:val="105"/>
                <w:sz w:val="18"/>
                <w:szCs w:val="18"/>
              </w:rPr>
              <w:t>(30.9, 61.0)</w:t>
            </w:r>
          </w:p>
        </w:tc>
        <w:tc>
          <w:tcPr>
            <w:tcW w:w="1737" w:type="dxa"/>
            <w:hideMark/>
          </w:tcPr>
          <w:p w:rsidR="001F2598" w:rsidRPr="001F2598" w:rsidRDefault="001F2598">
            <w:pPr>
              <w:pStyle w:val="TableParagraph"/>
              <w:spacing w:before="7"/>
              <w:ind w:right="417"/>
              <w:jc w:val="right"/>
              <w:rPr>
                <w:rFonts w:ascii="Times New Roman" w:hAnsi="Times New Roman" w:cs="Times New Roman"/>
                <w:sz w:val="18"/>
                <w:szCs w:val="18"/>
              </w:rPr>
            </w:pPr>
            <w:r w:rsidRPr="001F2598">
              <w:rPr>
                <w:rFonts w:ascii="Times New Roman" w:hAnsi="Times New Roman" w:cs="Times New Roman"/>
                <w:w w:val="105"/>
                <w:sz w:val="18"/>
                <w:szCs w:val="18"/>
              </w:rPr>
              <w:t>(56.5, 84.0)</w:t>
            </w:r>
          </w:p>
        </w:tc>
        <w:tc>
          <w:tcPr>
            <w:tcW w:w="1738" w:type="dxa"/>
            <w:hideMark/>
          </w:tcPr>
          <w:p w:rsidR="001F2598" w:rsidRPr="001F2598" w:rsidRDefault="001F2598">
            <w:pPr>
              <w:pStyle w:val="TableParagraph"/>
              <w:spacing w:before="7"/>
              <w:ind w:left="391" w:right="391"/>
              <w:jc w:val="center"/>
              <w:rPr>
                <w:rFonts w:ascii="Times New Roman" w:hAnsi="Times New Roman" w:cs="Times New Roman"/>
                <w:sz w:val="18"/>
                <w:szCs w:val="18"/>
              </w:rPr>
            </w:pPr>
            <w:r w:rsidRPr="001F2598">
              <w:rPr>
                <w:rFonts w:ascii="Times New Roman" w:hAnsi="Times New Roman" w:cs="Times New Roman"/>
                <w:w w:val="105"/>
                <w:sz w:val="18"/>
                <w:szCs w:val="18"/>
              </w:rPr>
              <w:t>(63.6, 89.1)</w:t>
            </w:r>
          </w:p>
        </w:tc>
        <w:tc>
          <w:tcPr>
            <w:tcW w:w="1739" w:type="dxa"/>
            <w:hideMark/>
          </w:tcPr>
          <w:p w:rsidR="001F2598" w:rsidRPr="001F2598" w:rsidRDefault="001F2598">
            <w:pPr>
              <w:pStyle w:val="TableParagraph"/>
              <w:spacing w:before="7"/>
              <w:ind w:left="366" w:right="366"/>
              <w:jc w:val="center"/>
              <w:rPr>
                <w:rFonts w:ascii="Times New Roman" w:hAnsi="Times New Roman" w:cs="Times New Roman"/>
                <w:sz w:val="18"/>
                <w:szCs w:val="18"/>
              </w:rPr>
            </w:pPr>
            <w:r w:rsidRPr="001F2598">
              <w:rPr>
                <w:rFonts w:ascii="Times New Roman" w:hAnsi="Times New Roman" w:cs="Times New Roman"/>
                <w:w w:val="105"/>
                <w:sz w:val="18"/>
                <w:szCs w:val="18"/>
              </w:rPr>
              <w:t>(68.6, 92.2)</w:t>
            </w:r>
          </w:p>
        </w:tc>
      </w:tr>
      <w:tr w:rsidR="001F2598" w:rsidRPr="001F2598" w:rsidTr="001F2598">
        <w:trPr>
          <w:trHeight w:val="337"/>
        </w:trPr>
        <w:tc>
          <w:tcPr>
            <w:tcW w:w="1813" w:type="dxa"/>
            <w:hideMark/>
          </w:tcPr>
          <w:p w:rsidR="001F2598" w:rsidRPr="001F2598" w:rsidRDefault="001F2598">
            <w:pPr>
              <w:pStyle w:val="TableParagraph"/>
              <w:spacing w:before="117" w:line="220" w:lineRule="exact"/>
              <w:ind w:left="101"/>
              <w:rPr>
                <w:rFonts w:ascii="Times New Roman" w:hAnsi="Times New Roman" w:cs="Times New Roman"/>
                <w:b/>
                <w:sz w:val="18"/>
                <w:szCs w:val="18"/>
              </w:rPr>
            </w:pPr>
            <w:r w:rsidRPr="001F2598">
              <w:rPr>
                <w:rFonts w:ascii="Times New Roman" w:hAnsi="Times New Roman" w:cs="Times New Roman"/>
                <w:b/>
                <w:w w:val="105"/>
                <w:sz w:val="18"/>
                <w:szCs w:val="18"/>
              </w:rPr>
              <w:t>MCyR</w:t>
            </w:r>
          </w:p>
        </w:tc>
        <w:tc>
          <w:tcPr>
            <w:tcW w:w="1658" w:type="dxa"/>
          </w:tcPr>
          <w:p w:rsidR="001F2598" w:rsidRPr="001F2598" w:rsidRDefault="001F2598">
            <w:pPr>
              <w:pStyle w:val="TableParagraph"/>
              <w:rPr>
                <w:rFonts w:ascii="Times New Roman" w:hAnsi="Times New Roman" w:cs="Times New Roman"/>
                <w:sz w:val="18"/>
                <w:szCs w:val="18"/>
              </w:rPr>
            </w:pPr>
          </w:p>
        </w:tc>
        <w:tc>
          <w:tcPr>
            <w:tcW w:w="1737" w:type="dxa"/>
          </w:tcPr>
          <w:p w:rsidR="001F2598" w:rsidRPr="001F2598" w:rsidRDefault="001F2598">
            <w:pPr>
              <w:pStyle w:val="TableParagraph"/>
              <w:rPr>
                <w:rFonts w:ascii="Times New Roman" w:hAnsi="Times New Roman" w:cs="Times New Roman"/>
                <w:sz w:val="18"/>
                <w:szCs w:val="18"/>
              </w:rPr>
            </w:pPr>
          </w:p>
        </w:tc>
        <w:tc>
          <w:tcPr>
            <w:tcW w:w="1738" w:type="dxa"/>
          </w:tcPr>
          <w:p w:rsidR="001F2598" w:rsidRPr="001F2598" w:rsidRDefault="001F2598">
            <w:pPr>
              <w:pStyle w:val="TableParagraph"/>
              <w:rPr>
                <w:rFonts w:ascii="Times New Roman" w:hAnsi="Times New Roman" w:cs="Times New Roman"/>
                <w:sz w:val="18"/>
                <w:szCs w:val="18"/>
              </w:rPr>
            </w:pPr>
          </w:p>
        </w:tc>
        <w:tc>
          <w:tcPr>
            <w:tcW w:w="1739" w:type="dxa"/>
          </w:tcPr>
          <w:p w:rsidR="001F2598" w:rsidRPr="001F2598" w:rsidRDefault="001F2598">
            <w:pPr>
              <w:pStyle w:val="TableParagraph"/>
              <w:rPr>
                <w:rFonts w:ascii="Times New Roman" w:hAnsi="Times New Roman" w:cs="Times New Roman"/>
                <w:sz w:val="18"/>
                <w:szCs w:val="18"/>
              </w:rPr>
            </w:pPr>
          </w:p>
        </w:tc>
      </w:tr>
      <w:tr w:rsidR="001F2598" w:rsidRPr="001F2598" w:rsidTr="001F2598">
        <w:trPr>
          <w:trHeight w:val="218"/>
        </w:trPr>
        <w:tc>
          <w:tcPr>
            <w:tcW w:w="1813" w:type="dxa"/>
            <w:hideMark/>
          </w:tcPr>
          <w:p w:rsidR="001F2598" w:rsidRPr="001F2598" w:rsidRDefault="001F2598">
            <w:pPr>
              <w:pStyle w:val="TableParagraph"/>
              <w:spacing w:line="218" w:lineRule="exact"/>
              <w:ind w:left="101"/>
              <w:rPr>
                <w:rFonts w:ascii="Times New Roman" w:hAnsi="Times New Roman" w:cs="Times New Roman"/>
                <w:b/>
                <w:sz w:val="18"/>
                <w:szCs w:val="18"/>
              </w:rPr>
            </w:pPr>
            <w:r w:rsidRPr="001F2598">
              <w:rPr>
                <w:rFonts w:ascii="Times New Roman" w:hAnsi="Times New Roman" w:cs="Times New Roman"/>
                <w:b/>
                <w:w w:val="105"/>
                <w:sz w:val="18"/>
                <w:szCs w:val="18"/>
              </w:rPr>
              <w:t>(95% CI)</w:t>
            </w:r>
          </w:p>
        </w:tc>
        <w:tc>
          <w:tcPr>
            <w:tcW w:w="1658" w:type="dxa"/>
          </w:tcPr>
          <w:p w:rsidR="001F2598" w:rsidRPr="001F2598" w:rsidRDefault="001F2598">
            <w:pPr>
              <w:pStyle w:val="TableParagraph"/>
              <w:rPr>
                <w:rFonts w:ascii="Times New Roman" w:hAnsi="Times New Roman" w:cs="Times New Roman"/>
                <w:sz w:val="18"/>
                <w:szCs w:val="18"/>
              </w:rPr>
            </w:pPr>
          </w:p>
        </w:tc>
        <w:tc>
          <w:tcPr>
            <w:tcW w:w="1737" w:type="dxa"/>
          </w:tcPr>
          <w:p w:rsidR="001F2598" w:rsidRPr="001F2598" w:rsidRDefault="001F2598">
            <w:pPr>
              <w:pStyle w:val="TableParagraph"/>
              <w:rPr>
                <w:rFonts w:ascii="Times New Roman" w:hAnsi="Times New Roman" w:cs="Times New Roman"/>
                <w:sz w:val="18"/>
                <w:szCs w:val="18"/>
              </w:rPr>
            </w:pPr>
          </w:p>
        </w:tc>
        <w:tc>
          <w:tcPr>
            <w:tcW w:w="1738" w:type="dxa"/>
          </w:tcPr>
          <w:p w:rsidR="001F2598" w:rsidRPr="001F2598" w:rsidRDefault="001F2598">
            <w:pPr>
              <w:pStyle w:val="TableParagraph"/>
              <w:rPr>
                <w:rFonts w:ascii="Times New Roman" w:hAnsi="Times New Roman" w:cs="Times New Roman"/>
                <w:sz w:val="18"/>
                <w:szCs w:val="18"/>
              </w:rPr>
            </w:pPr>
          </w:p>
        </w:tc>
        <w:tc>
          <w:tcPr>
            <w:tcW w:w="1739" w:type="dxa"/>
          </w:tcPr>
          <w:p w:rsidR="001F2598" w:rsidRPr="001F2598" w:rsidRDefault="001F2598">
            <w:pPr>
              <w:pStyle w:val="TableParagraph"/>
              <w:rPr>
                <w:rFonts w:ascii="Times New Roman" w:hAnsi="Times New Roman" w:cs="Times New Roman"/>
                <w:sz w:val="18"/>
                <w:szCs w:val="18"/>
              </w:rPr>
            </w:pPr>
          </w:p>
        </w:tc>
      </w:tr>
      <w:tr w:rsidR="001F2598" w:rsidRPr="001F2598" w:rsidTr="001F2598">
        <w:trPr>
          <w:trHeight w:val="218"/>
        </w:trPr>
        <w:tc>
          <w:tcPr>
            <w:tcW w:w="1813" w:type="dxa"/>
            <w:hideMark/>
          </w:tcPr>
          <w:p w:rsidR="001F2598" w:rsidRPr="001F2598" w:rsidRDefault="001F2598">
            <w:pPr>
              <w:pStyle w:val="TableParagraph"/>
              <w:spacing w:line="208" w:lineRule="exact"/>
              <w:ind w:left="101"/>
              <w:rPr>
                <w:rFonts w:ascii="Times New Roman" w:hAnsi="Times New Roman" w:cs="Times New Roman"/>
                <w:sz w:val="18"/>
                <w:szCs w:val="18"/>
              </w:rPr>
            </w:pPr>
            <w:r w:rsidRPr="001F2598">
              <w:rPr>
                <w:rFonts w:ascii="Times New Roman" w:hAnsi="Times New Roman" w:cs="Times New Roman"/>
                <w:w w:val="105"/>
                <w:sz w:val="18"/>
                <w:szCs w:val="18"/>
              </w:rPr>
              <w:t>Newly diagnosed</w:t>
            </w:r>
          </w:p>
        </w:tc>
        <w:tc>
          <w:tcPr>
            <w:tcW w:w="1658" w:type="dxa"/>
            <w:hideMark/>
          </w:tcPr>
          <w:p w:rsidR="001F2598" w:rsidRPr="001F2598" w:rsidRDefault="001F2598">
            <w:pPr>
              <w:pStyle w:val="TableParagraph"/>
              <w:spacing w:line="208" w:lineRule="exact"/>
              <w:ind w:left="553"/>
              <w:rPr>
                <w:rFonts w:ascii="Times New Roman" w:hAnsi="Times New Roman" w:cs="Times New Roman"/>
                <w:sz w:val="18"/>
                <w:szCs w:val="18"/>
              </w:rPr>
            </w:pPr>
            <w:r w:rsidRPr="001F2598">
              <w:rPr>
                <w:rFonts w:ascii="Times New Roman" w:hAnsi="Times New Roman" w:cs="Times New Roman"/>
                <w:w w:val="105"/>
                <w:sz w:val="18"/>
                <w:szCs w:val="18"/>
              </w:rPr>
              <w:t>60.8%</w:t>
            </w:r>
          </w:p>
        </w:tc>
        <w:tc>
          <w:tcPr>
            <w:tcW w:w="1737" w:type="dxa"/>
            <w:hideMark/>
          </w:tcPr>
          <w:p w:rsidR="001F2598" w:rsidRPr="001F2598" w:rsidRDefault="001F2598">
            <w:pPr>
              <w:pStyle w:val="TableParagraph"/>
              <w:spacing w:line="208" w:lineRule="exact"/>
              <w:ind w:left="585" w:right="584"/>
              <w:jc w:val="center"/>
              <w:rPr>
                <w:rFonts w:ascii="Times New Roman" w:hAnsi="Times New Roman" w:cs="Times New Roman"/>
                <w:sz w:val="18"/>
                <w:szCs w:val="18"/>
              </w:rPr>
            </w:pPr>
            <w:r w:rsidRPr="001F2598">
              <w:rPr>
                <w:rFonts w:ascii="Times New Roman" w:hAnsi="Times New Roman" w:cs="Times New Roman"/>
                <w:w w:val="105"/>
                <w:sz w:val="18"/>
                <w:szCs w:val="18"/>
              </w:rPr>
              <w:t>90.2%</w:t>
            </w:r>
          </w:p>
        </w:tc>
        <w:tc>
          <w:tcPr>
            <w:tcW w:w="1738" w:type="dxa"/>
            <w:hideMark/>
          </w:tcPr>
          <w:p w:rsidR="001F2598" w:rsidRPr="001F2598" w:rsidRDefault="001F2598">
            <w:pPr>
              <w:pStyle w:val="TableParagraph"/>
              <w:spacing w:line="208" w:lineRule="exact"/>
              <w:ind w:left="391" w:right="389"/>
              <w:jc w:val="center"/>
              <w:rPr>
                <w:rFonts w:ascii="Times New Roman" w:hAnsi="Times New Roman" w:cs="Times New Roman"/>
                <w:sz w:val="18"/>
                <w:szCs w:val="18"/>
              </w:rPr>
            </w:pPr>
            <w:r w:rsidRPr="001F2598">
              <w:rPr>
                <w:rFonts w:ascii="Times New Roman" w:hAnsi="Times New Roman" w:cs="Times New Roman"/>
                <w:w w:val="105"/>
                <w:sz w:val="18"/>
                <w:szCs w:val="18"/>
              </w:rPr>
              <w:t>98.0%</w:t>
            </w:r>
          </w:p>
        </w:tc>
        <w:tc>
          <w:tcPr>
            <w:tcW w:w="1739" w:type="dxa"/>
            <w:hideMark/>
          </w:tcPr>
          <w:p w:rsidR="001F2598" w:rsidRPr="001F2598" w:rsidRDefault="001F2598">
            <w:pPr>
              <w:pStyle w:val="TableParagraph"/>
              <w:spacing w:line="208" w:lineRule="exact"/>
              <w:ind w:left="366" w:right="366"/>
              <w:jc w:val="center"/>
              <w:rPr>
                <w:rFonts w:ascii="Times New Roman" w:hAnsi="Times New Roman" w:cs="Times New Roman"/>
                <w:sz w:val="18"/>
                <w:szCs w:val="18"/>
              </w:rPr>
            </w:pPr>
            <w:r w:rsidRPr="001F2598">
              <w:rPr>
                <w:rFonts w:ascii="Times New Roman" w:hAnsi="Times New Roman" w:cs="Times New Roman"/>
                <w:w w:val="105"/>
                <w:sz w:val="18"/>
                <w:szCs w:val="18"/>
              </w:rPr>
              <w:t>98.0%</w:t>
            </w:r>
          </w:p>
        </w:tc>
      </w:tr>
      <w:tr w:rsidR="001F2598" w:rsidRPr="001F2598" w:rsidTr="001F2598">
        <w:trPr>
          <w:trHeight w:val="357"/>
        </w:trPr>
        <w:tc>
          <w:tcPr>
            <w:tcW w:w="1813" w:type="dxa"/>
            <w:hideMark/>
          </w:tcPr>
          <w:p w:rsidR="001F2598" w:rsidRPr="001F2598" w:rsidRDefault="001F2598">
            <w:pPr>
              <w:pStyle w:val="TableParagraph"/>
              <w:spacing w:line="236" w:lineRule="exact"/>
              <w:ind w:left="101"/>
              <w:rPr>
                <w:rFonts w:ascii="Times New Roman" w:hAnsi="Times New Roman" w:cs="Times New Roman"/>
                <w:sz w:val="18"/>
                <w:szCs w:val="18"/>
              </w:rPr>
            </w:pPr>
            <w:r w:rsidRPr="001F2598">
              <w:rPr>
                <w:rFonts w:ascii="Times New Roman" w:hAnsi="Times New Roman" w:cs="Times New Roman"/>
                <w:w w:val="105"/>
                <w:sz w:val="18"/>
                <w:szCs w:val="18"/>
              </w:rPr>
              <w:t>(N = 51)</w:t>
            </w:r>
            <w:r w:rsidRPr="001F2598">
              <w:rPr>
                <w:rFonts w:ascii="Times New Roman" w:hAnsi="Times New Roman" w:cs="Times New Roman"/>
                <w:w w:val="105"/>
                <w:position w:val="8"/>
                <w:sz w:val="18"/>
                <w:szCs w:val="18"/>
              </w:rPr>
              <w:t>a</w:t>
            </w:r>
          </w:p>
        </w:tc>
        <w:tc>
          <w:tcPr>
            <w:tcW w:w="1658" w:type="dxa"/>
            <w:hideMark/>
          </w:tcPr>
          <w:p w:rsidR="001F2598" w:rsidRPr="001F2598" w:rsidRDefault="001F2598">
            <w:pPr>
              <w:pStyle w:val="TableParagraph"/>
              <w:spacing w:before="6"/>
              <w:ind w:right="416"/>
              <w:jc w:val="right"/>
              <w:rPr>
                <w:rFonts w:ascii="Times New Roman" w:hAnsi="Times New Roman" w:cs="Times New Roman"/>
                <w:sz w:val="18"/>
                <w:szCs w:val="18"/>
              </w:rPr>
            </w:pPr>
            <w:r w:rsidRPr="001F2598">
              <w:rPr>
                <w:rFonts w:ascii="Times New Roman" w:hAnsi="Times New Roman" w:cs="Times New Roman"/>
                <w:w w:val="105"/>
                <w:sz w:val="18"/>
                <w:szCs w:val="18"/>
              </w:rPr>
              <w:t>(46.1, 74.2)</w:t>
            </w:r>
          </w:p>
        </w:tc>
        <w:tc>
          <w:tcPr>
            <w:tcW w:w="1737" w:type="dxa"/>
            <w:hideMark/>
          </w:tcPr>
          <w:p w:rsidR="001F2598" w:rsidRPr="001F2598" w:rsidRDefault="001F2598">
            <w:pPr>
              <w:pStyle w:val="TableParagraph"/>
              <w:spacing w:before="6"/>
              <w:ind w:right="417"/>
              <w:jc w:val="right"/>
              <w:rPr>
                <w:rFonts w:ascii="Times New Roman" w:hAnsi="Times New Roman" w:cs="Times New Roman"/>
                <w:sz w:val="18"/>
                <w:szCs w:val="18"/>
              </w:rPr>
            </w:pPr>
            <w:r w:rsidRPr="001F2598">
              <w:rPr>
                <w:rFonts w:ascii="Times New Roman" w:hAnsi="Times New Roman" w:cs="Times New Roman"/>
                <w:w w:val="105"/>
                <w:sz w:val="18"/>
                <w:szCs w:val="18"/>
              </w:rPr>
              <w:t>(78.6, 96.7)</w:t>
            </w:r>
          </w:p>
        </w:tc>
        <w:tc>
          <w:tcPr>
            <w:tcW w:w="1738" w:type="dxa"/>
            <w:hideMark/>
          </w:tcPr>
          <w:p w:rsidR="001F2598" w:rsidRPr="001F2598" w:rsidRDefault="001F2598">
            <w:pPr>
              <w:pStyle w:val="TableParagraph"/>
              <w:spacing w:before="6"/>
              <w:ind w:left="391" w:right="391"/>
              <w:jc w:val="center"/>
              <w:rPr>
                <w:rFonts w:ascii="Times New Roman" w:hAnsi="Times New Roman" w:cs="Times New Roman"/>
                <w:sz w:val="18"/>
                <w:szCs w:val="18"/>
              </w:rPr>
            </w:pPr>
            <w:r w:rsidRPr="001F2598">
              <w:rPr>
                <w:rFonts w:ascii="Times New Roman" w:hAnsi="Times New Roman" w:cs="Times New Roman"/>
                <w:w w:val="105"/>
                <w:sz w:val="18"/>
                <w:szCs w:val="18"/>
              </w:rPr>
              <w:t>(89.6, 100)</w:t>
            </w:r>
          </w:p>
        </w:tc>
        <w:tc>
          <w:tcPr>
            <w:tcW w:w="1739" w:type="dxa"/>
            <w:hideMark/>
          </w:tcPr>
          <w:p w:rsidR="001F2598" w:rsidRPr="001F2598" w:rsidRDefault="001F2598">
            <w:pPr>
              <w:pStyle w:val="TableParagraph"/>
              <w:spacing w:before="6"/>
              <w:ind w:left="366" w:right="366"/>
              <w:jc w:val="center"/>
              <w:rPr>
                <w:rFonts w:ascii="Times New Roman" w:hAnsi="Times New Roman" w:cs="Times New Roman"/>
                <w:sz w:val="18"/>
                <w:szCs w:val="18"/>
              </w:rPr>
            </w:pPr>
            <w:r w:rsidRPr="001F2598">
              <w:rPr>
                <w:rFonts w:ascii="Times New Roman" w:hAnsi="Times New Roman" w:cs="Times New Roman"/>
                <w:w w:val="105"/>
                <w:sz w:val="18"/>
                <w:szCs w:val="18"/>
              </w:rPr>
              <w:t>(89.6, 100)</w:t>
            </w:r>
          </w:p>
        </w:tc>
      </w:tr>
      <w:tr w:rsidR="001F2598" w:rsidRPr="001F2598" w:rsidTr="001F2598">
        <w:trPr>
          <w:trHeight w:val="337"/>
        </w:trPr>
        <w:tc>
          <w:tcPr>
            <w:tcW w:w="1813" w:type="dxa"/>
            <w:hideMark/>
          </w:tcPr>
          <w:p w:rsidR="001F2598" w:rsidRPr="001F2598" w:rsidRDefault="001F2598">
            <w:pPr>
              <w:pStyle w:val="TableParagraph"/>
              <w:spacing w:before="117" w:line="211" w:lineRule="exact"/>
              <w:ind w:left="101"/>
              <w:rPr>
                <w:rFonts w:ascii="Times New Roman" w:hAnsi="Times New Roman" w:cs="Times New Roman"/>
                <w:sz w:val="18"/>
                <w:szCs w:val="18"/>
              </w:rPr>
            </w:pPr>
            <w:r w:rsidRPr="001F2598">
              <w:rPr>
                <w:rFonts w:ascii="Times New Roman" w:hAnsi="Times New Roman" w:cs="Times New Roman"/>
                <w:w w:val="105"/>
                <w:sz w:val="18"/>
                <w:szCs w:val="18"/>
              </w:rPr>
              <w:t>Prior imatinib</w:t>
            </w:r>
          </w:p>
        </w:tc>
        <w:tc>
          <w:tcPr>
            <w:tcW w:w="1658" w:type="dxa"/>
            <w:hideMark/>
          </w:tcPr>
          <w:p w:rsidR="001F2598" w:rsidRPr="001F2598" w:rsidRDefault="001F2598">
            <w:pPr>
              <w:pStyle w:val="TableParagraph"/>
              <w:spacing w:before="117" w:line="211" w:lineRule="exact"/>
              <w:ind w:left="553"/>
              <w:rPr>
                <w:rFonts w:ascii="Times New Roman" w:hAnsi="Times New Roman" w:cs="Times New Roman"/>
                <w:sz w:val="18"/>
                <w:szCs w:val="18"/>
              </w:rPr>
            </w:pPr>
            <w:r w:rsidRPr="001F2598">
              <w:rPr>
                <w:rFonts w:ascii="Times New Roman" w:hAnsi="Times New Roman" w:cs="Times New Roman"/>
                <w:w w:val="105"/>
                <w:sz w:val="18"/>
                <w:szCs w:val="18"/>
              </w:rPr>
              <w:t>60.9%</w:t>
            </w:r>
          </w:p>
        </w:tc>
        <w:tc>
          <w:tcPr>
            <w:tcW w:w="1737" w:type="dxa"/>
            <w:hideMark/>
          </w:tcPr>
          <w:p w:rsidR="001F2598" w:rsidRPr="001F2598" w:rsidRDefault="001F2598">
            <w:pPr>
              <w:pStyle w:val="TableParagraph"/>
              <w:spacing w:before="117" w:line="211" w:lineRule="exact"/>
              <w:ind w:left="585" w:right="584"/>
              <w:jc w:val="center"/>
              <w:rPr>
                <w:rFonts w:ascii="Times New Roman" w:hAnsi="Times New Roman" w:cs="Times New Roman"/>
                <w:sz w:val="18"/>
                <w:szCs w:val="18"/>
              </w:rPr>
            </w:pPr>
            <w:r w:rsidRPr="001F2598">
              <w:rPr>
                <w:rFonts w:ascii="Times New Roman" w:hAnsi="Times New Roman" w:cs="Times New Roman"/>
                <w:w w:val="105"/>
                <w:sz w:val="18"/>
                <w:szCs w:val="18"/>
              </w:rPr>
              <w:t>82.6%</w:t>
            </w:r>
          </w:p>
        </w:tc>
        <w:tc>
          <w:tcPr>
            <w:tcW w:w="1738" w:type="dxa"/>
            <w:hideMark/>
          </w:tcPr>
          <w:p w:rsidR="001F2598" w:rsidRPr="001F2598" w:rsidRDefault="001F2598">
            <w:pPr>
              <w:pStyle w:val="TableParagraph"/>
              <w:spacing w:before="117" w:line="211" w:lineRule="exact"/>
              <w:ind w:left="391" w:right="390"/>
              <w:jc w:val="center"/>
              <w:rPr>
                <w:rFonts w:ascii="Times New Roman" w:hAnsi="Times New Roman" w:cs="Times New Roman"/>
                <w:sz w:val="18"/>
                <w:szCs w:val="18"/>
              </w:rPr>
            </w:pPr>
            <w:r w:rsidRPr="001F2598">
              <w:rPr>
                <w:rFonts w:ascii="Times New Roman" w:hAnsi="Times New Roman" w:cs="Times New Roman"/>
                <w:w w:val="105"/>
                <w:sz w:val="18"/>
                <w:szCs w:val="18"/>
              </w:rPr>
              <w:t>89.1%</w:t>
            </w:r>
          </w:p>
        </w:tc>
        <w:tc>
          <w:tcPr>
            <w:tcW w:w="1739" w:type="dxa"/>
            <w:hideMark/>
          </w:tcPr>
          <w:p w:rsidR="001F2598" w:rsidRPr="001F2598" w:rsidRDefault="001F2598">
            <w:pPr>
              <w:pStyle w:val="TableParagraph"/>
              <w:spacing w:before="117" w:line="211" w:lineRule="exact"/>
              <w:ind w:left="365" w:right="366"/>
              <w:jc w:val="center"/>
              <w:rPr>
                <w:rFonts w:ascii="Times New Roman" w:hAnsi="Times New Roman" w:cs="Times New Roman"/>
                <w:sz w:val="18"/>
                <w:szCs w:val="18"/>
              </w:rPr>
            </w:pPr>
            <w:r w:rsidRPr="001F2598">
              <w:rPr>
                <w:rFonts w:ascii="Times New Roman" w:hAnsi="Times New Roman" w:cs="Times New Roman"/>
                <w:w w:val="105"/>
                <w:sz w:val="18"/>
                <w:szCs w:val="18"/>
              </w:rPr>
              <w:t>89.1%</w:t>
            </w:r>
          </w:p>
        </w:tc>
      </w:tr>
      <w:tr w:rsidR="001F2598" w:rsidRPr="001F2598" w:rsidTr="001F2598">
        <w:trPr>
          <w:trHeight w:val="357"/>
        </w:trPr>
        <w:tc>
          <w:tcPr>
            <w:tcW w:w="1813" w:type="dxa"/>
            <w:hideMark/>
          </w:tcPr>
          <w:p w:rsidR="001F2598" w:rsidRPr="001F2598" w:rsidRDefault="001F2598">
            <w:pPr>
              <w:pStyle w:val="TableParagraph"/>
              <w:spacing w:line="238" w:lineRule="exact"/>
              <w:ind w:left="101"/>
              <w:rPr>
                <w:rFonts w:ascii="Times New Roman" w:hAnsi="Times New Roman" w:cs="Times New Roman"/>
                <w:sz w:val="18"/>
                <w:szCs w:val="18"/>
              </w:rPr>
            </w:pPr>
            <w:r w:rsidRPr="001F2598">
              <w:rPr>
                <w:rFonts w:ascii="Times New Roman" w:hAnsi="Times New Roman" w:cs="Times New Roman"/>
                <w:w w:val="105"/>
                <w:sz w:val="18"/>
                <w:szCs w:val="18"/>
              </w:rPr>
              <w:t>(N = 46)</w:t>
            </w:r>
            <w:r w:rsidRPr="001F2598">
              <w:rPr>
                <w:rFonts w:ascii="Times New Roman" w:hAnsi="Times New Roman" w:cs="Times New Roman"/>
                <w:w w:val="105"/>
                <w:position w:val="9"/>
                <w:sz w:val="18"/>
                <w:szCs w:val="18"/>
              </w:rPr>
              <w:t>b</w:t>
            </w:r>
          </w:p>
        </w:tc>
        <w:tc>
          <w:tcPr>
            <w:tcW w:w="1658" w:type="dxa"/>
            <w:hideMark/>
          </w:tcPr>
          <w:p w:rsidR="001F2598" w:rsidRPr="001F2598" w:rsidRDefault="001F2598">
            <w:pPr>
              <w:pStyle w:val="TableParagraph"/>
              <w:spacing w:before="7"/>
              <w:ind w:right="416"/>
              <w:jc w:val="right"/>
              <w:rPr>
                <w:rFonts w:ascii="Times New Roman" w:hAnsi="Times New Roman" w:cs="Times New Roman"/>
                <w:sz w:val="18"/>
                <w:szCs w:val="18"/>
              </w:rPr>
            </w:pPr>
            <w:r w:rsidRPr="001F2598">
              <w:rPr>
                <w:rFonts w:ascii="Times New Roman" w:hAnsi="Times New Roman" w:cs="Times New Roman"/>
                <w:w w:val="105"/>
                <w:sz w:val="18"/>
                <w:szCs w:val="18"/>
              </w:rPr>
              <w:t>(45.4, 74.9)</w:t>
            </w:r>
          </w:p>
        </w:tc>
        <w:tc>
          <w:tcPr>
            <w:tcW w:w="1737" w:type="dxa"/>
            <w:hideMark/>
          </w:tcPr>
          <w:p w:rsidR="001F2598" w:rsidRPr="001F2598" w:rsidRDefault="001F2598">
            <w:pPr>
              <w:pStyle w:val="TableParagraph"/>
              <w:spacing w:before="7"/>
              <w:ind w:right="417"/>
              <w:jc w:val="right"/>
              <w:rPr>
                <w:rFonts w:ascii="Times New Roman" w:hAnsi="Times New Roman" w:cs="Times New Roman"/>
                <w:sz w:val="18"/>
                <w:szCs w:val="18"/>
              </w:rPr>
            </w:pPr>
            <w:r w:rsidRPr="001F2598">
              <w:rPr>
                <w:rFonts w:ascii="Times New Roman" w:hAnsi="Times New Roman" w:cs="Times New Roman"/>
                <w:w w:val="105"/>
                <w:sz w:val="18"/>
                <w:szCs w:val="18"/>
              </w:rPr>
              <w:t>(68.6, 92.2)</w:t>
            </w:r>
          </w:p>
        </w:tc>
        <w:tc>
          <w:tcPr>
            <w:tcW w:w="1738" w:type="dxa"/>
            <w:hideMark/>
          </w:tcPr>
          <w:p w:rsidR="001F2598" w:rsidRPr="001F2598" w:rsidRDefault="001F2598">
            <w:pPr>
              <w:pStyle w:val="TableParagraph"/>
              <w:spacing w:before="7"/>
              <w:ind w:left="391" w:right="391"/>
              <w:jc w:val="center"/>
              <w:rPr>
                <w:rFonts w:ascii="Times New Roman" w:hAnsi="Times New Roman" w:cs="Times New Roman"/>
                <w:sz w:val="18"/>
                <w:szCs w:val="18"/>
              </w:rPr>
            </w:pPr>
            <w:r w:rsidRPr="001F2598">
              <w:rPr>
                <w:rFonts w:ascii="Times New Roman" w:hAnsi="Times New Roman" w:cs="Times New Roman"/>
                <w:w w:val="105"/>
                <w:sz w:val="18"/>
                <w:szCs w:val="18"/>
              </w:rPr>
              <w:t>(76.4, 96.4)</w:t>
            </w:r>
          </w:p>
        </w:tc>
        <w:tc>
          <w:tcPr>
            <w:tcW w:w="1739" w:type="dxa"/>
            <w:hideMark/>
          </w:tcPr>
          <w:p w:rsidR="001F2598" w:rsidRPr="001F2598" w:rsidRDefault="001F2598">
            <w:pPr>
              <w:pStyle w:val="TableParagraph"/>
              <w:spacing w:before="7"/>
              <w:ind w:left="391" w:right="341"/>
              <w:jc w:val="center"/>
              <w:rPr>
                <w:rFonts w:ascii="Times New Roman" w:hAnsi="Times New Roman" w:cs="Times New Roman"/>
                <w:sz w:val="18"/>
                <w:szCs w:val="18"/>
              </w:rPr>
            </w:pPr>
            <w:r w:rsidRPr="001F2598">
              <w:rPr>
                <w:rFonts w:ascii="Times New Roman" w:hAnsi="Times New Roman" w:cs="Times New Roman"/>
                <w:w w:val="105"/>
                <w:sz w:val="18"/>
                <w:szCs w:val="18"/>
              </w:rPr>
              <w:t>(76.4, 96.4)</w:t>
            </w:r>
          </w:p>
        </w:tc>
      </w:tr>
      <w:tr w:rsidR="001F2598" w:rsidRPr="001F2598" w:rsidTr="001F2598">
        <w:trPr>
          <w:trHeight w:val="337"/>
        </w:trPr>
        <w:tc>
          <w:tcPr>
            <w:tcW w:w="1813" w:type="dxa"/>
            <w:hideMark/>
          </w:tcPr>
          <w:p w:rsidR="001F2598" w:rsidRPr="001F2598" w:rsidRDefault="001F2598">
            <w:pPr>
              <w:pStyle w:val="TableParagraph"/>
              <w:spacing w:before="117" w:line="220" w:lineRule="exact"/>
              <w:ind w:left="101"/>
              <w:rPr>
                <w:rFonts w:ascii="Times New Roman" w:hAnsi="Times New Roman" w:cs="Times New Roman"/>
                <w:b/>
                <w:sz w:val="18"/>
                <w:szCs w:val="18"/>
              </w:rPr>
            </w:pPr>
            <w:r w:rsidRPr="001F2598">
              <w:rPr>
                <w:rFonts w:ascii="Times New Roman" w:hAnsi="Times New Roman" w:cs="Times New Roman"/>
                <w:b/>
                <w:w w:val="105"/>
                <w:sz w:val="18"/>
                <w:szCs w:val="18"/>
              </w:rPr>
              <w:t>MMR</w:t>
            </w:r>
          </w:p>
        </w:tc>
        <w:tc>
          <w:tcPr>
            <w:tcW w:w="1658" w:type="dxa"/>
          </w:tcPr>
          <w:p w:rsidR="001F2598" w:rsidRPr="001F2598" w:rsidRDefault="001F2598">
            <w:pPr>
              <w:pStyle w:val="TableParagraph"/>
              <w:rPr>
                <w:rFonts w:ascii="Times New Roman" w:hAnsi="Times New Roman" w:cs="Times New Roman"/>
                <w:sz w:val="18"/>
                <w:szCs w:val="18"/>
              </w:rPr>
            </w:pPr>
          </w:p>
        </w:tc>
        <w:tc>
          <w:tcPr>
            <w:tcW w:w="1737" w:type="dxa"/>
          </w:tcPr>
          <w:p w:rsidR="001F2598" w:rsidRPr="001F2598" w:rsidRDefault="001F2598">
            <w:pPr>
              <w:pStyle w:val="TableParagraph"/>
              <w:rPr>
                <w:rFonts w:ascii="Times New Roman" w:hAnsi="Times New Roman" w:cs="Times New Roman"/>
                <w:sz w:val="18"/>
                <w:szCs w:val="18"/>
              </w:rPr>
            </w:pPr>
          </w:p>
        </w:tc>
        <w:tc>
          <w:tcPr>
            <w:tcW w:w="1738" w:type="dxa"/>
          </w:tcPr>
          <w:p w:rsidR="001F2598" w:rsidRPr="001F2598" w:rsidRDefault="001F2598">
            <w:pPr>
              <w:pStyle w:val="TableParagraph"/>
              <w:rPr>
                <w:rFonts w:ascii="Times New Roman" w:hAnsi="Times New Roman" w:cs="Times New Roman"/>
                <w:sz w:val="18"/>
                <w:szCs w:val="18"/>
              </w:rPr>
            </w:pPr>
          </w:p>
        </w:tc>
        <w:tc>
          <w:tcPr>
            <w:tcW w:w="1739" w:type="dxa"/>
          </w:tcPr>
          <w:p w:rsidR="001F2598" w:rsidRPr="001F2598" w:rsidRDefault="001F2598">
            <w:pPr>
              <w:pStyle w:val="TableParagraph"/>
              <w:rPr>
                <w:rFonts w:ascii="Times New Roman" w:hAnsi="Times New Roman" w:cs="Times New Roman"/>
                <w:sz w:val="18"/>
                <w:szCs w:val="18"/>
              </w:rPr>
            </w:pPr>
          </w:p>
        </w:tc>
      </w:tr>
      <w:tr w:rsidR="001F2598" w:rsidRPr="001F2598" w:rsidTr="001F2598">
        <w:trPr>
          <w:trHeight w:val="218"/>
        </w:trPr>
        <w:tc>
          <w:tcPr>
            <w:tcW w:w="1813" w:type="dxa"/>
            <w:hideMark/>
          </w:tcPr>
          <w:p w:rsidR="001F2598" w:rsidRPr="001F2598" w:rsidRDefault="001F2598">
            <w:pPr>
              <w:pStyle w:val="TableParagraph"/>
              <w:spacing w:line="218" w:lineRule="exact"/>
              <w:ind w:left="101"/>
              <w:rPr>
                <w:rFonts w:ascii="Times New Roman" w:hAnsi="Times New Roman" w:cs="Times New Roman"/>
                <w:b/>
                <w:sz w:val="18"/>
                <w:szCs w:val="18"/>
              </w:rPr>
            </w:pPr>
            <w:r w:rsidRPr="001F2598">
              <w:rPr>
                <w:rFonts w:ascii="Times New Roman" w:hAnsi="Times New Roman" w:cs="Times New Roman"/>
                <w:b/>
                <w:w w:val="105"/>
                <w:sz w:val="18"/>
                <w:szCs w:val="18"/>
              </w:rPr>
              <w:t>(95% CI)</w:t>
            </w:r>
          </w:p>
        </w:tc>
        <w:tc>
          <w:tcPr>
            <w:tcW w:w="1658" w:type="dxa"/>
          </w:tcPr>
          <w:p w:rsidR="001F2598" w:rsidRPr="001F2598" w:rsidRDefault="001F2598">
            <w:pPr>
              <w:pStyle w:val="TableParagraph"/>
              <w:rPr>
                <w:rFonts w:ascii="Times New Roman" w:hAnsi="Times New Roman" w:cs="Times New Roman"/>
                <w:sz w:val="18"/>
                <w:szCs w:val="18"/>
              </w:rPr>
            </w:pPr>
          </w:p>
        </w:tc>
        <w:tc>
          <w:tcPr>
            <w:tcW w:w="1737" w:type="dxa"/>
          </w:tcPr>
          <w:p w:rsidR="001F2598" w:rsidRPr="001F2598" w:rsidRDefault="001F2598">
            <w:pPr>
              <w:pStyle w:val="TableParagraph"/>
              <w:rPr>
                <w:rFonts w:ascii="Times New Roman" w:hAnsi="Times New Roman" w:cs="Times New Roman"/>
                <w:sz w:val="18"/>
                <w:szCs w:val="18"/>
              </w:rPr>
            </w:pPr>
          </w:p>
        </w:tc>
        <w:tc>
          <w:tcPr>
            <w:tcW w:w="1738" w:type="dxa"/>
          </w:tcPr>
          <w:p w:rsidR="001F2598" w:rsidRPr="001F2598" w:rsidRDefault="001F2598">
            <w:pPr>
              <w:pStyle w:val="TableParagraph"/>
              <w:rPr>
                <w:rFonts w:ascii="Times New Roman" w:hAnsi="Times New Roman" w:cs="Times New Roman"/>
                <w:sz w:val="18"/>
                <w:szCs w:val="18"/>
              </w:rPr>
            </w:pPr>
          </w:p>
        </w:tc>
        <w:tc>
          <w:tcPr>
            <w:tcW w:w="1739" w:type="dxa"/>
          </w:tcPr>
          <w:p w:rsidR="001F2598" w:rsidRPr="001F2598" w:rsidRDefault="001F2598">
            <w:pPr>
              <w:pStyle w:val="TableParagraph"/>
              <w:rPr>
                <w:rFonts w:ascii="Times New Roman" w:hAnsi="Times New Roman" w:cs="Times New Roman"/>
                <w:sz w:val="18"/>
                <w:szCs w:val="18"/>
              </w:rPr>
            </w:pPr>
          </w:p>
        </w:tc>
      </w:tr>
      <w:tr w:rsidR="001F2598" w:rsidRPr="001F2598" w:rsidTr="001F2598">
        <w:trPr>
          <w:trHeight w:val="218"/>
        </w:trPr>
        <w:tc>
          <w:tcPr>
            <w:tcW w:w="1813" w:type="dxa"/>
            <w:hideMark/>
          </w:tcPr>
          <w:p w:rsidR="001F2598" w:rsidRPr="001F2598" w:rsidRDefault="001F2598">
            <w:pPr>
              <w:pStyle w:val="TableParagraph"/>
              <w:spacing w:line="209" w:lineRule="exact"/>
              <w:ind w:left="101"/>
              <w:rPr>
                <w:rFonts w:ascii="Times New Roman" w:hAnsi="Times New Roman" w:cs="Times New Roman"/>
                <w:sz w:val="18"/>
                <w:szCs w:val="18"/>
              </w:rPr>
            </w:pPr>
            <w:r w:rsidRPr="001F2598">
              <w:rPr>
                <w:rFonts w:ascii="Times New Roman" w:hAnsi="Times New Roman" w:cs="Times New Roman"/>
                <w:w w:val="105"/>
                <w:sz w:val="18"/>
                <w:szCs w:val="18"/>
              </w:rPr>
              <w:lastRenderedPageBreak/>
              <w:t>Newly diagnosed</w:t>
            </w:r>
          </w:p>
        </w:tc>
        <w:tc>
          <w:tcPr>
            <w:tcW w:w="1658" w:type="dxa"/>
            <w:hideMark/>
          </w:tcPr>
          <w:p w:rsidR="001F2598" w:rsidRPr="001F2598" w:rsidRDefault="001F2598">
            <w:pPr>
              <w:pStyle w:val="TableParagraph"/>
              <w:spacing w:line="209" w:lineRule="exact"/>
              <w:ind w:left="582" w:right="660"/>
              <w:jc w:val="center"/>
              <w:rPr>
                <w:rFonts w:ascii="Times New Roman" w:hAnsi="Times New Roman" w:cs="Times New Roman"/>
                <w:sz w:val="18"/>
                <w:szCs w:val="18"/>
              </w:rPr>
            </w:pPr>
            <w:r w:rsidRPr="001F2598">
              <w:rPr>
                <w:rFonts w:ascii="Times New Roman" w:hAnsi="Times New Roman" w:cs="Times New Roman"/>
                <w:w w:val="105"/>
                <w:sz w:val="18"/>
                <w:szCs w:val="18"/>
              </w:rPr>
              <w:t>7.8%</w:t>
            </w:r>
          </w:p>
        </w:tc>
        <w:tc>
          <w:tcPr>
            <w:tcW w:w="1737" w:type="dxa"/>
            <w:hideMark/>
          </w:tcPr>
          <w:p w:rsidR="001F2598" w:rsidRPr="001F2598" w:rsidRDefault="001F2598">
            <w:pPr>
              <w:pStyle w:val="TableParagraph"/>
              <w:spacing w:line="209" w:lineRule="exact"/>
              <w:ind w:left="560" w:right="609"/>
              <w:jc w:val="center"/>
              <w:rPr>
                <w:rFonts w:ascii="Times New Roman" w:hAnsi="Times New Roman" w:cs="Times New Roman"/>
                <w:sz w:val="18"/>
                <w:szCs w:val="18"/>
              </w:rPr>
            </w:pPr>
            <w:r w:rsidRPr="001F2598">
              <w:rPr>
                <w:rFonts w:ascii="Times New Roman" w:hAnsi="Times New Roman" w:cs="Times New Roman"/>
                <w:w w:val="105"/>
                <w:sz w:val="18"/>
                <w:szCs w:val="18"/>
              </w:rPr>
              <w:t>31.4%</w:t>
            </w:r>
          </w:p>
        </w:tc>
        <w:tc>
          <w:tcPr>
            <w:tcW w:w="1738" w:type="dxa"/>
            <w:hideMark/>
          </w:tcPr>
          <w:p w:rsidR="001F2598" w:rsidRPr="001F2598" w:rsidRDefault="001F2598">
            <w:pPr>
              <w:pStyle w:val="TableParagraph"/>
              <w:spacing w:line="209" w:lineRule="exact"/>
              <w:ind w:left="343" w:right="391"/>
              <w:jc w:val="center"/>
              <w:rPr>
                <w:rFonts w:ascii="Times New Roman" w:hAnsi="Times New Roman" w:cs="Times New Roman"/>
                <w:sz w:val="18"/>
                <w:szCs w:val="18"/>
              </w:rPr>
            </w:pPr>
            <w:r w:rsidRPr="001F2598">
              <w:rPr>
                <w:rFonts w:ascii="Times New Roman" w:hAnsi="Times New Roman" w:cs="Times New Roman"/>
                <w:w w:val="105"/>
                <w:sz w:val="18"/>
                <w:szCs w:val="18"/>
              </w:rPr>
              <w:t>56.9%</w:t>
            </w:r>
          </w:p>
        </w:tc>
        <w:tc>
          <w:tcPr>
            <w:tcW w:w="1739" w:type="dxa"/>
            <w:hideMark/>
          </w:tcPr>
          <w:p w:rsidR="001F2598" w:rsidRPr="001F2598" w:rsidRDefault="001F2598">
            <w:pPr>
              <w:pStyle w:val="TableParagraph"/>
              <w:spacing w:line="209" w:lineRule="exact"/>
              <w:ind w:left="319" w:right="366"/>
              <w:jc w:val="center"/>
              <w:rPr>
                <w:rFonts w:ascii="Times New Roman" w:hAnsi="Times New Roman" w:cs="Times New Roman"/>
                <w:sz w:val="18"/>
                <w:szCs w:val="18"/>
              </w:rPr>
            </w:pPr>
            <w:r w:rsidRPr="001F2598">
              <w:rPr>
                <w:rFonts w:ascii="Times New Roman" w:hAnsi="Times New Roman" w:cs="Times New Roman"/>
                <w:w w:val="105"/>
                <w:sz w:val="18"/>
                <w:szCs w:val="18"/>
              </w:rPr>
              <w:t>74.5%</w:t>
            </w:r>
          </w:p>
        </w:tc>
      </w:tr>
      <w:tr w:rsidR="001F2598" w:rsidRPr="001F2598" w:rsidTr="001F2598">
        <w:trPr>
          <w:trHeight w:val="357"/>
        </w:trPr>
        <w:tc>
          <w:tcPr>
            <w:tcW w:w="1813" w:type="dxa"/>
            <w:hideMark/>
          </w:tcPr>
          <w:p w:rsidR="001F2598" w:rsidRPr="001F2598" w:rsidRDefault="001F2598">
            <w:pPr>
              <w:pStyle w:val="TableParagraph"/>
              <w:spacing w:line="237" w:lineRule="exact"/>
              <w:ind w:left="101"/>
              <w:rPr>
                <w:rFonts w:ascii="Times New Roman" w:hAnsi="Times New Roman" w:cs="Times New Roman"/>
                <w:sz w:val="18"/>
                <w:szCs w:val="18"/>
              </w:rPr>
            </w:pPr>
            <w:r w:rsidRPr="001F2598">
              <w:rPr>
                <w:rFonts w:ascii="Times New Roman" w:hAnsi="Times New Roman" w:cs="Times New Roman"/>
                <w:w w:val="105"/>
                <w:sz w:val="18"/>
                <w:szCs w:val="18"/>
              </w:rPr>
              <w:t>(N = 51)</w:t>
            </w:r>
            <w:r w:rsidRPr="001F2598">
              <w:rPr>
                <w:rFonts w:ascii="Times New Roman" w:hAnsi="Times New Roman" w:cs="Times New Roman"/>
                <w:w w:val="105"/>
                <w:position w:val="8"/>
                <w:sz w:val="18"/>
                <w:szCs w:val="18"/>
              </w:rPr>
              <w:t>a</w:t>
            </w:r>
          </w:p>
        </w:tc>
        <w:tc>
          <w:tcPr>
            <w:tcW w:w="1658" w:type="dxa"/>
            <w:hideMark/>
          </w:tcPr>
          <w:p w:rsidR="001F2598" w:rsidRPr="001F2598" w:rsidRDefault="001F2598">
            <w:pPr>
              <w:pStyle w:val="TableParagraph"/>
              <w:spacing w:before="6"/>
              <w:ind w:right="466"/>
              <w:jc w:val="right"/>
              <w:rPr>
                <w:rFonts w:ascii="Times New Roman" w:hAnsi="Times New Roman" w:cs="Times New Roman"/>
                <w:sz w:val="18"/>
                <w:szCs w:val="18"/>
              </w:rPr>
            </w:pPr>
            <w:r w:rsidRPr="001F2598">
              <w:rPr>
                <w:rFonts w:ascii="Times New Roman" w:hAnsi="Times New Roman" w:cs="Times New Roman"/>
                <w:w w:val="105"/>
                <w:sz w:val="18"/>
                <w:szCs w:val="18"/>
              </w:rPr>
              <w:t>(2.2, 18.9)</w:t>
            </w:r>
          </w:p>
        </w:tc>
        <w:tc>
          <w:tcPr>
            <w:tcW w:w="1737" w:type="dxa"/>
            <w:hideMark/>
          </w:tcPr>
          <w:p w:rsidR="001F2598" w:rsidRPr="001F2598" w:rsidRDefault="001F2598">
            <w:pPr>
              <w:pStyle w:val="TableParagraph"/>
              <w:spacing w:before="6"/>
              <w:ind w:right="416"/>
              <w:jc w:val="right"/>
              <w:rPr>
                <w:rFonts w:ascii="Times New Roman" w:hAnsi="Times New Roman" w:cs="Times New Roman"/>
                <w:sz w:val="18"/>
                <w:szCs w:val="18"/>
              </w:rPr>
            </w:pPr>
            <w:r w:rsidRPr="001F2598">
              <w:rPr>
                <w:rFonts w:ascii="Times New Roman" w:hAnsi="Times New Roman" w:cs="Times New Roman"/>
                <w:w w:val="105"/>
                <w:sz w:val="18"/>
                <w:szCs w:val="18"/>
              </w:rPr>
              <w:t>(19.1, 45.9)</w:t>
            </w:r>
          </w:p>
        </w:tc>
        <w:tc>
          <w:tcPr>
            <w:tcW w:w="1738" w:type="dxa"/>
            <w:hideMark/>
          </w:tcPr>
          <w:p w:rsidR="001F2598" w:rsidRPr="001F2598" w:rsidRDefault="001F2598">
            <w:pPr>
              <w:pStyle w:val="TableParagraph"/>
              <w:spacing w:before="6"/>
              <w:ind w:left="391" w:right="391"/>
              <w:jc w:val="center"/>
              <w:rPr>
                <w:rFonts w:ascii="Times New Roman" w:hAnsi="Times New Roman" w:cs="Times New Roman"/>
                <w:sz w:val="18"/>
                <w:szCs w:val="18"/>
              </w:rPr>
            </w:pPr>
            <w:r w:rsidRPr="001F2598">
              <w:rPr>
                <w:rFonts w:ascii="Times New Roman" w:hAnsi="Times New Roman" w:cs="Times New Roman"/>
                <w:w w:val="105"/>
                <w:sz w:val="18"/>
                <w:szCs w:val="18"/>
              </w:rPr>
              <w:t>(42.2, 70.7)</w:t>
            </w:r>
          </w:p>
        </w:tc>
        <w:tc>
          <w:tcPr>
            <w:tcW w:w="1739" w:type="dxa"/>
            <w:hideMark/>
          </w:tcPr>
          <w:p w:rsidR="001F2598" w:rsidRPr="001F2598" w:rsidRDefault="001F2598">
            <w:pPr>
              <w:pStyle w:val="TableParagraph"/>
              <w:spacing w:before="6"/>
              <w:ind w:left="366" w:right="366"/>
              <w:jc w:val="center"/>
              <w:rPr>
                <w:rFonts w:ascii="Times New Roman" w:hAnsi="Times New Roman" w:cs="Times New Roman"/>
                <w:sz w:val="18"/>
                <w:szCs w:val="18"/>
              </w:rPr>
            </w:pPr>
            <w:r w:rsidRPr="001F2598">
              <w:rPr>
                <w:rFonts w:ascii="Times New Roman" w:hAnsi="Times New Roman" w:cs="Times New Roman"/>
                <w:w w:val="105"/>
                <w:sz w:val="18"/>
                <w:szCs w:val="18"/>
              </w:rPr>
              <w:t>(60.4, 85.7)</w:t>
            </w:r>
          </w:p>
        </w:tc>
      </w:tr>
      <w:tr w:rsidR="001F2598" w:rsidRPr="001F2598" w:rsidTr="001F2598">
        <w:trPr>
          <w:trHeight w:val="337"/>
        </w:trPr>
        <w:tc>
          <w:tcPr>
            <w:tcW w:w="1813" w:type="dxa"/>
            <w:hideMark/>
          </w:tcPr>
          <w:p w:rsidR="001F2598" w:rsidRPr="001F2598" w:rsidRDefault="001F2598">
            <w:pPr>
              <w:pStyle w:val="TableParagraph"/>
              <w:spacing w:before="117" w:line="211" w:lineRule="exact"/>
              <w:ind w:left="101"/>
              <w:rPr>
                <w:rFonts w:ascii="Times New Roman" w:hAnsi="Times New Roman" w:cs="Times New Roman"/>
                <w:sz w:val="18"/>
                <w:szCs w:val="18"/>
              </w:rPr>
            </w:pPr>
            <w:r w:rsidRPr="001F2598">
              <w:rPr>
                <w:rFonts w:ascii="Times New Roman" w:hAnsi="Times New Roman" w:cs="Times New Roman"/>
                <w:w w:val="105"/>
                <w:sz w:val="18"/>
                <w:szCs w:val="18"/>
              </w:rPr>
              <w:t>Prior imatinib</w:t>
            </w:r>
          </w:p>
        </w:tc>
        <w:tc>
          <w:tcPr>
            <w:tcW w:w="1658" w:type="dxa"/>
            <w:hideMark/>
          </w:tcPr>
          <w:p w:rsidR="001F2598" w:rsidRPr="001F2598" w:rsidRDefault="001F2598">
            <w:pPr>
              <w:pStyle w:val="TableParagraph"/>
              <w:spacing w:before="117" w:line="211" w:lineRule="exact"/>
              <w:ind w:left="553"/>
              <w:rPr>
                <w:rFonts w:ascii="Times New Roman" w:hAnsi="Times New Roman" w:cs="Times New Roman"/>
                <w:sz w:val="18"/>
                <w:szCs w:val="18"/>
              </w:rPr>
            </w:pPr>
            <w:r w:rsidRPr="001F2598">
              <w:rPr>
                <w:rFonts w:ascii="Times New Roman" w:hAnsi="Times New Roman" w:cs="Times New Roman"/>
                <w:w w:val="105"/>
                <w:sz w:val="18"/>
                <w:szCs w:val="18"/>
              </w:rPr>
              <w:t>15.2%</w:t>
            </w:r>
          </w:p>
        </w:tc>
        <w:tc>
          <w:tcPr>
            <w:tcW w:w="1737" w:type="dxa"/>
            <w:hideMark/>
          </w:tcPr>
          <w:p w:rsidR="001F2598" w:rsidRPr="001F2598" w:rsidRDefault="001F2598">
            <w:pPr>
              <w:pStyle w:val="TableParagraph"/>
              <w:spacing w:before="117" w:line="211" w:lineRule="exact"/>
              <w:ind w:left="585" w:right="584"/>
              <w:jc w:val="center"/>
              <w:rPr>
                <w:rFonts w:ascii="Times New Roman" w:hAnsi="Times New Roman" w:cs="Times New Roman"/>
                <w:sz w:val="18"/>
                <w:szCs w:val="18"/>
              </w:rPr>
            </w:pPr>
            <w:r w:rsidRPr="001F2598">
              <w:rPr>
                <w:rFonts w:ascii="Times New Roman" w:hAnsi="Times New Roman" w:cs="Times New Roman"/>
                <w:w w:val="105"/>
                <w:sz w:val="18"/>
                <w:szCs w:val="18"/>
              </w:rPr>
              <w:t>26.1%</w:t>
            </w:r>
          </w:p>
        </w:tc>
        <w:tc>
          <w:tcPr>
            <w:tcW w:w="1738" w:type="dxa"/>
            <w:hideMark/>
          </w:tcPr>
          <w:p w:rsidR="001F2598" w:rsidRPr="001F2598" w:rsidRDefault="001F2598">
            <w:pPr>
              <w:pStyle w:val="TableParagraph"/>
              <w:spacing w:before="117" w:line="211" w:lineRule="exact"/>
              <w:ind w:left="391" w:right="389"/>
              <w:jc w:val="center"/>
              <w:rPr>
                <w:rFonts w:ascii="Times New Roman" w:hAnsi="Times New Roman" w:cs="Times New Roman"/>
                <w:sz w:val="18"/>
                <w:szCs w:val="18"/>
              </w:rPr>
            </w:pPr>
            <w:r w:rsidRPr="001F2598">
              <w:rPr>
                <w:rFonts w:ascii="Times New Roman" w:hAnsi="Times New Roman" w:cs="Times New Roman"/>
                <w:w w:val="105"/>
                <w:sz w:val="18"/>
                <w:szCs w:val="18"/>
              </w:rPr>
              <w:t>39.1%</w:t>
            </w:r>
          </w:p>
        </w:tc>
        <w:tc>
          <w:tcPr>
            <w:tcW w:w="1739" w:type="dxa"/>
            <w:hideMark/>
          </w:tcPr>
          <w:p w:rsidR="001F2598" w:rsidRPr="001F2598" w:rsidRDefault="001F2598">
            <w:pPr>
              <w:pStyle w:val="TableParagraph"/>
              <w:spacing w:before="117" w:line="211" w:lineRule="exact"/>
              <w:ind w:left="366" w:right="366"/>
              <w:jc w:val="center"/>
              <w:rPr>
                <w:rFonts w:ascii="Times New Roman" w:hAnsi="Times New Roman" w:cs="Times New Roman"/>
                <w:sz w:val="18"/>
                <w:szCs w:val="18"/>
              </w:rPr>
            </w:pPr>
            <w:r w:rsidRPr="001F2598">
              <w:rPr>
                <w:rFonts w:ascii="Times New Roman" w:hAnsi="Times New Roman" w:cs="Times New Roman"/>
                <w:w w:val="105"/>
                <w:sz w:val="18"/>
                <w:szCs w:val="18"/>
              </w:rPr>
              <w:t>52.2%</w:t>
            </w:r>
          </w:p>
        </w:tc>
      </w:tr>
      <w:tr w:rsidR="001F2598" w:rsidRPr="001F2598" w:rsidTr="001F2598">
        <w:trPr>
          <w:trHeight w:val="238"/>
        </w:trPr>
        <w:tc>
          <w:tcPr>
            <w:tcW w:w="1813" w:type="dxa"/>
            <w:hideMark/>
          </w:tcPr>
          <w:p w:rsidR="001F2598" w:rsidRPr="001F2598" w:rsidRDefault="001F2598">
            <w:pPr>
              <w:pStyle w:val="TableParagraph"/>
              <w:spacing w:line="222" w:lineRule="exact"/>
              <w:ind w:left="101"/>
              <w:rPr>
                <w:rFonts w:ascii="Times New Roman" w:hAnsi="Times New Roman" w:cs="Times New Roman"/>
                <w:sz w:val="18"/>
                <w:szCs w:val="18"/>
              </w:rPr>
            </w:pPr>
            <w:r w:rsidRPr="001F2598">
              <w:rPr>
                <w:rFonts w:ascii="Times New Roman" w:hAnsi="Times New Roman" w:cs="Times New Roman"/>
                <w:w w:val="105"/>
                <w:sz w:val="18"/>
                <w:szCs w:val="18"/>
              </w:rPr>
              <w:t>(N = 46)</w:t>
            </w:r>
            <w:r w:rsidRPr="001F2598">
              <w:rPr>
                <w:rFonts w:ascii="Times New Roman" w:hAnsi="Times New Roman" w:cs="Times New Roman"/>
                <w:w w:val="105"/>
                <w:position w:val="8"/>
                <w:sz w:val="18"/>
                <w:szCs w:val="18"/>
              </w:rPr>
              <w:t>b</w:t>
            </w:r>
          </w:p>
        </w:tc>
        <w:tc>
          <w:tcPr>
            <w:tcW w:w="1658" w:type="dxa"/>
            <w:hideMark/>
          </w:tcPr>
          <w:p w:rsidR="001F2598" w:rsidRPr="001F2598" w:rsidRDefault="001F2598">
            <w:pPr>
              <w:pStyle w:val="TableParagraph"/>
              <w:spacing w:before="6" w:line="215" w:lineRule="exact"/>
              <w:ind w:right="466"/>
              <w:jc w:val="right"/>
              <w:rPr>
                <w:rFonts w:ascii="Times New Roman" w:hAnsi="Times New Roman" w:cs="Times New Roman"/>
                <w:sz w:val="18"/>
                <w:szCs w:val="18"/>
              </w:rPr>
            </w:pPr>
            <w:r w:rsidRPr="001F2598">
              <w:rPr>
                <w:rFonts w:ascii="Times New Roman" w:hAnsi="Times New Roman" w:cs="Times New Roman"/>
                <w:w w:val="105"/>
                <w:sz w:val="18"/>
                <w:szCs w:val="18"/>
              </w:rPr>
              <w:t>(6.3, 28.9)</w:t>
            </w:r>
          </w:p>
        </w:tc>
        <w:tc>
          <w:tcPr>
            <w:tcW w:w="1737" w:type="dxa"/>
            <w:hideMark/>
          </w:tcPr>
          <w:p w:rsidR="001F2598" w:rsidRPr="001F2598" w:rsidRDefault="001F2598">
            <w:pPr>
              <w:pStyle w:val="TableParagraph"/>
              <w:spacing w:before="6" w:line="215" w:lineRule="exact"/>
              <w:ind w:right="417"/>
              <w:jc w:val="right"/>
              <w:rPr>
                <w:rFonts w:ascii="Times New Roman" w:hAnsi="Times New Roman" w:cs="Times New Roman"/>
                <w:sz w:val="18"/>
                <w:szCs w:val="18"/>
              </w:rPr>
            </w:pPr>
            <w:r w:rsidRPr="001F2598">
              <w:rPr>
                <w:rFonts w:ascii="Times New Roman" w:hAnsi="Times New Roman" w:cs="Times New Roman"/>
                <w:w w:val="105"/>
                <w:sz w:val="18"/>
                <w:szCs w:val="18"/>
              </w:rPr>
              <w:t>(14.3, 41.1)</w:t>
            </w:r>
          </w:p>
        </w:tc>
        <w:tc>
          <w:tcPr>
            <w:tcW w:w="1738" w:type="dxa"/>
            <w:hideMark/>
          </w:tcPr>
          <w:p w:rsidR="001F2598" w:rsidRPr="001F2598" w:rsidRDefault="001F2598">
            <w:pPr>
              <w:pStyle w:val="TableParagraph"/>
              <w:spacing w:before="6" w:line="215" w:lineRule="exact"/>
              <w:ind w:left="391" w:right="391"/>
              <w:jc w:val="center"/>
              <w:rPr>
                <w:rFonts w:ascii="Times New Roman" w:hAnsi="Times New Roman" w:cs="Times New Roman"/>
                <w:sz w:val="18"/>
                <w:szCs w:val="18"/>
              </w:rPr>
            </w:pPr>
            <w:r w:rsidRPr="001F2598">
              <w:rPr>
                <w:rFonts w:ascii="Times New Roman" w:hAnsi="Times New Roman" w:cs="Times New Roman"/>
                <w:w w:val="105"/>
                <w:sz w:val="18"/>
                <w:szCs w:val="18"/>
              </w:rPr>
              <w:t>(25.1, 54.6)</w:t>
            </w:r>
          </w:p>
        </w:tc>
        <w:tc>
          <w:tcPr>
            <w:tcW w:w="1739" w:type="dxa"/>
            <w:hideMark/>
          </w:tcPr>
          <w:p w:rsidR="001F2598" w:rsidRPr="001F2598" w:rsidRDefault="001F2598">
            <w:pPr>
              <w:pStyle w:val="TableParagraph"/>
              <w:spacing w:before="6" w:line="215" w:lineRule="exact"/>
              <w:ind w:left="366" w:right="366"/>
              <w:jc w:val="center"/>
              <w:rPr>
                <w:rFonts w:ascii="Times New Roman" w:hAnsi="Times New Roman" w:cs="Times New Roman"/>
                <w:sz w:val="18"/>
                <w:szCs w:val="18"/>
              </w:rPr>
            </w:pPr>
            <w:r w:rsidRPr="001F2598">
              <w:rPr>
                <w:rFonts w:ascii="Times New Roman" w:hAnsi="Times New Roman" w:cs="Times New Roman"/>
                <w:w w:val="105"/>
                <w:sz w:val="18"/>
                <w:szCs w:val="18"/>
              </w:rPr>
              <w:t>(36.9, 67.1)</w:t>
            </w:r>
          </w:p>
        </w:tc>
      </w:tr>
    </w:tbl>
    <w:p w:rsidR="001F2598" w:rsidRPr="001F2598" w:rsidRDefault="001F2598" w:rsidP="001F2598">
      <w:pPr>
        <w:pStyle w:val="Brdtekst"/>
        <w:spacing w:before="11"/>
        <w:rPr>
          <w:sz w:val="17"/>
        </w:rPr>
      </w:pPr>
      <w:r w:rsidRPr="001F2598">
        <w:rPr>
          <w:noProof/>
        </w:rPr>
        <mc:AlternateContent>
          <mc:Choice Requires="wpg">
            <w:drawing>
              <wp:anchor distT="0" distB="0" distL="0" distR="0" simplePos="0" relativeHeight="251680768" behindDoc="0" locked="0" layoutInCell="1" allowOverlap="1">
                <wp:simplePos x="0" y="0"/>
                <wp:positionH relativeFrom="page">
                  <wp:posOffset>1169035</wp:posOffset>
                </wp:positionH>
                <wp:positionV relativeFrom="paragraph">
                  <wp:posOffset>22860</wp:posOffset>
                </wp:positionV>
                <wp:extent cx="5735955" cy="6350"/>
                <wp:effectExtent l="0" t="0" r="0" b="0"/>
                <wp:wrapTopAndBottom/>
                <wp:docPr id="77" name="Gruppe 77"/>
                <wp:cNvGraphicFramePr/>
                <a:graphic xmlns:a="http://schemas.openxmlformats.org/drawingml/2006/main">
                  <a:graphicData uri="http://schemas.microsoft.com/office/word/2010/wordprocessingGroup">
                    <wpg:wgp>
                      <wpg:cNvGrpSpPr/>
                      <wpg:grpSpPr bwMode="auto">
                        <a:xfrm>
                          <a:off x="0" y="0"/>
                          <a:ext cx="5735955" cy="6350"/>
                          <a:chOff x="5" y="5"/>
                          <a:chExt cx="9023" cy="0"/>
                        </a:xfrm>
                      </wpg:grpSpPr>
                      <wps:wsp>
                        <wps:cNvPr id="78" name="Line 7"/>
                        <wps:cNvCnPr>
                          <a:cxnSpLocks noChangeShapeType="1"/>
                        </wps:cNvCnPr>
                        <wps:spPr bwMode="auto">
                          <a:xfrm>
                            <a:off x="5" y="5"/>
                            <a:ext cx="18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9" name="Line 6"/>
                        <wps:cNvCnPr>
                          <a:cxnSpLocks noChangeShapeType="1"/>
                        </wps:cNvCnPr>
                        <wps:spPr bwMode="auto">
                          <a:xfrm>
                            <a:off x="1806" y="5"/>
                            <a:ext cx="18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0" name="Line 5"/>
                        <wps:cNvCnPr>
                          <a:cxnSpLocks noChangeShapeType="1"/>
                        </wps:cNvCnPr>
                        <wps:spPr bwMode="auto">
                          <a:xfrm>
                            <a:off x="3608" y="5"/>
                            <a:ext cx="18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1" name="Line 4"/>
                        <wps:cNvCnPr>
                          <a:cxnSpLocks noChangeShapeType="1"/>
                        </wps:cNvCnPr>
                        <wps:spPr bwMode="auto">
                          <a:xfrm>
                            <a:off x="5411" y="5"/>
                            <a:ext cx="181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2" name="Line 3"/>
                        <wps:cNvCnPr>
                          <a:cxnSpLocks noChangeShapeType="1"/>
                        </wps:cNvCnPr>
                        <wps:spPr bwMode="auto">
                          <a:xfrm>
                            <a:off x="7211" y="5"/>
                            <a:ext cx="181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EB8B4D" id="Gruppe 77" o:spid="_x0000_s1026" style="position:absolute;margin-left:92.05pt;margin-top:1.8pt;width:451.65pt;height:.5pt;z-index:251680768;mso-wrap-distance-left:0;mso-wrap-distance-right:0;mso-position-horizontal-relative:page" coordorigin="5,5" coordsize="9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">
                <v:line id="Line 7" o:spid="_x0000_s1027" style="position:absolute;visibility:visible;mso-wrap-style:square" from="5,5" to="1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" strokeweight=".48pt"/>
                <v:line id="Line 6" o:spid="_x0000_s1028" style="position:absolute;visibility:visible;mso-wrap-style:square" from="1806,5" to="3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" strokeweight=".48pt"/>
                <v:line id="Line 5" o:spid="_x0000_s1029" style="position:absolute;visibility:visible;mso-wrap-style:square" from="3608,5" to="54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" strokeweight=".48pt"/>
                <v:line id="Line 4" o:spid="_x0000_s1030" style="position:absolute;visibility:visible;mso-wrap-style:square" from="5411,5" to="72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" strokeweight=".48pt"/>
                <v:line id="Line 3" o:spid="_x0000_s1031" style="position:absolute;visibility:visible;mso-wrap-style:square" from="7211,5" to="9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" strokeweight=".48pt"/>
                <w10:wrap type="topAndBottom" anchorx="page"/>
              </v:group>
            </w:pict>
          </mc:Fallback>
        </mc:AlternateContent>
      </w:r>
      <w:r w:rsidRPr="001F2598">
        <w:rPr>
          <w:position w:val="6"/>
          <w:sz w:val="11"/>
        </w:rPr>
        <w:t xml:space="preserve">     a </w:t>
      </w:r>
      <w:r w:rsidRPr="001F2598">
        <w:rPr>
          <w:sz w:val="17"/>
        </w:rPr>
        <w:t>Patients from Phase II paediatric study of newly diagnosed CML-CP receiving oral tablet formulation</w:t>
      </w:r>
    </w:p>
    <w:p w:rsidR="001F2598" w:rsidRPr="001F2598" w:rsidRDefault="001F2598" w:rsidP="001F2598">
      <w:pPr>
        <w:spacing w:line="235" w:lineRule="auto"/>
        <w:ind w:left="303" w:right="715" w:hanging="170"/>
        <w:rPr>
          <w:sz w:val="17"/>
          <w:lang w:val="en-US"/>
        </w:rPr>
      </w:pPr>
      <w:r w:rsidRPr="001F2598">
        <w:rPr>
          <w:position w:val="6"/>
          <w:sz w:val="11"/>
          <w:lang w:val="en-US"/>
        </w:rPr>
        <w:t xml:space="preserve">b </w:t>
      </w:r>
      <w:r w:rsidRPr="001F2598">
        <w:rPr>
          <w:sz w:val="17"/>
          <w:lang w:val="en-US"/>
        </w:rPr>
        <w:t>Patients from Phase I and Phase II paediatric studies of imatinib-resistant or intolerant CML-CP receiving oral tablet formulation</w:t>
      </w:r>
    </w:p>
    <w:p w:rsidR="008F6A24" w:rsidRPr="001F2598" w:rsidRDefault="008F6A24" w:rsidP="003E0341">
      <w:pPr>
        <w:tabs>
          <w:tab w:val="left" w:pos="851"/>
        </w:tabs>
        <w:ind w:left="851"/>
        <w:rPr>
          <w:sz w:val="24"/>
          <w:szCs w:val="24"/>
          <w:lang w:val="en-US"/>
        </w:rPr>
      </w:pPr>
    </w:p>
    <w:p w:rsidR="00F43529" w:rsidRPr="00F43529" w:rsidRDefault="00F43529" w:rsidP="00F43529">
      <w:pPr>
        <w:tabs>
          <w:tab w:val="left" w:pos="851"/>
        </w:tabs>
        <w:ind w:left="851"/>
        <w:rPr>
          <w:sz w:val="24"/>
          <w:szCs w:val="24"/>
          <w:lang w:val="en-US"/>
        </w:rPr>
      </w:pPr>
      <w:r w:rsidRPr="00F43529">
        <w:rPr>
          <w:sz w:val="24"/>
          <w:szCs w:val="24"/>
          <w:lang w:val="en-US"/>
        </w:rPr>
        <w:t>In the Phase I paediatric study, after a minimum of 7 years of follow-up among the 17 patients with imatinib-resistant or intolerant CML-CP, the median duration of PFS was 53.6 months and the rate of OS was 82.4%.</w:t>
      </w:r>
    </w:p>
    <w:p w:rsidR="00F43529" w:rsidRPr="00F43529" w:rsidRDefault="00F43529" w:rsidP="00F43529">
      <w:pPr>
        <w:tabs>
          <w:tab w:val="left" w:pos="851"/>
        </w:tabs>
        <w:ind w:left="851"/>
        <w:rPr>
          <w:sz w:val="24"/>
          <w:szCs w:val="24"/>
          <w:lang w:val="en-US"/>
        </w:rPr>
      </w:pPr>
    </w:p>
    <w:p w:rsidR="00F43529" w:rsidRPr="00F43529" w:rsidRDefault="00F43529" w:rsidP="00F43529">
      <w:pPr>
        <w:tabs>
          <w:tab w:val="left" w:pos="851"/>
        </w:tabs>
        <w:ind w:left="851"/>
        <w:rPr>
          <w:sz w:val="24"/>
          <w:szCs w:val="24"/>
          <w:lang w:val="en-US"/>
        </w:rPr>
      </w:pPr>
      <w:r w:rsidRPr="00F43529">
        <w:rPr>
          <w:sz w:val="24"/>
          <w:szCs w:val="24"/>
          <w:lang w:val="en-US"/>
        </w:rPr>
        <w:t>In the Phase II paediatric study, in patients receiving the tablet formulation, estimated 24-month PFS rate among the 51 patients with newly diagnosed CML-CP was 94.0% (82.6, 98.0), and 81.7% (61.4, 92.0) among the 29 patients with imatinib-resistant/intolerant CML-CP. After 24 months of follow-up, OS in newly diagnosed patients was 100%, and 96.6% in imatinib-resistant or intolerant patients.</w:t>
      </w:r>
    </w:p>
    <w:p w:rsidR="00F43529" w:rsidRPr="00F43529" w:rsidRDefault="00F43529" w:rsidP="00F43529">
      <w:pPr>
        <w:tabs>
          <w:tab w:val="left" w:pos="851"/>
        </w:tabs>
        <w:ind w:left="851"/>
        <w:rPr>
          <w:sz w:val="24"/>
          <w:szCs w:val="24"/>
          <w:lang w:val="en-US"/>
        </w:rPr>
      </w:pPr>
      <w:r w:rsidRPr="00F43529">
        <w:rPr>
          <w:sz w:val="24"/>
          <w:szCs w:val="24"/>
          <w:lang w:val="en-US"/>
        </w:rPr>
        <w:t>In the Phase II paediatric study, 1 newly diagnosed patient and 2 imatinib-resistant or intolerant patients progressed to blast phase CML.</w:t>
      </w:r>
    </w:p>
    <w:p w:rsidR="00F43529" w:rsidRPr="00F43529" w:rsidRDefault="00F43529" w:rsidP="00F43529">
      <w:pPr>
        <w:tabs>
          <w:tab w:val="left" w:pos="851"/>
        </w:tabs>
        <w:ind w:left="851"/>
        <w:rPr>
          <w:sz w:val="24"/>
          <w:szCs w:val="24"/>
          <w:lang w:val="en-US"/>
        </w:rPr>
      </w:pPr>
    </w:p>
    <w:p w:rsidR="00F43529" w:rsidRPr="00F43529" w:rsidRDefault="00F43529" w:rsidP="00F43529">
      <w:pPr>
        <w:tabs>
          <w:tab w:val="left" w:pos="851"/>
        </w:tabs>
        <w:ind w:left="851"/>
        <w:rPr>
          <w:sz w:val="24"/>
          <w:szCs w:val="24"/>
          <w:lang w:val="en-US"/>
        </w:rPr>
      </w:pPr>
      <w:r w:rsidRPr="00F43529">
        <w:rPr>
          <w:sz w:val="24"/>
          <w:szCs w:val="24"/>
          <w:lang w:val="en-US"/>
        </w:rPr>
        <w:t>There were 33 newly diagnosed paediatric patients with CML-CP who received dasatinib powder for oral suspension at a dose of 72 mg/m2. This dose represents 30% lower exposure compared to the recommended dose (see section 5.2. of Summary of Product Characteristics for dasatinib powder for oral suspension). In these patients, CCyR and MMR were CCyR: 87.9% [95% CI: (71.8-96.6)] and MMR: 45.5% [95% CI: (28.1-63.6)] at 12 months.</w:t>
      </w:r>
    </w:p>
    <w:p w:rsidR="00F43529" w:rsidRPr="00F43529" w:rsidRDefault="00F43529" w:rsidP="00F43529">
      <w:pPr>
        <w:tabs>
          <w:tab w:val="left" w:pos="851"/>
        </w:tabs>
        <w:ind w:left="851"/>
        <w:rPr>
          <w:sz w:val="24"/>
          <w:szCs w:val="24"/>
          <w:lang w:val="en-US"/>
        </w:rPr>
      </w:pPr>
    </w:p>
    <w:p w:rsidR="00F43529" w:rsidRPr="00F43529" w:rsidRDefault="00F43529" w:rsidP="00F43529">
      <w:pPr>
        <w:tabs>
          <w:tab w:val="left" w:pos="851"/>
        </w:tabs>
        <w:ind w:left="851"/>
        <w:rPr>
          <w:sz w:val="24"/>
          <w:szCs w:val="24"/>
          <w:lang w:val="en-US"/>
        </w:rPr>
      </w:pPr>
      <w:r w:rsidRPr="00F43529">
        <w:rPr>
          <w:sz w:val="24"/>
          <w:szCs w:val="24"/>
          <w:lang w:val="en-US"/>
        </w:rPr>
        <w:t>Among dasatinib-treated CML-CP paediatric patients previously exposed to imatinib, the mutations detected at the end of treatment were: T315A, E255K and F317L. However, E255K and F317L were also detected prior to treatment. There were no mutations detected in newly diagnosed CML-CP patients at the end of treatment.</w:t>
      </w:r>
    </w:p>
    <w:p w:rsidR="00F43529" w:rsidRPr="00F43529" w:rsidRDefault="00F43529" w:rsidP="00F43529">
      <w:pPr>
        <w:tabs>
          <w:tab w:val="left" w:pos="851"/>
        </w:tabs>
        <w:ind w:left="851"/>
        <w:rPr>
          <w:i/>
          <w:sz w:val="24"/>
          <w:szCs w:val="24"/>
          <w:u w:val="single"/>
          <w:lang w:val="en-US"/>
        </w:rPr>
      </w:pPr>
    </w:p>
    <w:p w:rsidR="00F43529" w:rsidRPr="00F43529" w:rsidRDefault="00F43529" w:rsidP="00F43529">
      <w:pPr>
        <w:tabs>
          <w:tab w:val="left" w:pos="851"/>
        </w:tabs>
        <w:ind w:left="851"/>
        <w:rPr>
          <w:i/>
          <w:sz w:val="24"/>
          <w:szCs w:val="24"/>
          <w:lang w:val="en-US"/>
        </w:rPr>
      </w:pPr>
      <w:r w:rsidRPr="00F43529">
        <w:rPr>
          <w:i/>
          <w:sz w:val="24"/>
          <w:szCs w:val="24"/>
          <w:u w:val="single"/>
          <w:lang w:val="en-US"/>
        </w:rPr>
        <w:t>Paediatric patients with ALL</w:t>
      </w:r>
    </w:p>
    <w:p w:rsidR="00F43529" w:rsidRPr="00F43529" w:rsidRDefault="00F43529" w:rsidP="00F43529">
      <w:pPr>
        <w:tabs>
          <w:tab w:val="left" w:pos="851"/>
        </w:tabs>
        <w:ind w:left="851"/>
        <w:rPr>
          <w:sz w:val="24"/>
          <w:szCs w:val="24"/>
          <w:lang w:val="en-US"/>
        </w:rPr>
      </w:pPr>
      <w:r w:rsidRPr="00F43529">
        <w:rPr>
          <w:sz w:val="24"/>
          <w:szCs w:val="24"/>
          <w:lang w:val="en-US"/>
        </w:rPr>
        <w:t>The efficacy of dasatinib in combination with chemotherapy was evaluated in a pivotal study in paediatric patients over one year of age with newly diagnosed Ph+ ALL.</w:t>
      </w:r>
    </w:p>
    <w:p w:rsidR="00F43529" w:rsidRPr="00F43529" w:rsidRDefault="00F43529" w:rsidP="00F43529">
      <w:pPr>
        <w:tabs>
          <w:tab w:val="left" w:pos="851"/>
        </w:tabs>
        <w:ind w:left="851"/>
        <w:rPr>
          <w:sz w:val="24"/>
          <w:szCs w:val="24"/>
          <w:lang w:val="en-US"/>
        </w:rPr>
      </w:pPr>
    </w:p>
    <w:p w:rsidR="00F43529" w:rsidRPr="00F43529" w:rsidRDefault="00F43529" w:rsidP="00F43529">
      <w:pPr>
        <w:tabs>
          <w:tab w:val="left" w:pos="851"/>
        </w:tabs>
        <w:ind w:left="851"/>
        <w:rPr>
          <w:sz w:val="24"/>
          <w:szCs w:val="24"/>
          <w:lang w:val="en-US"/>
        </w:rPr>
      </w:pPr>
      <w:r w:rsidRPr="00F43529">
        <w:rPr>
          <w:sz w:val="24"/>
          <w:szCs w:val="24"/>
          <w:lang w:val="en-US"/>
        </w:rPr>
        <w:t>In this multicenter, historically-controlled Phase II study of dasatinib added to standard chemotherapy, 106 paediatric patients with newly diagnosed Ph+ ALL, of whom 104 patients had confirmed</w:t>
      </w:r>
      <w:r>
        <w:rPr>
          <w:sz w:val="24"/>
          <w:szCs w:val="24"/>
          <w:lang w:val="en-US"/>
        </w:rPr>
        <w:t xml:space="preserve"> </w:t>
      </w:r>
      <w:r w:rsidRPr="00F43529">
        <w:rPr>
          <w:sz w:val="24"/>
          <w:szCs w:val="24"/>
          <w:lang w:val="en-US"/>
        </w:rPr>
        <w:t>Ph+ ALL, received dasatinib at a daily dose of 60 mg/m2 on a continuous dosing regimen for up to</w:t>
      </w:r>
      <w:r>
        <w:rPr>
          <w:sz w:val="24"/>
          <w:szCs w:val="24"/>
          <w:lang w:val="en-US"/>
        </w:rPr>
        <w:t xml:space="preserve"> </w:t>
      </w:r>
      <w:r w:rsidRPr="00F43529">
        <w:rPr>
          <w:sz w:val="24"/>
          <w:szCs w:val="24"/>
          <w:lang w:val="en-US"/>
        </w:rPr>
        <w:t>24 months, in combination with chemotherapy. Eighty-two patients received dasatinib tablets exclusively and 24 patients received dasatinib powder for oral suspension at least once, 8 of whom received dasatinib powder for oral suspension exclusively. The backbone chemotherapy regimen was the same as used in the AIEOP-BFM ALL 2000 trial (chemotherapeutic standard multi-agent chemotherapy protocol). The primary efficacy endpoint was 3-year event-free survival (EFS), which was 65.5% (55.5, 73.7).</w:t>
      </w:r>
    </w:p>
    <w:p w:rsidR="00F43529" w:rsidRPr="00F43529" w:rsidRDefault="00F43529" w:rsidP="00F43529">
      <w:pPr>
        <w:tabs>
          <w:tab w:val="left" w:pos="851"/>
        </w:tabs>
        <w:ind w:left="851"/>
        <w:rPr>
          <w:sz w:val="24"/>
          <w:szCs w:val="24"/>
          <w:lang w:val="en-US"/>
        </w:rPr>
      </w:pPr>
    </w:p>
    <w:p w:rsidR="00F43529" w:rsidRPr="00F43529" w:rsidRDefault="00F43529" w:rsidP="00F43529">
      <w:pPr>
        <w:tabs>
          <w:tab w:val="left" w:pos="851"/>
        </w:tabs>
        <w:ind w:left="851"/>
        <w:rPr>
          <w:sz w:val="24"/>
          <w:szCs w:val="24"/>
          <w:lang w:val="en-US"/>
        </w:rPr>
      </w:pPr>
      <w:r w:rsidRPr="00F43529">
        <w:rPr>
          <w:sz w:val="24"/>
          <w:szCs w:val="24"/>
          <w:lang w:val="en-US"/>
        </w:rPr>
        <w:t xml:space="preserve">The minimal residual disease (MRD) negativity rate assessed by Ig/TCR rearrangement was 71.7% by the end of consolidation in all treated patients. When this rate was based on the 85 patients with evaluable Ig/TCR assessments, the estimate was 89.4%. The MRD </w:t>
      </w:r>
      <w:r w:rsidRPr="00F43529">
        <w:rPr>
          <w:sz w:val="24"/>
          <w:szCs w:val="24"/>
          <w:lang w:val="en-US"/>
        </w:rPr>
        <w:lastRenderedPageBreak/>
        <w:t>negativity rates at the end of induction and consolidation as measured by flow cytometry were 66.0% and 84.0%, respectively.</w:t>
      </w:r>
    </w:p>
    <w:p w:rsidR="008F6A24" w:rsidRPr="009E30BA" w:rsidRDefault="008F6A24" w:rsidP="003E034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rsidR="00F43529" w:rsidRDefault="00F43529" w:rsidP="00F43529">
      <w:pPr>
        <w:tabs>
          <w:tab w:val="left" w:pos="851"/>
        </w:tabs>
        <w:ind w:left="851"/>
        <w:rPr>
          <w:sz w:val="24"/>
          <w:szCs w:val="24"/>
          <w:lang w:val="en-US"/>
        </w:rPr>
      </w:pPr>
      <w:r w:rsidRPr="00F43529">
        <w:rPr>
          <w:sz w:val="24"/>
          <w:szCs w:val="24"/>
          <w:lang w:val="en-US"/>
        </w:rPr>
        <w:t>The pharmacokinetics of dasatinib were evaluated in 229 adult healthy subjects and in 84 patients.</w:t>
      </w:r>
    </w:p>
    <w:p w:rsidR="00F43529" w:rsidRDefault="00F43529" w:rsidP="00F43529">
      <w:pPr>
        <w:tabs>
          <w:tab w:val="left" w:pos="851"/>
        </w:tabs>
        <w:ind w:left="851"/>
        <w:rPr>
          <w:sz w:val="24"/>
          <w:szCs w:val="24"/>
          <w:u w:val="single"/>
          <w:lang w:val="en-US"/>
        </w:rPr>
      </w:pPr>
    </w:p>
    <w:p w:rsidR="00F43529" w:rsidRPr="00F43529" w:rsidRDefault="00F43529" w:rsidP="00F43529">
      <w:pPr>
        <w:tabs>
          <w:tab w:val="left" w:pos="851"/>
        </w:tabs>
        <w:ind w:left="851"/>
        <w:rPr>
          <w:sz w:val="24"/>
          <w:szCs w:val="24"/>
          <w:lang w:val="en-US"/>
        </w:rPr>
      </w:pPr>
      <w:r w:rsidRPr="00F43529">
        <w:rPr>
          <w:sz w:val="24"/>
          <w:szCs w:val="24"/>
          <w:u w:val="single"/>
          <w:lang w:val="en-US"/>
        </w:rPr>
        <w:t>Absorption</w:t>
      </w:r>
    </w:p>
    <w:p w:rsidR="00F43529" w:rsidRPr="00F43529" w:rsidRDefault="00F43529" w:rsidP="00F43529">
      <w:pPr>
        <w:tabs>
          <w:tab w:val="left" w:pos="851"/>
        </w:tabs>
        <w:ind w:left="851"/>
        <w:rPr>
          <w:sz w:val="24"/>
          <w:szCs w:val="24"/>
          <w:lang w:val="en-US"/>
        </w:rPr>
      </w:pPr>
      <w:r w:rsidRPr="00F43529">
        <w:rPr>
          <w:sz w:val="24"/>
          <w:szCs w:val="24"/>
          <w:lang w:val="en-US"/>
        </w:rPr>
        <w:t>Dasatinib is rapidly absorbed in patients following oral administration, with peak concentrations</w:t>
      </w:r>
      <w:r>
        <w:rPr>
          <w:sz w:val="24"/>
          <w:szCs w:val="24"/>
          <w:lang w:val="en-US"/>
        </w:rPr>
        <w:t xml:space="preserve"> </w:t>
      </w:r>
      <w:r w:rsidRPr="00F43529">
        <w:rPr>
          <w:sz w:val="24"/>
          <w:szCs w:val="24"/>
          <w:lang w:val="en-US"/>
        </w:rPr>
        <w:t>between 0.5-3 hours. Following oral administration, the increase in the mean exposure (AUCτ) is approximately proportional to the dose increment across doses ranging from 25 mg to 120 mg twice daily. The overall mean terminal half-life of dasatinib is approximately 5-6 hours in patients.</w:t>
      </w:r>
    </w:p>
    <w:p w:rsidR="00F43529" w:rsidRPr="00F43529" w:rsidRDefault="00F43529" w:rsidP="00F43529">
      <w:pPr>
        <w:tabs>
          <w:tab w:val="left" w:pos="851"/>
        </w:tabs>
        <w:ind w:left="851"/>
        <w:rPr>
          <w:sz w:val="24"/>
          <w:szCs w:val="24"/>
          <w:lang w:val="en-US"/>
        </w:rPr>
      </w:pPr>
    </w:p>
    <w:p w:rsidR="00F43529" w:rsidRPr="00F43529" w:rsidRDefault="00F43529" w:rsidP="00F43529">
      <w:pPr>
        <w:tabs>
          <w:tab w:val="left" w:pos="851"/>
        </w:tabs>
        <w:ind w:left="851"/>
        <w:rPr>
          <w:sz w:val="24"/>
          <w:szCs w:val="24"/>
          <w:lang w:val="en-US"/>
        </w:rPr>
      </w:pPr>
      <w:r w:rsidRPr="00F43529">
        <w:rPr>
          <w:sz w:val="24"/>
          <w:szCs w:val="24"/>
          <w:lang w:val="en-US"/>
        </w:rPr>
        <w:t>Data from healthy subjects administered a single 100 mg dose of dasatinib 30 minutes following a high-fat meal indicated a 14</w:t>
      </w:r>
      <w:r w:rsidR="00D40B15">
        <w:rPr>
          <w:sz w:val="24"/>
          <w:szCs w:val="24"/>
          <w:lang w:val="en-US"/>
        </w:rPr>
        <w:t xml:space="preserve"> </w:t>
      </w:r>
      <w:r w:rsidRPr="00F43529">
        <w:rPr>
          <w:sz w:val="24"/>
          <w:szCs w:val="24"/>
          <w:lang w:val="en-US"/>
        </w:rPr>
        <w:t>% increase in the mean AUC of dasatinib. A low-fat meal 30 minutes prior to dasatinib resulted in a 21% increase in the mean AUC of dasatinib. The observed food effects do not represent clinically relevant changes in exposure. Dasatinib exposure variability is higher under fasted conditions (47% CV) compared to light-fat meal (39% CV) and high-fat meal (32% CV) conditions.</w:t>
      </w:r>
    </w:p>
    <w:p w:rsidR="00F43529" w:rsidRPr="00F43529" w:rsidRDefault="00F43529" w:rsidP="00F43529">
      <w:pPr>
        <w:tabs>
          <w:tab w:val="left" w:pos="851"/>
        </w:tabs>
        <w:ind w:left="851"/>
        <w:rPr>
          <w:sz w:val="24"/>
          <w:szCs w:val="24"/>
          <w:lang w:val="en-US"/>
        </w:rPr>
      </w:pPr>
    </w:p>
    <w:p w:rsidR="00F43529" w:rsidRPr="00F43529" w:rsidRDefault="00F43529" w:rsidP="00F43529">
      <w:pPr>
        <w:tabs>
          <w:tab w:val="left" w:pos="851"/>
        </w:tabs>
        <w:ind w:left="851"/>
        <w:rPr>
          <w:sz w:val="24"/>
          <w:szCs w:val="24"/>
          <w:lang w:val="en-US"/>
        </w:rPr>
      </w:pPr>
      <w:r w:rsidRPr="00F43529">
        <w:rPr>
          <w:sz w:val="24"/>
          <w:szCs w:val="24"/>
          <w:lang w:val="en-US"/>
        </w:rPr>
        <w:t>Based on the patient population PK analysis, variability in dasatinib exposure was estimated to be mainly due to inter-occasion variability in bioavailability (44% CV) and, to a lesser extent, due to inter-individual variability in bioavailability and inter-individual variability in clearance (30% and 32% CV, respectively). The random inter-occasion variability in exposure is not expected to affect the cumulative exposure and efficacy or safety.</w:t>
      </w:r>
    </w:p>
    <w:p w:rsidR="00F43529" w:rsidRPr="00F43529" w:rsidRDefault="00F43529" w:rsidP="00F43529">
      <w:pPr>
        <w:tabs>
          <w:tab w:val="left" w:pos="851"/>
        </w:tabs>
        <w:ind w:left="851"/>
        <w:rPr>
          <w:sz w:val="24"/>
          <w:szCs w:val="24"/>
          <w:lang w:val="en-US"/>
        </w:rPr>
      </w:pPr>
    </w:p>
    <w:p w:rsidR="00F43529" w:rsidRPr="00F43529" w:rsidRDefault="00F43529" w:rsidP="00F43529">
      <w:pPr>
        <w:tabs>
          <w:tab w:val="left" w:pos="851"/>
        </w:tabs>
        <w:ind w:left="851"/>
        <w:rPr>
          <w:sz w:val="24"/>
          <w:szCs w:val="24"/>
          <w:lang w:val="en-US"/>
        </w:rPr>
      </w:pPr>
      <w:r w:rsidRPr="00F43529">
        <w:rPr>
          <w:sz w:val="24"/>
          <w:szCs w:val="24"/>
          <w:u w:val="single"/>
          <w:lang w:val="en-US"/>
        </w:rPr>
        <w:t>Distribution</w:t>
      </w:r>
    </w:p>
    <w:p w:rsidR="00F43529" w:rsidRPr="00F43529" w:rsidRDefault="00F43529" w:rsidP="00F43529">
      <w:pPr>
        <w:tabs>
          <w:tab w:val="left" w:pos="851"/>
        </w:tabs>
        <w:ind w:left="851"/>
        <w:rPr>
          <w:sz w:val="24"/>
          <w:szCs w:val="24"/>
          <w:lang w:val="en-US"/>
        </w:rPr>
      </w:pPr>
      <w:r w:rsidRPr="00F43529">
        <w:rPr>
          <w:sz w:val="24"/>
          <w:szCs w:val="24"/>
          <w:lang w:val="en-US"/>
        </w:rPr>
        <w:t xml:space="preserve">In patients, dasatinib has a large apparent volume of distribution (2,505 L), coefficient of variation (CV% 93%), suggesting that the medicinal product is extensively distributed in the extravascular space. At clinically relevant concentrations of dasatinib, binding to plasma proteins was approximately 96% on the basis of </w:t>
      </w:r>
      <w:r w:rsidRPr="00F43529">
        <w:rPr>
          <w:i/>
          <w:sz w:val="24"/>
          <w:szCs w:val="24"/>
          <w:lang w:val="en-US"/>
        </w:rPr>
        <w:t xml:space="preserve">in vitro </w:t>
      </w:r>
      <w:r w:rsidRPr="00F43529">
        <w:rPr>
          <w:sz w:val="24"/>
          <w:szCs w:val="24"/>
          <w:lang w:val="en-US"/>
        </w:rPr>
        <w:t>experiments.</w:t>
      </w:r>
    </w:p>
    <w:p w:rsidR="00F43529" w:rsidRPr="00F43529" w:rsidRDefault="00F43529" w:rsidP="00F43529">
      <w:pPr>
        <w:tabs>
          <w:tab w:val="left" w:pos="851"/>
        </w:tabs>
        <w:ind w:left="851"/>
        <w:rPr>
          <w:sz w:val="24"/>
          <w:szCs w:val="24"/>
          <w:lang w:val="en-US"/>
        </w:rPr>
      </w:pPr>
    </w:p>
    <w:p w:rsidR="00F43529" w:rsidRPr="00F43529" w:rsidRDefault="00F43529" w:rsidP="00F43529">
      <w:pPr>
        <w:tabs>
          <w:tab w:val="left" w:pos="851"/>
        </w:tabs>
        <w:ind w:left="851"/>
        <w:rPr>
          <w:sz w:val="24"/>
          <w:szCs w:val="24"/>
          <w:lang w:val="en-US"/>
        </w:rPr>
      </w:pPr>
      <w:r w:rsidRPr="00F43529">
        <w:rPr>
          <w:sz w:val="24"/>
          <w:szCs w:val="24"/>
          <w:u w:val="single"/>
          <w:lang w:val="en-US"/>
        </w:rPr>
        <w:t>Biotransformation</w:t>
      </w:r>
    </w:p>
    <w:p w:rsidR="00F43529" w:rsidRPr="00F43529" w:rsidRDefault="00F43529" w:rsidP="00F43529">
      <w:pPr>
        <w:tabs>
          <w:tab w:val="left" w:pos="851"/>
        </w:tabs>
        <w:ind w:left="851"/>
        <w:rPr>
          <w:sz w:val="24"/>
          <w:szCs w:val="24"/>
          <w:lang w:val="en-US"/>
        </w:rPr>
      </w:pPr>
      <w:r w:rsidRPr="00F43529">
        <w:rPr>
          <w:sz w:val="24"/>
          <w:szCs w:val="24"/>
          <w:lang w:val="en-US"/>
        </w:rPr>
        <w:t xml:space="preserve">Dasatinib is extensively metabolised in humans with multiple enzymes involved in the generation of the metabolites. In healthy subjects administered 100 mg of [14C]-labelled dasatinib, unchanged dasatinib represented 29% of circulating radioactivity in plasma. Plasma concentration and measured </w:t>
      </w:r>
      <w:r w:rsidRPr="00F43529">
        <w:rPr>
          <w:i/>
          <w:sz w:val="24"/>
          <w:szCs w:val="24"/>
          <w:lang w:val="en-US"/>
        </w:rPr>
        <w:t xml:space="preserve">in vitro </w:t>
      </w:r>
      <w:r w:rsidRPr="00F43529">
        <w:rPr>
          <w:sz w:val="24"/>
          <w:szCs w:val="24"/>
          <w:lang w:val="en-US"/>
        </w:rPr>
        <w:t>activity indicate that metabolites of dasatinib are unlikely to play a major role in the observed pharmacology of the product. CYP3A4 is a major enzyme responsible for the metabolism of dasatinib.</w:t>
      </w:r>
    </w:p>
    <w:p w:rsidR="00F43529" w:rsidRPr="00F43529" w:rsidRDefault="00F43529" w:rsidP="00F43529">
      <w:pPr>
        <w:tabs>
          <w:tab w:val="left" w:pos="851"/>
        </w:tabs>
        <w:ind w:left="851"/>
        <w:rPr>
          <w:sz w:val="24"/>
          <w:szCs w:val="24"/>
          <w:lang w:val="en-US"/>
        </w:rPr>
      </w:pPr>
    </w:p>
    <w:p w:rsidR="00F43529" w:rsidRPr="00F43529" w:rsidRDefault="00F43529" w:rsidP="00F43529">
      <w:pPr>
        <w:tabs>
          <w:tab w:val="left" w:pos="851"/>
        </w:tabs>
        <w:ind w:left="851"/>
        <w:rPr>
          <w:sz w:val="24"/>
          <w:szCs w:val="24"/>
          <w:lang w:val="en-US"/>
        </w:rPr>
      </w:pPr>
      <w:r w:rsidRPr="00F43529">
        <w:rPr>
          <w:sz w:val="24"/>
          <w:szCs w:val="24"/>
          <w:u w:val="single"/>
          <w:lang w:val="en-US"/>
        </w:rPr>
        <w:t>Elimination</w:t>
      </w:r>
    </w:p>
    <w:p w:rsidR="00F43529" w:rsidRPr="00F43529" w:rsidRDefault="00F43529" w:rsidP="00F43529">
      <w:pPr>
        <w:tabs>
          <w:tab w:val="left" w:pos="851"/>
        </w:tabs>
        <w:ind w:left="851"/>
        <w:rPr>
          <w:sz w:val="24"/>
          <w:szCs w:val="24"/>
          <w:lang w:val="en-US"/>
        </w:rPr>
      </w:pPr>
      <w:r w:rsidRPr="00F43529">
        <w:rPr>
          <w:sz w:val="24"/>
          <w:szCs w:val="24"/>
          <w:lang w:val="en-US"/>
        </w:rPr>
        <w:t>The mean terminal half-life of dasatinib is 3 hours to 5 hours. The mean apparent oral clearance is 363.8 L/hr (CV% 81.3%).</w:t>
      </w:r>
    </w:p>
    <w:p w:rsidR="00F43529" w:rsidRPr="00F43529" w:rsidRDefault="00F43529" w:rsidP="00F43529">
      <w:pPr>
        <w:tabs>
          <w:tab w:val="left" w:pos="851"/>
        </w:tabs>
        <w:ind w:left="851"/>
        <w:rPr>
          <w:sz w:val="24"/>
          <w:szCs w:val="24"/>
          <w:lang w:val="en-US"/>
        </w:rPr>
      </w:pPr>
    </w:p>
    <w:p w:rsidR="00F43529" w:rsidRPr="00F43529" w:rsidRDefault="00F43529" w:rsidP="00F43529">
      <w:pPr>
        <w:tabs>
          <w:tab w:val="left" w:pos="851"/>
        </w:tabs>
        <w:ind w:left="851"/>
        <w:rPr>
          <w:sz w:val="24"/>
          <w:szCs w:val="24"/>
          <w:lang w:val="en-US"/>
        </w:rPr>
      </w:pPr>
      <w:r w:rsidRPr="00F43529">
        <w:rPr>
          <w:sz w:val="24"/>
          <w:szCs w:val="24"/>
          <w:lang w:val="en-US"/>
        </w:rPr>
        <w:t>Elimination is predominantly in the faeces, mostly as metabolites. Following a single oral dose of [14C]-labelled dasatinib, approximately 89% of the dose was eliminated within 10 days, with 4% and 85% of the radioactivity recovered in the urine and faeces, respectively. Unchanged dasatinib accounted for 0.1% and 19% of the dose in urine and faeces, respectively, with the remainder of the dose as metabolites.</w:t>
      </w:r>
    </w:p>
    <w:p w:rsidR="00F43529" w:rsidRPr="00F43529" w:rsidRDefault="00F43529" w:rsidP="00F43529">
      <w:pPr>
        <w:tabs>
          <w:tab w:val="left" w:pos="851"/>
        </w:tabs>
        <w:ind w:left="851"/>
        <w:rPr>
          <w:sz w:val="24"/>
          <w:szCs w:val="24"/>
          <w:lang w:val="en-US"/>
        </w:rPr>
      </w:pPr>
    </w:p>
    <w:p w:rsidR="00F43529" w:rsidRPr="00F43529" w:rsidRDefault="00F43529" w:rsidP="00F43529">
      <w:pPr>
        <w:tabs>
          <w:tab w:val="left" w:pos="851"/>
        </w:tabs>
        <w:ind w:left="851"/>
        <w:rPr>
          <w:sz w:val="24"/>
          <w:szCs w:val="24"/>
          <w:lang w:val="en-US"/>
        </w:rPr>
      </w:pPr>
      <w:r w:rsidRPr="00F43529">
        <w:rPr>
          <w:sz w:val="24"/>
          <w:szCs w:val="24"/>
          <w:u w:val="single"/>
          <w:lang w:val="en-US"/>
        </w:rPr>
        <w:t>Hepatic and renal impairment</w:t>
      </w:r>
    </w:p>
    <w:p w:rsidR="00F43529" w:rsidRPr="00F43529" w:rsidRDefault="00F43529" w:rsidP="00F43529">
      <w:pPr>
        <w:tabs>
          <w:tab w:val="left" w:pos="851"/>
        </w:tabs>
        <w:ind w:left="851"/>
        <w:rPr>
          <w:sz w:val="24"/>
          <w:szCs w:val="24"/>
          <w:lang w:val="en-US"/>
        </w:rPr>
      </w:pPr>
      <w:r w:rsidRPr="00F43529">
        <w:rPr>
          <w:sz w:val="24"/>
          <w:szCs w:val="24"/>
          <w:lang w:val="en-US"/>
        </w:rPr>
        <w:t>The effect of hepatic impairment on the single-dose pharmacokinetics of dasatinib was assessed in 8 moderately hepatic-impaired subjects who received a 50 mg dose and 5 severely hepatic-impaired subjects who received a 20 mg dose compared to matched healthy subjects who received a 70 mg dose of dasatinib. The mean Cmax and AUC of dasatinib adjusted for the 70 mg dose were decreased by 47% and 8%, respectively, in subjects with moderate hepatic impairment compared to subjects with normal hepatic function. In severely hepatic-impaired subjects, the mean Cmax and AUC adjusted for the</w:t>
      </w:r>
    </w:p>
    <w:p w:rsidR="00F43529" w:rsidRPr="00F43529" w:rsidRDefault="00F43529" w:rsidP="00F43529">
      <w:pPr>
        <w:tabs>
          <w:tab w:val="left" w:pos="851"/>
        </w:tabs>
        <w:ind w:left="851"/>
        <w:rPr>
          <w:sz w:val="24"/>
          <w:szCs w:val="24"/>
          <w:lang w:val="en-US"/>
        </w:rPr>
      </w:pPr>
      <w:r w:rsidRPr="00F43529">
        <w:rPr>
          <w:sz w:val="24"/>
          <w:szCs w:val="24"/>
          <w:lang w:val="en-US"/>
        </w:rPr>
        <w:t>70 mg dose were decreased by 43% and 28%, respectively, compared to subjects with normal hepatic function (see sections 4.2 and 4.4).</w:t>
      </w:r>
    </w:p>
    <w:p w:rsidR="00F43529" w:rsidRDefault="00F43529" w:rsidP="00F43529">
      <w:pPr>
        <w:tabs>
          <w:tab w:val="left" w:pos="851"/>
        </w:tabs>
        <w:ind w:left="851"/>
        <w:rPr>
          <w:sz w:val="24"/>
          <w:szCs w:val="24"/>
          <w:lang w:val="en-US"/>
        </w:rPr>
      </w:pPr>
      <w:r w:rsidRPr="00F43529">
        <w:rPr>
          <w:sz w:val="24"/>
          <w:szCs w:val="24"/>
          <w:lang w:val="en-US"/>
        </w:rPr>
        <w:t>Dasatinib and its metabolites are minimally excreted via the kidney.</w:t>
      </w:r>
    </w:p>
    <w:p w:rsidR="00557D18" w:rsidRPr="00F43529" w:rsidRDefault="00557D18" w:rsidP="00F43529">
      <w:pPr>
        <w:tabs>
          <w:tab w:val="left" w:pos="851"/>
        </w:tabs>
        <w:ind w:left="851"/>
        <w:rPr>
          <w:sz w:val="24"/>
          <w:szCs w:val="24"/>
          <w:lang w:val="en-US"/>
        </w:rPr>
      </w:pPr>
    </w:p>
    <w:p w:rsidR="00F43529" w:rsidRPr="00F43529" w:rsidRDefault="00F43529" w:rsidP="00F43529">
      <w:pPr>
        <w:tabs>
          <w:tab w:val="left" w:pos="851"/>
        </w:tabs>
        <w:ind w:left="851"/>
        <w:rPr>
          <w:sz w:val="24"/>
          <w:szCs w:val="24"/>
          <w:lang w:val="en-US"/>
        </w:rPr>
      </w:pPr>
      <w:r w:rsidRPr="00F43529">
        <w:rPr>
          <w:sz w:val="24"/>
          <w:szCs w:val="24"/>
          <w:u w:val="single"/>
          <w:lang w:val="en-US"/>
        </w:rPr>
        <w:t>Paediatric population</w:t>
      </w:r>
    </w:p>
    <w:p w:rsidR="00F43529" w:rsidRPr="00F43529" w:rsidRDefault="00F43529" w:rsidP="00F43529">
      <w:pPr>
        <w:tabs>
          <w:tab w:val="left" w:pos="851"/>
        </w:tabs>
        <w:ind w:left="851"/>
        <w:rPr>
          <w:sz w:val="24"/>
          <w:szCs w:val="24"/>
          <w:lang w:val="en-US"/>
        </w:rPr>
      </w:pPr>
      <w:r w:rsidRPr="00F43529">
        <w:rPr>
          <w:sz w:val="24"/>
          <w:szCs w:val="24"/>
          <w:lang w:val="en-US"/>
        </w:rPr>
        <w:t>The pharmacokinetics of dasatinib have been evaluated in 104 paediatric patients with leukaemia or solid tumours (72 who received the tablet formulation and 32 who received the powder for oral suspension).</w:t>
      </w:r>
    </w:p>
    <w:p w:rsidR="00F43529" w:rsidRPr="00F43529" w:rsidRDefault="00F43529" w:rsidP="00F43529">
      <w:pPr>
        <w:tabs>
          <w:tab w:val="left" w:pos="851"/>
        </w:tabs>
        <w:ind w:left="851"/>
        <w:rPr>
          <w:sz w:val="24"/>
          <w:szCs w:val="24"/>
          <w:lang w:val="en-US"/>
        </w:rPr>
      </w:pPr>
    </w:p>
    <w:p w:rsidR="00F43529" w:rsidRPr="00F43529" w:rsidRDefault="00F43529" w:rsidP="00F43529">
      <w:pPr>
        <w:tabs>
          <w:tab w:val="left" w:pos="851"/>
        </w:tabs>
        <w:ind w:left="851"/>
        <w:rPr>
          <w:sz w:val="24"/>
          <w:szCs w:val="24"/>
          <w:lang w:val="en-US"/>
        </w:rPr>
      </w:pPr>
      <w:r w:rsidRPr="00F43529">
        <w:rPr>
          <w:sz w:val="24"/>
          <w:szCs w:val="24"/>
          <w:lang w:val="en-US"/>
        </w:rPr>
        <w:t>In a paediatric pharmacokinetics study, dose-normalized dasatinib exposure (Cavg, Cmin and Cmax) appears similar between 21 patients with CP-CML and 16 patients with Ph+ ALL.</w:t>
      </w:r>
    </w:p>
    <w:p w:rsidR="00F43529" w:rsidRPr="00F43529" w:rsidRDefault="00F43529" w:rsidP="00F43529">
      <w:pPr>
        <w:tabs>
          <w:tab w:val="left" w:pos="851"/>
        </w:tabs>
        <w:ind w:left="851"/>
        <w:rPr>
          <w:sz w:val="24"/>
          <w:szCs w:val="24"/>
          <w:lang w:val="en-US"/>
        </w:rPr>
      </w:pPr>
    </w:p>
    <w:p w:rsidR="00F43529" w:rsidRPr="00F43529" w:rsidRDefault="00F43529" w:rsidP="00F43529">
      <w:pPr>
        <w:tabs>
          <w:tab w:val="left" w:pos="851"/>
        </w:tabs>
        <w:ind w:left="851"/>
        <w:rPr>
          <w:sz w:val="24"/>
          <w:szCs w:val="24"/>
          <w:lang w:val="en-US"/>
        </w:rPr>
      </w:pPr>
      <w:r w:rsidRPr="00F43529">
        <w:rPr>
          <w:sz w:val="24"/>
          <w:szCs w:val="24"/>
          <w:lang w:val="en-US"/>
        </w:rPr>
        <w:t>Pharmacokinetics of the tablet formulation of dasatinib were evaluated for 72 paediatric patients with relapsed or refractory leukaemia or solid tumours at oral doses ranging from 60 to 120 mg/m2 once daily and 50 to 110 mg/m2 twice daily. Data was pooled across two studies and showed that dasatinib was rapidly absorbed. Mean Tmax was observed between 0.5 and 6 hours and mean half-life ranged from 2 to 5 hours across all dose levels and age groups. Dasatinib PK showed dose proportionality with a dose-related increase in exposure observed in paediatric patients. There was no significant difference of dasatinib PK between children and adolescents. The geometric means of dose- normalized dasatinib Cmax, AUC (0-T), and AUC (INF) appeared to be similar between children and adolescents at different dose levels. A PPK model-based simulation predicted that the body weight tiered dosing recommendation described for the tablet, in section 4.2, is expected to provide similar exposure to a tablet dose of 60 mg/m2. These data should be considered if patients are to switch from tablets to powder for oral suspension or vice versa.</w:t>
      </w:r>
    </w:p>
    <w:p w:rsidR="007C5D2A" w:rsidRPr="00F43529" w:rsidRDefault="007C5D2A" w:rsidP="003E0341">
      <w:pPr>
        <w:tabs>
          <w:tab w:val="left" w:pos="851"/>
        </w:tabs>
        <w:ind w:left="851"/>
        <w:rPr>
          <w:sz w:val="24"/>
          <w:szCs w:val="24"/>
          <w:lang w:val="en-US"/>
        </w:rPr>
      </w:pPr>
    </w:p>
    <w:p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rsidR="001E7BF3" w:rsidRPr="001E7BF3" w:rsidRDefault="001E7BF3" w:rsidP="001E7BF3">
      <w:pPr>
        <w:tabs>
          <w:tab w:val="left" w:pos="851"/>
        </w:tabs>
        <w:ind w:left="851"/>
        <w:rPr>
          <w:sz w:val="24"/>
          <w:szCs w:val="24"/>
          <w:lang w:val="en-US"/>
        </w:rPr>
      </w:pPr>
      <w:r w:rsidRPr="001E7BF3">
        <w:rPr>
          <w:sz w:val="24"/>
          <w:szCs w:val="24"/>
          <w:lang w:val="en-US"/>
        </w:rPr>
        <w:t xml:space="preserve">The non-clinical safety profile of dasatinib was assessed in a battery of </w:t>
      </w:r>
      <w:r w:rsidRPr="001E7BF3">
        <w:rPr>
          <w:i/>
          <w:sz w:val="24"/>
          <w:szCs w:val="24"/>
          <w:lang w:val="en-US"/>
        </w:rPr>
        <w:t xml:space="preserve">in vitro </w:t>
      </w:r>
      <w:r w:rsidRPr="001E7BF3">
        <w:rPr>
          <w:sz w:val="24"/>
          <w:szCs w:val="24"/>
          <w:lang w:val="en-US"/>
        </w:rPr>
        <w:t xml:space="preserve">and </w:t>
      </w:r>
      <w:r w:rsidRPr="001E7BF3">
        <w:rPr>
          <w:i/>
          <w:sz w:val="24"/>
          <w:szCs w:val="24"/>
          <w:lang w:val="en-US"/>
        </w:rPr>
        <w:t xml:space="preserve">in vivo </w:t>
      </w:r>
      <w:r w:rsidRPr="001E7BF3">
        <w:rPr>
          <w:sz w:val="24"/>
          <w:szCs w:val="24"/>
          <w:lang w:val="en-US"/>
        </w:rPr>
        <w:t>studies in mice, rats, monkeys, and rabbits.</w:t>
      </w:r>
    </w:p>
    <w:p w:rsidR="001E7BF3" w:rsidRPr="001E7BF3" w:rsidRDefault="001E7BF3" w:rsidP="001E7BF3">
      <w:pPr>
        <w:tabs>
          <w:tab w:val="left" w:pos="851"/>
        </w:tabs>
        <w:ind w:left="851"/>
        <w:rPr>
          <w:sz w:val="24"/>
          <w:szCs w:val="24"/>
          <w:lang w:val="en-US"/>
        </w:rPr>
      </w:pPr>
    </w:p>
    <w:p w:rsidR="001E7BF3" w:rsidRPr="001E7BF3" w:rsidRDefault="001E7BF3" w:rsidP="001E7BF3">
      <w:pPr>
        <w:tabs>
          <w:tab w:val="left" w:pos="851"/>
        </w:tabs>
        <w:ind w:left="851"/>
        <w:rPr>
          <w:sz w:val="24"/>
          <w:szCs w:val="24"/>
          <w:lang w:val="en-US"/>
        </w:rPr>
      </w:pPr>
      <w:r w:rsidRPr="001E7BF3">
        <w:rPr>
          <w:sz w:val="24"/>
          <w:szCs w:val="24"/>
          <w:lang w:val="en-US"/>
        </w:rPr>
        <w:t>The primary toxicities occurred in the gastrointestinal, haematopoietic, and lymphoid systems. Gastrointestinal toxicity was dose-limiting in rats and monkeys, as the intestine was a consistent target organ. In rats, minimal to mild decreases in erythrocyte parameters were accompanied by bone marrow changes; similar changes occurred in monkeys at a lower incidence. Lymphoid toxicity in rats consisted of lymphoid depletion of the lymph nodes, spleen, and thymus, and decreased lymphoid organ weights. Changes in the gastrointestinal, haematopoietic and lymphoid systems were reversible following cessation of treatment.</w:t>
      </w:r>
    </w:p>
    <w:p w:rsidR="001E7BF3" w:rsidRPr="001E7BF3" w:rsidRDefault="001E7BF3" w:rsidP="001E7BF3">
      <w:pPr>
        <w:tabs>
          <w:tab w:val="left" w:pos="851"/>
        </w:tabs>
        <w:ind w:left="851"/>
        <w:rPr>
          <w:sz w:val="24"/>
          <w:szCs w:val="24"/>
          <w:lang w:val="en-US"/>
        </w:rPr>
      </w:pPr>
    </w:p>
    <w:p w:rsidR="001E7BF3" w:rsidRPr="001E7BF3" w:rsidRDefault="001E7BF3" w:rsidP="001E7BF3">
      <w:pPr>
        <w:tabs>
          <w:tab w:val="left" w:pos="851"/>
        </w:tabs>
        <w:ind w:left="851"/>
        <w:rPr>
          <w:sz w:val="24"/>
          <w:szCs w:val="24"/>
          <w:lang w:val="en-US"/>
        </w:rPr>
      </w:pPr>
      <w:r w:rsidRPr="001E7BF3">
        <w:rPr>
          <w:sz w:val="24"/>
          <w:szCs w:val="24"/>
          <w:lang w:val="en-US"/>
        </w:rPr>
        <w:t xml:space="preserve">Renal changes in monkeys treated for up to 9 months were limited to an increase in background kidney mineralisation. Cutaneous haemorrhage was observed in an acute, </w:t>
      </w:r>
      <w:r w:rsidRPr="001E7BF3">
        <w:rPr>
          <w:sz w:val="24"/>
          <w:szCs w:val="24"/>
          <w:lang w:val="en-US"/>
        </w:rPr>
        <w:lastRenderedPageBreak/>
        <w:t xml:space="preserve">single-dose oral study in monkeys but was not observed in repeat-dose studies in either monkeys or rats. In rats, dasatinib inhibited platelet aggregation </w:t>
      </w:r>
      <w:r w:rsidRPr="001E7BF3">
        <w:rPr>
          <w:i/>
          <w:sz w:val="24"/>
          <w:szCs w:val="24"/>
          <w:lang w:val="en-US"/>
        </w:rPr>
        <w:t xml:space="preserve">in vitro </w:t>
      </w:r>
      <w:r w:rsidRPr="001E7BF3">
        <w:rPr>
          <w:sz w:val="24"/>
          <w:szCs w:val="24"/>
          <w:lang w:val="en-US"/>
        </w:rPr>
        <w:t xml:space="preserve">and prolonged cuticle bleeding time </w:t>
      </w:r>
      <w:r w:rsidRPr="001E7BF3">
        <w:rPr>
          <w:i/>
          <w:sz w:val="24"/>
          <w:szCs w:val="24"/>
          <w:lang w:val="en-US"/>
        </w:rPr>
        <w:t>in vivo</w:t>
      </w:r>
      <w:r w:rsidRPr="001E7BF3">
        <w:rPr>
          <w:sz w:val="24"/>
          <w:szCs w:val="24"/>
          <w:lang w:val="en-US"/>
        </w:rPr>
        <w:t>, but did not invoke spontaneous haemorrhage.</w:t>
      </w:r>
    </w:p>
    <w:p w:rsidR="001E7BF3" w:rsidRPr="001E7BF3" w:rsidRDefault="001E7BF3" w:rsidP="001E7BF3">
      <w:pPr>
        <w:tabs>
          <w:tab w:val="left" w:pos="851"/>
        </w:tabs>
        <w:ind w:left="851"/>
        <w:rPr>
          <w:sz w:val="24"/>
          <w:szCs w:val="24"/>
          <w:lang w:val="en-US"/>
        </w:rPr>
      </w:pPr>
    </w:p>
    <w:p w:rsidR="001E7BF3" w:rsidRPr="001E7BF3" w:rsidRDefault="001E7BF3" w:rsidP="001E7BF3">
      <w:pPr>
        <w:tabs>
          <w:tab w:val="left" w:pos="851"/>
        </w:tabs>
        <w:ind w:left="851"/>
        <w:rPr>
          <w:sz w:val="24"/>
          <w:szCs w:val="24"/>
          <w:lang w:val="en-US"/>
        </w:rPr>
      </w:pPr>
      <w:r w:rsidRPr="001E7BF3">
        <w:rPr>
          <w:sz w:val="24"/>
          <w:szCs w:val="24"/>
          <w:lang w:val="en-US"/>
        </w:rPr>
        <w:t xml:space="preserve">Dasatinib activity </w:t>
      </w:r>
      <w:r w:rsidRPr="001E7BF3">
        <w:rPr>
          <w:i/>
          <w:sz w:val="24"/>
          <w:szCs w:val="24"/>
          <w:lang w:val="en-US"/>
        </w:rPr>
        <w:t xml:space="preserve">in vitro </w:t>
      </w:r>
      <w:r w:rsidRPr="001E7BF3">
        <w:rPr>
          <w:sz w:val="24"/>
          <w:szCs w:val="24"/>
          <w:lang w:val="en-US"/>
        </w:rPr>
        <w:t xml:space="preserve">in hERG and Purkinje fiber assays suggested a potential for prolongation of cardiac ventricular repolarisation (QT interval). However, in an </w:t>
      </w:r>
      <w:r w:rsidRPr="001E7BF3">
        <w:rPr>
          <w:i/>
          <w:sz w:val="24"/>
          <w:szCs w:val="24"/>
          <w:lang w:val="en-US"/>
        </w:rPr>
        <w:t xml:space="preserve">in vivo </w:t>
      </w:r>
      <w:r w:rsidRPr="001E7BF3">
        <w:rPr>
          <w:sz w:val="24"/>
          <w:szCs w:val="24"/>
          <w:lang w:val="en-US"/>
        </w:rPr>
        <w:t>single-dose study in conscious telemetered monkeys, there were no changes in QT interval or ECG wave form.</w:t>
      </w:r>
    </w:p>
    <w:p w:rsidR="001E7BF3" w:rsidRPr="001E7BF3" w:rsidRDefault="001E7BF3" w:rsidP="001E7BF3">
      <w:pPr>
        <w:tabs>
          <w:tab w:val="left" w:pos="851"/>
        </w:tabs>
        <w:ind w:left="851"/>
        <w:rPr>
          <w:sz w:val="24"/>
          <w:szCs w:val="24"/>
          <w:lang w:val="en-US"/>
        </w:rPr>
      </w:pPr>
    </w:p>
    <w:p w:rsidR="001E7BF3" w:rsidRPr="001E7BF3" w:rsidRDefault="001E7BF3" w:rsidP="001E7BF3">
      <w:pPr>
        <w:tabs>
          <w:tab w:val="left" w:pos="851"/>
        </w:tabs>
        <w:ind w:left="851"/>
        <w:rPr>
          <w:sz w:val="24"/>
          <w:szCs w:val="24"/>
          <w:lang w:val="en-US"/>
        </w:rPr>
      </w:pPr>
      <w:r w:rsidRPr="001E7BF3">
        <w:rPr>
          <w:sz w:val="24"/>
          <w:szCs w:val="24"/>
          <w:lang w:val="en-US"/>
        </w:rPr>
        <w:t xml:space="preserve">Dasatinib was not mutagenic in </w:t>
      </w:r>
      <w:r w:rsidRPr="001E7BF3">
        <w:rPr>
          <w:i/>
          <w:sz w:val="24"/>
          <w:szCs w:val="24"/>
          <w:lang w:val="en-US"/>
        </w:rPr>
        <w:t xml:space="preserve">in vitro </w:t>
      </w:r>
      <w:r w:rsidRPr="001E7BF3">
        <w:rPr>
          <w:sz w:val="24"/>
          <w:szCs w:val="24"/>
          <w:lang w:val="en-US"/>
        </w:rPr>
        <w:t xml:space="preserve">bacterial cell assays (Ames test) and was not genotoxic in an </w:t>
      </w:r>
      <w:r w:rsidRPr="001E7BF3">
        <w:rPr>
          <w:i/>
          <w:sz w:val="24"/>
          <w:szCs w:val="24"/>
          <w:lang w:val="en-US"/>
        </w:rPr>
        <w:t xml:space="preserve">in vivo </w:t>
      </w:r>
      <w:r w:rsidRPr="001E7BF3">
        <w:rPr>
          <w:sz w:val="24"/>
          <w:szCs w:val="24"/>
          <w:lang w:val="en-US"/>
        </w:rPr>
        <w:t xml:space="preserve">rat micronucleus study. Dasatinib was clastogenic </w:t>
      </w:r>
      <w:r w:rsidRPr="001E7BF3">
        <w:rPr>
          <w:i/>
          <w:sz w:val="24"/>
          <w:szCs w:val="24"/>
          <w:lang w:val="en-US"/>
        </w:rPr>
        <w:t xml:space="preserve">in vitro </w:t>
      </w:r>
      <w:r w:rsidRPr="001E7BF3">
        <w:rPr>
          <w:sz w:val="24"/>
          <w:szCs w:val="24"/>
          <w:lang w:val="en-US"/>
        </w:rPr>
        <w:t>to dividing Chinese Hamster Ovary (CHO) cells.</w:t>
      </w:r>
    </w:p>
    <w:p w:rsidR="001E7BF3" w:rsidRPr="001E7BF3" w:rsidRDefault="001E7BF3" w:rsidP="001E7BF3">
      <w:pPr>
        <w:tabs>
          <w:tab w:val="left" w:pos="851"/>
        </w:tabs>
        <w:ind w:left="851"/>
        <w:rPr>
          <w:sz w:val="24"/>
          <w:szCs w:val="24"/>
          <w:lang w:val="en-US"/>
        </w:rPr>
      </w:pPr>
    </w:p>
    <w:p w:rsidR="001E7BF3" w:rsidRPr="001E7BF3" w:rsidRDefault="001E7BF3" w:rsidP="001E7BF3">
      <w:pPr>
        <w:tabs>
          <w:tab w:val="left" w:pos="851"/>
        </w:tabs>
        <w:ind w:left="851"/>
        <w:rPr>
          <w:sz w:val="24"/>
          <w:szCs w:val="24"/>
          <w:lang w:val="en-US"/>
        </w:rPr>
      </w:pPr>
      <w:r w:rsidRPr="001E7BF3">
        <w:rPr>
          <w:sz w:val="24"/>
          <w:szCs w:val="24"/>
          <w:lang w:val="en-US"/>
        </w:rPr>
        <w:t>Dasatinib did not affect male or female fertility in a conventional rat fertility and early embryonic development study, but induced embryolethality at dose levels approximating human clinical exposures. In embryofoetal development studies, dasatinib likewise induced embryolethality with associated decreases in litter size in rats, as well as foetal skeletal alterations in both rats and rabbits. These effects occurred at doses that did not produce maternal toxicity, indicating that dasatinib is a selective reproductive toxicant from implantation through the completion of organogenesis.</w:t>
      </w:r>
    </w:p>
    <w:p w:rsidR="001E7BF3" w:rsidRPr="001E7BF3" w:rsidRDefault="001E7BF3" w:rsidP="001E7BF3">
      <w:pPr>
        <w:tabs>
          <w:tab w:val="left" w:pos="851"/>
        </w:tabs>
        <w:ind w:left="851"/>
        <w:rPr>
          <w:sz w:val="24"/>
          <w:szCs w:val="24"/>
          <w:lang w:val="en-US"/>
        </w:rPr>
      </w:pPr>
    </w:p>
    <w:p w:rsidR="001E7BF3" w:rsidRPr="001E7BF3" w:rsidRDefault="001E7BF3" w:rsidP="001E7BF3">
      <w:pPr>
        <w:tabs>
          <w:tab w:val="left" w:pos="851"/>
        </w:tabs>
        <w:ind w:left="851"/>
        <w:rPr>
          <w:sz w:val="24"/>
          <w:szCs w:val="24"/>
          <w:lang w:val="en-US"/>
        </w:rPr>
      </w:pPr>
      <w:r w:rsidRPr="001E7BF3">
        <w:rPr>
          <w:sz w:val="24"/>
          <w:szCs w:val="24"/>
          <w:lang w:val="en-US"/>
        </w:rPr>
        <w:t xml:space="preserve">In mice, dasatinib induced immunosuppression, which was dose-related and effectively managed by dose reduction and/or changes in dosing schedule. Dasatinib had phototoxic potential in an </w:t>
      </w:r>
      <w:r w:rsidRPr="001E7BF3">
        <w:rPr>
          <w:i/>
          <w:sz w:val="24"/>
          <w:szCs w:val="24"/>
          <w:lang w:val="en-US"/>
        </w:rPr>
        <w:t xml:space="preserve">in vitro </w:t>
      </w:r>
      <w:r w:rsidRPr="001E7BF3">
        <w:rPr>
          <w:sz w:val="24"/>
          <w:szCs w:val="24"/>
          <w:lang w:val="en-US"/>
        </w:rPr>
        <w:t>neutral red uptake phototoxicity assay in mouse fibroblasts. Dasatinib was considered to be</w:t>
      </w:r>
      <w:r>
        <w:rPr>
          <w:sz w:val="24"/>
          <w:szCs w:val="24"/>
          <w:lang w:val="en-US"/>
        </w:rPr>
        <w:t xml:space="preserve"> </w:t>
      </w:r>
      <w:r w:rsidRPr="001E7BF3">
        <w:rPr>
          <w:sz w:val="24"/>
          <w:szCs w:val="24"/>
          <w:lang w:val="en-US"/>
        </w:rPr>
        <w:t xml:space="preserve">non-phototoxic </w:t>
      </w:r>
      <w:r w:rsidRPr="001E7BF3">
        <w:rPr>
          <w:i/>
          <w:sz w:val="24"/>
          <w:szCs w:val="24"/>
          <w:lang w:val="en-US"/>
        </w:rPr>
        <w:t xml:space="preserve">in vivo </w:t>
      </w:r>
      <w:r w:rsidRPr="001E7BF3">
        <w:rPr>
          <w:sz w:val="24"/>
          <w:szCs w:val="24"/>
          <w:lang w:val="en-US"/>
        </w:rPr>
        <w:t>after a single oral administration to female hairless mice at exposures up to</w:t>
      </w:r>
      <w:r>
        <w:rPr>
          <w:sz w:val="24"/>
          <w:szCs w:val="24"/>
          <w:lang w:val="en-US"/>
        </w:rPr>
        <w:t xml:space="preserve"> </w:t>
      </w:r>
      <w:r w:rsidRPr="001E7BF3">
        <w:rPr>
          <w:sz w:val="24"/>
          <w:szCs w:val="24"/>
          <w:lang w:val="en-US"/>
        </w:rPr>
        <w:t>3-fold the human exposure following administration of the recommended therapeutic dose (based on AUC).</w:t>
      </w:r>
    </w:p>
    <w:p w:rsidR="001E7BF3" w:rsidRPr="001E7BF3" w:rsidRDefault="001E7BF3" w:rsidP="001E7BF3">
      <w:pPr>
        <w:tabs>
          <w:tab w:val="left" w:pos="851"/>
        </w:tabs>
        <w:ind w:left="851"/>
        <w:rPr>
          <w:sz w:val="24"/>
          <w:szCs w:val="24"/>
          <w:lang w:val="en-US"/>
        </w:rPr>
      </w:pPr>
    </w:p>
    <w:p w:rsidR="001E7BF3" w:rsidRPr="001E7BF3" w:rsidRDefault="001E7BF3" w:rsidP="001E7BF3">
      <w:pPr>
        <w:tabs>
          <w:tab w:val="left" w:pos="851"/>
        </w:tabs>
        <w:ind w:left="851"/>
        <w:rPr>
          <w:sz w:val="24"/>
          <w:szCs w:val="24"/>
          <w:lang w:val="en-US"/>
        </w:rPr>
      </w:pPr>
      <w:r w:rsidRPr="001E7BF3">
        <w:rPr>
          <w:sz w:val="24"/>
          <w:szCs w:val="24"/>
          <w:lang w:val="en-US"/>
        </w:rPr>
        <w:t>In a two-year carcinogenicity study, rats were administered oral doses of dasatinib at 0.3, 1, and</w:t>
      </w:r>
      <w:r>
        <w:rPr>
          <w:sz w:val="24"/>
          <w:szCs w:val="24"/>
          <w:lang w:val="en-US"/>
        </w:rPr>
        <w:t xml:space="preserve"> </w:t>
      </w:r>
      <w:r w:rsidRPr="001E7BF3">
        <w:rPr>
          <w:sz w:val="24"/>
          <w:szCs w:val="24"/>
          <w:lang w:val="en-US"/>
        </w:rPr>
        <w:t>3 mg/kg/day. The highest dose resulted in a plasma exposure (AUC) level generally equivalent to the human exposure at the recommended range of starting doses from 100 mg to 140 mg daily. A statistically significant increase in the combined incidence of squamous cell carcinomas and papillomas in the uterus and cervix of high-dose females and of prostate adenoma in low-dose males was noted. The relevance of the findings from the rat carcinogenicity study for humans is not known.</w:t>
      </w:r>
    </w:p>
    <w:p w:rsidR="007C5D2A" w:rsidRPr="001E7BF3" w:rsidRDefault="007C5D2A" w:rsidP="003E0341">
      <w:pPr>
        <w:tabs>
          <w:tab w:val="left" w:pos="851"/>
        </w:tabs>
        <w:ind w:left="851"/>
        <w:rPr>
          <w:sz w:val="24"/>
          <w:szCs w:val="24"/>
          <w:lang w:val="en-US"/>
        </w:rPr>
      </w:pPr>
    </w:p>
    <w:p w:rsidR="007C5D2A" w:rsidRPr="00303008" w:rsidRDefault="007C5D2A" w:rsidP="003E0341">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rsidR="001E7BF3" w:rsidRPr="001E7BF3" w:rsidRDefault="001E7BF3" w:rsidP="001E7BF3">
      <w:pPr>
        <w:tabs>
          <w:tab w:val="left" w:pos="851"/>
        </w:tabs>
        <w:ind w:left="851"/>
        <w:rPr>
          <w:b/>
          <w:sz w:val="24"/>
          <w:szCs w:val="24"/>
          <w:lang w:val="en-US"/>
        </w:rPr>
      </w:pPr>
    </w:p>
    <w:p w:rsidR="001E7BF3" w:rsidRPr="001E7BF3" w:rsidRDefault="001E7BF3" w:rsidP="001E7BF3">
      <w:pPr>
        <w:tabs>
          <w:tab w:val="left" w:pos="851"/>
        </w:tabs>
        <w:ind w:left="851"/>
        <w:rPr>
          <w:sz w:val="24"/>
          <w:szCs w:val="24"/>
          <w:lang w:val="en-US"/>
        </w:rPr>
      </w:pPr>
      <w:r w:rsidRPr="001E7BF3">
        <w:rPr>
          <w:sz w:val="24"/>
          <w:szCs w:val="24"/>
          <w:u w:val="single"/>
          <w:lang w:val="en-US"/>
        </w:rPr>
        <w:t>Tablet core</w:t>
      </w:r>
    </w:p>
    <w:p w:rsidR="001E7BF3" w:rsidRPr="001E7BF3" w:rsidRDefault="001E7BF3" w:rsidP="001E7BF3">
      <w:pPr>
        <w:tabs>
          <w:tab w:val="left" w:pos="851"/>
        </w:tabs>
        <w:ind w:left="851"/>
        <w:rPr>
          <w:sz w:val="24"/>
          <w:szCs w:val="24"/>
          <w:lang w:val="fr-FR"/>
        </w:rPr>
      </w:pPr>
      <w:r w:rsidRPr="001E7BF3">
        <w:rPr>
          <w:sz w:val="24"/>
          <w:szCs w:val="24"/>
          <w:lang w:val="fr-FR"/>
        </w:rPr>
        <w:t>Microcrystalline cellulose (type 101)</w:t>
      </w:r>
    </w:p>
    <w:p w:rsidR="001E7BF3" w:rsidRPr="001E7BF3" w:rsidRDefault="001E7BF3" w:rsidP="001E7BF3">
      <w:pPr>
        <w:tabs>
          <w:tab w:val="left" w:pos="851"/>
        </w:tabs>
        <w:ind w:left="851"/>
        <w:rPr>
          <w:sz w:val="24"/>
          <w:szCs w:val="24"/>
          <w:lang w:val="fr-FR"/>
        </w:rPr>
      </w:pPr>
      <w:r w:rsidRPr="001E7BF3">
        <w:rPr>
          <w:sz w:val="24"/>
          <w:szCs w:val="24"/>
          <w:lang w:val="fr-FR"/>
        </w:rPr>
        <w:t>Microcrystalline cellulose (type 102)</w:t>
      </w:r>
    </w:p>
    <w:p w:rsidR="001E7BF3" w:rsidRPr="001E7BF3" w:rsidRDefault="001E7BF3" w:rsidP="001E7BF3">
      <w:pPr>
        <w:tabs>
          <w:tab w:val="left" w:pos="851"/>
        </w:tabs>
        <w:ind w:left="851"/>
        <w:rPr>
          <w:sz w:val="24"/>
          <w:szCs w:val="24"/>
          <w:lang w:val="en-US"/>
        </w:rPr>
      </w:pPr>
      <w:r w:rsidRPr="001E7BF3">
        <w:rPr>
          <w:sz w:val="24"/>
          <w:szCs w:val="24"/>
          <w:lang w:val="en-US"/>
        </w:rPr>
        <w:t xml:space="preserve">Lactose monohydrate </w:t>
      </w:r>
    </w:p>
    <w:p w:rsidR="001E7BF3" w:rsidRPr="001E7BF3" w:rsidRDefault="001E7BF3" w:rsidP="001E7BF3">
      <w:pPr>
        <w:tabs>
          <w:tab w:val="left" w:pos="851"/>
        </w:tabs>
        <w:ind w:left="851"/>
        <w:rPr>
          <w:sz w:val="24"/>
          <w:szCs w:val="24"/>
          <w:lang w:val="en-US"/>
        </w:rPr>
      </w:pPr>
      <w:r w:rsidRPr="001E7BF3">
        <w:rPr>
          <w:sz w:val="24"/>
          <w:szCs w:val="24"/>
          <w:lang w:val="en-US"/>
        </w:rPr>
        <w:t xml:space="preserve">Hydroxypropyl cellulose </w:t>
      </w:r>
    </w:p>
    <w:p w:rsidR="001E7BF3" w:rsidRPr="001E7BF3" w:rsidRDefault="001E7BF3" w:rsidP="001E7BF3">
      <w:pPr>
        <w:tabs>
          <w:tab w:val="left" w:pos="851"/>
        </w:tabs>
        <w:ind w:left="851"/>
        <w:rPr>
          <w:sz w:val="24"/>
          <w:szCs w:val="24"/>
          <w:lang w:val="en-US"/>
        </w:rPr>
      </w:pPr>
      <w:r w:rsidRPr="001E7BF3">
        <w:rPr>
          <w:sz w:val="24"/>
          <w:szCs w:val="24"/>
          <w:lang w:val="en-US"/>
        </w:rPr>
        <w:t>Croscarmellose sodium Magnesium stearate</w:t>
      </w:r>
    </w:p>
    <w:p w:rsidR="001E7BF3" w:rsidRPr="001E7BF3" w:rsidRDefault="001E7BF3" w:rsidP="001E7BF3">
      <w:pPr>
        <w:tabs>
          <w:tab w:val="left" w:pos="851"/>
        </w:tabs>
        <w:ind w:left="851"/>
        <w:rPr>
          <w:sz w:val="24"/>
          <w:szCs w:val="24"/>
          <w:lang w:val="en-US"/>
        </w:rPr>
      </w:pPr>
    </w:p>
    <w:p w:rsidR="009C2BAC" w:rsidRDefault="001E7BF3" w:rsidP="001E7BF3">
      <w:pPr>
        <w:tabs>
          <w:tab w:val="left" w:pos="851"/>
        </w:tabs>
        <w:ind w:left="851"/>
        <w:rPr>
          <w:sz w:val="24"/>
          <w:szCs w:val="24"/>
          <w:lang w:val="en-US"/>
        </w:rPr>
      </w:pPr>
      <w:r w:rsidRPr="001E7BF3">
        <w:rPr>
          <w:sz w:val="24"/>
          <w:szCs w:val="24"/>
          <w:u w:val="single"/>
          <w:lang w:val="en-US"/>
        </w:rPr>
        <w:t>Film-coating</w:t>
      </w:r>
    </w:p>
    <w:p w:rsidR="001E7BF3" w:rsidRPr="001E7BF3" w:rsidRDefault="001E7BF3" w:rsidP="001E7BF3">
      <w:pPr>
        <w:tabs>
          <w:tab w:val="left" w:pos="851"/>
        </w:tabs>
        <w:ind w:left="851"/>
        <w:rPr>
          <w:sz w:val="24"/>
          <w:szCs w:val="24"/>
          <w:lang w:val="en-US"/>
        </w:rPr>
      </w:pPr>
      <w:r w:rsidRPr="001E7BF3">
        <w:rPr>
          <w:sz w:val="24"/>
          <w:szCs w:val="24"/>
          <w:lang w:val="en-US"/>
        </w:rPr>
        <w:t xml:space="preserve">Hypromellose </w:t>
      </w:r>
    </w:p>
    <w:p w:rsidR="001E7BF3" w:rsidRPr="001E7BF3" w:rsidRDefault="001E7BF3" w:rsidP="001E7BF3">
      <w:pPr>
        <w:tabs>
          <w:tab w:val="left" w:pos="851"/>
        </w:tabs>
        <w:ind w:left="851"/>
        <w:rPr>
          <w:sz w:val="24"/>
          <w:szCs w:val="24"/>
          <w:lang w:val="en-US"/>
        </w:rPr>
      </w:pPr>
      <w:r w:rsidRPr="001E7BF3">
        <w:rPr>
          <w:sz w:val="24"/>
          <w:szCs w:val="24"/>
          <w:lang w:val="en-US"/>
        </w:rPr>
        <w:t>Titanium dioxide (E171)</w:t>
      </w:r>
      <w:bookmarkStart w:id="2" w:name="_GoBack"/>
      <w:bookmarkEnd w:id="2"/>
    </w:p>
    <w:p w:rsidR="001E7BF3" w:rsidRPr="001E7BF3" w:rsidRDefault="001E7BF3" w:rsidP="001E7BF3">
      <w:pPr>
        <w:tabs>
          <w:tab w:val="left" w:pos="851"/>
        </w:tabs>
        <w:ind w:left="851"/>
        <w:rPr>
          <w:sz w:val="24"/>
          <w:szCs w:val="24"/>
          <w:lang w:val="en-US"/>
        </w:rPr>
      </w:pPr>
      <w:r w:rsidRPr="001E7BF3">
        <w:rPr>
          <w:sz w:val="24"/>
          <w:szCs w:val="24"/>
          <w:lang w:val="en-US"/>
        </w:rPr>
        <w:lastRenderedPageBreak/>
        <w:t>Triethyl citrate</w:t>
      </w:r>
    </w:p>
    <w:p w:rsidR="007C5D2A" w:rsidRPr="00303008" w:rsidRDefault="007C5D2A" w:rsidP="003D727E">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rsidR="009C2BAC" w:rsidRPr="009C2BAC" w:rsidRDefault="009C2BAC" w:rsidP="009C2BAC">
      <w:pPr>
        <w:tabs>
          <w:tab w:val="left" w:pos="851"/>
        </w:tabs>
        <w:ind w:left="851"/>
        <w:rPr>
          <w:sz w:val="24"/>
          <w:szCs w:val="24"/>
          <w:lang w:val="en-US"/>
        </w:rPr>
      </w:pPr>
      <w:r w:rsidRPr="009C2BAC">
        <w:rPr>
          <w:sz w:val="24"/>
          <w:szCs w:val="24"/>
          <w:lang w:val="en-US"/>
        </w:rPr>
        <w:t>Not applicable.</w:t>
      </w:r>
    </w:p>
    <w:p w:rsidR="007C5D2A" w:rsidRPr="009C2BAC" w:rsidRDefault="007C5D2A" w:rsidP="003E0341">
      <w:pPr>
        <w:tabs>
          <w:tab w:val="left" w:pos="851"/>
        </w:tabs>
        <w:ind w:left="851"/>
        <w:rPr>
          <w:sz w:val="24"/>
          <w:szCs w:val="24"/>
          <w:lang w:val="en-US"/>
        </w:rPr>
      </w:pPr>
    </w:p>
    <w:p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FD652E">
        <w:rPr>
          <w:b/>
          <w:sz w:val="24"/>
          <w:szCs w:val="24"/>
          <w:lang w:val="en-GB"/>
        </w:rPr>
        <w:t>-</w:t>
      </w:r>
      <w:r w:rsidRPr="00303008">
        <w:rPr>
          <w:b/>
          <w:sz w:val="24"/>
          <w:szCs w:val="24"/>
          <w:lang w:val="en-GB"/>
        </w:rPr>
        <w:t>life</w:t>
      </w:r>
    </w:p>
    <w:p w:rsidR="008D07B3" w:rsidRPr="008D07B3" w:rsidRDefault="008D07B3" w:rsidP="008D07B3">
      <w:pPr>
        <w:tabs>
          <w:tab w:val="left" w:pos="851"/>
        </w:tabs>
        <w:ind w:left="851"/>
        <w:rPr>
          <w:sz w:val="24"/>
          <w:szCs w:val="24"/>
          <w:lang w:val="en-US"/>
        </w:rPr>
      </w:pPr>
      <w:r w:rsidRPr="008D07B3">
        <w:rPr>
          <w:sz w:val="24"/>
          <w:szCs w:val="24"/>
          <w:lang w:val="en-US"/>
        </w:rPr>
        <w:t>30 months.</w:t>
      </w:r>
    </w:p>
    <w:p w:rsidR="007C5D2A" w:rsidRPr="008D07B3" w:rsidRDefault="007C5D2A" w:rsidP="003E0341">
      <w:pPr>
        <w:tabs>
          <w:tab w:val="left" w:pos="851"/>
        </w:tabs>
        <w:ind w:left="851"/>
        <w:rPr>
          <w:sz w:val="24"/>
          <w:szCs w:val="24"/>
          <w:lang w:val="en-US"/>
        </w:rPr>
      </w:pPr>
    </w:p>
    <w:p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rsidR="008D07B3" w:rsidRPr="008D07B3" w:rsidRDefault="008D07B3" w:rsidP="008D07B3">
      <w:pPr>
        <w:tabs>
          <w:tab w:val="left" w:pos="851"/>
        </w:tabs>
        <w:ind w:left="851"/>
        <w:rPr>
          <w:sz w:val="24"/>
          <w:szCs w:val="24"/>
          <w:lang w:val="en-US"/>
        </w:rPr>
      </w:pPr>
      <w:r w:rsidRPr="008D07B3">
        <w:rPr>
          <w:sz w:val="24"/>
          <w:szCs w:val="24"/>
          <w:lang w:val="en-US"/>
        </w:rPr>
        <w:t>This medicinal product does not require any special storage conditions.</w:t>
      </w:r>
    </w:p>
    <w:p w:rsidR="007C5D2A" w:rsidRPr="008D07B3" w:rsidRDefault="007C5D2A" w:rsidP="003E0341">
      <w:pPr>
        <w:tabs>
          <w:tab w:val="left" w:pos="851"/>
        </w:tabs>
        <w:ind w:left="851"/>
        <w:rPr>
          <w:sz w:val="24"/>
          <w:szCs w:val="24"/>
          <w:lang w:val="en-US"/>
        </w:rPr>
      </w:pPr>
    </w:p>
    <w:p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rsidR="008D07B3" w:rsidRPr="008D07B3" w:rsidRDefault="008D07B3" w:rsidP="008D07B3">
      <w:pPr>
        <w:tabs>
          <w:tab w:val="left" w:pos="851"/>
        </w:tabs>
        <w:ind w:left="851"/>
        <w:rPr>
          <w:b/>
          <w:sz w:val="24"/>
          <w:szCs w:val="24"/>
          <w:lang w:val="en-US"/>
        </w:rPr>
      </w:pPr>
    </w:p>
    <w:p w:rsidR="008D07B3" w:rsidRPr="008D07B3" w:rsidRDefault="008D07B3" w:rsidP="008D07B3">
      <w:pPr>
        <w:tabs>
          <w:tab w:val="left" w:pos="851"/>
        </w:tabs>
        <w:ind w:left="851"/>
        <w:rPr>
          <w:sz w:val="24"/>
          <w:szCs w:val="24"/>
          <w:u w:val="single"/>
          <w:lang w:val="en-US"/>
        </w:rPr>
      </w:pPr>
      <w:r w:rsidRPr="008D07B3">
        <w:rPr>
          <w:sz w:val="24"/>
          <w:szCs w:val="24"/>
          <w:u w:val="single"/>
          <w:lang w:val="en-US"/>
        </w:rPr>
        <w:t>20 mg, 50 mg</w:t>
      </w:r>
      <w:r w:rsidR="00CD038B">
        <w:rPr>
          <w:sz w:val="24"/>
          <w:szCs w:val="24"/>
          <w:u w:val="single"/>
          <w:lang w:val="en-US"/>
        </w:rPr>
        <w:t xml:space="preserve"> and</w:t>
      </w:r>
      <w:r w:rsidRPr="008D07B3">
        <w:rPr>
          <w:sz w:val="24"/>
          <w:szCs w:val="24"/>
          <w:u w:val="single"/>
          <w:lang w:val="en-US"/>
        </w:rPr>
        <w:t xml:space="preserve"> 70 mg</w:t>
      </w:r>
    </w:p>
    <w:p w:rsidR="008D07B3" w:rsidRPr="008D07B3" w:rsidRDefault="008D07B3" w:rsidP="008D07B3">
      <w:pPr>
        <w:tabs>
          <w:tab w:val="left" w:pos="851"/>
        </w:tabs>
        <w:ind w:left="851"/>
        <w:rPr>
          <w:sz w:val="24"/>
          <w:szCs w:val="24"/>
          <w:lang w:val="en-US"/>
        </w:rPr>
      </w:pPr>
      <w:r w:rsidRPr="008D07B3">
        <w:rPr>
          <w:sz w:val="24"/>
          <w:szCs w:val="24"/>
          <w:lang w:val="en-US"/>
        </w:rPr>
        <w:t>30, 56 and 60 film-coated tablets in oPA/Al/PVC-Aluminium blister packs or 60</w:t>
      </w:r>
      <w:r w:rsidR="00744901">
        <w:rPr>
          <w:sz w:val="24"/>
          <w:szCs w:val="24"/>
          <w:lang w:val="en-US"/>
        </w:rPr>
        <w:t>×</w:t>
      </w:r>
      <w:r w:rsidRPr="008D07B3">
        <w:rPr>
          <w:sz w:val="24"/>
          <w:szCs w:val="24"/>
          <w:lang w:val="en-US"/>
        </w:rPr>
        <w:t xml:space="preserve">1 film-coated tablets in oPA/Al/PVC-Aluminium perforated unit dose blisters. </w:t>
      </w:r>
      <w:r w:rsidRPr="008D07B3">
        <w:rPr>
          <w:sz w:val="24"/>
          <w:szCs w:val="24"/>
          <w:lang w:val="en-US"/>
        </w:rPr>
        <w:br/>
      </w:r>
    </w:p>
    <w:p w:rsidR="008D07B3" w:rsidRPr="008D07B3" w:rsidRDefault="008D07B3" w:rsidP="008D07B3">
      <w:pPr>
        <w:tabs>
          <w:tab w:val="left" w:pos="851"/>
        </w:tabs>
        <w:ind w:left="851"/>
        <w:rPr>
          <w:sz w:val="24"/>
          <w:szCs w:val="24"/>
          <w:lang w:val="en-US"/>
        </w:rPr>
      </w:pPr>
      <w:r w:rsidRPr="008D07B3">
        <w:rPr>
          <w:sz w:val="24"/>
          <w:szCs w:val="24"/>
          <w:lang w:val="en-US"/>
        </w:rPr>
        <w:t xml:space="preserve">High-density polyethylene (HDPE) bottles containing a silica gel desiccant with polypropylene screw cap and child-resistant closure containing 60 film-coated tablets. </w:t>
      </w:r>
    </w:p>
    <w:p w:rsidR="008D07B3" w:rsidRPr="008D07B3" w:rsidRDefault="008D07B3" w:rsidP="008D07B3">
      <w:pPr>
        <w:tabs>
          <w:tab w:val="left" w:pos="851"/>
        </w:tabs>
        <w:ind w:left="851"/>
        <w:rPr>
          <w:sz w:val="24"/>
          <w:szCs w:val="24"/>
          <w:lang w:val="en-US"/>
        </w:rPr>
      </w:pPr>
    </w:p>
    <w:p w:rsidR="008D07B3" w:rsidRPr="008D07B3" w:rsidRDefault="008D07B3" w:rsidP="008D07B3">
      <w:pPr>
        <w:tabs>
          <w:tab w:val="left" w:pos="851"/>
        </w:tabs>
        <w:ind w:left="851"/>
        <w:rPr>
          <w:sz w:val="24"/>
          <w:szCs w:val="24"/>
          <w:u w:val="single"/>
          <w:lang w:val="en-US"/>
        </w:rPr>
      </w:pPr>
      <w:r w:rsidRPr="008D07B3">
        <w:rPr>
          <w:sz w:val="24"/>
          <w:szCs w:val="24"/>
          <w:u w:val="single"/>
          <w:lang w:val="en-US"/>
        </w:rPr>
        <w:t>80 mg</w:t>
      </w:r>
      <w:r w:rsidR="00744901">
        <w:rPr>
          <w:sz w:val="24"/>
          <w:szCs w:val="24"/>
          <w:u w:val="single"/>
          <w:lang w:val="en-US"/>
        </w:rPr>
        <w:t xml:space="preserve"> and</w:t>
      </w:r>
      <w:r w:rsidRPr="008D07B3">
        <w:rPr>
          <w:sz w:val="24"/>
          <w:szCs w:val="24"/>
          <w:u w:val="single"/>
          <w:lang w:val="en-US"/>
        </w:rPr>
        <w:t xml:space="preserve"> 140 mg</w:t>
      </w:r>
    </w:p>
    <w:p w:rsidR="008D07B3" w:rsidRPr="008D07B3" w:rsidRDefault="008D07B3" w:rsidP="008D07B3">
      <w:pPr>
        <w:tabs>
          <w:tab w:val="left" w:pos="851"/>
        </w:tabs>
        <w:ind w:left="851"/>
        <w:rPr>
          <w:sz w:val="24"/>
          <w:szCs w:val="24"/>
          <w:lang w:val="en-US"/>
        </w:rPr>
      </w:pPr>
      <w:r w:rsidRPr="008D07B3">
        <w:rPr>
          <w:sz w:val="24"/>
          <w:szCs w:val="24"/>
          <w:lang w:val="en-US"/>
        </w:rPr>
        <w:t>30 and 60 film-coated tablets in oPA/Al/PVC-Aluminium blister packs or 30</w:t>
      </w:r>
      <w:r w:rsidR="00744901">
        <w:rPr>
          <w:sz w:val="24"/>
          <w:szCs w:val="24"/>
          <w:lang w:val="en-US"/>
        </w:rPr>
        <w:t>×</w:t>
      </w:r>
      <w:r w:rsidRPr="008D07B3">
        <w:rPr>
          <w:sz w:val="24"/>
          <w:szCs w:val="24"/>
          <w:lang w:val="en-US"/>
        </w:rPr>
        <w:t xml:space="preserve">1 film-coated tablets in oPA/Al/PVC-Aluminium perforated unit dose blisters. </w:t>
      </w:r>
      <w:r w:rsidRPr="008D07B3">
        <w:rPr>
          <w:sz w:val="24"/>
          <w:szCs w:val="24"/>
          <w:lang w:val="en-US"/>
        </w:rPr>
        <w:br/>
      </w:r>
      <w:r w:rsidRPr="008D07B3">
        <w:rPr>
          <w:sz w:val="24"/>
          <w:szCs w:val="24"/>
          <w:lang w:val="en-US"/>
        </w:rPr>
        <w:br/>
        <w:t>High-density polyethylene (HDPE) bottles containing a silica gel desiccant with polypropylene screw cap and child-resistant closure containing 30 film-coated tablets.</w:t>
      </w:r>
      <w:r w:rsidRPr="008D07B3">
        <w:rPr>
          <w:sz w:val="24"/>
          <w:szCs w:val="24"/>
          <w:lang w:val="en-US"/>
        </w:rPr>
        <w:br/>
      </w:r>
    </w:p>
    <w:p w:rsidR="008D07B3" w:rsidRPr="008D07B3" w:rsidRDefault="008D07B3" w:rsidP="008D07B3">
      <w:pPr>
        <w:tabs>
          <w:tab w:val="left" w:pos="851"/>
        </w:tabs>
        <w:ind w:left="851"/>
        <w:rPr>
          <w:sz w:val="24"/>
          <w:szCs w:val="24"/>
          <w:u w:val="single"/>
          <w:lang w:val="en-US"/>
        </w:rPr>
      </w:pPr>
      <w:r w:rsidRPr="008D07B3">
        <w:rPr>
          <w:sz w:val="24"/>
          <w:szCs w:val="24"/>
          <w:u w:val="single"/>
          <w:lang w:val="en-US"/>
        </w:rPr>
        <w:t>100 mg</w:t>
      </w:r>
    </w:p>
    <w:p w:rsidR="008D07B3" w:rsidRPr="008D07B3" w:rsidRDefault="008D07B3" w:rsidP="008D07B3">
      <w:pPr>
        <w:tabs>
          <w:tab w:val="left" w:pos="851"/>
        </w:tabs>
        <w:ind w:left="851"/>
        <w:rPr>
          <w:sz w:val="24"/>
          <w:szCs w:val="24"/>
          <w:lang w:val="en-US"/>
        </w:rPr>
      </w:pPr>
      <w:r w:rsidRPr="008D07B3">
        <w:rPr>
          <w:sz w:val="24"/>
          <w:szCs w:val="24"/>
          <w:lang w:val="en-US"/>
        </w:rPr>
        <w:t>30 and 60 film-coated tablets in oPA/Al/PVC-Aluminium blister packs or 30</w:t>
      </w:r>
      <w:r w:rsidR="00744901">
        <w:rPr>
          <w:sz w:val="24"/>
          <w:szCs w:val="24"/>
          <w:lang w:val="en-US"/>
        </w:rPr>
        <w:t>×</w:t>
      </w:r>
      <w:r w:rsidRPr="008D07B3">
        <w:rPr>
          <w:sz w:val="24"/>
          <w:szCs w:val="24"/>
          <w:lang w:val="en-US"/>
        </w:rPr>
        <w:t>1, 60</w:t>
      </w:r>
      <w:r w:rsidR="00744901">
        <w:rPr>
          <w:sz w:val="24"/>
          <w:szCs w:val="24"/>
          <w:lang w:val="en-US"/>
        </w:rPr>
        <w:t>×</w:t>
      </w:r>
      <w:r w:rsidRPr="008D07B3">
        <w:rPr>
          <w:sz w:val="24"/>
          <w:szCs w:val="24"/>
          <w:lang w:val="en-US"/>
        </w:rPr>
        <w:t>1 and 120</w:t>
      </w:r>
      <w:r w:rsidR="00A51110">
        <w:rPr>
          <w:sz w:val="24"/>
          <w:szCs w:val="24"/>
          <w:lang w:val="en-US"/>
        </w:rPr>
        <w:t>×</w:t>
      </w:r>
      <w:r w:rsidRPr="008D07B3">
        <w:rPr>
          <w:sz w:val="24"/>
          <w:szCs w:val="24"/>
          <w:lang w:val="en-US"/>
        </w:rPr>
        <w:t>1 film-coated tablets in oPA/Al/PVC-Aluminium perforated unit dose blisters.</w:t>
      </w:r>
    </w:p>
    <w:p w:rsidR="008D07B3" w:rsidRPr="008D07B3" w:rsidRDefault="008D07B3" w:rsidP="008D07B3">
      <w:pPr>
        <w:tabs>
          <w:tab w:val="left" w:pos="851"/>
        </w:tabs>
        <w:ind w:left="851"/>
        <w:rPr>
          <w:sz w:val="24"/>
          <w:szCs w:val="24"/>
          <w:lang w:val="en-US"/>
        </w:rPr>
      </w:pPr>
      <w:r w:rsidRPr="008D07B3">
        <w:rPr>
          <w:sz w:val="24"/>
          <w:szCs w:val="24"/>
          <w:lang w:val="en-US"/>
        </w:rPr>
        <w:br/>
        <w:t>High-density polyethylene (HDPE) bottles containing a silica gel desiccant with polypropylene screw cap and child-resistant closure containing 30 film-coated tablets.</w:t>
      </w:r>
    </w:p>
    <w:p w:rsidR="008D07B3" w:rsidRPr="008D07B3" w:rsidRDefault="008D07B3" w:rsidP="008D07B3">
      <w:pPr>
        <w:tabs>
          <w:tab w:val="left" w:pos="851"/>
        </w:tabs>
        <w:ind w:left="851"/>
        <w:rPr>
          <w:sz w:val="24"/>
          <w:szCs w:val="24"/>
          <w:lang w:val="en-US"/>
        </w:rPr>
      </w:pPr>
    </w:p>
    <w:p w:rsidR="008D07B3" w:rsidRPr="008D07B3" w:rsidRDefault="008D07B3" w:rsidP="008D07B3">
      <w:pPr>
        <w:tabs>
          <w:tab w:val="left" w:pos="851"/>
        </w:tabs>
        <w:ind w:left="851"/>
        <w:rPr>
          <w:sz w:val="24"/>
          <w:szCs w:val="24"/>
          <w:lang w:val="en-US"/>
        </w:rPr>
      </w:pPr>
      <w:r w:rsidRPr="008D07B3">
        <w:rPr>
          <w:sz w:val="24"/>
          <w:szCs w:val="24"/>
          <w:lang w:val="en-US"/>
        </w:rPr>
        <w:t>Not all pack sizes may be marketed.</w:t>
      </w:r>
    </w:p>
    <w:p w:rsidR="007C5D2A" w:rsidRPr="008D07B3" w:rsidRDefault="007C5D2A" w:rsidP="003E0341">
      <w:pPr>
        <w:tabs>
          <w:tab w:val="left" w:pos="851"/>
        </w:tabs>
        <w:ind w:left="851"/>
        <w:rPr>
          <w:sz w:val="24"/>
          <w:szCs w:val="24"/>
          <w:lang w:val="en-US"/>
        </w:rPr>
      </w:pPr>
    </w:p>
    <w:p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rsidR="00516B1F" w:rsidRPr="00516B1F" w:rsidRDefault="00516B1F" w:rsidP="00516B1F">
      <w:pPr>
        <w:tabs>
          <w:tab w:val="left" w:pos="851"/>
        </w:tabs>
        <w:ind w:left="851"/>
        <w:rPr>
          <w:sz w:val="24"/>
          <w:szCs w:val="24"/>
          <w:lang w:val="en-US"/>
        </w:rPr>
      </w:pPr>
      <w:r w:rsidRPr="00516B1F">
        <w:rPr>
          <w:sz w:val="24"/>
          <w:szCs w:val="24"/>
          <w:lang w:val="en-US"/>
        </w:rPr>
        <w:t>The film-coated tablets consist of a core tablet, surrounded by a film-coating to prevent exposure of healthcare professionals to the active substance. The use of latex or nitrile gloves for appropriate disposal when handling tablets that are inadvertently crushed or broken is recommended, to minimise the risk of dermal exposure.</w:t>
      </w:r>
    </w:p>
    <w:p w:rsidR="00516B1F" w:rsidRPr="00516B1F" w:rsidRDefault="00516B1F" w:rsidP="00516B1F">
      <w:pPr>
        <w:tabs>
          <w:tab w:val="left" w:pos="851"/>
        </w:tabs>
        <w:ind w:left="851"/>
        <w:rPr>
          <w:sz w:val="24"/>
          <w:szCs w:val="24"/>
          <w:lang w:val="en-US"/>
        </w:rPr>
      </w:pPr>
    </w:p>
    <w:p w:rsidR="00516B1F" w:rsidRPr="00516B1F" w:rsidRDefault="00516B1F" w:rsidP="00516B1F">
      <w:pPr>
        <w:tabs>
          <w:tab w:val="left" w:pos="851"/>
        </w:tabs>
        <w:ind w:left="851"/>
        <w:rPr>
          <w:sz w:val="24"/>
          <w:szCs w:val="24"/>
          <w:lang w:val="en-US"/>
        </w:rPr>
      </w:pPr>
      <w:r w:rsidRPr="00516B1F">
        <w:rPr>
          <w:sz w:val="24"/>
          <w:szCs w:val="24"/>
          <w:lang w:val="en-US"/>
        </w:rPr>
        <w:t>Any unused medicinal product or waste material should be disposed of in accordance with local requirements.</w:t>
      </w:r>
    </w:p>
    <w:p w:rsidR="000B477E" w:rsidRDefault="000B477E">
      <w:pPr>
        <w:rPr>
          <w:sz w:val="24"/>
          <w:szCs w:val="24"/>
          <w:lang w:val="en-US"/>
        </w:rPr>
      </w:pPr>
      <w:r>
        <w:rPr>
          <w:sz w:val="24"/>
          <w:szCs w:val="24"/>
          <w:lang w:val="en-US"/>
        </w:rPr>
        <w:br w:type="page"/>
      </w:r>
    </w:p>
    <w:p w:rsidR="00516B1F" w:rsidRPr="00516B1F" w:rsidRDefault="00516B1F" w:rsidP="00516B1F">
      <w:pPr>
        <w:tabs>
          <w:tab w:val="left" w:pos="851"/>
        </w:tabs>
        <w:ind w:left="851"/>
        <w:rPr>
          <w:sz w:val="24"/>
          <w:szCs w:val="24"/>
          <w:lang w:val="en-US"/>
        </w:rPr>
      </w:pPr>
    </w:p>
    <w:p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rsidR="002A4422" w:rsidRPr="002A4422" w:rsidRDefault="002A4422" w:rsidP="002A4422">
      <w:pPr>
        <w:tabs>
          <w:tab w:val="left" w:pos="851"/>
        </w:tabs>
        <w:ind w:left="851"/>
        <w:rPr>
          <w:sz w:val="24"/>
          <w:szCs w:val="24"/>
          <w:lang w:val="en-US"/>
        </w:rPr>
      </w:pPr>
      <w:r w:rsidRPr="002A4422">
        <w:rPr>
          <w:sz w:val="24"/>
          <w:szCs w:val="24"/>
          <w:lang w:val="en-US"/>
        </w:rPr>
        <w:t>Teva B.V.</w:t>
      </w:r>
    </w:p>
    <w:p w:rsidR="002A4422" w:rsidRPr="000B477E" w:rsidRDefault="002A4422" w:rsidP="002A4422">
      <w:pPr>
        <w:tabs>
          <w:tab w:val="left" w:pos="851"/>
        </w:tabs>
        <w:ind w:left="851"/>
        <w:rPr>
          <w:sz w:val="24"/>
          <w:szCs w:val="24"/>
          <w:lang w:val="en-US"/>
        </w:rPr>
      </w:pPr>
      <w:r w:rsidRPr="000B477E">
        <w:rPr>
          <w:sz w:val="24"/>
          <w:szCs w:val="24"/>
          <w:lang w:val="en-US"/>
        </w:rPr>
        <w:t>Swensweg 5</w:t>
      </w:r>
    </w:p>
    <w:p w:rsidR="002A4422" w:rsidRPr="000B477E" w:rsidRDefault="002A4422" w:rsidP="002A4422">
      <w:pPr>
        <w:tabs>
          <w:tab w:val="left" w:pos="851"/>
        </w:tabs>
        <w:ind w:left="851"/>
        <w:rPr>
          <w:sz w:val="24"/>
          <w:szCs w:val="24"/>
          <w:lang w:val="en-US"/>
        </w:rPr>
      </w:pPr>
      <w:r w:rsidRPr="000B477E">
        <w:rPr>
          <w:sz w:val="24"/>
          <w:szCs w:val="24"/>
          <w:lang w:val="en-US"/>
        </w:rPr>
        <w:t>2031 GA Haarlem</w:t>
      </w:r>
    </w:p>
    <w:p w:rsidR="002A4422" w:rsidRPr="000B477E" w:rsidRDefault="002A4422" w:rsidP="002A4422">
      <w:pPr>
        <w:tabs>
          <w:tab w:val="left" w:pos="851"/>
        </w:tabs>
        <w:ind w:left="851"/>
        <w:rPr>
          <w:sz w:val="24"/>
          <w:szCs w:val="24"/>
          <w:lang w:val="en-US"/>
        </w:rPr>
      </w:pPr>
      <w:r w:rsidRPr="000B477E">
        <w:rPr>
          <w:sz w:val="24"/>
          <w:szCs w:val="24"/>
          <w:lang w:val="en-US"/>
        </w:rPr>
        <w:t>Holland</w:t>
      </w:r>
    </w:p>
    <w:p w:rsidR="002A4422" w:rsidRPr="000B477E" w:rsidRDefault="002A4422" w:rsidP="002A4422">
      <w:pPr>
        <w:tabs>
          <w:tab w:val="left" w:pos="851"/>
        </w:tabs>
        <w:ind w:left="851"/>
        <w:rPr>
          <w:sz w:val="24"/>
          <w:szCs w:val="24"/>
          <w:lang w:val="en-US"/>
        </w:rPr>
      </w:pPr>
    </w:p>
    <w:p w:rsidR="002A4422" w:rsidRPr="000B477E" w:rsidRDefault="002A4422" w:rsidP="002A4422">
      <w:pPr>
        <w:tabs>
          <w:tab w:val="left" w:pos="851"/>
        </w:tabs>
        <w:ind w:left="851"/>
        <w:rPr>
          <w:sz w:val="24"/>
          <w:szCs w:val="24"/>
          <w:lang w:val="en-US"/>
        </w:rPr>
      </w:pPr>
      <w:r w:rsidRPr="000B477E">
        <w:rPr>
          <w:b/>
          <w:sz w:val="24"/>
          <w:szCs w:val="24"/>
          <w:lang w:val="en-US"/>
        </w:rPr>
        <w:t>Repræsentant</w:t>
      </w:r>
    </w:p>
    <w:p w:rsidR="002A4422" w:rsidRPr="000B477E" w:rsidRDefault="002A4422" w:rsidP="002A4422">
      <w:pPr>
        <w:tabs>
          <w:tab w:val="left" w:pos="851"/>
        </w:tabs>
        <w:ind w:left="851"/>
        <w:rPr>
          <w:sz w:val="24"/>
          <w:szCs w:val="24"/>
          <w:lang w:val="en-US"/>
        </w:rPr>
      </w:pPr>
      <w:r w:rsidRPr="000B477E">
        <w:rPr>
          <w:sz w:val="24"/>
          <w:szCs w:val="24"/>
          <w:lang w:val="en-US"/>
        </w:rPr>
        <w:t>Teva Denmark A/S</w:t>
      </w:r>
    </w:p>
    <w:p w:rsidR="002A4422" w:rsidRPr="000B477E" w:rsidRDefault="002A4422" w:rsidP="002A4422">
      <w:pPr>
        <w:tabs>
          <w:tab w:val="left" w:pos="851"/>
        </w:tabs>
        <w:ind w:left="851"/>
        <w:rPr>
          <w:sz w:val="24"/>
          <w:szCs w:val="24"/>
          <w:lang w:val="en-US"/>
        </w:rPr>
      </w:pPr>
      <w:r w:rsidRPr="000B477E">
        <w:rPr>
          <w:sz w:val="24"/>
          <w:szCs w:val="24"/>
          <w:lang w:val="en-US"/>
        </w:rPr>
        <w:t>Vandtårnsvej 83 A</w:t>
      </w:r>
    </w:p>
    <w:p w:rsidR="002A4422" w:rsidRPr="000B477E" w:rsidRDefault="002A4422" w:rsidP="002A4422">
      <w:pPr>
        <w:tabs>
          <w:tab w:val="left" w:pos="851"/>
        </w:tabs>
        <w:ind w:left="851"/>
        <w:rPr>
          <w:sz w:val="24"/>
          <w:szCs w:val="24"/>
          <w:lang w:val="en-US"/>
        </w:rPr>
      </w:pPr>
      <w:r w:rsidRPr="000B477E">
        <w:rPr>
          <w:sz w:val="24"/>
          <w:szCs w:val="24"/>
          <w:lang w:val="en-US"/>
        </w:rPr>
        <w:t>2860 Søborg</w:t>
      </w:r>
    </w:p>
    <w:p w:rsidR="007C5D2A" w:rsidRPr="00303008" w:rsidRDefault="007C5D2A" w:rsidP="003E0341">
      <w:pPr>
        <w:tabs>
          <w:tab w:val="left" w:pos="851"/>
        </w:tabs>
        <w:ind w:left="851"/>
        <w:jc w:val="both"/>
        <w:rPr>
          <w:sz w:val="24"/>
          <w:szCs w:val="24"/>
          <w:lang w:val="en-GB"/>
        </w:rPr>
      </w:pPr>
    </w:p>
    <w:p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rsidR="000B477E" w:rsidRPr="000B477E" w:rsidRDefault="000B477E" w:rsidP="000B477E">
      <w:pPr>
        <w:tabs>
          <w:tab w:val="left" w:pos="851"/>
          <w:tab w:val="left" w:pos="1701"/>
        </w:tabs>
        <w:ind w:left="851"/>
        <w:rPr>
          <w:sz w:val="24"/>
          <w:szCs w:val="24"/>
          <w:lang w:val="en-US"/>
        </w:rPr>
      </w:pPr>
      <w:r w:rsidRPr="000B477E">
        <w:rPr>
          <w:sz w:val="24"/>
          <w:szCs w:val="24"/>
          <w:lang w:val="en-US"/>
        </w:rPr>
        <w:t>20 mg:</w:t>
      </w:r>
      <w:r w:rsidRPr="000B477E">
        <w:rPr>
          <w:sz w:val="24"/>
          <w:szCs w:val="24"/>
          <w:lang w:val="en-US"/>
        </w:rPr>
        <w:tab/>
        <w:t>61250</w:t>
      </w:r>
    </w:p>
    <w:p w:rsidR="000B477E" w:rsidRPr="000B477E" w:rsidRDefault="000B477E" w:rsidP="000B477E">
      <w:pPr>
        <w:tabs>
          <w:tab w:val="left" w:pos="851"/>
          <w:tab w:val="left" w:pos="1701"/>
        </w:tabs>
        <w:ind w:left="851"/>
        <w:rPr>
          <w:sz w:val="24"/>
          <w:szCs w:val="24"/>
          <w:lang w:val="en-US"/>
        </w:rPr>
      </w:pPr>
      <w:r w:rsidRPr="000B477E">
        <w:rPr>
          <w:sz w:val="24"/>
          <w:szCs w:val="24"/>
          <w:lang w:val="en-US"/>
        </w:rPr>
        <w:t>50 mg:</w:t>
      </w:r>
      <w:r w:rsidRPr="000B477E">
        <w:rPr>
          <w:sz w:val="24"/>
          <w:szCs w:val="24"/>
          <w:lang w:val="en-US"/>
        </w:rPr>
        <w:tab/>
        <w:t>61251</w:t>
      </w:r>
    </w:p>
    <w:p w:rsidR="000B477E" w:rsidRPr="000B477E" w:rsidRDefault="000B477E" w:rsidP="000B477E">
      <w:pPr>
        <w:tabs>
          <w:tab w:val="left" w:pos="851"/>
          <w:tab w:val="left" w:pos="1701"/>
        </w:tabs>
        <w:ind w:left="851"/>
        <w:rPr>
          <w:sz w:val="24"/>
          <w:szCs w:val="24"/>
          <w:lang w:val="en-US"/>
        </w:rPr>
      </w:pPr>
      <w:r w:rsidRPr="000B477E">
        <w:rPr>
          <w:sz w:val="24"/>
          <w:szCs w:val="24"/>
          <w:lang w:val="en-US"/>
        </w:rPr>
        <w:t>70 mg:</w:t>
      </w:r>
      <w:r w:rsidRPr="000B477E">
        <w:rPr>
          <w:sz w:val="24"/>
          <w:szCs w:val="24"/>
          <w:lang w:val="en-US"/>
        </w:rPr>
        <w:tab/>
        <w:t>61252</w:t>
      </w:r>
    </w:p>
    <w:p w:rsidR="000B477E" w:rsidRPr="000B477E" w:rsidRDefault="000B477E" w:rsidP="000B477E">
      <w:pPr>
        <w:tabs>
          <w:tab w:val="left" w:pos="851"/>
          <w:tab w:val="left" w:pos="1701"/>
        </w:tabs>
        <w:ind w:left="851"/>
        <w:rPr>
          <w:sz w:val="24"/>
          <w:szCs w:val="24"/>
          <w:lang w:val="en-US"/>
        </w:rPr>
      </w:pPr>
      <w:r w:rsidRPr="000B477E">
        <w:rPr>
          <w:sz w:val="24"/>
          <w:szCs w:val="24"/>
          <w:lang w:val="en-US"/>
        </w:rPr>
        <w:t>80 mg:</w:t>
      </w:r>
      <w:r w:rsidRPr="000B477E">
        <w:rPr>
          <w:sz w:val="24"/>
          <w:szCs w:val="24"/>
          <w:lang w:val="en-US"/>
        </w:rPr>
        <w:tab/>
        <w:t>61253</w:t>
      </w:r>
    </w:p>
    <w:p w:rsidR="000B477E" w:rsidRPr="00F430C7" w:rsidRDefault="000B477E" w:rsidP="000B477E">
      <w:pPr>
        <w:tabs>
          <w:tab w:val="left" w:pos="851"/>
          <w:tab w:val="left" w:pos="1701"/>
        </w:tabs>
        <w:ind w:left="851"/>
        <w:rPr>
          <w:sz w:val="24"/>
          <w:szCs w:val="24"/>
          <w:lang w:val="en-US"/>
        </w:rPr>
      </w:pPr>
      <w:r w:rsidRPr="00F430C7">
        <w:rPr>
          <w:sz w:val="24"/>
          <w:szCs w:val="24"/>
          <w:lang w:val="en-US"/>
        </w:rPr>
        <w:t>100 mg:</w:t>
      </w:r>
      <w:r w:rsidRPr="00F430C7">
        <w:rPr>
          <w:sz w:val="24"/>
          <w:szCs w:val="24"/>
          <w:lang w:val="en-US"/>
        </w:rPr>
        <w:tab/>
        <w:t>61254</w:t>
      </w:r>
    </w:p>
    <w:p w:rsidR="000B477E" w:rsidRPr="00F430C7" w:rsidRDefault="000B477E" w:rsidP="000B477E">
      <w:pPr>
        <w:tabs>
          <w:tab w:val="left" w:pos="851"/>
          <w:tab w:val="left" w:pos="1701"/>
        </w:tabs>
        <w:ind w:left="851"/>
        <w:rPr>
          <w:sz w:val="24"/>
          <w:szCs w:val="24"/>
          <w:lang w:val="en-US"/>
        </w:rPr>
      </w:pPr>
      <w:r w:rsidRPr="00F430C7">
        <w:rPr>
          <w:sz w:val="24"/>
          <w:szCs w:val="24"/>
          <w:lang w:val="en-US"/>
        </w:rPr>
        <w:t>140 mg:</w:t>
      </w:r>
      <w:r w:rsidRPr="00F430C7">
        <w:rPr>
          <w:sz w:val="24"/>
          <w:szCs w:val="24"/>
          <w:lang w:val="en-US"/>
        </w:rPr>
        <w:tab/>
        <w:t>61255</w:t>
      </w:r>
    </w:p>
    <w:p w:rsidR="007C5D2A" w:rsidRPr="00303008" w:rsidRDefault="007C5D2A" w:rsidP="00180A12">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rsidR="000B477E" w:rsidRPr="00F430C7" w:rsidRDefault="000B477E" w:rsidP="000B477E">
      <w:pPr>
        <w:tabs>
          <w:tab w:val="left" w:pos="851"/>
        </w:tabs>
        <w:ind w:left="851"/>
        <w:rPr>
          <w:sz w:val="24"/>
          <w:szCs w:val="24"/>
          <w:lang w:val="en-US"/>
        </w:rPr>
      </w:pPr>
      <w:r w:rsidRPr="00F430C7">
        <w:rPr>
          <w:sz w:val="24"/>
          <w:szCs w:val="24"/>
          <w:lang w:val="en-US"/>
        </w:rPr>
        <w:t>15 July 2020</w:t>
      </w:r>
    </w:p>
    <w:p w:rsidR="007C5D2A" w:rsidRPr="00303008" w:rsidRDefault="007C5D2A" w:rsidP="003E0341">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rsidR="007C5D2A" w:rsidRPr="00303008" w:rsidRDefault="000B477E" w:rsidP="003E0341">
      <w:pPr>
        <w:tabs>
          <w:tab w:val="left" w:pos="851"/>
        </w:tabs>
        <w:ind w:left="851"/>
        <w:jc w:val="both"/>
        <w:rPr>
          <w:sz w:val="24"/>
          <w:szCs w:val="24"/>
          <w:lang w:val="en-GB"/>
        </w:rPr>
      </w:pPr>
      <w:r>
        <w:rPr>
          <w:sz w:val="24"/>
          <w:szCs w:val="24"/>
          <w:lang w:val="en-GB"/>
        </w:rPr>
        <w:t>14 October 2022</w:t>
      </w:r>
    </w:p>
    <w:sectPr w:rsidR="007C5D2A" w:rsidRPr="00303008" w:rsidSect="004A3BF4">
      <w:headerReference w:type="default" r:id="rId13"/>
      <w:footerReference w:type="default" r:id="rId14"/>
      <w:footerReference w:type="first" r:id="rId15"/>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0C7" w:rsidRDefault="00F430C7">
      <w:r>
        <w:separator/>
      </w:r>
    </w:p>
  </w:endnote>
  <w:endnote w:type="continuationSeparator" w:id="0">
    <w:p w:rsidR="00F430C7" w:rsidRDefault="00F43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0C7" w:rsidRDefault="00F430C7">
    <w:pPr>
      <w:pStyle w:val="Sidefod"/>
      <w:pBdr>
        <w:bottom w:val="single" w:sz="6" w:space="1" w:color="auto"/>
      </w:pBdr>
    </w:pPr>
  </w:p>
  <w:p w:rsidR="00F430C7" w:rsidRDefault="00F430C7">
    <w:pPr>
      <w:pStyle w:val="Sidefod"/>
      <w:tabs>
        <w:tab w:val="clear" w:pos="4819"/>
        <w:tab w:val="left" w:pos="8647"/>
      </w:tabs>
      <w:rPr>
        <w:i/>
        <w:snapToGrid w:val="0"/>
        <w:sz w:val="18"/>
      </w:rPr>
    </w:pPr>
  </w:p>
  <w:p w:rsidR="00F430C7" w:rsidRDefault="00F430C7"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Dasatinib Teva B.V., filmovertrukne tabletter 20 mg, 50 mg, 70 mg, 80 mg, 100 mg og 140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0C7" w:rsidRDefault="00F430C7">
    <w:pPr>
      <w:pStyle w:val="Sidefod"/>
      <w:pBdr>
        <w:bottom w:val="single" w:sz="6" w:space="1" w:color="auto"/>
      </w:pBdr>
      <w:tabs>
        <w:tab w:val="clear" w:pos="4819"/>
        <w:tab w:val="left" w:pos="8789"/>
      </w:tabs>
      <w:rPr>
        <w:i/>
        <w:snapToGrid w:val="0"/>
        <w:sz w:val="18"/>
      </w:rPr>
    </w:pPr>
  </w:p>
  <w:p w:rsidR="00F430C7" w:rsidRDefault="00F430C7">
    <w:pPr>
      <w:pStyle w:val="Sidefod"/>
      <w:tabs>
        <w:tab w:val="clear" w:pos="4819"/>
        <w:tab w:val="left" w:pos="8789"/>
      </w:tabs>
      <w:rPr>
        <w:i/>
        <w:snapToGrid w:val="0"/>
        <w:sz w:val="18"/>
      </w:rPr>
    </w:pPr>
  </w:p>
  <w:p w:rsidR="00F430C7" w:rsidRDefault="00F430C7">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Dasatinib Teva B.V., filmovertrukne tabletter 20 mg, 50 mg, 70 mg, 80 mg, 100 mg og 140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p w:rsidR="00F430C7" w:rsidRDefault="00F430C7"/>
  <w:p w:rsidR="00F430C7" w:rsidRDefault="00F430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0C7" w:rsidRDefault="00F430C7">
      <w:r>
        <w:separator/>
      </w:r>
    </w:p>
  </w:footnote>
  <w:footnote w:type="continuationSeparator" w:id="0">
    <w:p w:rsidR="00F430C7" w:rsidRDefault="00F43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0C7" w:rsidRDefault="00F430C7">
    <w:pPr>
      <w:pStyle w:val="Sidehoved"/>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C2312E1"/>
    <w:multiLevelType w:val="hybridMultilevel"/>
    <w:tmpl w:val="0B2AC26C"/>
    <w:lvl w:ilvl="0" w:tplc="4D3C8324">
      <w:numFmt w:val="bullet"/>
      <w:lvlText w:val=""/>
      <w:lvlJc w:val="left"/>
      <w:pPr>
        <w:ind w:left="472" w:hanging="339"/>
      </w:pPr>
      <w:rPr>
        <w:rFonts w:ascii="Wingdings" w:eastAsia="Wingdings" w:hAnsi="Wingdings" w:cs="Wingdings" w:hint="default"/>
        <w:w w:val="103"/>
        <w:sz w:val="20"/>
        <w:szCs w:val="20"/>
      </w:rPr>
    </w:lvl>
    <w:lvl w:ilvl="1" w:tplc="698A4AD6">
      <w:numFmt w:val="bullet"/>
      <w:lvlText w:val="•"/>
      <w:lvlJc w:val="left"/>
      <w:pPr>
        <w:ind w:left="1312" w:hanging="339"/>
      </w:pPr>
    </w:lvl>
    <w:lvl w:ilvl="2" w:tplc="7EF0413A">
      <w:numFmt w:val="bullet"/>
      <w:lvlText w:val="•"/>
      <w:lvlJc w:val="left"/>
      <w:pPr>
        <w:ind w:left="2144" w:hanging="339"/>
      </w:pPr>
    </w:lvl>
    <w:lvl w:ilvl="3" w:tplc="A6327A90">
      <w:numFmt w:val="bullet"/>
      <w:lvlText w:val="•"/>
      <w:lvlJc w:val="left"/>
      <w:pPr>
        <w:ind w:left="2976" w:hanging="339"/>
      </w:pPr>
    </w:lvl>
    <w:lvl w:ilvl="4" w:tplc="6EA89D2A">
      <w:numFmt w:val="bullet"/>
      <w:lvlText w:val="•"/>
      <w:lvlJc w:val="left"/>
      <w:pPr>
        <w:ind w:left="3808" w:hanging="339"/>
      </w:pPr>
    </w:lvl>
    <w:lvl w:ilvl="5" w:tplc="E2F0B2EA">
      <w:numFmt w:val="bullet"/>
      <w:lvlText w:val="•"/>
      <w:lvlJc w:val="left"/>
      <w:pPr>
        <w:ind w:left="4640" w:hanging="339"/>
      </w:pPr>
    </w:lvl>
    <w:lvl w:ilvl="6" w:tplc="4F9C7D9E">
      <w:numFmt w:val="bullet"/>
      <w:lvlText w:val="•"/>
      <w:lvlJc w:val="left"/>
      <w:pPr>
        <w:ind w:left="5472" w:hanging="339"/>
      </w:pPr>
    </w:lvl>
    <w:lvl w:ilvl="7" w:tplc="8A6CDEC8">
      <w:numFmt w:val="bullet"/>
      <w:lvlText w:val="•"/>
      <w:lvlJc w:val="left"/>
      <w:pPr>
        <w:ind w:left="6304" w:hanging="339"/>
      </w:pPr>
    </w:lvl>
    <w:lvl w:ilvl="8" w:tplc="2D8004A2">
      <w:numFmt w:val="bullet"/>
      <w:lvlText w:val="•"/>
      <w:lvlJc w:val="left"/>
      <w:pPr>
        <w:ind w:left="7136" w:hanging="339"/>
      </w:pPr>
    </w:lvl>
  </w:abstractNum>
  <w:abstractNum w:abstractNumId="4" w15:restartNumberingAfterBreak="0">
    <w:nsid w:val="1C521A75"/>
    <w:multiLevelType w:val="multilevel"/>
    <w:tmpl w:val="BDC27008"/>
    <w:lvl w:ilvl="0">
      <w:start w:val="1"/>
      <w:numFmt w:val="decimal"/>
      <w:lvlText w:val="%1."/>
      <w:lvlJc w:val="left"/>
      <w:pPr>
        <w:ind w:left="668" w:hanging="535"/>
      </w:pPr>
      <w:rPr>
        <w:rFonts w:ascii="Times New Roman" w:eastAsia="Times New Roman" w:hAnsi="Times New Roman" w:cs="Times New Roman" w:hint="default"/>
        <w:b/>
        <w:bCs/>
        <w:w w:val="103"/>
        <w:sz w:val="20"/>
        <w:szCs w:val="20"/>
      </w:rPr>
    </w:lvl>
    <w:lvl w:ilvl="1">
      <w:start w:val="1"/>
      <w:numFmt w:val="decimal"/>
      <w:lvlText w:val="%1.%2"/>
      <w:lvlJc w:val="left"/>
      <w:pPr>
        <w:ind w:left="667" w:hanging="534"/>
      </w:pPr>
      <w:rPr>
        <w:rFonts w:ascii="Times New Roman" w:eastAsia="Times New Roman" w:hAnsi="Times New Roman" w:cs="Times New Roman" w:hint="default"/>
        <w:b/>
        <w:bCs/>
        <w:spacing w:val="-1"/>
        <w:w w:val="103"/>
        <w:sz w:val="20"/>
        <w:szCs w:val="20"/>
      </w:rPr>
    </w:lvl>
    <w:lvl w:ilvl="2">
      <w:numFmt w:val="bullet"/>
      <w:lvlText w:val=""/>
      <w:lvlJc w:val="left"/>
      <w:pPr>
        <w:ind w:left="812" w:hanging="340"/>
      </w:pPr>
      <w:rPr>
        <w:rFonts w:ascii="Symbol" w:eastAsia="Symbol" w:hAnsi="Symbol" w:cs="Symbol" w:hint="default"/>
        <w:w w:val="103"/>
        <w:sz w:val="20"/>
        <w:szCs w:val="20"/>
      </w:rPr>
    </w:lvl>
    <w:lvl w:ilvl="3">
      <w:numFmt w:val="bullet"/>
      <w:lvlText w:val="•"/>
      <w:lvlJc w:val="left"/>
      <w:pPr>
        <w:ind w:left="2657" w:hanging="340"/>
      </w:pPr>
    </w:lvl>
    <w:lvl w:ilvl="4">
      <w:numFmt w:val="bullet"/>
      <w:lvlText w:val="•"/>
      <w:lvlJc w:val="left"/>
      <w:pPr>
        <w:ind w:left="3535" w:hanging="340"/>
      </w:pPr>
    </w:lvl>
    <w:lvl w:ilvl="5">
      <w:numFmt w:val="bullet"/>
      <w:lvlText w:val="•"/>
      <w:lvlJc w:val="left"/>
      <w:pPr>
        <w:ind w:left="4412" w:hanging="340"/>
      </w:pPr>
    </w:lvl>
    <w:lvl w:ilvl="6">
      <w:numFmt w:val="bullet"/>
      <w:lvlText w:val="•"/>
      <w:lvlJc w:val="left"/>
      <w:pPr>
        <w:ind w:left="5290" w:hanging="340"/>
      </w:pPr>
    </w:lvl>
    <w:lvl w:ilvl="7">
      <w:numFmt w:val="bullet"/>
      <w:lvlText w:val="•"/>
      <w:lvlJc w:val="left"/>
      <w:pPr>
        <w:ind w:left="6167" w:hanging="340"/>
      </w:pPr>
    </w:lvl>
    <w:lvl w:ilvl="8">
      <w:numFmt w:val="bullet"/>
      <w:lvlText w:val="•"/>
      <w:lvlJc w:val="left"/>
      <w:pPr>
        <w:ind w:left="7045" w:hanging="340"/>
      </w:pPr>
    </w:lvl>
  </w:abstractNum>
  <w:abstractNum w:abstractNumId="5" w15:restartNumberingAfterBreak="0">
    <w:nsid w:val="30E634AD"/>
    <w:multiLevelType w:val="hybridMultilevel"/>
    <w:tmpl w:val="4068381E"/>
    <w:lvl w:ilvl="0" w:tplc="49A477F8">
      <w:numFmt w:val="bullet"/>
      <w:lvlText w:val=""/>
      <w:lvlJc w:val="left"/>
      <w:pPr>
        <w:ind w:left="684" w:hanging="568"/>
      </w:pPr>
      <w:rPr>
        <w:rFonts w:ascii="Wingdings" w:eastAsia="Wingdings" w:hAnsi="Wingdings" w:cs="Wingdings" w:hint="default"/>
        <w:w w:val="99"/>
        <w:sz w:val="22"/>
        <w:szCs w:val="22"/>
      </w:rPr>
    </w:lvl>
    <w:lvl w:ilvl="1" w:tplc="C23052BA">
      <w:numFmt w:val="bullet"/>
      <w:lvlText w:val="•"/>
      <w:lvlJc w:val="left"/>
      <w:pPr>
        <w:ind w:left="1542" w:hanging="568"/>
      </w:pPr>
    </w:lvl>
    <w:lvl w:ilvl="2" w:tplc="FC5CE19E">
      <w:numFmt w:val="bullet"/>
      <w:lvlText w:val="•"/>
      <w:lvlJc w:val="left"/>
      <w:pPr>
        <w:ind w:left="2404" w:hanging="568"/>
      </w:pPr>
    </w:lvl>
    <w:lvl w:ilvl="3" w:tplc="05DC4AEA">
      <w:numFmt w:val="bullet"/>
      <w:lvlText w:val="•"/>
      <w:lvlJc w:val="left"/>
      <w:pPr>
        <w:ind w:left="3267" w:hanging="568"/>
      </w:pPr>
    </w:lvl>
    <w:lvl w:ilvl="4" w:tplc="7CEE4574">
      <w:numFmt w:val="bullet"/>
      <w:lvlText w:val="•"/>
      <w:lvlJc w:val="left"/>
      <w:pPr>
        <w:ind w:left="4129" w:hanging="568"/>
      </w:pPr>
    </w:lvl>
    <w:lvl w:ilvl="5" w:tplc="EC4E30B4">
      <w:numFmt w:val="bullet"/>
      <w:lvlText w:val="•"/>
      <w:lvlJc w:val="left"/>
      <w:pPr>
        <w:ind w:left="4992" w:hanging="568"/>
      </w:pPr>
    </w:lvl>
    <w:lvl w:ilvl="6" w:tplc="D6A03130">
      <w:numFmt w:val="bullet"/>
      <w:lvlText w:val="•"/>
      <w:lvlJc w:val="left"/>
      <w:pPr>
        <w:ind w:left="5854" w:hanging="568"/>
      </w:pPr>
    </w:lvl>
    <w:lvl w:ilvl="7" w:tplc="6EA679B4">
      <w:numFmt w:val="bullet"/>
      <w:lvlText w:val="•"/>
      <w:lvlJc w:val="left"/>
      <w:pPr>
        <w:ind w:left="6717" w:hanging="568"/>
      </w:pPr>
    </w:lvl>
    <w:lvl w:ilvl="8" w:tplc="6D721816">
      <w:numFmt w:val="bullet"/>
      <w:lvlText w:val="•"/>
      <w:lvlJc w:val="left"/>
      <w:pPr>
        <w:ind w:left="7579" w:hanging="568"/>
      </w:pPr>
    </w:lvl>
  </w:abstractNum>
  <w:abstractNum w:abstractNumId="6" w15:restartNumberingAfterBreak="0">
    <w:nsid w:val="52D86A6E"/>
    <w:multiLevelType w:val="hybridMultilevel"/>
    <w:tmpl w:val="BA12E708"/>
    <w:lvl w:ilvl="0" w:tplc="DF66E370">
      <w:start w:val="1"/>
      <w:numFmt w:val="decimal"/>
      <w:lvlText w:val="%1."/>
      <w:lvlJc w:val="left"/>
      <w:pPr>
        <w:ind w:left="97" w:hanging="207"/>
      </w:pPr>
      <w:rPr>
        <w:rFonts w:ascii="Times New Roman" w:eastAsia="Times New Roman" w:hAnsi="Times New Roman" w:cs="Times New Roman" w:hint="default"/>
        <w:spacing w:val="-2"/>
        <w:w w:val="103"/>
        <w:sz w:val="20"/>
        <w:szCs w:val="20"/>
      </w:rPr>
    </w:lvl>
    <w:lvl w:ilvl="1" w:tplc="C97A00FE">
      <w:numFmt w:val="bullet"/>
      <w:lvlText w:val="•"/>
      <w:lvlJc w:val="left"/>
      <w:pPr>
        <w:ind w:left="348" w:hanging="207"/>
      </w:pPr>
    </w:lvl>
    <w:lvl w:ilvl="2" w:tplc="67188302">
      <w:numFmt w:val="bullet"/>
      <w:lvlText w:val="•"/>
      <w:lvlJc w:val="left"/>
      <w:pPr>
        <w:ind w:left="596" w:hanging="207"/>
      </w:pPr>
    </w:lvl>
    <w:lvl w:ilvl="3" w:tplc="6FFA6728">
      <w:numFmt w:val="bullet"/>
      <w:lvlText w:val="•"/>
      <w:lvlJc w:val="left"/>
      <w:pPr>
        <w:ind w:left="844" w:hanging="207"/>
      </w:pPr>
    </w:lvl>
    <w:lvl w:ilvl="4" w:tplc="C0728426">
      <w:numFmt w:val="bullet"/>
      <w:lvlText w:val="•"/>
      <w:lvlJc w:val="left"/>
      <w:pPr>
        <w:ind w:left="1093" w:hanging="207"/>
      </w:pPr>
    </w:lvl>
    <w:lvl w:ilvl="5" w:tplc="42FE8944">
      <w:numFmt w:val="bullet"/>
      <w:lvlText w:val="•"/>
      <w:lvlJc w:val="left"/>
      <w:pPr>
        <w:ind w:left="1341" w:hanging="207"/>
      </w:pPr>
    </w:lvl>
    <w:lvl w:ilvl="6" w:tplc="6C3CC65C">
      <w:numFmt w:val="bullet"/>
      <w:lvlText w:val="•"/>
      <w:lvlJc w:val="left"/>
      <w:pPr>
        <w:ind w:left="1589" w:hanging="207"/>
      </w:pPr>
    </w:lvl>
    <w:lvl w:ilvl="7" w:tplc="6152F01C">
      <w:numFmt w:val="bullet"/>
      <w:lvlText w:val="•"/>
      <w:lvlJc w:val="left"/>
      <w:pPr>
        <w:ind w:left="1838" w:hanging="207"/>
      </w:pPr>
    </w:lvl>
    <w:lvl w:ilvl="8" w:tplc="158E2BAC">
      <w:numFmt w:val="bullet"/>
      <w:lvlText w:val="•"/>
      <w:lvlJc w:val="left"/>
      <w:pPr>
        <w:ind w:left="2086" w:hanging="207"/>
      </w:pPr>
    </w:lvl>
  </w:abstractNum>
  <w:abstractNum w:abstractNumId="7" w15:restartNumberingAfterBreak="0">
    <w:nsid w:val="591A7C9C"/>
    <w:multiLevelType w:val="hybridMultilevel"/>
    <w:tmpl w:val="A536934E"/>
    <w:lvl w:ilvl="0" w:tplc="ADB20FDC">
      <w:start w:val="1"/>
      <w:numFmt w:val="decimal"/>
      <w:lvlText w:val="%1"/>
      <w:lvlJc w:val="left"/>
      <w:pPr>
        <w:ind w:left="359" w:hanging="264"/>
      </w:pPr>
      <w:rPr>
        <w:rFonts w:ascii="Times New Roman" w:eastAsia="Times New Roman" w:hAnsi="Times New Roman" w:cs="Times New Roman" w:hint="default"/>
        <w:w w:val="103"/>
        <w:sz w:val="20"/>
        <w:szCs w:val="20"/>
      </w:rPr>
    </w:lvl>
    <w:lvl w:ilvl="1" w:tplc="BC78D484">
      <w:numFmt w:val="bullet"/>
      <w:lvlText w:val="•"/>
      <w:lvlJc w:val="left"/>
      <w:pPr>
        <w:ind w:left="745" w:hanging="264"/>
      </w:pPr>
    </w:lvl>
    <w:lvl w:ilvl="2" w:tplc="7DCEE4F6">
      <w:numFmt w:val="bullet"/>
      <w:lvlText w:val="•"/>
      <w:lvlJc w:val="left"/>
      <w:pPr>
        <w:ind w:left="1131" w:hanging="264"/>
      </w:pPr>
    </w:lvl>
    <w:lvl w:ilvl="3" w:tplc="66625804">
      <w:numFmt w:val="bullet"/>
      <w:lvlText w:val="•"/>
      <w:lvlJc w:val="left"/>
      <w:pPr>
        <w:ind w:left="1516" w:hanging="264"/>
      </w:pPr>
    </w:lvl>
    <w:lvl w:ilvl="4" w:tplc="E91A1344">
      <w:numFmt w:val="bullet"/>
      <w:lvlText w:val="•"/>
      <w:lvlJc w:val="left"/>
      <w:pPr>
        <w:ind w:left="1902" w:hanging="264"/>
      </w:pPr>
    </w:lvl>
    <w:lvl w:ilvl="5" w:tplc="96EC5556">
      <w:numFmt w:val="bullet"/>
      <w:lvlText w:val="•"/>
      <w:lvlJc w:val="left"/>
      <w:pPr>
        <w:ind w:left="2287" w:hanging="264"/>
      </w:pPr>
    </w:lvl>
    <w:lvl w:ilvl="6" w:tplc="34341200">
      <w:numFmt w:val="bullet"/>
      <w:lvlText w:val="•"/>
      <w:lvlJc w:val="left"/>
      <w:pPr>
        <w:ind w:left="2673" w:hanging="264"/>
      </w:pPr>
    </w:lvl>
    <w:lvl w:ilvl="7" w:tplc="038A0F52">
      <w:numFmt w:val="bullet"/>
      <w:lvlText w:val="•"/>
      <w:lvlJc w:val="left"/>
      <w:pPr>
        <w:ind w:left="3059" w:hanging="264"/>
      </w:pPr>
    </w:lvl>
    <w:lvl w:ilvl="8" w:tplc="FC0CEE30">
      <w:numFmt w:val="bullet"/>
      <w:lvlText w:val="•"/>
      <w:lvlJc w:val="left"/>
      <w:pPr>
        <w:ind w:left="3444" w:hanging="264"/>
      </w:pPr>
    </w:lvl>
  </w:abstractNum>
  <w:abstractNum w:abstractNumId="8"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9" w15:restartNumberingAfterBreak="0">
    <w:nsid w:val="6FBB233B"/>
    <w:multiLevelType w:val="hybridMultilevel"/>
    <w:tmpl w:val="72CC5752"/>
    <w:lvl w:ilvl="0" w:tplc="6D362C64">
      <w:start w:val="1"/>
      <w:numFmt w:val="decimal"/>
      <w:lvlText w:val="%1"/>
      <w:lvlJc w:val="left"/>
      <w:pPr>
        <w:ind w:left="359" w:hanging="264"/>
      </w:pPr>
      <w:rPr>
        <w:rFonts w:ascii="Times New Roman" w:eastAsia="Times New Roman" w:hAnsi="Times New Roman" w:cs="Times New Roman" w:hint="default"/>
        <w:w w:val="103"/>
        <w:sz w:val="20"/>
        <w:szCs w:val="20"/>
      </w:rPr>
    </w:lvl>
    <w:lvl w:ilvl="1" w:tplc="79D43282">
      <w:numFmt w:val="bullet"/>
      <w:lvlText w:val="•"/>
      <w:lvlJc w:val="left"/>
      <w:pPr>
        <w:ind w:left="745" w:hanging="264"/>
      </w:pPr>
    </w:lvl>
    <w:lvl w:ilvl="2" w:tplc="2B00F6A6">
      <w:numFmt w:val="bullet"/>
      <w:lvlText w:val="•"/>
      <w:lvlJc w:val="left"/>
      <w:pPr>
        <w:ind w:left="1131" w:hanging="264"/>
      </w:pPr>
    </w:lvl>
    <w:lvl w:ilvl="3" w:tplc="E068A942">
      <w:numFmt w:val="bullet"/>
      <w:lvlText w:val="•"/>
      <w:lvlJc w:val="left"/>
      <w:pPr>
        <w:ind w:left="1516" w:hanging="264"/>
      </w:pPr>
    </w:lvl>
    <w:lvl w:ilvl="4" w:tplc="FC62E66A">
      <w:numFmt w:val="bullet"/>
      <w:lvlText w:val="•"/>
      <w:lvlJc w:val="left"/>
      <w:pPr>
        <w:ind w:left="1902" w:hanging="264"/>
      </w:pPr>
    </w:lvl>
    <w:lvl w:ilvl="5" w:tplc="2CBED756">
      <w:numFmt w:val="bullet"/>
      <w:lvlText w:val="•"/>
      <w:lvlJc w:val="left"/>
      <w:pPr>
        <w:ind w:left="2287" w:hanging="264"/>
      </w:pPr>
    </w:lvl>
    <w:lvl w:ilvl="6" w:tplc="BAF85FA8">
      <w:numFmt w:val="bullet"/>
      <w:lvlText w:val="•"/>
      <w:lvlJc w:val="left"/>
      <w:pPr>
        <w:ind w:left="2673" w:hanging="264"/>
      </w:pPr>
    </w:lvl>
    <w:lvl w:ilvl="7" w:tplc="19DA1EE2">
      <w:numFmt w:val="bullet"/>
      <w:lvlText w:val="•"/>
      <w:lvlJc w:val="left"/>
      <w:pPr>
        <w:ind w:left="3059" w:hanging="264"/>
      </w:pPr>
    </w:lvl>
    <w:lvl w:ilvl="8" w:tplc="0C4C152C">
      <w:numFmt w:val="bullet"/>
      <w:lvlText w:val="•"/>
      <w:lvlJc w:val="left"/>
      <w:pPr>
        <w:ind w:left="3444" w:hanging="264"/>
      </w:pPr>
    </w:lvl>
  </w:abstractNum>
  <w:num w:numId="1">
    <w:abstractNumId w:val="2"/>
  </w:num>
  <w:num w:numId="2">
    <w:abstractNumId w:val="0"/>
  </w:num>
  <w:num w:numId="3">
    <w:abstractNumId w:val="8"/>
  </w:num>
  <w:num w:numId="4">
    <w:abstractNumId w:val="1"/>
  </w:num>
  <w:num w:numId="5">
    <w:abstractNumId w:val="5"/>
  </w:num>
  <w:num w:numId="6">
    <w:abstractNumId w:val="3"/>
  </w:num>
  <w:num w:numId="7">
    <w:abstractNumId w:val="7"/>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9"/>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6"/>
    <w:lvlOverride w:ilvl="0">
      <w:startOverride w:val="1"/>
    </w:lvlOverride>
    <w:lvlOverride w:ilvl="1"/>
    <w:lvlOverride w:ilvl="2"/>
    <w:lvlOverride w:ilvl="3"/>
    <w:lvlOverride w:ilvl="4"/>
    <w:lvlOverride w:ilvl="5"/>
    <w:lvlOverride w:ilvl="6"/>
    <w:lvlOverride w:ilvl="7"/>
    <w:lvlOverride w:ilvl="8"/>
  </w:num>
  <w:num w:numId="13">
    <w:abstractNumId w:val="4"/>
  </w:num>
  <w:num w:numId="14">
    <w:abstractNumId w:val="4"/>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AE8"/>
    <w:rsid w:val="00056601"/>
    <w:rsid w:val="000A2E6A"/>
    <w:rsid w:val="000B477E"/>
    <w:rsid w:val="000C3846"/>
    <w:rsid w:val="000C6218"/>
    <w:rsid w:val="000D3C9D"/>
    <w:rsid w:val="000E0BC4"/>
    <w:rsid w:val="000F0D47"/>
    <w:rsid w:val="001242DE"/>
    <w:rsid w:val="00150BAF"/>
    <w:rsid w:val="00161F32"/>
    <w:rsid w:val="00180A12"/>
    <w:rsid w:val="001C490D"/>
    <w:rsid w:val="001E3217"/>
    <w:rsid w:val="001E7BF3"/>
    <w:rsid w:val="001F2598"/>
    <w:rsid w:val="00214331"/>
    <w:rsid w:val="00214CF4"/>
    <w:rsid w:val="0026246B"/>
    <w:rsid w:val="00281F03"/>
    <w:rsid w:val="00283950"/>
    <w:rsid w:val="00283E9C"/>
    <w:rsid w:val="0029458A"/>
    <w:rsid w:val="00297257"/>
    <w:rsid w:val="002A1587"/>
    <w:rsid w:val="002A4422"/>
    <w:rsid w:val="002B27C5"/>
    <w:rsid w:val="00303008"/>
    <w:rsid w:val="00373B55"/>
    <w:rsid w:val="003D727E"/>
    <w:rsid w:val="003E0341"/>
    <w:rsid w:val="003E3402"/>
    <w:rsid w:val="003F4736"/>
    <w:rsid w:val="00401B49"/>
    <w:rsid w:val="00405FB3"/>
    <w:rsid w:val="0042292D"/>
    <w:rsid w:val="00440254"/>
    <w:rsid w:val="00485DC5"/>
    <w:rsid w:val="004860D3"/>
    <w:rsid w:val="004A3BF4"/>
    <w:rsid w:val="004A5DB3"/>
    <w:rsid w:val="004D4F38"/>
    <w:rsid w:val="005152D9"/>
    <w:rsid w:val="00516B1F"/>
    <w:rsid w:val="00533AD4"/>
    <w:rsid w:val="00534849"/>
    <w:rsid w:val="00557D18"/>
    <w:rsid w:val="00560102"/>
    <w:rsid w:val="00562EA1"/>
    <w:rsid w:val="005F73E8"/>
    <w:rsid w:val="00617BB8"/>
    <w:rsid w:val="0065500C"/>
    <w:rsid w:val="00680052"/>
    <w:rsid w:val="0068259F"/>
    <w:rsid w:val="00683267"/>
    <w:rsid w:val="006844E9"/>
    <w:rsid w:val="00694396"/>
    <w:rsid w:val="006B3847"/>
    <w:rsid w:val="00723146"/>
    <w:rsid w:val="00744901"/>
    <w:rsid w:val="0075453D"/>
    <w:rsid w:val="007A4CC6"/>
    <w:rsid w:val="007B2E0D"/>
    <w:rsid w:val="007C3623"/>
    <w:rsid w:val="007C5D2A"/>
    <w:rsid w:val="007D03DD"/>
    <w:rsid w:val="007D622B"/>
    <w:rsid w:val="007E43C8"/>
    <w:rsid w:val="007F1E00"/>
    <w:rsid w:val="008400E3"/>
    <w:rsid w:val="00864538"/>
    <w:rsid w:val="00873B4F"/>
    <w:rsid w:val="00877F09"/>
    <w:rsid w:val="008D07B3"/>
    <w:rsid w:val="008E51AE"/>
    <w:rsid w:val="008F2F8C"/>
    <w:rsid w:val="008F6A24"/>
    <w:rsid w:val="00912C4D"/>
    <w:rsid w:val="009514CD"/>
    <w:rsid w:val="009611C5"/>
    <w:rsid w:val="00990C2D"/>
    <w:rsid w:val="009925C9"/>
    <w:rsid w:val="009C2BAC"/>
    <w:rsid w:val="009D079D"/>
    <w:rsid w:val="009E30BA"/>
    <w:rsid w:val="00A02C2D"/>
    <w:rsid w:val="00A179D0"/>
    <w:rsid w:val="00A358A3"/>
    <w:rsid w:val="00A46747"/>
    <w:rsid w:val="00A51110"/>
    <w:rsid w:val="00A80446"/>
    <w:rsid w:val="00A85D26"/>
    <w:rsid w:val="00A90DBB"/>
    <w:rsid w:val="00A9153A"/>
    <w:rsid w:val="00AB4376"/>
    <w:rsid w:val="00AC033C"/>
    <w:rsid w:val="00AD2E36"/>
    <w:rsid w:val="00B63BAA"/>
    <w:rsid w:val="00BD3490"/>
    <w:rsid w:val="00C152FD"/>
    <w:rsid w:val="00C26226"/>
    <w:rsid w:val="00C3571D"/>
    <w:rsid w:val="00C47EB1"/>
    <w:rsid w:val="00C54F0B"/>
    <w:rsid w:val="00C82621"/>
    <w:rsid w:val="00CB1423"/>
    <w:rsid w:val="00CD038B"/>
    <w:rsid w:val="00CD50DC"/>
    <w:rsid w:val="00D02508"/>
    <w:rsid w:val="00D2165A"/>
    <w:rsid w:val="00D40B15"/>
    <w:rsid w:val="00D778CC"/>
    <w:rsid w:val="00D82FE9"/>
    <w:rsid w:val="00D97B77"/>
    <w:rsid w:val="00DB6A85"/>
    <w:rsid w:val="00DD4157"/>
    <w:rsid w:val="00DF4B99"/>
    <w:rsid w:val="00E06B32"/>
    <w:rsid w:val="00E1290F"/>
    <w:rsid w:val="00E36A80"/>
    <w:rsid w:val="00EB21D7"/>
    <w:rsid w:val="00ED33A4"/>
    <w:rsid w:val="00EE3EB7"/>
    <w:rsid w:val="00F430C7"/>
    <w:rsid w:val="00F43529"/>
    <w:rsid w:val="00F57E16"/>
    <w:rsid w:val="00F60336"/>
    <w:rsid w:val="00FD226A"/>
    <w:rsid w:val="00FD652E"/>
    <w:rsid w:val="00FF04C4"/>
    <w:rsid w:val="00FF7A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DACCF"/>
  <w15:chartTrackingRefBased/>
  <w15:docId w15:val="{B38B2598-8EAC-4F2A-9FAA-CB3AA163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basedOn w:val="Normal"/>
    <w:link w:val="Overskrift1Tegn"/>
    <w:uiPriority w:val="1"/>
    <w:qFormat/>
    <w:rsid w:val="00150BAF"/>
    <w:pPr>
      <w:widowControl w:val="0"/>
      <w:autoSpaceDE w:val="0"/>
      <w:autoSpaceDN w:val="0"/>
      <w:ind w:left="667"/>
      <w:outlineLvl w:val="0"/>
    </w:pPr>
    <w:rPr>
      <w:b/>
      <w:bCs/>
      <w:sz w:val="20"/>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link w:val="SidehovedTegn"/>
    <w:uiPriority w:val="99"/>
    <w:rsid w:val="00373B55"/>
    <w:pPr>
      <w:tabs>
        <w:tab w:val="center" w:pos="4819"/>
        <w:tab w:val="right" w:pos="9638"/>
      </w:tabs>
    </w:pPr>
    <w:rPr>
      <w:sz w:val="24"/>
    </w:rPr>
  </w:style>
  <w:style w:type="paragraph" w:styleId="Sidefod">
    <w:name w:val="footer"/>
    <w:basedOn w:val="Normal"/>
    <w:link w:val="SidefodTegn"/>
    <w:uiPriority w:val="99"/>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uiPriority w:val="99"/>
    <w:semiHidden/>
    <w:rsid w:val="00373B55"/>
    <w:rPr>
      <w:sz w:val="16"/>
    </w:rPr>
  </w:style>
  <w:style w:type="paragraph" w:styleId="Kommentartekst">
    <w:name w:val="annotation text"/>
    <w:basedOn w:val="Normal"/>
    <w:link w:val="KommentartekstTegn"/>
    <w:uiPriority w:val="99"/>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uiPriority w:val="99"/>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customStyle="1" w:styleId="Overskrift1Tegn">
    <w:name w:val="Overskrift 1 Tegn"/>
    <w:basedOn w:val="Standardskrifttypeiafsnit"/>
    <w:link w:val="Overskrift1"/>
    <w:uiPriority w:val="1"/>
    <w:rsid w:val="00150BAF"/>
    <w:rPr>
      <w:b/>
      <w:bCs/>
      <w:lang w:val="en-US" w:eastAsia="en-US"/>
    </w:rPr>
  </w:style>
  <w:style w:type="paragraph" w:customStyle="1" w:styleId="msonormal0">
    <w:name w:val="msonormal"/>
    <w:basedOn w:val="Normal"/>
    <w:rsid w:val="00150BAF"/>
    <w:pPr>
      <w:spacing w:before="100" w:beforeAutospacing="1" w:after="100" w:afterAutospacing="1"/>
    </w:pPr>
    <w:rPr>
      <w:sz w:val="24"/>
      <w:szCs w:val="24"/>
    </w:rPr>
  </w:style>
  <w:style w:type="character" w:customStyle="1" w:styleId="SidehovedTegn">
    <w:name w:val="Sidehoved Tegn"/>
    <w:basedOn w:val="Standardskrifttypeiafsnit"/>
    <w:link w:val="Sidehoved"/>
    <w:uiPriority w:val="99"/>
    <w:rsid w:val="00150BAF"/>
    <w:rPr>
      <w:sz w:val="24"/>
    </w:rPr>
  </w:style>
  <w:style w:type="character" w:customStyle="1" w:styleId="SidefodTegn">
    <w:name w:val="Sidefod Tegn"/>
    <w:basedOn w:val="Standardskrifttypeiafsnit"/>
    <w:link w:val="Sidefod"/>
    <w:uiPriority w:val="99"/>
    <w:rsid w:val="00150BAF"/>
    <w:rPr>
      <w:sz w:val="24"/>
    </w:rPr>
  </w:style>
  <w:style w:type="paragraph" w:styleId="Brdtekst">
    <w:name w:val="Body Text"/>
    <w:basedOn w:val="Normal"/>
    <w:link w:val="BrdtekstTegn"/>
    <w:uiPriority w:val="1"/>
    <w:semiHidden/>
    <w:unhideWhenUsed/>
    <w:qFormat/>
    <w:rsid w:val="00150BAF"/>
    <w:pPr>
      <w:widowControl w:val="0"/>
      <w:autoSpaceDE w:val="0"/>
      <w:autoSpaceDN w:val="0"/>
    </w:pPr>
    <w:rPr>
      <w:sz w:val="20"/>
      <w:lang w:val="en-US" w:eastAsia="en-US"/>
    </w:rPr>
  </w:style>
  <w:style w:type="character" w:customStyle="1" w:styleId="BrdtekstTegn">
    <w:name w:val="Brødtekst Tegn"/>
    <w:basedOn w:val="Standardskrifttypeiafsnit"/>
    <w:link w:val="Brdtekst"/>
    <w:uiPriority w:val="1"/>
    <w:semiHidden/>
    <w:rsid w:val="00150BAF"/>
    <w:rPr>
      <w:lang w:val="en-US" w:eastAsia="en-US"/>
    </w:rPr>
  </w:style>
  <w:style w:type="paragraph" w:styleId="Korrektur">
    <w:name w:val="Revision"/>
    <w:uiPriority w:val="99"/>
    <w:semiHidden/>
    <w:rsid w:val="00150BAF"/>
    <w:rPr>
      <w:sz w:val="22"/>
      <w:szCs w:val="22"/>
      <w:lang w:val="en-US" w:eastAsia="en-US"/>
    </w:rPr>
  </w:style>
  <w:style w:type="paragraph" w:styleId="Listeafsnit">
    <w:name w:val="List Paragraph"/>
    <w:basedOn w:val="Normal"/>
    <w:uiPriority w:val="1"/>
    <w:qFormat/>
    <w:rsid w:val="00150BAF"/>
    <w:pPr>
      <w:widowControl w:val="0"/>
      <w:autoSpaceDE w:val="0"/>
      <w:autoSpaceDN w:val="0"/>
      <w:ind w:left="667" w:hanging="533"/>
    </w:pPr>
    <w:rPr>
      <w:sz w:val="22"/>
      <w:szCs w:val="22"/>
      <w:lang w:val="en-US" w:eastAsia="en-US"/>
    </w:rPr>
  </w:style>
  <w:style w:type="paragraph" w:customStyle="1" w:styleId="TableParagraph">
    <w:name w:val="Table Paragraph"/>
    <w:basedOn w:val="Normal"/>
    <w:uiPriority w:val="1"/>
    <w:qFormat/>
    <w:rsid w:val="00150BAF"/>
    <w:pPr>
      <w:widowControl w:val="0"/>
      <w:autoSpaceDE w:val="0"/>
      <w:autoSpaceDN w:val="0"/>
    </w:pPr>
    <w:rPr>
      <w:sz w:val="22"/>
      <w:szCs w:val="22"/>
      <w:lang w:val="en-US" w:eastAsia="en-US"/>
    </w:rPr>
  </w:style>
  <w:style w:type="table" w:styleId="Tabel-Gitter">
    <w:name w:val="Table Grid"/>
    <w:basedOn w:val="Tabel-Normal"/>
    <w:uiPriority w:val="59"/>
    <w:rsid w:val="00150BAF"/>
    <w:pPr>
      <w:widowControl w:val="0"/>
      <w:autoSpaceDE w:val="0"/>
      <w:autoSpaceDN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150BA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7920">
      <w:bodyDiv w:val="1"/>
      <w:marLeft w:val="0"/>
      <w:marRight w:val="0"/>
      <w:marTop w:val="0"/>
      <w:marBottom w:val="0"/>
      <w:divBdr>
        <w:top w:val="none" w:sz="0" w:space="0" w:color="auto"/>
        <w:left w:val="none" w:sz="0" w:space="0" w:color="auto"/>
        <w:bottom w:val="none" w:sz="0" w:space="0" w:color="auto"/>
        <w:right w:val="none" w:sz="0" w:space="0" w:color="auto"/>
      </w:divBdr>
    </w:div>
    <w:div w:id="30614191">
      <w:bodyDiv w:val="1"/>
      <w:marLeft w:val="0"/>
      <w:marRight w:val="0"/>
      <w:marTop w:val="0"/>
      <w:marBottom w:val="0"/>
      <w:divBdr>
        <w:top w:val="none" w:sz="0" w:space="0" w:color="auto"/>
        <w:left w:val="none" w:sz="0" w:space="0" w:color="auto"/>
        <w:bottom w:val="none" w:sz="0" w:space="0" w:color="auto"/>
        <w:right w:val="none" w:sz="0" w:space="0" w:color="auto"/>
      </w:divBdr>
    </w:div>
    <w:div w:id="58554535">
      <w:bodyDiv w:val="1"/>
      <w:marLeft w:val="0"/>
      <w:marRight w:val="0"/>
      <w:marTop w:val="0"/>
      <w:marBottom w:val="0"/>
      <w:divBdr>
        <w:top w:val="none" w:sz="0" w:space="0" w:color="auto"/>
        <w:left w:val="none" w:sz="0" w:space="0" w:color="auto"/>
        <w:bottom w:val="none" w:sz="0" w:space="0" w:color="auto"/>
        <w:right w:val="none" w:sz="0" w:space="0" w:color="auto"/>
      </w:divBdr>
    </w:div>
    <w:div w:id="83113227">
      <w:bodyDiv w:val="1"/>
      <w:marLeft w:val="0"/>
      <w:marRight w:val="0"/>
      <w:marTop w:val="0"/>
      <w:marBottom w:val="0"/>
      <w:divBdr>
        <w:top w:val="none" w:sz="0" w:space="0" w:color="auto"/>
        <w:left w:val="none" w:sz="0" w:space="0" w:color="auto"/>
        <w:bottom w:val="none" w:sz="0" w:space="0" w:color="auto"/>
        <w:right w:val="none" w:sz="0" w:space="0" w:color="auto"/>
      </w:divBdr>
    </w:div>
    <w:div w:id="93594702">
      <w:bodyDiv w:val="1"/>
      <w:marLeft w:val="0"/>
      <w:marRight w:val="0"/>
      <w:marTop w:val="0"/>
      <w:marBottom w:val="0"/>
      <w:divBdr>
        <w:top w:val="none" w:sz="0" w:space="0" w:color="auto"/>
        <w:left w:val="none" w:sz="0" w:space="0" w:color="auto"/>
        <w:bottom w:val="none" w:sz="0" w:space="0" w:color="auto"/>
        <w:right w:val="none" w:sz="0" w:space="0" w:color="auto"/>
      </w:divBdr>
    </w:div>
    <w:div w:id="165631527">
      <w:bodyDiv w:val="1"/>
      <w:marLeft w:val="0"/>
      <w:marRight w:val="0"/>
      <w:marTop w:val="0"/>
      <w:marBottom w:val="0"/>
      <w:divBdr>
        <w:top w:val="none" w:sz="0" w:space="0" w:color="auto"/>
        <w:left w:val="none" w:sz="0" w:space="0" w:color="auto"/>
        <w:bottom w:val="none" w:sz="0" w:space="0" w:color="auto"/>
        <w:right w:val="none" w:sz="0" w:space="0" w:color="auto"/>
      </w:divBdr>
    </w:div>
    <w:div w:id="227350165">
      <w:bodyDiv w:val="1"/>
      <w:marLeft w:val="0"/>
      <w:marRight w:val="0"/>
      <w:marTop w:val="0"/>
      <w:marBottom w:val="0"/>
      <w:divBdr>
        <w:top w:val="none" w:sz="0" w:space="0" w:color="auto"/>
        <w:left w:val="none" w:sz="0" w:space="0" w:color="auto"/>
        <w:bottom w:val="none" w:sz="0" w:space="0" w:color="auto"/>
        <w:right w:val="none" w:sz="0" w:space="0" w:color="auto"/>
      </w:divBdr>
    </w:div>
    <w:div w:id="267086226">
      <w:bodyDiv w:val="1"/>
      <w:marLeft w:val="0"/>
      <w:marRight w:val="0"/>
      <w:marTop w:val="0"/>
      <w:marBottom w:val="0"/>
      <w:divBdr>
        <w:top w:val="none" w:sz="0" w:space="0" w:color="auto"/>
        <w:left w:val="none" w:sz="0" w:space="0" w:color="auto"/>
        <w:bottom w:val="none" w:sz="0" w:space="0" w:color="auto"/>
        <w:right w:val="none" w:sz="0" w:space="0" w:color="auto"/>
      </w:divBdr>
    </w:div>
    <w:div w:id="289939785">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44038649">
      <w:bodyDiv w:val="1"/>
      <w:marLeft w:val="0"/>
      <w:marRight w:val="0"/>
      <w:marTop w:val="0"/>
      <w:marBottom w:val="0"/>
      <w:divBdr>
        <w:top w:val="none" w:sz="0" w:space="0" w:color="auto"/>
        <w:left w:val="none" w:sz="0" w:space="0" w:color="auto"/>
        <w:bottom w:val="none" w:sz="0" w:space="0" w:color="auto"/>
        <w:right w:val="none" w:sz="0" w:space="0" w:color="auto"/>
      </w:divBdr>
    </w:div>
    <w:div w:id="476342651">
      <w:bodyDiv w:val="1"/>
      <w:marLeft w:val="0"/>
      <w:marRight w:val="0"/>
      <w:marTop w:val="0"/>
      <w:marBottom w:val="0"/>
      <w:divBdr>
        <w:top w:val="none" w:sz="0" w:space="0" w:color="auto"/>
        <w:left w:val="none" w:sz="0" w:space="0" w:color="auto"/>
        <w:bottom w:val="none" w:sz="0" w:space="0" w:color="auto"/>
        <w:right w:val="none" w:sz="0" w:space="0" w:color="auto"/>
      </w:divBdr>
    </w:div>
    <w:div w:id="482091314">
      <w:bodyDiv w:val="1"/>
      <w:marLeft w:val="0"/>
      <w:marRight w:val="0"/>
      <w:marTop w:val="0"/>
      <w:marBottom w:val="0"/>
      <w:divBdr>
        <w:top w:val="none" w:sz="0" w:space="0" w:color="auto"/>
        <w:left w:val="none" w:sz="0" w:space="0" w:color="auto"/>
        <w:bottom w:val="none" w:sz="0" w:space="0" w:color="auto"/>
        <w:right w:val="none" w:sz="0" w:space="0" w:color="auto"/>
      </w:divBdr>
    </w:div>
    <w:div w:id="564027938">
      <w:bodyDiv w:val="1"/>
      <w:marLeft w:val="0"/>
      <w:marRight w:val="0"/>
      <w:marTop w:val="0"/>
      <w:marBottom w:val="0"/>
      <w:divBdr>
        <w:top w:val="none" w:sz="0" w:space="0" w:color="auto"/>
        <w:left w:val="none" w:sz="0" w:space="0" w:color="auto"/>
        <w:bottom w:val="none" w:sz="0" w:space="0" w:color="auto"/>
        <w:right w:val="none" w:sz="0" w:space="0" w:color="auto"/>
      </w:divBdr>
    </w:div>
    <w:div w:id="587730817">
      <w:bodyDiv w:val="1"/>
      <w:marLeft w:val="0"/>
      <w:marRight w:val="0"/>
      <w:marTop w:val="0"/>
      <w:marBottom w:val="0"/>
      <w:divBdr>
        <w:top w:val="none" w:sz="0" w:space="0" w:color="auto"/>
        <w:left w:val="none" w:sz="0" w:space="0" w:color="auto"/>
        <w:bottom w:val="none" w:sz="0" w:space="0" w:color="auto"/>
        <w:right w:val="none" w:sz="0" w:space="0" w:color="auto"/>
      </w:divBdr>
    </w:div>
    <w:div w:id="615411189">
      <w:bodyDiv w:val="1"/>
      <w:marLeft w:val="0"/>
      <w:marRight w:val="0"/>
      <w:marTop w:val="0"/>
      <w:marBottom w:val="0"/>
      <w:divBdr>
        <w:top w:val="none" w:sz="0" w:space="0" w:color="auto"/>
        <w:left w:val="none" w:sz="0" w:space="0" w:color="auto"/>
        <w:bottom w:val="none" w:sz="0" w:space="0" w:color="auto"/>
        <w:right w:val="none" w:sz="0" w:space="0" w:color="auto"/>
      </w:divBdr>
    </w:div>
    <w:div w:id="637959234">
      <w:bodyDiv w:val="1"/>
      <w:marLeft w:val="0"/>
      <w:marRight w:val="0"/>
      <w:marTop w:val="0"/>
      <w:marBottom w:val="0"/>
      <w:divBdr>
        <w:top w:val="none" w:sz="0" w:space="0" w:color="auto"/>
        <w:left w:val="none" w:sz="0" w:space="0" w:color="auto"/>
        <w:bottom w:val="none" w:sz="0" w:space="0" w:color="auto"/>
        <w:right w:val="none" w:sz="0" w:space="0" w:color="auto"/>
      </w:divBdr>
    </w:div>
    <w:div w:id="653141109">
      <w:bodyDiv w:val="1"/>
      <w:marLeft w:val="0"/>
      <w:marRight w:val="0"/>
      <w:marTop w:val="0"/>
      <w:marBottom w:val="0"/>
      <w:divBdr>
        <w:top w:val="none" w:sz="0" w:space="0" w:color="auto"/>
        <w:left w:val="none" w:sz="0" w:space="0" w:color="auto"/>
        <w:bottom w:val="none" w:sz="0" w:space="0" w:color="auto"/>
        <w:right w:val="none" w:sz="0" w:space="0" w:color="auto"/>
      </w:divBdr>
    </w:div>
    <w:div w:id="722215288">
      <w:bodyDiv w:val="1"/>
      <w:marLeft w:val="0"/>
      <w:marRight w:val="0"/>
      <w:marTop w:val="0"/>
      <w:marBottom w:val="0"/>
      <w:divBdr>
        <w:top w:val="none" w:sz="0" w:space="0" w:color="auto"/>
        <w:left w:val="none" w:sz="0" w:space="0" w:color="auto"/>
        <w:bottom w:val="none" w:sz="0" w:space="0" w:color="auto"/>
        <w:right w:val="none" w:sz="0" w:space="0" w:color="auto"/>
      </w:divBdr>
    </w:div>
    <w:div w:id="724254969">
      <w:bodyDiv w:val="1"/>
      <w:marLeft w:val="0"/>
      <w:marRight w:val="0"/>
      <w:marTop w:val="0"/>
      <w:marBottom w:val="0"/>
      <w:divBdr>
        <w:top w:val="none" w:sz="0" w:space="0" w:color="auto"/>
        <w:left w:val="none" w:sz="0" w:space="0" w:color="auto"/>
        <w:bottom w:val="none" w:sz="0" w:space="0" w:color="auto"/>
        <w:right w:val="none" w:sz="0" w:space="0" w:color="auto"/>
      </w:divBdr>
    </w:div>
    <w:div w:id="789477284">
      <w:bodyDiv w:val="1"/>
      <w:marLeft w:val="0"/>
      <w:marRight w:val="0"/>
      <w:marTop w:val="0"/>
      <w:marBottom w:val="0"/>
      <w:divBdr>
        <w:top w:val="none" w:sz="0" w:space="0" w:color="auto"/>
        <w:left w:val="none" w:sz="0" w:space="0" w:color="auto"/>
        <w:bottom w:val="none" w:sz="0" w:space="0" w:color="auto"/>
        <w:right w:val="none" w:sz="0" w:space="0" w:color="auto"/>
      </w:divBdr>
    </w:div>
    <w:div w:id="803473468">
      <w:bodyDiv w:val="1"/>
      <w:marLeft w:val="0"/>
      <w:marRight w:val="0"/>
      <w:marTop w:val="0"/>
      <w:marBottom w:val="0"/>
      <w:divBdr>
        <w:top w:val="none" w:sz="0" w:space="0" w:color="auto"/>
        <w:left w:val="none" w:sz="0" w:space="0" w:color="auto"/>
        <w:bottom w:val="none" w:sz="0" w:space="0" w:color="auto"/>
        <w:right w:val="none" w:sz="0" w:space="0" w:color="auto"/>
      </w:divBdr>
    </w:div>
    <w:div w:id="820389047">
      <w:bodyDiv w:val="1"/>
      <w:marLeft w:val="0"/>
      <w:marRight w:val="0"/>
      <w:marTop w:val="0"/>
      <w:marBottom w:val="0"/>
      <w:divBdr>
        <w:top w:val="none" w:sz="0" w:space="0" w:color="auto"/>
        <w:left w:val="none" w:sz="0" w:space="0" w:color="auto"/>
        <w:bottom w:val="none" w:sz="0" w:space="0" w:color="auto"/>
        <w:right w:val="none" w:sz="0" w:space="0" w:color="auto"/>
      </w:divBdr>
    </w:div>
    <w:div w:id="825321992">
      <w:bodyDiv w:val="1"/>
      <w:marLeft w:val="0"/>
      <w:marRight w:val="0"/>
      <w:marTop w:val="0"/>
      <w:marBottom w:val="0"/>
      <w:divBdr>
        <w:top w:val="none" w:sz="0" w:space="0" w:color="auto"/>
        <w:left w:val="none" w:sz="0" w:space="0" w:color="auto"/>
        <w:bottom w:val="none" w:sz="0" w:space="0" w:color="auto"/>
        <w:right w:val="none" w:sz="0" w:space="0" w:color="auto"/>
      </w:divBdr>
    </w:div>
    <w:div w:id="848329503">
      <w:bodyDiv w:val="1"/>
      <w:marLeft w:val="0"/>
      <w:marRight w:val="0"/>
      <w:marTop w:val="0"/>
      <w:marBottom w:val="0"/>
      <w:divBdr>
        <w:top w:val="none" w:sz="0" w:space="0" w:color="auto"/>
        <w:left w:val="none" w:sz="0" w:space="0" w:color="auto"/>
        <w:bottom w:val="none" w:sz="0" w:space="0" w:color="auto"/>
        <w:right w:val="none" w:sz="0" w:space="0" w:color="auto"/>
      </w:divBdr>
    </w:div>
    <w:div w:id="876312462">
      <w:bodyDiv w:val="1"/>
      <w:marLeft w:val="0"/>
      <w:marRight w:val="0"/>
      <w:marTop w:val="0"/>
      <w:marBottom w:val="0"/>
      <w:divBdr>
        <w:top w:val="none" w:sz="0" w:space="0" w:color="auto"/>
        <w:left w:val="none" w:sz="0" w:space="0" w:color="auto"/>
        <w:bottom w:val="none" w:sz="0" w:space="0" w:color="auto"/>
        <w:right w:val="none" w:sz="0" w:space="0" w:color="auto"/>
      </w:divBdr>
    </w:div>
    <w:div w:id="889458368">
      <w:bodyDiv w:val="1"/>
      <w:marLeft w:val="0"/>
      <w:marRight w:val="0"/>
      <w:marTop w:val="0"/>
      <w:marBottom w:val="0"/>
      <w:divBdr>
        <w:top w:val="none" w:sz="0" w:space="0" w:color="auto"/>
        <w:left w:val="none" w:sz="0" w:space="0" w:color="auto"/>
        <w:bottom w:val="none" w:sz="0" w:space="0" w:color="auto"/>
        <w:right w:val="none" w:sz="0" w:space="0" w:color="auto"/>
      </w:divBdr>
    </w:div>
    <w:div w:id="894632078">
      <w:bodyDiv w:val="1"/>
      <w:marLeft w:val="0"/>
      <w:marRight w:val="0"/>
      <w:marTop w:val="0"/>
      <w:marBottom w:val="0"/>
      <w:divBdr>
        <w:top w:val="none" w:sz="0" w:space="0" w:color="auto"/>
        <w:left w:val="none" w:sz="0" w:space="0" w:color="auto"/>
        <w:bottom w:val="none" w:sz="0" w:space="0" w:color="auto"/>
        <w:right w:val="none" w:sz="0" w:space="0" w:color="auto"/>
      </w:divBdr>
    </w:div>
    <w:div w:id="915826434">
      <w:bodyDiv w:val="1"/>
      <w:marLeft w:val="0"/>
      <w:marRight w:val="0"/>
      <w:marTop w:val="0"/>
      <w:marBottom w:val="0"/>
      <w:divBdr>
        <w:top w:val="none" w:sz="0" w:space="0" w:color="auto"/>
        <w:left w:val="none" w:sz="0" w:space="0" w:color="auto"/>
        <w:bottom w:val="none" w:sz="0" w:space="0" w:color="auto"/>
        <w:right w:val="none" w:sz="0" w:space="0" w:color="auto"/>
      </w:divBdr>
    </w:div>
    <w:div w:id="958803688">
      <w:bodyDiv w:val="1"/>
      <w:marLeft w:val="0"/>
      <w:marRight w:val="0"/>
      <w:marTop w:val="0"/>
      <w:marBottom w:val="0"/>
      <w:divBdr>
        <w:top w:val="none" w:sz="0" w:space="0" w:color="auto"/>
        <w:left w:val="none" w:sz="0" w:space="0" w:color="auto"/>
        <w:bottom w:val="none" w:sz="0" w:space="0" w:color="auto"/>
        <w:right w:val="none" w:sz="0" w:space="0" w:color="auto"/>
      </w:divBdr>
    </w:div>
    <w:div w:id="965502494">
      <w:bodyDiv w:val="1"/>
      <w:marLeft w:val="0"/>
      <w:marRight w:val="0"/>
      <w:marTop w:val="0"/>
      <w:marBottom w:val="0"/>
      <w:divBdr>
        <w:top w:val="none" w:sz="0" w:space="0" w:color="auto"/>
        <w:left w:val="none" w:sz="0" w:space="0" w:color="auto"/>
        <w:bottom w:val="none" w:sz="0" w:space="0" w:color="auto"/>
        <w:right w:val="none" w:sz="0" w:space="0" w:color="auto"/>
      </w:divBdr>
    </w:div>
    <w:div w:id="992875489">
      <w:bodyDiv w:val="1"/>
      <w:marLeft w:val="0"/>
      <w:marRight w:val="0"/>
      <w:marTop w:val="0"/>
      <w:marBottom w:val="0"/>
      <w:divBdr>
        <w:top w:val="none" w:sz="0" w:space="0" w:color="auto"/>
        <w:left w:val="none" w:sz="0" w:space="0" w:color="auto"/>
        <w:bottom w:val="none" w:sz="0" w:space="0" w:color="auto"/>
        <w:right w:val="none" w:sz="0" w:space="0" w:color="auto"/>
      </w:divBdr>
    </w:div>
    <w:div w:id="1037663582">
      <w:bodyDiv w:val="1"/>
      <w:marLeft w:val="0"/>
      <w:marRight w:val="0"/>
      <w:marTop w:val="0"/>
      <w:marBottom w:val="0"/>
      <w:divBdr>
        <w:top w:val="none" w:sz="0" w:space="0" w:color="auto"/>
        <w:left w:val="none" w:sz="0" w:space="0" w:color="auto"/>
        <w:bottom w:val="none" w:sz="0" w:space="0" w:color="auto"/>
        <w:right w:val="none" w:sz="0" w:space="0" w:color="auto"/>
      </w:divBdr>
    </w:div>
    <w:div w:id="1057624416">
      <w:bodyDiv w:val="1"/>
      <w:marLeft w:val="0"/>
      <w:marRight w:val="0"/>
      <w:marTop w:val="0"/>
      <w:marBottom w:val="0"/>
      <w:divBdr>
        <w:top w:val="none" w:sz="0" w:space="0" w:color="auto"/>
        <w:left w:val="none" w:sz="0" w:space="0" w:color="auto"/>
        <w:bottom w:val="none" w:sz="0" w:space="0" w:color="auto"/>
        <w:right w:val="none" w:sz="0" w:space="0" w:color="auto"/>
      </w:divBdr>
    </w:div>
    <w:div w:id="1161313807">
      <w:bodyDiv w:val="1"/>
      <w:marLeft w:val="0"/>
      <w:marRight w:val="0"/>
      <w:marTop w:val="0"/>
      <w:marBottom w:val="0"/>
      <w:divBdr>
        <w:top w:val="none" w:sz="0" w:space="0" w:color="auto"/>
        <w:left w:val="none" w:sz="0" w:space="0" w:color="auto"/>
        <w:bottom w:val="none" w:sz="0" w:space="0" w:color="auto"/>
        <w:right w:val="none" w:sz="0" w:space="0" w:color="auto"/>
      </w:divBdr>
    </w:div>
    <w:div w:id="1164928459">
      <w:bodyDiv w:val="1"/>
      <w:marLeft w:val="0"/>
      <w:marRight w:val="0"/>
      <w:marTop w:val="0"/>
      <w:marBottom w:val="0"/>
      <w:divBdr>
        <w:top w:val="none" w:sz="0" w:space="0" w:color="auto"/>
        <w:left w:val="none" w:sz="0" w:space="0" w:color="auto"/>
        <w:bottom w:val="none" w:sz="0" w:space="0" w:color="auto"/>
        <w:right w:val="none" w:sz="0" w:space="0" w:color="auto"/>
      </w:divBdr>
    </w:div>
    <w:div w:id="1179809189">
      <w:bodyDiv w:val="1"/>
      <w:marLeft w:val="0"/>
      <w:marRight w:val="0"/>
      <w:marTop w:val="0"/>
      <w:marBottom w:val="0"/>
      <w:divBdr>
        <w:top w:val="none" w:sz="0" w:space="0" w:color="auto"/>
        <w:left w:val="none" w:sz="0" w:space="0" w:color="auto"/>
        <w:bottom w:val="none" w:sz="0" w:space="0" w:color="auto"/>
        <w:right w:val="none" w:sz="0" w:space="0" w:color="auto"/>
      </w:divBdr>
    </w:div>
    <w:div w:id="1180119878">
      <w:bodyDiv w:val="1"/>
      <w:marLeft w:val="0"/>
      <w:marRight w:val="0"/>
      <w:marTop w:val="0"/>
      <w:marBottom w:val="0"/>
      <w:divBdr>
        <w:top w:val="none" w:sz="0" w:space="0" w:color="auto"/>
        <w:left w:val="none" w:sz="0" w:space="0" w:color="auto"/>
        <w:bottom w:val="none" w:sz="0" w:space="0" w:color="auto"/>
        <w:right w:val="none" w:sz="0" w:space="0" w:color="auto"/>
      </w:divBdr>
    </w:div>
    <w:div w:id="1183667465">
      <w:bodyDiv w:val="1"/>
      <w:marLeft w:val="0"/>
      <w:marRight w:val="0"/>
      <w:marTop w:val="0"/>
      <w:marBottom w:val="0"/>
      <w:divBdr>
        <w:top w:val="none" w:sz="0" w:space="0" w:color="auto"/>
        <w:left w:val="none" w:sz="0" w:space="0" w:color="auto"/>
        <w:bottom w:val="none" w:sz="0" w:space="0" w:color="auto"/>
        <w:right w:val="none" w:sz="0" w:space="0" w:color="auto"/>
      </w:divBdr>
    </w:div>
    <w:div w:id="1215655600">
      <w:bodyDiv w:val="1"/>
      <w:marLeft w:val="0"/>
      <w:marRight w:val="0"/>
      <w:marTop w:val="0"/>
      <w:marBottom w:val="0"/>
      <w:divBdr>
        <w:top w:val="none" w:sz="0" w:space="0" w:color="auto"/>
        <w:left w:val="none" w:sz="0" w:space="0" w:color="auto"/>
        <w:bottom w:val="none" w:sz="0" w:space="0" w:color="auto"/>
        <w:right w:val="none" w:sz="0" w:space="0" w:color="auto"/>
      </w:divBdr>
    </w:div>
    <w:div w:id="1234704537">
      <w:bodyDiv w:val="1"/>
      <w:marLeft w:val="0"/>
      <w:marRight w:val="0"/>
      <w:marTop w:val="0"/>
      <w:marBottom w:val="0"/>
      <w:divBdr>
        <w:top w:val="none" w:sz="0" w:space="0" w:color="auto"/>
        <w:left w:val="none" w:sz="0" w:space="0" w:color="auto"/>
        <w:bottom w:val="none" w:sz="0" w:space="0" w:color="auto"/>
        <w:right w:val="none" w:sz="0" w:space="0" w:color="auto"/>
      </w:divBdr>
    </w:div>
    <w:div w:id="1240406474">
      <w:bodyDiv w:val="1"/>
      <w:marLeft w:val="0"/>
      <w:marRight w:val="0"/>
      <w:marTop w:val="0"/>
      <w:marBottom w:val="0"/>
      <w:divBdr>
        <w:top w:val="none" w:sz="0" w:space="0" w:color="auto"/>
        <w:left w:val="none" w:sz="0" w:space="0" w:color="auto"/>
        <w:bottom w:val="none" w:sz="0" w:space="0" w:color="auto"/>
        <w:right w:val="none" w:sz="0" w:space="0" w:color="auto"/>
      </w:divBdr>
    </w:div>
    <w:div w:id="1256935393">
      <w:bodyDiv w:val="1"/>
      <w:marLeft w:val="0"/>
      <w:marRight w:val="0"/>
      <w:marTop w:val="0"/>
      <w:marBottom w:val="0"/>
      <w:divBdr>
        <w:top w:val="none" w:sz="0" w:space="0" w:color="auto"/>
        <w:left w:val="none" w:sz="0" w:space="0" w:color="auto"/>
        <w:bottom w:val="none" w:sz="0" w:space="0" w:color="auto"/>
        <w:right w:val="none" w:sz="0" w:space="0" w:color="auto"/>
      </w:divBdr>
    </w:div>
    <w:div w:id="1266159194">
      <w:bodyDiv w:val="1"/>
      <w:marLeft w:val="0"/>
      <w:marRight w:val="0"/>
      <w:marTop w:val="0"/>
      <w:marBottom w:val="0"/>
      <w:divBdr>
        <w:top w:val="none" w:sz="0" w:space="0" w:color="auto"/>
        <w:left w:val="none" w:sz="0" w:space="0" w:color="auto"/>
        <w:bottom w:val="none" w:sz="0" w:space="0" w:color="auto"/>
        <w:right w:val="none" w:sz="0" w:space="0" w:color="auto"/>
      </w:divBdr>
    </w:div>
    <w:div w:id="1291743574">
      <w:bodyDiv w:val="1"/>
      <w:marLeft w:val="0"/>
      <w:marRight w:val="0"/>
      <w:marTop w:val="0"/>
      <w:marBottom w:val="0"/>
      <w:divBdr>
        <w:top w:val="none" w:sz="0" w:space="0" w:color="auto"/>
        <w:left w:val="none" w:sz="0" w:space="0" w:color="auto"/>
        <w:bottom w:val="none" w:sz="0" w:space="0" w:color="auto"/>
        <w:right w:val="none" w:sz="0" w:space="0" w:color="auto"/>
      </w:divBdr>
    </w:div>
    <w:div w:id="1321037948">
      <w:bodyDiv w:val="1"/>
      <w:marLeft w:val="0"/>
      <w:marRight w:val="0"/>
      <w:marTop w:val="0"/>
      <w:marBottom w:val="0"/>
      <w:divBdr>
        <w:top w:val="none" w:sz="0" w:space="0" w:color="auto"/>
        <w:left w:val="none" w:sz="0" w:space="0" w:color="auto"/>
        <w:bottom w:val="none" w:sz="0" w:space="0" w:color="auto"/>
        <w:right w:val="none" w:sz="0" w:space="0" w:color="auto"/>
      </w:divBdr>
    </w:div>
    <w:div w:id="1339188155">
      <w:bodyDiv w:val="1"/>
      <w:marLeft w:val="0"/>
      <w:marRight w:val="0"/>
      <w:marTop w:val="0"/>
      <w:marBottom w:val="0"/>
      <w:divBdr>
        <w:top w:val="none" w:sz="0" w:space="0" w:color="auto"/>
        <w:left w:val="none" w:sz="0" w:space="0" w:color="auto"/>
        <w:bottom w:val="none" w:sz="0" w:space="0" w:color="auto"/>
        <w:right w:val="none" w:sz="0" w:space="0" w:color="auto"/>
      </w:divBdr>
    </w:div>
    <w:div w:id="1389840803">
      <w:bodyDiv w:val="1"/>
      <w:marLeft w:val="0"/>
      <w:marRight w:val="0"/>
      <w:marTop w:val="0"/>
      <w:marBottom w:val="0"/>
      <w:divBdr>
        <w:top w:val="none" w:sz="0" w:space="0" w:color="auto"/>
        <w:left w:val="none" w:sz="0" w:space="0" w:color="auto"/>
        <w:bottom w:val="none" w:sz="0" w:space="0" w:color="auto"/>
        <w:right w:val="none" w:sz="0" w:space="0" w:color="auto"/>
      </w:divBdr>
    </w:div>
    <w:div w:id="1403793350">
      <w:bodyDiv w:val="1"/>
      <w:marLeft w:val="0"/>
      <w:marRight w:val="0"/>
      <w:marTop w:val="0"/>
      <w:marBottom w:val="0"/>
      <w:divBdr>
        <w:top w:val="none" w:sz="0" w:space="0" w:color="auto"/>
        <w:left w:val="none" w:sz="0" w:space="0" w:color="auto"/>
        <w:bottom w:val="none" w:sz="0" w:space="0" w:color="auto"/>
        <w:right w:val="none" w:sz="0" w:space="0" w:color="auto"/>
      </w:divBdr>
    </w:div>
    <w:div w:id="1406107224">
      <w:bodyDiv w:val="1"/>
      <w:marLeft w:val="0"/>
      <w:marRight w:val="0"/>
      <w:marTop w:val="0"/>
      <w:marBottom w:val="0"/>
      <w:divBdr>
        <w:top w:val="none" w:sz="0" w:space="0" w:color="auto"/>
        <w:left w:val="none" w:sz="0" w:space="0" w:color="auto"/>
        <w:bottom w:val="none" w:sz="0" w:space="0" w:color="auto"/>
        <w:right w:val="none" w:sz="0" w:space="0" w:color="auto"/>
      </w:divBdr>
    </w:div>
    <w:div w:id="1429352015">
      <w:bodyDiv w:val="1"/>
      <w:marLeft w:val="0"/>
      <w:marRight w:val="0"/>
      <w:marTop w:val="0"/>
      <w:marBottom w:val="0"/>
      <w:divBdr>
        <w:top w:val="none" w:sz="0" w:space="0" w:color="auto"/>
        <w:left w:val="none" w:sz="0" w:space="0" w:color="auto"/>
        <w:bottom w:val="none" w:sz="0" w:space="0" w:color="auto"/>
        <w:right w:val="none" w:sz="0" w:space="0" w:color="auto"/>
      </w:divBdr>
    </w:div>
    <w:div w:id="1463959075">
      <w:bodyDiv w:val="1"/>
      <w:marLeft w:val="0"/>
      <w:marRight w:val="0"/>
      <w:marTop w:val="0"/>
      <w:marBottom w:val="0"/>
      <w:divBdr>
        <w:top w:val="none" w:sz="0" w:space="0" w:color="auto"/>
        <w:left w:val="none" w:sz="0" w:space="0" w:color="auto"/>
        <w:bottom w:val="none" w:sz="0" w:space="0" w:color="auto"/>
        <w:right w:val="none" w:sz="0" w:space="0" w:color="auto"/>
      </w:divBdr>
    </w:div>
    <w:div w:id="1513882915">
      <w:bodyDiv w:val="1"/>
      <w:marLeft w:val="0"/>
      <w:marRight w:val="0"/>
      <w:marTop w:val="0"/>
      <w:marBottom w:val="0"/>
      <w:divBdr>
        <w:top w:val="none" w:sz="0" w:space="0" w:color="auto"/>
        <w:left w:val="none" w:sz="0" w:space="0" w:color="auto"/>
        <w:bottom w:val="none" w:sz="0" w:space="0" w:color="auto"/>
        <w:right w:val="none" w:sz="0" w:space="0" w:color="auto"/>
      </w:divBdr>
    </w:div>
    <w:div w:id="1520048611">
      <w:bodyDiv w:val="1"/>
      <w:marLeft w:val="0"/>
      <w:marRight w:val="0"/>
      <w:marTop w:val="0"/>
      <w:marBottom w:val="0"/>
      <w:divBdr>
        <w:top w:val="none" w:sz="0" w:space="0" w:color="auto"/>
        <w:left w:val="none" w:sz="0" w:space="0" w:color="auto"/>
        <w:bottom w:val="none" w:sz="0" w:space="0" w:color="auto"/>
        <w:right w:val="none" w:sz="0" w:space="0" w:color="auto"/>
      </w:divBdr>
    </w:div>
    <w:div w:id="1524396203">
      <w:bodyDiv w:val="1"/>
      <w:marLeft w:val="0"/>
      <w:marRight w:val="0"/>
      <w:marTop w:val="0"/>
      <w:marBottom w:val="0"/>
      <w:divBdr>
        <w:top w:val="none" w:sz="0" w:space="0" w:color="auto"/>
        <w:left w:val="none" w:sz="0" w:space="0" w:color="auto"/>
        <w:bottom w:val="none" w:sz="0" w:space="0" w:color="auto"/>
        <w:right w:val="none" w:sz="0" w:space="0" w:color="auto"/>
      </w:divBdr>
    </w:div>
    <w:div w:id="1571888769">
      <w:bodyDiv w:val="1"/>
      <w:marLeft w:val="0"/>
      <w:marRight w:val="0"/>
      <w:marTop w:val="0"/>
      <w:marBottom w:val="0"/>
      <w:divBdr>
        <w:top w:val="none" w:sz="0" w:space="0" w:color="auto"/>
        <w:left w:val="none" w:sz="0" w:space="0" w:color="auto"/>
        <w:bottom w:val="none" w:sz="0" w:space="0" w:color="auto"/>
        <w:right w:val="none" w:sz="0" w:space="0" w:color="auto"/>
      </w:divBdr>
    </w:div>
    <w:div w:id="1607346724">
      <w:bodyDiv w:val="1"/>
      <w:marLeft w:val="0"/>
      <w:marRight w:val="0"/>
      <w:marTop w:val="0"/>
      <w:marBottom w:val="0"/>
      <w:divBdr>
        <w:top w:val="none" w:sz="0" w:space="0" w:color="auto"/>
        <w:left w:val="none" w:sz="0" w:space="0" w:color="auto"/>
        <w:bottom w:val="none" w:sz="0" w:space="0" w:color="auto"/>
        <w:right w:val="none" w:sz="0" w:space="0" w:color="auto"/>
      </w:divBdr>
    </w:div>
    <w:div w:id="1659651812">
      <w:bodyDiv w:val="1"/>
      <w:marLeft w:val="0"/>
      <w:marRight w:val="0"/>
      <w:marTop w:val="0"/>
      <w:marBottom w:val="0"/>
      <w:divBdr>
        <w:top w:val="none" w:sz="0" w:space="0" w:color="auto"/>
        <w:left w:val="none" w:sz="0" w:space="0" w:color="auto"/>
        <w:bottom w:val="none" w:sz="0" w:space="0" w:color="auto"/>
        <w:right w:val="none" w:sz="0" w:space="0" w:color="auto"/>
      </w:divBdr>
    </w:div>
    <w:div w:id="1669752661">
      <w:bodyDiv w:val="1"/>
      <w:marLeft w:val="0"/>
      <w:marRight w:val="0"/>
      <w:marTop w:val="0"/>
      <w:marBottom w:val="0"/>
      <w:divBdr>
        <w:top w:val="none" w:sz="0" w:space="0" w:color="auto"/>
        <w:left w:val="none" w:sz="0" w:space="0" w:color="auto"/>
        <w:bottom w:val="none" w:sz="0" w:space="0" w:color="auto"/>
        <w:right w:val="none" w:sz="0" w:space="0" w:color="auto"/>
      </w:divBdr>
    </w:div>
    <w:div w:id="1746338559">
      <w:bodyDiv w:val="1"/>
      <w:marLeft w:val="0"/>
      <w:marRight w:val="0"/>
      <w:marTop w:val="0"/>
      <w:marBottom w:val="0"/>
      <w:divBdr>
        <w:top w:val="none" w:sz="0" w:space="0" w:color="auto"/>
        <w:left w:val="none" w:sz="0" w:space="0" w:color="auto"/>
        <w:bottom w:val="none" w:sz="0" w:space="0" w:color="auto"/>
        <w:right w:val="none" w:sz="0" w:space="0" w:color="auto"/>
      </w:divBdr>
    </w:div>
    <w:div w:id="1755780617">
      <w:bodyDiv w:val="1"/>
      <w:marLeft w:val="0"/>
      <w:marRight w:val="0"/>
      <w:marTop w:val="0"/>
      <w:marBottom w:val="0"/>
      <w:divBdr>
        <w:top w:val="none" w:sz="0" w:space="0" w:color="auto"/>
        <w:left w:val="none" w:sz="0" w:space="0" w:color="auto"/>
        <w:bottom w:val="none" w:sz="0" w:space="0" w:color="auto"/>
        <w:right w:val="none" w:sz="0" w:space="0" w:color="auto"/>
      </w:divBdr>
    </w:div>
    <w:div w:id="1758594971">
      <w:bodyDiv w:val="1"/>
      <w:marLeft w:val="0"/>
      <w:marRight w:val="0"/>
      <w:marTop w:val="0"/>
      <w:marBottom w:val="0"/>
      <w:divBdr>
        <w:top w:val="none" w:sz="0" w:space="0" w:color="auto"/>
        <w:left w:val="none" w:sz="0" w:space="0" w:color="auto"/>
        <w:bottom w:val="none" w:sz="0" w:space="0" w:color="auto"/>
        <w:right w:val="none" w:sz="0" w:space="0" w:color="auto"/>
      </w:divBdr>
    </w:div>
    <w:div w:id="1761439753">
      <w:bodyDiv w:val="1"/>
      <w:marLeft w:val="0"/>
      <w:marRight w:val="0"/>
      <w:marTop w:val="0"/>
      <w:marBottom w:val="0"/>
      <w:divBdr>
        <w:top w:val="none" w:sz="0" w:space="0" w:color="auto"/>
        <w:left w:val="none" w:sz="0" w:space="0" w:color="auto"/>
        <w:bottom w:val="none" w:sz="0" w:space="0" w:color="auto"/>
        <w:right w:val="none" w:sz="0" w:space="0" w:color="auto"/>
      </w:divBdr>
    </w:div>
    <w:div w:id="1791975207">
      <w:bodyDiv w:val="1"/>
      <w:marLeft w:val="0"/>
      <w:marRight w:val="0"/>
      <w:marTop w:val="0"/>
      <w:marBottom w:val="0"/>
      <w:divBdr>
        <w:top w:val="none" w:sz="0" w:space="0" w:color="auto"/>
        <w:left w:val="none" w:sz="0" w:space="0" w:color="auto"/>
        <w:bottom w:val="none" w:sz="0" w:space="0" w:color="auto"/>
        <w:right w:val="none" w:sz="0" w:space="0" w:color="auto"/>
      </w:divBdr>
    </w:div>
    <w:div w:id="1796826431">
      <w:bodyDiv w:val="1"/>
      <w:marLeft w:val="0"/>
      <w:marRight w:val="0"/>
      <w:marTop w:val="0"/>
      <w:marBottom w:val="0"/>
      <w:divBdr>
        <w:top w:val="none" w:sz="0" w:space="0" w:color="auto"/>
        <w:left w:val="none" w:sz="0" w:space="0" w:color="auto"/>
        <w:bottom w:val="none" w:sz="0" w:space="0" w:color="auto"/>
        <w:right w:val="none" w:sz="0" w:space="0" w:color="auto"/>
      </w:divBdr>
    </w:div>
    <w:div w:id="1808741134">
      <w:bodyDiv w:val="1"/>
      <w:marLeft w:val="0"/>
      <w:marRight w:val="0"/>
      <w:marTop w:val="0"/>
      <w:marBottom w:val="0"/>
      <w:divBdr>
        <w:top w:val="none" w:sz="0" w:space="0" w:color="auto"/>
        <w:left w:val="none" w:sz="0" w:space="0" w:color="auto"/>
        <w:bottom w:val="none" w:sz="0" w:space="0" w:color="auto"/>
        <w:right w:val="none" w:sz="0" w:space="0" w:color="auto"/>
      </w:divBdr>
    </w:div>
    <w:div w:id="1831553416">
      <w:bodyDiv w:val="1"/>
      <w:marLeft w:val="0"/>
      <w:marRight w:val="0"/>
      <w:marTop w:val="0"/>
      <w:marBottom w:val="0"/>
      <w:divBdr>
        <w:top w:val="none" w:sz="0" w:space="0" w:color="auto"/>
        <w:left w:val="none" w:sz="0" w:space="0" w:color="auto"/>
        <w:bottom w:val="none" w:sz="0" w:space="0" w:color="auto"/>
        <w:right w:val="none" w:sz="0" w:space="0" w:color="auto"/>
      </w:divBdr>
    </w:div>
    <w:div w:id="1839300286">
      <w:bodyDiv w:val="1"/>
      <w:marLeft w:val="0"/>
      <w:marRight w:val="0"/>
      <w:marTop w:val="0"/>
      <w:marBottom w:val="0"/>
      <w:divBdr>
        <w:top w:val="none" w:sz="0" w:space="0" w:color="auto"/>
        <w:left w:val="none" w:sz="0" w:space="0" w:color="auto"/>
        <w:bottom w:val="none" w:sz="0" w:space="0" w:color="auto"/>
        <w:right w:val="none" w:sz="0" w:space="0" w:color="auto"/>
      </w:divBdr>
    </w:div>
    <w:div w:id="1854756874">
      <w:bodyDiv w:val="1"/>
      <w:marLeft w:val="0"/>
      <w:marRight w:val="0"/>
      <w:marTop w:val="0"/>
      <w:marBottom w:val="0"/>
      <w:divBdr>
        <w:top w:val="none" w:sz="0" w:space="0" w:color="auto"/>
        <w:left w:val="none" w:sz="0" w:space="0" w:color="auto"/>
        <w:bottom w:val="none" w:sz="0" w:space="0" w:color="auto"/>
        <w:right w:val="none" w:sz="0" w:space="0" w:color="auto"/>
      </w:divBdr>
    </w:div>
    <w:div w:id="1905945769">
      <w:bodyDiv w:val="1"/>
      <w:marLeft w:val="0"/>
      <w:marRight w:val="0"/>
      <w:marTop w:val="0"/>
      <w:marBottom w:val="0"/>
      <w:divBdr>
        <w:top w:val="none" w:sz="0" w:space="0" w:color="auto"/>
        <w:left w:val="none" w:sz="0" w:space="0" w:color="auto"/>
        <w:bottom w:val="none" w:sz="0" w:space="0" w:color="auto"/>
        <w:right w:val="none" w:sz="0" w:space="0" w:color="auto"/>
      </w:divBdr>
    </w:div>
    <w:div w:id="1917663033">
      <w:bodyDiv w:val="1"/>
      <w:marLeft w:val="0"/>
      <w:marRight w:val="0"/>
      <w:marTop w:val="0"/>
      <w:marBottom w:val="0"/>
      <w:divBdr>
        <w:top w:val="none" w:sz="0" w:space="0" w:color="auto"/>
        <w:left w:val="none" w:sz="0" w:space="0" w:color="auto"/>
        <w:bottom w:val="none" w:sz="0" w:space="0" w:color="auto"/>
        <w:right w:val="none" w:sz="0" w:space="0" w:color="auto"/>
      </w:divBdr>
    </w:div>
    <w:div w:id="1935363533">
      <w:bodyDiv w:val="1"/>
      <w:marLeft w:val="0"/>
      <w:marRight w:val="0"/>
      <w:marTop w:val="0"/>
      <w:marBottom w:val="0"/>
      <w:divBdr>
        <w:top w:val="none" w:sz="0" w:space="0" w:color="auto"/>
        <w:left w:val="none" w:sz="0" w:space="0" w:color="auto"/>
        <w:bottom w:val="none" w:sz="0" w:space="0" w:color="auto"/>
        <w:right w:val="none" w:sz="0" w:space="0" w:color="auto"/>
      </w:divBdr>
    </w:div>
    <w:div w:id="1952398598">
      <w:bodyDiv w:val="1"/>
      <w:marLeft w:val="0"/>
      <w:marRight w:val="0"/>
      <w:marTop w:val="0"/>
      <w:marBottom w:val="0"/>
      <w:divBdr>
        <w:top w:val="none" w:sz="0" w:space="0" w:color="auto"/>
        <w:left w:val="none" w:sz="0" w:space="0" w:color="auto"/>
        <w:bottom w:val="none" w:sz="0" w:space="0" w:color="auto"/>
        <w:right w:val="none" w:sz="0" w:space="0" w:color="auto"/>
      </w:divBdr>
    </w:div>
    <w:div w:id="1955667405">
      <w:bodyDiv w:val="1"/>
      <w:marLeft w:val="0"/>
      <w:marRight w:val="0"/>
      <w:marTop w:val="0"/>
      <w:marBottom w:val="0"/>
      <w:divBdr>
        <w:top w:val="none" w:sz="0" w:space="0" w:color="auto"/>
        <w:left w:val="none" w:sz="0" w:space="0" w:color="auto"/>
        <w:bottom w:val="none" w:sz="0" w:space="0" w:color="auto"/>
        <w:right w:val="none" w:sz="0" w:space="0" w:color="auto"/>
      </w:divBdr>
    </w:div>
    <w:div w:id="1958296795">
      <w:bodyDiv w:val="1"/>
      <w:marLeft w:val="0"/>
      <w:marRight w:val="0"/>
      <w:marTop w:val="0"/>
      <w:marBottom w:val="0"/>
      <w:divBdr>
        <w:top w:val="none" w:sz="0" w:space="0" w:color="auto"/>
        <w:left w:val="none" w:sz="0" w:space="0" w:color="auto"/>
        <w:bottom w:val="none" w:sz="0" w:space="0" w:color="auto"/>
        <w:right w:val="none" w:sz="0" w:space="0" w:color="auto"/>
      </w:divBdr>
    </w:div>
    <w:div w:id="1985117883">
      <w:bodyDiv w:val="1"/>
      <w:marLeft w:val="0"/>
      <w:marRight w:val="0"/>
      <w:marTop w:val="0"/>
      <w:marBottom w:val="0"/>
      <w:divBdr>
        <w:top w:val="none" w:sz="0" w:space="0" w:color="auto"/>
        <w:left w:val="none" w:sz="0" w:space="0" w:color="auto"/>
        <w:bottom w:val="none" w:sz="0" w:space="0" w:color="auto"/>
        <w:right w:val="none" w:sz="0" w:space="0" w:color="auto"/>
      </w:divBdr>
    </w:div>
    <w:div w:id="2001957230">
      <w:bodyDiv w:val="1"/>
      <w:marLeft w:val="0"/>
      <w:marRight w:val="0"/>
      <w:marTop w:val="0"/>
      <w:marBottom w:val="0"/>
      <w:divBdr>
        <w:top w:val="none" w:sz="0" w:space="0" w:color="auto"/>
        <w:left w:val="none" w:sz="0" w:space="0" w:color="auto"/>
        <w:bottom w:val="none" w:sz="0" w:space="0" w:color="auto"/>
        <w:right w:val="none" w:sz="0" w:space="0" w:color="auto"/>
      </w:divBdr>
    </w:div>
    <w:div w:id="2051882247">
      <w:bodyDiv w:val="1"/>
      <w:marLeft w:val="0"/>
      <w:marRight w:val="0"/>
      <w:marTop w:val="0"/>
      <w:marBottom w:val="0"/>
      <w:divBdr>
        <w:top w:val="none" w:sz="0" w:space="0" w:color="auto"/>
        <w:left w:val="none" w:sz="0" w:space="0" w:color="auto"/>
        <w:bottom w:val="none" w:sz="0" w:space="0" w:color="auto"/>
        <w:right w:val="none" w:sz="0" w:space="0" w:color="auto"/>
      </w:divBdr>
    </w:div>
    <w:div w:id="2068255992">
      <w:bodyDiv w:val="1"/>
      <w:marLeft w:val="0"/>
      <w:marRight w:val="0"/>
      <w:marTop w:val="0"/>
      <w:marBottom w:val="0"/>
      <w:divBdr>
        <w:top w:val="none" w:sz="0" w:space="0" w:color="auto"/>
        <w:left w:val="none" w:sz="0" w:space="0" w:color="auto"/>
        <w:bottom w:val="none" w:sz="0" w:space="0" w:color="auto"/>
        <w:right w:val="none" w:sz="0" w:space="0" w:color="auto"/>
      </w:divBdr>
    </w:div>
    <w:div w:id="2083330736">
      <w:bodyDiv w:val="1"/>
      <w:marLeft w:val="0"/>
      <w:marRight w:val="0"/>
      <w:marTop w:val="0"/>
      <w:marBottom w:val="0"/>
      <w:divBdr>
        <w:top w:val="none" w:sz="0" w:space="0" w:color="auto"/>
        <w:left w:val="none" w:sz="0" w:space="0" w:color="auto"/>
        <w:bottom w:val="none" w:sz="0" w:space="0" w:color="auto"/>
        <w:right w:val="none" w:sz="0" w:space="0" w:color="auto"/>
      </w:divBdr>
    </w:div>
    <w:div w:id="2096514686">
      <w:bodyDiv w:val="1"/>
      <w:marLeft w:val="0"/>
      <w:marRight w:val="0"/>
      <w:marTop w:val="0"/>
      <w:marBottom w:val="0"/>
      <w:divBdr>
        <w:top w:val="none" w:sz="0" w:space="0" w:color="auto"/>
        <w:left w:val="none" w:sz="0" w:space="0" w:color="auto"/>
        <w:bottom w:val="none" w:sz="0" w:space="0" w:color="auto"/>
        <w:right w:val="none" w:sz="0" w:space="0" w:color="auto"/>
      </w:divBdr>
    </w:div>
    <w:div w:id="213590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6-00-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006-00-SKB SPC Hum skabelon - engelsk</Template>
  <TotalTime>122</TotalTime>
  <Pages>41</Pages>
  <Words>16513</Words>
  <Characters>94319</Characters>
  <Application>Microsoft Office Word</Application>
  <DocSecurity>0</DocSecurity>
  <Lines>785</Lines>
  <Paragraphs>221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2022042767 var 8 g - psusa opdat+engelske tekster</dc:description>
  <cp:lastModifiedBy>Hanne Thy Iversen</cp:lastModifiedBy>
  <cp:revision>21</cp:revision>
  <cp:lastPrinted>2006-02-24T09:31:00Z</cp:lastPrinted>
  <dcterms:created xsi:type="dcterms:W3CDTF">2022-10-13T14:34:00Z</dcterms:created>
  <dcterms:modified xsi:type="dcterms:W3CDTF">2022-10-14T09:13:00Z</dcterms:modified>
</cp:coreProperties>
</file>