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594A1B" w14:textId="77777777" w:rsidR="009260DE" w:rsidRPr="008F49E1" w:rsidRDefault="0021526C" w:rsidP="009260DE">
      <w:pPr>
        <w:rPr>
          <w:sz w:val="24"/>
          <w:szCs w:val="24"/>
        </w:rPr>
      </w:pPr>
      <w:bookmarkStart w:id="0" w:name="_GoBack"/>
      <w:bookmarkEnd w:id="0"/>
      <w:r w:rsidRPr="009260DE">
        <w:rPr>
          <w:noProof/>
          <w:sz w:val="24"/>
          <w:szCs w:val="24"/>
          <w:lang w:eastAsia="da-DK"/>
        </w:rPr>
        <w:drawing>
          <wp:anchor distT="0" distB="0" distL="114300" distR="114300" simplePos="0" relativeHeight="251658240" behindDoc="0" locked="0" layoutInCell="1" allowOverlap="1" wp14:anchorId="2C109837" wp14:editId="13AC3154">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Pr>
          <w:sz w:val="24"/>
          <w:szCs w:val="24"/>
        </w:rPr>
        <w:br w:type="textWrapping" w:clear="all"/>
      </w:r>
    </w:p>
    <w:p w14:paraId="190F7C76" w14:textId="0DD38370" w:rsidR="009260DE" w:rsidRPr="00C84483" w:rsidRDefault="009260DE" w:rsidP="009260DE">
      <w:pPr>
        <w:pStyle w:val="Titel"/>
        <w:tabs>
          <w:tab w:val="right" w:pos="9356"/>
        </w:tabs>
        <w:jc w:val="left"/>
        <w:rPr>
          <w:b w:val="0"/>
          <w:szCs w:val="24"/>
          <w:lang w:eastAsia="en-US"/>
        </w:rPr>
      </w:pPr>
      <w:r w:rsidRPr="00C84483">
        <w:rPr>
          <w:b w:val="0"/>
          <w:szCs w:val="24"/>
          <w:lang w:eastAsia="en-US"/>
        </w:rPr>
        <w:tab/>
      </w:r>
      <w:r w:rsidR="007055E1">
        <w:rPr>
          <w:szCs w:val="24"/>
        </w:rPr>
        <w:t>8. november 2023</w:t>
      </w:r>
    </w:p>
    <w:p w14:paraId="1A9A12A8" w14:textId="07AC0233" w:rsidR="009260DE" w:rsidRDefault="009260DE" w:rsidP="009260DE">
      <w:pPr>
        <w:pStyle w:val="Titel"/>
        <w:jc w:val="left"/>
        <w:rPr>
          <w:b w:val="0"/>
          <w:szCs w:val="24"/>
        </w:rPr>
      </w:pPr>
    </w:p>
    <w:p w14:paraId="6CDD0DCE" w14:textId="77678946" w:rsidR="00D11AD1" w:rsidRDefault="00D11AD1" w:rsidP="009260DE">
      <w:pPr>
        <w:pStyle w:val="Titel"/>
        <w:jc w:val="left"/>
        <w:rPr>
          <w:b w:val="0"/>
          <w:szCs w:val="24"/>
        </w:rPr>
      </w:pPr>
    </w:p>
    <w:p w14:paraId="5A0A42EE" w14:textId="4E555B4E" w:rsidR="00D11AD1" w:rsidRPr="00C84483" w:rsidRDefault="00D11AD1" w:rsidP="009260DE">
      <w:pPr>
        <w:pStyle w:val="Titel"/>
        <w:jc w:val="left"/>
        <w:rPr>
          <w:b w:val="0"/>
          <w:szCs w:val="24"/>
        </w:rPr>
      </w:pPr>
    </w:p>
    <w:p w14:paraId="28EBD451" w14:textId="77777777" w:rsidR="009260DE" w:rsidRPr="00C84483" w:rsidRDefault="009260DE" w:rsidP="009260DE">
      <w:pPr>
        <w:jc w:val="center"/>
        <w:rPr>
          <w:b/>
          <w:sz w:val="24"/>
          <w:szCs w:val="24"/>
        </w:rPr>
      </w:pPr>
      <w:r w:rsidRPr="00C84483">
        <w:rPr>
          <w:b/>
          <w:sz w:val="24"/>
          <w:szCs w:val="24"/>
        </w:rPr>
        <w:t>PRODUKTRESUMÉ</w:t>
      </w:r>
    </w:p>
    <w:p w14:paraId="7A3CE05E" w14:textId="77777777" w:rsidR="009260DE" w:rsidRPr="00C84483" w:rsidRDefault="009260DE" w:rsidP="009260DE">
      <w:pPr>
        <w:jc w:val="center"/>
        <w:rPr>
          <w:b/>
          <w:sz w:val="24"/>
          <w:szCs w:val="24"/>
        </w:rPr>
      </w:pPr>
    </w:p>
    <w:p w14:paraId="0C787827" w14:textId="77777777" w:rsidR="009260DE" w:rsidRDefault="009260DE" w:rsidP="009260DE">
      <w:pPr>
        <w:jc w:val="center"/>
        <w:rPr>
          <w:b/>
          <w:sz w:val="24"/>
          <w:szCs w:val="24"/>
        </w:rPr>
      </w:pPr>
      <w:r w:rsidRPr="00C84483">
        <w:rPr>
          <w:b/>
          <w:sz w:val="24"/>
          <w:szCs w:val="24"/>
        </w:rPr>
        <w:t>for</w:t>
      </w:r>
    </w:p>
    <w:p w14:paraId="04A62958" w14:textId="77777777" w:rsidR="000B058C" w:rsidRPr="00C84483" w:rsidRDefault="000B058C" w:rsidP="009260DE">
      <w:pPr>
        <w:jc w:val="center"/>
        <w:rPr>
          <w:b/>
          <w:sz w:val="24"/>
          <w:szCs w:val="24"/>
        </w:rPr>
      </w:pPr>
    </w:p>
    <w:p w14:paraId="758CB8C8" w14:textId="7B2E21C4" w:rsidR="009260DE" w:rsidRPr="00C84483" w:rsidRDefault="006227E3" w:rsidP="009260DE">
      <w:pPr>
        <w:jc w:val="center"/>
        <w:rPr>
          <w:b/>
          <w:sz w:val="24"/>
          <w:szCs w:val="24"/>
        </w:rPr>
      </w:pPr>
      <w:r>
        <w:rPr>
          <w:b/>
          <w:sz w:val="24"/>
          <w:szCs w:val="24"/>
        </w:rPr>
        <w:t xml:space="preserve">Dasatinib </w:t>
      </w:r>
      <w:r w:rsidR="003A0506">
        <w:rPr>
          <w:b/>
          <w:sz w:val="24"/>
          <w:szCs w:val="24"/>
        </w:rPr>
        <w:t>"Vivanta"</w:t>
      </w:r>
      <w:r>
        <w:rPr>
          <w:b/>
          <w:sz w:val="24"/>
          <w:szCs w:val="24"/>
        </w:rPr>
        <w:t>, filmovertrukne tabletter</w:t>
      </w:r>
    </w:p>
    <w:p w14:paraId="3299CA1E" w14:textId="77777777" w:rsidR="009260DE" w:rsidRPr="00C84483" w:rsidRDefault="009260DE" w:rsidP="009260DE">
      <w:pPr>
        <w:jc w:val="both"/>
        <w:rPr>
          <w:sz w:val="24"/>
          <w:szCs w:val="24"/>
        </w:rPr>
      </w:pPr>
    </w:p>
    <w:p w14:paraId="50EBA54F" w14:textId="77777777" w:rsidR="009260DE" w:rsidRPr="00D11AD1" w:rsidRDefault="009260DE" w:rsidP="009260DE">
      <w:pPr>
        <w:jc w:val="both"/>
        <w:rPr>
          <w:sz w:val="24"/>
          <w:szCs w:val="24"/>
        </w:rPr>
      </w:pPr>
    </w:p>
    <w:p w14:paraId="7B319B51" w14:textId="77777777" w:rsidR="009260DE" w:rsidRPr="00D11AD1" w:rsidRDefault="009260DE" w:rsidP="009260DE">
      <w:pPr>
        <w:tabs>
          <w:tab w:val="left" w:pos="851"/>
        </w:tabs>
        <w:ind w:left="851" w:hanging="851"/>
        <w:rPr>
          <w:b/>
          <w:sz w:val="24"/>
          <w:szCs w:val="24"/>
        </w:rPr>
      </w:pPr>
      <w:r w:rsidRPr="00D11AD1">
        <w:rPr>
          <w:b/>
          <w:sz w:val="24"/>
          <w:szCs w:val="24"/>
        </w:rPr>
        <w:t>0.</w:t>
      </w:r>
      <w:r w:rsidRPr="00D11AD1">
        <w:rPr>
          <w:b/>
          <w:sz w:val="24"/>
          <w:szCs w:val="24"/>
        </w:rPr>
        <w:tab/>
        <w:t>D.SP.NR.</w:t>
      </w:r>
    </w:p>
    <w:p w14:paraId="3920678A" w14:textId="77777777" w:rsidR="009260DE" w:rsidRPr="00D11AD1" w:rsidRDefault="00A66970" w:rsidP="009260DE">
      <w:pPr>
        <w:tabs>
          <w:tab w:val="left" w:pos="851"/>
        </w:tabs>
        <w:ind w:left="851"/>
        <w:rPr>
          <w:sz w:val="24"/>
          <w:szCs w:val="24"/>
        </w:rPr>
      </w:pPr>
      <w:r w:rsidRPr="00D11AD1">
        <w:rPr>
          <w:sz w:val="24"/>
          <w:szCs w:val="24"/>
        </w:rPr>
        <w:t>31217</w:t>
      </w:r>
    </w:p>
    <w:p w14:paraId="2B30EF60" w14:textId="77777777" w:rsidR="009260DE" w:rsidRPr="00D11AD1" w:rsidRDefault="009260DE" w:rsidP="009260DE">
      <w:pPr>
        <w:tabs>
          <w:tab w:val="left" w:pos="851"/>
        </w:tabs>
        <w:ind w:left="851"/>
        <w:rPr>
          <w:sz w:val="24"/>
          <w:szCs w:val="24"/>
        </w:rPr>
      </w:pPr>
    </w:p>
    <w:p w14:paraId="0F5C1257" w14:textId="77777777" w:rsidR="009260DE" w:rsidRPr="00D11AD1" w:rsidRDefault="009260DE" w:rsidP="009260DE">
      <w:pPr>
        <w:tabs>
          <w:tab w:val="left" w:pos="851"/>
        </w:tabs>
        <w:ind w:left="851" w:hanging="851"/>
        <w:rPr>
          <w:b/>
          <w:sz w:val="24"/>
          <w:szCs w:val="24"/>
        </w:rPr>
      </w:pPr>
      <w:r w:rsidRPr="00D11AD1">
        <w:rPr>
          <w:b/>
          <w:sz w:val="24"/>
          <w:szCs w:val="24"/>
        </w:rPr>
        <w:t>1.</w:t>
      </w:r>
      <w:r w:rsidRPr="00D11AD1">
        <w:rPr>
          <w:b/>
          <w:sz w:val="24"/>
          <w:szCs w:val="24"/>
        </w:rPr>
        <w:tab/>
        <w:t>LÆGEMIDLETS NAVN</w:t>
      </w:r>
    </w:p>
    <w:p w14:paraId="5A384CA0" w14:textId="28B40D95" w:rsidR="00A66970" w:rsidRPr="00D11AD1" w:rsidRDefault="00A66970" w:rsidP="00A66970">
      <w:pPr>
        <w:tabs>
          <w:tab w:val="left" w:pos="851"/>
        </w:tabs>
        <w:ind w:left="851"/>
        <w:rPr>
          <w:sz w:val="24"/>
          <w:szCs w:val="24"/>
        </w:rPr>
      </w:pPr>
      <w:r w:rsidRPr="00D11AD1">
        <w:rPr>
          <w:sz w:val="24"/>
          <w:szCs w:val="24"/>
        </w:rPr>
        <w:t xml:space="preserve">Dasatinib </w:t>
      </w:r>
      <w:r w:rsidR="003A0506">
        <w:rPr>
          <w:sz w:val="24"/>
          <w:szCs w:val="24"/>
        </w:rPr>
        <w:t>"Vivanta"</w:t>
      </w:r>
    </w:p>
    <w:p w14:paraId="3CE078BB" w14:textId="77777777" w:rsidR="009260DE" w:rsidRPr="00D11AD1" w:rsidRDefault="009260DE" w:rsidP="009260DE">
      <w:pPr>
        <w:tabs>
          <w:tab w:val="left" w:pos="851"/>
        </w:tabs>
        <w:ind w:left="851"/>
        <w:rPr>
          <w:sz w:val="24"/>
          <w:szCs w:val="24"/>
        </w:rPr>
      </w:pPr>
    </w:p>
    <w:p w14:paraId="0A847946" w14:textId="77777777" w:rsidR="009260DE" w:rsidRPr="00D11AD1" w:rsidRDefault="009260DE" w:rsidP="009260DE">
      <w:pPr>
        <w:tabs>
          <w:tab w:val="left" w:pos="851"/>
        </w:tabs>
        <w:ind w:left="851" w:hanging="851"/>
        <w:rPr>
          <w:b/>
          <w:sz w:val="24"/>
          <w:szCs w:val="24"/>
        </w:rPr>
      </w:pPr>
      <w:r w:rsidRPr="00D11AD1">
        <w:rPr>
          <w:b/>
          <w:sz w:val="24"/>
          <w:szCs w:val="24"/>
        </w:rPr>
        <w:t>2.</w:t>
      </w:r>
      <w:r w:rsidRPr="00D11AD1">
        <w:rPr>
          <w:b/>
          <w:sz w:val="24"/>
          <w:szCs w:val="24"/>
        </w:rPr>
        <w:tab/>
        <w:t>KVALITATIV OG KVANTITATIV SAMMENSÆTNING</w:t>
      </w:r>
    </w:p>
    <w:p w14:paraId="25EB6F23" w14:textId="77777777" w:rsidR="00BE669E" w:rsidRPr="00D11AD1" w:rsidRDefault="00BE669E" w:rsidP="00972652">
      <w:pPr>
        <w:tabs>
          <w:tab w:val="left" w:pos="851"/>
        </w:tabs>
        <w:ind w:left="851"/>
        <w:rPr>
          <w:sz w:val="24"/>
          <w:szCs w:val="24"/>
          <w:u w:val="single"/>
        </w:rPr>
      </w:pPr>
    </w:p>
    <w:p w14:paraId="172D3605" w14:textId="2D977189" w:rsidR="00972652" w:rsidRPr="00D11AD1" w:rsidRDefault="00972652" w:rsidP="00972652">
      <w:pPr>
        <w:tabs>
          <w:tab w:val="left" w:pos="851"/>
        </w:tabs>
        <w:ind w:left="851"/>
        <w:rPr>
          <w:sz w:val="24"/>
          <w:szCs w:val="24"/>
          <w:u w:val="single"/>
        </w:rPr>
      </w:pPr>
      <w:r w:rsidRPr="00D11AD1">
        <w:rPr>
          <w:sz w:val="24"/>
          <w:szCs w:val="24"/>
          <w:u w:val="single"/>
        </w:rPr>
        <w:t>20 mg</w:t>
      </w:r>
    </w:p>
    <w:p w14:paraId="3C7E0B26" w14:textId="77777777" w:rsidR="00972652" w:rsidRPr="00D11AD1" w:rsidRDefault="00972652" w:rsidP="00972652">
      <w:pPr>
        <w:tabs>
          <w:tab w:val="left" w:pos="851"/>
        </w:tabs>
        <w:ind w:left="851"/>
        <w:rPr>
          <w:sz w:val="24"/>
          <w:szCs w:val="24"/>
        </w:rPr>
      </w:pPr>
      <w:r w:rsidRPr="00D11AD1">
        <w:rPr>
          <w:sz w:val="24"/>
          <w:szCs w:val="24"/>
        </w:rPr>
        <w:t>Hver filmovertrukket tablet indeholder vandfri dasatinib svarende til 20 mg dasatinib.</w:t>
      </w:r>
    </w:p>
    <w:p w14:paraId="4A7E8686" w14:textId="77777777" w:rsidR="00972652" w:rsidRPr="00D11AD1" w:rsidRDefault="00972652" w:rsidP="00972652">
      <w:pPr>
        <w:tabs>
          <w:tab w:val="left" w:pos="851"/>
        </w:tabs>
        <w:ind w:left="851"/>
        <w:rPr>
          <w:sz w:val="24"/>
          <w:szCs w:val="24"/>
        </w:rPr>
      </w:pPr>
    </w:p>
    <w:p w14:paraId="72FB94B9"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38857970" w14:textId="77777777" w:rsidR="00972652" w:rsidRPr="00D11AD1" w:rsidRDefault="00972652" w:rsidP="00972652">
      <w:pPr>
        <w:tabs>
          <w:tab w:val="left" w:pos="851"/>
        </w:tabs>
        <w:ind w:left="851"/>
        <w:rPr>
          <w:sz w:val="24"/>
          <w:szCs w:val="24"/>
        </w:rPr>
      </w:pPr>
      <w:r w:rsidRPr="00D11AD1">
        <w:rPr>
          <w:sz w:val="24"/>
          <w:szCs w:val="24"/>
        </w:rPr>
        <w:t>Hver filmovertrukket tablet indeholder 27 mg lactosemonohydrat og ca. 0,0161 mg natrium.</w:t>
      </w:r>
    </w:p>
    <w:p w14:paraId="73909DD1" w14:textId="77777777" w:rsidR="00972652" w:rsidRPr="00D11AD1" w:rsidRDefault="00972652" w:rsidP="00972652">
      <w:pPr>
        <w:tabs>
          <w:tab w:val="left" w:pos="851"/>
        </w:tabs>
        <w:ind w:left="851"/>
        <w:rPr>
          <w:sz w:val="24"/>
          <w:szCs w:val="24"/>
        </w:rPr>
      </w:pPr>
    </w:p>
    <w:p w14:paraId="0E035CDB" w14:textId="77777777" w:rsidR="00972652" w:rsidRPr="00D11AD1" w:rsidRDefault="00972652" w:rsidP="00972652">
      <w:pPr>
        <w:tabs>
          <w:tab w:val="left" w:pos="851"/>
        </w:tabs>
        <w:ind w:left="851"/>
        <w:rPr>
          <w:sz w:val="24"/>
          <w:szCs w:val="24"/>
          <w:u w:val="single"/>
        </w:rPr>
      </w:pPr>
      <w:r w:rsidRPr="00D11AD1">
        <w:rPr>
          <w:sz w:val="24"/>
          <w:szCs w:val="24"/>
          <w:u w:val="single"/>
        </w:rPr>
        <w:t>50 mg</w:t>
      </w:r>
    </w:p>
    <w:p w14:paraId="320DEFD6" w14:textId="77777777" w:rsidR="00972652" w:rsidRPr="00D11AD1" w:rsidRDefault="00972652" w:rsidP="00972652">
      <w:pPr>
        <w:tabs>
          <w:tab w:val="left" w:pos="851"/>
        </w:tabs>
        <w:ind w:left="851"/>
        <w:rPr>
          <w:sz w:val="24"/>
          <w:szCs w:val="24"/>
        </w:rPr>
      </w:pPr>
      <w:r w:rsidRPr="00D11AD1">
        <w:rPr>
          <w:sz w:val="24"/>
          <w:szCs w:val="24"/>
        </w:rPr>
        <w:t>Hver filmovertrukket tablet indeholder vandfri dasatinib svarende til 50 mg dasatinib.</w:t>
      </w:r>
    </w:p>
    <w:p w14:paraId="5BB6BA02" w14:textId="77777777" w:rsidR="00972652" w:rsidRPr="00D11AD1" w:rsidRDefault="00972652" w:rsidP="00972652">
      <w:pPr>
        <w:tabs>
          <w:tab w:val="left" w:pos="851"/>
        </w:tabs>
        <w:ind w:left="851"/>
        <w:rPr>
          <w:sz w:val="24"/>
          <w:szCs w:val="24"/>
        </w:rPr>
      </w:pPr>
    </w:p>
    <w:p w14:paraId="0C0AD3B1"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1667F589" w14:textId="77777777" w:rsidR="00972652" w:rsidRPr="00D11AD1" w:rsidRDefault="00972652" w:rsidP="00972652">
      <w:pPr>
        <w:tabs>
          <w:tab w:val="left" w:pos="851"/>
        </w:tabs>
        <w:ind w:left="851"/>
        <w:rPr>
          <w:sz w:val="24"/>
          <w:szCs w:val="24"/>
        </w:rPr>
      </w:pPr>
      <w:r w:rsidRPr="00D11AD1">
        <w:rPr>
          <w:sz w:val="24"/>
          <w:szCs w:val="24"/>
        </w:rPr>
        <w:t>Hver filmovertrukket tablet indeholder 67,5 mg lactosemonohydrat og ca. 0,0403 mg natrium.</w:t>
      </w:r>
    </w:p>
    <w:p w14:paraId="2D434025" w14:textId="77777777" w:rsidR="00972652" w:rsidRPr="00D11AD1" w:rsidRDefault="00972652" w:rsidP="00972652">
      <w:pPr>
        <w:tabs>
          <w:tab w:val="left" w:pos="851"/>
        </w:tabs>
        <w:ind w:left="851"/>
        <w:rPr>
          <w:sz w:val="24"/>
          <w:szCs w:val="24"/>
        </w:rPr>
      </w:pPr>
    </w:p>
    <w:p w14:paraId="080087D6" w14:textId="77777777" w:rsidR="00972652" w:rsidRPr="00D11AD1" w:rsidRDefault="00972652" w:rsidP="00972652">
      <w:pPr>
        <w:tabs>
          <w:tab w:val="left" w:pos="851"/>
        </w:tabs>
        <w:ind w:left="851"/>
        <w:rPr>
          <w:sz w:val="24"/>
          <w:szCs w:val="24"/>
          <w:u w:val="single"/>
        </w:rPr>
      </w:pPr>
      <w:r w:rsidRPr="00D11AD1">
        <w:rPr>
          <w:sz w:val="24"/>
          <w:szCs w:val="24"/>
          <w:u w:val="single"/>
        </w:rPr>
        <w:t>70 mg</w:t>
      </w:r>
    </w:p>
    <w:p w14:paraId="1767DFA8" w14:textId="77777777" w:rsidR="00972652" w:rsidRPr="00D11AD1" w:rsidRDefault="00972652" w:rsidP="00972652">
      <w:pPr>
        <w:tabs>
          <w:tab w:val="left" w:pos="851"/>
        </w:tabs>
        <w:ind w:left="851"/>
        <w:rPr>
          <w:sz w:val="24"/>
          <w:szCs w:val="24"/>
        </w:rPr>
      </w:pPr>
      <w:r w:rsidRPr="00D11AD1">
        <w:rPr>
          <w:sz w:val="24"/>
          <w:szCs w:val="24"/>
        </w:rPr>
        <w:t>Hver filmovertrukket tablet indeholder vandfri dasatinib svarende til 70 mg dasatinib.</w:t>
      </w:r>
    </w:p>
    <w:p w14:paraId="06FBEB61" w14:textId="77777777" w:rsidR="00972652" w:rsidRPr="00D11AD1" w:rsidRDefault="00972652" w:rsidP="00972652">
      <w:pPr>
        <w:tabs>
          <w:tab w:val="left" w:pos="851"/>
        </w:tabs>
        <w:ind w:left="851"/>
        <w:rPr>
          <w:sz w:val="24"/>
          <w:szCs w:val="24"/>
        </w:rPr>
      </w:pPr>
    </w:p>
    <w:p w14:paraId="09819653"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4B709677" w14:textId="77777777" w:rsidR="00972652" w:rsidRPr="00D11AD1" w:rsidRDefault="00972652" w:rsidP="00972652">
      <w:pPr>
        <w:tabs>
          <w:tab w:val="left" w:pos="851"/>
        </w:tabs>
        <w:ind w:left="851"/>
        <w:rPr>
          <w:sz w:val="24"/>
          <w:szCs w:val="24"/>
        </w:rPr>
      </w:pPr>
      <w:r w:rsidRPr="00D11AD1">
        <w:rPr>
          <w:sz w:val="24"/>
          <w:szCs w:val="24"/>
        </w:rPr>
        <w:t>Hver filmovertrukket tablet indeholder 94,5 mg lactosemonohydrat og ca. 0,0564 mg natrium.</w:t>
      </w:r>
    </w:p>
    <w:p w14:paraId="3949226E" w14:textId="77777777" w:rsidR="00972652" w:rsidRPr="00D11AD1" w:rsidRDefault="00972652" w:rsidP="00972652">
      <w:pPr>
        <w:tabs>
          <w:tab w:val="left" w:pos="851"/>
        </w:tabs>
        <w:ind w:left="851"/>
        <w:rPr>
          <w:sz w:val="24"/>
          <w:szCs w:val="24"/>
        </w:rPr>
      </w:pPr>
    </w:p>
    <w:p w14:paraId="45BAAF93" w14:textId="77777777" w:rsidR="00972652" w:rsidRPr="00D11AD1" w:rsidRDefault="00972652" w:rsidP="00972652">
      <w:pPr>
        <w:tabs>
          <w:tab w:val="left" w:pos="851"/>
        </w:tabs>
        <w:ind w:left="851"/>
        <w:rPr>
          <w:sz w:val="24"/>
          <w:szCs w:val="24"/>
          <w:u w:val="single"/>
        </w:rPr>
      </w:pPr>
      <w:r w:rsidRPr="00D11AD1">
        <w:rPr>
          <w:sz w:val="24"/>
          <w:szCs w:val="24"/>
          <w:u w:val="single"/>
        </w:rPr>
        <w:t>80 mg</w:t>
      </w:r>
    </w:p>
    <w:p w14:paraId="25EE7D89" w14:textId="77777777" w:rsidR="00972652" w:rsidRPr="00D11AD1" w:rsidRDefault="00972652" w:rsidP="00972652">
      <w:pPr>
        <w:tabs>
          <w:tab w:val="left" w:pos="851"/>
        </w:tabs>
        <w:ind w:left="851"/>
        <w:rPr>
          <w:sz w:val="24"/>
          <w:szCs w:val="24"/>
        </w:rPr>
      </w:pPr>
      <w:r w:rsidRPr="00D11AD1">
        <w:rPr>
          <w:sz w:val="24"/>
          <w:szCs w:val="24"/>
        </w:rPr>
        <w:t>Hver filmovertrukket tablet indeholder vandfri dasatinib svarende til 80 mg dasatinib.</w:t>
      </w:r>
    </w:p>
    <w:p w14:paraId="4952B029" w14:textId="77777777" w:rsidR="00972652" w:rsidRPr="00D11AD1" w:rsidRDefault="00972652" w:rsidP="00972652">
      <w:pPr>
        <w:tabs>
          <w:tab w:val="left" w:pos="851"/>
        </w:tabs>
        <w:ind w:left="851"/>
        <w:rPr>
          <w:sz w:val="24"/>
          <w:szCs w:val="24"/>
        </w:rPr>
      </w:pPr>
    </w:p>
    <w:p w14:paraId="043CE200"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2EB6C9F5" w14:textId="77777777" w:rsidR="00972652" w:rsidRPr="00D11AD1" w:rsidRDefault="00972652" w:rsidP="00972652">
      <w:pPr>
        <w:tabs>
          <w:tab w:val="left" w:pos="851"/>
        </w:tabs>
        <w:ind w:left="851"/>
        <w:rPr>
          <w:sz w:val="24"/>
          <w:szCs w:val="24"/>
        </w:rPr>
      </w:pPr>
      <w:r w:rsidRPr="00D11AD1">
        <w:rPr>
          <w:sz w:val="24"/>
          <w:szCs w:val="24"/>
        </w:rPr>
        <w:t>Hver filmovertrukket tablet indeholder 108 mg lactosemonohydrat og ca. 0,0645 mg natrium.</w:t>
      </w:r>
    </w:p>
    <w:p w14:paraId="6A2782CD" w14:textId="77777777" w:rsidR="00972652" w:rsidRPr="00D11AD1" w:rsidRDefault="00972652" w:rsidP="00972652">
      <w:pPr>
        <w:tabs>
          <w:tab w:val="left" w:pos="851"/>
        </w:tabs>
        <w:ind w:left="851"/>
        <w:rPr>
          <w:sz w:val="24"/>
          <w:szCs w:val="24"/>
        </w:rPr>
      </w:pPr>
    </w:p>
    <w:p w14:paraId="08D1D575" w14:textId="77777777" w:rsidR="00972652" w:rsidRPr="00D11AD1" w:rsidRDefault="00972652" w:rsidP="00972652">
      <w:pPr>
        <w:tabs>
          <w:tab w:val="left" w:pos="851"/>
        </w:tabs>
        <w:ind w:left="851"/>
        <w:rPr>
          <w:sz w:val="24"/>
          <w:szCs w:val="24"/>
          <w:u w:val="single"/>
        </w:rPr>
      </w:pPr>
      <w:r w:rsidRPr="00D11AD1">
        <w:rPr>
          <w:sz w:val="24"/>
          <w:szCs w:val="24"/>
          <w:u w:val="single"/>
        </w:rPr>
        <w:t>100 mg</w:t>
      </w:r>
    </w:p>
    <w:p w14:paraId="74F69AF4" w14:textId="77777777" w:rsidR="00972652" w:rsidRPr="00D11AD1" w:rsidRDefault="00972652" w:rsidP="00972652">
      <w:pPr>
        <w:tabs>
          <w:tab w:val="left" w:pos="851"/>
        </w:tabs>
        <w:ind w:left="851"/>
        <w:rPr>
          <w:sz w:val="24"/>
          <w:szCs w:val="24"/>
        </w:rPr>
      </w:pPr>
      <w:r w:rsidRPr="00D11AD1">
        <w:rPr>
          <w:sz w:val="24"/>
          <w:szCs w:val="24"/>
        </w:rPr>
        <w:t>Hver filmovertrukket tablet indeholder vandfri dasatinib svarende til 100 mg dasatinib.</w:t>
      </w:r>
    </w:p>
    <w:p w14:paraId="33A37E59" w14:textId="77777777" w:rsidR="00972652" w:rsidRPr="00D11AD1" w:rsidRDefault="00972652" w:rsidP="00972652">
      <w:pPr>
        <w:tabs>
          <w:tab w:val="left" w:pos="851"/>
        </w:tabs>
        <w:ind w:left="851"/>
        <w:rPr>
          <w:sz w:val="24"/>
          <w:szCs w:val="24"/>
        </w:rPr>
      </w:pPr>
    </w:p>
    <w:p w14:paraId="2232F1FA"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1779CEE7" w14:textId="77777777" w:rsidR="00972652" w:rsidRPr="00D11AD1" w:rsidRDefault="00972652" w:rsidP="00972652">
      <w:pPr>
        <w:tabs>
          <w:tab w:val="left" w:pos="851"/>
        </w:tabs>
        <w:ind w:left="851"/>
        <w:rPr>
          <w:sz w:val="24"/>
          <w:szCs w:val="24"/>
        </w:rPr>
      </w:pPr>
      <w:r w:rsidRPr="00D11AD1">
        <w:rPr>
          <w:sz w:val="24"/>
          <w:szCs w:val="24"/>
        </w:rPr>
        <w:t>Hver filmovertrukket tablet indeholder 135,0 mg lactosemonohydrat og ca. 0,0806 mg natrium.</w:t>
      </w:r>
    </w:p>
    <w:p w14:paraId="3703278B" w14:textId="77777777" w:rsidR="00972652" w:rsidRPr="00D11AD1" w:rsidRDefault="00972652" w:rsidP="00972652">
      <w:pPr>
        <w:tabs>
          <w:tab w:val="left" w:pos="851"/>
        </w:tabs>
        <w:ind w:left="851"/>
        <w:rPr>
          <w:sz w:val="24"/>
          <w:szCs w:val="24"/>
        </w:rPr>
      </w:pPr>
    </w:p>
    <w:p w14:paraId="0F10DF1C" w14:textId="77777777" w:rsidR="00972652" w:rsidRPr="00D11AD1" w:rsidRDefault="00972652" w:rsidP="00972652">
      <w:pPr>
        <w:tabs>
          <w:tab w:val="left" w:pos="851"/>
        </w:tabs>
        <w:ind w:left="851"/>
        <w:rPr>
          <w:sz w:val="24"/>
          <w:szCs w:val="24"/>
          <w:u w:val="single"/>
        </w:rPr>
      </w:pPr>
      <w:r w:rsidRPr="00D11AD1">
        <w:rPr>
          <w:sz w:val="24"/>
          <w:szCs w:val="24"/>
          <w:u w:val="single"/>
        </w:rPr>
        <w:t>140 mg</w:t>
      </w:r>
    </w:p>
    <w:p w14:paraId="154BDFF5" w14:textId="6808A6CC" w:rsidR="00972652" w:rsidRPr="00D11AD1" w:rsidRDefault="00972652" w:rsidP="00972652">
      <w:pPr>
        <w:tabs>
          <w:tab w:val="left" w:pos="851"/>
        </w:tabs>
        <w:ind w:left="851"/>
        <w:rPr>
          <w:sz w:val="24"/>
          <w:szCs w:val="24"/>
        </w:rPr>
      </w:pPr>
      <w:r w:rsidRPr="00D11AD1">
        <w:rPr>
          <w:sz w:val="24"/>
          <w:szCs w:val="24"/>
        </w:rPr>
        <w:t xml:space="preserve">Hver filmovertrukket tablet indeholder vandfri </w:t>
      </w:r>
      <w:r w:rsidR="00D15BC8" w:rsidRPr="00D11AD1">
        <w:rPr>
          <w:sz w:val="24"/>
          <w:szCs w:val="24"/>
        </w:rPr>
        <w:t>d</w:t>
      </w:r>
      <w:r w:rsidRPr="00D11AD1">
        <w:rPr>
          <w:sz w:val="24"/>
          <w:szCs w:val="24"/>
        </w:rPr>
        <w:t xml:space="preserve">asatinib svarende til 140 mg </w:t>
      </w:r>
      <w:r w:rsidR="00D15BC8" w:rsidRPr="00D11AD1">
        <w:rPr>
          <w:sz w:val="24"/>
          <w:szCs w:val="24"/>
        </w:rPr>
        <w:t>d</w:t>
      </w:r>
      <w:r w:rsidRPr="00D11AD1">
        <w:rPr>
          <w:sz w:val="24"/>
          <w:szCs w:val="24"/>
        </w:rPr>
        <w:t>asatinib.</w:t>
      </w:r>
    </w:p>
    <w:p w14:paraId="1ADB88FB" w14:textId="77777777" w:rsidR="00972652" w:rsidRPr="00D11AD1" w:rsidRDefault="00972652" w:rsidP="00972652">
      <w:pPr>
        <w:tabs>
          <w:tab w:val="left" w:pos="851"/>
        </w:tabs>
        <w:ind w:left="851"/>
        <w:rPr>
          <w:sz w:val="24"/>
          <w:szCs w:val="24"/>
        </w:rPr>
      </w:pPr>
    </w:p>
    <w:p w14:paraId="7322C9E4" w14:textId="77777777" w:rsidR="00972652" w:rsidRPr="00D11AD1" w:rsidRDefault="00972652" w:rsidP="00972652">
      <w:pPr>
        <w:tabs>
          <w:tab w:val="left" w:pos="851"/>
        </w:tabs>
        <w:ind w:left="851"/>
        <w:rPr>
          <w:i/>
          <w:iCs/>
          <w:sz w:val="24"/>
          <w:szCs w:val="24"/>
          <w:u w:val="single"/>
        </w:rPr>
      </w:pPr>
      <w:r w:rsidRPr="00D11AD1">
        <w:rPr>
          <w:i/>
          <w:iCs/>
          <w:sz w:val="24"/>
          <w:szCs w:val="24"/>
          <w:u w:val="single"/>
        </w:rPr>
        <w:t>Hjælpestof, som behandleren skal være opmærksom på</w:t>
      </w:r>
    </w:p>
    <w:p w14:paraId="18A81F53" w14:textId="77777777" w:rsidR="00972652" w:rsidRPr="00D11AD1" w:rsidRDefault="00972652" w:rsidP="00972652">
      <w:pPr>
        <w:tabs>
          <w:tab w:val="left" w:pos="851"/>
        </w:tabs>
        <w:ind w:left="851"/>
        <w:rPr>
          <w:sz w:val="24"/>
          <w:szCs w:val="24"/>
        </w:rPr>
      </w:pPr>
      <w:r w:rsidRPr="00D11AD1">
        <w:rPr>
          <w:sz w:val="24"/>
          <w:szCs w:val="24"/>
        </w:rPr>
        <w:t>Hver filmovertrukket tablet indeholder 189 mg lactosemonohydrat og ca. 0,1129 mg natrium.</w:t>
      </w:r>
    </w:p>
    <w:p w14:paraId="04C6716C" w14:textId="77777777" w:rsidR="00972652" w:rsidRPr="00D11AD1" w:rsidRDefault="00972652" w:rsidP="00972652">
      <w:pPr>
        <w:tabs>
          <w:tab w:val="left" w:pos="851"/>
        </w:tabs>
        <w:ind w:left="851"/>
        <w:rPr>
          <w:sz w:val="24"/>
          <w:szCs w:val="24"/>
        </w:rPr>
      </w:pPr>
    </w:p>
    <w:p w14:paraId="4BF9ED89" w14:textId="77777777" w:rsidR="00972652" w:rsidRPr="00D11AD1" w:rsidRDefault="00972652" w:rsidP="00972652">
      <w:pPr>
        <w:tabs>
          <w:tab w:val="left" w:pos="851"/>
        </w:tabs>
        <w:ind w:left="851"/>
        <w:rPr>
          <w:sz w:val="24"/>
          <w:szCs w:val="24"/>
        </w:rPr>
      </w:pPr>
      <w:r w:rsidRPr="00D11AD1">
        <w:rPr>
          <w:sz w:val="24"/>
          <w:szCs w:val="24"/>
        </w:rPr>
        <w:t>Alle hjælpestoffer er anført under pkt. 6.1.</w:t>
      </w:r>
    </w:p>
    <w:p w14:paraId="4E1A8E8A" w14:textId="77777777" w:rsidR="009260DE" w:rsidRPr="00D11AD1" w:rsidRDefault="009260DE" w:rsidP="009260DE">
      <w:pPr>
        <w:tabs>
          <w:tab w:val="left" w:pos="851"/>
        </w:tabs>
        <w:ind w:left="851"/>
        <w:rPr>
          <w:sz w:val="24"/>
          <w:szCs w:val="24"/>
        </w:rPr>
      </w:pPr>
    </w:p>
    <w:p w14:paraId="6BDB21F1" w14:textId="77777777" w:rsidR="009260DE" w:rsidRPr="00D11AD1" w:rsidRDefault="009260DE" w:rsidP="009260DE">
      <w:pPr>
        <w:tabs>
          <w:tab w:val="left" w:pos="851"/>
        </w:tabs>
        <w:ind w:left="851" w:hanging="851"/>
        <w:rPr>
          <w:b/>
          <w:sz w:val="24"/>
          <w:szCs w:val="24"/>
        </w:rPr>
      </w:pPr>
      <w:r w:rsidRPr="00D11AD1">
        <w:rPr>
          <w:b/>
          <w:sz w:val="24"/>
          <w:szCs w:val="24"/>
        </w:rPr>
        <w:t>3.</w:t>
      </w:r>
      <w:r w:rsidRPr="00D11AD1">
        <w:rPr>
          <w:b/>
          <w:sz w:val="24"/>
          <w:szCs w:val="24"/>
        </w:rPr>
        <w:tab/>
        <w:t>LÆGEMIDDELFORM</w:t>
      </w:r>
    </w:p>
    <w:p w14:paraId="50B20446" w14:textId="77777777" w:rsidR="00A66970" w:rsidRPr="00D11AD1" w:rsidRDefault="00A66970" w:rsidP="00A66970">
      <w:pPr>
        <w:tabs>
          <w:tab w:val="left" w:pos="851"/>
        </w:tabs>
        <w:ind w:left="851"/>
        <w:rPr>
          <w:sz w:val="24"/>
          <w:szCs w:val="24"/>
        </w:rPr>
      </w:pPr>
      <w:r w:rsidRPr="00D11AD1">
        <w:rPr>
          <w:sz w:val="24"/>
          <w:szCs w:val="24"/>
        </w:rPr>
        <w:t>Filmovertrukne tabletter (tabletter)</w:t>
      </w:r>
    </w:p>
    <w:p w14:paraId="585AD6A8" w14:textId="77777777" w:rsidR="00A66970" w:rsidRPr="00D11AD1" w:rsidRDefault="00A66970" w:rsidP="00A66970">
      <w:pPr>
        <w:tabs>
          <w:tab w:val="left" w:pos="851"/>
        </w:tabs>
        <w:ind w:left="851"/>
        <w:rPr>
          <w:sz w:val="24"/>
          <w:szCs w:val="24"/>
        </w:rPr>
      </w:pPr>
    </w:p>
    <w:p w14:paraId="2FE9D415" w14:textId="77777777" w:rsidR="00A66970" w:rsidRPr="00D11AD1" w:rsidRDefault="00A66970" w:rsidP="00A66970">
      <w:pPr>
        <w:tabs>
          <w:tab w:val="left" w:pos="851"/>
        </w:tabs>
        <w:ind w:left="851"/>
        <w:rPr>
          <w:sz w:val="24"/>
          <w:szCs w:val="24"/>
        </w:rPr>
      </w:pPr>
      <w:r w:rsidRPr="00D11AD1">
        <w:rPr>
          <w:sz w:val="24"/>
          <w:szCs w:val="24"/>
          <w:u w:val="single"/>
        </w:rPr>
        <w:t>20 mg</w:t>
      </w:r>
    </w:p>
    <w:p w14:paraId="3879F66E" w14:textId="77777777" w:rsidR="00A66970" w:rsidRPr="00D11AD1" w:rsidRDefault="00A66970" w:rsidP="00A66970">
      <w:pPr>
        <w:tabs>
          <w:tab w:val="left" w:pos="851"/>
        </w:tabs>
        <w:ind w:left="851"/>
        <w:rPr>
          <w:sz w:val="24"/>
          <w:szCs w:val="24"/>
        </w:rPr>
      </w:pPr>
      <w:r w:rsidRPr="00D11AD1">
        <w:rPr>
          <w:sz w:val="24"/>
          <w:szCs w:val="24"/>
        </w:rPr>
        <w:t>Hvide til gråligt hvide, bikonvekse, runde filmovertrukne tabletter, præget med DAS på den ene side og 20 på den anden side, der måler omkring 5,6 mm.</w:t>
      </w:r>
    </w:p>
    <w:p w14:paraId="39EFBAC5" w14:textId="77777777" w:rsidR="00A66970" w:rsidRPr="00D11AD1" w:rsidRDefault="00A66970" w:rsidP="00A66970">
      <w:pPr>
        <w:tabs>
          <w:tab w:val="left" w:pos="851"/>
        </w:tabs>
        <w:ind w:left="851"/>
        <w:rPr>
          <w:sz w:val="24"/>
          <w:szCs w:val="24"/>
        </w:rPr>
      </w:pPr>
    </w:p>
    <w:p w14:paraId="3CDCE51E" w14:textId="77777777" w:rsidR="00A66970" w:rsidRPr="00D11AD1" w:rsidRDefault="00A66970" w:rsidP="00A66970">
      <w:pPr>
        <w:tabs>
          <w:tab w:val="left" w:pos="851"/>
        </w:tabs>
        <w:ind w:left="851"/>
        <w:rPr>
          <w:sz w:val="24"/>
          <w:szCs w:val="24"/>
        </w:rPr>
      </w:pPr>
      <w:r w:rsidRPr="00D11AD1">
        <w:rPr>
          <w:sz w:val="24"/>
          <w:szCs w:val="24"/>
          <w:u w:val="single"/>
        </w:rPr>
        <w:t>50 mg</w:t>
      </w:r>
    </w:p>
    <w:p w14:paraId="014E89AB" w14:textId="592B5A30" w:rsidR="00A66970" w:rsidRPr="00D11AD1" w:rsidRDefault="00A66970" w:rsidP="00A66970">
      <w:pPr>
        <w:tabs>
          <w:tab w:val="left" w:pos="851"/>
        </w:tabs>
        <w:ind w:left="851"/>
        <w:rPr>
          <w:sz w:val="24"/>
          <w:szCs w:val="24"/>
        </w:rPr>
      </w:pPr>
      <w:r w:rsidRPr="00D11AD1">
        <w:rPr>
          <w:sz w:val="24"/>
          <w:szCs w:val="24"/>
        </w:rPr>
        <w:t xml:space="preserve">Hvide til gråligt hvide, bikonvekse, runde filmovertrukne tabletter, præget med DAS på den ene side og 50 på den anden side, der måler omkring 10,9 </w:t>
      </w:r>
      <w:r w:rsidR="00D15BC8" w:rsidRPr="00D11AD1">
        <w:rPr>
          <w:sz w:val="24"/>
          <w:szCs w:val="24"/>
        </w:rPr>
        <w:t>×</w:t>
      </w:r>
      <w:r w:rsidRPr="00D11AD1">
        <w:rPr>
          <w:sz w:val="24"/>
          <w:szCs w:val="24"/>
        </w:rPr>
        <w:t xml:space="preserve"> 5,8 mm.</w:t>
      </w:r>
    </w:p>
    <w:p w14:paraId="3D040976" w14:textId="77777777" w:rsidR="00A66970" w:rsidRPr="00D11AD1" w:rsidRDefault="00A66970" w:rsidP="00A66970">
      <w:pPr>
        <w:tabs>
          <w:tab w:val="left" w:pos="851"/>
        </w:tabs>
        <w:ind w:left="851"/>
        <w:rPr>
          <w:sz w:val="24"/>
          <w:szCs w:val="24"/>
        </w:rPr>
      </w:pPr>
    </w:p>
    <w:p w14:paraId="5EEBD161" w14:textId="77777777" w:rsidR="00A66970" w:rsidRPr="00D11AD1" w:rsidRDefault="00A66970" w:rsidP="00A66970">
      <w:pPr>
        <w:tabs>
          <w:tab w:val="left" w:pos="851"/>
        </w:tabs>
        <w:ind w:left="851"/>
        <w:rPr>
          <w:sz w:val="24"/>
          <w:szCs w:val="24"/>
        </w:rPr>
      </w:pPr>
      <w:r w:rsidRPr="00D11AD1">
        <w:rPr>
          <w:sz w:val="24"/>
          <w:szCs w:val="24"/>
          <w:u w:val="single"/>
        </w:rPr>
        <w:t>70 mg</w:t>
      </w:r>
    </w:p>
    <w:p w14:paraId="17CC4F8E" w14:textId="77777777" w:rsidR="00A66970" w:rsidRPr="00D11AD1" w:rsidRDefault="00A66970" w:rsidP="00A66970">
      <w:pPr>
        <w:tabs>
          <w:tab w:val="left" w:pos="851"/>
        </w:tabs>
        <w:ind w:left="851"/>
        <w:rPr>
          <w:sz w:val="24"/>
          <w:szCs w:val="24"/>
        </w:rPr>
      </w:pPr>
      <w:r w:rsidRPr="00D11AD1">
        <w:rPr>
          <w:sz w:val="24"/>
          <w:szCs w:val="24"/>
        </w:rPr>
        <w:t>Hvide til gråligt hvide, bikonvekse, runde filmovertrukne tabletter, præget med DAS på den ene side og 70 på den anden side, der måler omkring 8,8 mm.</w:t>
      </w:r>
    </w:p>
    <w:p w14:paraId="1414C1D9" w14:textId="77777777" w:rsidR="00A66970" w:rsidRPr="00D11AD1" w:rsidRDefault="00A66970" w:rsidP="00A66970">
      <w:pPr>
        <w:tabs>
          <w:tab w:val="left" w:pos="851"/>
        </w:tabs>
        <w:ind w:left="851"/>
        <w:rPr>
          <w:sz w:val="24"/>
          <w:szCs w:val="24"/>
        </w:rPr>
      </w:pPr>
    </w:p>
    <w:p w14:paraId="7B5D4B57" w14:textId="77777777" w:rsidR="00A66970" w:rsidRPr="00D11AD1" w:rsidRDefault="00A66970" w:rsidP="00A66970">
      <w:pPr>
        <w:tabs>
          <w:tab w:val="left" w:pos="851"/>
        </w:tabs>
        <w:ind w:left="851"/>
        <w:rPr>
          <w:sz w:val="24"/>
          <w:szCs w:val="24"/>
        </w:rPr>
      </w:pPr>
      <w:r w:rsidRPr="00D11AD1">
        <w:rPr>
          <w:sz w:val="24"/>
          <w:szCs w:val="24"/>
          <w:u w:val="single"/>
        </w:rPr>
        <w:t>80 mg</w:t>
      </w:r>
    </w:p>
    <w:p w14:paraId="45203A92" w14:textId="15F5D909" w:rsidR="00A66970" w:rsidRPr="00D11AD1" w:rsidRDefault="00A66970" w:rsidP="00A66970">
      <w:pPr>
        <w:tabs>
          <w:tab w:val="left" w:pos="851"/>
        </w:tabs>
        <w:ind w:left="851"/>
        <w:rPr>
          <w:sz w:val="24"/>
          <w:szCs w:val="24"/>
        </w:rPr>
      </w:pPr>
      <w:r w:rsidRPr="00D11AD1">
        <w:rPr>
          <w:sz w:val="24"/>
          <w:szCs w:val="24"/>
        </w:rPr>
        <w:t xml:space="preserve">Hvide til gråligt hvide, bikonvekse, runde filmovertrukne tabletter, præget med DAS på den ene side og 80 på den anden side, der måler omkring 10,4 </w:t>
      </w:r>
      <w:r w:rsidR="00D15BC8" w:rsidRPr="00D11AD1">
        <w:rPr>
          <w:sz w:val="24"/>
          <w:szCs w:val="24"/>
        </w:rPr>
        <w:t>×</w:t>
      </w:r>
      <w:r w:rsidRPr="00D11AD1">
        <w:rPr>
          <w:sz w:val="24"/>
          <w:szCs w:val="24"/>
        </w:rPr>
        <w:t xml:space="preserve"> 10,0 mm.</w:t>
      </w:r>
    </w:p>
    <w:p w14:paraId="0073D786" w14:textId="77777777" w:rsidR="00A66970" w:rsidRPr="00D11AD1" w:rsidRDefault="00A66970" w:rsidP="00A66970">
      <w:pPr>
        <w:tabs>
          <w:tab w:val="left" w:pos="851"/>
        </w:tabs>
        <w:ind w:left="851"/>
        <w:rPr>
          <w:sz w:val="24"/>
          <w:szCs w:val="24"/>
        </w:rPr>
      </w:pPr>
    </w:p>
    <w:p w14:paraId="771FD30B" w14:textId="77777777" w:rsidR="00A66970" w:rsidRPr="00D11AD1" w:rsidRDefault="00A66970" w:rsidP="00A66970">
      <w:pPr>
        <w:tabs>
          <w:tab w:val="left" w:pos="851"/>
        </w:tabs>
        <w:ind w:left="851"/>
        <w:rPr>
          <w:sz w:val="24"/>
          <w:szCs w:val="24"/>
        </w:rPr>
      </w:pPr>
      <w:r w:rsidRPr="00D11AD1">
        <w:rPr>
          <w:sz w:val="24"/>
          <w:szCs w:val="24"/>
          <w:u w:val="single"/>
        </w:rPr>
        <w:t>100 mg</w:t>
      </w:r>
    </w:p>
    <w:p w14:paraId="1AF04303" w14:textId="2E058E81" w:rsidR="00A66970" w:rsidRPr="00D11AD1" w:rsidRDefault="00A66970" w:rsidP="00A66970">
      <w:pPr>
        <w:tabs>
          <w:tab w:val="left" w:pos="851"/>
        </w:tabs>
        <w:ind w:left="851"/>
        <w:rPr>
          <w:sz w:val="24"/>
          <w:szCs w:val="24"/>
        </w:rPr>
      </w:pPr>
      <w:r w:rsidRPr="00D11AD1">
        <w:rPr>
          <w:sz w:val="24"/>
          <w:szCs w:val="24"/>
        </w:rPr>
        <w:t xml:space="preserve">Hvide til gråligt hvide, bikonvekse, runde filmovertrukne tabletter, præget med DAS på den ene side og 100 på den anden side, der måler omkring 14,9 </w:t>
      </w:r>
      <w:r w:rsidR="00D15BC8" w:rsidRPr="00D11AD1">
        <w:rPr>
          <w:sz w:val="24"/>
          <w:szCs w:val="24"/>
        </w:rPr>
        <w:t>×</w:t>
      </w:r>
      <w:r w:rsidRPr="00D11AD1">
        <w:rPr>
          <w:sz w:val="24"/>
          <w:szCs w:val="24"/>
        </w:rPr>
        <w:t xml:space="preserve"> 7,2 mm.</w:t>
      </w:r>
    </w:p>
    <w:p w14:paraId="0E478C68" w14:textId="77777777" w:rsidR="00A66970" w:rsidRPr="00D11AD1" w:rsidRDefault="00A66970" w:rsidP="00A66970">
      <w:pPr>
        <w:tabs>
          <w:tab w:val="left" w:pos="851"/>
        </w:tabs>
        <w:ind w:left="851"/>
        <w:rPr>
          <w:sz w:val="24"/>
          <w:szCs w:val="24"/>
        </w:rPr>
      </w:pPr>
    </w:p>
    <w:p w14:paraId="69E21BBD" w14:textId="77777777" w:rsidR="00A66970" w:rsidRPr="00D11AD1" w:rsidRDefault="00A66970" w:rsidP="00A66970">
      <w:pPr>
        <w:tabs>
          <w:tab w:val="left" w:pos="851"/>
        </w:tabs>
        <w:ind w:left="851"/>
        <w:rPr>
          <w:sz w:val="24"/>
          <w:szCs w:val="24"/>
        </w:rPr>
      </w:pPr>
      <w:r w:rsidRPr="00D11AD1">
        <w:rPr>
          <w:sz w:val="24"/>
          <w:szCs w:val="24"/>
          <w:u w:val="single"/>
        </w:rPr>
        <w:t>140 mg</w:t>
      </w:r>
    </w:p>
    <w:p w14:paraId="224F1713" w14:textId="77777777" w:rsidR="00A66970" w:rsidRPr="00D11AD1" w:rsidRDefault="00A66970" w:rsidP="00A66970">
      <w:pPr>
        <w:tabs>
          <w:tab w:val="left" w:pos="851"/>
        </w:tabs>
        <w:ind w:left="851"/>
        <w:rPr>
          <w:sz w:val="24"/>
          <w:szCs w:val="24"/>
        </w:rPr>
      </w:pPr>
      <w:r w:rsidRPr="00D11AD1">
        <w:rPr>
          <w:sz w:val="24"/>
          <w:szCs w:val="24"/>
        </w:rPr>
        <w:t>Hvide til gråligt hvide, bikonvekse, runde filmovertrukne tabletter, præget med DAS på den ene side og 140 på den anden side, der måler omkring 11,2 mm.</w:t>
      </w:r>
    </w:p>
    <w:p w14:paraId="4F34FF94" w14:textId="77777777" w:rsidR="009260DE" w:rsidRPr="00D11AD1" w:rsidRDefault="009260DE" w:rsidP="009260DE">
      <w:pPr>
        <w:tabs>
          <w:tab w:val="left" w:pos="851"/>
        </w:tabs>
        <w:ind w:left="851"/>
        <w:rPr>
          <w:sz w:val="24"/>
          <w:szCs w:val="24"/>
        </w:rPr>
      </w:pPr>
    </w:p>
    <w:p w14:paraId="3F3DBC23" w14:textId="77777777" w:rsidR="009260DE" w:rsidRPr="00D11AD1" w:rsidRDefault="009260DE" w:rsidP="009260DE">
      <w:pPr>
        <w:tabs>
          <w:tab w:val="left" w:pos="851"/>
        </w:tabs>
        <w:ind w:left="851"/>
        <w:rPr>
          <w:sz w:val="24"/>
          <w:szCs w:val="24"/>
        </w:rPr>
      </w:pPr>
    </w:p>
    <w:p w14:paraId="3E676FB8" w14:textId="77777777" w:rsidR="009260DE" w:rsidRPr="00D11AD1" w:rsidRDefault="009260DE" w:rsidP="009260DE">
      <w:pPr>
        <w:tabs>
          <w:tab w:val="left" w:pos="851"/>
        </w:tabs>
        <w:ind w:left="851" w:hanging="851"/>
        <w:rPr>
          <w:b/>
          <w:sz w:val="24"/>
          <w:szCs w:val="24"/>
        </w:rPr>
      </w:pPr>
      <w:r w:rsidRPr="00D11AD1">
        <w:rPr>
          <w:b/>
          <w:sz w:val="24"/>
          <w:szCs w:val="24"/>
        </w:rPr>
        <w:t>4.</w:t>
      </w:r>
      <w:r w:rsidRPr="00D11AD1">
        <w:rPr>
          <w:b/>
          <w:sz w:val="24"/>
          <w:szCs w:val="24"/>
        </w:rPr>
        <w:tab/>
        <w:t>KLINISKE OPLYSNINGER</w:t>
      </w:r>
    </w:p>
    <w:p w14:paraId="2135B9FE" w14:textId="77777777" w:rsidR="009260DE" w:rsidRPr="00D11AD1" w:rsidRDefault="009260DE" w:rsidP="009260DE">
      <w:pPr>
        <w:tabs>
          <w:tab w:val="left" w:pos="851"/>
        </w:tabs>
        <w:ind w:left="851"/>
        <w:rPr>
          <w:b/>
          <w:sz w:val="24"/>
          <w:szCs w:val="24"/>
        </w:rPr>
      </w:pPr>
    </w:p>
    <w:p w14:paraId="252CF814" w14:textId="77777777" w:rsidR="009260DE" w:rsidRPr="00D11AD1" w:rsidRDefault="009260DE" w:rsidP="009260DE">
      <w:pPr>
        <w:tabs>
          <w:tab w:val="left" w:pos="851"/>
        </w:tabs>
        <w:ind w:left="851" w:hanging="851"/>
        <w:rPr>
          <w:b/>
          <w:sz w:val="24"/>
          <w:szCs w:val="24"/>
          <w:u w:val="single"/>
        </w:rPr>
      </w:pPr>
      <w:r w:rsidRPr="00D11AD1">
        <w:rPr>
          <w:b/>
          <w:sz w:val="24"/>
          <w:szCs w:val="24"/>
        </w:rPr>
        <w:t>4.1</w:t>
      </w:r>
      <w:r w:rsidRPr="00D11AD1">
        <w:rPr>
          <w:b/>
          <w:sz w:val="24"/>
          <w:szCs w:val="24"/>
        </w:rPr>
        <w:tab/>
        <w:t>Terapeutiske indikationer</w:t>
      </w:r>
    </w:p>
    <w:p w14:paraId="4935D096" w14:textId="77777777" w:rsidR="00280701" w:rsidRPr="00D11AD1" w:rsidRDefault="00280701" w:rsidP="00280701">
      <w:pPr>
        <w:tabs>
          <w:tab w:val="left" w:pos="1134"/>
        </w:tabs>
        <w:ind w:left="1134" w:hanging="283"/>
        <w:rPr>
          <w:sz w:val="24"/>
          <w:szCs w:val="24"/>
        </w:rPr>
      </w:pPr>
      <w:r w:rsidRPr="00D11AD1">
        <w:rPr>
          <w:sz w:val="24"/>
          <w:szCs w:val="24"/>
        </w:rPr>
        <w:t xml:space="preserve">Dasatinib er indiceret til behandling af </w:t>
      </w:r>
      <w:r w:rsidRPr="00D11AD1">
        <w:rPr>
          <w:b/>
          <w:sz w:val="24"/>
          <w:szCs w:val="24"/>
        </w:rPr>
        <w:t>voksne</w:t>
      </w:r>
      <w:r w:rsidRPr="00D11AD1">
        <w:rPr>
          <w:sz w:val="24"/>
          <w:szCs w:val="24"/>
        </w:rPr>
        <w:t xml:space="preserve"> patienter med</w:t>
      </w:r>
    </w:p>
    <w:p w14:paraId="3603BFFF" w14:textId="77777777" w:rsidR="00D15BC8" w:rsidRPr="00D11AD1" w:rsidRDefault="00D15BC8" w:rsidP="00D15BC8">
      <w:pPr>
        <w:numPr>
          <w:ilvl w:val="0"/>
          <w:numId w:val="12"/>
        </w:numPr>
        <w:tabs>
          <w:tab w:val="left" w:pos="1134"/>
        </w:tabs>
        <w:ind w:left="1135" w:hanging="284"/>
        <w:rPr>
          <w:sz w:val="24"/>
          <w:szCs w:val="24"/>
        </w:rPr>
      </w:pPr>
      <w:r w:rsidRPr="00D11AD1">
        <w:rPr>
          <w:sz w:val="24"/>
          <w:szCs w:val="24"/>
        </w:rPr>
        <w:t>nyligt diagnosticeret Philadelphia-kromosompositiv (Ph+) kronisk myeloid leukæmi (CML) i den kroniske fase.</w:t>
      </w:r>
    </w:p>
    <w:p w14:paraId="48E97B58" w14:textId="77777777" w:rsidR="00D15BC8" w:rsidRPr="00D11AD1" w:rsidRDefault="00D15BC8" w:rsidP="00D15BC8">
      <w:pPr>
        <w:numPr>
          <w:ilvl w:val="0"/>
          <w:numId w:val="12"/>
        </w:numPr>
        <w:tabs>
          <w:tab w:val="left" w:pos="1134"/>
        </w:tabs>
        <w:ind w:left="1135" w:hanging="284"/>
        <w:rPr>
          <w:sz w:val="24"/>
          <w:szCs w:val="24"/>
        </w:rPr>
      </w:pPr>
      <w:r w:rsidRPr="00D11AD1">
        <w:rPr>
          <w:sz w:val="24"/>
          <w:szCs w:val="24"/>
        </w:rPr>
        <w:lastRenderedPageBreak/>
        <w:t>kronisk, accelereret eller blastfase CML, som er resistente eller intolerante over for tidligere behandling, inklusive imatinib mesilat.</w:t>
      </w:r>
    </w:p>
    <w:p w14:paraId="402DB36A" w14:textId="77777777" w:rsidR="00D15BC8" w:rsidRPr="00D11AD1" w:rsidRDefault="00D15BC8" w:rsidP="00D15BC8">
      <w:pPr>
        <w:numPr>
          <w:ilvl w:val="0"/>
          <w:numId w:val="12"/>
        </w:numPr>
        <w:tabs>
          <w:tab w:val="left" w:pos="1134"/>
        </w:tabs>
        <w:ind w:left="1135" w:hanging="284"/>
        <w:rPr>
          <w:sz w:val="24"/>
          <w:szCs w:val="24"/>
        </w:rPr>
      </w:pPr>
      <w:r w:rsidRPr="00D11AD1">
        <w:rPr>
          <w:sz w:val="24"/>
          <w:szCs w:val="24"/>
        </w:rPr>
        <w:t>Ph+ akut lymfoblastær leukæmi (ALL) og CML i lymfoid blastfase med resistens eller intolerans over for tidligere behandling.</w:t>
      </w:r>
    </w:p>
    <w:p w14:paraId="1592E499" w14:textId="77777777" w:rsidR="00280701" w:rsidRPr="00D11AD1" w:rsidRDefault="00280701" w:rsidP="00280701">
      <w:pPr>
        <w:tabs>
          <w:tab w:val="left" w:pos="1134"/>
        </w:tabs>
        <w:ind w:left="1134" w:hanging="283"/>
        <w:rPr>
          <w:sz w:val="24"/>
          <w:szCs w:val="24"/>
        </w:rPr>
      </w:pPr>
    </w:p>
    <w:p w14:paraId="3F58919B" w14:textId="77777777" w:rsidR="00280701" w:rsidRPr="00D11AD1" w:rsidRDefault="00280701" w:rsidP="00280701">
      <w:pPr>
        <w:tabs>
          <w:tab w:val="left" w:pos="1134"/>
        </w:tabs>
        <w:ind w:left="1134" w:hanging="283"/>
        <w:rPr>
          <w:sz w:val="24"/>
          <w:szCs w:val="24"/>
        </w:rPr>
      </w:pPr>
      <w:r w:rsidRPr="00D11AD1">
        <w:rPr>
          <w:sz w:val="24"/>
          <w:szCs w:val="24"/>
        </w:rPr>
        <w:t xml:space="preserve">Dasatinib er indiceret til behandling af </w:t>
      </w:r>
      <w:r w:rsidRPr="00D11AD1">
        <w:rPr>
          <w:b/>
          <w:sz w:val="24"/>
          <w:szCs w:val="24"/>
        </w:rPr>
        <w:t>pædiatriske</w:t>
      </w:r>
      <w:r w:rsidRPr="00D11AD1">
        <w:rPr>
          <w:sz w:val="24"/>
          <w:szCs w:val="24"/>
        </w:rPr>
        <w:t xml:space="preserve"> patienter med</w:t>
      </w:r>
    </w:p>
    <w:p w14:paraId="689A010B" w14:textId="77777777" w:rsidR="00D15BC8" w:rsidRPr="00D11AD1" w:rsidRDefault="00D15BC8" w:rsidP="00C44D32">
      <w:pPr>
        <w:numPr>
          <w:ilvl w:val="0"/>
          <w:numId w:val="13"/>
        </w:numPr>
        <w:tabs>
          <w:tab w:val="left" w:pos="1134"/>
        </w:tabs>
        <w:ind w:left="1135" w:hanging="284"/>
        <w:rPr>
          <w:sz w:val="24"/>
          <w:szCs w:val="24"/>
        </w:rPr>
      </w:pPr>
      <w:r w:rsidRPr="00D11AD1">
        <w:rPr>
          <w:sz w:val="24"/>
          <w:szCs w:val="24"/>
        </w:rPr>
        <w:t>nydiagnosticeret Ph+CML i den kroniske fase (Ph+CML-CP) eller Ph-CML-CP som er resistent eller intolerant overfor tidligere behandlinger, herunder imatinib.</w:t>
      </w:r>
    </w:p>
    <w:p w14:paraId="7726E620" w14:textId="77777777" w:rsidR="00D15BC8" w:rsidRPr="00D11AD1" w:rsidRDefault="00D15BC8" w:rsidP="00C44D32">
      <w:pPr>
        <w:numPr>
          <w:ilvl w:val="0"/>
          <w:numId w:val="13"/>
        </w:numPr>
        <w:tabs>
          <w:tab w:val="left" w:pos="1134"/>
        </w:tabs>
        <w:ind w:left="1135" w:hanging="284"/>
        <w:rPr>
          <w:sz w:val="24"/>
          <w:szCs w:val="24"/>
        </w:rPr>
      </w:pPr>
      <w:r w:rsidRPr="00D11AD1">
        <w:rPr>
          <w:sz w:val="24"/>
          <w:szCs w:val="24"/>
        </w:rPr>
        <w:t>nydiagnosticeret Ph+ ALL i kombination med kemoterapi.</w:t>
      </w:r>
    </w:p>
    <w:p w14:paraId="464B9A26" w14:textId="77777777" w:rsidR="009260DE" w:rsidRPr="00D11AD1" w:rsidRDefault="009260DE" w:rsidP="009260DE">
      <w:pPr>
        <w:tabs>
          <w:tab w:val="left" w:pos="851"/>
        </w:tabs>
        <w:ind w:left="851"/>
        <w:rPr>
          <w:sz w:val="24"/>
          <w:szCs w:val="24"/>
        </w:rPr>
      </w:pPr>
    </w:p>
    <w:p w14:paraId="5D657088" w14:textId="03EFD113" w:rsidR="009260DE" w:rsidRPr="00D11AD1" w:rsidRDefault="009260DE" w:rsidP="009260DE">
      <w:pPr>
        <w:tabs>
          <w:tab w:val="left" w:pos="851"/>
        </w:tabs>
        <w:ind w:left="851" w:hanging="851"/>
        <w:rPr>
          <w:b/>
          <w:sz w:val="24"/>
          <w:szCs w:val="24"/>
        </w:rPr>
      </w:pPr>
      <w:r w:rsidRPr="00D11AD1">
        <w:rPr>
          <w:b/>
          <w:sz w:val="24"/>
          <w:szCs w:val="24"/>
        </w:rPr>
        <w:t>4.2</w:t>
      </w:r>
      <w:r w:rsidRPr="00D11AD1">
        <w:rPr>
          <w:b/>
          <w:sz w:val="24"/>
          <w:szCs w:val="24"/>
        </w:rPr>
        <w:tab/>
        <w:t xml:space="preserve">Dosering og </w:t>
      </w:r>
      <w:bookmarkStart w:id="1" w:name="_Hlk121315330"/>
      <w:r w:rsidR="00342E9E" w:rsidRPr="00D11AD1">
        <w:rPr>
          <w:b/>
          <w:sz w:val="24"/>
          <w:szCs w:val="24"/>
        </w:rPr>
        <w:t>administration</w:t>
      </w:r>
      <w:bookmarkEnd w:id="1"/>
    </w:p>
    <w:p w14:paraId="179AEB40" w14:textId="77777777" w:rsidR="004F6070" w:rsidRPr="00D11AD1" w:rsidRDefault="004F6070" w:rsidP="004F6070">
      <w:pPr>
        <w:tabs>
          <w:tab w:val="left" w:pos="851"/>
        </w:tabs>
        <w:ind w:left="851"/>
        <w:rPr>
          <w:sz w:val="24"/>
          <w:szCs w:val="24"/>
        </w:rPr>
      </w:pPr>
      <w:r w:rsidRPr="00D11AD1">
        <w:rPr>
          <w:sz w:val="24"/>
          <w:szCs w:val="24"/>
        </w:rPr>
        <w:t>Behandling skal initieres af en læge med erfaring i diagnosticering og behandling af patienter med leukæmi.</w:t>
      </w:r>
    </w:p>
    <w:p w14:paraId="2D3FA18F" w14:textId="77777777" w:rsidR="004F6070" w:rsidRPr="00D11AD1" w:rsidRDefault="004F6070" w:rsidP="004F6070">
      <w:pPr>
        <w:tabs>
          <w:tab w:val="left" w:pos="851"/>
        </w:tabs>
        <w:ind w:left="851"/>
        <w:rPr>
          <w:sz w:val="24"/>
          <w:szCs w:val="24"/>
        </w:rPr>
      </w:pPr>
    </w:p>
    <w:p w14:paraId="7D25C456" w14:textId="77777777" w:rsidR="004F6070" w:rsidRPr="00D11AD1" w:rsidRDefault="004F6070" w:rsidP="004F6070">
      <w:pPr>
        <w:tabs>
          <w:tab w:val="left" w:pos="851"/>
        </w:tabs>
        <w:ind w:left="851"/>
        <w:rPr>
          <w:sz w:val="24"/>
          <w:szCs w:val="24"/>
          <w:u w:val="single"/>
        </w:rPr>
      </w:pPr>
      <w:r w:rsidRPr="00D11AD1">
        <w:rPr>
          <w:sz w:val="24"/>
          <w:szCs w:val="24"/>
          <w:u w:val="single"/>
        </w:rPr>
        <w:t>Dosering</w:t>
      </w:r>
    </w:p>
    <w:p w14:paraId="2CEA0BD5" w14:textId="77777777" w:rsidR="004F6070" w:rsidRPr="00D11AD1" w:rsidRDefault="004F6070" w:rsidP="004F6070">
      <w:pPr>
        <w:tabs>
          <w:tab w:val="left" w:pos="851"/>
        </w:tabs>
        <w:ind w:left="851"/>
        <w:rPr>
          <w:sz w:val="24"/>
          <w:szCs w:val="24"/>
          <w:u w:val="single"/>
        </w:rPr>
      </w:pPr>
    </w:p>
    <w:p w14:paraId="29D4B622" w14:textId="77777777" w:rsidR="004F6070" w:rsidRPr="00D11AD1" w:rsidRDefault="004F6070" w:rsidP="004F6070">
      <w:pPr>
        <w:tabs>
          <w:tab w:val="left" w:pos="851"/>
        </w:tabs>
        <w:ind w:left="851"/>
        <w:rPr>
          <w:i/>
          <w:iCs/>
          <w:sz w:val="24"/>
          <w:szCs w:val="24"/>
          <w:u w:val="single"/>
        </w:rPr>
      </w:pPr>
      <w:r w:rsidRPr="00D11AD1">
        <w:rPr>
          <w:i/>
          <w:iCs/>
          <w:sz w:val="24"/>
          <w:szCs w:val="24"/>
          <w:u w:val="single"/>
        </w:rPr>
        <w:t>Voksne patienter</w:t>
      </w:r>
    </w:p>
    <w:p w14:paraId="605C0254" w14:textId="77777777" w:rsidR="004F6070" w:rsidRPr="00D11AD1" w:rsidRDefault="004F6070" w:rsidP="004F6070">
      <w:pPr>
        <w:tabs>
          <w:tab w:val="left" w:pos="851"/>
        </w:tabs>
        <w:ind w:left="851"/>
        <w:rPr>
          <w:sz w:val="24"/>
          <w:szCs w:val="24"/>
        </w:rPr>
      </w:pPr>
      <w:r w:rsidRPr="00D11AD1">
        <w:rPr>
          <w:sz w:val="24"/>
          <w:szCs w:val="24"/>
        </w:rPr>
        <w:t>Anbefalet startdosis ved CML i kronisk fase er 100 mg dasatinib en gang daglig.</w:t>
      </w:r>
    </w:p>
    <w:p w14:paraId="44D23166" w14:textId="77777777" w:rsidR="004F6070" w:rsidRPr="00D11AD1" w:rsidRDefault="004F6070" w:rsidP="004F6070">
      <w:pPr>
        <w:tabs>
          <w:tab w:val="left" w:pos="851"/>
        </w:tabs>
        <w:ind w:left="851"/>
        <w:rPr>
          <w:sz w:val="24"/>
          <w:szCs w:val="24"/>
        </w:rPr>
      </w:pPr>
    </w:p>
    <w:p w14:paraId="4EBDEA93" w14:textId="77777777" w:rsidR="004F6070" w:rsidRPr="00D11AD1" w:rsidRDefault="004F6070" w:rsidP="004F6070">
      <w:pPr>
        <w:tabs>
          <w:tab w:val="left" w:pos="851"/>
        </w:tabs>
        <w:ind w:left="851"/>
        <w:rPr>
          <w:sz w:val="24"/>
          <w:szCs w:val="24"/>
        </w:rPr>
      </w:pPr>
      <w:r w:rsidRPr="00D11AD1">
        <w:rPr>
          <w:sz w:val="24"/>
          <w:szCs w:val="24"/>
        </w:rPr>
        <w:t>Anbefalet startdosis ved accelereret, myeloid eller lymfoid blastfase CML (fremskreden fase) eller Ph+ ALL er 140 mg en gang daglig (se pkt. 4.4).</w:t>
      </w:r>
    </w:p>
    <w:p w14:paraId="66DCDF0B" w14:textId="77777777" w:rsidR="004F6070" w:rsidRPr="00D11AD1" w:rsidRDefault="004F6070" w:rsidP="004F6070">
      <w:pPr>
        <w:tabs>
          <w:tab w:val="left" w:pos="851"/>
        </w:tabs>
        <w:ind w:left="851"/>
        <w:rPr>
          <w:sz w:val="24"/>
          <w:szCs w:val="24"/>
        </w:rPr>
      </w:pPr>
    </w:p>
    <w:p w14:paraId="42659A70" w14:textId="77777777" w:rsidR="004F6070" w:rsidRPr="00D11AD1" w:rsidRDefault="004F6070" w:rsidP="004F6070">
      <w:pPr>
        <w:tabs>
          <w:tab w:val="left" w:pos="851"/>
        </w:tabs>
        <w:ind w:left="851"/>
        <w:rPr>
          <w:i/>
          <w:iCs/>
          <w:sz w:val="24"/>
          <w:szCs w:val="24"/>
          <w:u w:val="single"/>
        </w:rPr>
      </w:pPr>
      <w:r w:rsidRPr="00D11AD1">
        <w:rPr>
          <w:i/>
          <w:iCs/>
          <w:sz w:val="24"/>
          <w:szCs w:val="24"/>
          <w:u w:val="single"/>
        </w:rPr>
        <w:t>Pædiatrisk population (Ph+ CML-CP og Ph+ ALL)</w:t>
      </w:r>
    </w:p>
    <w:p w14:paraId="4EE294AD" w14:textId="212F257C" w:rsidR="004F6070" w:rsidRPr="00D11AD1" w:rsidRDefault="004F6070" w:rsidP="004F6070">
      <w:pPr>
        <w:tabs>
          <w:tab w:val="left" w:pos="851"/>
        </w:tabs>
        <w:ind w:left="851"/>
        <w:rPr>
          <w:sz w:val="24"/>
          <w:szCs w:val="24"/>
        </w:rPr>
      </w:pPr>
      <w:r w:rsidRPr="00D11AD1">
        <w:rPr>
          <w:sz w:val="24"/>
          <w:szCs w:val="24"/>
        </w:rPr>
        <w:t>Dosering til børn og unge er baseret på legemsvægt (se Tabel 1). Dasatinib administreres oralt en gang daglig i form af enten dasatinib</w:t>
      </w:r>
      <w:r w:rsidR="00353A40" w:rsidRPr="00D11AD1">
        <w:rPr>
          <w:sz w:val="24"/>
          <w:szCs w:val="24"/>
        </w:rPr>
        <w:t xml:space="preserve"> </w:t>
      </w:r>
      <w:r w:rsidRPr="00D11AD1">
        <w:rPr>
          <w:sz w:val="24"/>
          <w:szCs w:val="24"/>
        </w:rPr>
        <w:t>filmovertrukne tabletter eller dasatinib</w:t>
      </w:r>
      <w:r w:rsidR="00353A40" w:rsidRPr="00D11AD1">
        <w:rPr>
          <w:sz w:val="24"/>
          <w:szCs w:val="24"/>
        </w:rPr>
        <w:t xml:space="preserve"> </w:t>
      </w:r>
      <w:r w:rsidRPr="00D11AD1">
        <w:rPr>
          <w:sz w:val="24"/>
          <w:szCs w:val="24"/>
        </w:rPr>
        <w:t xml:space="preserve">pulver til oral suspension (se </w:t>
      </w:r>
      <w:r w:rsidR="00353A40" w:rsidRPr="00D11AD1">
        <w:rPr>
          <w:sz w:val="24"/>
          <w:szCs w:val="24"/>
        </w:rPr>
        <w:t>p</w:t>
      </w:r>
      <w:r w:rsidRPr="00D11AD1">
        <w:rPr>
          <w:sz w:val="24"/>
          <w:szCs w:val="24"/>
        </w:rPr>
        <w:t>roduktresumé for dasatinibpulver til oral suspension). Dosis bør genberegnes hver tredje måned baseret på ændringer i kropsvægten, eller oftere om nødvendigt. Tabletten anbefales ikke til patienter, der vejer mindre end 10 kg; pulveret til oral suspension bør bruges til disse patienter.</w:t>
      </w:r>
    </w:p>
    <w:p w14:paraId="656E9074" w14:textId="6E1C6445" w:rsidR="004F6070" w:rsidRPr="00D11AD1" w:rsidRDefault="004F6070" w:rsidP="004F6070">
      <w:pPr>
        <w:tabs>
          <w:tab w:val="left" w:pos="851"/>
        </w:tabs>
        <w:ind w:left="851"/>
        <w:rPr>
          <w:sz w:val="24"/>
          <w:szCs w:val="24"/>
        </w:rPr>
      </w:pPr>
      <w:r w:rsidRPr="00D11AD1">
        <w:rPr>
          <w:sz w:val="24"/>
          <w:szCs w:val="24"/>
        </w:rPr>
        <w:t>Det anbefales at basere øgning eller reduktion af dosis på den enkelte patients respons og tolerance. Der er ingen erfaring med dasatinib</w:t>
      </w:r>
      <w:r w:rsidR="002A2BF7" w:rsidRPr="00D11AD1">
        <w:rPr>
          <w:sz w:val="24"/>
          <w:szCs w:val="24"/>
        </w:rPr>
        <w:t>-</w:t>
      </w:r>
      <w:r w:rsidRPr="00D11AD1">
        <w:rPr>
          <w:sz w:val="24"/>
          <w:szCs w:val="24"/>
        </w:rPr>
        <w:t>behandling til børn under 1 år.</w:t>
      </w:r>
    </w:p>
    <w:p w14:paraId="5DA8A9A6" w14:textId="77777777" w:rsidR="004F6070" w:rsidRPr="00D11AD1" w:rsidRDefault="004F6070" w:rsidP="004F6070">
      <w:pPr>
        <w:tabs>
          <w:tab w:val="left" w:pos="851"/>
        </w:tabs>
        <w:ind w:left="851"/>
        <w:rPr>
          <w:sz w:val="24"/>
          <w:szCs w:val="24"/>
        </w:rPr>
      </w:pPr>
    </w:p>
    <w:p w14:paraId="2A813AA5" w14:textId="12DF0261" w:rsidR="004F6070" w:rsidRPr="00D11AD1" w:rsidRDefault="004F6070" w:rsidP="004F6070">
      <w:pPr>
        <w:tabs>
          <w:tab w:val="left" w:pos="851"/>
        </w:tabs>
        <w:ind w:left="851"/>
        <w:rPr>
          <w:sz w:val="24"/>
          <w:szCs w:val="24"/>
        </w:rPr>
      </w:pPr>
      <w:r w:rsidRPr="00D11AD1">
        <w:rPr>
          <w:sz w:val="24"/>
          <w:szCs w:val="24"/>
        </w:rPr>
        <w:t>Dasatinib</w:t>
      </w:r>
      <w:r w:rsidR="002A2BF7" w:rsidRPr="00D11AD1">
        <w:rPr>
          <w:sz w:val="24"/>
          <w:szCs w:val="24"/>
        </w:rPr>
        <w:t xml:space="preserve"> </w:t>
      </w:r>
      <w:r w:rsidRPr="00D11AD1">
        <w:rPr>
          <w:sz w:val="24"/>
          <w:szCs w:val="24"/>
        </w:rPr>
        <w:t>filmovertrukne tabletter og dasatinib</w:t>
      </w:r>
      <w:r w:rsidR="002A2BF7" w:rsidRPr="00D11AD1">
        <w:rPr>
          <w:sz w:val="24"/>
          <w:szCs w:val="24"/>
        </w:rPr>
        <w:t xml:space="preserve"> </w:t>
      </w:r>
      <w:r w:rsidRPr="00D11AD1">
        <w:rPr>
          <w:sz w:val="24"/>
          <w:szCs w:val="24"/>
        </w:rPr>
        <w:t xml:space="preserve">pulver til oral suspension er ikke bioækvivalente. Patienter, der er i stand til at synke tabletter og som gerne vil skifte fra </w:t>
      </w:r>
      <w:r w:rsidR="002A2BF7" w:rsidRPr="00D11AD1">
        <w:rPr>
          <w:sz w:val="24"/>
          <w:szCs w:val="24"/>
        </w:rPr>
        <w:t>dasatinib</w:t>
      </w:r>
      <w:r w:rsidRPr="00D11AD1">
        <w:rPr>
          <w:sz w:val="24"/>
          <w:szCs w:val="24"/>
        </w:rPr>
        <w:t xml:space="preserve"> pulver til oral suspension til </w:t>
      </w:r>
      <w:r w:rsidR="002A2BF7" w:rsidRPr="00D11AD1">
        <w:rPr>
          <w:sz w:val="24"/>
          <w:szCs w:val="24"/>
        </w:rPr>
        <w:t>dasatinib</w:t>
      </w:r>
      <w:r w:rsidRPr="00D11AD1">
        <w:rPr>
          <w:sz w:val="24"/>
          <w:szCs w:val="24"/>
        </w:rPr>
        <w:t xml:space="preserve"> tabletter, eller patienter, der ikke er i stand til at synke tabletter og som gerne vil skifte fra tabletter til oral suspension, kan frit gøre det, såfremt de korrekte doseringsanbefalinger for doseringsformen følges.</w:t>
      </w:r>
    </w:p>
    <w:p w14:paraId="3AB390A7" w14:textId="77777777" w:rsidR="004F6070" w:rsidRPr="00D11AD1" w:rsidRDefault="004F6070" w:rsidP="004F6070">
      <w:pPr>
        <w:tabs>
          <w:tab w:val="left" w:pos="851"/>
        </w:tabs>
        <w:ind w:left="851"/>
        <w:rPr>
          <w:sz w:val="24"/>
          <w:szCs w:val="24"/>
        </w:rPr>
      </w:pPr>
    </w:p>
    <w:p w14:paraId="15C11FCD" w14:textId="106AF751" w:rsidR="004F6070" w:rsidRPr="00D11AD1" w:rsidRDefault="004F6070" w:rsidP="004F6070">
      <w:pPr>
        <w:tabs>
          <w:tab w:val="left" w:pos="851"/>
        </w:tabs>
        <w:ind w:left="851"/>
        <w:rPr>
          <w:sz w:val="24"/>
          <w:szCs w:val="24"/>
        </w:rPr>
      </w:pPr>
      <w:r w:rsidRPr="00D11AD1">
        <w:rPr>
          <w:sz w:val="24"/>
          <w:szCs w:val="24"/>
        </w:rPr>
        <w:t>Den anbefalede daglige startdosis af dasatinib</w:t>
      </w:r>
      <w:r w:rsidR="002A2BF7" w:rsidRPr="00D11AD1">
        <w:rPr>
          <w:sz w:val="24"/>
          <w:szCs w:val="24"/>
        </w:rPr>
        <w:t xml:space="preserve"> </w:t>
      </w:r>
      <w:r w:rsidRPr="00D11AD1">
        <w:rPr>
          <w:sz w:val="24"/>
          <w:szCs w:val="24"/>
        </w:rPr>
        <w:t>tabletter til pædiatriske patienter er vist i Tabel 1.</w:t>
      </w:r>
    </w:p>
    <w:p w14:paraId="2CEDB9BD" w14:textId="77777777" w:rsidR="00232480" w:rsidRPr="00D11AD1" w:rsidRDefault="00232480" w:rsidP="004F6070">
      <w:pPr>
        <w:tabs>
          <w:tab w:val="left" w:pos="851"/>
        </w:tabs>
        <w:ind w:left="851"/>
        <w:rPr>
          <w:sz w:val="24"/>
          <w:szCs w:val="24"/>
        </w:rPr>
      </w:pPr>
    </w:p>
    <w:p w14:paraId="36FB5F54" w14:textId="77777777" w:rsidR="00B971B2" w:rsidRPr="00D11AD1" w:rsidRDefault="00B971B2" w:rsidP="004F6070">
      <w:pPr>
        <w:tabs>
          <w:tab w:val="left" w:pos="851"/>
        </w:tabs>
        <w:ind w:left="851"/>
        <w:rPr>
          <w:b/>
          <w:sz w:val="24"/>
          <w:szCs w:val="24"/>
        </w:rPr>
      </w:pPr>
      <w:r w:rsidRPr="00D11AD1">
        <w:rPr>
          <w:b/>
          <w:sz w:val="24"/>
          <w:szCs w:val="24"/>
        </w:rPr>
        <w:t xml:space="preserve">Tabel 1: Dosering af dasatinib tabletter til patienter med </w:t>
      </w:r>
      <w:r w:rsidR="00EB3A09" w:rsidRPr="00D11AD1">
        <w:rPr>
          <w:b/>
          <w:sz w:val="24"/>
          <w:szCs w:val="24"/>
        </w:rPr>
        <w:t>Ph+ CML-CP eller Ph+ ALL.</w:t>
      </w:r>
    </w:p>
    <w:tbl>
      <w:tblPr>
        <w:tblStyle w:val="Tabel-Gitter"/>
        <w:tblW w:w="0" w:type="auto"/>
        <w:tblInd w:w="851" w:type="dxa"/>
        <w:tblLook w:val="04A0" w:firstRow="1" w:lastRow="0" w:firstColumn="1" w:lastColumn="0" w:noHBand="0" w:noVBand="1"/>
      </w:tblPr>
      <w:tblGrid>
        <w:gridCol w:w="4291"/>
        <w:gridCol w:w="4202"/>
      </w:tblGrid>
      <w:tr w:rsidR="00B971B2" w:rsidRPr="00D11AD1" w14:paraId="4A1D0D38" w14:textId="77777777" w:rsidTr="00D43B88">
        <w:tc>
          <w:tcPr>
            <w:tcW w:w="4421" w:type="dxa"/>
          </w:tcPr>
          <w:p w14:paraId="6484E0EC" w14:textId="77777777" w:rsidR="00B971B2" w:rsidRPr="00D11AD1" w:rsidRDefault="00EB3A09" w:rsidP="004F6070">
            <w:pPr>
              <w:tabs>
                <w:tab w:val="left" w:pos="851"/>
              </w:tabs>
              <w:rPr>
                <w:sz w:val="24"/>
                <w:szCs w:val="24"/>
              </w:rPr>
            </w:pPr>
            <w:r w:rsidRPr="00D11AD1">
              <w:rPr>
                <w:b/>
                <w:bCs/>
                <w:sz w:val="24"/>
                <w:szCs w:val="24"/>
              </w:rPr>
              <w:t>Legemsvægt (kg)</w:t>
            </w:r>
            <w:r w:rsidRPr="00D11AD1">
              <w:rPr>
                <w:b/>
                <w:bCs/>
                <w:sz w:val="24"/>
                <w:szCs w:val="24"/>
                <w:vertAlign w:val="superscript"/>
              </w:rPr>
              <w:t>a</w:t>
            </w:r>
          </w:p>
        </w:tc>
        <w:tc>
          <w:tcPr>
            <w:tcW w:w="4356" w:type="dxa"/>
          </w:tcPr>
          <w:p w14:paraId="58B59B8B" w14:textId="77777777" w:rsidR="00B971B2" w:rsidRPr="00D11AD1" w:rsidRDefault="00EB3A09" w:rsidP="004F6070">
            <w:pPr>
              <w:tabs>
                <w:tab w:val="left" w:pos="851"/>
              </w:tabs>
              <w:rPr>
                <w:sz w:val="24"/>
                <w:szCs w:val="24"/>
              </w:rPr>
            </w:pPr>
            <w:r w:rsidRPr="00D11AD1">
              <w:rPr>
                <w:b/>
                <w:bCs/>
                <w:sz w:val="24"/>
                <w:szCs w:val="24"/>
              </w:rPr>
              <w:t>Daglig dosis (mg)</w:t>
            </w:r>
          </w:p>
        </w:tc>
      </w:tr>
      <w:tr w:rsidR="00B971B2" w:rsidRPr="00D11AD1" w14:paraId="7FBDC943" w14:textId="77777777" w:rsidTr="00D43B88">
        <w:tc>
          <w:tcPr>
            <w:tcW w:w="4421" w:type="dxa"/>
          </w:tcPr>
          <w:p w14:paraId="5791027F" w14:textId="77777777" w:rsidR="00B971B2" w:rsidRPr="00D11AD1" w:rsidRDefault="00EB3A09" w:rsidP="004F6070">
            <w:pPr>
              <w:tabs>
                <w:tab w:val="left" w:pos="851"/>
              </w:tabs>
              <w:rPr>
                <w:sz w:val="24"/>
                <w:szCs w:val="24"/>
              </w:rPr>
            </w:pPr>
            <w:r w:rsidRPr="00D11AD1">
              <w:rPr>
                <w:sz w:val="24"/>
                <w:szCs w:val="24"/>
              </w:rPr>
              <w:t>10 til mindre end 20 kg</w:t>
            </w:r>
          </w:p>
        </w:tc>
        <w:tc>
          <w:tcPr>
            <w:tcW w:w="4356" w:type="dxa"/>
          </w:tcPr>
          <w:p w14:paraId="7119A437" w14:textId="77777777" w:rsidR="00B971B2" w:rsidRPr="00D11AD1" w:rsidRDefault="00EB3A09" w:rsidP="004F6070">
            <w:pPr>
              <w:tabs>
                <w:tab w:val="left" w:pos="851"/>
              </w:tabs>
              <w:rPr>
                <w:sz w:val="24"/>
                <w:szCs w:val="24"/>
              </w:rPr>
            </w:pPr>
            <w:r w:rsidRPr="00D11AD1">
              <w:rPr>
                <w:sz w:val="24"/>
                <w:szCs w:val="24"/>
              </w:rPr>
              <w:t>40 mg</w:t>
            </w:r>
          </w:p>
        </w:tc>
      </w:tr>
      <w:tr w:rsidR="00B971B2" w:rsidRPr="00D11AD1" w14:paraId="095DA643" w14:textId="77777777" w:rsidTr="00D43B88">
        <w:tc>
          <w:tcPr>
            <w:tcW w:w="4421" w:type="dxa"/>
          </w:tcPr>
          <w:p w14:paraId="2EDF1623" w14:textId="77777777" w:rsidR="00B971B2" w:rsidRPr="00D11AD1" w:rsidRDefault="00D43B88" w:rsidP="004F6070">
            <w:pPr>
              <w:tabs>
                <w:tab w:val="left" w:pos="851"/>
              </w:tabs>
              <w:rPr>
                <w:sz w:val="24"/>
                <w:szCs w:val="24"/>
              </w:rPr>
            </w:pPr>
            <w:r w:rsidRPr="00D11AD1">
              <w:rPr>
                <w:sz w:val="24"/>
                <w:szCs w:val="24"/>
              </w:rPr>
              <w:t>20 til mindre end 30 kg</w:t>
            </w:r>
          </w:p>
        </w:tc>
        <w:tc>
          <w:tcPr>
            <w:tcW w:w="4356" w:type="dxa"/>
          </w:tcPr>
          <w:p w14:paraId="3F610DDD" w14:textId="77777777" w:rsidR="00B971B2" w:rsidRPr="00D11AD1" w:rsidRDefault="00D43B88" w:rsidP="004F6070">
            <w:pPr>
              <w:tabs>
                <w:tab w:val="left" w:pos="851"/>
              </w:tabs>
              <w:rPr>
                <w:sz w:val="24"/>
                <w:szCs w:val="24"/>
              </w:rPr>
            </w:pPr>
            <w:r w:rsidRPr="00D11AD1">
              <w:rPr>
                <w:sz w:val="24"/>
                <w:szCs w:val="24"/>
              </w:rPr>
              <w:t>60 mg</w:t>
            </w:r>
          </w:p>
        </w:tc>
      </w:tr>
      <w:tr w:rsidR="00B971B2" w:rsidRPr="00D11AD1" w14:paraId="568943D3" w14:textId="77777777" w:rsidTr="00D43B88">
        <w:tc>
          <w:tcPr>
            <w:tcW w:w="4421" w:type="dxa"/>
          </w:tcPr>
          <w:p w14:paraId="68C01D0C" w14:textId="77777777" w:rsidR="00B971B2" w:rsidRPr="00D11AD1" w:rsidRDefault="00D43B88" w:rsidP="004F6070">
            <w:pPr>
              <w:tabs>
                <w:tab w:val="left" w:pos="851"/>
              </w:tabs>
              <w:rPr>
                <w:sz w:val="24"/>
                <w:szCs w:val="24"/>
              </w:rPr>
            </w:pPr>
            <w:r w:rsidRPr="00D11AD1">
              <w:rPr>
                <w:sz w:val="24"/>
                <w:szCs w:val="24"/>
              </w:rPr>
              <w:t>30 til mindre end 45 kg</w:t>
            </w:r>
          </w:p>
        </w:tc>
        <w:tc>
          <w:tcPr>
            <w:tcW w:w="4356" w:type="dxa"/>
          </w:tcPr>
          <w:p w14:paraId="2D2744DB" w14:textId="77777777" w:rsidR="00B971B2" w:rsidRPr="00D11AD1" w:rsidRDefault="00D43B88" w:rsidP="004F6070">
            <w:pPr>
              <w:tabs>
                <w:tab w:val="left" w:pos="851"/>
              </w:tabs>
              <w:rPr>
                <w:sz w:val="24"/>
                <w:szCs w:val="24"/>
              </w:rPr>
            </w:pPr>
            <w:r w:rsidRPr="00D11AD1">
              <w:rPr>
                <w:sz w:val="24"/>
                <w:szCs w:val="24"/>
              </w:rPr>
              <w:t>70 mg</w:t>
            </w:r>
          </w:p>
        </w:tc>
      </w:tr>
      <w:tr w:rsidR="00D43B88" w:rsidRPr="00D11AD1" w14:paraId="04C27E0E" w14:textId="77777777" w:rsidTr="00D43B88">
        <w:tc>
          <w:tcPr>
            <w:tcW w:w="4421" w:type="dxa"/>
          </w:tcPr>
          <w:p w14:paraId="6AFBCD51" w14:textId="77777777" w:rsidR="00D43B88" w:rsidRPr="00D11AD1" w:rsidRDefault="00D43B88" w:rsidP="004F6070">
            <w:pPr>
              <w:tabs>
                <w:tab w:val="left" w:pos="851"/>
              </w:tabs>
              <w:rPr>
                <w:sz w:val="24"/>
                <w:szCs w:val="24"/>
              </w:rPr>
            </w:pPr>
            <w:r w:rsidRPr="00D11AD1">
              <w:rPr>
                <w:sz w:val="24"/>
                <w:szCs w:val="24"/>
              </w:rPr>
              <w:t>mindst 45 kg</w:t>
            </w:r>
          </w:p>
        </w:tc>
        <w:tc>
          <w:tcPr>
            <w:tcW w:w="4356" w:type="dxa"/>
          </w:tcPr>
          <w:p w14:paraId="59008A32" w14:textId="77777777" w:rsidR="00D43B88" w:rsidRPr="00D11AD1" w:rsidRDefault="00D43B88" w:rsidP="004F6070">
            <w:pPr>
              <w:tabs>
                <w:tab w:val="left" w:pos="851"/>
              </w:tabs>
              <w:rPr>
                <w:sz w:val="24"/>
                <w:szCs w:val="24"/>
              </w:rPr>
            </w:pPr>
            <w:r w:rsidRPr="00D11AD1">
              <w:rPr>
                <w:sz w:val="24"/>
                <w:szCs w:val="24"/>
              </w:rPr>
              <w:t>100 mg</w:t>
            </w:r>
          </w:p>
        </w:tc>
      </w:tr>
    </w:tbl>
    <w:p w14:paraId="346A830D" w14:textId="2FF7400A" w:rsidR="00D43B88" w:rsidRPr="00D11AD1" w:rsidRDefault="00AA621E" w:rsidP="00AA621E">
      <w:pPr>
        <w:tabs>
          <w:tab w:val="left" w:pos="993"/>
        </w:tabs>
        <w:ind w:left="993" w:hanging="142"/>
        <w:rPr>
          <w:sz w:val="24"/>
          <w:szCs w:val="24"/>
        </w:rPr>
      </w:pPr>
      <w:r w:rsidRPr="00D11AD1">
        <w:rPr>
          <w:sz w:val="24"/>
          <w:szCs w:val="24"/>
          <w:vertAlign w:val="superscript"/>
        </w:rPr>
        <w:t>a</w:t>
      </w:r>
      <w:r w:rsidRPr="00D11AD1">
        <w:rPr>
          <w:sz w:val="24"/>
          <w:szCs w:val="24"/>
        </w:rPr>
        <w:tab/>
        <w:t>T</w:t>
      </w:r>
      <w:r w:rsidR="00D43B88" w:rsidRPr="00D11AD1">
        <w:rPr>
          <w:sz w:val="24"/>
          <w:szCs w:val="24"/>
        </w:rPr>
        <w:t>abletten anbefales ikke til patienter, der vejer mindre end 10 kg; pulveret til oral suspension bør bruges til disse patienter.</w:t>
      </w:r>
    </w:p>
    <w:p w14:paraId="75326AC0" w14:textId="2368466B" w:rsidR="00E26F67" w:rsidRPr="00D11AD1" w:rsidRDefault="00E26F67">
      <w:pPr>
        <w:rPr>
          <w:sz w:val="24"/>
          <w:szCs w:val="24"/>
        </w:rPr>
      </w:pPr>
    </w:p>
    <w:p w14:paraId="186B69D0" w14:textId="77777777" w:rsidR="00B971B2" w:rsidRPr="00D11AD1" w:rsidRDefault="00B971B2" w:rsidP="004F6070">
      <w:pPr>
        <w:tabs>
          <w:tab w:val="left" w:pos="851"/>
        </w:tabs>
        <w:ind w:left="851"/>
        <w:rPr>
          <w:sz w:val="24"/>
          <w:szCs w:val="24"/>
        </w:rPr>
      </w:pPr>
    </w:p>
    <w:p w14:paraId="2A365092" w14:textId="77777777" w:rsidR="00480C18" w:rsidRPr="00D11AD1" w:rsidRDefault="00480C18" w:rsidP="00480C18">
      <w:pPr>
        <w:tabs>
          <w:tab w:val="left" w:pos="851"/>
        </w:tabs>
        <w:ind w:left="851"/>
        <w:rPr>
          <w:i/>
          <w:iCs/>
          <w:sz w:val="24"/>
          <w:szCs w:val="24"/>
          <w:u w:val="single"/>
        </w:rPr>
      </w:pPr>
      <w:r w:rsidRPr="00D11AD1">
        <w:rPr>
          <w:i/>
          <w:iCs/>
          <w:sz w:val="24"/>
          <w:szCs w:val="24"/>
          <w:u w:val="single"/>
        </w:rPr>
        <w:t>Behandlingsvarighed</w:t>
      </w:r>
    </w:p>
    <w:p w14:paraId="00BDBE98" w14:textId="77777777" w:rsidR="00480C18" w:rsidRPr="00D11AD1" w:rsidRDefault="00480C18" w:rsidP="00480C18">
      <w:pPr>
        <w:tabs>
          <w:tab w:val="left" w:pos="851"/>
        </w:tabs>
        <w:ind w:left="851"/>
        <w:rPr>
          <w:sz w:val="24"/>
          <w:szCs w:val="24"/>
        </w:rPr>
      </w:pPr>
      <w:r w:rsidRPr="00D11AD1">
        <w:rPr>
          <w:sz w:val="24"/>
          <w:szCs w:val="24"/>
        </w:rPr>
        <w:t>I kliniske studier er behandling med dasatinib hos voksne med Ph+ CML-CP, accelereret, myeloid eller lymfoid blastfase (fremskreden fase) CML eller Ph+ ALL og pædiatriske patienter med Ph+ CML-CP fortsat indtil sygdomsprogression, eller indtil patienten ikke længere tålte behandlingen. Det er ikke undersøgt, hvilken effekt det på lang sigt har på sygdomsforløbet at seponere behandlingen, efter der er opnået cytogenetisk eller molekylært respons [herunder fuldstændigt cytogenetisk respons (CCyR), major molekylært respons (MMR) og MR4,5].</w:t>
      </w:r>
    </w:p>
    <w:p w14:paraId="0A4580A0" w14:textId="77777777" w:rsidR="00480C18" w:rsidRPr="00D11AD1" w:rsidRDefault="00480C18" w:rsidP="00480C18">
      <w:pPr>
        <w:tabs>
          <w:tab w:val="left" w:pos="851"/>
        </w:tabs>
        <w:ind w:left="851"/>
        <w:rPr>
          <w:sz w:val="24"/>
          <w:szCs w:val="24"/>
        </w:rPr>
      </w:pPr>
    </w:p>
    <w:p w14:paraId="27641E78" w14:textId="08F4ED28" w:rsidR="00480C18" w:rsidRPr="00D11AD1" w:rsidRDefault="00480C18" w:rsidP="00480C18">
      <w:pPr>
        <w:tabs>
          <w:tab w:val="left" w:pos="851"/>
        </w:tabs>
        <w:ind w:left="851"/>
        <w:rPr>
          <w:sz w:val="24"/>
          <w:szCs w:val="24"/>
        </w:rPr>
      </w:pPr>
      <w:r w:rsidRPr="00D11AD1">
        <w:rPr>
          <w:sz w:val="24"/>
          <w:szCs w:val="24"/>
        </w:rPr>
        <w:t>I kliniske studier er behandling med dasatinib hos pædiatriske patienter med Ph+ ALL administreret kontinuerligt som supplement til successive serier af standardkemoterapi i højst to år. Hos patienter, der får en efterfølgende stamcelletransplantation, kan dasatinib</w:t>
      </w:r>
      <w:r w:rsidR="00F1304D">
        <w:rPr>
          <w:sz w:val="24"/>
          <w:szCs w:val="24"/>
        </w:rPr>
        <w:t xml:space="preserve"> </w:t>
      </w:r>
      <w:r w:rsidRPr="00D11AD1">
        <w:rPr>
          <w:sz w:val="24"/>
          <w:szCs w:val="24"/>
        </w:rPr>
        <w:t xml:space="preserve">administreres i yderligere et år efter transplantationen. </w:t>
      </w:r>
    </w:p>
    <w:p w14:paraId="46F1A43E" w14:textId="77777777" w:rsidR="00480C18" w:rsidRPr="00D11AD1" w:rsidRDefault="00480C18" w:rsidP="00480C18">
      <w:pPr>
        <w:tabs>
          <w:tab w:val="left" w:pos="851"/>
        </w:tabs>
        <w:ind w:left="851"/>
        <w:rPr>
          <w:sz w:val="24"/>
          <w:szCs w:val="24"/>
        </w:rPr>
      </w:pPr>
    </w:p>
    <w:p w14:paraId="3F36BB06" w14:textId="77777777" w:rsidR="00480C18" w:rsidRPr="00D11AD1" w:rsidRDefault="00480C18" w:rsidP="00480C18">
      <w:pPr>
        <w:tabs>
          <w:tab w:val="left" w:pos="851"/>
        </w:tabs>
        <w:ind w:left="851"/>
        <w:rPr>
          <w:sz w:val="24"/>
          <w:szCs w:val="24"/>
        </w:rPr>
      </w:pPr>
      <w:r w:rsidRPr="00D11AD1">
        <w:rPr>
          <w:sz w:val="24"/>
          <w:szCs w:val="24"/>
        </w:rPr>
        <w:t>Dasatinib findes som 20 mg, 50 mg, 70 mg, 80 mg, 100 mg og 140 mg filmovertrukne tabletter for at opnå den anbefalede dosis og som pulver til oral suspension (10 mg/ml suspension efter rekonstitution). Dosisstigning eller -reduktion anbefales på baggrund af patientens respons og tolerabilitet.</w:t>
      </w:r>
    </w:p>
    <w:p w14:paraId="31B1A4E8" w14:textId="77777777" w:rsidR="00480C18" w:rsidRPr="00D11AD1" w:rsidRDefault="00480C18" w:rsidP="00480C18">
      <w:pPr>
        <w:tabs>
          <w:tab w:val="left" w:pos="851"/>
        </w:tabs>
        <w:ind w:left="851"/>
        <w:rPr>
          <w:sz w:val="24"/>
          <w:szCs w:val="24"/>
          <w:u w:val="single"/>
        </w:rPr>
      </w:pPr>
    </w:p>
    <w:p w14:paraId="071015F3" w14:textId="77777777" w:rsidR="00480C18" w:rsidRPr="00D11AD1" w:rsidRDefault="00480C18" w:rsidP="00480C18">
      <w:pPr>
        <w:tabs>
          <w:tab w:val="left" w:pos="851"/>
        </w:tabs>
        <w:ind w:left="851"/>
        <w:rPr>
          <w:i/>
          <w:iCs/>
          <w:sz w:val="24"/>
          <w:szCs w:val="24"/>
          <w:u w:val="single"/>
        </w:rPr>
      </w:pPr>
      <w:r w:rsidRPr="00D11AD1">
        <w:rPr>
          <w:i/>
          <w:iCs/>
          <w:sz w:val="24"/>
          <w:szCs w:val="24"/>
          <w:u w:val="single"/>
        </w:rPr>
        <w:t>Dosiseskalering</w:t>
      </w:r>
    </w:p>
    <w:p w14:paraId="0F26D190" w14:textId="77777777" w:rsidR="00480C18" w:rsidRPr="00D11AD1" w:rsidRDefault="00480C18" w:rsidP="00480C18">
      <w:pPr>
        <w:tabs>
          <w:tab w:val="left" w:pos="851"/>
        </w:tabs>
        <w:ind w:left="851"/>
        <w:rPr>
          <w:sz w:val="24"/>
          <w:szCs w:val="24"/>
        </w:rPr>
      </w:pPr>
      <w:r w:rsidRPr="00D11AD1">
        <w:rPr>
          <w:sz w:val="24"/>
          <w:szCs w:val="24"/>
        </w:rPr>
        <w:t xml:space="preserve">I kliniske studier med voksne CML- og Ph+ ALL-patienter var dosiseskalering til 140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(CML i kronisk fase) eller 180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(fremskreden CML eller Ph+ ALL) tilladt hos patienter, som ikke opnåede hæmatologisk eller cytogenetisk respons ved den anbefalede startdosis.</w:t>
      </w:r>
    </w:p>
    <w:p w14:paraId="5F424353" w14:textId="77777777" w:rsidR="00480C18" w:rsidRPr="00D11AD1" w:rsidRDefault="00480C18" w:rsidP="00480C18">
      <w:pPr>
        <w:tabs>
          <w:tab w:val="left" w:pos="851"/>
        </w:tabs>
        <w:ind w:left="851"/>
        <w:rPr>
          <w:sz w:val="24"/>
          <w:szCs w:val="24"/>
        </w:rPr>
      </w:pPr>
    </w:p>
    <w:p w14:paraId="0C1DA1F8" w14:textId="77777777" w:rsidR="00232480" w:rsidRPr="00D11AD1" w:rsidRDefault="00480C18" w:rsidP="00480C18">
      <w:pPr>
        <w:tabs>
          <w:tab w:val="left" w:pos="851"/>
        </w:tabs>
        <w:ind w:left="851"/>
        <w:rPr>
          <w:sz w:val="24"/>
          <w:szCs w:val="24"/>
        </w:rPr>
      </w:pPr>
      <w:r w:rsidRPr="00D11AD1">
        <w:rPr>
          <w:sz w:val="24"/>
          <w:szCs w:val="24"/>
        </w:rPr>
        <w:t>Følgende dosiseskaleringer, vist i Tabel 2, anbefales til pædiatriske patienter med Ph+ CML-CP, som ikke opnår et hæmatologisk, cytogenetisk og molekylært respons på de anbefalede tidspunkter ifølge gældende behandlingsvejledninger, og som tåler behandlingen.</w:t>
      </w:r>
    </w:p>
    <w:p w14:paraId="67DB6043" w14:textId="77777777" w:rsidR="003E3995" w:rsidRPr="00D11AD1" w:rsidRDefault="003E3995" w:rsidP="00480C18">
      <w:pPr>
        <w:tabs>
          <w:tab w:val="left" w:pos="851"/>
        </w:tabs>
        <w:ind w:left="851"/>
        <w:rPr>
          <w:sz w:val="24"/>
          <w:szCs w:val="24"/>
        </w:rPr>
      </w:pPr>
    </w:p>
    <w:p w14:paraId="6608DAE1" w14:textId="77777777" w:rsidR="003E3995" w:rsidRPr="00D11AD1" w:rsidRDefault="003E3995" w:rsidP="00480C18">
      <w:pPr>
        <w:tabs>
          <w:tab w:val="left" w:pos="851"/>
        </w:tabs>
        <w:ind w:left="851"/>
        <w:rPr>
          <w:b/>
          <w:sz w:val="24"/>
          <w:szCs w:val="24"/>
        </w:rPr>
      </w:pPr>
      <w:r w:rsidRPr="00D11AD1">
        <w:rPr>
          <w:b/>
          <w:sz w:val="24"/>
          <w:szCs w:val="24"/>
        </w:rPr>
        <w:t xml:space="preserve">Tabel 2: </w:t>
      </w:r>
      <w:r w:rsidRPr="00D11AD1">
        <w:rPr>
          <w:b/>
          <w:bCs/>
          <w:sz w:val="24"/>
          <w:szCs w:val="24"/>
        </w:rPr>
        <w:t>Dosiseskaleringer for pædiatriske patienter med Ph+ CML-CP.</w:t>
      </w:r>
    </w:p>
    <w:tbl>
      <w:tblPr>
        <w:tblStyle w:val="Tabel-Gitter"/>
        <w:tblW w:w="0" w:type="auto"/>
        <w:tblInd w:w="851" w:type="dxa"/>
        <w:tblLook w:val="04A0" w:firstRow="1" w:lastRow="0" w:firstColumn="1" w:lastColumn="0" w:noHBand="0" w:noVBand="1"/>
      </w:tblPr>
      <w:tblGrid>
        <w:gridCol w:w="2121"/>
        <w:gridCol w:w="1446"/>
        <w:gridCol w:w="3810"/>
      </w:tblGrid>
      <w:tr w:rsidR="009A5A0C" w:rsidRPr="00D11AD1" w14:paraId="6ED9EDEF" w14:textId="77777777" w:rsidTr="0075737B">
        <w:tc>
          <w:tcPr>
            <w:tcW w:w="2121" w:type="dxa"/>
            <w:tcBorders>
              <w:top w:val="nil"/>
              <w:left w:val="nil"/>
              <w:bottom w:val="nil"/>
            </w:tcBorders>
          </w:tcPr>
          <w:p w14:paraId="7CC1E332" w14:textId="77777777" w:rsidR="009A5A0C" w:rsidRPr="00D11AD1" w:rsidRDefault="009A5A0C" w:rsidP="00480C18">
            <w:pPr>
              <w:tabs>
                <w:tab w:val="left" w:pos="851"/>
              </w:tabs>
              <w:rPr>
                <w:sz w:val="24"/>
                <w:szCs w:val="24"/>
              </w:rPr>
            </w:pPr>
          </w:p>
        </w:tc>
        <w:tc>
          <w:tcPr>
            <w:tcW w:w="5256" w:type="dxa"/>
            <w:gridSpan w:val="2"/>
          </w:tcPr>
          <w:p w14:paraId="3535DFDD" w14:textId="77777777" w:rsidR="009A5A0C" w:rsidRPr="00D11AD1" w:rsidRDefault="009A5A0C" w:rsidP="00480C18">
            <w:pPr>
              <w:tabs>
                <w:tab w:val="left" w:pos="851"/>
              </w:tabs>
              <w:rPr>
                <w:b/>
                <w:sz w:val="24"/>
                <w:szCs w:val="24"/>
              </w:rPr>
            </w:pPr>
            <w:r w:rsidRPr="00D11AD1">
              <w:rPr>
                <w:b/>
                <w:sz w:val="24"/>
                <w:szCs w:val="24"/>
              </w:rPr>
              <w:t>Dosis (maksimum daglig dosis)</w:t>
            </w:r>
          </w:p>
        </w:tc>
      </w:tr>
      <w:tr w:rsidR="00004DA7" w:rsidRPr="00D11AD1" w14:paraId="164CF6D0" w14:textId="77777777" w:rsidTr="0075737B">
        <w:tc>
          <w:tcPr>
            <w:tcW w:w="2121" w:type="dxa"/>
            <w:tcBorders>
              <w:top w:val="nil"/>
              <w:left w:val="nil"/>
            </w:tcBorders>
          </w:tcPr>
          <w:p w14:paraId="3989E30F" w14:textId="77777777" w:rsidR="00004DA7" w:rsidRPr="00D11AD1" w:rsidRDefault="00004DA7" w:rsidP="00480C18">
            <w:pPr>
              <w:tabs>
                <w:tab w:val="left" w:pos="851"/>
              </w:tabs>
              <w:rPr>
                <w:sz w:val="24"/>
                <w:szCs w:val="24"/>
              </w:rPr>
            </w:pPr>
          </w:p>
        </w:tc>
        <w:tc>
          <w:tcPr>
            <w:tcW w:w="1446" w:type="dxa"/>
          </w:tcPr>
          <w:p w14:paraId="79D88C64" w14:textId="77777777" w:rsidR="00004DA7" w:rsidRPr="00D11AD1" w:rsidRDefault="00A65854" w:rsidP="00480C18">
            <w:pPr>
              <w:tabs>
                <w:tab w:val="left" w:pos="851"/>
              </w:tabs>
              <w:rPr>
                <w:b/>
                <w:sz w:val="24"/>
                <w:szCs w:val="24"/>
              </w:rPr>
            </w:pPr>
            <w:r w:rsidRPr="00D11AD1">
              <w:rPr>
                <w:b/>
                <w:sz w:val="24"/>
                <w:szCs w:val="24"/>
              </w:rPr>
              <w:t>Startdosis</w:t>
            </w:r>
          </w:p>
        </w:tc>
        <w:tc>
          <w:tcPr>
            <w:tcW w:w="3810" w:type="dxa"/>
          </w:tcPr>
          <w:p w14:paraId="038EBF49" w14:textId="77777777" w:rsidR="00004DA7" w:rsidRPr="00D11AD1" w:rsidRDefault="00A65854" w:rsidP="00480C18">
            <w:pPr>
              <w:tabs>
                <w:tab w:val="left" w:pos="851"/>
              </w:tabs>
              <w:rPr>
                <w:b/>
                <w:sz w:val="24"/>
                <w:szCs w:val="24"/>
              </w:rPr>
            </w:pPr>
            <w:r w:rsidRPr="00D11AD1">
              <w:rPr>
                <w:b/>
                <w:sz w:val="24"/>
                <w:szCs w:val="24"/>
              </w:rPr>
              <w:t>Eskalering</w:t>
            </w:r>
          </w:p>
        </w:tc>
      </w:tr>
      <w:tr w:rsidR="00004DA7" w:rsidRPr="00D11AD1" w14:paraId="02B1E62F" w14:textId="77777777" w:rsidTr="009A5A0C">
        <w:tc>
          <w:tcPr>
            <w:tcW w:w="2121" w:type="dxa"/>
          </w:tcPr>
          <w:p w14:paraId="21A5523F" w14:textId="77777777" w:rsidR="00004DA7" w:rsidRPr="00D11AD1" w:rsidRDefault="008E4ECB" w:rsidP="00480C18">
            <w:pPr>
              <w:tabs>
                <w:tab w:val="left" w:pos="851"/>
              </w:tabs>
              <w:rPr>
                <w:sz w:val="24"/>
                <w:szCs w:val="24"/>
              </w:rPr>
            </w:pPr>
            <w:r w:rsidRPr="00D11AD1">
              <w:rPr>
                <w:sz w:val="24"/>
                <w:szCs w:val="24"/>
              </w:rPr>
              <w:t>Tabletter</w:t>
            </w:r>
          </w:p>
        </w:tc>
        <w:tc>
          <w:tcPr>
            <w:tcW w:w="1446" w:type="dxa"/>
          </w:tcPr>
          <w:p w14:paraId="5E50F5B4" w14:textId="77777777" w:rsidR="00004DA7" w:rsidRPr="00D11AD1" w:rsidRDefault="00A65854" w:rsidP="00480C18">
            <w:pPr>
              <w:tabs>
                <w:tab w:val="left" w:pos="851"/>
              </w:tabs>
              <w:rPr>
                <w:sz w:val="24"/>
                <w:szCs w:val="24"/>
              </w:rPr>
            </w:pPr>
            <w:r w:rsidRPr="00D11AD1">
              <w:rPr>
                <w:sz w:val="24"/>
                <w:szCs w:val="24"/>
              </w:rPr>
              <w:t>40 mg</w:t>
            </w:r>
          </w:p>
        </w:tc>
        <w:tc>
          <w:tcPr>
            <w:tcW w:w="3810" w:type="dxa"/>
          </w:tcPr>
          <w:p w14:paraId="62EEEAC8" w14:textId="77777777" w:rsidR="00004DA7" w:rsidRPr="00D11AD1" w:rsidRDefault="00A65854" w:rsidP="00480C18">
            <w:pPr>
              <w:tabs>
                <w:tab w:val="left" w:pos="851"/>
              </w:tabs>
              <w:rPr>
                <w:sz w:val="24"/>
                <w:szCs w:val="24"/>
              </w:rPr>
            </w:pPr>
            <w:r w:rsidRPr="00D11AD1">
              <w:rPr>
                <w:sz w:val="24"/>
                <w:szCs w:val="24"/>
              </w:rPr>
              <w:t>50 mg</w:t>
            </w:r>
          </w:p>
        </w:tc>
      </w:tr>
      <w:tr w:rsidR="00004DA7" w:rsidRPr="00D11AD1" w14:paraId="371AE6D6" w14:textId="77777777" w:rsidTr="009A5A0C">
        <w:tc>
          <w:tcPr>
            <w:tcW w:w="2121" w:type="dxa"/>
          </w:tcPr>
          <w:p w14:paraId="7DD83F49" w14:textId="77777777" w:rsidR="00004DA7" w:rsidRPr="00D11AD1" w:rsidRDefault="00004DA7" w:rsidP="00480C18">
            <w:pPr>
              <w:tabs>
                <w:tab w:val="left" w:pos="851"/>
              </w:tabs>
              <w:rPr>
                <w:sz w:val="24"/>
                <w:szCs w:val="24"/>
              </w:rPr>
            </w:pPr>
          </w:p>
        </w:tc>
        <w:tc>
          <w:tcPr>
            <w:tcW w:w="1446" w:type="dxa"/>
          </w:tcPr>
          <w:p w14:paraId="6C00C5C9" w14:textId="77777777" w:rsidR="00004DA7" w:rsidRPr="00D11AD1" w:rsidRDefault="00A65854" w:rsidP="00480C18">
            <w:pPr>
              <w:tabs>
                <w:tab w:val="left" w:pos="851"/>
              </w:tabs>
              <w:rPr>
                <w:sz w:val="24"/>
                <w:szCs w:val="24"/>
              </w:rPr>
            </w:pPr>
            <w:r w:rsidRPr="00D11AD1">
              <w:rPr>
                <w:sz w:val="24"/>
                <w:szCs w:val="24"/>
              </w:rPr>
              <w:t>60 mg</w:t>
            </w:r>
          </w:p>
        </w:tc>
        <w:tc>
          <w:tcPr>
            <w:tcW w:w="3810" w:type="dxa"/>
          </w:tcPr>
          <w:p w14:paraId="74B0A0EF" w14:textId="77777777" w:rsidR="00004DA7" w:rsidRPr="00D11AD1" w:rsidRDefault="00A65854" w:rsidP="00480C18">
            <w:pPr>
              <w:tabs>
                <w:tab w:val="left" w:pos="851"/>
              </w:tabs>
              <w:rPr>
                <w:sz w:val="24"/>
                <w:szCs w:val="24"/>
              </w:rPr>
            </w:pPr>
            <w:r w:rsidRPr="00D11AD1">
              <w:rPr>
                <w:sz w:val="24"/>
                <w:szCs w:val="24"/>
              </w:rPr>
              <w:t>70 mg</w:t>
            </w:r>
          </w:p>
        </w:tc>
      </w:tr>
      <w:tr w:rsidR="00004DA7" w:rsidRPr="00D11AD1" w14:paraId="3E86CC6F" w14:textId="77777777" w:rsidTr="009A5A0C">
        <w:tc>
          <w:tcPr>
            <w:tcW w:w="2121" w:type="dxa"/>
          </w:tcPr>
          <w:p w14:paraId="1E167CE1" w14:textId="77777777" w:rsidR="00004DA7" w:rsidRPr="00D11AD1" w:rsidRDefault="00004DA7" w:rsidP="00480C18">
            <w:pPr>
              <w:tabs>
                <w:tab w:val="left" w:pos="851"/>
              </w:tabs>
              <w:rPr>
                <w:sz w:val="24"/>
                <w:szCs w:val="24"/>
              </w:rPr>
            </w:pPr>
          </w:p>
        </w:tc>
        <w:tc>
          <w:tcPr>
            <w:tcW w:w="1446" w:type="dxa"/>
          </w:tcPr>
          <w:p w14:paraId="5FC1951C" w14:textId="77777777" w:rsidR="00004DA7" w:rsidRPr="00D11AD1" w:rsidRDefault="00A65854" w:rsidP="00480C18">
            <w:pPr>
              <w:tabs>
                <w:tab w:val="left" w:pos="851"/>
              </w:tabs>
              <w:rPr>
                <w:sz w:val="24"/>
                <w:szCs w:val="24"/>
              </w:rPr>
            </w:pPr>
            <w:r w:rsidRPr="00D11AD1">
              <w:rPr>
                <w:sz w:val="24"/>
                <w:szCs w:val="24"/>
              </w:rPr>
              <w:t>70 mg</w:t>
            </w:r>
          </w:p>
        </w:tc>
        <w:tc>
          <w:tcPr>
            <w:tcW w:w="3810" w:type="dxa"/>
          </w:tcPr>
          <w:p w14:paraId="2082370E" w14:textId="77777777" w:rsidR="00004DA7" w:rsidRPr="00D11AD1" w:rsidRDefault="00A65854" w:rsidP="00480C18">
            <w:pPr>
              <w:tabs>
                <w:tab w:val="left" w:pos="851"/>
              </w:tabs>
              <w:rPr>
                <w:sz w:val="24"/>
                <w:szCs w:val="24"/>
              </w:rPr>
            </w:pPr>
            <w:r w:rsidRPr="00D11AD1">
              <w:rPr>
                <w:sz w:val="24"/>
                <w:szCs w:val="24"/>
              </w:rPr>
              <w:t>90 mg</w:t>
            </w:r>
          </w:p>
        </w:tc>
      </w:tr>
      <w:tr w:rsidR="00004DA7" w:rsidRPr="00D11AD1" w14:paraId="4F7EDA3F" w14:textId="77777777" w:rsidTr="009A5A0C">
        <w:tc>
          <w:tcPr>
            <w:tcW w:w="2121" w:type="dxa"/>
          </w:tcPr>
          <w:p w14:paraId="545D8894" w14:textId="77777777" w:rsidR="00004DA7" w:rsidRPr="00D11AD1" w:rsidRDefault="00004DA7" w:rsidP="00480C18">
            <w:pPr>
              <w:tabs>
                <w:tab w:val="left" w:pos="851"/>
              </w:tabs>
              <w:rPr>
                <w:sz w:val="24"/>
                <w:szCs w:val="24"/>
              </w:rPr>
            </w:pPr>
          </w:p>
        </w:tc>
        <w:tc>
          <w:tcPr>
            <w:tcW w:w="1446" w:type="dxa"/>
          </w:tcPr>
          <w:p w14:paraId="234D6FD5" w14:textId="77777777" w:rsidR="00004DA7" w:rsidRPr="00D11AD1" w:rsidRDefault="00A65854" w:rsidP="00480C18">
            <w:pPr>
              <w:tabs>
                <w:tab w:val="left" w:pos="851"/>
              </w:tabs>
              <w:rPr>
                <w:sz w:val="24"/>
                <w:szCs w:val="24"/>
              </w:rPr>
            </w:pPr>
            <w:r w:rsidRPr="00D11AD1">
              <w:rPr>
                <w:sz w:val="24"/>
                <w:szCs w:val="24"/>
              </w:rPr>
              <w:t>100 mg</w:t>
            </w:r>
          </w:p>
        </w:tc>
        <w:tc>
          <w:tcPr>
            <w:tcW w:w="3810" w:type="dxa"/>
          </w:tcPr>
          <w:p w14:paraId="6CC7FE97" w14:textId="77777777" w:rsidR="00004DA7" w:rsidRPr="00D11AD1" w:rsidRDefault="00A65854" w:rsidP="00480C18">
            <w:pPr>
              <w:tabs>
                <w:tab w:val="left" w:pos="851"/>
              </w:tabs>
              <w:rPr>
                <w:sz w:val="24"/>
                <w:szCs w:val="24"/>
              </w:rPr>
            </w:pPr>
            <w:r w:rsidRPr="00D11AD1">
              <w:rPr>
                <w:sz w:val="24"/>
                <w:szCs w:val="24"/>
              </w:rPr>
              <w:t>120 mg</w:t>
            </w:r>
          </w:p>
        </w:tc>
      </w:tr>
    </w:tbl>
    <w:p w14:paraId="5087723C" w14:textId="11A75B88" w:rsidR="008E4ECB" w:rsidRPr="00D11AD1" w:rsidRDefault="008E4ECB" w:rsidP="008E4ECB">
      <w:pPr>
        <w:tabs>
          <w:tab w:val="left" w:pos="851"/>
        </w:tabs>
        <w:ind w:left="851"/>
        <w:rPr>
          <w:sz w:val="24"/>
          <w:szCs w:val="24"/>
        </w:rPr>
      </w:pPr>
      <w:r w:rsidRPr="00D11AD1">
        <w:rPr>
          <w:sz w:val="24"/>
          <w:szCs w:val="24"/>
        </w:rPr>
        <w:t xml:space="preserve">Dosiseskalering frarådes til pædiatriske patienter med Ph+ ALL, da </w:t>
      </w:r>
      <w:r w:rsidR="0044311F" w:rsidRPr="00D11AD1">
        <w:rPr>
          <w:sz w:val="24"/>
          <w:szCs w:val="24"/>
        </w:rPr>
        <w:t>dasatinib</w:t>
      </w:r>
      <w:r w:rsidRPr="00D11AD1">
        <w:rPr>
          <w:sz w:val="24"/>
          <w:szCs w:val="24"/>
        </w:rPr>
        <w:t xml:space="preserve"> administreres</w:t>
      </w:r>
      <w:r w:rsidR="00D4321D" w:rsidRPr="00D11AD1">
        <w:rPr>
          <w:sz w:val="24"/>
          <w:szCs w:val="24"/>
        </w:rPr>
        <w:t xml:space="preserve"> </w:t>
      </w:r>
      <w:r w:rsidR="00F54CF2" w:rsidRPr="00D11AD1">
        <w:rPr>
          <w:sz w:val="24"/>
          <w:szCs w:val="24"/>
        </w:rPr>
        <w:t>i</w:t>
      </w:r>
      <w:r w:rsidRPr="00D11AD1">
        <w:rPr>
          <w:sz w:val="24"/>
          <w:szCs w:val="24"/>
        </w:rPr>
        <w:t xml:space="preserve"> kombination med kemoterapi til disse patienter.</w:t>
      </w:r>
    </w:p>
    <w:p w14:paraId="77364F58" w14:textId="77777777" w:rsidR="003E3995" w:rsidRPr="00D11AD1" w:rsidRDefault="003E3995" w:rsidP="00480C18">
      <w:pPr>
        <w:tabs>
          <w:tab w:val="left" w:pos="851"/>
        </w:tabs>
        <w:ind w:left="851"/>
        <w:rPr>
          <w:sz w:val="24"/>
          <w:szCs w:val="24"/>
        </w:rPr>
      </w:pPr>
    </w:p>
    <w:p w14:paraId="798EE438" w14:textId="77777777" w:rsidR="00B150E7" w:rsidRPr="00D11AD1" w:rsidRDefault="00B150E7" w:rsidP="00B150E7">
      <w:pPr>
        <w:tabs>
          <w:tab w:val="left" w:pos="851"/>
        </w:tabs>
        <w:ind w:left="851"/>
        <w:rPr>
          <w:i/>
          <w:iCs/>
          <w:sz w:val="24"/>
          <w:szCs w:val="24"/>
          <w:u w:val="single"/>
        </w:rPr>
      </w:pPr>
      <w:bookmarkStart w:id="2" w:name="_Hlk35954502"/>
      <w:r w:rsidRPr="00D11AD1">
        <w:rPr>
          <w:i/>
          <w:iCs/>
          <w:sz w:val="24"/>
          <w:szCs w:val="24"/>
          <w:u w:val="single"/>
        </w:rPr>
        <w:t>Dosisjustering ved bivirkninger</w:t>
      </w:r>
    </w:p>
    <w:p w14:paraId="79D61EEB" w14:textId="77777777" w:rsidR="00682708" w:rsidRPr="00D11AD1" w:rsidRDefault="00682708" w:rsidP="00B150E7">
      <w:pPr>
        <w:tabs>
          <w:tab w:val="left" w:pos="851"/>
        </w:tabs>
        <w:ind w:left="851"/>
        <w:rPr>
          <w:i/>
          <w:iCs/>
          <w:sz w:val="24"/>
          <w:szCs w:val="24"/>
        </w:rPr>
      </w:pPr>
    </w:p>
    <w:p w14:paraId="266D10D6" w14:textId="77777777" w:rsidR="00B150E7" w:rsidRPr="00D11AD1" w:rsidRDefault="00B150E7" w:rsidP="00B150E7">
      <w:pPr>
        <w:tabs>
          <w:tab w:val="left" w:pos="851"/>
        </w:tabs>
        <w:ind w:left="851"/>
        <w:rPr>
          <w:i/>
          <w:iCs/>
          <w:sz w:val="24"/>
          <w:szCs w:val="24"/>
        </w:rPr>
      </w:pPr>
      <w:r w:rsidRPr="00D11AD1">
        <w:rPr>
          <w:i/>
          <w:iCs/>
          <w:sz w:val="24"/>
          <w:szCs w:val="24"/>
        </w:rPr>
        <w:t>Myelosuppression</w:t>
      </w:r>
    </w:p>
    <w:p w14:paraId="412BB822" w14:textId="77777777" w:rsidR="00B150E7" w:rsidRPr="00D11AD1" w:rsidRDefault="00B150E7" w:rsidP="00B150E7">
      <w:pPr>
        <w:tabs>
          <w:tab w:val="left" w:pos="851"/>
        </w:tabs>
        <w:ind w:left="851"/>
        <w:rPr>
          <w:sz w:val="24"/>
          <w:szCs w:val="24"/>
        </w:rPr>
      </w:pPr>
      <w:r w:rsidRPr="00D11AD1">
        <w:rPr>
          <w:sz w:val="24"/>
          <w:szCs w:val="24"/>
        </w:rPr>
        <w:t>I kliniske studier er myelosuppression blevet behandlet med dosisafbrydelse, dosisreduktion eller seponering af forsøgsbehandling. Transfusion af trombocytter og røde blodlegemer anvendtes i det omfang, det var relevant. Hos patienter med resistent myelosuppression er hæmatopoietisk vækstfaktor blevet anvendt.</w:t>
      </w:r>
    </w:p>
    <w:p w14:paraId="4543DAC0" w14:textId="77777777" w:rsidR="00B150E7" w:rsidRPr="00D11AD1" w:rsidRDefault="00B150E7" w:rsidP="00B150E7">
      <w:pPr>
        <w:tabs>
          <w:tab w:val="left" w:pos="851"/>
        </w:tabs>
        <w:ind w:left="851"/>
        <w:rPr>
          <w:sz w:val="24"/>
          <w:szCs w:val="24"/>
        </w:rPr>
      </w:pPr>
      <w:r w:rsidRPr="00D11AD1">
        <w:rPr>
          <w:sz w:val="24"/>
          <w:szCs w:val="24"/>
        </w:rPr>
        <w:t xml:space="preserve">Retningslinjer for dosisændringer hos voksne er opsummeret i Tabel 3 og hos pædiatriske patienter med Ph+ CML-CP i Tabel 4. Retningslinjer for pædiatriske </w:t>
      </w:r>
      <w:r w:rsidRPr="00D11AD1">
        <w:rPr>
          <w:sz w:val="24"/>
          <w:szCs w:val="24"/>
        </w:rPr>
        <w:lastRenderedPageBreak/>
        <w:t>patienter med Ph+ ALL behandlet i kombination med kemoterapi kan ses i et særskilt afsnit efter tabellerne.</w:t>
      </w:r>
    </w:p>
    <w:bookmarkEnd w:id="2"/>
    <w:p w14:paraId="46ACE42F" w14:textId="77777777" w:rsidR="003E3995" w:rsidRPr="00D11AD1" w:rsidRDefault="003E3995" w:rsidP="00480C18">
      <w:pPr>
        <w:tabs>
          <w:tab w:val="left" w:pos="851"/>
        </w:tabs>
        <w:ind w:left="851"/>
        <w:rPr>
          <w:sz w:val="24"/>
          <w:szCs w:val="24"/>
        </w:rPr>
      </w:pPr>
    </w:p>
    <w:p w14:paraId="71BAB35E" w14:textId="77777777" w:rsidR="00682708" w:rsidRPr="00D11AD1" w:rsidRDefault="00682708" w:rsidP="00682708">
      <w:pPr>
        <w:tabs>
          <w:tab w:val="left" w:pos="851"/>
        </w:tabs>
        <w:ind w:left="851"/>
        <w:rPr>
          <w:b/>
          <w:bCs/>
          <w:sz w:val="24"/>
          <w:szCs w:val="24"/>
        </w:rPr>
      </w:pPr>
      <w:r w:rsidRPr="00D11AD1">
        <w:rPr>
          <w:b/>
          <w:bCs/>
          <w:sz w:val="24"/>
          <w:szCs w:val="24"/>
        </w:rPr>
        <w:t xml:space="preserve">Tabel 3: </w:t>
      </w:r>
      <w:r w:rsidRPr="00D11AD1">
        <w:rPr>
          <w:b/>
          <w:sz w:val="24"/>
          <w:szCs w:val="24"/>
        </w:rPr>
        <w:t>Dosisjusteringer ved neutropeni og trombocytopeni hos voksne</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18"/>
        <w:gridCol w:w="2126"/>
        <w:gridCol w:w="4812"/>
      </w:tblGrid>
      <w:tr w:rsidR="00682708" w:rsidRPr="00D11AD1" w14:paraId="607E3624" w14:textId="77777777" w:rsidTr="00A6734C">
        <w:trPr>
          <w:trHeight w:val="3800"/>
        </w:trPr>
        <w:tc>
          <w:tcPr>
            <w:tcW w:w="2418" w:type="dxa"/>
          </w:tcPr>
          <w:p w14:paraId="22800440" w14:textId="77777777" w:rsidR="00682708" w:rsidRPr="000A733F" w:rsidRDefault="00682708" w:rsidP="00682708">
            <w:pPr>
              <w:ind w:left="44"/>
              <w:rPr>
                <w:sz w:val="24"/>
                <w:szCs w:val="24"/>
              </w:rPr>
            </w:pPr>
          </w:p>
          <w:p w14:paraId="242FE2B1" w14:textId="77777777" w:rsidR="00682708" w:rsidRPr="000A733F" w:rsidRDefault="00682708" w:rsidP="00682708">
            <w:pPr>
              <w:ind w:left="44"/>
              <w:rPr>
                <w:sz w:val="24"/>
                <w:szCs w:val="24"/>
              </w:rPr>
            </w:pPr>
          </w:p>
          <w:p w14:paraId="5C18792A" w14:textId="77777777" w:rsidR="00682708" w:rsidRPr="000A733F" w:rsidRDefault="00682708" w:rsidP="00682708">
            <w:pPr>
              <w:ind w:left="44"/>
              <w:rPr>
                <w:sz w:val="24"/>
                <w:szCs w:val="24"/>
              </w:rPr>
            </w:pPr>
          </w:p>
          <w:p w14:paraId="31ED2A6F" w14:textId="77777777" w:rsidR="00682708" w:rsidRPr="000A733F" w:rsidRDefault="00682708" w:rsidP="00682708">
            <w:pPr>
              <w:ind w:left="44"/>
              <w:rPr>
                <w:sz w:val="24"/>
                <w:szCs w:val="24"/>
              </w:rPr>
            </w:pPr>
          </w:p>
          <w:p w14:paraId="7281A68F" w14:textId="77777777" w:rsidR="00682708" w:rsidRPr="00D11AD1" w:rsidRDefault="00682708" w:rsidP="00682708">
            <w:pPr>
              <w:ind w:left="44"/>
              <w:rPr>
                <w:sz w:val="24"/>
                <w:szCs w:val="24"/>
              </w:rPr>
            </w:pPr>
            <w:r w:rsidRPr="00D11AD1">
              <w:rPr>
                <w:sz w:val="24"/>
                <w:szCs w:val="24"/>
              </w:rPr>
              <w:t>Voksne med CML i</w:t>
            </w:r>
          </w:p>
          <w:p w14:paraId="72DFABAA" w14:textId="77777777" w:rsidR="00682708" w:rsidRPr="00D11AD1" w:rsidRDefault="00682708" w:rsidP="00682708">
            <w:pPr>
              <w:ind w:left="44"/>
              <w:rPr>
                <w:sz w:val="24"/>
                <w:szCs w:val="24"/>
              </w:rPr>
            </w:pPr>
            <w:r w:rsidRPr="00D11AD1">
              <w:rPr>
                <w:sz w:val="24"/>
                <w:szCs w:val="24"/>
              </w:rPr>
              <w:t xml:space="preserve">kronisk fase (startdosis 100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w:t>
            </w:r>
          </w:p>
        </w:tc>
        <w:tc>
          <w:tcPr>
            <w:tcW w:w="2126" w:type="dxa"/>
          </w:tcPr>
          <w:p w14:paraId="09C9925F" w14:textId="77777777" w:rsidR="00682708" w:rsidRPr="000A733F" w:rsidRDefault="00682708" w:rsidP="00682708">
            <w:pPr>
              <w:ind w:left="34"/>
              <w:rPr>
                <w:sz w:val="24"/>
                <w:szCs w:val="24"/>
              </w:rPr>
            </w:pPr>
          </w:p>
          <w:p w14:paraId="1500F27F" w14:textId="77777777" w:rsidR="00682708" w:rsidRPr="000A733F" w:rsidRDefault="00682708" w:rsidP="00682708">
            <w:pPr>
              <w:ind w:left="34"/>
              <w:rPr>
                <w:sz w:val="24"/>
                <w:szCs w:val="24"/>
              </w:rPr>
            </w:pPr>
          </w:p>
          <w:p w14:paraId="6063BD83" w14:textId="77777777" w:rsidR="00682708" w:rsidRPr="000A733F" w:rsidRDefault="00682708" w:rsidP="00682708">
            <w:pPr>
              <w:ind w:left="34"/>
              <w:rPr>
                <w:sz w:val="24"/>
                <w:szCs w:val="24"/>
              </w:rPr>
            </w:pPr>
          </w:p>
          <w:p w14:paraId="6D6A4073" w14:textId="77777777" w:rsidR="00682708" w:rsidRPr="000A733F" w:rsidRDefault="00682708" w:rsidP="00682708">
            <w:pPr>
              <w:ind w:left="34"/>
              <w:rPr>
                <w:sz w:val="24"/>
                <w:szCs w:val="24"/>
              </w:rPr>
            </w:pPr>
          </w:p>
          <w:p w14:paraId="20377144" w14:textId="6C337EFC" w:rsidR="00682708" w:rsidRPr="00D11AD1" w:rsidRDefault="00682708" w:rsidP="00682708">
            <w:pPr>
              <w:ind w:left="34"/>
              <w:rPr>
                <w:sz w:val="24"/>
                <w:szCs w:val="24"/>
              </w:rPr>
            </w:pPr>
            <w:r w:rsidRPr="00D11AD1">
              <w:rPr>
                <w:sz w:val="24"/>
                <w:szCs w:val="24"/>
              </w:rPr>
              <w:t xml:space="preserve">ANC &lt; 0.5 </w:t>
            </w:r>
            <w:r w:rsidR="00D4321D" w:rsidRPr="00D11AD1">
              <w:rPr>
                <w:sz w:val="24"/>
                <w:szCs w:val="24"/>
              </w:rPr>
              <w:t>×</w:t>
            </w:r>
            <w:r w:rsidRPr="00D11AD1">
              <w:rPr>
                <w:sz w:val="24"/>
                <w:szCs w:val="24"/>
              </w:rPr>
              <w:t xml:space="preserve"> 10</w:t>
            </w:r>
            <w:r w:rsidRPr="00D11AD1">
              <w:rPr>
                <w:sz w:val="24"/>
                <w:szCs w:val="24"/>
                <w:vertAlign w:val="superscript"/>
              </w:rPr>
              <w:t>9</w:t>
            </w:r>
            <w:r w:rsidR="00D22397" w:rsidRPr="00D11AD1">
              <w:rPr>
                <w:sz w:val="24"/>
                <w:szCs w:val="24"/>
              </w:rPr>
              <w:t>/</w:t>
            </w:r>
            <w:r w:rsidR="00F67A10" w:rsidRPr="00D11AD1">
              <w:rPr>
                <w:sz w:val="24"/>
                <w:szCs w:val="24"/>
              </w:rPr>
              <w:t>l</w:t>
            </w:r>
            <w:r w:rsidRPr="00D11AD1">
              <w:rPr>
                <w:sz w:val="24"/>
                <w:szCs w:val="24"/>
              </w:rPr>
              <w:t xml:space="preserve">   og/eller trombocytter&lt; 50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/l</w:t>
            </w:r>
          </w:p>
        </w:tc>
        <w:tc>
          <w:tcPr>
            <w:tcW w:w="4812" w:type="dxa"/>
          </w:tcPr>
          <w:p w14:paraId="0A01105A" w14:textId="0E9A28C8" w:rsidR="00682708" w:rsidRPr="000A733F" w:rsidRDefault="00682708" w:rsidP="00682708">
            <w:pPr>
              <w:numPr>
                <w:ilvl w:val="0"/>
                <w:numId w:val="9"/>
              </w:numPr>
              <w:tabs>
                <w:tab w:val="left" w:pos="95"/>
              </w:tabs>
              <w:rPr>
                <w:sz w:val="24"/>
                <w:szCs w:val="24"/>
              </w:rPr>
            </w:pPr>
            <w:r w:rsidRPr="00D11AD1">
              <w:rPr>
                <w:sz w:val="24"/>
                <w:szCs w:val="24"/>
              </w:rPr>
              <w:t xml:space="preserve">Stop behandling indtil ANC ≥ 1.0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 xml:space="preserve">/l og trombocytter ≥ 50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/l.</w:t>
            </w:r>
          </w:p>
          <w:p w14:paraId="65DD0D95" w14:textId="77777777" w:rsidR="00682708" w:rsidRPr="000A733F" w:rsidRDefault="00682708" w:rsidP="00682708">
            <w:pPr>
              <w:tabs>
                <w:tab w:val="left" w:pos="95"/>
              </w:tabs>
              <w:ind w:left="851"/>
              <w:rPr>
                <w:sz w:val="24"/>
                <w:szCs w:val="24"/>
              </w:rPr>
            </w:pPr>
          </w:p>
          <w:p w14:paraId="6C5EF281" w14:textId="77777777" w:rsidR="00682708" w:rsidRPr="00D11AD1" w:rsidRDefault="00682708" w:rsidP="00682708">
            <w:pPr>
              <w:numPr>
                <w:ilvl w:val="0"/>
                <w:numId w:val="9"/>
              </w:numPr>
              <w:tabs>
                <w:tab w:val="left" w:pos="95"/>
              </w:tabs>
              <w:rPr>
                <w:sz w:val="24"/>
                <w:szCs w:val="24"/>
              </w:rPr>
            </w:pPr>
            <w:r w:rsidRPr="00D11AD1">
              <w:rPr>
                <w:sz w:val="24"/>
                <w:szCs w:val="24"/>
              </w:rPr>
              <w:t>Genoptag behandling med den oprindelige startdosis</w:t>
            </w:r>
          </w:p>
          <w:p w14:paraId="118A35DA" w14:textId="77777777" w:rsidR="00682708" w:rsidRPr="00D11AD1" w:rsidRDefault="00682708" w:rsidP="00682708">
            <w:pPr>
              <w:tabs>
                <w:tab w:val="left" w:pos="95"/>
              </w:tabs>
              <w:ind w:left="851"/>
              <w:rPr>
                <w:sz w:val="24"/>
                <w:szCs w:val="24"/>
              </w:rPr>
            </w:pPr>
          </w:p>
          <w:p w14:paraId="7E40B0C0" w14:textId="565BEB0C" w:rsidR="00682708" w:rsidRPr="00D11AD1" w:rsidRDefault="00682708" w:rsidP="00682708">
            <w:pPr>
              <w:numPr>
                <w:ilvl w:val="0"/>
                <w:numId w:val="9"/>
              </w:numPr>
              <w:tabs>
                <w:tab w:val="left" w:pos="95"/>
              </w:tabs>
              <w:rPr>
                <w:sz w:val="24"/>
                <w:szCs w:val="24"/>
              </w:rPr>
            </w:pPr>
            <w:r w:rsidRPr="00D11AD1">
              <w:rPr>
                <w:sz w:val="24"/>
                <w:szCs w:val="24"/>
              </w:rPr>
              <w:t xml:space="preserve">Ved trombocytter &lt; 25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 xml:space="preserve">/l og/eller recidiv af ANC &lt; 0.5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 xml:space="preserve">/l for &gt; 7 dage, gentages trin 1 og behandlingen genoptages med reduceret dosis på 80 mg 1 gang </w:t>
            </w:r>
            <w:r w:rsidR="00A858A6" w:rsidRPr="00D11AD1">
              <w:rPr>
                <w:sz w:val="24"/>
                <w:szCs w:val="24"/>
              </w:rPr>
              <w:t>daglig</w:t>
            </w:r>
            <w:r w:rsidRPr="00D11AD1">
              <w:rPr>
                <w:sz w:val="24"/>
                <w:szCs w:val="24"/>
              </w:rPr>
              <w:t xml:space="preserve"> ved anden episode. Ved tredje episode reduceres dosis til 50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(hos nyligt diagnosticerede patienter) eller seponeres (hos patienter, der har været resistente eller intolerante over for tidligere behandling, inklusive imatinib).</w:t>
            </w:r>
          </w:p>
          <w:p w14:paraId="12C9BDAC" w14:textId="77777777" w:rsidR="00682708" w:rsidRPr="00D11AD1" w:rsidRDefault="00682708" w:rsidP="00682708">
            <w:pPr>
              <w:tabs>
                <w:tab w:val="left" w:pos="95"/>
              </w:tabs>
              <w:ind w:left="851"/>
              <w:rPr>
                <w:sz w:val="24"/>
                <w:szCs w:val="24"/>
              </w:rPr>
            </w:pPr>
          </w:p>
        </w:tc>
      </w:tr>
      <w:tr w:rsidR="00682708" w:rsidRPr="00D11AD1" w14:paraId="496FC6D4" w14:textId="77777777" w:rsidTr="00A6734C">
        <w:trPr>
          <w:trHeight w:val="4040"/>
        </w:trPr>
        <w:tc>
          <w:tcPr>
            <w:tcW w:w="2418" w:type="dxa"/>
          </w:tcPr>
          <w:p w14:paraId="64EFE7EE" w14:textId="77777777" w:rsidR="00682708" w:rsidRPr="000A733F" w:rsidRDefault="00682708" w:rsidP="00682708">
            <w:pPr>
              <w:ind w:left="44"/>
              <w:rPr>
                <w:sz w:val="24"/>
                <w:szCs w:val="24"/>
              </w:rPr>
            </w:pPr>
          </w:p>
          <w:p w14:paraId="62A18208" w14:textId="77777777" w:rsidR="00682708" w:rsidRPr="000A733F" w:rsidRDefault="00682708" w:rsidP="00682708">
            <w:pPr>
              <w:ind w:left="44"/>
              <w:rPr>
                <w:sz w:val="24"/>
                <w:szCs w:val="24"/>
              </w:rPr>
            </w:pPr>
          </w:p>
          <w:p w14:paraId="69064E50" w14:textId="77777777" w:rsidR="00682708" w:rsidRPr="000A733F" w:rsidRDefault="00682708" w:rsidP="00682708">
            <w:pPr>
              <w:ind w:left="44"/>
              <w:rPr>
                <w:sz w:val="24"/>
                <w:szCs w:val="24"/>
              </w:rPr>
            </w:pPr>
          </w:p>
          <w:p w14:paraId="31F731FF" w14:textId="77777777" w:rsidR="00682708" w:rsidRPr="000A733F" w:rsidRDefault="00682708" w:rsidP="00682708">
            <w:pPr>
              <w:ind w:left="44"/>
              <w:rPr>
                <w:sz w:val="24"/>
                <w:szCs w:val="24"/>
              </w:rPr>
            </w:pPr>
          </w:p>
          <w:p w14:paraId="7345E2CB" w14:textId="77777777" w:rsidR="00682708" w:rsidRPr="000A733F" w:rsidRDefault="00682708" w:rsidP="00682708">
            <w:pPr>
              <w:ind w:left="44"/>
              <w:rPr>
                <w:sz w:val="24"/>
                <w:szCs w:val="24"/>
              </w:rPr>
            </w:pPr>
          </w:p>
          <w:p w14:paraId="5B1A79CF" w14:textId="77777777" w:rsidR="00682708" w:rsidRPr="00D11AD1" w:rsidRDefault="00682708" w:rsidP="00682708">
            <w:pPr>
              <w:ind w:left="44"/>
              <w:rPr>
                <w:sz w:val="24"/>
                <w:szCs w:val="24"/>
              </w:rPr>
            </w:pPr>
            <w:r w:rsidRPr="00D11AD1">
              <w:rPr>
                <w:sz w:val="24"/>
                <w:szCs w:val="24"/>
              </w:rPr>
              <w:t>Voksne med accelereret</w:t>
            </w:r>
          </w:p>
          <w:p w14:paraId="21BFE1FA" w14:textId="77777777" w:rsidR="00682708" w:rsidRPr="00D11AD1" w:rsidRDefault="00682708" w:rsidP="00682708">
            <w:pPr>
              <w:ind w:left="44"/>
              <w:rPr>
                <w:sz w:val="24"/>
                <w:szCs w:val="24"/>
              </w:rPr>
            </w:pPr>
            <w:r w:rsidRPr="00D11AD1">
              <w:rPr>
                <w:sz w:val="24"/>
                <w:szCs w:val="24"/>
              </w:rPr>
              <w:t>og blastfase CML og Ph+</w:t>
            </w:r>
          </w:p>
          <w:p w14:paraId="594CFD40" w14:textId="77777777" w:rsidR="00682708" w:rsidRPr="00D11AD1" w:rsidRDefault="00682708" w:rsidP="00682708">
            <w:pPr>
              <w:ind w:left="44"/>
              <w:rPr>
                <w:sz w:val="24"/>
                <w:szCs w:val="24"/>
              </w:rPr>
            </w:pPr>
            <w:r w:rsidRPr="00D11AD1">
              <w:rPr>
                <w:sz w:val="24"/>
                <w:szCs w:val="24"/>
              </w:rPr>
              <w:t>ALL (startdosis 140 mg</w:t>
            </w:r>
          </w:p>
          <w:p w14:paraId="799C5A63" w14:textId="77777777" w:rsidR="00682708" w:rsidRPr="00D11AD1" w:rsidRDefault="00A858A6" w:rsidP="00682708">
            <w:pPr>
              <w:ind w:left="44"/>
              <w:rPr>
                <w:sz w:val="24"/>
                <w:szCs w:val="24"/>
              </w:rPr>
            </w:pPr>
            <w:r w:rsidRPr="00D11AD1">
              <w:rPr>
                <w:sz w:val="24"/>
                <w:szCs w:val="24"/>
              </w:rPr>
              <w:t>en</w:t>
            </w:r>
            <w:r w:rsidR="00682708" w:rsidRPr="00D11AD1">
              <w:rPr>
                <w:sz w:val="24"/>
                <w:szCs w:val="24"/>
              </w:rPr>
              <w:t xml:space="preserve"> gang </w:t>
            </w:r>
            <w:r w:rsidRPr="00D11AD1">
              <w:rPr>
                <w:sz w:val="24"/>
                <w:szCs w:val="24"/>
              </w:rPr>
              <w:t>daglig</w:t>
            </w:r>
            <w:r w:rsidR="00682708" w:rsidRPr="00D11AD1">
              <w:rPr>
                <w:sz w:val="24"/>
                <w:szCs w:val="24"/>
              </w:rPr>
              <w:t>)</w:t>
            </w:r>
          </w:p>
        </w:tc>
        <w:tc>
          <w:tcPr>
            <w:tcW w:w="2126" w:type="dxa"/>
          </w:tcPr>
          <w:p w14:paraId="7E447582" w14:textId="77777777" w:rsidR="00682708" w:rsidRPr="000A733F" w:rsidRDefault="00682708" w:rsidP="00682708">
            <w:pPr>
              <w:ind w:left="34"/>
              <w:rPr>
                <w:sz w:val="24"/>
                <w:szCs w:val="24"/>
              </w:rPr>
            </w:pPr>
          </w:p>
          <w:p w14:paraId="235CEBA6" w14:textId="77777777" w:rsidR="00682708" w:rsidRPr="000A733F" w:rsidRDefault="00682708" w:rsidP="00682708">
            <w:pPr>
              <w:ind w:left="34"/>
              <w:rPr>
                <w:sz w:val="24"/>
                <w:szCs w:val="24"/>
              </w:rPr>
            </w:pPr>
          </w:p>
          <w:p w14:paraId="3EC8F6AD" w14:textId="77777777" w:rsidR="00682708" w:rsidRPr="000A733F" w:rsidRDefault="00682708" w:rsidP="00682708">
            <w:pPr>
              <w:ind w:left="34"/>
              <w:rPr>
                <w:sz w:val="24"/>
                <w:szCs w:val="24"/>
              </w:rPr>
            </w:pPr>
          </w:p>
          <w:p w14:paraId="3EAC2D9B" w14:textId="77777777" w:rsidR="00682708" w:rsidRPr="000A733F" w:rsidRDefault="00682708" w:rsidP="00682708">
            <w:pPr>
              <w:ind w:left="34"/>
              <w:rPr>
                <w:sz w:val="24"/>
                <w:szCs w:val="24"/>
              </w:rPr>
            </w:pPr>
          </w:p>
          <w:p w14:paraId="6E5E5638" w14:textId="77777777" w:rsidR="00682708" w:rsidRPr="000A733F" w:rsidRDefault="00682708" w:rsidP="00682708">
            <w:pPr>
              <w:ind w:left="34"/>
              <w:rPr>
                <w:sz w:val="24"/>
                <w:szCs w:val="24"/>
              </w:rPr>
            </w:pPr>
          </w:p>
          <w:p w14:paraId="341E840D" w14:textId="492D78F8" w:rsidR="00682708" w:rsidRPr="00D11AD1" w:rsidRDefault="00682708" w:rsidP="00682708">
            <w:pPr>
              <w:ind w:left="34"/>
              <w:rPr>
                <w:sz w:val="24"/>
                <w:szCs w:val="24"/>
              </w:rPr>
            </w:pPr>
            <w:r w:rsidRPr="00D11AD1">
              <w:rPr>
                <w:sz w:val="24"/>
                <w:szCs w:val="24"/>
              </w:rPr>
              <w:t xml:space="preserve">ANC &lt; 0.5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 xml:space="preserve">/l og/eller trombocytter &lt; 10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/l</w:t>
            </w:r>
          </w:p>
        </w:tc>
        <w:tc>
          <w:tcPr>
            <w:tcW w:w="4812" w:type="dxa"/>
          </w:tcPr>
          <w:p w14:paraId="11BCBB2C" w14:textId="77777777" w:rsidR="00682708" w:rsidRPr="00D11AD1" w:rsidRDefault="00682708" w:rsidP="00682708">
            <w:pPr>
              <w:numPr>
                <w:ilvl w:val="0"/>
                <w:numId w:val="8"/>
              </w:numPr>
              <w:tabs>
                <w:tab w:val="left" w:pos="95"/>
              </w:tabs>
              <w:rPr>
                <w:sz w:val="24"/>
                <w:szCs w:val="24"/>
              </w:rPr>
            </w:pPr>
            <w:r w:rsidRPr="00D11AD1">
              <w:rPr>
                <w:sz w:val="24"/>
                <w:szCs w:val="24"/>
              </w:rPr>
              <w:t>Undersøg om cytopeni er relateret til leukæmi (marvaspirat eller biopsi).</w:t>
            </w:r>
          </w:p>
          <w:p w14:paraId="10652F4D" w14:textId="77777777" w:rsidR="00682708" w:rsidRPr="00D11AD1" w:rsidRDefault="00682708" w:rsidP="00682708">
            <w:pPr>
              <w:tabs>
                <w:tab w:val="left" w:pos="95"/>
              </w:tabs>
              <w:ind w:left="851"/>
              <w:rPr>
                <w:sz w:val="24"/>
                <w:szCs w:val="24"/>
              </w:rPr>
            </w:pPr>
          </w:p>
          <w:p w14:paraId="14D445D0" w14:textId="552AF9C4" w:rsidR="00682708" w:rsidRPr="00D11AD1" w:rsidRDefault="00682708" w:rsidP="00682708">
            <w:pPr>
              <w:numPr>
                <w:ilvl w:val="0"/>
                <w:numId w:val="8"/>
              </w:numPr>
              <w:tabs>
                <w:tab w:val="left" w:pos="95"/>
              </w:tabs>
              <w:rPr>
                <w:sz w:val="24"/>
                <w:szCs w:val="24"/>
              </w:rPr>
            </w:pPr>
            <w:r w:rsidRPr="00D11AD1">
              <w:rPr>
                <w:sz w:val="24"/>
                <w:szCs w:val="24"/>
              </w:rPr>
              <w:t xml:space="preserve">Hvis cytopeni ikke er relateret til leukæmi stoppes behandlingen, indtil ANC ≥ 1.0 </w:t>
            </w:r>
            <w:r w:rsidR="00D4321D" w:rsidRPr="00D11AD1">
              <w:rPr>
                <w:sz w:val="24"/>
                <w:szCs w:val="24"/>
              </w:rPr>
              <w:t>×</w:t>
            </w:r>
            <w:r w:rsidRPr="00D11AD1">
              <w:rPr>
                <w:sz w:val="24"/>
                <w:szCs w:val="24"/>
              </w:rPr>
              <w:t xml:space="preserve"> 10</w:t>
            </w:r>
            <w:r w:rsidRPr="00D11AD1">
              <w:rPr>
                <w:sz w:val="24"/>
                <w:szCs w:val="24"/>
                <w:vertAlign w:val="superscript"/>
              </w:rPr>
              <w:t>9</w:t>
            </w:r>
            <w:r w:rsidR="00250D6E" w:rsidRPr="00250D6E">
              <w:t>/</w:t>
            </w:r>
            <w:r w:rsidR="00250D6E">
              <w:rPr>
                <w:sz w:val="24"/>
                <w:szCs w:val="24"/>
              </w:rPr>
              <w:t>l</w:t>
            </w:r>
            <w:r w:rsidRPr="00D11AD1">
              <w:rPr>
                <w:sz w:val="24"/>
                <w:szCs w:val="24"/>
              </w:rPr>
              <w:t xml:space="preserve"> og trombocytter ≥ 20 </w:t>
            </w:r>
            <w:r w:rsidR="00D4321D" w:rsidRPr="00D11AD1">
              <w:rPr>
                <w:sz w:val="24"/>
                <w:szCs w:val="24"/>
              </w:rPr>
              <w:t>×</w:t>
            </w:r>
            <w:r w:rsidRPr="00D11AD1">
              <w:rPr>
                <w:sz w:val="24"/>
                <w:szCs w:val="24"/>
              </w:rPr>
              <w:t xml:space="preserve"> 10</w:t>
            </w:r>
            <w:r w:rsidRPr="00D11AD1">
              <w:rPr>
                <w:sz w:val="24"/>
                <w:szCs w:val="24"/>
                <w:vertAlign w:val="superscript"/>
              </w:rPr>
              <w:t>9</w:t>
            </w:r>
            <w:r w:rsidRPr="00D11AD1">
              <w:rPr>
                <w:sz w:val="24"/>
                <w:szCs w:val="24"/>
              </w:rPr>
              <w:t>/l og genoptages med den oprindelige startdosis</w:t>
            </w:r>
          </w:p>
          <w:p w14:paraId="2E86EFD1" w14:textId="77777777" w:rsidR="00682708" w:rsidRPr="00D11AD1" w:rsidRDefault="00682708" w:rsidP="00682708">
            <w:pPr>
              <w:tabs>
                <w:tab w:val="left" w:pos="95"/>
              </w:tabs>
              <w:ind w:left="851"/>
              <w:rPr>
                <w:sz w:val="24"/>
                <w:szCs w:val="24"/>
              </w:rPr>
            </w:pPr>
          </w:p>
          <w:p w14:paraId="09AAE1B2" w14:textId="77777777" w:rsidR="00682708" w:rsidRPr="00D11AD1" w:rsidRDefault="00682708" w:rsidP="00682708">
            <w:pPr>
              <w:numPr>
                <w:ilvl w:val="0"/>
                <w:numId w:val="8"/>
              </w:numPr>
              <w:tabs>
                <w:tab w:val="left" w:pos="95"/>
              </w:tabs>
              <w:rPr>
                <w:sz w:val="24"/>
                <w:szCs w:val="24"/>
              </w:rPr>
            </w:pPr>
            <w:r w:rsidRPr="00D11AD1">
              <w:rPr>
                <w:sz w:val="24"/>
                <w:szCs w:val="24"/>
              </w:rPr>
              <w:t xml:space="preserve">Hvis cytopeni recidiverer, gentages trin 1, og behandlingen genoptages med reduceret dosis på 100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(anden episode) eller 80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(tredje episode).</w:t>
            </w:r>
          </w:p>
          <w:p w14:paraId="7BA1290D" w14:textId="77777777" w:rsidR="00682708" w:rsidRPr="00D11AD1" w:rsidRDefault="00682708" w:rsidP="00682708">
            <w:pPr>
              <w:tabs>
                <w:tab w:val="left" w:pos="95"/>
              </w:tabs>
              <w:ind w:left="851"/>
              <w:rPr>
                <w:sz w:val="24"/>
                <w:szCs w:val="24"/>
              </w:rPr>
            </w:pPr>
          </w:p>
          <w:p w14:paraId="70B0CB2F" w14:textId="77777777" w:rsidR="00682708" w:rsidRPr="00D11AD1" w:rsidRDefault="00682708" w:rsidP="00682708">
            <w:pPr>
              <w:numPr>
                <w:ilvl w:val="0"/>
                <w:numId w:val="8"/>
              </w:numPr>
              <w:tabs>
                <w:tab w:val="left" w:pos="95"/>
              </w:tabs>
              <w:rPr>
                <w:sz w:val="24"/>
                <w:szCs w:val="24"/>
              </w:rPr>
            </w:pPr>
            <w:r w:rsidRPr="00D11AD1">
              <w:rPr>
                <w:sz w:val="24"/>
                <w:szCs w:val="24"/>
              </w:rPr>
              <w:t xml:space="preserve">Hvis cytopeni er relateret til leukæmi, skal dosisoptrapning til 180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overvejes.</w:t>
            </w:r>
          </w:p>
        </w:tc>
      </w:tr>
    </w:tbl>
    <w:p w14:paraId="602B9D7D" w14:textId="442B806A" w:rsidR="00682708" w:rsidRPr="00D11AD1" w:rsidRDefault="00682708" w:rsidP="005C2DCA">
      <w:pPr>
        <w:rPr>
          <w:sz w:val="24"/>
          <w:szCs w:val="24"/>
        </w:rPr>
      </w:pPr>
      <w:r w:rsidRPr="00D11AD1">
        <w:rPr>
          <w:sz w:val="24"/>
          <w:szCs w:val="24"/>
        </w:rPr>
        <w:t xml:space="preserve">ANC: </w:t>
      </w:r>
      <w:r w:rsidR="005C2DCA" w:rsidRPr="00D11AD1">
        <w:rPr>
          <w:sz w:val="24"/>
          <w:szCs w:val="24"/>
        </w:rPr>
        <w:t>A</w:t>
      </w:r>
      <w:r w:rsidRPr="00D11AD1">
        <w:rPr>
          <w:sz w:val="24"/>
          <w:szCs w:val="24"/>
        </w:rPr>
        <w:t>bsolut neutrofiltal</w:t>
      </w:r>
    </w:p>
    <w:p w14:paraId="0445A286" w14:textId="1AC712CC" w:rsidR="00481015" w:rsidRDefault="00481015">
      <w:pPr>
        <w:rPr>
          <w:sz w:val="24"/>
          <w:szCs w:val="24"/>
        </w:rPr>
      </w:pPr>
      <w:r>
        <w:rPr>
          <w:sz w:val="24"/>
          <w:szCs w:val="24"/>
        </w:rPr>
        <w:br w:type="page"/>
      </w:r>
    </w:p>
    <w:p w14:paraId="6228C9D0" w14:textId="77777777" w:rsidR="00480C18" w:rsidRPr="00D11AD1" w:rsidRDefault="00480C18" w:rsidP="00480C18">
      <w:pPr>
        <w:tabs>
          <w:tab w:val="left" w:pos="851"/>
        </w:tabs>
        <w:ind w:left="851"/>
        <w:rPr>
          <w:sz w:val="24"/>
          <w:szCs w:val="24"/>
        </w:rPr>
      </w:pPr>
    </w:p>
    <w:p w14:paraId="7E78A78C" w14:textId="77777777" w:rsidR="00222616" w:rsidRPr="00D11AD1" w:rsidRDefault="00222616" w:rsidP="00222616">
      <w:pPr>
        <w:tabs>
          <w:tab w:val="left" w:pos="851"/>
        </w:tabs>
        <w:ind w:left="851"/>
        <w:rPr>
          <w:b/>
          <w:bCs/>
          <w:sz w:val="24"/>
          <w:szCs w:val="24"/>
        </w:rPr>
      </w:pPr>
      <w:r w:rsidRPr="00D11AD1">
        <w:rPr>
          <w:b/>
          <w:sz w:val="24"/>
          <w:szCs w:val="24"/>
        </w:rPr>
        <w:t xml:space="preserve">Tabel 4: </w:t>
      </w:r>
      <w:r w:rsidRPr="00D11AD1">
        <w:rPr>
          <w:b/>
          <w:bCs/>
          <w:sz w:val="24"/>
          <w:szCs w:val="24"/>
        </w:rPr>
        <w:t>Dosisjustering for neutropæni og trombocytopæni i pædiatriske patienter med Ph+ CML-CP</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96"/>
        <w:gridCol w:w="1176"/>
        <w:gridCol w:w="1396"/>
        <w:gridCol w:w="1737"/>
        <w:gridCol w:w="2039"/>
      </w:tblGrid>
      <w:tr w:rsidR="00FA50DD" w:rsidRPr="00D11AD1" w14:paraId="5664B80B" w14:textId="77777777" w:rsidTr="000A733F">
        <w:trPr>
          <w:trHeight w:val="220"/>
        </w:trPr>
        <w:tc>
          <w:tcPr>
            <w:tcW w:w="1642" w:type="pct"/>
            <w:vMerge w:val="restart"/>
          </w:tcPr>
          <w:p w14:paraId="75C0A0E4" w14:textId="77777777" w:rsidR="00FA50DD" w:rsidRPr="000A733F" w:rsidRDefault="00FA50DD" w:rsidP="001C7413">
            <w:pPr>
              <w:ind w:left="31"/>
              <w:rPr>
                <w:sz w:val="24"/>
                <w:szCs w:val="24"/>
              </w:rPr>
            </w:pPr>
          </w:p>
          <w:p w14:paraId="79E92E8E" w14:textId="16A659D5" w:rsidR="00FA50DD" w:rsidRPr="00D11AD1" w:rsidRDefault="00FA50DD" w:rsidP="000A733F">
            <w:pPr>
              <w:numPr>
                <w:ilvl w:val="0"/>
                <w:numId w:val="10"/>
              </w:numPr>
              <w:ind w:left="322" w:hanging="284"/>
              <w:rPr>
                <w:sz w:val="24"/>
                <w:szCs w:val="24"/>
              </w:rPr>
            </w:pPr>
            <w:r w:rsidRPr="00D11AD1">
              <w:rPr>
                <w:sz w:val="24"/>
                <w:szCs w:val="24"/>
              </w:rPr>
              <w:t xml:space="preserve">Hvis cytopeni bliver ved i mere end 3 uger, check da om cytopeni er relateret til leukæmien (knoglemarvsaspirat eller </w:t>
            </w:r>
            <w:r w:rsidR="004A4517" w:rsidRPr="00D11AD1">
              <w:rPr>
                <w:sz w:val="24"/>
                <w:szCs w:val="24"/>
              </w:rPr>
              <w:t>-</w:t>
            </w:r>
            <w:r w:rsidRPr="00D11AD1">
              <w:rPr>
                <w:sz w:val="24"/>
                <w:szCs w:val="24"/>
              </w:rPr>
              <w:t>biopsi)</w:t>
            </w:r>
          </w:p>
          <w:p w14:paraId="01ABF4CD" w14:textId="77777777" w:rsidR="00FA50DD" w:rsidRPr="00D11AD1" w:rsidRDefault="00FA50DD" w:rsidP="000A733F">
            <w:pPr>
              <w:ind w:left="322" w:hanging="284"/>
              <w:rPr>
                <w:sz w:val="24"/>
                <w:szCs w:val="24"/>
              </w:rPr>
            </w:pPr>
          </w:p>
          <w:p w14:paraId="3CDB0FA6" w14:textId="2CFA5CAD" w:rsidR="00FA50DD" w:rsidRPr="00D11AD1" w:rsidRDefault="00FA50DD" w:rsidP="000A733F">
            <w:pPr>
              <w:numPr>
                <w:ilvl w:val="0"/>
                <w:numId w:val="10"/>
              </w:numPr>
              <w:ind w:left="322" w:hanging="284"/>
              <w:rPr>
                <w:sz w:val="24"/>
                <w:szCs w:val="24"/>
              </w:rPr>
            </w:pPr>
            <w:r w:rsidRPr="00D11AD1">
              <w:rPr>
                <w:sz w:val="24"/>
                <w:szCs w:val="24"/>
              </w:rPr>
              <w:t>Hvis cytopeni ikke er relateret til leukæmi stoppes behandlingen indtil ANC ≥ 1,0 × 10</w:t>
            </w:r>
            <w:r w:rsidRPr="00D11AD1">
              <w:rPr>
                <w:sz w:val="24"/>
                <w:szCs w:val="24"/>
                <w:vertAlign w:val="superscript"/>
              </w:rPr>
              <w:t>9</w:t>
            </w:r>
            <w:r w:rsidRPr="00D11AD1">
              <w:rPr>
                <w:sz w:val="24"/>
                <w:szCs w:val="24"/>
              </w:rPr>
              <w:t>/l og trombocytter ≥ 75 × 10</w:t>
            </w:r>
            <w:r w:rsidRPr="00D11AD1">
              <w:rPr>
                <w:sz w:val="24"/>
                <w:szCs w:val="24"/>
                <w:vertAlign w:val="superscript"/>
              </w:rPr>
              <w:t>9</w:t>
            </w:r>
            <w:r w:rsidRPr="00D11AD1">
              <w:rPr>
                <w:sz w:val="24"/>
                <w:szCs w:val="24"/>
              </w:rPr>
              <w:t>/l og genoptages derefter med den oprindelige startdosis eller</w:t>
            </w:r>
            <w:r w:rsidRPr="00D11AD1">
              <w:rPr>
                <w:b/>
                <w:sz w:val="24"/>
                <w:szCs w:val="24"/>
              </w:rPr>
              <w:t xml:space="preserve"> </w:t>
            </w:r>
            <w:r w:rsidRPr="00D11AD1">
              <w:rPr>
                <w:sz w:val="24"/>
                <w:szCs w:val="24"/>
              </w:rPr>
              <w:t>ved en nedsat dosis.</w:t>
            </w:r>
          </w:p>
          <w:p w14:paraId="3AF42F78" w14:textId="77777777" w:rsidR="00FA50DD" w:rsidRPr="00D11AD1" w:rsidRDefault="00FA50DD" w:rsidP="000A733F">
            <w:pPr>
              <w:ind w:left="322" w:hanging="284"/>
              <w:rPr>
                <w:sz w:val="24"/>
                <w:szCs w:val="24"/>
              </w:rPr>
            </w:pPr>
          </w:p>
          <w:p w14:paraId="44CDE91B" w14:textId="6C0BED38" w:rsidR="00FA50DD" w:rsidRPr="00D11AD1" w:rsidRDefault="00FA50DD" w:rsidP="000A733F">
            <w:pPr>
              <w:numPr>
                <w:ilvl w:val="0"/>
                <w:numId w:val="10"/>
              </w:numPr>
              <w:ind w:left="322" w:hanging="284"/>
              <w:rPr>
                <w:sz w:val="24"/>
                <w:szCs w:val="24"/>
              </w:rPr>
            </w:pPr>
            <w:r w:rsidRPr="00D11AD1">
              <w:rPr>
                <w:sz w:val="24"/>
                <w:szCs w:val="24"/>
              </w:rPr>
              <w:t>Hvis cytopeni kommer igen, gentag knoglemarvsaspirat/ biopsi og genoptag behandling ved en lavere dosis.</w:t>
            </w:r>
          </w:p>
        </w:tc>
        <w:tc>
          <w:tcPr>
            <w:tcW w:w="3358" w:type="pct"/>
            <w:gridSpan w:val="4"/>
          </w:tcPr>
          <w:p w14:paraId="2A749AD5" w14:textId="77777777" w:rsidR="00FA50DD" w:rsidRPr="00D11AD1" w:rsidRDefault="00FA50DD" w:rsidP="005C2DCA">
            <w:pPr>
              <w:jc w:val="center"/>
              <w:rPr>
                <w:b/>
                <w:sz w:val="24"/>
                <w:szCs w:val="24"/>
              </w:rPr>
            </w:pPr>
            <w:r w:rsidRPr="00D11AD1">
              <w:rPr>
                <w:b/>
                <w:bCs/>
                <w:sz w:val="24"/>
                <w:szCs w:val="24"/>
              </w:rPr>
              <w:t>Dosis (maksimal daglig dosis)</w:t>
            </w:r>
          </w:p>
        </w:tc>
      </w:tr>
      <w:tr w:rsidR="00FA50DD" w:rsidRPr="00D11AD1" w14:paraId="033082FE" w14:textId="77777777" w:rsidTr="000A733F">
        <w:trPr>
          <w:trHeight w:val="460"/>
        </w:trPr>
        <w:tc>
          <w:tcPr>
            <w:tcW w:w="1642" w:type="pct"/>
            <w:vMerge/>
            <w:tcBorders>
              <w:top w:val="nil"/>
            </w:tcBorders>
          </w:tcPr>
          <w:p w14:paraId="70F54F97" w14:textId="77777777" w:rsidR="00FA50DD" w:rsidRPr="00D11AD1" w:rsidRDefault="00FA50DD" w:rsidP="001C7413">
            <w:pPr>
              <w:ind w:left="31"/>
              <w:rPr>
                <w:sz w:val="24"/>
                <w:szCs w:val="24"/>
              </w:rPr>
            </w:pPr>
          </w:p>
        </w:tc>
        <w:tc>
          <w:tcPr>
            <w:tcW w:w="569" w:type="pct"/>
            <w:tcBorders>
              <w:right w:val="nil"/>
            </w:tcBorders>
          </w:tcPr>
          <w:p w14:paraId="0DFB4CA5" w14:textId="77777777" w:rsidR="00FA50DD" w:rsidRPr="00D11AD1" w:rsidRDefault="00FA50DD" w:rsidP="001C7413">
            <w:pPr>
              <w:rPr>
                <w:sz w:val="24"/>
                <w:szCs w:val="24"/>
              </w:rPr>
            </w:pPr>
          </w:p>
        </w:tc>
        <w:tc>
          <w:tcPr>
            <w:tcW w:w="786" w:type="pct"/>
            <w:tcBorders>
              <w:left w:val="nil"/>
              <w:right w:val="nil"/>
            </w:tcBorders>
          </w:tcPr>
          <w:p w14:paraId="7CB801EC" w14:textId="77777777" w:rsidR="00FA50DD" w:rsidRPr="00D11AD1" w:rsidRDefault="00FA50DD" w:rsidP="001C7413">
            <w:pPr>
              <w:rPr>
                <w:b/>
                <w:bCs/>
                <w:sz w:val="24"/>
                <w:szCs w:val="24"/>
              </w:rPr>
            </w:pPr>
            <w:r w:rsidRPr="00D11AD1">
              <w:rPr>
                <w:b/>
                <w:bCs/>
                <w:sz w:val="24"/>
                <w:szCs w:val="24"/>
              </w:rPr>
              <w:t>Oprindelig</w:t>
            </w:r>
          </w:p>
          <w:p w14:paraId="3A2EAC7A" w14:textId="77777777" w:rsidR="00FA50DD" w:rsidRPr="00D11AD1" w:rsidRDefault="00FA50DD" w:rsidP="001C7413">
            <w:pPr>
              <w:rPr>
                <w:b/>
                <w:sz w:val="24"/>
                <w:szCs w:val="24"/>
              </w:rPr>
            </w:pPr>
            <w:r w:rsidRPr="00D11AD1">
              <w:rPr>
                <w:b/>
                <w:bCs/>
                <w:sz w:val="24"/>
                <w:szCs w:val="24"/>
              </w:rPr>
              <w:t>startdosis</w:t>
            </w:r>
          </w:p>
        </w:tc>
        <w:tc>
          <w:tcPr>
            <w:tcW w:w="873" w:type="pct"/>
            <w:tcBorders>
              <w:left w:val="nil"/>
              <w:right w:val="nil"/>
            </w:tcBorders>
          </w:tcPr>
          <w:p w14:paraId="2B9B93F8" w14:textId="77777777" w:rsidR="00FA50DD" w:rsidRPr="00D11AD1" w:rsidRDefault="00FA50DD" w:rsidP="001C7413">
            <w:pPr>
              <w:rPr>
                <w:b/>
                <w:bCs/>
                <w:sz w:val="24"/>
                <w:szCs w:val="24"/>
              </w:rPr>
            </w:pPr>
            <w:r w:rsidRPr="00D11AD1">
              <w:rPr>
                <w:b/>
                <w:bCs/>
                <w:sz w:val="24"/>
                <w:szCs w:val="24"/>
              </w:rPr>
              <w:t>Ettrins</w:t>
            </w:r>
          </w:p>
          <w:p w14:paraId="0A886E29" w14:textId="77777777" w:rsidR="00FA50DD" w:rsidRPr="00D11AD1" w:rsidRDefault="00FA50DD" w:rsidP="001C7413">
            <w:pPr>
              <w:rPr>
                <w:b/>
                <w:bCs/>
                <w:sz w:val="24"/>
                <w:szCs w:val="24"/>
              </w:rPr>
            </w:pPr>
            <w:r w:rsidRPr="00D11AD1">
              <w:rPr>
                <w:b/>
                <w:bCs/>
                <w:sz w:val="24"/>
                <w:szCs w:val="24"/>
              </w:rPr>
              <w:t>dosisreduktion</w:t>
            </w:r>
          </w:p>
        </w:tc>
        <w:tc>
          <w:tcPr>
            <w:tcW w:w="1131" w:type="pct"/>
            <w:tcBorders>
              <w:left w:val="nil"/>
            </w:tcBorders>
          </w:tcPr>
          <w:p w14:paraId="2EF6BEF0" w14:textId="77777777" w:rsidR="00FA50DD" w:rsidRPr="00D11AD1" w:rsidRDefault="00FA50DD" w:rsidP="001C7413">
            <w:pPr>
              <w:rPr>
                <w:b/>
                <w:bCs/>
                <w:sz w:val="24"/>
                <w:szCs w:val="24"/>
              </w:rPr>
            </w:pPr>
            <w:r w:rsidRPr="00D11AD1">
              <w:rPr>
                <w:b/>
                <w:bCs/>
                <w:sz w:val="24"/>
                <w:szCs w:val="24"/>
              </w:rPr>
              <w:t>Totrins</w:t>
            </w:r>
          </w:p>
          <w:p w14:paraId="4B07BED3" w14:textId="77777777" w:rsidR="00FA50DD" w:rsidRPr="00D11AD1" w:rsidRDefault="00FA50DD" w:rsidP="001C7413">
            <w:pPr>
              <w:rPr>
                <w:b/>
                <w:sz w:val="24"/>
                <w:szCs w:val="24"/>
              </w:rPr>
            </w:pPr>
            <w:r w:rsidRPr="00D11AD1">
              <w:rPr>
                <w:b/>
                <w:bCs/>
                <w:sz w:val="24"/>
                <w:szCs w:val="24"/>
              </w:rPr>
              <w:t>dosisreduktion</w:t>
            </w:r>
          </w:p>
        </w:tc>
      </w:tr>
      <w:tr w:rsidR="00FA50DD" w:rsidRPr="00D11AD1" w14:paraId="3D50A433" w14:textId="77777777" w:rsidTr="000A733F">
        <w:trPr>
          <w:trHeight w:val="3540"/>
        </w:trPr>
        <w:tc>
          <w:tcPr>
            <w:tcW w:w="1642" w:type="pct"/>
            <w:vMerge/>
            <w:tcBorders>
              <w:top w:val="nil"/>
            </w:tcBorders>
          </w:tcPr>
          <w:p w14:paraId="771DF1AF" w14:textId="77777777" w:rsidR="00FA50DD" w:rsidRPr="00D11AD1" w:rsidRDefault="00FA50DD" w:rsidP="001C7413">
            <w:pPr>
              <w:ind w:left="31"/>
              <w:rPr>
                <w:sz w:val="24"/>
                <w:szCs w:val="24"/>
              </w:rPr>
            </w:pPr>
          </w:p>
        </w:tc>
        <w:tc>
          <w:tcPr>
            <w:tcW w:w="569" w:type="pct"/>
            <w:tcBorders>
              <w:right w:val="nil"/>
            </w:tcBorders>
          </w:tcPr>
          <w:p w14:paraId="52CDB53F" w14:textId="77777777" w:rsidR="00FA50DD" w:rsidRPr="00D11AD1" w:rsidRDefault="00FA50DD" w:rsidP="001C7413">
            <w:pPr>
              <w:rPr>
                <w:b/>
                <w:sz w:val="24"/>
                <w:szCs w:val="24"/>
              </w:rPr>
            </w:pPr>
            <w:r w:rsidRPr="00D11AD1">
              <w:rPr>
                <w:b/>
                <w:sz w:val="24"/>
                <w:szCs w:val="24"/>
              </w:rPr>
              <w:t>Tabletter</w:t>
            </w:r>
          </w:p>
        </w:tc>
        <w:tc>
          <w:tcPr>
            <w:tcW w:w="786" w:type="pct"/>
            <w:tcBorders>
              <w:left w:val="nil"/>
              <w:right w:val="nil"/>
            </w:tcBorders>
          </w:tcPr>
          <w:p w14:paraId="38AF073B" w14:textId="77777777" w:rsidR="00FA50DD" w:rsidRPr="00D11AD1" w:rsidRDefault="00FA50DD" w:rsidP="001C7413">
            <w:pPr>
              <w:rPr>
                <w:sz w:val="24"/>
                <w:szCs w:val="24"/>
              </w:rPr>
            </w:pPr>
            <w:r w:rsidRPr="00D11AD1">
              <w:rPr>
                <w:sz w:val="24"/>
                <w:szCs w:val="24"/>
              </w:rPr>
              <w:t>40 mg</w:t>
            </w:r>
          </w:p>
          <w:p w14:paraId="2DB53801" w14:textId="77777777" w:rsidR="00FA50DD" w:rsidRPr="00D11AD1" w:rsidRDefault="00FA50DD" w:rsidP="001C7413">
            <w:pPr>
              <w:rPr>
                <w:sz w:val="24"/>
                <w:szCs w:val="24"/>
              </w:rPr>
            </w:pPr>
            <w:r w:rsidRPr="00D11AD1">
              <w:rPr>
                <w:sz w:val="24"/>
                <w:szCs w:val="24"/>
              </w:rPr>
              <w:t>60 mg</w:t>
            </w:r>
          </w:p>
          <w:p w14:paraId="1C32427A" w14:textId="77777777" w:rsidR="00FA50DD" w:rsidRPr="00D11AD1" w:rsidRDefault="00FA50DD" w:rsidP="001C7413">
            <w:pPr>
              <w:rPr>
                <w:sz w:val="24"/>
                <w:szCs w:val="24"/>
              </w:rPr>
            </w:pPr>
            <w:r w:rsidRPr="00D11AD1">
              <w:rPr>
                <w:sz w:val="24"/>
                <w:szCs w:val="24"/>
              </w:rPr>
              <w:t>70 mg</w:t>
            </w:r>
          </w:p>
          <w:p w14:paraId="4F2CFA11" w14:textId="77777777" w:rsidR="00FA50DD" w:rsidRPr="00D11AD1" w:rsidRDefault="00FA50DD" w:rsidP="001C7413">
            <w:pPr>
              <w:rPr>
                <w:sz w:val="24"/>
                <w:szCs w:val="24"/>
              </w:rPr>
            </w:pPr>
            <w:r w:rsidRPr="00D11AD1">
              <w:rPr>
                <w:sz w:val="24"/>
                <w:szCs w:val="24"/>
              </w:rPr>
              <w:t>100 mg</w:t>
            </w:r>
          </w:p>
        </w:tc>
        <w:tc>
          <w:tcPr>
            <w:tcW w:w="873" w:type="pct"/>
            <w:tcBorders>
              <w:left w:val="nil"/>
              <w:right w:val="nil"/>
            </w:tcBorders>
          </w:tcPr>
          <w:p w14:paraId="0B823D6A" w14:textId="77777777" w:rsidR="00FA50DD" w:rsidRPr="00D11AD1" w:rsidRDefault="00FA50DD" w:rsidP="001C7413">
            <w:pPr>
              <w:rPr>
                <w:sz w:val="24"/>
                <w:szCs w:val="24"/>
              </w:rPr>
            </w:pPr>
            <w:r w:rsidRPr="00D11AD1">
              <w:rPr>
                <w:sz w:val="24"/>
                <w:szCs w:val="24"/>
              </w:rPr>
              <w:t>20 mg</w:t>
            </w:r>
          </w:p>
          <w:p w14:paraId="1E7AB9D1" w14:textId="77777777" w:rsidR="00FA50DD" w:rsidRPr="00D11AD1" w:rsidRDefault="00FA50DD" w:rsidP="001C7413">
            <w:pPr>
              <w:rPr>
                <w:sz w:val="24"/>
                <w:szCs w:val="24"/>
              </w:rPr>
            </w:pPr>
            <w:r w:rsidRPr="00D11AD1">
              <w:rPr>
                <w:sz w:val="24"/>
                <w:szCs w:val="24"/>
              </w:rPr>
              <w:t>40 mg</w:t>
            </w:r>
          </w:p>
          <w:p w14:paraId="65374424" w14:textId="77777777" w:rsidR="00FA50DD" w:rsidRPr="00D11AD1" w:rsidRDefault="00FA50DD" w:rsidP="001C7413">
            <w:pPr>
              <w:rPr>
                <w:sz w:val="24"/>
                <w:szCs w:val="24"/>
              </w:rPr>
            </w:pPr>
            <w:r w:rsidRPr="00D11AD1">
              <w:rPr>
                <w:sz w:val="24"/>
                <w:szCs w:val="24"/>
              </w:rPr>
              <w:t>60 mg</w:t>
            </w:r>
          </w:p>
          <w:p w14:paraId="143E0248" w14:textId="77777777" w:rsidR="00FA50DD" w:rsidRPr="00D11AD1" w:rsidRDefault="00FA50DD" w:rsidP="001C7413">
            <w:pPr>
              <w:rPr>
                <w:sz w:val="24"/>
                <w:szCs w:val="24"/>
              </w:rPr>
            </w:pPr>
            <w:r w:rsidRPr="00D11AD1">
              <w:rPr>
                <w:sz w:val="24"/>
                <w:szCs w:val="24"/>
              </w:rPr>
              <w:t>80 mg</w:t>
            </w:r>
          </w:p>
        </w:tc>
        <w:tc>
          <w:tcPr>
            <w:tcW w:w="1131" w:type="pct"/>
            <w:tcBorders>
              <w:left w:val="nil"/>
            </w:tcBorders>
          </w:tcPr>
          <w:p w14:paraId="29EA3888" w14:textId="77777777" w:rsidR="00FA50DD" w:rsidRPr="00D11AD1" w:rsidRDefault="00FA50DD" w:rsidP="001C7413">
            <w:pPr>
              <w:rPr>
                <w:sz w:val="24"/>
                <w:szCs w:val="24"/>
              </w:rPr>
            </w:pPr>
            <w:r w:rsidRPr="00D11AD1">
              <w:rPr>
                <w:sz w:val="24"/>
                <w:szCs w:val="24"/>
              </w:rPr>
              <w:t>* 20 mg</w:t>
            </w:r>
          </w:p>
          <w:p w14:paraId="198791F9" w14:textId="77777777" w:rsidR="00FA50DD" w:rsidRPr="00D11AD1" w:rsidRDefault="00FA50DD" w:rsidP="001C7413">
            <w:pPr>
              <w:rPr>
                <w:sz w:val="24"/>
                <w:szCs w:val="24"/>
              </w:rPr>
            </w:pPr>
            <w:r w:rsidRPr="00D11AD1">
              <w:rPr>
                <w:sz w:val="24"/>
                <w:szCs w:val="24"/>
              </w:rPr>
              <w:t>50 mg</w:t>
            </w:r>
          </w:p>
          <w:p w14:paraId="00F7CBC3" w14:textId="77777777" w:rsidR="00FA50DD" w:rsidRPr="00D11AD1" w:rsidRDefault="00FA50DD" w:rsidP="001C7413">
            <w:pPr>
              <w:rPr>
                <w:sz w:val="24"/>
                <w:szCs w:val="24"/>
              </w:rPr>
            </w:pPr>
            <w:r w:rsidRPr="00D11AD1">
              <w:rPr>
                <w:sz w:val="24"/>
                <w:szCs w:val="24"/>
              </w:rPr>
              <w:t>70 mg</w:t>
            </w:r>
          </w:p>
        </w:tc>
      </w:tr>
    </w:tbl>
    <w:p w14:paraId="59B80062" w14:textId="77777777" w:rsidR="00A6734C" w:rsidRPr="00D11AD1" w:rsidRDefault="00A6734C" w:rsidP="00481015">
      <w:pPr>
        <w:rPr>
          <w:sz w:val="24"/>
          <w:szCs w:val="24"/>
        </w:rPr>
      </w:pPr>
      <w:r w:rsidRPr="00D11AD1">
        <w:rPr>
          <w:sz w:val="24"/>
          <w:szCs w:val="24"/>
        </w:rPr>
        <w:t>ANC: absolut neutrofiltal</w:t>
      </w:r>
    </w:p>
    <w:p w14:paraId="02F39C54" w14:textId="77777777" w:rsidR="00A6734C" w:rsidRPr="00D11AD1" w:rsidRDefault="00A6734C" w:rsidP="00481015">
      <w:pPr>
        <w:rPr>
          <w:sz w:val="24"/>
          <w:szCs w:val="24"/>
        </w:rPr>
      </w:pPr>
      <w:r w:rsidRPr="00D11AD1">
        <w:rPr>
          <w:sz w:val="24"/>
          <w:szCs w:val="24"/>
        </w:rPr>
        <w:t>*lavere tabletdosis ikke tilgængelig</w:t>
      </w:r>
    </w:p>
    <w:p w14:paraId="56C0E522" w14:textId="77777777" w:rsidR="00222616" w:rsidRPr="00D11AD1" w:rsidRDefault="00222616" w:rsidP="00480C18">
      <w:pPr>
        <w:tabs>
          <w:tab w:val="left" w:pos="851"/>
        </w:tabs>
        <w:ind w:left="851"/>
        <w:rPr>
          <w:sz w:val="24"/>
          <w:szCs w:val="24"/>
        </w:rPr>
      </w:pPr>
    </w:p>
    <w:p w14:paraId="4123200C" w14:textId="412F1CD9" w:rsidR="00A6734C" w:rsidRPr="00D11AD1" w:rsidRDefault="00A6734C" w:rsidP="00A6734C">
      <w:pPr>
        <w:tabs>
          <w:tab w:val="left" w:pos="851"/>
        </w:tabs>
        <w:ind w:left="851"/>
        <w:rPr>
          <w:sz w:val="24"/>
          <w:szCs w:val="24"/>
        </w:rPr>
      </w:pPr>
      <w:bookmarkStart w:id="3" w:name="_Hlk35954533"/>
      <w:r w:rsidRPr="00D11AD1">
        <w:rPr>
          <w:sz w:val="24"/>
          <w:szCs w:val="24"/>
        </w:rPr>
        <w:t xml:space="preserve">Hvis grad ≥3 neutropeni eller trombocytopeni recidiverer under komplet hæmatologisk respons (CHR) hos pædiatriske patienter med Ph+ CML-CP, bør </w:t>
      </w:r>
      <w:r w:rsidR="00D4321D" w:rsidRPr="00D11AD1">
        <w:rPr>
          <w:sz w:val="24"/>
          <w:szCs w:val="24"/>
        </w:rPr>
        <w:t xml:space="preserve">Dasatinib </w:t>
      </w:r>
      <w:r w:rsidR="003A0506">
        <w:rPr>
          <w:sz w:val="24"/>
          <w:szCs w:val="24"/>
        </w:rPr>
        <w:t>"Vivanta"</w:t>
      </w:r>
      <w:r w:rsidRPr="00D11AD1">
        <w:rPr>
          <w:sz w:val="24"/>
          <w:szCs w:val="24"/>
        </w:rPr>
        <w:t xml:space="preserve"> pauseres og kan senere genoptages ved en lavere dosis. Midlertidige dosisreduktioner for intermediære grader af cytopeni og sygdomsrespons kan implementeres efter behov.</w:t>
      </w:r>
    </w:p>
    <w:p w14:paraId="7B913CE7" w14:textId="77777777" w:rsidR="00A6734C" w:rsidRPr="00D11AD1" w:rsidRDefault="00A6734C" w:rsidP="00A6734C">
      <w:pPr>
        <w:tabs>
          <w:tab w:val="left" w:pos="851"/>
        </w:tabs>
        <w:ind w:left="851"/>
        <w:rPr>
          <w:sz w:val="24"/>
          <w:szCs w:val="24"/>
        </w:rPr>
      </w:pPr>
    </w:p>
    <w:p w14:paraId="0DDA743D" w14:textId="5B09B6FE" w:rsidR="00A6734C" w:rsidRPr="00D11AD1" w:rsidRDefault="00A6734C" w:rsidP="00A6734C">
      <w:pPr>
        <w:tabs>
          <w:tab w:val="left" w:pos="851"/>
        </w:tabs>
        <w:ind w:left="851"/>
        <w:rPr>
          <w:sz w:val="24"/>
          <w:szCs w:val="24"/>
        </w:rPr>
      </w:pPr>
      <w:r w:rsidRPr="00D11AD1">
        <w:rPr>
          <w:sz w:val="24"/>
          <w:szCs w:val="24"/>
        </w:rPr>
        <w:t xml:space="preserve">For pædiatriske patienter med Ph+ ALL frarådes dosisændringer i tilfælde af grad 1 til 4 hæmatologiske toksiciteter. Hvis neutropeni og/eller trombocytopeni medfører en udsættelse af den næste behandlingsserie på mere end 14 dage, skal behandlingen med </w:t>
      </w:r>
      <w:r w:rsidR="00D4321D" w:rsidRPr="00D11AD1">
        <w:rPr>
          <w:sz w:val="24"/>
          <w:szCs w:val="24"/>
        </w:rPr>
        <w:t xml:space="preserve">Dasatinib </w:t>
      </w:r>
      <w:r w:rsidR="003A0506">
        <w:rPr>
          <w:sz w:val="24"/>
          <w:szCs w:val="24"/>
        </w:rPr>
        <w:t>"Vivanta"</w:t>
      </w:r>
      <w:r w:rsidRPr="00D11AD1">
        <w:rPr>
          <w:sz w:val="24"/>
          <w:szCs w:val="24"/>
        </w:rPr>
        <w:t xml:space="preserve"> afbrydes og genoptages på samme dosisniveau, når næste behandlingsserie påbegyndes. Hvis neutropeni og/eller trombocytopeni fortsætter, og den næste behandlingsserie udsættes yderligere 7 dage, skal der udføres en knoglemarvsundersøgelse for at vurdere cellularitet og procentdel af blaster. Hvis marvcellulariteten er &lt;10</w:t>
      </w:r>
      <w:r w:rsidR="00FA34A4" w:rsidRPr="00D11AD1">
        <w:rPr>
          <w:sz w:val="24"/>
          <w:szCs w:val="24"/>
        </w:rPr>
        <w:t xml:space="preserve"> %</w:t>
      </w:r>
      <w:r w:rsidRPr="00D11AD1">
        <w:rPr>
          <w:sz w:val="24"/>
          <w:szCs w:val="24"/>
        </w:rPr>
        <w:t xml:space="preserve">, skal behandlingen med </w:t>
      </w:r>
      <w:r w:rsidR="00D4321D" w:rsidRPr="00D11AD1">
        <w:rPr>
          <w:sz w:val="24"/>
          <w:szCs w:val="24"/>
        </w:rPr>
        <w:t xml:space="preserve">Dasatinib </w:t>
      </w:r>
      <w:r w:rsidR="003A0506">
        <w:rPr>
          <w:sz w:val="24"/>
          <w:szCs w:val="24"/>
        </w:rPr>
        <w:t>"Vivanta"</w:t>
      </w:r>
      <w:r w:rsidRPr="00D11AD1">
        <w:rPr>
          <w:sz w:val="24"/>
          <w:szCs w:val="24"/>
        </w:rPr>
        <w:t xml:space="preserve"> afbrydes, indtil ANC &gt; 500/μl (0,5 × 10</w:t>
      </w:r>
      <w:r w:rsidRPr="00D11AD1">
        <w:rPr>
          <w:sz w:val="24"/>
          <w:szCs w:val="24"/>
          <w:vertAlign w:val="superscript"/>
        </w:rPr>
        <w:t>9</w:t>
      </w:r>
      <w:r w:rsidRPr="00D11AD1">
        <w:rPr>
          <w:sz w:val="24"/>
          <w:szCs w:val="24"/>
        </w:rPr>
        <w:t>/l), hvor behandlingen kan genoptages på fuld dosis. Hvis marvcellulariteten er &gt;10</w:t>
      </w:r>
      <w:r w:rsidR="00FA34A4" w:rsidRPr="00D11AD1">
        <w:rPr>
          <w:sz w:val="24"/>
          <w:szCs w:val="24"/>
        </w:rPr>
        <w:t xml:space="preserve"> %</w:t>
      </w:r>
      <w:r w:rsidRPr="00D11AD1">
        <w:rPr>
          <w:sz w:val="24"/>
          <w:szCs w:val="24"/>
        </w:rPr>
        <w:t xml:space="preserve">, kan en genoptagelse af behandlingen med </w:t>
      </w:r>
      <w:r w:rsidR="00D4321D" w:rsidRPr="00D11AD1">
        <w:rPr>
          <w:sz w:val="24"/>
          <w:szCs w:val="24"/>
        </w:rPr>
        <w:t xml:space="preserve">Dasatinib </w:t>
      </w:r>
      <w:r w:rsidR="003A0506">
        <w:rPr>
          <w:sz w:val="24"/>
          <w:szCs w:val="24"/>
        </w:rPr>
        <w:t>"Vivanta"</w:t>
      </w:r>
      <w:r w:rsidRPr="00D11AD1">
        <w:rPr>
          <w:sz w:val="24"/>
          <w:szCs w:val="24"/>
        </w:rPr>
        <w:t xml:space="preserve"> overvejes.</w:t>
      </w:r>
    </w:p>
    <w:p w14:paraId="10AA07A1" w14:textId="77777777" w:rsidR="00A6734C" w:rsidRPr="00D11AD1" w:rsidRDefault="00A6734C" w:rsidP="00A6734C">
      <w:pPr>
        <w:tabs>
          <w:tab w:val="left" w:pos="851"/>
        </w:tabs>
        <w:ind w:left="851"/>
        <w:rPr>
          <w:sz w:val="24"/>
          <w:szCs w:val="24"/>
        </w:rPr>
      </w:pPr>
    </w:p>
    <w:p w14:paraId="65F35931" w14:textId="77777777" w:rsidR="00A6734C" w:rsidRPr="00D11AD1" w:rsidRDefault="00A6734C" w:rsidP="00A6734C">
      <w:pPr>
        <w:tabs>
          <w:tab w:val="left" w:pos="851"/>
        </w:tabs>
        <w:ind w:left="851"/>
        <w:rPr>
          <w:i/>
          <w:iCs/>
          <w:sz w:val="24"/>
          <w:szCs w:val="24"/>
        </w:rPr>
      </w:pPr>
      <w:r w:rsidRPr="00D11AD1">
        <w:rPr>
          <w:i/>
          <w:iCs/>
          <w:sz w:val="24"/>
          <w:szCs w:val="24"/>
        </w:rPr>
        <w:t>Ikke-hæmatologiske bivirkninger</w:t>
      </w:r>
    </w:p>
    <w:p w14:paraId="43B1A55C" w14:textId="0A526B17" w:rsidR="00A6734C" w:rsidRPr="00D11AD1" w:rsidRDefault="00A6734C" w:rsidP="00A6734C">
      <w:pPr>
        <w:tabs>
          <w:tab w:val="left" w:pos="851"/>
        </w:tabs>
        <w:ind w:left="851"/>
        <w:rPr>
          <w:sz w:val="24"/>
          <w:szCs w:val="24"/>
        </w:rPr>
      </w:pPr>
      <w:r w:rsidRPr="00D11AD1">
        <w:rPr>
          <w:sz w:val="24"/>
          <w:szCs w:val="24"/>
        </w:rPr>
        <w:t xml:space="preserve">Hvis der opstår en moderat, grad 2, ikke-hæmatologisk bivirkning med dasatinib, skal behandlingen afbrydes, indtil bivirkningen er forsvundet eller vendt tilbage til </w:t>
      </w:r>
      <w:r w:rsidRPr="00D11AD1">
        <w:rPr>
          <w:i/>
          <w:iCs/>
          <w:sz w:val="24"/>
          <w:szCs w:val="24"/>
        </w:rPr>
        <w:t>baseline</w:t>
      </w:r>
      <w:r w:rsidRPr="00D11AD1">
        <w:rPr>
          <w:sz w:val="24"/>
          <w:szCs w:val="24"/>
        </w:rPr>
        <w:t xml:space="preserve">. Behandlingen genoptages med samme dosis, hvis det er første tilfælde og med reduceret </w:t>
      </w:r>
      <w:r w:rsidRPr="00D11AD1">
        <w:rPr>
          <w:sz w:val="24"/>
          <w:szCs w:val="24"/>
        </w:rPr>
        <w:lastRenderedPageBreak/>
        <w:t xml:space="preserve">dosis, hvis bivirkningen er tilbagevendende. Hvis der udvikles alvorlige, grad 3 eller 4, ikke-hæmatologiske bivirkninger med dasatinib, afbrydes behandlingen, indtil bivirkningen er forsvundet. Herefter genoptages behandlingen, eventuelt med reduceret dosis, afhængigt af bivirkningens initiale sværhedsgrad. For patienter med CML i kronisk fase, som fik 100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anbefales dosisreduktion til 80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med yderligere reduktion fra 80 mg til 50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hvis det findes nødvendigt. For patienter med CML i fremskreden fase eller Ph+ ALL, som fik 140 mg </w:t>
      </w:r>
      <w:r w:rsidR="00A858A6" w:rsidRPr="00D11AD1">
        <w:rPr>
          <w:sz w:val="24"/>
          <w:szCs w:val="24"/>
        </w:rPr>
        <w:t>daglig</w:t>
      </w:r>
      <w:r w:rsidRPr="00D11AD1">
        <w:rPr>
          <w:sz w:val="24"/>
          <w:szCs w:val="24"/>
        </w:rPr>
        <w:t xml:space="preserve">, anbefales dosisreduktion til 100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med yderligere reduktion fra 100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xml:space="preserve"> til 50 mg </w:t>
      </w:r>
      <w:r w:rsidR="00A858A6" w:rsidRPr="00D11AD1">
        <w:rPr>
          <w:sz w:val="24"/>
          <w:szCs w:val="24"/>
        </w:rPr>
        <w:t>en</w:t>
      </w:r>
      <w:r w:rsidRPr="00D11AD1">
        <w:rPr>
          <w:sz w:val="24"/>
          <w:szCs w:val="24"/>
        </w:rPr>
        <w:t xml:space="preserve"> gang </w:t>
      </w:r>
      <w:r w:rsidR="00A858A6" w:rsidRPr="00D11AD1">
        <w:rPr>
          <w:sz w:val="24"/>
          <w:szCs w:val="24"/>
        </w:rPr>
        <w:t>daglig</w:t>
      </w:r>
      <w:r w:rsidRPr="00D11AD1">
        <w:rPr>
          <w:sz w:val="24"/>
          <w:szCs w:val="24"/>
        </w:rPr>
        <w:t>, hvis det findes nødvendigt. Hos pædiatriske patienter med CML-CP med ikke-hæmatologiske bivirkninger bør anbefalingerne for dosisreduktion for hæmatologiske bivirkninger beskrevet ovenfor følges. Hos pædiatriske patienter med Ph+ ALL med ikke-hæmatologiske bivirkninger bør dosis reduceres ét niveau efter behov i henhold til anbefalingerne for dosisreduktion for hæmatologiske bivirkninger beskrevet ovenfor.</w:t>
      </w:r>
    </w:p>
    <w:p w14:paraId="11219E3B" w14:textId="77777777" w:rsidR="00A6734C" w:rsidRPr="00D11AD1" w:rsidRDefault="00A6734C" w:rsidP="00A6734C">
      <w:pPr>
        <w:tabs>
          <w:tab w:val="left" w:pos="851"/>
        </w:tabs>
        <w:ind w:left="851"/>
        <w:rPr>
          <w:sz w:val="24"/>
          <w:szCs w:val="24"/>
        </w:rPr>
      </w:pPr>
    </w:p>
    <w:p w14:paraId="51BFEED0" w14:textId="77777777" w:rsidR="00A6734C" w:rsidRPr="00D11AD1" w:rsidRDefault="00A6734C" w:rsidP="00A6734C">
      <w:pPr>
        <w:tabs>
          <w:tab w:val="left" w:pos="851"/>
        </w:tabs>
        <w:ind w:left="851"/>
        <w:rPr>
          <w:i/>
          <w:iCs/>
          <w:sz w:val="24"/>
          <w:szCs w:val="24"/>
        </w:rPr>
      </w:pPr>
      <w:r w:rsidRPr="00D11AD1">
        <w:rPr>
          <w:i/>
          <w:iCs/>
          <w:sz w:val="24"/>
          <w:szCs w:val="24"/>
        </w:rPr>
        <w:t>Pleuraeffusion</w:t>
      </w:r>
    </w:p>
    <w:p w14:paraId="4B396FF0" w14:textId="77777777" w:rsidR="00A6734C" w:rsidRPr="00D11AD1" w:rsidRDefault="00A6734C" w:rsidP="00A6734C">
      <w:pPr>
        <w:tabs>
          <w:tab w:val="left" w:pos="851"/>
        </w:tabs>
        <w:ind w:left="851"/>
        <w:rPr>
          <w:sz w:val="24"/>
          <w:szCs w:val="24"/>
        </w:rPr>
      </w:pPr>
      <w:r w:rsidRPr="00D11AD1">
        <w:rPr>
          <w:sz w:val="24"/>
          <w:szCs w:val="24"/>
        </w:rPr>
        <w:t xml:space="preserve">Hvis pleuraeffusion diagnosticeres, skal dasatinib afbrydes, indtil patienten er undersøgt, asymptomatisk eller er vendt tilbage til </w:t>
      </w:r>
      <w:r w:rsidRPr="00D11AD1">
        <w:rPr>
          <w:i/>
          <w:iCs/>
          <w:sz w:val="24"/>
          <w:szCs w:val="24"/>
        </w:rPr>
        <w:t>baseline</w:t>
      </w:r>
      <w:r w:rsidRPr="00D11AD1">
        <w:rPr>
          <w:sz w:val="24"/>
          <w:szCs w:val="24"/>
        </w:rPr>
        <w:t>. Hvis episoden ikke bedres inden for ca. en uge, bør behandling med diuretika eller kortikosteroider eller begge dele overvejes (se pkt. 4.4 og 4.8). Efter opklaring af den første episode bør genintroduktion af dasatinib ved det samme dosisniveau overvejes.</w:t>
      </w:r>
    </w:p>
    <w:p w14:paraId="758823E0" w14:textId="77777777" w:rsidR="00A6734C" w:rsidRPr="00D11AD1" w:rsidRDefault="00A6734C" w:rsidP="00A6734C">
      <w:pPr>
        <w:tabs>
          <w:tab w:val="left" w:pos="851"/>
        </w:tabs>
        <w:ind w:left="851"/>
        <w:rPr>
          <w:sz w:val="24"/>
          <w:szCs w:val="24"/>
        </w:rPr>
      </w:pPr>
      <w:r w:rsidRPr="00D11AD1">
        <w:rPr>
          <w:sz w:val="24"/>
          <w:szCs w:val="24"/>
        </w:rPr>
        <w:t>Efter opklaring af en efterfølgende episode bør genintroduktion af dasatinib ved ét dosisniveau lavere overvejes. Efter opklaring af en alvorlig (grad 3 eller 4) episode kan behandlingen genoptages efter behov ved en reduceret dosis afhængig af bivirkningens initiale sværhedsgrad.</w:t>
      </w:r>
    </w:p>
    <w:p w14:paraId="02D5327A" w14:textId="77777777" w:rsidR="00A6734C" w:rsidRPr="00D11AD1" w:rsidRDefault="00A6734C" w:rsidP="00A6734C">
      <w:pPr>
        <w:tabs>
          <w:tab w:val="left" w:pos="851"/>
        </w:tabs>
        <w:ind w:left="851"/>
        <w:rPr>
          <w:sz w:val="24"/>
          <w:szCs w:val="24"/>
        </w:rPr>
      </w:pPr>
    </w:p>
    <w:p w14:paraId="47FE2D97" w14:textId="77777777" w:rsidR="00A6734C" w:rsidRPr="00D11AD1" w:rsidRDefault="00A6734C" w:rsidP="00A6734C">
      <w:pPr>
        <w:tabs>
          <w:tab w:val="left" w:pos="851"/>
        </w:tabs>
        <w:ind w:left="851"/>
        <w:rPr>
          <w:i/>
          <w:iCs/>
          <w:sz w:val="24"/>
          <w:szCs w:val="24"/>
        </w:rPr>
      </w:pPr>
      <w:r w:rsidRPr="00D11AD1">
        <w:rPr>
          <w:i/>
          <w:iCs/>
          <w:sz w:val="24"/>
          <w:szCs w:val="24"/>
        </w:rPr>
        <w:t>Dosisreduktion for samtidig brug af potente CYP3A4-hæmmere</w:t>
      </w:r>
    </w:p>
    <w:p w14:paraId="7D27C755" w14:textId="77777777" w:rsidR="00A6734C" w:rsidRPr="00D11AD1" w:rsidRDefault="00A6734C" w:rsidP="00A6734C">
      <w:pPr>
        <w:tabs>
          <w:tab w:val="left" w:pos="851"/>
        </w:tabs>
        <w:ind w:left="851"/>
        <w:rPr>
          <w:sz w:val="24"/>
          <w:szCs w:val="24"/>
        </w:rPr>
      </w:pPr>
      <w:r w:rsidRPr="00D11AD1">
        <w:rPr>
          <w:sz w:val="24"/>
          <w:szCs w:val="24"/>
        </w:rPr>
        <w:t>Samtidig brug af potente CYP3A4-hæmmere og grapefrugtjuice sammen med dasatinib skal undgås (se pkt. 4.5). Om muligt skal der vælges et andet samtidigt lægemiddel uden eller med minimalt potentiale for enzymhæmning. Hvis dasatinib skal administreres med en potent CYP3A4-hæmmer, skal der overvejes en dosisreduktion til:</w:t>
      </w:r>
    </w:p>
    <w:p w14:paraId="71CB1981" w14:textId="77777777" w:rsidR="00D4321D" w:rsidRPr="00D11AD1" w:rsidRDefault="00D4321D" w:rsidP="00C44D32">
      <w:pPr>
        <w:numPr>
          <w:ilvl w:val="0"/>
          <w:numId w:val="14"/>
        </w:numPr>
        <w:tabs>
          <w:tab w:val="left" w:pos="851"/>
        </w:tabs>
        <w:rPr>
          <w:sz w:val="24"/>
          <w:szCs w:val="24"/>
        </w:rPr>
      </w:pPr>
      <w:r w:rsidRPr="00D11AD1">
        <w:rPr>
          <w:sz w:val="24"/>
          <w:szCs w:val="24"/>
        </w:rPr>
        <w:t>40 mg daglig for patienter, der tager dasatinib 140 mg daglig.</w:t>
      </w:r>
    </w:p>
    <w:p w14:paraId="179E4E0C" w14:textId="77777777" w:rsidR="00D4321D" w:rsidRPr="00D11AD1" w:rsidRDefault="00D4321D" w:rsidP="00C44D32">
      <w:pPr>
        <w:numPr>
          <w:ilvl w:val="0"/>
          <w:numId w:val="14"/>
        </w:numPr>
        <w:tabs>
          <w:tab w:val="left" w:pos="851"/>
        </w:tabs>
        <w:rPr>
          <w:sz w:val="24"/>
          <w:szCs w:val="24"/>
        </w:rPr>
      </w:pPr>
      <w:r w:rsidRPr="00D11AD1">
        <w:rPr>
          <w:sz w:val="24"/>
          <w:szCs w:val="24"/>
        </w:rPr>
        <w:t>20 mg daglig for patienter, der tager dasatinib 100 mg daglig.</w:t>
      </w:r>
    </w:p>
    <w:p w14:paraId="2F24D04B" w14:textId="77777777" w:rsidR="00D4321D" w:rsidRPr="00D11AD1" w:rsidRDefault="00D4321D" w:rsidP="00C44D32">
      <w:pPr>
        <w:numPr>
          <w:ilvl w:val="0"/>
          <w:numId w:val="14"/>
        </w:numPr>
        <w:tabs>
          <w:tab w:val="left" w:pos="851"/>
        </w:tabs>
        <w:rPr>
          <w:sz w:val="24"/>
          <w:szCs w:val="24"/>
        </w:rPr>
      </w:pPr>
      <w:r w:rsidRPr="00D11AD1">
        <w:rPr>
          <w:sz w:val="24"/>
          <w:szCs w:val="24"/>
        </w:rPr>
        <w:t>20 mg daglig for patienter, der tager dasatinib 70 mg daglig.</w:t>
      </w:r>
    </w:p>
    <w:p w14:paraId="0220FF42" w14:textId="77777777" w:rsidR="00A6734C" w:rsidRPr="00D11AD1" w:rsidRDefault="00A6734C" w:rsidP="00A6734C">
      <w:pPr>
        <w:tabs>
          <w:tab w:val="left" w:pos="851"/>
        </w:tabs>
        <w:ind w:left="851"/>
        <w:rPr>
          <w:sz w:val="24"/>
          <w:szCs w:val="24"/>
        </w:rPr>
      </w:pPr>
    </w:p>
    <w:p w14:paraId="46ED3967" w14:textId="55AC043C" w:rsidR="00A6734C" w:rsidRPr="00D11AD1" w:rsidRDefault="00A6734C" w:rsidP="00A6734C">
      <w:pPr>
        <w:tabs>
          <w:tab w:val="left" w:pos="851"/>
        </w:tabs>
        <w:ind w:left="851"/>
        <w:rPr>
          <w:sz w:val="24"/>
          <w:szCs w:val="24"/>
        </w:rPr>
      </w:pPr>
      <w:r w:rsidRPr="00D11AD1">
        <w:rPr>
          <w:sz w:val="24"/>
          <w:szCs w:val="24"/>
        </w:rPr>
        <w:t xml:space="preserve">For patienter, der tager </w:t>
      </w:r>
      <w:r w:rsidR="00D4321D" w:rsidRPr="00D11AD1">
        <w:rPr>
          <w:sz w:val="24"/>
          <w:szCs w:val="24"/>
        </w:rPr>
        <w:t xml:space="preserve">Dasatinib </w:t>
      </w:r>
      <w:r w:rsidR="003A0506">
        <w:rPr>
          <w:sz w:val="24"/>
          <w:szCs w:val="24"/>
        </w:rPr>
        <w:t>"Vivanta"</w:t>
      </w:r>
      <w:r w:rsidRPr="00D11AD1">
        <w:rPr>
          <w:sz w:val="24"/>
          <w:szCs w:val="24"/>
        </w:rPr>
        <w:t xml:space="preserve"> 60 mg eller 40 mg </w:t>
      </w:r>
      <w:r w:rsidR="00A858A6" w:rsidRPr="00D11AD1">
        <w:rPr>
          <w:sz w:val="24"/>
          <w:szCs w:val="24"/>
        </w:rPr>
        <w:t>daglig</w:t>
      </w:r>
      <w:r w:rsidRPr="00D11AD1">
        <w:rPr>
          <w:sz w:val="24"/>
          <w:szCs w:val="24"/>
        </w:rPr>
        <w:t xml:space="preserve">, skal det overvejes at seponere </w:t>
      </w:r>
      <w:r w:rsidR="00D4321D" w:rsidRPr="00D11AD1">
        <w:rPr>
          <w:sz w:val="24"/>
          <w:szCs w:val="24"/>
        </w:rPr>
        <w:t xml:space="preserve">Dasatinib </w:t>
      </w:r>
      <w:r w:rsidR="003A0506">
        <w:rPr>
          <w:sz w:val="24"/>
          <w:szCs w:val="24"/>
        </w:rPr>
        <w:t>"Vivanta"</w:t>
      </w:r>
      <w:r w:rsidRPr="00D11AD1">
        <w:rPr>
          <w:sz w:val="24"/>
          <w:szCs w:val="24"/>
        </w:rPr>
        <w:t xml:space="preserve"> dosen, indtil CYP3A4-hæmmeren er seponeret, eller at skifte til en lavere dosis med formuleringen pulver til oral suspension. Sørg for en udvaskningsperiode på cirka 1 uge efter hæmmeren er seponeret, før genoptagelse af </w:t>
      </w:r>
      <w:r w:rsidR="00D4321D" w:rsidRPr="00D11AD1">
        <w:rPr>
          <w:sz w:val="24"/>
          <w:szCs w:val="24"/>
        </w:rPr>
        <w:t xml:space="preserve">Dasatinib </w:t>
      </w:r>
      <w:r w:rsidR="003A0506">
        <w:rPr>
          <w:sz w:val="24"/>
          <w:szCs w:val="24"/>
        </w:rPr>
        <w:t>"Vivanta"</w:t>
      </w:r>
      <w:r w:rsidRPr="00D11AD1">
        <w:rPr>
          <w:sz w:val="24"/>
          <w:szCs w:val="24"/>
        </w:rPr>
        <w:t>.</w:t>
      </w:r>
    </w:p>
    <w:p w14:paraId="15C007A1" w14:textId="77777777" w:rsidR="00A6734C" w:rsidRPr="00D11AD1" w:rsidRDefault="00A6734C" w:rsidP="00A6734C">
      <w:pPr>
        <w:tabs>
          <w:tab w:val="left" w:pos="851"/>
        </w:tabs>
        <w:ind w:left="851"/>
        <w:rPr>
          <w:sz w:val="24"/>
          <w:szCs w:val="24"/>
        </w:rPr>
      </w:pPr>
    </w:p>
    <w:p w14:paraId="02F1627D" w14:textId="77777777" w:rsidR="00A6734C" w:rsidRPr="00D11AD1" w:rsidRDefault="00A6734C" w:rsidP="00A6734C">
      <w:pPr>
        <w:tabs>
          <w:tab w:val="left" w:pos="851"/>
        </w:tabs>
        <w:ind w:left="851"/>
        <w:rPr>
          <w:sz w:val="24"/>
          <w:szCs w:val="24"/>
        </w:rPr>
      </w:pPr>
      <w:r w:rsidRPr="00D11AD1">
        <w:rPr>
          <w:sz w:val="24"/>
          <w:szCs w:val="24"/>
        </w:rPr>
        <w:t>Disse reducerede doser af dasatinib forventes at justere arealet under kurven (AUC) svarende til, hvad der observeres uden CYP3A4-hæmmere. Der er imidlertid ikke tilgængelige kliniske data med disse dosisjusteringer hos patienter, der får potente CYP3A4-hæmmere. Hvis dasatinib ikke tåles efter dosisreduktion, skal enten den potente CYP3A4-hæmmer seponeres, eller behandlingen med dasatinib afbrydes, indtil hæmmeren seponeres. Sørg for en udvaskningsperiode på cirka 1 uge efter hæmmeren er seponeret, før dosis af dasatinib øges.</w:t>
      </w:r>
    </w:p>
    <w:p w14:paraId="015C1554" w14:textId="7E8A5ABE" w:rsidR="00481015" w:rsidRDefault="00481015">
      <w:pPr>
        <w:rPr>
          <w:sz w:val="24"/>
          <w:szCs w:val="24"/>
        </w:rPr>
      </w:pPr>
      <w:r>
        <w:rPr>
          <w:sz w:val="24"/>
          <w:szCs w:val="24"/>
        </w:rPr>
        <w:br w:type="page"/>
      </w:r>
    </w:p>
    <w:p w14:paraId="1CC82B14" w14:textId="77777777" w:rsidR="00A6734C" w:rsidRPr="00D11AD1" w:rsidRDefault="00A6734C" w:rsidP="00A6734C">
      <w:pPr>
        <w:tabs>
          <w:tab w:val="left" w:pos="851"/>
        </w:tabs>
        <w:ind w:left="851"/>
        <w:rPr>
          <w:sz w:val="24"/>
          <w:szCs w:val="24"/>
        </w:rPr>
      </w:pPr>
    </w:p>
    <w:p w14:paraId="44AAE8AC" w14:textId="77777777" w:rsidR="00A6734C" w:rsidRPr="00D11AD1" w:rsidRDefault="00A6734C" w:rsidP="00A6734C">
      <w:pPr>
        <w:tabs>
          <w:tab w:val="left" w:pos="851"/>
        </w:tabs>
        <w:ind w:left="851"/>
        <w:rPr>
          <w:sz w:val="24"/>
          <w:szCs w:val="24"/>
          <w:u w:val="single"/>
        </w:rPr>
      </w:pPr>
      <w:r w:rsidRPr="00D11AD1">
        <w:rPr>
          <w:sz w:val="24"/>
          <w:szCs w:val="24"/>
          <w:u w:val="single"/>
        </w:rPr>
        <w:t>Særlige patientgrupper</w:t>
      </w:r>
    </w:p>
    <w:p w14:paraId="6BACDEF3" w14:textId="77777777" w:rsidR="00A6734C" w:rsidRPr="00D11AD1" w:rsidRDefault="00A6734C" w:rsidP="00A6734C">
      <w:pPr>
        <w:tabs>
          <w:tab w:val="left" w:pos="851"/>
        </w:tabs>
        <w:ind w:left="851"/>
        <w:rPr>
          <w:sz w:val="24"/>
          <w:szCs w:val="24"/>
          <w:u w:val="single"/>
        </w:rPr>
      </w:pPr>
    </w:p>
    <w:p w14:paraId="61F20085" w14:textId="77777777" w:rsidR="00A6734C" w:rsidRPr="00D11AD1" w:rsidRDefault="00A6734C" w:rsidP="00A6734C">
      <w:pPr>
        <w:tabs>
          <w:tab w:val="left" w:pos="851"/>
        </w:tabs>
        <w:ind w:left="851"/>
        <w:rPr>
          <w:i/>
          <w:iCs/>
          <w:sz w:val="24"/>
          <w:szCs w:val="24"/>
          <w:u w:val="single"/>
        </w:rPr>
      </w:pPr>
      <w:r w:rsidRPr="00D11AD1">
        <w:rPr>
          <w:i/>
          <w:iCs/>
          <w:sz w:val="24"/>
          <w:szCs w:val="24"/>
          <w:u w:val="single"/>
        </w:rPr>
        <w:t>Ældre</w:t>
      </w:r>
    </w:p>
    <w:p w14:paraId="1C0ACC0E" w14:textId="77777777" w:rsidR="00A6734C" w:rsidRPr="00D11AD1" w:rsidRDefault="00A6734C" w:rsidP="00A6734C">
      <w:pPr>
        <w:tabs>
          <w:tab w:val="left" w:pos="851"/>
        </w:tabs>
        <w:ind w:left="851"/>
        <w:rPr>
          <w:sz w:val="24"/>
          <w:szCs w:val="24"/>
        </w:rPr>
      </w:pPr>
      <w:r w:rsidRPr="00D11AD1">
        <w:rPr>
          <w:sz w:val="24"/>
          <w:szCs w:val="24"/>
        </w:rPr>
        <w:t>Der er ikke observeret klinisk relevante, aldersrelaterede, farmakokinetiske forskelle hos disse patienter. Specifikke dosisanbefalinger for ældre er ikke nødvendige.</w:t>
      </w:r>
    </w:p>
    <w:p w14:paraId="6542F17A" w14:textId="77777777" w:rsidR="00A6734C" w:rsidRPr="00D11AD1" w:rsidRDefault="00A6734C" w:rsidP="00A6734C">
      <w:pPr>
        <w:tabs>
          <w:tab w:val="left" w:pos="851"/>
        </w:tabs>
        <w:ind w:left="851"/>
        <w:rPr>
          <w:sz w:val="24"/>
          <w:szCs w:val="24"/>
        </w:rPr>
      </w:pPr>
    </w:p>
    <w:p w14:paraId="5436BE98" w14:textId="77777777" w:rsidR="00A6734C" w:rsidRPr="00D11AD1" w:rsidRDefault="00A6734C" w:rsidP="00A6734C">
      <w:pPr>
        <w:tabs>
          <w:tab w:val="left" w:pos="851"/>
        </w:tabs>
        <w:ind w:left="851"/>
        <w:rPr>
          <w:i/>
          <w:iCs/>
          <w:sz w:val="24"/>
          <w:szCs w:val="24"/>
          <w:u w:val="single"/>
        </w:rPr>
      </w:pPr>
      <w:r w:rsidRPr="00D11AD1">
        <w:rPr>
          <w:i/>
          <w:iCs/>
          <w:sz w:val="24"/>
          <w:szCs w:val="24"/>
          <w:u w:val="single"/>
        </w:rPr>
        <w:t>Leverinsufficiens</w:t>
      </w:r>
    </w:p>
    <w:p w14:paraId="533AAEED" w14:textId="7229398B" w:rsidR="00A6734C" w:rsidRPr="00D11AD1" w:rsidRDefault="00A6734C" w:rsidP="00A6734C">
      <w:pPr>
        <w:tabs>
          <w:tab w:val="left" w:pos="851"/>
        </w:tabs>
        <w:ind w:left="851"/>
        <w:rPr>
          <w:sz w:val="24"/>
          <w:szCs w:val="24"/>
        </w:rPr>
      </w:pPr>
      <w:r w:rsidRPr="00D11AD1">
        <w:rPr>
          <w:sz w:val="24"/>
          <w:szCs w:val="24"/>
        </w:rPr>
        <w:t xml:space="preserve">Patienter med let, moderat eller alvorligt nedsat leverfunktion kan få den anbefalede startdosis. Dog bør </w:t>
      </w:r>
      <w:r w:rsidR="00250D6E" w:rsidRPr="00FC2A85">
        <w:rPr>
          <w:sz w:val="24"/>
          <w:szCs w:val="24"/>
        </w:rPr>
        <w:t xml:space="preserve">Dasatinib </w:t>
      </w:r>
      <w:r w:rsidR="003A0506">
        <w:rPr>
          <w:sz w:val="24"/>
          <w:szCs w:val="24"/>
        </w:rPr>
        <w:t>"Vivanta"</w:t>
      </w:r>
      <w:r w:rsidRPr="00D11AD1">
        <w:rPr>
          <w:sz w:val="24"/>
          <w:szCs w:val="24"/>
        </w:rPr>
        <w:t xml:space="preserve"> anvendes med forsigtighed hos patienter med leverinsufficiens (se pkt. 5.2).</w:t>
      </w:r>
    </w:p>
    <w:p w14:paraId="0D558E8C" w14:textId="77777777" w:rsidR="00A6734C" w:rsidRPr="00D11AD1" w:rsidRDefault="00A6734C" w:rsidP="00A6734C">
      <w:pPr>
        <w:tabs>
          <w:tab w:val="left" w:pos="851"/>
        </w:tabs>
        <w:ind w:left="851"/>
        <w:rPr>
          <w:i/>
          <w:sz w:val="24"/>
          <w:szCs w:val="24"/>
          <w:u w:val="single"/>
        </w:rPr>
      </w:pPr>
    </w:p>
    <w:p w14:paraId="264A392C" w14:textId="77777777" w:rsidR="00A6734C" w:rsidRPr="00D11AD1" w:rsidRDefault="00A6734C" w:rsidP="00A6734C">
      <w:pPr>
        <w:tabs>
          <w:tab w:val="left" w:pos="851"/>
        </w:tabs>
        <w:ind w:left="851"/>
        <w:rPr>
          <w:i/>
          <w:iCs/>
          <w:sz w:val="24"/>
          <w:szCs w:val="24"/>
          <w:u w:val="single"/>
        </w:rPr>
      </w:pPr>
      <w:r w:rsidRPr="00D11AD1">
        <w:rPr>
          <w:i/>
          <w:iCs/>
          <w:sz w:val="24"/>
          <w:szCs w:val="24"/>
          <w:u w:val="single"/>
        </w:rPr>
        <w:t>Nyreinsufficiens</w:t>
      </w:r>
    </w:p>
    <w:p w14:paraId="08801C30" w14:textId="6CBCC292" w:rsidR="00A6734C" w:rsidRPr="00D11AD1" w:rsidRDefault="00A6734C" w:rsidP="00A6734C">
      <w:pPr>
        <w:tabs>
          <w:tab w:val="left" w:pos="851"/>
        </w:tabs>
        <w:ind w:left="851"/>
        <w:rPr>
          <w:sz w:val="24"/>
          <w:szCs w:val="24"/>
        </w:rPr>
      </w:pPr>
      <w:r w:rsidRPr="00D11AD1">
        <w:rPr>
          <w:sz w:val="24"/>
          <w:szCs w:val="24"/>
        </w:rPr>
        <w:t>Der er ikke gennemført kliniske studier med dasatinib</w:t>
      </w:r>
      <w:r w:rsidR="00E80BCB" w:rsidRPr="00D11AD1">
        <w:rPr>
          <w:sz w:val="24"/>
          <w:szCs w:val="24"/>
        </w:rPr>
        <w:t xml:space="preserve"> </w:t>
      </w:r>
      <w:r w:rsidRPr="00D11AD1">
        <w:rPr>
          <w:sz w:val="24"/>
          <w:szCs w:val="24"/>
        </w:rPr>
        <w:t>hos patienter med nedsat nyrefunktion (patienter med en serumkreatinin-koncentration &gt; 3 gange den øvre normalgrænse blev ekskluderet fra studiet med patienter med nyligt diagnosticeret CML i kronisk fase, og patienter med en serumkreatinin-koncentration &gt; 1,5 gange den øvre normalgrænse blev ekskluderet i studier med patienter med CML i kronisk fase med resistens eller intolerans over for tidligere behandling med imatinib). Da dasatinib og dets metabolitter har en nyre-clearance &lt; 4</w:t>
      </w:r>
      <w:r w:rsidR="00FA34A4" w:rsidRPr="00D11AD1">
        <w:rPr>
          <w:sz w:val="24"/>
          <w:szCs w:val="24"/>
        </w:rPr>
        <w:t xml:space="preserve"> %</w:t>
      </w:r>
      <w:r w:rsidRPr="00D11AD1">
        <w:rPr>
          <w:sz w:val="24"/>
          <w:szCs w:val="24"/>
        </w:rPr>
        <w:t>, forventes total clearance ikke at falde hos patienter med nyreinsufficiens.</w:t>
      </w:r>
    </w:p>
    <w:p w14:paraId="35C610B0" w14:textId="77777777" w:rsidR="00A6734C" w:rsidRPr="00D11AD1" w:rsidRDefault="00A6734C" w:rsidP="00A6734C">
      <w:pPr>
        <w:tabs>
          <w:tab w:val="left" w:pos="851"/>
        </w:tabs>
        <w:ind w:left="851"/>
        <w:rPr>
          <w:sz w:val="24"/>
          <w:szCs w:val="24"/>
        </w:rPr>
      </w:pPr>
    </w:p>
    <w:p w14:paraId="0A7B1312" w14:textId="77777777" w:rsidR="00A6734C" w:rsidRPr="00D11AD1" w:rsidRDefault="00A6734C" w:rsidP="00A6734C">
      <w:pPr>
        <w:tabs>
          <w:tab w:val="left" w:pos="851"/>
        </w:tabs>
        <w:ind w:left="851"/>
        <w:rPr>
          <w:sz w:val="24"/>
          <w:szCs w:val="24"/>
          <w:u w:val="single"/>
        </w:rPr>
      </w:pPr>
      <w:r w:rsidRPr="00D11AD1">
        <w:rPr>
          <w:sz w:val="24"/>
          <w:szCs w:val="24"/>
          <w:u w:val="single"/>
        </w:rPr>
        <w:t>Administration</w:t>
      </w:r>
    </w:p>
    <w:p w14:paraId="2E9758EE" w14:textId="16F6F5E7" w:rsidR="00A6734C" w:rsidRPr="00D11AD1" w:rsidRDefault="00A6734C" w:rsidP="00A6734C">
      <w:pPr>
        <w:tabs>
          <w:tab w:val="left" w:pos="851"/>
        </w:tabs>
        <w:ind w:left="851"/>
        <w:rPr>
          <w:sz w:val="24"/>
          <w:szCs w:val="24"/>
        </w:rPr>
      </w:pPr>
      <w:r w:rsidRPr="00D11AD1">
        <w:rPr>
          <w:sz w:val="24"/>
          <w:szCs w:val="24"/>
        </w:rPr>
        <w:t>Dasatinib</w:t>
      </w:r>
      <w:r w:rsidR="00E80BCB" w:rsidRPr="00D11AD1">
        <w:rPr>
          <w:sz w:val="24"/>
          <w:szCs w:val="24"/>
        </w:rPr>
        <w:t xml:space="preserve"> </w:t>
      </w:r>
      <w:r w:rsidRPr="00D11AD1">
        <w:rPr>
          <w:sz w:val="24"/>
          <w:szCs w:val="24"/>
        </w:rPr>
        <w:t>skal administreres oralt.</w:t>
      </w:r>
    </w:p>
    <w:p w14:paraId="7F3B6F8F" w14:textId="77777777" w:rsidR="00A6734C" w:rsidRPr="00D11AD1" w:rsidRDefault="00A6734C" w:rsidP="00A6734C">
      <w:pPr>
        <w:tabs>
          <w:tab w:val="left" w:pos="851"/>
        </w:tabs>
        <w:ind w:left="851"/>
        <w:rPr>
          <w:sz w:val="24"/>
          <w:szCs w:val="24"/>
        </w:rPr>
      </w:pPr>
    </w:p>
    <w:p w14:paraId="2633BDA2" w14:textId="1B446FD8" w:rsidR="00A6734C" w:rsidRPr="00D11AD1" w:rsidRDefault="00A6734C" w:rsidP="00A6734C">
      <w:pPr>
        <w:tabs>
          <w:tab w:val="left" w:pos="851"/>
        </w:tabs>
        <w:ind w:left="851"/>
        <w:rPr>
          <w:sz w:val="24"/>
          <w:szCs w:val="24"/>
        </w:rPr>
      </w:pPr>
      <w:r w:rsidRPr="00D11AD1">
        <w:rPr>
          <w:sz w:val="24"/>
          <w:szCs w:val="24"/>
        </w:rPr>
        <w:t>For at minimere risikoen for optagelse gennem huden og for at opretholde konsistens i doseringen må de filmovertrukne tabletter ikke knuses, deles eller tygges, men skal synkes hele. Filmovertrukne tabletter bør ikke opløses, da eksponeringen i patienter der får dispergible tabletter er lavere end hos de, der synker en hel tablet. Dasatinib</w:t>
      </w:r>
      <w:r w:rsidR="00E80BCB" w:rsidRPr="00D11AD1">
        <w:rPr>
          <w:sz w:val="24"/>
          <w:szCs w:val="24"/>
        </w:rPr>
        <w:t xml:space="preserve"> </w:t>
      </w:r>
      <w:r w:rsidRPr="00D11AD1">
        <w:rPr>
          <w:sz w:val="24"/>
          <w:szCs w:val="24"/>
        </w:rPr>
        <w:t>pulver til oral suspension er også tilgængeligt til pædiatriske patienter med Ph+ CML-CP og Ph+ ALL samt voksne patienter med CML-CP, der ikke kan synke tabletter.</w:t>
      </w:r>
    </w:p>
    <w:p w14:paraId="29FEACEB" w14:textId="77777777" w:rsidR="00A6734C" w:rsidRPr="00D11AD1" w:rsidRDefault="00A6734C" w:rsidP="00A6734C">
      <w:pPr>
        <w:tabs>
          <w:tab w:val="left" w:pos="851"/>
        </w:tabs>
        <w:ind w:left="851"/>
        <w:rPr>
          <w:sz w:val="24"/>
          <w:szCs w:val="24"/>
        </w:rPr>
      </w:pPr>
    </w:p>
    <w:p w14:paraId="2A3C8EA3" w14:textId="133A16EA" w:rsidR="00A6734C" w:rsidRPr="00D11AD1" w:rsidRDefault="00A6734C" w:rsidP="00A6734C">
      <w:pPr>
        <w:tabs>
          <w:tab w:val="left" w:pos="851"/>
        </w:tabs>
        <w:ind w:left="851"/>
        <w:rPr>
          <w:sz w:val="24"/>
          <w:szCs w:val="24"/>
        </w:rPr>
      </w:pPr>
      <w:r w:rsidRPr="00D11AD1">
        <w:rPr>
          <w:sz w:val="24"/>
          <w:szCs w:val="24"/>
        </w:rPr>
        <w:t>Dasatinib</w:t>
      </w:r>
      <w:r w:rsidR="00E80BCB" w:rsidRPr="00D11AD1">
        <w:rPr>
          <w:sz w:val="24"/>
          <w:szCs w:val="24"/>
        </w:rPr>
        <w:t xml:space="preserve"> </w:t>
      </w:r>
      <w:r w:rsidR="003A0506">
        <w:rPr>
          <w:sz w:val="24"/>
          <w:szCs w:val="24"/>
        </w:rPr>
        <w:t>"Vivanta"</w:t>
      </w:r>
      <w:r w:rsidR="00F0590E" w:rsidRPr="00D11AD1">
        <w:rPr>
          <w:sz w:val="24"/>
          <w:szCs w:val="24"/>
        </w:rPr>
        <w:t xml:space="preserve"> </w:t>
      </w:r>
      <w:r w:rsidRPr="00D11AD1">
        <w:rPr>
          <w:sz w:val="24"/>
          <w:szCs w:val="24"/>
        </w:rPr>
        <w:t xml:space="preserve">kan tages med eller uden mad og bør tages konsekvent enten om morgenen eller om aftenen (se pkt. 5.2). </w:t>
      </w:r>
    </w:p>
    <w:p w14:paraId="7038BFD4" w14:textId="7892F365" w:rsidR="00A6734C" w:rsidRPr="00D11AD1" w:rsidRDefault="00A6734C" w:rsidP="00A6734C">
      <w:pPr>
        <w:tabs>
          <w:tab w:val="left" w:pos="851"/>
        </w:tabs>
        <w:ind w:left="851"/>
        <w:rPr>
          <w:sz w:val="24"/>
          <w:szCs w:val="24"/>
        </w:rPr>
      </w:pPr>
      <w:r w:rsidRPr="00D11AD1">
        <w:rPr>
          <w:sz w:val="24"/>
          <w:szCs w:val="24"/>
        </w:rPr>
        <w:t>Dasatinib</w:t>
      </w:r>
      <w:r w:rsidR="00F0590E" w:rsidRPr="00D11AD1">
        <w:rPr>
          <w:sz w:val="24"/>
          <w:szCs w:val="24"/>
        </w:rPr>
        <w:t xml:space="preserve"> </w:t>
      </w:r>
      <w:r w:rsidR="003A0506">
        <w:rPr>
          <w:sz w:val="24"/>
          <w:szCs w:val="24"/>
        </w:rPr>
        <w:t>"Vivanta"</w:t>
      </w:r>
      <w:r w:rsidR="00E80BCB" w:rsidRPr="00D11AD1">
        <w:rPr>
          <w:sz w:val="24"/>
          <w:szCs w:val="24"/>
        </w:rPr>
        <w:t xml:space="preserve"> </w:t>
      </w:r>
      <w:r w:rsidRPr="00D11AD1">
        <w:rPr>
          <w:sz w:val="24"/>
          <w:szCs w:val="24"/>
        </w:rPr>
        <w:t>bør ikke tages sammen med grapefrugt eller grapefrugtjuice (se pkt. 4.5).</w:t>
      </w:r>
    </w:p>
    <w:bookmarkEnd w:id="3"/>
    <w:p w14:paraId="4C242632" w14:textId="77777777" w:rsidR="009260DE" w:rsidRPr="00D11AD1" w:rsidRDefault="009260DE" w:rsidP="009260DE">
      <w:pPr>
        <w:tabs>
          <w:tab w:val="left" w:pos="851"/>
        </w:tabs>
        <w:ind w:left="851"/>
        <w:rPr>
          <w:sz w:val="24"/>
          <w:szCs w:val="24"/>
        </w:rPr>
      </w:pPr>
    </w:p>
    <w:p w14:paraId="21DA2182" w14:textId="77777777" w:rsidR="009260DE" w:rsidRPr="00D11AD1" w:rsidRDefault="009260DE" w:rsidP="009260DE">
      <w:pPr>
        <w:tabs>
          <w:tab w:val="left" w:pos="851"/>
        </w:tabs>
        <w:ind w:left="851" w:hanging="851"/>
        <w:rPr>
          <w:b/>
          <w:sz w:val="24"/>
          <w:szCs w:val="24"/>
        </w:rPr>
      </w:pPr>
      <w:r w:rsidRPr="00D11AD1">
        <w:rPr>
          <w:b/>
          <w:sz w:val="24"/>
          <w:szCs w:val="24"/>
        </w:rPr>
        <w:t>4.3</w:t>
      </w:r>
      <w:r w:rsidRPr="00D11AD1">
        <w:rPr>
          <w:b/>
          <w:sz w:val="24"/>
          <w:szCs w:val="24"/>
        </w:rPr>
        <w:tab/>
        <w:t>Kontraindikationer</w:t>
      </w:r>
    </w:p>
    <w:p w14:paraId="48444DCB" w14:textId="77777777" w:rsidR="00E44B2A" w:rsidRPr="00D11AD1" w:rsidRDefault="00E44B2A" w:rsidP="00E44B2A">
      <w:pPr>
        <w:tabs>
          <w:tab w:val="left" w:pos="851"/>
        </w:tabs>
        <w:ind w:left="851"/>
        <w:rPr>
          <w:b/>
          <w:sz w:val="24"/>
          <w:szCs w:val="24"/>
        </w:rPr>
      </w:pPr>
      <w:r w:rsidRPr="00D11AD1">
        <w:rPr>
          <w:sz w:val="24"/>
          <w:szCs w:val="24"/>
        </w:rPr>
        <w:t>Overfølsomhed over for det aktive stof eller over for et eller flere af hjælpestofferne anført i pkt. 6.1.</w:t>
      </w:r>
    </w:p>
    <w:p w14:paraId="7F694F37" w14:textId="77777777" w:rsidR="009260DE" w:rsidRPr="00D11AD1" w:rsidRDefault="009260DE" w:rsidP="009260DE">
      <w:pPr>
        <w:tabs>
          <w:tab w:val="left" w:pos="851"/>
        </w:tabs>
        <w:ind w:left="851"/>
        <w:rPr>
          <w:sz w:val="24"/>
          <w:szCs w:val="24"/>
        </w:rPr>
      </w:pPr>
    </w:p>
    <w:p w14:paraId="0610F575" w14:textId="77777777" w:rsidR="009260DE" w:rsidRPr="00D11AD1" w:rsidRDefault="009260DE" w:rsidP="009260DE">
      <w:pPr>
        <w:tabs>
          <w:tab w:val="left" w:pos="851"/>
        </w:tabs>
        <w:ind w:left="851" w:hanging="851"/>
        <w:rPr>
          <w:b/>
          <w:sz w:val="24"/>
          <w:szCs w:val="24"/>
        </w:rPr>
      </w:pPr>
      <w:r w:rsidRPr="00D11AD1">
        <w:rPr>
          <w:b/>
          <w:sz w:val="24"/>
          <w:szCs w:val="24"/>
        </w:rPr>
        <w:t>4.4</w:t>
      </w:r>
      <w:r w:rsidRPr="00D11AD1">
        <w:rPr>
          <w:b/>
          <w:sz w:val="24"/>
          <w:szCs w:val="24"/>
        </w:rPr>
        <w:tab/>
        <w:t>Særlige advarsler og forsigtighedsregler vedrørende brugen</w:t>
      </w:r>
    </w:p>
    <w:p w14:paraId="53A54260" w14:textId="77777777" w:rsidR="00E44B2A" w:rsidRPr="00D11AD1" w:rsidRDefault="00E44B2A" w:rsidP="00E44B2A">
      <w:pPr>
        <w:tabs>
          <w:tab w:val="left" w:pos="851"/>
        </w:tabs>
        <w:ind w:left="851"/>
        <w:rPr>
          <w:sz w:val="24"/>
          <w:szCs w:val="24"/>
        </w:rPr>
      </w:pPr>
    </w:p>
    <w:p w14:paraId="05F0318C" w14:textId="77777777" w:rsidR="00E44B2A" w:rsidRPr="00D11AD1" w:rsidRDefault="00E44B2A" w:rsidP="00E44B2A">
      <w:pPr>
        <w:tabs>
          <w:tab w:val="left" w:pos="851"/>
        </w:tabs>
        <w:ind w:left="851"/>
        <w:rPr>
          <w:sz w:val="24"/>
          <w:szCs w:val="24"/>
          <w:u w:val="single"/>
        </w:rPr>
      </w:pPr>
      <w:r w:rsidRPr="00D11AD1">
        <w:rPr>
          <w:sz w:val="24"/>
          <w:szCs w:val="24"/>
          <w:u w:val="single"/>
        </w:rPr>
        <w:t>Klinisk relevante interaktioner</w:t>
      </w:r>
    </w:p>
    <w:p w14:paraId="6AA98513" w14:textId="77777777" w:rsidR="00E44B2A" w:rsidRPr="00D11AD1" w:rsidRDefault="00E44B2A" w:rsidP="00E44B2A">
      <w:pPr>
        <w:tabs>
          <w:tab w:val="left" w:pos="851"/>
        </w:tabs>
        <w:ind w:left="851"/>
        <w:rPr>
          <w:sz w:val="24"/>
          <w:szCs w:val="24"/>
        </w:rPr>
      </w:pPr>
      <w:r w:rsidRPr="00D11AD1">
        <w:rPr>
          <w:sz w:val="24"/>
          <w:szCs w:val="24"/>
        </w:rPr>
        <w:t>Dasatinib er et substrat og en hæmmer af cytochrom P450 (CYP)3A4. Der er derfor risiko for interaktion med andre samtidigt administrerede lægemidler, der primært metaboliseres af eller modulerer aktiviteten af CYP3A4 (se pkt. 4.5).</w:t>
      </w:r>
    </w:p>
    <w:p w14:paraId="0463131B" w14:textId="77777777" w:rsidR="00E44B2A" w:rsidRPr="00D11AD1" w:rsidRDefault="00E44B2A" w:rsidP="00E44B2A">
      <w:pPr>
        <w:tabs>
          <w:tab w:val="left" w:pos="851"/>
        </w:tabs>
        <w:ind w:left="851"/>
        <w:rPr>
          <w:sz w:val="24"/>
          <w:szCs w:val="24"/>
        </w:rPr>
      </w:pPr>
    </w:p>
    <w:p w14:paraId="67E0A72E" w14:textId="77777777" w:rsidR="00E44B2A" w:rsidRPr="00D11AD1" w:rsidRDefault="00E44B2A" w:rsidP="00E44B2A">
      <w:pPr>
        <w:tabs>
          <w:tab w:val="left" w:pos="851"/>
        </w:tabs>
        <w:ind w:left="851"/>
        <w:rPr>
          <w:sz w:val="24"/>
          <w:szCs w:val="24"/>
        </w:rPr>
      </w:pPr>
      <w:r w:rsidRPr="00D11AD1">
        <w:rPr>
          <w:sz w:val="24"/>
          <w:szCs w:val="24"/>
        </w:rPr>
        <w:t xml:space="preserve">Samtidig brug af dasatinib og lægemidler eller stoffer, der er potente CYP3A4-hæmmere (fx ketoconazol, itraconazol, erythromycin, clarithromycin, ritonavir, telithromycin, grapefrugtjuice), kan øge eksponeringen af Dasatinib. Samtidig </w:t>
      </w:r>
      <w:r w:rsidRPr="00D11AD1">
        <w:rPr>
          <w:sz w:val="24"/>
          <w:szCs w:val="24"/>
        </w:rPr>
        <w:lastRenderedPageBreak/>
        <w:t>administration af potent CYP3A4-hæmmer og dasatinib anbefales derfor ikke (se pkt. 4.5).</w:t>
      </w:r>
    </w:p>
    <w:p w14:paraId="307A8EA4" w14:textId="77777777" w:rsidR="00E44B2A" w:rsidRPr="00D11AD1" w:rsidRDefault="00E44B2A" w:rsidP="00E44B2A">
      <w:pPr>
        <w:tabs>
          <w:tab w:val="left" w:pos="851"/>
        </w:tabs>
        <w:ind w:left="851"/>
        <w:rPr>
          <w:sz w:val="24"/>
          <w:szCs w:val="24"/>
        </w:rPr>
      </w:pPr>
    </w:p>
    <w:p w14:paraId="68BEF7E0" w14:textId="77777777" w:rsidR="00E44B2A" w:rsidRPr="00D11AD1" w:rsidRDefault="00E44B2A" w:rsidP="00E44B2A">
      <w:pPr>
        <w:tabs>
          <w:tab w:val="left" w:pos="851"/>
        </w:tabs>
        <w:ind w:left="851"/>
        <w:rPr>
          <w:sz w:val="24"/>
          <w:szCs w:val="24"/>
        </w:rPr>
      </w:pPr>
      <w:r w:rsidRPr="00D11AD1">
        <w:rPr>
          <w:sz w:val="24"/>
          <w:szCs w:val="24"/>
        </w:rPr>
        <w:t xml:space="preserve">Samtidig brug af dasatinib og lægemidler, der inducerer CYP3A4 (fx dexamethason, phenytoin, carbamazepin, rifampicin, phenobarbital eller naturlægemidler, der indeholder </w:t>
      </w:r>
      <w:r w:rsidRPr="00D11AD1">
        <w:rPr>
          <w:i/>
          <w:iCs/>
          <w:sz w:val="24"/>
          <w:szCs w:val="24"/>
        </w:rPr>
        <w:t>Hypericum perforatum</w:t>
      </w:r>
      <w:r w:rsidRPr="00D11AD1">
        <w:rPr>
          <w:sz w:val="24"/>
          <w:szCs w:val="24"/>
        </w:rPr>
        <w:t>, også kendt som perikon) kan i betydelig grad reducere eksponeringen af dasatinib og dermed øge risikoen for behandlingssvigt. Til patienter, der får dasatinib, bør der derfor vælges alternative midler, der har mindre potentiale for CYP3A4-induktion (se pkt. 4.5).</w:t>
      </w:r>
    </w:p>
    <w:p w14:paraId="01384577" w14:textId="77777777" w:rsidR="00E44B2A" w:rsidRPr="00D11AD1" w:rsidRDefault="00E44B2A" w:rsidP="00E44B2A">
      <w:pPr>
        <w:tabs>
          <w:tab w:val="left" w:pos="851"/>
        </w:tabs>
        <w:ind w:left="851"/>
        <w:rPr>
          <w:sz w:val="24"/>
          <w:szCs w:val="24"/>
        </w:rPr>
      </w:pPr>
    </w:p>
    <w:p w14:paraId="66CD87B9" w14:textId="77777777" w:rsidR="00E44B2A" w:rsidRPr="00D11AD1" w:rsidRDefault="00E44B2A" w:rsidP="00E44B2A">
      <w:pPr>
        <w:tabs>
          <w:tab w:val="left" w:pos="851"/>
        </w:tabs>
        <w:ind w:left="851"/>
        <w:rPr>
          <w:sz w:val="24"/>
          <w:szCs w:val="24"/>
        </w:rPr>
      </w:pPr>
      <w:r w:rsidRPr="00D11AD1">
        <w:rPr>
          <w:sz w:val="24"/>
          <w:szCs w:val="24"/>
        </w:rPr>
        <w:t>Samtidig brug af dasatinib og et CYP3A4-substrat kan øge eksponeringen af CYP3A4-substratet. Der bør derfor udvises forsigtighed, når dasatinib administreres samtidigt med CYP3A4-substrater med snævert terapeutisk indeks, som fx astemizol, terfenadin, cisaprid, pimozid, quinidin, bepridil eller sekalealkaloider (ergotamin, dihydroergotamin) (se pkt. 4.5).</w:t>
      </w:r>
    </w:p>
    <w:p w14:paraId="75DCA576" w14:textId="77777777" w:rsidR="00E44B2A" w:rsidRPr="00D11AD1" w:rsidRDefault="00E44B2A" w:rsidP="00E44B2A">
      <w:pPr>
        <w:tabs>
          <w:tab w:val="left" w:pos="851"/>
        </w:tabs>
        <w:ind w:left="851"/>
        <w:rPr>
          <w:sz w:val="24"/>
          <w:szCs w:val="24"/>
        </w:rPr>
      </w:pPr>
    </w:p>
    <w:p w14:paraId="2CC4A2B2" w14:textId="77777777" w:rsidR="00E44B2A" w:rsidRPr="00D11AD1" w:rsidRDefault="00E44B2A" w:rsidP="00E44B2A">
      <w:pPr>
        <w:tabs>
          <w:tab w:val="left" w:pos="851"/>
        </w:tabs>
        <w:ind w:left="851"/>
        <w:rPr>
          <w:sz w:val="24"/>
          <w:szCs w:val="24"/>
        </w:rPr>
      </w:pPr>
      <w:r w:rsidRPr="00D11AD1">
        <w:rPr>
          <w:sz w:val="24"/>
          <w:szCs w:val="24"/>
        </w:rPr>
        <w:t>Samtidig brug af dasatinib og en histamin-2 (H2)-antagonist (fx famotidin), protonpumpe-hæmmer (fx omeprazol) eller aluminiumhydroxid/magnesiumhydroxid kan reducere eksponeringen af dasatinib. H2-antagonister og protonpumpe-hæmmere frarådes derfor, og aluminiumhydroxid/magnesiumhydroxid-produkter skal administreres op til 2 timer inden eller 2 timer efter administration af dasatinib (se pkt. 4.5).</w:t>
      </w:r>
    </w:p>
    <w:p w14:paraId="0EA23FD6" w14:textId="77777777" w:rsidR="00E44B2A" w:rsidRPr="00D11AD1" w:rsidRDefault="00E44B2A" w:rsidP="00E44B2A">
      <w:pPr>
        <w:tabs>
          <w:tab w:val="left" w:pos="851"/>
        </w:tabs>
        <w:ind w:left="851"/>
        <w:rPr>
          <w:sz w:val="24"/>
          <w:szCs w:val="24"/>
        </w:rPr>
      </w:pPr>
    </w:p>
    <w:p w14:paraId="0177BEED" w14:textId="77777777" w:rsidR="00E44B2A" w:rsidRPr="00D11AD1" w:rsidRDefault="00E44B2A" w:rsidP="00E44B2A">
      <w:pPr>
        <w:tabs>
          <w:tab w:val="left" w:pos="851"/>
        </w:tabs>
        <w:ind w:left="851"/>
        <w:rPr>
          <w:sz w:val="24"/>
          <w:szCs w:val="24"/>
          <w:u w:val="single"/>
        </w:rPr>
      </w:pPr>
      <w:r w:rsidRPr="00D11AD1">
        <w:rPr>
          <w:sz w:val="24"/>
          <w:szCs w:val="24"/>
          <w:u w:val="single"/>
        </w:rPr>
        <w:t>Særlige patientgrupper</w:t>
      </w:r>
    </w:p>
    <w:p w14:paraId="69E436D4" w14:textId="77777777" w:rsidR="00E44B2A" w:rsidRPr="00D11AD1" w:rsidRDefault="00E44B2A" w:rsidP="00E44B2A">
      <w:pPr>
        <w:tabs>
          <w:tab w:val="left" w:pos="851"/>
        </w:tabs>
        <w:ind w:left="851"/>
        <w:rPr>
          <w:sz w:val="24"/>
          <w:szCs w:val="24"/>
        </w:rPr>
      </w:pPr>
      <w:r w:rsidRPr="00D11AD1">
        <w:rPr>
          <w:sz w:val="24"/>
          <w:szCs w:val="24"/>
        </w:rPr>
        <w:t>Baseret på resultaterne fra et enkeltdosis farmakokinetisk studie, kan patienter med let, moderat eller alvorlig leverinsufficiens få den anbefalede startdosis (se pkt. 5.2). På grund af begrænsningerne ved dette studie bør der udvises forsigtighed ved administration af dasatinib til patienter med leverinsufficiens.</w:t>
      </w:r>
    </w:p>
    <w:p w14:paraId="30157A22" w14:textId="77777777" w:rsidR="00E44B2A" w:rsidRPr="00D11AD1" w:rsidRDefault="00E44B2A" w:rsidP="00E44B2A">
      <w:pPr>
        <w:tabs>
          <w:tab w:val="left" w:pos="851"/>
        </w:tabs>
        <w:ind w:left="851"/>
        <w:rPr>
          <w:sz w:val="24"/>
          <w:szCs w:val="24"/>
        </w:rPr>
      </w:pPr>
    </w:p>
    <w:p w14:paraId="066A3D9A" w14:textId="77777777" w:rsidR="00E44B2A" w:rsidRPr="00D11AD1" w:rsidRDefault="00E44B2A" w:rsidP="00E44B2A">
      <w:pPr>
        <w:tabs>
          <w:tab w:val="left" w:pos="851"/>
        </w:tabs>
        <w:ind w:left="851"/>
        <w:rPr>
          <w:sz w:val="24"/>
          <w:szCs w:val="24"/>
          <w:u w:val="single"/>
        </w:rPr>
      </w:pPr>
      <w:r w:rsidRPr="00D11AD1">
        <w:rPr>
          <w:sz w:val="24"/>
          <w:szCs w:val="24"/>
          <w:u w:val="single"/>
        </w:rPr>
        <w:t>Vigtige bivirkninger</w:t>
      </w:r>
    </w:p>
    <w:p w14:paraId="34C9E170" w14:textId="77777777" w:rsidR="00844666" w:rsidRPr="00D11AD1" w:rsidRDefault="00844666" w:rsidP="00E44B2A">
      <w:pPr>
        <w:tabs>
          <w:tab w:val="left" w:pos="851"/>
        </w:tabs>
        <w:ind w:left="851"/>
        <w:rPr>
          <w:sz w:val="24"/>
          <w:szCs w:val="24"/>
          <w:u w:val="single"/>
        </w:rPr>
      </w:pPr>
    </w:p>
    <w:p w14:paraId="3FDA4AC6"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Myelosuppression</w:t>
      </w:r>
    </w:p>
    <w:p w14:paraId="3473538A" w14:textId="77777777" w:rsidR="00E44B2A" w:rsidRPr="00D11AD1" w:rsidRDefault="00E44B2A" w:rsidP="00E44B2A">
      <w:pPr>
        <w:tabs>
          <w:tab w:val="left" w:pos="851"/>
        </w:tabs>
        <w:ind w:left="851"/>
        <w:rPr>
          <w:sz w:val="24"/>
          <w:szCs w:val="24"/>
        </w:rPr>
      </w:pPr>
      <w:r w:rsidRPr="00D11AD1">
        <w:rPr>
          <w:sz w:val="24"/>
          <w:szCs w:val="24"/>
        </w:rPr>
        <w:t xml:space="preserve">Behandling med dasatinib er forbundet med anæmi, neutropeni og trombocytopeni. Forekomsten er tidligere og hyppigere hos patienter med CML eller Ph+ ALL i fremskreden fase end med CML I kronisk fase. Hos voksne patienter med CML eller Ph+ ALL i fremskreden fase, behandlet med dasatinib som monoterapi, bør der tages fuldstændigt blodbillede (CBC) ugentligt i de første 2 måneder og herefter hver måned, eller som klinisk indiceret. Hos voksne og pædiatriske patienter med CML i kronisk fase bør der tages fuldstændigt blodbillede hver anden uge i 12 uger, derefter hver tredje måned eller som klinisk indiceret. Myelosuppression er almindeligvis reversibel og kan oftest håndteres ved midlertidigt at afbryde dasatinib eller ved dosisreduktion. Hos pædiatriske patienter med Ph+ ALL behandlet med dasatinib i kombination med kemoterapi skal der tages CBC før påbegyndelse af hver kemoterapiserie og som klinisk indiceret. Der skal tages CBC'er hver anden dag indtil restitution under konsolideringsserierne af kemoterapi (se pkt. 4.2 og 4.8). </w:t>
      </w:r>
    </w:p>
    <w:p w14:paraId="4758A528" w14:textId="77777777" w:rsidR="00E44B2A" w:rsidRPr="00D11AD1" w:rsidRDefault="00E44B2A" w:rsidP="00E44B2A">
      <w:pPr>
        <w:tabs>
          <w:tab w:val="left" w:pos="851"/>
        </w:tabs>
        <w:ind w:left="851"/>
        <w:rPr>
          <w:sz w:val="24"/>
          <w:szCs w:val="24"/>
        </w:rPr>
      </w:pPr>
    </w:p>
    <w:p w14:paraId="2EC4C912"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Blødning</w:t>
      </w:r>
    </w:p>
    <w:p w14:paraId="4E6293B3" w14:textId="6DCE75F2" w:rsidR="00E44B2A" w:rsidRPr="00D11AD1" w:rsidRDefault="00E44B2A" w:rsidP="00E44B2A">
      <w:pPr>
        <w:tabs>
          <w:tab w:val="left" w:pos="851"/>
        </w:tabs>
        <w:ind w:left="851"/>
        <w:rPr>
          <w:sz w:val="24"/>
          <w:szCs w:val="24"/>
        </w:rPr>
      </w:pPr>
      <w:r w:rsidRPr="00D11AD1">
        <w:rPr>
          <w:sz w:val="24"/>
          <w:szCs w:val="24"/>
        </w:rPr>
        <w:t>Hos patienter med CML i kronisk fase (n=548) fik 5 patienter (1</w:t>
      </w:r>
      <w:r w:rsidR="00FA34A4" w:rsidRPr="00D11AD1">
        <w:rPr>
          <w:sz w:val="24"/>
          <w:szCs w:val="24"/>
        </w:rPr>
        <w:t xml:space="preserve"> %</w:t>
      </w:r>
      <w:r w:rsidRPr="00D11AD1">
        <w:rPr>
          <w:sz w:val="24"/>
          <w:szCs w:val="24"/>
        </w:rPr>
        <w:t>), der blev behandlet med dasatinib, grad 3 eller 4 blødning. I kliniske studier med patienter med CML i fremskreden fase, som fik den anbefalede dosis af dasatinib (n=304), sås svær blødning i centralnervesystemet (CNS) hos 1</w:t>
      </w:r>
      <w:r w:rsidR="00FA34A4" w:rsidRPr="00D11AD1">
        <w:rPr>
          <w:sz w:val="24"/>
          <w:szCs w:val="24"/>
        </w:rPr>
        <w:t xml:space="preserve"> %</w:t>
      </w:r>
      <w:r w:rsidRPr="00D11AD1">
        <w:rPr>
          <w:sz w:val="24"/>
          <w:szCs w:val="24"/>
        </w:rPr>
        <w:t xml:space="preserve"> af patienterne. Et tilfælde var letalt og var </w:t>
      </w:r>
      <w:r w:rsidRPr="00D11AD1">
        <w:rPr>
          <w:sz w:val="24"/>
          <w:szCs w:val="24"/>
        </w:rPr>
        <w:lastRenderedPageBreak/>
        <w:t>forbundet med trombocytopeni Common Toxicity Criteria (CTC) grad 4. Der opstod gastrointestinal blødning grad 3 eller 4 hos 6</w:t>
      </w:r>
      <w:r w:rsidR="00FA34A4" w:rsidRPr="00D11AD1">
        <w:rPr>
          <w:sz w:val="24"/>
          <w:szCs w:val="24"/>
        </w:rPr>
        <w:t xml:space="preserve"> %</w:t>
      </w:r>
      <w:r w:rsidRPr="00D11AD1">
        <w:rPr>
          <w:sz w:val="24"/>
          <w:szCs w:val="24"/>
        </w:rPr>
        <w:t xml:space="preserve"> af patienterne med CML </w:t>
      </w:r>
      <w:r w:rsidR="00E80BCB" w:rsidRPr="00D11AD1">
        <w:rPr>
          <w:sz w:val="24"/>
          <w:szCs w:val="24"/>
        </w:rPr>
        <w:t>i</w:t>
      </w:r>
      <w:r w:rsidRPr="00D11AD1">
        <w:rPr>
          <w:sz w:val="24"/>
          <w:szCs w:val="24"/>
        </w:rPr>
        <w:t xml:space="preserve"> fremskreden fase, hvilket almindeligvis krævede behandlingsafbrydelser og transfusioner. 2</w:t>
      </w:r>
      <w:r w:rsidR="00FA34A4" w:rsidRPr="00D11AD1">
        <w:rPr>
          <w:sz w:val="24"/>
          <w:szCs w:val="24"/>
        </w:rPr>
        <w:t xml:space="preserve"> %</w:t>
      </w:r>
      <w:r w:rsidRPr="00D11AD1">
        <w:rPr>
          <w:sz w:val="24"/>
          <w:szCs w:val="24"/>
        </w:rPr>
        <w:t xml:space="preserve"> af patienterne med CML i fremskreden fase oplevede andre grad 3 eller 4 blødninger. De fleste blødningsrelaterede bivirkninger hos disse patienter var typisk forbundet med trombocytopeni grad 3 eller 4 (se pkt. 4.8). Derudover tyder </w:t>
      </w:r>
      <w:r w:rsidRPr="00D11AD1">
        <w:rPr>
          <w:i/>
          <w:iCs/>
          <w:sz w:val="24"/>
          <w:szCs w:val="24"/>
        </w:rPr>
        <w:t xml:space="preserve">in vitro </w:t>
      </w:r>
      <w:r w:rsidRPr="00D11AD1">
        <w:rPr>
          <w:sz w:val="24"/>
          <w:szCs w:val="24"/>
        </w:rPr>
        <w:t xml:space="preserve">og </w:t>
      </w:r>
      <w:r w:rsidRPr="00D11AD1">
        <w:rPr>
          <w:i/>
          <w:iCs/>
          <w:sz w:val="24"/>
          <w:szCs w:val="24"/>
        </w:rPr>
        <w:t xml:space="preserve">in vivo </w:t>
      </w:r>
      <w:r w:rsidRPr="00D11AD1">
        <w:rPr>
          <w:sz w:val="24"/>
          <w:szCs w:val="24"/>
        </w:rPr>
        <w:t>undersøgelser på, at behandling med dasatinibreversibelt påvirker aktiveringen af blodplader.</w:t>
      </w:r>
    </w:p>
    <w:p w14:paraId="36C923E7" w14:textId="77777777" w:rsidR="00E44B2A" w:rsidRPr="00D11AD1" w:rsidRDefault="00E44B2A" w:rsidP="00E44B2A">
      <w:pPr>
        <w:tabs>
          <w:tab w:val="left" w:pos="851"/>
        </w:tabs>
        <w:ind w:left="851"/>
        <w:rPr>
          <w:sz w:val="24"/>
          <w:szCs w:val="24"/>
        </w:rPr>
      </w:pPr>
    </w:p>
    <w:p w14:paraId="24DE90C8" w14:textId="13AAE342" w:rsidR="00E44B2A" w:rsidRPr="00D11AD1" w:rsidRDefault="00E44B2A" w:rsidP="00E44B2A">
      <w:pPr>
        <w:tabs>
          <w:tab w:val="left" w:pos="851"/>
        </w:tabs>
        <w:ind w:left="851"/>
        <w:rPr>
          <w:sz w:val="24"/>
          <w:szCs w:val="24"/>
        </w:rPr>
      </w:pPr>
      <w:r w:rsidRPr="00D11AD1">
        <w:rPr>
          <w:sz w:val="24"/>
          <w:szCs w:val="24"/>
        </w:rPr>
        <w:t>Der bør udvises forsigtighed, hvis patienten har behov for lægemidler, der hæmmer</w:t>
      </w:r>
      <w:r w:rsidR="001A0A2E" w:rsidRPr="00D11AD1">
        <w:rPr>
          <w:sz w:val="24"/>
          <w:szCs w:val="24"/>
        </w:rPr>
        <w:t xml:space="preserve"> </w:t>
      </w:r>
      <w:r w:rsidRPr="00D11AD1">
        <w:rPr>
          <w:sz w:val="24"/>
          <w:szCs w:val="24"/>
        </w:rPr>
        <w:t>trombocytfunktionen</w:t>
      </w:r>
      <w:r w:rsidR="00A90561" w:rsidRPr="00D11AD1">
        <w:rPr>
          <w:sz w:val="24"/>
          <w:szCs w:val="24"/>
        </w:rPr>
        <w:t>,</w:t>
      </w:r>
      <w:r w:rsidRPr="00D11AD1">
        <w:rPr>
          <w:sz w:val="24"/>
          <w:szCs w:val="24"/>
        </w:rPr>
        <w:t xml:space="preserve"> eller antikoagulantia.</w:t>
      </w:r>
    </w:p>
    <w:p w14:paraId="09651A55" w14:textId="77777777" w:rsidR="00E44B2A" w:rsidRPr="00D11AD1" w:rsidRDefault="00E44B2A" w:rsidP="00E44B2A">
      <w:pPr>
        <w:tabs>
          <w:tab w:val="left" w:pos="851"/>
        </w:tabs>
        <w:ind w:left="851"/>
        <w:rPr>
          <w:i/>
          <w:sz w:val="24"/>
          <w:szCs w:val="24"/>
          <w:u w:val="single"/>
        </w:rPr>
      </w:pPr>
    </w:p>
    <w:p w14:paraId="06AFE1E9"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Væskeretention</w:t>
      </w:r>
    </w:p>
    <w:p w14:paraId="21AADE2A" w14:textId="136E9084" w:rsidR="00E44B2A" w:rsidRPr="00D11AD1" w:rsidRDefault="00E44B2A" w:rsidP="00E44B2A">
      <w:pPr>
        <w:tabs>
          <w:tab w:val="left" w:pos="851"/>
        </w:tabs>
        <w:ind w:left="851"/>
        <w:rPr>
          <w:sz w:val="24"/>
          <w:szCs w:val="24"/>
        </w:rPr>
      </w:pPr>
      <w:r w:rsidRPr="00D11AD1">
        <w:rPr>
          <w:sz w:val="24"/>
          <w:szCs w:val="24"/>
        </w:rPr>
        <w:t>Dasatinib er forbundet med væskeretention. I det kliniske fase III-studie med patienter med nyligt diagnosticeret CML i kronisk fase sås væskeretention grad 3 eller 4 hos 13 patienter (5</w:t>
      </w:r>
      <w:r w:rsidR="00FA34A4" w:rsidRPr="00D11AD1">
        <w:rPr>
          <w:sz w:val="24"/>
          <w:szCs w:val="24"/>
        </w:rPr>
        <w:t xml:space="preserve"> %</w:t>
      </w:r>
      <w:r w:rsidRPr="00D11AD1">
        <w:rPr>
          <w:sz w:val="24"/>
          <w:szCs w:val="24"/>
        </w:rPr>
        <w:t>) i dasatanib behandlingsgruppen og hos 2 patienter (1</w:t>
      </w:r>
      <w:r w:rsidR="00FA34A4" w:rsidRPr="00D11AD1">
        <w:rPr>
          <w:sz w:val="24"/>
          <w:szCs w:val="24"/>
        </w:rPr>
        <w:t xml:space="preserve"> %</w:t>
      </w:r>
      <w:r w:rsidRPr="00D11AD1">
        <w:rPr>
          <w:sz w:val="24"/>
          <w:szCs w:val="24"/>
        </w:rPr>
        <w:t>) i imatinib behandlingsgruppen efter mindst 60 måneders opfølgning (se pkt. 4.8). Der forekom svær væskeretention hos 32 patienter (6</w:t>
      </w:r>
      <w:r w:rsidR="00FA34A4" w:rsidRPr="00D11AD1">
        <w:rPr>
          <w:sz w:val="24"/>
          <w:szCs w:val="24"/>
        </w:rPr>
        <w:t xml:space="preserve"> %</w:t>
      </w:r>
      <w:r w:rsidRPr="00D11AD1">
        <w:rPr>
          <w:sz w:val="24"/>
          <w:szCs w:val="24"/>
        </w:rPr>
        <w:t>) ud af alle patienter</w:t>
      </w:r>
      <w:r w:rsidR="00481015">
        <w:rPr>
          <w:sz w:val="24"/>
          <w:szCs w:val="24"/>
        </w:rPr>
        <w:t xml:space="preserve"> </w:t>
      </w:r>
      <w:r w:rsidRPr="00D11AD1">
        <w:rPr>
          <w:sz w:val="24"/>
          <w:szCs w:val="24"/>
        </w:rPr>
        <w:t>med CML i kronisk fase, der fik dasatinib</w:t>
      </w:r>
      <w:r w:rsidR="00A90561" w:rsidRPr="00D11AD1">
        <w:rPr>
          <w:sz w:val="24"/>
          <w:szCs w:val="24"/>
        </w:rPr>
        <w:t xml:space="preserve"> </w:t>
      </w:r>
      <w:r w:rsidRPr="00D11AD1">
        <w:rPr>
          <w:sz w:val="24"/>
          <w:szCs w:val="24"/>
        </w:rPr>
        <w:t>ved den anbefalede dosis (n=548). I kliniske studier med patienter med CML eller Ph+ ALL i fremskreden fase, der fik dasatinibved de anbefalede doser (n=304), sås væskeretention grad 3 eller 4 hos 8</w:t>
      </w:r>
      <w:r w:rsidR="00FA34A4" w:rsidRPr="00D11AD1">
        <w:rPr>
          <w:sz w:val="24"/>
          <w:szCs w:val="24"/>
        </w:rPr>
        <w:t xml:space="preserve"> %</w:t>
      </w:r>
      <w:r w:rsidRPr="00D11AD1">
        <w:rPr>
          <w:sz w:val="24"/>
          <w:szCs w:val="24"/>
        </w:rPr>
        <w:t xml:space="preserve"> af patienterne, inklusive pleura- og perikardieeffusion grad 3 eller 4, som blev indberettet hos henholdsvis 7</w:t>
      </w:r>
      <w:r w:rsidR="00FA34A4" w:rsidRPr="00D11AD1">
        <w:rPr>
          <w:sz w:val="24"/>
          <w:szCs w:val="24"/>
        </w:rPr>
        <w:t xml:space="preserve"> %</w:t>
      </w:r>
      <w:r w:rsidRPr="00D11AD1">
        <w:rPr>
          <w:sz w:val="24"/>
          <w:szCs w:val="24"/>
        </w:rPr>
        <w:t xml:space="preserve"> og 1</w:t>
      </w:r>
      <w:r w:rsidR="00FA34A4" w:rsidRPr="00D11AD1">
        <w:rPr>
          <w:sz w:val="24"/>
          <w:szCs w:val="24"/>
        </w:rPr>
        <w:t xml:space="preserve"> %</w:t>
      </w:r>
      <w:r w:rsidRPr="00D11AD1">
        <w:rPr>
          <w:sz w:val="24"/>
          <w:szCs w:val="24"/>
        </w:rPr>
        <w:t xml:space="preserve"> af patienterne. Hos disse patienter blev grad 3 eller 4 lungeødem og pulmonal hypertension hver især indberettet hos 1</w:t>
      </w:r>
      <w:r w:rsidR="00FA34A4" w:rsidRPr="00D11AD1">
        <w:rPr>
          <w:sz w:val="24"/>
          <w:szCs w:val="24"/>
        </w:rPr>
        <w:t xml:space="preserve"> %</w:t>
      </w:r>
      <w:r w:rsidRPr="00D11AD1">
        <w:rPr>
          <w:sz w:val="24"/>
          <w:szCs w:val="24"/>
        </w:rPr>
        <w:t xml:space="preserve"> af</w:t>
      </w:r>
      <w:r w:rsidR="00481015">
        <w:rPr>
          <w:sz w:val="24"/>
          <w:szCs w:val="24"/>
        </w:rPr>
        <w:t xml:space="preserve"> </w:t>
      </w:r>
      <w:r w:rsidRPr="00D11AD1">
        <w:rPr>
          <w:sz w:val="24"/>
          <w:szCs w:val="24"/>
        </w:rPr>
        <w:t>patienterne.</w:t>
      </w:r>
    </w:p>
    <w:p w14:paraId="3319ABC8" w14:textId="77777777" w:rsidR="00E44B2A" w:rsidRPr="00D11AD1" w:rsidRDefault="00E44B2A" w:rsidP="00E44B2A">
      <w:pPr>
        <w:tabs>
          <w:tab w:val="left" w:pos="851"/>
        </w:tabs>
        <w:ind w:left="851"/>
        <w:rPr>
          <w:sz w:val="24"/>
          <w:szCs w:val="24"/>
        </w:rPr>
      </w:pPr>
    </w:p>
    <w:p w14:paraId="7ADFDCD0" w14:textId="5EFBBB1E" w:rsidR="00E44B2A" w:rsidRDefault="00E44B2A" w:rsidP="00E44B2A">
      <w:pPr>
        <w:tabs>
          <w:tab w:val="left" w:pos="851"/>
        </w:tabs>
        <w:ind w:left="851"/>
        <w:rPr>
          <w:sz w:val="24"/>
          <w:szCs w:val="24"/>
        </w:rPr>
      </w:pPr>
      <w:r w:rsidRPr="00D11AD1">
        <w:rPr>
          <w:sz w:val="24"/>
          <w:szCs w:val="24"/>
        </w:rPr>
        <w:t>Patienter, som udvikler symptomer svarende til pleuraeffusion, fx dyspnø eller tør hoste, skal evalueres ved thorax-røntgen. Pleuraeffusion grad 3 eller 4 kan kræve thoracocentese og iltbehandling. Væskeretentions</w:t>
      </w:r>
      <w:r w:rsidR="00A90561" w:rsidRPr="00D11AD1">
        <w:rPr>
          <w:sz w:val="24"/>
          <w:szCs w:val="24"/>
        </w:rPr>
        <w:t>-</w:t>
      </w:r>
      <w:r w:rsidRPr="00D11AD1">
        <w:rPr>
          <w:sz w:val="24"/>
          <w:szCs w:val="24"/>
        </w:rPr>
        <w:t>bivirkninger håndteredes sædvanligvis ved understøttende tiltag, der omfatter diuretika og kortvarig behandling med steroider (se pkt. 4.2 og 4.8). Hos patienter over 65 år er der større sandsynlighed end hos yngre patienter for at opleve pleuraeffusion, dyspnø, hoste, perikardieeffusion og kongestiv hjertesvigt, og disse patienter bør derfor monitoreres omhyggeligt.</w:t>
      </w:r>
    </w:p>
    <w:p w14:paraId="7A4646AF" w14:textId="7512B124" w:rsidR="008B67F0" w:rsidRDefault="008B67F0" w:rsidP="00E44B2A">
      <w:pPr>
        <w:tabs>
          <w:tab w:val="left" w:pos="851"/>
        </w:tabs>
        <w:ind w:left="851"/>
        <w:rPr>
          <w:sz w:val="24"/>
          <w:szCs w:val="24"/>
        </w:rPr>
      </w:pPr>
    </w:p>
    <w:p w14:paraId="69CAC2EA" w14:textId="653FEC53" w:rsidR="00E44B2A" w:rsidRDefault="008B67F0" w:rsidP="00E44B2A">
      <w:pPr>
        <w:tabs>
          <w:tab w:val="left" w:pos="851"/>
        </w:tabs>
        <w:ind w:left="851"/>
        <w:rPr>
          <w:sz w:val="24"/>
          <w:szCs w:val="24"/>
        </w:rPr>
      </w:pPr>
      <w:r w:rsidRPr="00D11AD1">
        <w:rPr>
          <w:sz w:val="24"/>
          <w:szCs w:val="24"/>
        </w:rPr>
        <w:t>Tilfælde af chylothorax er også blevet rapporteret hos patienter med pleuraeffusion (se pkt. 4.8).</w:t>
      </w:r>
    </w:p>
    <w:p w14:paraId="605A278F" w14:textId="77777777" w:rsidR="008B67F0" w:rsidRPr="00D11AD1" w:rsidRDefault="008B67F0" w:rsidP="00E44B2A">
      <w:pPr>
        <w:tabs>
          <w:tab w:val="left" w:pos="851"/>
        </w:tabs>
        <w:ind w:left="851"/>
        <w:rPr>
          <w:sz w:val="24"/>
          <w:szCs w:val="24"/>
        </w:rPr>
      </w:pPr>
    </w:p>
    <w:p w14:paraId="22A472EF"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Pulmonal arteriel hypertension (PAH)</w:t>
      </w:r>
    </w:p>
    <w:p w14:paraId="19DA1231" w14:textId="77777777" w:rsidR="00E44B2A" w:rsidRPr="00D11AD1" w:rsidRDefault="00E44B2A" w:rsidP="00E44B2A">
      <w:pPr>
        <w:tabs>
          <w:tab w:val="left" w:pos="851"/>
        </w:tabs>
        <w:ind w:left="851"/>
        <w:rPr>
          <w:sz w:val="24"/>
          <w:szCs w:val="24"/>
        </w:rPr>
      </w:pPr>
      <w:r w:rsidRPr="00D11AD1">
        <w:rPr>
          <w:sz w:val="24"/>
          <w:szCs w:val="24"/>
        </w:rPr>
        <w:t>PAH (præ-kapillær pulmonal arteriel hypertension diagnosticeret med højresidig hjertekateterisation) er blevet rapporteret i forbindelse med dasatinib behandling (se pkt. 4.8). I disse tilfælde blev PAH rapporteret efter initiering af dasatinib behandling, herunder efter mere end et års behandling.</w:t>
      </w:r>
    </w:p>
    <w:p w14:paraId="5DF8B3B2" w14:textId="77777777" w:rsidR="00E44B2A" w:rsidRPr="00D11AD1" w:rsidRDefault="00E44B2A" w:rsidP="00E44B2A">
      <w:pPr>
        <w:tabs>
          <w:tab w:val="left" w:pos="851"/>
        </w:tabs>
        <w:ind w:left="851"/>
        <w:rPr>
          <w:sz w:val="24"/>
          <w:szCs w:val="24"/>
        </w:rPr>
      </w:pPr>
    </w:p>
    <w:p w14:paraId="2912A1F6" w14:textId="77777777" w:rsidR="00E44B2A" w:rsidRPr="00D11AD1" w:rsidRDefault="00E44B2A" w:rsidP="00E44B2A">
      <w:pPr>
        <w:tabs>
          <w:tab w:val="left" w:pos="851"/>
        </w:tabs>
        <w:ind w:left="851"/>
        <w:rPr>
          <w:sz w:val="24"/>
          <w:szCs w:val="24"/>
        </w:rPr>
      </w:pPr>
      <w:r w:rsidRPr="00D11AD1">
        <w:rPr>
          <w:sz w:val="24"/>
          <w:szCs w:val="24"/>
        </w:rPr>
        <w:t xml:space="preserve">Patienter bør undersøges for tegn og symptomer på underliggende kardiopulmonal sygdom før initiering af dasatinib behandling. Ekkokardiografi bør foretages ved behandlingsstart hos alle patienter med symptomer på hjertesygdom og bør overvejes hos patienter med risikofaktorer for hjerte- eller lungesygdom. Patienter, som udvikler dyspnø og træthed efter initiering af behandlingen, bør undersøges for almindelig ætiologi inklusive pleuraeffusion, pulmonal ødem, anæmi eller lungeinfiltration. Under disse undersøgelser bør dosis af dasatinib reduceres eller behandlingen afbrydes i overensstemmelse med anbefalingerne for behandling af ikke-hæmatologiske bivirkninger (se pkt. 4.2). Hvis der ikke findes nogen forklaring eller hvis der ikke ses </w:t>
      </w:r>
      <w:r w:rsidRPr="00D11AD1">
        <w:rPr>
          <w:sz w:val="24"/>
          <w:szCs w:val="24"/>
        </w:rPr>
        <w:lastRenderedPageBreak/>
        <w:t>nogen bedring ved dosisreduktion eller -afbrydelse, bør diagnosen PAH overvejes. Diagnosticeringen bør følge almindeligt gældende retningslinjer. Hvis PAH bekræftes, bør dasatinib seponeres permanent. Opfølgning skal udføres i henhold til almindeligt gældende retningslinjer. Hos nogle patienter med PAH blev der observeret bedring af de hæmodynamiske og kliniske parametre efter ophør af dasatinib behandling.</w:t>
      </w:r>
    </w:p>
    <w:p w14:paraId="4ADC1C3B" w14:textId="77777777" w:rsidR="00E44B2A" w:rsidRPr="00D11AD1" w:rsidRDefault="00E44B2A" w:rsidP="00E44B2A">
      <w:pPr>
        <w:tabs>
          <w:tab w:val="left" w:pos="851"/>
        </w:tabs>
        <w:ind w:left="851"/>
        <w:rPr>
          <w:sz w:val="24"/>
          <w:szCs w:val="24"/>
        </w:rPr>
      </w:pPr>
    </w:p>
    <w:p w14:paraId="7933D04F"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QT-forlængelse</w:t>
      </w:r>
    </w:p>
    <w:p w14:paraId="53CB4E79" w14:textId="6F010642" w:rsidR="00E44B2A" w:rsidRPr="00D11AD1" w:rsidRDefault="00E44B2A" w:rsidP="00E44B2A">
      <w:pPr>
        <w:tabs>
          <w:tab w:val="left" w:pos="851"/>
        </w:tabs>
        <w:ind w:left="851"/>
        <w:rPr>
          <w:sz w:val="24"/>
          <w:szCs w:val="24"/>
        </w:rPr>
      </w:pPr>
      <w:r w:rsidRPr="00D11AD1">
        <w:rPr>
          <w:i/>
          <w:iCs/>
          <w:sz w:val="24"/>
          <w:szCs w:val="24"/>
        </w:rPr>
        <w:t xml:space="preserve">In vitro </w:t>
      </w:r>
      <w:r w:rsidRPr="00D11AD1">
        <w:rPr>
          <w:sz w:val="24"/>
          <w:szCs w:val="24"/>
        </w:rPr>
        <w:t>data tyder på, at dasatinib har potentiale til at forlænge kardiel ventrikulær repolarisering (QT</w:t>
      </w:r>
      <w:r w:rsidR="00A90561" w:rsidRPr="00D11AD1">
        <w:rPr>
          <w:sz w:val="24"/>
          <w:szCs w:val="24"/>
        </w:rPr>
        <w:t>-</w:t>
      </w:r>
      <w:r w:rsidRPr="00D11AD1">
        <w:rPr>
          <w:sz w:val="24"/>
          <w:szCs w:val="24"/>
        </w:rPr>
        <w:t xml:space="preserve">intervallet) (se pkt. 5.3). Blandt 258 dasatinib behandlede patienter og 258 imatinib behandlede patienter med mindst 60 måneders opfølgning i fase III-studiet vedrørende nyligt diagnosticeret CML </w:t>
      </w:r>
      <w:r w:rsidR="00A90561" w:rsidRPr="00D11AD1">
        <w:rPr>
          <w:sz w:val="24"/>
          <w:szCs w:val="24"/>
        </w:rPr>
        <w:t>i</w:t>
      </w:r>
      <w:r w:rsidRPr="00D11AD1">
        <w:rPr>
          <w:sz w:val="24"/>
          <w:szCs w:val="24"/>
        </w:rPr>
        <w:t xml:space="preserve"> kronisk fase rapporteredes QTc-forlængelse som en bivirkning hos 1 patient (&lt; 1</w:t>
      </w:r>
      <w:r w:rsidR="00FA34A4" w:rsidRPr="00D11AD1">
        <w:rPr>
          <w:sz w:val="24"/>
          <w:szCs w:val="24"/>
        </w:rPr>
        <w:t xml:space="preserve"> %</w:t>
      </w:r>
      <w:r w:rsidRPr="00D11AD1">
        <w:rPr>
          <w:sz w:val="24"/>
          <w:szCs w:val="24"/>
        </w:rPr>
        <w:t>) i hver gruppe.</w:t>
      </w:r>
    </w:p>
    <w:p w14:paraId="398E67D3" w14:textId="3CF0E6A6" w:rsidR="00E44B2A" w:rsidRPr="00D11AD1" w:rsidRDefault="00E44B2A" w:rsidP="00E44B2A">
      <w:pPr>
        <w:tabs>
          <w:tab w:val="left" w:pos="851"/>
        </w:tabs>
        <w:ind w:left="851"/>
        <w:rPr>
          <w:sz w:val="24"/>
          <w:szCs w:val="24"/>
        </w:rPr>
      </w:pPr>
      <w:r w:rsidRPr="00D11AD1">
        <w:rPr>
          <w:sz w:val="24"/>
          <w:szCs w:val="24"/>
        </w:rPr>
        <w:t xml:space="preserve">Medianændringerne i QTcF fra </w:t>
      </w:r>
      <w:r w:rsidRPr="00D11AD1">
        <w:rPr>
          <w:i/>
          <w:iCs/>
          <w:sz w:val="24"/>
          <w:szCs w:val="24"/>
        </w:rPr>
        <w:t xml:space="preserve">baseline </w:t>
      </w:r>
      <w:r w:rsidRPr="00D11AD1">
        <w:rPr>
          <w:sz w:val="24"/>
          <w:szCs w:val="24"/>
        </w:rPr>
        <w:t>var 3,0 msek. hos patienter, der blev behandlet med dasatinib, sammenlignet med 8,2 msek. hos patienter, der blev behandlet med imatinib. En patient (&lt; 1</w:t>
      </w:r>
      <w:r w:rsidR="00FA34A4" w:rsidRPr="00D11AD1">
        <w:rPr>
          <w:sz w:val="24"/>
          <w:szCs w:val="24"/>
        </w:rPr>
        <w:t xml:space="preserve"> %</w:t>
      </w:r>
      <w:r w:rsidRPr="00D11AD1">
        <w:rPr>
          <w:sz w:val="24"/>
          <w:szCs w:val="24"/>
        </w:rPr>
        <w:t xml:space="preserve">) i hver gruppe havde QTcF &gt; 500 msek. Blandt 865 patienter med leukæmi, der i kliniske fase II-studier blev behandlet med dasatinib, var de gennemsnitlige ændringer fra </w:t>
      </w:r>
      <w:r w:rsidRPr="00D11AD1">
        <w:rPr>
          <w:i/>
          <w:iCs/>
          <w:sz w:val="24"/>
          <w:szCs w:val="24"/>
        </w:rPr>
        <w:t xml:space="preserve">baseline </w:t>
      </w:r>
      <w:r w:rsidRPr="00D11AD1">
        <w:rPr>
          <w:sz w:val="24"/>
          <w:szCs w:val="24"/>
        </w:rPr>
        <w:t>i QTc-intervallet ved Fridericias' metode (QTcF) 4-6 msek.; de øvre 95</w:t>
      </w:r>
      <w:r w:rsidR="00FA34A4" w:rsidRPr="00D11AD1">
        <w:rPr>
          <w:sz w:val="24"/>
          <w:szCs w:val="24"/>
        </w:rPr>
        <w:t xml:space="preserve"> %</w:t>
      </w:r>
      <w:r w:rsidRPr="00D11AD1">
        <w:rPr>
          <w:sz w:val="24"/>
          <w:szCs w:val="24"/>
        </w:rPr>
        <w:t xml:space="preserve"> konfidensintervaller for alle gennemsnitlige</w:t>
      </w:r>
    </w:p>
    <w:p w14:paraId="2731EAC3" w14:textId="77777777" w:rsidR="00E44B2A" w:rsidRPr="00D11AD1" w:rsidRDefault="00E44B2A" w:rsidP="00E44B2A">
      <w:pPr>
        <w:tabs>
          <w:tab w:val="left" w:pos="851"/>
        </w:tabs>
        <w:ind w:left="851"/>
        <w:rPr>
          <w:sz w:val="24"/>
          <w:szCs w:val="24"/>
        </w:rPr>
      </w:pPr>
      <w:r w:rsidRPr="00D11AD1">
        <w:rPr>
          <w:sz w:val="24"/>
          <w:szCs w:val="24"/>
        </w:rPr>
        <w:t xml:space="preserve">ændringer fra </w:t>
      </w:r>
      <w:r w:rsidRPr="00D11AD1">
        <w:rPr>
          <w:i/>
          <w:iCs/>
          <w:sz w:val="24"/>
          <w:szCs w:val="24"/>
        </w:rPr>
        <w:t xml:space="preserve">baseline </w:t>
      </w:r>
      <w:r w:rsidRPr="00D11AD1">
        <w:rPr>
          <w:sz w:val="24"/>
          <w:szCs w:val="24"/>
        </w:rPr>
        <w:t>var &lt; 7 msek. (se pkt. 4.8).</w:t>
      </w:r>
    </w:p>
    <w:p w14:paraId="4107FDE7" w14:textId="762517D2" w:rsidR="00E44B2A" w:rsidRPr="00D11AD1" w:rsidRDefault="00E44B2A" w:rsidP="00E44B2A">
      <w:pPr>
        <w:tabs>
          <w:tab w:val="left" w:pos="851"/>
        </w:tabs>
        <w:ind w:left="851"/>
        <w:rPr>
          <w:sz w:val="24"/>
          <w:szCs w:val="24"/>
        </w:rPr>
      </w:pPr>
      <w:r w:rsidRPr="00D11AD1">
        <w:rPr>
          <w:sz w:val="24"/>
          <w:szCs w:val="24"/>
        </w:rPr>
        <w:t>Blandt de 2.182 patienter med resistens eller intolerans over for tidligere behandling med imatinib, som fik dasatinib i kliniske studier, blev QTc-forlængelse indberettet som bivirkning hos 15 (1</w:t>
      </w:r>
      <w:r w:rsidR="00FA34A4" w:rsidRPr="00D11AD1">
        <w:rPr>
          <w:sz w:val="24"/>
          <w:szCs w:val="24"/>
        </w:rPr>
        <w:t xml:space="preserve"> %</w:t>
      </w:r>
      <w:r w:rsidRPr="00D11AD1">
        <w:rPr>
          <w:sz w:val="24"/>
          <w:szCs w:val="24"/>
        </w:rPr>
        <w:t>) patienter. 21 af disse patienter (1</w:t>
      </w:r>
      <w:r w:rsidR="00FA34A4" w:rsidRPr="00D11AD1">
        <w:rPr>
          <w:sz w:val="24"/>
          <w:szCs w:val="24"/>
        </w:rPr>
        <w:t xml:space="preserve"> %</w:t>
      </w:r>
      <w:r w:rsidRPr="00D11AD1">
        <w:rPr>
          <w:sz w:val="24"/>
          <w:szCs w:val="24"/>
        </w:rPr>
        <w:t>) havde QTcF &gt; 500 msek.</w:t>
      </w:r>
    </w:p>
    <w:p w14:paraId="6AA45032" w14:textId="77777777" w:rsidR="00E44B2A" w:rsidRPr="00D11AD1" w:rsidRDefault="00E44B2A" w:rsidP="00E44B2A">
      <w:pPr>
        <w:tabs>
          <w:tab w:val="left" w:pos="851"/>
        </w:tabs>
        <w:ind w:left="851"/>
        <w:rPr>
          <w:sz w:val="24"/>
          <w:szCs w:val="24"/>
        </w:rPr>
      </w:pPr>
    </w:p>
    <w:p w14:paraId="3CA580BB" w14:textId="34961211" w:rsidR="00E44B2A" w:rsidRPr="00D11AD1" w:rsidRDefault="00E44B2A" w:rsidP="00E44B2A">
      <w:pPr>
        <w:tabs>
          <w:tab w:val="left" w:pos="851"/>
        </w:tabs>
        <w:ind w:left="851"/>
        <w:rPr>
          <w:sz w:val="24"/>
          <w:szCs w:val="24"/>
        </w:rPr>
      </w:pPr>
      <w:r w:rsidRPr="00D11AD1">
        <w:rPr>
          <w:sz w:val="24"/>
          <w:szCs w:val="24"/>
        </w:rPr>
        <w:t>Dasatinib bør administreres med forsigtighed til patienter som har, eller kan udvikle, forlængelse af QTc. Dette inkluderer patienter med hypokaliæmi eller hypomagnesiæmi, patienter med kongenit langt QT-syndrom, patienter der tager antiarytmika eller andre lægemidler, som medfører Q</w:t>
      </w:r>
      <w:r w:rsidR="00B151F9" w:rsidRPr="00D11AD1">
        <w:rPr>
          <w:sz w:val="24"/>
          <w:szCs w:val="24"/>
        </w:rPr>
        <w:t>T-</w:t>
      </w:r>
      <w:r w:rsidRPr="00D11AD1">
        <w:rPr>
          <w:sz w:val="24"/>
          <w:szCs w:val="24"/>
        </w:rPr>
        <w:t>forlængelse samt kumulative høje doser af anthracyclin. Hypokaliæmi eller hypomagnesiæmi skal korrigeres inden administration af dasatinib.</w:t>
      </w:r>
    </w:p>
    <w:p w14:paraId="3448555C" w14:textId="77777777" w:rsidR="00E44B2A" w:rsidRPr="00D11AD1" w:rsidRDefault="00E44B2A" w:rsidP="00E44B2A">
      <w:pPr>
        <w:tabs>
          <w:tab w:val="left" w:pos="851"/>
        </w:tabs>
        <w:ind w:left="851"/>
        <w:rPr>
          <w:sz w:val="24"/>
          <w:szCs w:val="24"/>
        </w:rPr>
      </w:pPr>
    </w:p>
    <w:p w14:paraId="55FF7294"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Hjertebivirkninger</w:t>
      </w:r>
    </w:p>
    <w:p w14:paraId="43DB6E88" w14:textId="77777777" w:rsidR="00E44B2A" w:rsidRPr="00D11AD1" w:rsidRDefault="00E44B2A" w:rsidP="00E44B2A">
      <w:pPr>
        <w:tabs>
          <w:tab w:val="left" w:pos="851"/>
        </w:tabs>
        <w:ind w:left="851"/>
        <w:rPr>
          <w:sz w:val="24"/>
          <w:szCs w:val="24"/>
        </w:rPr>
      </w:pPr>
      <w:r w:rsidRPr="00D11AD1">
        <w:rPr>
          <w:sz w:val="24"/>
          <w:szCs w:val="24"/>
        </w:rPr>
        <w:t>Dasatinib er blevet undersøgt i et randomiseret klinisk studie med 519 patienter med nyligt diagnosticeret CML i kronisk fase, som inkluderede patienter med tidligere hjertesygdom.</w:t>
      </w:r>
    </w:p>
    <w:p w14:paraId="542C3E48" w14:textId="77777777" w:rsidR="00E44B2A" w:rsidRPr="00D11AD1" w:rsidRDefault="00E44B2A" w:rsidP="00E44B2A">
      <w:pPr>
        <w:tabs>
          <w:tab w:val="left" w:pos="851"/>
        </w:tabs>
        <w:ind w:left="851"/>
        <w:rPr>
          <w:sz w:val="24"/>
          <w:szCs w:val="24"/>
        </w:rPr>
      </w:pPr>
      <w:r w:rsidRPr="00D11AD1">
        <w:rPr>
          <w:sz w:val="24"/>
          <w:szCs w:val="24"/>
        </w:rPr>
        <w:t>Hjertebivirkningerne kongestiv hjerteinsufficiens / kardiel dysfunktion, perikardie-effusion, arytmier, palpitationer, QT-forlængelse og myokardieinfarkt (herunder letalt) blev rapporteret hos patienter, der tog dasatinib. Hjertebivirkninger forekom hyppigere hos patienter med risikofaktorer eller hjertesygdom i anamnesen. Patienter med risikofaktorer (f.eks. hypertension, hyperlipidæmi, diabetes) eller med hjertesygdom i anamnesen (f.eks. tidligere perkutan koronar intervention, dokumenteret koronararteriesygdom) bør monitoreres omhyggeligt for kliniske tegn eller symptomer på nedsat hjertefunktion som f.eks. brystsmerter, åndenød og diaforese.</w:t>
      </w:r>
    </w:p>
    <w:p w14:paraId="405E390E" w14:textId="77777777" w:rsidR="00E44B2A" w:rsidRPr="00D11AD1" w:rsidRDefault="00E44B2A" w:rsidP="00E44B2A">
      <w:pPr>
        <w:tabs>
          <w:tab w:val="left" w:pos="851"/>
        </w:tabs>
        <w:ind w:left="851"/>
        <w:rPr>
          <w:sz w:val="24"/>
          <w:szCs w:val="24"/>
        </w:rPr>
      </w:pPr>
    </w:p>
    <w:p w14:paraId="79BFB350" w14:textId="77777777" w:rsidR="00E44B2A" w:rsidRPr="00D11AD1" w:rsidRDefault="00E44B2A" w:rsidP="00E44B2A">
      <w:pPr>
        <w:tabs>
          <w:tab w:val="left" w:pos="851"/>
        </w:tabs>
        <w:ind w:left="851"/>
        <w:rPr>
          <w:sz w:val="24"/>
          <w:szCs w:val="24"/>
        </w:rPr>
      </w:pPr>
      <w:r w:rsidRPr="00D11AD1">
        <w:rPr>
          <w:sz w:val="24"/>
          <w:szCs w:val="24"/>
        </w:rPr>
        <w:t xml:space="preserve">Hvis disse kliniske tegn eller symptomer opstår, tilrådes det at seponere behandlingen med dasatinib og overveje behovet for alternativ CML-specifik behandling. Efter opklaring bør der foretages en funktionel vurdering, inden behandlingen med dasatinib genoptages. Efter lette til moderate bivirkninger (≤ grad 2) kan behandling med dasatinib genoptages med den oprindelige dosis, og efter alvorlige bivirkninger (≥ grad 3) kan behandlingen genoptages med reduceret dosis (se pkt. 4.2). Patienter, der fortsætter behandlingen, bør monitoreres regelmæssigt. </w:t>
      </w:r>
    </w:p>
    <w:p w14:paraId="4A4EED1D" w14:textId="77777777" w:rsidR="00E44B2A" w:rsidRPr="00D11AD1" w:rsidRDefault="00E44B2A" w:rsidP="00E44B2A">
      <w:pPr>
        <w:tabs>
          <w:tab w:val="left" w:pos="851"/>
        </w:tabs>
        <w:ind w:left="851"/>
        <w:rPr>
          <w:sz w:val="24"/>
          <w:szCs w:val="24"/>
        </w:rPr>
      </w:pPr>
    </w:p>
    <w:p w14:paraId="50EB3E7C" w14:textId="77777777" w:rsidR="00E44B2A" w:rsidRPr="00D11AD1" w:rsidRDefault="00E44B2A" w:rsidP="00E44B2A">
      <w:pPr>
        <w:tabs>
          <w:tab w:val="left" w:pos="851"/>
        </w:tabs>
        <w:ind w:left="851"/>
        <w:rPr>
          <w:sz w:val="24"/>
          <w:szCs w:val="24"/>
        </w:rPr>
      </w:pPr>
      <w:r w:rsidRPr="00D11AD1">
        <w:rPr>
          <w:sz w:val="24"/>
          <w:szCs w:val="24"/>
        </w:rPr>
        <w:lastRenderedPageBreak/>
        <w:t>Patienter med ukontrolleret eller betydelig kardiovaskulær sygdom inkluderedes ikke i kliniske studier.</w:t>
      </w:r>
    </w:p>
    <w:p w14:paraId="6BC909CA" w14:textId="77777777" w:rsidR="00E44B2A" w:rsidRPr="00D11AD1" w:rsidRDefault="00E44B2A" w:rsidP="00E44B2A">
      <w:pPr>
        <w:tabs>
          <w:tab w:val="left" w:pos="851"/>
        </w:tabs>
        <w:ind w:left="851"/>
        <w:rPr>
          <w:sz w:val="24"/>
          <w:szCs w:val="24"/>
        </w:rPr>
      </w:pPr>
    </w:p>
    <w:p w14:paraId="1A89760F"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Trombotisk mikroangiopati (TMA)</w:t>
      </w:r>
    </w:p>
    <w:p w14:paraId="2682D1AD" w14:textId="1CEF7D66" w:rsidR="00E44B2A" w:rsidRPr="00D11AD1" w:rsidRDefault="00E44B2A" w:rsidP="00E44B2A">
      <w:pPr>
        <w:tabs>
          <w:tab w:val="left" w:pos="851"/>
        </w:tabs>
        <w:ind w:left="851"/>
        <w:rPr>
          <w:sz w:val="24"/>
          <w:szCs w:val="24"/>
        </w:rPr>
      </w:pPr>
      <w:r w:rsidRPr="00D11AD1">
        <w:rPr>
          <w:sz w:val="24"/>
          <w:szCs w:val="24"/>
        </w:rPr>
        <w:t>BCR-ABL-tyrosinkinasehæmmere har været associeret med trombotisk mikroangiopati (TMA), inklusive enkelte indberetningstilfælde for dasatinib</w:t>
      </w:r>
      <w:r w:rsidRPr="00D11AD1" w:rsidDel="00853BF3">
        <w:rPr>
          <w:sz w:val="24"/>
          <w:szCs w:val="24"/>
        </w:rPr>
        <w:t xml:space="preserve"> </w:t>
      </w:r>
      <w:r w:rsidRPr="00D11AD1">
        <w:rPr>
          <w:sz w:val="24"/>
          <w:szCs w:val="24"/>
        </w:rPr>
        <w:t>(se pkt. 4.8). Hvis der opstår laboratoriefund eller kliniske fund associeret med TMA hos patienter, som modtager dasatinib, skal behandling med dasatinib</w:t>
      </w:r>
      <w:r w:rsidR="00D84A9E" w:rsidRPr="00D11AD1">
        <w:rPr>
          <w:sz w:val="24"/>
          <w:szCs w:val="24"/>
        </w:rPr>
        <w:t xml:space="preserve"> </w:t>
      </w:r>
      <w:r w:rsidRPr="00D11AD1">
        <w:rPr>
          <w:sz w:val="24"/>
          <w:szCs w:val="24"/>
        </w:rPr>
        <w:t>seponeres, og der skal udføres en grundig evaluering for TMA, inklusive ADAMTS13- aktivitet og anti-ADAMTS13-antistoffer. Hvis der er et forhøjet niveau af anti-ADAMTS13-antistof kombineret med lav ADAMTS13-aktivitet, skal behandling med dasatinib</w:t>
      </w:r>
      <w:r w:rsidR="00A25AEA" w:rsidRPr="00D11AD1">
        <w:rPr>
          <w:sz w:val="24"/>
          <w:szCs w:val="24"/>
        </w:rPr>
        <w:t xml:space="preserve"> </w:t>
      </w:r>
      <w:r w:rsidRPr="00D11AD1">
        <w:rPr>
          <w:sz w:val="24"/>
          <w:szCs w:val="24"/>
        </w:rPr>
        <w:t>ikke genoptages.</w:t>
      </w:r>
    </w:p>
    <w:p w14:paraId="03B2A47B" w14:textId="77777777" w:rsidR="00E44B2A" w:rsidRPr="00D11AD1" w:rsidRDefault="00E44B2A" w:rsidP="00E44B2A">
      <w:pPr>
        <w:tabs>
          <w:tab w:val="left" w:pos="851"/>
        </w:tabs>
        <w:ind w:left="851"/>
        <w:rPr>
          <w:sz w:val="24"/>
          <w:szCs w:val="24"/>
        </w:rPr>
      </w:pPr>
    </w:p>
    <w:p w14:paraId="775CB2DC"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Reaktivering af hepatitis B</w:t>
      </w:r>
    </w:p>
    <w:p w14:paraId="3A469A42" w14:textId="3FEBC22C" w:rsidR="00E44B2A" w:rsidRPr="00D11AD1" w:rsidRDefault="00E44B2A" w:rsidP="00E44B2A">
      <w:pPr>
        <w:tabs>
          <w:tab w:val="left" w:pos="851"/>
        </w:tabs>
        <w:ind w:left="851"/>
        <w:rPr>
          <w:sz w:val="24"/>
          <w:szCs w:val="24"/>
        </w:rPr>
      </w:pPr>
      <w:r w:rsidRPr="00D11AD1">
        <w:rPr>
          <w:sz w:val="24"/>
          <w:szCs w:val="24"/>
        </w:rPr>
        <w:t>Reaktivering af hepatitis B er forekommet hos kroniske bærere af hepatitis B-virus (HBV), efter at patienten har fået en BCR-ABL-tyrosinkinase</w:t>
      </w:r>
      <w:r w:rsidR="00515D37" w:rsidRPr="00D11AD1">
        <w:rPr>
          <w:sz w:val="24"/>
          <w:szCs w:val="24"/>
        </w:rPr>
        <w:t>-</w:t>
      </w:r>
      <w:r w:rsidRPr="00D11AD1">
        <w:rPr>
          <w:sz w:val="24"/>
          <w:szCs w:val="24"/>
        </w:rPr>
        <w:t>hæmmer. I nogle tilfælde har dette medført akut leversvigt eller fulminant hepatitis, førende til levertransplantation eller død.</w:t>
      </w:r>
    </w:p>
    <w:p w14:paraId="4198A507" w14:textId="47C72996" w:rsidR="00E44B2A" w:rsidRPr="00D11AD1" w:rsidRDefault="00E44B2A" w:rsidP="00E44B2A">
      <w:pPr>
        <w:tabs>
          <w:tab w:val="left" w:pos="851"/>
        </w:tabs>
        <w:ind w:left="851"/>
        <w:rPr>
          <w:sz w:val="24"/>
          <w:szCs w:val="24"/>
        </w:rPr>
      </w:pPr>
      <w:r w:rsidRPr="00D11AD1">
        <w:rPr>
          <w:sz w:val="24"/>
          <w:szCs w:val="24"/>
        </w:rPr>
        <w:t xml:space="preserve">Patienten bør testes for HBV-infektion før initiering af behandling med </w:t>
      </w:r>
      <w:r w:rsidR="00F0590E" w:rsidRPr="00D11AD1">
        <w:rPr>
          <w:sz w:val="24"/>
          <w:szCs w:val="24"/>
        </w:rPr>
        <w:t xml:space="preserve">Dasatinib </w:t>
      </w:r>
      <w:r w:rsidR="003A0506">
        <w:rPr>
          <w:sz w:val="24"/>
          <w:szCs w:val="24"/>
        </w:rPr>
        <w:t>"Vivanta"</w:t>
      </w:r>
      <w:r w:rsidRPr="00D11AD1">
        <w:rPr>
          <w:sz w:val="24"/>
          <w:szCs w:val="24"/>
        </w:rPr>
        <w:t>. En specialist i leversygdomme og i behandling af hepatitis B skal konsulteres, før behandling initieres hos patienter med positiv hepatitis B-serologi (herunder patienter med aktiv sygdom), og hvis patienten testes HBV</w:t>
      </w:r>
      <w:r w:rsidR="00385AF5" w:rsidRPr="00D11AD1">
        <w:rPr>
          <w:sz w:val="24"/>
          <w:szCs w:val="24"/>
        </w:rPr>
        <w:t>-</w:t>
      </w:r>
      <w:r w:rsidRPr="00D11AD1">
        <w:rPr>
          <w:sz w:val="24"/>
          <w:szCs w:val="24"/>
        </w:rPr>
        <w:t xml:space="preserve">positiv under behandlingen. Bærere af HBV, hvor behandling med </w:t>
      </w:r>
      <w:r w:rsidR="002A7F3B" w:rsidRPr="00D11AD1">
        <w:rPr>
          <w:sz w:val="24"/>
          <w:szCs w:val="24"/>
        </w:rPr>
        <w:t xml:space="preserve">Dasatinib </w:t>
      </w:r>
      <w:r w:rsidR="003A0506">
        <w:rPr>
          <w:sz w:val="24"/>
          <w:szCs w:val="24"/>
        </w:rPr>
        <w:t>"Vivanta"</w:t>
      </w:r>
      <w:r w:rsidR="00385AF5" w:rsidRPr="00D11AD1">
        <w:rPr>
          <w:sz w:val="24"/>
          <w:szCs w:val="24"/>
        </w:rPr>
        <w:t xml:space="preserve"> </w:t>
      </w:r>
      <w:r w:rsidRPr="00D11AD1">
        <w:rPr>
          <w:sz w:val="24"/>
          <w:szCs w:val="24"/>
        </w:rPr>
        <w:t>er nødvendig, skal overvåges tæt for tegn og symptomer på aktiv HBV-infektion i hele behandlingsperioden og i flere måneder efter behandlingsophør (se pkt. 4.8).</w:t>
      </w:r>
    </w:p>
    <w:p w14:paraId="6722FCAE" w14:textId="77777777" w:rsidR="00E44B2A" w:rsidRPr="00D11AD1" w:rsidRDefault="00E44B2A" w:rsidP="00E44B2A">
      <w:pPr>
        <w:tabs>
          <w:tab w:val="left" w:pos="851"/>
        </w:tabs>
        <w:ind w:left="851"/>
        <w:rPr>
          <w:sz w:val="24"/>
          <w:szCs w:val="24"/>
        </w:rPr>
      </w:pPr>
    </w:p>
    <w:p w14:paraId="4AD754B7" w14:textId="77777777" w:rsidR="00E44B2A" w:rsidRPr="00D11AD1" w:rsidRDefault="00E44B2A" w:rsidP="00E44B2A">
      <w:pPr>
        <w:tabs>
          <w:tab w:val="left" w:pos="851"/>
        </w:tabs>
        <w:ind w:left="851"/>
        <w:rPr>
          <w:i/>
          <w:iCs/>
          <w:sz w:val="24"/>
          <w:szCs w:val="24"/>
          <w:u w:val="single"/>
        </w:rPr>
      </w:pPr>
      <w:r w:rsidRPr="00D11AD1">
        <w:rPr>
          <w:i/>
          <w:iCs/>
          <w:sz w:val="24"/>
          <w:szCs w:val="24"/>
          <w:u w:val="single"/>
        </w:rPr>
        <w:t>Effekter på vækst og udvikling hos pædiatriske patienter</w:t>
      </w:r>
    </w:p>
    <w:p w14:paraId="41D9D57C" w14:textId="61BB7FE5" w:rsidR="00E44B2A" w:rsidRPr="00D11AD1" w:rsidRDefault="00E44B2A" w:rsidP="00E44B2A">
      <w:pPr>
        <w:tabs>
          <w:tab w:val="left" w:pos="851"/>
        </w:tabs>
        <w:ind w:left="851"/>
        <w:rPr>
          <w:sz w:val="24"/>
          <w:szCs w:val="24"/>
        </w:rPr>
      </w:pPr>
      <w:r w:rsidRPr="00D11AD1">
        <w:rPr>
          <w:sz w:val="24"/>
          <w:szCs w:val="24"/>
        </w:rPr>
        <w:t>I pædiatriske studier med dasatinibhos imatinib resistente/intolerante pædiatriske patienter med Ph+ CML-CP og behandlingsnaive pædiatriske patienter med Ph+ CML-CP efter mindst 2 års behandling blev behandlingsrelaterede bivirkninger associeret med knoglevækst og –udvikling rapporteret hos 6 (4,6</w:t>
      </w:r>
      <w:r w:rsidR="00FA34A4" w:rsidRPr="00D11AD1">
        <w:rPr>
          <w:sz w:val="24"/>
          <w:szCs w:val="24"/>
        </w:rPr>
        <w:t xml:space="preserve"> %</w:t>
      </w:r>
      <w:r w:rsidRPr="00D11AD1">
        <w:rPr>
          <w:sz w:val="24"/>
          <w:szCs w:val="24"/>
        </w:rPr>
        <w:t xml:space="preserve">) patienter, hvoraf </w:t>
      </w:r>
      <w:r w:rsidR="004209F1" w:rsidRPr="00D11AD1">
        <w:rPr>
          <w:sz w:val="24"/>
          <w:szCs w:val="24"/>
        </w:rPr>
        <w:t>en</w:t>
      </w:r>
      <w:r w:rsidRPr="00D11AD1">
        <w:rPr>
          <w:sz w:val="24"/>
          <w:szCs w:val="24"/>
        </w:rPr>
        <w:t xml:space="preserve"> var svær i intensitet (grad 3 væksthæmning). Disse 6 tilfælde inkluderede tilfælde af forsinket epifysefusion, osteopeni, væksthæmning og gynækomasti (se pkt. 5.1). Resultaterne er svære at fortolke i konteksten af kroniske sygdomme som CML, og langsigtet opfølgning er påkrævet.</w:t>
      </w:r>
    </w:p>
    <w:p w14:paraId="37B86208" w14:textId="77777777" w:rsidR="00951E66" w:rsidRDefault="00951E66" w:rsidP="00E44B2A">
      <w:pPr>
        <w:tabs>
          <w:tab w:val="left" w:pos="851"/>
        </w:tabs>
        <w:ind w:left="851"/>
        <w:rPr>
          <w:sz w:val="24"/>
          <w:szCs w:val="24"/>
        </w:rPr>
      </w:pPr>
    </w:p>
    <w:p w14:paraId="105C92F8" w14:textId="248FB250" w:rsidR="00E44B2A" w:rsidRPr="00D11AD1" w:rsidRDefault="00E44B2A" w:rsidP="00E44B2A">
      <w:pPr>
        <w:tabs>
          <w:tab w:val="left" w:pos="851"/>
        </w:tabs>
        <w:ind w:left="851"/>
        <w:rPr>
          <w:sz w:val="24"/>
          <w:szCs w:val="24"/>
        </w:rPr>
      </w:pPr>
      <w:r w:rsidRPr="00D11AD1">
        <w:rPr>
          <w:sz w:val="24"/>
          <w:szCs w:val="24"/>
        </w:rPr>
        <w:t>I pædiatriske studier med dasatinibi kombination med kemoterapi hos nydiagnosticerede pædiatriske patienter med Ph+ ALL blev der, efter maksimalt 2 års behandling, rapporteret behandlingsrelaterede bivirkninger associeret med knoglevækst og udvikling hos 1 (0,6</w:t>
      </w:r>
      <w:r w:rsidR="00FA34A4" w:rsidRPr="00D11AD1">
        <w:rPr>
          <w:sz w:val="24"/>
          <w:szCs w:val="24"/>
        </w:rPr>
        <w:t xml:space="preserve"> %</w:t>
      </w:r>
      <w:r w:rsidRPr="00D11AD1">
        <w:rPr>
          <w:sz w:val="24"/>
          <w:szCs w:val="24"/>
        </w:rPr>
        <w:t>) patient.</w:t>
      </w:r>
    </w:p>
    <w:p w14:paraId="4A7EED6A" w14:textId="26E858E7" w:rsidR="00E44B2A" w:rsidRPr="00D11AD1" w:rsidRDefault="00E44B2A" w:rsidP="00E44B2A">
      <w:pPr>
        <w:tabs>
          <w:tab w:val="left" w:pos="851"/>
        </w:tabs>
        <w:ind w:left="851"/>
        <w:rPr>
          <w:sz w:val="24"/>
          <w:szCs w:val="24"/>
        </w:rPr>
      </w:pPr>
      <w:r w:rsidRPr="00D11AD1">
        <w:rPr>
          <w:sz w:val="24"/>
          <w:szCs w:val="24"/>
        </w:rPr>
        <w:t>Dette tilfælde var grad 1 osteopeni.</w:t>
      </w:r>
    </w:p>
    <w:p w14:paraId="3AA7566F" w14:textId="40ABA2DC" w:rsidR="004B2A25" w:rsidRPr="00D11AD1" w:rsidRDefault="004B2A25" w:rsidP="00E44B2A">
      <w:pPr>
        <w:tabs>
          <w:tab w:val="left" w:pos="851"/>
        </w:tabs>
        <w:ind w:left="851"/>
        <w:rPr>
          <w:sz w:val="24"/>
          <w:szCs w:val="24"/>
        </w:rPr>
      </w:pPr>
    </w:p>
    <w:p w14:paraId="1A98E94C" w14:textId="2FAC9354" w:rsidR="002A7F3B" w:rsidRPr="00D11AD1" w:rsidRDefault="002A7F3B" w:rsidP="002A7F3B">
      <w:pPr>
        <w:tabs>
          <w:tab w:val="left" w:pos="851"/>
        </w:tabs>
        <w:ind w:left="851"/>
        <w:rPr>
          <w:sz w:val="24"/>
          <w:szCs w:val="24"/>
        </w:rPr>
      </w:pPr>
      <w:r w:rsidRPr="00D11AD1">
        <w:rPr>
          <w:sz w:val="24"/>
          <w:szCs w:val="24"/>
        </w:rPr>
        <w:t xml:space="preserve">Der er observeret væksthæmning hos pædiatriske patienter behandlet med Dasatinib </w:t>
      </w:r>
      <w:r w:rsidR="003A0506">
        <w:rPr>
          <w:sz w:val="24"/>
          <w:szCs w:val="24"/>
        </w:rPr>
        <w:t>"Vivanta"</w:t>
      </w:r>
      <w:r w:rsidRPr="00D11AD1">
        <w:rPr>
          <w:sz w:val="24"/>
          <w:szCs w:val="24"/>
        </w:rPr>
        <w:t xml:space="preserve"> i kliniske forsøg (se pkt. 4.8). Det anbefales at monitorere knoglevækst og -udvikling hos pædiatriske patienter.</w:t>
      </w:r>
    </w:p>
    <w:p w14:paraId="0266D3A1" w14:textId="77777777" w:rsidR="00E44B2A" w:rsidRPr="00D11AD1" w:rsidRDefault="00E44B2A" w:rsidP="00E44B2A">
      <w:pPr>
        <w:tabs>
          <w:tab w:val="left" w:pos="851"/>
        </w:tabs>
        <w:ind w:left="851"/>
        <w:rPr>
          <w:sz w:val="24"/>
          <w:szCs w:val="24"/>
        </w:rPr>
      </w:pPr>
    </w:p>
    <w:p w14:paraId="3DD16BFB" w14:textId="77777777" w:rsidR="00E44B2A" w:rsidRPr="00D11AD1" w:rsidRDefault="00E44B2A" w:rsidP="00E44B2A">
      <w:pPr>
        <w:tabs>
          <w:tab w:val="left" w:pos="851"/>
        </w:tabs>
        <w:ind w:left="851"/>
        <w:rPr>
          <w:sz w:val="24"/>
          <w:szCs w:val="24"/>
          <w:u w:val="single"/>
        </w:rPr>
      </w:pPr>
      <w:r w:rsidRPr="00D11AD1">
        <w:rPr>
          <w:sz w:val="24"/>
          <w:szCs w:val="24"/>
          <w:u w:val="single"/>
        </w:rPr>
        <w:t>Hjælpestoffer</w:t>
      </w:r>
    </w:p>
    <w:p w14:paraId="26284146" w14:textId="77777777" w:rsidR="00E44B2A" w:rsidRPr="00D11AD1" w:rsidRDefault="00E44B2A" w:rsidP="00E44B2A">
      <w:pPr>
        <w:tabs>
          <w:tab w:val="left" w:pos="851"/>
        </w:tabs>
        <w:ind w:left="851"/>
        <w:rPr>
          <w:sz w:val="24"/>
          <w:szCs w:val="24"/>
          <w:u w:val="single"/>
        </w:rPr>
      </w:pPr>
    </w:p>
    <w:p w14:paraId="10BE6A2C" w14:textId="77777777" w:rsidR="00E44B2A" w:rsidRPr="00D11AD1" w:rsidRDefault="00E44B2A" w:rsidP="00E44B2A">
      <w:pPr>
        <w:tabs>
          <w:tab w:val="left" w:pos="851"/>
        </w:tabs>
        <w:ind w:left="851"/>
        <w:rPr>
          <w:sz w:val="24"/>
          <w:szCs w:val="24"/>
        </w:rPr>
      </w:pPr>
      <w:r w:rsidRPr="00D11AD1">
        <w:rPr>
          <w:sz w:val="24"/>
          <w:szCs w:val="24"/>
        </w:rPr>
        <w:t>Dette produkt indeholder lactosemonohydrat. Patienter med sjældne arvelige problemer med galactoseintolerans, total lactasemangel eller glucose-/galactose-malabsorption bør ikke tage dette lægemiddel.</w:t>
      </w:r>
    </w:p>
    <w:p w14:paraId="73FBCE0F" w14:textId="77777777" w:rsidR="00E44B2A" w:rsidRPr="00D11AD1" w:rsidRDefault="00E44B2A" w:rsidP="00E44B2A">
      <w:pPr>
        <w:tabs>
          <w:tab w:val="left" w:pos="851"/>
        </w:tabs>
        <w:ind w:left="851"/>
        <w:rPr>
          <w:sz w:val="24"/>
          <w:szCs w:val="24"/>
        </w:rPr>
      </w:pPr>
    </w:p>
    <w:p w14:paraId="58764BCC" w14:textId="77777777" w:rsidR="00E44B2A" w:rsidRPr="00D11AD1" w:rsidRDefault="00E44B2A" w:rsidP="00E44B2A">
      <w:pPr>
        <w:tabs>
          <w:tab w:val="left" w:pos="851"/>
        </w:tabs>
        <w:ind w:left="851"/>
        <w:rPr>
          <w:sz w:val="24"/>
          <w:szCs w:val="24"/>
        </w:rPr>
      </w:pPr>
      <w:r w:rsidRPr="00D11AD1">
        <w:rPr>
          <w:sz w:val="24"/>
          <w:szCs w:val="24"/>
        </w:rPr>
        <w:lastRenderedPageBreak/>
        <w:t>Dette lægemiddel indeholder natrium (som croscamellose):</w:t>
      </w:r>
      <w:r w:rsidR="00844666" w:rsidRPr="00D11AD1">
        <w:rPr>
          <w:sz w:val="24"/>
          <w:szCs w:val="24"/>
        </w:rPr>
        <w:t xml:space="preserve"> </w:t>
      </w:r>
      <w:r w:rsidRPr="00D11AD1">
        <w:rPr>
          <w:sz w:val="24"/>
          <w:szCs w:val="24"/>
        </w:rPr>
        <w:t xml:space="preserve">Denne medicin indeholder mindre end 1 mmol natrium (23 mg) pr. tablet, og det vil sige, den er i det væsentlige </w:t>
      </w:r>
      <w:r w:rsidR="004209F1" w:rsidRPr="00D11AD1">
        <w:rPr>
          <w:sz w:val="24"/>
          <w:szCs w:val="24"/>
        </w:rPr>
        <w:t>"</w:t>
      </w:r>
      <w:r w:rsidRPr="00D11AD1">
        <w:rPr>
          <w:sz w:val="24"/>
          <w:szCs w:val="24"/>
        </w:rPr>
        <w:t>natriumfri</w:t>
      </w:r>
      <w:r w:rsidR="004209F1" w:rsidRPr="00D11AD1">
        <w:rPr>
          <w:sz w:val="24"/>
          <w:szCs w:val="24"/>
        </w:rPr>
        <w:t>"</w:t>
      </w:r>
      <w:r w:rsidRPr="00D11AD1">
        <w:rPr>
          <w:sz w:val="24"/>
          <w:szCs w:val="24"/>
        </w:rPr>
        <w:t>.</w:t>
      </w:r>
    </w:p>
    <w:p w14:paraId="4D46B045" w14:textId="77777777" w:rsidR="009260DE" w:rsidRPr="00D11AD1" w:rsidRDefault="009260DE" w:rsidP="009260DE">
      <w:pPr>
        <w:tabs>
          <w:tab w:val="left" w:pos="851"/>
        </w:tabs>
        <w:ind w:left="851"/>
        <w:rPr>
          <w:sz w:val="24"/>
          <w:szCs w:val="24"/>
        </w:rPr>
      </w:pPr>
    </w:p>
    <w:p w14:paraId="2BE514C5" w14:textId="77777777" w:rsidR="009260DE" w:rsidRPr="00D11AD1" w:rsidRDefault="009260DE" w:rsidP="009260DE">
      <w:pPr>
        <w:tabs>
          <w:tab w:val="left" w:pos="851"/>
        </w:tabs>
        <w:ind w:left="851" w:hanging="851"/>
        <w:rPr>
          <w:b/>
          <w:sz w:val="24"/>
          <w:szCs w:val="24"/>
        </w:rPr>
      </w:pPr>
      <w:r w:rsidRPr="00D11AD1">
        <w:rPr>
          <w:b/>
          <w:sz w:val="24"/>
          <w:szCs w:val="24"/>
        </w:rPr>
        <w:t>4.5</w:t>
      </w:r>
      <w:r w:rsidRPr="00D11AD1">
        <w:rPr>
          <w:b/>
          <w:sz w:val="24"/>
          <w:szCs w:val="24"/>
        </w:rPr>
        <w:tab/>
        <w:t>Interaktion med andre lægemidler og andre former for interaktion</w:t>
      </w:r>
    </w:p>
    <w:p w14:paraId="0E5A8AE8" w14:textId="77777777" w:rsidR="00C55534" w:rsidRPr="00D11AD1" w:rsidRDefault="00C55534" w:rsidP="009C7227">
      <w:pPr>
        <w:tabs>
          <w:tab w:val="left" w:pos="851"/>
        </w:tabs>
        <w:ind w:left="851"/>
        <w:rPr>
          <w:sz w:val="24"/>
          <w:szCs w:val="24"/>
          <w:u w:val="single"/>
        </w:rPr>
      </w:pPr>
    </w:p>
    <w:p w14:paraId="428FA8BE" w14:textId="77777777" w:rsidR="009C7227" w:rsidRPr="00D11AD1" w:rsidRDefault="009C7227" w:rsidP="009C7227">
      <w:pPr>
        <w:tabs>
          <w:tab w:val="left" w:pos="851"/>
        </w:tabs>
        <w:ind w:left="851"/>
        <w:rPr>
          <w:i/>
          <w:iCs/>
          <w:sz w:val="24"/>
          <w:szCs w:val="24"/>
          <w:u w:val="single"/>
        </w:rPr>
      </w:pPr>
      <w:r w:rsidRPr="00D11AD1">
        <w:rPr>
          <w:sz w:val="24"/>
          <w:szCs w:val="24"/>
          <w:u w:val="single"/>
        </w:rPr>
        <w:t>Aktive substanser der kan øge plasmakoncentrationer af dasatinib</w:t>
      </w:r>
    </w:p>
    <w:p w14:paraId="1C495F49" w14:textId="77777777" w:rsidR="009C7227" w:rsidRPr="00D11AD1" w:rsidRDefault="009C7227" w:rsidP="009C7227">
      <w:pPr>
        <w:tabs>
          <w:tab w:val="left" w:pos="851"/>
        </w:tabs>
        <w:ind w:left="851"/>
        <w:rPr>
          <w:sz w:val="24"/>
          <w:szCs w:val="24"/>
        </w:rPr>
      </w:pPr>
      <w:r w:rsidRPr="00D11AD1">
        <w:rPr>
          <w:i/>
          <w:iCs/>
          <w:sz w:val="24"/>
          <w:szCs w:val="24"/>
        </w:rPr>
        <w:t xml:space="preserve">In vitro </w:t>
      </w:r>
      <w:r w:rsidRPr="00D11AD1">
        <w:rPr>
          <w:sz w:val="24"/>
          <w:szCs w:val="24"/>
        </w:rPr>
        <w:t>studier tyder på, at dasatinib er et CYP3A4-substrat. Samtidig brug af dasatinib og lægemidler eller stoffer, der er potente CYP3A4-hæmmere (fx ketoconazol, itraconazol, erythromycin, clarithromycin, ritonavir, telithromycin, grapefrugtjuice) kan øge eksponeringen af dasatinib. Systemisk administration af en potent CYP3A4-hæmmer frarådes derfor til patienter, der får dasatinib (se pkt. 4.2).</w:t>
      </w:r>
    </w:p>
    <w:p w14:paraId="45D93A54" w14:textId="77777777" w:rsidR="009C7227" w:rsidRPr="00D11AD1" w:rsidRDefault="009C7227" w:rsidP="009C7227">
      <w:pPr>
        <w:tabs>
          <w:tab w:val="left" w:pos="851"/>
        </w:tabs>
        <w:ind w:left="851"/>
        <w:rPr>
          <w:sz w:val="24"/>
          <w:szCs w:val="24"/>
        </w:rPr>
      </w:pPr>
    </w:p>
    <w:p w14:paraId="399F74F1" w14:textId="25DB2019" w:rsidR="00EE53F2" w:rsidRPr="00D11AD1" w:rsidRDefault="009C7227" w:rsidP="009C7227">
      <w:pPr>
        <w:tabs>
          <w:tab w:val="left" w:pos="851"/>
        </w:tabs>
        <w:ind w:left="851"/>
        <w:rPr>
          <w:i/>
          <w:iCs/>
          <w:sz w:val="24"/>
          <w:szCs w:val="24"/>
        </w:rPr>
      </w:pPr>
      <w:r w:rsidRPr="00D11AD1">
        <w:rPr>
          <w:sz w:val="24"/>
          <w:szCs w:val="24"/>
        </w:rPr>
        <w:t>Dasatinibs binding til plasmaproteiner er ca. 96</w:t>
      </w:r>
      <w:r w:rsidR="00FA34A4" w:rsidRPr="00D11AD1">
        <w:rPr>
          <w:sz w:val="24"/>
          <w:szCs w:val="24"/>
        </w:rPr>
        <w:t xml:space="preserve"> %</w:t>
      </w:r>
      <w:r w:rsidRPr="00D11AD1">
        <w:rPr>
          <w:sz w:val="24"/>
          <w:szCs w:val="24"/>
        </w:rPr>
        <w:t xml:space="preserve"> ved klinisk relevante koncentrationer, baseret på </w:t>
      </w:r>
      <w:r w:rsidRPr="00D11AD1">
        <w:rPr>
          <w:i/>
          <w:iCs/>
          <w:sz w:val="24"/>
          <w:szCs w:val="24"/>
        </w:rPr>
        <w:t xml:space="preserve">in vitro </w:t>
      </w:r>
      <w:r w:rsidR="00EE53F2" w:rsidRPr="00D11AD1">
        <w:rPr>
          <w:sz w:val="24"/>
          <w:szCs w:val="24"/>
        </w:rPr>
        <w:t>undersøgelser. Der er ikke udført studier til at evaluere dasatinibs interaktion med andre proteinbundne lægemidler. Potentialet for forskydning og dennes kliniske relevans er ukendt.</w:t>
      </w:r>
    </w:p>
    <w:p w14:paraId="355625E1" w14:textId="77777777" w:rsidR="00EE53F2" w:rsidRPr="00D11AD1" w:rsidRDefault="00EE53F2" w:rsidP="00EE53F2">
      <w:pPr>
        <w:tabs>
          <w:tab w:val="left" w:pos="851"/>
        </w:tabs>
        <w:ind w:left="851"/>
        <w:rPr>
          <w:sz w:val="24"/>
          <w:szCs w:val="24"/>
          <w:u w:val="single"/>
        </w:rPr>
      </w:pPr>
    </w:p>
    <w:p w14:paraId="44F80AE5" w14:textId="77777777" w:rsidR="00EE53F2" w:rsidRPr="00D11AD1" w:rsidRDefault="00EE53F2" w:rsidP="00EE53F2">
      <w:pPr>
        <w:tabs>
          <w:tab w:val="left" w:pos="851"/>
        </w:tabs>
        <w:ind w:left="851"/>
        <w:rPr>
          <w:sz w:val="24"/>
          <w:szCs w:val="24"/>
          <w:u w:val="single"/>
        </w:rPr>
      </w:pPr>
      <w:r w:rsidRPr="00D11AD1">
        <w:rPr>
          <w:sz w:val="24"/>
          <w:szCs w:val="24"/>
          <w:u w:val="single"/>
        </w:rPr>
        <w:t>Aktive substanser der kan reducere plasmakoncentration af dasatinib</w:t>
      </w:r>
    </w:p>
    <w:p w14:paraId="7AC6CB14" w14:textId="40073484" w:rsidR="00EE53F2" w:rsidRPr="00D11AD1" w:rsidRDefault="00EE53F2" w:rsidP="00EE53F2">
      <w:pPr>
        <w:tabs>
          <w:tab w:val="left" w:pos="851"/>
        </w:tabs>
        <w:ind w:left="851"/>
        <w:rPr>
          <w:sz w:val="24"/>
          <w:szCs w:val="24"/>
        </w:rPr>
      </w:pPr>
      <w:r w:rsidRPr="00D11AD1">
        <w:rPr>
          <w:sz w:val="24"/>
          <w:szCs w:val="24"/>
        </w:rPr>
        <w:t xml:space="preserve">Når </w:t>
      </w:r>
      <w:r w:rsidR="00385AF5" w:rsidRPr="00D11AD1">
        <w:rPr>
          <w:sz w:val="24"/>
          <w:szCs w:val="24"/>
        </w:rPr>
        <w:t>d</w:t>
      </w:r>
      <w:r w:rsidRPr="00D11AD1">
        <w:rPr>
          <w:sz w:val="24"/>
          <w:szCs w:val="24"/>
        </w:rPr>
        <w:t>asatinib administreredes efter 8 daglige aften-administrationer af 600 mg rifampicin, der er en potent CYP3A4-induktor, faldt AUC af dasatinib med 82</w:t>
      </w:r>
      <w:r w:rsidR="00FA34A4" w:rsidRPr="00D11AD1">
        <w:rPr>
          <w:sz w:val="24"/>
          <w:szCs w:val="24"/>
        </w:rPr>
        <w:t xml:space="preserve"> %</w:t>
      </w:r>
      <w:r w:rsidRPr="00D11AD1">
        <w:rPr>
          <w:sz w:val="24"/>
          <w:szCs w:val="24"/>
        </w:rPr>
        <w:t xml:space="preserve">. Andre lægemidler, der inducerer CYP3A4-aktivitet (fx dexamethason, phenytoin, carbamazepin, phenobarbital eller naturlægemidler, der indeholder </w:t>
      </w:r>
      <w:r w:rsidRPr="00D11AD1">
        <w:rPr>
          <w:i/>
          <w:iCs/>
          <w:sz w:val="24"/>
          <w:szCs w:val="24"/>
        </w:rPr>
        <w:t>Hypericum perforatum</w:t>
      </w:r>
      <w:r w:rsidRPr="00D11AD1">
        <w:rPr>
          <w:sz w:val="24"/>
          <w:szCs w:val="24"/>
        </w:rPr>
        <w:t>, også kendt som perikon), kan øge metabolismen og reducere plasmakoncentrationer af dasatinib. Samtidig brug af potente CYP3A4-induktorer og dasatinib anbefales derfor ikke. Til patienter med behov for rifampicin eller andre CYP3A4-induktorer bør der anvendes alternative lægemidler med mindre enzyminduktionspotentiale. Samtidig brug af dexamethason, en svag CYP3A4-induktor, sammen med dasatinib er tilladt. AUC for dasatinib forventes at blive reduceret med cirka 25</w:t>
      </w:r>
      <w:r w:rsidR="00FA34A4" w:rsidRPr="00D11AD1">
        <w:rPr>
          <w:sz w:val="24"/>
          <w:szCs w:val="24"/>
        </w:rPr>
        <w:t xml:space="preserve"> %</w:t>
      </w:r>
      <w:r w:rsidRPr="00D11AD1">
        <w:rPr>
          <w:sz w:val="24"/>
          <w:szCs w:val="24"/>
        </w:rPr>
        <w:t xml:space="preserve"> ved samtidig brug af dexamethason, hvilket sandsynligvis ikke vil være klinisk betydningsfuldt.</w:t>
      </w:r>
    </w:p>
    <w:p w14:paraId="3769C0F1" w14:textId="77777777" w:rsidR="00EE53F2" w:rsidRPr="00D11AD1" w:rsidRDefault="00EE53F2" w:rsidP="00EE53F2">
      <w:pPr>
        <w:tabs>
          <w:tab w:val="left" w:pos="851"/>
        </w:tabs>
        <w:ind w:left="851"/>
        <w:rPr>
          <w:sz w:val="24"/>
          <w:szCs w:val="24"/>
        </w:rPr>
      </w:pPr>
    </w:p>
    <w:p w14:paraId="6F1BAEFF" w14:textId="77777777" w:rsidR="00EE53F2" w:rsidRPr="00D11AD1" w:rsidRDefault="00EE53F2" w:rsidP="00EE53F2">
      <w:pPr>
        <w:tabs>
          <w:tab w:val="left" w:pos="851"/>
        </w:tabs>
        <w:ind w:left="851"/>
        <w:rPr>
          <w:i/>
          <w:iCs/>
          <w:sz w:val="24"/>
          <w:szCs w:val="24"/>
          <w:u w:val="single"/>
        </w:rPr>
      </w:pPr>
      <w:r w:rsidRPr="00D11AD1">
        <w:rPr>
          <w:i/>
          <w:iCs/>
          <w:sz w:val="24"/>
          <w:szCs w:val="24"/>
          <w:u w:val="single"/>
        </w:rPr>
        <w:t>Histamin-2-antagonister og protonpumpe-hæmmere</w:t>
      </w:r>
    </w:p>
    <w:p w14:paraId="1415577D" w14:textId="0E052EF0" w:rsidR="00EE53F2" w:rsidRPr="00D11AD1" w:rsidRDefault="00EE53F2" w:rsidP="00EE53F2">
      <w:pPr>
        <w:tabs>
          <w:tab w:val="left" w:pos="851"/>
        </w:tabs>
        <w:ind w:left="851"/>
        <w:rPr>
          <w:sz w:val="24"/>
          <w:szCs w:val="24"/>
        </w:rPr>
      </w:pPr>
      <w:r w:rsidRPr="00D11AD1">
        <w:rPr>
          <w:sz w:val="24"/>
          <w:szCs w:val="24"/>
        </w:rPr>
        <w:t>Langvarig suppression af mavesyresekretion ved H2-antagonister eller protonpumpe-hæmmere (fx famotidin og omeprazol) vil sandsynligvis reducere eksponeringen af dasatinib. I et enkeltdosisstudie med raske frivillige reduceredes ekponeringen af dasatinib med 61</w:t>
      </w:r>
      <w:r w:rsidR="00FA34A4" w:rsidRPr="00D11AD1">
        <w:rPr>
          <w:sz w:val="24"/>
          <w:szCs w:val="24"/>
        </w:rPr>
        <w:t xml:space="preserve"> %</w:t>
      </w:r>
      <w:r w:rsidRPr="00D11AD1">
        <w:rPr>
          <w:sz w:val="24"/>
          <w:szCs w:val="24"/>
        </w:rPr>
        <w:t xml:space="preserve"> efter administration af famotidin 10 timer inden indtagelse af enkeltdosis dasatinib. I en undersøgelse med 14 raske forsøgspersoner, resulterede administration af en enkeldosis på 100 mg dasatinib22 timer efter en dosis på 40 mg omeprazol i 4 dage, ved </w:t>
      </w:r>
      <w:r w:rsidRPr="00D11AD1">
        <w:rPr>
          <w:i/>
          <w:iCs/>
          <w:sz w:val="24"/>
          <w:szCs w:val="24"/>
        </w:rPr>
        <w:t xml:space="preserve">steady state </w:t>
      </w:r>
      <w:r w:rsidRPr="00D11AD1">
        <w:rPr>
          <w:sz w:val="24"/>
          <w:szCs w:val="24"/>
        </w:rPr>
        <w:t>i en reduktion af AUC for dasatinib på 43</w:t>
      </w:r>
      <w:r w:rsidR="00FA34A4" w:rsidRPr="00D11AD1">
        <w:rPr>
          <w:sz w:val="24"/>
          <w:szCs w:val="24"/>
        </w:rPr>
        <w:t xml:space="preserve"> %</w:t>
      </w:r>
      <w:r w:rsidRPr="00D11AD1">
        <w:rPr>
          <w:sz w:val="24"/>
          <w:szCs w:val="24"/>
        </w:rPr>
        <w:t xml:space="preserve"> og Cmax for dasatinib på 42</w:t>
      </w:r>
      <w:r w:rsidR="00FA34A4" w:rsidRPr="00D11AD1">
        <w:rPr>
          <w:sz w:val="24"/>
          <w:szCs w:val="24"/>
        </w:rPr>
        <w:t xml:space="preserve"> %</w:t>
      </w:r>
      <w:r w:rsidRPr="00D11AD1">
        <w:rPr>
          <w:sz w:val="24"/>
          <w:szCs w:val="24"/>
        </w:rPr>
        <w:t>. Det bør overvejes, at bruge antacida i stedet for H2-antagonister eller protonpumpe-hæmmere, til patienter, der er i behandling med dasatinib</w:t>
      </w:r>
      <w:r w:rsidRPr="00D11AD1" w:rsidDel="00EA7FB6">
        <w:rPr>
          <w:sz w:val="24"/>
          <w:szCs w:val="24"/>
        </w:rPr>
        <w:t xml:space="preserve"> </w:t>
      </w:r>
      <w:r w:rsidRPr="00D11AD1">
        <w:rPr>
          <w:sz w:val="24"/>
          <w:szCs w:val="24"/>
        </w:rPr>
        <w:t>(se pkt. 4.4).</w:t>
      </w:r>
    </w:p>
    <w:p w14:paraId="11CA0ACA" w14:textId="77777777" w:rsidR="00EE53F2" w:rsidRPr="00D11AD1" w:rsidRDefault="00EE53F2" w:rsidP="00EE53F2">
      <w:pPr>
        <w:tabs>
          <w:tab w:val="left" w:pos="851"/>
        </w:tabs>
        <w:ind w:left="851"/>
        <w:rPr>
          <w:sz w:val="24"/>
          <w:szCs w:val="24"/>
        </w:rPr>
      </w:pPr>
    </w:p>
    <w:p w14:paraId="0F0C9997" w14:textId="77777777" w:rsidR="00EE53F2" w:rsidRPr="00D11AD1" w:rsidRDefault="00EE53F2" w:rsidP="00EE53F2">
      <w:pPr>
        <w:tabs>
          <w:tab w:val="left" w:pos="851"/>
        </w:tabs>
        <w:ind w:left="851"/>
        <w:rPr>
          <w:i/>
          <w:sz w:val="24"/>
          <w:szCs w:val="24"/>
          <w:u w:val="single"/>
        </w:rPr>
      </w:pPr>
      <w:r w:rsidRPr="00D11AD1">
        <w:rPr>
          <w:i/>
          <w:sz w:val="24"/>
          <w:szCs w:val="24"/>
          <w:u w:val="single"/>
        </w:rPr>
        <w:t>Antacida</w:t>
      </w:r>
    </w:p>
    <w:p w14:paraId="716CDDCA" w14:textId="41C05F2C" w:rsidR="00EE53F2" w:rsidRPr="00D11AD1" w:rsidRDefault="00EE53F2" w:rsidP="00EE53F2">
      <w:pPr>
        <w:tabs>
          <w:tab w:val="left" w:pos="851"/>
        </w:tabs>
        <w:ind w:left="851"/>
        <w:rPr>
          <w:sz w:val="24"/>
          <w:szCs w:val="24"/>
        </w:rPr>
      </w:pPr>
      <w:r w:rsidRPr="00D11AD1">
        <w:rPr>
          <w:sz w:val="24"/>
          <w:szCs w:val="24"/>
        </w:rPr>
        <w:t>Ikke-kliniske data viser, at dasatinibs opløselighed er pH-afhængig. Ved samtidig brug af aluminumhydroxid-/magnesiumhydroxidantacida og dasatinib</w:t>
      </w:r>
      <w:r w:rsidR="002E419E" w:rsidRPr="00D11AD1">
        <w:rPr>
          <w:sz w:val="24"/>
          <w:szCs w:val="24"/>
        </w:rPr>
        <w:t xml:space="preserve"> </w:t>
      </w:r>
      <w:r w:rsidRPr="00D11AD1">
        <w:rPr>
          <w:sz w:val="24"/>
          <w:szCs w:val="24"/>
        </w:rPr>
        <w:t>hos raske frivillige reduceres AUC efter indtagelse af enkeltdosis dasatinib</w:t>
      </w:r>
      <w:r w:rsidR="002E419E" w:rsidRPr="00D11AD1">
        <w:rPr>
          <w:sz w:val="24"/>
          <w:szCs w:val="24"/>
        </w:rPr>
        <w:t xml:space="preserve"> </w:t>
      </w:r>
      <w:r w:rsidRPr="00D11AD1">
        <w:rPr>
          <w:sz w:val="24"/>
          <w:szCs w:val="24"/>
        </w:rPr>
        <w:t>med 55</w:t>
      </w:r>
      <w:r w:rsidR="00FA34A4" w:rsidRPr="00D11AD1">
        <w:rPr>
          <w:sz w:val="24"/>
          <w:szCs w:val="24"/>
        </w:rPr>
        <w:t xml:space="preserve"> %</w:t>
      </w:r>
      <w:r w:rsidRPr="00D11AD1">
        <w:rPr>
          <w:sz w:val="24"/>
          <w:szCs w:val="24"/>
        </w:rPr>
        <w:t xml:space="preserve"> og C</w:t>
      </w:r>
      <w:r w:rsidRPr="00D11AD1">
        <w:rPr>
          <w:sz w:val="24"/>
          <w:szCs w:val="24"/>
          <w:vertAlign w:val="subscript"/>
        </w:rPr>
        <w:t>max</w:t>
      </w:r>
      <w:r w:rsidRPr="00D11AD1">
        <w:rPr>
          <w:sz w:val="24"/>
          <w:szCs w:val="24"/>
        </w:rPr>
        <w:t xml:space="preserve"> med 58</w:t>
      </w:r>
      <w:r w:rsidR="00FA34A4" w:rsidRPr="00D11AD1">
        <w:rPr>
          <w:sz w:val="24"/>
          <w:szCs w:val="24"/>
        </w:rPr>
        <w:t xml:space="preserve"> %</w:t>
      </w:r>
      <w:r w:rsidRPr="00D11AD1">
        <w:rPr>
          <w:sz w:val="24"/>
          <w:szCs w:val="24"/>
        </w:rPr>
        <w:t>. Når antacida administreredes 2 timer inden indtagelse af enkeltdosis dasatinib</w:t>
      </w:r>
      <w:r w:rsidR="002E419E" w:rsidRPr="00D11AD1">
        <w:rPr>
          <w:sz w:val="24"/>
          <w:szCs w:val="24"/>
        </w:rPr>
        <w:t xml:space="preserve">, </w:t>
      </w:r>
      <w:r w:rsidRPr="00D11AD1">
        <w:rPr>
          <w:sz w:val="24"/>
          <w:szCs w:val="24"/>
        </w:rPr>
        <w:t xml:space="preserve">sås der imidlertid ingen relevante ændringer i koncentration eller eksponeringen af dasatinib. </w:t>
      </w:r>
      <w:r w:rsidRPr="00D11AD1">
        <w:rPr>
          <w:sz w:val="24"/>
          <w:szCs w:val="24"/>
        </w:rPr>
        <w:lastRenderedPageBreak/>
        <w:t>Antacida kan derfor administreres i op til 2 timer inden eller 2 timer efter dasatinib</w:t>
      </w:r>
      <w:r w:rsidRPr="00D11AD1" w:rsidDel="00EA7FB6">
        <w:rPr>
          <w:sz w:val="24"/>
          <w:szCs w:val="24"/>
        </w:rPr>
        <w:t xml:space="preserve"> </w:t>
      </w:r>
      <w:r w:rsidRPr="00D11AD1">
        <w:rPr>
          <w:sz w:val="24"/>
          <w:szCs w:val="24"/>
        </w:rPr>
        <w:t>(se pkt. 4.4).</w:t>
      </w:r>
    </w:p>
    <w:p w14:paraId="78858777" w14:textId="77777777" w:rsidR="00EE53F2" w:rsidRPr="00D11AD1" w:rsidRDefault="00EE53F2" w:rsidP="00EE53F2">
      <w:pPr>
        <w:tabs>
          <w:tab w:val="left" w:pos="851"/>
        </w:tabs>
        <w:ind w:left="851"/>
        <w:rPr>
          <w:sz w:val="24"/>
          <w:szCs w:val="24"/>
        </w:rPr>
      </w:pPr>
    </w:p>
    <w:p w14:paraId="35AACE73" w14:textId="37637F9B" w:rsidR="00EE53F2" w:rsidRPr="00D11AD1" w:rsidRDefault="00EE53F2" w:rsidP="00EE53F2">
      <w:pPr>
        <w:tabs>
          <w:tab w:val="left" w:pos="851"/>
        </w:tabs>
        <w:ind w:left="851"/>
        <w:rPr>
          <w:sz w:val="24"/>
          <w:szCs w:val="24"/>
          <w:u w:val="single"/>
        </w:rPr>
      </w:pPr>
      <w:r w:rsidRPr="00D11AD1">
        <w:rPr>
          <w:sz w:val="24"/>
          <w:szCs w:val="24"/>
          <w:u w:val="single"/>
        </w:rPr>
        <w:t xml:space="preserve">Aktive stoffer, hvis plasmakoncentration kan ændres af </w:t>
      </w:r>
      <w:r w:rsidR="00705D0A" w:rsidRPr="00D11AD1">
        <w:rPr>
          <w:sz w:val="24"/>
          <w:szCs w:val="24"/>
          <w:u w:val="single"/>
        </w:rPr>
        <w:t>d</w:t>
      </w:r>
      <w:r w:rsidRPr="00D11AD1">
        <w:rPr>
          <w:sz w:val="24"/>
          <w:szCs w:val="24"/>
          <w:u w:val="single"/>
        </w:rPr>
        <w:t>asatinib</w:t>
      </w:r>
    </w:p>
    <w:p w14:paraId="74BEF31B" w14:textId="7D151D8D" w:rsidR="00EE53F2" w:rsidRPr="00D11AD1" w:rsidRDefault="00EE53F2" w:rsidP="00EE53F2">
      <w:pPr>
        <w:tabs>
          <w:tab w:val="left" w:pos="851"/>
        </w:tabs>
        <w:ind w:left="851"/>
        <w:rPr>
          <w:sz w:val="24"/>
          <w:szCs w:val="24"/>
        </w:rPr>
      </w:pPr>
      <w:r w:rsidRPr="00D11AD1">
        <w:rPr>
          <w:sz w:val="24"/>
          <w:szCs w:val="24"/>
        </w:rPr>
        <w:t>Samtidig brug af dasatinib og et CYP3A4-substrat kan øge eksponeringen af CYP3A4-substratet. I et studie med raske frivillige øgede en enkeltdosis på 100 mg dasatinib AUC og C</w:t>
      </w:r>
      <w:r w:rsidRPr="00D11AD1">
        <w:rPr>
          <w:sz w:val="24"/>
          <w:szCs w:val="24"/>
          <w:vertAlign w:val="subscript"/>
        </w:rPr>
        <w:t>max</w:t>
      </w:r>
      <w:r w:rsidRPr="00D11AD1">
        <w:rPr>
          <w:sz w:val="24"/>
          <w:szCs w:val="24"/>
        </w:rPr>
        <w:t xml:space="preserve"> af simvastatin, der er et kendt CYP3A4-substrat, med henholdsvis 20 og 37</w:t>
      </w:r>
      <w:r w:rsidR="00FA34A4" w:rsidRPr="00D11AD1">
        <w:rPr>
          <w:sz w:val="24"/>
          <w:szCs w:val="24"/>
        </w:rPr>
        <w:t xml:space="preserve"> %</w:t>
      </w:r>
      <w:r w:rsidRPr="00D11AD1">
        <w:rPr>
          <w:sz w:val="24"/>
          <w:szCs w:val="24"/>
        </w:rPr>
        <w:t>. Det kan ikke udelukkes, at virkningen er større efter flere doser dasatinib. CYP3A4-substrater, der vides at have et snævert terapeutisk indeks (fx astemizol, terfenadin, cisaprid, pimozid, quinidin, bepridil eller sekalealkaloider [ergotamin, dihydroergotamin]), skal derfor administreres med forsigtighed til patienter, der får dasatinib (se pkt. 4.4).</w:t>
      </w:r>
    </w:p>
    <w:p w14:paraId="5C815123" w14:textId="77777777" w:rsidR="00EE53F2" w:rsidRPr="00D11AD1" w:rsidRDefault="00EE53F2" w:rsidP="00EE53F2">
      <w:pPr>
        <w:tabs>
          <w:tab w:val="left" w:pos="851"/>
        </w:tabs>
        <w:ind w:left="851"/>
        <w:rPr>
          <w:sz w:val="24"/>
          <w:szCs w:val="24"/>
        </w:rPr>
      </w:pPr>
      <w:r w:rsidRPr="00D11AD1">
        <w:rPr>
          <w:i/>
          <w:iCs/>
          <w:sz w:val="24"/>
          <w:szCs w:val="24"/>
        </w:rPr>
        <w:t xml:space="preserve">In vitro </w:t>
      </w:r>
      <w:r w:rsidRPr="00D11AD1">
        <w:rPr>
          <w:sz w:val="24"/>
          <w:szCs w:val="24"/>
        </w:rPr>
        <w:t>data indikerer en mulig risiko for interaktioner med CYP2C8-substrater såsom glitazoner.</w:t>
      </w:r>
    </w:p>
    <w:p w14:paraId="68128F24" w14:textId="77777777" w:rsidR="00EE53F2" w:rsidRPr="00D11AD1" w:rsidRDefault="00EE53F2" w:rsidP="00EE53F2">
      <w:pPr>
        <w:tabs>
          <w:tab w:val="left" w:pos="851"/>
        </w:tabs>
        <w:ind w:left="851"/>
        <w:rPr>
          <w:sz w:val="24"/>
          <w:szCs w:val="24"/>
        </w:rPr>
      </w:pPr>
    </w:p>
    <w:p w14:paraId="2B0A59B5" w14:textId="77777777" w:rsidR="00EE53F2" w:rsidRPr="00D11AD1" w:rsidRDefault="00EE53F2" w:rsidP="00EE53F2">
      <w:pPr>
        <w:tabs>
          <w:tab w:val="left" w:pos="851"/>
        </w:tabs>
        <w:ind w:left="851"/>
        <w:rPr>
          <w:sz w:val="24"/>
          <w:szCs w:val="24"/>
          <w:u w:val="single"/>
        </w:rPr>
      </w:pPr>
      <w:r w:rsidRPr="00D11AD1">
        <w:rPr>
          <w:sz w:val="24"/>
          <w:szCs w:val="24"/>
          <w:u w:val="single"/>
        </w:rPr>
        <w:t>Pædiatrisk population</w:t>
      </w:r>
    </w:p>
    <w:p w14:paraId="4720315F" w14:textId="77777777" w:rsidR="00EE53F2" w:rsidRPr="00D11AD1" w:rsidRDefault="00EE53F2" w:rsidP="00EE53F2">
      <w:pPr>
        <w:tabs>
          <w:tab w:val="left" w:pos="851"/>
        </w:tabs>
        <w:ind w:left="851"/>
        <w:rPr>
          <w:sz w:val="24"/>
          <w:szCs w:val="24"/>
        </w:rPr>
      </w:pPr>
      <w:r w:rsidRPr="00D11AD1">
        <w:rPr>
          <w:sz w:val="24"/>
          <w:szCs w:val="24"/>
        </w:rPr>
        <w:t>Interaktionsstudier er kun blevet udført hos voksne.</w:t>
      </w:r>
    </w:p>
    <w:p w14:paraId="3912E154" w14:textId="77777777" w:rsidR="00EE53F2" w:rsidRPr="00D11AD1" w:rsidRDefault="00EE53F2" w:rsidP="00EE53F2">
      <w:pPr>
        <w:tabs>
          <w:tab w:val="left" w:pos="851"/>
        </w:tabs>
        <w:ind w:left="851"/>
        <w:rPr>
          <w:sz w:val="24"/>
          <w:szCs w:val="24"/>
        </w:rPr>
      </w:pPr>
    </w:p>
    <w:p w14:paraId="245B28DC" w14:textId="3304D18F" w:rsidR="009260DE" w:rsidRPr="00D11AD1" w:rsidRDefault="009260DE" w:rsidP="009260DE">
      <w:pPr>
        <w:tabs>
          <w:tab w:val="left" w:pos="851"/>
        </w:tabs>
        <w:ind w:left="851" w:hanging="851"/>
        <w:rPr>
          <w:b/>
          <w:sz w:val="24"/>
          <w:szCs w:val="24"/>
        </w:rPr>
      </w:pPr>
      <w:r w:rsidRPr="00D11AD1">
        <w:rPr>
          <w:b/>
          <w:sz w:val="24"/>
          <w:szCs w:val="24"/>
        </w:rPr>
        <w:t>4.6</w:t>
      </w:r>
      <w:r w:rsidRPr="00D11AD1">
        <w:rPr>
          <w:b/>
          <w:sz w:val="24"/>
          <w:szCs w:val="24"/>
        </w:rPr>
        <w:tab/>
      </w:r>
      <w:r w:rsidR="000A02AE" w:rsidRPr="00D11AD1">
        <w:rPr>
          <w:b/>
          <w:noProof/>
          <w:sz w:val="24"/>
          <w:szCs w:val="24"/>
        </w:rPr>
        <w:t>Fertilitet</w:t>
      </w:r>
      <w:r w:rsidR="000A02AE" w:rsidRPr="00D11AD1">
        <w:rPr>
          <w:b/>
          <w:sz w:val="24"/>
          <w:szCs w:val="24"/>
        </w:rPr>
        <w:t>, g</w:t>
      </w:r>
      <w:r w:rsidRPr="00D11AD1">
        <w:rPr>
          <w:b/>
          <w:sz w:val="24"/>
          <w:szCs w:val="24"/>
        </w:rPr>
        <w:t>raviditet og amning</w:t>
      </w:r>
    </w:p>
    <w:p w14:paraId="583B557D" w14:textId="77777777" w:rsidR="006D5D14" w:rsidRPr="00D11AD1" w:rsidRDefault="006D5D14" w:rsidP="006D5D14">
      <w:pPr>
        <w:tabs>
          <w:tab w:val="left" w:pos="851"/>
        </w:tabs>
        <w:ind w:left="851"/>
        <w:rPr>
          <w:sz w:val="24"/>
          <w:szCs w:val="24"/>
          <w:u w:val="single"/>
        </w:rPr>
      </w:pPr>
    </w:p>
    <w:p w14:paraId="774B86E1" w14:textId="77777777" w:rsidR="006D5D14" w:rsidRPr="00D11AD1" w:rsidRDefault="006D5D14" w:rsidP="006D5D14">
      <w:pPr>
        <w:tabs>
          <w:tab w:val="left" w:pos="851"/>
        </w:tabs>
        <w:ind w:left="851"/>
        <w:rPr>
          <w:sz w:val="24"/>
          <w:szCs w:val="24"/>
          <w:u w:val="single"/>
        </w:rPr>
      </w:pPr>
      <w:r w:rsidRPr="00D11AD1">
        <w:rPr>
          <w:sz w:val="24"/>
          <w:szCs w:val="24"/>
          <w:u w:val="single"/>
        </w:rPr>
        <w:t>Kvinder i den fertile alder/kontraception til mænd og kvinder</w:t>
      </w:r>
    </w:p>
    <w:p w14:paraId="27826A37" w14:textId="77777777" w:rsidR="006D5D14" w:rsidRPr="00D11AD1" w:rsidRDefault="006D5D14" w:rsidP="006D5D14">
      <w:pPr>
        <w:tabs>
          <w:tab w:val="left" w:pos="851"/>
        </w:tabs>
        <w:ind w:left="851"/>
        <w:rPr>
          <w:sz w:val="24"/>
          <w:szCs w:val="24"/>
        </w:rPr>
      </w:pPr>
      <w:r w:rsidRPr="00D11AD1">
        <w:rPr>
          <w:sz w:val="24"/>
          <w:szCs w:val="24"/>
        </w:rPr>
        <w:t>Både seksuelt aktive mænd og kvinder i den fødedygtige alder skal anvende effektive</w:t>
      </w:r>
    </w:p>
    <w:p w14:paraId="513178DA" w14:textId="77777777" w:rsidR="006D5D14" w:rsidRPr="00D11AD1" w:rsidRDefault="006D5D14" w:rsidP="006D5D14">
      <w:pPr>
        <w:tabs>
          <w:tab w:val="left" w:pos="851"/>
        </w:tabs>
        <w:ind w:left="851"/>
        <w:rPr>
          <w:sz w:val="24"/>
          <w:szCs w:val="24"/>
        </w:rPr>
      </w:pPr>
      <w:r w:rsidRPr="00D11AD1">
        <w:rPr>
          <w:sz w:val="24"/>
          <w:szCs w:val="24"/>
        </w:rPr>
        <w:t>antikonceptionsmetoder under behandlingen.</w:t>
      </w:r>
    </w:p>
    <w:p w14:paraId="71F617DD" w14:textId="77777777" w:rsidR="006D5D14" w:rsidRPr="00D11AD1" w:rsidRDefault="006D5D14" w:rsidP="006D5D14">
      <w:pPr>
        <w:tabs>
          <w:tab w:val="left" w:pos="851"/>
        </w:tabs>
        <w:ind w:left="851"/>
        <w:rPr>
          <w:sz w:val="24"/>
          <w:szCs w:val="24"/>
        </w:rPr>
      </w:pPr>
    </w:p>
    <w:p w14:paraId="08FE5CDE" w14:textId="77777777" w:rsidR="006D5D14" w:rsidRPr="00D11AD1" w:rsidRDefault="006D5D14" w:rsidP="006D5D14">
      <w:pPr>
        <w:tabs>
          <w:tab w:val="left" w:pos="851"/>
        </w:tabs>
        <w:ind w:left="851"/>
        <w:rPr>
          <w:sz w:val="24"/>
          <w:szCs w:val="24"/>
          <w:u w:val="single"/>
        </w:rPr>
      </w:pPr>
      <w:r w:rsidRPr="00D11AD1">
        <w:rPr>
          <w:sz w:val="24"/>
          <w:szCs w:val="24"/>
          <w:u w:val="single"/>
        </w:rPr>
        <w:t>Graviditet</w:t>
      </w:r>
    </w:p>
    <w:p w14:paraId="213D7390" w14:textId="77777777" w:rsidR="006D5D14" w:rsidRPr="00D11AD1" w:rsidRDefault="006D5D14" w:rsidP="006D5D14">
      <w:pPr>
        <w:tabs>
          <w:tab w:val="left" w:pos="851"/>
        </w:tabs>
        <w:ind w:left="851"/>
        <w:rPr>
          <w:sz w:val="24"/>
          <w:szCs w:val="24"/>
        </w:rPr>
      </w:pPr>
      <w:r w:rsidRPr="00D11AD1">
        <w:rPr>
          <w:sz w:val="24"/>
          <w:szCs w:val="24"/>
        </w:rPr>
        <w:t>Baseret på humane data er dasatinib under mistanke for at medføre medfødte misdannelser, herunder neuralrørsdefekter og skadelige farmakologiske virkninger på fostret, når det anvendes under graviditet. Dyrestudier har påvist reproduktionstoksicitet (se pkt. 5.3).</w:t>
      </w:r>
    </w:p>
    <w:p w14:paraId="4D8716A8" w14:textId="0C100576" w:rsidR="006D5D14" w:rsidRPr="00D11AD1" w:rsidRDefault="006D5D14" w:rsidP="006D5D14">
      <w:pPr>
        <w:tabs>
          <w:tab w:val="left" w:pos="851"/>
        </w:tabs>
        <w:ind w:left="851"/>
        <w:rPr>
          <w:sz w:val="24"/>
          <w:szCs w:val="24"/>
        </w:rPr>
      </w:pPr>
      <w:r w:rsidRPr="00D11AD1">
        <w:rPr>
          <w:sz w:val="24"/>
          <w:szCs w:val="24"/>
        </w:rPr>
        <w:t>Dasatinibbør ikke anvendes under graviditeten, medmindre kvindens kliniske tilstand kræver behandling med dasatinib. Hvis dasatinib</w:t>
      </w:r>
      <w:r w:rsidR="002E419E" w:rsidRPr="00D11AD1">
        <w:rPr>
          <w:sz w:val="24"/>
          <w:szCs w:val="24"/>
        </w:rPr>
        <w:t xml:space="preserve"> </w:t>
      </w:r>
      <w:r w:rsidRPr="00D11AD1">
        <w:rPr>
          <w:sz w:val="24"/>
          <w:szCs w:val="24"/>
        </w:rPr>
        <w:t>anvendes under graviditet, skal patienten informeres om den potentielle risiko for fostret.</w:t>
      </w:r>
    </w:p>
    <w:p w14:paraId="527CFF7A" w14:textId="77777777" w:rsidR="006D5D14" w:rsidRPr="00D11AD1" w:rsidRDefault="006D5D14" w:rsidP="006D5D14">
      <w:pPr>
        <w:tabs>
          <w:tab w:val="left" w:pos="851"/>
        </w:tabs>
        <w:ind w:left="851"/>
        <w:rPr>
          <w:sz w:val="24"/>
          <w:szCs w:val="24"/>
        </w:rPr>
      </w:pPr>
    </w:p>
    <w:p w14:paraId="2061B9FF" w14:textId="77777777" w:rsidR="006D5D14" w:rsidRPr="00D11AD1" w:rsidRDefault="006D5D14" w:rsidP="006D5D14">
      <w:pPr>
        <w:tabs>
          <w:tab w:val="left" w:pos="851"/>
        </w:tabs>
        <w:ind w:left="851"/>
        <w:rPr>
          <w:sz w:val="24"/>
          <w:szCs w:val="24"/>
          <w:u w:val="single"/>
        </w:rPr>
      </w:pPr>
      <w:r w:rsidRPr="00D11AD1">
        <w:rPr>
          <w:sz w:val="24"/>
          <w:szCs w:val="24"/>
          <w:u w:val="single"/>
        </w:rPr>
        <w:t>Amning</w:t>
      </w:r>
    </w:p>
    <w:p w14:paraId="60293AD6" w14:textId="77777777" w:rsidR="006D5D14" w:rsidRPr="00D11AD1" w:rsidRDefault="006D5D14" w:rsidP="006D5D14">
      <w:pPr>
        <w:tabs>
          <w:tab w:val="left" w:pos="851"/>
        </w:tabs>
        <w:ind w:left="851"/>
        <w:rPr>
          <w:sz w:val="24"/>
          <w:szCs w:val="24"/>
        </w:rPr>
      </w:pPr>
      <w:r w:rsidRPr="00D11AD1">
        <w:rPr>
          <w:sz w:val="24"/>
          <w:szCs w:val="24"/>
        </w:rPr>
        <w:t>Der er utilstrækkelig/begrænset information vedrørende udskillelse af dasatinib i human modermælk og brystmælk hos dyr. Fysisk-kemiske og tilgængelige farmakodynamiske/toksikologiske data vedrørende dasatinib peger mod, at stoffet udskilles i modermælk, og det kan ikke udelukkes, at der er en risiko for det ammende barn.</w:t>
      </w:r>
    </w:p>
    <w:p w14:paraId="28C2FD5C" w14:textId="77777777" w:rsidR="006D5D14" w:rsidRPr="00D11AD1" w:rsidRDefault="006D5D14" w:rsidP="006D5D14">
      <w:pPr>
        <w:tabs>
          <w:tab w:val="left" w:pos="851"/>
        </w:tabs>
        <w:ind w:left="851"/>
        <w:rPr>
          <w:sz w:val="24"/>
          <w:szCs w:val="24"/>
        </w:rPr>
      </w:pPr>
      <w:r w:rsidRPr="00D11AD1">
        <w:rPr>
          <w:sz w:val="24"/>
          <w:szCs w:val="24"/>
        </w:rPr>
        <w:t>Amning skal ophøre under behandling med dasatinib.</w:t>
      </w:r>
    </w:p>
    <w:p w14:paraId="5B7E6F30" w14:textId="77777777" w:rsidR="006D5D14" w:rsidRPr="00D11AD1" w:rsidRDefault="006D5D14" w:rsidP="006D5D14">
      <w:pPr>
        <w:tabs>
          <w:tab w:val="left" w:pos="851"/>
        </w:tabs>
        <w:ind w:left="851"/>
        <w:rPr>
          <w:sz w:val="24"/>
          <w:szCs w:val="24"/>
        </w:rPr>
      </w:pPr>
    </w:p>
    <w:p w14:paraId="1C7C6A31" w14:textId="77777777" w:rsidR="006D5D14" w:rsidRPr="00D11AD1" w:rsidRDefault="006D5D14" w:rsidP="006D5D14">
      <w:pPr>
        <w:tabs>
          <w:tab w:val="left" w:pos="851"/>
        </w:tabs>
        <w:ind w:left="851"/>
        <w:rPr>
          <w:sz w:val="24"/>
          <w:szCs w:val="24"/>
          <w:u w:val="single"/>
        </w:rPr>
      </w:pPr>
      <w:r w:rsidRPr="00D11AD1">
        <w:rPr>
          <w:sz w:val="24"/>
          <w:szCs w:val="24"/>
          <w:u w:val="single"/>
        </w:rPr>
        <w:t>Fertilitet</w:t>
      </w:r>
    </w:p>
    <w:p w14:paraId="6C02A6E6" w14:textId="030A5552" w:rsidR="006D5D14" w:rsidRPr="00D11AD1" w:rsidRDefault="006D5D14" w:rsidP="006D5D14">
      <w:pPr>
        <w:tabs>
          <w:tab w:val="left" w:pos="851"/>
        </w:tabs>
        <w:ind w:left="851"/>
        <w:rPr>
          <w:sz w:val="24"/>
          <w:szCs w:val="24"/>
        </w:rPr>
      </w:pPr>
      <w:r w:rsidRPr="00D11AD1">
        <w:rPr>
          <w:sz w:val="24"/>
          <w:szCs w:val="24"/>
        </w:rPr>
        <w:t>Fertiliteten af han- og hunrotter blev ikke påvirket af behandling med dasatinib i dyrestudier (se pkt. 5.3). Læger og andre sundhedspersoner bør rådgive mandlige patienter af passende alder om de mulige virkninger af dasatinib</w:t>
      </w:r>
      <w:r w:rsidR="00D87035" w:rsidRPr="00D11AD1">
        <w:rPr>
          <w:sz w:val="24"/>
          <w:szCs w:val="24"/>
        </w:rPr>
        <w:t xml:space="preserve"> </w:t>
      </w:r>
      <w:r w:rsidRPr="00D11AD1">
        <w:rPr>
          <w:sz w:val="24"/>
          <w:szCs w:val="24"/>
        </w:rPr>
        <w:t>på fertilitet, og denne rådgivning kan inkludere overvejelser omkring deponering af sæd.</w:t>
      </w:r>
    </w:p>
    <w:p w14:paraId="3CC9C23C" w14:textId="77777777" w:rsidR="009260DE" w:rsidRPr="00D11AD1" w:rsidRDefault="009260DE" w:rsidP="009260DE">
      <w:pPr>
        <w:tabs>
          <w:tab w:val="left" w:pos="851"/>
        </w:tabs>
        <w:ind w:left="851"/>
        <w:rPr>
          <w:sz w:val="24"/>
          <w:szCs w:val="24"/>
        </w:rPr>
      </w:pPr>
    </w:p>
    <w:p w14:paraId="232D5B3B" w14:textId="6FA6C7AA" w:rsidR="009260DE" w:rsidRPr="00D11AD1" w:rsidRDefault="009260DE" w:rsidP="009260DE">
      <w:pPr>
        <w:tabs>
          <w:tab w:val="left" w:pos="851"/>
        </w:tabs>
        <w:ind w:left="851" w:hanging="851"/>
        <w:rPr>
          <w:b/>
          <w:sz w:val="24"/>
          <w:szCs w:val="24"/>
        </w:rPr>
      </w:pPr>
      <w:r w:rsidRPr="00D11AD1">
        <w:rPr>
          <w:b/>
          <w:sz w:val="24"/>
          <w:szCs w:val="24"/>
        </w:rPr>
        <w:t>4.7</w:t>
      </w:r>
      <w:r w:rsidRPr="00D11AD1">
        <w:rPr>
          <w:b/>
          <w:sz w:val="24"/>
          <w:szCs w:val="24"/>
        </w:rPr>
        <w:tab/>
        <w:t xml:space="preserve">Virkning på evnen til at føre motorkøretøj </w:t>
      </w:r>
      <w:r w:rsidR="009E3F68" w:rsidRPr="00D11AD1">
        <w:rPr>
          <w:b/>
          <w:sz w:val="24"/>
          <w:szCs w:val="24"/>
        </w:rPr>
        <w:t>og</w:t>
      </w:r>
      <w:r w:rsidRPr="00D11AD1">
        <w:rPr>
          <w:b/>
          <w:sz w:val="24"/>
          <w:szCs w:val="24"/>
        </w:rPr>
        <w:t xml:space="preserve"> betjene maskiner</w:t>
      </w:r>
    </w:p>
    <w:p w14:paraId="1E119B56" w14:textId="77777777" w:rsidR="00DD396D" w:rsidRPr="00D11AD1" w:rsidRDefault="00DD396D" w:rsidP="00DD396D">
      <w:pPr>
        <w:tabs>
          <w:tab w:val="left" w:pos="851"/>
        </w:tabs>
        <w:ind w:left="851"/>
        <w:rPr>
          <w:sz w:val="24"/>
          <w:szCs w:val="24"/>
        </w:rPr>
      </w:pPr>
      <w:r w:rsidRPr="00D11AD1">
        <w:rPr>
          <w:sz w:val="24"/>
          <w:szCs w:val="24"/>
        </w:rPr>
        <w:t>Ikke mærkning.</w:t>
      </w:r>
    </w:p>
    <w:p w14:paraId="2480EEDC" w14:textId="3E888986" w:rsidR="00DD396D" w:rsidRPr="00D11AD1" w:rsidRDefault="00DD396D" w:rsidP="00DD396D">
      <w:pPr>
        <w:tabs>
          <w:tab w:val="left" w:pos="851"/>
        </w:tabs>
        <w:ind w:left="851"/>
        <w:rPr>
          <w:sz w:val="24"/>
          <w:szCs w:val="24"/>
        </w:rPr>
      </w:pPr>
      <w:r w:rsidRPr="00D11AD1">
        <w:rPr>
          <w:sz w:val="24"/>
          <w:szCs w:val="24"/>
        </w:rPr>
        <w:t xml:space="preserve">Dasatinib </w:t>
      </w:r>
      <w:r w:rsidR="003A0506">
        <w:rPr>
          <w:sz w:val="24"/>
          <w:szCs w:val="24"/>
        </w:rPr>
        <w:t>"Vivanta"</w:t>
      </w:r>
      <w:r w:rsidR="00705D0A" w:rsidRPr="00D11AD1">
        <w:rPr>
          <w:sz w:val="24"/>
          <w:szCs w:val="24"/>
        </w:rPr>
        <w:t xml:space="preserve"> </w:t>
      </w:r>
      <w:r w:rsidRPr="00D11AD1">
        <w:rPr>
          <w:sz w:val="24"/>
          <w:szCs w:val="24"/>
        </w:rPr>
        <w:t xml:space="preserve">påvirker i mindre grad evnen til at føre motorkøretøj og betjene maskiner. Patienterne skal informeres om, at de kan opleve bivirkninger som fx </w:t>
      </w:r>
      <w:r w:rsidRPr="00D11AD1">
        <w:rPr>
          <w:sz w:val="24"/>
          <w:szCs w:val="24"/>
        </w:rPr>
        <w:lastRenderedPageBreak/>
        <w:t>svimmelhed og sløret syn under behandling med dasatinib. Det anbefales derfor, at patienten er forsigtig, når der føres motorkøretøj eller betjenes maskiner.</w:t>
      </w:r>
    </w:p>
    <w:p w14:paraId="015845BE" w14:textId="77777777" w:rsidR="009260DE" w:rsidRPr="00D11AD1" w:rsidRDefault="009260DE" w:rsidP="009260DE">
      <w:pPr>
        <w:tabs>
          <w:tab w:val="left" w:pos="851"/>
        </w:tabs>
        <w:ind w:left="851"/>
        <w:rPr>
          <w:sz w:val="24"/>
          <w:szCs w:val="24"/>
        </w:rPr>
      </w:pPr>
    </w:p>
    <w:p w14:paraId="32783901" w14:textId="77777777" w:rsidR="009260DE" w:rsidRPr="00D11AD1" w:rsidRDefault="009260DE" w:rsidP="009260DE">
      <w:pPr>
        <w:tabs>
          <w:tab w:val="left" w:pos="851"/>
        </w:tabs>
        <w:ind w:left="851" w:hanging="851"/>
        <w:rPr>
          <w:b/>
          <w:sz w:val="24"/>
          <w:szCs w:val="24"/>
        </w:rPr>
      </w:pPr>
      <w:r w:rsidRPr="00D11AD1">
        <w:rPr>
          <w:b/>
          <w:sz w:val="24"/>
          <w:szCs w:val="24"/>
        </w:rPr>
        <w:t>4.8</w:t>
      </w:r>
      <w:r w:rsidRPr="00D11AD1">
        <w:rPr>
          <w:b/>
          <w:sz w:val="24"/>
          <w:szCs w:val="24"/>
        </w:rPr>
        <w:tab/>
        <w:t>Bivirkninger</w:t>
      </w:r>
    </w:p>
    <w:p w14:paraId="492FB0EF" w14:textId="77777777" w:rsidR="00123052" w:rsidRPr="000A733F" w:rsidRDefault="00123052" w:rsidP="00123052">
      <w:pPr>
        <w:pStyle w:val="Sidehoved"/>
        <w:tabs>
          <w:tab w:val="left" w:pos="851"/>
        </w:tabs>
        <w:ind w:left="851"/>
        <w:rPr>
          <w:szCs w:val="24"/>
        </w:rPr>
      </w:pPr>
    </w:p>
    <w:p w14:paraId="45A3906F" w14:textId="77777777" w:rsidR="00123052" w:rsidRPr="00D11AD1" w:rsidRDefault="00123052" w:rsidP="00123052">
      <w:pPr>
        <w:pStyle w:val="Sidehoved"/>
        <w:tabs>
          <w:tab w:val="left" w:pos="851"/>
        </w:tabs>
        <w:ind w:left="851"/>
        <w:rPr>
          <w:szCs w:val="24"/>
          <w:u w:val="single"/>
        </w:rPr>
      </w:pPr>
      <w:r w:rsidRPr="00D11AD1">
        <w:rPr>
          <w:szCs w:val="24"/>
          <w:u w:val="single"/>
        </w:rPr>
        <w:t>Sammendrag af sikkerhedsprofilen</w:t>
      </w:r>
    </w:p>
    <w:p w14:paraId="2EE8DF1F" w14:textId="357DBFE3" w:rsidR="00123052" w:rsidRPr="00D11AD1" w:rsidRDefault="00123052" w:rsidP="00123052">
      <w:pPr>
        <w:pStyle w:val="Sidehoved"/>
        <w:tabs>
          <w:tab w:val="left" w:pos="851"/>
        </w:tabs>
        <w:ind w:left="851"/>
        <w:rPr>
          <w:szCs w:val="24"/>
        </w:rPr>
      </w:pPr>
      <w:r w:rsidRPr="00D11AD1">
        <w:rPr>
          <w:szCs w:val="24"/>
        </w:rPr>
        <w:t>Data beskrevet nedenfor afspejler eksponeringen for dasatinib</w:t>
      </w:r>
      <w:r w:rsidR="004D2AE8" w:rsidRPr="00D11AD1">
        <w:rPr>
          <w:szCs w:val="24"/>
        </w:rPr>
        <w:t xml:space="preserve"> </w:t>
      </w:r>
      <w:r w:rsidRPr="00D11AD1">
        <w:rPr>
          <w:szCs w:val="24"/>
        </w:rPr>
        <w:t>som enkeltstofbehandling ved alle doser testet i kliniske studier (N=2.900), inklusive 324 voksne patienter med nydiagnosticeret CML I kronisk fase, 2.388 voksne patienter med imatinib resistent eller intolerant CML eller Ph+ ALL i kronisk eller fremskreden fase samt 188 pædiatriske patienter.</w:t>
      </w:r>
    </w:p>
    <w:p w14:paraId="36C47836" w14:textId="77777777" w:rsidR="00123052" w:rsidRPr="00D11AD1" w:rsidRDefault="00123052" w:rsidP="00123052">
      <w:pPr>
        <w:pStyle w:val="Sidehoved"/>
        <w:tabs>
          <w:tab w:val="left" w:pos="851"/>
        </w:tabs>
        <w:ind w:left="851"/>
        <w:rPr>
          <w:szCs w:val="24"/>
        </w:rPr>
      </w:pPr>
    </w:p>
    <w:p w14:paraId="2A448231" w14:textId="34372EF3" w:rsidR="00123052" w:rsidRPr="00D11AD1" w:rsidRDefault="00123052" w:rsidP="00123052">
      <w:pPr>
        <w:pStyle w:val="Sidehoved"/>
        <w:tabs>
          <w:tab w:val="left" w:pos="851"/>
        </w:tabs>
        <w:ind w:left="851"/>
        <w:rPr>
          <w:szCs w:val="24"/>
        </w:rPr>
      </w:pPr>
      <w:r w:rsidRPr="00D11AD1">
        <w:rPr>
          <w:szCs w:val="24"/>
        </w:rPr>
        <w:t>Hos 2.712 patienter med enten CML i kronisk fase, CML i fremskreden fase eller Ph+ ALL var medianbehandlingsvarigheden 19,2 måneder (interval 0 til 93,2 måneder). I et randomiseret studie hos patienter med nydiagnosticeret CML i kronisk fase var medianbehandlingsvarigheden ca. 60 måneder. Medianbehandlingsvarigheden hos 1.618 voksne patienter med CML i kronisk fase var 29 måneder (interval 0 til 92,9 måneder). Medianbehandlingsvarigheden hos 1.094 voksne patienter med CML eller Ph+ ALL i fremskreden fase var 6,2 måneder (interval 0 til 93,2 måneder). Blandt 188 patienter I pædiatriske studier var medianbehandlingstiden 26,3 måneder (interval 0 til 99,6 måneder). I delmængden af 130 pædiatriske patienter med CML i kronisk fase behandlet med dasatinib</w:t>
      </w:r>
      <w:r w:rsidR="004D2AE8" w:rsidRPr="00D11AD1">
        <w:rPr>
          <w:szCs w:val="24"/>
        </w:rPr>
        <w:t xml:space="preserve"> </w:t>
      </w:r>
      <w:r w:rsidRPr="00D11AD1">
        <w:rPr>
          <w:szCs w:val="24"/>
        </w:rPr>
        <w:t>var medianbehandlingsvarigheden 42,3 måneder (interval 0,1 til 99,6 måneder).</w:t>
      </w:r>
    </w:p>
    <w:p w14:paraId="21434BB9" w14:textId="77777777" w:rsidR="00123052" w:rsidRPr="00D11AD1" w:rsidRDefault="00123052" w:rsidP="00123052">
      <w:pPr>
        <w:pStyle w:val="Sidehoved"/>
        <w:tabs>
          <w:tab w:val="left" w:pos="851"/>
        </w:tabs>
        <w:ind w:left="851"/>
        <w:rPr>
          <w:szCs w:val="24"/>
        </w:rPr>
      </w:pPr>
    </w:p>
    <w:p w14:paraId="2DBCBB58" w14:textId="4410DEB1" w:rsidR="00123052" w:rsidRPr="00D11AD1" w:rsidRDefault="00123052" w:rsidP="00123052">
      <w:pPr>
        <w:pStyle w:val="Sidehoved"/>
        <w:tabs>
          <w:tab w:val="left" w:pos="851"/>
        </w:tabs>
        <w:ind w:left="851"/>
        <w:rPr>
          <w:szCs w:val="24"/>
        </w:rPr>
      </w:pPr>
      <w:r w:rsidRPr="00D11AD1">
        <w:rPr>
          <w:szCs w:val="24"/>
        </w:rPr>
        <w:t>Størstedelen af dasatinib</w:t>
      </w:r>
      <w:r w:rsidR="004D2AE8" w:rsidRPr="00D11AD1">
        <w:rPr>
          <w:szCs w:val="24"/>
        </w:rPr>
        <w:t>-</w:t>
      </w:r>
      <w:r w:rsidRPr="00D11AD1">
        <w:rPr>
          <w:szCs w:val="24"/>
        </w:rPr>
        <w:t>behandlede patienter oplevede på et tidspunkt bivirkninger. I den samlede population på 2.712 patienter, der blev behandlet med dasatinib, oplevede 520 (19</w:t>
      </w:r>
      <w:r w:rsidR="00FA34A4" w:rsidRPr="00D11AD1">
        <w:rPr>
          <w:szCs w:val="24"/>
        </w:rPr>
        <w:t xml:space="preserve"> %</w:t>
      </w:r>
      <w:r w:rsidRPr="00D11AD1">
        <w:rPr>
          <w:szCs w:val="24"/>
        </w:rPr>
        <w:t>) bivirkninger, der medførte seponering.</w:t>
      </w:r>
    </w:p>
    <w:p w14:paraId="3C6BEF38" w14:textId="77777777" w:rsidR="00123052" w:rsidRPr="00D11AD1" w:rsidRDefault="00123052" w:rsidP="00123052">
      <w:pPr>
        <w:pStyle w:val="Sidehoved"/>
        <w:tabs>
          <w:tab w:val="left" w:pos="851"/>
        </w:tabs>
        <w:ind w:left="851"/>
        <w:rPr>
          <w:szCs w:val="24"/>
        </w:rPr>
      </w:pPr>
    </w:p>
    <w:p w14:paraId="13C4FF6E" w14:textId="52B56911" w:rsidR="00123052" w:rsidRPr="00D11AD1" w:rsidRDefault="00123052" w:rsidP="00123052">
      <w:pPr>
        <w:pStyle w:val="Sidehoved"/>
        <w:tabs>
          <w:tab w:val="left" w:pos="851"/>
        </w:tabs>
        <w:ind w:left="851"/>
        <w:rPr>
          <w:szCs w:val="24"/>
        </w:rPr>
      </w:pPr>
      <w:r w:rsidRPr="00D11AD1">
        <w:rPr>
          <w:szCs w:val="24"/>
        </w:rPr>
        <w:t>Uanset formulering var den overordnede sikkerhedsprofil af dasatinibi den pædiatriske population med Ph+ CML-CP tilsvarende den i den voksne population, med undtagelse af, at der ikke blev rapporteret perikardieansamling, pleuraansamling, pulmonært ødem eller pulmonær hypertension i den pædiatriske population. Af de 130 dasatinibbehandlede pædiatriske forsøgspersoner med CML-CP oplevede 2 (1,5</w:t>
      </w:r>
      <w:r w:rsidR="00FA34A4" w:rsidRPr="00D11AD1">
        <w:rPr>
          <w:szCs w:val="24"/>
        </w:rPr>
        <w:t xml:space="preserve"> %</w:t>
      </w:r>
      <w:r w:rsidRPr="00D11AD1">
        <w:rPr>
          <w:szCs w:val="24"/>
        </w:rPr>
        <w:t>) bivirkninger, der førte til seponering.</w:t>
      </w:r>
    </w:p>
    <w:p w14:paraId="0787C866" w14:textId="77777777" w:rsidR="00123052" w:rsidRPr="00D11AD1" w:rsidRDefault="00123052" w:rsidP="00123052">
      <w:pPr>
        <w:pStyle w:val="Sidehoved"/>
        <w:tabs>
          <w:tab w:val="left" w:pos="851"/>
        </w:tabs>
        <w:ind w:left="851"/>
        <w:rPr>
          <w:szCs w:val="24"/>
        </w:rPr>
      </w:pPr>
    </w:p>
    <w:p w14:paraId="7F1FB5AF" w14:textId="77777777" w:rsidR="00123052" w:rsidRPr="00D11AD1" w:rsidRDefault="00123052" w:rsidP="00123052">
      <w:pPr>
        <w:pStyle w:val="Sidehoved"/>
        <w:tabs>
          <w:tab w:val="left" w:pos="851"/>
        </w:tabs>
        <w:ind w:left="851"/>
        <w:rPr>
          <w:szCs w:val="24"/>
          <w:u w:val="single"/>
        </w:rPr>
      </w:pPr>
      <w:r w:rsidRPr="00D11AD1">
        <w:rPr>
          <w:szCs w:val="24"/>
          <w:u w:val="single"/>
        </w:rPr>
        <w:t>Tabel over bivirkninger</w:t>
      </w:r>
    </w:p>
    <w:p w14:paraId="7E8A0975" w14:textId="13E6C53B" w:rsidR="00123052" w:rsidRPr="00D11AD1" w:rsidRDefault="00123052" w:rsidP="00123052">
      <w:pPr>
        <w:pStyle w:val="Sidehoved"/>
        <w:tabs>
          <w:tab w:val="left" w:pos="851"/>
        </w:tabs>
        <w:ind w:left="851"/>
        <w:rPr>
          <w:szCs w:val="24"/>
        </w:rPr>
      </w:pPr>
      <w:r w:rsidRPr="00D11AD1">
        <w:rPr>
          <w:szCs w:val="24"/>
        </w:rPr>
        <w:t>Følgende bivirkninger, eksklusive unormale laboratorieprøver, indberettedes hos patienter behandlet med dasatinib</w:t>
      </w:r>
      <w:r w:rsidR="00481015">
        <w:rPr>
          <w:szCs w:val="24"/>
        </w:rPr>
        <w:t xml:space="preserve"> </w:t>
      </w:r>
      <w:r w:rsidRPr="00D11AD1">
        <w:rPr>
          <w:szCs w:val="24"/>
        </w:rPr>
        <w:t>brugt som enkeltstofbehandling i kliniske studier og efter markedsføring (Tabel 5). Disse reaktioner anføres efter organklasse og hyppighed. Hyppigheden defineres som: meget almindelig (≥ 1/10); almindelig (≥ 1/100 til &lt; 1/10); ikke almindelig (≥ 1/1.000 til &lt; 1/100); sjælden (≥ 1/10.000 til &lt; 1/1.000); ikke kendt (kan ikke estimeres ud fra forhåndenværende data). Inden for hver enkelt frekvensgruppe er bivirkningerne opstillet efter, hvor alvorlige de er. De alvorligste bivirkninger er anført først.</w:t>
      </w:r>
    </w:p>
    <w:p w14:paraId="1099DCB2" w14:textId="1DDD2382" w:rsidR="00481015" w:rsidRDefault="00481015">
      <w:pPr>
        <w:rPr>
          <w:sz w:val="24"/>
          <w:szCs w:val="24"/>
          <w:lang w:eastAsia="da-DK"/>
        </w:rPr>
      </w:pPr>
      <w:r>
        <w:rPr>
          <w:szCs w:val="24"/>
        </w:rPr>
        <w:br w:type="page"/>
      </w:r>
    </w:p>
    <w:p w14:paraId="47A80579" w14:textId="77777777" w:rsidR="00123052" w:rsidRPr="00D11AD1" w:rsidRDefault="00123052" w:rsidP="00123052">
      <w:pPr>
        <w:pStyle w:val="Sidehoved"/>
        <w:tabs>
          <w:tab w:val="left" w:pos="851"/>
        </w:tabs>
        <w:ind w:left="851"/>
        <w:rPr>
          <w:szCs w:val="24"/>
        </w:rPr>
      </w:pPr>
    </w:p>
    <w:p w14:paraId="79B450A2" w14:textId="77777777" w:rsidR="00123052" w:rsidRPr="00D11AD1" w:rsidRDefault="00123052" w:rsidP="00123052">
      <w:pPr>
        <w:pStyle w:val="Sidehoved"/>
        <w:tabs>
          <w:tab w:val="left" w:pos="851"/>
        </w:tabs>
        <w:ind w:left="851"/>
        <w:rPr>
          <w:b/>
          <w:bCs/>
          <w:szCs w:val="24"/>
        </w:rPr>
      </w:pPr>
      <w:r w:rsidRPr="00D11AD1">
        <w:rPr>
          <w:b/>
          <w:bCs/>
          <w:szCs w:val="24"/>
        </w:rPr>
        <w:t>Tabel 5:</w:t>
      </w:r>
      <w:r w:rsidR="004D630B" w:rsidRPr="00D11AD1">
        <w:rPr>
          <w:b/>
          <w:bCs/>
          <w:szCs w:val="24"/>
        </w:rPr>
        <w:t xml:space="preserve"> </w:t>
      </w:r>
      <w:r w:rsidRPr="00D11AD1">
        <w:rPr>
          <w:b/>
          <w:szCs w:val="24"/>
        </w:rPr>
        <w:t>Tabeloversigt over bivirkninger</w:t>
      </w:r>
    </w:p>
    <w:p w14:paraId="15864AFE" w14:textId="77777777" w:rsidR="009260DE" w:rsidRPr="00D11AD1" w:rsidRDefault="009260DE" w:rsidP="009260DE">
      <w:pPr>
        <w:pStyle w:val="Sidehoved"/>
        <w:tabs>
          <w:tab w:val="left" w:pos="851"/>
        </w:tabs>
        <w:ind w:left="851"/>
        <w:rPr>
          <w:szCs w:val="24"/>
        </w:rPr>
      </w:pPr>
    </w:p>
    <w:tbl>
      <w:tblPr>
        <w:tblW w:w="960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58"/>
        <w:gridCol w:w="7349"/>
      </w:tblGrid>
      <w:tr w:rsidR="004D630B" w:rsidRPr="00D11AD1" w14:paraId="49C36436" w14:textId="77777777" w:rsidTr="004D630B">
        <w:trPr>
          <w:trHeight w:val="220"/>
        </w:trPr>
        <w:tc>
          <w:tcPr>
            <w:tcW w:w="9607" w:type="dxa"/>
            <w:gridSpan w:val="2"/>
            <w:shd w:val="clear" w:color="auto" w:fill="F3F3F3"/>
          </w:tcPr>
          <w:p w14:paraId="5BF7BABA" w14:textId="77777777" w:rsidR="004D630B" w:rsidRPr="00D11AD1" w:rsidRDefault="004D630B" w:rsidP="004D630B">
            <w:pPr>
              <w:pStyle w:val="Sidehoved"/>
              <w:rPr>
                <w:b/>
                <w:szCs w:val="24"/>
              </w:rPr>
            </w:pPr>
            <w:r w:rsidRPr="00D11AD1">
              <w:rPr>
                <w:b/>
                <w:bCs/>
                <w:szCs w:val="24"/>
              </w:rPr>
              <w:t>Infektioner og parasitære sygdomme</w:t>
            </w:r>
          </w:p>
        </w:tc>
      </w:tr>
      <w:tr w:rsidR="004D630B" w:rsidRPr="00D11AD1" w14:paraId="54393120" w14:textId="77777777" w:rsidTr="004D630B">
        <w:trPr>
          <w:trHeight w:val="220"/>
        </w:trPr>
        <w:tc>
          <w:tcPr>
            <w:tcW w:w="9607" w:type="dxa"/>
            <w:gridSpan w:val="2"/>
            <w:shd w:val="clear" w:color="auto" w:fill="F3F3F3"/>
          </w:tcPr>
          <w:p w14:paraId="67E84202" w14:textId="77777777" w:rsidR="004D630B" w:rsidRPr="00D11AD1" w:rsidRDefault="004D630B" w:rsidP="004D630B">
            <w:pPr>
              <w:pStyle w:val="Sidehoved"/>
              <w:rPr>
                <w:b/>
                <w:bCs/>
                <w:szCs w:val="24"/>
              </w:rPr>
            </w:pPr>
          </w:p>
        </w:tc>
      </w:tr>
      <w:tr w:rsidR="004D630B" w:rsidRPr="00D11AD1" w14:paraId="1920633F" w14:textId="77777777" w:rsidTr="004D630B">
        <w:trPr>
          <w:trHeight w:val="220"/>
        </w:trPr>
        <w:tc>
          <w:tcPr>
            <w:tcW w:w="2258" w:type="dxa"/>
          </w:tcPr>
          <w:p w14:paraId="311E6FC5" w14:textId="77777777" w:rsidR="004D630B" w:rsidRPr="00D11AD1" w:rsidRDefault="004D630B" w:rsidP="004D630B">
            <w:pPr>
              <w:pStyle w:val="Sidehoved"/>
              <w:rPr>
                <w:i/>
                <w:iCs/>
                <w:szCs w:val="24"/>
              </w:rPr>
            </w:pPr>
            <w:r w:rsidRPr="00D11AD1">
              <w:rPr>
                <w:i/>
                <w:iCs/>
                <w:szCs w:val="24"/>
              </w:rPr>
              <w:t>Meget almindelig</w:t>
            </w:r>
          </w:p>
        </w:tc>
        <w:tc>
          <w:tcPr>
            <w:tcW w:w="7349" w:type="dxa"/>
          </w:tcPr>
          <w:p w14:paraId="77B2958E" w14:textId="77777777" w:rsidR="004D630B" w:rsidRPr="00D11AD1" w:rsidRDefault="004D630B" w:rsidP="004D630B">
            <w:pPr>
              <w:pStyle w:val="Sidehoved"/>
              <w:rPr>
                <w:szCs w:val="24"/>
              </w:rPr>
            </w:pPr>
            <w:r w:rsidRPr="00D11AD1">
              <w:rPr>
                <w:szCs w:val="24"/>
              </w:rPr>
              <w:t>infektion (inklusive bakteriel, viral, mykotisk, ikke-specifik)</w:t>
            </w:r>
          </w:p>
        </w:tc>
      </w:tr>
      <w:tr w:rsidR="004D630B" w:rsidRPr="00D11AD1" w14:paraId="35013083" w14:textId="77777777" w:rsidTr="004D630B">
        <w:trPr>
          <w:trHeight w:val="700"/>
        </w:trPr>
        <w:tc>
          <w:tcPr>
            <w:tcW w:w="2258" w:type="dxa"/>
          </w:tcPr>
          <w:p w14:paraId="0A8C28B4" w14:textId="77777777" w:rsidR="004D630B" w:rsidRPr="00D11AD1" w:rsidRDefault="004D630B" w:rsidP="004D630B">
            <w:pPr>
              <w:pStyle w:val="Sidehoved"/>
              <w:rPr>
                <w:i/>
                <w:szCs w:val="24"/>
              </w:rPr>
            </w:pPr>
            <w:r w:rsidRPr="00D11AD1">
              <w:rPr>
                <w:i/>
                <w:iCs/>
                <w:szCs w:val="24"/>
              </w:rPr>
              <w:t>Almindelig</w:t>
            </w:r>
          </w:p>
        </w:tc>
        <w:tc>
          <w:tcPr>
            <w:tcW w:w="7349" w:type="dxa"/>
          </w:tcPr>
          <w:p w14:paraId="7662526E" w14:textId="11A7FAFF" w:rsidR="004D630B" w:rsidRPr="00D11AD1" w:rsidRDefault="004D630B" w:rsidP="000A733F">
            <w:pPr>
              <w:pStyle w:val="Sidehoved"/>
              <w:rPr>
                <w:szCs w:val="24"/>
              </w:rPr>
            </w:pPr>
            <w:r w:rsidRPr="00D11AD1">
              <w:rPr>
                <w:szCs w:val="24"/>
                <w:lang w:val="nb-NO"/>
              </w:rPr>
              <w:t>pneumoni (inklusive bakteriel, viral og mykotisk), øvre</w:t>
            </w:r>
            <w:r w:rsidR="000A733F">
              <w:rPr>
                <w:szCs w:val="24"/>
                <w:lang w:val="nb-NO"/>
              </w:rPr>
              <w:t xml:space="preserve"> </w:t>
            </w:r>
            <w:r w:rsidRPr="00D11AD1">
              <w:rPr>
                <w:szCs w:val="24"/>
              </w:rPr>
              <w:t>luftvejsinfektion/inflammation, herpes virus infektion (herunder cytomegalovirus (CMV)), enterocolitis, sepsis (inklusive ikke almindelige tilfælde med dødelig udgang)</w:t>
            </w:r>
          </w:p>
        </w:tc>
      </w:tr>
      <w:tr w:rsidR="004D630B" w:rsidRPr="00D11AD1" w14:paraId="4E08B39A" w14:textId="77777777" w:rsidTr="004D630B">
        <w:trPr>
          <w:trHeight w:val="216"/>
        </w:trPr>
        <w:tc>
          <w:tcPr>
            <w:tcW w:w="2258" w:type="dxa"/>
          </w:tcPr>
          <w:p w14:paraId="09AED075" w14:textId="77777777" w:rsidR="004D630B" w:rsidRPr="00D11AD1" w:rsidRDefault="004D630B" w:rsidP="004D630B">
            <w:pPr>
              <w:pStyle w:val="Sidehoved"/>
              <w:rPr>
                <w:i/>
                <w:szCs w:val="24"/>
              </w:rPr>
            </w:pPr>
            <w:r w:rsidRPr="00D11AD1">
              <w:rPr>
                <w:i/>
                <w:iCs/>
                <w:szCs w:val="24"/>
              </w:rPr>
              <w:t>Ikke kendt</w:t>
            </w:r>
          </w:p>
        </w:tc>
        <w:tc>
          <w:tcPr>
            <w:tcW w:w="7349" w:type="dxa"/>
          </w:tcPr>
          <w:p w14:paraId="127FDB31" w14:textId="77777777" w:rsidR="004D630B" w:rsidRPr="00D11AD1" w:rsidRDefault="004D630B" w:rsidP="004D630B">
            <w:pPr>
              <w:pStyle w:val="Sidehoved"/>
              <w:rPr>
                <w:szCs w:val="24"/>
              </w:rPr>
            </w:pPr>
            <w:r w:rsidRPr="00D11AD1">
              <w:rPr>
                <w:szCs w:val="24"/>
              </w:rPr>
              <w:t>reaktivering af hepatitis B</w:t>
            </w:r>
          </w:p>
        </w:tc>
      </w:tr>
      <w:tr w:rsidR="004D630B" w:rsidRPr="00D11AD1" w14:paraId="0B6CE8AB" w14:textId="77777777" w:rsidTr="004D630B">
        <w:trPr>
          <w:trHeight w:val="220"/>
        </w:trPr>
        <w:tc>
          <w:tcPr>
            <w:tcW w:w="9607" w:type="dxa"/>
            <w:gridSpan w:val="2"/>
            <w:shd w:val="clear" w:color="auto" w:fill="F3F3F3"/>
          </w:tcPr>
          <w:p w14:paraId="3EDEFBC1" w14:textId="77777777" w:rsidR="004D630B" w:rsidRPr="00D11AD1" w:rsidRDefault="004D630B" w:rsidP="004D630B">
            <w:pPr>
              <w:pStyle w:val="Sidehoved"/>
              <w:rPr>
                <w:b/>
                <w:szCs w:val="24"/>
              </w:rPr>
            </w:pPr>
            <w:r w:rsidRPr="00D11AD1">
              <w:rPr>
                <w:b/>
                <w:bCs/>
                <w:szCs w:val="24"/>
              </w:rPr>
              <w:t>Blod og lymfesystem</w:t>
            </w:r>
          </w:p>
        </w:tc>
      </w:tr>
      <w:tr w:rsidR="004D630B" w:rsidRPr="007055E1" w14:paraId="66E5432F" w14:textId="77777777" w:rsidTr="004D630B">
        <w:trPr>
          <w:trHeight w:val="220"/>
        </w:trPr>
        <w:tc>
          <w:tcPr>
            <w:tcW w:w="2258" w:type="dxa"/>
          </w:tcPr>
          <w:p w14:paraId="6C269B85" w14:textId="77777777" w:rsidR="004D630B" w:rsidRPr="00D11AD1" w:rsidRDefault="004D630B" w:rsidP="004D630B">
            <w:pPr>
              <w:pStyle w:val="Sidehoved"/>
              <w:rPr>
                <w:i/>
                <w:iCs/>
                <w:szCs w:val="24"/>
              </w:rPr>
            </w:pPr>
            <w:r w:rsidRPr="00D11AD1">
              <w:rPr>
                <w:i/>
                <w:iCs/>
                <w:szCs w:val="24"/>
              </w:rPr>
              <w:t>Meget almindelig</w:t>
            </w:r>
          </w:p>
        </w:tc>
        <w:tc>
          <w:tcPr>
            <w:tcW w:w="7349" w:type="dxa"/>
          </w:tcPr>
          <w:p w14:paraId="20292E63" w14:textId="77777777" w:rsidR="004D630B" w:rsidRPr="00D11AD1" w:rsidRDefault="004D630B" w:rsidP="004D630B">
            <w:pPr>
              <w:pStyle w:val="Sidehoved"/>
              <w:rPr>
                <w:szCs w:val="24"/>
                <w:lang w:val="en-US"/>
              </w:rPr>
            </w:pPr>
            <w:r w:rsidRPr="00D11AD1">
              <w:rPr>
                <w:szCs w:val="24"/>
                <w:lang w:val="en-US"/>
              </w:rPr>
              <w:t>myelosuppression (inklusive anæmi, neutropeni, trombocytopeni)</w:t>
            </w:r>
          </w:p>
        </w:tc>
      </w:tr>
      <w:tr w:rsidR="004D630B" w:rsidRPr="00D11AD1" w14:paraId="2D426AF2" w14:textId="77777777" w:rsidTr="004D630B">
        <w:trPr>
          <w:trHeight w:val="220"/>
        </w:trPr>
        <w:tc>
          <w:tcPr>
            <w:tcW w:w="2258" w:type="dxa"/>
          </w:tcPr>
          <w:p w14:paraId="044F5D43" w14:textId="77777777" w:rsidR="004D630B" w:rsidRPr="00D11AD1" w:rsidRDefault="004D630B" w:rsidP="004D630B">
            <w:pPr>
              <w:pStyle w:val="Sidehoved"/>
              <w:rPr>
                <w:i/>
                <w:szCs w:val="24"/>
              </w:rPr>
            </w:pPr>
            <w:r w:rsidRPr="00D11AD1">
              <w:rPr>
                <w:i/>
                <w:iCs/>
                <w:szCs w:val="24"/>
              </w:rPr>
              <w:t>Almindelig</w:t>
            </w:r>
          </w:p>
        </w:tc>
        <w:tc>
          <w:tcPr>
            <w:tcW w:w="7349" w:type="dxa"/>
          </w:tcPr>
          <w:p w14:paraId="73B97820" w14:textId="77777777" w:rsidR="004D630B" w:rsidRPr="00D11AD1" w:rsidRDefault="004D630B" w:rsidP="004D630B">
            <w:pPr>
              <w:pStyle w:val="Sidehoved"/>
              <w:rPr>
                <w:szCs w:val="24"/>
              </w:rPr>
            </w:pPr>
            <w:r w:rsidRPr="00D11AD1">
              <w:rPr>
                <w:szCs w:val="24"/>
              </w:rPr>
              <w:t>febril neutropeni</w:t>
            </w:r>
          </w:p>
        </w:tc>
      </w:tr>
      <w:tr w:rsidR="004D630B" w:rsidRPr="00D11AD1" w14:paraId="641165C8" w14:textId="77777777" w:rsidTr="004D630B">
        <w:trPr>
          <w:trHeight w:val="220"/>
        </w:trPr>
        <w:tc>
          <w:tcPr>
            <w:tcW w:w="2258" w:type="dxa"/>
          </w:tcPr>
          <w:p w14:paraId="680DA18D" w14:textId="77777777" w:rsidR="004D630B" w:rsidRPr="00D11AD1" w:rsidRDefault="004D630B" w:rsidP="004D630B">
            <w:pPr>
              <w:pStyle w:val="Sidehoved"/>
              <w:rPr>
                <w:i/>
                <w:szCs w:val="24"/>
              </w:rPr>
            </w:pPr>
            <w:r w:rsidRPr="00D11AD1">
              <w:rPr>
                <w:i/>
                <w:iCs/>
                <w:szCs w:val="24"/>
              </w:rPr>
              <w:t>Ikke almindelig</w:t>
            </w:r>
          </w:p>
        </w:tc>
        <w:tc>
          <w:tcPr>
            <w:tcW w:w="7349" w:type="dxa"/>
          </w:tcPr>
          <w:p w14:paraId="6DFB7DAE" w14:textId="77777777" w:rsidR="004D630B" w:rsidRPr="00D11AD1" w:rsidRDefault="004D630B" w:rsidP="004D630B">
            <w:pPr>
              <w:pStyle w:val="Sidehoved"/>
              <w:rPr>
                <w:szCs w:val="24"/>
              </w:rPr>
            </w:pPr>
            <w:r w:rsidRPr="00D11AD1">
              <w:rPr>
                <w:szCs w:val="24"/>
              </w:rPr>
              <w:t>lymfadenopati, lymfopeni</w:t>
            </w:r>
          </w:p>
        </w:tc>
      </w:tr>
      <w:tr w:rsidR="004D630B" w:rsidRPr="00D11AD1" w14:paraId="01554654" w14:textId="77777777" w:rsidTr="004D630B">
        <w:trPr>
          <w:trHeight w:val="220"/>
        </w:trPr>
        <w:tc>
          <w:tcPr>
            <w:tcW w:w="2258" w:type="dxa"/>
          </w:tcPr>
          <w:p w14:paraId="0A7AA751" w14:textId="77777777" w:rsidR="004D630B" w:rsidRPr="00D11AD1" w:rsidRDefault="004D630B" w:rsidP="004D630B">
            <w:pPr>
              <w:pStyle w:val="Sidehoved"/>
              <w:rPr>
                <w:i/>
                <w:szCs w:val="24"/>
              </w:rPr>
            </w:pPr>
            <w:r w:rsidRPr="00D11AD1">
              <w:rPr>
                <w:i/>
                <w:iCs/>
                <w:szCs w:val="24"/>
              </w:rPr>
              <w:t>Sjælden</w:t>
            </w:r>
          </w:p>
        </w:tc>
        <w:tc>
          <w:tcPr>
            <w:tcW w:w="7349" w:type="dxa"/>
          </w:tcPr>
          <w:p w14:paraId="1E7172FE" w14:textId="77777777" w:rsidR="004D630B" w:rsidRPr="00D11AD1" w:rsidRDefault="004D630B" w:rsidP="004D630B">
            <w:pPr>
              <w:pStyle w:val="Sidehoved"/>
              <w:rPr>
                <w:szCs w:val="24"/>
              </w:rPr>
            </w:pPr>
            <w:r w:rsidRPr="00D11AD1">
              <w:rPr>
                <w:i/>
                <w:iCs/>
                <w:szCs w:val="24"/>
              </w:rPr>
              <w:t xml:space="preserve">“pure red cell” </w:t>
            </w:r>
            <w:r w:rsidRPr="00D11AD1">
              <w:rPr>
                <w:szCs w:val="24"/>
              </w:rPr>
              <w:t>aplasi</w:t>
            </w:r>
          </w:p>
        </w:tc>
      </w:tr>
      <w:tr w:rsidR="004D630B" w:rsidRPr="00D11AD1" w14:paraId="70F3E4C3" w14:textId="77777777" w:rsidTr="004D630B">
        <w:trPr>
          <w:trHeight w:val="220"/>
        </w:trPr>
        <w:tc>
          <w:tcPr>
            <w:tcW w:w="9607" w:type="dxa"/>
            <w:gridSpan w:val="2"/>
            <w:shd w:val="clear" w:color="auto" w:fill="F3F3F3"/>
          </w:tcPr>
          <w:p w14:paraId="3F77C601" w14:textId="77777777" w:rsidR="004D630B" w:rsidRPr="00D11AD1" w:rsidRDefault="004D630B" w:rsidP="004D630B">
            <w:pPr>
              <w:pStyle w:val="Sidehoved"/>
              <w:rPr>
                <w:b/>
                <w:szCs w:val="24"/>
              </w:rPr>
            </w:pPr>
            <w:r w:rsidRPr="00D11AD1">
              <w:rPr>
                <w:b/>
                <w:bCs/>
                <w:szCs w:val="24"/>
              </w:rPr>
              <w:t>Immunsystemet</w:t>
            </w:r>
          </w:p>
        </w:tc>
      </w:tr>
      <w:tr w:rsidR="004D630B" w:rsidRPr="00D11AD1" w14:paraId="2A6E3236" w14:textId="77777777" w:rsidTr="004D630B">
        <w:trPr>
          <w:trHeight w:val="220"/>
        </w:trPr>
        <w:tc>
          <w:tcPr>
            <w:tcW w:w="2258" w:type="dxa"/>
          </w:tcPr>
          <w:p w14:paraId="579BEE52" w14:textId="77777777" w:rsidR="004D630B" w:rsidRPr="00D11AD1" w:rsidRDefault="004D630B" w:rsidP="004D630B">
            <w:pPr>
              <w:pStyle w:val="Sidehoved"/>
              <w:rPr>
                <w:i/>
                <w:szCs w:val="24"/>
              </w:rPr>
            </w:pPr>
            <w:r w:rsidRPr="00D11AD1">
              <w:rPr>
                <w:i/>
                <w:iCs/>
                <w:szCs w:val="24"/>
              </w:rPr>
              <w:t>Ikke almindelig</w:t>
            </w:r>
          </w:p>
        </w:tc>
        <w:tc>
          <w:tcPr>
            <w:tcW w:w="7349" w:type="dxa"/>
          </w:tcPr>
          <w:p w14:paraId="1412A5C5" w14:textId="77777777" w:rsidR="004D630B" w:rsidRPr="00D11AD1" w:rsidRDefault="004D630B" w:rsidP="004D630B">
            <w:pPr>
              <w:pStyle w:val="Sidehoved"/>
              <w:rPr>
                <w:szCs w:val="24"/>
              </w:rPr>
            </w:pPr>
            <w:r w:rsidRPr="00D11AD1">
              <w:rPr>
                <w:szCs w:val="24"/>
              </w:rPr>
              <w:t>overfølsomhed (inklusive erythema nodosum)</w:t>
            </w:r>
          </w:p>
        </w:tc>
      </w:tr>
      <w:tr w:rsidR="004D630B" w:rsidRPr="00D11AD1" w14:paraId="4DBBCBEA" w14:textId="77777777" w:rsidTr="004D630B">
        <w:trPr>
          <w:trHeight w:val="220"/>
        </w:trPr>
        <w:tc>
          <w:tcPr>
            <w:tcW w:w="2258" w:type="dxa"/>
          </w:tcPr>
          <w:p w14:paraId="60890B92" w14:textId="77777777" w:rsidR="004D630B" w:rsidRPr="00D11AD1" w:rsidRDefault="004D630B" w:rsidP="004D630B">
            <w:pPr>
              <w:pStyle w:val="Sidehoved"/>
              <w:rPr>
                <w:szCs w:val="24"/>
              </w:rPr>
            </w:pPr>
            <w:r w:rsidRPr="00D11AD1">
              <w:rPr>
                <w:i/>
                <w:iCs/>
                <w:szCs w:val="24"/>
              </w:rPr>
              <w:t>Sjælden</w:t>
            </w:r>
          </w:p>
        </w:tc>
        <w:tc>
          <w:tcPr>
            <w:tcW w:w="7349" w:type="dxa"/>
          </w:tcPr>
          <w:p w14:paraId="048DC499" w14:textId="77777777" w:rsidR="004D630B" w:rsidRPr="00D11AD1" w:rsidRDefault="004D630B" w:rsidP="004D630B">
            <w:pPr>
              <w:pStyle w:val="Sidehoved"/>
              <w:rPr>
                <w:szCs w:val="24"/>
              </w:rPr>
            </w:pPr>
            <w:r w:rsidRPr="00D11AD1">
              <w:rPr>
                <w:szCs w:val="24"/>
              </w:rPr>
              <w:t>anafylaktisk shock</w:t>
            </w:r>
          </w:p>
        </w:tc>
      </w:tr>
      <w:tr w:rsidR="004D630B" w:rsidRPr="00D11AD1" w14:paraId="3E3D71FE" w14:textId="77777777" w:rsidTr="004D630B">
        <w:trPr>
          <w:trHeight w:val="220"/>
        </w:trPr>
        <w:tc>
          <w:tcPr>
            <w:tcW w:w="9607" w:type="dxa"/>
            <w:gridSpan w:val="2"/>
            <w:shd w:val="clear" w:color="auto" w:fill="F3F3F3"/>
          </w:tcPr>
          <w:p w14:paraId="388AC1E6" w14:textId="77777777" w:rsidR="004D630B" w:rsidRPr="00D11AD1" w:rsidRDefault="004D630B" w:rsidP="004D630B">
            <w:pPr>
              <w:pStyle w:val="Sidehoved"/>
              <w:rPr>
                <w:b/>
                <w:szCs w:val="24"/>
              </w:rPr>
            </w:pPr>
            <w:r w:rsidRPr="00D11AD1">
              <w:rPr>
                <w:b/>
                <w:bCs/>
                <w:szCs w:val="24"/>
              </w:rPr>
              <w:t>Det endokrine system</w:t>
            </w:r>
          </w:p>
        </w:tc>
      </w:tr>
      <w:tr w:rsidR="004D630B" w:rsidRPr="00D11AD1" w14:paraId="632D554E" w14:textId="77777777" w:rsidTr="004D630B">
        <w:trPr>
          <w:trHeight w:val="220"/>
        </w:trPr>
        <w:tc>
          <w:tcPr>
            <w:tcW w:w="2258" w:type="dxa"/>
          </w:tcPr>
          <w:p w14:paraId="564AE428" w14:textId="77777777" w:rsidR="004D630B" w:rsidRPr="00D11AD1" w:rsidRDefault="004D630B" w:rsidP="004D630B">
            <w:pPr>
              <w:pStyle w:val="Sidehoved"/>
              <w:rPr>
                <w:i/>
                <w:szCs w:val="24"/>
              </w:rPr>
            </w:pPr>
            <w:r w:rsidRPr="00D11AD1">
              <w:rPr>
                <w:i/>
                <w:iCs/>
                <w:szCs w:val="24"/>
              </w:rPr>
              <w:t>Ikke almindelig</w:t>
            </w:r>
          </w:p>
        </w:tc>
        <w:tc>
          <w:tcPr>
            <w:tcW w:w="7349" w:type="dxa"/>
          </w:tcPr>
          <w:p w14:paraId="121FA5EE" w14:textId="77777777" w:rsidR="004D630B" w:rsidRPr="00D11AD1" w:rsidRDefault="004D630B" w:rsidP="004D630B">
            <w:pPr>
              <w:pStyle w:val="Sidehoved"/>
              <w:rPr>
                <w:szCs w:val="24"/>
              </w:rPr>
            </w:pPr>
            <w:r w:rsidRPr="00D11AD1">
              <w:rPr>
                <w:szCs w:val="24"/>
              </w:rPr>
              <w:t>hypotyreoidisme</w:t>
            </w:r>
          </w:p>
        </w:tc>
      </w:tr>
      <w:tr w:rsidR="004D630B" w:rsidRPr="00D11AD1" w14:paraId="13E1E787" w14:textId="77777777" w:rsidTr="004D630B">
        <w:trPr>
          <w:trHeight w:val="220"/>
        </w:trPr>
        <w:tc>
          <w:tcPr>
            <w:tcW w:w="2258" w:type="dxa"/>
          </w:tcPr>
          <w:p w14:paraId="5D2E73DD" w14:textId="77777777" w:rsidR="004D630B" w:rsidRPr="00D11AD1" w:rsidRDefault="004D630B" w:rsidP="004D630B">
            <w:pPr>
              <w:pStyle w:val="Sidehoved"/>
              <w:rPr>
                <w:i/>
                <w:szCs w:val="24"/>
              </w:rPr>
            </w:pPr>
            <w:r w:rsidRPr="00D11AD1">
              <w:rPr>
                <w:i/>
                <w:iCs/>
                <w:szCs w:val="24"/>
              </w:rPr>
              <w:t>Sjælden</w:t>
            </w:r>
          </w:p>
        </w:tc>
        <w:tc>
          <w:tcPr>
            <w:tcW w:w="7349" w:type="dxa"/>
          </w:tcPr>
          <w:p w14:paraId="5A1FE004" w14:textId="77777777" w:rsidR="004D630B" w:rsidRPr="00D11AD1" w:rsidRDefault="004D630B" w:rsidP="004D630B">
            <w:pPr>
              <w:pStyle w:val="Sidehoved"/>
              <w:rPr>
                <w:szCs w:val="24"/>
              </w:rPr>
            </w:pPr>
            <w:r w:rsidRPr="00D11AD1">
              <w:rPr>
                <w:szCs w:val="24"/>
              </w:rPr>
              <w:t>hypertyreoidisme, tyroiditis</w:t>
            </w:r>
          </w:p>
        </w:tc>
      </w:tr>
      <w:tr w:rsidR="004D630B" w:rsidRPr="00D11AD1" w14:paraId="155A803E" w14:textId="77777777" w:rsidTr="004D630B">
        <w:trPr>
          <w:trHeight w:val="220"/>
        </w:trPr>
        <w:tc>
          <w:tcPr>
            <w:tcW w:w="9607" w:type="dxa"/>
            <w:gridSpan w:val="2"/>
            <w:shd w:val="clear" w:color="auto" w:fill="F3F3F3"/>
          </w:tcPr>
          <w:p w14:paraId="5C7BD300" w14:textId="77777777" w:rsidR="004D630B" w:rsidRPr="00D11AD1" w:rsidRDefault="004D630B" w:rsidP="004D630B">
            <w:pPr>
              <w:pStyle w:val="Sidehoved"/>
              <w:rPr>
                <w:b/>
                <w:szCs w:val="24"/>
              </w:rPr>
            </w:pPr>
            <w:r w:rsidRPr="00D11AD1">
              <w:rPr>
                <w:b/>
                <w:bCs/>
                <w:szCs w:val="24"/>
              </w:rPr>
              <w:t>Metabolisme og ernæring</w:t>
            </w:r>
          </w:p>
        </w:tc>
      </w:tr>
      <w:tr w:rsidR="004D630B" w:rsidRPr="00D11AD1" w14:paraId="206C362E" w14:textId="77777777" w:rsidTr="004D630B">
        <w:trPr>
          <w:trHeight w:val="220"/>
        </w:trPr>
        <w:tc>
          <w:tcPr>
            <w:tcW w:w="2258" w:type="dxa"/>
          </w:tcPr>
          <w:p w14:paraId="4BF68AD0" w14:textId="77777777" w:rsidR="004D630B" w:rsidRPr="00D11AD1" w:rsidRDefault="004D630B" w:rsidP="004D630B">
            <w:pPr>
              <w:pStyle w:val="Sidehoved"/>
              <w:rPr>
                <w:i/>
                <w:szCs w:val="24"/>
              </w:rPr>
            </w:pPr>
            <w:r w:rsidRPr="00D11AD1">
              <w:rPr>
                <w:i/>
                <w:iCs/>
                <w:szCs w:val="24"/>
              </w:rPr>
              <w:t>Almindelig</w:t>
            </w:r>
          </w:p>
        </w:tc>
        <w:tc>
          <w:tcPr>
            <w:tcW w:w="7349" w:type="dxa"/>
          </w:tcPr>
          <w:p w14:paraId="4C38218F" w14:textId="77777777" w:rsidR="004D630B" w:rsidRPr="00D11AD1" w:rsidRDefault="004D630B" w:rsidP="004D630B">
            <w:pPr>
              <w:pStyle w:val="Sidehoved"/>
              <w:rPr>
                <w:szCs w:val="24"/>
              </w:rPr>
            </w:pPr>
            <w:r w:rsidRPr="00D11AD1">
              <w:rPr>
                <w:szCs w:val="24"/>
              </w:rPr>
              <w:t>appetitforstyrrelser</w:t>
            </w:r>
            <w:r w:rsidRPr="00D11AD1">
              <w:rPr>
                <w:szCs w:val="24"/>
                <w:vertAlign w:val="superscript"/>
              </w:rPr>
              <w:t>a</w:t>
            </w:r>
            <w:r w:rsidRPr="00D11AD1">
              <w:rPr>
                <w:szCs w:val="24"/>
              </w:rPr>
              <w:t>, hyperurikæmi</w:t>
            </w:r>
          </w:p>
        </w:tc>
      </w:tr>
      <w:tr w:rsidR="004D630B" w:rsidRPr="00D11AD1" w14:paraId="35654C28" w14:textId="77777777" w:rsidTr="004D630B">
        <w:trPr>
          <w:trHeight w:val="220"/>
        </w:trPr>
        <w:tc>
          <w:tcPr>
            <w:tcW w:w="2258" w:type="dxa"/>
          </w:tcPr>
          <w:p w14:paraId="72674445" w14:textId="77777777" w:rsidR="004D630B" w:rsidRPr="00D11AD1" w:rsidRDefault="004D630B" w:rsidP="004D630B">
            <w:pPr>
              <w:pStyle w:val="Sidehoved"/>
              <w:rPr>
                <w:i/>
                <w:szCs w:val="24"/>
              </w:rPr>
            </w:pPr>
            <w:r w:rsidRPr="00D11AD1">
              <w:rPr>
                <w:i/>
                <w:iCs/>
                <w:szCs w:val="24"/>
              </w:rPr>
              <w:t>Ikke almindelig</w:t>
            </w:r>
          </w:p>
        </w:tc>
        <w:tc>
          <w:tcPr>
            <w:tcW w:w="7349" w:type="dxa"/>
          </w:tcPr>
          <w:p w14:paraId="7EB308CB" w14:textId="77777777" w:rsidR="004D630B" w:rsidRPr="00D11AD1" w:rsidRDefault="004D630B" w:rsidP="004D630B">
            <w:pPr>
              <w:pStyle w:val="Sidehoved"/>
              <w:rPr>
                <w:szCs w:val="24"/>
              </w:rPr>
            </w:pPr>
            <w:r w:rsidRPr="00D11AD1">
              <w:rPr>
                <w:szCs w:val="24"/>
              </w:rPr>
              <w:t>tumorlysesyndrom, dehydrering, hypoalbuminæmi, hyperkolesterolæmi</w:t>
            </w:r>
          </w:p>
        </w:tc>
      </w:tr>
      <w:tr w:rsidR="004D630B" w:rsidRPr="00D11AD1" w14:paraId="374C8C26" w14:textId="77777777" w:rsidTr="004D630B">
        <w:trPr>
          <w:trHeight w:val="220"/>
        </w:trPr>
        <w:tc>
          <w:tcPr>
            <w:tcW w:w="2258" w:type="dxa"/>
          </w:tcPr>
          <w:p w14:paraId="0A27707A" w14:textId="77777777" w:rsidR="004D630B" w:rsidRPr="00D11AD1" w:rsidRDefault="004D630B" w:rsidP="004D630B">
            <w:pPr>
              <w:pStyle w:val="Sidehoved"/>
              <w:rPr>
                <w:i/>
                <w:szCs w:val="24"/>
              </w:rPr>
            </w:pPr>
            <w:r w:rsidRPr="00D11AD1">
              <w:rPr>
                <w:i/>
                <w:iCs/>
                <w:szCs w:val="24"/>
              </w:rPr>
              <w:t>Sjælden</w:t>
            </w:r>
          </w:p>
        </w:tc>
        <w:tc>
          <w:tcPr>
            <w:tcW w:w="7349" w:type="dxa"/>
          </w:tcPr>
          <w:p w14:paraId="2612B8E9" w14:textId="77777777" w:rsidR="004D630B" w:rsidRPr="00D11AD1" w:rsidRDefault="004D630B" w:rsidP="004D630B">
            <w:pPr>
              <w:pStyle w:val="Sidehoved"/>
              <w:rPr>
                <w:szCs w:val="24"/>
              </w:rPr>
            </w:pPr>
            <w:r w:rsidRPr="00D11AD1">
              <w:rPr>
                <w:szCs w:val="24"/>
              </w:rPr>
              <w:t>diabetes mellitus</w:t>
            </w:r>
          </w:p>
        </w:tc>
      </w:tr>
      <w:tr w:rsidR="004D630B" w:rsidRPr="00D11AD1" w14:paraId="1510CA12" w14:textId="77777777" w:rsidTr="004D630B">
        <w:trPr>
          <w:trHeight w:val="220"/>
        </w:trPr>
        <w:tc>
          <w:tcPr>
            <w:tcW w:w="9607" w:type="dxa"/>
            <w:gridSpan w:val="2"/>
            <w:shd w:val="clear" w:color="auto" w:fill="F3F3F3"/>
          </w:tcPr>
          <w:p w14:paraId="0EA96EEA" w14:textId="77777777" w:rsidR="004D630B" w:rsidRPr="00D11AD1" w:rsidRDefault="004D630B" w:rsidP="004D630B">
            <w:pPr>
              <w:pStyle w:val="Sidehoved"/>
              <w:rPr>
                <w:b/>
                <w:szCs w:val="24"/>
              </w:rPr>
            </w:pPr>
            <w:r w:rsidRPr="00D11AD1">
              <w:rPr>
                <w:b/>
                <w:bCs/>
                <w:szCs w:val="24"/>
              </w:rPr>
              <w:t>Psykiske forstyrrelser</w:t>
            </w:r>
          </w:p>
        </w:tc>
      </w:tr>
      <w:tr w:rsidR="004D630B" w:rsidRPr="00D11AD1" w14:paraId="0366EA34" w14:textId="77777777" w:rsidTr="004D630B">
        <w:trPr>
          <w:trHeight w:val="220"/>
        </w:trPr>
        <w:tc>
          <w:tcPr>
            <w:tcW w:w="2258" w:type="dxa"/>
          </w:tcPr>
          <w:p w14:paraId="4024DDD2" w14:textId="77777777" w:rsidR="004D630B" w:rsidRPr="00D11AD1" w:rsidRDefault="004D630B" w:rsidP="004D630B">
            <w:pPr>
              <w:pStyle w:val="Sidehoved"/>
              <w:rPr>
                <w:i/>
                <w:szCs w:val="24"/>
              </w:rPr>
            </w:pPr>
            <w:r w:rsidRPr="00D11AD1">
              <w:rPr>
                <w:i/>
                <w:iCs/>
                <w:szCs w:val="24"/>
              </w:rPr>
              <w:t>Almindelig</w:t>
            </w:r>
          </w:p>
        </w:tc>
        <w:tc>
          <w:tcPr>
            <w:tcW w:w="7349" w:type="dxa"/>
          </w:tcPr>
          <w:p w14:paraId="615E8D7D" w14:textId="77777777" w:rsidR="004D630B" w:rsidRPr="00D11AD1" w:rsidRDefault="004D630B" w:rsidP="004D630B">
            <w:pPr>
              <w:pStyle w:val="Sidehoved"/>
              <w:rPr>
                <w:szCs w:val="24"/>
              </w:rPr>
            </w:pPr>
            <w:r w:rsidRPr="00D11AD1">
              <w:rPr>
                <w:szCs w:val="24"/>
              </w:rPr>
              <w:t>depression, søvnløshed</w:t>
            </w:r>
          </w:p>
        </w:tc>
      </w:tr>
      <w:tr w:rsidR="004D630B" w:rsidRPr="00D11AD1" w14:paraId="05421E7C" w14:textId="77777777" w:rsidTr="004D630B">
        <w:trPr>
          <w:trHeight w:val="220"/>
        </w:trPr>
        <w:tc>
          <w:tcPr>
            <w:tcW w:w="2258" w:type="dxa"/>
          </w:tcPr>
          <w:p w14:paraId="1E336EB0" w14:textId="77777777" w:rsidR="004D630B" w:rsidRPr="00D11AD1" w:rsidRDefault="004D630B" w:rsidP="004D630B">
            <w:pPr>
              <w:pStyle w:val="Sidehoved"/>
              <w:rPr>
                <w:i/>
                <w:szCs w:val="24"/>
              </w:rPr>
            </w:pPr>
            <w:r w:rsidRPr="00D11AD1">
              <w:rPr>
                <w:i/>
                <w:iCs/>
                <w:szCs w:val="24"/>
              </w:rPr>
              <w:t>Ikke almindelig</w:t>
            </w:r>
          </w:p>
        </w:tc>
        <w:tc>
          <w:tcPr>
            <w:tcW w:w="7349" w:type="dxa"/>
          </w:tcPr>
          <w:p w14:paraId="362A0658" w14:textId="77777777" w:rsidR="004D630B" w:rsidRPr="00D11AD1" w:rsidRDefault="004D630B" w:rsidP="004D630B">
            <w:pPr>
              <w:pStyle w:val="Sidehoved"/>
              <w:rPr>
                <w:szCs w:val="24"/>
              </w:rPr>
            </w:pPr>
            <w:r w:rsidRPr="00D11AD1">
              <w:rPr>
                <w:szCs w:val="24"/>
              </w:rPr>
              <w:t>angst, konfusion, affektlabilitet, nedsat libido</w:t>
            </w:r>
          </w:p>
        </w:tc>
      </w:tr>
      <w:tr w:rsidR="004D630B" w:rsidRPr="00D11AD1" w14:paraId="6F7F625B" w14:textId="77777777" w:rsidTr="004D630B">
        <w:trPr>
          <w:trHeight w:val="220"/>
        </w:trPr>
        <w:tc>
          <w:tcPr>
            <w:tcW w:w="9607" w:type="dxa"/>
            <w:gridSpan w:val="2"/>
            <w:shd w:val="clear" w:color="auto" w:fill="F3F3F3"/>
          </w:tcPr>
          <w:p w14:paraId="54983D95" w14:textId="77777777" w:rsidR="004D630B" w:rsidRPr="00D11AD1" w:rsidRDefault="004D630B" w:rsidP="004D630B">
            <w:pPr>
              <w:pStyle w:val="Sidehoved"/>
              <w:rPr>
                <w:b/>
                <w:szCs w:val="24"/>
              </w:rPr>
            </w:pPr>
            <w:r w:rsidRPr="00D11AD1">
              <w:rPr>
                <w:b/>
                <w:bCs/>
                <w:szCs w:val="24"/>
              </w:rPr>
              <w:t>Nervesystemet</w:t>
            </w:r>
          </w:p>
        </w:tc>
      </w:tr>
      <w:tr w:rsidR="004D630B" w:rsidRPr="00D11AD1" w14:paraId="43590D01" w14:textId="77777777" w:rsidTr="004D630B">
        <w:trPr>
          <w:trHeight w:val="220"/>
        </w:trPr>
        <w:tc>
          <w:tcPr>
            <w:tcW w:w="2258" w:type="dxa"/>
          </w:tcPr>
          <w:p w14:paraId="04ED261D" w14:textId="01E1D427"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18DBCD20" w14:textId="77777777" w:rsidR="004D630B" w:rsidRPr="00D11AD1" w:rsidRDefault="004D630B" w:rsidP="004D630B">
            <w:pPr>
              <w:pStyle w:val="Sidehoved"/>
              <w:rPr>
                <w:szCs w:val="24"/>
              </w:rPr>
            </w:pPr>
            <w:r w:rsidRPr="00D11AD1">
              <w:rPr>
                <w:szCs w:val="24"/>
              </w:rPr>
              <w:t>hovedpine</w:t>
            </w:r>
          </w:p>
        </w:tc>
      </w:tr>
      <w:tr w:rsidR="004D630B" w:rsidRPr="00D11AD1" w14:paraId="7657CCAD" w14:textId="77777777" w:rsidTr="004D630B">
        <w:trPr>
          <w:trHeight w:val="220"/>
        </w:trPr>
        <w:tc>
          <w:tcPr>
            <w:tcW w:w="2258" w:type="dxa"/>
          </w:tcPr>
          <w:p w14:paraId="4A54CB09" w14:textId="77777777" w:rsidR="004D630B" w:rsidRPr="00D11AD1" w:rsidRDefault="004D630B" w:rsidP="004D630B">
            <w:pPr>
              <w:pStyle w:val="Sidehoved"/>
              <w:rPr>
                <w:i/>
                <w:szCs w:val="24"/>
              </w:rPr>
            </w:pPr>
            <w:r w:rsidRPr="00D11AD1">
              <w:rPr>
                <w:i/>
                <w:iCs/>
                <w:szCs w:val="24"/>
              </w:rPr>
              <w:t>Almindelig</w:t>
            </w:r>
          </w:p>
        </w:tc>
        <w:tc>
          <w:tcPr>
            <w:tcW w:w="7349" w:type="dxa"/>
          </w:tcPr>
          <w:p w14:paraId="31FDF2C9" w14:textId="77777777" w:rsidR="004D630B" w:rsidRPr="00D11AD1" w:rsidRDefault="004D630B" w:rsidP="004D630B">
            <w:pPr>
              <w:pStyle w:val="Sidehoved"/>
              <w:rPr>
                <w:szCs w:val="24"/>
              </w:rPr>
            </w:pPr>
            <w:r w:rsidRPr="00D11AD1">
              <w:rPr>
                <w:szCs w:val="24"/>
              </w:rPr>
              <w:t>neuropati (inklusive perifer neuropati), svimmelhed, dysgeusi, døsighed</w:t>
            </w:r>
          </w:p>
        </w:tc>
      </w:tr>
      <w:tr w:rsidR="004D630B" w:rsidRPr="00D11AD1" w14:paraId="4A3D8D9F" w14:textId="77777777" w:rsidTr="004D630B">
        <w:trPr>
          <w:trHeight w:val="220"/>
        </w:trPr>
        <w:tc>
          <w:tcPr>
            <w:tcW w:w="2258" w:type="dxa"/>
          </w:tcPr>
          <w:p w14:paraId="215409E0" w14:textId="77777777" w:rsidR="004D630B" w:rsidRPr="00D11AD1" w:rsidRDefault="004D630B" w:rsidP="004D630B">
            <w:pPr>
              <w:pStyle w:val="Sidehoved"/>
              <w:rPr>
                <w:i/>
                <w:szCs w:val="24"/>
              </w:rPr>
            </w:pPr>
            <w:r w:rsidRPr="00D11AD1">
              <w:rPr>
                <w:i/>
                <w:iCs/>
                <w:szCs w:val="24"/>
              </w:rPr>
              <w:t>Ikke almindelig</w:t>
            </w:r>
          </w:p>
        </w:tc>
        <w:tc>
          <w:tcPr>
            <w:tcW w:w="7349" w:type="dxa"/>
          </w:tcPr>
          <w:p w14:paraId="300BA820" w14:textId="77777777" w:rsidR="004D630B" w:rsidRPr="00D11AD1" w:rsidRDefault="004D630B" w:rsidP="004D630B">
            <w:pPr>
              <w:pStyle w:val="Sidehoved"/>
              <w:rPr>
                <w:szCs w:val="24"/>
                <w:lang w:val="nb-NO"/>
              </w:rPr>
            </w:pPr>
            <w:r w:rsidRPr="00D11AD1">
              <w:rPr>
                <w:szCs w:val="24"/>
                <w:lang w:val="nb-NO"/>
              </w:rPr>
              <w:t>CNS-blødning</w:t>
            </w:r>
            <w:r w:rsidRPr="00D11AD1">
              <w:rPr>
                <w:szCs w:val="24"/>
                <w:vertAlign w:val="superscript"/>
                <w:lang w:val="nb-NO"/>
              </w:rPr>
              <w:t>*b</w:t>
            </w:r>
            <w:r w:rsidRPr="00D11AD1">
              <w:rPr>
                <w:szCs w:val="24"/>
                <w:lang w:val="nb-NO"/>
              </w:rPr>
              <w:t>, synkope, tremor, amnesi, balanceforstyrrelser</w:t>
            </w:r>
          </w:p>
        </w:tc>
      </w:tr>
      <w:tr w:rsidR="004D630B" w:rsidRPr="00D11AD1" w14:paraId="0C4A70C1" w14:textId="77777777" w:rsidTr="004D630B">
        <w:trPr>
          <w:trHeight w:val="460"/>
        </w:trPr>
        <w:tc>
          <w:tcPr>
            <w:tcW w:w="2258" w:type="dxa"/>
          </w:tcPr>
          <w:p w14:paraId="366ED6DE" w14:textId="77777777" w:rsidR="004D630B" w:rsidRPr="00D11AD1" w:rsidRDefault="004D630B" w:rsidP="004D630B">
            <w:pPr>
              <w:pStyle w:val="Sidehoved"/>
              <w:rPr>
                <w:i/>
                <w:szCs w:val="24"/>
              </w:rPr>
            </w:pPr>
            <w:r w:rsidRPr="00D11AD1">
              <w:rPr>
                <w:i/>
                <w:iCs/>
                <w:szCs w:val="24"/>
              </w:rPr>
              <w:t>Sjælden</w:t>
            </w:r>
          </w:p>
        </w:tc>
        <w:tc>
          <w:tcPr>
            <w:tcW w:w="7349" w:type="dxa"/>
          </w:tcPr>
          <w:p w14:paraId="5535CEC6" w14:textId="563C11E7" w:rsidR="004D630B" w:rsidRPr="00D11AD1" w:rsidRDefault="004D630B" w:rsidP="004D630B">
            <w:pPr>
              <w:pStyle w:val="Sidehoved"/>
              <w:rPr>
                <w:szCs w:val="24"/>
              </w:rPr>
            </w:pPr>
            <w:r w:rsidRPr="00D11AD1">
              <w:rPr>
                <w:szCs w:val="24"/>
              </w:rPr>
              <w:t>cerebrovaskulært attak, transitorisk cerebral iskæmi, krampe, optikusneuritis, paralyse af 7. nerve, demens, ataksi</w:t>
            </w:r>
          </w:p>
        </w:tc>
      </w:tr>
      <w:tr w:rsidR="004D630B" w:rsidRPr="00D11AD1" w14:paraId="4FF5DCEF" w14:textId="77777777" w:rsidTr="004D630B">
        <w:trPr>
          <w:trHeight w:val="217"/>
        </w:trPr>
        <w:tc>
          <w:tcPr>
            <w:tcW w:w="9607" w:type="dxa"/>
            <w:gridSpan w:val="2"/>
            <w:shd w:val="clear" w:color="auto" w:fill="F3F3F3"/>
          </w:tcPr>
          <w:p w14:paraId="1ED44208" w14:textId="77777777" w:rsidR="004D630B" w:rsidRPr="00D11AD1" w:rsidRDefault="004D630B" w:rsidP="004D630B">
            <w:pPr>
              <w:pStyle w:val="Sidehoved"/>
              <w:rPr>
                <w:b/>
                <w:szCs w:val="24"/>
              </w:rPr>
            </w:pPr>
            <w:r w:rsidRPr="00D11AD1">
              <w:rPr>
                <w:b/>
                <w:bCs/>
                <w:szCs w:val="24"/>
              </w:rPr>
              <w:t>Øjne</w:t>
            </w:r>
          </w:p>
        </w:tc>
      </w:tr>
      <w:tr w:rsidR="004D630B" w:rsidRPr="00D11AD1" w14:paraId="6E56C42F" w14:textId="77777777" w:rsidTr="004D630B">
        <w:trPr>
          <w:trHeight w:val="460"/>
        </w:trPr>
        <w:tc>
          <w:tcPr>
            <w:tcW w:w="2258" w:type="dxa"/>
          </w:tcPr>
          <w:p w14:paraId="2629A739" w14:textId="77777777" w:rsidR="004D630B" w:rsidRPr="00D11AD1" w:rsidRDefault="004D630B" w:rsidP="004D630B">
            <w:pPr>
              <w:pStyle w:val="Sidehoved"/>
              <w:rPr>
                <w:i/>
                <w:szCs w:val="24"/>
              </w:rPr>
            </w:pPr>
            <w:r w:rsidRPr="00D11AD1">
              <w:rPr>
                <w:i/>
                <w:iCs/>
                <w:szCs w:val="24"/>
              </w:rPr>
              <w:t>Almindelig</w:t>
            </w:r>
          </w:p>
        </w:tc>
        <w:tc>
          <w:tcPr>
            <w:tcW w:w="7349" w:type="dxa"/>
          </w:tcPr>
          <w:p w14:paraId="27010CDA" w14:textId="77777777" w:rsidR="004D630B" w:rsidRPr="00D11AD1" w:rsidRDefault="004D630B" w:rsidP="004D630B">
            <w:pPr>
              <w:pStyle w:val="Sidehoved"/>
              <w:rPr>
                <w:szCs w:val="24"/>
              </w:rPr>
            </w:pPr>
            <w:r w:rsidRPr="00D11AD1">
              <w:rPr>
                <w:szCs w:val="24"/>
              </w:rPr>
              <w:t>synsforstyrrelser (inklusive synsforstyrrelser, sløret syn og nedsat syn), tørre øjne</w:t>
            </w:r>
          </w:p>
        </w:tc>
      </w:tr>
      <w:tr w:rsidR="004D630B" w:rsidRPr="00D11AD1" w14:paraId="4E57EA95" w14:textId="77777777" w:rsidTr="004D630B">
        <w:trPr>
          <w:trHeight w:val="217"/>
        </w:trPr>
        <w:tc>
          <w:tcPr>
            <w:tcW w:w="2258" w:type="dxa"/>
          </w:tcPr>
          <w:p w14:paraId="11B139BC" w14:textId="77777777" w:rsidR="004D630B" w:rsidRPr="00D11AD1" w:rsidRDefault="004D630B" w:rsidP="004D630B">
            <w:pPr>
              <w:pStyle w:val="Sidehoved"/>
              <w:rPr>
                <w:i/>
                <w:szCs w:val="24"/>
              </w:rPr>
            </w:pPr>
            <w:r w:rsidRPr="00D11AD1">
              <w:rPr>
                <w:i/>
                <w:iCs/>
                <w:szCs w:val="24"/>
              </w:rPr>
              <w:t>Ikke almindelig</w:t>
            </w:r>
          </w:p>
        </w:tc>
        <w:tc>
          <w:tcPr>
            <w:tcW w:w="7349" w:type="dxa"/>
          </w:tcPr>
          <w:p w14:paraId="5700A21C" w14:textId="77777777" w:rsidR="004D630B" w:rsidRPr="00D11AD1" w:rsidRDefault="004D630B" w:rsidP="004D630B">
            <w:pPr>
              <w:pStyle w:val="Sidehoved"/>
              <w:rPr>
                <w:szCs w:val="24"/>
              </w:rPr>
            </w:pPr>
            <w:r w:rsidRPr="00D11AD1">
              <w:rPr>
                <w:szCs w:val="24"/>
              </w:rPr>
              <w:t>nedsat syn, konjunktivitis, fotofobi, tåreflåd</w:t>
            </w:r>
          </w:p>
        </w:tc>
      </w:tr>
      <w:tr w:rsidR="004D630B" w:rsidRPr="00D11AD1" w14:paraId="2FAC9790" w14:textId="77777777" w:rsidTr="004D630B">
        <w:trPr>
          <w:trHeight w:val="220"/>
        </w:trPr>
        <w:tc>
          <w:tcPr>
            <w:tcW w:w="9607" w:type="dxa"/>
            <w:gridSpan w:val="2"/>
            <w:shd w:val="clear" w:color="auto" w:fill="F3F3F3"/>
          </w:tcPr>
          <w:p w14:paraId="1DCF2AE0" w14:textId="77777777" w:rsidR="004D630B" w:rsidRPr="00D11AD1" w:rsidRDefault="004D630B" w:rsidP="004D630B">
            <w:pPr>
              <w:pStyle w:val="Sidehoved"/>
              <w:rPr>
                <w:b/>
                <w:szCs w:val="24"/>
              </w:rPr>
            </w:pPr>
            <w:r w:rsidRPr="00D11AD1">
              <w:rPr>
                <w:b/>
                <w:bCs/>
                <w:szCs w:val="24"/>
              </w:rPr>
              <w:t>Øre og labyrint</w:t>
            </w:r>
          </w:p>
        </w:tc>
      </w:tr>
      <w:tr w:rsidR="004D630B" w:rsidRPr="00D11AD1" w14:paraId="4B0E0B13" w14:textId="77777777" w:rsidTr="004D630B">
        <w:trPr>
          <w:trHeight w:val="220"/>
        </w:trPr>
        <w:tc>
          <w:tcPr>
            <w:tcW w:w="2258" w:type="dxa"/>
          </w:tcPr>
          <w:p w14:paraId="0B3F2E08" w14:textId="77777777" w:rsidR="004D630B" w:rsidRPr="00D11AD1" w:rsidRDefault="004D630B" w:rsidP="004D630B">
            <w:pPr>
              <w:pStyle w:val="Sidehoved"/>
              <w:rPr>
                <w:i/>
                <w:szCs w:val="24"/>
              </w:rPr>
            </w:pPr>
            <w:r w:rsidRPr="00D11AD1">
              <w:rPr>
                <w:i/>
                <w:iCs/>
                <w:szCs w:val="24"/>
              </w:rPr>
              <w:t>Almindelig</w:t>
            </w:r>
          </w:p>
        </w:tc>
        <w:tc>
          <w:tcPr>
            <w:tcW w:w="7349" w:type="dxa"/>
          </w:tcPr>
          <w:p w14:paraId="11D59DA9" w14:textId="77777777" w:rsidR="004D630B" w:rsidRPr="00D11AD1" w:rsidRDefault="004D630B" w:rsidP="004D630B">
            <w:pPr>
              <w:pStyle w:val="Sidehoved"/>
              <w:rPr>
                <w:szCs w:val="24"/>
              </w:rPr>
            </w:pPr>
            <w:r w:rsidRPr="00D11AD1">
              <w:rPr>
                <w:szCs w:val="24"/>
              </w:rPr>
              <w:t>tinnitus</w:t>
            </w:r>
          </w:p>
        </w:tc>
      </w:tr>
      <w:tr w:rsidR="004D630B" w:rsidRPr="00D11AD1" w14:paraId="7F92B60D" w14:textId="77777777" w:rsidTr="004D630B">
        <w:trPr>
          <w:trHeight w:val="220"/>
        </w:trPr>
        <w:tc>
          <w:tcPr>
            <w:tcW w:w="2258" w:type="dxa"/>
          </w:tcPr>
          <w:p w14:paraId="74CBB7F5" w14:textId="77777777" w:rsidR="004D630B" w:rsidRPr="00D11AD1" w:rsidRDefault="004D630B" w:rsidP="004D630B">
            <w:pPr>
              <w:pStyle w:val="Sidehoved"/>
              <w:rPr>
                <w:i/>
                <w:szCs w:val="24"/>
              </w:rPr>
            </w:pPr>
            <w:r w:rsidRPr="00D11AD1">
              <w:rPr>
                <w:i/>
                <w:iCs/>
                <w:szCs w:val="24"/>
              </w:rPr>
              <w:t>Ikke almindelig</w:t>
            </w:r>
          </w:p>
        </w:tc>
        <w:tc>
          <w:tcPr>
            <w:tcW w:w="7349" w:type="dxa"/>
          </w:tcPr>
          <w:p w14:paraId="465D2CF6" w14:textId="77777777" w:rsidR="004D630B" w:rsidRPr="00D11AD1" w:rsidRDefault="004D630B" w:rsidP="004D630B">
            <w:pPr>
              <w:pStyle w:val="Sidehoved"/>
              <w:rPr>
                <w:szCs w:val="24"/>
              </w:rPr>
            </w:pPr>
            <w:r w:rsidRPr="00D11AD1">
              <w:rPr>
                <w:szCs w:val="24"/>
              </w:rPr>
              <w:t>høretab, vertigo</w:t>
            </w:r>
          </w:p>
        </w:tc>
      </w:tr>
      <w:tr w:rsidR="004D630B" w:rsidRPr="00D11AD1" w14:paraId="6A501A54" w14:textId="77777777" w:rsidTr="004D630B">
        <w:trPr>
          <w:trHeight w:val="220"/>
        </w:trPr>
        <w:tc>
          <w:tcPr>
            <w:tcW w:w="9607" w:type="dxa"/>
            <w:gridSpan w:val="2"/>
            <w:shd w:val="clear" w:color="auto" w:fill="F3F3F3"/>
          </w:tcPr>
          <w:p w14:paraId="3A5F0503" w14:textId="77777777" w:rsidR="004D630B" w:rsidRPr="00D11AD1" w:rsidRDefault="004D630B" w:rsidP="004D630B">
            <w:pPr>
              <w:pStyle w:val="Sidehoved"/>
              <w:rPr>
                <w:b/>
                <w:szCs w:val="24"/>
              </w:rPr>
            </w:pPr>
            <w:r w:rsidRPr="00D11AD1">
              <w:rPr>
                <w:b/>
                <w:bCs/>
                <w:szCs w:val="24"/>
              </w:rPr>
              <w:t>Hjerte</w:t>
            </w:r>
          </w:p>
        </w:tc>
      </w:tr>
      <w:tr w:rsidR="004D630B" w:rsidRPr="00D11AD1" w14:paraId="35FAB784" w14:textId="77777777" w:rsidTr="004D630B">
        <w:trPr>
          <w:trHeight w:val="460"/>
        </w:trPr>
        <w:tc>
          <w:tcPr>
            <w:tcW w:w="2258" w:type="dxa"/>
          </w:tcPr>
          <w:p w14:paraId="1E0F0B58" w14:textId="77777777" w:rsidR="004D630B" w:rsidRPr="00D11AD1" w:rsidRDefault="004D630B" w:rsidP="004D630B">
            <w:pPr>
              <w:pStyle w:val="Sidehoved"/>
              <w:rPr>
                <w:i/>
                <w:szCs w:val="24"/>
              </w:rPr>
            </w:pPr>
            <w:r w:rsidRPr="00D11AD1">
              <w:rPr>
                <w:i/>
                <w:iCs/>
                <w:szCs w:val="24"/>
              </w:rPr>
              <w:t>Almindelig</w:t>
            </w:r>
          </w:p>
        </w:tc>
        <w:tc>
          <w:tcPr>
            <w:tcW w:w="7349" w:type="dxa"/>
          </w:tcPr>
          <w:p w14:paraId="4232E7FD" w14:textId="09855FDA" w:rsidR="004D630B" w:rsidRPr="00D11AD1" w:rsidRDefault="004D630B" w:rsidP="004D630B">
            <w:pPr>
              <w:pStyle w:val="Sidehoved"/>
              <w:rPr>
                <w:szCs w:val="24"/>
              </w:rPr>
            </w:pPr>
            <w:r w:rsidRPr="00D11AD1">
              <w:rPr>
                <w:szCs w:val="24"/>
              </w:rPr>
              <w:t>kongestivt hjertesvigt/hjerteinsufficiens</w:t>
            </w:r>
            <w:r w:rsidRPr="00D11AD1">
              <w:rPr>
                <w:szCs w:val="24"/>
                <w:vertAlign w:val="superscript"/>
              </w:rPr>
              <w:t>*c</w:t>
            </w:r>
            <w:r w:rsidRPr="00D11AD1">
              <w:rPr>
                <w:szCs w:val="24"/>
              </w:rPr>
              <w:t>, perikardie-effusion</w:t>
            </w:r>
            <w:r w:rsidRPr="00D11AD1">
              <w:rPr>
                <w:szCs w:val="24"/>
                <w:vertAlign w:val="superscript"/>
              </w:rPr>
              <w:t>*</w:t>
            </w:r>
            <w:r w:rsidRPr="00D11AD1">
              <w:rPr>
                <w:szCs w:val="24"/>
              </w:rPr>
              <w:t>, arytmi (inklusive takykardi), palpitationer</w:t>
            </w:r>
          </w:p>
        </w:tc>
      </w:tr>
      <w:tr w:rsidR="004D630B" w:rsidRPr="00D11AD1" w14:paraId="46B94D39" w14:textId="77777777" w:rsidTr="004D630B">
        <w:trPr>
          <w:trHeight w:val="696"/>
        </w:trPr>
        <w:tc>
          <w:tcPr>
            <w:tcW w:w="2258" w:type="dxa"/>
          </w:tcPr>
          <w:p w14:paraId="6E5F1E4A" w14:textId="77777777" w:rsidR="004D630B" w:rsidRPr="00D11AD1" w:rsidRDefault="004D630B" w:rsidP="004D630B">
            <w:pPr>
              <w:pStyle w:val="Sidehoved"/>
              <w:rPr>
                <w:i/>
                <w:szCs w:val="24"/>
              </w:rPr>
            </w:pPr>
            <w:r w:rsidRPr="00D11AD1">
              <w:rPr>
                <w:i/>
                <w:iCs/>
                <w:szCs w:val="24"/>
              </w:rPr>
              <w:t>Ikke almindelig</w:t>
            </w:r>
          </w:p>
        </w:tc>
        <w:tc>
          <w:tcPr>
            <w:tcW w:w="7349" w:type="dxa"/>
          </w:tcPr>
          <w:p w14:paraId="5219E6D5" w14:textId="4588E3F9" w:rsidR="004D630B" w:rsidRPr="00D11AD1" w:rsidRDefault="004D630B" w:rsidP="004D630B">
            <w:pPr>
              <w:pStyle w:val="Sidehoved"/>
              <w:rPr>
                <w:szCs w:val="24"/>
              </w:rPr>
            </w:pPr>
            <w:r w:rsidRPr="00D11AD1">
              <w:rPr>
                <w:szCs w:val="24"/>
              </w:rPr>
              <w:t>myokardieinfarkt (inklusive letal udgang)</w:t>
            </w:r>
            <w:r w:rsidRPr="00D11AD1">
              <w:rPr>
                <w:szCs w:val="24"/>
                <w:vertAlign w:val="superscript"/>
              </w:rPr>
              <w:t>*</w:t>
            </w:r>
            <w:r w:rsidRPr="00D11AD1">
              <w:rPr>
                <w:szCs w:val="24"/>
              </w:rPr>
              <w:t>, forlænget QT i elektrokardiogram</w:t>
            </w:r>
            <w:r w:rsidRPr="00D11AD1">
              <w:rPr>
                <w:szCs w:val="24"/>
                <w:vertAlign w:val="superscript"/>
              </w:rPr>
              <w:t>*</w:t>
            </w:r>
            <w:r w:rsidRPr="00D11AD1">
              <w:rPr>
                <w:szCs w:val="24"/>
              </w:rPr>
              <w:t>,  perikarditis, ventrikulær arytmi (inklusive ventrikulær takykardi), angina pectoris, kardiomegali, abnorme T-takker i elektrokardiogram, forhøjet troponin</w:t>
            </w:r>
          </w:p>
        </w:tc>
      </w:tr>
      <w:tr w:rsidR="004D630B" w:rsidRPr="00D11AD1" w14:paraId="301E8B79" w14:textId="77777777" w:rsidTr="004D630B">
        <w:trPr>
          <w:trHeight w:val="460"/>
        </w:trPr>
        <w:tc>
          <w:tcPr>
            <w:tcW w:w="2258" w:type="dxa"/>
          </w:tcPr>
          <w:p w14:paraId="4DD4675C" w14:textId="77777777" w:rsidR="004D630B" w:rsidRPr="00D11AD1" w:rsidRDefault="004D630B" w:rsidP="004D630B">
            <w:pPr>
              <w:pStyle w:val="Sidehoved"/>
              <w:rPr>
                <w:i/>
                <w:szCs w:val="24"/>
              </w:rPr>
            </w:pPr>
            <w:r w:rsidRPr="00D11AD1">
              <w:rPr>
                <w:i/>
                <w:iCs/>
                <w:szCs w:val="24"/>
              </w:rPr>
              <w:lastRenderedPageBreak/>
              <w:t>Sjælden</w:t>
            </w:r>
          </w:p>
        </w:tc>
        <w:tc>
          <w:tcPr>
            <w:tcW w:w="7349" w:type="dxa"/>
          </w:tcPr>
          <w:p w14:paraId="688E2496" w14:textId="2F9EAA24" w:rsidR="004D630B" w:rsidRPr="00D11AD1" w:rsidRDefault="004D630B" w:rsidP="004D630B">
            <w:pPr>
              <w:pStyle w:val="Sidehoved"/>
              <w:rPr>
                <w:szCs w:val="24"/>
              </w:rPr>
            </w:pPr>
            <w:r w:rsidRPr="00D11AD1">
              <w:rPr>
                <w:szCs w:val="24"/>
              </w:rPr>
              <w:t>cor pulmonale, myokarditis, akut koronarsyndrom, hjertestop, PR-forlængelse i elektrokardiogram, koronararteriesygdom, pleuroperikarditis</w:t>
            </w:r>
          </w:p>
        </w:tc>
      </w:tr>
      <w:tr w:rsidR="004D630B" w:rsidRPr="00D11AD1" w14:paraId="0D259C5C" w14:textId="77777777" w:rsidTr="004D630B">
        <w:trPr>
          <w:trHeight w:val="217"/>
        </w:trPr>
        <w:tc>
          <w:tcPr>
            <w:tcW w:w="2258" w:type="dxa"/>
          </w:tcPr>
          <w:p w14:paraId="1ED979E6" w14:textId="77777777" w:rsidR="004D630B" w:rsidRPr="00D11AD1" w:rsidRDefault="004D630B" w:rsidP="004D630B">
            <w:pPr>
              <w:pStyle w:val="Sidehoved"/>
              <w:rPr>
                <w:i/>
                <w:szCs w:val="24"/>
              </w:rPr>
            </w:pPr>
            <w:r w:rsidRPr="00D11AD1">
              <w:rPr>
                <w:i/>
                <w:iCs/>
                <w:szCs w:val="24"/>
              </w:rPr>
              <w:t>Ikke kendt</w:t>
            </w:r>
          </w:p>
        </w:tc>
        <w:tc>
          <w:tcPr>
            <w:tcW w:w="7349" w:type="dxa"/>
          </w:tcPr>
          <w:p w14:paraId="18263756" w14:textId="77777777" w:rsidR="004D630B" w:rsidRPr="00D11AD1" w:rsidRDefault="004D630B" w:rsidP="004D630B">
            <w:pPr>
              <w:pStyle w:val="Sidehoved"/>
              <w:rPr>
                <w:szCs w:val="24"/>
              </w:rPr>
            </w:pPr>
            <w:r w:rsidRPr="00D11AD1">
              <w:rPr>
                <w:szCs w:val="24"/>
              </w:rPr>
              <w:t>artrieflimren/hjerteflimren</w:t>
            </w:r>
          </w:p>
        </w:tc>
      </w:tr>
      <w:tr w:rsidR="004D630B" w:rsidRPr="00D11AD1" w14:paraId="603F8AD1" w14:textId="77777777" w:rsidTr="004D630B">
        <w:trPr>
          <w:trHeight w:val="220"/>
        </w:trPr>
        <w:tc>
          <w:tcPr>
            <w:tcW w:w="9607" w:type="dxa"/>
            <w:gridSpan w:val="2"/>
            <w:shd w:val="clear" w:color="auto" w:fill="F3F3F3"/>
          </w:tcPr>
          <w:p w14:paraId="76EC3F26" w14:textId="77777777" w:rsidR="004D630B" w:rsidRPr="00D11AD1" w:rsidRDefault="004D630B" w:rsidP="004D630B">
            <w:pPr>
              <w:pStyle w:val="Sidehoved"/>
              <w:rPr>
                <w:b/>
                <w:szCs w:val="24"/>
              </w:rPr>
            </w:pPr>
            <w:r w:rsidRPr="00D11AD1">
              <w:rPr>
                <w:b/>
                <w:bCs/>
                <w:szCs w:val="24"/>
              </w:rPr>
              <w:t>Vaskulære sygdomme</w:t>
            </w:r>
          </w:p>
        </w:tc>
      </w:tr>
      <w:tr w:rsidR="004D630B" w:rsidRPr="00D11AD1" w14:paraId="7A3682F4" w14:textId="77777777" w:rsidTr="004D630B">
        <w:trPr>
          <w:trHeight w:val="220"/>
        </w:trPr>
        <w:tc>
          <w:tcPr>
            <w:tcW w:w="2258" w:type="dxa"/>
          </w:tcPr>
          <w:p w14:paraId="00BD5111" w14:textId="0A378E69"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79DBA42E" w14:textId="77777777" w:rsidR="004D630B" w:rsidRPr="00D11AD1" w:rsidRDefault="004D630B" w:rsidP="004D630B">
            <w:pPr>
              <w:pStyle w:val="Sidehoved"/>
              <w:rPr>
                <w:szCs w:val="24"/>
              </w:rPr>
            </w:pPr>
            <w:r w:rsidRPr="00D11AD1">
              <w:rPr>
                <w:szCs w:val="24"/>
              </w:rPr>
              <w:t>blødning</w:t>
            </w:r>
            <w:r w:rsidRPr="00D11AD1">
              <w:rPr>
                <w:szCs w:val="24"/>
                <w:vertAlign w:val="superscript"/>
              </w:rPr>
              <w:t>*d</w:t>
            </w:r>
          </w:p>
        </w:tc>
      </w:tr>
      <w:tr w:rsidR="004D630B" w:rsidRPr="00D11AD1" w14:paraId="67296043" w14:textId="77777777" w:rsidTr="004D630B">
        <w:trPr>
          <w:trHeight w:val="220"/>
        </w:trPr>
        <w:tc>
          <w:tcPr>
            <w:tcW w:w="2258" w:type="dxa"/>
          </w:tcPr>
          <w:p w14:paraId="184AB4F7" w14:textId="77777777" w:rsidR="004D630B" w:rsidRPr="00D11AD1" w:rsidRDefault="004D630B" w:rsidP="004D630B">
            <w:pPr>
              <w:pStyle w:val="Sidehoved"/>
              <w:rPr>
                <w:i/>
                <w:szCs w:val="24"/>
              </w:rPr>
            </w:pPr>
            <w:r w:rsidRPr="00D11AD1">
              <w:rPr>
                <w:i/>
                <w:iCs/>
                <w:szCs w:val="24"/>
              </w:rPr>
              <w:t>Almindelig</w:t>
            </w:r>
          </w:p>
        </w:tc>
        <w:tc>
          <w:tcPr>
            <w:tcW w:w="7349" w:type="dxa"/>
          </w:tcPr>
          <w:p w14:paraId="050D37FC" w14:textId="77777777" w:rsidR="004D630B" w:rsidRPr="00D11AD1" w:rsidRDefault="004D630B" w:rsidP="004D630B">
            <w:pPr>
              <w:pStyle w:val="Sidehoved"/>
              <w:rPr>
                <w:szCs w:val="24"/>
              </w:rPr>
            </w:pPr>
            <w:r w:rsidRPr="00D11AD1">
              <w:rPr>
                <w:szCs w:val="24"/>
              </w:rPr>
              <w:t>hypertension, rødmen</w:t>
            </w:r>
          </w:p>
        </w:tc>
      </w:tr>
      <w:tr w:rsidR="004D630B" w:rsidRPr="00D11AD1" w14:paraId="705CE5A9" w14:textId="77777777" w:rsidTr="004D630B">
        <w:trPr>
          <w:trHeight w:val="220"/>
        </w:trPr>
        <w:tc>
          <w:tcPr>
            <w:tcW w:w="2258" w:type="dxa"/>
          </w:tcPr>
          <w:p w14:paraId="395EE081" w14:textId="77777777" w:rsidR="004D630B" w:rsidRPr="00D11AD1" w:rsidRDefault="004D630B" w:rsidP="004D630B">
            <w:pPr>
              <w:pStyle w:val="Sidehoved"/>
              <w:rPr>
                <w:i/>
                <w:szCs w:val="24"/>
              </w:rPr>
            </w:pPr>
            <w:r w:rsidRPr="00D11AD1">
              <w:rPr>
                <w:i/>
                <w:iCs/>
                <w:szCs w:val="24"/>
              </w:rPr>
              <w:t>Ikke almindelig</w:t>
            </w:r>
          </w:p>
        </w:tc>
        <w:tc>
          <w:tcPr>
            <w:tcW w:w="7349" w:type="dxa"/>
          </w:tcPr>
          <w:p w14:paraId="07D77980" w14:textId="77777777" w:rsidR="004D630B" w:rsidRPr="00D11AD1" w:rsidRDefault="004D630B" w:rsidP="004D630B">
            <w:pPr>
              <w:pStyle w:val="Sidehoved"/>
              <w:rPr>
                <w:szCs w:val="24"/>
              </w:rPr>
            </w:pPr>
            <w:r w:rsidRPr="00D11AD1">
              <w:rPr>
                <w:szCs w:val="24"/>
              </w:rPr>
              <w:t>hypotension, tromboflebitis, trombose</w:t>
            </w:r>
          </w:p>
        </w:tc>
      </w:tr>
      <w:tr w:rsidR="004D630B" w:rsidRPr="007055E1" w14:paraId="7E71E5F7" w14:textId="77777777" w:rsidTr="004D630B">
        <w:trPr>
          <w:trHeight w:val="220"/>
        </w:trPr>
        <w:tc>
          <w:tcPr>
            <w:tcW w:w="2258" w:type="dxa"/>
          </w:tcPr>
          <w:p w14:paraId="36E36D25" w14:textId="77777777" w:rsidR="004D630B" w:rsidRPr="00D11AD1" w:rsidRDefault="004D630B" w:rsidP="004D630B">
            <w:pPr>
              <w:pStyle w:val="Sidehoved"/>
              <w:rPr>
                <w:i/>
                <w:szCs w:val="24"/>
              </w:rPr>
            </w:pPr>
            <w:r w:rsidRPr="00D11AD1">
              <w:rPr>
                <w:i/>
                <w:iCs/>
                <w:szCs w:val="24"/>
              </w:rPr>
              <w:t>Sjælden</w:t>
            </w:r>
          </w:p>
        </w:tc>
        <w:tc>
          <w:tcPr>
            <w:tcW w:w="7349" w:type="dxa"/>
          </w:tcPr>
          <w:p w14:paraId="4DDEFBE2" w14:textId="77777777" w:rsidR="004D630B" w:rsidRPr="00D11AD1" w:rsidRDefault="004D630B" w:rsidP="004D630B">
            <w:pPr>
              <w:pStyle w:val="Sidehoved"/>
              <w:rPr>
                <w:szCs w:val="24"/>
                <w:lang w:val="en-US"/>
              </w:rPr>
            </w:pPr>
            <w:r w:rsidRPr="00D11AD1">
              <w:rPr>
                <w:szCs w:val="24"/>
                <w:lang w:val="en-US"/>
              </w:rPr>
              <w:t>dyb venetrombose, emboli, livedo reticularis</w:t>
            </w:r>
          </w:p>
        </w:tc>
      </w:tr>
      <w:tr w:rsidR="004D630B" w:rsidRPr="00D11AD1" w14:paraId="4498D39E" w14:textId="77777777" w:rsidTr="004D630B">
        <w:trPr>
          <w:trHeight w:val="220"/>
        </w:trPr>
        <w:tc>
          <w:tcPr>
            <w:tcW w:w="2258" w:type="dxa"/>
          </w:tcPr>
          <w:p w14:paraId="72901EE7" w14:textId="77777777" w:rsidR="004D630B" w:rsidRPr="00D11AD1" w:rsidRDefault="004D630B" w:rsidP="004D630B">
            <w:pPr>
              <w:pStyle w:val="Sidehoved"/>
              <w:rPr>
                <w:i/>
                <w:szCs w:val="24"/>
              </w:rPr>
            </w:pPr>
            <w:r w:rsidRPr="00D11AD1">
              <w:rPr>
                <w:i/>
                <w:iCs/>
                <w:szCs w:val="24"/>
              </w:rPr>
              <w:t>Ikke kendt</w:t>
            </w:r>
          </w:p>
        </w:tc>
        <w:tc>
          <w:tcPr>
            <w:tcW w:w="7349" w:type="dxa"/>
          </w:tcPr>
          <w:p w14:paraId="1DFE6C98" w14:textId="77777777" w:rsidR="004D630B" w:rsidRPr="00D11AD1" w:rsidRDefault="004D630B" w:rsidP="004D630B">
            <w:pPr>
              <w:pStyle w:val="Sidehoved"/>
              <w:rPr>
                <w:szCs w:val="24"/>
              </w:rPr>
            </w:pPr>
            <w:r w:rsidRPr="00D11AD1">
              <w:rPr>
                <w:szCs w:val="24"/>
              </w:rPr>
              <w:t>trombotisk mikroangiopati</w:t>
            </w:r>
          </w:p>
        </w:tc>
      </w:tr>
      <w:tr w:rsidR="004D630B" w:rsidRPr="00D11AD1" w14:paraId="7F97126D" w14:textId="77777777" w:rsidTr="004D630B">
        <w:trPr>
          <w:trHeight w:val="220"/>
        </w:trPr>
        <w:tc>
          <w:tcPr>
            <w:tcW w:w="9607" w:type="dxa"/>
            <w:gridSpan w:val="2"/>
            <w:shd w:val="clear" w:color="auto" w:fill="F3F3F3"/>
          </w:tcPr>
          <w:p w14:paraId="35FB2A6B" w14:textId="77777777" w:rsidR="004D630B" w:rsidRPr="00D11AD1" w:rsidRDefault="004D630B" w:rsidP="004D630B">
            <w:pPr>
              <w:pStyle w:val="Sidehoved"/>
              <w:rPr>
                <w:b/>
                <w:szCs w:val="24"/>
              </w:rPr>
            </w:pPr>
            <w:r w:rsidRPr="00D11AD1">
              <w:rPr>
                <w:b/>
                <w:bCs/>
                <w:szCs w:val="24"/>
              </w:rPr>
              <w:t>Luftveje, thorax og mediastinum</w:t>
            </w:r>
          </w:p>
        </w:tc>
      </w:tr>
      <w:tr w:rsidR="004D630B" w:rsidRPr="00D11AD1" w14:paraId="0E1A716D" w14:textId="77777777" w:rsidTr="004D630B">
        <w:trPr>
          <w:trHeight w:val="220"/>
        </w:trPr>
        <w:tc>
          <w:tcPr>
            <w:tcW w:w="2258" w:type="dxa"/>
          </w:tcPr>
          <w:p w14:paraId="61AACB58" w14:textId="2B7B1300"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7047D099" w14:textId="77777777" w:rsidR="004D630B" w:rsidRPr="00D11AD1" w:rsidRDefault="004D630B" w:rsidP="004D630B">
            <w:pPr>
              <w:pStyle w:val="Sidehoved"/>
              <w:rPr>
                <w:szCs w:val="24"/>
              </w:rPr>
            </w:pPr>
            <w:r w:rsidRPr="00D11AD1">
              <w:rPr>
                <w:szCs w:val="24"/>
              </w:rPr>
              <w:t>pleuraeffusion</w:t>
            </w:r>
            <w:r w:rsidRPr="00D11AD1">
              <w:rPr>
                <w:szCs w:val="24"/>
                <w:vertAlign w:val="superscript"/>
              </w:rPr>
              <w:t>*</w:t>
            </w:r>
            <w:r w:rsidRPr="00D11AD1">
              <w:rPr>
                <w:szCs w:val="24"/>
              </w:rPr>
              <w:t>, dyspnø</w:t>
            </w:r>
          </w:p>
        </w:tc>
      </w:tr>
      <w:tr w:rsidR="004D630B" w:rsidRPr="00D11AD1" w14:paraId="23FEDADA" w14:textId="77777777" w:rsidTr="004D630B">
        <w:trPr>
          <w:trHeight w:val="220"/>
        </w:trPr>
        <w:tc>
          <w:tcPr>
            <w:tcW w:w="2258" w:type="dxa"/>
          </w:tcPr>
          <w:p w14:paraId="277E0F2F" w14:textId="77777777" w:rsidR="004D630B" w:rsidRPr="00D11AD1" w:rsidRDefault="004D630B" w:rsidP="004D630B">
            <w:pPr>
              <w:pStyle w:val="Sidehoved"/>
              <w:rPr>
                <w:i/>
                <w:szCs w:val="24"/>
              </w:rPr>
            </w:pPr>
            <w:r w:rsidRPr="00D11AD1">
              <w:rPr>
                <w:i/>
                <w:iCs/>
                <w:szCs w:val="24"/>
              </w:rPr>
              <w:t>Almindelig</w:t>
            </w:r>
          </w:p>
        </w:tc>
        <w:tc>
          <w:tcPr>
            <w:tcW w:w="7349" w:type="dxa"/>
          </w:tcPr>
          <w:p w14:paraId="2A193479" w14:textId="77777777" w:rsidR="004D630B" w:rsidRPr="00D11AD1" w:rsidRDefault="004D630B" w:rsidP="004D630B">
            <w:pPr>
              <w:pStyle w:val="Sidehoved"/>
              <w:rPr>
                <w:szCs w:val="24"/>
                <w:lang w:val="de-DE"/>
              </w:rPr>
            </w:pPr>
            <w:r w:rsidRPr="00D11AD1">
              <w:rPr>
                <w:szCs w:val="24"/>
                <w:lang w:val="de-DE"/>
              </w:rPr>
              <w:t>lungeødem</w:t>
            </w:r>
            <w:r w:rsidRPr="00D11AD1">
              <w:rPr>
                <w:szCs w:val="24"/>
                <w:vertAlign w:val="superscript"/>
                <w:lang w:val="de-DE"/>
              </w:rPr>
              <w:t>*</w:t>
            </w:r>
            <w:r w:rsidRPr="00D11AD1">
              <w:rPr>
                <w:szCs w:val="24"/>
                <w:lang w:val="de-DE"/>
              </w:rPr>
              <w:t>, pulmonal hypertension</w:t>
            </w:r>
            <w:r w:rsidRPr="00D11AD1">
              <w:rPr>
                <w:szCs w:val="24"/>
                <w:vertAlign w:val="superscript"/>
                <w:lang w:val="de-DE"/>
              </w:rPr>
              <w:t>*</w:t>
            </w:r>
            <w:r w:rsidRPr="00D11AD1">
              <w:rPr>
                <w:szCs w:val="24"/>
                <w:lang w:val="de-DE"/>
              </w:rPr>
              <w:t>, lungeinfiltration, pneumonitis, hoste</w:t>
            </w:r>
          </w:p>
        </w:tc>
      </w:tr>
      <w:tr w:rsidR="004D630B" w:rsidRPr="00D11AD1" w14:paraId="54764D34" w14:textId="77777777" w:rsidTr="004D630B">
        <w:trPr>
          <w:trHeight w:val="220"/>
        </w:trPr>
        <w:tc>
          <w:tcPr>
            <w:tcW w:w="2258" w:type="dxa"/>
          </w:tcPr>
          <w:p w14:paraId="031EAF52" w14:textId="77777777" w:rsidR="004D630B" w:rsidRPr="00D11AD1" w:rsidRDefault="004D630B" w:rsidP="004D630B">
            <w:pPr>
              <w:pStyle w:val="Sidehoved"/>
              <w:rPr>
                <w:i/>
                <w:szCs w:val="24"/>
              </w:rPr>
            </w:pPr>
            <w:r w:rsidRPr="00D11AD1">
              <w:rPr>
                <w:i/>
                <w:iCs/>
                <w:szCs w:val="24"/>
              </w:rPr>
              <w:t>Ikke almindelig</w:t>
            </w:r>
          </w:p>
        </w:tc>
        <w:tc>
          <w:tcPr>
            <w:tcW w:w="7349" w:type="dxa"/>
          </w:tcPr>
          <w:p w14:paraId="4B389343" w14:textId="2A84247A" w:rsidR="004D630B" w:rsidRPr="00D11AD1" w:rsidRDefault="004D630B" w:rsidP="004D630B">
            <w:pPr>
              <w:pStyle w:val="Sidehoved"/>
              <w:rPr>
                <w:szCs w:val="24"/>
                <w:lang w:val="de-DE"/>
              </w:rPr>
            </w:pPr>
            <w:r w:rsidRPr="00D11AD1">
              <w:rPr>
                <w:szCs w:val="24"/>
                <w:lang w:val="de-DE"/>
              </w:rPr>
              <w:t xml:space="preserve">pulmonal arteriel hypertension, bronkospasme, </w:t>
            </w:r>
            <w:r w:rsidR="00620C54" w:rsidRPr="00D11AD1">
              <w:rPr>
                <w:szCs w:val="24"/>
                <w:lang w:val="de-DE"/>
              </w:rPr>
              <w:t>astma</w:t>
            </w:r>
            <w:r w:rsidR="008B67F0" w:rsidRPr="00D11AD1">
              <w:rPr>
                <w:szCs w:val="24"/>
                <w:lang w:val="de-DE"/>
              </w:rPr>
              <w:t>, chylothorax*</w:t>
            </w:r>
          </w:p>
        </w:tc>
      </w:tr>
      <w:tr w:rsidR="004D630B" w:rsidRPr="00D11AD1" w14:paraId="1DA01569" w14:textId="77777777" w:rsidTr="004D630B">
        <w:trPr>
          <w:trHeight w:val="220"/>
        </w:trPr>
        <w:tc>
          <w:tcPr>
            <w:tcW w:w="2258" w:type="dxa"/>
          </w:tcPr>
          <w:p w14:paraId="597CA8E5" w14:textId="77777777" w:rsidR="004D630B" w:rsidRPr="00D11AD1" w:rsidRDefault="004D630B" w:rsidP="004D630B">
            <w:pPr>
              <w:pStyle w:val="Sidehoved"/>
              <w:rPr>
                <w:i/>
                <w:szCs w:val="24"/>
              </w:rPr>
            </w:pPr>
            <w:r w:rsidRPr="00D11AD1">
              <w:rPr>
                <w:i/>
                <w:iCs/>
                <w:szCs w:val="24"/>
              </w:rPr>
              <w:t>Sjælden</w:t>
            </w:r>
          </w:p>
        </w:tc>
        <w:tc>
          <w:tcPr>
            <w:tcW w:w="7349" w:type="dxa"/>
          </w:tcPr>
          <w:p w14:paraId="1E682D57" w14:textId="77777777" w:rsidR="004D630B" w:rsidRPr="00D11AD1" w:rsidRDefault="004D630B" w:rsidP="004D630B">
            <w:pPr>
              <w:pStyle w:val="Sidehoved"/>
              <w:rPr>
                <w:szCs w:val="24"/>
              </w:rPr>
            </w:pPr>
            <w:r w:rsidRPr="00D11AD1">
              <w:rPr>
                <w:szCs w:val="24"/>
              </w:rPr>
              <w:t>lungeemboli, akut respiratorisk distressyndrom</w:t>
            </w:r>
          </w:p>
        </w:tc>
      </w:tr>
      <w:tr w:rsidR="004D630B" w:rsidRPr="00D11AD1" w14:paraId="0D2E4030" w14:textId="77777777" w:rsidTr="004D630B">
        <w:trPr>
          <w:trHeight w:val="220"/>
        </w:trPr>
        <w:tc>
          <w:tcPr>
            <w:tcW w:w="2258" w:type="dxa"/>
          </w:tcPr>
          <w:p w14:paraId="21621678" w14:textId="77777777" w:rsidR="004D630B" w:rsidRPr="00D11AD1" w:rsidRDefault="004D630B" w:rsidP="004D630B">
            <w:pPr>
              <w:pStyle w:val="Sidehoved"/>
              <w:rPr>
                <w:i/>
                <w:szCs w:val="24"/>
              </w:rPr>
            </w:pPr>
            <w:r w:rsidRPr="00D11AD1">
              <w:rPr>
                <w:i/>
                <w:iCs/>
                <w:szCs w:val="24"/>
              </w:rPr>
              <w:t>Ikke kendt</w:t>
            </w:r>
          </w:p>
        </w:tc>
        <w:tc>
          <w:tcPr>
            <w:tcW w:w="7349" w:type="dxa"/>
          </w:tcPr>
          <w:p w14:paraId="4B04AB59" w14:textId="77777777" w:rsidR="004D630B" w:rsidRPr="00D11AD1" w:rsidRDefault="004D630B" w:rsidP="004D630B">
            <w:pPr>
              <w:pStyle w:val="Sidehoved"/>
              <w:rPr>
                <w:szCs w:val="24"/>
              </w:rPr>
            </w:pPr>
            <w:r w:rsidRPr="00D11AD1">
              <w:rPr>
                <w:szCs w:val="24"/>
              </w:rPr>
              <w:t>interstitiel lungesygdom</w:t>
            </w:r>
          </w:p>
        </w:tc>
      </w:tr>
      <w:tr w:rsidR="004D630B" w:rsidRPr="00D11AD1" w14:paraId="2675784A" w14:textId="77777777" w:rsidTr="004D630B">
        <w:trPr>
          <w:trHeight w:val="220"/>
        </w:trPr>
        <w:tc>
          <w:tcPr>
            <w:tcW w:w="9607" w:type="dxa"/>
            <w:gridSpan w:val="2"/>
            <w:shd w:val="clear" w:color="auto" w:fill="F3F3F3"/>
          </w:tcPr>
          <w:p w14:paraId="42613686" w14:textId="77777777" w:rsidR="004D630B" w:rsidRPr="00D11AD1" w:rsidRDefault="004D630B" w:rsidP="004D630B">
            <w:pPr>
              <w:pStyle w:val="Sidehoved"/>
              <w:rPr>
                <w:b/>
                <w:szCs w:val="24"/>
              </w:rPr>
            </w:pPr>
            <w:r w:rsidRPr="00D11AD1">
              <w:rPr>
                <w:b/>
                <w:bCs/>
                <w:szCs w:val="24"/>
              </w:rPr>
              <w:t>Mave-tarm-kanalen</w:t>
            </w:r>
          </w:p>
        </w:tc>
      </w:tr>
      <w:tr w:rsidR="004D630B" w:rsidRPr="00D11AD1" w14:paraId="7F634B73" w14:textId="77777777" w:rsidTr="004D630B">
        <w:trPr>
          <w:trHeight w:val="220"/>
        </w:trPr>
        <w:tc>
          <w:tcPr>
            <w:tcW w:w="2258" w:type="dxa"/>
          </w:tcPr>
          <w:p w14:paraId="03947EE9" w14:textId="02276745"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72D563D1" w14:textId="77777777" w:rsidR="004D630B" w:rsidRPr="00D11AD1" w:rsidRDefault="004D630B" w:rsidP="004D630B">
            <w:pPr>
              <w:pStyle w:val="Sidehoved"/>
              <w:rPr>
                <w:szCs w:val="24"/>
              </w:rPr>
            </w:pPr>
            <w:r w:rsidRPr="00D11AD1">
              <w:rPr>
                <w:szCs w:val="24"/>
              </w:rPr>
              <w:t>diare, opkastning, kvalme, mavesmerter</w:t>
            </w:r>
          </w:p>
        </w:tc>
      </w:tr>
      <w:tr w:rsidR="004D630B" w:rsidRPr="00D11AD1" w14:paraId="793FDB2E" w14:textId="77777777" w:rsidTr="004D630B">
        <w:trPr>
          <w:trHeight w:val="700"/>
        </w:trPr>
        <w:tc>
          <w:tcPr>
            <w:tcW w:w="2258" w:type="dxa"/>
          </w:tcPr>
          <w:p w14:paraId="1F5264CE" w14:textId="77777777" w:rsidR="004D630B" w:rsidRPr="00D11AD1" w:rsidRDefault="004D630B" w:rsidP="004D630B">
            <w:pPr>
              <w:pStyle w:val="Sidehoved"/>
              <w:rPr>
                <w:i/>
                <w:szCs w:val="24"/>
              </w:rPr>
            </w:pPr>
            <w:r w:rsidRPr="00D11AD1">
              <w:rPr>
                <w:i/>
                <w:iCs/>
                <w:szCs w:val="24"/>
              </w:rPr>
              <w:t>Almindelig</w:t>
            </w:r>
          </w:p>
        </w:tc>
        <w:tc>
          <w:tcPr>
            <w:tcW w:w="7349" w:type="dxa"/>
          </w:tcPr>
          <w:p w14:paraId="36F1E736" w14:textId="74F1E305" w:rsidR="004D630B" w:rsidRPr="00D11AD1" w:rsidRDefault="004D630B" w:rsidP="004D630B">
            <w:pPr>
              <w:pStyle w:val="Sidehoved"/>
              <w:rPr>
                <w:szCs w:val="24"/>
              </w:rPr>
            </w:pPr>
            <w:r w:rsidRPr="00D11AD1">
              <w:rPr>
                <w:szCs w:val="24"/>
              </w:rPr>
              <w:t>gastrointestinal blødning</w:t>
            </w:r>
            <w:r w:rsidRPr="00D11AD1">
              <w:rPr>
                <w:szCs w:val="24"/>
                <w:vertAlign w:val="superscript"/>
              </w:rPr>
              <w:t>*</w:t>
            </w:r>
            <w:r w:rsidRPr="00D11AD1">
              <w:rPr>
                <w:szCs w:val="24"/>
              </w:rPr>
              <w:t>, colitis (inklusive neutropenisk colitis), gastritis, inflammation i slimhinderne (inklusive mucositis/stomatitis), dyspepsi, abdominal distension, obstipation, forstyrrelser i bløddele i munden</w:t>
            </w:r>
          </w:p>
        </w:tc>
      </w:tr>
      <w:tr w:rsidR="004D630B" w:rsidRPr="00D11AD1" w14:paraId="11087E50" w14:textId="77777777" w:rsidTr="004D630B">
        <w:trPr>
          <w:trHeight w:val="460"/>
        </w:trPr>
        <w:tc>
          <w:tcPr>
            <w:tcW w:w="2258" w:type="dxa"/>
          </w:tcPr>
          <w:p w14:paraId="21C86860" w14:textId="77777777" w:rsidR="004D630B" w:rsidRPr="00D11AD1" w:rsidRDefault="004D630B" w:rsidP="004D630B">
            <w:pPr>
              <w:pStyle w:val="Sidehoved"/>
              <w:rPr>
                <w:i/>
                <w:szCs w:val="24"/>
              </w:rPr>
            </w:pPr>
            <w:r w:rsidRPr="00D11AD1">
              <w:rPr>
                <w:i/>
                <w:iCs/>
                <w:szCs w:val="24"/>
              </w:rPr>
              <w:t>Ikke almindelig</w:t>
            </w:r>
          </w:p>
        </w:tc>
        <w:tc>
          <w:tcPr>
            <w:tcW w:w="7349" w:type="dxa"/>
          </w:tcPr>
          <w:p w14:paraId="2058FDAC" w14:textId="7E9F1CA4" w:rsidR="004D630B" w:rsidRPr="00D11AD1" w:rsidRDefault="004D630B" w:rsidP="004D630B">
            <w:pPr>
              <w:pStyle w:val="Sidehoved"/>
              <w:rPr>
                <w:szCs w:val="24"/>
              </w:rPr>
            </w:pPr>
            <w:r w:rsidRPr="00D11AD1">
              <w:rPr>
                <w:szCs w:val="24"/>
              </w:rPr>
              <w:t>pankreatitis (inklusive akut pankreatitis), øvre gastrointestinalt ulcus, esophagitis, ascites</w:t>
            </w:r>
            <w:r w:rsidRPr="00D11AD1">
              <w:rPr>
                <w:szCs w:val="24"/>
                <w:vertAlign w:val="superscript"/>
              </w:rPr>
              <w:t>*</w:t>
            </w:r>
            <w:r w:rsidRPr="00D11AD1">
              <w:rPr>
                <w:szCs w:val="24"/>
              </w:rPr>
              <w:t>, analfissur, dysfagi, gastroøsofageal reflukssygdom</w:t>
            </w:r>
          </w:p>
        </w:tc>
      </w:tr>
      <w:tr w:rsidR="004D630B" w:rsidRPr="00D11AD1" w14:paraId="0537B46B" w14:textId="77777777" w:rsidTr="004D630B">
        <w:trPr>
          <w:trHeight w:val="217"/>
        </w:trPr>
        <w:tc>
          <w:tcPr>
            <w:tcW w:w="2258" w:type="dxa"/>
          </w:tcPr>
          <w:p w14:paraId="0DE279D7" w14:textId="77777777" w:rsidR="004D630B" w:rsidRPr="00D11AD1" w:rsidRDefault="004D630B" w:rsidP="004D630B">
            <w:pPr>
              <w:pStyle w:val="Sidehoved"/>
              <w:rPr>
                <w:i/>
                <w:szCs w:val="24"/>
              </w:rPr>
            </w:pPr>
            <w:r w:rsidRPr="00D11AD1">
              <w:rPr>
                <w:i/>
                <w:iCs/>
                <w:szCs w:val="24"/>
              </w:rPr>
              <w:t>Sjælden</w:t>
            </w:r>
          </w:p>
        </w:tc>
        <w:tc>
          <w:tcPr>
            <w:tcW w:w="7349" w:type="dxa"/>
          </w:tcPr>
          <w:p w14:paraId="4468D81D" w14:textId="77777777" w:rsidR="004D630B" w:rsidRPr="00D11AD1" w:rsidRDefault="004D630B" w:rsidP="004D630B">
            <w:pPr>
              <w:pStyle w:val="Sidehoved"/>
              <w:rPr>
                <w:szCs w:val="24"/>
                <w:lang w:val="nb-NO"/>
              </w:rPr>
            </w:pPr>
            <w:r w:rsidRPr="00D11AD1">
              <w:rPr>
                <w:szCs w:val="24"/>
                <w:lang w:val="nb-NO"/>
              </w:rPr>
              <w:t>gastroenteropati med proteintab, ileus, analfistler</w:t>
            </w:r>
          </w:p>
        </w:tc>
      </w:tr>
      <w:tr w:rsidR="004D630B" w:rsidRPr="00D11AD1" w14:paraId="14708AA6" w14:textId="77777777" w:rsidTr="004D630B">
        <w:trPr>
          <w:trHeight w:val="220"/>
        </w:trPr>
        <w:tc>
          <w:tcPr>
            <w:tcW w:w="2258" w:type="dxa"/>
          </w:tcPr>
          <w:p w14:paraId="45112538" w14:textId="77777777" w:rsidR="004D630B" w:rsidRPr="00D11AD1" w:rsidRDefault="004D630B" w:rsidP="004D630B">
            <w:pPr>
              <w:pStyle w:val="Sidehoved"/>
              <w:rPr>
                <w:i/>
                <w:szCs w:val="24"/>
              </w:rPr>
            </w:pPr>
            <w:r w:rsidRPr="00D11AD1">
              <w:rPr>
                <w:i/>
                <w:iCs/>
                <w:szCs w:val="24"/>
              </w:rPr>
              <w:t>Ikke kendt</w:t>
            </w:r>
          </w:p>
        </w:tc>
        <w:tc>
          <w:tcPr>
            <w:tcW w:w="7349" w:type="dxa"/>
          </w:tcPr>
          <w:p w14:paraId="3DCD9F99" w14:textId="77777777" w:rsidR="004D630B" w:rsidRPr="00D11AD1" w:rsidRDefault="004D630B" w:rsidP="004D630B">
            <w:pPr>
              <w:pStyle w:val="Sidehoved"/>
              <w:rPr>
                <w:szCs w:val="24"/>
              </w:rPr>
            </w:pPr>
            <w:r w:rsidRPr="00D11AD1">
              <w:rPr>
                <w:szCs w:val="24"/>
              </w:rPr>
              <w:t>letal gastrointestinal blødning</w:t>
            </w:r>
            <w:r w:rsidRPr="00D11AD1">
              <w:rPr>
                <w:szCs w:val="24"/>
                <w:vertAlign w:val="superscript"/>
              </w:rPr>
              <w:t>*</w:t>
            </w:r>
          </w:p>
        </w:tc>
      </w:tr>
      <w:tr w:rsidR="004D630B" w:rsidRPr="00D11AD1" w14:paraId="25CA3558" w14:textId="77777777" w:rsidTr="004D630B">
        <w:trPr>
          <w:trHeight w:val="220"/>
        </w:trPr>
        <w:tc>
          <w:tcPr>
            <w:tcW w:w="9607" w:type="dxa"/>
            <w:gridSpan w:val="2"/>
            <w:shd w:val="clear" w:color="auto" w:fill="F3F3F3"/>
          </w:tcPr>
          <w:p w14:paraId="3C83C285" w14:textId="77777777" w:rsidR="004D630B" w:rsidRPr="00D11AD1" w:rsidRDefault="004D630B" w:rsidP="004D630B">
            <w:pPr>
              <w:pStyle w:val="Sidehoved"/>
              <w:rPr>
                <w:b/>
                <w:szCs w:val="24"/>
              </w:rPr>
            </w:pPr>
            <w:r w:rsidRPr="00D11AD1">
              <w:rPr>
                <w:b/>
                <w:bCs/>
                <w:szCs w:val="24"/>
              </w:rPr>
              <w:t>Lever og galdeveje</w:t>
            </w:r>
          </w:p>
        </w:tc>
      </w:tr>
      <w:tr w:rsidR="004D630B" w:rsidRPr="00D11AD1" w14:paraId="49CE33B5" w14:textId="77777777" w:rsidTr="004D630B">
        <w:trPr>
          <w:trHeight w:val="220"/>
        </w:trPr>
        <w:tc>
          <w:tcPr>
            <w:tcW w:w="2258" w:type="dxa"/>
          </w:tcPr>
          <w:p w14:paraId="596D4051" w14:textId="77777777" w:rsidR="004D630B" w:rsidRPr="00D11AD1" w:rsidRDefault="004D630B" w:rsidP="004D630B">
            <w:pPr>
              <w:pStyle w:val="Sidehoved"/>
              <w:rPr>
                <w:i/>
                <w:szCs w:val="24"/>
              </w:rPr>
            </w:pPr>
            <w:r w:rsidRPr="00D11AD1">
              <w:rPr>
                <w:i/>
                <w:iCs/>
                <w:szCs w:val="24"/>
              </w:rPr>
              <w:t>Ikke almindelig</w:t>
            </w:r>
          </w:p>
        </w:tc>
        <w:tc>
          <w:tcPr>
            <w:tcW w:w="7349" w:type="dxa"/>
          </w:tcPr>
          <w:p w14:paraId="4F494AFA" w14:textId="77777777" w:rsidR="004D630B" w:rsidRPr="00D11AD1" w:rsidRDefault="004D630B" w:rsidP="004D630B">
            <w:pPr>
              <w:pStyle w:val="Sidehoved"/>
              <w:rPr>
                <w:szCs w:val="24"/>
              </w:rPr>
            </w:pPr>
            <w:r w:rsidRPr="00D11AD1">
              <w:rPr>
                <w:szCs w:val="24"/>
              </w:rPr>
              <w:t>hepatitis, cholestasis, cholecystitis</w:t>
            </w:r>
          </w:p>
        </w:tc>
      </w:tr>
      <w:tr w:rsidR="004D630B" w:rsidRPr="00D11AD1" w14:paraId="2511E309" w14:textId="77777777" w:rsidTr="004D630B">
        <w:trPr>
          <w:trHeight w:val="220"/>
        </w:trPr>
        <w:tc>
          <w:tcPr>
            <w:tcW w:w="9607" w:type="dxa"/>
            <w:gridSpan w:val="2"/>
            <w:shd w:val="clear" w:color="auto" w:fill="F3F3F3"/>
          </w:tcPr>
          <w:p w14:paraId="06A28D42" w14:textId="77777777" w:rsidR="004D630B" w:rsidRPr="00D11AD1" w:rsidRDefault="004D630B" w:rsidP="004D630B">
            <w:pPr>
              <w:pStyle w:val="Sidehoved"/>
              <w:rPr>
                <w:b/>
                <w:szCs w:val="24"/>
              </w:rPr>
            </w:pPr>
            <w:r w:rsidRPr="00D11AD1">
              <w:rPr>
                <w:b/>
                <w:bCs/>
                <w:szCs w:val="24"/>
              </w:rPr>
              <w:t>Hud og subkutane væv</w:t>
            </w:r>
          </w:p>
        </w:tc>
      </w:tr>
      <w:tr w:rsidR="004D630B" w:rsidRPr="00D11AD1" w14:paraId="6BEAA026" w14:textId="77777777" w:rsidTr="004D630B">
        <w:trPr>
          <w:trHeight w:val="220"/>
        </w:trPr>
        <w:tc>
          <w:tcPr>
            <w:tcW w:w="2258" w:type="dxa"/>
          </w:tcPr>
          <w:p w14:paraId="3A3FA3BE" w14:textId="2641579C"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367970D6" w14:textId="77777777" w:rsidR="004D630B" w:rsidRPr="00D11AD1" w:rsidRDefault="004D630B" w:rsidP="004D630B">
            <w:pPr>
              <w:pStyle w:val="Sidehoved"/>
              <w:rPr>
                <w:szCs w:val="24"/>
              </w:rPr>
            </w:pPr>
            <w:r w:rsidRPr="00D11AD1">
              <w:rPr>
                <w:szCs w:val="24"/>
              </w:rPr>
              <w:t>hududslæt</w:t>
            </w:r>
            <w:r w:rsidRPr="00D11AD1">
              <w:rPr>
                <w:szCs w:val="24"/>
                <w:vertAlign w:val="superscript"/>
              </w:rPr>
              <w:t>e</w:t>
            </w:r>
          </w:p>
        </w:tc>
      </w:tr>
      <w:tr w:rsidR="004D630B" w:rsidRPr="00D11AD1" w14:paraId="3C4FA9C0" w14:textId="77777777" w:rsidTr="004D630B">
        <w:trPr>
          <w:trHeight w:val="460"/>
        </w:trPr>
        <w:tc>
          <w:tcPr>
            <w:tcW w:w="2258" w:type="dxa"/>
          </w:tcPr>
          <w:p w14:paraId="230ECCEA" w14:textId="77777777" w:rsidR="004D630B" w:rsidRPr="00D11AD1" w:rsidRDefault="004D630B" w:rsidP="004D630B">
            <w:pPr>
              <w:pStyle w:val="Sidehoved"/>
              <w:rPr>
                <w:i/>
                <w:szCs w:val="24"/>
              </w:rPr>
            </w:pPr>
            <w:r w:rsidRPr="00D11AD1">
              <w:rPr>
                <w:i/>
                <w:iCs/>
                <w:szCs w:val="24"/>
              </w:rPr>
              <w:t>Almindelig</w:t>
            </w:r>
          </w:p>
        </w:tc>
        <w:tc>
          <w:tcPr>
            <w:tcW w:w="7349" w:type="dxa"/>
          </w:tcPr>
          <w:p w14:paraId="09D7F145" w14:textId="77777777" w:rsidR="004D630B" w:rsidRPr="00D11AD1" w:rsidRDefault="004D630B" w:rsidP="004D630B">
            <w:pPr>
              <w:pStyle w:val="Sidehoved"/>
              <w:rPr>
                <w:szCs w:val="24"/>
              </w:rPr>
            </w:pPr>
            <w:r w:rsidRPr="00D11AD1">
              <w:rPr>
                <w:szCs w:val="24"/>
              </w:rPr>
              <w:t>alopeci, dermatitis (inklusive eksem), pruritus, akne, tør hud, urticaria, hyperhidrose</w:t>
            </w:r>
          </w:p>
        </w:tc>
      </w:tr>
      <w:tr w:rsidR="004D630B" w:rsidRPr="00D11AD1" w14:paraId="6CD462D8" w14:textId="77777777" w:rsidTr="004D630B">
        <w:trPr>
          <w:trHeight w:val="697"/>
        </w:trPr>
        <w:tc>
          <w:tcPr>
            <w:tcW w:w="2258" w:type="dxa"/>
          </w:tcPr>
          <w:p w14:paraId="573001BE" w14:textId="77777777" w:rsidR="004D630B" w:rsidRPr="00D11AD1" w:rsidRDefault="004D630B" w:rsidP="004D630B">
            <w:pPr>
              <w:pStyle w:val="Sidehoved"/>
              <w:rPr>
                <w:i/>
                <w:szCs w:val="24"/>
              </w:rPr>
            </w:pPr>
            <w:r w:rsidRPr="00D11AD1">
              <w:rPr>
                <w:i/>
                <w:iCs/>
                <w:szCs w:val="24"/>
              </w:rPr>
              <w:t>Ikke almindelig</w:t>
            </w:r>
          </w:p>
        </w:tc>
        <w:tc>
          <w:tcPr>
            <w:tcW w:w="7349" w:type="dxa"/>
          </w:tcPr>
          <w:p w14:paraId="3F20EA96" w14:textId="3D82A119" w:rsidR="004D630B" w:rsidRPr="00D11AD1" w:rsidRDefault="004D630B" w:rsidP="000566A6">
            <w:pPr>
              <w:pStyle w:val="Sidehoved"/>
              <w:rPr>
                <w:szCs w:val="24"/>
              </w:rPr>
            </w:pPr>
            <w:r w:rsidRPr="00D11AD1">
              <w:rPr>
                <w:szCs w:val="24"/>
              </w:rPr>
              <w:t>neutrofil dermatosis, fotosensitivitet, pigmenteringsforstyrrelse, panniculitis, hudsår,</w:t>
            </w:r>
            <w:r w:rsidR="000566A6" w:rsidRPr="00D11AD1">
              <w:rPr>
                <w:szCs w:val="24"/>
              </w:rPr>
              <w:t xml:space="preserve"> </w:t>
            </w:r>
            <w:r w:rsidRPr="00D11AD1">
              <w:rPr>
                <w:szCs w:val="24"/>
              </w:rPr>
              <w:t>bulløse tilstande, neglelidelser, palmoplantar erytrodysæstesisyndrom, hårlidelser</w:t>
            </w:r>
          </w:p>
        </w:tc>
      </w:tr>
      <w:tr w:rsidR="004D630B" w:rsidRPr="00D11AD1" w14:paraId="249F84FF" w14:textId="77777777" w:rsidTr="004D630B">
        <w:trPr>
          <w:trHeight w:val="220"/>
        </w:trPr>
        <w:tc>
          <w:tcPr>
            <w:tcW w:w="2258" w:type="dxa"/>
          </w:tcPr>
          <w:p w14:paraId="2AE0D6F4" w14:textId="77777777" w:rsidR="004D630B" w:rsidRPr="00D11AD1" w:rsidRDefault="004D630B" w:rsidP="004D630B">
            <w:pPr>
              <w:pStyle w:val="Sidehoved"/>
              <w:rPr>
                <w:i/>
                <w:szCs w:val="24"/>
              </w:rPr>
            </w:pPr>
            <w:r w:rsidRPr="00D11AD1">
              <w:rPr>
                <w:i/>
                <w:iCs/>
                <w:szCs w:val="24"/>
              </w:rPr>
              <w:t>Sjælden</w:t>
            </w:r>
          </w:p>
        </w:tc>
        <w:tc>
          <w:tcPr>
            <w:tcW w:w="7349" w:type="dxa"/>
          </w:tcPr>
          <w:p w14:paraId="0EA32A6E" w14:textId="77777777" w:rsidR="004D630B" w:rsidRPr="00D11AD1" w:rsidRDefault="004D630B" w:rsidP="004D630B">
            <w:pPr>
              <w:pStyle w:val="Sidehoved"/>
              <w:rPr>
                <w:szCs w:val="24"/>
              </w:rPr>
            </w:pPr>
            <w:r w:rsidRPr="00D11AD1">
              <w:rPr>
                <w:szCs w:val="24"/>
              </w:rPr>
              <w:t>leukocytoklastisk vaskulitis, hudfibrose</w:t>
            </w:r>
          </w:p>
        </w:tc>
      </w:tr>
      <w:tr w:rsidR="004D630B" w:rsidRPr="00D11AD1" w14:paraId="3A07B7B6" w14:textId="77777777" w:rsidTr="004D630B">
        <w:trPr>
          <w:trHeight w:val="220"/>
        </w:trPr>
        <w:tc>
          <w:tcPr>
            <w:tcW w:w="2258" w:type="dxa"/>
          </w:tcPr>
          <w:p w14:paraId="16BDE59C" w14:textId="77777777" w:rsidR="004D630B" w:rsidRPr="00D11AD1" w:rsidRDefault="004D630B" w:rsidP="004D630B">
            <w:pPr>
              <w:pStyle w:val="Sidehoved"/>
              <w:rPr>
                <w:i/>
                <w:szCs w:val="24"/>
              </w:rPr>
            </w:pPr>
            <w:r w:rsidRPr="00D11AD1">
              <w:rPr>
                <w:i/>
                <w:iCs/>
                <w:szCs w:val="24"/>
              </w:rPr>
              <w:t>Ikke kendt</w:t>
            </w:r>
          </w:p>
        </w:tc>
        <w:tc>
          <w:tcPr>
            <w:tcW w:w="7349" w:type="dxa"/>
          </w:tcPr>
          <w:p w14:paraId="0E1E4347" w14:textId="77777777" w:rsidR="004D630B" w:rsidRPr="00D11AD1" w:rsidRDefault="004D630B" w:rsidP="004D630B">
            <w:pPr>
              <w:pStyle w:val="Sidehoved"/>
              <w:rPr>
                <w:szCs w:val="24"/>
              </w:rPr>
            </w:pPr>
            <w:r w:rsidRPr="00D11AD1">
              <w:rPr>
                <w:szCs w:val="24"/>
              </w:rPr>
              <w:t>Stevens-Johnson</w:t>
            </w:r>
            <w:r w:rsidR="004E6AFE" w:rsidRPr="00D11AD1">
              <w:rPr>
                <w:szCs w:val="24"/>
              </w:rPr>
              <w:t>'</w:t>
            </w:r>
            <w:r w:rsidRPr="00D11AD1">
              <w:rPr>
                <w:szCs w:val="24"/>
              </w:rPr>
              <w:t>s syndrom</w:t>
            </w:r>
            <w:r w:rsidRPr="00D11AD1">
              <w:rPr>
                <w:szCs w:val="24"/>
                <w:vertAlign w:val="superscript"/>
              </w:rPr>
              <w:t>f</w:t>
            </w:r>
          </w:p>
        </w:tc>
      </w:tr>
      <w:tr w:rsidR="004D630B" w:rsidRPr="00D11AD1" w14:paraId="36A87046" w14:textId="77777777" w:rsidTr="004D630B">
        <w:trPr>
          <w:trHeight w:val="220"/>
        </w:trPr>
        <w:tc>
          <w:tcPr>
            <w:tcW w:w="9607" w:type="dxa"/>
            <w:gridSpan w:val="2"/>
            <w:shd w:val="clear" w:color="auto" w:fill="F3F3F3"/>
          </w:tcPr>
          <w:p w14:paraId="551F8E71" w14:textId="77777777" w:rsidR="004D630B" w:rsidRPr="00D11AD1" w:rsidRDefault="004D630B" w:rsidP="004D630B">
            <w:pPr>
              <w:pStyle w:val="Sidehoved"/>
              <w:rPr>
                <w:b/>
                <w:szCs w:val="24"/>
              </w:rPr>
            </w:pPr>
            <w:r w:rsidRPr="00D11AD1">
              <w:rPr>
                <w:b/>
                <w:bCs/>
                <w:szCs w:val="24"/>
              </w:rPr>
              <w:t>Knogler, led, muskler og bindevæv</w:t>
            </w:r>
          </w:p>
        </w:tc>
      </w:tr>
      <w:tr w:rsidR="004D630B" w:rsidRPr="00D11AD1" w14:paraId="54ADE52B" w14:textId="77777777" w:rsidTr="004D630B">
        <w:trPr>
          <w:trHeight w:val="220"/>
        </w:trPr>
        <w:tc>
          <w:tcPr>
            <w:tcW w:w="2258" w:type="dxa"/>
          </w:tcPr>
          <w:p w14:paraId="76E8047E" w14:textId="253141D4"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3E015886" w14:textId="77777777" w:rsidR="004D630B" w:rsidRPr="00D11AD1" w:rsidRDefault="004D630B" w:rsidP="004D630B">
            <w:pPr>
              <w:pStyle w:val="Sidehoved"/>
              <w:rPr>
                <w:szCs w:val="24"/>
              </w:rPr>
            </w:pPr>
            <w:r w:rsidRPr="00D11AD1">
              <w:rPr>
                <w:szCs w:val="24"/>
              </w:rPr>
              <w:t>smerter i bevægeapparatet</w:t>
            </w:r>
            <w:r w:rsidRPr="00D11AD1">
              <w:rPr>
                <w:szCs w:val="24"/>
                <w:vertAlign w:val="superscript"/>
              </w:rPr>
              <w:t>g</w:t>
            </w:r>
          </w:p>
        </w:tc>
      </w:tr>
      <w:tr w:rsidR="004D630B" w:rsidRPr="00D11AD1" w14:paraId="59EC008C" w14:textId="77777777" w:rsidTr="004D630B">
        <w:trPr>
          <w:trHeight w:val="220"/>
        </w:trPr>
        <w:tc>
          <w:tcPr>
            <w:tcW w:w="2258" w:type="dxa"/>
          </w:tcPr>
          <w:p w14:paraId="2E3D9051" w14:textId="77777777" w:rsidR="004D630B" w:rsidRPr="00D11AD1" w:rsidRDefault="004D630B" w:rsidP="004D630B">
            <w:pPr>
              <w:pStyle w:val="Sidehoved"/>
              <w:rPr>
                <w:i/>
                <w:szCs w:val="24"/>
              </w:rPr>
            </w:pPr>
            <w:r w:rsidRPr="00D11AD1">
              <w:rPr>
                <w:i/>
                <w:iCs/>
                <w:szCs w:val="24"/>
              </w:rPr>
              <w:t>Almindelig</w:t>
            </w:r>
          </w:p>
        </w:tc>
        <w:tc>
          <w:tcPr>
            <w:tcW w:w="7349" w:type="dxa"/>
          </w:tcPr>
          <w:p w14:paraId="0AD64A45" w14:textId="77777777" w:rsidR="004D630B" w:rsidRPr="00D11AD1" w:rsidRDefault="004D630B" w:rsidP="004D630B">
            <w:pPr>
              <w:pStyle w:val="Sidehoved"/>
              <w:rPr>
                <w:szCs w:val="24"/>
              </w:rPr>
            </w:pPr>
            <w:r w:rsidRPr="00D11AD1">
              <w:rPr>
                <w:szCs w:val="24"/>
              </w:rPr>
              <w:t>artralgi, myalgi, muskelsvaghed, muskulosketal stivhed, muskelspasmer</w:t>
            </w:r>
          </w:p>
        </w:tc>
      </w:tr>
      <w:tr w:rsidR="004D630B" w:rsidRPr="00D11AD1" w14:paraId="53BE1874" w14:textId="77777777" w:rsidTr="004D630B">
        <w:trPr>
          <w:trHeight w:val="220"/>
        </w:trPr>
        <w:tc>
          <w:tcPr>
            <w:tcW w:w="2258" w:type="dxa"/>
          </w:tcPr>
          <w:p w14:paraId="4DDDDFA3" w14:textId="77777777" w:rsidR="004D630B" w:rsidRPr="00D11AD1" w:rsidRDefault="004D630B" w:rsidP="004D630B">
            <w:pPr>
              <w:pStyle w:val="Sidehoved"/>
              <w:rPr>
                <w:i/>
                <w:szCs w:val="24"/>
              </w:rPr>
            </w:pPr>
            <w:r w:rsidRPr="00D11AD1">
              <w:rPr>
                <w:i/>
                <w:iCs/>
                <w:szCs w:val="24"/>
              </w:rPr>
              <w:t>Ikke almindelig</w:t>
            </w:r>
          </w:p>
        </w:tc>
        <w:tc>
          <w:tcPr>
            <w:tcW w:w="7349" w:type="dxa"/>
          </w:tcPr>
          <w:p w14:paraId="53D955D1" w14:textId="77777777" w:rsidR="004D630B" w:rsidRPr="00D11AD1" w:rsidRDefault="004D630B" w:rsidP="004D630B">
            <w:pPr>
              <w:pStyle w:val="Sidehoved"/>
              <w:rPr>
                <w:szCs w:val="24"/>
              </w:rPr>
            </w:pPr>
            <w:r w:rsidRPr="00D11AD1">
              <w:rPr>
                <w:szCs w:val="24"/>
              </w:rPr>
              <w:t>rabdomyolyse, osteonekrose, muskelinflammation, tendonitis, artritis</w:t>
            </w:r>
          </w:p>
        </w:tc>
      </w:tr>
      <w:tr w:rsidR="004D630B" w:rsidRPr="00D11AD1" w14:paraId="2AE97B10" w14:textId="77777777" w:rsidTr="004D630B">
        <w:trPr>
          <w:trHeight w:val="220"/>
        </w:trPr>
        <w:tc>
          <w:tcPr>
            <w:tcW w:w="2258" w:type="dxa"/>
          </w:tcPr>
          <w:p w14:paraId="3EBCF8B3" w14:textId="77777777" w:rsidR="004D630B" w:rsidRPr="00D11AD1" w:rsidRDefault="004D630B" w:rsidP="004D630B">
            <w:pPr>
              <w:pStyle w:val="Sidehoved"/>
              <w:rPr>
                <w:i/>
                <w:szCs w:val="24"/>
              </w:rPr>
            </w:pPr>
            <w:r w:rsidRPr="00D11AD1">
              <w:rPr>
                <w:i/>
                <w:iCs/>
                <w:szCs w:val="24"/>
              </w:rPr>
              <w:t>Sjælden</w:t>
            </w:r>
          </w:p>
        </w:tc>
        <w:tc>
          <w:tcPr>
            <w:tcW w:w="7349" w:type="dxa"/>
          </w:tcPr>
          <w:p w14:paraId="729DCDB5" w14:textId="77777777" w:rsidR="004D630B" w:rsidRPr="00D11AD1" w:rsidRDefault="004D630B" w:rsidP="004D630B">
            <w:pPr>
              <w:pStyle w:val="Sidehoved"/>
              <w:rPr>
                <w:szCs w:val="24"/>
              </w:rPr>
            </w:pPr>
            <w:r w:rsidRPr="00D11AD1">
              <w:rPr>
                <w:szCs w:val="24"/>
              </w:rPr>
              <w:t>forsinket epifysefusion,</w:t>
            </w:r>
            <w:r w:rsidRPr="00D11AD1">
              <w:rPr>
                <w:szCs w:val="24"/>
                <w:vertAlign w:val="superscript"/>
              </w:rPr>
              <w:t>h</w:t>
            </w:r>
            <w:r w:rsidRPr="00D11AD1">
              <w:rPr>
                <w:szCs w:val="24"/>
              </w:rPr>
              <w:t xml:space="preserve"> væksthæmning</w:t>
            </w:r>
            <w:r w:rsidRPr="00D11AD1">
              <w:rPr>
                <w:szCs w:val="24"/>
                <w:vertAlign w:val="superscript"/>
              </w:rPr>
              <w:t>h</w:t>
            </w:r>
          </w:p>
        </w:tc>
      </w:tr>
      <w:tr w:rsidR="004D630B" w:rsidRPr="00D11AD1" w14:paraId="05367BDE" w14:textId="77777777" w:rsidTr="004D630B">
        <w:trPr>
          <w:trHeight w:val="220"/>
        </w:trPr>
        <w:tc>
          <w:tcPr>
            <w:tcW w:w="9607" w:type="dxa"/>
            <w:gridSpan w:val="2"/>
            <w:shd w:val="clear" w:color="auto" w:fill="F3F3F3"/>
          </w:tcPr>
          <w:p w14:paraId="5A22D447" w14:textId="77777777" w:rsidR="004D630B" w:rsidRPr="00D11AD1" w:rsidRDefault="004D630B" w:rsidP="004D630B">
            <w:pPr>
              <w:pStyle w:val="Sidehoved"/>
              <w:rPr>
                <w:b/>
                <w:szCs w:val="24"/>
              </w:rPr>
            </w:pPr>
            <w:r w:rsidRPr="00D11AD1">
              <w:rPr>
                <w:b/>
                <w:bCs/>
                <w:szCs w:val="24"/>
              </w:rPr>
              <w:t>Nyrer og urinveje</w:t>
            </w:r>
          </w:p>
        </w:tc>
      </w:tr>
      <w:tr w:rsidR="004D630B" w:rsidRPr="00D11AD1" w14:paraId="78163426" w14:textId="77777777" w:rsidTr="004D630B">
        <w:trPr>
          <w:trHeight w:val="220"/>
        </w:trPr>
        <w:tc>
          <w:tcPr>
            <w:tcW w:w="2258" w:type="dxa"/>
          </w:tcPr>
          <w:p w14:paraId="163A9F7C" w14:textId="77777777" w:rsidR="004D630B" w:rsidRPr="00D11AD1" w:rsidRDefault="004D630B" w:rsidP="004D630B">
            <w:pPr>
              <w:pStyle w:val="Sidehoved"/>
              <w:rPr>
                <w:i/>
                <w:szCs w:val="24"/>
              </w:rPr>
            </w:pPr>
            <w:r w:rsidRPr="00D11AD1">
              <w:rPr>
                <w:i/>
                <w:iCs/>
                <w:szCs w:val="24"/>
              </w:rPr>
              <w:t>Ikke almindelig</w:t>
            </w:r>
          </w:p>
        </w:tc>
        <w:tc>
          <w:tcPr>
            <w:tcW w:w="7349" w:type="dxa"/>
          </w:tcPr>
          <w:p w14:paraId="6205157C" w14:textId="77777777" w:rsidR="004D630B" w:rsidRPr="00D11AD1" w:rsidRDefault="004D630B" w:rsidP="004D630B">
            <w:pPr>
              <w:pStyle w:val="Sidehoved"/>
              <w:rPr>
                <w:szCs w:val="24"/>
              </w:rPr>
            </w:pPr>
            <w:r w:rsidRPr="00D11AD1">
              <w:rPr>
                <w:szCs w:val="24"/>
              </w:rPr>
              <w:t>nyreinsufficiens (inklusive nyresvigt), hyppig vandladning, proteinuri</w:t>
            </w:r>
          </w:p>
        </w:tc>
      </w:tr>
      <w:tr w:rsidR="004D630B" w:rsidRPr="00D11AD1" w14:paraId="636B44EA" w14:textId="77777777" w:rsidTr="004D630B">
        <w:trPr>
          <w:trHeight w:val="220"/>
        </w:trPr>
        <w:tc>
          <w:tcPr>
            <w:tcW w:w="2258" w:type="dxa"/>
          </w:tcPr>
          <w:p w14:paraId="06DB8A8C" w14:textId="77777777" w:rsidR="004D630B" w:rsidRPr="00D11AD1" w:rsidRDefault="004D630B" w:rsidP="004D630B">
            <w:pPr>
              <w:pStyle w:val="Sidehoved"/>
              <w:rPr>
                <w:i/>
                <w:szCs w:val="24"/>
              </w:rPr>
            </w:pPr>
            <w:r w:rsidRPr="00D11AD1">
              <w:rPr>
                <w:i/>
                <w:iCs/>
                <w:szCs w:val="24"/>
              </w:rPr>
              <w:t>Ikke kendt</w:t>
            </w:r>
          </w:p>
        </w:tc>
        <w:tc>
          <w:tcPr>
            <w:tcW w:w="7349" w:type="dxa"/>
          </w:tcPr>
          <w:p w14:paraId="2F5ED056" w14:textId="77777777" w:rsidR="004D630B" w:rsidRPr="00D11AD1" w:rsidRDefault="004D630B" w:rsidP="004D630B">
            <w:pPr>
              <w:pStyle w:val="Sidehoved"/>
              <w:rPr>
                <w:szCs w:val="24"/>
              </w:rPr>
            </w:pPr>
            <w:r w:rsidRPr="00D11AD1">
              <w:rPr>
                <w:szCs w:val="24"/>
              </w:rPr>
              <w:t>nefrotisk syndrom</w:t>
            </w:r>
          </w:p>
        </w:tc>
      </w:tr>
      <w:tr w:rsidR="004D630B" w:rsidRPr="00D11AD1" w14:paraId="14AC7D48" w14:textId="77777777" w:rsidTr="004D630B">
        <w:trPr>
          <w:trHeight w:val="240"/>
        </w:trPr>
        <w:tc>
          <w:tcPr>
            <w:tcW w:w="9607" w:type="dxa"/>
            <w:gridSpan w:val="2"/>
            <w:shd w:val="clear" w:color="auto" w:fill="F3F3F3"/>
          </w:tcPr>
          <w:p w14:paraId="253F9E66" w14:textId="77777777" w:rsidR="004D630B" w:rsidRPr="00D11AD1" w:rsidRDefault="004D630B" w:rsidP="004D630B">
            <w:pPr>
              <w:pStyle w:val="Sidehoved"/>
              <w:rPr>
                <w:b/>
                <w:szCs w:val="24"/>
              </w:rPr>
            </w:pPr>
            <w:r w:rsidRPr="00D11AD1">
              <w:rPr>
                <w:b/>
                <w:bCs/>
                <w:szCs w:val="24"/>
              </w:rPr>
              <w:t>Graviditet, puerperium og den perinatale periode</w:t>
            </w:r>
          </w:p>
        </w:tc>
      </w:tr>
      <w:tr w:rsidR="004D630B" w:rsidRPr="00D11AD1" w14:paraId="1A0940A6" w14:textId="77777777" w:rsidTr="004D630B">
        <w:trPr>
          <w:trHeight w:val="220"/>
        </w:trPr>
        <w:tc>
          <w:tcPr>
            <w:tcW w:w="2258" w:type="dxa"/>
          </w:tcPr>
          <w:p w14:paraId="384EFEE9" w14:textId="77777777" w:rsidR="004D630B" w:rsidRPr="00D11AD1" w:rsidRDefault="004D630B" w:rsidP="004D630B">
            <w:pPr>
              <w:pStyle w:val="Sidehoved"/>
              <w:rPr>
                <w:i/>
                <w:szCs w:val="24"/>
              </w:rPr>
            </w:pPr>
            <w:r w:rsidRPr="00D11AD1">
              <w:rPr>
                <w:i/>
                <w:iCs/>
                <w:szCs w:val="24"/>
              </w:rPr>
              <w:t>Sjælden</w:t>
            </w:r>
          </w:p>
        </w:tc>
        <w:tc>
          <w:tcPr>
            <w:tcW w:w="7349" w:type="dxa"/>
          </w:tcPr>
          <w:p w14:paraId="4995FC9F" w14:textId="77777777" w:rsidR="004D630B" w:rsidRPr="00D11AD1" w:rsidRDefault="004D630B" w:rsidP="004D630B">
            <w:pPr>
              <w:pStyle w:val="Sidehoved"/>
              <w:rPr>
                <w:szCs w:val="24"/>
              </w:rPr>
            </w:pPr>
            <w:r w:rsidRPr="00D11AD1">
              <w:rPr>
                <w:szCs w:val="24"/>
              </w:rPr>
              <w:t>spontan abort</w:t>
            </w:r>
          </w:p>
        </w:tc>
      </w:tr>
      <w:tr w:rsidR="004D630B" w:rsidRPr="00D11AD1" w14:paraId="105A5A83" w14:textId="77777777" w:rsidTr="004D630B">
        <w:trPr>
          <w:trHeight w:val="220"/>
        </w:trPr>
        <w:tc>
          <w:tcPr>
            <w:tcW w:w="9607" w:type="dxa"/>
            <w:gridSpan w:val="2"/>
            <w:shd w:val="clear" w:color="auto" w:fill="F3F3F3"/>
          </w:tcPr>
          <w:p w14:paraId="7001CE75" w14:textId="77777777" w:rsidR="004D630B" w:rsidRPr="00D11AD1" w:rsidRDefault="004D630B" w:rsidP="004D630B">
            <w:pPr>
              <w:pStyle w:val="Sidehoved"/>
              <w:rPr>
                <w:b/>
                <w:szCs w:val="24"/>
              </w:rPr>
            </w:pPr>
            <w:r w:rsidRPr="00D11AD1">
              <w:rPr>
                <w:b/>
                <w:bCs/>
                <w:szCs w:val="24"/>
              </w:rPr>
              <w:t>Det reproduktive system og mammae</w:t>
            </w:r>
          </w:p>
        </w:tc>
      </w:tr>
      <w:tr w:rsidR="004D630B" w:rsidRPr="00D11AD1" w14:paraId="02B25BD3" w14:textId="77777777" w:rsidTr="004D630B">
        <w:trPr>
          <w:trHeight w:val="220"/>
        </w:trPr>
        <w:tc>
          <w:tcPr>
            <w:tcW w:w="2258" w:type="dxa"/>
          </w:tcPr>
          <w:p w14:paraId="754F1EBD" w14:textId="77777777" w:rsidR="004D630B" w:rsidRPr="00D11AD1" w:rsidRDefault="004D630B" w:rsidP="004D630B">
            <w:pPr>
              <w:pStyle w:val="Sidehoved"/>
              <w:rPr>
                <w:i/>
                <w:szCs w:val="24"/>
              </w:rPr>
            </w:pPr>
            <w:r w:rsidRPr="00D11AD1">
              <w:rPr>
                <w:i/>
                <w:iCs/>
                <w:szCs w:val="24"/>
              </w:rPr>
              <w:t>Ikke almindelig</w:t>
            </w:r>
          </w:p>
        </w:tc>
        <w:tc>
          <w:tcPr>
            <w:tcW w:w="7349" w:type="dxa"/>
          </w:tcPr>
          <w:p w14:paraId="775B3FFA" w14:textId="77777777" w:rsidR="004D630B" w:rsidRPr="00D11AD1" w:rsidRDefault="004D630B" w:rsidP="004D630B">
            <w:pPr>
              <w:pStyle w:val="Sidehoved"/>
              <w:rPr>
                <w:szCs w:val="24"/>
              </w:rPr>
            </w:pPr>
            <w:r w:rsidRPr="00D11AD1">
              <w:rPr>
                <w:szCs w:val="24"/>
              </w:rPr>
              <w:t>gynækomasti, menstruationsforstyrrelser</w:t>
            </w:r>
          </w:p>
        </w:tc>
      </w:tr>
      <w:tr w:rsidR="004D630B" w:rsidRPr="00D11AD1" w14:paraId="3F6A76D6" w14:textId="77777777" w:rsidTr="004D630B">
        <w:trPr>
          <w:trHeight w:val="220"/>
        </w:trPr>
        <w:tc>
          <w:tcPr>
            <w:tcW w:w="9607" w:type="dxa"/>
            <w:gridSpan w:val="2"/>
            <w:shd w:val="clear" w:color="auto" w:fill="F3F3F3"/>
          </w:tcPr>
          <w:p w14:paraId="0F7966D3" w14:textId="77777777" w:rsidR="004D630B" w:rsidRPr="00D11AD1" w:rsidRDefault="004D630B" w:rsidP="004D630B">
            <w:pPr>
              <w:pStyle w:val="Sidehoved"/>
              <w:rPr>
                <w:b/>
                <w:szCs w:val="24"/>
              </w:rPr>
            </w:pPr>
            <w:r w:rsidRPr="00D11AD1">
              <w:rPr>
                <w:b/>
                <w:bCs/>
                <w:szCs w:val="24"/>
              </w:rPr>
              <w:lastRenderedPageBreak/>
              <w:t>Almene symptomer og reaktioner på administrationsstedet</w:t>
            </w:r>
          </w:p>
        </w:tc>
      </w:tr>
      <w:tr w:rsidR="004D630B" w:rsidRPr="00D11AD1" w14:paraId="1B51CE32" w14:textId="77777777" w:rsidTr="004D630B">
        <w:trPr>
          <w:trHeight w:val="220"/>
        </w:trPr>
        <w:tc>
          <w:tcPr>
            <w:tcW w:w="2258" w:type="dxa"/>
          </w:tcPr>
          <w:p w14:paraId="725DB37A" w14:textId="7BFA8991" w:rsidR="004D630B" w:rsidRPr="00D11AD1" w:rsidRDefault="004D630B" w:rsidP="004D630B">
            <w:pPr>
              <w:pStyle w:val="Sidehoved"/>
              <w:rPr>
                <w:i/>
                <w:iCs/>
                <w:szCs w:val="24"/>
              </w:rPr>
            </w:pPr>
            <w:r w:rsidRPr="00D11AD1">
              <w:rPr>
                <w:i/>
                <w:iCs/>
                <w:szCs w:val="24"/>
              </w:rPr>
              <w:t xml:space="preserve">Meget </w:t>
            </w:r>
            <w:r w:rsidR="000A733F">
              <w:rPr>
                <w:i/>
                <w:iCs/>
                <w:szCs w:val="24"/>
              </w:rPr>
              <w:t>a</w:t>
            </w:r>
            <w:r w:rsidRPr="00D11AD1">
              <w:rPr>
                <w:i/>
                <w:iCs/>
                <w:szCs w:val="24"/>
              </w:rPr>
              <w:t>lmindelig</w:t>
            </w:r>
          </w:p>
        </w:tc>
        <w:tc>
          <w:tcPr>
            <w:tcW w:w="7349" w:type="dxa"/>
          </w:tcPr>
          <w:p w14:paraId="0FBB30F5" w14:textId="77777777" w:rsidR="004D630B" w:rsidRPr="00D11AD1" w:rsidRDefault="004D630B" w:rsidP="004D630B">
            <w:pPr>
              <w:pStyle w:val="Sidehoved"/>
              <w:rPr>
                <w:szCs w:val="24"/>
              </w:rPr>
            </w:pPr>
            <w:r w:rsidRPr="00D11AD1">
              <w:rPr>
                <w:szCs w:val="24"/>
              </w:rPr>
              <w:t>perifert ødem</w:t>
            </w:r>
            <w:r w:rsidRPr="00D11AD1">
              <w:rPr>
                <w:szCs w:val="24"/>
                <w:vertAlign w:val="superscript"/>
              </w:rPr>
              <w:t>i</w:t>
            </w:r>
            <w:r w:rsidRPr="00D11AD1">
              <w:rPr>
                <w:szCs w:val="24"/>
              </w:rPr>
              <w:t>, udmattelse, pyreksi, ansigtsødemi</w:t>
            </w:r>
            <w:r w:rsidRPr="00D11AD1">
              <w:rPr>
                <w:szCs w:val="24"/>
                <w:vertAlign w:val="superscript"/>
              </w:rPr>
              <w:t>j</w:t>
            </w:r>
          </w:p>
        </w:tc>
      </w:tr>
      <w:tr w:rsidR="004D630B" w:rsidRPr="00D11AD1" w14:paraId="0BF436C1" w14:textId="77777777" w:rsidTr="004D630B">
        <w:trPr>
          <w:trHeight w:val="220"/>
        </w:trPr>
        <w:tc>
          <w:tcPr>
            <w:tcW w:w="2258" w:type="dxa"/>
          </w:tcPr>
          <w:p w14:paraId="2C600791" w14:textId="77777777" w:rsidR="004D630B" w:rsidRPr="00D11AD1" w:rsidRDefault="004D630B" w:rsidP="004D630B">
            <w:pPr>
              <w:pStyle w:val="Sidehoved"/>
              <w:rPr>
                <w:i/>
                <w:szCs w:val="24"/>
              </w:rPr>
            </w:pPr>
            <w:r w:rsidRPr="00D11AD1">
              <w:rPr>
                <w:i/>
                <w:iCs/>
                <w:szCs w:val="24"/>
              </w:rPr>
              <w:t>Almindelig</w:t>
            </w:r>
          </w:p>
        </w:tc>
        <w:tc>
          <w:tcPr>
            <w:tcW w:w="7349" w:type="dxa"/>
          </w:tcPr>
          <w:p w14:paraId="7B0F1060" w14:textId="77777777" w:rsidR="004D630B" w:rsidRPr="00D11AD1" w:rsidRDefault="004D630B" w:rsidP="004D630B">
            <w:pPr>
              <w:pStyle w:val="Sidehoved"/>
              <w:rPr>
                <w:szCs w:val="24"/>
              </w:rPr>
            </w:pPr>
            <w:r w:rsidRPr="00D11AD1">
              <w:rPr>
                <w:szCs w:val="24"/>
              </w:rPr>
              <w:t>asteni, smerter, smerter i brystet, generaliseret ødem</w:t>
            </w:r>
            <w:r w:rsidRPr="00D11AD1">
              <w:rPr>
                <w:szCs w:val="24"/>
                <w:vertAlign w:val="superscript"/>
              </w:rPr>
              <w:t>*k</w:t>
            </w:r>
            <w:r w:rsidRPr="00D11AD1">
              <w:rPr>
                <w:szCs w:val="24"/>
              </w:rPr>
              <w:t>, kulderystelser</w:t>
            </w:r>
          </w:p>
        </w:tc>
      </w:tr>
      <w:tr w:rsidR="004D630B" w:rsidRPr="00D11AD1" w14:paraId="04F134EE" w14:textId="77777777" w:rsidTr="004D630B">
        <w:trPr>
          <w:trHeight w:val="220"/>
        </w:trPr>
        <w:tc>
          <w:tcPr>
            <w:tcW w:w="2258" w:type="dxa"/>
          </w:tcPr>
          <w:p w14:paraId="32E5319A" w14:textId="77777777" w:rsidR="004D630B" w:rsidRPr="00D11AD1" w:rsidRDefault="004D630B" w:rsidP="004D630B">
            <w:pPr>
              <w:pStyle w:val="Sidehoved"/>
              <w:rPr>
                <w:i/>
                <w:szCs w:val="24"/>
              </w:rPr>
            </w:pPr>
            <w:r w:rsidRPr="00D11AD1">
              <w:rPr>
                <w:i/>
                <w:iCs/>
                <w:szCs w:val="24"/>
              </w:rPr>
              <w:t>Ikke almindelig</w:t>
            </w:r>
          </w:p>
        </w:tc>
        <w:tc>
          <w:tcPr>
            <w:tcW w:w="7349" w:type="dxa"/>
          </w:tcPr>
          <w:p w14:paraId="1DACB039" w14:textId="77777777" w:rsidR="004D630B" w:rsidRPr="00D11AD1" w:rsidRDefault="004D630B" w:rsidP="004D630B">
            <w:pPr>
              <w:pStyle w:val="Sidehoved"/>
              <w:rPr>
                <w:szCs w:val="24"/>
              </w:rPr>
            </w:pPr>
            <w:r w:rsidRPr="00D11AD1">
              <w:rPr>
                <w:szCs w:val="24"/>
              </w:rPr>
              <w:t>utilpashed, andet superficielt ødem,</w:t>
            </w:r>
            <w:r w:rsidRPr="00D11AD1">
              <w:rPr>
                <w:szCs w:val="24"/>
                <w:vertAlign w:val="superscript"/>
              </w:rPr>
              <w:t>l</w:t>
            </w:r>
          </w:p>
        </w:tc>
      </w:tr>
      <w:tr w:rsidR="004D630B" w:rsidRPr="00D11AD1" w14:paraId="48890CC4" w14:textId="77777777" w:rsidTr="004D630B">
        <w:trPr>
          <w:trHeight w:val="220"/>
        </w:trPr>
        <w:tc>
          <w:tcPr>
            <w:tcW w:w="2258" w:type="dxa"/>
          </w:tcPr>
          <w:p w14:paraId="3488471C" w14:textId="77777777" w:rsidR="004D630B" w:rsidRPr="00D11AD1" w:rsidRDefault="004D630B" w:rsidP="004D630B">
            <w:pPr>
              <w:pStyle w:val="Sidehoved"/>
              <w:rPr>
                <w:i/>
                <w:szCs w:val="24"/>
              </w:rPr>
            </w:pPr>
            <w:r w:rsidRPr="00D11AD1">
              <w:rPr>
                <w:i/>
                <w:iCs/>
                <w:szCs w:val="24"/>
              </w:rPr>
              <w:t>Sjælden</w:t>
            </w:r>
          </w:p>
        </w:tc>
        <w:tc>
          <w:tcPr>
            <w:tcW w:w="7349" w:type="dxa"/>
          </w:tcPr>
          <w:p w14:paraId="6B1CBCEF" w14:textId="77777777" w:rsidR="004D630B" w:rsidRPr="00D11AD1" w:rsidRDefault="004D630B" w:rsidP="004D630B">
            <w:pPr>
              <w:pStyle w:val="Sidehoved"/>
              <w:rPr>
                <w:szCs w:val="24"/>
              </w:rPr>
            </w:pPr>
            <w:r w:rsidRPr="00D11AD1">
              <w:rPr>
                <w:szCs w:val="24"/>
              </w:rPr>
              <w:t>gangforstyrrelser</w:t>
            </w:r>
          </w:p>
        </w:tc>
      </w:tr>
      <w:tr w:rsidR="004D630B" w:rsidRPr="00D11AD1" w14:paraId="55797FD6" w14:textId="77777777" w:rsidTr="004D630B">
        <w:trPr>
          <w:trHeight w:val="220"/>
        </w:trPr>
        <w:tc>
          <w:tcPr>
            <w:tcW w:w="9607" w:type="dxa"/>
            <w:gridSpan w:val="2"/>
            <w:shd w:val="clear" w:color="auto" w:fill="F3F3F3"/>
          </w:tcPr>
          <w:p w14:paraId="4CBBA36E" w14:textId="77777777" w:rsidR="004D630B" w:rsidRPr="00D11AD1" w:rsidRDefault="004D630B" w:rsidP="004D630B">
            <w:pPr>
              <w:pStyle w:val="Sidehoved"/>
              <w:rPr>
                <w:b/>
                <w:szCs w:val="24"/>
              </w:rPr>
            </w:pPr>
            <w:r w:rsidRPr="00D11AD1">
              <w:rPr>
                <w:b/>
                <w:bCs/>
                <w:szCs w:val="24"/>
              </w:rPr>
              <w:t>Undersøgelser</w:t>
            </w:r>
          </w:p>
        </w:tc>
      </w:tr>
      <w:tr w:rsidR="004D630B" w:rsidRPr="00D11AD1" w14:paraId="65F1F086" w14:textId="77777777" w:rsidTr="004D630B">
        <w:trPr>
          <w:trHeight w:val="220"/>
        </w:trPr>
        <w:tc>
          <w:tcPr>
            <w:tcW w:w="2258" w:type="dxa"/>
          </w:tcPr>
          <w:p w14:paraId="312A1C85" w14:textId="77777777" w:rsidR="004D630B" w:rsidRPr="00D11AD1" w:rsidRDefault="004D630B" w:rsidP="004D630B">
            <w:pPr>
              <w:pStyle w:val="Sidehoved"/>
              <w:rPr>
                <w:i/>
                <w:szCs w:val="24"/>
              </w:rPr>
            </w:pPr>
            <w:r w:rsidRPr="00D11AD1">
              <w:rPr>
                <w:i/>
                <w:iCs/>
                <w:szCs w:val="24"/>
              </w:rPr>
              <w:t>Almindelig</w:t>
            </w:r>
          </w:p>
        </w:tc>
        <w:tc>
          <w:tcPr>
            <w:tcW w:w="7349" w:type="dxa"/>
          </w:tcPr>
          <w:p w14:paraId="3794E3BF" w14:textId="77777777" w:rsidR="004D630B" w:rsidRPr="00D11AD1" w:rsidRDefault="004D630B" w:rsidP="004D630B">
            <w:pPr>
              <w:pStyle w:val="Sidehoved"/>
              <w:rPr>
                <w:szCs w:val="24"/>
              </w:rPr>
            </w:pPr>
            <w:r w:rsidRPr="00D11AD1">
              <w:rPr>
                <w:szCs w:val="24"/>
              </w:rPr>
              <w:t>vægttab, vægtøgning</w:t>
            </w:r>
          </w:p>
        </w:tc>
      </w:tr>
      <w:tr w:rsidR="004D630B" w:rsidRPr="00D11AD1" w14:paraId="1C937D8C" w14:textId="77777777" w:rsidTr="004D630B">
        <w:trPr>
          <w:trHeight w:val="220"/>
        </w:trPr>
        <w:tc>
          <w:tcPr>
            <w:tcW w:w="2258" w:type="dxa"/>
          </w:tcPr>
          <w:p w14:paraId="0DA5323A" w14:textId="77777777" w:rsidR="004D630B" w:rsidRPr="00D11AD1" w:rsidRDefault="004D630B" w:rsidP="004D630B">
            <w:pPr>
              <w:pStyle w:val="Sidehoved"/>
              <w:rPr>
                <w:i/>
                <w:szCs w:val="24"/>
              </w:rPr>
            </w:pPr>
            <w:r w:rsidRPr="00D11AD1">
              <w:rPr>
                <w:i/>
                <w:iCs/>
                <w:szCs w:val="24"/>
              </w:rPr>
              <w:t>Ikke almindelig</w:t>
            </w:r>
          </w:p>
        </w:tc>
        <w:tc>
          <w:tcPr>
            <w:tcW w:w="7349" w:type="dxa"/>
          </w:tcPr>
          <w:p w14:paraId="1584A3FA" w14:textId="77777777" w:rsidR="004D630B" w:rsidRPr="00D11AD1" w:rsidRDefault="004D630B" w:rsidP="004D630B">
            <w:pPr>
              <w:pStyle w:val="Sidehoved"/>
              <w:rPr>
                <w:szCs w:val="24"/>
              </w:rPr>
            </w:pPr>
            <w:r w:rsidRPr="00D11AD1">
              <w:rPr>
                <w:szCs w:val="24"/>
              </w:rPr>
              <w:t>forhøjet blod-kreatinfosfokinase, forhøjet gammaglutamyltransferase</w:t>
            </w:r>
          </w:p>
        </w:tc>
      </w:tr>
      <w:tr w:rsidR="004D630B" w:rsidRPr="00D11AD1" w14:paraId="0DC6FE54" w14:textId="77777777" w:rsidTr="004D630B">
        <w:trPr>
          <w:trHeight w:val="220"/>
        </w:trPr>
        <w:tc>
          <w:tcPr>
            <w:tcW w:w="9607" w:type="dxa"/>
            <w:gridSpan w:val="2"/>
            <w:shd w:val="clear" w:color="auto" w:fill="F3F3F3"/>
          </w:tcPr>
          <w:p w14:paraId="61442186" w14:textId="77777777" w:rsidR="004D630B" w:rsidRPr="00D11AD1" w:rsidRDefault="004D630B" w:rsidP="004D630B">
            <w:pPr>
              <w:pStyle w:val="Sidehoved"/>
              <w:rPr>
                <w:b/>
                <w:szCs w:val="24"/>
              </w:rPr>
            </w:pPr>
            <w:r w:rsidRPr="00D11AD1">
              <w:rPr>
                <w:b/>
                <w:bCs/>
                <w:szCs w:val="24"/>
              </w:rPr>
              <w:t>Traumer, forgiftninger og behandlingskomplikationer</w:t>
            </w:r>
          </w:p>
        </w:tc>
      </w:tr>
      <w:tr w:rsidR="004D630B" w:rsidRPr="00D11AD1" w14:paraId="19816018" w14:textId="77777777" w:rsidTr="004D630B">
        <w:trPr>
          <w:trHeight w:val="220"/>
        </w:trPr>
        <w:tc>
          <w:tcPr>
            <w:tcW w:w="2258" w:type="dxa"/>
          </w:tcPr>
          <w:p w14:paraId="26179E88" w14:textId="77777777" w:rsidR="004D630B" w:rsidRPr="00D11AD1" w:rsidRDefault="004D630B" w:rsidP="004D630B">
            <w:pPr>
              <w:pStyle w:val="Sidehoved"/>
              <w:rPr>
                <w:i/>
                <w:szCs w:val="24"/>
              </w:rPr>
            </w:pPr>
            <w:r w:rsidRPr="00D11AD1">
              <w:rPr>
                <w:i/>
                <w:iCs/>
                <w:szCs w:val="24"/>
              </w:rPr>
              <w:t>Almindelig</w:t>
            </w:r>
          </w:p>
        </w:tc>
        <w:tc>
          <w:tcPr>
            <w:tcW w:w="7349" w:type="dxa"/>
          </w:tcPr>
          <w:p w14:paraId="73297BDA" w14:textId="77777777" w:rsidR="004D630B" w:rsidRPr="00D11AD1" w:rsidRDefault="004D630B" w:rsidP="004D630B">
            <w:pPr>
              <w:pStyle w:val="Sidehoved"/>
              <w:rPr>
                <w:szCs w:val="24"/>
              </w:rPr>
            </w:pPr>
            <w:r w:rsidRPr="00D11AD1">
              <w:rPr>
                <w:szCs w:val="24"/>
              </w:rPr>
              <w:t>kontusion</w:t>
            </w:r>
          </w:p>
        </w:tc>
      </w:tr>
    </w:tbl>
    <w:p w14:paraId="135042FA" w14:textId="77777777" w:rsidR="0077425C" w:rsidRPr="00D11AD1" w:rsidRDefault="0077425C" w:rsidP="00705D0A">
      <w:pPr>
        <w:ind w:left="284" w:hanging="284"/>
        <w:rPr>
          <w:sz w:val="24"/>
          <w:szCs w:val="24"/>
        </w:rPr>
      </w:pPr>
      <w:r w:rsidRPr="00D11AD1">
        <w:rPr>
          <w:position w:val="6"/>
          <w:sz w:val="24"/>
          <w:szCs w:val="24"/>
        </w:rPr>
        <w:t>a</w:t>
      </w:r>
      <w:r w:rsidR="00F95061" w:rsidRPr="00D11AD1">
        <w:rPr>
          <w:position w:val="6"/>
          <w:sz w:val="24"/>
          <w:szCs w:val="24"/>
        </w:rPr>
        <w:tab/>
      </w:r>
      <w:r w:rsidRPr="00D11AD1">
        <w:rPr>
          <w:rFonts w:eastAsia="TimesNewRomanPSMT"/>
          <w:sz w:val="24"/>
          <w:szCs w:val="24"/>
        </w:rPr>
        <w:t>Inkluderer nedsat appetit, tidlig mæthedsfornemmelse, øget appetit.</w:t>
      </w:r>
    </w:p>
    <w:p w14:paraId="09262486" w14:textId="17292CD9" w:rsidR="0077425C" w:rsidRPr="00D11AD1" w:rsidRDefault="0077425C" w:rsidP="00705D0A">
      <w:pPr>
        <w:adjustRightInd w:val="0"/>
        <w:ind w:left="284" w:hanging="284"/>
        <w:rPr>
          <w:rFonts w:eastAsia="TimesNewRomanPSMT"/>
          <w:sz w:val="24"/>
          <w:szCs w:val="24"/>
        </w:rPr>
      </w:pPr>
      <w:r w:rsidRPr="00D11AD1">
        <w:rPr>
          <w:position w:val="6"/>
          <w:sz w:val="24"/>
          <w:szCs w:val="24"/>
        </w:rPr>
        <w:t>b</w:t>
      </w:r>
      <w:r w:rsidR="00F95061" w:rsidRPr="00D11AD1">
        <w:rPr>
          <w:position w:val="6"/>
          <w:sz w:val="24"/>
          <w:szCs w:val="24"/>
        </w:rPr>
        <w:tab/>
      </w:r>
      <w:r w:rsidRPr="00D11AD1">
        <w:rPr>
          <w:rFonts w:eastAsia="TimesNewRomanPSMT"/>
          <w:sz w:val="24"/>
          <w:szCs w:val="24"/>
        </w:rPr>
        <w:t>Inkluderer blødning i centralnervesystemet, cerebralt hæmatom, cerebral blødning, ekstradural hæmatom, intrakraniel blødning, hæmoragisk apopleksi, subaraknoidal blødning, subdural hæmatom og subdural blødning.</w:t>
      </w:r>
    </w:p>
    <w:p w14:paraId="1753E8E5" w14:textId="77777777" w:rsidR="0077425C" w:rsidRPr="00D11AD1" w:rsidRDefault="0077425C" w:rsidP="00705D0A">
      <w:pPr>
        <w:adjustRightInd w:val="0"/>
        <w:ind w:left="284" w:hanging="284"/>
        <w:rPr>
          <w:rFonts w:eastAsia="TimesNewRomanPSMT"/>
          <w:sz w:val="24"/>
          <w:szCs w:val="24"/>
        </w:rPr>
      </w:pPr>
      <w:r w:rsidRPr="00D11AD1">
        <w:rPr>
          <w:position w:val="6"/>
          <w:sz w:val="24"/>
          <w:szCs w:val="24"/>
        </w:rPr>
        <w:t xml:space="preserve">c </w:t>
      </w:r>
      <w:r w:rsidR="00F95061" w:rsidRPr="00D11AD1">
        <w:rPr>
          <w:position w:val="6"/>
          <w:sz w:val="24"/>
          <w:szCs w:val="24"/>
        </w:rPr>
        <w:tab/>
      </w:r>
      <w:r w:rsidRPr="00D11AD1">
        <w:rPr>
          <w:rFonts w:eastAsia="TimesNewRomanPSMT"/>
          <w:sz w:val="24"/>
          <w:szCs w:val="24"/>
        </w:rPr>
        <w:t>Inkluderer forhøjet natriuretisk peptid i hjernen, ventrikel dysfunktion, venstre ventrikel dysfunktion, højre ventrikel dysfunktion, hjertesvigt, akut hjertesvigt, kronisk hjertesvigt, kongestiv hjertesvigt, kardiomyopati, kongestiv kardiomyopati, diastolisk dysfunktion, nedsat uddrivningsfraktion og ventrikelsvigt, venstre ventrikelsvigt, højre ventrikelsvigt og ventrikel-hypokinesi.</w:t>
      </w:r>
    </w:p>
    <w:p w14:paraId="091A6639" w14:textId="21AA2E17" w:rsidR="0077425C" w:rsidRPr="00D11AD1" w:rsidRDefault="0077425C" w:rsidP="00705D0A">
      <w:pPr>
        <w:adjustRightInd w:val="0"/>
        <w:ind w:left="284" w:hanging="284"/>
        <w:rPr>
          <w:rFonts w:eastAsia="TimesNewRomanPSMT"/>
          <w:sz w:val="24"/>
          <w:szCs w:val="24"/>
        </w:rPr>
      </w:pPr>
      <w:r w:rsidRPr="00D11AD1">
        <w:rPr>
          <w:position w:val="6"/>
          <w:sz w:val="24"/>
          <w:szCs w:val="24"/>
        </w:rPr>
        <w:t>d</w:t>
      </w:r>
      <w:r w:rsidR="00F95061" w:rsidRPr="00D11AD1">
        <w:rPr>
          <w:position w:val="6"/>
          <w:sz w:val="24"/>
          <w:szCs w:val="24"/>
        </w:rPr>
        <w:tab/>
      </w:r>
      <w:r w:rsidRPr="00D11AD1">
        <w:rPr>
          <w:rFonts w:eastAsia="TimesNewRomanPSMT"/>
          <w:sz w:val="24"/>
          <w:szCs w:val="24"/>
        </w:rPr>
        <w:t>Eksklusive gastrointestinal blødning og CNS-blødning; disse bivirkninger er indberettet under organklasserne henholdsvis mave-tarm</w:t>
      </w:r>
      <w:r w:rsidR="00481015">
        <w:rPr>
          <w:rFonts w:eastAsia="TimesNewRomanPSMT"/>
          <w:sz w:val="24"/>
          <w:szCs w:val="24"/>
        </w:rPr>
        <w:t>-</w:t>
      </w:r>
      <w:r w:rsidRPr="00D11AD1">
        <w:rPr>
          <w:rFonts w:eastAsia="TimesNewRomanPSMT"/>
          <w:sz w:val="24"/>
          <w:szCs w:val="24"/>
        </w:rPr>
        <w:t>kanalen og nervesystemet</w:t>
      </w:r>
      <w:r w:rsidRPr="00D11AD1">
        <w:rPr>
          <w:sz w:val="24"/>
          <w:szCs w:val="24"/>
        </w:rPr>
        <w:t>.</w:t>
      </w:r>
    </w:p>
    <w:p w14:paraId="54D041B1" w14:textId="18B6F71C" w:rsidR="0077425C" w:rsidRPr="00D11AD1" w:rsidRDefault="0077425C" w:rsidP="00705D0A">
      <w:pPr>
        <w:adjustRightInd w:val="0"/>
        <w:ind w:left="284" w:hanging="284"/>
        <w:rPr>
          <w:rFonts w:eastAsia="TimesNewRomanPSMT"/>
          <w:sz w:val="24"/>
          <w:szCs w:val="24"/>
        </w:rPr>
      </w:pPr>
      <w:r w:rsidRPr="00D11AD1">
        <w:rPr>
          <w:position w:val="6"/>
          <w:sz w:val="24"/>
          <w:szCs w:val="24"/>
        </w:rPr>
        <w:t>e</w:t>
      </w:r>
      <w:r w:rsidR="00F95061" w:rsidRPr="00D11AD1">
        <w:rPr>
          <w:position w:val="6"/>
          <w:sz w:val="24"/>
          <w:szCs w:val="24"/>
        </w:rPr>
        <w:tab/>
      </w:r>
      <w:r w:rsidRPr="00D11AD1">
        <w:rPr>
          <w:rFonts w:eastAsia="TimesNewRomanPSMT"/>
          <w:sz w:val="24"/>
          <w:szCs w:val="24"/>
        </w:rPr>
        <w:t>Inkluderer lægemiddeludslæt, erytem, erythema multiforme, erythrosis, eksfoliativt udslæt, generaliseret erytem, genitalt udslæt, varmeudslæt, milia, miliaria, pustuløs psoriasis, udslæt, erytematøst udslæt, follikulært udslæt, generaliseret</w:t>
      </w:r>
      <w:r w:rsidR="00481015">
        <w:rPr>
          <w:rFonts w:eastAsia="TimesNewRomanPSMT"/>
          <w:sz w:val="24"/>
          <w:szCs w:val="24"/>
        </w:rPr>
        <w:t xml:space="preserve"> </w:t>
      </w:r>
      <w:r w:rsidRPr="00D11AD1">
        <w:rPr>
          <w:rFonts w:eastAsia="TimesNewRomanPSMT"/>
          <w:sz w:val="24"/>
          <w:szCs w:val="24"/>
        </w:rPr>
        <w:t>udslæt, makulært udslæt, makulopapuløst udslæt, papuløst udslæt, kløende udslæt, pustuløst udslæt, vesikulært udslæt, hudeksfoliation, hudirritation, toksisk huderuption, urticaria vesiculosa og vaskulitisk udslæt</w:t>
      </w:r>
      <w:r w:rsidRPr="00D11AD1">
        <w:rPr>
          <w:sz w:val="24"/>
          <w:szCs w:val="24"/>
        </w:rPr>
        <w:t>.</w:t>
      </w:r>
    </w:p>
    <w:p w14:paraId="54750ADA" w14:textId="42F287DF" w:rsidR="0077425C" w:rsidRPr="00D11AD1" w:rsidRDefault="0077425C" w:rsidP="00705D0A">
      <w:pPr>
        <w:adjustRightInd w:val="0"/>
        <w:ind w:left="284" w:hanging="284"/>
        <w:rPr>
          <w:rFonts w:eastAsia="TimesNewRomanPSMT"/>
          <w:sz w:val="24"/>
          <w:szCs w:val="24"/>
        </w:rPr>
      </w:pPr>
      <w:r w:rsidRPr="00D11AD1">
        <w:rPr>
          <w:position w:val="6"/>
          <w:sz w:val="24"/>
          <w:szCs w:val="24"/>
        </w:rPr>
        <w:t>f</w:t>
      </w:r>
      <w:r w:rsidR="00F95061" w:rsidRPr="00D11AD1">
        <w:rPr>
          <w:position w:val="6"/>
          <w:sz w:val="24"/>
          <w:szCs w:val="24"/>
        </w:rPr>
        <w:tab/>
      </w:r>
      <w:r w:rsidRPr="00D11AD1">
        <w:rPr>
          <w:rFonts w:eastAsia="TimesNewRomanPSMT"/>
          <w:sz w:val="24"/>
          <w:szCs w:val="24"/>
        </w:rPr>
        <w:t>Efter markedsføring er der rapporteret om enkelte tilfælde af Stevens-Johnsons syndrom. Det var ikke muligt at afgøre, hvorvidt disse mucokutane bivirkninger var direkte relateret til dasatinib eller til samtidig behandling med andre lægemidler</w:t>
      </w:r>
      <w:r w:rsidRPr="00D11AD1">
        <w:rPr>
          <w:sz w:val="24"/>
          <w:szCs w:val="24"/>
        </w:rPr>
        <w:t>.</w:t>
      </w:r>
    </w:p>
    <w:p w14:paraId="292E2816" w14:textId="77777777" w:rsidR="0077425C" w:rsidRPr="00D11AD1" w:rsidRDefault="0077425C" w:rsidP="00705D0A">
      <w:pPr>
        <w:ind w:left="284" w:hanging="284"/>
        <w:rPr>
          <w:sz w:val="24"/>
          <w:szCs w:val="24"/>
        </w:rPr>
      </w:pPr>
      <w:r w:rsidRPr="00D11AD1">
        <w:rPr>
          <w:position w:val="6"/>
          <w:sz w:val="24"/>
          <w:szCs w:val="24"/>
        </w:rPr>
        <w:t>g</w:t>
      </w:r>
      <w:r w:rsidR="00F95061" w:rsidRPr="00D11AD1">
        <w:rPr>
          <w:position w:val="6"/>
          <w:sz w:val="24"/>
          <w:szCs w:val="24"/>
        </w:rPr>
        <w:tab/>
      </w:r>
      <w:r w:rsidRPr="00D11AD1">
        <w:rPr>
          <w:rFonts w:eastAsia="TimesNewRomanPSMT"/>
          <w:sz w:val="24"/>
          <w:szCs w:val="24"/>
        </w:rPr>
        <w:t>Smerter i bevægeapparatet rapporteret under eller efter ophør af behandling</w:t>
      </w:r>
      <w:r w:rsidRPr="00D11AD1">
        <w:rPr>
          <w:sz w:val="24"/>
          <w:szCs w:val="24"/>
        </w:rPr>
        <w:t>.</w:t>
      </w:r>
    </w:p>
    <w:p w14:paraId="6AC49421" w14:textId="77777777" w:rsidR="0077425C" w:rsidRPr="00D11AD1" w:rsidRDefault="0077425C" w:rsidP="00705D0A">
      <w:pPr>
        <w:ind w:left="284" w:hanging="284"/>
        <w:rPr>
          <w:sz w:val="24"/>
          <w:szCs w:val="24"/>
        </w:rPr>
      </w:pPr>
      <w:r w:rsidRPr="00D11AD1">
        <w:rPr>
          <w:position w:val="6"/>
          <w:sz w:val="24"/>
          <w:szCs w:val="24"/>
        </w:rPr>
        <w:t>h</w:t>
      </w:r>
      <w:r w:rsidR="00F95061" w:rsidRPr="00D11AD1">
        <w:rPr>
          <w:position w:val="6"/>
          <w:sz w:val="24"/>
          <w:szCs w:val="24"/>
        </w:rPr>
        <w:tab/>
      </w:r>
      <w:r w:rsidRPr="00D11AD1">
        <w:rPr>
          <w:rFonts w:eastAsia="TimesNewRomanPSMT"/>
          <w:sz w:val="24"/>
          <w:szCs w:val="24"/>
        </w:rPr>
        <w:t>Frekvensen er rapporteret som almindelig i pædiatriske studier</w:t>
      </w:r>
      <w:r w:rsidRPr="00D11AD1">
        <w:rPr>
          <w:sz w:val="24"/>
          <w:szCs w:val="24"/>
        </w:rPr>
        <w:t>.</w:t>
      </w:r>
    </w:p>
    <w:p w14:paraId="1273A26A" w14:textId="77777777" w:rsidR="0077425C" w:rsidRPr="00D11AD1" w:rsidRDefault="0077425C" w:rsidP="00705D0A">
      <w:pPr>
        <w:ind w:left="284" w:right="508" w:hanging="284"/>
        <w:rPr>
          <w:sz w:val="24"/>
          <w:szCs w:val="24"/>
        </w:rPr>
      </w:pPr>
      <w:r w:rsidRPr="00D11AD1">
        <w:rPr>
          <w:position w:val="6"/>
          <w:sz w:val="24"/>
          <w:szCs w:val="24"/>
        </w:rPr>
        <w:t>i</w:t>
      </w:r>
      <w:r w:rsidR="00F95061" w:rsidRPr="00D11AD1">
        <w:rPr>
          <w:position w:val="6"/>
          <w:sz w:val="24"/>
          <w:szCs w:val="24"/>
        </w:rPr>
        <w:tab/>
      </w:r>
      <w:r w:rsidRPr="00D11AD1">
        <w:rPr>
          <w:rFonts w:eastAsia="TimesNewRomanPSMT"/>
          <w:sz w:val="24"/>
          <w:szCs w:val="24"/>
        </w:rPr>
        <w:t>Deklivt ødem, lokaliseret ødem, perifert ødem.</w:t>
      </w:r>
    </w:p>
    <w:p w14:paraId="792A69B0" w14:textId="77777777" w:rsidR="0077425C" w:rsidRPr="00D11AD1" w:rsidRDefault="0077425C" w:rsidP="00705D0A">
      <w:pPr>
        <w:adjustRightInd w:val="0"/>
        <w:ind w:left="284" w:hanging="284"/>
        <w:rPr>
          <w:rFonts w:eastAsia="TimesNewRomanPSMT"/>
          <w:sz w:val="24"/>
          <w:szCs w:val="24"/>
        </w:rPr>
      </w:pPr>
      <w:r w:rsidRPr="00D11AD1">
        <w:rPr>
          <w:position w:val="6"/>
          <w:sz w:val="24"/>
          <w:szCs w:val="24"/>
        </w:rPr>
        <w:t>j</w:t>
      </w:r>
      <w:r w:rsidR="00F95061" w:rsidRPr="00D11AD1">
        <w:rPr>
          <w:position w:val="6"/>
          <w:sz w:val="24"/>
          <w:szCs w:val="24"/>
        </w:rPr>
        <w:tab/>
      </w:r>
      <w:r w:rsidRPr="00D11AD1">
        <w:rPr>
          <w:rFonts w:eastAsia="TimesNewRomanPSMT"/>
          <w:sz w:val="24"/>
          <w:szCs w:val="24"/>
        </w:rPr>
        <w:t>Konjunktivalt ødem, øjenødem, hævede øjne, øjenlågsødem, ansigtsødem, læbeødem, makulært ødem, mundødem, orbitalt ødem, periorbitalt ødem, hævet ansigt</w:t>
      </w:r>
      <w:r w:rsidRPr="00D11AD1">
        <w:rPr>
          <w:sz w:val="24"/>
          <w:szCs w:val="24"/>
        </w:rPr>
        <w:t>.</w:t>
      </w:r>
    </w:p>
    <w:p w14:paraId="6B257314" w14:textId="77777777" w:rsidR="0077425C" w:rsidRPr="00D11AD1" w:rsidRDefault="0077425C" w:rsidP="00705D0A">
      <w:pPr>
        <w:adjustRightInd w:val="0"/>
        <w:ind w:left="284" w:hanging="284"/>
        <w:rPr>
          <w:rFonts w:eastAsia="TimesNewRomanPSMT"/>
          <w:sz w:val="24"/>
          <w:szCs w:val="24"/>
        </w:rPr>
      </w:pPr>
      <w:r w:rsidRPr="00D11AD1">
        <w:rPr>
          <w:position w:val="6"/>
          <w:sz w:val="24"/>
          <w:szCs w:val="24"/>
        </w:rPr>
        <w:t>k</w:t>
      </w:r>
      <w:r w:rsidR="00F95061" w:rsidRPr="00D11AD1">
        <w:rPr>
          <w:position w:val="6"/>
          <w:sz w:val="24"/>
          <w:szCs w:val="24"/>
        </w:rPr>
        <w:tab/>
      </w:r>
      <w:r w:rsidRPr="00D11AD1">
        <w:rPr>
          <w:rFonts w:eastAsia="TimesNewRomanPSMT"/>
          <w:sz w:val="24"/>
          <w:szCs w:val="24"/>
        </w:rPr>
        <w:t>Væskeophobning, væskeretention, gastrointestinalt ødem, generaliseret ødem, perifær hævelse, ødem, ødem på grund af hjertesygdom, perirenal effusion, ødem efter indgreb, visceralt ødem</w:t>
      </w:r>
      <w:r w:rsidRPr="00D11AD1">
        <w:rPr>
          <w:sz w:val="24"/>
          <w:szCs w:val="24"/>
        </w:rPr>
        <w:t>.</w:t>
      </w:r>
    </w:p>
    <w:p w14:paraId="16BCC712" w14:textId="77777777" w:rsidR="0077425C" w:rsidRPr="00D11AD1" w:rsidRDefault="0077425C" w:rsidP="00705D0A">
      <w:pPr>
        <w:adjustRightInd w:val="0"/>
        <w:ind w:left="284" w:hanging="284"/>
        <w:rPr>
          <w:rFonts w:eastAsia="TimesNewRomanPSMT"/>
          <w:sz w:val="24"/>
          <w:szCs w:val="24"/>
        </w:rPr>
      </w:pPr>
      <w:r w:rsidRPr="00D11AD1">
        <w:rPr>
          <w:position w:val="6"/>
          <w:sz w:val="24"/>
          <w:szCs w:val="24"/>
        </w:rPr>
        <w:t>l</w:t>
      </w:r>
      <w:r w:rsidR="00F95061" w:rsidRPr="00D11AD1">
        <w:rPr>
          <w:position w:val="6"/>
          <w:sz w:val="24"/>
          <w:szCs w:val="24"/>
        </w:rPr>
        <w:tab/>
      </w:r>
      <w:r w:rsidRPr="00D11AD1">
        <w:rPr>
          <w:rFonts w:eastAsia="TimesNewRomanPSMT"/>
          <w:sz w:val="24"/>
          <w:szCs w:val="24"/>
        </w:rPr>
        <w:t>Genital hævelse, ødem ved incisionsstedet, genitalt ødem, penilt ødem, penil hævelse, skrotalt ødem, hævelser på huden, hævede testikler, vulvovaginal hævelse</w:t>
      </w:r>
      <w:r w:rsidRPr="00D11AD1">
        <w:rPr>
          <w:sz w:val="24"/>
          <w:szCs w:val="24"/>
        </w:rPr>
        <w:t>.</w:t>
      </w:r>
    </w:p>
    <w:p w14:paraId="632DBA4E" w14:textId="77777777" w:rsidR="0077425C" w:rsidRPr="00D11AD1" w:rsidRDefault="0077425C" w:rsidP="00705D0A">
      <w:pPr>
        <w:ind w:left="284" w:hanging="284"/>
        <w:rPr>
          <w:sz w:val="24"/>
          <w:szCs w:val="24"/>
        </w:rPr>
      </w:pPr>
      <w:r w:rsidRPr="00D11AD1">
        <w:rPr>
          <w:sz w:val="24"/>
          <w:szCs w:val="24"/>
        </w:rPr>
        <w:t>*</w:t>
      </w:r>
      <w:r w:rsidR="00F95061" w:rsidRPr="00D11AD1">
        <w:rPr>
          <w:sz w:val="24"/>
          <w:szCs w:val="24"/>
        </w:rPr>
        <w:tab/>
      </w:r>
      <w:r w:rsidRPr="00D11AD1">
        <w:rPr>
          <w:rFonts w:eastAsia="TimesNewRomanPSMT"/>
          <w:sz w:val="24"/>
          <w:szCs w:val="24"/>
        </w:rPr>
        <w:t>Se afsnittet ”Beskrivelse af udvalgte bivirkninger” for yderligere oplysninger.</w:t>
      </w:r>
    </w:p>
    <w:p w14:paraId="6C512816" w14:textId="77777777" w:rsidR="00123052" w:rsidRPr="00D11AD1" w:rsidRDefault="00123052" w:rsidP="00705D0A">
      <w:pPr>
        <w:pStyle w:val="Sidehoved"/>
        <w:tabs>
          <w:tab w:val="left" w:pos="851"/>
        </w:tabs>
        <w:ind w:left="851"/>
        <w:rPr>
          <w:szCs w:val="24"/>
        </w:rPr>
      </w:pPr>
    </w:p>
    <w:p w14:paraId="007BC776" w14:textId="77777777" w:rsidR="00F95061" w:rsidRPr="00D11AD1" w:rsidRDefault="00F95061" w:rsidP="00F95061">
      <w:pPr>
        <w:pStyle w:val="Sidehoved"/>
        <w:tabs>
          <w:tab w:val="left" w:pos="851"/>
        </w:tabs>
        <w:ind w:left="851"/>
        <w:rPr>
          <w:szCs w:val="24"/>
          <w:u w:val="single"/>
        </w:rPr>
      </w:pPr>
      <w:r w:rsidRPr="00D11AD1">
        <w:rPr>
          <w:szCs w:val="24"/>
          <w:u w:val="single"/>
        </w:rPr>
        <w:t>Beskrivelse af udvalgte bivirkninger</w:t>
      </w:r>
    </w:p>
    <w:p w14:paraId="279FA9E6" w14:textId="77777777" w:rsidR="00F95061" w:rsidRPr="00D11AD1" w:rsidRDefault="00F95061" w:rsidP="00F95061">
      <w:pPr>
        <w:pStyle w:val="Sidehoved"/>
        <w:tabs>
          <w:tab w:val="left" w:pos="851"/>
        </w:tabs>
        <w:ind w:left="851"/>
        <w:rPr>
          <w:szCs w:val="24"/>
          <w:u w:val="single"/>
        </w:rPr>
      </w:pPr>
    </w:p>
    <w:p w14:paraId="3345A098"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Myelosuppression</w:t>
      </w:r>
    </w:p>
    <w:p w14:paraId="112EA380" w14:textId="6D534BF4" w:rsidR="00F95061" w:rsidRPr="00D11AD1" w:rsidRDefault="00F95061" w:rsidP="00F95061">
      <w:pPr>
        <w:pStyle w:val="Sidehoved"/>
        <w:tabs>
          <w:tab w:val="left" w:pos="851"/>
        </w:tabs>
        <w:ind w:left="851"/>
        <w:rPr>
          <w:szCs w:val="24"/>
        </w:rPr>
      </w:pPr>
      <w:r w:rsidRPr="00D11AD1">
        <w:rPr>
          <w:szCs w:val="24"/>
        </w:rPr>
        <w:t>Behandling med dasatinib</w:t>
      </w:r>
      <w:r w:rsidR="000566A6" w:rsidRPr="00D11AD1">
        <w:rPr>
          <w:szCs w:val="24"/>
        </w:rPr>
        <w:t xml:space="preserve"> </w:t>
      </w:r>
      <w:r w:rsidRPr="00D11AD1">
        <w:rPr>
          <w:szCs w:val="24"/>
        </w:rPr>
        <w:t>er forbundet med anæmi, neutropeni og trombocytopeni, der forekommer tidligere og hyppigere hos patienter med CML eller Ph+ ALL i fremskreden fase end med CML i kronisk fase (se pkt. 4.4).</w:t>
      </w:r>
    </w:p>
    <w:p w14:paraId="45433124" w14:textId="77777777" w:rsidR="00F95061" w:rsidRPr="00D11AD1" w:rsidRDefault="00F95061" w:rsidP="00F95061">
      <w:pPr>
        <w:pStyle w:val="Sidehoved"/>
        <w:tabs>
          <w:tab w:val="left" w:pos="851"/>
        </w:tabs>
        <w:ind w:left="851"/>
        <w:rPr>
          <w:szCs w:val="24"/>
        </w:rPr>
      </w:pPr>
    </w:p>
    <w:p w14:paraId="3DC106C9" w14:textId="77777777" w:rsidR="00F95061" w:rsidRPr="00D11AD1" w:rsidRDefault="00F95061" w:rsidP="00F95061">
      <w:pPr>
        <w:pStyle w:val="Sidehoved"/>
        <w:tabs>
          <w:tab w:val="left" w:pos="851"/>
        </w:tabs>
        <w:ind w:left="851"/>
        <w:rPr>
          <w:i/>
          <w:iCs/>
          <w:szCs w:val="24"/>
          <w:u w:val="single"/>
        </w:rPr>
      </w:pPr>
      <w:r w:rsidRPr="00D11AD1">
        <w:rPr>
          <w:i/>
          <w:iCs/>
          <w:szCs w:val="24"/>
          <w:u w:val="single"/>
        </w:rPr>
        <w:lastRenderedPageBreak/>
        <w:t>Blødning</w:t>
      </w:r>
    </w:p>
    <w:p w14:paraId="51B281CF" w14:textId="75172FCB" w:rsidR="00F95061" w:rsidRPr="00D11AD1" w:rsidRDefault="00F95061" w:rsidP="00F95061">
      <w:pPr>
        <w:pStyle w:val="Sidehoved"/>
        <w:tabs>
          <w:tab w:val="left" w:pos="851"/>
        </w:tabs>
        <w:ind w:left="851"/>
        <w:rPr>
          <w:szCs w:val="24"/>
        </w:rPr>
      </w:pPr>
      <w:r w:rsidRPr="00D11AD1">
        <w:rPr>
          <w:szCs w:val="24"/>
        </w:rPr>
        <w:t>Lægemiddelrelaterede blødningsbivirkninger spændende fra petekkier og epistaxis til</w:t>
      </w:r>
      <w:r w:rsidR="000A733F">
        <w:rPr>
          <w:szCs w:val="24"/>
        </w:rPr>
        <w:t xml:space="preserve"> </w:t>
      </w:r>
      <w:r w:rsidRPr="00D11AD1">
        <w:rPr>
          <w:szCs w:val="24"/>
        </w:rPr>
        <w:t>grad 3 eller 4 gastrointestinal blødning og blødning i centralnervesystemet (CNS) er rapporteret hos patienter, der tager dasatinib</w:t>
      </w:r>
      <w:r w:rsidRPr="00D11AD1" w:rsidDel="00EA7FB6">
        <w:rPr>
          <w:szCs w:val="24"/>
        </w:rPr>
        <w:t xml:space="preserve"> </w:t>
      </w:r>
      <w:r w:rsidRPr="00D11AD1">
        <w:rPr>
          <w:szCs w:val="24"/>
        </w:rPr>
        <w:t>(se pkt. 4.4).</w:t>
      </w:r>
      <w:r w:rsidRPr="00D11AD1">
        <w:rPr>
          <w:i/>
          <w:szCs w:val="24"/>
          <w:u w:val="single"/>
        </w:rPr>
        <w:t xml:space="preserve"> </w:t>
      </w:r>
    </w:p>
    <w:p w14:paraId="482ACE3F" w14:textId="77777777" w:rsidR="00F95061" w:rsidRPr="00D11AD1" w:rsidRDefault="00F95061" w:rsidP="00F95061">
      <w:pPr>
        <w:pStyle w:val="Sidehoved"/>
        <w:tabs>
          <w:tab w:val="left" w:pos="851"/>
        </w:tabs>
        <w:ind w:left="851"/>
        <w:rPr>
          <w:i/>
          <w:szCs w:val="24"/>
          <w:u w:val="single"/>
        </w:rPr>
      </w:pPr>
    </w:p>
    <w:p w14:paraId="2D371DE1"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Væskeretention</w:t>
      </w:r>
    </w:p>
    <w:p w14:paraId="36821628" w14:textId="36BCF850" w:rsidR="00F95061" w:rsidRPr="00D11AD1" w:rsidRDefault="00F95061" w:rsidP="00F95061">
      <w:pPr>
        <w:pStyle w:val="Sidehoved"/>
        <w:tabs>
          <w:tab w:val="left" w:pos="851"/>
        </w:tabs>
        <w:ind w:left="851"/>
        <w:rPr>
          <w:szCs w:val="24"/>
        </w:rPr>
      </w:pPr>
      <w:r w:rsidRPr="00D11AD1">
        <w:rPr>
          <w:szCs w:val="24"/>
        </w:rPr>
        <w:t>Diverse bivirkninger som f.eks. pleuraeffusion, ascites, lungeødem og perikardie-effusion med eller uden superficielt ødem kan samlet set betegnes som ”væskeretention”. I studiet vedrørende nyligt diagnosticeret CML i kronisk fase omfattede dasatinib relaterede væskeretentionsbivirkninger efter mindst 60 måneders opfølgning pleuraeffusion (28</w:t>
      </w:r>
      <w:r w:rsidR="00FA34A4" w:rsidRPr="00D11AD1">
        <w:rPr>
          <w:szCs w:val="24"/>
        </w:rPr>
        <w:t xml:space="preserve"> %</w:t>
      </w:r>
      <w:r w:rsidRPr="00D11AD1">
        <w:rPr>
          <w:szCs w:val="24"/>
        </w:rPr>
        <w:t>), superficielt ødem (14</w:t>
      </w:r>
      <w:r w:rsidR="00FA34A4" w:rsidRPr="00D11AD1">
        <w:rPr>
          <w:szCs w:val="24"/>
        </w:rPr>
        <w:t xml:space="preserve"> %</w:t>
      </w:r>
      <w:r w:rsidRPr="00D11AD1">
        <w:rPr>
          <w:szCs w:val="24"/>
        </w:rPr>
        <w:t>), pulmonal hypertension (5</w:t>
      </w:r>
      <w:r w:rsidR="00481015">
        <w:rPr>
          <w:szCs w:val="24"/>
        </w:rPr>
        <w:t> </w:t>
      </w:r>
      <w:r w:rsidR="00FA34A4" w:rsidRPr="00D11AD1">
        <w:rPr>
          <w:szCs w:val="24"/>
        </w:rPr>
        <w:t>%</w:t>
      </w:r>
      <w:r w:rsidRPr="00D11AD1">
        <w:rPr>
          <w:szCs w:val="24"/>
        </w:rPr>
        <w:t>), generaliseret ødem (4</w:t>
      </w:r>
      <w:r w:rsidR="00FA34A4" w:rsidRPr="00D11AD1">
        <w:rPr>
          <w:szCs w:val="24"/>
        </w:rPr>
        <w:t xml:space="preserve"> %</w:t>
      </w:r>
      <w:r w:rsidRPr="00D11AD1">
        <w:rPr>
          <w:szCs w:val="24"/>
        </w:rPr>
        <w:t>) og perikardie-effusion (4</w:t>
      </w:r>
      <w:r w:rsidR="00FA34A4" w:rsidRPr="00D11AD1">
        <w:rPr>
          <w:szCs w:val="24"/>
        </w:rPr>
        <w:t xml:space="preserve"> %</w:t>
      </w:r>
      <w:r w:rsidRPr="00D11AD1">
        <w:rPr>
          <w:szCs w:val="24"/>
        </w:rPr>
        <w:t>). Kongestivt hjertesvigt/hjerteinsufficiens og lungeødem blev rapporteret hos &lt; 2</w:t>
      </w:r>
      <w:r w:rsidR="00FA34A4" w:rsidRPr="00D11AD1">
        <w:rPr>
          <w:szCs w:val="24"/>
        </w:rPr>
        <w:t xml:space="preserve"> %</w:t>
      </w:r>
      <w:r w:rsidRPr="00D11AD1">
        <w:rPr>
          <w:szCs w:val="24"/>
        </w:rPr>
        <w:t xml:space="preserve"> af patienterne.</w:t>
      </w:r>
    </w:p>
    <w:p w14:paraId="3798D912" w14:textId="29E2B4E9" w:rsidR="00F95061" w:rsidRPr="00D11AD1" w:rsidRDefault="00F95061" w:rsidP="00F95061">
      <w:pPr>
        <w:pStyle w:val="Sidehoved"/>
        <w:tabs>
          <w:tab w:val="left" w:pos="851"/>
        </w:tabs>
        <w:ind w:left="851"/>
        <w:rPr>
          <w:szCs w:val="24"/>
        </w:rPr>
      </w:pPr>
      <w:r w:rsidRPr="00D11AD1">
        <w:rPr>
          <w:szCs w:val="24"/>
        </w:rPr>
        <w:t>Den kumulative rate for dasatanib relateret pleuraeffusion (alle grader) over tid var 10</w:t>
      </w:r>
      <w:r w:rsidR="00481015">
        <w:rPr>
          <w:szCs w:val="24"/>
        </w:rPr>
        <w:t> </w:t>
      </w:r>
      <w:r w:rsidR="00FA34A4" w:rsidRPr="00D11AD1">
        <w:rPr>
          <w:szCs w:val="24"/>
        </w:rPr>
        <w:t>%</w:t>
      </w:r>
      <w:r w:rsidRPr="00D11AD1">
        <w:rPr>
          <w:szCs w:val="24"/>
        </w:rPr>
        <w:t xml:space="preserve"> ved 12 måneder, 14</w:t>
      </w:r>
      <w:r w:rsidR="00FA34A4" w:rsidRPr="00D11AD1">
        <w:rPr>
          <w:szCs w:val="24"/>
        </w:rPr>
        <w:t xml:space="preserve"> %</w:t>
      </w:r>
      <w:r w:rsidRPr="00D11AD1">
        <w:rPr>
          <w:szCs w:val="24"/>
        </w:rPr>
        <w:t xml:space="preserve"> ved 24 måneder, 19</w:t>
      </w:r>
      <w:r w:rsidR="00FA34A4" w:rsidRPr="00D11AD1">
        <w:rPr>
          <w:szCs w:val="24"/>
        </w:rPr>
        <w:t xml:space="preserve"> %</w:t>
      </w:r>
      <w:r w:rsidRPr="00D11AD1">
        <w:rPr>
          <w:szCs w:val="24"/>
        </w:rPr>
        <w:t xml:space="preserve"> ved 36 måneder, 24</w:t>
      </w:r>
      <w:r w:rsidR="00FA34A4" w:rsidRPr="00D11AD1">
        <w:rPr>
          <w:szCs w:val="24"/>
        </w:rPr>
        <w:t xml:space="preserve"> %</w:t>
      </w:r>
      <w:r w:rsidRPr="00D11AD1">
        <w:rPr>
          <w:szCs w:val="24"/>
        </w:rPr>
        <w:t xml:space="preserve"> ved 48 måneder og 28</w:t>
      </w:r>
      <w:r w:rsidR="00FA34A4" w:rsidRPr="00D11AD1">
        <w:rPr>
          <w:szCs w:val="24"/>
        </w:rPr>
        <w:t xml:space="preserve"> %</w:t>
      </w:r>
      <w:r w:rsidRPr="00D11AD1">
        <w:rPr>
          <w:szCs w:val="24"/>
        </w:rPr>
        <w:t xml:space="preserve"> ved 60 måneder. I alt 46 dasatinib behandlede patienter havde recidiverende pleuraeffusion. 17 patienter havde 2 separate bivirkninger, 6 havde 3 bivirkninger, 18 havde 4–8 bivirkninger og 5 havde &gt; 8 hændelser med pleuraeffusion.</w:t>
      </w:r>
    </w:p>
    <w:p w14:paraId="7DCC4786" w14:textId="456E55C4" w:rsidR="00F95061" w:rsidRPr="00D11AD1" w:rsidRDefault="00F95061" w:rsidP="00F95061">
      <w:pPr>
        <w:pStyle w:val="Sidehoved"/>
        <w:tabs>
          <w:tab w:val="left" w:pos="851"/>
        </w:tabs>
        <w:ind w:left="851"/>
        <w:rPr>
          <w:szCs w:val="24"/>
        </w:rPr>
      </w:pPr>
      <w:r w:rsidRPr="00D11AD1">
        <w:rPr>
          <w:szCs w:val="24"/>
        </w:rPr>
        <w:t>Der gik median 114 uger (4–299 uger), før dasatinib relateret pleuraeffusion grad 1 eller 2 opstod. Færre end 10</w:t>
      </w:r>
      <w:r w:rsidR="00FA34A4" w:rsidRPr="00D11AD1">
        <w:rPr>
          <w:szCs w:val="24"/>
        </w:rPr>
        <w:t xml:space="preserve"> %</w:t>
      </w:r>
      <w:r w:rsidRPr="00D11AD1">
        <w:rPr>
          <w:szCs w:val="24"/>
        </w:rPr>
        <w:t xml:space="preserve"> af patienterne med pleuraeffusion havde svær (grad 3 eller 4) dasatinib relateret pleuraeffusion. Mediantiden til første forekomst af grad ≥ 3 dasatinib relateret pleuraeffusion var 175 uger (114-274 uger). Medianvarigheden af dasatinib relateret pleuraeffusion (alle grader) var 283 dage (~40 uger).</w:t>
      </w:r>
    </w:p>
    <w:p w14:paraId="20E0E488" w14:textId="02E2E24C" w:rsidR="00F95061" w:rsidRPr="00D11AD1" w:rsidRDefault="00F95061" w:rsidP="00F95061">
      <w:pPr>
        <w:pStyle w:val="Sidehoved"/>
        <w:tabs>
          <w:tab w:val="left" w:pos="851"/>
        </w:tabs>
        <w:ind w:left="851"/>
        <w:rPr>
          <w:szCs w:val="24"/>
        </w:rPr>
      </w:pPr>
      <w:r w:rsidRPr="00D11AD1">
        <w:rPr>
          <w:szCs w:val="24"/>
        </w:rPr>
        <w:t>Pleuraeffusion var sædvanligvis reversibel og blev håndteret ved at seponere behandlingen med dasatinib</w:t>
      </w:r>
      <w:r w:rsidR="00951E66">
        <w:rPr>
          <w:szCs w:val="24"/>
        </w:rPr>
        <w:t xml:space="preserve"> </w:t>
      </w:r>
      <w:r w:rsidRPr="00D11AD1">
        <w:rPr>
          <w:szCs w:val="24"/>
        </w:rPr>
        <w:t>og ved at anvende diuretika eller anden passende støttende behandling (se pkt. 4.2 og 4.4). Blandt de dasatanib behandlede patienter, som fik pleuraeffusion (n=73), fik 45 (62</w:t>
      </w:r>
      <w:r w:rsidR="00FA34A4" w:rsidRPr="00D11AD1">
        <w:rPr>
          <w:szCs w:val="24"/>
        </w:rPr>
        <w:t xml:space="preserve"> %</w:t>
      </w:r>
      <w:r w:rsidRPr="00D11AD1">
        <w:rPr>
          <w:szCs w:val="24"/>
        </w:rPr>
        <w:t>) afbrudt behandlingen og 30 (41</w:t>
      </w:r>
      <w:r w:rsidR="00FA34A4" w:rsidRPr="00D11AD1">
        <w:rPr>
          <w:szCs w:val="24"/>
        </w:rPr>
        <w:t xml:space="preserve"> %</w:t>
      </w:r>
      <w:r w:rsidRPr="00D11AD1">
        <w:rPr>
          <w:szCs w:val="24"/>
        </w:rPr>
        <w:t>) fik dosis reduceret. Derudover fik 34 (47</w:t>
      </w:r>
      <w:r w:rsidR="00FA34A4" w:rsidRPr="00D11AD1">
        <w:rPr>
          <w:szCs w:val="24"/>
        </w:rPr>
        <w:t xml:space="preserve"> %</w:t>
      </w:r>
      <w:r w:rsidRPr="00D11AD1">
        <w:rPr>
          <w:szCs w:val="24"/>
        </w:rPr>
        <w:t>) behandling med diuretika, 23 (32</w:t>
      </w:r>
      <w:r w:rsidR="00FA34A4" w:rsidRPr="00D11AD1">
        <w:rPr>
          <w:szCs w:val="24"/>
        </w:rPr>
        <w:t xml:space="preserve"> %</w:t>
      </w:r>
      <w:r w:rsidRPr="00D11AD1">
        <w:rPr>
          <w:szCs w:val="24"/>
        </w:rPr>
        <w:t>) fik kortikosteroider og 20 (27</w:t>
      </w:r>
      <w:r w:rsidR="00FA34A4" w:rsidRPr="00D11AD1">
        <w:rPr>
          <w:szCs w:val="24"/>
        </w:rPr>
        <w:t xml:space="preserve"> %</w:t>
      </w:r>
      <w:r w:rsidRPr="00D11AD1">
        <w:rPr>
          <w:szCs w:val="24"/>
        </w:rPr>
        <w:t>) fik både kortikosteroider og diuretika. 9 patienter (12</w:t>
      </w:r>
      <w:r w:rsidR="00FA34A4" w:rsidRPr="00D11AD1">
        <w:rPr>
          <w:szCs w:val="24"/>
        </w:rPr>
        <w:t xml:space="preserve"> %</w:t>
      </w:r>
      <w:r w:rsidRPr="00D11AD1">
        <w:rPr>
          <w:szCs w:val="24"/>
        </w:rPr>
        <w:t>) gennemgik terapeutisk torakocentese.</w:t>
      </w:r>
    </w:p>
    <w:p w14:paraId="6EABEAD4" w14:textId="77777777" w:rsidR="00F95061" w:rsidRPr="00D11AD1" w:rsidRDefault="00F95061" w:rsidP="00F95061">
      <w:pPr>
        <w:pStyle w:val="Sidehoved"/>
        <w:tabs>
          <w:tab w:val="left" w:pos="851"/>
        </w:tabs>
        <w:ind w:left="851"/>
        <w:rPr>
          <w:szCs w:val="24"/>
        </w:rPr>
      </w:pPr>
      <w:r w:rsidRPr="00D11AD1">
        <w:rPr>
          <w:szCs w:val="24"/>
        </w:rPr>
        <w:t>Seks procent af de dasatinib behandlede patienter fik seponeret behandlingen på grund af lægemiddelrelateret pleuraeffusion.</w:t>
      </w:r>
    </w:p>
    <w:p w14:paraId="54576327" w14:textId="77777777" w:rsidR="004B2A25" w:rsidRPr="00D11AD1" w:rsidRDefault="004B2A25" w:rsidP="00F95061">
      <w:pPr>
        <w:pStyle w:val="Sidehoved"/>
        <w:tabs>
          <w:tab w:val="left" w:pos="851"/>
        </w:tabs>
        <w:ind w:left="851"/>
        <w:rPr>
          <w:szCs w:val="24"/>
        </w:rPr>
      </w:pPr>
    </w:p>
    <w:p w14:paraId="545CB469" w14:textId="21C9C355" w:rsidR="00F95061" w:rsidRPr="00D11AD1" w:rsidRDefault="00F95061" w:rsidP="00F95061">
      <w:pPr>
        <w:pStyle w:val="Sidehoved"/>
        <w:tabs>
          <w:tab w:val="left" w:pos="851"/>
        </w:tabs>
        <w:ind w:left="851"/>
        <w:rPr>
          <w:szCs w:val="24"/>
        </w:rPr>
      </w:pPr>
      <w:r w:rsidRPr="00D11AD1">
        <w:rPr>
          <w:szCs w:val="24"/>
        </w:rPr>
        <w:t>Pleuraeffusion nedsatte ikke patienternes evne til at opnå respons. Blandt de dasatinib behandlede patienter med pleuraeffusion opnåede 96</w:t>
      </w:r>
      <w:r w:rsidR="00FA34A4" w:rsidRPr="00D11AD1">
        <w:rPr>
          <w:szCs w:val="24"/>
        </w:rPr>
        <w:t xml:space="preserve"> %</w:t>
      </w:r>
      <w:r w:rsidRPr="00D11AD1">
        <w:rPr>
          <w:szCs w:val="24"/>
        </w:rPr>
        <w:t xml:space="preserve"> cytogenetisk respons (cCCyR), 82</w:t>
      </w:r>
      <w:r w:rsidR="00FA34A4" w:rsidRPr="00D11AD1">
        <w:rPr>
          <w:szCs w:val="24"/>
        </w:rPr>
        <w:t xml:space="preserve"> %</w:t>
      </w:r>
      <w:r w:rsidRPr="00D11AD1">
        <w:rPr>
          <w:szCs w:val="24"/>
        </w:rPr>
        <w:t xml:space="preserve"> opnåede MMR, og 50</w:t>
      </w:r>
      <w:r w:rsidR="00FA34A4" w:rsidRPr="00D11AD1">
        <w:rPr>
          <w:szCs w:val="24"/>
        </w:rPr>
        <w:t xml:space="preserve"> %</w:t>
      </w:r>
      <w:r w:rsidRPr="00D11AD1">
        <w:rPr>
          <w:szCs w:val="24"/>
        </w:rPr>
        <w:t xml:space="preserve"> opnåede MR4.5 på trods af afbrydelser i behandlingen eller dosisjusteringer.</w:t>
      </w:r>
    </w:p>
    <w:p w14:paraId="2D7F7D4A" w14:textId="00353F9E" w:rsidR="00F95061" w:rsidRPr="00D11AD1" w:rsidRDefault="00F95061" w:rsidP="00F95061">
      <w:pPr>
        <w:pStyle w:val="Sidehoved"/>
        <w:tabs>
          <w:tab w:val="left" w:pos="851"/>
        </w:tabs>
        <w:ind w:left="851"/>
        <w:rPr>
          <w:szCs w:val="24"/>
        </w:rPr>
      </w:pPr>
      <w:r w:rsidRPr="00D11AD1">
        <w:rPr>
          <w:szCs w:val="24"/>
        </w:rPr>
        <w:t>Se pkt. 4.4 for yderligere oplysninger om patienter med CML i kronisk fase og CML i fremskreden</w:t>
      </w:r>
      <w:r w:rsidR="00E26F67" w:rsidRPr="00D11AD1">
        <w:rPr>
          <w:szCs w:val="24"/>
        </w:rPr>
        <w:t xml:space="preserve"> </w:t>
      </w:r>
      <w:r w:rsidRPr="00D11AD1">
        <w:rPr>
          <w:szCs w:val="24"/>
        </w:rPr>
        <w:t>fase eller Ph+ ALL.</w:t>
      </w:r>
    </w:p>
    <w:p w14:paraId="0EF63CCE" w14:textId="183B822A" w:rsidR="00F95061" w:rsidRDefault="008B67F0" w:rsidP="00F95061">
      <w:pPr>
        <w:pStyle w:val="Sidehoved"/>
        <w:tabs>
          <w:tab w:val="left" w:pos="851"/>
        </w:tabs>
        <w:ind w:left="851"/>
        <w:rPr>
          <w:szCs w:val="24"/>
        </w:rPr>
      </w:pPr>
      <w:r w:rsidRPr="00D11AD1">
        <w:rPr>
          <w:szCs w:val="24"/>
        </w:rPr>
        <w:t>Tilfælde af chylothorax er blevet rapporteret hos patienter med pleuraeffusion. Nogle tilfælde af chylothorax forsvandt ved seponering, afbrydelse eller dosisreduktion med dasatinib, men de fleste tilfælde krævede også yderligere behandling.</w:t>
      </w:r>
    </w:p>
    <w:p w14:paraId="3DFD4180" w14:textId="77777777" w:rsidR="008B67F0" w:rsidRPr="00D11AD1" w:rsidRDefault="008B67F0" w:rsidP="00F95061">
      <w:pPr>
        <w:pStyle w:val="Sidehoved"/>
        <w:tabs>
          <w:tab w:val="left" w:pos="851"/>
        </w:tabs>
        <w:ind w:left="851"/>
        <w:rPr>
          <w:szCs w:val="24"/>
        </w:rPr>
      </w:pPr>
    </w:p>
    <w:p w14:paraId="178751CD"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Pulmonal arteriel hypertension (PAH)</w:t>
      </w:r>
    </w:p>
    <w:p w14:paraId="3D59EA55" w14:textId="77777777" w:rsidR="00F95061" w:rsidRPr="00D11AD1" w:rsidRDefault="00F95061" w:rsidP="00F95061">
      <w:pPr>
        <w:pStyle w:val="Sidehoved"/>
        <w:tabs>
          <w:tab w:val="left" w:pos="851"/>
        </w:tabs>
        <w:ind w:left="851"/>
        <w:rPr>
          <w:szCs w:val="24"/>
        </w:rPr>
      </w:pPr>
      <w:r w:rsidRPr="00D11AD1">
        <w:rPr>
          <w:szCs w:val="24"/>
        </w:rPr>
        <w:t>PAH (præ-kapillær pulmonal arteriel hypertension diagnosticeret med højresidig hjertekateterisation) er blevet rapporteret i forbindelse med dasatinib behandling. I disse tilfælde blev PAH rapporteret efter initiering af dasatinib behandling, herunder efter mere end et års behandling. Patienter, der rapporterede PAH under dasatinib behandling, tog ofte andre lægemidler eller havde komorbiditet i tillæg til den underliggende malignitet. Hos nogle patienter med PAH blev der observeret bedring af de hæmodynamiske og kliniske parametre efter ophør af dasatinib behandling.</w:t>
      </w:r>
    </w:p>
    <w:p w14:paraId="3D7F95F2" w14:textId="77777777" w:rsidR="00F95061" w:rsidRPr="00D11AD1" w:rsidRDefault="00F95061" w:rsidP="00F95061">
      <w:pPr>
        <w:pStyle w:val="Sidehoved"/>
        <w:tabs>
          <w:tab w:val="left" w:pos="851"/>
        </w:tabs>
        <w:ind w:left="851"/>
        <w:rPr>
          <w:szCs w:val="24"/>
        </w:rPr>
      </w:pPr>
    </w:p>
    <w:p w14:paraId="62A8414D"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QT-forlængelse</w:t>
      </w:r>
    </w:p>
    <w:p w14:paraId="6BDDFF63" w14:textId="348AE0EB" w:rsidR="00F95061" w:rsidRPr="00D11AD1" w:rsidRDefault="00F95061" w:rsidP="00F95061">
      <w:pPr>
        <w:pStyle w:val="Sidehoved"/>
        <w:tabs>
          <w:tab w:val="left" w:pos="851"/>
        </w:tabs>
        <w:ind w:left="851"/>
        <w:rPr>
          <w:szCs w:val="24"/>
        </w:rPr>
      </w:pPr>
      <w:r w:rsidRPr="00D11AD1">
        <w:rPr>
          <w:szCs w:val="24"/>
        </w:rPr>
        <w:t>I fase III-studiet med patienter med nyligt diagnosticeret CML i kronisk fase havde 1 patient (&lt; 1</w:t>
      </w:r>
      <w:r w:rsidR="00FA34A4" w:rsidRPr="00D11AD1">
        <w:rPr>
          <w:szCs w:val="24"/>
        </w:rPr>
        <w:t xml:space="preserve"> %</w:t>
      </w:r>
      <w:r w:rsidRPr="00D11AD1">
        <w:rPr>
          <w:szCs w:val="24"/>
        </w:rPr>
        <w:t>) af de patienter, der blev behandlet med dasatinib, QTcF &gt; 500 msek. efter mindst 12 måneders opfølgning (se pkt. 4.4). Efter mindst 60 måneders opfølgning blev der ikke rapporteret om yderligere patienter med QTcF &gt; 500 msek.</w:t>
      </w:r>
    </w:p>
    <w:p w14:paraId="3E9B5FB1" w14:textId="0D20F929" w:rsidR="00F95061" w:rsidRPr="00D11AD1" w:rsidRDefault="00F95061" w:rsidP="00F95061">
      <w:pPr>
        <w:pStyle w:val="Sidehoved"/>
        <w:tabs>
          <w:tab w:val="left" w:pos="851"/>
        </w:tabs>
        <w:ind w:left="851"/>
        <w:rPr>
          <w:szCs w:val="24"/>
        </w:rPr>
      </w:pPr>
      <w:r w:rsidRPr="00D11AD1">
        <w:rPr>
          <w:szCs w:val="24"/>
        </w:rPr>
        <w:t xml:space="preserve">I 5 fase II kliniske studier med patienter med resistens eller intolerans over for tidligere behandling med imatinib blev der taget gentagen ekg ved </w:t>
      </w:r>
      <w:r w:rsidRPr="00D11AD1">
        <w:rPr>
          <w:i/>
          <w:iCs/>
          <w:szCs w:val="24"/>
        </w:rPr>
        <w:t xml:space="preserve">baseline </w:t>
      </w:r>
      <w:r w:rsidRPr="00D11AD1">
        <w:rPr>
          <w:szCs w:val="24"/>
        </w:rPr>
        <w:t>samt under studiet på præspecificerede tidspunkter på 865 patienter, der fik dasatinib</w:t>
      </w:r>
      <w:r w:rsidR="00624299" w:rsidRPr="00D11AD1">
        <w:rPr>
          <w:szCs w:val="24"/>
        </w:rPr>
        <w:t xml:space="preserve"> </w:t>
      </w:r>
      <w:r w:rsidRPr="00D11AD1">
        <w:rPr>
          <w:szCs w:val="24"/>
        </w:rPr>
        <w:t xml:space="preserve">70 mg to gange </w:t>
      </w:r>
      <w:r w:rsidR="00A95304" w:rsidRPr="00D11AD1">
        <w:rPr>
          <w:szCs w:val="24"/>
        </w:rPr>
        <w:t>daglig</w:t>
      </w:r>
      <w:r w:rsidRPr="00D11AD1">
        <w:rPr>
          <w:szCs w:val="24"/>
        </w:rPr>
        <w:t>. Ekg blev aflæst centralt. Q</w:t>
      </w:r>
      <w:r w:rsidR="006D3BCA" w:rsidRPr="00D11AD1">
        <w:rPr>
          <w:szCs w:val="24"/>
        </w:rPr>
        <w:t>T-</w:t>
      </w:r>
      <w:r w:rsidRPr="00D11AD1">
        <w:rPr>
          <w:szCs w:val="24"/>
        </w:rPr>
        <w:t xml:space="preserve">intervallet korrigeredes for hjertefrekvens ved Fridericias metode. Ved alle post-dosis tidspunkter på dag 8 var medianændringerne fra </w:t>
      </w:r>
      <w:r w:rsidRPr="00D11AD1">
        <w:rPr>
          <w:i/>
          <w:iCs/>
          <w:szCs w:val="24"/>
        </w:rPr>
        <w:t xml:space="preserve">baseline </w:t>
      </w:r>
      <w:r w:rsidRPr="00D11AD1">
        <w:rPr>
          <w:szCs w:val="24"/>
        </w:rPr>
        <w:t>i QTcF-intervaller 4-6 msek., med tilhørende øvre 95</w:t>
      </w:r>
      <w:r w:rsidR="00FA34A4" w:rsidRPr="00D11AD1">
        <w:rPr>
          <w:szCs w:val="24"/>
        </w:rPr>
        <w:t xml:space="preserve"> %</w:t>
      </w:r>
      <w:r w:rsidRPr="00D11AD1">
        <w:rPr>
          <w:szCs w:val="24"/>
        </w:rPr>
        <w:t xml:space="preserve"> konfidensintervaller &lt; 7 msek. Blandt de 2.182 patienter med resistens eller intolerans over for tidligere imatinib behandling, som fik dasatinib</w:t>
      </w:r>
      <w:r w:rsidR="006D3BCA" w:rsidRPr="00D11AD1">
        <w:rPr>
          <w:szCs w:val="24"/>
        </w:rPr>
        <w:t xml:space="preserve"> </w:t>
      </w:r>
      <w:r w:rsidRPr="00D11AD1">
        <w:rPr>
          <w:szCs w:val="24"/>
        </w:rPr>
        <w:t>i kliniske studier, blev QTc-forlængelse indberettet som bivirkning hos 15 (1</w:t>
      </w:r>
      <w:r w:rsidR="00FA34A4" w:rsidRPr="00D11AD1">
        <w:rPr>
          <w:szCs w:val="24"/>
        </w:rPr>
        <w:t xml:space="preserve"> %</w:t>
      </w:r>
      <w:r w:rsidRPr="00D11AD1">
        <w:rPr>
          <w:szCs w:val="24"/>
        </w:rPr>
        <w:t>) patienter. 21 patienter (1</w:t>
      </w:r>
      <w:r w:rsidR="00FA34A4" w:rsidRPr="00D11AD1">
        <w:rPr>
          <w:szCs w:val="24"/>
        </w:rPr>
        <w:t xml:space="preserve"> %</w:t>
      </w:r>
      <w:r w:rsidRPr="00D11AD1">
        <w:rPr>
          <w:szCs w:val="24"/>
        </w:rPr>
        <w:t xml:space="preserve">) havde QTcF &gt; 500 msek. (se pkt. 4.4). </w:t>
      </w:r>
    </w:p>
    <w:p w14:paraId="69B2E456" w14:textId="77777777" w:rsidR="00F95061" w:rsidRPr="00D11AD1" w:rsidRDefault="00F95061" w:rsidP="00F95061">
      <w:pPr>
        <w:pStyle w:val="Sidehoved"/>
        <w:tabs>
          <w:tab w:val="left" w:pos="851"/>
        </w:tabs>
        <w:ind w:left="851"/>
        <w:rPr>
          <w:szCs w:val="24"/>
        </w:rPr>
      </w:pPr>
    </w:p>
    <w:p w14:paraId="0EEEABAF"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Hjertebivirkninger</w:t>
      </w:r>
    </w:p>
    <w:p w14:paraId="753D1663" w14:textId="77777777" w:rsidR="00F95061" w:rsidRPr="00D11AD1" w:rsidRDefault="00F95061" w:rsidP="00F95061">
      <w:pPr>
        <w:pStyle w:val="Sidehoved"/>
        <w:tabs>
          <w:tab w:val="left" w:pos="851"/>
        </w:tabs>
        <w:ind w:left="851"/>
        <w:rPr>
          <w:szCs w:val="24"/>
        </w:rPr>
      </w:pPr>
      <w:r w:rsidRPr="00D11AD1">
        <w:rPr>
          <w:szCs w:val="24"/>
        </w:rPr>
        <w:t>Patienter med risikofaktorer eller med hjertesygdom i anamnesen bør monitoreres omhyggeligt for kliniske tegn eller symptomer på nedsat hjertefunktion og bør vurderes og behandles på behørig vis (se pkt. 4.4).</w:t>
      </w:r>
    </w:p>
    <w:p w14:paraId="4390CE8C" w14:textId="77777777" w:rsidR="00F95061" w:rsidRPr="00D11AD1" w:rsidRDefault="00F95061" w:rsidP="00F95061">
      <w:pPr>
        <w:pStyle w:val="Sidehoved"/>
        <w:tabs>
          <w:tab w:val="left" w:pos="851"/>
        </w:tabs>
        <w:ind w:left="851"/>
        <w:rPr>
          <w:i/>
          <w:iCs/>
          <w:szCs w:val="24"/>
          <w:u w:val="single"/>
        </w:rPr>
      </w:pPr>
    </w:p>
    <w:p w14:paraId="2550B0FF" w14:textId="77777777" w:rsidR="00F95061" w:rsidRPr="00D11AD1" w:rsidRDefault="00F95061" w:rsidP="00F95061">
      <w:pPr>
        <w:pStyle w:val="Sidehoved"/>
        <w:tabs>
          <w:tab w:val="left" w:pos="851"/>
        </w:tabs>
        <w:ind w:left="851"/>
        <w:rPr>
          <w:i/>
          <w:iCs/>
          <w:szCs w:val="24"/>
          <w:u w:val="single"/>
        </w:rPr>
      </w:pPr>
      <w:r w:rsidRPr="00D11AD1">
        <w:rPr>
          <w:i/>
          <w:iCs/>
          <w:szCs w:val="24"/>
          <w:u w:val="single"/>
        </w:rPr>
        <w:t>Reaktivering af hepatitis B</w:t>
      </w:r>
    </w:p>
    <w:p w14:paraId="23A2DBD6" w14:textId="77777777" w:rsidR="00F95061" w:rsidRPr="00D11AD1" w:rsidRDefault="00F95061" w:rsidP="00F95061">
      <w:pPr>
        <w:pStyle w:val="Sidehoved"/>
        <w:tabs>
          <w:tab w:val="left" w:pos="851"/>
        </w:tabs>
        <w:ind w:left="851"/>
        <w:rPr>
          <w:szCs w:val="24"/>
        </w:rPr>
      </w:pPr>
      <w:r w:rsidRPr="00D11AD1">
        <w:rPr>
          <w:szCs w:val="24"/>
        </w:rPr>
        <w:t>Reaktivering af hepatitis B er beskrevet i forbindelse med behandling med BCR-ABLtyrosinkinasehæmmere. I nogle tilfælde har dette medført akut leversvigt eller fulminant hepatitis, førende til levertransplantation eller død (se pkt. 4.4).</w:t>
      </w:r>
    </w:p>
    <w:p w14:paraId="39D8793C" w14:textId="77777777" w:rsidR="00F95061" w:rsidRPr="00D11AD1" w:rsidRDefault="00F95061" w:rsidP="00F95061">
      <w:pPr>
        <w:pStyle w:val="Sidehoved"/>
        <w:tabs>
          <w:tab w:val="left" w:pos="851"/>
        </w:tabs>
        <w:ind w:left="851"/>
        <w:rPr>
          <w:szCs w:val="24"/>
        </w:rPr>
      </w:pPr>
    </w:p>
    <w:p w14:paraId="40AFBA21" w14:textId="1090D0F7" w:rsidR="00F95061" w:rsidRPr="00D11AD1" w:rsidRDefault="00F95061" w:rsidP="00F95061">
      <w:pPr>
        <w:pStyle w:val="Sidehoved"/>
        <w:tabs>
          <w:tab w:val="left" w:pos="851"/>
        </w:tabs>
        <w:ind w:left="851"/>
        <w:rPr>
          <w:szCs w:val="24"/>
        </w:rPr>
      </w:pPr>
      <w:r w:rsidRPr="00D11AD1">
        <w:rPr>
          <w:szCs w:val="24"/>
        </w:rPr>
        <w:t xml:space="preserve">Forekomsten af pleuraeffusion og kongestivt hjertesvigt/hjerteinsufficiens var lavere blandt de patienter, der blev behandlet med dasatinib100 mg </w:t>
      </w:r>
      <w:r w:rsidR="00A95304" w:rsidRPr="00D11AD1">
        <w:rPr>
          <w:szCs w:val="24"/>
        </w:rPr>
        <w:t>en</w:t>
      </w:r>
      <w:r w:rsidRPr="00D11AD1">
        <w:rPr>
          <w:szCs w:val="24"/>
        </w:rPr>
        <w:t xml:space="preserve"> gang </w:t>
      </w:r>
      <w:r w:rsidR="00A95304" w:rsidRPr="00D11AD1">
        <w:rPr>
          <w:szCs w:val="24"/>
        </w:rPr>
        <w:t>daglig</w:t>
      </w:r>
      <w:r w:rsidRPr="00D11AD1">
        <w:rPr>
          <w:szCs w:val="24"/>
        </w:rPr>
        <w:t xml:space="preserve">, end blandt de patienter, der blev behandlet med dasatinib70 mg 2 gange </w:t>
      </w:r>
      <w:r w:rsidR="00A95304" w:rsidRPr="00D11AD1">
        <w:rPr>
          <w:szCs w:val="24"/>
        </w:rPr>
        <w:t>daglig</w:t>
      </w:r>
      <w:r w:rsidRPr="00D11AD1">
        <w:rPr>
          <w:szCs w:val="24"/>
        </w:rPr>
        <w:t xml:space="preserve"> i fase III-studiet vedrørende dosisoptimering hos patienter med CML i kronisk fase og med resistens eller intolerans over for tidligere behandling med imatinib</w:t>
      </w:r>
      <w:r w:rsidR="00481015">
        <w:rPr>
          <w:szCs w:val="24"/>
        </w:rPr>
        <w:t xml:space="preserve"> </w:t>
      </w:r>
      <w:r w:rsidRPr="00D11AD1">
        <w:rPr>
          <w:szCs w:val="24"/>
        </w:rPr>
        <w:t>(medianbehandlings</w:t>
      </w:r>
      <w:r w:rsidR="00481015">
        <w:rPr>
          <w:szCs w:val="24"/>
        </w:rPr>
        <w:softHyphen/>
      </w:r>
      <w:r w:rsidRPr="00D11AD1">
        <w:rPr>
          <w:szCs w:val="24"/>
        </w:rPr>
        <w:t xml:space="preserve">varigheden var 30 måneder). Myelosuppression sås også mindre hyppigt i behandlingsgruppen med 100 mg </w:t>
      </w:r>
      <w:r w:rsidR="00A95304" w:rsidRPr="00D11AD1">
        <w:rPr>
          <w:szCs w:val="24"/>
        </w:rPr>
        <w:t>en</w:t>
      </w:r>
      <w:r w:rsidRPr="00D11AD1">
        <w:rPr>
          <w:szCs w:val="24"/>
        </w:rPr>
        <w:t xml:space="preserve"> gang </w:t>
      </w:r>
      <w:r w:rsidR="00A95304" w:rsidRPr="00D11AD1">
        <w:rPr>
          <w:szCs w:val="24"/>
        </w:rPr>
        <w:t>daglig</w:t>
      </w:r>
      <w:r w:rsidRPr="00D11AD1">
        <w:rPr>
          <w:szCs w:val="24"/>
        </w:rPr>
        <w:t xml:space="preserve"> (se nedenstående: Afvigelser i laboratorieundersøgelser). Den mediane behandlingsvarighed i behandlingsgruppen med 100 mg </w:t>
      </w:r>
      <w:r w:rsidR="00A95304" w:rsidRPr="00D11AD1">
        <w:rPr>
          <w:szCs w:val="24"/>
        </w:rPr>
        <w:t>en</w:t>
      </w:r>
      <w:r w:rsidRPr="00D11AD1">
        <w:rPr>
          <w:szCs w:val="24"/>
        </w:rPr>
        <w:t xml:space="preserve"> gang </w:t>
      </w:r>
      <w:r w:rsidR="00A95304" w:rsidRPr="00D11AD1">
        <w:rPr>
          <w:szCs w:val="24"/>
        </w:rPr>
        <w:t>daglig</w:t>
      </w:r>
      <w:r w:rsidRPr="00D11AD1">
        <w:rPr>
          <w:szCs w:val="24"/>
        </w:rPr>
        <w:t xml:space="preserve"> var 37 måneder (1-91 måneder). Den kumulative rate for udvalgte bivirkninger, som blev rapporteret ved den anbefalede startdosis på 100 mg 1 gang </w:t>
      </w:r>
      <w:r w:rsidR="00A95304" w:rsidRPr="00D11AD1">
        <w:rPr>
          <w:szCs w:val="24"/>
        </w:rPr>
        <w:t>daglig</w:t>
      </w:r>
      <w:r w:rsidRPr="00D11AD1">
        <w:rPr>
          <w:szCs w:val="24"/>
        </w:rPr>
        <w:t>, er vist i Tabel 6a.</w:t>
      </w:r>
    </w:p>
    <w:p w14:paraId="30845AD5" w14:textId="77777777" w:rsidR="0077425C" w:rsidRPr="00D11AD1" w:rsidRDefault="0077425C" w:rsidP="009260DE">
      <w:pPr>
        <w:pStyle w:val="Sidehoved"/>
        <w:tabs>
          <w:tab w:val="left" w:pos="851"/>
        </w:tabs>
        <w:ind w:left="851"/>
        <w:rPr>
          <w:szCs w:val="24"/>
        </w:rPr>
      </w:pPr>
    </w:p>
    <w:p w14:paraId="609D64DC" w14:textId="1EAD5BAA" w:rsidR="0079313E" w:rsidRPr="00D11AD1" w:rsidRDefault="0079313E" w:rsidP="0079313E">
      <w:pPr>
        <w:pStyle w:val="Sidehoved"/>
        <w:tabs>
          <w:tab w:val="left" w:pos="851"/>
        </w:tabs>
        <w:ind w:left="851"/>
        <w:rPr>
          <w:b/>
          <w:bCs/>
          <w:szCs w:val="24"/>
        </w:rPr>
      </w:pPr>
      <w:r w:rsidRPr="00D11AD1">
        <w:rPr>
          <w:b/>
          <w:szCs w:val="24"/>
        </w:rPr>
        <w:t xml:space="preserve">Tabel 6a: </w:t>
      </w:r>
      <w:r w:rsidRPr="00D11AD1">
        <w:rPr>
          <w:b/>
          <w:bCs/>
          <w:szCs w:val="24"/>
        </w:rPr>
        <w:t>Udvalgte bivirkninger, der blev indberettet i et fase 3-dosisoptimerings</w:t>
      </w:r>
      <w:r w:rsidR="00481015">
        <w:rPr>
          <w:b/>
          <w:bCs/>
          <w:szCs w:val="24"/>
        </w:rPr>
        <w:softHyphen/>
      </w:r>
      <w:r w:rsidRPr="00D11AD1">
        <w:rPr>
          <w:b/>
          <w:bCs/>
          <w:szCs w:val="24"/>
        </w:rPr>
        <w:t>studie (imatinib-intolerant eller -resistent CML i kronisk fase)</w:t>
      </w:r>
      <w:r w:rsidRPr="00D11AD1">
        <w:rPr>
          <w:b/>
          <w:szCs w:val="24"/>
          <w:vertAlign w:val="superscript"/>
        </w:rPr>
        <w:t>a</w:t>
      </w:r>
    </w:p>
    <w:p w14:paraId="113330B4" w14:textId="77777777" w:rsidR="00A95304" w:rsidRPr="00D11AD1" w:rsidRDefault="00A95304" w:rsidP="009260DE">
      <w:pPr>
        <w:pStyle w:val="Sidehoved"/>
        <w:tabs>
          <w:tab w:val="left" w:pos="851"/>
        </w:tabs>
        <w:ind w:left="851"/>
        <w:rPr>
          <w:szCs w:val="24"/>
        </w:rPr>
      </w:pPr>
    </w:p>
    <w:tbl>
      <w:tblPr>
        <w:tblStyle w:val="TableNormal1"/>
        <w:tblW w:w="5000" w:type="pct"/>
        <w:tblLook w:val="01E0" w:firstRow="1" w:lastRow="1" w:firstColumn="1" w:lastColumn="1" w:noHBand="0" w:noVBand="0"/>
      </w:tblPr>
      <w:tblGrid>
        <w:gridCol w:w="2539"/>
        <w:gridCol w:w="950"/>
        <w:gridCol w:w="1448"/>
        <w:gridCol w:w="758"/>
        <w:gridCol w:w="513"/>
        <w:gridCol w:w="243"/>
        <w:gridCol w:w="782"/>
        <w:gridCol w:w="984"/>
        <w:gridCol w:w="1137"/>
      </w:tblGrid>
      <w:tr w:rsidR="004E27EB" w:rsidRPr="00D11AD1" w14:paraId="0E3778F0" w14:textId="77777777" w:rsidTr="00705D0A">
        <w:trPr>
          <w:trHeight w:val="560"/>
        </w:trPr>
        <w:tc>
          <w:tcPr>
            <w:tcW w:w="1357" w:type="pct"/>
            <w:tcBorders>
              <w:top w:val="single" w:sz="4" w:space="0" w:color="000000"/>
              <w:bottom w:val="single" w:sz="4" w:space="0" w:color="000000"/>
              <w:right w:val="single" w:sz="4" w:space="0" w:color="000000"/>
            </w:tcBorders>
          </w:tcPr>
          <w:p w14:paraId="73E028A1" w14:textId="77777777" w:rsidR="004E27EB" w:rsidRPr="00D11AD1" w:rsidRDefault="004E27EB" w:rsidP="00705D0A">
            <w:pPr>
              <w:pStyle w:val="TableParagraph"/>
              <w:jc w:val="center"/>
              <w:rPr>
                <w:rFonts w:ascii="Times New Roman" w:hAnsi="Times New Roman" w:cs="Times New Roman"/>
                <w:sz w:val="24"/>
                <w:szCs w:val="24"/>
                <w:lang w:val="da-DK"/>
              </w:rPr>
            </w:pPr>
          </w:p>
          <w:p w14:paraId="79838E03" w14:textId="77777777" w:rsidR="004E27EB" w:rsidRPr="00D11AD1" w:rsidRDefault="004E27EB" w:rsidP="00705D0A">
            <w:pPr>
              <w:jc w:val="center"/>
              <w:rPr>
                <w:rFonts w:ascii="Times New Roman" w:hAnsi="Times New Roman" w:cs="Times New Roman"/>
                <w:sz w:val="24"/>
                <w:szCs w:val="24"/>
                <w:lang w:val="da-DK"/>
              </w:rPr>
            </w:pPr>
          </w:p>
        </w:tc>
        <w:tc>
          <w:tcPr>
            <w:tcW w:w="1282" w:type="pct"/>
            <w:gridSpan w:val="2"/>
            <w:tcBorders>
              <w:top w:val="single" w:sz="4" w:space="0" w:color="000000"/>
              <w:left w:val="single" w:sz="4" w:space="0" w:color="000000"/>
              <w:bottom w:val="single" w:sz="4" w:space="0" w:color="000000"/>
              <w:right w:val="single" w:sz="4" w:space="0" w:color="000000"/>
            </w:tcBorders>
          </w:tcPr>
          <w:p w14:paraId="46EC0E16" w14:textId="77777777" w:rsidR="004E27EB" w:rsidRPr="00D11AD1" w:rsidRDefault="004E27EB" w:rsidP="00705D0A">
            <w:pPr>
              <w:pStyle w:val="TableParagraph"/>
              <w:ind w:left="286"/>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Mindst 2 års opfølgning</w:t>
            </w:r>
          </w:p>
        </w:tc>
        <w:tc>
          <w:tcPr>
            <w:tcW w:w="1227" w:type="pct"/>
            <w:gridSpan w:val="4"/>
            <w:tcBorders>
              <w:top w:val="single" w:sz="4" w:space="0" w:color="000000"/>
              <w:left w:val="single" w:sz="4" w:space="0" w:color="000000"/>
              <w:bottom w:val="single" w:sz="4" w:space="0" w:color="000000"/>
              <w:right w:val="single" w:sz="4" w:space="0" w:color="000000"/>
            </w:tcBorders>
          </w:tcPr>
          <w:p w14:paraId="68E54BB7" w14:textId="77777777" w:rsidR="004E27EB" w:rsidRPr="00D11AD1" w:rsidRDefault="004E27EB" w:rsidP="00705D0A">
            <w:pPr>
              <w:pStyle w:val="TableParagraph"/>
              <w:ind w:left="286"/>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Mindst 5 års opfølgning</w:t>
            </w:r>
          </w:p>
        </w:tc>
        <w:tc>
          <w:tcPr>
            <w:tcW w:w="1134" w:type="pct"/>
            <w:gridSpan w:val="2"/>
            <w:tcBorders>
              <w:top w:val="single" w:sz="4" w:space="0" w:color="000000"/>
              <w:left w:val="single" w:sz="4" w:space="0" w:color="000000"/>
              <w:bottom w:val="single" w:sz="4" w:space="0" w:color="000000"/>
            </w:tcBorders>
          </w:tcPr>
          <w:p w14:paraId="3F9690A2" w14:textId="77777777" w:rsidR="004E27EB" w:rsidRPr="00D11AD1" w:rsidRDefault="004E27EB" w:rsidP="00705D0A">
            <w:pPr>
              <w:pStyle w:val="TableParagraph"/>
              <w:ind w:left="286"/>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Mindst 7 års opfølgning</w:t>
            </w:r>
          </w:p>
        </w:tc>
      </w:tr>
      <w:tr w:rsidR="004E27EB" w:rsidRPr="00D11AD1" w14:paraId="30927109" w14:textId="77777777" w:rsidTr="00705D0A">
        <w:trPr>
          <w:trHeight w:val="706"/>
        </w:trPr>
        <w:tc>
          <w:tcPr>
            <w:tcW w:w="1357" w:type="pct"/>
            <w:tcBorders>
              <w:top w:val="single" w:sz="4" w:space="0" w:color="000000"/>
              <w:bottom w:val="single" w:sz="4" w:space="0" w:color="000000"/>
              <w:right w:val="single" w:sz="4" w:space="0" w:color="000000"/>
            </w:tcBorders>
          </w:tcPr>
          <w:p w14:paraId="012739C0" w14:textId="77777777" w:rsidR="004E27EB" w:rsidRPr="00D11AD1" w:rsidRDefault="004E27EB" w:rsidP="00705D0A">
            <w:pPr>
              <w:pStyle w:val="TableParagraph"/>
              <w:rPr>
                <w:rFonts w:ascii="Times New Roman" w:hAnsi="Times New Roman" w:cs="Times New Roman"/>
                <w:sz w:val="24"/>
                <w:szCs w:val="24"/>
                <w:lang w:val="da-DK"/>
              </w:rPr>
            </w:pPr>
          </w:p>
        </w:tc>
        <w:tc>
          <w:tcPr>
            <w:tcW w:w="1282" w:type="pct"/>
            <w:gridSpan w:val="2"/>
            <w:tcBorders>
              <w:top w:val="single" w:sz="4" w:space="0" w:color="000000"/>
              <w:left w:val="single" w:sz="4" w:space="0" w:color="000000"/>
              <w:bottom w:val="single" w:sz="4" w:space="0" w:color="000000"/>
              <w:right w:val="single" w:sz="4" w:space="0" w:color="000000"/>
            </w:tcBorders>
          </w:tcPr>
          <w:p w14:paraId="58DF34D1" w14:textId="77777777" w:rsidR="004E27EB" w:rsidRPr="00D11AD1" w:rsidRDefault="004E27EB" w:rsidP="00705D0A">
            <w:pPr>
              <w:pStyle w:val="TableParagraph"/>
              <w:tabs>
                <w:tab w:val="left" w:pos="1313"/>
              </w:tabs>
              <w:ind w:left="395"/>
              <w:rPr>
                <w:rFonts w:ascii="Times New Roman" w:hAnsi="Times New Roman" w:cs="Times New Roman"/>
                <w:b/>
                <w:sz w:val="24"/>
                <w:szCs w:val="24"/>
                <w:lang w:val="da-DK"/>
              </w:rPr>
            </w:pPr>
            <w:r w:rsidRPr="00D11AD1">
              <w:rPr>
                <w:rFonts w:ascii="Times New Roman" w:hAnsi="Times New Roman" w:cs="Times New Roman"/>
                <w:b/>
                <w:w w:val="105"/>
                <w:sz w:val="24"/>
                <w:szCs w:val="24"/>
                <w:lang w:val="da-DK"/>
              </w:rPr>
              <w:t>Alle</w:t>
            </w:r>
            <w:r w:rsidRPr="00D11AD1">
              <w:rPr>
                <w:rFonts w:ascii="Times New Roman" w:hAnsi="Times New Roman" w:cs="Times New Roman"/>
                <w:b/>
                <w:w w:val="105"/>
                <w:sz w:val="24"/>
                <w:szCs w:val="24"/>
                <w:lang w:val="da-DK"/>
              </w:rPr>
              <w:tab/>
              <w:t>Grad</w:t>
            </w:r>
          </w:p>
          <w:p w14:paraId="05FA2D5E" w14:textId="77777777" w:rsidR="004E27EB" w:rsidRPr="00D11AD1" w:rsidRDefault="004E27EB" w:rsidP="00705D0A">
            <w:pPr>
              <w:pStyle w:val="TableParagraph"/>
              <w:tabs>
                <w:tab w:val="left" w:pos="1462"/>
              </w:tabs>
              <w:ind w:left="234"/>
              <w:rPr>
                <w:rFonts w:ascii="Times New Roman" w:hAnsi="Times New Roman" w:cs="Times New Roman"/>
                <w:b/>
                <w:sz w:val="24"/>
                <w:szCs w:val="24"/>
                <w:lang w:val="da-DK"/>
              </w:rPr>
            </w:pPr>
            <w:r w:rsidRPr="00D11AD1">
              <w:rPr>
                <w:rFonts w:ascii="Times New Roman" w:hAnsi="Times New Roman" w:cs="Times New Roman"/>
                <w:b/>
                <w:w w:val="105"/>
                <w:sz w:val="24"/>
                <w:szCs w:val="24"/>
                <w:lang w:val="da-DK"/>
              </w:rPr>
              <w:t>grader</w:t>
            </w:r>
            <w:r w:rsidRPr="00D11AD1">
              <w:rPr>
                <w:rFonts w:ascii="Times New Roman" w:hAnsi="Times New Roman" w:cs="Times New Roman"/>
                <w:b/>
                <w:w w:val="105"/>
                <w:sz w:val="24"/>
                <w:szCs w:val="24"/>
                <w:lang w:val="da-DK"/>
              </w:rPr>
              <w:tab/>
              <w:t>3/4</w:t>
            </w:r>
          </w:p>
        </w:tc>
        <w:tc>
          <w:tcPr>
            <w:tcW w:w="679" w:type="pct"/>
            <w:gridSpan w:val="2"/>
            <w:tcBorders>
              <w:top w:val="single" w:sz="4" w:space="0" w:color="000000"/>
              <w:left w:val="single" w:sz="4" w:space="0" w:color="000000"/>
              <w:bottom w:val="single" w:sz="4" w:space="0" w:color="000000"/>
            </w:tcBorders>
          </w:tcPr>
          <w:p w14:paraId="69AB1C41" w14:textId="77777777" w:rsidR="004E27EB" w:rsidRPr="00D11AD1" w:rsidRDefault="004E27EB" w:rsidP="00705D0A">
            <w:pPr>
              <w:pStyle w:val="TableParagraph"/>
              <w:ind w:left="236" w:right="295" w:firstLine="159"/>
              <w:rPr>
                <w:rFonts w:ascii="Times New Roman" w:hAnsi="Times New Roman" w:cs="Times New Roman"/>
                <w:b/>
                <w:sz w:val="24"/>
                <w:szCs w:val="24"/>
                <w:lang w:val="da-DK"/>
              </w:rPr>
            </w:pPr>
            <w:r w:rsidRPr="00D11AD1">
              <w:rPr>
                <w:rFonts w:ascii="Times New Roman" w:hAnsi="Times New Roman" w:cs="Times New Roman"/>
                <w:b/>
                <w:w w:val="105"/>
                <w:sz w:val="24"/>
                <w:szCs w:val="24"/>
                <w:lang w:val="da-DK"/>
              </w:rPr>
              <w:t xml:space="preserve">Alle </w:t>
            </w:r>
            <w:r w:rsidRPr="00D11AD1">
              <w:rPr>
                <w:rFonts w:ascii="Times New Roman" w:hAnsi="Times New Roman" w:cs="Times New Roman"/>
                <w:b/>
                <w:sz w:val="24"/>
                <w:szCs w:val="24"/>
                <w:lang w:val="da-DK"/>
              </w:rPr>
              <w:t>grader</w:t>
            </w:r>
          </w:p>
        </w:tc>
        <w:tc>
          <w:tcPr>
            <w:tcW w:w="548" w:type="pct"/>
            <w:gridSpan w:val="2"/>
            <w:tcBorders>
              <w:top w:val="single" w:sz="4" w:space="0" w:color="000000"/>
              <w:bottom w:val="single" w:sz="4" w:space="0" w:color="000000"/>
              <w:right w:val="single" w:sz="4" w:space="0" w:color="000000"/>
            </w:tcBorders>
          </w:tcPr>
          <w:p w14:paraId="6467D0CA" w14:textId="77777777" w:rsidR="004E27EB" w:rsidRPr="00D11AD1" w:rsidRDefault="004E27EB" w:rsidP="00705D0A">
            <w:pPr>
              <w:pStyle w:val="TableParagraph"/>
              <w:ind w:left="344" w:right="18" w:hanging="149"/>
              <w:rPr>
                <w:rFonts w:ascii="Times New Roman" w:hAnsi="Times New Roman" w:cs="Times New Roman"/>
                <w:b/>
                <w:sz w:val="24"/>
                <w:szCs w:val="24"/>
                <w:lang w:val="da-DK"/>
              </w:rPr>
            </w:pPr>
            <w:r w:rsidRPr="00D11AD1">
              <w:rPr>
                <w:rFonts w:ascii="Times New Roman" w:hAnsi="Times New Roman" w:cs="Times New Roman"/>
                <w:b/>
                <w:sz w:val="24"/>
                <w:szCs w:val="24"/>
                <w:lang w:val="da-DK"/>
              </w:rPr>
              <w:t xml:space="preserve">Grad </w:t>
            </w:r>
            <w:r w:rsidRPr="00D11AD1">
              <w:rPr>
                <w:rFonts w:ascii="Times New Roman" w:hAnsi="Times New Roman" w:cs="Times New Roman"/>
                <w:b/>
                <w:w w:val="105"/>
                <w:sz w:val="24"/>
                <w:szCs w:val="24"/>
                <w:lang w:val="da-DK"/>
              </w:rPr>
              <w:t>3/4</w:t>
            </w:r>
          </w:p>
        </w:tc>
        <w:tc>
          <w:tcPr>
            <w:tcW w:w="1134" w:type="pct"/>
            <w:gridSpan w:val="2"/>
            <w:tcBorders>
              <w:top w:val="single" w:sz="4" w:space="0" w:color="000000"/>
              <w:left w:val="single" w:sz="4" w:space="0" w:color="000000"/>
              <w:bottom w:val="single" w:sz="4" w:space="0" w:color="000000"/>
            </w:tcBorders>
          </w:tcPr>
          <w:p w14:paraId="7DC1B3CA" w14:textId="77777777" w:rsidR="004E27EB" w:rsidRPr="00D11AD1" w:rsidRDefault="004E27EB" w:rsidP="00705D0A">
            <w:pPr>
              <w:pStyle w:val="TableParagraph"/>
              <w:tabs>
                <w:tab w:val="left" w:pos="1313"/>
              </w:tabs>
              <w:ind w:left="395"/>
              <w:rPr>
                <w:rFonts w:ascii="Times New Roman" w:hAnsi="Times New Roman" w:cs="Times New Roman"/>
                <w:b/>
                <w:sz w:val="24"/>
                <w:szCs w:val="24"/>
                <w:lang w:val="da-DK"/>
              </w:rPr>
            </w:pPr>
            <w:r w:rsidRPr="00D11AD1">
              <w:rPr>
                <w:rFonts w:ascii="Times New Roman" w:hAnsi="Times New Roman" w:cs="Times New Roman"/>
                <w:b/>
                <w:w w:val="105"/>
                <w:sz w:val="24"/>
                <w:szCs w:val="24"/>
                <w:lang w:val="da-DK"/>
              </w:rPr>
              <w:t>Alle</w:t>
            </w:r>
            <w:r w:rsidRPr="00D11AD1">
              <w:rPr>
                <w:rFonts w:ascii="Times New Roman" w:hAnsi="Times New Roman" w:cs="Times New Roman"/>
                <w:b/>
                <w:w w:val="105"/>
                <w:sz w:val="24"/>
                <w:szCs w:val="24"/>
                <w:lang w:val="da-DK"/>
              </w:rPr>
              <w:tab/>
              <w:t>Grad</w:t>
            </w:r>
          </w:p>
          <w:p w14:paraId="0B1B477E" w14:textId="77777777" w:rsidR="004E27EB" w:rsidRPr="00D11AD1" w:rsidRDefault="004E27EB" w:rsidP="00705D0A">
            <w:pPr>
              <w:pStyle w:val="TableParagraph"/>
              <w:tabs>
                <w:tab w:val="left" w:pos="1461"/>
              </w:tabs>
              <w:ind w:left="235"/>
              <w:rPr>
                <w:rFonts w:ascii="Times New Roman" w:hAnsi="Times New Roman" w:cs="Times New Roman"/>
                <w:b/>
                <w:sz w:val="24"/>
                <w:szCs w:val="24"/>
                <w:lang w:val="da-DK"/>
              </w:rPr>
            </w:pPr>
            <w:r w:rsidRPr="00D11AD1">
              <w:rPr>
                <w:rFonts w:ascii="Times New Roman" w:hAnsi="Times New Roman" w:cs="Times New Roman"/>
                <w:b/>
                <w:w w:val="105"/>
                <w:sz w:val="24"/>
                <w:szCs w:val="24"/>
                <w:lang w:val="da-DK"/>
              </w:rPr>
              <w:t>grader</w:t>
            </w:r>
            <w:r w:rsidRPr="00D11AD1">
              <w:rPr>
                <w:rFonts w:ascii="Times New Roman" w:hAnsi="Times New Roman" w:cs="Times New Roman"/>
                <w:b/>
                <w:w w:val="105"/>
                <w:sz w:val="24"/>
                <w:szCs w:val="24"/>
                <w:lang w:val="da-DK"/>
              </w:rPr>
              <w:tab/>
              <w:t>3/4</w:t>
            </w:r>
          </w:p>
        </w:tc>
      </w:tr>
      <w:tr w:rsidR="004E27EB" w:rsidRPr="00D11AD1" w14:paraId="0F06E14D" w14:textId="77777777" w:rsidTr="00705D0A">
        <w:trPr>
          <w:trHeight w:val="220"/>
        </w:trPr>
        <w:tc>
          <w:tcPr>
            <w:tcW w:w="1357" w:type="pct"/>
            <w:tcBorders>
              <w:top w:val="single" w:sz="4" w:space="0" w:color="000000"/>
              <w:bottom w:val="single" w:sz="4" w:space="0" w:color="000000"/>
              <w:right w:val="single" w:sz="4" w:space="0" w:color="000000"/>
            </w:tcBorders>
          </w:tcPr>
          <w:p w14:paraId="7D072BF3" w14:textId="77777777" w:rsidR="004E27EB" w:rsidRPr="00D11AD1" w:rsidRDefault="004E27EB" w:rsidP="00705D0A">
            <w:pPr>
              <w:pStyle w:val="TableParagraph"/>
              <w:ind w:left="115"/>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Foretrukken term</w:t>
            </w:r>
          </w:p>
        </w:tc>
        <w:tc>
          <w:tcPr>
            <w:tcW w:w="1687" w:type="pct"/>
            <w:gridSpan w:val="3"/>
            <w:tcBorders>
              <w:top w:val="single" w:sz="4" w:space="0" w:color="000000"/>
              <w:left w:val="single" w:sz="4" w:space="0" w:color="000000"/>
              <w:bottom w:val="single" w:sz="4" w:space="0" w:color="000000"/>
            </w:tcBorders>
          </w:tcPr>
          <w:p w14:paraId="172E06A3" w14:textId="4E156ACF" w:rsidR="004E27EB" w:rsidRPr="00D11AD1" w:rsidRDefault="004E27EB" w:rsidP="00705D0A">
            <w:pPr>
              <w:pStyle w:val="TableParagraph"/>
              <w:ind w:right="23"/>
              <w:jc w:val="center"/>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Procentdel (</w:t>
            </w:r>
            <w:r w:rsidR="00FA34A4" w:rsidRPr="00D11AD1">
              <w:rPr>
                <w:rFonts w:ascii="Times New Roman" w:eastAsia="TimesNewRomanPSMT" w:hAnsi="Times New Roman" w:cs="Times New Roman"/>
                <w:sz w:val="24"/>
                <w:szCs w:val="24"/>
                <w:lang w:val="da-DK"/>
              </w:rPr>
              <w:t>%</w:t>
            </w:r>
            <w:r w:rsidRPr="00D11AD1">
              <w:rPr>
                <w:rFonts w:ascii="Times New Roman" w:eastAsia="TimesNewRomanPSMT" w:hAnsi="Times New Roman" w:cs="Times New Roman"/>
                <w:sz w:val="24"/>
                <w:szCs w:val="24"/>
                <w:lang w:val="da-DK"/>
              </w:rPr>
              <w:t>) af patienter</w:t>
            </w:r>
          </w:p>
        </w:tc>
        <w:tc>
          <w:tcPr>
            <w:tcW w:w="273" w:type="pct"/>
            <w:tcBorders>
              <w:top w:val="single" w:sz="4" w:space="0" w:color="000000"/>
              <w:bottom w:val="single" w:sz="4" w:space="0" w:color="000000"/>
            </w:tcBorders>
          </w:tcPr>
          <w:p w14:paraId="5BC14A58" w14:textId="77777777" w:rsidR="004E27EB" w:rsidRPr="00D11AD1" w:rsidRDefault="004E27EB" w:rsidP="00705D0A">
            <w:pPr>
              <w:pStyle w:val="TableParagraph"/>
              <w:jc w:val="center"/>
              <w:rPr>
                <w:rFonts w:ascii="Times New Roman" w:hAnsi="Times New Roman" w:cs="Times New Roman"/>
                <w:sz w:val="24"/>
                <w:szCs w:val="24"/>
                <w:lang w:val="da-DK"/>
              </w:rPr>
            </w:pPr>
          </w:p>
        </w:tc>
        <w:tc>
          <w:tcPr>
            <w:tcW w:w="130" w:type="pct"/>
            <w:tcBorders>
              <w:top w:val="single" w:sz="4" w:space="0" w:color="000000"/>
              <w:bottom w:val="single" w:sz="4" w:space="0" w:color="000000"/>
            </w:tcBorders>
          </w:tcPr>
          <w:p w14:paraId="214DF57A" w14:textId="77777777" w:rsidR="004E27EB" w:rsidRPr="00D11AD1" w:rsidRDefault="004E27EB" w:rsidP="00705D0A">
            <w:pPr>
              <w:pStyle w:val="TableParagraph"/>
              <w:rPr>
                <w:rFonts w:ascii="Times New Roman" w:hAnsi="Times New Roman" w:cs="Times New Roman"/>
                <w:sz w:val="24"/>
                <w:szCs w:val="24"/>
                <w:lang w:val="da-DK"/>
              </w:rPr>
            </w:pPr>
          </w:p>
        </w:tc>
        <w:tc>
          <w:tcPr>
            <w:tcW w:w="1553" w:type="pct"/>
            <w:gridSpan w:val="3"/>
            <w:tcBorders>
              <w:top w:val="single" w:sz="4" w:space="0" w:color="000000"/>
              <w:bottom w:val="single" w:sz="4" w:space="0" w:color="000000"/>
            </w:tcBorders>
          </w:tcPr>
          <w:p w14:paraId="46CF0530" w14:textId="77777777" w:rsidR="004E27EB" w:rsidRPr="00D11AD1" w:rsidRDefault="004E27EB" w:rsidP="00705D0A">
            <w:pPr>
              <w:pStyle w:val="TableParagraph"/>
              <w:rPr>
                <w:rFonts w:ascii="Times New Roman" w:hAnsi="Times New Roman" w:cs="Times New Roman"/>
                <w:sz w:val="24"/>
                <w:szCs w:val="24"/>
                <w:lang w:val="da-DK"/>
              </w:rPr>
            </w:pPr>
          </w:p>
        </w:tc>
      </w:tr>
      <w:tr w:rsidR="004E27EB" w:rsidRPr="00D11AD1" w14:paraId="39367089" w14:textId="77777777" w:rsidTr="00705D0A">
        <w:trPr>
          <w:trHeight w:val="240"/>
        </w:trPr>
        <w:tc>
          <w:tcPr>
            <w:tcW w:w="1357" w:type="pct"/>
            <w:tcBorders>
              <w:top w:val="single" w:sz="4" w:space="0" w:color="000000"/>
              <w:right w:val="single" w:sz="4" w:space="0" w:color="000000"/>
            </w:tcBorders>
          </w:tcPr>
          <w:p w14:paraId="15FDF8CE" w14:textId="77777777" w:rsidR="004E27EB" w:rsidRPr="00D11AD1" w:rsidRDefault="004E27EB" w:rsidP="00705D0A">
            <w:pPr>
              <w:pStyle w:val="TableParagraph"/>
              <w:ind w:left="108" w:right="972"/>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Diarré</w:t>
            </w:r>
          </w:p>
        </w:tc>
        <w:tc>
          <w:tcPr>
            <w:tcW w:w="508" w:type="pct"/>
            <w:tcBorders>
              <w:top w:val="single" w:sz="4" w:space="0" w:color="000000"/>
              <w:left w:val="single" w:sz="4" w:space="0" w:color="000000"/>
            </w:tcBorders>
          </w:tcPr>
          <w:p w14:paraId="4B3EA24B"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27</w:t>
            </w:r>
          </w:p>
        </w:tc>
        <w:tc>
          <w:tcPr>
            <w:tcW w:w="774" w:type="pct"/>
            <w:tcBorders>
              <w:top w:val="single" w:sz="4" w:space="0" w:color="000000"/>
              <w:right w:val="single" w:sz="4" w:space="0" w:color="000000"/>
            </w:tcBorders>
          </w:tcPr>
          <w:p w14:paraId="3CE4FE93" w14:textId="77777777" w:rsidR="004E27EB" w:rsidRPr="00D11AD1" w:rsidRDefault="004E27EB" w:rsidP="00705D0A">
            <w:pPr>
              <w:pStyle w:val="TableParagraph"/>
              <w:tabs>
                <w:tab w:val="left" w:pos="230"/>
              </w:tabs>
              <w:ind w:left="-48"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405" w:type="pct"/>
            <w:tcBorders>
              <w:top w:val="single" w:sz="4" w:space="0" w:color="000000"/>
              <w:left w:val="single" w:sz="4" w:space="0" w:color="000000"/>
            </w:tcBorders>
          </w:tcPr>
          <w:p w14:paraId="38071363"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28</w:t>
            </w:r>
          </w:p>
        </w:tc>
        <w:tc>
          <w:tcPr>
            <w:tcW w:w="822" w:type="pct"/>
            <w:gridSpan w:val="3"/>
            <w:tcBorders>
              <w:top w:val="single" w:sz="4" w:space="0" w:color="000000"/>
              <w:right w:val="single" w:sz="4" w:space="0" w:color="000000"/>
            </w:tcBorders>
          </w:tcPr>
          <w:p w14:paraId="027F8979"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526" w:type="pct"/>
            <w:tcBorders>
              <w:top w:val="single" w:sz="4" w:space="0" w:color="000000"/>
              <w:left w:val="single" w:sz="4" w:space="0" w:color="000000"/>
            </w:tcBorders>
          </w:tcPr>
          <w:p w14:paraId="71C98586"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28</w:t>
            </w:r>
          </w:p>
        </w:tc>
        <w:tc>
          <w:tcPr>
            <w:tcW w:w="608" w:type="pct"/>
            <w:tcBorders>
              <w:top w:val="single" w:sz="4" w:space="0" w:color="000000"/>
            </w:tcBorders>
          </w:tcPr>
          <w:p w14:paraId="5B146A14"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r>
      <w:tr w:rsidR="004E27EB" w:rsidRPr="00D11AD1" w14:paraId="3E4375E5" w14:textId="77777777" w:rsidTr="00705D0A">
        <w:trPr>
          <w:trHeight w:val="220"/>
        </w:trPr>
        <w:tc>
          <w:tcPr>
            <w:tcW w:w="1357" w:type="pct"/>
            <w:tcBorders>
              <w:right w:val="single" w:sz="4" w:space="0" w:color="000000"/>
            </w:tcBorders>
            <w:shd w:val="clear" w:color="auto" w:fill="auto"/>
          </w:tcPr>
          <w:p w14:paraId="7888077D" w14:textId="77777777" w:rsidR="004E27EB" w:rsidRPr="00D11AD1" w:rsidRDefault="004E27EB" w:rsidP="00705D0A">
            <w:pPr>
              <w:pStyle w:val="TableParagraph"/>
              <w:ind w:left="115"/>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Væskeretention</w:t>
            </w:r>
          </w:p>
        </w:tc>
        <w:tc>
          <w:tcPr>
            <w:tcW w:w="508" w:type="pct"/>
            <w:tcBorders>
              <w:left w:val="single" w:sz="4" w:space="0" w:color="000000"/>
            </w:tcBorders>
          </w:tcPr>
          <w:p w14:paraId="159450CE"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34</w:t>
            </w:r>
          </w:p>
        </w:tc>
        <w:tc>
          <w:tcPr>
            <w:tcW w:w="774" w:type="pct"/>
            <w:tcBorders>
              <w:right w:val="single" w:sz="4" w:space="0" w:color="000000"/>
            </w:tcBorders>
          </w:tcPr>
          <w:p w14:paraId="75ECB531" w14:textId="77777777" w:rsidR="004E27EB" w:rsidRPr="00D11AD1" w:rsidRDefault="004E27EB" w:rsidP="00705D0A">
            <w:pPr>
              <w:pStyle w:val="TableParagraph"/>
              <w:tabs>
                <w:tab w:val="left" w:pos="230"/>
              </w:tabs>
              <w:ind w:left="-48"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4</w:t>
            </w:r>
          </w:p>
        </w:tc>
        <w:tc>
          <w:tcPr>
            <w:tcW w:w="405" w:type="pct"/>
            <w:tcBorders>
              <w:left w:val="single" w:sz="4" w:space="0" w:color="000000"/>
            </w:tcBorders>
          </w:tcPr>
          <w:p w14:paraId="14F00826"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42</w:t>
            </w:r>
          </w:p>
        </w:tc>
        <w:tc>
          <w:tcPr>
            <w:tcW w:w="822" w:type="pct"/>
            <w:gridSpan w:val="3"/>
            <w:tcBorders>
              <w:right w:val="single" w:sz="4" w:space="0" w:color="000000"/>
            </w:tcBorders>
          </w:tcPr>
          <w:p w14:paraId="57754A48"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6</w:t>
            </w:r>
          </w:p>
        </w:tc>
        <w:tc>
          <w:tcPr>
            <w:tcW w:w="526" w:type="pct"/>
            <w:tcBorders>
              <w:left w:val="single" w:sz="4" w:space="0" w:color="000000"/>
            </w:tcBorders>
          </w:tcPr>
          <w:p w14:paraId="49AF9A00"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48</w:t>
            </w:r>
          </w:p>
        </w:tc>
        <w:tc>
          <w:tcPr>
            <w:tcW w:w="608" w:type="pct"/>
          </w:tcPr>
          <w:p w14:paraId="70B3D6C7"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7</w:t>
            </w:r>
          </w:p>
        </w:tc>
      </w:tr>
      <w:tr w:rsidR="004E27EB" w:rsidRPr="00D11AD1" w14:paraId="7368F96F" w14:textId="77777777" w:rsidTr="00705D0A">
        <w:trPr>
          <w:trHeight w:val="220"/>
        </w:trPr>
        <w:tc>
          <w:tcPr>
            <w:tcW w:w="1357" w:type="pct"/>
            <w:tcBorders>
              <w:right w:val="single" w:sz="4" w:space="0" w:color="000000"/>
            </w:tcBorders>
            <w:shd w:val="clear" w:color="auto" w:fill="auto"/>
          </w:tcPr>
          <w:p w14:paraId="3D0EB7B8" w14:textId="77777777" w:rsidR="004E27EB" w:rsidRPr="00D11AD1" w:rsidRDefault="004E27EB" w:rsidP="00705D0A">
            <w:pPr>
              <w:pStyle w:val="TableParagraph"/>
              <w:ind w:left="426" w:right="318"/>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Superficielt ødem</w:t>
            </w:r>
          </w:p>
        </w:tc>
        <w:tc>
          <w:tcPr>
            <w:tcW w:w="508" w:type="pct"/>
            <w:tcBorders>
              <w:left w:val="single" w:sz="4" w:space="0" w:color="000000"/>
            </w:tcBorders>
          </w:tcPr>
          <w:p w14:paraId="78AAEC66"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18</w:t>
            </w:r>
          </w:p>
        </w:tc>
        <w:tc>
          <w:tcPr>
            <w:tcW w:w="774" w:type="pct"/>
            <w:tcBorders>
              <w:right w:val="single" w:sz="4" w:space="0" w:color="000000"/>
            </w:tcBorders>
          </w:tcPr>
          <w:p w14:paraId="503C0E19" w14:textId="77777777" w:rsidR="004E27EB" w:rsidRPr="00D11AD1" w:rsidRDefault="004E27EB" w:rsidP="00705D0A">
            <w:pPr>
              <w:pStyle w:val="TableParagraph"/>
              <w:tabs>
                <w:tab w:val="left" w:pos="230"/>
              </w:tabs>
              <w:ind w:left="-48"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405" w:type="pct"/>
            <w:tcBorders>
              <w:left w:val="single" w:sz="4" w:space="0" w:color="000000"/>
            </w:tcBorders>
          </w:tcPr>
          <w:p w14:paraId="2AF5B777"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21</w:t>
            </w:r>
          </w:p>
        </w:tc>
        <w:tc>
          <w:tcPr>
            <w:tcW w:w="822" w:type="pct"/>
            <w:gridSpan w:val="3"/>
            <w:tcBorders>
              <w:right w:val="single" w:sz="4" w:space="0" w:color="000000"/>
            </w:tcBorders>
          </w:tcPr>
          <w:p w14:paraId="2F8C16AA"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526" w:type="pct"/>
            <w:tcBorders>
              <w:left w:val="single" w:sz="4" w:space="0" w:color="000000"/>
            </w:tcBorders>
          </w:tcPr>
          <w:p w14:paraId="2C4E47B5"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22</w:t>
            </w:r>
          </w:p>
        </w:tc>
        <w:tc>
          <w:tcPr>
            <w:tcW w:w="608" w:type="pct"/>
          </w:tcPr>
          <w:p w14:paraId="5221BD53"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r>
      <w:tr w:rsidR="004E27EB" w:rsidRPr="00D11AD1" w14:paraId="7B9518C7" w14:textId="77777777" w:rsidTr="00705D0A">
        <w:trPr>
          <w:trHeight w:val="220"/>
        </w:trPr>
        <w:tc>
          <w:tcPr>
            <w:tcW w:w="1357" w:type="pct"/>
            <w:tcBorders>
              <w:right w:val="single" w:sz="4" w:space="0" w:color="000000"/>
            </w:tcBorders>
            <w:shd w:val="clear" w:color="auto" w:fill="auto"/>
          </w:tcPr>
          <w:p w14:paraId="1D3600D3" w14:textId="77777777" w:rsidR="004E27EB" w:rsidRPr="00D11AD1" w:rsidRDefault="004E27EB" w:rsidP="00705D0A">
            <w:pPr>
              <w:pStyle w:val="TableParagraph"/>
              <w:ind w:left="426"/>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Pleuraeffusion</w:t>
            </w:r>
          </w:p>
        </w:tc>
        <w:tc>
          <w:tcPr>
            <w:tcW w:w="508" w:type="pct"/>
            <w:tcBorders>
              <w:left w:val="single" w:sz="4" w:space="0" w:color="000000"/>
            </w:tcBorders>
          </w:tcPr>
          <w:p w14:paraId="3BCA6EE7"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18</w:t>
            </w:r>
          </w:p>
        </w:tc>
        <w:tc>
          <w:tcPr>
            <w:tcW w:w="774" w:type="pct"/>
            <w:tcBorders>
              <w:right w:val="single" w:sz="4" w:space="0" w:color="000000"/>
            </w:tcBorders>
          </w:tcPr>
          <w:p w14:paraId="600D5BFF"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405" w:type="pct"/>
            <w:tcBorders>
              <w:left w:val="single" w:sz="4" w:space="0" w:color="000000"/>
            </w:tcBorders>
          </w:tcPr>
          <w:p w14:paraId="7B8F3BCC" w14:textId="77777777" w:rsidR="004E27EB" w:rsidRPr="00D11AD1" w:rsidRDefault="004E27EB" w:rsidP="00705D0A">
            <w:pPr>
              <w:pStyle w:val="TableParagraph"/>
              <w:ind w:right="250"/>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24</w:t>
            </w:r>
          </w:p>
        </w:tc>
        <w:tc>
          <w:tcPr>
            <w:tcW w:w="822" w:type="pct"/>
            <w:gridSpan w:val="3"/>
            <w:tcBorders>
              <w:right w:val="single" w:sz="4" w:space="0" w:color="000000"/>
            </w:tcBorders>
          </w:tcPr>
          <w:p w14:paraId="40F5EC1B" w14:textId="77777777" w:rsidR="004E27EB" w:rsidRPr="00D11AD1" w:rsidRDefault="004E27EB" w:rsidP="00705D0A">
            <w:pPr>
              <w:pStyle w:val="TableParagraph"/>
              <w:ind w:left="156"/>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4</w:t>
            </w:r>
          </w:p>
        </w:tc>
        <w:tc>
          <w:tcPr>
            <w:tcW w:w="526" w:type="pct"/>
            <w:tcBorders>
              <w:left w:val="single" w:sz="4" w:space="0" w:color="000000"/>
            </w:tcBorders>
          </w:tcPr>
          <w:p w14:paraId="356FB056" w14:textId="77777777" w:rsidR="004E27EB" w:rsidRPr="00D11AD1" w:rsidRDefault="004E27EB" w:rsidP="00705D0A">
            <w:pPr>
              <w:pStyle w:val="TableParagraph"/>
              <w:ind w:right="47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28</w:t>
            </w:r>
          </w:p>
        </w:tc>
        <w:tc>
          <w:tcPr>
            <w:tcW w:w="608" w:type="pct"/>
          </w:tcPr>
          <w:p w14:paraId="18CC95A2"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5</w:t>
            </w:r>
          </w:p>
        </w:tc>
      </w:tr>
      <w:tr w:rsidR="004E27EB" w:rsidRPr="00D11AD1" w14:paraId="65BD4F20" w14:textId="77777777" w:rsidTr="00705D0A">
        <w:trPr>
          <w:trHeight w:val="220"/>
        </w:trPr>
        <w:tc>
          <w:tcPr>
            <w:tcW w:w="1357" w:type="pct"/>
            <w:tcBorders>
              <w:right w:val="single" w:sz="4" w:space="0" w:color="000000"/>
            </w:tcBorders>
            <w:shd w:val="clear" w:color="auto" w:fill="auto"/>
          </w:tcPr>
          <w:p w14:paraId="21E47B96" w14:textId="5455182B" w:rsidR="004E27EB" w:rsidRPr="00D11AD1" w:rsidRDefault="004E27EB" w:rsidP="00705D0A">
            <w:pPr>
              <w:pStyle w:val="TableParagraph"/>
              <w:ind w:left="426" w:right="237"/>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lastRenderedPageBreak/>
              <w:t>Generaliseret ødem</w:t>
            </w:r>
          </w:p>
        </w:tc>
        <w:tc>
          <w:tcPr>
            <w:tcW w:w="508" w:type="pct"/>
            <w:tcBorders>
              <w:left w:val="single" w:sz="4" w:space="0" w:color="000000"/>
            </w:tcBorders>
          </w:tcPr>
          <w:p w14:paraId="5565F58B" w14:textId="77777777" w:rsidR="004E27EB" w:rsidRPr="00D11AD1" w:rsidRDefault="004E27EB" w:rsidP="00705D0A">
            <w:pPr>
              <w:pStyle w:val="TableParagraph"/>
              <w:ind w:right="444"/>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3</w:t>
            </w:r>
          </w:p>
        </w:tc>
        <w:tc>
          <w:tcPr>
            <w:tcW w:w="774" w:type="pct"/>
            <w:tcBorders>
              <w:right w:val="single" w:sz="4" w:space="0" w:color="000000"/>
            </w:tcBorders>
          </w:tcPr>
          <w:p w14:paraId="4389BD59"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405" w:type="pct"/>
            <w:tcBorders>
              <w:left w:val="single" w:sz="4" w:space="0" w:color="000000"/>
            </w:tcBorders>
          </w:tcPr>
          <w:p w14:paraId="1631CFBC" w14:textId="77777777" w:rsidR="004E27EB" w:rsidRPr="00D11AD1" w:rsidRDefault="004E27EB" w:rsidP="00705D0A">
            <w:pPr>
              <w:pStyle w:val="TableParagraph"/>
              <w:ind w:right="249"/>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4</w:t>
            </w:r>
          </w:p>
        </w:tc>
        <w:tc>
          <w:tcPr>
            <w:tcW w:w="822" w:type="pct"/>
            <w:gridSpan w:val="3"/>
            <w:tcBorders>
              <w:right w:val="single" w:sz="4" w:space="0" w:color="000000"/>
            </w:tcBorders>
          </w:tcPr>
          <w:p w14:paraId="0FFB0EF4" w14:textId="77777777" w:rsidR="004E27EB" w:rsidRPr="00D11AD1" w:rsidRDefault="004E27EB" w:rsidP="00705D0A">
            <w:pPr>
              <w:pStyle w:val="TableParagraph"/>
              <w:ind w:left="15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526" w:type="pct"/>
            <w:tcBorders>
              <w:left w:val="single" w:sz="4" w:space="0" w:color="000000"/>
            </w:tcBorders>
          </w:tcPr>
          <w:p w14:paraId="2D796E33" w14:textId="77777777" w:rsidR="004E27EB" w:rsidRPr="00D11AD1" w:rsidRDefault="004E27EB" w:rsidP="00705D0A">
            <w:pPr>
              <w:pStyle w:val="TableParagraph"/>
              <w:ind w:right="479"/>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4</w:t>
            </w:r>
          </w:p>
        </w:tc>
        <w:tc>
          <w:tcPr>
            <w:tcW w:w="608" w:type="pct"/>
          </w:tcPr>
          <w:p w14:paraId="26855FEA" w14:textId="77777777" w:rsidR="004E27EB" w:rsidRPr="00D11AD1" w:rsidRDefault="004E27EB" w:rsidP="00705D0A">
            <w:pPr>
              <w:pStyle w:val="TableParagraph"/>
              <w:ind w:left="482"/>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r>
      <w:tr w:rsidR="004E27EB" w:rsidRPr="00D11AD1" w14:paraId="3187C8A9" w14:textId="77777777" w:rsidTr="00705D0A">
        <w:trPr>
          <w:trHeight w:val="220"/>
        </w:trPr>
        <w:tc>
          <w:tcPr>
            <w:tcW w:w="1357" w:type="pct"/>
            <w:tcBorders>
              <w:right w:val="single" w:sz="4" w:space="0" w:color="000000"/>
            </w:tcBorders>
            <w:shd w:val="clear" w:color="auto" w:fill="auto"/>
          </w:tcPr>
          <w:p w14:paraId="2A916487" w14:textId="77777777" w:rsidR="004E27EB" w:rsidRPr="00D11AD1" w:rsidRDefault="004E27EB" w:rsidP="00705D0A">
            <w:pPr>
              <w:pStyle w:val="TableParagraph"/>
              <w:ind w:left="426" w:right="295"/>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Perikardie-effusion</w:t>
            </w:r>
          </w:p>
        </w:tc>
        <w:tc>
          <w:tcPr>
            <w:tcW w:w="508" w:type="pct"/>
            <w:tcBorders>
              <w:left w:val="single" w:sz="4" w:space="0" w:color="000000"/>
            </w:tcBorders>
          </w:tcPr>
          <w:p w14:paraId="26CA6A15" w14:textId="77777777" w:rsidR="004E27EB" w:rsidRPr="00D11AD1" w:rsidRDefault="004E27EB" w:rsidP="00705D0A">
            <w:pPr>
              <w:pStyle w:val="TableParagraph"/>
              <w:ind w:right="444"/>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774" w:type="pct"/>
            <w:tcBorders>
              <w:right w:val="single" w:sz="4" w:space="0" w:color="000000"/>
            </w:tcBorders>
          </w:tcPr>
          <w:p w14:paraId="3E5475B4"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405" w:type="pct"/>
            <w:tcBorders>
              <w:left w:val="single" w:sz="4" w:space="0" w:color="000000"/>
            </w:tcBorders>
          </w:tcPr>
          <w:p w14:paraId="49345E92" w14:textId="77777777" w:rsidR="004E27EB" w:rsidRPr="00D11AD1" w:rsidRDefault="004E27EB" w:rsidP="00705D0A">
            <w:pPr>
              <w:pStyle w:val="TableParagraph"/>
              <w:ind w:right="250"/>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822" w:type="pct"/>
            <w:gridSpan w:val="3"/>
            <w:tcBorders>
              <w:right w:val="single" w:sz="4" w:space="0" w:color="000000"/>
            </w:tcBorders>
          </w:tcPr>
          <w:p w14:paraId="791CDB41" w14:textId="77777777" w:rsidR="004E27EB" w:rsidRPr="00D11AD1" w:rsidRDefault="004E27EB" w:rsidP="00705D0A">
            <w:pPr>
              <w:pStyle w:val="TableParagraph"/>
              <w:ind w:left="157"/>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526" w:type="pct"/>
            <w:tcBorders>
              <w:left w:val="single" w:sz="4" w:space="0" w:color="000000"/>
            </w:tcBorders>
          </w:tcPr>
          <w:p w14:paraId="6314531C" w14:textId="77777777" w:rsidR="004E27EB" w:rsidRPr="00D11AD1" w:rsidRDefault="004E27EB" w:rsidP="00705D0A">
            <w:pPr>
              <w:pStyle w:val="TableParagraph"/>
              <w:ind w:right="479"/>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3</w:t>
            </w:r>
          </w:p>
        </w:tc>
        <w:tc>
          <w:tcPr>
            <w:tcW w:w="608" w:type="pct"/>
          </w:tcPr>
          <w:p w14:paraId="1DC534D0"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r>
      <w:tr w:rsidR="004E27EB" w:rsidRPr="00D11AD1" w14:paraId="2BDBDBB4" w14:textId="77777777" w:rsidTr="00705D0A">
        <w:trPr>
          <w:trHeight w:val="460"/>
        </w:trPr>
        <w:tc>
          <w:tcPr>
            <w:tcW w:w="1357" w:type="pct"/>
            <w:tcBorders>
              <w:right w:val="single" w:sz="4" w:space="0" w:color="000000"/>
            </w:tcBorders>
            <w:shd w:val="clear" w:color="auto" w:fill="auto"/>
          </w:tcPr>
          <w:p w14:paraId="4129BE9B" w14:textId="77777777" w:rsidR="004E27EB" w:rsidRPr="00D11AD1" w:rsidRDefault="004E27EB" w:rsidP="00705D0A">
            <w:pPr>
              <w:widowControl/>
              <w:adjustRightInd w:val="0"/>
              <w:ind w:left="426"/>
              <w:rPr>
                <w:rFonts w:ascii="Times New Roman" w:eastAsia="TimesNewRomanPSMT" w:hAnsi="Times New Roman" w:cs="Times New Roman"/>
                <w:sz w:val="24"/>
                <w:szCs w:val="24"/>
                <w:lang w:val="da-DK"/>
              </w:rPr>
            </w:pPr>
            <w:r w:rsidRPr="00D11AD1">
              <w:rPr>
                <w:rFonts w:ascii="Times New Roman" w:eastAsia="TimesNewRomanPSMT" w:hAnsi="Times New Roman" w:cs="Times New Roman"/>
                <w:sz w:val="24"/>
                <w:szCs w:val="24"/>
                <w:lang w:val="da-DK"/>
              </w:rPr>
              <w:t>Pulmonal hypertension</w:t>
            </w:r>
          </w:p>
        </w:tc>
        <w:tc>
          <w:tcPr>
            <w:tcW w:w="508" w:type="pct"/>
            <w:tcBorders>
              <w:left w:val="single" w:sz="4" w:space="0" w:color="000000"/>
            </w:tcBorders>
          </w:tcPr>
          <w:p w14:paraId="79821786"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774" w:type="pct"/>
            <w:tcBorders>
              <w:right w:val="single" w:sz="4" w:space="0" w:color="000000"/>
            </w:tcBorders>
          </w:tcPr>
          <w:p w14:paraId="0ECD5A02"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405" w:type="pct"/>
            <w:tcBorders>
              <w:left w:val="single" w:sz="4" w:space="0" w:color="000000"/>
            </w:tcBorders>
          </w:tcPr>
          <w:p w14:paraId="7702A89C"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822" w:type="pct"/>
            <w:gridSpan w:val="3"/>
            <w:tcBorders>
              <w:right w:val="single" w:sz="4" w:space="0" w:color="000000"/>
            </w:tcBorders>
          </w:tcPr>
          <w:p w14:paraId="3C0B571E"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c>
          <w:tcPr>
            <w:tcW w:w="526" w:type="pct"/>
            <w:tcBorders>
              <w:left w:val="single" w:sz="4" w:space="0" w:color="000000"/>
            </w:tcBorders>
          </w:tcPr>
          <w:p w14:paraId="1A19E9D9"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608" w:type="pct"/>
          </w:tcPr>
          <w:p w14:paraId="6F2CFC67"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r>
      <w:tr w:rsidR="004E27EB" w:rsidRPr="00D11AD1" w14:paraId="1B727279" w14:textId="77777777" w:rsidTr="00705D0A">
        <w:trPr>
          <w:trHeight w:val="220"/>
        </w:trPr>
        <w:tc>
          <w:tcPr>
            <w:tcW w:w="1357" w:type="pct"/>
            <w:tcBorders>
              <w:right w:val="single" w:sz="4" w:space="0" w:color="000000"/>
            </w:tcBorders>
            <w:shd w:val="clear" w:color="auto" w:fill="auto"/>
          </w:tcPr>
          <w:p w14:paraId="2C884B9A" w14:textId="77777777" w:rsidR="004E27EB" w:rsidRPr="00D11AD1" w:rsidRDefault="004E27EB" w:rsidP="00705D0A">
            <w:pPr>
              <w:pStyle w:val="TableParagraph"/>
              <w:ind w:left="108"/>
              <w:rPr>
                <w:rFonts w:ascii="Times New Roman" w:hAnsi="Times New Roman" w:cs="Times New Roman"/>
                <w:b/>
                <w:sz w:val="24"/>
                <w:szCs w:val="24"/>
                <w:lang w:val="da-DK"/>
              </w:rPr>
            </w:pPr>
            <w:r w:rsidRPr="00D11AD1">
              <w:rPr>
                <w:rFonts w:ascii="Times New Roman" w:eastAsia="TimesNewRomanPS-BoldMT" w:hAnsi="Times New Roman" w:cs="Times New Roman"/>
                <w:b/>
                <w:bCs/>
                <w:sz w:val="24"/>
                <w:szCs w:val="24"/>
                <w:lang w:val="da-DK"/>
              </w:rPr>
              <w:t>Blødning</w:t>
            </w:r>
          </w:p>
        </w:tc>
        <w:tc>
          <w:tcPr>
            <w:tcW w:w="508" w:type="pct"/>
            <w:tcBorders>
              <w:left w:val="single" w:sz="4" w:space="0" w:color="000000"/>
            </w:tcBorders>
          </w:tcPr>
          <w:p w14:paraId="03C92A2A"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11</w:t>
            </w:r>
          </w:p>
        </w:tc>
        <w:tc>
          <w:tcPr>
            <w:tcW w:w="774" w:type="pct"/>
            <w:tcBorders>
              <w:right w:val="single" w:sz="4" w:space="0" w:color="000000"/>
            </w:tcBorders>
          </w:tcPr>
          <w:p w14:paraId="57635137"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405" w:type="pct"/>
            <w:tcBorders>
              <w:left w:val="single" w:sz="4" w:space="0" w:color="000000"/>
            </w:tcBorders>
          </w:tcPr>
          <w:p w14:paraId="182FA185"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11</w:t>
            </w:r>
          </w:p>
        </w:tc>
        <w:tc>
          <w:tcPr>
            <w:tcW w:w="822" w:type="pct"/>
            <w:gridSpan w:val="3"/>
            <w:tcBorders>
              <w:right w:val="single" w:sz="4" w:space="0" w:color="000000"/>
            </w:tcBorders>
          </w:tcPr>
          <w:p w14:paraId="76542C6D"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526" w:type="pct"/>
            <w:tcBorders>
              <w:left w:val="single" w:sz="4" w:space="0" w:color="000000"/>
            </w:tcBorders>
          </w:tcPr>
          <w:p w14:paraId="16394BE2"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12</w:t>
            </w:r>
          </w:p>
        </w:tc>
        <w:tc>
          <w:tcPr>
            <w:tcW w:w="608" w:type="pct"/>
          </w:tcPr>
          <w:p w14:paraId="2F20E15D"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r>
      <w:tr w:rsidR="004E27EB" w:rsidRPr="00D11AD1" w14:paraId="66AAF76E" w14:textId="77777777" w:rsidTr="00705D0A">
        <w:trPr>
          <w:trHeight w:val="460"/>
        </w:trPr>
        <w:tc>
          <w:tcPr>
            <w:tcW w:w="1357" w:type="pct"/>
            <w:tcBorders>
              <w:bottom w:val="single" w:sz="4" w:space="0" w:color="000000"/>
              <w:right w:val="single" w:sz="4" w:space="0" w:color="000000"/>
            </w:tcBorders>
            <w:shd w:val="clear" w:color="auto" w:fill="auto"/>
          </w:tcPr>
          <w:p w14:paraId="109E3C97" w14:textId="77777777" w:rsidR="004E27EB" w:rsidRPr="00D11AD1" w:rsidRDefault="004E27EB" w:rsidP="00705D0A">
            <w:pPr>
              <w:widowControl/>
              <w:adjustRightInd w:val="0"/>
              <w:ind w:left="452"/>
              <w:rPr>
                <w:rFonts w:ascii="Times New Roman" w:eastAsia="TimesNewRomanPSMT" w:hAnsi="Times New Roman" w:cs="Times New Roman"/>
                <w:sz w:val="24"/>
                <w:szCs w:val="24"/>
                <w:lang w:val="da-DK"/>
              </w:rPr>
            </w:pPr>
            <w:r w:rsidRPr="00D11AD1">
              <w:rPr>
                <w:rFonts w:ascii="Times New Roman" w:eastAsia="TimesNewRomanPSMT" w:hAnsi="Times New Roman" w:cs="Times New Roman"/>
                <w:sz w:val="24"/>
                <w:szCs w:val="24"/>
                <w:lang w:val="da-DK"/>
              </w:rPr>
              <w:t>Gastrointestinal blødning</w:t>
            </w:r>
          </w:p>
        </w:tc>
        <w:tc>
          <w:tcPr>
            <w:tcW w:w="508" w:type="pct"/>
            <w:tcBorders>
              <w:left w:val="single" w:sz="4" w:space="0" w:color="000000"/>
              <w:bottom w:val="single" w:sz="4" w:space="0" w:color="000000"/>
            </w:tcBorders>
          </w:tcPr>
          <w:p w14:paraId="21871BEA" w14:textId="77777777" w:rsidR="004E27EB" w:rsidRPr="00D11AD1" w:rsidRDefault="004E27EB" w:rsidP="00705D0A">
            <w:pPr>
              <w:pStyle w:val="TableParagraph"/>
              <w:ind w:right="44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774" w:type="pct"/>
            <w:tcBorders>
              <w:bottom w:val="single" w:sz="4" w:space="0" w:color="000000"/>
              <w:right w:val="single" w:sz="4" w:space="0" w:color="000000"/>
            </w:tcBorders>
          </w:tcPr>
          <w:p w14:paraId="5746962E" w14:textId="77777777" w:rsidR="004E27EB" w:rsidRPr="00D11AD1" w:rsidRDefault="004E27EB" w:rsidP="00705D0A">
            <w:pPr>
              <w:pStyle w:val="TableParagraph"/>
              <w:tabs>
                <w:tab w:val="left" w:pos="230"/>
              </w:tabs>
              <w:ind w:right="678"/>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405" w:type="pct"/>
            <w:tcBorders>
              <w:left w:val="single" w:sz="4" w:space="0" w:color="000000"/>
              <w:bottom w:val="single" w:sz="4" w:space="0" w:color="000000"/>
            </w:tcBorders>
          </w:tcPr>
          <w:p w14:paraId="49FC4910" w14:textId="77777777" w:rsidR="004E27EB" w:rsidRPr="00D11AD1" w:rsidRDefault="004E27EB" w:rsidP="00705D0A">
            <w:pPr>
              <w:pStyle w:val="TableParagraph"/>
              <w:ind w:right="25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822" w:type="pct"/>
            <w:gridSpan w:val="3"/>
            <w:tcBorders>
              <w:bottom w:val="single" w:sz="4" w:space="0" w:color="000000"/>
              <w:right w:val="single" w:sz="4" w:space="0" w:color="000000"/>
            </w:tcBorders>
          </w:tcPr>
          <w:p w14:paraId="6E8BC94B" w14:textId="77777777" w:rsidR="004E27EB" w:rsidRPr="00D11AD1" w:rsidRDefault="004E27EB" w:rsidP="00705D0A">
            <w:pPr>
              <w:pStyle w:val="TableParagraph"/>
              <w:ind w:left="155"/>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c>
          <w:tcPr>
            <w:tcW w:w="526" w:type="pct"/>
            <w:tcBorders>
              <w:left w:val="single" w:sz="4" w:space="0" w:color="000000"/>
              <w:bottom w:val="single" w:sz="4" w:space="0" w:color="000000"/>
            </w:tcBorders>
          </w:tcPr>
          <w:p w14:paraId="03B64453" w14:textId="77777777" w:rsidR="004E27EB" w:rsidRPr="00D11AD1" w:rsidRDefault="004E27EB" w:rsidP="00705D0A">
            <w:pPr>
              <w:pStyle w:val="TableParagraph"/>
              <w:ind w:right="480"/>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2</w:t>
            </w:r>
          </w:p>
        </w:tc>
        <w:tc>
          <w:tcPr>
            <w:tcW w:w="608" w:type="pct"/>
            <w:tcBorders>
              <w:bottom w:val="single" w:sz="4" w:space="0" w:color="000000"/>
            </w:tcBorders>
          </w:tcPr>
          <w:p w14:paraId="0267E438" w14:textId="77777777" w:rsidR="004E27EB" w:rsidRPr="00D11AD1" w:rsidRDefault="004E27EB" w:rsidP="00705D0A">
            <w:pPr>
              <w:pStyle w:val="TableParagraph"/>
              <w:ind w:left="481"/>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1</w:t>
            </w:r>
          </w:p>
        </w:tc>
      </w:tr>
    </w:tbl>
    <w:p w14:paraId="47E334EB" w14:textId="77777777" w:rsidR="004D282D" w:rsidRPr="00D11AD1" w:rsidRDefault="004D282D" w:rsidP="00705D0A">
      <w:pPr>
        <w:pStyle w:val="Sidehoved"/>
        <w:ind w:left="284" w:hanging="284"/>
        <w:rPr>
          <w:szCs w:val="24"/>
        </w:rPr>
      </w:pPr>
      <w:r w:rsidRPr="00D11AD1">
        <w:rPr>
          <w:szCs w:val="24"/>
        </w:rPr>
        <w:t>a</w:t>
      </w:r>
      <w:r w:rsidR="00E84A42" w:rsidRPr="00D11AD1">
        <w:rPr>
          <w:szCs w:val="24"/>
        </w:rPr>
        <w:tab/>
      </w:r>
      <w:r w:rsidRPr="00D11AD1">
        <w:rPr>
          <w:szCs w:val="24"/>
        </w:rPr>
        <w:t>Resultater, som blev rapporteret i populationen med den anbefalede startdosis på 100 mg 1 gang daglig</w:t>
      </w:r>
      <w:r w:rsidR="00E84A42" w:rsidRPr="00D11AD1">
        <w:rPr>
          <w:szCs w:val="24"/>
        </w:rPr>
        <w:t xml:space="preserve"> </w:t>
      </w:r>
      <w:r w:rsidRPr="00D11AD1">
        <w:rPr>
          <w:szCs w:val="24"/>
        </w:rPr>
        <w:t>(n=165) i fase III-dosisoptimeringsstudiet</w:t>
      </w:r>
    </w:p>
    <w:p w14:paraId="7271F2CF" w14:textId="77777777" w:rsidR="0079313E" w:rsidRPr="00D11AD1" w:rsidRDefault="0079313E" w:rsidP="009260DE">
      <w:pPr>
        <w:pStyle w:val="Sidehoved"/>
        <w:tabs>
          <w:tab w:val="left" w:pos="851"/>
        </w:tabs>
        <w:ind w:left="851"/>
        <w:rPr>
          <w:szCs w:val="24"/>
        </w:rPr>
      </w:pPr>
    </w:p>
    <w:p w14:paraId="187CEE6E" w14:textId="38B313FC" w:rsidR="00E84A42" w:rsidRPr="00D11AD1" w:rsidRDefault="00E84A42" w:rsidP="00E84A42">
      <w:pPr>
        <w:pStyle w:val="Sidehoved"/>
        <w:tabs>
          <w:tab w:val="left" w:pos="851"/>
        </w:tabs>
        <w:ind w:left="851"/>
        <w:rPr>
          <w:szCs w:val="24"/>
        </w:rPr>
      </w:pPr>
      <w:r w:rsidRPr="00D11AD1">
        <w:rPr>
          <w:szCs w:val="24"/>
        </w:rPr>
        <w:t xml:space="preserve">I fase III-dosisoptimeringsstudiet med patienter med CML i fremskreden fase og Ph+ ALL var medianbehandlingsvarigheden 14 måneder for CML i fremskreden fase, 3 måneder for CML i myeloid blastfase, 4 måneder for CML i lymfoid blastfase og 3 måneder for Ph+ ALL. Udvalgte bivirkninger, der blev rapporteret ved den anbefalede startdosis på 140 mg 1 gang </w:t>
      </w:r>
      <w:r w:rsidR="00FA34A4" w:rsidRPr="00D11AD1">
        <w:rPr>
          <w:szCs w:val="24"/>
        </w:rPr>
        <w:t>daglig</w:t>
      </w:r>
      <w:r w:rsidRPr="00D11AD1">
        <w:rPr>
          <w:szCs w:val="24"/>
        </w:rPr>
        <w:t xml:space="preserve">, er vist i Tabel 6b. Et dosisregime med 70 mg to gange </w:t>
      </w:r>
      <w:r w:rsidR="00FA34A4" w:rsidRPr="00D11AD1">
        <w:rPr>
          <w:szCs w:val="24"/>
        </w:rPr>
        <w:t>daglig</w:t>
      </w:r>
      <w:r w:rsidRPr="00D11AD1">
        <w:rPr>
          <w:szCs w:val="24"/>
        </w:rPr>
        <w:t xml:space="preserve"> blev ligeledes undersøgt. Behandlingen med 140 mg </w:t>
      </w:r>
      <w:r w:rsidR="00FA34A4" w:rsidRPr="00D11AD1">
        <w:rPr>
          <w:szCs w:val="24"/>
        </w:rPr>
        <w:t>en</w:t>
      </w:r>
      <w:r w:rsidRPr="00D11AD1">
        <w:rPr>
          <w:szCs w:val="24"/>
        </w:rPr>
        <w:t xml:space="preserve"> gang </w:t>
      </w:r>
      <w:r w:rsidR="00FA34A4" w:rsidRPr="00D11AD1">
        <w:rPr>
          <w:szCs w:val="24"/>
        </w:rPr>
        <w:t>daglig</w:t>
      </w:r>
      <w:r w:rsidRPr="00D11AD1">
        <w:rPr>
          <w:szCs w:val="24"/>
        </w:rPr>
        <w:t xml:space="preserve"> viste en virkningsprofil, der svarede til behandling med 70 mg to gange </w:t>
      </w:r>
      <w:r w:rsidR="00FA34A4" w:rsidRPr="00D11AD1">
        <w:rPr>
          <w:szCs w:val="24"/>
        </w:rPr>
        <w:t>daglig</w:t>
      </w:r>
      <w:r w:rsidRPr="00D11AD1">
        <w:rPr>
          <w:szCs w:val="24"/>
        </w:rPr>
        <w:t>, men med en mere gunstig sikkerhedsprofil.</w:t>
      </w:r>
    </w:p>
    <w:p w14:paraId="0BD3B5ED" w14:textId="77777777" w:rsidR="0079313E" w:rsidRPr="00D11AD1" w:rsidRDefault="0079313E" w:rsidP="009260DE">
      <w:pPr>
        <w:pStyle w:val="Sidehoved"/>
        <w:tabs>
          <w:tab w:val="left" w:pos="851"/>
        </w:tabs>
        <w:ind w:left="851"/>
        <w:rPr>
          <w:szCs w:val="24"/>
        </w:rPr>
      </w:pPr>
    </w:p>
    <w:p w14:paraId="53F6EEE8" w14:textId="26801268" w:rsidR="005E42DC" w:rsidRPr="00D11AD1" w:rsidRDefault="005E42DC" w:rsidP="00705D0A">
      <w:pPr>
        <w:pStyle w:val="Sidehoved"/>
        <w:keepNext/>
        <w:tabs>
          <w:tab w:val="left" w:pos="851"/>
        </w:tabs>
        <w:ind w:left="851"/>
        <w:rPr>
          <w:b/>
          <w:bCs/>
          <w:szCs w:val="24"/>
          <w:vertAlign w:val="superscript"/>
        </w:rPr>
      </w:pPr>
      <w:r w:rsidRPr="00D11AD1">
        <w:rPr>
          <w:b/>
          <w:szCs w:val="24"/>
        </w:rPr>
        <w:t>Tabel 6b:</w:t>
      </w:r>
      <w:r w:rsidR="00705D0A" w:rsidRPr="00D11AD1">
        <w:rPr>
          <w:b/>
          <w:szCs w:val="24"/>
        </w:rPr>
        <w:t xml:space="preserve"> </w:t>
      </w:r>
      <w:r w:rsidR="002652DD" w:rsidRPr="00D11AD1">
        <w:rPr>
          <w:b/>
          <w:szCs w:val="24"/>
        </w:rPr>
        <w:t xml:space="preserve"> </w:t>
      </w:r>
      <w:r w:rsidRPr="00D11AD1">
        <w:rPr>
          <w:b/>
          <w:bCs/>
          <w:szCs w:val="24"/>
        </w:rPr>
        <w:t>Udvalgte bivirkninger, der blev indberettet i et fase III-dosisoptimeringsstudie: CML i fremskreden fase og Ph+ ALL</w:t>
      </w:r>
      <w:r w:rsidRPr="00D11AD1">
        <w:rPr>
          <w:b/>
          <w:bCs/>
          <w:szCs w:val="24"/>
          <w:vertAlign w:val="superscript"/>
        </w:rPr>
        <w:t>a</w:t>
      </w:r>
    </w:p>
    <w:p w14:paraId="2D7B2452" w14:textId="77777777" w:rsidR="00705D0A" w:rsidRPr="00D11AD1" w:rsidRDefault="00705D0A" w:rsidP="00705D0A">
      <w:pPr>
        <w:pStyle w:val="Sidehoved"/>
        <w:keepNext/>
        <w:tabs>
          <w:tab w:val="clear" w:pos="4819"/>
          <w:tab w:val="left" w:pos="851"/>
          <w:tab w:val="left" w:pos="5387"/>
        </w:tabs>
        <w:ind w:left="851"/>
        <w:rPr>
          <w:b/>
          <w:bCs/>
          <w:szCs w:val="24"/>
        </w:rPr>
      </w:pPr>
    </w:p>
    <w:p w14:paraId="433821C2" w14:textId="1AA0FF9F" w:rsidR="009D09E8" w:rsidRPr="00D11AD1" w:rsidRDefault="009D09E8" w:rsidP="00705D0A">
      <w:pPr>
        <w:pStyle w:val="Sidehoved"/>
        <w:keepNext/>
        <w:tabs>
          <w:tab w:val="clear" w:pos="4819"/>
          <w:tab w:val="left" w:pos="851"/>
          <w:tab w:val="left" w:pos="5387"/>
        </w:tabs>
        <w:ind w:left="851"/>
        <w:rPr>
          <w:b/>
          <w:bCs/>
          <w:szCs w:val="24"/>
        </w:rPr>
      </w:pPr>
      <w:r w:rsidRPr="00D11AD1">
        <w:rPr>
          <w:b/>
          <w:bCs/>
          <w:szCs w:val="24"/>
        </w:rPr>
        <w:tab/>
        <w:t xml:space="preserve">140 mg </w:t>
      </w:r>
      <w:r w:rsidR="002652DD" w:rsidRPr="00D11AD1">
        <w:rPr>
          <w:b/>
          <w:bCs/>
          <w:szCs w:val="24"/>
        </w:rPr>
        <w:t>é</w:t>
      </w:r>
      <w:r w:rsidRPr="00D11AD1">
        <w:rPr>
          <w:b/>
          <w:bCs/>
          <w:szCs w:val="24"/>
        </w:rPr>
        <w:t>n gang daglig</w:t>
      </w:r>
    </w:p>
    <w:p w14:paraId="5B73E365" w14:textId="77777777" w:rsidR="00555E2C" w:rsidRPr="00D11AD1" w:rsidRDefault="00555E2C" w:rsidP="00705D0A">
      <w:pPr>
        <w:pStyle w:val="Sidehoved"/>
        <w:keepNext/>
        <w:tabs>
          <w:tab w:val="clear" w:pos="4819"/>
          <w:tab w:val="left" w:pos="851"/>
          <w:tab w:val="left" w:pos="5103"/>
          <w:tab w:val="left" w:pos="5954"/>
        </w:tabs>
        <w:ind w:left="851"/>
        <w:rPr>
          <w:b/>
          <w:bCs/>
          <w:szCs w:val="24"/>
        </w:rPr>
      </w:pPr>
      <w:r w:rsidRPr="00D11AD1">
        <w:rPr>
          <w:b/>
          <w:bCs/>
          <w:szCs w:val="24"/>
        </w:rPr>
        <w:tab/>
      </w:r>
      <w:r w:rsidRPr="00D11AD1">
        <w:rPr>
          <w:b/>
          <w:bCs/>
          <w:szCs w:val="24"/>
        </w:rPr>
        <w:tab/>
        <w:t>n=304</w:t>
      </w:r>
    </w:p>
    <w:p w14:paraId="07E78451" w14:textId="1EEF6B5C" w:rsidR="00555E2C" w:rsidRPr="00D11AD1" w:rsidRDefault="00555E2C" w:rsidP="00705D0A">
      <w:pPr>
        <w:pStyle w:val="Sidehoved"/>
        <w:keepNext/>
        <w:tabs>
          <w:tab w:val="clear" w:pos="4819"/>
          <w:tab w:val="left" w:pos="851"/>
          <w:tab w:val="left" w:pos="4253"/>
          <w:tab w:val="left" w:pos="5103"/>
          <w:tab w:val="left" w:pos="7371"/>
        </w:tabs>
        <w:ind w:left="851"/>
        <w:rPr>
          <w:b/>
          <w:bCs/>
          <w:szCs w:val="24"/>
        </w:rPr>
      </w:pPr>
      <w:r w:rsidRPr="00D11AD1">
        <w:rPr>
          <w:b/>
          <w:bCs/>
          <w:szCs w:val="24"/>
        </w:rPr>
        <w:tab/>
        <w:t>Alle grader</w:t>
      </w:r>
      <w:r w:rsidRPr="00D11AD1">
        <w:rPr>
          <w:b/>
          <w:bCs/>
          <w:szCs w:val="24"/>
        </w:rPr>
        <w:tab/>
        <w:t xml:space="preserve">Grad </w:t>
      </w:r>
      <w:r w:rsidR="002652DD" w:rsidRPr="00D11AD1">
        <w:rPr>
          <w:b/>
          <w:bCs/>
          <w:szCs w:val="24"/>
        </w:rPr>
        <w:t>3/4</w:t>
      </w:r>
    </w:p>
    <w:p w14:paraId="57CBDD1C" w14:textId="61F67A8B" w:rsidR="00555E2C" w:rsidRPr="00D11AD1" w:rsidRDefault="00536434" w:rsidP="00705D0A">
      <w:pPr>
        <w:pStyle w:val="Sidehoved"/>
        <w:keepNext/>
        <w:tabs>
          <w:tab w:val="clear" w:pos="4819"/>
          <w:tab w:val="left" w:pos="851"/>
          <w:tab w:val="left" w:pos="4253"/>
          <w:tab w:val="left" w:pos="5103"/>
          <w:tab w:val="left" w:pos="6804"/>
        </w:tabs>
        <w:ind w:left="851"/>
        <w:rPr>
          <w:b/>
          <w:bCs/>
          <w:szCs w:val="24"/>
        </w:rPr>
      </w:pPr>
      <w:r w:rsidRPr="00D11AD1">
        <w:rPr>
          <w:b/>
          <w:bCs/>
          <w:szCs w:val="24"/>
        </w:rPr>
        <w:tab/>
      </w:r>
      <w:r w:rsidRPr="00D11AD1">
        <w:rPr>
          <w:b/>
          <w:bCs/>
          <w:szCs w:val="24"/>
        </w:rPr>
        <w:tab/>
        <w:t>Procentdel (</w:t>
      </w:r>
      <w:r w:rsidR="00FA34A4" w:rsidRPr="00D11AD1">
        <w:rPr>
          <w:b/>
          <w:bCs/>
          <w:szCs w:val="24"/>
        </w:rPr>
        <w:t>%</w:t>
      </w:r>
      <w:r w:rsidRPr="00D11AD1">
        <w:rPr>
          <w:b/>
          <w:bCs/>
          <w:szCs w:val="24"/>
        </w:rPr>
        <w:t>) af patienter</w:t>
      </w:r>
    </w:p>
    <w:p w14:paraId="42EE522A" w14:textId="77777777" w:rsidR="005E42DC" w:rsidRPr="00D11AD1" w:rsidRDefault="005E42DC" w:rsidP="00705D0A">
      <w:pPr>
        <w:pStyle w:val="Brdtekst"/>
        <w:keepNext/>
        <w:ind w:left="567"/>
        <w:rPr>
          <w:b/>
          <w:sz w:val="24"/>
          <w:szCs w:val="24"/>
          <w:lang w:val="da-DK"/>
        </w:rPr>
      </w:pPr>
      <w:r w:rsidRPr="00D11AD1">
        <w:rPr>
          <w:rFonts w:eastAsia="TimesNewRomanPS-BoldMT"/>
          <w:b/>
          <w:bCs/>
          <w:sz w:val="24"/>
          <w:szCs w:val="24"/>
          <w:lang w:val="da-DK"/>
        </w:rPr>
        <w:t>Foretrukken term</w:t>
      </w:r>
    </w:p>
    <w:tbl>
      <w:tblPr>
        <w:tblStyle w:val="Tabel-Gitter"/>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84"/>
        <w:gridCol w:w="3089"/>
        <w:gridCol w:w="3081"/>
      </w:tblGrid>
      <w:tr w:rsidR="005E42DC" w:rsidRPr="00D11AD1" w14:paraId="171BF347" w14:textId="77777777" w:rsidTr="00705D0A">
        <w:trPr>
          <w:trHeight w:val="274"/>
        </w:trPr>
        <w:tc>
          <w:tcPr>
            <w:tcW w:w="1702" w:type="pct"/>
          </w:tcPr>
          <w:p w14:paraId="4BD2EAAD" w14:textId="77777777" w:rsidR="005E42DC" w:rsidRPr="00D11AD1" w:rsidRDefault="005E42DC" w:rsidP="00705D0A">
            <w:pPr>
              <w:pStyle w:val="Brdtekst"/>
              <w:keepNext/>
              <w:rPr>
                <w:b/>
                <w:sz w:val="24"/>
                <w:szCs w:val="24"/>
                <w:lang w:val="da-DK"/>
              </w:rPr>
            </w:pPr>
            <w:r w:rsidRPr="00D11AD1">
              <w:rPr>
                <w:rFonts w:eastAsia="TimesNewRomanPS-BoldMT"/>
                <w:b/>
                <w:bCs/>
                <w:sz w:val="24"/>
                <w:szCs w:val="24"/>
                <w:lang w:val="da-DK"/>
              </w:rPr>
              <w:t>Diarré</w:t>
            </w:r>
          </w:p>
        </w:tc>
        <w:tc>
          <w:tcPr>
            <w:tcW w:w="1651" w:type="pct"/>
          </w:tcPr>
          <w:p w14:paraId="7581CB62" w14:textId="77777777" w:rsidR="005E42DC" w:rsidRPr="00D11AD1" w:rsidRDefault="005E42DC" w:rsidP="00705D0A">
            <w:pPr>
              <w:pStyle w:val="Brdtekst"/>
              <w:keepNext/>
              <w:jc w:val="center"/>
              <w:rPr>
                <w:sz w:val="24"/>
                <w:szCs w:val="24"/>
                <w:lang w:val="da-DK"/>
              </w:rPr>
            </w:pPr>
            <w:r w:rsidRPr="00D11AD1">
              <w:rPr>
                <w:sz w:val="24"/>
                <w:szCs w:val="24"/>
                <w:lang w:val="da-DK"/>
              </w:rPr>
              <w:t>28</w:t>
            </w:r>
          </w:p>
        </w:tc>
        <w:tc>
          <w:tcPr>
            <w:tcW w:w="1647" w:type="pct"/>
          </w:tcPr>
          <w:p w14:paraId="0F6454F5" w14:textId="77777777" w:rsidR="005E42DC" w:rsidRPr="00D11AD1" w:rsidRDefault="005E42DC" w:rsidP="00705D0A">
            <w:pPr>
              <w:pStyle w:val="Brdtekst"/>
              <w:keepNext/>
              <w:jc w:val="center"/>
              <w:rPr>
                <w:sz w:val="24"/>
                <w:szCs w:val="24"/>
                <w:lang w:val="da-DK"/>
              </w:rPr>
            </w:pPr>
            <w:r w:rsidRPr="00D11AD1">
              <w:rPr>
                <w:sz w:val="24"/>
                <w:szCs w:val="24"/>
                <w:lang w:val="da-DK"/>
              </w:rPr>
              <w:t>3</w:t>
            </w:r>
          </w:p>
        </w:tc>
      </w:tr>
      <w:tr w:rsidR="005E42DC" w:rsidRPr="00D11AD1" w14:paraId="782B55BB" w14:textId="77777777" w:rsidTr="00705D0A">
        <w:trPr>
          <w:trHeight w:val="274"/>
        </w:trPr>
        <w:tc>
          <w:tcPr>
            <w:tcW w:w="1702" w:type="pct"/>
          </w:tcPr>
          <w:p w14:paraId="2650AE15" w14:textId="77777777" w:rsidR="005E42DC" w:rsidRPr="00D11AD1" w:rsidRDefault="005E42DC" w:rsidP="00705D0A">
            <w:pPr>
              <w:pStyle w:val="Brdtekst"/>
              <w:keepNext/>
              <w:rPr>
                <w:b/>
                <w:sz w:val="24"/>
                <w:szCs w:val="24"/>
                <w:lang w:val="da-DK"/>
              </w:rPr>
            </w:pPr>
            <w:r w:rsidRPr="00D11AD1">
              <w:rPr>
                <w:rFonts w:eastAsia="TimesNewRomanPS-BoldMT"/>
                <w:b/>
                <w:bCs/>
                <w:sz w:val="24"/>
                <w:szCs w:val="24"/>
                <w:lang w:val="da-DK"/>
              </w:rPr>
              <w:t>Væskeretention</w:t>
            </w:r>
          </w:p>
        </w:tc>
        <w:tc>
          <w:tcPr>
            <w:tcW w:w="1651" w:type="pct"/>
          </w:tcPr>
          <w:p w14:paraId="00331374" w14:textId="77777777" w:rsidR="005E42DC" w:rsidRPr="00D11AD1" w:rsidRDefault="005E42DC" w:rsidP="00705D0A">
            <w:pPr>
              <w:pStyle w:val="Brdtekst"/>
              <w:keepNext/>
              <w:jc w:val="center"/>
              <w:rPr>
                <w:sz w:val="24"/>
                <w:szCs w:val="24"/>
                <w:lang w:val="da-DK"/>
              </w:rPr>
            </w:pPr>
            <w:r w:rsidRPr="00D11AD1">
              <w:rPr>
                <w:sz w:val="24"/>
                <w:szCs w:val="24"/>
                <w:lang w:val="da-DK"/>
              </w:rPr>
              <w:t>33</w:t>
            </w:r>
          </w:p>
        </w:tc>
        <w:tc>
          <w:tcPr>
            <w:tcW w:w="1647" w:type="pct"/>
          </w:tcPr>
          <w:p w14:paraId="427E08FB" w14:textId="77777777" w:rsidR="005E42DC" w:rsidRPr="00D11AD1" w:rsidRDefault="005E42DC" w:rsidP="00705D0A">
            <w:pPr>
              <w:pStyle w:val="Brdtekst"/>
              <w:keepNext/>
              <w:jc w:val="center"/>
              <w:rPr>
                <w:sz w:val="24"/>
                <w:szCs w:val="24"/>
                <w:lang w:val="da-DK"/>
              </w:rPr>
            </w:pPr>
            <w:r w:rsidRPr="00D11AD1">
              <w:rPr>
                <w:sz w:val="24"/>
                <w:szCs w:val="24"/>
                <w:lang w:val="da-DK"/>
              </w:rPr>
              <w:t>7</w:t>
            </w:r>
          </w:p>
        </w:tc>
      </w:tr>
      <w:tr w:rsidR="005E42DC" w:rsidRPr="00D11AD1" w14:paraId="4298F58E" w14:textId="77777777" w:rsidTr="00705D0A">
        <w:trPr>
          <w:trHeight w:val="274"/>
        </w:trPr>
        <w:tc>
          <w:tcPr>
            <w:tcW w:w="1702" w:type="pct"/>
          </w:tcPr>
          <w:p w14:paraId="3184D946" w14:textId="77777777" w:rsidR="005E42DC" w:rsidRPr="00D11AD1" w:rsidRDefault="005E42DC" w:rsidP="00705D0A">
            <w:pPr>
              <w:pStyle w:val="Brdtekst"/>
              <w:keepNext/>
              <w:ind w:left="170"/>
              <w:rPr>
                <w:sz w:val="24"/>
                <w:szCs w:val="24"/>
                <w:lang w:val="da-DK"/>
              </w:rPr>
            </w:pPr>
            <w:r w:rsidRPr="00D11AD1">
              <w:rPr>
                <w:rFonts w:eastAsia="TimesNewRomanPSMT"/>
                <w:sz w:val="24"/>
                <w:szCs w:val="24"/>
                <w:lang w:val="da-DK"/>
              </w:rPr>
              <w:t>Superficielt ødem</w:t>
            </w:r>
          </w:p>
        </w:tc>
        <w:tc>
          <w:tcPr>
            <w:tcW w:w="1651" w:type="pct"/>
          </w:tcPr>
          <w:p w14:paraId="50903376" w14:textId="77777777" w:rsidR="005E42DC" w:rsidRPr="00D11AD1" w:rsidRDefault="005E42DC" w:rsidP="00705D0A">
            <w:pPr>
              <w:pStyle w:val="Brdtekst"/>
              <w:keepNext/>
              <w:jc w:val="center"/>
              <w:rPr>
                <w:sz w:val="24"/>
                <w:szCs w:val="24"/>
                <w:lang w:val="da-DK"/>
              </w:rPr>
            </w:pPr>
            <w:r w:rsidRPr="00D11AD1">
              <w:rPr>
                <w:sz w:val="24"/>
                <w:szCs w:val="24"/>
                <w:lang w:val="da-DK"/>
              </w:rPr>
              <w:t>15</w:t>
            </w:r>
          </w:p>
        </w:tc>
        <w:tc>
          <w:tcPr>
            <w:tcW w:w="1647" w:type="pct"/>
          </w:tcPr>
          <w:p w14:paraId="47131853" w14:textId="77777777" w:rsidR="005E42DC" w:rsidRPr="00D11AD1" w:rsidRDefault="005E42DC" w:rsidP="00705D0A">
            <w:pPr>
              <w:pStyle w:val="Brdtekst"/>
              <w:keepNext/>
              <w:jc w:val="center"/>
              <w:rPr>
                <w:sz w:val="24"/>
                <w:szCs w:val="24"/>
                <w:lang w:val="da-DK"/>
              </w:rPr>
            </w:pPr>
            <w:r w:rsidRPr="00D11AD1">
              <w:rPr>
                <w:sz w:val="24"/>
                <w:szCs w:val="24"/>
                <w:lang w:val="da-DK"/>
              </w:rPr>
              <w:t>&lt; 1</w:t>
            </w:r>
          </w:p>
        </w:tc>
      </w:tr>
      <w:tr w:rsidR="005E42DC" w:rsidRPr="00D11AD1" w14:paraId="51808550" w14:textId="77777777" w:rsidTr="00705D0A">
        <w:trPr>
          <w:trHeight w:val="263"/>
        </w:trPr>
        <w:tc>
          <w:tcPr>
            <w:tcW w:w="1702" w:type="pct"/>
          </w:tcPr>
          <w:p w14:paraId="0111146B" w14:textId="77777777" w:rsidR="005E42DC" w:rsidRPr="00D11AD1" w:rsidRDefault="005E42DC" w:rsidP="00705D0A">
            <w:pPr>
              <w:pStyle w:val="Brdtekst"/>
              <w:keepNext/>
              <w:ind w:left="170"/>
              <w:rPr>
                <w:sz w:val="24"/>
                <w:szCs w:val="24"/>
                <w:lang w:val="da-DK"/>
              </w:rPr>
            </w:pPr>
            <w:r w:rsidRPr="00D11AD1">
              <w:rPr>
                <w:rFonts w:eastAsia="TimesNewRomanPSMT"/>
                <w:sz w:val="24"/>
                <w:szCs w:val="24"/>
                <w:lang w:val="da-DK"/>
              </w:rPr>
              <w:t>Pleuraeffusion</w:t>
            </w:r>
          </w:p>
        </w:tc>
        <w:tc>
          <w:tcPr>
            <w:tcW w:w="1651" w:type="pct"/>
          </w:tcPr>
          <w:p w14:paraId="0748F975" w14:textId="77777777" w:rsidR="005E42DC" w:rsidRPr="00D11AD1" w:rsidRDefault="005E42DC" w:rsidP="00705D0A">
            <w:pPr>
              <w:pStyle w:val="Brdtekst"/>
              <w:keepNext/>
              <w:jc w:val="center"/>
              <w:rPr>
                <w:sz w:val="24"/>
                <w:szCs w:val="24"/>
                <w:lang w:val="da-DK"/>
              </w:rPr>
            </w:pPr>
            <w:r w:rsidRPr="00D11AD1">
              <w:rPr>
                <w:sz w:val="24"/>
                <w:szCs w:val="24"/>
                <w:lang w:val="da-DK"/>
              </w:rPr>
              <w:t>20</w:t>
            </w:r>
          </w:p>
        </w:tc>
        <w:tc>
          <w:tcPr>
            <w:tcW w:w="1647" w:type="pct"/>
          </w:tcPr>
          <w:p w14:paraId="1596B3E8" w14:textId="77777777" w:rsidR="005E42DC" w:rsidRPr="00D11AD1" w:rsidRDefault="005E42DC" w:rsidP="00705D0A">
            <w:pPr>
              <w:pStyle w:val="Brdtekst"/>
              <w:keepNext/>
              <w:jc w:val="center"/>
              <w:rPr>
                <w:sz w:val="24"/>
                <w:szCs w:val="24"/>
                <w:lang w:val="da-DK"/>
              </w:rPr>
            </w:pPr>
            <w:r w:rsidRPr="00D11AD1">
              <w:rPr>
                <w:sz w:val="24"/>
                <w:szCs w:val="24"/>
                <w:lang w:val="da-DK"/>
              </w:rPr>
              <w:t>6</w:t>
            </w:r>
          </w:p>
        </w:tc>
      </w:tr>
      <w:tr w:rsidR="005E42DC" w:rsidRPr="00D11AD1" w14:paraId="535240EC" w14:textId="77777777" w:rsidTr="00705D0A">
        <w:trPr>
          <w:trHeight w:val="274"/>
        </w:trPr>
        <w:tc>
          <w:tcPr>
            <w:tcW w:w="1702" w:type="pct"/>
          </w:tcPr>
          <w:p w14:paraId="4A872ED5" w14:textId="77777777" w:rsidR="005E42DC" w:rsidRPr="00D11AD1" w:rsidRDefault="005E42DC" w:rsidP="00705D0A">
            <w:pPr>
              <w:pStyle w:val="Brdtekst"/>
              <w:keepNext/>
              <w:ind w:left="170"/>
              <w:rPr>
                <w:sz w:val="24"/>
                <w:szCs w:val="24"/>
                <w:lang w:val="da-DK"/>
              </w:rPr>
            </w:pPr>
            <w:r w:rsidRPr="00D11AD1">
              <w:rPr>
                <w:rFonts w:eastAsia="TimesNewRomanPSMT"/>
                <w:sz w:val="24"/>
                <w:szCs w:val="24"/>
                <w:lang w:val="da-DK"/>
              </w:rPr>
              <w:t>Generaliseret ødem</w:t>
            </w:r>
          </w:p>
        </w:tc>
        <w:tc>
          <w:tcPr>
            <w:tcW w:w="1651" w:type="pct"/>
          </w:tcPr>
          <w:p w14:paraId="3F1C7E97" w14:textId="77777777" w:rsidR="005E42DC" w:rsidRPr="00D11AD1" w:rsidRDefault="005E42DC" w:rsidP="00705D0A">
            <w:pPr>
              <w:pStyle w:val="Brdtekst"/>
              <w:keepNext/>
              <w:jc w:val="center"/>
              <w:rPr>
                <w:sz w:val="24"/>
                <w:szCs w:val="24"/>
                <w:lang w:val="da-DK"/>
              </w:rPr>
            </w:pPr>
            <w:r w:rsidRPr="00D11AD1">
              <w:rPr>
                <w:sz w:val="24"/>
                <w:szCs w:val="24"/>
                <w:lang w:val="da-DK"/>
              </w:rPr>
              <w:t>2</w:t>
            </w:r>
          </w:p>
        </w:tc>
        <w:tc>
          <w:tcPr>
            <w:tcW w:w="1647" w:type="pct"/>
          </w:tcPr>
          <w:p w14:paraId="43313F32" w14:textId="77777777" w:rsidR="005E42DC" w:rsidRPr="00D11AD1" w:rsidRDefault="005E42DC" w:rsidP="00705D0A">
            <w:pPr>
              <w:pStyle w:val="Brdtekst"/>
              <w:keepNext/>
              <w:jc w:val="center"/>
              <w:rPr>
                <w:sz w:val="24"/>
                <w:szCs w:val="24"/>
                <w:lang w:val="da-DK"/>
              </w:rPr>
            </w:pPr>
            <w:r w:rsidRPr="00D11AD1">
              <w:rPr>
                <w:sz w:val="24"/>
                <w:szCs w:val="24"/>
                <w:lang w:val="da-DK"/>
              </w:rPr>
              <w:t>0</w:t>
            </w:r>
          </w:p>
        </w:tc>
      </w:tr>
      <w:tr w:rsidR="005E42DC" w:rsidRPr="00D11AD1" w14:paraId="407657AA" w14:textId="77777777" w:rsidTr="00705D0A">
        <w:trPr>
          <w:trHeight w:val="482"/>
        </w:trPr>
        <w:tc>
          <w:tcPr>
            <w:tcW w:w="1702" w:type="pct"/>
          </w:tcPr>
          <w:p w14:paraId="15917CD2" w14:textId="77777777" w:rsidR="005E42DC" w:rsidRPr="00D11AD1" w:rsidRDefault="005E42DC" w:rsidP="00705D0A">
            <w:pPr>
              <w:keepNext/>
              <w:adjustRightInd w:val="0"/>
              <w:ind w:left="176"/>
              <w:rPr>
                <w:rFonts w:eastAsia="TimesNewRomanPSMT"/>
                <w:sz w:val="24"/>
                <w:szCs w:val="24"/>
              </w:rPr>
            </w:pPr>
            <w:r w:rsidRPr="00D11AD1">
              <w:rPr>
                <w:rFonts w:eastAsia="TimesNewRomanPSMT"/>
                <w:sz w:val="24"/>
                <w:szCs w:val="24"/>
              </w:rPr>
              <w:t>Kongestivt hjertesvigt/hjerte insufficiens</w:t>
            </w:r>
            <w:r w:rsidRPr="00D11AD1">
              <w:rPr>
                <w:rFonts w:eastAsia="TimesNewRomanPSMT"/>
                <w:sz w:val="24"/>
                <w:szCs w:val="24"/>
                <w:vertAlign w:val="superscript"/>
              </w:rPr>
              <w:t>b</w:t>
            </w:r>
          </w:p>
        </w:tc>
        <w:tc>
          <w:tcPr>
            <w:tcW w:w="1651" w:type="pct"/>
          </w:tcPr>
          <w:p w14:paraId="096E4B06" w14:textId="77777777" w:rsidR="005E42DC" w:rsidRPr="00D11AD1" w:rsidRDefault="005E42DC" w:rsidP="00705D0A">
            <w:pPr>
              <w:pStyle w:val="Brdtekst"/>
              <w:keepNext/>
              <w:jc w:val="center"/>
              <w:rPr>
                <w:sz w:val="24"/>
                <w:szCs w:val="24"/>
                <w:lang w:val="da-DK"/>
              </w:rPr>
            </w:pPr>
            <w:r w:rsidRPr="00D11AD1">
              <w:rPr>
                <w:sz w:val="24"/>
                <w:szCs w:val="24"/>
                <w:lang w:val="da-DK"/>
              </w:rPr>
              <w:t>1</w:t>
            </w:r>
          </w:p>
        </w:tc>
        <w:tc>
          <w:tcPr>
            <w:tcW w:w="1647" w:type="pct"/>
          </w:tcPr>
          <w:p w14:paraId="6740EAA3" w14:textId="77777777" w:rsidR="005E42DC" w:rsidRPr="00D11AD1" w:rsidRDefault="005E42DC" w:rsidP="00705D0A">
            <w:pPr>
              <w:pStyle w:val="Brdtekst"/>
              <w:keepNext/>
              <w:jc w:val="center"/>
              <w:rPr>
                <w:sz w:val="24"/>
                <w:szCs w:val="24"/>
                <w:lang w:val="da-DK"/>
              </w:rPr>
            </w:pPr>
            <w:r w:rsidRPr="00D11AD1">
              <w:rPr>
                <w:sz w:val="24"/>
                <w:szCs w:val="24"/>
                <w:lang w:val="da-DK"/>
              </w:rPr>
              <w:t>0</w:t>
            </w:r>
          </w:p>
        </w:tc>
      </w:tr>
      <w:tr w:rsidR="005E42DC" w:rsidRPr="00D11AD1" w14:paraId="5D8EA215" w14:textId="77777777" w:rsidTr="00705D0A">
        <w:trPr>
          <w:trHeight w:val="274"/>
        </w:trPr>
        <w:tc>
          <w:tcPr>
            <w:tcW w:w="1702" w:type="pct"/>
          </w:tcPr>
          <w:p w14:paraId="170DF68B" w14:textId="77777777" w:rsidR="005E42DC" w:rsidRPr="00D11AD1" w:rsidRDefault="005E42DC" w:rsidP="00705D0A">
            <w:pPr>
              <w:keepNext/>
              <w:adjustRightInd w:val="0"/>
              <w:ind w:left="170"/>
              <w:rPr>
                <w:rFonts w:eastAsiaTheme="minorHAnsi"/>
                <w:sz w:val="24"/>
                <w:szCs w:val="24"/>
              </w:rPr>
            </w:pPr>
            <w:r w:rsidRPr="00D11AD1">
              <w:rPr>
                <w:rFonts w:eastAsia="TimesNewRomanPSMT"/>
                <w:sz w:val="24"/>
                <w:szCs w:val="24"/>
              </w:rPr>
              <w:t>Perikardie-effusion</w:t>
            </w:r>
          </w:p>
        </w:tc>
        <w:tc>
          <w:tcPr>
            <w:tcW w:w="1651" w:type="pct"/>
          </w:tcPr>
          <w:p w14:paraId="0DB7E78C" w14:textId="77777777" w:rsidR="005E42DC" w:rsidRPr="00D11AD1" w:rsidRDefault="005E42DC" w:rsidP="00705D0A">
            <w:pPr>
              <w:pStyle w:val="Brdtekst"/>
              <w:keepNext/>
              <w:jc w:val="center"/>
              <w:rPr>
                <w:sz w:val="24"/>
                <w:szCs w:val="24"/>
                <w:lang w:val="da-DK"/>
              </w:rPr>
            </w:pPr>
            <w:r w:rsidRPr="00D11AD1">
              <w:rPr>
                <w:sz w:val="24"/>
                <w:szCs w:val="24"/>
                <w:lang w:val="da-DK"/>
              </w:rPr>
              <w:t>2</w:t>
            </w:r>
          </w:p>
        </w:tc>
        <w:tc>
          <w:tcPr>
            <w:tcW w:w="1647" w:type="pct"/>
          </w:tcPr>
          <w:p w14:paraId="633AB069" w14:textId="77777777" w:rsidR="005E42DC" w:rsidRPr="00D11AD1" w:rsidRDefault="005E42DC" w:rsidP="00705D0A">
            <w:pPr>
              <w:pStyle w:val="Brdtekst"/>
              <w:keepNext/>
              <w:jc w:val="center"/>
              <w:rPr>
                <w:sz w:val="24"/>
                <w:szCs w:val="24"/>
                <w:lang w:val="da-DK"/>
              </w:rPr>
            </w:pPr>
            <w:r w:rsidRPr="00D11AD1">
              <w:rPr>
                <w:sz w:val="24"/>
                <w:szCs w:val="24"/>
                <w:lang w:val="da-DK"/>
              </w:rPr>
              <w:t>1</w:t>
            </w:r>
          </w:p>
        </w:tc>
      </w:tr>
      <w:tr w:rsidR="005E42DC" w:rsidRPr="00D11AD1" w14:paraId="6CB390E1" w14:textId="77777777" w:rsidTr="00705D0A">
        <w:trPr>
          <w:trHeight w:val="274"/>
        </w:trPr>
        <w:tc>
          <w:tcPr>
            <w:tcW w:w="1702" w:type="pct"/>
          </w:tcPr>
          <w:p w14:paraId="43ECD5B9" w14:textId="77777777" w:rsidR="005E42DC" w:rsidRPr="00D11AD1" w:rsidRDefault="005E42DC" w:rsidP="00705D0A">
            <w:pPr>
              <w:keepNext/>
              <w:adjustRightInd w:val="0"/>
              <w:ind w:left="170"/>
              <w:rPr>
                <w:rFonts w:eastAsiaTheme="minorHAnsi"/>
                <w:sz w:val="24"/>
                <w:szCs w:val="24"/>
              </w:rPr>
            </w:pPr>
            <w:r w:rsidRPr="00D11AD1">
              <w:rPr>
                <w:rFonts w:eastAsia="TimesNewRomanPSMT"/>
                <w:sz w:val="24"/>
                <w:szCs w:val="24"/>
              </w:rPr>
              <w:t>Lungeødem</w:t>
            </w:r>
          </w:p>
        </w:tc>
        <w:tc>
          <w:tcPr>
            <w:tcW w:w="1651" w:type="pct"/>
          </w:tcPr>
          <w:p w14:paraId="6FCFE8BB" w14:textId="77777777" w:rsidR="005E42DC" w:rsidRPr="00D11AD1" w:rsidRDefault="005E42DC" w:rsidP="00705D0A">
            <w:pPr>
              <w:pStyle w:val="Brdtekst"/>
              <w:keepNext/>
              <w:jc w:val="center"/>
              <w:rPr>
                <w:sz w:val="24"/>
                <w:szCs w:val="24"/>
                <w:lang w:val="da-DK"/>
              </w:rPr>
            </w:pPr>
            <w:r w:rsidRPr="00D11AD1">
              <w:rPr>
                <w:sz w:val="24"/>
                <w:szCs w:val="24"/>
                <w:lang w:val="da-DK"/>
              </w:rPr>
              <w:t>1</w:t>
            </w:r>
          </w:p>
        </w:tc>
        <w:tc>
          <w:tcPr>
            <w:tcW w:w="1647" w:type="pct"/>
          </w:tcPr>
          <w:p w14:paraId="16203590" w14:textId="77777777" w:rsidR="005E42DC" w:rsidRPr="00D11AD1" w:rsidRDefault="005E42DC" w:rsidP="00705D0A">
            <w:pPr>
              <w:pStyle w:val="Brdtekst"/>
              <w:keepNext/>
              <w:jc w:val="center"/>
              <w:rPr>
                <w:sz w:val="24"/>
                <w:szCs w:val="24"/>
                <w:lang w:val="da-DK"/>
              </w:rPr>
            </w:pPr>
            <w:r w:rsidRPr="00D11AD1">
              <w:rPr>
                <w:sz w:val="24"/>
                <w:szCs w:val="24"/>
                <w:lang w:val="da-DK"/>
              </w:rPr>
              <w:t>1</w:t>
            </w:r>
          </w:p>
        </w:tc>
      </w:tr>
      <w:tr w:rsidR="005E42DC" w:rsidRPr="00D11AD1" w14:paraId="3197F13F" w14:textId="77777777" w:rsidTr="00705D0A">
        <w:trPr>
          <w:trHeight w:val="274"/>
        </w:trPr>
        <w:tc>
          <w:tcPr>
            <w:tcW w:w="1702" w:type="pct"/>
          </w:tcPr>
          <w:p w14:paraId="3FC9F116" w14:textId="77777777" w:rsidR="005E42DC" w:rsidRPr="00D11AD1" w:rsidRDefault="005E42DC" w:rsidP="00705D0A">
            <w:pPr>
              <w:keepNext/>
              <w:adjustRightInd w:val="0"/>
              <w:rPr>
                <w:rFonts w:eastAsiaTheme="minorHAnsi"/>
                <w:b/>
                <w:sz w:val="24"/>
                <w:szCs w:val="24"/>
              </w:rPr>
            </w:pPr>
            <w:r w:rsidRPr="00D11AD1">
              <w:rPr>
                <w:rFonts w:eastAsia="TimesNewRomanPS-BoldMT"/>
                <w:b/>
                <w:bCs/>
                <w:sz w:val="24"/>
                <w:szCs w:val="24"/>
              </w:rPr>
              <w:t>Blødning</w:t>
            </w:r>
          </w:p>
        </w:tc>
        <w:tc>
          <w:tcPr>
            <w:tcW w:w="1651" w:type="pct"/>
          </w:tcPr>
          <w:p w14:paraId="4132C1D1" w14:textId="77777777" w:rsidR="005E42DC" w:rsidRPr="00D11AD1" w:rsidRDefault="005E42DC" w:rsidP="00705D0A">
            <w:pPr>
              <w:pStyle w:val="Brdtekst"/>
              <w:keepNext/>
              <w:jc w:val="center"/>
              <w:rPr>
                <w:sz w:val="24"/>
                <w:szCs w:val="24"/>
                <w:lang w:val="da-DK"/>
              </w:rPr>
            </w:pPr>
            <w:r w:rsidRPr="00D11AD1">
              <w:rPr>
                <w:sz w:val="24"/>
                <w:szCs w:val="24"/>
                <w:lang w:val="da-DK"/>
              </w:rPr>
              <w:t>23</w:t>
            </w:r>
          </w:p>
        </w:tc>
        <w:tc>
          <w:tcPr>
            <w:tcW w:w="1647" w:type="pct"/>
          </w:tcPr>
          <w:p w14:paraId="53424D2F" w14:textId="77777777" w:rsidR="005E42DC" w:rsidRPr="00D11AD1" w:rsidRDefault="005E42DC" w:rsidP="00705D0A">
            <w:pPr>
              <w:pStyle w:val="Brdtekst"/>
              <w:keepNext/>
              <w:jc w:val="center"/>
              <w:rPr>
                <w:sz w:val="24"/>
                <w:szCs w:val="24"/>
                <w:lang w:val="da-DK"/>
              </w:rPr>
            </w:pPr>
            <w:r w:rsidRPr="00D11AD1">
              <w:rPr>
                <w:sz w:val="24"/>
                <w:szCs w:val="24"/>
                <w:lang w:val="da-DK"/>
              </w:rPr>
              <w:t>8</w:t>
            </w:r>
          </w:p>
        </w:tc>
      </w:tr>
      <w:tr w:rsidR="005E42DC" w:rsidRPr="00D11AD1" w14:paraId="07F2ADF1" w14:textId="77777777" w:rsidTr="00705D0A">
        <w:trPr>
          <w:trHeight w:val="285"/>
        </w:trPr>
        <w:tc>
          <w:tcPr>
            <w:tcW w:w="1702" w:type="pct"/>
          </w:tcPr>
          <w:p w14:paraId="2D0ECA51" w14:textId="77777777" w:rsidR="005E42DC" w:rsidRPr="00D11AD1" w:rsidRDefault="005E42DC" w:rsidP="00705D0A">
            <w:pPr>
              <w:keepNext/>
              <w:adjustRightInd w:val="0"/>
              <w:ind w:left="170"/>
              <w:rPr>
                <w:rFonts w:eastAsiaTheme="minorHAnsi"/>
                <w:sz w:val="24"/>
                <w:szCs w:val="24"/>
              </w:rPr>
            </w:pPr>
            <w:r w:rsidRPr="00D11AD1">
              <w:rPr>
                <w:rFonts w:eastAsia="TimesNewRomanPSMT"/>
                <w:sz w:val="24"/>
                <w:szCs w:val="24"/>
              </w:rPr>
              <w:t>Gastrointestinal blødning</w:t>
            </w:r>
          </w:p>
        </w:tc>
        <w:tc>
          <w:tcPr>
            <w:tcW w:w="1651" w:type="pct"/>
          </w:tcPr>
          <w:p w14:paraId="2B744365" w14:textId="77777777" w:rsidR="005E42DC" w:rsidRPr="00D11AD1" w:rsidRDefault="005E42DC" w:rsidP="00705D0A">
            <w:pPr>
              <w:pStyle w:val="Brdtekst"/>
              <w:keepNext/>
              <w:jc w:val="center"/>
              <w:rPr>
                <w:sz w:val="24"/>
                <w:szCs w:val="24"/>
                <w:lang w:val="da-DK"/>
              </w:rPr>
            </w:pPr>
            <w:r w:rsidRPr="00D11AD1">
              <w:rPr>
                <w:sz w:val="24"/>
                <w:szCs w:val="24"/>
                <w:lang w:val="da-DK"/>
              </w:rPr>
              <w:t>8</w:t>
            </w:r>
          </w:p>
        </w:tc>
        <w:tc>
          <w:tcPr>
            <w:tcW w:w="1647" w:type="pct"/>
          </w:tcPr>
          <w:p w14:paraId="264A357C" w14:textId="77777777" w:rsidR="005E42DC" w:rsidRPr="00D11AD1" w:rsidRDefault="005E42DC" w:rsidP="00705D0A">
            <w:pPr>
              <w:pStyle w:val="Brdtekst"/>
              <w:keepNext/>
              <w:jc w:val="center"/>
              <w:rPr>
                <w:sz w:val="24"/>
                <w:szCs w:val="24"/>
                <w:lang w:val="da-DK"/>
              </w:rPr>
            </w:pPr>
            <w:r w:rsidRPr="00D11AD1">
              <w:rPr>
                <w:sz w:val="24"/>
                <w:szCs w:val="24"/>
                <w:lang w:val="da-DK"/>
              </w:rPr>
              <w:t>6</w:t>
            </w:r>
          </w:p>
        </w:tc>
      </w:tr>
    </w:tbl>
    <w:p w14:paraId="0407AC81" w14:textId="656247A9" w:rsidR="005E42DC" w:rsidRPr="00D11AD1" w:rsidRDefault="005E42DC" w:rsidP="00705D0A">
      <w:pPr>
        <w:keepNext/>
        <w:adjustRightInd w:val="0"/>
        <w:ind w:left="284" w:hanging="284"/>
        <w:rPr>
          <w:rFonts w:eastAsia="TimesNewRomanPSMT"/>
          <w:sz w:val="24"/>
          <w:szCs w:val="24"/>
        </w:rPr>
      </w:pPr>
      <w:r w:rsidRPr="00D11AD1">
        <w:rPr>
          <w:position w:val="6"/>
          <w:sz w:val="24"/>
          <w:szCs w:val="24"/>
        </w:rPr>
        <w:t>a</w:t>
      </w:r>
      <w:r w:rsidR="006D3DE8" w:rsidRPr="00D11AD1">
        <w:rPr>
          <w:position w:val="6"/>
          <w:sz w:val="24"/>
          <w:szCs w:val="24"/>
        </w:rPr>
        <w:tab/>
      </w:r>
      <w:r w:rsidRPr="00D11AD1">
        <w:rPr>
          <w:rFonts w:eastAsia="TimesNewRomanPSMT"/>
          <w:sz w:val="24"/>
          <w:szCs w:val="24"/>
        </w:rPr>
        <w:t xml:space="preserve">Resultater fra fase 3-dosisoptimeringsstudie i populationen med den anbefalede startdosis på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(n=304) ved endelig studieopfølgning år 2</w:t>
      </w:r>
      <w:r w:rsidRPr="00D11AD1">
        <w:rPr>
          <w:sz w:val="24"/>
          <w:szCs w:val="24"/>
        </w:rPr>
        <w:t>.</w:t>
      </w:r>
    </w:p>
    <w:p w14:paraId="35717BF3" w14:textId="7B98F9BC" w:rsidR="005E42DC" w:rsidRPr="00D11AD1" w:rsidRDefault="005E42DC" w:rsidP="00705D0A">
      <w:pPr>
        <w:keepNext/>
        <w:adjustRightInd w:val="0"/>
        <w:ind w:left="284" w:hanging="284"/>
        <w:rPr>
          <w:rFonts w:eastAsia="TimesNewRomanPSMT"/>
          <w:sz w:val="24"/>
          <w:szCs w:val="24"/>
        </w:rPr>
      </w:pPr>
      <w:r w:rsidRPr="00D11AD1">
        <w:rPr>
          <w:position w:val="6"/>
          <w:sz w:val="24"/>
          <w:szCs w:val="24"/>
        </w:rPr>
        <w:t>b</w:t>
      </w:r>
      <w:r w:rsidR="00FC7C39" w:rsidRPr="00D11AD1">
        <w:rPr>
          <w:position w:val="6"/>
          <w:sz w:val="24"/>
          <w:szCs w:val="24"/>
        </w:rPr>
        <w:tab/>
      </w:r>
      <w:r w:rsidRPr="00D11AD1">
        <w:rPr>
          <w:rFonts w:eastAsia="TimesNewRomanPSMT"/>
          <w:sz w:val="24"/>
          <w:szCs w:val="24"/>
        </w:rPr>
        <w:t>Inkluderer ventrikulel dysfunktion, hjerteinsufficiens, kongestiv hjerteinsufficiens, kardiomyopati, kongestiv kardiomyopati, diastolisk dysfunktion, nedsat uddrivningsfraktion og ventrikelsvigt.</w:t>
      </w:r>
    </w:p>
    <w:p w14:paraId="5DACDDC3" w14:textId="77777777" w:rsidR="005E42DC" w:rsidRPr="00D11AD1" w:rsidRDefault="005E42DC" w:rsidP="009260DE">
      <w:pPr>
        <w:pStyle w:val="Sidehoved"/>
        <w:tabs>
          <w:tab w:val="left" w:pos="851"/>
        </w:tabs>
        <w:ind w:left="851"/>
        <w:rPr>
          <w:szCs w:val="24"/>
        </w:rPr>
      </w:pPr>
    </w:p>
    <w:p w14:paraId="4BC45C6E" w14:textId="7E375EF6" w:rsidR="00FC7C39" w:rsidRPr="00D11AD1" w:rsidRDefault="00FC7C39" w:rsidP="00FC7C39">
      <w:pPr>
        <w:pStyle w:val="Sidehoved"/>
        <w:tabs>
          <w:tab w:val="left" w:pos="851"/>
        </w:tabs>
        <w:ind w:left="851"/>
        <w:rPr>
          <w:szCs w:val="24"/>
        </w:rPr>
      </w:pPr>
      <w:r w:rsidRPr="00D11AD1">
        <w:rPr>
          <w:szCs w:val="24"/>
        </w:rPr>
        <w:t>Der var desuden to studier med i alt 161 pædiatriske patienter med Ph+ ALL, som fik dasatinib</w:t>
      </w:r>
      <w:r w:rsidR="009327A4" w:rsidRPr="00D11AD1">
        <w:rPr>
          <w:szCs w:val="24"/>
        </w:rPr>
        <w:t xml:space="preserve"> </w:t>
      </w:r>
      <w:r w:rsidRPr="00D11AD1">
        <w:rPr>
          <w:szCs w:val="24"/>
        </w:rPr>
        <w:t>administreret i kombination med kemoterapi. I det pivotale studie fik 106 pædiatriske patienter dasatinib</w:t>
      </w:r>
      <w:r w:rsidR="009327A4" w:rsidRPr="00D11AD1">
        <w:rPr>
          <w:szCs w:val="24"/>
        </w:rPr>
        <w:t xml:space="preserve"> </w:t>
      </w:r>
      <w:r w:rsidRPr="00D11AD1">
        <w:rPr>
          <w:szCs w:val="24"/>
        </w:rPr>
        <w:t>i kombination med kemoterapi i et kontinuerligt dosisregime. I et understøttende studie fik 35 ud af 55 pædiatriske patienter dasatinib</w:t>
      </w:r>
      <w:r w:rsidR="009327A4" w:rsidRPr="00D11AD1">
        <w:rPr>
          <w:szCs w:val="24"/>
        </w:rPr>
        <w:t xml:space="preserve"> </w:t>
      </w:r>
      <w:r w:rsidRPr="00D11AD1">
        <w:rPr>
          <w:szCs w:val="24"/>
        </w:rPr>
        <w:t xml:space="preserve">i kombination med kemoterapi i et diskontinuerligt dosisregime (to uger i behandling </w:t>
      </w:r>
      <w:r w:rsidRPr="00D11AD1">
        <w:rPr>
          <w:szCs w:val="24"/>
        </w:rPr>
        <w:lastRenderedPageBreak/>
        <w:t>efterfulgt af en til to uger uden behandling), og 20 fik dasatinib</w:t>
      </w:r>
      <w:r w:rsidR="009327A4" w:rsidRPr="00D11AD1">
        <w:rPr>
          <w:szCs w:val="24"/>
        </w:rPr>
        <w:t xml:space="preserve"> </w:t>
      </w:r>
      <w:r w:rsidRPr="00D11AD1">
        <w:rPr>
          <w:szCs w:val="24"/>
        </w:rPr>
        <w:t>i kombination med kemoterapi i et kontinuerligt dosisregime. Blandt de 126 pædiatriske patienter med Ph+ ALL behandlet med dasatinib</w:t>
      </w:r>
      <w:r w:rsidR="009327A4" w:rsidRPr="00D11AD1">
        <w:rPr>
          <w:szCs w:val="24"/>
        </w:rPr>
        <w:t xml:space="preserve"> </w:t>
      </w:r>
      <w:r w:rsidRPr="00D11AD1">
        <w:rPr>
          <w:szCs w:val="24"/>
        </w:rPr>
        <w:t xml:space="preserve">i et kontinuerligt dosisregime var medianvarigheden af behandlingen 23,6 måneder (interval 1,4 til 33 måneder). </w:t>
      </w:r>
    </w:p>
    <w:p w14:paraId="471AB297" w14:textId="77777777" w:rsidR="00FC7C39" w:rsidRPr="00D11AD1" w:rsidRDefault="00FC7C39" w:rsidP="00FC7C39">
      <w:pPr>
        <w:pStyle w:val="Sidehoved"/>
        <w:tabs>
          <w:tab w:val="left" w:pos="851"/>
        </w:tabs>
        <w:ind w:left="851"/>
        <w:rPr>
          <w:szCs w:val="24"/>
        </w:rPr>
      </w:pPr>
    </w:p>
    <w:p w14:paraId="66422165" w14:textId="736B9E4C" w:rsidR="00FC7C39" w:rsidRPr="00D11AD1" w:rsidRDefault="00FC7C39" w:rsidP="00FC7C39">
      <w:pPr>
        <w:pStyle w:val="Sidehoved"/>
        <w:tabs>
          <w:tab w:val="left" w:pos="851"/>
        </w:tabs>
        <w:ind w:left="851"/>
        <w:rPr>
          <w:szCs w:val="24"/>
        </w:rPr>
      </w:pPr>
      <w:r w:rsidRPr="00D11AD1">
        <w:rPr>
          <w:szCs w:val="24"/>
        </w:rPr>
        <w:t>Af 126 pædiatriske patienter med Ph+ ALL i et kontinuerligt dosisregime oplevede 2 (1,6</w:t>
      </w:r>
      <w:r w:rsidR="00FA34A4" w:rsidRPr="00D11AD1">
        <w:rPr>
          <w:szCs w:val="24"/>
        </w:rPr>
        <w:t xml:space="preserve"> %</w:t>
      </w:r>
      <w:r w:rsidRPr="00D11AD1">
        <w:rPr>
          <w:szCs w:val="24"/>
        </w:rPr>
        <w:t>), bivirkninger, der medførte behandlingsophør. Bivirkninger rapporteret i disse to pædiatriske studier med en hyppighed på ≥10</w:t>
      </w:r>
      <w:r w:rsidR="00FA34A4" w:rsidRPr="00D11AD1">
        <w:rPr>
          <w:szCs w:val="24"/>
        </w:rPr>
        <w:t xml:space="preserve"> %</w:t>
      </w:r>
      <w:r w:rsidRPr="00D11AD1">
        <w:rPr>
          <w:szCs w:val="24"/>
        </w:rPr>
        <w:t xml:space="preserve"> hos patienter i et kontinuerligt dosisregime, fremgår af Tabel 7. Det skal bemærkes, at pleuraeffusion blev rapporteret hos 7 (5,6</w:t>
      </w:r>
      <w:r w:rsidR="00FA34A4" w:rsidRPr="00D11AD1">
        <w:rPr>
          <w:szCs w:val="24"/>
        </w:rPr>
        <w:t xml:space="preserve"> %</w:t>
      </w:r>
      <w:r w:rsidRPr="00D11AD1">
        <w:rPr>
          <w:szCs w:val="24"/>
        </w:rPr>
        <w:t>) patienter i denne gruppe, og det er derfor ikke inkluderet i tabellen.</w:t>
      </w:r>
    </w:p>
    <w:p w14:paraId="65BE1CC4" w14:textId="77777777" w:rsidR="00FC7C39" w:rsidRPr="00D11AD1" w:rsidRDefault="00FC7C39" w:rsidP="009260DE">
      <w:pPr>
        <w:pStyle w:val="Sidehoved"/>
        <w:tabs>
          <w:tab w:val="left" w:pos="851"/>
        </w:tabs>
        <w:ind w:left="851"/>
        <w:rPr>
          <w:szCs w:val="24"/>
        </w:rPr>
      </w:pPr>
    </w:p>
    <w:p w14:paraId="07BB3A29" w14:textId="0421A1DE" w:rsidR="00FC7C39" w:rsidRPr="00D11AD1" w:rsidRDefault="00FC7C39" w:rsidP="00705D0A">
      <w:pPr>
        <w:pStyle w:val="Sidehoved"/>
        <w:keepNext/>
        <w:tabs>
          <w:tab w:val="left" w:pos="851"/>
        </w:tabs>
        <w:ind w:left="851"/>
        <w:rPr>
          <w:b/>
          <w:bCs/>
          <w:szCs w:val="24"/>
        </w:rPr>
      </w:pPr>
      <w:r w:rsidRPr="00D11AD1">
        <w:rPr>
          <w:b/>
          <w:szCs w:val="24"/>
        </w:rPr>
        <w:t xml:space="preserve">Tabel 7: </w:t>
      </w:r>
      <w:r w:rsidRPr="00D11AD1">
        <w:rPr>
          <w:b/>
          <w:szCs w:val="24"/>
        </w:rPr>
        <w:tab/>
      </w:r>
      <w:r w:rsidRPr="00D11AD1">
        <w:rPr>
          <w:b/>
          <w:bCs/>
          <w:szCs w:val="24"/>
        </w:rPr>
        <w:t>Bivirkninger rapporteret hos ≥10</w:t>
      </w:r>
      <w:r w:rsidR="00FA34A4" w:rsidRPr="00D11AD1">
        <w:rPr>
          <w:b/>
          <w:bCs/>
          <w:szCs w:val="24"/>
        </w:rPr>
        <w:t xml:space="preserve"> %</w:t>
      </w:r>
      <w:r w:rsidRPr="00D11AD1">
        <w:rPr>
          <w:b/>
          <w:bCs/>
          <w:szCs w:val="24"/>
        </w:rPr>
        <w:t xml:space="preserve"> af pædiatriske patienter med Ph+ ALL behandlet med dasatinib i et kontinuerligt dosisregime i kombination med kemoterapi (N=126)</w:t>
      </w:r>
      <w:r w:rsidRPr="00D11AD1">
        <w:rPr>
          <w:b/>
          <w:szCs w:val="24"/>
          <w:vertAlign w:val="superscript"/>
        </w:rPr>
        <w:t>a</w:t>
      </w:r>
    </w:p>
    <w:p w14:paraId="34B2DDC9" w14:textId="79936CEC" w:rsidR="00EC0AFA" w:rsidRPr="00D11AD1" w:rsidRDefault="00EC0AFA" w:rsidP="00705D0A">
      <w:pPr>
        <w:pStyle w:val="Sidehoved"/>
        <w:keepNext/>
        <w:tabs>
          <w:tab w:val="clear" w:pos="4819"/>
          <w:tab w:val="left" w:pos="851"/>
          <w:tab w:val="left" w:pos="4678"/>
        </w:tabs>
        <w:ind w:left="851"/>
        <w:rPr>
          <w:b/>
          <w:szCs w:val="24"/>
        </w:rPr>
      </w:pPr>
      <w:r w:rsidRPr="00D11AD1">
        <w:rPr>
          <w:b/>
          <w:szCs w:val="24"/>
        </w:rPr>
        <w:tab/>
        <w:t>Procentdel (</w:t>
      </w:r>
      <w:r w:rsidR="00FA34A4" w:rsidRPr="00D11AD1">
        <w:rPr>
          <w:b/>
          <w:szCs w:val="24"/>
        </w:rPr>
        <w:t>%</w:t>
      </w:r>
      <w:r w:rsidRPr="00D11AD1">
        <w:rPr>
          <w:b/>
          <w:szCs w:val="24"/>
        </w:rPr>
        <w:t>) af patienter</w:t>
      </w:r>
    </w:p>
    <w:p w14:paraId="4CF325E9" w14:textId="77777777" w:rsidR="00856AAD" w:rsidRPr="00D11AD1" w:rsidRDefault="00856AAD" w:rsidP="00705D0A">
      <w:pPr>
        <w:pStyle w:val="Sidehoved"/>
        <w:keepNext/>
        <w:tabs>
          <w:tab w:val="clear" w:pos="4819"/>
          <w:tab w:val="left" w:pos="851"/>
          <w:tab w:val="left" w:pos="4111"/>
          <w:tab w:val="left" w:pos="7230"/>
        </w:tabs>
        <w:ind w:left="851"/>
        <w:rPr>
          <w:b/>
          <w:szCs w:val="24"/>
        </w:rPr>
      </w:pPr>
      <w:r w:rsidRPr="00D11AD1">
        <w:rPr>
          <w:b/>
          <w:szCs w:val="24"/>
        </w:rPr>
        <w:t>Bivirkning</w:t>
      </w:r>
      <w:r w:rsidRPr="00D11AD1">
        <w:rPr>
          <w:b/>
          <w:szCs w:val="24"/>
        </w:rPr>
        <w:tab/>
        <w:t>Alle grader</w:t>
      </w:r>
      <w:r w:rsidRPr="00D11AD1">
        <w:rPr>
          <w:b/>
          <w:szCs w:val="24"/>
        </w:rPr>
        <w:tab/>
        <w:t>Grad 3/4</w:t>
      </w:r>
    </w:p>
    <w:tbl>
      <w:tblPr>
        <w:tblStyle w:val="TableNormal1"/>
        <w:tblW w:w="0" w:type="auto"/>
        <w:tblInd w:w="567" w:type="dxa"/>
        <w:tblLayout w:type="fixed"/>
        <w:tblLook w:val="01E0" w:firstRow="1" w:lastRow="1" w:firstColumn="1" w:lastColumn="1" w:noHBand="0" w:noVBand="0"/>
      </w:tblPr>
      <w:tblGrid>
        <w:gridCol w:w="2866"/>
        <w:gridCol w:w="2660"/>
        <w:gridCol w:w="3196"/>
      </w:tblGrid>
      <w:tr w:rsidR="007E31DA" w:rsidRPr="00D11AD1" w14:paraId="7392CAAB" w14:textId="77777777" w:rsidTr="007E31DA">
        <w:trPr>
          <w:trHeight w:val="240"/>
        </w:trPr>
        <w:tc>
          <w:tcPr>
            <w:tcW w:w="2866" w:type="dxa"/>
            <w:tcBorders>
              <w:top w:val="single" w:sz="4" w:space="0" w:color="000000"/>
            </w:tcBorders>
          </w:tcPr>
          <w:p w14:paraId="270236D6"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Febril neutropeni</w:t>
            </w:r>
          </w:p>
        </w:tc>
        <w:tc>
          <w:tcPr>
            <w:tcW w:w="2660" w:type="dxa"/>
            <w:tcBorders>
              <w:top w:val="single" w:sz="4" w:space="0" w:color="000000"/>
            </w:tcBorders>
          </w:tcPr>
          <w:p w14:paraId="1AFE6565" w14:textId="77777777" w:rsidR="007E31DA" w:rsidRPr="00D11AD1" w:rsidRDefault="007E31DA" w:rsidP="00705D0A">
            <w:pPr>
              <w:pStyle w:val="TableParagraph"/>
              <w:keepNext/>
              <w:ind w:left="889"/>
              <w:rPr>
                <w:rFonts w:ascii="Times New Roman" w:hAnsi="Times New Roman" w:cs="Times New Roman"/>
                <w:sz w:val="24"/>
                <w:szCs w:val="24"/>
                <w:lang w:val="da-DK"/>
              </w:rPr>
            </w:pPr>
            <w:r w:rsidRPr="00D11AD1">
              <w:rPr>
                <w:rFonts w:ascii="Times New Roman" w:hAnsi="Times New Roman" w:cs="Times New Roman"/>
                <w:w w:val="105"/>
                <w:sz w:val="24"/>
                <w:szCs w:val="24"/>
                <w:lang w:val="da-DK"/>
              </w:rPr>
              <w:t>27,0</w:t>
            </w:r>
          </w:p>
        </w:tc>
        <w:tc>
          <w:tcPr>
            <w:tcW w:w="3196" w:type="dxa"/>
            <w:tcBorders>
              <w:top w:val="single" w:sz="4" w:space="0" w:color="000000"/>
            </w:tcBorders>
          </w:tcPr>
          <w:p w14:paraId="2C848944" w14:textId="77777777" w:rsidR="007E31DA" w:rsidRPr="00D11AD1" w:rsidRDefault="007E31DA" w:rsidP="00705D0A">
            <w:pPr>
              <w:pStyle w:val="TableParagraph"/>
              <w:keepNext/>
              <w:ind w:left="1405"/>
              <w:rPr>
                <w:rFonts w:ascii="Times New Roman" w:hAnsi="Times New Roman" w:cs="Times New Roman"/>
                <w:sz w:val="24"/>
                <w:szCs w:val="24"/>
                <w:lang w:val="da-DK"/>
              </w:rPr>
            </w:pPr>
            <w:r w:rsidRPr="00D11AD1">
              <w:rPr>
                <w:rFonts w:ascii="Times New Roman" w:hAnsi="Times New Roman" w:cs="Times New Roman"/>
                <w:w w:val="105"/>
                <w:sz w:val="24"/>
                <w:szCs w:val="24"/>
                <w:lang w:val="da-DK"/>
              </w:rPr>
              <w:t>26,2</w:t>
            </w:r>
          </w:p>
        </w:tc>
      </w:tr>
      <w:tr w:rsidR="007E31DA" w:rsidRPr="00D11AD1" w14:paraId="0B006716" w14:textId="77777777" w:rsidTr="007E31DA">
        <w:trPr>
          <w:trHeight w:val="220"/>
        </w:trPr>
        <w:tc>
          <w:tcPr>
            <w:tcW w:w="2866" w:type="dxa"/>
          </w:tcPr>
          <w:p w14:paraId="61760193"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Kvalme</w:t>
            </w:r>
          </w:p>
        </w:tc>
        <w:tc>
          <w:tcPr>
            <w:tcW w:w="2660" w:type="dxa"/>
          </w:tcPr>
          <w:p w14:paraId="07273D32" w14:textId="77777777" w:rsidR="007E31DA" w:rsidRPr="00D11AD1" w:rsidRDefault="007E31DA" w:rsidP="00705D0A">
            <w:pPr>
              <w:pStyle w:val="TableParagraph"/>
              <w:keepNext/>
              <w:ind w:left="889"/>
              <w:rPr>
                <w:rFonts w:ascii="Times New Roman" w:hAnsi="Times New Roman" w:cs="Times New Roman"/>
                <w:sz w:val="24"/>
                <w:szCs w:val="24"/>
                <w:lang w:val="da-DK"/>
              </w:rPr>
            </w:pPr>
            <w:r w:rsidRPr="00D11AD1">
              <w:rPr>
                <w:rFonts w:ascii="Times New Roman" w:hAnsi="Times New Roman" w:cs="Times New Roman"/>
                <w:w w:val="105"/>
                <w:sz w:val="24"/>
                <w:szCs w:val="24"/>
                <w:lang w:val="da-DK"/>
              </w:rPr>
              <w:t>20,6</w:t>
            </w:r>
          </w:p>
        </w:tc>
        <w:tc>
          <w:tcPr>
            <w:tcW w:w="3196" w:type="dxa"/>
          </w:tcPr>
          <w:p w14:paraId="07636402" w14:textId="77777777" w:rsidR="007E31DA" w:rsidRPr="00D11AD1" w:rsidRDefault="007E31DA" w:rsidP="00705D0A">
            <w:pPr>
              <w:pStyle w:val="TableParagraph"/>
              <w:keepNext/>
              <w:ind w:left="1457"/>
              <w:rPr>
                <w:rFonts w:ascii="Times New Roman" w:hAnsi="Times New Roman" w:cs="Times New Roman"/>
                <w:sz w:val="24"/>
                <w:szCs w:val="24"/>
                <w:lang w:val="da-DK"/>
              </w:rPr>
            </w:pPr>
            <w:r w:rsidRPr="00D11AD1">
              <w:rPr>
                <w:rFonts w:ascii="Times New Roman" w:hAnsi="Times New Roman" w:cs="Times New Roman"/>
                <w:w w:val="105"/>
                <w:sz w:val="24"/>
                <w:szCs w:val="24"/>
                <w:lang w:val="da-DK"/>
              </w:rPr>
              <w:t>5,6</w:t>
            </w:r>
          </w:p>
        </w:tc>
      </w:tr>
      <w:tr w:rsidR="007E31DA" w:rsidRPr="00D11AD1" w14:paraId="444DFA23" w14:textId="77777777" w:rsidTr="007E31DA">
        <w:trPr>
          <w:trHeight w:val="220"/>
        </w:trPr>
        <w:tc>
          <w:tcPr>
            <w:tcW w:w="2866" w:type="dxa"/>
          </w:tcPr>
          <w:p w14:paraId="297F7FF9"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Opkastning</w:t>
            </w:r>
          </w:p>
        </w:tc>
        <w:tc>
          <w:tcPr>
            <w:tcW w:w="2660" w:type="dxa"/>
          </w:tcPr>
          <w:p w14:paraId="1B5D4A27" w14:textId="77777777" w:rsidR="007E31DA" w:rsidRPr="00D11AD1" w:rsidRDefault="007E31DA" w:rsidP="00705D0A">
            <w:pPr>
              <w:pStyle w:val="TableParagraph"/>
              <w:keepNext/>
              <w:ind w:left="890"/>
              <w:rPr>
                <w:rFonts w:ascii="Times New Roman" w:hAnsi="Times New Roman" w:cs="Times New Roman"/>
                <w:sz w:val="24"/>
                <w:szCs w:val="24"/>
                <w:lang w:val="da-DK"/>
              </w:rPr>
            </w:pPr>
            <w:r w:rsidRPr="00D11AD1">
              <w:rPr>
                <w:rFonts w:ascii="Times New Roman" w:hAnsi="Times New Roman" w:cs="Times New Roman"/>
                <w:w w:val="105"/>
                <w:sz w:val="24"/>
                <w:szCs w:val="24"/>
                <w:lang w:val="da-DK"/>
              </w:rPr>
              <w:t>20,6</w:t>
            </w:r>
          </w:p>
        </w:tc>
        <w:tc>
          <w:tcPr>
            <w:tcW w:w="3196" w:type="dxa"/>
          </w:tcPr>
          <w:p w14:paraId="64F273B6" w14:textId="77777777" w:rsidR="007E31DA" w:rsidRPr="00D11AD1" w:rsidRDefault="007E31DA" w:rsidP="00705D0A">
            <w:pPr>
              <w:pStyle w:val="TableParagraph"/>
              <w:keepNext/>
              <w:ind w:left="1457"/>
              <w:rPr>
                <w:rFonts w:ascii="Times New Roman" w:hAnsi="Times New Roman" w:cs="Times New Roman"/>
                <w:sz w:val="24"/>
                <w:szCs w:val="24"/>
                <w:lang w:val="da-DK"/>
              </w:rPr>
            </w:pPr>
            <w:r w:rsidRPr="00D11AD1">
              <w:rPr>
                <w:rFonts w:ascii="Times New Roman" w:hAnsi="Times New Roman" w:cs="Times New Roman"/>
                <w:w w:val="105"/>
                <w:sz w:val="24"/>
                <w:szCs w:val="24"/>
                <w:lang w:val="da-DK"/>
              </w:rPr>
              <w:t>4,8</w:t>
            </w:r>
          </w:p>
        </w:tc>
      </w:tr>
      <w:tr w:rsidR="007E31DA" w:rsidRPr="00D11AD1" w14:paraId="2DD4AE0D" w14:textId="77777777" w:rsidTr="007E31DA">
        <w:trPr>
          <w:trHeight w:val="220"/>
        </w:trPr>
        <w:tc>
          <w:tcPr>
            <w:tcW w:w="2866" w:type="dxa"/>
          </w:tcPr>
          <w:p w14:paraId="7E81F591"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Mavesmerter</w:t>
            </w:r>
          </w:p>
        </w:tc>
        <w:tc>
          <w:tcPr>
            <w:tcW w:w="2660" w:type="dxa"/>
          </w:tcPr>
          <w:p w14:paraId="5AB6A83F" w14:textId="77777777" w:rsidR="007E31DA" w:rsidRPr="00D11AD1" w:rsidRDefault="007E31DA" w:rsidP="00705D0A">
            <w:pPr>
              <w:pStyle w:val="TableParagraph"/>
              <w:keepNext/>
              <w:ind w:left="891"/>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14,3</w:t>
            </w:r>
          </w:p>
        </w:tc>
        <w:tc>
          <w:tcPr>
            <w:tcW w:w="3196" w:type="dxa"/>
          </w:tcPr>
          <w:p w14:paraId="2C615A5F" w14:textId="77777777" w:rsidR="007E31DA" w:rsidRPr="00D11AD1" w:rsidRDefault="007E31DA" w:rsidP="00705D0A">
            <w:pPr>
              <w:pStyle w:val="TableParagraph"/>
              <w:keepNext/>
              <w:ind w:left="1458"/>
              <w:rPr>
                <w:rFonts w:ascii="Times New Roman" w:hAnsi="Times New Roman" w:cs="Times New Roman"/>
                <w:sz w:val="24"/>
                <w:szCs w:val="24"/>
                <w:lang w:val="da-DK"/>
              </w:rPr>
            </w:pPr>
            <w:r w:rsidRPr="00D11AD1">
              <w:rPr>
                <w:rFonts w:ascii="Times New Roman" w:hAnsi="Times New Roman" w:cs="Times New Roman"/>
                <w:w w:val="105"/>
                <w:sz w:val="24"/>
                <w:szCs w:val="24"/>
                <w:lang w:val="da-DK"/>
              </w:rPr>
              <w:t>3,2</w:t>
            </w:r>
          </w:p>
        </w:tc>
      </w:tr>
      <w:tr w:rsidR="007E31DA" w:rsidRPr="00D11AD1" w14:paraId="3960CBBC" w14:textId="77777777" w:rsidTr="007E31DA">
        <w:trPr>
          <w:trHeight w:val="220"/>
        </w:trPr>
        <w:tc>
          <w:tcPr>
            <w:tcW w:w="2866" w:type="dxa"/>
          </w:tcPr>
          <w:p w14:paraId="532603C2"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Diarré</w:t>
            </w:r>
          </w:p>
        </w:tc>
        <w:tc>
          <w:tcPr>
            <w:tcW w:w="2660" w:type="dxa"/>
          </w:tcPr>
          <w:p w14:paraId="746B1DEA" w14:textId="77777777" w:rsidR="007E31DA" w:rsidRPr="00D11AD1" w:rsidRDefault="007E31DA" w:rsidP="00705D0A">
            <w:pPr>
              <w:pStyle w:val="TableParagraph"/>
              <w:keepNext/>
              <w:ind w:left="889"/>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12,7</w:t>
            </w:r>
          </w:p>
        </w:tc>
        <w:tc>
          <w:tcPr>
            <w:tcW w:w="3196" w:type="dxa"/>
          </w:tcPr>
          <w:p w14:paraId="4C677E30" w14:textId="77777777" w:rsidR="007E31DA" w:rsidRPr="00D11AD1" w:rsidRDefault="007E31DA" w:rsidP="00705D0A">
            <w:pPr>
              <w:pStyle w:val="TableParagraph"/>
              <w:keepNext/>
              <w:ind w:left="1457"/>
              <w:rPr>
                <w:rFonts w:ascii="Times New Roman" w:hAnsi="Times New Roman" w:cs="Times New Roman"/>
                <w:sz w:val="24"/>
                <w:szCs w:val="24"/>
                <w:lang w:val="da-DK"/>
              </w:rPr>
            </w:pPr>
            <w:r w:rsidRPr="00D11AD1">
              <w:rPr>
                <w:rFonts w:ascii="Times New Roman" w:hAnsi="Times New Roman" w:cs="Times New Roman"/>
                <w:w w:val="105"/>
                <w:sz w:val="24"/>
                <w:szCs w:val="24"/>
                <w:lang w:val="da-DK"/>
              </w:rPr>
              <w:t>4,8</w:t>
            </w:r>
          </w:p>
        </w:tc>
      </w:tr>
      <w:tr w:rsidR="007E31DA" w:rsidRPr="00D11AD1" w14:paraId="7674795B" w14:textId="77777777" w:rsidTr="007E31DA">
        <w:trPr>
          <w:trHeight w:val="220"/>
        </w:trPr>
        <w:tc>
          <w:tcPr>
            <w:tcW w:w="2866" w:type="dxa"/>
          </w:tcPr>
          <w:p w14:paraId="5174AC09"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Pyreksi</w:t>
            </w:r>
          </w:p>
        </w:tc>
        <w:tc>
          <w:tcPr>
            <w:tcW w:w="2660" w:type="dxa"/>
          </w:tcPr>
          <w:p w14:paraId="03F8ACB7" w14:textId="77777777" w:rsidR="007E31DA" w:rsidRPr="00D11AD1" w:rsidRDefault="007E31DA" w:rsidP="00705D0A">
            <w:pPr>
              <w:pStyle w:val="TableParagraph"/>
              <w:keepNext/>
              <w:ind w:left="889"/>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12,7</w:t>
            </w:r>
          </w:p>
        </w:tc>
        <w:tc>
          <w:tcPr>
            <w:tcW w:w="3196" w:type="dxa"/>
          </w:tcPr>
          <w:p w14:paraId="76069AFB" w14:textId="77777777" w:rsidR="007E31DA" w:rsidRPr="00D11AD1" w:rsidRDefault="007E31DA" w:rsidP="00705D0A">
            <w:pPr>
              <w:pStyle w:val="TableParagraph"/>
              <w:keepNext/>
              <w:ind w:left="1456"/>
              <w:rPr>
                <w:rFonts w:ascii="Times New Roman" w:hAnsi="Times New Roman" w:cs="Times New Roman"/>
                <w:sz w:val="24"/>
                <w:szCs w:val="24"/>
                <w:lang w:val="da-DK"/>
              </w:rPr>
            </w:pPr>
            <w:r w:rsidRPr="00D11AD1">
              <w:rPr>
                <w:rFonts w:ascii="Times New Roman" w:hAnsi="Times New Roman" w:cs="Times New Roman"/>
                <w:w w:val="105"/>
                <w:sz w:val="24"/>
                <w:szCs w:val="24"/>
                <w:lang w:val="da-DK"/>
              </w:rPr>
              <w:t>5,6</w:t>
            </w:r>
          </w:p>
        </w:tc>
      </w:tr>
      <w:tr w:rsidR="007E31DA" w:rsidRPr="00D11AD1" w14:paraId="75EC7700" w14:textId="77777777" w:rsidTr="007E31DA">
        <w:trPr>
          <w:trHeight w:val="220"/>
        </w:trPr>
        <w:tc>
          <w:tcPr>
            <w:tcW w:w="2866" w:type="dxa"/>
          </w:tcPr>
          <w:p w14:paraId="6D6080BB"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Hovedpine</w:t>
            </w:r>
          </w:p>
        </w:tc>
        <w:tc>
          <w:tcPr>
            <w:tcW w:w="2660" w:type="dxa"/>
          </w:tcPr>
          <w:p w14:paraId="2A377CB2" w14:textId="77777777" w:rsidR="007E31DA" w:rsidRPr="00D11AD1" w:rsidRDefault="007E31DA" w:rsidP="00705D0A">
            <w:pPr>
              <w:pStyle w:val="TableParagraph"/>
              <w:keepNext/>
              <w:ind w:left="890"/>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11,1</w:t>
            </w:r>
          </w:p>
        </w:tc>
        <w:tc>
          <w:tcPr>
            <w:tcW w:w="3196" w:type="dxa"/>
          </w:tcPr>
          <w:p w14:paraId="2DB78EC2" w14:textId="77777777" w:rsidR="007E31DA" w:rsidRPr="00D11AD1" w:rsidRDefault="007E31DA" w:rsidP="00705D0A">
            <w:pPr>
              <w:pStyle w:val="TableParagraph"/>
              <w:keepNext/>
              <w:ind w:left="1458"/>
              <w:rPr>
                <w:rFonts w:ascii="Times New Roman" w:hAnsi="Times New Roman" w:cs="Times New Roman"/>
                <w:sz w:val="24"/>
                <w:szCs w:val="24"/>
                <w:lang w:val="da-DK"/>
              </w:rPr>
            </w:pPr>
            <w:r w:rsidRPr="00D11AD1">
              <w:rPr>
                <w:rFonts w:ascii="Times New Roman" w:hAnsi="Times New Roman" w:cs="Times New Roman"/>
                <w:w w:val="105"/>
                <w:sz w:val="24"/>
                <w:szCs w:val="24"/>
                <w:lang w:val="da-DK"/>
              </w:rPr>
              <w:t>4,8</w:t>
            </w:r>
          </w:p>
        </w:tc>
      </w:tr>
      <w:tr w:rsidR="007E31DA" w:rsidRPr="00D11AD1" w14:paraId="1EE0AB00" w14:textId="77777777" w:rsidTr="007E31DA">
        <w:trPr>
          <w:trHeight w:val="220"/>
        </w:trPr>
        <w:tc>
          <w:tcPr>
            <w:tcW w:w="2866" w:type="dxa"/>
          </w:tcPr>
          <w:p w14:paraId="0B9E22A1"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Nedsat appetit</w:t>
            </w:r>
          </w:p>
        </w:tc>
        <w:tc>
          <w:tcPr>
            <w:tcW w:w="2660" w:type="dxa"/>
          </w:tcPr>
          <w:p w14:paraId="4CA3360E" w14:textId="77777777" w:rsidR="007E31DA" w:rsidRPr="00D11AD1" w:rsidRDefault="007E31DA" w:rsidP="00705D0A">
            <w:pPr>
              <w:pStyle w:val="TableParagraph"/>
              <w:keepNext/>
              <w:ind w:left="891"/>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10,3</w:t>
            </w:r>
          </w:p>
        </w:tc>
        <w:tc>
          <w:tcPr>
            <w:tcW w:w="3196" w:type="dxa"/>
          </w:tcPr>
          <w:p w14:paraId="2C5DA070" w14:textId="77777777" w:rsidR="007E31DA" w:rsidRPr="00D11AD1" w:rsidRDefault="007E31DA" w:rsidP="00705D0A">
            <w:pPr>
              <w:pStyle w:val="TableParagraph"/>
              <w:keepNext/>
              <w:ind w:left="1458"/>
              <w:rPr>
                <w:rFonts w:ascii="Times New Roman" w:hAnsi="Times New Roman" w:cs="Times New Roman"/>
                <w:sz w:val="24"/>
                <w:szCs w:val="24"/>
                <w:lang w:val="da-DK"/>
              </w:rPr>
            </w:pPr>
            <w:r w:rsidRPr="00D11AD1">
              <w:rPr>
                <w:rFonts w:ascii="Times New Roman" w:hAnsi="Times New Roman" w:cs="Times New Roman"/>
                <w:w w:val="105"/>
                <w:sz w:val="24"/>
                <w:szCs w:val="24"/>
                <w:lang w:val="da-DK"/>
              </w:rPr>
              <w:t>4,8</w:t>
            </w:r>
          </w:p>
        </w:tc>
      </w:tr>
      <w:tr w:rsidR="007E31DA" w:rsidRPr="00D11AD1" w14:paraId="5F2F460C" w14:textId="77777777" w:rsidTr="007E31DA">
        <w:trPr>
          <w:trHeight w:val="220"/>
        </w:trPr>
        <w:tc>
          <w:tcPr>
            <w:tcW w:w="2866" w:type="dxa"/>
            <w:tcBorders>
              <w:bottom w:val="single" w:sz="4" w:space="0" w:color="000000"/>
            </w:tcBorders>
          </w:tcPr>
          <w:p w14:paraId="2C0CEF53" w14:textId="77777777" w:rsidR="007E31DA" w:rsidRPr="00D11AD1" w:rsidRDefault="007E31DA" w:rsidP="00705D0A">
            <w:pPr>
              <w:pStyle w:val="TableParagraph"/>
              <w:keepNext/>
              <w:ind w:left="271"/>
              <w:rPr>
                <w:rFonts w:ascii="Times New Roman" w:hAnsi="Times New Roman" w:cs="Times New Roman"/>
                <w:sz w:val="24"/>
                <w:szCs w:val="24"/>
                <w:lang w:val="da-DK"/>
              </w:rPr>
            </w:pPr>
            <w:r w:rsidRPr="00D11AD1">
              <w:rPr>
                <w:rFonts w:ascii="Times New Roman" w:eastAsia="TimesNewRomanPSMT" w:hAnsi="Times New Roman" w:cs="Times New Roman"/>
                <w:sz w:val="24"/>
                <w:szCs w:val="24"/>
                <w:lang w:val="da-DK"/>
              </w:rPr>
              <w:t>Træthed</w:t>
            </w:r>
          </w:p>
        </w:tc>
        <w:tc>
          <w:tcPr>
            <w:tcW w:w="2660" w:type="dxa"/>
            <w:tcBorders>
              <w:bottom w:val="single" w:sz="4" w:space="0" w:color="000000"/>
            </w:tcBorders>
          </w:tcPr>
          <w:p w14:paraId="07461235" w14:textId="77777777" w:rsidR="007E31DA" w:rsidRPr="00D11AD1" w:rsidRDefault="007E31DA" w:rsidP="00705D0A">
            <w:pPr>
              <w:pStyle w:val="TableParagraph"/>
              <w:keepNext/>
              <w:ind w:left="890"/>
              <w:rPr>
                <w:rFonts w:ascii="Times New Roman" w:hAnsi="Times New Roman" w:cs="Times New Roman"/>
                <w:sz w:val="24"/>
                <w:szCs w:val="24"/>
                <w:lang w:val="da-DK"/>
              </w:rPr>
            </w:pPr>
            <w:r w:rsidRPr="00D11AD1">
              <w:rPr>
                <w:rFonts w:ascii="Times New Roman" w:hAnsi="Times New Roman" w:cs="Times New Roman"/>
                <w:w w:val="105"/>
                <w:sz w:val="24"/>
                <w:szCs w:val="24"/>
                <w:lang w:val="da-DK"/>
              </w:rPr>
              <w:t>10,3</w:t>
            </w:r>
          </w:p>
        </w:tc>
        <w:tc>
          <w:tcPr>
            <w:tcW w:w="3196" w:type="dxa"/>
            <w:tcBorders>
              <w:bottom w:val="single" w:sz="4" w:space="0" w:color="000000"/>
            </w:tcBorders>
          </w:tcPr>
          <w:p w14:paraId="26352092" w14:textId="77777777" w:rsidR="007E31DA" w:rsidRPr="00D11AD1" w:rsidRDefault="007E31DA" w:rsidP="00705D0A">
            <w:pPr>
              <w:pStyle w:val="TableParagraph"/>
              <w:keepNext/>
              <w:ind w:right="20"/>
              <w:jc w:val="center"/>
              <w:rPr>
                <w:rFonts w:ascii="Times New Roman" w:hAnsi="Times New Roman" w:cs="Times New Roman"/>
                <w:sz w:val="24"/>
                <w:szCs w:val="24"/>
                <w:lang w:val="da-DK"/>
              </w:rPr>
            </w:pPr>
            <w:r w:rsidRPr="00D11AD1">
              <w:rPr>
                <w:rFonts w:ascii="Times New Roman" w:hAnsi="Times New Roman" w:cs="Times New Roman"/>
                <w:w w:val="103"/>
                <w:sz w:val="24"/>
                <w:szCs w:val="24"/>
                <w:lang w:val="da-DK"/>
              </w:rPr>
              <w:t>0</w:t>
            </w:r>
          </w:p>
        </w:tc>
      </w:tr>
    </w:tbl>
    <w:p w14:paraId="339F1F5D" w14:textId="49D706AD" w:rsidR="007E31DA" w:rsidRPr="00D11AD1" w:rsidRDefault="007E31DA" w:rsidP="00705D0A">
      <w:pPr>
        <w:keepNext/>
        <w:adjustRightInd w:val="0"/>
        <w:ind w:left="851"/>
        <w:rPr>
          <w:rFonts w:eastAsia="TimesNewRomanPSMT"/>
          <w:sz w:val="24"/>
          <w:szCs w:val="24"/>
        </w:rPr>
      </w:pPr>
      <w:r w:rsidRPr="00D11AD1">
        <w:rPr>
          <w:position w:val="6"/>
          <w:sz w:val="24"/>
          <w:szCs w:val="24"/>
        </w:rPr>
        <w:t xml:space="preserve">a </w:t>
      </w:r>
      <w:r w:rsidRPr="00D11AD1">
        <w:rPr>
          <w:rFonts w:eastAsia="TimesNewRomanPSMT"/>
          <w:sz w:val="24"/>
          <w:szCs w:val="24"/>
        </w:rPr>
        <w:t xml:space="preserve">I det pivotale studie fik 24 patienter ud af et samlet antal på 106 patienter pulveret til oral suspension mindst </w:t>
      </w:r>
      <w:r w:rsidR="00FA34A4" w:rsidRPr="00D11AD1">
        <w:rPr>
          <w:rFonts w:eastAsia="TimesNewRomanPSMT"/>
          <w:sz w:val="24"/>
          <w:szCs w:val="24"/>
        </w:rPr>
        <w:t>en</w:t>
      </w:r>
      <w:r w:rsidRPr="00D11AD1">
        <w:rPr>
          <w:rFonts w:eastAsia="TimesNewRomanPSMT"/>
          <w:sz w:val="24"/>
          <w:szCs w:val="24"/>
        </w:rPr>
        <w:t xml:space="preserve"> gang, og 8 af dem fik udelukkende pulveret til oral suspension</w:t>
      </w:r>
      <w:r w:rsidRPr="00D11AD1">
        <w:rPr>
          <w:sz w:val="24"/>
          <w:szCs w:val="24"/>
        </w:rPr>
        <w:t>.</w:t>
      </w:r>
    </w:p>
    <w:p w14:paraId="7A8306ED" w14:textId="77777777" w:rsidR="00FC7C39" w:rsidRPr="00D11AD1" w:rsidRDefault="00FC7C39" w:rsidP="00705D0A">
      <w:pPr>
        <w:pStyle w:val="Sidehoved"/>
        <w:keepNext/>
        <w:tabs>
          <w:tab w:val="left" w:pos="851"/>
        </w:tabs>
        <w:ind w:left="851"/>
        <w:rPr>
          <w:szCs w:val="24"/>
        </w:rPr>
      </w:pPr>
    </w:p>
    <w:p w14:paraId="0FADB1A1" w14:textId="77777777" w:rsidR="001E67C8" w:rsidRPr="00D11AD1" w:rsidRDefault="001E67C8" w:rsidP="001E67C8">
      <w:pPr>
        <w:pStyle w:val="Sidehoved"/>
        <w:tabs>
          <w:tab w:val="left" w:pos="851"/>
        </w:tabs>
        <w:ind w:left="851"/>
        <w:rPr>
          <w:i/>
          <w:iCs/>
          <w:szCs w:val="24"/>
          <w:u w:val="single"/>
        </w:rPr>
      </w:pPr>
      <w:r w:rsidRPr="00D11AD1">
        <w:rPr>
          <w:i/>
          <w:iCs/>
          <w:szCs w:val="24"/>
          <w:u w:val="single"/>
        </w:rPr>
        <w:t>Afvigelser i laboratorieundersøgelser</w:t>
      </w:r>
    </w:p>
    <w:p w14:paraId="158426F6" w14:textId="77777777" w:rsidR="009D09E8" w:rsidRPr="00D11AD1" w:rsidRDefault="009D09E8" w:rsidP="001E67C8">
      <w:pPr>
        <w:pStyle w:val="Sidehoved"/>
        <w:tabs>
          <w:tab w:val="left" w:pos="851"/>
        </w:tabs>
        <w:ind w:left="851"/>
        <w:rPr>
          <w:i/>
          <w:iCs/>
          <w:szCs w:val="24"/>
        </w:rPr>
      </w:pPr>
    </w:p>
    <w:p w14:paraId="09D76B0F" w14:textId="77777777" w:rsidR="001E67C8" w:rsidRPr="00D11AD1" w:rsidRDefault="001E67C8" w:rsidP="001E67C8">
      <w:pPr>
        <w:pStyle w:val="Sidehoved"/>
        <w:tabs>
          <w:tab w:val="left" w:pos="851"/>
        </w:tabs>
        <w:ind w:left="851"/>
        <w:rPr>
          <w:i/>
          <w:iCs/>
          <w:szCs w:val="24"/>
        </w:rPr>
      </w:pPr>
      <w:r w:rsidRPr="00D11AD1">
        <w:rPr>
          <w:i/>
          <w:iCs/>
          <w:szCs w:val="24"/>
        </w:rPr>
        <w:t>Hæmatologi</w:t>
      </w:r>
    </w:p>
    <w:p w14:paraId="2832E110" w14:textId="1036425B" w:rsidR="001E67C8" w:rsidRPr="00D11AD1" w:rsidRDefault="001E67C8" w:rsidP="001E67C8">
      <w:pPr>
        <w:pStyle w:val="Sidehoved"/>
        <w:tabs>
          <w:tab w:val="left" w:pos="851"/>
        </w:tabs>
        <w:ind w:left="851"/>
        <w:rPr>
          <w:szCs w:val="24"/>
        </w:rPr>
      </w:pPr>
      <w:r w:rsidRPr="00D11AD1">
        <w:rPr>
          <w:szCs w:val="24"/>
        </w:rPr>
        <w:t>I fase III-studiet vedrørende nyligt diagnosticeret CML i kronisk fase er følgende grad 3 eller 4 afvigelser i laboratorieundersøgelser rapporteret efter mindst 12 måneders opfølgning hos patienter, der tog dasatinib: neutropeni (21</w:t>
      </w:r>
      <w:r w:rsidR="00FA34A4" w:rsidRPr="00D11AD1">
        <w:rPr>
          <w:szCs w:val="24"/>
        </w:rPr>
        <w:t xml:space="preserve"> %</w:t>
      </w:r>
      <w:r w:rsidRPr="00D11AD1">
        <w:rPr>
          <w:szCs w:val="24"/>
        </w:rPr>
        <w:t>), trombocytopeni (19</w:t>
      </w:r>
      <w:r w:rsidR="00FA34A4" w:rsidRPr="00D11AD1">
        <w:rPr>
          <w:szCs w:val="24"/>
        </w:rPr>
        <w:t xml:space="preserve"> %</w:t>
      </w:r>
      <w:r w:rsidRPr="00D11AD1">
        <w:rPr>
          <w:szCs w:val="24"/>
        </w:rPr>
        <w:t>) og anæmi (10</w:t>
      </w:r>
      <w:r w:rsidR="00FA34A4" w:rsidRPr="00D11AD1">
        <w:rPr>
          <w:szCs w:val="24"/>
        </w:rPr>
        <w:t xml:space="preserve"> %</w:t>
      </w:r>
      <w:r w:rsidRPr="00D11AD1">
        <w:rPr>
          <w:szCs w:val="24"/>
        </w:rPr>
        <w:t>). Efter mindst 60 måneders opfølgning var den kumulative rate for neutropeni, trombocytopeni og anæmi henholdsvis 29</w:t>
      </w:r>
      <w:r w:rsidR="00FA34A4" w:rsidRPr="00D11AD1">
        <w:rPr>
          <w:szCs w:val="24"/>
        </w:rPr>
        <w:t xml:space="preserve"> %</w:t>
      </w:r>
      <w:r w:rsidRPr="00D11AD1">
        <w:rPr>
          <w:szCs w:val="24"/>
        </w:rPr>
        <w:t>, 22</w:t>
      </w:r>
      <w:r w:rsidR="00FA34A4" w:rsidRPr="00D11AD1">
        <w:rPr>
          <w:szCs w:val="24"/>
        </w:rPr>
        <w:t xml:space="preserve"> %</w:t>
      </w:r>
      <w:r w:rsidRPr="00D11AD1">
        <w:rPr>
          <w:szCs w:val="24"/>
        </w:rPr>
        <w:t xml:space="preserve"> og 13</w:t>
      </w:r>
      <w:r w:rsidR="00FA34A4" w:rsidRPr="00D11AD1">
        <w:rPr>
          <w:szCs w:val="24"/>
        </w:rPr>
        <w:t xml:space="preserve"> %</w:t>
      </w:r>
      <w:r w:rsidRPr="00D11AD1">
        <w:rPr>
          <w:szCs w:val="24"/>
        </w:rPr>
        <w:t>.</w:t>
      </w:r>
    </w:p>
    <w:p w14:paraId="42F0E8A5" w14:textId="77777777" w:rsidR="001E67C8" w:rsidRPr="00D11AD1" w:rsidRDefault="001E67C8" w:rsidP="001E67C8">
      <w:pPr>
        <w:pStyle w:val="Sidehoved"/>
        <w:tabs>
          <w:tab w:val="left" w:pos="851"/>
        </w:tabs>
        <w:ind w:left="851"/>
        <w:rPr>
          <w:szCs w:val="24"/>
        </w:rPr>
      </w:pPr>
    </w:p>
    <w:p w14:paraId="2F19E6DF" w14:textId="189C06F1" w:rsidR="001E67C8" w:rsidRPr="00D11AD1" w:rsidRDefault="001E67C8" w:rsidP="001E67C8">
      <w:pPr>
        <w:pStyle w:val="Sidehoved"/>
        <w:tabs>
          <w:tab w:val="left" w:pos="851"/>
        </w:tabs>
        <w:ind w:left="851"/>
        <w:rPr>
          <w:szCs w:val="24"/>
        </w:rPr>
      </w:pPr>
      <w:r w:rsidRPr="00D11AD1">
        <w:rPr>
          <w:szCs w:val="24"/>
        </w:rPr>
        <w:t>Hos patienter med nyligt diagnosticeret CML i kronisk fase, som fik dasatinib, og som fik myelosuppression grad 3 eller 4, svandt dette som regel efter korte dosisafbrydelser og/eller - reduktioner. Behandlingen blev seponeret permanent hos 1,6</w:t>
      </w:r>
      <w:r w:rsidR="00FA34A4" w:rsidRPr="00D11AD1">
        <w:rPr>
          <w:szCs w:val="24"/>
        </w:rPr>
        <w:t xml:space="preserve"> %</w:t>
      </w:r>
      <w:r w:rsidRPr="00D11AD1">
        <w:rPr>
          <w:szCs w:val="24"/>
        </w:rPr>
        <w:t xml:space="preserve"> af patienterne efter mindst 12 måneders opfølgning. Efter mindst 60 måneders opfølgning var den kumulative rate 2,3</w:t>
      </w:r>
      <w:r w:rsidR="00FA34A4" w:rsidRPr="00D11AD1">
        <w:rPr>
          <w:szCs w:val="24"/>
        </w:rPr>
        <w:t xml:space="preserve"> %</w:t>
      </w:r>
      <w:r w:rsidRPr="00D11AD1">
        <w:rPr>
          <w:szCs w:val="24"/>
        </w:rPr>
        <w:t xml:space="preserve"> for permanent seponering på grund af myelosuppression grad 3 eller 4.</w:t>
      </w:r>
    </w:p>
    <w:p w14:paraId="0FBAC631" w14:textId="77777777" w:rsidR="001E67C8" w:rsidRPr="00D11AD1" w:rsidRDefault="001E67C8" w:rsidP="001E67C8">
      <w:pPr>
        <w:pStyle w:val="Sidehoved"/>
        <w:tabs>
          <w:tab w:val="left" w:pos="851"/>
        </w:tabs>
        <w:ind w:left="851"/>
        <w:rPr>
          <w:szCs w:val="24"/>
        </w:rPr>
      </w:pPr>
    </w:p>
    <w:p w14:paraId="0B51FCBA" w14:textId="77777777" w:rsidR="001E67C8" w:rsidRPr="00D11AD1" w:rsidRDefault="001E67C8" w:rsidP="001E67C8">
      <w:pPr>
        <w:pStyle w:val="Sidehoved"/>
        <w:tabs>
          <w:tab w:val="left" w:pos="851"/>
        </w:tabs>
        <w:ind w:left="851"/>
        <w:rPr>
          <w:szCs w:val="24"/>
        </w:rPr>
      </w:pPr>
      <w:r w:rsidRPr="00D11AD1">
        <w:rPr>
          <w:szCs w:val="24"/>
        </w:rPr>
        <w:t>Hos patienter med CML med resistens eller intolerans over for tidligere imatinib behandling var cytopenier (trombocytopeni, neutropeni og anæmi) et vedvarende fund. Forekomst af cytopenier afhang tydeligvis også af sygdommens stadie. Hyppigheden af hæmatologiske abnormiteter grad 3 og 4 angives i Tabel 8.</w:t>
      </w:r>
    </w:p>
    <w:p w14:paraId="63592484" w14:textId="77777777" w:rsidR="0077425C" w:rsidRPr="00D11AD1" w:rsidRDefault="0077425C" w:rsidP="00705D0A">
      <w:pPr>
        <w:pStyle w:val="Sidehoved"/>
        <w:keepNext/>
        <w:tabs>
          <w:tab w:val="left" w:pos="851"/>
        </w:tabs>
        <w:ind w:left="851"/>
        <w:rPr>
          <w:szCs w:val="24"/>
        </w:rPr>
      </w:pPr>
    </w:p>
    <w:p w14:paraId="6DDAB797" w14:textId="7BA24A9E" w:rsidR="006D3DE8" w:rsidRPr="00D11AD1" w:rsidRDefault="006D3DE8" w:rsidP="00705D0A">
      <w:pPr>
        <w:pStyle w:val="Sidehoved"/>
        <w:keepNext/>
        <w:tabs>
          <w:tab w:val="left" w:pos="851"/>
        </w:tabs>
        <w:ind w:left="851"/>
        <w:rPr>
          <w:b/>
          <w:bCs/>
          <w:szCs w:val="24"/>
        </w:rPr>
      </w:pPr>
      <w:r w:rsidRPr="00D11AD1">
        <w:rPr>
          <w:b/>
          <w:szCs w:val="24"/>
        </w:rPr>
        <w:t>Tabel 8:</w:t>
      </w:r>
      <w:r w:rsidRPr="00D11AD1">
        <w:rPr>
          <w:b/>
          <w:szCs w:val="24"/>
        </w:rPr>
        <w:tab/>
      </w:r>
      <w:r w:rsidR="00481015">
        <w:rPr>
          <w:b/>
          <w:szCs w:val="24"/>
        </w:rPr>
        <w:t xml:space="preserve"> </w:t>
      </w:r>
      <w:r w:rsidRPr="00D11AD1">
        <w:rPr>
          <w:b/>
          <w:bCs/>
          <w:szCs w:val="24"/>
        </w:rPr>
        <w:t>Hæmatologiske laboratorieabnormiteter af CTC-grad 3/4 i kliniske studier med patienter med resistens eller intolerans over for tidligere behandling med imatinib</w:t>
      </w:r>
      <w:r w:rsidRPr="00D11AD1">
        <w:rPr>
          <w:b/>
          <w:bCs/>
          <w:szCs w:val="24"/>
          <w:vertAlign w:val="superscript"/>
        </w:rPr>
        <w:t>a</w:t>
      </w:r>
    </w:p>
    <w:tbl>
      <w:tblPr>
        <w:tblW w:w="9072" w:type="dxa"/>
        <w:tblInd w:w="851" w:type="dxa"/>
        <w:tblLayout w:type="fixed"/>
        <w:tblLook w:val="01E0" w:firstRow="1" w:lastRow="1" w:firstColumn="1" w:lastColumn="1" w:noHBand="0" w:noVBand="0"/>
      </w:tblPr>
      <w:tblGrid>
        <w:gridCol w:w="2410"/>
        <w:gridCol w:w="1559"/>
        <w:gridCol w:w="3261"/>
        <w:gridCol w:w="1842"/>
      </w:tblGrid>
      <w:tr w:rsidR="006D3DE8" w:rsidRPr="00D11AD1" w14:paraId="6B21F7C3" w14:textId="77777777" w:rsidTr="00B64E59">
        <w:trPr>
          <w:trHeight w:val="451"/>
        </w:trPr>
        <w:tc>
          <w:tcPr>
            <w:tcW w:w="2410" w:type="dxa"/>
            <w:vMerge w:val="restart"/>
            <w:tcBorders>
              <w:top w:val="single" w:sz="4" w:space="0" w:color="000000"/>
              <w:bottom w:val="single" w:sz="6" w:space="0" w:color="000000"/>
            </w:tcBorders>
          </w:tcPr>
          <w:p w14:paraId="7AC1FB50" w14:textId="77777777" w:rsidR="006D3DE8" w:rsidRPr="00D11AD1" w:rsidRDefault="006D3DE8" w:rsidP="00705D0A">
            <w:pPr>
              <w:pStyle w:val="Sidehoved"/>
              <w:keepNext/>
              <w:ind w:left="33"/>
              <w:rPr>
                <w:szCs w:val="24"/>
              </w:rPr>
            </w:pPr>
          </w:p>
        </w:tc>
        <w:tc>
          <w:tcPr>
            <w:tcW w:w="1559" w:type="dxa"/>
            <w:tcBorders>
              <w:top w:val="single" w:sz="4" w:space="0" w:color="000000"/>
            </w:tcBorders>
          </w:tcPr>
          <w:p w14:paraId="7ED315C8" w14:textId="77777777" w:rsidR="006D3DE8" w:rsidRPr="00D11AD1" w:rsidRDefault="006D3DE8" w:rsidP="00705D0A">
            <w:pPr>
              <w:pStyle w:val="Sidehoved"/>
              <w:keepNext/>
              <w:rPr>
                <w:b/>
                <w:szCs w:val="24"/>
              </w:rPr>
            </w:pPr>
            <w:r w:rsidRPr="00D11AD1">
              <w:rPr>
                <w:b/>
                <w:bCs/>
                <w:szCs w:val="24"/>
              </w:rPr>
              <w:t>Kronisk fase</w:t>
            </w:r>
          </w:p>
        </w:tc>
        <w:tc>
          <w:tcPr>
            <w:tcW w:w="3261" w:type="dxa"/>
            <w:tcBorders>
              <w:top w:val="single" w:sz="4" w:space="0" w:color="000000"/>
            </w:tcBorders>
          </w:tcPr>
          <w:p w14:paraId="02F7A540" w14:textId="5CD0C339" w:rsidR="00897647" w:rsidRPr="00D11AD1" w:rsidRDefault="003D682F" w:rsidP="00705D0A">
            <w:pPr>
              <w:pStyle w:val="Sidehoved"/>
              <w:keepNext/>
              <w:tabs>
                <w:tab w:val="left" w:pos="1990"/>
              </w:tabs>
              <w:ind w:left="32"/>
              <w:rPr>
                <w:b/>
                <w:szCs w:val="24"/>
              </w:rPr>
            </w:pPr>
            <w:r w:rsidRPr="00D11AD1">
              <w:rPr>
                <w:b/>
                <w:szCs w:val="24"/>
              </w:rPr>
              <w:t>Accelereret fase</w:t>
            </w:r>
            <w:r w:rsidR="00897647" w:rsidRPr="00D11AD1">
              <w:rPr>
                <w:b/>
                <w:szCs w:val="24"/>
              </w:rPr>
              <w:tab/>
            </w:r>
            <w:r w:rsidR="006D3DE8" w:rsidRPr="00D11AD1">
              <w:rPr>
                <w:b/>
                <w:szCs w:val="24"/>
              </w:rPr>
              <w:t xml:space="preserve">Myeloid </w:t>
            </w:r>
          </w:p>
          <w:p w14:paraId="718B4B02" w14:textId="77777777" w:rsidR="006D3DE8" w:rsidRPr="00D11AD1" w:rsidRDefault="00897647" w:rsidP="00705D0A">
            <w:pPr>
              <w:pStyle w:val="Sidehoved"/>
              <w:keepNext/>
              <w:tabs>
                <w:tab w:val="left" w:pos="1990"/>
              </w:tabs>
              <w:ind w:left="32"/>
              <w:rPr>
                <w:b/>
                <w:szCs w:val="24"/>
              </w:rPr>
            </w:pPr>
            <w:r w:rsidRPr="00D11AD1">
              <w:rPr>
                <w:b/>
                <w:szCs w:val="24"/>
              </w:rPr>
              <w:tab/>
              <w:t>B</w:t>
            </w:r>
            <w:r w:rsidR="006D3DE8" w:rsidRPr="00D11AD1">
              <w:rPr>
                <w:b/>
                <w:szCs w:val="24"/>
              </w:rPr>
              <w:t>lastfase</w:t>
            </w:r>
          </w:p>
        </w:tc>
        <w:tc>
          <w:tcPr>
            <w:tcW w:w="1842" w:type="dxa"/>
            <w:tcBorders>
              <w:top w:val="single" w:sz="4" w:space="0" w:color="000000"/>
            </w:tcBorders>
          </w:tcPr>
          <w:p w14:paraId="59213CAF" w14:textId="662882FE" w:rsidR="006D3DE8" w:rsidRPr="00D11AD1" w:rsidRDefault="006D3DE8" w:rsidP="00705D0A">
            <w:pPr>
              <w:pStyle w:val="Sidehoved"/>
              <w:keepNext/>
              <w:rPr>
                <w:b/>
                <w:szCs w:val="24"/>
                <w:lang w:val="nb-NO"/>
              </w:rPr>
            </w:pPr>
            <w:r w:rsidRPr="00D11AD1">
              <w:rPr>
                <w:b/>
                <w:szCs w:val="24"/>
                <w:lang w:val="nb-NO"/>
              </w:rPr>
              <w:t>Lymfoid blastfase og</w:t>
            </w:r>
            <w:r w:rsidR="00B64E59" w:rsidRPr="00D11AD1">
              <w:rPr>
                <w:b/>
                <w:szCs w:val="24"/>
                <w:lang w:val="nb-NO"/>
              </w:rPr>
              <w:t xml:space="preserve"> </w:t>
            </w:r>
            <w:r w:rsidRPr="00D11AD1">
              <w:rPr>
                <w:b/>
                <w:szCs w:val="24"/>
                <w:lang w:val="nb-NO"/>
              </w:rPr>
              <w:t>Ph+ ALL</w:t>
            </w:r>
          </w:p>
        </w:tc>
      </w:tr>
      <w:tr w:rsidR="006D3DE8" w:rsidRPr="00D11AD1" w14:paraId="1CF4E2F0" w14:textId="77777777" w:rsidTr="00B64E59">
        <w:trPr>
          <w:trHeight w:val="220"/>
        </w:trPr>
        <w:tc>
          <w:tcPr>
            <w:tcW w:w="2410" w:type="dxa"/>
            <w:vMerge/>
            <w:tcBorders>
              <w:top w:val="nil"/>
              <w:bottom w:val="single" w:sz="6" w:space="0" w:color="000000"/>
            </w:tcBorders>
          </w:tcPr>
          <w:p w14:paraId="112AED27" w14:textId="77777777" w:rsidR="006D3DE8" w:rsidRPr="00D11AD1" w:rsidRDefault="006D3DE8" w:rsidP="00705D0A">
            <w:pPr>
              <w:pStyle w:val="Sidehoved"/>
              <w:keepNext/>
              <w:ind w:left="33"/>
              <w:rPr>
                <w:szCs w:val="24"/>
                <w:lang w:val="nb-NO"/>
              </w:rPr>
            </w:pPr>
          </w:p>
        </w:tc>
        <w:tc>
          <w:tcPr>
            <w:tcW w:w="1559" w:type="dxa"/>
            <w:tcBorders>
              <w:bottom w:val="single" w:sz="6" w:space="0" w:color="000000"/>
            </w:tcBorders>
          </w:tcPr>
          <w:p w14:paraId="36D8A7A4" w14:textId="77777777" w:rsidR="006D3DE8" w:rsidRPr="00D11AD1" w:rsidRDefault="006D3DE8" w:rsidP="00705D0A">
            <w:pPr>
              <w:pStyle w:val="Sidehoved"/>
              <w:keepNext/>
              <w:rPr>
                <w:b/>
                <w:szCs w:val="24"/>
              </w:rPr>
            </w:pPr>
            <w:r w:rsidRPr="00D11AD1">
              <w:rPr>
                <w:b/>
                <w:szCs w:val="24"/>
              </w:rPr>
              <w:t>(n= 165)</w:t>
            </w:r>
            <w:r w:rsidRPr="00D11AD1">
              <w:rPr>
                <w:b/>
                <w:szCs w:val="24"/>
                <w:vertAlign w:val="superscript"/>
              </w:rPr>
              <w:t>b</w:t>
            </w:r>
          </w:p>
        </w:tc>
        <w:tc>
          <w:tcPr>
            <w:tcW w:w="3261" w:type="dxa"/>
            <w:tcBorders>
              <w:bottom w:val="single" w:sz="6" w:space="0" w:color="000000"/>
            </w:tcBorders>
          </w:tcPr>
          <w:p w14:paraId="30A41A71" w14:textId="77777777" w:rsidR="006D3DE8" w:rsidRPr="00D11AD1" w:rsidRDefault="006D3DE8" w:rsidP="00705D0A">
            <w:pPr>
              <w:pStyle w:val="Sidehoved"/>
              <w:keepNext/>
              <w:tabs>
                <w:tab w:val="left" w:pos="1990"/>
              </w:tabs>
              <w:ind w:left="32"/>
              <w:rPr>
                <w:b/>
                <w:szCs w:val="24"/>
              </w:rPr>
            </w:pPr>
            <w:r w:rsidRPr="00D11AD1">
              <w:rPr>
                <w:b/>
                <w:szCs w:val="24"/>
              </w:rPr>
              <w:t>(n= 157)</w:t>
            </w:r>
            <w:r w:rsidRPr="00D11AD1">
              <w:rPr>
                <w:b/>
                <w:szCs w:val="24"/>
                <w:vertAlign w:val="superscript"/>
              </w:rPr>
              <w:t>c</w:t>
            </w:r>
            <w:r w:rsidRPr="00D11AD1">
              <w:rPr>
                <w:b/>
                <w:szCs w:val="24"/>
              </w:rPr>
              <w:tab/>
              <w:t>(n= 74)</w:t>
            </w:r>
            <w:r w:rsidRPr="00D11AD1">
              <w:rPr>
                <w:b/>
                <w:szCs w:val="24"/>
                <w:vertAlign w:val="superscript"/>
              </w:rPr>
              <w:t>c</w:t>
            </w:r>
          </w:p>
        </w:tc>
        <w:tc>
          <w:tcPr>
            <w:tcW w:w="1842" w:type="dxa"/>
            <w:tcBorders>
              <w:bottom w:val="single" w:sz="6" w:space="0" w:color="000000"/>
            </w:tcBorders>
          </w:tcPr>
          <w:p w14:paraId="22972F0E" w14:textId="77777777" w:rsidR="006D3DE8" w:rsidRPr="00D11AD1" w:rsidRDefault="006D3DE8" w:rsidP="00705D0A">
            <w:pPr>
              <w:pStyle w:val="Sidehoved"/>
              <w:keepNext/>
              <w:rPr>
                <w:b/>
                <w:szCs w:val="24"/>
              </w:rPr>
            </w:pPr>
            <w:r w:rsidRPr="00D11AD1">
              <w:rPr>
                <w:b/>
                <w:szCs w:val="24"/>
              </w:rPr>
              <w:t>(n= 168)</w:t>
            </w:r>
            <w:r w:rsidRPr="00D11AD1">
              <w:rPr>
                <w:b/>
                <w:szCs w:val="24"/>
                <w:vertAlign w:val="superscript"/>
              </w:rPr>
              <w:t>c</w:t>
            </w:r>
          </w:p>
        </w:tc>
      </w:tr>
      <w:tr w:rsidR="006D3DE8" w:rsidRPr="00D11AD1" w14:paraId="1AA343E4" w14:textId="77777777" w:rsidTr="00B64E59">
        <w:trPr>
          <w:trHeight w:val="260"/>
        </w:trPr>
        <w:tc>
          <w:tcPr>
            <w:tcW w:w="2410" w:type="dxa"/>
            <w:vMerge/>
            <w:tcBorders>
              <w:top w:val="nil"/>
              <w:bottom w:val="single" w:sz="6" w:space="0" w:color="000000"/>
            </w:tcBorders>
          </w:tcPr>
          <w:p w14:paraId="79B2C329" w14:textId="77777777" w:rsidR="006D3DE8" w:rsidRPr="00D11AD1" w:rsidRDefault="006D3DE8" w:rsidP="00705D0A">
            <w:pPr>
              <w:pStyle w:val="Sidehoved"/>
              <w:keepNext/>
              <w:ind w:left="33"/>
              <w:rPr>
                <w:szCs w:val="24"/>
              </w:rPr>
            </w:pPr>
          </w:p>
        </w:tc>
        <w:tc>
          <w:tcPr>
            <w:tcW w:w="1559" w:type="dxa"/>
            <w:tcBorders>
              <w:top w:val="single" w:sz="6" w:space="0" w:color="000000"/>
              <w:bottom w:val="single" w:sz="6" w:space="0" w:color="000000"/>
            </w:tcBorders>
          </w:tcPr>
          <w:p w14:paraId="59F60204" w14:textId="77777777" w:rsidR="006D3DE8" w:rsidRPr="00D11AD1" w:rsidRDefault="006D3DE8" w:rsidP="00705D0A">
            <w:pPr>
              <w:pStyle w:val="Sidehoved"/>
              <w:keepNext/>
              <w:rPr>
                <w:szCs w:val="24"/>
              </w:rPr>
            </w:pPr>
          </w:p>
        </w:tc>
        <w:tc>
          <w:tcPr>
            <w:tcW w:w="3261" w:type="dxa"/>
            <w:tcBorders>
              <w:top w:val="single" w:sz="6" w:space="0" w:color="000000"/>
              <w:bottom w:val="single" w:sz="6" w:space="0" w:color="000000"/>
            </w:tcBorders>
          </w:tcPr>
          <w:p w14:paraId="4DB832B0" w14:textId="3B33D962" w:rsidR="006D3DE8" w:rsidRPr="00D11AD1" w:rsidRDefault="006D3DE8" w:rsidP="00705D0A">
            <w:pPr>
              <w:pStyle w:val="Sidehoved"/>
              <w:keepNext/>
              <w:ind w:left="32"/>
              <w:rPr>
                <w:b/>
                <w:szCs w:val="24"/>
              </w:rPr>
            </w:pPr>
            <w:r w:rsidRPr="00D11AD1">
              <w:rPr>
                <w:b/>
                <w:bCs/>
                <w:szCs w:val="24"/>
              </w:rPr>
              <w:t>Procentdel af (</w:t>
            </w:r>
            <w:r w:rsidR="00FA34A4" w:rsidRPr="00D11AD1">
              <w:rPr>
                <w:b/>
                <w:bCs/>
                <w:szCs w:val="24"/>
              </w:rPr>
              <w:t xml:space="preserve"> %</w:t>
            </w:r>
            <w:r w:rsidRPr="00D11AD1">
              <w:rPr>
                <w:b/>
                <w:bCs/>
                <w:szCs w:val="24"/>
              </w:rPr>
              <w:t>) patienter</w:t>
            </w:r>
          </w:p>
        </w:tc>
        <w:tc>
          <w:tcPr>
            <w:tcW w:w="1842" w:type="dxa"/>
            <w:tcBorders>
              <w:top w:val="single" w:sz="6" w:space="0" w:color="000000"/>
              <w:bottom w:val="single" w:sz="6" w:space="0" w:color="000000"/>
            </w:tcBorders>
          </w:tcPr>
          <w:p w14:paraId="2E7D5E9C" w14:textId="77777777" w:rsidR="006D3DE8" w:rsidRPr="00D11AD1" w:rsidRDefault="006D3DE8" w:rsidP="00705D0A">
            <w:pPr>
              <w:pStyle w:val="Sidehoved"/>
              <w:keepNext/>
              <w:rPr>
                <w:szCs w:val="24"/>
              </w:rPr>
            </w:pPr>
          </w:p>
        </w:tc>
      </w:tr>
      <w:tr w:rsidR="006D3DE8" w:rsidRPr="00D11AD1" w14:paraId="634A2A09" w14:textId="77777777" w:rsidTr="00B64E59">
        <w:trPr>
          <w:trHeight w:val="300"/>
        </w:trPr>
        <w:tc>
          <w:tcPr>
            <w:tcW w:w="2410" w:type="dxa"/>
            <w:tcBorders>
              <w:top w:val="single" w:sz="6" w:space="0" w:color="000000"/>
            </w:tcBorders>
          </w:tcPr>
          <w:p w14:paraId="047044AB" w14:textId="77777777" w:rsidR="006D3DE8" w:rsidRPr="00D11AD1" w:rsidRDefault="006D3DE8" w:rsidP="00705D0A">
            <w:pPr>
              <w:pStyle w:val="Sidehoved"/>
              <w:keepNext/>
              <w:ind w:left="33"/>
              <w:rPr>
                <w:b/>
                <w:bCs/>
                <w:szCs w:val="24"/>
              </w:rPr>
            </w:pPr>
            <w:r w:rsidRPr="00D11AD1">
              <w:rPr>
                <w:b/>
                <w:bCs/>
                <w:szCs w:val="24"/>
              </w:rPr>
              <w:t>Hæmatologisk</w:t>
            </w:r>
          </w:p>
          <w:p w14:paraId="6207087F" w14:textId="77777777" w:rsidR="006D3DE8" w:rsidRPr="00D11AD1" w:rsidRDefault="006D3DE8" w:rsidP="00705D0A">
            <w:pPr>
              <w:pStyle w:val="Sidehoved"/>
              <w:keepNext/>
              <w:ind w:left="33"/>
              <w:rPr>
                <w:b/>
                <w:szCs w:val="24"/>
              </w:rPr>
            </w:pPr>
            <w:r w:rsidRPr="00D11AD1">
              <w:rPr>
                <w:b/>
                <w:bCs/>
                <w:szCs w:val="24"/>
              </w:rPr>
              <w:t>Parameter</w:t>
            </w:r>
          </w:p>
        </w:tc>
        <w:tc>
          <w:tcPr>
            <w:tcW w:w="1559" w:type="dxa"/>
            <w:tcBorders>
              <w:top w:val="single" w:sz="6" w:space="0" w:color="000000"/>
            </w:tcBorders>
          </w:tcPr>
          <w:p w14:paraId="42DDC8B4" w14:textId="77777777" w:rsidR="006D3DE8" w:rsidRPr="00D11AD1" w:rsidRDefault="006D3DE8" w:rsidP="00705D0A">
            <w:pPr>
              <w:pStyle w:val="Sidehoved"/>
              <w:keepNext/>
              <w:rPr>
                <w:szCs w:val="24"/>
              </w:rPr>
            </w:pPr>
          </w:p>
        </w:tc>
        <w:tc>
          <w:tcPr>
            <w:tcW w:w="3261" w:type="dxa"/>
            <w:tcBorders>
              <w:top w:val="single" w:sz="6" w:space="0" w:color="000000"/>
            </w:tcBorders>
          </w:tcPr>
          <w:p w14:paraId="51696FB1" w14:textId="77777777" w:rsidR="006D3DE8" w:rsidRPr="00D11AD1" w:rsidRDefault="006D3DE8" w:rsidP="00705D0A">
            <w:pPr>
              <w:pStyle w:val="Sidehoved"/>
              <w:keepNext/>
              <w:ind w:left="32"/>
              <w:rPr>
                <w:szCs w:val="24"/>
              </w:rPr>
            </w:pPr>
          </w:p>
        </w:tc>
        <w:tc>
          <w:tcPr>
            <w:tcW w:w="1842" w:type="dxa"/>
            <w:tcBorders>
              <w:top w:val="single" w:sz="6" w:space="0" w:color="000000"/>
            </w:tcBorders>
          </w:tcPr>
          <w:p w14:paraId="54EEAC05" w14:textId="77777777" w:rsidR="006D3DE8" w:rsidRPr="00D11AD1" w:rsidRDefault="006D3DE8" w:rsidP="00705D0A">
            <w:pPr>
              <w:pStyle w:val="Sidehoved"/>
              <w:keepNext/>
              <w:rPr>
                <w:szCs w:val="24"/>
              </w:rPr>
            </w:pPr>
          </w:p>
        </w:tc>
      </w:tr>
      <w:tr w:rsidR="006D3DE8" w:rsidRPr="00D11AD1" w14:paraId="7DB07816" w14:textId="77777777" w:rsidTr="00B64E59">
        <w:trPr>
          <w:trHeight w:val="300"/>
        </w:trPr>
        <w:tc>
          <w:tcPr>
            <w:tcW w:w="2410" w:type="dxa"/>
          </w:tcPr>
          <w:p w14:paraId="2F3B7C87" w14:textId="77777777" w:rsidR="006D3DE8" w:rsidRPr="00D11AD1" w:rsidRDefault="006D3DE8" w:rsidP="00705D0A">
            <w:pPr>
              <w:pStyle w:val="Sidehoved"/>
              <w:keepNext/>
              <w:ind w:left="33"/>
              <w:rPr>
                <w:szCs w:val="24"/>
              </w:rPr>
            </w:pPr>
            <w:r w:rsidRPr="00D11AD1">
              <w:rPr>
                <w:szCs w:val="24"/>
              </w:rPr>
              <w:t>Neutropeni</w:t>
            </w:r>
          </w:p>
        </w:tc>
        <w:tc>
          <w:tcPr>
            <w:tcW w:w="1559" w:type="dxa"/>
          </w:tcPr>
          <w:p w14:paraId="1825180B" w14:textId="77777777" w:rsidR="006D3DE8" w:rsidRPr="00D11AD1" w:rsidRDefault="006D3DE8" w:rsidP="00705D0A">
            <w:pPr>
              <w:pStyle w:val="Sidehoved"/>
              <w:keepNext/>
              <w:rPr>
                <w:szCs w:val="24"/>
              </w:rPr>
            </w:pPr>
            <w:r w:rsidRPr="00D11AD1">
              <w:rPr>
                <w:szCs w:val="24"/>
              </w:rPr>
              <w:t>36</w:t>
            </w:r>
          </w:p>
        </w:tc>
        <w:tc>
          <w:tcPr>
            <w:tcW w:w="3261" w:type="dxa"/>
          </w:tcPr>
          <w:p w14:paraId="62181F08" w14:textId="77777777" w:rsidR="006D3DE8" w:rsidRPr="00D11AD1" w:rsidRDefault="006D3DE8" w:rsidP="00705D0A">
            <w:pPr>
              <w:pStyle w:val="Sidehoved"/>
              <w:keepNext/>
              <w:ind w:left="32"/>
              <w:rPr>
                <w:szCs w:val="24"/>
              </w:rPr>
            </w:pPr>
            <w:r w:rsidRPr="00D11AD1">
              <w:rPr>
                <w:szCs w:val="24"/>
              </w:rPr>
              <w:t>58</w:t>
            </w:r>
            <w:r w:rsidRPr="00D11AD1">
              <w:rPr>
                <w:szCs w:val="24"/>
              </w:rPr>
              <w:tab/>
              <w:t>77</w:t>
            </w:r>
          </w:p>
        </w:tc>
        <w:tc>
          <w:tcPr>
            <w:tcW w:w="1842" w:type="dxa"/>
          </w:tcPr>
          <w:p w14:paraId="526B6938" w14:textId="77777777" w:rsidR="006D3DE8" w:rsidRPr="00D11AD1" w:rsidRDefault="006D3DE8" w:rsidP="00705D0A">
            <w:pPr>
              <w:pStyle w:val="Sidehoved"/>
              <w:keepNext/>
              <w:rPr>
                <w:szCs w:val="24"/>
              </w:rPr>
            </w:pPr>
            <w:r w:rsidRPr="00D11AD1">
              <w:rPr>
                <w:szCs w:val="24"/>
              </w:rPr>
              <w:t>76</w:t>
            </w:r>
          </w:p>
        </w:tc>
      </w:tr>
      <w:tr w:rsidR="006D3DE8" w:rsidRPr="00D11AD1" w14:paraId="7475F081" w14:textId="77777777" w:rsidTr="00B64E59">
        <w:trPr>
          <w:trHeight w:val="300"/>
        </w:trPr>
        <w:tc>
          <w:tcPr>
            <w:tcW w:w="2410" w:type="dxa"/>
          </w:tcPr>
          <w:p w14:paraId="75FBCFA9" w14:textId="77777777" w:rsidR="006D3DE8" w:rsidRPr="00D11AD1" w:rsidRDefault="006D3DE8" w:rsidP="00705D0A">
            <w:pPr>
              <w:pStyle w:val="Sidehoved"/>
              <w:keepNext/>
              <w:ind w:left="33"/>
              <w:rPr>
                <w:szCs w:val="24"/>
              </w:rPr>
            </w:pPr>
            <w:r w:rsidRPr="00D11AD1">
              <w:rPr>
                <w:szCs w:val="24"/>
              </w:rPr>
              <w:t>Trombocytopeni</w:t>
            </w:r>
          </w:p>
        </w:tc>
        <w:tc>
          <w:tcPr>
            <w:tcW w:w="1559" w:type="dxa"/>
          </w:tcPr>
          <w:p w14:paraId="585A8758" w14:textId="77777777" w:rsidR="006D3DE8" w:rsidRPr="00D11AD1" w:rsidRDefault="006D3DE8" w:rsidP="00705D0A">
            <w:pPr>
              <w:pStyle w:val="Sidehoved"/>
              <w:keepNext/>
              <w:rPr>
                <w:szCs w:val="24"/>
              </w:rPr>
            </w:pPr>
            <w:r w:rsidRPr="00D11AD1">
              <w:rPr>
                <w:szCs w:val="24"/>
              </w:rPr>
              <w:t>23</w:t>
            </w:r>
          </w:p>
        </w:tc>
        <w:tc>
          <w:tcPr>
            <w:tcW w:w="3261" w:type="dxa"/>
          </w:tcPr>
          <w:p w14:paraId="24072C0A" w14:textId="77777777" w:rsidR="006D3DE8" w:rsidRPr="00D11AD1" w:rsidRDefault="006D3DE8" w:rsidP="00705D0A">
            <w:pPr>
              <w:pStyle w:val="Sidehoved"/>
              <w:keepNext/>
              <w:ind w:left="32"/>
              <w:rPr>
                <w:szCs w:val="24"/>
              </w:rPr>
            </w:pPr>
            <w:r w:rsidRPr="00D11AD1">
              <w:rPr>
                <w:szCs w:val="24"/>
              </w:rPr>
              <w:t>63</w:t>
            </w:r>
            <w:r w:rsidRPr="00D11AD1">
              <w:rPr>
                <w:szCs w:val="24"/>
              </w:rPr>
              <w:tab/>
              <w:t>78</w:t>
            </w:r>
          </w:p>
        </w:tc>
        <w:tc>
          <w:tcPr>
            <w:tcW w:w="1842" w:type="dxa"/>
          </w:tcPr>
          <w:p w14:paraId="423132C8" w14:textId="77777777" w:rsidR="006D3DE8" w:rsidRPr="00D11AD1" w:rsidRDefault="006D3DE8" w:rsidP="00705D0A">
            <w:pPr>
              <w:pStyle w:val="Sidehoved"/>
              <w:keepNext/>
              <w:rPr>
                <w:szCs w:val="24"/>
              </w:rPr>
            </w:pPr>
            <w:r w:rsidRPr="00D11AD1">
              <w:rPr>
                <w:szCs w:val="24"/>
              </w:rPr>
              <w:t>74</w:t>
            </w:r>
          </w:p>
        </w:tc>
      </w:tr>
      <w:tr w:rsidR="006D3DE8" w:rsidRPr="00D11AD1" w14:paraId="664B33D8" w14:textId="77777777" w:rsidTr="00B64E59">
        <w:trPr>
          <w:trHeight w:val="280"/>
        </w:trPr>
        <w:tc>
          <w:tcPr>
            <w:tcW w:w="2410" w:type="dxa"/>
            <w:tcBorders>
              <w:bottom w:val="single" w:sz="4" w:space="0" w:color="000000"/>
            </w:tcBorders>
          </w:tcPr>
          <w:p w14:paraId="6B987A80" w14:textId="77777777" w:rsidR="006D3DE8" w:rsidRPr="00D11AD1" w:rsidRDefault="006D3DE8" w:rsidP="00705D0A">
            <w:pPr>
              <w:pStyle w:val="Sidehoved"/>
              <w:keepNext/>
              <w:ind w:left="33"/>
              <w:rPr>
                <w:szCs w:val="24"/>
              </w:rPr>
            </w:pPr>
            <w:r w:rsidRPr="00D11AD1">
              <w:rPr>
                <w:szCs w:val="24"/>
              </w:rPr>
              <w:t>Anæmi</w:t>
            </w:r>
          </w:p>
        </w:tc>
        <w:tc>
          <w:tcPr>
            <w:tcW w:w="1559" w:type="dxa"/>
            <w:tcBorders>
              <w:bottom w:val="single" w:sz="4" w:space="0" w:color="000000"/>
            </w:tcBorders>
          </w:tcPr>
          <w:p w14:paraId="53A0613B" w14:textId="77777777" w:rsidR="006D3DE8" w:rsidRPr="00D11AD1" w:rsidRDefault="006D3DE8" w:rsidP="00705D0A">
            <w:pPr>
              <w:pStyle w:val="Sidehoved"/>
              <w:keepNext/>
              <w:rPr>
                <w:szCs w:val="24"/>
              </w:rPr>
            </w:pPr>
            <w:r w:rsidRPr="00D11AD1">
              <w:rPr>
                <w:szCs w:val="24"/>
              </w:rPr>
              <w:t>13</w:t>
            </w:r>
          </w:p>
        </w:tc>
        <w:tc>
          <w:tcPr>
            <w:tcW w:w="3261" w:type="dxa"/>
            <w:tcBorders>
              <w:bottom w:val="single" w:sz="4" w:space="0" w:color="000000"/>
            </w:tcBorders>
          </w:tcPr>
          <w:p w14:paraId="4ABF0174" w14:textId="77777777" w:rsidR="006D3DE8" w:rsidRPr="00D11AD1" w:rsidRDefault="006D3DE8" w:rsidP="00705D0A">
            <w:pPr>
              <w:pStyle w:val="Sidehoved"/>
              <w:keepNext/>
              <w:ind w:left="32"/>
              <w:rPr>
                <w:szCs w:val="24"/>
              </w:rPr>
            </w:pPr>
            <w:r w:rsidRPr="00D11AD1">
              <w:rPr>
                <w:szCs w:val="24"/>
              </w:rPr>
              <w:t>47</w:t>
            </w:r>
            <w:r w:rsidRPr="00D11AD1">
              <w:rPr>
                <w:szCs w:val="24"/>
              </w:rPr>
              <w:tab/>
              <w:t>74</w:t>
            </w:r>
          </w:p>
        </w:tc>
        <w:tc>
          <w:tcPr>
            <w:tcW w:w="1842" w:type="dxa"/>
            <w:tcBorders>
              <w:bottom w:val="single" w:sz="4" w:space="0" w:color="000000"/>
            </w:tcBorders>
          </w:tcPr>
          <w:p w14:paraId="1CA7A3FF" w14:textId="77777777" w:rsidR="006D3DE8" w:rsidRPr="00D11AD1" w:rsidRDefault="006D3DE8" w:rsidP="00705D0A">
            <w:pPr>
              <w:pStyle w:val="Sidehoved"/>
              <w:keepNext/>
              <w:rPr>
                <w:szCs w:val="24"/>
              </w:rPr>
            </w:pPr>
            <w:r w:rsidRPr="00D11AD1">
              <w:rPr>
                <w:szCs w:val="24"/>
              </w:rPr>
              <w:t>44</w:t>
            </w:r>
          </w:p>
        </w:tc>
      </w:tr>
    </w:tbl>
    <w:p w14:paraId="6E10C6DF" w14:textId="77777777" w:rsidR="006D3DE8" w:rsidRPr="00D11AD1" w:rsidRDefault="006D3DE8" w:rsidP="00705D0A">
      <w:pPr>
        <w:pStyle w:val="Sidehoved"/>
        <w:keepNext/>
        <w:tabs>
          <w:tab w:val="left" w:pos="993"/>
        </w:tabs>
        <w:ind w:left="993" w:hanging="142"/>
        <w:rPr>
          <w:szCs w:val="24"/>
        </w:rPr>
      </w:pPr>
      <w:r w:rsidRPr="00D11AD1">
        <w:rPr>
          <w:szCs w:val="24"/>
          <w:vertAlign w:val="superscript"/>
        </w:rPr>
        <w:t>a</w:t>
      </w:r>
      <w:r w:rsidR="00751E5B" w:rsidRPr="00D11AD1">
        <w:rPr>
          <w:szCs w:val="24"/>
          <w:vertAlign w:val="superscript"/>
        </w:rPr>
        <w:tab/>
      </w:r>
      <w:r w:rsidRPr="00D11AD1">
        <w:rPr>
          <w:szCs w:val="24"/>
        </w:rPr>
        <w:t>Resultater fra fase 3-dosisoptimeringsstudie rapporteret ved studieopfølgning ved år 2.</w:t>
      </w:r>
    </w:p>
    <w:p w14:paraId="14AA5E50" w14:textId="6DDCEA5B" w:rsidR="006D3DE8" w:rsidRPr="00D11AD1" w:rsidRDefault="006D3DE8" w:rsidP="00705D0A">
      <w:pPr>
        <w:pStyle w:val="Sidehoved"/>
        <w:keepNext/>
        <w:tabs>
          <w:tab w:val="left" w:pos="993"/>
        </w:tabs>
        <w:ind w:left="993" w:hanging="142"/>
        <w:rPr>
          <w:szCs w:val="24"/>
        </w:rPr>
      </w:pPr>
      <w:r w:rsidRPr="00D11AD1">
        <w:rPr>
          <w:szCs w:val="24"/>
          <w:vertAlign w:val="superscript"/>
        </w:rPr>
        <w:t>b</w:t>
      </w:r>
      <w:r w:rsidR="00751E5B" w:rsidRPr="00D11AD1">
        <w:rPr>
          <w:szCs w:val="24"/>
        </w:rPr>
        <w:tab/>
      </w:r>
      <w:r w:rsidRPr="00D11AD1">
        <w:rPr>
          <w:szCs w:val="24"/>
        </w:rPr>
        <w:t xml:space="preserve">CA180-034 studieresultater ved anbefalet startdosis på 100 mg </w:t>
      </w:r>
      <w:r w:rsidR="00FA34A4" w:rsidRPr="00D11AD1">
        <w:rPr>
          <w:szCs w:val="24"/>
        </w:rPr>
        <w:t>en</w:t>
      </w:r>
      <w:r w:rsidRPr="00D11AD1">
        <w:rPr>
          <w:szCs w:val="24"/>
        </w:rPr>
        <w:t xml:space="preserve"> gang </w:t>
      </w:r>
      <w:r w:rsidR="00FA34A4" w:rsidRPr="00D11AD1">
        <w:rPr>
          <w:szCs w:val="24"/>
        </w:rPr>
        <w:t>daglig</w:t>
      </w:r>
      <w:r w:rsidRPr="00D11AD1">
        <w:rPr>
          <w:szCs w:val="24"/>
        </w:rPr>
        <w:t>.</w:t>
      </w:r>
    </w:p>
    <w:p w14:paraId="66F0DBEE" w14:textId="571DC4AD" w:rsidR="006D3DE8" w:rsidRPr="00D11AD1" w:rsidRDefault="006D3DE8" w:rsidP="00705D0A">
      <w:pPr>
        <w:pStyle w:val="Sidehoved"/>
        <w:keepNext/>
        <w:tabs>
          <w:tab w:val="left" w:pos="993"/>
        </w:tabs>
        <w:ind w:left="993" w:hanging="142"/>
        <w:rPr>
          <w:szCs w:val="24"/>
        </w:rPr>
      </w:pPr>
      <w:r w:rsidRPr="00D11AD1">
        <w:rPr>
          <w:szCs w:val="24"/>
          <w:vertAlign w:val="superscript"/>
        </w:rPr>
        <w:t>c</w:t>
      </w:r>
      <w:r w:rsidR="00751E5B" w:rsidRPr="00D11AD1">
        <w:rPr>
          <w:szCs w:val="24"/>
        </w:rPr>
        <w:tab/>
      </w:r>
      <w:r w:rsidRPr="00D11AD1">
        <w:rPr>
          <w:szCs w:val="24"/>
        </w:rPr>
        <w:t xml:space="preserve">CA180-035 studieresultater ved anbefalet startdosis på 140 mg </w:t>
      </w:r>
      <w:r w:rsidR="00FA34A4" w:rsidRPr="00D11AD1">
        <w:rPr>
          <w:szCs w:val="24"/>
        </w:rPr>
        <w:t>en</w:t>
      </w:r>
      <w:r w:rsidRPr="00D11AD1">
        <w:rPr>
          <w:szCs w:val="24"/>
        </w:rPr>
        <w:t xml:space="preserve"> gang </w:t>
      </w:r>
      <w:r w:rsidR="00FA34A4" w:rsidRPr="00D11AD1">
        <w:rPr>
          <w:szCs w:val="24"/>
        </w:rPr>
        <w:t>daglig</w:t>
      </w:r>
      <w:r w:rsidRPr="00D11AD1">
        <w:rPr>
          <w:szCs w:val="24"/>
        </w:rPr>
        <w:t>. CTC-grader: neutropeni (grad 3 ≥ 0,5–&lt; 1,0 × 109/l, grad 4 &lt; 0,5 × 109/l); trombocytopeni (grad 3 ≥ 25–&lt; 50 × 109/l, grad 4 &lt; 25 × 109/l); anæmi (hæmoglobin grad 3 ≥ 65–&lt; 80 g/l, grad 4 &lt; 65 g/l).</w:t>
      </w:r>
    </w:p>
    <w:p w14:paraId="4132347E" w14:textId="77777777" w:rsidR="006D3DE8" w:rsidRPr="00D11AD1" w:rsidRDefault="006D3DE8" w:rsidP="006D3DE8">
      <w:pPr>
        <w:pStyle w:val="Sidehoved"/>
        <w:tabs>
          <w:tab w:val="left" w:pos="851"/>
        </w:tabs>
        <w:ind w:left="851"/>
        <w:rPr>
          <w:szCs w:val="24"/>
        </w:rPr>
      </w:pPr>
    </w:p>
    <w:p w14:paraId="3E14A95B" w14:textId="00418F25" w:rsidR="006D3DE8" w:rsidRPr="00D11AD1" w:rsidRDefault="006D3DE8" w:rsidP="006D3DE8">
      <w:pPr>
        <w:pStyle w:val="Sidehoved"/>
        <w:tabs>
          <w:tab w:val="left" w:pos="851"/>
        </w:tabs>
        <w:ind w:left="851"/>
        <w:rPr>
          <w:szCs w:val="24"/>
        </w:rPr>
      </w:pPr>
      <w:r w:rsidRPr="00D11AD1">
        <w:rPr>
          <w:szCs w:val="24"/>
        </w:rPr>
        <w:t xml:space="preserve">Kumulative grad 3 eller 4 cytopenier hos patienter, der fik 100 mg </w:t>
      </w:r>
      <w:r w:rsidR="00FA34A4" w:rsidRPr="00D11AD1">
        <w:rPr>
          <w:szCs w:val="24"/>
        </w:rPr>
        <w:t>en</w:t>
      </w:r>
      <w:r w:rsidRPr="00D11AD1">
        <w:rPr>
          <w:szCs w:val="24"/>
        </w:rPr>
        <w:t xml:space="preserve"> gang </w:t>
      </w:r>
      <w:r w:rsidR="00FA34A4" w:rsidRPr="00D11AD1">
        <w:rPr>
          <w:szCs w:val="24"/>
        </w:rPr>
        <w:t>daglig</w:t>
      </w:r>
      <w:r w:rsidRPr="00D11AD1">
        <w:rPr>
          <w:szCs w:val="24"/>
        </w:rPr>
        <w:t>, var ens ved år 2 og år 5 og omfattede: neutropeni (35</w:t>
      </w:r>
      <w:r w:rsidR="00FA34A4" w:rsidRPr="00D11AD1">
        <w:rPr>
          <w:szCs w:val="24"/>
        </w:rPr>
        <w:t xml:space="preserve"> %</w:t>
      </w:r>
      <w:r w:rsidRPr="00D11AD1">
        <w:rPr>
          <w:szCs w:val="24"/>
        </w:rPr>
        <w:t xml:space="preserve"> </w:t>
      </w:r>
      <w:r w:rsidRPr="00D11AD1">
        <w:rPr>
          <w:i/>
          <w:iCs/>
          <w:szCs w:val="24"/>
        </w:rPr>
        <w:t xml:space="preserve">versus </w:t>
      </w:r>
      <w:r w:rsidRPr="00D11AD1">
        <w:rPr>
          <w:szCs w:val="24"/>
        </w:rPr>
        <w:t>36</w:t>
      </w:r>
      <w:r w:rsidR="00FA34A4" w:rsidRPr="00D11AD1">
        <w:rPr>
          <w:szCs w:val="24"/>
        </w:rPr>
        <w:t xml:space="preserve"> %</w:t>
      </w:r>
      <w:r w:rsidRPr="00D11AD1">
        <w:rPr>
          <w:szCs w:val="24"/>
        </w:rPr>
        <w:t>), trombocytopeni (23</w:t>
      </w:r>
      <w:r w:rsidR="00481015">
        <w:rPr>
          <w:szCs w:val="24"/>
        </w:rPr>
        <w:t> </w:t>
      </w:r>
      <w:r w:rsidR="00FA34A4" w:rsidRPr="00D11AD1">
        <w:rPr>
          <w:szCs w:val="24"/>
        </w:rPr>
        <w:t>%</w:t>
      </w:r>
      <w:r w:rsidRPr="00D11AD1">
        <w:rPr>
          <w:szCs w:val="24"/>
        </w:rPr>
        <w:t xml:space="preserve"> </w:t>
      </w:r>
      <w:r w:rsidRPr="00D11AD1">
        <w:rPr>
          <w:i/>
          <w:iCs/>
          <w:szCs w:val="24"/>
        </w:rPr>
        <w:t xml:space="preserve">versus </w:t>
      </w:r>
      <w:r w:rsidRPr="00D11AD1">
        <w:rPr>
          <w:szCs w:val="24"/>
        </w:rPr>
        <w:t>24</w:t>
      </w:r>
      <w:r w:rsidR="00FA34A4" w:rsidRPr="00D11AD1">
        <w:rPr>
          <w:szCs w:val="24"/>
        </w:rPr>
        <w:t xml:space="preserve"> %</w:t>
      </w:r>
      <w:r w:rsidRPr="00D11AD1">
        <w:rPr>
          <w:szCs w:val="24"/>
        </w:rPr>
        <w:t>) og anæmi (13</w:t>
      </w:r>
      <w:r w:rsidR="00FA34A4" w:rsidRPr="00D11AD1">
        <w:rPr>
          <w:szCs w:val="24"/>
        </w:rPr>
        <w:t xml:space="preserve"> %</w:t>
      </w:r>
      <w:r w:rsidRPr="00D11AD1">
        <w:rPr>
          <w:szCs w:val="24"/>
        </w:rPr>
        <w:t xml:space="preserve"> </w:t>
      </w:r>
      <w:r w:rsidRPr="00D11AD1">
        <w:rPr>
          <w:i/>
          <w:iCs/>
          <w:szCs w:val="24"/>
        </w:rPr>
        <w:t xml:space="preserve">versus </w:t>
      </w:r>
      <w:r w:rsidRPr="00D11AD1">
        <w:rPr>
          <w:szCs w:val="24"/>
        </w:rPr>
        <w:t>13</w:t>
      </w:r>
      <w:r w:rsidR="00FA34A4" w:rsidRPr="00D11AD1">
        <w:rPr>
          <w:szCs w:val="24"/>
        </w:rPr>
        <w:t xml:space="preserve"> %</w:t>
      </w:r>
      <w:r w:rsidRPr="00D11AD1">
        <w:rPr>
          <w:szCs w:val="24"/>
        </w:rPr>
        <w:t>).</w:t>
      </w:r>
    </w:p>
    <w:p w14:paraId="39B1CAE5" w14:textId="41734774" w:rsidR="006D3DE8" w:rsidRPr="00D11AD1" w:rsidRDefault="006D3DE8" w:rsidP="006D3DE8">
      <w:pPr>
        <w:pStyle w:val="Sidehoved"/>
        <w:tabs>
          <w:tab w:val="left" w:pos="851"/>
        </w:tabs>
        <w:ind w:left="851"/>
        <w:rPr>
          <w:szCs w:val="24"/>
        </w:rPr>
      </w:pPr>
      <w:r w:rsidRPr="00D11AD1">
        <w:rPr>
          <w:szCs w:val="24"/>
        </w:rPr>
        <w:t>Hos patienter, som oplevede myelosuppression grad 3 eller 4, svandt dette som regel efter korte dosisafbrydelser og/eller -reduktioner. Hos 5</w:t>
      </w:r>
      <w:r w:rsidR="00FA34A4" w:rsidRPr="00D11AD1">
        <w:rPr>
          <w:szCs w:val="24"/>
        </w:rPr>
        <w:t xml:space="preserve"> %</w:t>
      </w:r>
      <w:r w:rsidRPr="00D11AD1">
        <w:rPr>
          <w:szCs w:val="24"/>
        </w:rPr>
        <w:t xml:space="preserve"> af patienterne blev behandlingen</w:t>
      </w:r>
      <w:r w:rsidR="00627B44" w:rsidRPr="00D11AD1">
        <w:rPr>
          <w:szCs w:val="24"/>
        </w:rPr>
        <w:t xml:space="preserve"> </w:t>
      </w:r>
      <w:r w:rsidRPr="00D11AD1">
        <w:rPr>
          <w:szCs w:val="24"/>
        </w:rPr>
        <w:t xml:space="preserve">permanent seponeret. </w:t>
      </w:r>
    </w:p>
    <w:p w14:paraId="74C18DED" w14:textId="77777777" w:rsidR="006D3DE8" w:rsidRPr="00D11AD1" w:rsidRDefault="006D3DE8" w:rsidP="006D3DE8">
      <w:pPr>
        <w:pStyle w:val="Sidehoved"/>
        <w:tabs>
          <w:tab w:val="left" w:pos="851"/>
        </w:tabs>
        <w:ind w:left="851"/>
        <w:rPr>
          <w:szCs w:val="24"/>
        </w:rPr>
      </w:pPr>
      <w:r w:rsidRPr="00D11AD1">
        <w:rPr>
          <w:szCs w:val="24"/>
        </w:rPr>
        <w:t>De fleste patienter fortsatte behandling uden yderligere tegn på myelosuppression.</w:t>
      </w:r>
    </w:p>
    <w:p w14:paraId="0B14F713" w14:textId="77777777" w:rsidR="006D3DE8" w:rsidRPr="00D11AD1" w:rsidRDefault="006D3DE8" w:rsidP="006D3DE8">
      <w:pPr>
        <w:pStyle w:val="Sidehoved"/>
        <w:tabs>
          <w:tab w:val="left" w:pos="851"/>
        </w:tabs>
        <w:ind w:left="851"/>
        <w:rPr>
          <w:szCs w:val="24"/>
        </w:rPr>
      </w:pPr>
    </w:p>
    <w:p w14:paraId="733026FD" w14:textId="77777777" w:rsidR="006D3DE8" w:rsidRPr="00D11AD1" w:rsidRDefault="006D3DE8" w:rsidP="006D3DE8">
      <w:pPr>
        <w:pStyle w:val="Sidehoved"/>
        <w:tabs>
          <w:tab w:val="left" w:pos="851"/>
        </w:tabs>
        <w:ind w:left="851"/>
        <w:rPr>
          <w:i/>
          <w:iCs/>
          <w:szCs w:val="24"/>
        </w:rPr>
      </w:pPr>
      <w:r w:rsidRPr="00D11AD1">
        <w:rPr>
          <w:i/>
          <w:iCs/>
          <w:szCs w:val="24"/>
        </w:rPr>
        <w:t>Biokemi</w:t>
      </w:r>
    </w:p>
    <w:p w14:paraId="1954BEEF" w14:textId="7F5FFE69" w:rsidR="006D3DE8" w:rsidRPr="00D11AD1" w:rsidRDefault="006D3DE8" w:rsidP="006D3DE8">
      <w:pPr>
        <w:pStyle w:val="Sidehoved"/>
        <w:tabs>
          <w:tab w:val="left" w:pos="851"/>
        </w:tabs>
        <w:ind w:left="851"/>
        <w:rPr>
          <w:szCs w:val="24"/>
        </w:rPr>
      </w:pPr>
      <w:r w:rsidRPr="00D11AD1">
        <w:rPr>
          <w:szCs w:val="24"/>
        </w:rPr>
        <w:t>I studiet vedrørende nyligt diagnosticeret CML i kronisk fase blev grad 3 eller 4 hypofosfatæmi rapporteret hos 4</w:t>
      </w:r>
      <w:r w:rsidR="00FA34A4" w:rsidRPr="00D11AD1">
        <w:rPr>
          <w:szCs w:val="24"/>
        </w:rPr>
        <w:t xml:space="preserve"> %</w:t>
      </w:r>
      <w:r w:rsidRPr="00D11AD1">
        <w:rPr>
          <w:szCs w:val="24"/>
        </w:rPr>
        <w:t xml:space="preserve"> af de patienter, der fik dasatinib, og grad 3 eller 4 forhøjelse af aminotransferase, kreatinin og bilirubin blev rapporteret hos ≤ 1</w:t>
      </w:r>
      <w:r w:rsidR="00FA34A4" w:rsidRPr="00D11AD1">
        <w:rPr>
          <w:szCs w:val="24"/>
        </w:rPr>
        <w:t xml:space="preserve"> %</w:t>
      </w:r>
      <w:r w:rsidRPr="00D11AD1">
        <w:rPr>
          <w:szCs w:val="24"/>
        </w:rPr>
        <w:t xml:space="preserve"> af patienterne efter mindst 12 måneders opfølgning.</w:t>
      </w:r>
    </w:p>
    <w:p w14:paraId="632D9696" w14:textId="7E891177" w:rsidR="006D3DE8" w:rsidRPr="00D11AD1" w:rsidRDefault="006D3DE8" w:rsidP="006D3DE8">
      <w:pPr>
        <w:pStyle w:val="Sidehoved"/>
        <w:tabs>
          <w:tab w:val="left" w:pos="851"/>
        </w:tabs>
        <w:ind w:left="851"/>
        <w:rPr>
          <w:szCs w:val="24"/>
        </w:rPr>
      </w:pPr>
      <w:r w:rsidRPr="00D11AD1">
        <w:rPr>
          <w:szCs w:val="24"/>
        </w:rPr>
        <w:t>Efter mindst 60 måneders opfølgning var den kumulative rate for grad 3 eller 4 hypofosfatæmi 7</w:t>
      </w:r>
      <w:r w:rsidR="00FA34A4" w:rsidRPr="00D11AD1">
        <w:rPr>
          <w:szCs w:val="24"/>
        </w:rPr>
        <w:t xml:space="preserve"> %</w:t>
      </w:r>
      <w:r w:rsidRPr="00D11AD1">
        <w:rPr>
          <w:szCs w:val="24"/>
        </w:rPr>
        <w:t>, for grad 3 eller 4 forhøjelse af kreatinin og bilirubin 1</w:t>
      </w:r>
      <w:r w:rsidR="00FA34A4" w:rsidRPr="00D11AD1">
        <w:rPr>
          <w:szCs w:val="24"/>
        </w:rPr>
        <w:t xml:space="preserve"> %</w:t>
      </w:r>
      <w:r w:rsidRPr="00D11AD1">
        <w:rPr>
          <w:szCs w:val="24"/>
        </w:rPr>
        <w:t>, og for grad 3 eller 4 forhøjelse af aminotransferase forblev frekvensen 1</w:t>
      </w:r>
      <w:r w:rsidR="00FA34A4" w:rsidRPr="00D11AD1">
        <w:rPr>
          <w:szCs w:val="24"/>
        </w:rPr>
        <w:t xml:space="preserve"> %</w:t>
      </w:r>
      <w:r w:rsidRPr="00D11AD1">
        <w:rPr>
          <w:szCs w:val="24"/>
        </w:rPr>
        <w:t>. Ingen af patienterne afbrød behandlingen med dasatinib</w:t>
      </w:r>
      <w:r w:rsidR="00627B44" w:rsidRPr="00D11AD1">
        <w:rPr>
          <w:szCs w:val="24"/>
        </w:rPr>
        <w:t xml:space="preserve"> </w:t>
      </w:r>
      <w:r w:rsidRPr="00D11AD1">
        <w:rPr>
          <w:szCs w:val="24"/>
        </w:rPr>
        <w:t>på grund af disse biokemiske laboratorieparametre.</w:t>
      </w:r>
    </w:p>
    <w:p w14:paraId="66F6E86F" w14:textId="77777777" w:rsidR="006D3DE8" w:rsidRPr="00D11AD1" w:rsidRDefault="006D3DE8" w:rsidP="006D3DE8">
      <w:pPr>
        <w:pStyle w:val="Sidehoved"/>
        <w:tabs>
          <w:tab w:val="left" w:pos="851"/>
        </w:tabs>
        <w:ind w:left="851"/>
        <w:rPr>
          <w:szCs w:val="24"/>
        </w:rPr>
      </w:pPr>
    </w:p>
    <w:p w14:paraId="293FD267" w14:textId="77777777" w:rsidR="006D3DE8" w:rsidRPr="00D11AD1" w:rsidRDefault="006D3DE8" w:rsidP="006D3DE8">
      <w:pPr>
        <w:pStyle w:val="Sidehoved"/>
        <w:tabs>
          <w:tab w:val="left" w:pos="851"/>
        </w:tabs>
        <w:ind w:left="851"/>
        <w:rPr>
          <w:i/>
          <w:iCs/>
          <w:szCs w:val="24"/>
        </w:rPr>
      </w:pPr>
      <w:r w:rsidRPr="00D11AD1">
        <w:rPr>
          <w:i/>
          <w:iCs/>
          <w:szCs w:val="24"/>
        </w:rPr>
        <w:t>2 års opfølgning</w:t>
      </w:r>
    </w:p>
    <w:p w14:paraId="1077785C" w14:textId="22F73B5A" w:rsidR="006D3DE8" w:rsidRPr="00D11AD1" w:rsidRDefault="006D3DE8" w:rsidP="006D3DE8">
      <w:pPr>
        <w:pStyle w:val="Sidehoved"/>
        <w:tabs>
          <w:tab w:val="left" w:pos="851"/>
        </w:tabs>
        <w:ind w:left="851"/>
        <w:rPr>
          <w:szCs w:val="24"/>
        </w:rPr>
      </w:pPr>
      <w:r w:rsidRPr="00D11AD1">
        <w:rPr>
          <w:szCs w:val="24"/>
        </w:rPr>
        <w:t>Grad 3- eller 4-stigninger af aminotransferaser eller bilirubin blev indberettet hos 1</w:t>
      </w:r>
      <w:r w:rsidR="00FA34A4" w:rsidRPr="00D11AD1">
        <w:rPr>
          <w:szCs w:val="24"/>
        </w:rPr>
        <w:t xml:space="preserve"> %</w:t>
      </w:r>
      <w:r w:rsidRPr="00D11AD1">
        <w:rPr>
          <w:szCs w:val="24"/>
        </w:rPr>
        <w:t xml:space="preserve"> af patienterne med CML i kronisk fase (resistens eller intolerans over for imatinib). Dog blev der rapporteret stigninger med en øget hyppighed på 1–7</w:t>
      </w:r>
      <w:r w:rsidR="00FA34A4" w:rsidRPr="00D11AD1">
        <w:rPr>
          <w:szCs w:val="24"/>
        </w:rPr>
        <w:t xml:space="preserve"> %</w:t>
      </w:r>
      <w:r w:rsidRPr="00D11AD1">
        <w:rPr>
          <w:szCs w:val="24"/>
        </w:rPr>
        <w:t xml:space="preserve"> hos patienter med CML i fremskreden fase eller Ph+ ALL.</w:t>
      </w:r>
    </w:p>
    <w:p w14:paraId="52512B13" w14:textId="678D04A3" w:rsidR="006D3DE8" w:rsidRPr="00D11AD1" w:rsidRDefault="006D3DE8" w:rsidP="006D3DE8">
      <w:pPr>
        <w:pStyle w:val="Sidehoved"/>
        <w:tabs>
          <w:tab w:val="left" w:pos="851"/>
        </w:tabs>
        <w:ind w:left="851"/>
        <w:rPr>
          <w:szCs w:val="24"/>
        </w:rPr>
      </w:pPr>
      <w:r w:rsidRPr="00D11AD1">
        <w:rPr>
          <w:szCs w:val="24"/>
        </w:rPr>
        <w:t>Dette blev sædvanligvis håndteret med dosisreduktion eller afbrydelse. I fase III-studier vedrørende dosisoptimering ved CML i kronisk fase blev grad 3 og 4 forhøjelse i aminotransferaser eller bilirubin indberettet hos ≤ 1</w:t>
      </w:r>
      <w:r w:rsidR="00FA34A4" w:rsidRPr="00D11AD1">
        <w:rPr>
          <w:szCs w:val="24"/>
        </w:rPr>
        <w:t xml:space="preserve"> %</w:t>
      </w:r>
      <w:r w:rsidRPr="00D11AD1">
        <w:rPr>
          <w:szCs w:val="24"/>
        </w:rPr>
        <w:t xml:space="preserve"> af patienterne med ensartet lav forekomst i de 4 behandlingsgrupper. I fase III-studier vedrørende dosisoptimering ved CML i fremskreden fase og Ph+ ALL, blev grad 3 og 4 forhøjelse af aminotransferaser eller bilirubin indberettet hos 1</w:t>
      </w:r>
      <w:r w:rsidR="00FA34A4" w:rsidRPr="00D11AD1">
        <w:rPr>
          <w:szCs w:val="24"/>
        </w:rPr>
        <w:t xml:space="preserve"> %</w:t>
      </w:r>
      <w:r w:rsidRPr="00D11AD1">
        <w:rPr>
          <w:szCs w:val="24"/>
        </w:rPr>
        <w:t xml:space="preserve"> til 5</w:t>
      </w:r>
      <w:r w:rsidR="00FA34A4" w:rsidRPr="00D11AD1">
        <w:rPr>
          <w:szCs w:val="24"/>
        </w:rPr>
        <w:t xml:space="preserve"> %</w:t>
      </w:r>
      <w:r w:rsidRPr="00D11AD1">
        <w:rPr>
          <w:szCs w:val="24"/>
        </w:rPr>
        <w:t xml:space="preserve"> af patienterne.</w:t>
      </w:r>
    </w:p>
    <w:p w14:paraId="0EEE66F3" w14:textId="77777777" w:rsidR="006D3DE8" w:rsidRPr="00D11AD1" w:rsidRDefault="006D3DE8" w:rsidP="006D3DE8">
      <w:pPr>
        <w:pStyle w:val="Sidehoved"/>
        <w:tabs>
          <w:tab w:val="left" w:pos="851"/>
        </w:tabs>
        <w:ind w:left="851"/>
        <w:rPr>
          <w:szCs w:val="24"/>
        </w:rPr>
      </w:pPr>
    </w:p>
    <w:p w14:paraId="6AF03318" w14:textId="6B700ABF" w:rsidR="006D3DE8" w:rsidRPr="00D11AD1" w:rsidRDefault="006D3DE8" w:rsidP="006D3DE8">
      <w:pPr>
        <w:pStyle w:val="Sidehoved"/>
        <w:tabs>
          <w:tab w:val="left" w:pos="851"/>
        </w:tabs>
        <w:ind w:left="851"/>
        <w:rPr>
          <w:szCs w:val="24"/>
        </w:rPr>
      </w:pPr>
      <w:r w:rsidRPr="00D11AD1">
        <w:rPr>
          <w:szCs w:val="24"/>
        </w:rPr>
        <w:t>Ca. 5</w:t>
      </w:r>
      <w:r w:rsidR="00FA34A4" w:rsidRPr="00D11AD1">
        <w:rPr>
          <w:szCs w:val="24"/>
        </w:rPr>
        <w:t xml:space="preserve"> %</w:t>
      </w:r>
      <w:r w:rsidRPr="00D11AD1">
        <w:rPr>
          <w:szCs w:val="24"/>
        </w:rPr>
        <w:t xml:space="preserve"> af de dasatinib</w:t>
      </w:r>
      <w:r w:rsidR="00627B44" w:rsidRPr="00D11AD1">
        <w:rPr>
          <w:szCs w:val="24"/>
        </w:rPr>
        <w:t>-</w:t>
      </w:r>
      <w:r w:rsidRPr="00D11AD1">
        <w:rPr>
          <w:szCs w:val="24"/>
        </w:rPr>
        <w:t xml:space="preserve">behandlede patienter, som havde normale </w:t>
      </w:r>
      <w:r w:rsidRPr="00D11AD1">
        <w:rPr>
          <w:i/>
          <w:iCs/>
          <w:szCs w:val="24"/>
        </w:rPr>
        <w:t>baseline</w:t>
      </w:r>
      <w:r w:rsidRPr="00D11AD1">
        <w:rPr>
          <w:szCs w:val="24"/>
        </w:rPr>
        <w:t xml:space="preserve">-niveauer, oplevede grad 3 eller 4 forbigående hypokalcæmi på et tidspunkt under forløbet. Generelt var fald i calcium ikke forbundet med kliniske symptomer. Patienter, der udviklede grad 3 eller 4 hypokalcæmi, kom sig ofte med oralt calciumtilskud. </w:t>
      </w:r>
    </w:p>
    <w:p w14:paraId="1BE5101D" w14:textId="5B47FF88" w:rsidR="006D3DE8" w:rsidRPr="00D11AD1" w:rsidRDefault="006D3DE8" w:rsidP="006D3DE8">
      <w:pPr>
        <w:pStyle w:val="Sidehoved"/>
        <w:tabs>
          <w:tab w:val="left" w:pos="851"/>
        </w:tabs>
        <w:ind w:left="851"/>
        <w:rPr>
          <w:szCs w:val="24"/>
        </w:rPr>
      </w:pPr>
      <w:r w:rsidRPr="00D11AD1">
        <w:rPr>
          <w:szCs w:val="24"/>
        </w:rPr>
        <w:t>Der blev indberettet grad 3 eller 4 hypokalcæmi, hypokaliæmi og hypofosfatæmi hos patienter i alle CML-faser, men med øget hyppighed hos patienter med CML I myeloid eller lymfoid blastfase og Ph+ ALL. Forhøjet kreatininniveau grad 3 eller 4 blev rapporteret hos &lt; 1</w:t>
      </w:r>
      <w:r w:rsidR="00FA34A4" w:rsidRPr="00D11AD1">
        <w:rPr>
          <w:szCs w:val="24"/>
        </w:rPr>
        <w:t xml:space="preserve"> %</w:t>
      </w:r>
      <w:r w:rsidRPr="00D11AD1">
        <w:rPr>
          <w:szCs w:val="24"/>
        </w:rPr>
        <w:t xml:space="preserve"> af patienterne med CML i kronisk fase og blev rapporteret med en øget hyppighed på 1–4</w:t>
      </w:r>
      <w:r w:rsidR="00FA34A4" w:rsidRPr="00D11AD1">
        <w:rPr>
          <w:szCs w:val="24"/>
        </w:rPr>
        <w:t xml:space="preserve"> %</w:t>
      </w:r>
      <w:r w:rsidRPr="00D11AD1">
        <w:rPr>
          <w:szCs w:val="24"/>
        </w:rPr>
        <w:t xml:space="preserve"> hos patienterne med CML i fremskreden fase.</w:t>
      </w:r>
    </w:p>
    <w:p w14:paraId="3DA7EDB2" w14:textId="77777777" w:rsidR="006D3DE8" w:rsidRPr="00D11AD1" w:rsidRDefault="006D3DE8" w:rsidP="006D3DE8">
      <w:pPr>
        <w:pStyle w:val="Sidehoved"/>
        <w:tabs>
          <w:tab w:val="left" w:pos="851"/>
        </w:tabs>
        <w:ind w:left="851"/>
        <w:rPr>
          <w:szCs w:val="24"/>
        </w:rPr>
      </w:pPr>
    </w:p>
    <w:p w14:paraId="6E56923D" w14:textId="77777777" w:rsidR="006D3DE8" w:rsidRPr="00D11AD1" w:rsidRDefault="006D3DE8" w:rsidP="006D3DE8">
      <w:pPr>
        <w:pStyle w:val="Sidehoved"/>
        <w:tabs>
          <w:tab w:val="left" w:pos="851"/>
        </w:tabs>
        <w:ind w:left="851"/>
        <w:rPr>
          <w:szCs w:val="24"/>
          <w:u w:val="single"/>
        </w:rPr>
      </w:pPr>
      <w:r w:rsidRPr="00D11AD1">
        <w:rPr>
          <w:szCs w:val="24"/>
          <w:u w:val="single"/>
        </w:rPr>
        <w:t>Pædiatrisk population</w:t>
      </w:r>
    </w:p>
    <w:p w14:paraId="0A35206E" w14:textId="612EBB65" w:rsidR="006D3DE8" w:rsidRPr="00D11AD1" w:rsidRDefault="006D3DE8" w:rsidP="006D3DE8">
      <w:pPr>
        <w:pStyle w:val="Sidehoved"/>
        <w:tabs>
          <w:tab w:val="left" w:pos="851"/>
        </w:tabs>
        <w:ind w:left="851"/>
        <w:rPr>
          <w:szCs w:val="24"/>
        </w:rPr>
      </w:pPr>
      <w:r w:rsidRPr="00D11AD1">
        <w:rPr>
          <w:szCs w:val="24"/>
        </w:rPr>
        <w:t>Sikkerhedsprofilen for dasatinib</w:t>
      </w:r>
      <w:r w:rsidR="00627B44" w:rsidRPr="00D11AD1">
        <w:rPr>
          <w:szCs w:val="24"/>
        </w:rPr>
        <w:t xml:space="preserve"> </w:t>
      </w:r>
      <w:r w:rsidRPr="00D11AD1">
        <w:rPr>
          <w:szCs w:val="24"/>
        </w:rPr>
        <w:t>administreret som enkeltstofbehandling hos pædiatriske patienter med Ph+ CML-CP var sammenlignelig med sikkerhedsprofilen hos voksne. Sikkerhedsprofilen for dasatinib</w:t>
      </w:r>
      <w:r w:rsidR="00627B44" w:rsidRPr="00D11AD1">
        <w:rPr>
          <w:szCs w:val="24"/>
        </w:rPr>
        <w:t xml:space="preserve"> </w:t>
      </w:r>
      <w:r w:rsidRPr="00D11AD1">
        <w:rPr>
          <w:szCs w:val="24"/>
        </w:rPr>
        <w:t>administreret i kombination med kemoterapi hos pædiatriske patienter med Ph+ ALL var I overensstemmelse med den kendte sikkerhedsprofil for dasatinib</w:t>
      </w:r>
      <w:r w:rsidR="00627B44" w:rsidRPr="00D11AD1">
        <w:rPr>
          <w:szCs w:val="24"/>
        </w:rPr>
        <w:t xml:space="preserve"> </w:t>
      </w:r>
      <w:r w:rsidRPr="00D11AD1">
        <w:rPr>
          <w:szCs w:val="24"/>
        </w:rPr>
        <w:t>hos voksne og de forventede bivirkninger af kemoterapi, med undtagelse af en lavere frekvens af pleuraeffusion hos pædiatriske patienter sammenlignet med voksne.</w:t>
      </w:r>
    </w:p>
    <w:p w14:paraId="3329CF96" w14:textId="77777777" w:rsidR="006D3DE8" w:rsidRPr="00D11AD1" w:rsidRDefault="006D3DE8" w:rsidP="006D3DE8">
      <w:pPr>
        <w:pStyle w:val="Sidehoved"/>
        <w:tabs>
          <w:tab w:val="left" w:pos="851"/>
        </w:tabs>
        <w:ind w:left="851"/>
        <w:rPr>
          <w:szCs w:val="24"/>
        </w:rPr>
      </w:pPr>
    </w:p>
    <w:p w14:paraId="660D8D19" w14:textId="77777777" w:rsidR="006D3DE8" w:rsidRPr="00D11AD1" w:rsidRDefault="006D3DE8" w:rsidP="006D3DE8">
      <w:pPr>
        <w:pStyle w:val="Sidehoved"/>
        <w:tabs>
          <w:tab w:val="left" w:pos="851"/>
        </w:tabs>
        <w:ind w:left="851"/>
        <w:rPr>
          <w:szCs w:val="24"/>
        </w:rPr>
      </w:pPr>
      <w:r w:rsidRPr="00D11AD1">
        <w:rPr>
          <w:szCs w:val="24"/>
        </w:rPr>
        <w:t>I de pædiatriske CML-studier var frekvenserne af laboratorieabnormiteter konsistente med den kendte profil for laboratorieparametre hos voksne.</w:t>
      </w:r>
    </w:p>
    <w:p w14:paraId="30EAEF98" w14:textId="77777777" w:rsidR="006D3DE8" w:rsidRPr="00D11AD1" w:rsidRDefault="006D3DE8" w:rsidP="006D3DE8">
      <w:pPr>
        <w:pStyle w:val="Sidehoved"/>
        <w:tabs>
          <w:tab w:val="left" w:pos="851"/>
        </w:tabs>
        <w:ind w:left="851"/>
        <w:rPr>
          <w:szCs w:val="24"/>
        </w:rPr>
      </w:pPr>
    </w:p>
    <w:p w14:paraId="3FF66932" w14:textId="77777777" w:rsidR="006D3DE8" w:rsidRPr="00D11AD1" w:rsidRDefault="006D3DE8" w:rsidP="006D3DE8">
      <w:pPr>
        <w:pStyle w:val="Sidehoved"/>
        <w:tabs>
          <w:tab w:val="left" w:pos="851"/>
        </w:tabs>
        <w:ind w:left="851"/>
        <w:rPr>
          <w:szCs w:val="24"/>
        </w:rPr>
      </w:pPr>
      <w:r w:rsidRPr="00D11AD1">
        <w:rPr>
          <w:szCs w:val="24"/>
        </w:rPr>
        <w:t>I de pædiatriske ALL-studier var frekvenserne af laboratorieabnormiteter konsistente med den kendte profil for laboratorieparametre hos voksne inden for konteksten af en patient med akut leukæmi, der får et baggrundskemoterapiregime.</w:t>
      </w:r>
    </w:p>
    <w:p w14:paraId="36F5336B" w14:textId="1D1E6910" w:rsidR="006D3DE8" w:rsidRPr="00D11AD1" w:rsidRDefault="006D3DE8" w:rsidP="000A733F">
      <w:pPr>
        <w:ind w:left="851"/>
        <w:rPr>
          <w:sz w:val="24"/>
          <w:szCs w:val="24"/>
        </w:rPr>
      </w:pPr>
    </w:p>
    <w:p w14:paraId="6E53C581" w14:textId="77777777" w:rsidR="006D3DE8" w:rsidRPr="00D11AD1" w:rsidRDefault="006D3DE8" w:rsidP="006D3DE8">
      <w:pPr>
        <w:pStyle w:val="Sidehoved"/>
        <w:tabs>
          <w:tab w:val="left" w:pos="851"/>
        </w:tabs>
        <w:ind w:left="851"/>
        <w:rPr>
          <w:szCs w:val="24"/>
          <w:u w:val="single"/>
        </w:rPr>
      </w:pPr>
      <w:r w:rsidRPr="00D11AD1">
        <w:rPr>
          <w:szCs w:val="24"/>
          <w:u w:val="single"/>
        </w:rPr>
        <w:t>Særlige patientgrupper</w:t>
      </w:r>
    </w:p>
    <w:p w14:paraId="1ECCCA7F" w14:textId="782F17BE" w:rsidR="006D3DE8" w:rsidRPr="00D11AD1" w:rsidRDefault="006D3DE8" w:rsidP="006D3DE8">
      <w:pPr>
        <w:pStyle w:val="Sidehoved"/>
        <w:tabs>
          <w:tab w:val="left" w:pos="851"/>
        </w:tabs>
        <w:ind w:left="851"/>
        <w:rPr>
          <w:szCs w:val="24"/>
        </w:rPr>
      </w:pPr>
      <w:r w:rsidRPr="00D11AD1">
        <w:rPr>
          <w:szCs w:val="24"/>
        </w:rPr>
        <w:t>Selvom sikkerhedsprofilen for dasatinib</w:t>
      </w:r>
      <w:r w:rsidR="00A1711F" w:rsidRPr="00D11AD1">
        <w:rPr>
          <w:szCs w:val="24"/>
        </w:rPr>
        <w:t xml:space="preserve"> </w:t>
      </w:r>
      <w:r w:rsidRPr="00D11AD1">
        <w:rPr>
          <w:szCs w:val="24"/>
        </w:rPr>
        <w:t>hos ældre svarer til den for yngre patienter, er der større sandsynlighed for, at patienter over 65 år oplever de oftest rapporterede bivirkninger som f.eks. træthed, pleuraeffusion, dyspnø, hoste, nedre gastrointestinal blødning og appetitforstyrrelser og de mindre hyppigt rapporterede bivirkninger som f.eks. abdominal distension, svimmelhed, perikardieeffusion, kongestiv hjertesvigt og vægttab og bør derfor monitoreres omhyggeligt (se pkt. 4.4).</w:t>
      </w:r>
    </w:p>
    <w:p w14:paraId="31811B84" w14:textId="77777777" w:rsidR="006D3DE8" w:rsidRPr="00D11AD1" w:rsidRDefault="006D3DE8" w:rsidP="006D3DE8">
      <w:pPr>
        <w:pStyle w:val="Sidehoved"/>
        <w:tabs>
          <w:tab w:val="left" w:pos="851"/>
        </w:tabs>
        <w:ind w:left="851"/>
        <w:rPr>
          <w:szCs w:val="24"/>
        </w:rPr>
      </w:pPr>
    </w:p>
    <w:p w14:paraId="41096554" w14:textId="77777777" w:rsidR="00751E5B" w:rsidRPr="00D11AD1" w:rsidRDefault="00751E5B" w:rsidP="00751E5B">
      <w:pPr>
        <w:autoSpaceDE w:val="0"/>
        <w:autoSpaceDN w:val="0"/>
        <w:ind w:left="851"/>
        <w:rPr>
          <w:sz w:val="24"/>
          <w:szCs w:val="24"/>
          <w:u w:val="single"/>
          <w:lang w:eastAsia="da-DK"/>
        </w:rPr>
      </w:pPr>
      <w:bookmarkStart w:id="4" w:name="_Hlk31294671"/>
      <w:r w:rsidRPr="00D11AD1">
        <w:rPr>
          <w:sz w:val="24"/>
          <w:szCs w:val="24"/>
          <w:u w:val="single"/>
          <w:lang w:eastAsia="da-DK"/>
        </w:rPr>
        <w:t>Indberetning af formodede bivirkninger</w:t>
      </w:r>
    </w:p>
    <w:p w14:paraId="20812135" w14:textId="6B387C82" w:rsidR="00751E5B" w:rsidRPr="00D11AD1" w:rsidRDefault="00751E5B" w:rsidP="00751E5B">
      <w:pPr>
        <w:ind w:left="851"/>
        <w:rPr>
          <w:sz w:val="24"/>
          <w:szCs w:val="24"/>
          <w:lang w:eastAsia="da-DK"/>
        </w:rPr>
      </w:pPr>
      <w:r w:rsidRPr="00D11AD1">
        <w:rPr>
          <w:sz w:val="24"/>
          <w:szCs w:val="24"/>
          <w:lang w:eastAsia="da-DK"/>
        </w:rPr>
        <w:t xml:space="preserve">Når lægemidlet er godkendt, er indberetning af formodede bivirkninger vigtig. Det muliggør løbende overvågning af benefit/risk-forholdet for lægemidlet. </w:t>
      </w:r>
      <w:r w:rsidR="00B96276" w:rsidRPr="00D11AD1">
        <w:rPr>
          <w:sz w:val="24"/>
          <w:szCs w:val="24"/>
          <w:lang w:eastAsia="da-DK"/>
        </w:rPr>
        <w:t>Sundhedspersoner</w:t>
      </w:r>
      <w:r w:rsidRPr="00D11AD1">
        <w:rPr>
          <w:sz w:val="24"/>
          <w:szCs w:val="24"/>
          <w:lang w:eastAsia="da-DK"/>
        </w:rPr>
        <w:t xml:space="preserve"> anmodes om at indberette alle formodede bivirkninger via:</w:t>
      </w:r>
    </w:p>
    <w:p w14:paraId="14E3B1FE" w14:textId="77777777" w:rsidR="00751E5B" w:rsidRPr="00D11AD1" w:rsidRDefault="00751E5B" w:rsidP="00751E5B">
      <w:pPr>
        <w:ind w:left="851"/>
        <w:rPr>
          <w:sz w:val="24"/>
          <w:szCs w:val="24"/>
          <w:lang w:eastAsia="da-DK"/>
        </w:rPr>
      </w:pPr>
    </w:p>
    <w:p w14:paraId="7E30188A" w14:textId="77777777" w:rsidR="00751E5B" w:rsidRPr="00D11AD1" w:rsidRDefault="00751E5B" w:rsidP="00751E5B">
      <w:pPr>
        <w:ind w:left="851"/>
        <w:rPr>
          <w:sz w:val="24"/>
          <w:szCs w:val="24"/>
          <w:lang w:eastAsia="da-DK"/>
        </w:rPr>
      </w:pPr>
      <w:r w:rsidRPr="00D11AD1">
        <w:rPr>
          <w:sz w:val="24"/>
          <w:szCs w:val="24"/>
          <w:lang w:eastAsia="da-DK"/>
        </w:rPr>
        <w:t>Lægemiddelstyrelsen</w:t>
      </w:r>
    </w:p>
    <w:p w14:paraId="162A59FA" w14:textId="77777777" w:rsidR="00751E5B" w:rsidRPr="00D11AD1" w:rsidRDefault="00751E5B" w:rsidP="00751E5B">
      <w:pPr>
        <w:ind w:left="851"/>
        <w:rPr>
          <w:sz w:val="24"/>
          <w:szCs w:val="24"/>
          <w:lang w:eastAsia="da-DK"/>
        </w:rPr>
      </w:pPr>
      <w:r w:rsidRPr="00D11AD1">
        <w:rPr>
          <w:sz w:val="24"/>
          <w:szCs w:val="24"/>
          <w:lang w:eastAsia="da-DK"/>
        </w:rPr>
        <w:t>Axel Heides Gade 1</w:t>
      </w:r>
    </w:p>
    <w:p w14:paraId="71CA7866" w14:textId="77777777" w:rsidR="00751E5B" w:rsidRPr="00D11AD1" w:rsidRDefault="00751E5B" w:rsidP="00751E5B">
      <w:pPr>
        <w:ind w:left="851"/>
        <w:rPr>
          <w:sz w:val="24"/>
          <w:szCs w:val="24"/>
          <w:lang w:eastAsia="da-DK"/>
        </w:rPr>
      </w:pPr>
      <w:r w:rsidRPr="00D11AD1">
        <w:rPr>
          <w:sz w:val="24"/>
          <w:szCs w:val="24"/>
          <w:lang w:eastAsia="da-DK"/>
        </w:rPr>
        <w:t>DK-2300 København S</w:t>
      </w:r>
    </w:p>
    <w:p w14:paraId="7F79E42D" w14:textId="77777777" w:rsidR="00751E5B" w:rsidRPr="00D11AD1" w:rsidRDefault="00751E5B" w:rsidP="00751E5B">
      <w:pPr>
        <w:ind w:left="851"/>
        <w:rPr>
          <w:sz w:val="24"/>
          <w:szCs w:val="24"/>
          <w:lang w:eastAsia="da-DK"/>
        </w:rPr>
      </w:pPr>
      <w:r w:rsidRPr="00D11AD1">
        <w:rPr>
          <w:sz w:val="24"/>
          <w:szCs w:val="24"/>
          <w:lang w:eastAsia="da-DK"/>
        </w:rPr>
        <w:t>Websted: www.meldenbivirkning.dk</w:t>
      </w:r>
    </w:p>
    <w:bookmarkEnd w:id="4"/>
    <w:p w14:paraId="02338DC2" w14:textId="77777777" w:rsidR="003F7B19" w:rsidRPr="00D11AD1" w:rsidRDefault="003F7B19" w:rsidP="009260DE">
      <w:pPr>
        <w:pStyle w:val="Sidehoved"/>
        <w:tabs>
          <w:tab w:val="left" w:pos="851"/>
        </w:tabs>
        <w:ind w:left="851"/>
        <w:rPr>
          <w:szCs w:val="24"/>
        </w:rPr>
      </w:pPr>
    </w:p>
    <w:p w14:paraId="0ED20540" w14:textId="77777777" w:rsidR="009260DE" w:rsidRPr="00D11AD1" w:rsidRDefault="009260DE" w:rsidP="009260DE">
      <w:pPr>
        <w:tabs>
          <w:tab w:val="left" w:pos="851"/>
        </w:tabs>
        <w:ind w:left="851" w:hanging="851"/>
        <w:rPr>
          <w:b/>
          <w:sz w:val="24"/>
          <w:szCs w:val="24"/>
        </w:rPr>
      </w:pPr>
      <w:r w:rsidRPr="00D11AD1">
        <w:rPr>
          <w:b/>
          <w:sz w:val="24"/>
          <w:szCs w:val="24"/>
        </w:rPr>
        <w:t>4.9</w:t>
      </w:r>
      <w:r w:rsidRPr="00D11AD1">
        <w:rPr>
          <w:b/>
          <w:sz w:val="24"/>
          <w:szCs w:val="24"/>
        </w:rPr>
        <w:tab/>
        <w:t>Overdosering</w:t>
      </w:r>
    </w:p>
    <w:p w14:paraId="2A201D74" w14:textId="41AEC7A3" w:rsidR="006003B8" w:rsidRPr="00D11AD1" w:rsidRDefault="006003B8" w:rsidP="006003B8">
      <w:pPr>
        <w:tabs>
          <w:tab w:val="left" w:pos="851"/>
        </w:tabs>
        <w:ind w:left="851"/>
        <w:rPr>
          <w:sz w:val="24"/>
          <w:szCs w:val="24"/>
        </w:rPr>
      </w:pPr>
      <w:r w:rsidRPr="00D11AD1">
        <w:rPr>
          <w:sz w:val="24"/>
          <w:szCs w:val="24"/>
        </w:rPr>
        <w:t>Erfaring fra kliniske studier med overdosis af dasatinib</w:t>
      </w:r>
      <w:r w:rsidR="00A1711F" w:rsidRPr="00D11AD1">
        <w:rPr>
          <w:sz w:val="24"/>
          <w:szCs w:val="24"/>
        </w:rPr>
        <w:t xml:space="preserve"> </w:t>
      </w:r>
      <w:r w:rsidRPr="00D11AD1">
        <w:rPr>
          <w:sz w:val="24"/>
          <w:szCs w:val="24"/>
        </w:rPr>
        <w:t xml:space="preserve">er begrænset til isolerede tilfælde. Den højeste overdosis på 280 mg per dag i en uge blev rapporteret hos to patienter, som begge udviklede et signifikant nedsat antal blodplader. Patienter, som får mere end den anbefalede dosis, skal monitoreres tæt for myelosuppression, eftersom </w:t>
      </w:r>
      <w:r w:rsidRPr="00D11AD1">
        <w:rPr>
          <w:sz w:val="24"/>
          <w:szCs w:val="24"/>
        </w:rPr>
        <w:lastRenderedPageBreak/>
        <w:t>dasatinib er forbundet med myelosuppression grad 3 eller 4 (se pkt. 4.4). Relevant understøttende behandling bør ligeledes institueres.</w:t>
      </w:r>
    </w:p>
    <w:p w14:paraId="2D16B446" w14:textId="77777777" w:rsidR="009260DE" w:rsidRPr="00D11AD1" w:rsidRDefault="009260DE" w:rsidP="009260DE">
      <w:pPr>
        <w:tabs>
          <w:tab w:val="left" w:pos="851"/>
        </w:tabs>
        <w:ind w:left="851"/>
        <w:rPr>
          <w:sz w:val="24"/>
          <w:szCs w:val="24"/>
        </w:rPr>
      </w:pPr>
    </w:p>
    <w:p w14:paraId="5B0E9FB2" w14:textId="77777777" w:rsidR="009260DE" w:rsidRPr="00D11AD1" w:rsidRDefault="009260DE" w:rsidP="009260DE">
      <w:pPr>
        <w:tabs>
          <w:tab w:val="left" w:pos="851"/>
        </w:tabs>
        <w:ind w:left="851" w:hanging="851"/>
        <w:rPr>
          <w:b/>
          <w:sz w:val="24"/>
          <w:szCs w:val="24"/>
        </w:rPr>
      </w:pPr>
      <w:r w:rsidRPr="00D11AD1">
        <w:rPr>
          <w:b/>
          <w:sz w:val="24"/>
          <w:szCs w:val="24"/>
        </w:rPr>
        <w:t>4.10</w:t>
      </w:r>
      <w:r w:rsidRPr="00D11AD1">
        <w:rPr>
          <w:b/>
          <w:sz w:val="24"/>
          <w:szCs w:val="24"/>
        </w:rPr>
        <w:tab/>
        <w:t>Udlevering</w:t>
      </w:r>
    </w:p>
    <w:p w14:paraId="5B114754" w14:textId="77777777" w:rsidR="009260DE" w:rsidRPr="00D11AD1" w:rsidRDefault="006003B8" w:rsidP="009260DE">
      <w:pPr>
        <w:tabs>
          <w:tab w:val="left" w:pos="851"/>
        </w:tabs>
        <w:ind w:left="851"/>
        <w:rPr>
          <w:sz w:val="24"/>
          <w:szCs w:val="24"/>
        </w:rPr>
      </w:pPr>
      <w:r w:rsidRPr="00D11AD1">
        <w:rPr>
          <w:sz w:val="24"/>
          <w:szCs w:val="24"/>
        </w:rPr>
        <w:t>BEGR (kun til sygehuse)</w:t>
      </w:r>
    </w:p>
    <w:p w14:paraId="40EA4F49" w14:textId="77777777" w:rsidR="009260DE" w:rsidRPr="00D11AD1" w:rsidRDefault="009260DE" w:rsidP="009260DE">
      <w:pPr>
        <w:tabs>
          <w:tab w:val="left" w:pos="851"/>
        </w:tabs>
        <w:ind w:left="851"/>
        <w:rPr>
          <w:sz w:val="24"/>
          <w:szCs w:val="24"/>
        </w:rPr>
      </w:pPr>
    </w:p>
    <w:p w14:paraId="77F08154" w14:textId="77777777" w:rsidR="009260DE" w:rsidRPr="00D11AD1" w:rsidRDefault="009260DE" w:rsidP="009260DE">
      <w:pPr>
        <w:tabs>
          <w:tab w:val="left" w:pos="851"/>
        </w:tabs>
        <w:ind w:left="851"/>
        <w:rPr>
          <w:sz w:val="24"/>
          <w:szCs w:val="24"/>
        </w:rPr>
      </w:pPr>
    </w:p>
    <w:p w14:paraId="609E5D3D" w14:textId="77777777" w:rsidR="009260DE" w:rsidRPr="00D11AD1" w:rsidRDefault="009260DE" w:rsidP="009260DE">
      <w:pPr>
        <w:tabs>
          <w:tab w:val="left" w:pos="851"/>
        </w:tabs>
        <w:ind w:left="851" w:hanging="851"/>
        <w:rPr>
          <w:b/>
          <w:sz w:val="24"/>
          <w:szCs w:val="24"/>
        </w:rPr>
      </w:pPr>
      <w:r w:rsidRPr="00D11AD1">
        <w:rPr>
          <w:b/>
          <w:sz w:val="24"/>
          <w:szCs w:val="24"/>
        </w:rPr>
        <w:t>5.</w:t>
      </w:r>
      <w:r w:rsidRPr="00D11AD1">
        <w:rPr>
          <w:b/>
          <w:sz w:val="24"/>
          <w:szCs w:val="24"/>
        </w:rPr>
        <w:tab/>
        <w:t>FARMAKOLOGISKE EGENSKABER</w:t>
      </w:r>
    </w:p>
    <w:p w14:paraId="366BD264" w14:textId="77777777" w:rsidR="009260DE" w:rsidRPr="00D11AD1" w:rsidRDefault="009260DE" w:rsidP="009260DE">
      <w:pPr>
        <w:tabs>
          <w:tab w:val="left" w:pos="851"/>
        </w:tabs>
        <w:ind w:left="851"/>
        <w:rPr>
          <w:sz w:val="24"/>
          <w:szCs w:val="24"/>
        </w:rPr>
      </w:pPr>
    </w:p>
    <w:p w14:paraId="61730903" w14:textId="77777777" w:rsidR="009260DE" w:rsidRPr="00D11AD1" w:rsidRDefault="009260DE" w:rsidP="009260DE">
      <w:pPr>
        <w:tabs>
          <w:tab w:val="left" w:pos="851"/>
        </w:tabs>
        <w:ind w:left="851" w:hanging="851"/>
        <w:rPr>
          <w:b/>
          <w:sz w:val="24"/>
          <w:szCs w:val="24"/>
        </w:rPr>
      </w:pPr>
      <w:r w:rsidRPr="00D11AD1">
        <w:rPr>
          <w:b/>
          <w:sz w:val="24"/>
          <w:szCs w:val="24"/>
        </w:rPr>
        <w:t>5.0</w:t>
      </w:r>
      <w:r w:rsidRPr="00D11AD1">
        <w:rPr>
          <w:b/>
          <w:sz w:val="24"/>
          <w:szCs w:val="24"/>
        </w:rPr>
        <w:tab/>
        <w:t>Terapeutisk klassifikation</w:t>
      </w:r>
    </w:p>
    <w:p w14:paraId="140FBD6C" w14:textId="77777777" w:rsidR="009260DE" w:rsidRPr="00D11AD1" w:rsidRDefault="009260DE" w:rsidP="009260DE">
      <w:pPr>
        <w:tabs>
          <w:tab w:val="left" w:pos="851"/>
        </w:tabs>
        <w:ind w:left="851"/>
        <w:rPr>
          <w:sz w:val="24"/>
          <w:szCs w:val="24"/>
        </w:rPr>
      </w:pPr>
    </w:p>
    <w:p w14:paraId="3AE2A5C9" w14:textId="77777777" w:rsidR="009260DE" w:rsidRPr="00D11AD1" w:rsidRDefault="009260DE" w:rsidP="009260DE">
      <w:pPr>
        <w:tabs>
          <w:tab w:val="num" w:pos="851"/>
        </w:tabs>
        <w:ind w:left="851" w:hanging="851"/>
        <w:rPr>
          <w:b/>
          <w:sz w:val="24"/>
          <w:szCs w:val="24"/>
        </w:rPr>
      </w:pPr>
      <w:r w:rsidRPr="00D11AD1">
        <w:rPr>
          <w:b/>
          <w:sz w:val="24"/>
          <w:szCs w:val="24"/>
        </w:rPr>
        <w:t>5.1</w:t>
      </w:r>
      <w:r w:rsidRPr="00D11AD1">
        <w:rPr>
          <w:b/>
          <w:sz w:val="24"/>
          <w:szCs w:val="24"/>
        </w:rPr>
        <w:tab/>
        <w:t>Farmakodynamiske egenskaber</w:t>
      </w:r>
    </w:p>
    <w:p w14:paraId="47EAEEDD" w14:textId="3DEA58C4" w:rsidR="00705D0A" w:rsidRPr="00D11AD1" w:rsidRDefault="00705D0A" w:rsidP="00705D0A">
      <w:pPr>
        <w:tabs>
          <w:tab w:val="left" w:pos="851"/>
        </w:tabs>
        <w:ind w:left="851"/>
        <w:rPr>
          <w:sz w:val="24"/>
          <w:szCs w:val="24"/>
        </w:rPr>
      </w:pPr>
      <w:bookmarkStart w:id="5" w:name="_Hlk121315549"/>
      <w:r w:rsidRPr="00D11AD1">
        <w:rPr>
          <w:sz w:val="24"/>
          <w:szCs w:val="24"/>
        </w:rPr>
        <w:t>Farmakoterapeutisk klassifikation</w:t>
      </w:r>
      <w:bookmarkEnd w:id="5"/>
      <w:r w:rsidRPr="00D11AD1">
        <w:rPr>
          <w:sz w:val="24"/>
          <w:szCs w:val="24"/>
        </w:rPr>
        <w:t>: Antineoplastiske stoffer, proteinkinasehæmmere, ATC-kode: L01EA</w:t>
      </w:r>
      <w:r w:rsidR="00AB2C29" w:rsidRPr="00D11AD1">
        <w:rPr>
          <w:sz w:val="24"/>
          <w:szCs w:val="24"/>
        </w:rPr>
        <w:t>02</w:t>
      </w:r>
      <w:r w:rsidRPr="00D11AD1">
        <w:rPr>
          <w:sz w:val="24"/>
          <w:szCs w:val="24"/>
        </w:rPr>
        <w:t xml:space="preserve">. </w:t>
      </w:r>
    </w:p>
    <w:p w14:paraId="23FEE9C9" w14:textId="77777777" w:rsidR="001C02F9" w:rsidRPr="00D11AD1" w:rsidRDefault="001C02F9" w:rsidP="001C02F9">
      <w:pPr>
        <w:tabs>
          <w:tab w:val="left" w:pos="851"/>
        </w:tabs>
        <w:ind w:left="851"/>
        <w:rPr>
          <w:sz w:val="24"/>
          <w:szCs w:val="24"/>
          <w:u w:val="single"/>
        </w:rPr>
      </w:pPr>
    </w:p>
    <w:p w14:paraId="055B8EBA" w14:textId="77777777" w:rsidR="001C02F9" w:rsidRPr="00D11AD1" w:rsidRDefault="001C02F9" w:rsidP="001C02F9">
      <w:pPr>
        <w:tabs>
          <w:tab w:val="left" w:pos="851"/>
        </w:tabs>
        <w:ind w:left="851"/>
        <w:rPr>
          <w:sz w:val="24"/>
          <w:szCs w:val="24"/>
          <w:u w:val="single"/>
        </w:rPr>
      </w:pPr>
      <w:r w:rsidRPr="00D11AD1">
        <w:rPr>
          <w:sz w:val="24"/>
          <w:szCs w:val="24"/>
          <w:u w:val="single"/>
        </w:rPr>
        <w:t>Farmakodynamik</w:t>
      </w:r>
    </w:p>
    <w:p w14:paraId="247F2CB8" w14:textId="77777777" w:rsidR="001C02F9" w:rsidRPr="00D11AD1" w:rsidRDefault="001C02F9" w:rsidP="001C02F9">
      <w:pPr>
        <w:tabs>
          <w:tab w:val="left" w:pos="851"/>
        </w:tabs>
        <w:ind w:left="851"/>
        <w:rPr>
          <w:sz w:val="24"/>
          <w:szCs w:val="24"/>
        </w:rPr>
      </w:pPr>
      <w:r w:rsidRPr="00D11AD1">
        <w:rPr>
          <w:sz w:val="24"/>
          <w:szCs w:val="24"/>
        </w:rPr>
        <w:t>Dasatinib hæmmer aktivitet af BCR-ABL kinasen og kinaser, der tilhører SRC kinasefamilien samt en række andre udvalgte onkogene kinaser, inklusive c-KIT, ephrinreceptor-kinaser og PDGFβ-receptorer. Dasatinib er en potent, subnanomolær hæmmer af BCR-ABL-kinase med effekt ved en koncentration på 0,6-0,8 nM. Det bindes både til inaktive og aktive konformationer af BCR-ABLenzymet.</w:t>
      </w:r>
    </w:p>
    <w:p w14:paraId="3DE35CB2" w14:textId="77777777" w:rsidR="001C02F9" w:rsidRPr="00D11AD1" w:rsidRDefault="001C02F9" w:rsidP="001C02F9">
      <w:pPr>
        <w:tabs>
          <w:tab w:val="left" w:pos="851"/>
        </w:tabs>
        <w:ind w:left="851"/>
        <w:rPr>
          <w:sz w:val="24"/>
          <w:szCs w:val="24"/>
        </w:rPr>
      </w:pPr>
    </w:p>
    <w:p w14:paraId="5667E7F0" w14:textId="77777777" w:rsidR="001C02F9" w:rsidRPr="00D11AD1" w:rsidRDefault="001C02F9" w:rsidP="001C02F9">
      <w:pPr>
        <w:tabs>
          <w:tab w:val="left" w:pos="851"/>
        </w:tabs>
        <w:ind w:left="851"/>
        <w:rPr>
          <w:sz w:val="24"/>
          <w:szCs w:val="24"/>
          <w:u w:val="single"/>
        </w:rPr>
      </w:pPr>
      <w:r w:rsidRPr="00D11AD1">
        <w:rPr>
          <w:sz w:val="24"/>
          <w:szCs w:val="24"/>
          <w:u w:val="single"/>
        </w:rPr>
        <w:t>Virkningsmekanisme</w:t>
      </w:r>
    </w:p>
    <w:p w14:paraId="6B39C2C5" w14:textId="15DB62A8" w:rsidR="001C02F9" w:rsidRPr="00D11AD1" w:rsidRDefault="001C02F9" w:rsidP="001C02F9">
      <w:pPr>
        <w:tabs>
          <w:tab w:val="left" w:pos="851"/>
        </w:tabs>
        <w:ind w:left="851"/>
        <w:rPr>
          <w:sz w:val="24"/>
          <w:szCs w:val="24"/>
        </w:rPr>
      </w:pPr>
      <w:r w:rsidRPr="00D11AD1">
        <w:rPr>
          <w:i/>
          <w:iCs/>
          <w:sz w:val="24"/>
          <w:szCs w:val="24"/>
        </w:rPr>
        <w:t xml:space="preserve">In vitro </w:t>
      </w:r>
      <w:r w:rsidRPr="00D11AD1">
        <w:rPr>
          <w:sz w:val="24"/>
          <w:szCs w:val="24"/>
        </w:rPr>
        <w:t xml:space="preserve">er dasatinib aktivt i leukæmiske cellelinjer, der repræsenterer varianter af imatinibfølsom og - resistent sygdom. Disse ikke‑kliniske studier har vist, at dasatinib kan overvinde imatinibresistens, der stammer fra BCR‑ABL overekspression, BCR‑ABL kinasedomænemutationer, aktivering af andre signalveje, der involverer kinaser i SRC-kinasefamilien (LYN, HCK), og overekspression af gener relateret til multimedicinresistens. Derudover hæmmer </w:t>
      </w:r>
      <w:r w:rsidR="00A1711F" w:rsidRPr="00D11AD1">
        <w:rPr>
          <w:sz w:val="24"/>
          <w:szCs w:val="24"/>
        </w:rPr>
        <w:t>d</w:t>
      </w:r>
      <w:r w:rsidRPr="00D11AD1">
        <w:rPr>
          <w:sz w:val="24"/>
          <w:szCs w:val="24"/>
        </w:rPr>
        <w:t>asatinib kinaser, der tilhører SRCkinasefamilien, ved subnanomolære koncentrationer.</w:t>
      </w:r>
    </w:p>
    <w:p w14:paraId="21F1DE94" w14:textId="77777777" w:rsidR="001C02F9" w:rsidRPr="00D11AD1" w:rsidRDefault="001C02F9" w:rsidP="001C02F9">
      <w:pPr>
        <w:tabs>
          <w:tab w:val="left" w:pos="851"/>
        </w:tabs>
        <w:ind w:left="851"/>
        <w:rPr>
          <w:sz w:val="24"/>
          <w:szCs w:val="24"/>
        </w:rPr>
      </w:pPr>
    </w:p>
    <w:p w14:paraId="56F49387" w14:textId="1C647890" w:rsidR="001C02F9" w:rsidRPr="00D11AD1" w:rsidRDefault="001C02F9" w:rsidP="001C02F9">
      <w:pPr>
        <w:tabs>
          <w:tab w:val="left" w:pos="851"/>
        </w:tabs>
        <w:ind w:left="851"/>
        <w:rPr>
          <w:sz w:val="24"/>
          <w:szCs w:val="24"/>
        </w:rPr>
      </w:pPr>
      <w:r w:rsidRPr="00D11AD1">
        <w:rPr>
          <w:sz w:val="24"/>
          <w:szCs w:val="24"/>
        </w:rPr>
        <w:t xml:space="preserve">I separate eksperimenter med murine modeller af CML, forebyggede dasatinib </w:t>
      </w:r>
      <w:r w:rsidRPr="00D11AD1">
        <w:rPr>
          <w:i/>
          <w:iCs/>
          <w:sz w:val="24"/>
          <w:szCs w:val="24"/>
        </w:rPr>
        <w:t xml:space="preserve">in-vivo </w:t>
      </w:r>
      <w:r w:rsidRPr="00D11AD1">
        <w:rPr>
          <w:sz w:val="24"/>
          <w:szCs w:val="24"/>
        </w:rPr>
        <w:t>progression af kronisk CML til blastfase og forlængede overlevelsen hos mus med patient-deriverede CML</w:t>
      </w:r>
      <w:r w:rsidR="00A1711F" w:rsidRPr="00D11AD1">
        <w:rPr>
          <w:sz w:val="24"/>
          <w:szCs w:val="24"/>
        </w:rPr>
        <w:t>-</w:t>
      </w:r>
      <w:r w:rsidRPr="00D11AD1">
        <w:rPr>
          <w:sz w:val="24"/>
          <w:szCs w:val="24"/>
        </w:rPr>
        <w:t>cellelinjer placeret forskellige steder, inklusive centralnervesystemet.</w:t>
      </w:r>
    </w:p>
    <w:p w14:paraId="7FCC91FB" w14:textId="77777777" w:rsidR="001C02F9" w:rsidRPr="00D11AD1" w:rsidRDefault="001C02F9" w:rsidP="001C02F9">
      <w:pPr>
        <w:tabs>
          <w:tab w:val="left" w:pos="851"/>
        </w:tabs>
        <w:ind w:left="851"/>
        <w:rPr>
          <w:sz w:val="24"/>
          <w:szCs w:val="24"/>
        </w:rPr>
      </w:pPr>
    </w:p>
    <w:p w14:paraId="6609589F" w14:textId="77777777" w:rsidR="001C02F9" w:rsidRPr="00D11AD1" w:rsidRDefault="001C02F9" w:rsidP="001C02F9">
      <w:pPr>
        <w:tabs>
          <w:tab w:val="left" w:pos="851"/>
        </w:tabs>
        <w:ind w:left="851"/>
        <w:rPr>
          <w:sz w:val="24"/>
          <w:szCs w:val="24"/>
          <w:u w:val="single"/>
        </w:rPr>
      </w:pPr>
      <w:r w:rsidRPr="00D11AD1">
        <w:rPr>
          <w:sz w:val="24"/>
          <w:szCs w:val="24"/>
          <w:u w:val="single"/>
        </w:rPr>
        <w:t>Klinisk virkning og sikkerhed</w:t>
      </w:r>
    </w:p>
    <w:p w14:paraId="0F99B125" w14:textId="77777777" w:rsidR="001C02F9" w:rsidRPr="00D11AD1" w:rsidRDefault="001C02F9" w:rsidP="001C02F9">
      <w:pPr>
        <w:tabs>
          <w:tab w:val="left" w:pos="851"/>
        </w:tabs>
        <w:ind w:left="851"/>
        <w:rPr>
          <w:sz w:val="24"/>
          <w:szCs w:val="24"/>
        </w:rPr>
      </w:pPr>
      <w:r w:rsidRPr="00D11AD1">
        <w:rPr>
          <w:sz w:val="24"/>
          <w:szCs w:val="24"/>
        </w:rPr>
        <w:t>Der er i fase I-studier observeret hæmatologisk og cytogenetisk respons i alle faser af CML og Ph+ ALL hos de første 84 behandlede patienter, som blev fulgt i op til 27 måneder. Respons var varige i alle faser af CML og Ph+ ALL.</w:t>
      </w:r>
    </w:p>
    <w:p w14:paraId="162D82B4" w14:textId="77777777" w:rsidR="001C02F9" w:rsidRPr="00D11AD1" w:rsidRDefault="001C02F9" w:rsidP="001C02F9">
      <w:pPr>
        <w:tabs>
          <w:tab w:val="left" w:pos="851"/>
        </w:tabs>
        <w:ind w:left="851"/>
        <w:rPr>
          <w:sz w:val="24"/>
          <w:szCs w:val="24"/>
        </w:rPr>
      </w:pPr>
    </w:p>
    <w:p w14:paraId="6AFBF7F3" w14:textId="0E9B84E1" w:rsidR="001C02F9" w:rsidRPr="00D11AD1" w:rsidRDefault="001C02F9" w:rsidP="001C02F9">
      <w:pPr>
        <w:tabs>
          <w:tab w:val="left" w:pos="851"/>
        </w:tabs>
        <w:ind w:left="851"/>
        <w:rPr>
          <w:sz w:val="24"/>
          <w:szCs w:val="24"/>
        </w:rPr>
      </w:pPr>
      <w:r w:rsidRPr="00D11AD1">
        <w:rPr>
          <w:sz w:val="24"/>
          <w:szCs w:val="24"/>
        </w:rPr>
        <w:t xml:space="preserve">Der er udført 4 kliniske, ukontrollerede, åbne, fase II, </w:t>
      </w:r>
      <w:bookmarkStart w:id="6" w:name="_Hlk35269138"/>
      <w:r w:rsidRPr="00D11AD1">
        <w:rPr>
          <w:sz w:val="24"/>
          <w:szCs w:val="24"/>
        </w:rPr>
        <w:t>enkeltarmsstudier</w:t>
      </w:r>
      <w:bookmarkEnd w:id="6"/>
      <w:r w:rsidRPr="00D11AD1">
        <w:rPr>
          <w:sz w:val="24"/>
          <w:szCs w:val="24"/>
        </w:rPr>
        <w:t xml:space="preserve"> for at bestemme sikkerhed og effekt af dasatinib hos patienter med kronisk, accelereret eller myeloid blastfase CML, som enten var resistente eller intolerante over for imatinib. Ét randomiseret, ikke-komparativt studie udførtes med patienter i kronisk fase, som oplevede behandlingssvigt ved initial behandling med 400 eller 600 mg imatinib. Startdosis af dasatinib var 70 mg, 2 gange </w:t>
      </w:r>
      <w:r w:rsidR="00FA34A4" w:rsidRPr="00D11AD1">
        <w:rPr>
          <w:sz w:val="24"/>
          <w:szCs w:val="24"/>
        </w:rPr>
        <w:t>daglig</w:t>
      </w:r>
      <w:r w:rsidRPr="00D11AD1">
        <w:rPr>
          <w:sz w:val="24"/>
          <w:szCs w:val="24"/>
        </w:rPr>
        <w:t>. Dosismodifikationer var tilladt med henblik på at forbedre aktivitet eller behandling af toksicitet (se pkt. 4.2).</w:t>
      </w:r>
    </w:p>
    <w:p w14:paraId="5F6406D5" w14:textId="090D5428" w:rsidR="001C02F9" w:rsidRPr="00D11AD1" w:rsidRDefault="001C02F9" w:rsidP="001C02F9">
      <w:pPr>
        <w:tabs>
          <w:tab w:val="left" w:pos="851"/>
        </w:tabs>
        <w:ind w:left="851"/>
        <w:rPr>
          <w:sz w:val="24"/>
          <w:szCs w:val="24"/>
        </w:rPr>
      </w:pPr>
      <w:r w:rsidRPr="00D11AD1">
        <w:rPr>
          <w:sz w:val="24"/>
          <w:szCs w:val="24"/>
        </w:rPr>
        <w:t xml:space="preserve">Der er gennemført 2 randomiserede, åbne fase III-studier for at evaluere effekten af dasatinib, administreret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sammenlignet med dasatinib, administreret 2 </w:t>
      </w:r>
      <w:r w:rsidRPr="00D11AD1">
        <w:rPr>
          <w:sz w:val="24"/>
          <w:szCs w:val="24"/>
        </w:rPr>
        <w:lastRenderedPageBreak/>
        <w:t xml:space="preserve">gange </w:t>
      </w:r>
      <w:r w:rsidR="00FA34A4" w:rsidRPr="00D11AD1">
        <w:rPr>
          <w:sz w:val="24"/>
          <w:szCs w:val="24"/>
        </w:rPr>
        <w:t>daglig</w:t>
      </w:r>
      <w:r w:rsidRPr="00D11AD1">
        <w:rPr>
          <w:sz w:val="24"/>
          <w:szCs w:val="24"/>
        </w:rPr>
        <w:t>. Derudover er der udført et åbent, randomiseret komparativt fase III-studie med voksne patienter med nyligt diagnosticeret CML i kronisk fase.</w:t>
      </w:r>
    </w:p>
    <w:p w14:paraId="1B670667" w14:textId="77777777" w:rsidR="001C02F9" w:rsidRPr="00D11AD1" w:rsidRDefault="001C02F9" w:rsidP="001C02F9">
      <w:pPr>
        <w:tabs>
          <w:tab w:val="left" w:pos="851"/>
        </w:tabs>
        <w:ind w:left="851"/>
        <w:rPr>
          <w:sz w:val="24"/>
          <w:szCs w:val="24"/>
        </w:rPr>
      </w:pPr>
    </w:p>
    <w:p w14:paraId="5A6D5BE8" w14:textId="77777777" w:rsidR="001C02F9" w:rsidRPr="00D11AD1" w:rsidRDefault="001C02F9" w:rsidP="001C02F9">
      <w:pPr>
        <w:tabs>
          <w:tab w:val="left" w:pos="851"/>
        </w:tabs>
        <w:ind w:left="851"/>
        <w:rPr>
          <w:sz w:val="24"/>
          <w:szCs w:val="24"/>
        </w:rPr>
      </w:pPr>
      <w:r w:rsidRPr="00D11AD1">
        <w:rPr>
          <w:sz w:val="24"/>
          <w:szCs w:val="24"/>
        </w:rPr>
        <w:t>Effekten af dasatinib er baseret på hæmatologiske og cytogenetiske responsrater. Varigheden af respons og de estimerede overlevelsesrater har givet yderligere evidens for dasatinibs kliniske effekt.</w:t>
      </w:r>
    </w:p>
    <w:p w14:paraId="306BBFDB" w14:textId="77777777" w:rsidR="001C02F9" w:rsidRPr="00D11AD1" w:rsidRDefault="001C02F9" w:rsidP="001C02F9">
      <w:pPr>
        <w:tabs>
          <w:tab w:val="left" w:pos="851"/>
        </w:tabs>
        <w:ind w:left="851"/>
        <w:rPr>
          <w:sz w:val="24"/>
          <w:szCs w:val="24"/>
        </w:rPr>
      </w:pPr>
    </w:p>
    <w:p w14:paraId="30ABEF9A" w14:textId="68FB5065" w:rsidR="001C02F9" w:rsidRPr="00D11AD1" w:rsidRDefault="001C02F9" w:rsidP="001C02F9">
      <w:pPr>
        <w:tabs>
          <w:tab w:val="left" w:pos="851"/>
        </w:tabs>
        <w:ind w:left="851"/>
        <w:rPr>
          <w:sz w:val="24"/>
          <w:szCs w:val="24"/>
        </w:rPr>
      </w:pPr>
      <w:r w:rsidRPr="00D11AD1">
        <w:rPr>
          <w:sz w:val="24"/>
          <w:szCs w:val="24"/>
        </w:rPr>
        <w:t>Der er i alt evalueret 2.712 patienter i kliniske studier; af disse var 23</w:t>
      </w:r>
      <w:r w:rsidR="00FA34A4" w:rsidRPr="00D11AD1">
        <w:rPr>
          <w:sz w:val="24"/>
          <w:szCs w:val="24"/>
        </w:rPr>
        <w:t xml:space="preserve"> %</w:t>
      </w:r>
      <w:r w:rsidRPr="00D11AD1">
        <w:rPr>
          <w:sz w:val="24"/>
          <w:szCs w:val="24"/>
        </w:rPr>
        <w:t xml:space="preserve"> ≥ 65 år og 5</w:t>
      </w:r>
      <w:r w:rsidR="00FA34A4" w:rsidRPr="00D11AD1">
        <w:rPr>
          <w:sz w:val="24"/>
          <w:szCs w:val="24"/>
        </w:rPr>
        <w:t xml:space="preserve"> %</w:t>
      </w:r>
      <w:r w:rsidRPr="00D11AD1">
        <w:rPr>
          <w:sz w:val="24"/>
          <w:szCs w:val="24"/>
        </w:rPr>
        <w:t xml:space="preserve"> ≥ 75 år.</w:t>
      </w:r>
    </w:p>
    <w:p w14:paraId="4F13C5E1" w14:textId="77777777" w:rsidR="001C02F9" w:rsidRPr="00D11AD1" w:rsidRDefault="001C02F9" w:rsidP="001C02F9">
      <w:pPr>
        <w:tabs>
          <w:tab w:val="left" w:pos="851"/>
        </w:tabs>
        <w:ind w:left="851"/>
        <w:rPr>
          <w:sz w:val="24"/>
          <w:szCs w:val="24"/>
        </w:rPr>
      </w:pPr>
    </w:p>
    <w:p w14:paraId="449B27E6" w14:textId="77777777" w:rsidR="001C02F9" w:rsidRPr="00D11AD1" w:rsidRDefault="001C02F9" w:rsidP="001C02F9">
      <w:pPr>
        <w:tabs>
          <w:tab w:val="left" w:pos="851"/>
        </w:tabs>
        <w:ind w:left="851"/>
        <w:rPr>
          <w:i/>
          <w:iCs/>
          <w:sz w:val="24"/>
          <w:szCs w:val="24"/>
          <w:u w:val="single"/>
        </w:rPr>
      </w:pPr>
      <w:r w:rsidRPr="00D11AD1">
        <w:rPr>
          <w:i/>
          <w:iCs/>
          <w:sz w:val="24"/>
          <w:szCs w:val="24"/>
          <w:u w:val="single"/>
        </w:rPr>
        <w:t>CML i kronisk fase - nyligt diagnosticeret</w:t>
      </w:r>
    </w:p>
    <w:p w14:paraId="0F567042" w14:textId="2BCBA364" w:rsidR="001C02F9" w:rsidRPr="00D11AD1" w:rsidRDefault="001C02F9" w:rsidP="001C02F9">
      <w:pPr>
        <w:tabs>
          <w:tab w:val="left" w:pos="851"/>
        </w:tabs>
        <w:ind w:left="851"/>
        <w:rPr>
          <w:sz w:val="24"/>
          <w:szCs w:val="24"/>
        </w:rPr>
      </w:pPr>
      <w:r w:rsidRPr="00D11AD1">
        <w:rPr>
          <w:sz w:val="24"/>
          <w:szCs w:val="24"/>
        </w:rPr>
        <w:t xml:space="preserve">Der er blevet udført et internationalt, åbent, multicenter, randomiseret, komparativt fase III-studie med voksne patienter med nyligt diagnosticeret CML i kronisk fase. Patienterne blev randomiseret til at få enten dasatinib100 mg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eller imatinib 400 mg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Det primære endepunkt var cCCyR (confirmed complete cytogenetic response) inden for 12 måneder. Sekundære endepunkter omfattede tid i cCCyR (måling af responsvarighed), tid til cCCyR, major molekylært respons (MMR), tid til MMR, progressionsfri overlevelse (PFS) og samlet overlevelse (OS). Andre relevante virkningsresultater omfattede CCyR og samlet molekylært respons (CMR). Studiet er igangværende.</w:t>
      </w:r>
    </w:p>
    <w:p w14:paraId="021D5551" w14:textId="77777777" w:rsidR="001C02F9" w:rsidRPr="00D11AD1" w:rsidRDefault="001C02F9" w:rsidP="001C02F9">
      <w:pPr>
        <w:tabs>
          <w:tab w:val="left" w:pos="851"/>
        </w:tabs>
        <w:ind w:left="851"/>
        <w:rPr>
          <w:sz w:val="24"/>
          <w:szCs w:val="24"/>
        </w:rPr>
      </w:pPr>
    </w:p>
    <w:p w14:paraId="3A5EC6E3" w14:textId="3F9CB3EF" w:rsidR="001C02F9" w:rsidRPr="00D11AD1" w:rsidRDefault="001C02F9" w:rsidP="001C02F9">
      <w:pPr>
        <w:tabs>
          <w:tab w:val="left" w:pos="851"/>
        </w:tabs>
        <w:ind w:left="851"/>
        <w:rPr>
          <w:sz w:val="24"/>
          <w:szCs w:val="24"/>
        </w:rPr>
      </w:pPr>
      <w:r w:rsidRPr="00D11AD1">
        <w:rPr>
          <w:sz w:val="24"/>
          <w:szCs w:val="24"/>
        </w:rPr>
        <w:t>519 patienter blev randomiseret til en behandlingsgruppe: 259 til dasatinib</w:t>
      </w:r>
      <w:r w:rsidR="00F11C39" w:rsidRPr="00D11AD1">
        <w:rPr>
          <w:sz w:val="24"/>
          <w:szCs w:val="24"/>
        </w:rPr>
        <w:t xml:space="preserve"> </w:t>
      </w:r>
      <w:r w:rsidRPr="00D11AD1">
        <w:rPr>
          <w:sz w:val="24"/>
          <w:szCs w:val="24"/>
        </w:rPr>
        <w:t xml:space="preserve">og 260 til imatinib. </w:t>
      </w:r>
      <w:r w:rsidRPr="00D11AD1">
        <w:rPr>
          <w:i/>
          <w:iCs/>
          <w:sz w:val="24"/>
          <w:szCs w:val="24"/>
        </w:rPr>
        <w:t>Baseline</w:t>
      </w:r>
      <w:r w:rsidRPr="00D11AD1">
        <w:rPr>
          <w:sz w:val="24"/>
          <w:szCs w:val="24"/>
        </w:rPr>
        <w:t>-karakteristika var ligeligt fordelt mellem de to behandlingsgrupper med hensyn til alder (gennemsnitsa</w:t>
      </w:r>
      <w:r w:rsidR="00523BC3">
        <w:rPr>
          <w:sz w:val="24"/>
          <w:szCs w:val="24"/>
        </w:rPr>
        <w:t>l</w:t>
      </w:r>
      <w:r w:rsidRPr="00D11AD1">
        <w:rPr>
          <w:sz w:val="24"/>
          <w:szCs w:val="24"/>
        </w:rPr>
        <w:t>der var 46 år for dasatinib</w:t>
      </w:r>
      <w:r w:rsidR="00BB3381" w:rsidRPr="00D11AD1">
        <w:rPr>
          <w:sz w:val="24"/>
          <w:szCs w:val="24"/>
        </w:rPr>
        <w:t>-</w:t>
      </w:r>
      <w:r w:rsidRPr="00D11AD1">
        <w:rPr>
          <w:sz w:val="24"/>
          <w:szCs w:val="24"/>
        </w:rPr>
        <w:t>gruppen og 49 år for imatinib</w:t>
      </w:r>
      <w:r w:rsidR="00BB3381" w:rsidRPr="00D11AD1">
        <w:rPr>
          <w:sz w:val="24"/>
          <w:szCs w:val="24"/>
        </w:rPr>
        <w:t>-</w:t>
      </w:r>
      <w:r w:rsidRPr="00D11AD1">
        <w:rPr>
          <w:sz w:val="24"/>
          <w:szCs w:val="24"/>
        </w:rPr>
        <w:t>gruppen med henholdsvis 10</w:t>
      </w:r>
      <w:r w:rsidR="00FA34A4" w:rsidRPr="00D11AD1">
        <w:rPr>
          <w:sz w:val="24"/>
          <w:szCs w:val="24"/>
        </w:rPr>
        <w:t xml:space="preserve"> %</w:t>
      </w:r>
      <w:r w:rsidRPr="00D11AD1">
        <w:rPr>
          <w:sz w:val="24"/>
          <w:szCs w:val="24"/>
        </w:rPr>
        <w:t xml:space="preserve"> og 11</w:t>
      </w:r>
      <w:r w:rsidR="00FA34A4" w:rsidRPr="00D11AD1">
        <w:rPr>
          <w:sz w:val="24"/>
          <w:szCs w:val="24"/>
        </w:rPr>
        <w:t xml:space="preserve"> %</w:t>
      </w:r>
      <w:r w:rsidRPr="00D11AD1">
        <w:rPr>
          <w:sz w:val="24"/>
          <w:szCs w:val="24"/>
        </w:rPr>
        <w:t xml:space="preserve"> af patienterne på 65 år eller derover), køn (henholdsvis 44</w:t>
      </w:r>
      <w:r w:rsidR="00FA34A4" w:rsidRPr="00D11AD1">
        <w:rPr>
          <w:sz w:val="24"/>
          <w:szCs w:val="24"/>
        </w:rPr>
        <w:t xml:space="preserve"> %</w:t>
      </w:r>
      <w:r w:rsidRPr="00D11AD1">
        <w:rPr>
          <w:sz w:val="24"/>
          <w:szCs w:val="24"/>
        </w:rPr>
        <w:t xml:space="preserve"> og 37</w:t>
      </w:r>
      <w:r w:rsidR="00FA34A4" w:rsidRPr="00D11AD1">
        <w:rPr>
          <w:sz w:val="24"/>
          <w:szCs w:val="24"/>
        </w:rPr>
        <w:t xml:space="preserve"> %</w:t>
      </w:r>
      <w:r w:rsidRPr="00D11AD1">
        <w:rPr>
          <w:sz w:val="24"/>
          <w:szCs w:val="24"/>
        </w:rPr>
        <w:t xml:space="preserve"> kvinder) og race (kaukasisk 51</w:t>
      </w:r>
      <w:r w:rsidR="00FA34A4" w:rsidRPr="00D11AD1">
        <w:rPr>
          <w:sz w:val="24"/>
          <w:szCs w:val="24"/>
        </w:rPr>
        <w:t xml:space="preserve"> %</w:t>
      </w:r>
      <w:r w:rsidRPr="00D11AD1">
        <w:rPr>
          <w:sz w:val="24"/>
          <w:szCs w:val="24"/>
        </w:rPr>
        <w:t xml:space="preserve"> og 55</w:t>
      </w:r>
      <w:r w:rsidR="00FA34A4" w:rsidRPr="00D11AD1">
        <w:rPr>
          <w:sz w:val="24"/>
          <w:szCs w:val="24"/>
        </w:rPr>
        <w:t xml:space="preserve"> %</w:t>
      </w:r>
      <w:r w:rsidRPr="00D11AD1">
        <w:rPr>
          <w:sz w:val="24"/>
          <w:szCs w:val="24"/>
        </w:rPr>
        <w:t>, asiatisk 42</w:t>
      </w:r>
      <w:r w:rsidR="00523BC3">
        <w:rPr>
          <w:sz w:val="24"/>
          <w:szCs w:val="24"/>
        </w:rPr>
        <w:t> </w:t>
      </w:r>
      <w:r w:rsidR="00FA34A4" w:rsidRPr="00D11AD1">
        <w:rPr>
          <w:sz w:val="24"/>
          <w:szCs w:val="24"/>
        </w:rPr>
        <w:t>%</w:t>
      </w:r>
      <w:r w:rsidRPr="00D11AD1">
        <w:rPr>
          <w:sz w:val="24"/>
          <w:szCs w:val="24"/>
        </w:rPr>
        <w:t xml:space="preserve"> og 37</w:t>
      </w:r>
      <w:r w:rsidR="00FA34A4" w:rsidRPr="00D11AD1">
        <w:rPr>
          <w:sz w:val="24"/>
          <w:szCs w:val="24"/>
        </w:rPr>
        <w:t xml:space="preserve"> %</w:t>
      </w:r>
      <w:r w:rsidRPr="00D11AD1">
        <w:rPr>
          <w:sz w:val="24"/>
          <w:szCs w:val="24"/>
        </w:rPr>
        <w:t xml:space="preserve">). Ved </w:t>
      </w:r>
      <w:r w:rsidRPr="00D11AD1">
        <w:rPr>
          <w:i/>
          <w:iCs/>
          <w:sz w:val="24"/>
          <w:szCs w:val="24"/>
        </w:rPr>
        <w:t xml:space="preserve">baseline </w:t>
      </w:r>
      <w:r w:rsidRPr="00D11AD1">
        <w:rPr>
          <w:sz w:val="24"/>
          <w:szCs w:val="24"/>
        </w:rPr>
        <w:t>var fordelingen af Hasford-scores den samme for dasatinib</w:t>
      </w:r>
      <w:r w:rsidR="00523BC3">
        <w:rPr>
          <w:sz w:val="24"/>
          <w:szCs w:val="24"/>
        </w:rPr>
        <w:t xml:space="preserve"> </w:t>
      </w:r>
      <w:r w:rsidRPr="00D11AD1">
        <w:rPr>
          <w:sz w:val="24"/>
          <w:szCs w:val="24"/>
        </w:rPr>
        <w:t>og imatinib behandlingsgrupperne (lavrisiko: 33</w:t>
      </w:r>
      <w:r w:rsidR="00FA34A4" w:rsidRPr="00D11AD1">
        <w:rPr>
          <w:sz w:val="24"/>
          <w:szCs w:val="24"/>
        </w:rPr>
        <w:t xml:space="preserve"> %</w:t>
      </w:r>
      <w:r w:rsidRPr="00D11AD1">
        <w:rPr>
          <w:sz w:val="24"/>
          <w:szCs w:val="24"/>
        </w:rPr>
        <w:t xml:space="preserve"> og 34</w:t>
      </w:r>
      <w:r w:rsidR="00FA34A4" w:rsidRPr="00D11AD1">
        <w:rPr>
          <w:sz w:val="24"/>
          <w:szCs w:val="24"/>
        </w:rPr>
        <w:t xml:space="preserve"> %</w:t>
      </w:r>
      <w:r w:rsidRPr="00D11AD1">
        <w:rPr>
          <w:sz w:val="24"/>
          <w:szCs w:val="24"/>
        </w:rPr>
        <w:t>; middelrisiko 48</w:t>
      </w:r>
      <w:r w:rsidR="00523BC3">
        <w:rPr>
          <w:sz w:val="24"/>
          <w:szCs w:val="24"/>
        </w:rPr>
        <w:t> </w:t>
      </w:r>
      <w:r w:rsidR="00FA34A4" w:rsidRPr="00D11AD1">
        <w:rPr>
          <w:sz w:val="24"/>
          <w:szCs w:val="24"/>
        </w:rPr>
        <w:t>%</w:t>
      </w:r>
      <w:r w:rsidRPr="00D11AD1">
        <w:rPr>
          <w:sz w:val="24"/>
          <w:szCs w:val="24"/>
        </w:rPr>
        <w:t xml:space="preserve"> og 47</w:t>
      </w:r>
      <w:r w:rsidR="00FA34A4" w:rsidRPr="00D11AD1">
        <w:rPr>
          <w:sz w:val="24"/>
          <w:szCs w:val="24"/>
        </w:rPr>
        <w:t xml:space="preserve"> %</w:t>
      </w:r>
      <w:r w:rsidRPr="00D11AD1">
        <w:rPr>
          <w:sz w:val="24"/>
          <w:szCs w:val="24"/>
        </w:rPr>
        <w:t>; højrisiko: 19</w:t>
      </w:r>
      <w:r w:rsidR="00FA34A4" w:rsidRPr="00D11AD1">
        <w:rPr>
          <w:sz w:val="24"/>
          <w:szCs w:val="24"/>
        </w:rPr>
        <w:t xml:space="preserve"> %</w:t>
      </w:r>
      <w:r w:rsidRPr="00D11AD1">
        <w:rPr>
          <w:sz w:val="24"/>
          <w:szCs w:val="24"/>
        </w:rPr>
        <w:t xml:space="preserve"> og 19</w:t>
      </w:r>
      <w:r w:rsidR="00FA34A4" w:rsidRPr="00D11AD1">
        <w:rPr>
          <w:sz w:val="24"/>
          <w:szCs w:val="24"/>
        </w:rPr>
        <w:t xml:space="preserve"> %</w:t>
      </w:r>
      <w:r w:rsidRPr="00D11AD1">
        <w:rPr>
          <w:sz w:val="24"/>
          <w:szCs w:val="24"/>
        </w:rPr>
        <w:t>).</w:t>
      </w:r>
    </w:p>
    <w:p w14:paraId="6100D0BA" w14:textId="77777777" w:rsidR="001C02F9" w:rsidRPr="00D11AD1" w:rsidRDefault="001C02F9" w:rsidP="001C02F9">
      <w:pPr>
        <w:tabs>
          <w:tab w:val="left" w:pos="851"/>
        </w:tabs>
        <w:ind w:left="851"/>
        <w:rPr>
          <w:sz w:val="24"/>
          <w:szCs w:val="24"/>
        </w:rPr>
      </w:pPr>
    </w:p>
    <w:p w14:paraId="77544D61" w14:textId="7F72F47A" w:rsidR="001C02F9" w:rsidRPr="00D11AD1" w:rsidRDefault="001C02F9" w:rsidP="001C02F9">
      <w:pPr>
        <w:tabs>
          <w:tab w:val="left" w:pos="851"/>
        </w:tabs>
        <w:ind w:left="851"/>
        <w:rPr>
          <w:sz w:val="24"/>
          <w:szCs w:val="24"/>
        </w:rPr>
      </w:pPr>
      <w:r w:rsidRPr="00D11AD1">
        <w:rPr>
          <w:sz w:val="24"/>
          <w:szCs w:val="24"/>
        </w:rPr>
        <w:t>Efter mindst 12 måneders opfølgning fik 85</w:t>
      </w:r>
      <w:r w:rsidR="00FA34A4" w:rsidRPr="00D11AD1">
        <w:rPr>
          <w:sz w:val="24"/>
          <w:szCs w:val="24"/>
        </w:rPr>
        <w:t xml:space="preserve"> %</w:t>
      </w:r>
      <w:r w:rsidRPr="00D11AD1">
        <w:rPr>
          <w:sz w:val="24"/>
          <w:szCs w:val="24"/>
        </w:rPr>
        <w:t xml:space="preserve"> af de patienter, der var randomiseret til dasatinib</w:t>
      </w:r>
      <w:r w:rsidR="00BB3381" w:rsidRPr="00D11AD1">
        <w:rPr>
          <w:sz w:val="24"/>
          <w:szCs w:val="24"/>
        </w:rPr>
        <w:t>-</w:t>
      </w:r>
      <w:r w:rsidRPr="00D11AD1">
        <w:rPr>
          <w:sz w:val="24"/>
          <w:szCs w:val="24"/>
        </w:rPr>
        <w:t>gruppen, og 81</w:t>
      </w:r>
      <w:r w:rsidR="00FA34A4" w:rsidRPr="00D11AD1">
        <w:rPr>
          <w:sz w:val="24"/>
          <w:szCs w:val="24"/>
        </w:rPr>
        <w:t xml:space="preserve"> %</w:t>
      </w:r>
      <w:r w:rsidRPr="00D11AD1">
        <w:rPr>
          <w:sz w:val="24"/>
          <w:szCs w:val="24"/>
        </w:rPr>
        <w:t xml:space="preserve"> af de patienter, der var randomiseret til imatinib</w:t>
      </w:r>
      <w:r w:rsidR="00BB3381" w:rsidRPr="00D11AD1">
        <w:rPr>
          <w:sz w:val="24"/>
          <w:szCs w:val="24"/>
        </w:rPr>
        <w:t>-</w:t>
      </w:r>
      <w:r w:rsidRPr="00D11AD1">
        <w:rPr>
          <w:sz w:val="24"/>
          <w:szCs w:val="24"/>
        </w:rPr>
        <w:t>gruppen, stadig førstelinjebehandling. Seponering inden for 12 måneder på grund af sygdomsprogression forekom hos 3</w:t>
      </w:r>
      <w:r w:rsidR="00FA34A4" w:rsidRPr="00D11AD1">
        <w:rPr>
          <w:sz w:val="24"/>
          <w:szCs w:val="24"/>
        </w:rPr>
        <w:t xml:space="preserve"> %</w:t>
      </w:r>
      <w:r w:rsidRPr="00D11AD1">
        <w:rPr>
          <w:sz w:val="24"/>
          <w:szCs w:val="24"/>
        </w:rPr>
        <w:t xml:space="preserve"> af de patienter, der blev behandlet med dasatinib, og hos 5</w:t>
      </w:r>
      <w:r w:rsidR="00FA34A4" w:rsidRPr="00D11AD1">
        <w:rPr>
          <w:sz w:val="24"/>
          <w:szCs w:val="24"/>
        </w:rPr>
        <w:t xml:space="preserve"> %</w:t>
      </w:r>
      <w:r w:rsidRPr="00D11AD1">
        <w:rPr>
          <w:sz w:val="24"/>
          <w:szCs w:val="24"/>
        </w:rPr>
        <w:t xml:space="preserve"> af de patienter, der blev behandlet med imatinib.</w:t>
      </w:r>
    </w:p>
    <w:p w14:paraId="78296BF6" w14:textId="77777777" w:rsidR="001C02F9" w:rsidRPr="00D11AD1" w:rsidRDefault="001C02F9" w:rsidP="001C02F9">
      <w:pPr>
        <w:tabs>
          <w:tab w:val="left" w:pos="851"/>
        </w:tabs>
        <w:ind w:left="851"/>
        <w:rPr>
          <w:sz w:val="24"/>
          <w:szCs w:val="24"/>
        </w:rPr>
      </w:pPr>
    </w:p>
    <w:p w14:paraId="681FA198" w14:textId="69D5FB1E" w:rsidR="001C02F9" w:rsidRPr="00D11AD1" w:rsidRDefault="001C02F9" w:rsidP="001C02F9">
      <w:pPr>
        <w:tabs>
          <w:tab w:val="left" w:pos="851"/>
        </w:tabs>
        <w:ind w:left="851"/>
        <w:rPr>
          <w:sz w:val="24"/>
          <w:szCs w:val="24"/>
        </w:rPr>
      </w:pPr>
      <w:r w:rsidRPr="00D11AD1">
        <w:rPr>
          <w:sz w:val="24"/>
          <w:szCs w:val="24"/>
        </w:rPr>
        <w:t>Efter mindst 60 måneders opfølgning fik 60</w:t>
      </w:r>
      <w:r w:rsidR="00FA34A4" w:rsidRPr="00D11AD1">
        <w:rPr>
          <w:sz w:val="24"/>
          <w:szCs w:val="24"/>
        </w:rPr>
        <w:t xml:space="preserve"> %</w:t>
      </w:r>
      <w:r w:rsidRPr="00D11AD1">
        <w:rPr>
          <w:sz w:val="24"/>
          <w:szCs w:val="24"/>
        </w:rPr>
        <w:t xml:space="preserve"> af de patienter, der var randomiseret til dasatinib</w:t>
      </w:r>
      <w:r w:rsidR="00BB3381" w:rsidRPr="00D11AD1">
        <w:rPr>
          <w:sz w:val="24"/>
          <w:szCs w:val="24"/>
        </w:rPr>
        <w:t>-</w:t>
      </w:r>
      <w:r w:rsidRPr="00D11AD1">
        <w:rPr>
          <w:sz w:val="24"/>
          <w:szCs w:val="24"/>
        </w:rPr>
        <w:t>gruppen, og 63</w:t>
      </w:r>
      <w:r w:rsidR="00FA34A4" w:rsidRPr="00D11AD1">
        <w:rPr>
          <w:sz w:val="24"/>
          <w:szCs w:val="24"/>
        </w:rPr>
        <w:t xml:space="preserve"> %</w:t>
      </w:r>
      <w:r w:rsidRPr="00D11AD1">
        <w:rPr>
          <w:sz w:val="24"/>
          <w:szCs w:val="24"/>
        </w:rPr>
        <w:t xml:space="preserve"> af de patienter, der var randomiseret til imatinib</w:t>
      </w:r>
      <w:r w:rsidR="00BB3381" w:rsidRPr="00D11AD1">
        <w:rPr>
          <w:sz w:val="24"/>
          <w:szCs w:val="24"/>
        </w:rPr>
        <w:t>-</w:t>
      </w:r>
      <w:r w:rsidRPr="00D11AD1">
        <w:rPr>
          <w:sz w:val="24"/>
          <w:szCs w:val="24"/>
        </w:rPr>
        <w:t>gruppen, stadig førstelinjebehandling. Seponering inden for 60 måneder på grund af sygdomsprogression forekom hos 11</w:t>
      </w:r>
      <w:r w:rsidR="00FA34A4" w:rsidRPr="00D11AD1">
        <w:rPr>
          <w:sz w:val="24"/>
          <w:szCs w:val="24"/>
        </w:rPr>
        <w:t xml:space="preserve"> %</w:t>
      </w:r>
      <w:r w:rsidRPr="00D11AD1">
        <w:rPr>
          <w:sz w:val="24"/>
          <w:szCs w:val="24"/>
        </w:rPr>
        <w:t xml:space="preserve"> af de patienter, der blev behandlet med dasatinib, og hos 14</w:t>
      </w:r>
      <w:r w:rsidR="00FA34A4" w:rsidRPr="00D11AD1">
        <w:rPr>
          <w:sz w:val="24"/>
          <w:szCs w:val="24"/>
        </w:rPr>
        <w:t xml:space="preserve"> %</w:t>
      </w:r>
      <w:r w:rsidRPr="00D11AD1">
        <w:rPr>
          <w:sz w:val="24"/>
          <w:szCs w:val="24"/>
        </w:rPr>
        <w:t xml:space="preserve"> af de patienter, der blev behandlet med imatinib.</w:t>
      </w:r>
    </w:p>
    <w:p w14:paraId="20872D58" w14:textId="77777777" w:rsidR="001C02F9" w:rsidRPr="00D11AD1" w:rsidRDefault="001C02F9" w:rsidP="001C02F9">
      <w:pPr>
        <w:tabs>
          <w:tab w:val="left" w:pos="851"/>
        </w:tabs>
        <w:ind w:left="851"/>
        <w:rPr>
          <w:sz w:val="24"/>
          <w:szCs w:val="24"/>
        </w:rPr>
      </w:pPr>
    </w:p>
    <w:p w14:paraId="7CE35CBC" w14:textId="4A3B1B4B" w:rsidR="001C02F9" w:rsidRPr="00D11AD1" w:rsidRDefault="001C02F9" w:rsidP="001C02F9">
      <w:pPr>
        <w:tabs>
          <w:tab w:val="left" w:pos="851"/>
        </w:tabs>
        <w:ind w:left="851"/>
        <w:rPr>
          <w:sz w:val="24"/>
          <w:szCs w:val="24"/>
        </w:rPr>
      </w:pPr>
      <w:r w:rsidRPr="00D11AD1">
        <w:rPr>
          <w:sz w:val="24"/>
          <w:szCs w:val="24"/>
        </w:rPr>
        <w:t>Effektresultater er vist i tabel 9. En statistisk signifikant større del af patienterne i dasatinib</w:t>
      </w:r>
      <w:r w:rsidR="00BB3381" w:rsidRPr="00D11AD1">
        <w:rPr>
          <w:sz w:val="24"/>
          <w:szCs w:val="24"/>
        </w:rPr>
        <w:t>-</w:t>
      </w:r>
      <w:r w:rsidRPr="00D11AD1">
        <w:rPr>
          <w:sz w:val="24"/>
          <w:szCs w:val="24"/>
        </w:rPr>
        <w:t>gruppen opnåede cCCyR sammenlignet med patienterne i imatinib</w:t>
      </w:r>
      <w:r w:rsidR="00BB3381" w:rsidRPr="00D11AD1">
        <w:rPr>
          <w:sz w:val="24"/>
          <w:szCs w:val="24"/>
        </w:rPr>
        <w:t>-</w:t>
      </w:r>
      <w:r w:rsidRPr="00D11AD1">
        <w:rPr>
          <w:sz w:val="24"/>
          <w:szCs w:val="24"/>
        </w:rPr>
        <w:t>gruppen inden for de første 12 måneder af behandlingen. Virkningen af dasatinib</w:t>
      </w:r>
      <w:r w:rsidR="00E85BE3" w:rsidRPr="00D11AD1">
        <w:rPr>
          <w:sz w:val="24"/>
          <w:szCs w:val="24"/>
        </w:rPr>
        <w:t xml:space="preserve"> </w:t>
      </w:r>
      <w:r w:rsidRPr="00D11AD1">
        <w:rPr>
          <w:sz w:val="24"/>
          <w:szCs w:val="24"/>
        </w:rPr>
        <w:t xml:space="preserve">blev konsistent vist i forskellige undergrupper som f.eks. alder, køn og </w:t>
      </w:r>
      <w:r w:rsidRPr="00D11AD1">
        <w:rPr>
          <w:i/>
          <w:iCs/>
          <w:sz w:val="24"/>
          <w:szCs w:val="24"/>
        </w:rPr>
        <w:t>baseline</w:t>
      </w:r>
      <w:r w:rsidRPr="00D11AD1">
        <w:rPr>
          <w:sz w:val="24"/>
          <w:szCs w:val="24"/>
        </w:rPr>
        <w:t>-Hasford-score.</w:t>
      </w:r>
    </w:p>
    <w:p w14:paraId="78BC8AC5" w14:textId="79AFA645" w:rsidR="00523BC3" w:rsidRDefault="00523BC3">
      <w:pPr>
        <w:rPr>
          <w:sz w:val="24"/>
          <w:szCs w:val="24"/>
        </w:rPr>
      </w:pPr>
      <w:r>
        <w:rPr>
          <w:sz w:val="24"/>
          <w:szCs w:val="24"/>
        </w:rPr>
        <w:br w:type="page"/>
      </w:r>
    </w:p>
    <w:p w14:paraId="628AAC16" w14:textId="77777777" w:rsidR="009260DE" w:rsidRPr="00D11AD1" w:rsidRDefault="009260DE" w:rsidP="009260DE">
      <w:pPr>
        <w:tabs>
          <w:tab w:val="left" w:pos="851"/>
        </w:tabs>
        <w:ind w:left="851"/>
        <w:rPr>
          <w:sz w:val="24"/>
          <w:szCs w:val="24"/>
        </w:rPr>
      </w:pPr>
    </w:p>
    <w:p w14:paraId="38609697" w14:textId="77777777" w:rsidR="006D21E5" w:rsidRPr="00D11AD1" w:rsidRDefault="006D21E5" w:rsidP="006D21E5">
      <w:pPr>
        <w:adjustRightInd w:val="0"/>
        <w:ind w:left="851"/>
        <w:rPr>
          <w:rFonts w:eastAsia="TimesNewRomanPS-BoldMT"/>
          <w:b/>
          <w:bCs/>
          <w:sz w:val="24"/>
          <w:szCs w:val="24"/>
        </w:rPr>
      </w:pPr>
      <w:r w:rsidRPr="00D11AD1">
        <w:rPr>
          <w:b/>
          <w:w w:val="105"/>
          <w:sz w:val="24"/>
          <w:szCs w:val="24"/>
        </w:rPr>
        <w:t>Tabel</w:t>
      </w:r>
      <w:r w:rsidRPr="00D11AD1">
        <w:rPr>
          <w:b/>
          <w:spacing w:val="-4"/>
          <w:w w:val="105"/>
          <w:sz w:val="24"/>
          <w:szCs w:val="24"/>
        </w:rPr>
        <w:t xml:space="preserve"> </w:t>
      </w:r>
      <w:r w:rsidRPr="00D11AD1">
        <w:rPr>
          <w:b/>
          <w:w w:val="105"/>
          <w:sz w:val="24"/>
          <w:szCs w:val="24"/>
        </w:rPr>
        <w:t xml:space="preserve">9: </w:t>
      </w:r>
      <w:r w:rsidRPr="00D11AD1">
        <w:rPr>
          <w:rFonts w:eastAsia="TimesNewRomanPS-BoldMT"/>
          <w:b/>
          <w:bCs/>
          <w:sz w:val="24"/>
          <w:szCs w:val="24"/>
        </w:rPr>
        <w:t>Effektresultater fra et fase 3-studie hos patienter med nyligt diagnosticeret CML i kronisk fase</w:t>
      </w:r>
    </w:p>
    <w:tbl>
      <w:tblPr>
        <w:tblW w:w="8486" w:type="dxa"/>
        <w:jc w:val="right"/>
        <w:tblLook w:val="04A0" w:firstRow="1" w:lastRow="0" w:firstColumn="1" w:lastColumn="0" w:noHBand="0" w:noVBand="1"/>
      </w:tblPr>
      <w:tblGrid>
        <w:gridCol w:w="2552"/>
        <w:gridCol w:w="2126"/>
        <w:gridCol w:w="2268"/>
        <w:gridCol w:w="1540"/>
      </w:tblGrid>
      <w:tr w:rsidR="006D21E5" w:rsidRPr="00D11AD1" w14:paraId="52DB256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7E60EC10" w14:textId="77777777" w:rsidR="006D21E5" w:rsidRPr="00D11AD1" w:rsidRDefault="006D21E5" w:rsidP="00D11AD1">
            <w:pPr>
              <w:keepNext/>
              <w:jc w:val="center"/>
              <w:rPr>
                <w:b/>
                <w:bCs/>
                <w:sz w:val="24"/>
                <w:szCs w:val="24"/>
              </w:rPr>
            </w:pPr>
          </w:p>
        </w:tc>
        <w:tc>
          <w:tcPr>
            <w:tcW w:w="2126" w:type="dxa"/>
            <w:tcBorders>
              <w:top w:val="single" w:sz="4" w:space="0" w:color="auto"/>
              <w:left w:val="single" w:sz="4" w:space="0" w:color="auto"/>
              <w:bottom w:val="single" w:sz="4" w:space="0" w:color="auto"/>
              <w:right w:val="single" w:sz="4" w:space="0" w:color="auto"/>
            </w:tcBorders>
            <w:hideMark/>
          </w:tcPr>
          <w:p w14:paraId="674D28E8" w14:textId="77777777" w:rsidR="006D21E5" w:rsidRPr="00D11AD1" w:rsidRDefault="006D21E5" w:rsidP="00D11AD1">
            <w:pPr>
              <w:keepNext/>
              <w:jc w:val="center"/>
              <w:rPr>
                <w:b/>
                <w:bCs/>
                <w:sz w:val="24"/>
                <w:szCs w:val="24"/>
              </w:rPr>
            </w:pPr>
            <w:r w:rsidRPr="00D11AD1">
              <w:rPr>
                <w:b/>
                <w:bCs/>
                <w:sz w:val="24"/>
                <w:szCs w:val="24"/>
              </w:rPr>
              <w:t>Dasatinib</w:t>
            </w:r>
          </w:p>
          <w:p w14:paraId="1627394E" w14:textId="77777777" w:rsidR="006D21E5" w:rsidRPr="00D11AD1" w:rsidRDefault="006D21E5" w:rsidP="00D11AD1">
            <w:pPr>
              <w:keepNext/>
              <w:jc w:val="center"/>
              <w:rPr>
                <w:sz w:val="24"/>
                <w:szCs w:val="24"/>
              </w:rPr>
            </w:pPr>
            <w:r w:rsidRPr="00D11AD1">
              <w:rPr>
                <w:b/>
                <w:bCs/>
                <w:sz w:val="24"/>
                <w:szCs w:val="24"/>
              </w:rPr>
              <w:t>n = 259</w:t>
            </w:r>
          </w:p>
        </w:tc>
        <w:tc>
          <w:tcPr>
            <w:tcW w:w="2268" w:type="dxa"/>
            <w:tcBorders>
              <w:top w:val="single" w:sz="4" w:space="0" w:color="auto"/>
              <w:left w:val="single" w:sz="4" w:space="0" w:color="auto"/>
              <w:bottom w:val="single" w:sz="4" w:space="0" w:color="auto"/>
              <w:right w:val="single" w:sz="4" w:space="0" w:color="auto"/>
            </w:tcBorders>
            <w:hideMark/>
          </w:tcPr>
          <w:p w14:paraId="79CE23D3" w14:textId="77777777" w:rsidR="006D21E5" w:rsidRPr="00D11AD1" w:rsidRDefault="006D21E5" w:rsidP="00D11AD1">
            <w:pPr>
              <w:keepNext/>
              <w:jc w:val="center"/>
              <w:rPr>
                <w:b/>
                <w:bCs/>
                <w:sz w:val="24"/>
                <w:szCs w:val="24"/>
              </w:rPr>
            </w:pPr>
            <w:r w:rsidRPr="00D11AD1">
              <w:rPr>
                <w:b/>
                <w:bCs/>
                <w:sz w:val="24"/>
                <w:szCs w:val="24"/>
              </w:rPr>
              <w:t>Imatinib</w:t>
            </w:r>
          </w:p>
          <w:p w14:paraId="74414238" w14:textId="77777777" w:rsidR="006D21E5" w:rsidRPr="00D11AD1" w:rsidRDefault="006D21E5" w:rsidP="00D11AD1">
            <w:pPr>
              <w:keepNext/>
              <w:jc w:val="center"/>
              <w:rPr>
                <w:b/>
                <w:bCs/>
                <w:sz w:val="24"/>
                <w:szCs w:val="24"/>
              </w:rPr>
            </w:pPr>
            <w:r w:rsidRPr="00D11AD1">
              <w:rPr>
                <w:b/>
                <w:bCs/>
                <w:sz w:val="24"/>
                <w:szCs w:val="24"/>
              </w:rPr>
              <w:t>n = 260</w:t>
            </w:r>
          </w:p>
        </w:tc>
        <w:tc>
          <w:tcPr>
            <w:tcW w:w="1540" w:type="dxa"/>
            <w:tcBorders>
              <w:top w:val="single" w:sz="4" w:space="0" w:color="auto"/>
              <w:left w:val="single" w:sz="4" w:space="0" w:color="auto"/>
              <w:bottom w:val="single" w:sz="4" w:space="0" w:color="auto"/>
              <w:right w:val="single" w:sz="4" w:space="0" w:color="auto"/>
            </w:tcBorders>
            <w:hideMark/>
          </w:tcPr>
          <w:p w14:paraId="06966631" w14:textId="77777777" w:rsidR="006D21E5" w:rsidRPr="00D11AD1" w:rsidRDefault="006D21E5" w:rsidP="00D11AD1">
            <w:pPr>
              <w:keepNext/>
              <w:jc w:val="center"/>
              <w:rPr>
                <w:b/>
                <w:bCs/>
                <w:sz w:val="24"/>
                <w:szCs w:val="24"/>
              </w:rPr>
            </w:pPr>
            <w:r w:rsidRPr="00D11AD1">
              <w:rPr>
                <w:b/>
                <w:bCs/>
                <w:sz w:val="24"/>
                <w:szCs w:val="24"/>
              </w:rPr>
              <w:t>p-værdi</w:t>
            </w:r>
          </w:p>
        </w:tc>
      </w:tr>
      <w:tr w:rsidR="006D21E5" w:rsidRPr="00D11AD1" w14:paraId="6003F2D5"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3C373584" w14:textId="77777777" w:rsidR="006D21E5" w:rsidRPr="00D11AD1" w:rsidRDefault="006D21E5" w:rsidP="00D11AD1">
            <w:pPr>
              <w:keepNext/>
              <w:jc w:val="center"/>
              <w:rPr>
                <w:b/>
                <w:bCs/>
                <w:sz w:val="24"/>
                <w:szCs w:val="24"/>
              </w:rPr>
            </w:pPr>
          </w:p>
        </w:tc>
        <w:tc>
          <w:tcPr>
            <w:tcW w:w="5934" w:type="dxa"/>
            <w:gridSpan w:val="3"/>
            <w:tcBorders>
              <w:top w:val="single" w:sz="4" w:space="0" w:color="auto"/>
              <w:left w:val="single" w:sz="4" w:space="0" w:color="auto"/>
              <w:bottom w:val="single" w:sz="4" w:space="0" w:color="auto"/>
              <w:right w:val="single" w:sz="4" w:space="0" w:color="auto"/>
            </w:tcBorders>
            <w:hideMark/>
          </w:tcPr>
          <w:p w14:paraId="2D0CD2E9" w14:textId="77777777" w:rsidR="006D21E5" w:rsidRPr="00D11AD1" w:rsidRDefault="006D21E5" w:rsidP="00D11AD1">
            <w:pPr>
              <w:keepNext/>
              <w:jc w:val="center"/>
              <w:rPr>
                <w:b/>
                <w:bCs/>
                <w:sz w:val="24"/>
                <w:szCs w:val="24"/>
              </w:rPr>
            </w:pPr>
            <w:r w:rsidRPr="00D11AD1">
              <w:rPr>
                <w:b/>
                <w:bCs/>
                <w:sz w:val="24"/>
                <w:szCs w:val="24"/>
              </w:rPr>
              <w:t>Responsrate (95 % CI)</w:t>
            </w:r>
          </w:p>
        </w:tc>
      </w:tr>
      <w:tr w:rsidR="006D21E5" w:rsidRPr="00D11AD1" w14:paraId="34A4DD32"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1287CC71" w14:textId="77777777" w:rsidR="006D21E5" w:rsidRPr="00D11AD1" w:rsidRDefault="006D21E5" w:rsidP="00D11AD1">
            <w:pPr>
              <w:ind w:left="-34" w:right="-1"/>
              <w:rPr>
                <w:b/>
                <w:bCs/>
                <w:sz w:val="24"/>
                <w:szCs w:val="24"/>
              </w:rPr>
            </w:pPr>
            <w:r w:rsidRPr="00D11AD1">
              <w:rPr>
                <w:b/>
                <w:bCs/>
                <w:sz w:val="24"/>
                <w:szCs w:val="24"/>
              </w:rPr>
              <w:t xml:space="preserve">Cytogenetisk respons </w:t>
            </w:r>
          </w:p>
        </w:tc>
        <w:tc>
          <w:tcPr>
            <w:tcW w:w="2126" w:type="dxa"/>
            <w:tcBorders>
              <w:top w:val="single" w:sz="4" w:space="0" w:color="auto"/>
              <w:left w:val="single" w:sz="4" w:space="0" w:color="auto"/>
              <w:bottom w:val="single" w:sz="4" w:space="0" w:color="auto"/>
              <w:right w:val="single" w:sz="4" w:space="0" w:color="auto"/>
            </w:tcBorders>
          </w:tcPr>
          <w:p w14:paraId="7EBAD693"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60C6C933"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452196D9" w14:textId="77777777" w:rsidR="006D21E5" w:rsidRPr="00D11AD1" w:rsidRDefault="006D21E5" w:rsidP="00D11AD1">
            <w:pPr>
              <w:ind w:right="-1"/>
              <w:jc w:val="center"/>
              <w:rPr>
                <w:b/>
                <w:bCs/>
                <w:sz w:val="24"/>
                <w:szCs w:val="24"/>
              </w:rPr>
            </w:pPr>
          </w:p>
        </w:tc>
      </w:tr>
      <w:tr w:rsidR="006D21E5" w:rsidRPr="00D11AD1" w14:paraId="4FBE6495"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33C6A341" w14:textId="77777777" w:rsidR="006D21E5" w:rsidRPr="00D11AD1" w:rsidRDefault="006D21E5" w:rsidP="00D11AD1">
            <w:pPr>
              <w:ind w:right="-1"/>
              <w:rPr>
                <w:b/>
                <w:bCs/>
                <w:sz w:val="24"/>
                <w:szCs w:val="24"/>
              </w:rPr>
            </w:pPr>
            <w:r w:rsidRPr="00D11AD1">
              <w:rPr>
                <w:b/>
                <w:bCs/>
                <w:sz w:val="24"/>
                <w:szCs w:val="24"/>
              </w:rPr>
              <w:t>inden for 12 måneder</w:t>
            </w:r>
          </w:p>
        </w:tc>
        <w:tc>
          <w:tcPr>
            <w:tcW w:w="2126" w:type="dxa"/>
            <w:tcBorders>
              <w:top w:val="single" w:sz="4" w:space="0" w:color="auto"/>
              <w:left w:val="single" w:sz="4" w:space="0" w:color="auto"/>
              <w:bottom w:val="single" w:sz="4" w:space="0" w:color="auto"/>
              <w:right w:val="single" w:sz="4" w:space="0" w:color="auto"/>
            </w:tcBorders>
          </w:tcPr>
          <w:p w14:paraId="6671B127"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2A61C61"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299B8EB4" w14:textId="77777777" w:rsidR="006D21E5" w:rsidRPr="00D11AD1" w:rsidRDefault="006D21E5" w:rsidP="00D11AD1">
            <w:pPr>
              <w:ind w:right="-1"/>
              <w:jc w:val="center"/>
              <w:rPr>
                <w:b/>
                <w:bCs/>
                <w:sz w:val="24"/>
                <w:szCs w:val="24"/>
              </w:rPr>
            </w:pPr>
          </w:p>
        </w:tc>
      </w:tr>
      <w:tr w:rsidR="006D21E5" w:rsidRPr="00D11AD1" w14:paraId="7E46402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5625961F" w14:textId="77777777" w:rsidR="006D21E5" w:rsidRPr="00D11AD1" w:rsidRDefault="006D21E5" w:rsidP="00D11AD1">
            <w:pPr>
              <w:ind w:right="-1"/>
              <w:jc w:val="center"/>
              <w:rPr>
                <w:b/>
                <w:bCs/>
                <w:sz w:val="24"/>
                <w:szCs w:val="24"/>
              </w:rPr>
            </w:pPr>
            <w:r w:rsidRPr="00D11AD1">
              <w:rPr>
                <w:sz w:val="24"/>
                <w:szCs w:val="24"/>
              </w:rPr>
              <w:t>cCCyR</w:t>
            </w:r>
            <w:r w:rsidRPr="00D11AD1">
              <w:rPr>
                <w:sz w:val="24"/>
                <w:szCs w:val="24"/>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7AFD15F9" w14:textId="77777777" w:rsidR="006D21E5" w:rsidRPr="00D11AD1" w:rsidRDefault="006D21E5" w:rsidP="00D11AD1">
            <w:pPr>
              <w:ind w:left="-115" w:right="-1"/>
              <w:jc w:val="center"/>
              <w:rPr>
                <w:b/>
                <w:bCs/>
                <w:sz w:val="24"/>
                <w:szCs w:val="24"/>
              </w:rPr>
            </w:pPr>
            <w:r w:rsidRPr="00D11AD1">
              <w:rPr>
                <w:sz w:val="24"/>
                <w:szCs w:val="24"/>
              </w:rPr>
              <w:t>76,8 % (71,2 – 81,8)</w:t>
            </w:r>
          </w:p>
        </w:tc>
        <w:tc>
          <w:tcPr>
            <w:tcW w:w="2268" w:type="dxa"/>
            <w:tcBorders>
              <w:top w:val="single" w:sz="4" w:space="0" w:color="auto"/>
              <w:left w:val="single" w:sz="4" w:space="0" w:color="auto"/>
              <w:bottom w:val="single" w:sz="4" w:space="0" w:color="auto"/>
              <w:right w:val="single" w:sz="4" w:space="0" w:color="auto"/>
            </w:tcBorders>
            <w:hideMark/>
          </w:tcPr>
          <w:p w14:paraId="5A40F52E" w14:textId="77777777" w:rsidR="006D21E5" w:rsidRPr="00D11AD1" w:rsidRDefault="006D21E5" w:rsidP="00D11AD1">
            <w:pPr>
              <w:ind w:left="-115" w:right="-1"/>
              <w:jc w:val="center"/>
              <w:rPr>
                <w:b/>
                <w:bCs/>
                <w:sz w:val="24"/>
                <w:szCs w:val="24"/>
              </w:rPr>
            </w:pPr>
            <w:r w:rsidRPr="00D11AD1">
              <w:rPr>
                <w:sz w:val="24"/>
                <w:szCs w:val="24"/>
              </w:rPr>
              <w:t>66,2 % (60,1 – 71,9)</w:t>
            </w:r>
          </w:p>
        </w:tc>
        <w:tc>
          <w:tcPr>
            <w:tcW w:w="1540" w:type="dxa"/>
            <w:tcBorders>
              <w:top w:val="single" w:sz="4" w:space="0" w:color="auto"/>
              <w:left w:val="single" w:sz="4" w:space="0" w:color="auto"/>
              <w:bottom w:val="single" w:sz="4" w:space="0" w:color="auto"/>
              <w:right w:val="single" w:sz="4" w:space="0" w:color="auto"/>
            </w:tcBorders>
            <w:hideMark/>
          </w:tcPr>
          <w:p w14:paraId="090ACC24" w14:textId="77777777" w:rsidR="006D21E5" w:rsidRPr="00D11AD1" w:rsidRDefault="006D21E5" w:rsidP="00D11AD1">
            <w:pPr>
              <w:ind w:left="-115" w:right="-1"/>
              <w:jc w:val="center"/>
              <w:rPr>
                <w:b/>
                <w:bCs/>
                <w:sz w:val="24"/>
                <w:szCs w:val="24"/>
              </w:rPr>
            </w:pPr>
            <w:r w:rsidRPr="00D11AD1">
              <w:rPr>
                <w:sz w:val="24"/>
                <w:szCs w:val="24"/>
              </w:rPr>
              <w:t>p &lt; 0,007</w:t>
            </w:r>
            <w:r w:rsidRPr="00D11AD1">
              <w:rPr>
                <w:sz w:val="24"/>
                <w:szCs w:val="24"/>
                <w:vertAlign w:val="superscript"/>
              </w:rPr>
              <w:t>*</w:t>
            </w:r>
          </w:p>
        </w:tc>
      </w:tr>
      <w:tr w:rsidR="006D21E5" w:rsidRPr="00D11AD1" w14:paraId="72ADB72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8188936" w14:textId="77777777" w:rsidR="006D21E5" w:rsidRPr="00D11AD1" w:rsidRDefault="006D21E5" w:rsidP="00D11AD1">
            <w:pPr>
              <w:ind w:right="-1"/>
              <w:jc w:val="center"/>
              <w:rPr>
                <w:b/>
                <w:bCs/>
                <w:sz w:val="24"/>
                <w:szCs w:val="24"/>
              </w:rPr>
            </w:pPr>
            <w:r w:rsidRPr="00D11AD1">
              <w:rPr>
                <w:sz w:val="24"/>
                <w:szCs w:val="24"/>
              </w:rPr>
              <w:t>CCyR</w:t>
            </w:r>
            <w:r w:rsidRPr="00D11AD1">
              <w:rPr>
                <w:sz w:val="24"/>
                <w:szCs w:val="24"/>
                <w:vertAlign w:val="superscript"/>
              </w:rPr>
              <w:t>b</w:t>
            </w:r>
          </w:p>
        </w:tc>
        <w:tc>
          <w:tcPr>
            <w:tcW w:w="2126" w:type="dxa"/>
            <w:tcBorders>
              <w:top w:val="single" w:sz="4" w:space="0" w:color="auto"/>
              <w:left w:val="single" w:sz="4" w:space="0" w:color="auto"/>
              <w:bottom w:val="single" w:sz="4" w:space="0" w:color="auto"/>
              <w:right w:val="single" w:sz="4" w:space="0" w:color="auto"/>
            </w:tcBorders>
            <w:hideMark/>
          </w:tcPr>
          <w:p w14:paraId="1054C37F" w14:textId="77777777" w:rsidR="006D21E5" w:rsidRPr="00D11AD1" w:rsidRDefault="006D21E5" w:rsidP="00D11AD1">
            <w:pPr>
              <w:ind w:left="-115" w:right="-1"/>
              <w:jc w:val="center"/>
              <w:rPr>
                <w:b/>
                <w:bCs/>
                <w:sz w:val="24"/>
                <w:szCs w:val="24"/>
              </w:rPr>
            </w:pPr>
            <w:r w:rsidRPr="00D11AD1">
              <w:rPr>
                <w:sz w:val="24"/>
                <w:szCs w:val="24"/>
              </w:rPr>
              <w:t>85,3 % (80,4 – 89,4)</w:t>
            </w:r>
          </w:p>
        </w:tc>
        <w:tc>
          <w:tcPr>
            <w:tcW w:w="2268" w:type="dxa"/>
            <w:tcBorders>
              <w:top w:val="single" w:sz="4" w:space="0" w:color="auto"/>
              <w:left w:val="single" w:sz="4" w:space="0" w:color="auto"/>
              <w:bottom w:val="single" w:sz="4" w:space="0" w:color="auto"/>
              <w:right w:val="single" w:sz="4" w:space="0" w:color="auto"/>
            </w:tcBorders>
            <w:hideMark/>
          </w:tcPr>
          <w:p w14:paraId="1EDCA1AD" w14:textId="77777777" w:rsidR="006D21E5" w:rsidRPr="00D11AD1" w:rsidRDefault="006D21E5" w:rsidP="00D11AD1">
            <w:pPr>
              <w:ind w:left="-115" w:right="-1"/>
              <w:jc w:val="center"/>
              <w:rPr>
                <w:b/>
                <w:bCs/>
                <w:sz w:val="24"/>
                <w:szCs w:val="24"/>
              </w:rPr>
            </w:pPr>
            <w:r w:rsidRPr="00D11AD1">
              <w:rPr>
                <w:sz w:val="24"/>
                <w:szCs w:val="24"/>
              </w:rPr>
              <w:t>73,5 % (67,7 – 78,7)</w:t>
            </w:r>
          </w:p>
        </w:tc>
        <w:tc>
          <w:tcPr>
            <w:tcW w:w="1540" w:type="dxa"/>
            <w:tcBorders>
              <w:top w:val="single" w:sz="4" w:space="0" w:color="auto"/>
              <w:left w:val="single" w:sz="4" w:space="0" w:color="auto"/>
              <w:bottom w:val="single" w:sz="4" w:space="0" w:color="auto"/>
              <w:right w:val="single" w:sz="4" w:space="0" w:color="auto"/>
            </w:tcBorders>
            <w:hideMark/>
          </w:tcPr>
          <w:p w14:paraId="113328B7" w14:textId="77777777" w:rsidR="006D21E5" w:rsidRPr="00D11AD1" w:rsidRDefault="006D21E5" w:rsidP="00D11AD1">
            <w:pPr>
              <w:ind w:left="-115" w:right="-1"/>
              <w:jc w:val="center"/>
              <w:rPr>
                <w:b/>
                <w:bCs/>
                <w:sz w:val="24"/>
                <w:szCs w:val="24"/>
              </w:rPr>
            </w:pPr>
            <w:r w:rsidRPr="00D11AD1">
              <w:rPr>
                <w:rFonts w:ascii="Cambria Math" w:eastAsia="Segoe UI Symbol" w:hAnsi="Cambria Math" w:cs="Cambria Math"/>
                <w:sz w:val="24"/>
                <w:szCs w:val="24"/>
              </w:rPr>
              <w:t>⎯</w:t>
            </w:r>
          </w:p>
        </w:tc>
      </w:tr>
      <w:tr w:rsidR="006D21E5" w:rsidRPr="00D11AD1" w14:paraId="5961BD08"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0D58B96D" w14:textId="77777777" w:rsidR="006D21E5" w:rsidRPr="00D11AD1" w:rsidRDefault="006D21E5" w:rsidP="00D11AD1">
            <w:pPr>
              <w:ind w:right="-1"/>
              <w:rPr>
                <w:b/>
                <w:bCs/>
                <w:sz w:val="24"/>
                <w:szCs w:val="24"/>
              </w:rPr>
            </w:pPr>
            <w:r w:rsidRPr="00D11AD1">
              <w:rPr>
                <w:b/>
                <w:bCs/>
                <w:sz w:val="24"/>
                <w:szCs w:val="24"/>
              </w:rPr>
              <w:t>inden for 24 måneder</w:t>
            </w:r>
          </w:p>
        </w:tc>
        <w:tc>
          <w:tcPr>
            <w:tcW w:w="2126" w:type="dxa"/>
            <w:tcBorders>
              <w:top w:val="single" w:sz="4" w:space="0" w:color="auto"/>
              <w:left w:val="single" w:sz="4" w:space="0" w:color="auto"/>
              <w:bottom w:val="single" w:sz="4" w:space="0" w:color="auto"/>
              <w:right w:val="single" w:sz="4" w:space="0" w:color="auto"/>
            </w:tcBorders>
          </w:tcPr>
          <w:p w14:paraId="1FCE451E"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473E646B"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F9F3284" w14:textId="77777777" w:rsidR="006D21E5" w:rsidRPr="00D11AD1" w:rsidRDefault="006D21E5" w:rsidP="00D11AD1">
            <w:pPr>
              <w:ind w:right="-1"/>
              <w:jc w:val="center"/>
              <w:rPr>
                <w:b/>
                <w:bCs/>
                <w:sz w:val="24"/>
                <w:szCs w:val="24"/>
              </w:rPr>
            </w:pPr>
          </w:p>
        </w:tc>
      </w:tr>
      <w:tr w:rsidR="006D21E5" w:rsidRPr="00D11AD1" w14:paraId="46D73785"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159DB5E6" w14:textId="77777777" w:rsidR="006D21E5" w:rsidRPr="00D11AD1" w:rsidRDefault="006D21E5" w:rsidP="00D11AD1">
            <w:pPr>
              <w:ind w:right="-1"/>
              <w:jc w:val="center"/>
              <w:rPr>
                <w:b/>
                <w:bCs/>
                <w:sz w:val="24"/>
                <w:szCs w:val="24"/>
              </w:rPr>
            </w:pPr>
            <w:r w:rsidRPr="00D11AD1">
              <w:rPr>
                <w:sz w:val="24"/>
                <w:szCs w:val="24"/>
              </w:rPr>
              <w:t>cCCyR</w:t>
            </w:r>
            <w:r w:rsidRPr="00D11AD1">
              <w:rPr>
                <w:sz w:val="24"/>
                <w:szCs w:val="24"/>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5E57F1CC" w14:textId="77777777" w:rsidR="006D21E5" w:rsidRPr="00D11AD1" w:rsidRDefault="006D21E5" w:rsidP="00D11AD1">
            <w:pPr>
              <w:ind w:right="-1"/>
              <w:jc w:val="center"/>
              <w:rPr>
                <w:b/>
                <w:bCs/>
                <w:sz w:val="24"/>
                <w:szCs w:val="24"/>
              </w:rPr>
            </w:pPr>
            <w:r w:rsidRPr="00D11AD1">
              <w:rPr>
                <w:sz w:val="24"/>
                <w:szCs w:val="24"/>
              </w:rPr>
              <w:t>80,3 %</w:t>
            </w:r>
          </w:p>
        </w:tc>
        <w:tc>
          <w:tcPr>
            <w:tcW w:w="2268" w:type="dxa"/>
            <w:tcBorders>
              <w:top w:val="single" w:sz="4" w:space="0" w:color="auto"/>
              <w:left w:val="single" w:sz="4" w:space="0" w:color="auto"/>
              <w:bottom w:val="single" w:sz="4" w:space="0" w:color="auto"/>
              <w:right w:val="single" w:sz="4" w:space="0" w:color="auto"/>
            </w:tcBorders>
            <w:hideMark/>
          </w:tcPr>
          <w:p w14:paraId="6EE4169E" w14:textId="77777777" w:rsidR="006D21E5" w:rsidRPr="00D11AD1" w:rsidRDefault="006D21E5" w:rsidP="00D11AD1">
            <w:pPr>
              <w:ind w:right="-1"/>
              <w:jc w:val="center"/>
              <w:rPr>
                <w:b/>
                <w:bCs/>
                <w:sz w:val="24"/>
                <w:szCs w:val="24"/>
              </w:rPr>
            </w:pPr>
            <w:r w:rsidRPr="00D11AD1">
              <w:rPr>
                <w:sz w:val="24"/>
                <w:szCs w:val="24"/>
              </w:rPr>
              <w:t>74,2 %</w:t>
            </w:r>
          </w:p>
        </w:tc>
        <w:tc>
          <w:tcPr>
            <w:tcW w:w="1540" w:type="dxa"/>
            <w:tcBorders>
              <w:top w:val="single" w:sz="4" w:space="0" w:color="auto"/>
              <w:left w:val="single" w:sz="4" w:space="0" w:color="auto"/>
              <w:bottom w:val="single" w:sz="4" w:space="0" w:color="auto"/>
              <w:right w:val="single" w:sz="4" w:space="0" w:color="auto"/>
            </w:tcBorders>
            <w:hideMark/>
          </w:tcPr>
          <w:p w14:paraId="3F44A0BD"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5E0299B3"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979C062" w14:textId="77777777" w:rsidR="006D21E5" w:rsidRPr="00D11AD1" w:rsidRDefault="006D21E5" w:rsidP="00D11AD1">
            <w:pPr>
              <w:ind w:right="-1"/>
              <w:jc w:val="center"/>
              <w:rPr>
                <w:b/>
                <w:bCs/>
                <w:sz w:val="24"/>
                <w:szCs w:val="24"/>
              </w:rPr>
            </w:pPr>
            <w:r w:rsidRPr="00D11AD1">
              <w:rPr>
                <w:sz w:val="24"/>
                <w:szCs w:val="24"/>
              </w:rPr>
              <w:t>CCyR</w:t>
            </w:r>
            <w:r w:rsidRPr="00D11AD1">
              <w:rPr>
                <w:sz w:val="24"/>
                <w:szCs w:val="24"/>
                <w:vertAlign w:val="superscript"/>
              </w:rPr>
              <w:t>b</w:t>
            </w:r>
          </w:p>
        </w:tc>
        <w:tc>
          <w:tcPr>
            <w:tcW w:w="2126" w:type="dxa"/>
            <w:tcBorders>
              <w:top w:val="single" w:sz="4" w:space="0" w:color="auto"/>
              <w:left w:val="single" w:sz="4" w:space="0" w:color="auto"/>
              <w:bottom w:val="single" w:sz="4" w:space="0" w:color="auto"/>
              <w:right w:val="single" w:sz="4" w:space="0" w:color="auto"/>
            </w:tcBorders>
            <w:hideMark/>
          </w:tcPr>
          <w:p w14:paraId="5ED64BFD" w14:textId="77777777" w:rsidR="006D21E5" w:rsidRPr="00D11AD1" w:rsidRDefault="006D21E5" w:rsidP="00D11AD1">
            <w:pPr>
              <w:ind w:right="-1"/>
              <w:jc w:val="center"/>
              <w:rPr>
                <w:b/>
                <w:bCs/>
                <w:sz w:val="24"/>
                <w:szCs w:val="24"/>
              </w:rPr>
            </w:pPr>
            <w:r w:rsidRPr="00D11AD1">
              <w:rPr>
                <w:sz w:val="24"/>
                <w:szCs w:val="24"/>
              </w:rPr>
              <w:t>87,3 %</w:t>
            </w:r>
          </w:p>
        </w:tc>
        <w:tc>
          <w:tcPr>
            <w:tcW w:w="2268" w:type="dxa"/>
            <w:tcBorders>
              <w:top w:val="single" w:sz="4" w:space="0" w:color="auto"/>
              <w:left w:val="single" w:sz="4" w:space="0" w:color="auto"/>
              <w:bottom w:val="single" w:sz="4" w:space="0" w:color="auto"/>
              <w:right w:val="single" w:sz="4" w:space="0" w:color="auto"/>
            </w:tcBorders>
            <w:hideMark/>
          </w:tcPr>
          <w:p w14:paraId="5E2E0153" w14:textId="77777777" w:rsidR="006D21E5" w:rsidRPr="00D11AD1" w:rsidRDefault="006D21E5" w:rsidP="00D11AD1">
            <w:pPr>
              <w:ind w:right="-1"/>
              <w:jc w:val="center"/>
              <w:rPr>
                <w:b/>
                <w:bCs/>
                <w:sz w:val="24"/>
                <w:szCs w:val="24"/>
              </w:rPr>
            </w:pPr>
            <w:r w:rsidRPr="00D11AD1">
              <w:rPr>
                <w:sz w:val="24"/>
                <w:szCs w:val="24"/>
              </w:rPr>
              <w:t>82,3 %</w:t>
            </w:r>
          </w:p>
        </w:tc>
        <w:tc>
          <w:tcPr>
            <w:tcW w:w="1540" w:type="dxa"/>
            <w:tcBorders>
              <w:top w:val="single" w:sz="4" w:space="0" w:color="auto"/>
              <w:left w:val="single" w:sz="4" w:space="0" w:color="auto"/>
              <w:bottom w:val="single" w:sz="4" w:space="0" w:color="auto"/>
              <w:right w:val="single" w:sz="4" w:space="0" w:color="auto"/>
            </w:tcBorders>
            <w:hideMark/>
          </w:tcPr>
          <w:p w14:paraId="25F5B3E2"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5465D19E"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24CF5580" w14:textId="77777777" w:rsidR="006D21E5" w:rsidRPr="00D11AD1" w:rsidRDefault="006D21E5" w:rsidP="00D11AD1">
            <w:pPr>
              <w:ind w:right="-1"/>
              <w:rPr>
                <w:b/>
                <w:bCs/>
                <w:sz w:val="24"/>
                <w:szCs w:val="24"/>
              </w:rPr>
            </w:pPr>
            <w:r w:rsidRPr="00D11AD1">
              <w:rPr>
                <w:b/>
                <w:bCs/>
                <w:sz w:val="24"/>
                <w:szCs w:val="24"/>
              </w:rPr>
              <w:t>inden for 36 måneder</w:t>
            </w:r>
          </w:p>
        </w:tc>
        <w:tc>
          <w:tcPr>
            <w:tcW w:w="2126" w:type="dxa"/>
            <w:tcBorders>
              <w:top w:val="single" w:sz="4" w:space="0" w:color="auto"/>
              <w:left w:val="single" w:sz="4" w:space="0" w:color="auto"/>
              <w:bottom w:val="single" w:sz="4" w:space="0" w:color="auto"/>
              <w:right w:val="single" w:sz="4" w:space="0" w:color="auto"/>
            </w:tcBorders>
          </w:tcPr>
          <w:p w14:paraId="410FD170"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6E28989"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0BC30A10" w14:textId="77777777" w:rsidR="006D21E5" w:rsidRPr="00D11AD1" w:rsidRDefault="006D21E5" w:rsidP="00D11AD1">
            <w:pPr>
              <w:ind w:right="-1"/>
              <w:jc w:val="center"/>
              <w:rPr>
                <w:b/>
                <w:bCs/>
                <w:sz w:val="24"/>
                <w:szCs w:val="24"/>
              </w:rPr>
            </w:pPr>
          </w:p>
        </w:tc>
      </w:tr>
      <w:tr w:rsidR="006D21E5" w:rsidRPr="00D11AD1" w14:paraId="126A92A3"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1277104" w14:textId="77777777" w:rsidR="006D21E5" w:rsidRPr="00D11AD1" w:rsidRDefault="006D21E5" w:rsidP="00D11AD1">
            <w:pPr>
              <w:ind w:right="-1"/>
              <w:jc w:val="center"/>
              <w:rPr>
                <w:b/>
                <w:bCs/>
                <w:sz w:val="24"/>
                <w:szCs w:val="24"/>
              </w:rPr>
            </w:pPr>
            <w:r w:rsidRPr="00D11AD1">
              <w:rPr>
                <w:sz w:val="24"/>
                <w:szCs w:val="24"/>
              </w:rPr>
              <w:t>cCCyR</w:t>
            </w:r>
            <w:r w:rsidRPr="00D11AD1">
              <w:rPr>
                <w:sz w:val="24"/>
                <w:szCs w:val="24"/>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41277F65" w14:textId="77777777" w:rsidR="006D21E5" w:rsidRPr="00D11AD1" w:rsidRDefault="006D21E5" w:rsidP="00D11AD1">
            <w:pPr>
              <w:ind w:right="-1"/>
              <w:jc w:val="center"/>
              <w:rPr>
                <w:b/>
                <w:bCs/>
                <w:sz w:val="24"/>
                <w:szCs w:val="24"/>
              </w:rPr>
            </w:pPr>
            <w:r w:rsidRPr="00D11AD1">
              <w:rPr>
                <w:sz w:val="24"/>
                <w:szCs w:val="24"/>
              </w:rPr>
              <w:t>82,6 %</w:t>
            </w:r>
          </w:p>
        </w:tc>
        <w:tc>
          <w:tcPr>
            <w:tcW w:w="2268" w:type="dxa"/>
            <w:tcBorders>
              <w:top w:val="single" w:sz="4" w:space="0" w:color="auto"/>
              <w:left w:val="single" w:sz="4" w:space="0" w:color="auto"/>
              <w:bottom w:val="single" w:sz="4" w:space="0" w:color="auto"/>
              <w:right w:val="single" w:sz="4" w:space="0" w:color="auto"/>
            </w:tcBorders>
            <w:hideMark/>
          </w:tcPr>
          <w:p w14:paraId="234F1079" w14:textId="77777777" w:rsidR="006D21E5" w:rsidRPr="00D11AD1" w:rsidRDefault="006D21E5" w:rsidP="00D11AD1">
            <w:pPr>
              <w:ind w:right="-1"/>
              <w:jc w:val="center"/>
              <w:rPr>
                <w:b/>
                <w:bCs/>
                <w:sz w:val="24"/>
                <w:szCs w:val="24"/>
              </w:rPr>
            </w:pPr>
            <w:r w:rsidRPr="00D11AD1">
              <w:rPr>
                <w:sz w:val="24"/>
                <w:szCs w:val="24"/>
              </w:rPr>
              <w:t>77,3 %</w:t>
            </w:r>
          </w:p>
        </w:tc>
        <w:tc>
          <w:tcPr>
            <w:tcW w:w="1540" w:type="dxa"/>
            <w:tcBorders>
              <w:top w:val="single" w:sz="4" w:space="0" w:color="auto"/>
              <w:left w:val="single" w:sz="4" w:space="0" w:color="auto"/>
              <w:bottom w:val="single" w:sz="4" w:space="0" w:color="auto"/>
              <w:right w:val="single" w:sz="4" w:space="0" w:color="auto"/>
            </w:tcBorders>
            <w:hideMark/>
          </w:tcPr>
          <w:p w14:paraId="2B37B013"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46D9F605"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1D882081" w14:textId="77777777" w:rsidR="006D21E5" w:rsidRPr="00D11AD1" w:rsidRDefault="006D21E5" w:rsidP="00D11AD1">
            <w:pPr>
              <w:ind w:right="-1"/>
              <w:jc w:val="center"/>
              <w:rPr>
                <w:b/>
                <w:bCs/>
                <w:sz w:val="24"/>
                <w:szCs w:val="24"/>
              </w:rPr>
            </w:pPr>
            <w:r w:rsidRPr="00D11AD1">
              <w:rPr>
                <w:sz w:val="24"/>
                <w:szCs w:val="24"/>
              </w:rPr>
              <w:t>CCyR</w:t>
            </w:r>
            <w:r w:rsidRPr="00D11AD1">
              <w:rPr>
                <w:sz w:val="24"/>
                <w:szCs w:val="24"/>
                <w:vertAlign w:val="superscript"/>
              </w:rPr>
              <w:t>b</w:t>
            </w:r>
          </w:p>
        </w:tc>
        <w:tc>
          <w:tcPr>
            <w:tcW w:w="2126" w:type="dxa"/>
            <w:tcBorders>
              <w:top w:val="single" w:sz="4" w:space="0" w:color="auto"/>
              <w:left w:val="single" w:sz="4" w:space="0" w:color="auto"/>
              <w:bottom w:val="single" w:sz="4" w:space="0" w:color="auto"/>
              <w:right w:val="single" w:sz="4" w:space="0" w:color="auto"/>
            </w:tcBorders>
            <w:hideMark/>
          </w:tcPr>
          <w:p w14:paraId="0A53AB91" w14:textId="77777777" w:rsidR="006D21E5" w:rsidRPr="00D11AD1" w:rsidRDefault="006D21E5" w:rsidP="00D11AD1">
            <w:pPr>
              <w:ind w:right="-1"/>
              <w:jc w:val="center"/>
              <w:rPr>
                <w:b/>
                <w:bCs/>
                <w:sz w:val="24"/>
                <w:szCs w:val="24"/>
              </w:rPr>
            </w:pPr>
            <w:r w:rsidRPr="00D11AD1">
              <w:rPr>
                <w:sz w:val="24"/>
                <w:szCs w:val="24"/>
              </w:rPr>
              <w:t>88,0 %</w:t>
            </w:r>
          </w:p>
        </w:tc>
        <w:tc>
          <w:tcPr>
            <w:tcW w:w="2268" w:type="dxa"/>
            <w:tcBorders>
              <w:top w:val="single" w:sz="4" w:space="0" w:color="auto"/>
              <w:left w:val="single" w:sz="4" w:space="0" w:color="auto"/>
              <w:bottom w:val="single" w:sz="4" w:space="0" w:color="auto"/>
              <w:right w:val="single" w:sz="4" w:space="0" w:color="auto"/>
            </w:tcBorders>
            <w:hideMark/>
          </w:tcPr>
          <w:p w14:paraId="46E97DB7" w14:textId="77777777" w:rsidR="006D21E5" w:rsidRPr="00D11AD1" w:rsidRDefault="006D21E5" w:rsidP="00D11AD1">
            <w:pPr>
              <w:ind w:right="-1"/>
              <w:jc w:val="center"/>
              <w:rPr>
                <w:b/>
                <w:bCs/>
                <w:sz w:val="24"/>
                <w:szCs w:val="24"/>
              </w:rPr>
            </w:pPr>
            <w:r w:rsidRPr="00D11AD1">
              <w:rPr>
                <w:sz w:val="24"/>
                <w:szCs w:val="24"/>
              </w:rPr>
              <w:t>83,5 %</w:t>
            </w:r>
          </w:p>
        </w:tc>
        <w:tc>
          <w:tcPr>
            <w:tcW w:w="1540" w:type="dxa"/>
            <w:tcBorders>
              <w:top w:val="single" w:sz="4" w:space="0" w:color="auto"/>
              <w:left w:val="single" w:sz="4" w:space="0" w:color="auto"/>
              <w:bottom w:val="single" w:sz="4" w:space="0" w:color="auto"/>
              <w:right w:val="single" w:sz="4" w:space="0" w:color="auto"/>
            </w:tcBorders>
            <w:hideMark/>
          </w:tcPr>
          <w:p w14:paraId="0688BD7C"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298AA473"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32BFEB98" w14:textId="77777777" w:rsidR="006D21E5" w:rsidRPr="00D11AD1" w:rsidRDefault="006D21E5" w:rsidP="00D11AD1">
            <w:pPr>
              <w:ind w:right="-1"/>
              <w:rPr>
                <w:b/>
                <w:bCs/>
                <w:sz w:val="24"/>
                <w:szCs w:val="24"/>
              </w:rPr>
            </w:pPr>
            <w:r w:rsidRPr="00D11AD1">
              <w:rPr>
                <w:b/>
                <w:bCs/>
                <w:sz w:val="24"/>
                <w:szCs w:val="24"/>
              </w:rPr>
              <w:t>inden for 48 måneder</w:t>
            </w:r>
          </w:p>
        </w:tc>
        <w:tc>
          <w:tcPr>
            <w:tcW w:w="2126" w:type="dxa"/>
            <w:tcBorders>
              <w:top w:val="single" w:sz="4" w:space="0" w:color="auto"/>
              <w:left w:val="single" w:sz="4" w:space="0" w:color="auto"/>
              <w:bottom w:val="single" w:sz="4" w:space="0" w:color="auto"/>
              <w:right w:val="single" w:sz="4" w:space="0" w:color="auto"/>
            </w:tcBorders>
          </w:tcPr>
          <w:p w14:paraId="07BDEE87"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1C746F63"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39E1E13D" w14:textId="77777777" w:rsidR="006D21E5" w:rsidRPr="00D11AD1" w:rsidRDefault="006D21E5" w:rsidP="00D11AD1">
            <w:pPr>
              <w:ind w:right="-1"/>
              <w:jc w:val="center"/>
              <w:rPr>
                <w:b/>
                <w:bCs/>
                <w:sz w:val="24"/>
                <w:szCs w:val="24"/>
              </w:rPr>
            </w:pPr>
          </w:p>
        </w:tc>
      </w:tr>
      <w:tr w:rsidR="006D21E5" w:rsidRPr="00D11AD1" w14:paraId="2DE2692B"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6D38799" w14:textId="77777777" w:rsidR="006D21E5" w:rsidRPr="00D11AD1" w:rsidRDefault="006D21E5" w:rsidP="00D11AD1">
            <w:pPr>
              <w:ind w:right="-1"/>
              <w:jc w:val="center"/>
              <w:rPr>
                <w:b/>
                <w:bCs/>
                <w:sz w:val="24"/>
                <w:szCs w:val="24"/>
              </w:rPr>
            </w:pPr>
            <w:r w:rsidRPr="00D11AD1">
              <w:rPr>
                <w:sz w:val="24"/>
                <w:szCs w:val="24"/>
              </w:rPr>
              <w:t>cCCyR</w:t>
            </w:r>
            <w:r w:rsidRPr="00D11AD1">
              <w:rPr>
                <w:sz w:val="24"/>
                <w:szCs w:val="24"/>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3C05DEC9" w14:textId="77777777" w:rsidR="006D21E5" w:rsidRPr="00D11AD1" w:rsidRDefault="006D21E5" w:rsidP="00D11AD1">
            <w:pPr>
              <w:ind w:right="-1"/>
              <w:jc w:val="center"/>
              <w:rPr>
                <w:b/>
                <w:bCs/>
                <w:sz w:val="24"/>
                <w:szCs w:val="24"/>
              </w:rPr>
            </w:pPr>
            <w:r w:rsidRPr="00D11AD1">
              <w:rPr>
                <w:sz w:val="24"/>
                <w:szCs w:val="24"/>
              </w:rPr>
              <w:t>82,6 %</w:t>
            </w:r>
          </w:p>
        </w:tc>
        <w:tc>
          <w:tcPr>
            <w:tcW w:w="2268" w:type="dxa"/>
            <w:tcBorders>
              <w:top w:val="single" w:sz="4" w:space="0" w:color="auto"/>
              <w:left w:val="single" w:sz="4" w:space="0" w:color="auto"/>
              <w:bottom w:val="single" w:sz="4" w:space="0" w:color="auto"/>
              <w:right w:val="single" w:sz="4" w:space="0" w:color="auto"/>
            </w:tcBorders>
            <w:hideMark/>
          </w:tcPr>
          <w:p w14:paraId="48409591" w14:textId="77777777" w:rsidR="006D21E5" w:rsidRPr="00D11AD1" w:rsidRDefault="006D21E5" w:rsidP="00D11AD1">
            <w:pPr>
              <w:ind w:right="-1"/>
              <w:jc w:val="center"/>
              <w:rPr>
                <w:b/>
                <w:bCs/>
                <w:sz w:val="24"/>
                <w:szCs w:val="24"/>
              </w:rPr>
            </w:pPr>
            <w:r w:rsidRPr="00D11AD1">
              <w:rPr>
                <w:sz w:val="24"/>
                <w:szCs w:val="24"/>
              </w:rPr>
              <w:t>78,5 %</w:t>
            </w:r>
          </w:p>
        </w:tc>
        <w:tc>
          <w:tcPr>
            <w:tcW w:w="1540" w:type="dxa"/>
            <w:tcBorders>
              <w:top w:val="single" w:sz="4" w:space="0" w:color="auto"/>
              <w:left w:val="single" w:sz="4" w:space="0" w:color="auto"/>
              <w:bottom w:val="single" w:sz="4" w:space="0" w:color="auto"/>
              <w:right w:val="single" w:sz="4" w:space="0" w:color="auto"/>
            </w:tcBorders>
            <w:hideMark/>
          </w:tcPr>
          <w:p w14:paraId="70B6BFA1"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0D4C2E5C"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1E95CD4" w14:textId="77777777" w:rsidR="006D21E5" w:rsidRPr="00D11AD1" w:rsidRDefault="006D21E5" w:rsidP="00D11AD1">
            <w:pPr>
              <w:ind w:right="-1"/>
              <w:jc w:val="center"/>
              <w:rPr>
                <w:b/>
                <w:bCs/>
                <w:sz w:val="24"/>
                <w:szCs w:val="24"/>
              </w:rPr>
            </w:pPr>
            <w:r w:rsidRPr="00D11AD1">
              <w:rPr>
                <w:sz w:val="24"/>
                <w:szCs w:val="24"/>
              </w:rPr>
              <w:t>CCyR</w:t>
            </w:r>
            <w:r w:rsidRPr="00D11AD1">
              <w:rPr>
                <w:sz w:val="24"/>
                <w:szCs w:val="24"/>
                <w:vertAlign w:val="superscript"/>
              </w:rPr>
              <w:t>b</w:t>
            </w:r>
          </w:p>
        </w:tc>
        <w:tc>
          <w:tcPr>
            <w:tcW w:w="2126" w:type="dxa"/>
            <w:tcBorders>
              <w:top w:val="single" w:sz="4" w:space="0" w:color="auto"/>
              <w:left w:val="single" w:sz="4" w:space="0" w:color="auto"/>
              <w:bottom w:val="single" w:sz="4" w:space="0" w:color="auto"/>
              <w:right w:val="single" w:sz="4" w:space="0" w:color="auto"/>
            </w:tcBorders>
            <w:hideMark/>
          </w:tcPr>
          <w:p w14:paraId="509B126C" w14:textId="77777777" w:rsidR="006D21E5" w:rsidRPr="00D11AD1" w:rsidRDefault="006D21E5" w:rsidP="00D11AD1">
            <w:pPr>
              <w:ind w:right="-1"/>
              <w:jc w:val="center"/>
              <w:rPr>
                <w:b/>
                <w:bCs/>
                <w:sz w:val="24"/>
                <w:szCs w:val="24"/>
              </w:rPr>
            </w:pPr>
            <w:r w:rsidRPr="00D11AD1">
              <w:rPr>
                <w:sz w:val="24"/>
                <w:szCs w:val="24"/>
              </w:rPr>
              <w:t>87,6 %</w:t>
            </w:r>
          </w:p>
        </w:tc>
        <w:tc>
          <w:tcPr>
            <w:tcW w:w="2268" w:type="dxa"/>
            <w:tcBorders>
              <w:top w:val="single" w:sz="4" w:space="0" w:color="auto"/>
              <w:left w:val="single" w:sz="4" w:space="0" w:color="auto"/>
              <w:bottom w:val="single" w:sz="4" w:space="0" w:color="auto"/>
              <w:right w:val="single" w:sz="4" w:space="0" w:color="auto"/>
            </w:tcBorders>
            <w:hideMark/>
          </w:tcPr>
          <w:p w14:paraId="681E982B" w14:textId="77777777" w:rsidR="006D21E5" w:rsidRPr="00D11AD1" w:rsidRDefault="006D21E5" w:rsidP="00D11AD1">
            <w:pPr>
              <w:ind w:right="-1"/>
              <w:jc w:val="center"/>
              <w:rPr>
                <w:b/>
                <w:bCs/>
                <w:sz w:val="24"/>
                <w:szCs w:val="24"/>
              </w:rPr>
            </w:pPr>
            <w:r w:rsidRPr="00D11AD1">
              <w:rPr>
                <w:sz w:val="24"/>
                <w:szCs w:val="24"/>
              </w:rPr>
              <w:t>83,8 %</w:t>
            </w:r>
          </w:p>
        </w:tc>
        <w:tc>
          <w:tcPr>
            <w:tcW w:w="1540" w:type="dxa"/>
            <w:tcBorders>
              <w:top w:val="single" w:sz="4" w:space="0" w:color="auto"/>
              <w:left w:val="single" w:sz="4" w:space="0" w:color="auto"/>
              <w:bottom w:val="single" w:sz="4" w:space="0" w:color="auto"/>
              <w:right w:val="single" w:sz="4" w:space="0" w:color="auto"/>
            </w:tcBorders>
            <w:hideMark/>
          </w:tcPr>
          <w:p w14:paraId="78C088C7"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5F1FE11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3E9B40D6" w14:textId="77777777" w:rsidR="006D21E5" w:rsidRPr="00D11AD1" w:rsidRDefault="006D21E5" w:rsidP="00D11AD1">
            <w:pPr>
              <w:ind w:right="-1"/>
              <w:rPr>
                <w:b/>
                <w:bCs/>
                <w:sz w:val="24"/>
                <w:szCs w:val="24"/>
              </w:rPr>
            </w:pPr>
            <w:r w:rsidRPr="00D11AD1">
              <w:rPr>
                <w:b/>
                <w:bCs/>
                <w:sz w:val="24"/>
                <w:szCs w:val="24"/>
              </w:rPr>
              <w:t>inden for 60 måneder</w:t>
            </w:r>
          </w:p>
        </w:tc>
        <w:tc>
          <w:tcPr>
            <w:tcW w:w="2126" w:type="dxa"/>
            <w:tcBorders>
              <w:top w:val="single" w:sz="4" w:space="0" w:color="auto"/>
              <w:left w:val="single" w:sz="4" w:space="0" w:color="auto"/>
              <w:bottom w:val="single" w:sz="4" w:space="0" w:color="auto"/>
              <w:right w:val="single" w:sz="4" w:space="0" w:color="auto"/>
            </w:tcBorders>
          </w:tcPr>
          <w:p w14:paraId="65131B2C"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29064120"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FFD2FCE" w14:textId="77777777" w:rsidR="006D21E5" w:rsidRPr="00D11AD1" w:rsidRDefault="006D21E5" w:rsidP="00D11AD1">
            <w:pPr>
              <w:ind w:right="-1"/>
              <w:jc w:val="center"/>
              <w:rPr>
                <w:b/>
                <w:bCs/>
                <w:sz w:val="24"/>
                <w:szCs w:val="24"/>
              </w:rPr>
            </w:pPr>
          </w:p>
        </w:tc>
      </w:tr>
      <w:tr w:rsidR="006D21E5" w:rsidRPr="00D11AD1" w14:paraId="0CD426C7"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50B989B" w14:textId="77777777" w:rsidR="006D21E5" w:rsidRPr="00D11AD1" w:rsidRDefault="006D21E5" w:rsidP="00D11AD1">
            <w:pPr>
              <w:ind w:right="-1"/>
              <w:jc w:val="center"/>
              <w:rPr>
                <w:b/>
                <w:bCs/>
                <w:sz w:val="24"/>
                <w:szCs w:val="24"/>
              </w:rPr>
            </w:pPr>
            <w:r w:rsidRPr="00D11AD1">
              <w:rPr>
                <w:sz w:val="24"/>
                <w:szCs w:val="24"/>
              </w:rPr>
              <w:t>cCCyR</w:t>
            </w:r>
            <w:r w:rsidRPr="00D11AD1">
              <w:rPr>
                <w:sz w:val="24"/>
                <w:szCs w:val="24"/>
                <w:vertAlign w:val="superscript"/>
              </w:rPr>
              <w:t>a</w:t>
            </w:r>
          </w:p>
        </w:tc>
        <w:tc>
          <w:tcPr>
            <w:tcW w:w="2126" w:type="dxa"/>
            <w:tcBorders>
              <w:top w:val="single" w:sz="4" w:space="0" w:color="auto"/>
              <w:left w:val="single" w:sz="4" w:space="0" w:color="auto"/>
              <w:bottom w:val="single" w:sz="4" w:space="0" w:color="auto"/>
              <w:right w:val="single" w:sz="4" w:space="0" w:color="auto"/>
            </w:tcBorders>
            <w:hideMark/>
          </w:tcPr>
          <w:p w14:paraId="08EA5D4F" w14:textId="77777777" w:rsidR="006D21E5" w:rsidRPr="00D11AD1" w:rsidRDefault="006D21E5" w:rsidP="00D11AD1">
            <w:pPr>
              <w:ind w:right="-1"/>
              <w:jc w:val="center"/>
              <w:rPr>
                <w:b/>
                <w:bCs/>
                <w:sz w:val="24"/>
                <w:szCs w:val="24"/>
              </w:rPr>
            </w:pPr>
            <w:r w:rsidRPr="00D11AD1">
              <w:rPr>
                <w:sz w:val="24"/>
                <w:szCs w:val="24"/>
              </w:rPr>
              <w:t>83,0 %</w:t>
            </w:r>
          </w:p>
        </w:tc>
        <w:tc>
          <w:tcPr>
            <w:tcW w:w="2268" w:type="dxa"/>
            <w:tcBorders>
              <w:top w:val="single" w:sz="4" w:space="0" w:color="auto"/>
              <w:left w:val="single" w:sz="4" w:space="0" w:color="auto"/>
              <w:bottom w:val="single" w:sz="4" w:space="0" w:color="auto"/>
              <w:right w:val="single" w:sz="4" w:space="0" w:color="auto"/>
            </w:tcBorders>
            <w:hideMark/>
          </w:tcPr>
          <w:p w14:paraId="220A61DD" w14:textId="77777777" w:rsidR="006D21E5" w:rsidRPr="00D11AD1" w:rsidRDefault="006D21E5" w:rsidP="00D11AD1">
            <w:pPr>
              <w:ind w:right="-1"/>
              <w:jc w:val="center"/>
              <w:rPr>
                <w:b/>
                <w:bCs/>
                <w:sz w:val="24"/>
                <w:szCs w:val="24"/>
              </w:rPr>
            </w:pPr>
            <w:r w:rsidRPr="00D11AD1">
              <w:rPr>
                <w:sz w:val="24"/>
                <w:szCs w:val="24"/>
              </w:rPr>
              <w:t>78,5 %</w:t>
            </w:r>
          </w:p>
        </w:tc>
        <w:tc>
          <w:tcPr>
            <w:tcW w:w="1540" w:type="dxa"/>
            <w:tcBorders>
              <w:top w:val="single" w:sz="4" w:space="0" w:color="auto"/>
              <w:left w:val="single" w:sz="4" w:space="0" w:color="auto"/>
              <w:bottom w:val="single" w:sz="4" w:space="0" w:color="auto"/>
              <w:right w:val="single" w:sz="4" w:space="0" w:color="auto"/>
            </w:tcBorders>
            <w:hideMark/>
          </w:tcPr>
          <w:p w14:paraId="03591DAD"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17F44807"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1E06B39" w14:textId="77777777" w:rsidR="006D21E5" w:rsidRPr="00D11AD1" w:rsidRDefault="006D21E5" w:rsidP="00D11AD1">
            <w:pPr>
              <w:ind w:right="-1"/>
              <w:jc w:val="center"/>
              <w:rPr>
                <w:b/>
                <w:bCs/>
                <w:sz w:val="24"/>
                <w:szCs w:val="24"/>
              </w:rPr>
            </w:pPr>
            <w:r w:rsidRPr="00D11AD1">
              <w:rPr>
                <w:sz w:val="24"/>
                <w:szCs w:val="24"/>
              </w:rPr>
              <w:t>CCyR</w:t>
            </w:r>
            <w:r w:rsidRPr="00D11AD1">
              <w:rPr>
                <w:sz w:val="24"/>
                <w:szCs w:val="24"/>
                <w:vertAlign w:val="superscript"/>
              </w:rPr>
              <w:t>b</w:t>
            </w:r>
          </w:p>
        </w:tc>
        <w:tc>
          <w:tcPr>
            <w:tcW w:w="2126" w:type="dxa"/>
            <w:tcBorders>
              <w:top w:val="single" w:sz="4" w:space="0" w:color="auto"/>
              <w:left w:val="single" w:sz="4" w:space="0" w:color="auto"/>
              <w:bottom w:val="single" w:sz="4" w:space="0" w:color="auto"/>
              <w:right w:val="single" w:sz="4" w:space="0" w:color="auto"/>
            </w:tcBorders>
            <w:hideMark/>
          </w:tcPr>
          <w:p w14:paraId="597E35C2" w14:textId="77777777" w:rsidR="006D21E5" w:rsidRPr="00D11AD1" w:rsidRDefault="006D21E5" w:rsidP="00D11AD1">
            <w:pPr>
              <w:ind w:right="-1"/>
              <w:jc w:val="center"/>
              <w:rPr>
                <w:b/>
                <w:bCs/>
                <w:sz w:val="24"/>
                <w:szCs w:val="24"/>
              </w:rPr>
            </w:pPr>
            <w:r w:rsidRPr="00D11AD1">
              <w:rPr>
                <w:sz w:val="24"/>
                <w:szCs w:val="24"/>
              </w:rPr>
              <w:t>88,0 %</w:t>
            </w:r>
          </w:p>
        </w:tc>
        <w:tc>
          <w:tcPr>
            <w:tcW w:w="2268" w:type="dxa"/>
            <w:tcBorders>
              <w:top w:val="single" w:sz="4" w:space="0" w:color="auto"/>
              <w:left w:val="single" w:sz="4" w:space="0" w:color="auto"/>
              <w:bottom w:val="single" w:sz="4" w:space="0" w:color="auto"/>
              <w:right w:val="single" w:sz="4" w:space="0" w:color="auto"/>
            </w:tcBorders>
            <w:hideMark/>
          </w:tcPr>
          <w:p w14:paraId="59E13B53" w14:textId="77777777" w:rsidR="006D21E5" w:rsidRPr="00D11AD1" w:rsidRDefault="006D21E5" w:rsidP="00D11AD1">
            <w:pPr>
              <w:ind w:right="-1"/>
              <w:jc w:val="center"/>
              <w:rPr>
                <w:b/>
                <w:bCs/>
                <w:sz w:val="24"/>
                <w:szCs w:val="24"/>
              </w:rPr>
            </w:pPr>
            <w:r w:rsidRPr="00D11AD1">
              <w:rPr>
                <w:sz w:val="24"/>
                <w:szCs w:val="24"/>
              </w:rPr>
              <w:t>83,8 %</w:t>
            </w:r>
          </w:p>
        </w:tc>
        <w:tc>
          <w:tcPr>
            <w:tcW w:w="1540" w:type="dxa"/>
            <w:tcBorders>
              <w:top w:val="single" w:sz="4" w:space="0" w:color="auto"/>
              <w:left w:val="single" w:sz="4" w:space="0" w:color="auto"/>
              <w:bottom w:val="single" w:sz="4" w:space="0" w:color="auto"/>
              <w:right w:val="single" w:sz="4" w:space="0" w:color="auto"/>
            </w:tcBorders>
            <w:hideMark/>
          </w:tcPr>
          <w:p w14:paraId="30ADD5EA" w14:textId="77777777" w:rsidR="006D21E5" w:rsidRPr="00D11AD1" w:rsidRDefault="006D21E5" w:rsidP="00D11AD1">
            <w:pPr>
              <w:ind w:right="-1"/>
              <w:jc w:val="center"/>
              <w:rPr>
                <w:sz w:val="24"/>
                <w:szCs w:val="24"/>
              </w:rPr>
            </w:pPr>
            <w:r w:rsidRPr="00D11AD1">
              <w:rPr>
                <w:rFonts w:ascii="Cambria Math" w:eastAsia="Segoe UI Symbol" w:hAnsi="Cambria Math" w:cs="Cambria Math"/>
                <w:sz w:val="24"/>
                <w:szCs w:val="24"/>
              </w:rPr>
              <w:t>⎯</w:t>
            </w:r>
          </w:p>
        </w:tc>
      </w:tr>
      <w:tr w:rsidR="006D21E5" w:rsidRPr="00D11AD1" w14:paraId="2C5834AC"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117BFC1A" w14:textId="77777777" w:rsidR="006D21E5" w:rsidRPr="00D11AD1" w:rsidRDefault="006D21E5" w:rsidP="00D11AD1">
            <w:pPr>
              <w:ind w:left="-34" w:right="-1"/>
              <w:rPr>
                <w:b/>
                <w:bCs/>
                <w:sz w:val="24"/>
                <w:szCs w:val="24"/>
              </w:rPr>
            </w:pPr>
            <w:r w:rsidRPr="00D11AD1">
              <w:rPr>
                <w:b/>
                <w:bCs/>
                <w:sz w:val="24"/>
                <w:szCs w:val="24"/>
              </w:rPr>
              <w:t>Major molekulært respons</w:t>
            </w:r>
            <w:r w:rsidRPr="00D11AD1">
              <w:rPr>
                <w:b/>
                <w:bCs/>
                <w:sz w:val="24"/>
                <w:szCs w:val="24"/>
                <w:vertAlign w:val="superscript"/>
              </w:rPr>
              <w:t>c</w:t>
            </w:r>
          </w:p>
        </w:tc>
        <w:tc>
          <w:tcPr>
            <w:tcW w:w="2126" w:type="dxa"/>
            <w:tcBorders>
              <w:top w:val="single" w:sz="4" w:space="0" w:color="auto"/>
              <w:left w:val="single" w:sz="4" w:space="0" w:color="auto"/>
              <w:bottom w:val="single" w:sz="4" w:space="0" w:color="auto"/>
              <w:right w:val="single" w:sz="4" w:space="0" w:color="auto"/>
            </w:tcBorders>
          </w:tcPr>
          <w:p w14:paraId="5C8336D4" w14:textId="77777777" w:rsidR="006D21E5" w:rsidRPr="00D11AD1" w:rsidRDefault="006D21E5" w:rsidP="00D11AD1">
            <w:pPr>
              <w:ind w:right="-1"/>
              <w:jc w:val="center"/>
              <w:rPr>
                <w:b/>
                <w:bCs/>
                <w:sz w:val="24"/>
                <w:szCs w:val="24"/>
              </w:rPr>
            </w:pPr>
          </w:p>
        </w:tc>
        <w:tc>
          <w:tcPr>
            <w:tcW w:w="2268" w:type="dxa"/>
            <w:tcBorders>
              <w:top w:val="single" w:sz="4" w:space="0" w:color="auto"/>
              <w:left w:val="single" w:sz="4" w:space="0" w:color="auto"/>
              <w:bottom w:val="single" w:sz="4" w:space="0" w:color="auto"/>
              <w:right w:val="single" w:sz="4" w:space="0" w:color="auto"/>
            </w:tcBorders>
          </w:tcPr>
          <w:p w14:paraId="30DB4480" w14:textId="77777777" w:rsidR="006D21E5" w:rsidRPr="00D11AD1" w:rsidRDefault="006D21E5" w:rsidP="00D11AD1">
            <w:pPr>
              <w:ind w:right="-1"/>
              <w:jc w:val="center"/>
              <w:rPr>
                <w:b/>
                <w:bCs/>
                <w:sz w:val="24"/>
                <w:szCs w:val="24"/>
              </w:rPr>
            </w:pPr>
          </w:p>
        </w:tc>
        <w:tc>
          <w:tcPr>
            <w:tcW w:w="1540" w:type="dxa"/>
            <w:tcBorders>
              <w:top w:val="single" w:sz="4" w:space="0" w:color="auto"/>
              <w:left w:val="single" w:sz="4" w:space="0" w:color="auto"/>
              <w:bottom w:val="single" w:sz="4" w:space="0" w:color="auto"/>
              <w:right w:val="single" w:sz="4" w:space="0" w:color="auto"/>
            </w:tcBorders>
          </w:tcPr>
          <w:p w14:paraId="66DFA20A" w14:textId="77777777" w:rsidR="006D21E5" w:rsidRPr="00D11AD1" w:rsidRDefault="006D21E5" w:rsidP="00D11AD1">
            <w:pPr>
              <w:ind w:right="-1"/>
              <w:jc w:val="center"/>
              <w:rPr>
                <w:b/>
                <w:bCs/>
                <w:sz w:val="24"/>
                <w:szCs w:val="24"/>
              </w:rPr>
            </w:pPr>
          </w:p>
        </w:tc>
      </w:tr>
      <w:tr w:rsidR="006D21E5" w:rsidRPr="00D11AD1" w14:paraId="6C72A686"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EE9788F" w14:textId="77777777" w:rsidR="006D21E5" w:rsidRPr="00D11AD1" w:rsidRDefault="006D21E5" w:rsidP="00D11AD1">
            <w:pPr>
              <w:ind w:left="204" w:right="-1"/>
              <w:rPr>
                <w:b/>
                <w:bCs/>
                <w:sz w:val="24"/>
                <w:szCs w:val="24"/>
              </w:rPr>
            </w:pPr>
            <w:r w:rsidRPr="00D11AD1">
              <w:rPr>
                <w:b/>
                <w:bCs/>
                <w:sz w:val="24"/>
                <w:szCs w:val="24"/>
              </w:rPr>
              <w:t>12 måneder</w:t>
            </w:r>
          </w:p>
        </w:tc>
        <w:tc>
          <w:tcPr>
            <w:tcW w:w="2126" w:type="dxa"/>
            <w:tcBorders>
              <w:top w:val="single" w:sz="4" w:space="0" w:color="auto"/>
              <w:left w:val="single" w:sz="4" w:space="0" w:color="auto"/>
              <w:bottom w:val="single" w:sz="4" w:space="0" w:color="auto"/>
              <w:right w:val="single" w:sz="4" w:space="0" w:color="auto"/>
            </w:tcBorders>
            <w:hideMark/>
          </w:tcPr>
          <w:p w14:paraId="6DC2EA20" w14:textId="77777777" w:rsidR="006D21E5" w:rsidRPr="00D11AD1" w:rsidRDefault="006D21E5" w:rsidP="00D11AD1">
            <w:pPr>
              <w:ind w:left="-115" w:right="-1"/>
              <w:jc w:val="center"/>
              <w:rPr>
                <w:sz w:val="24"/>
                <w:szCs w:val="24"/>
              </w:rPr>
            </w:pPr>
            <w:r w:rsidRPr="00D11AD1">
              <w:rPr>
                <w:sz w:val="24"/>
                <w:szCs w:val="24"/>
              </w:rPr>
              <w:t>52,1 % (45,9 – 58,3)</w:t>
            </w:r>
          </w:p>
        </w:tc>
        <w:tc>
          <w:tcPr>
            <w:tcW w:w="2268" w:type="dxa"/>
            <w:tcBorders>
              <w:top w:val="single" w:sz="4" w:space="0" w:color="auto"/>
              <w:left w:val="single" w:sz="4" w:space="0" w:color="auto"/>
              <w:bottom w:val="single" w:sz="4" w:space="0" w:color="auto"/>
              <w:right w:val="single" w:sz="4" w:space="0" w:color="auto"/>
            </w:tcBorders>
            <w:hideMark/>
          </w:tcPr>
          <w:p w14:paraId="699CC835" w14:textId="77777777" w:rsidR="006D21E5" w:rsidRPr="00D11AD1" w:rsidRDefault="006D21E5" w:rsidP="00D11AD1">
            <w:pPr>
              <w:ind w:left="-115" w:right="-1"/>
              <w:jc w:val="center"/>
              <w:rPr>
                <w:sz w:val="24"/>
                <w:szCs w:val="24"/>
              </w:rPr>
            </w:pPr>
            <w:r w:rsidRPr="00D11AD1">
              <w:rPr>
                <w:sz w:val="24"/>
                <w:szCs w:val="24"/>
              </w:rPr>
              <w:t>33,8 % (28,1 – 39,9)</w:t>
            </w:r>
          </w:p>
        </w:tc>
        <w:tc>
          <w:tcPr>
            <w:tcW w:w="1540" w:type="dxa"/>
            <w:tcBorders>
              <w:top w:val="single" w:sz="4" w:space="0" w:color="auto"/>
              <w:left w:val="single" w:sz="4" w:space="0" w:color="auto"/>
              <w:bottom w:val="single" w:sz="4" w:space="0" w:color="auto"/>
              <w:right w:val="single" w:sz="4" w:space="0" w:color="auto"/>
            </w:tcBorders>
            <w:hideMark/>
          </w:tcPr>
          <w:p w14:paraId="3EB97963" w14:textId="77777777" w:rsidR="006D21E5" w:rsidRPr="00D11AD1" w:rsidRDefault="006D21E5" w:rsidP="00D11AD1">
            <w:pPr>
              <w:ind w:right="-1"/>
              <w:jc w:val="center"/>
              <w:rPr>
                <w:b/>
                <w:bCs/>
                <w:sz w:val="24"/>
                <w:szCs w:val="24"/>
              </w:rPr>
            </w:pPr>
            <w:r w:rsidRPr="00D11AD1">
              <w:rPr>
                <w:sz w:val="24"/>
                <w:szCs w:val="24"/>
              </w:rPr>
              <w:t>p &lt; 0,00003</w:t>
            </w:r>
            <w:r w:rsidRPr="00D11AD1">
              <w:rPr>
                <w:sz w:val="24"/>
                <w:szCs w:val="24"/>
                <w:vertAlign w:val="superscript"/>
              </w:rPr>
              <w:t>*</w:t>
            </w:r>
          </w:p>
        </w:tc>
      </w:tr>
      <w:tr w:rsidR="006D21E5" w:rsidRPr="00D11AD1" w14:paraId="4B0622C4"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056B618A" w14:textId="77777777" w:rsidR="006D21E5" w:rsidRPr="00D11AD1" w:rsidRDefault="006D21E5" w:rsidP="00D11AD1">
            <w:pPr>
              <w:ind w:left="204" w:right="-1"/>
              <w:rPr>
                <w:b/>
                <w:bCs/>
                <w:sz w:val="24"/>
                <w:szCs w:val="24"/>
              </w:rPr>
            </w:pPr>
            <w:r w:rsidRPr="00D11AD1">
              <w:rPr>
                <w:b/>
                <w:bCs/>
                <w:sz w:val="24"/>
                <w:szCs w:val="24"/>
              </w:rPr>
              <w:t>24 måneder</w:t>
            </w:r>
          </w:p>
        </w:tc>
        <w:tc>
          <w:tcPr>
            <w:tcW w:w="2126" w:type="dxa"/>
            <w:tcBorders>
              <w:top w:val="single" w:sz="4" w:space="0" w:color="auto"/>
              <w:left w:val="single" w:sz="4" w:space="0" w:color="auto"/>
              <w:bottom w:val="single" w:sz="4" w:space="0" w:color="auto"/>
              <w:right w:val="single" w:sz="4" w:space="0" w:color="auto"/>
            </w:tcBorders>
            <w:hideMark/>
          </w:tcPr>
          <w:p w14:paraId="03898C2E" w14:textId="77777777" w:rsidR="006D21E5" w:rsidRPr="00D11AD1" w:rsidRDefault="006D21E5" w:rsidP="00D11AD1">
            <w:pPr>
              <w:ind w:left="-115" w:right="-1"/>
              <w:jc w:val="center"/>
              <w:rPr>
                <w:sz w:val="24"/>
                <w:szCs w:val="24"/>
              </w:rPr>
            </w:pPr>
            <w:r w:rsidRPr="00D11AD1">
              <w:rPr>
                <w:sz w:val="24"/>
                <w:szCs w:val="24"/>
              </w:rPr>
              <w:t>64,5 % (58,3 – 70,3)</w:t>
            </w:r>
          </w:p>
        </w:tc>
        <w:tc>
          <w:tcPr>
            <w:tcW w:w="2268" w:type="dxa"/>
            <w:tcBorders>
              <w:top w:val="single" w:sz="4" w:space="0" w:color="auto"/>
              <w:left w:val="single" w:sz="4" w:space="0" w:color="auto"/>
              <w:bottom w:val="single" w:sz="4" w:space="0" w:color="auto"/>
              <w:right w:val="single" w:sz="4" w:space="0" w:color="auto"/>
            </w:tcBorders>
            <w:hideMark/>
          </w:tcPr>
          <w:p w14:paraId="4ED37828" w14:textId="77777777" w:rsidR="006D21E5" w:rsidRPr="00D11AD1" w:rsidRDefault="006D21E5" w:rsidP="00D11AD1">
            <w:pPr>
              <w:ind w:left="-115" w:right="-1"/>
              <w:jc w:val="center"/>
              <w:rPr>
                <w:sz w:val="24"/>
                <w:szCs w:val="24"/>
              </w:rPr>
            </w:pPr>
            <w:r w:rsidRPr="00D11AD1">
              <w:rPr>
                <w:sz w:val="24"/>
                <w:szCs w:val="24"/>
              </w:rPr>
              <w:t>50 % (43,8 – 56,2)</w:t>
            </w:r>
          </w:p>
        </w:tc>
        <w:tc>
          <w:tcPr>
            <w:tcW w:w="1540" w:type="dxa"/>
            <w:tcBorders>
              <w:top w:val="single" w:sz="4" w:space="0" w:color="auto"/>
              <w:left w:val="single" w:sz="4" w:space="0" w:color="auto"/>
              <w:bottom w:val="single" w:sz="4" w:space="0" w:color="auto"/>
              <w:right w:val="single" w:sz="4" w:space="0" w:color="auto"/>
            </w:tcBorders>
            <w:hideMark/>
          </w:tcPr>
          <w:p w14:paraId="21B58042" w14:textId="77777777" w:rsidR="006D21E5" w:rsidRPr="00D11AD1" w:rsidRDefault="006D21E5" w:rsidP="00D11AD1">
            <w:pPr>
              <w:ind w:right="-1"/>
              <w:jc w:val="center"/>
              <w:rPr>
                <w:rFonts w:eastAsia="Segoe UI Symbol"/>
                <w:sz w:val="24"/>
                <w:szCs w:val="24"/>
              </w:rPr>
            </w:pPr>
            <w:r w:rsidRPr="00D11AD1">
              <w:rPr>
                <w:rFonts w:ascii="Cambria Math" w:eastAsia="Segoe UI Symbol" w:hAnsi="Cambria Math" w:cs="Cambria Math"/>
                <w:sz w:val="24"/>
                <w:szCs w:val="24"/>
              </w:rPr>
              <w:t>⎯</w:t>
            </w:r>
          </w:p>
        </w:tc>
      </w:tr>
      <w:tr w:rsidR="006D21E5" w:rsidRPr="00D11AD1" w14:paraId="64625244"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5709B49" w14:textId="77777777" w:rsidR="006D21E5" w:rsidRPr="00D11AD1" w:rsidRDefault="006D21E5" w:rsidP="00D11AD1">
            <w:pPr>
              <w:ind w:left="204" w:right="-1"/>
              <w:rPr>
                <w:b/>
                <w:bCs/>
                <w:sz w:val="24"/>
                <w:szCs w:val="24"/>
              </w:rPr>
            </w:pPr>
            <w:r w:rsidRPr="00D11AD1">
              <w:rPr>
                <w:b/>
                <w:bCs/>
                <w:sz w:val="24"/>
                <w:szCs w:val="24"/>
              </w:rPr>
              <w:t>36 måneder</w:t>
            </w:r>
          </w:p>
        </w:tc>
        <w:tc>
          <w:tcPr>
            <w:tcW w:w="2126" w:type="dxa"/>
            <w:tcBorders>
              <w:top w:val="single" w:sz="4" w:space="0" w:color="auto"/>
              <w:left w:val="single" w:sz="4" w:space="0" w:color="auto"/>
              <w:bottom w:val="single" w:sz="4" w:space="0" w:color="auto"/>
              <w:right w:val="single" w:sz="4" w:space="0" w:color="auto"/>
            </w:tcBorders>
            <w:hideMark/>
          </w:tcPr>
          <w:p w14:paraId="0C021072" w14:textId="77777777" w:rsidR="006D21E5" w:rsidRPr="00D11AD1" w:rsidRDefault="006D21E5" w:rsidP="00D11AD1">
            <w:pPr>
              <w:ind w:left="-115" w:right="-1"/>
              <w:jc w:val="center"/>
              <w:rPr>
                <w:sz w:val="24"/>
                <w:szCs w:val="24"/>
              </w:rPr>
            </w:pPr>
            <w:r w:rsidRPr="00D11AD1">
              <w:rPr>
                <w:sz w:val="24"/>
                <w:szCs w:val="24"/>
              </w:rPr>
              <w:t>69,1 % (63,1 – 74,7)</w:t>
            </w:r>
          </w:p>
        </w:tc>
        <w:tc>
          <w:tcPr>
            <w:tcW w:w="2268" w:type="dxa"/>
            <w:tcBorders>
              <w:top w:val="single" w:sz="4" w:space="0" w:color="auto"/>
              <w:left w:val="single" w:sz="4" w:space="0" w:color="auto"/>
              <w:bottom w:val="single" w:sz="4" w:space="0" w:color="auto"/>
              <w:right w:val="single" w:sz="4" w:space="0" w:color="auto"/>
            </w:tcBorders>
            <w:hideMark/>
          </w:tcPr>
          <w:p w14:paraId="463D9F7C" w14:textId="77777777" w:rsidR="006D21E5" w:rsidRPr="00D11AD1" w:rsidRDefault="006D21E5" w:rsidP="00D11AD1">
            <w:pPr>
              <w:ind w:left="-115" w:right="-1"/>
              <w:jc w:val="center"/>
              <w:rPr>
                <w:sz w:val="24"/>
                <w:szCs w:val="24"/>
              </w:rPr>
            </w:pPr>
            <w:r w:rsidRPr="00D11AD1">
              <w:rPr>
                <w:sz w:val="24"/>
                <w:szCs w:val="24"/>
              </w:rPr>
              <w:t>56,2 % (49,9 – 62,3)</w:t>
            </w:r>
          </w:p>
        </w:tc>
        <w:tc>
          <w:tcPr>
            <w:tcW w:w="1540" w:type="dxa"/>
            <w:tcBorders>
              <w:top w:val="single" w:sz="4" w:space="0" w:color="auto"/>
              <w:left w:val="single" w:sz="4" w:space="0" w:color="auto"/>
              <w:bottom w:val="single" w:sz="4" w:space="0" w:color="auto"/>
              <w:right w:val="single" w:sz="4" w:space="0" w:color="auto"/>
            </w:tcBorders>
            <w:hideMark/>
          </w:tcPr>
          <w:p w14:paraId="451C291F" w14:textId="77777777" w:rsidR="006D21E5" w:rsidRPr="00D11AD1" w:rsidRDefault="006D21E5" w:rsidP="00D11AD1">
            <w:pPr>
              <w:ind w:right="-1"/>
              <w:jc w:val="center"/>
              <w:rPr>
                <w:rFonts w:eastAsia="Segoe UI Symbol"/>
                <w:sz w:val="24"/>
                <w:szCs w:val="24"/>
              </w:rPr>
            </w:pPr>
            <w:r w:rsidRPr="00D11AD1">
              <w:rPr>
                <w:rFonts w:ascii="Cambria Math" w:eastAsia="Segoe UI Symbol" w:hAnsi="Cambria Math" w:cs="Cambria Math"/>
                <w:sz w:val="24"/>
                <w:szCs w:val="24"/>
              </w:rPr>
              <w:t>⎯</w:t>
            </w:r>
          </w:p>
        </w:tc>
      </w:tr>
      <w:tr w:rsidR="006D21E5" w:rsidRPr="00D11AD1" w14:paraId="62954515"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2AFAE9E6" w14:textId="77777777" w:rsidR="006D21E5" w:rsidRPr="00D11AD1" w:rsidRDefault="006D21E5" w:rsidP="00D11AD1">
            <w:pPr>
              <w:ind w:left="204" w:right="-1"/>
              <w:rPr>
                <w:b/>
                <w:bCs/>
                <w:sz w:val="24"/>
                <w:szCs w:val="24"/>
              </w:rPr>
            </w:pPr>
            <w:r w:rsidRPr="00D11AD1">
              <w:rPr>
                <w:b/>
                <w:bCs/>
                <w:sz w:val="24"/>
                <w:szCs w:val="24"/>
              </w:rPr>
              <w:t>48 måneder</w:t>
            </w:r>
          </w:p>
        </w:tc>
        <w:tc>
          <w:tcPr>
            <w:tcW w:w="2126" w:type="dxa"/>
            <w:tcBorders>
              <w:top w:val="single" w:sz="4" w:space="0" w:color="auto"/>
              <w:left w:val="single" w:sz="4" w:space="0" w:color="auto"/>
              <w:bottom w:val="single" w:sz="4" w:space="0" w:color="auto"/>
              <w:right w:val="single" w:sz="4" w:space="0" w:color="auto"/>
            </w:tcBorders>
            <w:hideMark/>
          </w:tcPr>
          <w:p w14:paraId="76EBE54F" w14:textId="77777777" w:rsidR="006D21E5" w:rsidRPr="00D11AD1" w:rsidRDefault="006D21E5" w:rsidP="00D11AD1">
            <w:pPr>
              <w:ind w:left="-115" w:right="-1"/>
              <w:jc w:val="center"/>
              <w:rPr>
                <w:sz w:val="24"/>
                <w:szCs w:val="24"/>
              </w:rPr>
            </w:pPr>
            <w:r w:rsidRPr="00D11AD1">
              <w:rPr>
                <w:sz w:val="24"/>
                <w:szCs w:val="24"/>
              </w:rPr>
              <w:t>75,7 % (70,0 – 80,8)</w:t>
            </w:r>
          </w:p>
        </w:tc>
        <w:tc>
          <w:tcPr>
            <w:tcW w:w="2268" w:type="dxa"/>
            <w:tcBorders>
              <w:top w:val="single" w:sz="4" w:space="0" w:color="auto"/>
              <w:left w:val="single" w:sz="4" w:space="0" w:color="auto"/>
              <w:bottom w:val="single" w:sz="4" w:space="0" w:color="auto"/>
              <w:right w:val="single" w:sz="4" w:space="0" w:color="auto"/>
            </w:tcBorders>
            <w:hideMark/>
          </w:tcPr>
          <w:p w14:paraId="52C8EFD9" w14:textId="77777777" w:rsidR="006D21E5" w:rsidRPr="00D11AD1" w:rsidRDefault="006D21E5" w:rsidP="00D11AD1">
            <w:pPr>
              <w:ind w:left="-115" w:right="-1"/>
              <w:jc w:val="center"/>
              <w:rPr>
                <w:sz w:val="24"/>
                <w:szCs w:val="24"/>
              </w:rPr>
            </w:pPr>
            <w:r w:rsidRPr="00D11AD1">
              <w:rPr>
                <w:sz w:val="24"/>
                <w:szCs w:val="24"/>
              </w:rPr>
              <w:t>62,7 % (56,5 – 68,6)</w:t>
            </w:r>
          </w:p>
        </w:tc>
        <w:tc>
          <w:tcPr>
            <w:tcW w:w="1540" w:type="dxa"/>
            <w:tcBorders>
              <w:top w:val="single" w:sz="4" w:space="0" w:color="auto"/>
              <w:left w:val="single" w:sz="4" w:space="0" w:color="auto"/>
              <w:bottom w:val="single" w:sz="4" w:space="0" w:color="auto"/>
              <w:right w:val="single" w:sz="4" w:space="0" w:color="auto"/>
            </w:tcBorders>
            <w:hideMark/>
          </w:tcPr>
          <w:p w14:paraId="01A64442" w14:textId="77777777" w:rsidR="006D21E5" w:rsidRPr="00D11AD1" w:rsidRDefault="006D21E5" w:rsidP="00D11AD1">
            <w:pPr>
              <w:ind w:right="-1"/>
              <w:jc w:val="center"/>
              <w:rPr>
                <w:rFonts w:eastAsia="Segoe UI Symbol"/>
                <w:sz w:val="24"/>
                <w:szCs w:val="24"/>
              </w:rPr>
            </w:pPr>
            <w:r w:rsidRPr="00D11AD1">
              <w:rPr>
                <w:rFonts w:ascii="Cambria Math" w:eastAsia="Segoe UI Symbol" w:hAnsi="Cambria Math" w:cs="Cambria Math"/>
                <w:sz w:val="24"/>
                <w:szCs w:val="24"/>
              </w:rPr>
              <w:t>⎯</w:t>
            </w:r>
          </w:p>
        </w:tc>
      </w:tr>
      <w:tr w:rsidR="006D21E5" w:rsidRPr="00D11AD1" w14:paraId="707BB771"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13881DCF" w14:textId="77777777" w:rsidR="006D21E5" w:rsidRPr="00D11AD1" w:rsidRDefault="006D21E5" w:rsidP="00D11AD1">
            <w:pPr>
              <w:ind w:left="204" w:right="-1"/>
              <w:rPr>
                <w:b/>
                <w:bCs/>
                <w:sz w:val="24"/>
                <w:szCs w:val="24"/>
              </w:rPr>
            </w:pPr>
            <w:r w:rsidRPr="00D11AD1">
              <w:rPr>
                <w:b/>
                <w:bCs/>
                <w:sz w:val="24"/>
                <w:szCs w:val="24"/>
              </w:rPr>
              <w:t>60 måneder</w:t>
            </w:r>
          </w:p>
        </w:tc>
        <w:tc>
          <w:tcPr>
            <w:tcW w:w="2126" w:type="dxa"/>
            <w:tcBorders>
              <w:top w:val="single" w:sz="4" w:space="0" w:color="auto"/>
              <w:left w:val="single" w:sz="4" w:space="0" w:color="auto"/>
              <w:bottom w:val="single" w:sz="4" w:space="0" w:color="auto"/>
              <w:right w:val="single" w:sz="4" w:space="0" w:color="auto"/>
            </w:tcBorders>
            <w:hideMark/>
          </w:tcPr>
          <w:p w14:paraId="67EC51B5" w14:textId="77777777" w:rsidR="006D21E5" w:rsidRPr="00D11AD1" w:rsidRDefault="006D21E5" w:rsidP="00D11AD1">
            <w:pPr>
              <w:ind w:left="-115" w:right="-1"/>
              <w:jc w:val="center"/>
              <w:rPr>
                <w:sz w:val="24"/>
                <w:szCs w:val="24"/>
              </w:rPr>
            </w:pPr>
            <w:r w:rsidRPr="00D11AD1">
              <w:rPr>
                <w:sz w:val="24"/>
                <w:szCs w:val="24"/>
              </w:rPr>
              <w:t>76,4 % (70,8 – 81,5)</w:t>
            </w:r>
          </w:p>
        </w:tc>
        <w:tc>
          <w:tcPr>
            <w:tcW w:w="2268" w:type="dxa"/>
            <w:tcBorders>
              <w:top w:val="single" w:sz="4" w:space="0" w:color="auto"/>
              <w:left w:val="single" w:sz="4" w:space="0" w:color="auto"/>
              <w:bottom w:val="single" w:sz="4" w:space="0" w:color="auto"/>
              <w:right w:val="single" w:sz="4" w:space="0" w:color="auto"/>
            </w:tcBorders>
            <w:hideMark/>
          </w:tcPr>
          <w:p w14:paraId="70077FD7" w14:textId="77777777" w:rsidR="006D21E5" w:rsidRPr="00D11AD1" w:rsidRDefault="006D21E5" w:rsidP="00D11AD1">
            <w:pPr>
              <w:ind w:left="-115" w:right="-1"/>
              <w:jc w:val="center"/>
              <w:rPr>
                <w:sz w:val="24"/>
                <w:szCs w:val="24"/>
              </w:rPr>
            </w:pPr>
            <w:r w:rsidRPr="00D11AD1">
              <w:rPr>
                <w:sz w:val="24"/>
                <w:szCs w:val="24"/>
              </w:rPr>
              <w:t>64,2 % (58,1 – 70,1)</w:t>
            </w:r>
          </w:p>
        </w:tc>
        <w:tc>
          <w:tcPr>
            <w:tcW w:w="1540" w:type="dxa"/>
            <w:tcBorders>
              <w:top w:val="single" w:sz="4" w:space="0" w:color="auto"/>
              <w:left w:val="single" w:sz="4" w:space="0" w:color="auto"/>
              <w:bottom w:val="single" w:sz="4" w:space="0" w:color="auto"/>
              <w:right w:val="single" w:sz="4" w:space="0" w:color="auto"/>
            </w:tcBorders>
            <w:hideMark/>
          </w:tcPr>
          <w:p w14:paraId="6AC05B4E" w14:textId="77777777" w:rsidR="006D21E5" w:rsidRPr="00D11AD1" w:rsidRDefault="006D21E5" w:rsidP="00D11AD1">
            <w:pPr>
              <w:ind w:right="-1"/>
              <w:jc w:val="center"/>
              <w:rPr>
                <w:sz w:val="24"/>
                <w:szCs w:val="24"/>
              </w:rPr>
            </w:pPr>
            <w:r w:rsidRPr="00D11AD1">
              <w:rPr>
                <w:sz w:val="24"/>
                <w:szCs w:val="24"/>
              </w:rPr>
              <w:t>p = 0,0021</w:t>
            </w:r>
          </w:p>
        </w:tc>
      </w:tr>
      <w:tr w:rsidR="006D21E5" w:rsidRPr="00D11AD1" w14:paraId="765E2C4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553970C5"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17A82630" w14:textId="77777777" w:rsidR="006D21E5" w:rsidRPr="00D11AD1" w:rsidRDefault="006D21E5" w:rsidP="00D11AD1">
            <w:pPr>
              <w:ind w:right="-1"/>
              <w:jc w:val="center"/>
              <w:rPr>
                <w:sz w:val="24"/>
                <w:szCs w:val="24"/>
              </w:rPr>
            </w:pPr>
            <w:r w:rsidRPr="00D11AD1">
              <w:rPr>
                <w:b/>
                <w:bCs/>
                <w:sz w:val="24"/>
                <w:szCs w:val="24"/>
              </w:rPr>
              <w:t>Hazard ratio (HR)</w:t>
            </w:r>
          </w:p>
        </w:tc>
        <w:tc>
          <w:tcPr>
            <w:tcW w:w="1540" w:type="dxa"/>
            <w:tcBorders>
              <w:top w:val="single" w:sz="4" w:space="0" w:color="auto"/>
              <w:left w:val="single" w:sz="4" w:space="0" w:color="auto"/>
              <w:bottom w:val="single" w:sz="4" w:space="0" w:color="auto"/>
              <w:right w:val="single" w:sz="4" w:space="0" w:color="auto"/>
            </w:tcBorders>
          </w:tcPr>
          <w:p w14:paraId="28CDB324" w14:textId="77777777" w:rsidR="006D21E5" w:rsidRPr="00D11AD1" w:rsidRDefault="006D21E5" w:rsidP="00D11AD1">
            <w:pPr>
              <w:ind w:right="-1"/>
              <w:jc w:val="center"/>
              <w:rPr>
                <w:b/>
                <w:bCs/>
                <w:sz w:val="24"/>
                <w:szCs w:val="24"/>
              </w:rPr>
            </w:pPr>
          </w:p>
        </w:tc>
      </w:tr>
      <w:tr w:rsidR="006D21E5" w:rsidRPr="00D11AD1" w14:paraId="116D385C"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15D60646"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4EBB7AC7" w14:textId="77777777" w:rsidR="006D21E5" w:rsidRPr="00D11AD1" w:rsidRDefault="006D21E5" w:rsidP="00D11AD1">
            <w:pPr>
              <w:ind w:right="-1"/>
              <w:jc w:val="center"/>
              <w:rPr>
                <w:b/>
                <w:bCs/>
                <w:sz w:val="24"/>
                <w:szCs w:val="24"/>
              </w:rPr>
            </w:pPr>
            <w:r w:rsidRPr="00D11AD1">
              <w:rPr>
                <w:b/>
                <w:bCs/>
                <w:sz w:val="24"/>
                <w:szCs w:val="24"/>
              </w:rPr>
              <w:t>inden for 12 måneder (99,99 % CI)</w:t>
            </w:r>
          </w:p>
        </w:tc>
        <w:tc>
          <w:tcPr>
            <w:tcW w:w="1540" w:type="dxa"/>
            <w:tcBorders>
              <w:top w:val="single" w:sz="4" w:space="0" w:color="auto"/>
              <w:left w:val="single" w:sz="4" w:space="0" w:color="auto"/>
              <w:bottom w:val="single" w:sz="4" w:space="0" w:color="auto"/>
              <w:right w:val="single" w:sz="4" w:space="0" w:color="auto"/>
            </w:tcBorders>
          </w:tcPr>
          <w:p w14:paraId="09620BD9" w14:textId="77777777" w:rsidR="006D21E5" w:rsidRPr="00D11AD1" w:rsidRDefault="006D21E5" w:rsidP="00D11AD1">
            <w:pPr>
              <w:ind w:right="-1"/>
              <w:jc w:val="center"/>
              <w:rPr>
                <w:b/>
                <w:bCs/>
                <w:sz w:val="24"/>
                <w:szCs w:val="24"/>
              </w:rPr>
            </w:pPr>
          </w:p>
        </w:tc>
      </w:tr>
      <w:tr w:rsidR="006D21E5" w:rsidRPr="00D11AD1" w14:paraId="21EB0683"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2617E190" w14:textId="77777777" w:rsidR="006D21E5" w:rsidRPr="00D11AD1" w:rsidRDefault="006D21E5" w:rsidP="00D11AD1">
            <w:pPr>
              <w:ind w:right="-1"/>
              <w:rPr>
                <w:bCs/>
                <w:sz w:val="24"/>
                <w:szCs w:val="24"/>
              </w:rPr>
            </w:pPr>
            <w:r w:rsidRPr="00D11AD1">
              <w:rPr>
                <w:bCs/>
                <w:sz w:val="24"/>
                <w:szCs w:val="24"/>
              </w:rPr>
              <w:t>Tid-til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7D35175E" w14:textId="77777777" w:rsidR="006D21E5" w:rsidRPr="00D11AD1" w:rsidRDefault="006D21E5" w:rsidP="00D11AD1">
            <w:pPr>
              <w:ind w:right="-1"/>
              <w:jc w:val="center"/>
              <w:rPr>
                <w:b/>
                <w:bCs/>
                <w:sz w:val="24"/>
                <w:szCs w:val="24"/>
              </w:rPr>
            </w:pPr>
            <w:r w:rsidRPr="00D11AD1">
              <w:rPr>
                <w:sz w:val="24"/>
                <w:szCs w:val="24"/>
              </w:rPr>
              <w:t>1,55 (1,0 – 2,3)</w:t>
            </w:r>
          </w:p>
        </w:tc>
        <w:tc>
          <w:tcPr>
            <w:tcW w:w="1540" w:type="dxa"/>
            <w:tcBorders>
              <w:top w:val="single" w:sz="4" w:space="0" w:color="auto"/>
              <w:left w:val="single" w:sz="4" w:space="0" w:color="auto"/>
              <w:bottom w:val="single" w:sz="4" w:space="0" w:color="auto"/>
              <w:right w:val="single" w:sz="4" w:space="0" w:color="auto"/>
            </w:tcBorders>
            <w:hideMark/>
          </w:tcPr>
          <w:p w14:paraId="78CE6AFB" w14:textId="77777777" w:rsidR="006D21E5" w:rsidRPr="00D11AD1" w:rsidRDefault="006D21E5" w:rsidP="00D11AD1">
            <w:pPr>
              <w:ind w:right="-1"/>
              <w:jc w:val="center"/>
              <w:rPr>
                <w:b/>
                <w:bCs/>
                <w:sz w:val="24"/>
                <w:szCs w:val="24"/>
              </w:rPr>
            </w:pPr>
            <w:r w:rsidRPr="00D11AD1">
              <w:rPr>
                <w:sz w:val="24"/>
                <w:szCs w:val="24"/>
              </w:rPr>
              <w:t>p &lt; 0,0001</w:t>
            </w:r>
            <w:r w:rsidRPr="00D11AD1">
              <w:rPr>
                <w:sz w:val="24"/>
                <w:szCs w:val="24"/>
                <w:vertAlign w:val="superscript"/>
              </w:rPr>
              <w:t>*</w:t>
            </w:r>
          </w:p>
        </w:tc>
      </w:tr>
      <w:tr w:rsidR="006D21E5" w:rsidRPr="00D11AD1" w14:paraId="3B7EC538"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506595A6" w14:textId="77777777" w:rsidR="006D21E5" w:rsidRPr="00D11AD1" w:rsidRDefault="006D21E5" w:rsidP="00D11AD1">
            <w:pPr>
              <w:ind w:right="-1"/>
              <w:rPr>
                <w:bCs/>
                <w:sz w:val="24"/>
                <w:szCs w:val="24"/>
              </w:rPr>
            </w:pPr>
            <w:r w:rsidRPr="00D11AD1">
              <w:rPr>
                <w:bCs/>
                <w:sz w:val="24"/>
                <w:szCs w:val="24"/>
              </w:rPr>
              <w:t>Tid-til MMR</w:t>
            </w:r>
          </w:p>
        </w:tc>
        <w:tc>
          <w:tcPr>
            <w:tcW w:w="4394" w:type="dxa"/>
            <w:gridSpan w:val="2"/>
            <w:tcBorders>
              <w:top w:val="single" w:sz="4" w:space="0" w:color="auto"/>
              <w:left w:val="single" w:sz="4" w:space="0" w:color="auto"/>
              <w:bottom w:val="single" w:sz="4" w:space="0" w:color="auto"/>
              <w:right w:val="single" w:sz="4" w:space="0" w:color="auto"/>
            </w:tcBorders>
            <w:hideMark/>
          </w:tcPr>
          <w:p w14:paraId="642AD4C6" w14:textId="77777777" w:rsidR="006D21E5" w:rsidRPr="00D11AD1" w:rsidRDefault="006D21E5" w:rsidP="00D11AD1">
            <w:pPr>
              <w:ind w:right="-1"/>
              <w:jc w:val="center"/>
              <w:rPr>
                <w:b/>
                <w:bCs/>
                <w:sz w:val="24"/>
                <w:szCs w:val="24"/>
              </w:rPr>
            </w:pPr>
            <w:r w:rsidRPr="00D11AD1">
              <w:rPr>
                <w:sz w:val="24"/>
                <w:szCs w:val="24"/>
              </w:rPr>
              <w:t>2,01 (1,2 – 3,4)</w:t>
            </w:r>
          </w:p>
        </w:tc>
        <w:tc>
          <w:tcPr>
            <w:tcW w:w="1540" w:type="dxa"/>
            <w:tcBorders>
              <w:top w:val="single" w:sz="4" w:space="0" w:color="auto"/>
              <w:left w:val="single" w:sz="4" w:space="0" w:color="auto"/>
              <w:bottom w:val="single" w:sz="4" w:space="0" w:color="auto"/>
              <w:right w:val="single" w:sz="4" w:space="0" w:color="auto"/>
            </w:tcBorders>
            <w:hideMark/>
          </w:tcPr>
          <w:p w14:paraId="5A31971B" w14:textId="77777777" w:rsidR="006D21E5" w:rsidRPr="00D11AD1" w:rsidRDefault="006D21E5" w:rsidP="00D11AD1">
            <w:pPr>
              <w:ind w:right="-1"/>
              <w:jc w:val="center"/>
              <w:rPr>
                <w:b/>
                <w:bCs/>
                <w:sz w:val="24"/>
                <w:szCs w:val="24"/>
              </w:rPr>
            </w:pPr>
            <w:r w:rsidRPr="00D11AD1">
              <w:rPr>
                <w:sz w:val="24"/>
                <w:szCs w:val="24"/>
              </w:rPr>
              <w:t>p &lt; 0,0001</w:t>
            </w:r>
            <w:r w:rsidRPr="00D11AD1">
              <w:rPr>
                <w:sz w:val="24"/>
                <w:szCs w:val="24"/>
                <w:vertAlign w:val="superscript"/>
              </w:rPr>
              <w:t>*</w:t>
            </w:r>
          </w:p>
        </w:tc>
      </w:tr>
      <w:tr w:rsidR="006D21E5" w:rsidRPr="00D11AD1" w14:paraId="3E65B1BB"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0960CA17" w14:textId="77777777" w:rsidR="006D21E5" w:rsidRPr="00D11AD1" w:rsidRDefault="006D21E5" w:rsidP="00D11AD1">
            <w:pPr>
              <w:ind w:right="-1"/>
              <w:rPr>
                <w:b/>
                <w:bCs/>
                <w:sz w:val="24"/>
                <w:szCs w:val="24"/>
              </w:rPr>
            </w:pPr>
            <w:r w:rsidRPr="00D11AD1">
              <w:rPr>
                <w:sz w:val="24"/>
                <w:szCs w:val="24"/>
              </w:rPr>
              <w:t>Varighed af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6135988A" w14:textId="77777777" w:rsidR="006D21E5" w:rsidRPr="00D11AD1" w:rsidRDefault="006D21E5" w:rsidP="00D11AD1">
            <w:pPr>
              <w:ind w:right="-1"/>
              <w:jc w:val="center"/>
              <w:rPr>
                <w:b/>
                <w:bCs/>
                <w:sz w:val="24"/>
                <w:szCs w:val="24"/>
              </w:rPr>
            </w:pPr>
            <w:r w:rsidRPr="00D11AD1">
              <w:rPr>
                <w:sz w:val="24"/>
                <w:szCs w:val="24"/>
              </w:rPr>
              <w:t>0,7 (0,4 – 1,4)</w:t>
            </w:r>
          </w:p>
        </w:tc>
        <w:tc>
          <w:tcPr>
            <w:tcW w:w="1540" w:type="dxa"/>
            <w:tcBorders>
              <w:top w:val="single" w:sz="4" w:space="0" w:color="auto"/>
              <w:left w:val="single" w:sz="4" w:space="0" w:color="auto"/>
              <w:bottom w:val="single" w:sz="4" w:space="0" w:color="auto"/>
              <w:right w:val="single" w:sz="4" w:space="0" w:color="auto"/>
            </w:tcBorders>
            <w:hideMark/>
          </w:tcPr>
          <w:p w14:paraId="6029CB36" w14:textId="77777777" w:rsidR="006D21E5" w:rsidRPr="00D11AD1" w:rsidRDefault="006D21E5" w:rsidP="00D11AD1">
            <w:pPr>
              <w:ind w:right="-1"/>
              <w:jc w:val="center"/>
              <w:rPr>
                <w:b/>
                <w:bCs/>
                <w:sz w:val="24"/>
                <w:szCs w:val="24"/>
              </w:rPr>
            </w:pPr>
            <w:r w:rsidRPr="00D11AD1">
              <w:rPr>
                <w:sz w:val="24"/>
                <w:szCs w:val="24"/>
              </w:rPr>
              <w:t>p &lt; 0,035</w:t>
            </w:r>
          </w:p>
        </w:tc>
      </w:tr>
      <w:tr w:rsidR="006D21E5" w:rsidRPr="00D11AD1" w14:paraId="2D26BE7E"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5E6027FA"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29EA81E1" w14:textId="77777777" w:rsidR="006D21E5" w:rsidRPr="00D11AD1" w:rsidRDefault="006D21E5" w:rsidP="00D11AD1">
            <w:pPr>
              <w:ind w:right="-1"/>
              <w:jc w:val="center"/>
              <w:rPr>
                <w:b/>
                <w:bCs/>
                <w:sz w:val="24"/>
                <w:szCs w:val="24"/>
              </w:rPr>
            </w:pPr>
            <w:r w:rsidRPr="00D11AD1">
              <w:rPr>
                <w:b/>
                <w:bCs/>
                <w:sz w:val="24"/>
                <w:szCs w:val="24"/>
              </w:rPr>
              <w:t>inden for 24 måneder (95 % CI)</w:t>
            </w:r>
          </w:p>
        </w:tc>
        <w:tc>
          <w:tcPr>
            <w:tcW w:w="1540" w:type="dxa"/>
            <w:tcBorders>
              <w:top w:val="single" w:sz="4" w:space="0" w:color="auto"/>
              <w:left w:val="single" w:sz="4" w:space="0" w:color="auto"/>
              <w:bottom w:val="single" w:sz="4" w:space="0" w:color="auto"/>
              <w:right w:val="single" w:sz="4" w:space="0" w:color="auto"/>
            </w:tcBorders>
          </w:tcPr>
          <w:p w14:paraId="24856956" w14:textId="77777777" w:rsidR="006D21E5" w:rsidRPr="00D11AD1" w:rsidRDefault="006D21E5" w:rsidP="00D11AD1">
            <w:pPr>
              <w:ind w:right="-1"/>
              <w:jc w:val="center"/>
              <w:rPr>
                <w:b/>
                <w:bCs/>
                <w:sz w:val="24"/>
                <w:szCs w:val="24"/>
              </w:rPr>
            </w:pPr>
          </w:p>
        </w:tc>
      </w:tr>
      <w:tr w:rsidR="006D21E5" w:rsidRPr="00D11AD1" w14:paraId="1AB9B8A6"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266AEBB" w14:textId="77777777" w:rsidR="006D21E5" w:rsidRPr="00D11AD1" w:rsidRDefault="006D21E5" w:rsidP="00D11AD1">
            <w:pPr>
              <w:ind w:right="-1"/>
              <w:rPr>
                <w:bCs/>
                <w:sz w:val="24"/>
                <w:szCs w:val="24"/>
              </w:rPr>
            </w:pPr>
            <w:r w:rsidRPr="00D11AD1">
              <w:rPr>
                <w:bCs/>
                <w:sz w:val="24"/>
                <w:szCs w:val="24"/>
              </w:rPr>
              <w:t>Tid-til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784A164B" w14:textId="77777777" w:rsidR="006D21E5" w:rsidRPr="00D11AD1" w:rsidRDefault="006D21E5" w:rsidP="00D11AD1">
            <w:pPr>
              <w:ind w:right="-1"/>
              <w:jc w:val="center"/>
              <w:rPr>
                <w:sz w:val="24"/>
                <w:szCs w:val="24"/>
              </w:rPr>
            </w:pPr>
            <w:r w:rsidRPr="00D11AD1">
              <w:rPr>
                <w:sz w:val="24"/>
                <w:szCs w:val="24"/>
              </w:rPr>
              <w:t>1,49 (1,22 – 1,82)</w:t>
            </w:r>
          </w:p>
        </w:tc>
        <w:tc>
          <w:tcPr>
            <w:tcW w:w="1540" w:type="dxa"/>
            <w:tcBorders>
              <w:top w:val="single" w:sz="4" w:space="0" w:color="auto"/>
              <w:left w:val="single" w:sz="4" w:space="0" w:color="auto"/>
              <w:bottom w:val="single" w:sz="4" w:space="0" w:color="auto"/>
              <w:right w:val="single" w:sz="4" w:space="0" w:color="auto"/>
            </w:tcBorders>
            <w:hideMark/>
          </w:tcPr>
          <w:p w14:paraId="4D463DB2" w14:textId="77777777" w:rsidR="006D21E5" w:rsidRPr="00D11AD1" w:rsidRDefault="006D21E5" w:rsidP="00D11AD1">
            <w:pPr>
              <w:ind w:right="-1"/>
              <w:jc w:val="center"/>
              <w:rPr>
                <w:sz w:val="24"/>
                <w:szCs w:val="24"/>
              </w:rPr>
            </w:pPr>
            <w:r w:rsidRPr="00D11AD1">
              <w:rPr>
                <w:rFonts w:ascii="Cambria Math" w:hAnsi="Cambria Math" w:cs="Cambria Math"/>
                <w:sz w:val="24"/>
                <w:szCs w:val="24"/>
              </w:rPr>
              <w:t>⎯</w:t>
            </w:r>
          </w:p>
        </w:tc>
      </w:tr>
      <w:tr w:rsidR="006D21E5" w:rsidRPr="00D11AD1" w14:paraId="18D0212F"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1ED69C1" w14:textId="77777777" w:rsidR="006D21E5" w:rsidRPr="00D11AD1" w:rsidRDefault="006D21E5" w:rsidP="00D11AD1">
            <w:pPr>
              <w:ind w:right="-1"/>
              <w:rPr>
                <w:bCs/>
                <w:sz w:val="24"/>
                <w:szCs w:val="24"/>
              </w:rPr>
            </w:pPr>
            <w:r w:rsidRPr="00D11AD1">
              <w:rPr>
                <w:bCs/>
                <w:sz w:val="24"/>
                <w:szCs w:val="24"/>
              </w:rPr>
              <w:t>Tid-til MMR</w:t>
            </w:r>
          </w:p>
        </w:tc>
        <w:tc>
          <w:tcPr>
            <w:tcW w:w="4394" w:type="dxa"/>
            <w:gridSpan w:val="2"/>
            <w:tcBorders>
              <w:top w:val="single" w:sz="4" w:space="0" w:color="auto"/>
              <w:left w:val="single" w:sz="4" w:space="0" w:color="auto"/>
              <w:bottom w:val="single" w:sz="4" w:space="0" w:color="auto"/>
              <w:right w:val="single" w:sz="4" w:space="0" w:color="auto"/>
            </w:tcBorders>
            <w:hideMark/>
          </w:tcPr>
          <w:p w14:paraId="6BFF0CD1" w14:textId="77777777" w:rsidR="006D21E5" w:rsidRPr="00D11AD1" w:rsidRDefault="006D21E5" w:rsidP="00D11AD1">
            <w:pPr>
              <w:ind w:right="-1"/>
              <w:jc w:val="center"/>
              <w:rPr>
                <w:sz w:val="24"/>
                <w:szCs w:val="24"/>
              </w:rPr>
            </w:pPr>
            <w:r w:rsidRPr="00D11AD1">
              <w:rPr>
                <w:sz w:val="24"/>
                <w:szCs w:val="24"/>
              </w:rPr>
              <w:t>1,69 (1,34 – 2,12)</w:t>
            </w:r>
          </w:p>
        </w:tc>
        <w:tc>
          <w:tcPr>
            <w:tcW w:w="1540" w:type="dxa"/>
            <w:tcBorders>
              <w:top w:val="single" w:sz="4" w:space="0" w:color="auto"/>
              <w:left w:val="single" w:sz="4" w:space="0" w:color="auto"/>
              <w:bottom w:val="single" w:sz="4" w:space="0" w:color="auto"/>
              <w:right w:val="single" w:sz="4" w:space="0" w:color="auto"/>
            </w:tcBorders>
            <w:hideMark/>
          </w:tcPr>
          <w:p w14:paraId="329BA9DC" w14:textId="77777777" w:rsidR="006D21E5" w:rsidRPr="00D11AD1" w:rsidRDefault="006D21E5" w:rsidP="00D11AD1">
            <w:pPr>
              <w:ind w:right="-1"/>
              <w:jc w:val="center"/>
              <w:rPr>
                <w:sz w:val="24"/>
                <w:szCs w:val="24"/>
              </w:rPr>
            </w:pPr>
            <w:r w:rsidRPr="00D11AD1">
              <w:rPr>
                <w:rFonts w:ascii="Cambria Math" w:hAnsi="Cambria Math" w:cs="Cambria Math"/>
                <w:sz w:val="24"/>
                <w:szCs w:val="24"/>
              </w:rPr>
              <w:t>⎯</w:t>
            </w:r>
          </w:p>
        </w:tc>
      </w:tr>
      <w:tr w:rsidR="006D21E5" w:rsidRPr="00D11AD1" w14:paraId="35472EA1"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0395CDC3" w14:textId="77777777" w:rsidR="006D21E5" w:rsidRPr="00D11AD1" w:rsidRDefault="006D21E5" w:rsidP="00D11AD1">
            <w:pPr>
              <w:ind w:right="-1"/>
              <w:rPr>
                <w:b/>
                <w:bCs/>
                <w:sz w:val="24"/>
                <w:szCs w:val="24"/>
              </w:rPr>
            </w:pPr>
            <w:r w:rsidRPr="00D11AD1">
              <w:rPr>
                <w:sz w:val="24"/>
                <w:szCs w:val="24"/>
              </w:rPr>
              <w:t>Varighed af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25036278" w14:textId="77777777" w:rsidR="006D21E5" w:rsidRPr="00D11AD1" w:rsidRDefault="006D21E5" w:rsidP="00D11AD1">
            <w:pPr>
              <w:ind w:right="-1"/>
              <w:jc w:val="center"/>
              <w:rPr>
                <w:sz w:val="24"/>
                <w:szCs w:val="24"/>
              </w:rPr>
            </w:pPr>
            <w:r w:rsidRPr="00D11AD1">
              <w:rPr>
                <w:sz w:val="24"/>
                <w:szCs w:val="24"/>
              </w:rPr>
              <w:t>0,77 (0,55 – 1,10)</w:t>
            </w:r>
          </w:p>
        </w:tc>
        <w:tc>
          <w:tcPr>
            <w:tcW w:w="1540" w:type="dxa"/>
            <w:tcBorders>
              <w:top w:val="single" w:sz="4" w:space="0" w:color="auto"/>
              <w:left w:val="single" w:sz="4" w:space="0" w:color="auto"/>
              <w:bottom w:val="single" w:sz="4" w:space="0" w:color="auto"/>
              <w:right w:val="single" w:sz="4" w:space="0" w:color="auto"/>
            </w:tcBorders>
            <w:hideMark/>
          </w:tcPr>
          <w:p w14:paraId="0DE56B04" w14:textId="77777777" w:rsidR="006D21E5" w:rsidRPr="00D11AD1" w:rsidRDefault="006D21E5" w:rsidP="00D11AD1">
            <w:pPr>
              <w:ind w:right="-1"/>
              <w:jc w:val="center"/>
              <w:rPr>
                <w:sz w:val="24"/>
                <w:szCs w:val="24"/>
              </w:rPr>
            </w:pPr>
            <w:r w:rsidRPr="00D11AD1">
              <w:rPr>
                <w:sz w:val="24"/>
                <w:szCs w:val="24"/>
              </w:rPr>
              <w:t>–</w:t>
            </w:r>
          </w:p>
        </w:tc>
      </w:tr>
      <w:tr w:rsidR="006D21E5" w:rsidRPr="00D11AD1" w14:paraId="757A3749"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06D4967B"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249DA4CF" w14:textId="77777777" w:rsidR="006D21E5" w:rsidRPr="00D11AD1" w:rsidRDefault="006D21E5" w:rsidP="00D11AD1">
            <w:pPr>
              <w:ind w:right="-1"/>
              <w:jc w:val="center"/>
              <w:rPr>
                <w:b/>
                <w:bCs/>
                <w:sz w:val="24"/>
                <w:szCs w:val="24"/>
              </w:rPr>
            </w:pPr>
            <w:r w:rsidRPr="00D11AD1">
              <w:rPr>
                <w:b/>
                <w:bCs/>
                <w:sz w:val="24"/>
                <w:szCs w:val="24"/>
              </w:rPr>
              <w:t>inden for 36 måneder (95 % CI)</w:t>
            </w:r>
          </w:p>
        </w:tc>
        <w:tc>
          <w:tcPr>
            <w:tcW w:w="1540" w:type="dxa"/>
            <w:tcBorders>
              <w:top w:val="single" w:sz="4" w:space="0" w:color="auto"/>
              <w:left w:val="single" w:sz="4" w:space="0" w:color="auto"/>
              <w:bottom w:val="single" w:sz="4" w:space="0" w:color="auto"/>
              <w:right w:val="single" w:sz="4" w:space="0" w:color="auto"/>
            </w:tcBorders>
          </w:tcPr>
          <w:p w14:paraId="4EC84E8C" w14:textId="77777777" w:rsidR="006D21E5" w:rsidRPr="00D11AD1" w:rsidRDefault="006D21E5" w:rsidP="00D11AD1">
            <w:pPr>
              <w:ind w:right="-1"/>
              <w:jc w:val="center"/>
              <w:rPr>
                <w:b/>
                <w:bCs/>
                <w:sz w:val="24"/>
                <w:szCs w:val="24"/>
              </w:rPr>
            </w:pPr>
          </w:p>
        </w:tc>
      </w:tr>
      <w:tr w:rsidR="006D21E5" w:rsidRPr="00D11AD1" w14:paraId="5E3C398D"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6CA7D0F8" w14:textId="77777777" w:rsidR="006D21E5" w:rsidRPr="00D11AD1" w:rsidRDefault="006D21E5" w:rsidP="00D11AD1">
            <w:pPr>
              <w:ind w:right="-1"/>
              <w:rPr>
                <w:bCs/>
                <w:sz w:val="24"/>
                <w:szCs w:val="24"/>
              </w:rPr>
            </w:pPr>
            <w:r w:rsidRPr="00D11AD1">
              <w:rPr>
                <w:bCs/>
                <w:sz w:val="24"/>
                <w:szCs w:val="24"/>
              </w:rPr>
              <w:t>Tid-til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7D08B832" w14:textId="77777777" w:rsidR="006D21E5" w:rsidRPr="00D11AD1" w:rsidRDefault="006D21E5" w:rsidP="00D11AD1">
            <w:pPr>
              <w:ind w:right="-1"/>
              <w:jc w:val="center"/>
              <w:rPr>
                <w:sz w:val="24"/>
                <w:szCs w:val="24"/>
              </w:rPr>
            </w:pPr>
            <w:r w:rsidRPr="00D11AD1">
              <w:rPr>
                <w:sz w:val="24"/>
                <w:szCs w:val="24"/>
              </w:rPr>
              <w:t>1,48 (1,22 – 1,80)</w:t>
            </w:r>
          </w:p>
        </w:tc>
        <w:tc>
          <w:tcPr>
            <w:tcW w:w="1540" w:type="dxa"/>
            <w:tcBorders>
              <w:top w:val="single" w:sz="4" w:space="0" w:color="auto"/>
              <w:left w:val="single" w:sz="4" w:space="0" w:color="auto"/>
              <w:bottom w:val="single" w:sz="4" w:space="0" w:color="auto"/>
              <w:right w:val="single" w:sz="4" w:space="0" w:color="auto"/>
            </w:tcBorders>
            <w:hideMark/>
          </w:tcPr>
          <w:p w14:paraId="528F4AFA" w14:textId="77777777" w:rsidR="006D21E5" w:rsidRPr="00D11AD1" w:rsidRDefault="006D21E5" w:rsidP="00D11AD1">
            <w:pPr>
              <w:ind w:right="-1"/>
              <w:jc w:val="center"/>
              <w:rPr>
                <w:sz w:val="24"/>
                <w:szCs w:val="24"/>
              </w:rPr>
            </w:pPr>
            <w:r w:rsidRPr="00D11AD1">
              <w:rPr>
                <w:sz w:val="24"/>
                <w:szCs w:val="24"/>
              </w:rPr>
              <w:t>–</w:t>
            </w:r>
          </w:p>
        </w:tc>
      </w:tr>
      <w:tr w:rsidR="006D21E5" w:rsidRPr="00D11AD1" w14:paraId="2B490F9F"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778C32B" w14:textId="77777777" w:rsidR="006D21E5" w:rsidRPr="00D11AD1" w:rsidRDefault="006D21E5" w:rsidP="00D11AD1">
            <w:pPr>
              <w:ind w:right="-1"/>
              <w:rPr>
                <w:bCs/>
                <w:sz w:val="24"/>
                <w:szCs w:val="24"/>
              </w:rPr>
            </w:pPr>
            <w:r w:rsidRPr="00D11AD1">
              <w:rPr>
                <w:bCs/>
                <w:sz w:val="24"/>
                <w:szCs w:val="24"/>
              </w:rPr>
              <w:t>Tid-til MMR</w:t>
            </w:r>
          </w:p>
        </w:tc>
        <w:tc>
          <w:tcPr>
            <w:tcW w:w="4394" w:type="dxa"/>
            <w:gridSpan w:val="2"/>
            <w:tcBorders>
              <w:top w:val="single" w:sz="4" w:space="0" w:color="auto"/>
              <w:left w:val="single" w:sz="4" w:space="0" w:color="auto"/>
              <w:bottom w:val="single" w:sz="4" w:space="0" w:color="auto"/>
              <w:right w:val="single" w:sz="4" w:space="0" w:color="auto"/>
            </w:tcBorders>
            <w:hideMark/>
          </w:tcPr>
          <w:p w14:paraId="7EE42681" w14:textId="77777777" w:rsidR="006D21E5" w:rsidRPr="00D11AD1" w:rsidRDefault="006D21E5" w:rsidP="00D11AD1">
            <w:pPr>
              <w:ind w:right="-1"/>
              <w:jc w:val="center"/>
              <w:rPr>
                <w:sz w:val="24"/>
                <w:szCs w:val="24"/>
              </w:rPr>
            </w:pPr>
            <w:r w:rsidRPr="00D11AD1">
              <w:rPr>
                <w:sz w:val="24"/>
                <w:szCs w:val="24"/>
              </w:rPr>
              <w:t>1,59 (1,28 – 1,99)</w:t>
            </w:r>
          </w:p>
        </w:tc>
        <w:tc>
          <w:tcPr>
            <w:tcW w:w="1540" w:type="dxa"/>
            <w:tcBorders>
              <w:top w:val="single" w:sz="4" w:space="0" w:color="auto"/>
              <w:left w:val="single" w:sz="4" w:space="0" w:color="auto"/>
              <w:bottom w:val="single" w:sz="4" w:space="0" w:color="auto"/>
              <w:right w:val="single" w:sz="4" w:space="0" w:color="auto"/>
            </w:tcBorders>
            <w:hideMark/>
          </w:tcPr>
          <w:p w14:paraId="11A6138F" w14:textId="77777777" w:rsidR="006D21E5" w:rsidRPr="00D11AD1" w:rsidRDefault="006D21E5" w:rsidP="00D11AD1">
            <w:pPr>
              <w:ind w:right="-1"/>
              <w:jc w:val="center"/>
              <w:rPr>
                <w:sz w:val="24"/>
                <w:szCs w:val="24"/>
              </w:rPr>
            </w:pPr>
            <w:r w:rsidRPr="00D11AD1">
              <w:rPr>
                <w:sz w:val="24"/>
                <w:szCs w:val="24"/>
              </w:rPr>
              <w:t>–</w:t>
            </w:r>
          </w:p>
        </w:tc>
      </w:tr>
      <w:tr w:rsidR="006D21E5" w:rsidRPr="00D11AD1" w14:paraId="51C8CE1C"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2CE902DB" w14:textId="77777777" w:rsidR="006D21E5" w:rsidRPr="00D11AD1" w:rsidRDefault="006D21E5" w:rsidP="00D11AD1">
            <w:pPr>
              <w:ind w:right="-1"/>
              <w:rPr>
                <w:b/>
                <w:bCs/>
                <w:sz w:val="24"/>
                <w:szCs w:val="24"/>
              </w:rPr>
            </w:pPr>
            <w:r w:rsidRPr="00D11AD1">
              <w:rPr>
                <w:sz w:val="24"/>
                <w:szCs w:val="24"/>
              </w:rPr>
              <w:t>Varighed af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021F58F7" w14:textId="77777777" w:rsidR="006D21E5" w:rsidRPr="00D11AD1" w:rsidRDefault="006D21E5" w:rsidP="00D11AD1">
            <w:pPr>
              <w:ind w:right="-1"/>
              <w:jc w:val="center"/>
              <w:rPr>
                <w:sz w:val="24"/>
                <w:szCs w:val="24"/>
              </w:rPr>
            </w:pPr>
            <w:r w:rsidRPr="00D11AD1">
              <w:rPr>
                <w:sz w:val="24"/>
                <w:szCs w:val="24"/>
              </w:rPr>
              <w:t>0,77 (0,53 – 1,11)</w:t>
            </w:r>
          </w:p>
        </w:tc>
        <w:tc>
          <w:tcPr>
            <w:tcW w:w="1540" w:type="dxa"/>
            <w:tcBorders>
              <w:top w:val="single" w:sz="4" w:space="0" w:color="auto"/>
              <w:left w:val="single" w:sz="4" w:space="0" w:color="auto"/>
              <w:bottom w:val="single" w:sz="4" w:space="0" w:color="auto"/>
              <w:right w:val="single" w:sz="4" w:space="0" w:color="auto"/>
            </w:tcBorders>
            <w:hideMark/>
          </w:tcPr>
          <w:p w14:paraId="07A4A133" w14:textId="77777777" w:rsidR="006D21E5" w:rsidRPr="00D11AD1" w:rsidRDefault="006D21E5" w:rsidP="00D11AD1">
            <w:pPr>
              <w:ind w:right="-1"/>
              <w:jc w:val="center"/>
              <w:rPr>
                <w:sz w:val="24"/>
                <w:szCs w:val="24"/>
              </w:rPr>
            </w:pPr>
            <w:r w:rsidRPr="00D11AD1">
              <w:rPr>
                <w:sz w:val="24"/>
                <w:szCs w:val="24"/>
              </w:rPr>
              <w:t>–</w:t>
            </w:r>
          </w:p>
        </w:tc>
      </w:tr>
      <w:tr w:rsidR="006D21E5" w:rsidRPr="00D11AD1" w14:paraId="04907216"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1F97FBEE"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24A89601" w14:textId="77777777" w:rsidR="006D21E5" w:rsidRPr="00D11AD1" w:rsidRDefault="006D21E5" w:rsidP="00D11AD1">
            <w:pPr>
              <w:ind w:right="-1"/>
              <w:jc w:val="center"/>
              <w:rPr>
                <w:b/>
                <w:bCs/>
                <w:sz w:val="24"/>
                <w:szCs w:val="24"/>
              </w:rPr>
            </w:pPr>
            <w:r w:rsidRPr="00D11AD1">
              <w:rPr>
                <w:b/>
                <w:bCs/>
                <w:sz w:val="24"/>
                <w:szCs w:val="24"/>
              </w:rPr>
              <w:t>inden for 48 måneder (95 % CI)</w:t>
            </w:r>
          </w:p>
        </w:tc>
        <w:tc>
          <w:tcPr>
            <w:tcW w:w="1540" w:type="dxa"/>
            <w:tcBorders>
              <w:top w:val="single" w:sz="4" w:space="0" w:color="auto"/>
              <w:left w:val="single" w:sz="4" w:space="0" w:color="auto"/>
              <w:bottom w:val="single" w:sz="4" w:space="0" w:color="auto"/>
              <w:right w:val="single" w:sz="4" w:space="0" w:color="auto"/>
            </w:tcBorders>
          </w:tcPr>
          <w:p w14:paraId="728F7535" w14:textId="77777777" w:rsidR="006D21E5" w:rsidRPr="00D11AD1" w:rsidRDefault="006D21E5" w:rsidP="00D11AD1">
            <w:pPr>
              <w:ind w:right="-1"/>
              <w:jc w:val="center"/>
              <w:rPr>
                <w:b/>
                <w:bCs/>
                <w:sz w:val="24"/>
                <w:szCs w:val="24"/>
              </w:rPr>
            </w:pPr>
          </w:p>
        </w:tc>
      </w:tr>
      <w:tr w:rsidR="006D21E5" w:rsidRPr="00D11AD1" w14:paraId="5EE33EC7"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347564F9" w14:textId="77777777" w:rsidR="006D21E5" w:rsidRPr="00D11AD1" w:rsidRDefault="006D21E5" w:rsidP="00D11AD1">
            <w:pPr>
              <w:ind w:right="-1"/>
              <w:rPr>
                <w:bCs/>
                <w:sz w:val="24"/>
                <w:szCs w:val="24"/>
              </w:rPr>
            </w:pPr>
            <w:r w:rsidRPr="00D11AD1">
              <w:rPr>
                <w:bCs/>
                <w:sz w:val="24"/>
                <w:szCs w:val="24"/>
              </w:rPr>
              <w:t>Tid-til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16AF7A07" w14:textId="77777777" w:rsidR="006D21E5" w:rsidRPr="00D11AD1" w:rsidRDefault="006D21E5" w:rsidP="00D11AD1">
            <w:pPr>
              <w:ind w:right="-1"/>
              <w:jc w:val="center"/>
              <w:rPr>
                <w:sz w:val="24"/>
                <w:szCs w:val="24"/>
              </w:rPr>
            </w:pPr>
            <w:r w:rsidRPr="00D11AD1">
              <w:rPr>
                <w:sz w:val="24"/>
                <w:szCs w:val="24"/>
              </w:rPr>
              <w:t>1,45 (1,20 – 1,77)</w:t>
            </w:r>
          </w:p>
        </w:tc>
        <w:tc>
          <w:tcPr>
            <w:tcW w:w="1540" w:type="dxa"/>
            <w:tcBorders>
              <w:top w:val="single" w:sz="4" w:space="0" w:color="auto"/>
              <w:left w:val="single" w:sz="4" w:space="0" w:color="auto"/>
              <w:bottom w:val="single" w:sz="4" w:space="0" w:color="auto"/>
              <w:right w:val="single" w:sz="4" w:space="0" w:color="auto"/>
            </w:tcBorders>
            <w:hideMark/>
          </w:tcPr>
          <w:p w14:paraId="64E922A7" w14:textId="77777777" w:rsidR="006D21E5" w:rsidRPr="00D11AD1" w:rsidRDefault="006D21E5" w:rsidP="00D11AD1">
            <w:pPr>
              <w:ind w:right="-1"/>
              <w:jc w:val="center"/>
              <w:rPr>
                <w:sz w:val="24"/>
                <w:szCs w:val="24"/>
              </w:rPr>
            </w:pPr>
            <w:r w:rsidRPr="00D11AD1">
              <w:rPr>
                <w:sz w:val="24"/>
                <w:szCs w:val="24"/>
              </w:rPr>
              <w:t>–</w:t>
            </w:r>
          </w:p>
        </w:tc>
      </w:tr>
      <w:tr w:rsidR="006D21E5" w:rsidRPr="00D11AD1" w14:paraId="3F7154DD"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EEC3787" w14:textId="77777777" w:rsidR="006D21E5" w:rsidRPr="00D11AD1" w:rsidRDefault="006D21E5" w:rsidP="00D11AD1">
            <w:pPr>
              <w:ind w:right="-1"/>
              <w:rPr>
                <w:bCs/>
                <w:sz w:val="24"/>
                <w:szCs w:val="24"/>
              </w:rPr>
            </w:pPr>
            <w:r w:rsidRPr="00D11AD1">
              <w:rPr>
                <w:bCs/>
                <w:sz w:val="24"/>
                <w:szCs w:val="24"/>
              </w:rPr>
              <w:t>Tid-til MMR</w:t>
            </w:r>
          </w:p>
        </w:tc>
        <w:tc>
          <w:tcPr>
            <w:tcW w:w="4394" w:type="dxa"/>
            <w:gridSpan w:val="2"/>
            <w:tcBorders>
              <w:top w:val="single" w:sz="4" w:space="0" w:color="auto"/>
              <w:left w:val="single" w:sz="4" w:space="0" w:color="auto"/>
              <w:bottom w:val="single" w:sz="4" w:space="0" w:color="auto"/>
              <w:right w:val="single" w:sz="4" w:space="0" w:color="auto"/>
            </w:tcBorders>
            <w:hideMark/>
          </w:tcPr>
          <w:p w14:paraId="571B0AB6" w14:textId="77777777" w:rsidR="006D21E5" w:rsidRPr="00D11AD1" w:rsidRDefault="006D21E5" w:rsidP="00D11AD1">
            <w:pPr>
              <w:ind w:right="-1"/>
              <w:jc w:val="center"/>
              <w:rPr>
                <w:sz w:val="24"/>
                <w:szCs w:val="24"/>
              </w:rPr>
            </w:pPr>
            <w:r w:rsidRPr="00D11AD1">
              <w:rPr>
                <w:sz w:val="24"/>
                <w:szCs w:val="24"/>
              </w:rPr>
              <w:t>1,55 (1,26 – 1,91)</w:t>
            </w:r>
          </w:p>
        </w:tc>
        <w:tc>
          <w:tcPr>
            <w:tcW w:w="1540" w:type="dxa"/>
            <w:tcBorders>
              <w:top w:val="single" w:sz="4" w:space="0" w:color="auto"/>
              <w:left w:val="single" w:sz="4" w:space="0" w:color="auto"/>
              <w:bottom w:val="single" w:sz="4" w:space="0" w:color="auto"/>
              <w:right w:val="single" w:sz="4" w:space="0" w:color="auto"/>
            </w:tcBorders>
            <w:hideMark/>
          </w:tcPr>
          <w:p w14:paraId="4376CBB2" w14:textId="77777777" w:rsidR="006D21E5" w:rsidRPr="00D11AD1" w:rsidRDefault="006D21E5" w:rsidP="00D11AD1">
            <w:pPr>
              <w:ind w:right="-1"/>
              <w:jc w:val="center"/>
              <w:rPr>
                <w:sz w:val="24"/>
                <w:szCs w:val="24"/>
              </w:rPr>
            </w:pPr>
            <w:r w:rsidRPr="00D11AD1">
              <w:rPr>
                <w:sz w:val="24"/>
                <w:szCs w:val="24"/>
              </w:rPr>
              <w:t>–</w:t>
            </w:r>
          </w:p>
        </w:tc>
      </w:tr>
      <w:tr w:rsidR="006D21E5" w:rsidRPr="00D11AD1" w14:paraId="56372A79"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79D17D05" w14:textId="77777777" w:rsidR="006D21E5" w:rsidRPr="00D11AD1" w:rsidRDefault="006D21E5" w:rsidP="00D11AD1">
            <w:pPr>
              <w:ind w:right="-1"/>
              <w:rPr>
                <w:b/>
                <w:bCs/>
                <w:sz w:val="24"/>
                <w:szCs w:val="24"/>
              </w:rPr>
            </w:pPr>
            <w:r w:rsidRPr="00D11AD1">
              <w:rPr>
                <w:sz w:val="24"/>
                <w:szCs w:val="24"/>
              </w:rPr>
              <w:t>Varighed af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74B627BE" w14:textId="77777777" w:rsidR="006D21E5" w:rsidRPr="00D11AD1" w:rsidRDefault="006D21E5" w:rsidP="00D11AD1">
            <w:pPr>
              <w:ind w:right="-1"/>
              <w:jc w:val="center"/>
              <w:rPr>
                <w:sz w:val="24"/>
                <w:szCs w:val="24"/>
              </w:rPr>
            </w:pPr>
            <w:r w:rsidRPr="00D11AD1">
              <w:rPr>
                <w:sz w:val="24"/>
                <w:szCs w:val="24"/>
              </w:rPr>
              <w:t>0,81 (0,56 – 1,17)</w:t>
            </w:r>
          </w:p>
        </w:tc>
        <w:tc>
          <w:tcPr>
            <w:tcW w:w="1540" w:type="dxa"/>
            <w:tcBorders>
              <w:top w:val="single" w:sz="4" w:space="0" w:color="auto"/>
              <w:left w:val="single" w:sz="4" w:space="0" w:color="auto"/>
              <w:bottom w:val="single" w:sz="4" w:space="0" w:color="auto"/>
              <w:right w:val="single" w:sz="4" w:space="0" w:color="auto"/>
            </w:tcBorders>
            <w:hideMark/>
          </w:tcPr>
          <w:p w14:paraId="0B1F98D7" w14:textId="77777777" w:rsidR="006D21E5" w:rsidRPr="00D11AD1" w:rsidRDefault="006D21E5" w:rsidP="00D11AD1">
            <w:pPr>
              <w:ind w:right="-1"/>
              <w:jc w:val="center"/>
              <w:rPr>
                <w:sz w:val="24"/>
                <w:szCs w:val="24"/>
              </w:rPr>
            </w:pPr>
            <w:r w:rsidRPr="00D11AD1">
              <w:rPr>
                <w:sz w:val="24"/>
                <w:szCs w:val="24"/>
              </w:rPr>
              <w:t>–</w:t>
            </w:r>
          </w:p>
        </w:tc>
      </w:tr>
      <w:tr w:rsidR="006D21E5" w:rsidRPr="00D11AD1" w14:paraId="4996B44A"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tcPr>
          <w:p w14:paraId="1D6550E8" w14:textId="77777777" w:rsidR="006D21E5" w:rsidRPr="00D11AD1" w:rsidRDefault="006D21E5" w:rsidP="00D11AD1">
            <w:pPr>
              <w:ind w:right="-1"/>
              <w:rPr>
                <w:b/>
                <w:bCs/>
                <w:sz w:val="24"/>
                <w:szCs w:val="24"/>
              </w:rPr>
            </w:pPr>
          </w:p>
        </w:tc>
        <w:tc>
          <w:tcPr>
            <w:tcW w:w="4394" w:type="dxa"/>
            <w:gridSpan w:val="2"/>
            <w:tcBorders>
              <w:top w:val="single" w:sz="4" w:space="0" w:color="auto"/>
              <w:left w:val="single" w:sz="4" w:space="0" w:color="auto"/>
              <w:bottom w:val="single" w:sz="4" w:space="0" w:color="auto"/>
              <w:right w:val="single" w:sz="4" w:space="0" w:color="auto"/>
            </w:tcBorders>
            <w:hideMark/>
          </w:tcPr>
          <w:p w14:paraId="52DD8BCD" w14:textId="77777777" w:rsidR="006D21E5" w:rsidRPr="00D11AD1" w:rsidRDefault="006D21E5" w:rsidP="00D11AD1">
            <w:pPr>
              <w:ind w:right="-1"/>
              <w:jc w:val="center"/>
              <w:rPr>
                <w:b/>
                <w:bCs/>
                <w:sz w:val="24"/>
                <w:szCs w:val="24"/>
              </w:rPr>
            </w:pPr>
            <w:r w:rsidRPr="00D11AD1">
              <w:rPr>
                <w:b/>
                <w:bCs/>
                <w:sz w:val="24"/>
                <w:szCs w:val="24"/>
              </w:rPr>
              <w:t>inden for 60 måneder (95 % CI)</w:t>
            </w:r>
          </w:p>
        </w:tc>
        <w:tc>
          <w:tcPr>
            <w:tcW w:w="1540" w:type="dxa"/>
            <w:tcBorders>
              <w:top w:val="single" w:sz="4" w:space="0" w:color="auto"/>
              <w:left w:val="single" w:sz="4" w:space="0" w:color="auto"/>
              <w:bottom w:val="single" w:sz="4" w:space="0" w:color="auto"/>
              <w:right w:val="single" w:sz="4" w:space="0" w:color="auto"/>
            </w:tcBorders>
          </w:tcPr>
          <w:p w14:paraId="1849282B" w14:textId="77777777" w:rsidR="006D21E5" w:rsidRPr="00D11AD1" w:rsidRDefault="006D21E5" w:rsidP="00D11AD1">
            <w:pPr>
              <w:ind w:right="-1"/>
              <w:jc w:val="center"/>
              <w:rPr>
                <w:b/>
                <w:bCs/>
                <w:sz w:val="24"/>
                <w:szCs w:val="24"/>
              </w:rPr>
            </w:pPr>
          </w:p>
        </w:tc>
      </w:tr>
      <w:tr w:rsidR="006D21E5" w:rsidRPr="00D11AD1" w14:paraId="57ED7288"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358F5D57" w14:textId="77777777" w:rsidR="006D21E5" w:rsidRPr="00D11AD1" w:rsidRDefault="006D21E5" w:rsidP="00D11AD1">
            <w:pPr>
              <w:ind w:right="-1"/>
              <w:rPr>
                <w:bCs/>
                <w:sz w:val="24"/>
                <w:szCs w:val="24"/>
              </w:rPr>
            </w:pPr>
            <w:r w:rsidRPr="00D11AD1">
              <w:rPr>
                <w:bCs/>
                <w:sz w:val="24"/>
                <w:szCs w:val="24"/>
              </w:rPr>
              <w:t>Tid-til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57FCA001" w14:textId="77777777" w:rsidR="006D21E5" w:rsidRPr="00D11AD1" w:rsidRDefault="006D21E5" w:rsidP="00D11AD1">
            <w:pPr>
              <w:ind w:right="-1"/>
              <w:jc w:val="center"/>
              <w:rPr>
                <w:sz w:val="24"/>
                <w:szCs w:val="24"/>
              </w:rPr>
            </w:pPr>
            <w:r w:rsidRPr="00D11AD1">
              <w:rPr>
                <w:sz w:val="24"/>
                <w:szCs w:val="24"/>
              </w:rPr>
              <w:t>1,46 (1,20 – 1,77)</w:t>
            </w:r>
          </w:p>
        </w:tc>
        <w:tc>
          <w:tcPr>
            <w:tcW w:w="1540" w:type="dxa"/>
            <w:tcBorders>
              <w:top w:val="single" w:sz="4" w:space="0" w:color="auto"/>
              <w:left w:val="single" w:sz="4" w:space="0" w:color="auto"/>
              <w:bottom w:val="single" w:sz="4" w:space="0" w:color="auto"/>
              <w:right w:val="single" w:sz="4" w:space="0" w:color="auto"/>
            </w:tcBorders>
            <w:hideMark/>
          </w:tcPr>
          <w:p w14:paraId="1193388F" w14:textId="77777777" w:rsidR="006D21E5" w:rsidRPr="00D11AD1" w:rsidRDefault="006D21E5" w:rsidP="00D11AD1">
            <w:pPr>
              <w:ind w:right="-1"/>
              <w:jc w:val="center"/>
              <w:rPr>
                <w:sz w:val="24"/>
                <w:szCs w:val="24"/>
              </w:rPr>
            </w:pPr>
            <w:r w:rsidRPr="00D11AD1">
              <w:rPr>
                <w:sz w:val="24"/>
                <w:szCs w:val="24"/>
              </w:rPr>
              <w:t>p = 0,0001</w:t>
            </w:r>
          </w:p>
        </w:tc>
      </w:tr>
      <w:tr w:rsidR="006D21E5" w:rsidRPr="00D11AD1" w14:paraId="2F61E5BD"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4B4FA82B" w14:textId="77777777" w:rsidR="006D21E5" w:rsidRPr="00D11AD1" w:rsidRDefault="006D21E5" w:rsidP="00D11AD1">
            <w:pPr>
              <w:ind w:right="-1"/>
              <w:rPr>
                <w:bCs/>
                <w:sz w:val="24"/>
                <w:szCs w:val="24"/>
              </w:rPr>
            </w:pPr>
            <w:r w:rsidRPr="00D11AD1">
              <w:rPr>
                <w:bCs/>
                <w:sz w:val="24"/>
                <w:szCs w:val="24"/>
              </w:rPr>
              <w:t>Tid-til MMR</w:t>
            </w:r>
          </w:p>
        </w:tc>
        <w:tc>
          <w:tcPr>
            <w:tcW w:w="4394" w:type="dxa"/>
            <w:gridSpan w:val="2"/>
            <w:tcBorders>
              <w:top w:val="single" w:sz="4" w:space="0" w:color="auto"/>
              <w:left w:val="single" w:sz="4" w:space="0" w:color="auto"/>
              <w:bottom w:val="single" w:sz="4" w:space="0" w:color="auto"/>
              <w:right w:val="single" w:sz="4" w:space="0" w:color="auto"/>
            </w:tcBorders>
            <w:hideMark/>
          </w:tcPr>
          <w:p w14:paraId="49F34E84" w14:textId="77777777" w:rsidR="006D21E5" w:rsidRPr="00D11AD1" w:rsidRDefault="006D21E5" w:rsidP="00D11AD1">
            <w:pPr>
              <w:ind w:right="-1"/>
              <w:jc w:val="center"/>
              <w:rPr>
                <w:sz w:val="24"/>
                <w:szCs w:val="24"/>
              </w:rPr>
            </w:pPr>
            <w:r w:rsidRPr="00D11AD1">
              <w:rPr>
                <w:sz w:val="24"/>
                <w:szCs w:val="24"/>
              </w:rPr>
              <w:t>1,54 (1,25 – 1,89)</w:t>
            </w:r>
          </w:p>
        </w:tc>
        <w:tc>
          <w:tcPr>
            <w:tcW w:w="1540" w:type="dxa"/>
            <w:tcBorders>
              <w:top w:val="single" w:sz="4" w:space="0" w:color="auto"/>
              <w:left w:val="single" w:sz="4" w:space="0" w:color="auto"/>
              <w:bottom w:val="single" w:sz="4" w:space="0" w:color="auto"/>
              <w:right w:val="single" w:sz="4" w:space="0" w:color="auto"/>
            </w:tcBorders>
            <w:hideMark/>
          </w:tcPr>
          <w:p w14:paraId="1617F014" w14:textId="77777777" w:rsidR="006D21E5" w:rsidRPr="00D11AD1" w:rsidRDefault="006D21E5" w:rsidP="00D11AD1">
            <w:pPr>
              <w:ind w:right="-1"/>
              <w:jc w:val="center"/>
              <w:rPr>
                <w:sz w:val="24"/>
                <w:szCs w:val="24"/>
              </w:rPr>
            </w:pPr>
            <w:r w:rsidRPr="00D11AD1">
              <w:rPr>
                <w:sz w:val="24"/>
                <w:szCs w:val="24"/>
              </w:rPr>
              <w:t>p &lt; 0,0001</w:t>
            </w:r>
          </w:p>
        </w:tc>
      </w:tr>
      <w:tr w:rsidR="006D21E5" w:rsidRPr="00D11AD1" w14:paraId="415A8493" w14:textId="77777777" w:rsidTr="00D11AD1">
        <w:trPr>
          <w:trHeight w:val="283"/>
          <w:jc w:val="right"/>
        </w:trPr>
        <w:tc>
          <w:tcPr>
            <w:tcW w:w="2552" w:type="dxa"/>
            <w:tcBorders>
              <w:top w:val="single" w:sz="4" w:space="0" w:color="auto"/>
              <w:left w:val="single" w:sz="4" w:space="0" w:color="auto"/>
              <w:bottom w:val="single" w:sz="4" w:space="0" w:color="auto"/>
              <w:right w:val="single" w:sz="4" w:space="0" w:color="auto"/>
            </w:tcBorders>
            <w:hideMark/>
          </w:tcPr>
          <w:p w14:paraId="59B75F85" w14:textId="77777777" w:rsidR="006D21E5" w:rsidRPr="00D11AD1" w:rsidRDefault="006D21E5" w:rsidP="00D11AD1">
            <w:pPr>
              <w:ind w:right="-1"/>
              <w:rPr>
                <w:b/>
                <w:bCs/>
                <w:sz w:val="24"/>
                <w:szCs w:val="24"/>
              </w:rPr>
            </w:pPr>
            <w:r w:rsidRPr="00D11AD1">
              <w:rPr>
                <w:sz w:val="24"/>
                <w:szCs w:val="24"/>
              </w:rPr>
              <w:lastRenderedPageBreak/>
              <w:t>Varighed af cCCyR</w:t>
            </w:r>
          </w:p>
        </w:tc>
        <w:tc>
          <w:tcPr>
            <w:tcW w:w="4394" w:type="dxa"/>
            <w:gridSpan w:val="2"/>
            <w:tcBorders>
              <w:top w:val="single" w:sz="4" w:space="0" w:color="auto"/>
              <w:left w:val="single" w:sz="4" w:space="0" w:color="auto"/>
              <w:bottom w:val="single" w:sz="4" w:space="0" w:color="auto"/>
              <w:right w:val="single" w:sz="4" w:space="0" w:color="auto"/>
            </w:tcBorders>
            <w:hideMark/>
          </w:tcPr>
          <w:p w14:paraId="6AD865AE" w14:textId="77777777" w:rsidR="006D21E5" w:rsidRPr="00D11AD1" w:rsidRDefault="006D21E5" w:rsidP="00D11AD1">
            <w:pPr>
              <w:ind w:right="-1"/>
              <w:jc w:val="center"/>
              <w:rPr>
                <w:sz w:val="24"/>
                <w:szCs w:val="24"/>
              </w:rPr>
            </w:pPr>
            <w:r w:rsidRPr="00D11AD1">
              <w:rPr>
                <w:sz w:val="24"/>
                <w:szCs w:val="24"/>
              </w:rPr>
              <w:t>0,79 (0,55 – 1,13)</w:t>
            </w:r>
          </w:p>
        </w:tc>
        <w:tc>
          <w:tcPr>
            <w:tcW w:w="1540" w:type="dxa"/>
            <w:tcBorders>
              <w:top w:val="single" w:sz="4" w:space="0" w:color="auto"/>
              <w:left w:val="single" w:sz="4" w:space="0" w:color="auto"/>
              <w:bottom w:val="single" w:sz="4" w:space="0" w:color="auto"/>
              <w:right w:val="single" w:sz="4" w:space="0" w:color="auto"/>
            </w:tcBorders>
            <w:hideMark/>
          </w:tcPr>
          <w:p w14:paraId="0AC1A16D" w14:textId="77777777" w:rsidR="006D21E5" w:rsidRPr="00D11AD1" w:rsidRDefault="006D21E5" w:rsidP="00D11AD1">
            <w:pPr>
              <w:ind w:right="-1"/>
              <w:jc w:val="center"/>
              <w:rPr>
                <w:sz w:val="24"/>
                <w:szCs w:val="24"/>
              </w:rPr>
            </w:pPr>
            <w:r w:rsidRPr="00D11AD1">
              <w:rPr>
                <w:sz w:val="24"/>
                <w:szCs w:val="24"/>
              </w:rPr>
              <w:t>p = 0,1983</w:t>
            </w:r>
          </w:p>
        </w:tc>
      </w:tr>
    </w:tbl>
    <w:p w14:paraId="489CDB29" w14:textId="77777777" w:rsidR="006D21E5" w:rsidRPr="00C44D32" w:rsidRDefault="006D21E5" w:rsidP="006D21E5">
      <w:pPr>
        <w:adjustRightInd w:val="0"/>
        <w:ind w:left="1134" w:hanging="283"/>
        <w:rPr>
          <w:rFonts w:eastAsia="TimesNewRomanPSMT"/>
          <w:sz w:val="24"/>
          <w:szCs w:val="24"/>
        </w:rPr>
      </w:pPr>
      <w:r w:rsidRPr="00D11AD1">
        <w:rPr>
          <w:position w:val="6"/>
          <w:sz w:val="24"/>
          <w:szCs w:val="24"/>
          <w:vertAlign w:val="superscript"/>
        </w:rPr>
        <w:t>a</w:t>
      </w:r>
      <w:r w:rsidRPr="00D11AD1">
        <w:rPr>
          <w:position w:val="6"/>
          <w:sz w:val="24"/>
          <w:szCs w:val="24"/>
          <w:vertAlign w:val="superscript"/>
        </w:rPr>
        <w:tab/>
      </w:r>
      <w:r w:rsidRPr="00C44D32">
        <w:rPr>
          <w:rFonts w:eastAsia="TimesNewRomanPSMT"/>
          <w:sz w:val="24"/>
          <w:szCs w:val="24"/>
        </w:rPr>
        <w:t>Bekræftet cCCyR (</w:t>
      </w:r>
      <w:r w:rsidRPr="00C44D32">
        <w:rPr>
          <w:rFonts w:eastAsia="TimesNewRomanPSMT"/>
          <w:i/>
          <w:iCs/>
          <w:sz w:val="24"/>
          <w:szCs w:val="24"/>
        </w:rPr>
        <w:t>confirmed complete cytogenetic response</w:t>
      </w:r>
      <w:r w:rsidRPr="00C44D32">
        <w:rPr>
          <w:rFonts w:eastAsia="TimesNewRomanPSMT"/>
          <w:sz w:val="24"/>
          <w:szCs w:val="24"/>
        </w:rPr>
        <w:t>) defineres som et respons noteret ved to konsekutive lejligheder (med mindst 28 dages mellemrum).</w:t>
      </w:r>
    </w:p>
    <w:p w14:paraId="449092FB" w14:textId="77777777" w:rsidR="006D21E5" w:rsidRPr="00C44D32" w:rsidRDefault="006D21E5" w:rsidP="006D21E5">
      <w:pPr>
        <w:adjustRightInd w:val="0"/>
        <w:ind w:left="1134" w:hanging="283"/>
        <w:rPr>
          <w:rFonts w:eastAsia="TimesNewRomanPSMT"/>
          <w:sz w:val="24"/>
          <w:szCs w:val="24"/>
        </w:rPr>
      </w:pPr>
      <w:r w:rsidRPr="00C44D32">
        <w:rPr>
          <w:rFonts w:eastAsia="TimesNewRomanPSMT"/>
          <w:sz w:val="24"/>
          <w:szCs w:val="24"/>
          <w:vertAlign w:val="superscript"/>
        </w:rPr>
        <w:t>b</w:t>
      </w:r>
      <w:r w:rsidRPr="00C44D32">
        <w:rPr>
          <w:rFonts w:eastAsia="TimesNewRomanPSMT"/>
          <w:sz w:val="24"/>
          <w:szCs w:val="24"/>
          <w:vertAlign w:val="superscript"/>
        </w:rPr>
        <w:tab/>
      </w:r>
      <w:r w:rsidRPr="00C44D32">
        <w:rPr>
          <w:rFonts w:eastAsia="TimesNewRomanPSMT"/>
          <w:sz w:val="24"/>
          <w:szCs w:val="24"/>
        </w:rPr>
        <w:t>Komplet cytogenisk respons (CCyR) er baseret på en enkelt cytogenetisk knoglemarvsundersøgelse.</w:t>
      </w:r>
    </w:p>
    <w:p w14:paraId="79636DEA" w14:textId="77777777" w:rsidR="006D21E5" w:rsidRPr="00C44D32" w:rsidRDefault="006D21E5" w:rsidP="006D21E5">
      <w:pPr>
        <w:adjustRightInd w:val="0"/>
        <w:ind w:left="1134" w:hanging="283"/>
        <w:rPr>
          <w:rFonts w:eastAsia="TimesNewRomanPSMT"/>
          <w:sz w:val="24"/>
          <w:szCs w:val="24"/>
        </w:rPr>
      </w:pPr>
      <w:r w:rsidRPr="00C44D32">
        <w:rPr>
          <w:rFonts w:eastAsia="TimesNewRomanPSMT"/>
          <w:sz w:val="24"/>
          <w:szCs w:val="24"/>
          <w:vertAlign w:val="superscript"/>
        </w:rPr>
        <w:t>c</w:t>
      </w:r>
      <w:r w:rsidRPr="00C44D32">
        <w:rPr>
          <w:rFonts w:eastAsia="TimesNewRomanPSMT"/>
          <w:sz w:val="24"/>
          <w:szCs w:val="24"/>
          <w:vertAlign w:val="superscript"/>
        </w:rPr>
        <w:tab/>
      </w:r>
      <w:r w:rsidRPr="00C44D32">
        <w:rPr>
          <w:rFonts w:eastAsia="TimesNewRomanPSMT"/>
          <w:sz w:val="24"/>
          <w:szCs w:val="24"/>
        </w:rPr>
        <w:t>Major molekylært respons (til enhver tid) er defineret som BCR-ABL forhold ≤ 0,1 % ved RQ-PCR i perifere blodprøver, som er standardiseret efter den internationale skala. Disse er kumulative rater, der repræsenterer den tidligste opfølgning I den nævnte periode.</w:t>
      </w:r>
    </w:p>
    <w:p w14:paraId="767C95D4" w14:textId="77777777" w:rsidR="006D21E5" w:rsidRPr="00C44D32" w:rsidRDefault="006D21E5" w:rsidP="006D21E5">
      <w:pPr>
        <w:spacing w:line="237" w:lineRule="auto"/>
        <w:ind w:left="1134" w:right="913" w:hanging="283"/>
        <w:rPr>
          <w:position w:val="6"/>
          <w:sz w:val="24"/>
          <w:szCs w:val="24"/>
        </w:rPr>
      </w:pPr>
      <w:r w:rsidRPr="00C44D32">
        <w:rPr>
          <w:position w:val="6"/>
          <w:sz w:val="24"/>
          <w:szCs w:val="24"/>
        </w:rPr>
        <w:t>*</w:t>
      </w:r>
      <w:r w:rsidRPr="00C44D32">
        <w:rPr>
          <w:position w:val="6"/>
          <w:sz w:val="24"/>
          <w:szCs w:val="24"/>
        </w:rPr>
        <w:tab/>
        <w:t>Tilpasset Hasford Score og angav statistisk betydning ved et foruddefineret, nominelt betydningsniveau. CI = konfidensinterval</w:t>
      </w:r>
    </w:p>
    <w:p w14:paraId="48DC6CF5" w14:textId="77777777" w:rsidR="006D21E5" w:rsidRPr="00D11AD1" w:rsidRDefault="006D21E5" w:rsidP="00D91AD6">
      <w:pPr>
        <w:adjustRightInd w:val="0"/>
        <w:ind w:left="851"/>
        <w:rPr>
          <w:rFonts w:eastAsia="TimesNewRomanPSMT"/>
          <w:sz w:val="24"/>
          <w:szCs w:val="24"/>
        </w:rPr>
      </w:pPr>
    </w:p>
    <w:p w14:paraId="0D4DDF6C" w14:textId="248CCE8B" w:rsidR="006A3EF9" w:rsidRPr="00D11AD1" w:rsidRDefault="006A3EF9" w:rsidP="00D91AD6">
      <w:pPr>
        <w:adjustRightInd w:val="0"/>
        <w:ind w:left="851"/>
        <w:rPr>
          <w:rFonts w:eastAsia="TimesNewRomanPSMT"/>
          <w:sz w:val="24"/>
          <w:szCs w:val="24"/>
        </w:rPr>
      </w:pPr>
      <w:r w:rsidRPr="00D11AD1">
        <w:rPr>
          <w:rFonts w:eastAsia="TimesNewRomanPSMT"/>
          <w:sz w:val="24"/>
          <w:szCs w:val="24"/>
        </w:rPr>
        <w:t>Efter 60 måneders opfølgning var mediantiden til cCCyR 3,1 måneder i dasatinibgruppen og 5,8 måneder i imatinib gruppen hos patienter med en bekræftet CCyR. Mediantiden til MMR var efter 60 måneders opfølgning 9,3 måneder i dasatinibgruppen og 15,0 måneder i imatinib gruppen hos patienter med en MMR. Disse resultater stemmer overens med resultaterne, set efter 12, 24 og 36 måneder.</w:t>
      </w:r>
    </w:p>
    <w:p w14:paraId="7F80EA81" w14:textId="77777777" w:rsidR="006A3EF9" w:rsidRPr="00D11AD1" w:rsidRDefault="006A3EF9" w:rsidP="00D91AD6">
      <w:pPr>
        <w:adjustRightInd w:val="0"/>
        <w:ind w:left="851"/>
        <w:rPr>
          <w:rFonts w:eastAsia="TimesNewRomanPSMT"/>
          <w:sz w:val="24"/>
          <w:szCs w:val="24"/>
        </w:rPr>
      </w:pPr>
    </w:p>
    <w:p w14:paraId="0FB14084" w14:textId="77777777" w:rsidR="006A3EF9" w:rsidRPr="00D11AD1" w:rsidRDefault="006A3EF9" w:rsidP="00D91AD6">
      <w:pPr>
        <w:adjustRightInd w:val="0"/>
        <w:ind w:left="851"/>
        <w:rPr>
          <w:rFonts w:eastAsia="TimesNewRomanPSMT"/>
          <w:sz w:val="24"/>
          <w:szCs w:val="24"/>
        </w:rPr>
      </w:pPr>
      <w:r w:rsidRPr="00D11AD1">
        <w:rPr>
          <w:rFonts w:eastAsia="TimesNewRomanPSMT"/>
          <w:sz w:val="24"/>
          <w:szCs w:val="24"/>
        </w:rPr>
        <w:t>Tid til MMR er vist grafisk i Figur 1. Tid til MMR var konsekvent kortere hos dasatinib behandlede patienter sammenlignet med imatinib behandlede patienter.</w:t>
      </w:r>
    </w:p>
    <w:p w14:paraId="34DBB854" w14:textId="77777777" w:rsidR="001C02F9" w:rsidRPr="00D11AD1" w:rsidRDefault="001C02F9" w:rsidP="00D91AD6">
      <w:pPr>
        <w:tabs>
          <w:tab w:val="left" w:pos="851"/>
        </w:tabs>
        <w:ind w:left="851"/>
        <w:rPr>
          <w:sz w:val="24"/>
          <w:szCs w:val="24"/>
        </w:rPr>
      </w:pPr>
    </w:p>
    <w:p w14:paraId="3743B4E0" w14:textId="22B7DC17" w:rsidR="00D91AD6" w:rsidRPr="00D11AD1" w:rsidRDefault="00F84077" w:rsidP="00D91AD6">
      <w:pPr>
        <w:tabs>
          <w:tab w:val="left" w:pos="851"/>
        </w:tabs>
        <w:ind w:left="851"/>
        <w:rPr>
          <w:b/>
          <w:sz w:val="24"/>
          <w:szCs w:val="24"/>
        </w:rPr>
      </w:pPr>
      <w:r w:rsidRPr="00D11AD1">
        <w:rPr>
          <w:b/>
          <w:sz w:val="24"/>
          <w:szCs w:val="24"/>
        </w:rPr>
        <w:t xml:space="preserve">Figur 1: </w:t>
      </w:r>
      <w:r w:rsidRPr="00D11AD1">
        <w:rPr>
          <w:b/>
          <w:w w:val="105"/>
          <w:sz w:val="24"/>
          <w:szCs w:val="24"/>
          <w:lang w:val="nb-NO"/>
        </w:rPr>
        <w:t xml:space="preserve">Kaplan-Meier </w:t>
      </w:r>
      <w:r w:rsidRPr="00D11AD1">
        <w:rPr>
          <w:rFonts w:eastAsia="TimesNewRomanPS-BoldMT"/>
          <w:b/>
          <w:bCs/>
          <w:sz w:val="24"/>
          <w:szCs w:val="24"/>
          <w:lang w:val="nb-NO"/>
        </w:rPr>
        <w:t>estimat over tid til major molekylært respons (MMR)</w:t>
      </w:r>
    </w:p>
    <w:p w14:paraId="3B7EBDAE" w14:textId="77777777" w:rsidR="00D91AD6" w:rsidRPr="00D11AD1" w:rsidRDefault="00D91AD6" w:rsidP="00D91AD6">
      <w:pPr>
        <w:tabs>
          <w:tab w:val="left" w:pos="851"/>
        </w:tabs>
        <w:ind w:left="851"/>
        <w:rPr>
          <w:sz w:val="24"/>
          <w:szCs w:val="24"/>
        </w:rPr>
      </w:pPr>
    </w:p>
    <w:p w14:paraId="083FA0EB" w14:textId="00DDEDA3" w:rsidR="00D91AD6" w:rsidRPr="00D11AD1" w:rsidRDefault="000C1329" w:rsidP="00D91AD6">
      <w:pPr>
        <w:tabs>
          <w:tab w:val="left" w:pos="851"/>
        </w:tabs>
        <w:ind w:left="851"/>
        <w:rPr>
          <w:sz w:val="24"/>
          <w:szCs w:val="24"/>
        </w:rPr>
      </w:pPr>
      <w:r w:rsidRPr="00D11AD1">
        <w:rPr>
          <w:noProof/>
          <w:sz w:val="24"/>
          <w:szCs w:val="24"/>
        </w:rPr>
        <w:drawing>
          <wp:inline distT="0" distB="0" distL="0" distR="0" wp14:anchorId="5CF22AEE" wp14:editId="5165C673">
            <wp:extent cx="5588000" cy="3950575"/>
            <wp:effectExtent l="0" t="0" r="0" b="0"/>
            <wp:docPr id="5"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a:stretch>
                      <a:fillRect/>
                    </a:stretch>
                  </pic:blipFill>
                  <pic:spPr>
                    <a:xfrm>
                      <a:off x="0" y="0"/>
                      <a:ext cx="5588000" cy="3950575"/>
                    </a:xfrm>
                    <a:prstGeom prst="rect">
                      <a:avLst/>
                    </a:prstGeom>
                    <a:noFill/>
                    <a:ln>
                      <a:noFill/>
                      <a:prstDash/>
                    </a:ln>
                  </pic:spPr>
                </pic:pic>
              </a:graphicData>
            </a:graphic>
          </wp:inline>
        </w:drawing>
      </w:r>
    </w:p>
    <w:p w14:paraId="7BDF4C90" w14:textId="40891D30" w:rsidR="00F84077" w:rsidRPr="00D11AD1" w:rsidRDefault="00F84077" w:rsidP="00D91AD6">
      <w:pPr>
        <w:tabs>
          <w:tab w:val="left" w:pos="851"/>
        </w:tabs>
        <w:ind w:left="851"/>
        <w:rPr>
          <w:sz w:val="24"/>
          <w:szCs w:val="24"/>
        </w:rPr>
      </w:pPr>
    </w:p>
    <w:p w14:paraId="1A2F2946" w14:textId="0B771713" w:rsidR="000C1329" w:rsidRPr="00D11AD1" w:rsidRDefault="000C1329" w:rsidP="000C1329">
      <w:pPr>
        <w:tabs>
          <w:tab w:val="left" w:pos="851"/>
        </w:tabs>
        <w:ind w:left="851"/>
        <w:rPr>
          <w:sz w:val="24"/>
          <w:szCs w:val="24"/>
        </w:rPr>
      </w:pPr>
      <w:r w:rsidRPr="00D11AD1">
        <w:rPr>
          <w:sz w:val="24"/>
          <w:szCs w:val="24"/>
        </w:rPr>
        <w:t>Raten for cCCyR i dasatinib</w:t>
      </w:r>
      <w:r w:rsidR="00390F70" w:rsidRPr="00D11AD1">
        <w:rPr>
          <w:sz w:val="24"/>
          <w:szCs w:val="24"/>
        </w:rPr>
        <w:t>-</w:t>
      </w:r>
      <w:r w:rsidR="00C95960" w:rsidRPr="00D11AD1">
        <w:rPr>
          <w:sz w:val="24"/>
          <w:szCs w:val="24"/>
        </w:rPr>
        <w:t xml:space="preserve"> </w:t>
      </w:r>
      <w:r w:rsidRPr="00D11AD1">
        <w:rPr>
          <w:sz w:val="24"/>
          <w:szCs w:val="24"/>
        </w:rPr>
        <w:t>og imatinib</w:t>
      </w:r>
      <w:r w:rsidR="00390F70" w:rsidRPr="00D11AD1">
        <w:rPr>
          <w:sz w:val="24"/>
          <w:szCs w:val="24"/>
        </w:rPr>
        <w:t>-</w:t>
      </w:r>
      <w:r w:rsidRPr="00D11AD1">
        <w:rPr>
          <w:sz w:val="24"/>
          <w:szCs w:val="24"/>
        </w:rPr>
        <w:t>gruppen inden for 3 måneder (54</w:t>
      </w:r>
      <w:r w:rsidR="00FA34A4" w:rsidRPr="00D11AD1">
        <w:rPr>
          <w:sz w:val="24"/>
          <w:szCs w:val="24"/>
        </w:rPr>
        <w:t xml:space="preserve"> %</w:t>
      </w:r>
      <w:r w:rsidRPr="00D11AD1">
        <w:rPr>
          <w:sz w:val="24"/>
          <w:szCs w:val="24"/>
        </w:rPr>
        <w:t xml:space="preserve"> og 30</w:t>
      </w:r>
      <w:r w:rsidR="00FA34A4" w:rsidRPr="00D11AD1">
        <w:rPr>
          <w:sz w:val="24"/>
          <w:szCs w:val="24"/>
        </w:rPr>
        <w:t xml:space="preserve"> %</w:t>
      </w:r>
      <w:r w:rsidRPr="00D11AD1">
        <w:rPr>
          <w:sz w:val="24"/>
          <w:szCs w:val="24"/>
        </w:rPr>
        <w:t>), 6 måneder (70</w:t>
      </w:r>
      <w:r w:rsidR="00FA34A4" w:rsidRPr="00D11AD1">
        <w:rPr>
          <w:sz w:val="24"/>
          <w:szCs w:val="24"/>
        </w:rPr>
        <w:t xml:space="preserve"> %</w:t>
      </w:r>
      <w:r w:rsidRPr="00D11AD1">
        <w:rPr>
          <w:sz w:val="24"/>
          <w:szCs w:val="24"/>
        </w:rPr>
        <w:t xml:space="preserve"> og 56</w:t>
      </w:r>
      <w:r w:rsidR="00FA34A4" w:rsidRPr="00D11AD1">
        <w:rPr>
          <w:sz w:val="24"/>
          <w:szCs w:val="24"/>
        </w:rPr>
        <w:t xml:space="preserve"> %</w:t>
      </w:r>
      <w:r w:rsidRPr="00D11AD1">
        <w:rPr>
          <w:sz w:val="24"/>
          <w:szCs w:val="24"/>
        </w:rPr>
        <w:t>), 9 måneder (75</w:t>
      </w:r>
      <w:r w:rsidR="00FA34A4" w:rsidRPr="00D11AD1">
        <w:rPr>
          <w:sz w:val="24"/>
          <w:szCs w:val="24"/>
        </w:rPr>
        <w:t xml:space="preserve"> %</w:t>
      </w:r>
      <w:r w:rsidRPr="00D11AD1">
        <w:rPr>
          <w:sz w:val="24"/>
          <w:szCs w:val="24"/>
        </w:rPr>
        <w:t xml:space="preserve"> og 63</w:t>
      </w:r>
      <w:r w:rsidR="00FA34A4" w:rsidRPr="00D11AD1">
        <w:rPr>
          <w:sz w:val="24"/>
          <w:szCs w:val="24"/>
        </w:rPr>
        <w:t xml:space="preserve"> %</w:t>
      </w:r>
      <w:r w:rsidRPr="00D11AD1">
        <w:rPr>
          <w:sz w:val="24"/>
          <w:szCs w:val="24"/>
        </w:rPr>
        <w:t>), 24 måneder (80</w:t>
      </w:r>
      <w:r w:rsidR="00FA34A4" w:rsidRPr="00D11AD1">
        <w:rPr>
          <w:sz w:val="24"/>
          <w:szCs w:val="24"/>
        </w:rPr>
        <w:t xml:space="preserve"> %</w:t>
      </w:r>
      <w:r w:rsidRPr="00D11AD1">
        <w:rPr>
          <w:sz w:val="24"/>
          <w:szCs w:val="24"/>
        </w:rPr>
        <w:t xml:space="preserve"> og 74</w:t>
      </w:r>
      <w:r w:rsidR="00FA34A4" w:rsidRPr="00D11AD1">
        <w:rPr>
          <w:sz w:val="24"/>
          <w:szCs w:val="24"/>
        </w:rPr>
        <w:t xml:space="preserve"> %</w:t>
      </w:r>
      <w:r w:rsidRPr="00D11AD1">
        <w:rPr>
          <w:sz w:val="24"/>
          <w:szCs w:val="24"/>
        </w:rPr>
        <w:t>), 36 måneder (83</w:t>
      </w:r>
      <w:r w:rsidR="00FA34A4" w:rsidRPr="00D11AD1">
        <w:rPr>
          <w:sz w:val="24"/>
          <w:szCs w:val="24"/>
        </w:rPr>
        <w:t xml:space="preserve"> %</w:t>
      </w:r>
      <w:r w:rsidRPr="00D11AD1">
        <w:rPr>
          <w:sz w:val="24"/>
          <w:szCs w:val="24"/>
        </w:rPr>
        <w:t xml:space="preserve"> og 77</w:t>
      </w:r>
      <w:r w:rsidR="00FA34A4" w:rsidRPr="00D11AD1">
        <w:rPr>
          <w:sz w:val="24"/>
          <w:szCs w:val="24"/>
        </w:rPr>
        <w:t xml:space="preserve"> %</w:t>
      </w:r>
      <w:r w:rsidRPr="00D11AD1">
        <w:rPr>
          <w:sz w:val="24"/>
          <w:szCs w:val="24"/>
        </w:rPr>
        <w:t>), 48 måneder (83</w:t>
      </w:r>
      <w:r w:rsidR="00FA34A4" w:rsidRPr="00D11AD1">
        <w:rPr>
          <w:sz w:val="24"/>
          <w:szCs w:val="24"/>
        </w:rPr>
        <w:t xml:space="preserve"> %</w:t>
      </w:r>
      <w:r w:rsidRPr="00D11AD1">
        <w:rPr>
          <w:sz w:val="24"/>
          <w:szCs w:val="24"/>
        </w:rPr>
        <w:t xml:space="preserve"> og 79</w:t>
      </w:r>
      <w:r w:rsidR="00FA34A4" w:rsidRPr="00D11AD1">
        <w:rPr>
          <w:sz w:val="24"/>
          <w:szCs w:val="24"/>
        </w:rPr>
        <w:t xml:space="preserve"> %</w:t>
      </w:r>
      <w:r w:rsidRPr="00D11AD1">
        <w:rPr>
          <w:sz w:val="24"/>
          <w:szCs w:val="24"/>
        </w:rPr>
        <w:t>) og 60 måneder (83</w:t>
      </w:r>
      <w:r w:rsidR="00FA34A4" w:rsidRPr="00D11AD1">
        <w:rPr>
          <w:sz w:val="24"/>
          <w:szCs w:val="24"/>
        </w:rPr>
        <w:t xml:space="preserve"> %</w:t>
      </w:r>
      <w:r w:rsidRPr="00D11AD1">
        <w:rPr>
          <w:sz w:val="24"/>
          <w:szCs w:val="24"/>
        </w:rPr>
        <w:t xml:space="preserve"> og 79</w:t>
      </w:r>
      <w:r w:rsidR="00FA34A4" w:rsidRPr="00D11AD1">
        <w:rPr>
          <w:sz w:val="24"/>
          <w:szCs w:val="24"/>
        </w:rPr>
        <w:t xml:space="preserve"> %</w:t>
      </w:r>
      <w:r w:rsidRPr="00D11AD1">
        <w:rPr>
          <w:sz w:val="24"/>
          <w:szCs w:val="24"/>
        </w:rPr>
        <w:t>) var i overensstemmelse med det primære endepunkt. Raten for MMR i dasatinib</w:t>
      </w:r>
      <w:r w:rsidR="00390F70" w:rsidRPr="00D11AD1">
        <w:rPr>
          <w:sz w:val="24"/>
          <w:szCs w:val="24"/>
        </w:rPr>
        <w:t xml:space="preserve">- </w:t>
      </w:r>
      <w:r w:rsidRPr="00D11AD1">
        <w:rPr>
          <w:sz w:val="24"/>
          <w:szCs w:val="24"/>
        </w:rPr>
        <w:t xml:space="preserve">og </w:t>
      </w:r>
      <w:r w:rsidRPr="00D11AD1">
        <w:rPr>
          <w:sz w:val="24"/>
          <w:szCs w:val="24"/>
        </w:rPr>
        <w:lastRenderedPageBreak/>
        <w:t>imatinib</w:t>
      </w:r>
      <w:r w:rsidR="00390F70" w:rsidRPr="00D11AD1">
        <w:rPr>
          <w:sz w:val="24"/>
          <w:szCs w:val="24"/>
        </w:rPr>
        <w:t>-</w:t>
      </w:r>
      <w:r w:rsidRPr="00D11AD1">
        <w:rPr>
          <w:sz w:val="24"/>
          <w:szCs w:val="24"/>
        </w:rPr>
        <w:t>gruppen inden for 3 måneder (8</w:t>
      </w:r>
      <w:r w:rsidR="00FA34A4" w:rsidRPr="00D11AD1">
        <w:rPr>
          <w:sz w:val="24"/>
          <w:szCs w:val="24"/>
        </w:rPr>
        <w:t xml:space="preserve"> %</w:t>
      </w:r>
      <w:r w:rsidRPr="00D11AD1">
        <w:rPr>
          <w:sz w:val="24"/>
          <w:szCs w:val="24"/>
        </w:rPr>
        <w:t xml:space="preserve"> og 0,4</w:t>
      </w:r>
      <w:r w:rsidR="00FA34A4" w:rsidRPr="00D11AD1">
        <w:rPr>
          <w:sz w:val="24"/>
          <w:szCs w:val="24"/>
        </w:rPr>
        <w:t xml:space="preserve"> %</w:t>
      </w:r>
      <w:r w:rsidRPr="00D11AD1">
        <w:rPr>
          <w:sz w:val="24"/>
          <w:szCs w:val="24"/>
        </w:rPr>
        <w:t>), 6 måneder (27</w:t>
      </w:r>
      <w:r w:rsidR="00FA34A4" w:rsidRPr="00D11AD1">
        <w:rPr>
          <w:sz w:val="24"/>
          <w:szCs w:val="24"/>
        </w:rPr>
        <w:t xml:space="preserve"> %</w:t>
      </w:r>
      <w:r w:rsidRPr="00D11AD1">
        <w:rPr>
          <w:sz w:val="24"/>
          <w:szCs w:val="24"/>
        </w:rPr>
        <w:t xml:space="preserve"> og 8</w:t>
      </w:r>
      <w:r w:rsidR="00FA34A4" w:rsidRPr="00D11AD1">
        <w:rPr>
          <w:sz w:val="24"/>
          <w:szCs w:val="24"/>
        </w:rPr>
        <w:t xml:space="preserve"> %</w:t>
      </w:r>
      <w:r w:rsidRPr="00D11AD1">
        <w:rPr>
          <w:sz w:val="24"/>
          <w:szCs w:val="24"/>
        </w:rPr>
        <w:t>), 9 måneder (39</w:t>
      </w:r>
      <w:r w:rsidR="00FA34A4" w:rsidRPr="00D11AD1">
        <w:rPr>
          <w:sz w:val="24"/>
          <w:szCs w:val="24"/>
        </w:rPr>
        <w:t xml:space="preserve"> %</w:t>
      </w:r>
      <w:r w:rsidRPr="00D11AD1">
        <w:rPr>
          <w:sz w:val="24"/>
          <w:szCs w:val="24"/>
        </w:rPr>
        <w:t xml:space="preserve"> og 18</w:t>
      </w:r>
      <w:r w:rsidR="00FA34A4" w:rsidRPr="00D11AD1">
        <w:rPr>
          <w:sz w:val="24"/>
          <w:szCs w:val="24"/>
        </w:rPr>
        <w:t xml:space="preserve"> %</w:t>
      </w:r>
      <w:r w:rsidRPr="00D11AD1">
        <w:rPr>
          <w:sz w:val="24"/>
          <w:szCs w:val="24"/>
        </w:rPr>
        <w:t>), 12 måneder (46</w:t>
      </w:r>
      <w:r w:rsidR="00FA34A4" w:rsidRPr="00D11AD1">
        <w:rPr>
          <w:sz w:val="24"/>
          <w:szCs w:val="24"/>
        </w:rPr>
        <w:t xml:space="preserve"> %</w:t>
      </w:r>
      <w:r w:rsidRPr="00D11AD1">
        <w:rPr>
          <w:sz w:val="24"/>
          <w:szCs w:val="24"/>
        </w:rPr>
        <w:t xml:space="preserve"> og 28</w:t>
      </w:r>
      <w:r w:rsidR="00FA34A4" w:rsidRPr="00D11AD1">
        <w:rPr>
          <w:sz w:val="24"/>
          <w:szCs w:val="24"/>
        </w:rPr>
        <w:t xml:space="preserve"> %</w:t>
      </w:r>
      <w:r w:rsidRPr="00D11AD1">
        <w:rPr>
          <w:sz w:val="24"/>
          <w:szCs w:val="24"/>
        </w:rPr>
        <w:t>), 24 måneder (64</w:t>
      </w:r>
      <w:r w:rsidR="00FA34A4" w:rsidRPr="00D11AD1">
        <w:rPr>
          <w:sz w:val="24"/>
          <w:szCs w:val="24"/>
        </w:rPr>
        <w:t xml:space="preserve"> %</w:t>
      </w:r>
      <w:r w:rsidRPr="00D11AD1">
        <w:rPr>
          <w:sz w:val="24"/>
          <w:szCs w:val="24"/>
        </w:rPr>
        <w:t xml:space="preserve"> og 46</w:t>
      </w:r>
      <w:r w:rsidR="00FA34A4" w:rsidRPr="00D11AD1">
        <w:rPr>
          <w:sz w:val="24"/>
          <w:szCs w:val="24"/>
        </w:rPr>
        <w:t xml:space="preserve"> %</w:t>
      </w:r>
      <w:r w:rsidRPr="00D11AD1">
        <w:rPr>
          <w:sz w:val="24"/>
          <w:szCs w:val="24"/>
        </w:rPr>
        <w:t>), 36 måneder (67</w:t>
      </w:r>
      <w:r w:rsidR="00FA34A4" w:rsidRPr="00D11AD1">
        <w:rPr>
          <w:sz w:val="24"/>
          <w:szCs w:val="24"/>
        </w:rPr>
        <w:t xml:space="preserve"> %</w:t>
      </w:r>
      <w:r w:rsidRPr="00D11AD1">
        <w:rPr>
          <w:sz w:val="24"/>
          <w:szCs w:val="24"/>
        </w:rPr>
        <w:t xml:space="preserve"> og 55</w:t>
      </w:r>
      <w:r w:rsidR="00FA34A4" w:rsidRPr="00D11AD1">
        <w:rPr>
          <w:sz w:val="24"/>
          <w:szCs w:val="24"/>
        </w:rPr>
        <w:t xml:space="preserve"> %</w:t>
      </w:r>
      <w:r w:rsidRPr="00D11AD1">
        <w:rPr>
          <w:sz w:val="24"/>
          <w:szCs w:val="24"/>
        </w:rPr>
        <w:t>), 48 måneder (73</w:t>
      </w:r>
      <w:r w:rsidR="00FA34A4" w:rsidRPr="00D11AD1">
        <w:rPr>
          <w:sz w:val="24"/>
          <w:szCs w:val="24"/>
        </w:rPr>
        <w:t xml:space="preserve"> %</w:t>
      </w:r>
      <w:r w:rsidRPr="00D11AD1">
        <w:rPr>
          <w:sz w:val="24"/>
          <w:szCs w:val="24"/>
        </w:rPr>
        <w:t xml:space="preserve"> og 60</w:t>
      </w:r>
      <w:r w:rsidR="00FA34A4" w:rsidRPr="00D11AD1">
        <w:rPr>
          <w:sz w:val="24"/>
          <w:szCs w:val="24"/>
        </w:rPr>
        <w:t xml:space="preserve"> %</w:t>
      </w:r>
      <w:r w:rsidRPr="00D11AD1">
        <w:rPr>
          <w:sz w:val="24"/>
          <w:szCs w:val="24"/>
        </w:rPr>
        <w:t>) og 60 måneder (76</w:t>
      </w:r>
      <w:r w:rsidR="00FA34A4" w:rsidRPr="00D11AD1">
        <w:rPr>
          <w:sz w:val="24"/>
          <w:szCs w:val="24"/>
        </w:rPr>
        <w:t xml:space="preserve"> %</w:t>
      </w:r>
      <w:r w:rsidRPr="00D11AD1">
        <w:rPr>
          <w:sz w:val="24"/>
          <w:szCs w:val="24"/>
        </w:rPr>
        <w:t xml:space="preserve"> og 64</w:t>
      </w:r>
      <w:r w:rsidR="00FA34A4" w:rsidRPr="00D11AD1">
        <w:rPr>
          <w:sz w:val="24"/>
          <w:szCs w:val="24"/>
        </w:rPr>
        <w:t xml:space="preserve"> %</w:t>
      </w:r>
      <w:r w:rsidRPr="00D11AD1">
        <w:rPr>
          <w:sz w:val="24"/>
          <w:szCs w:val="24"/>
        </w:rPr>
        <w:t xml:space="preserve">) var også </w:t>
      </w:r>
      <w:r w:rsidR="00390F70" w:rsidRPr="00D11AD1">
        <w:rPr>
          <w:sz w:val="24"/>
          <w:szCs w:val="24"/>
        </w:rPr>
        <w:t>i</w:t>
      </w:r>
      <w:r w:rsidRPr="00D11AD1">
        <w:rPr>
          <w:sz w:val="24"/>
          <w:szCs w:val="24"/>
        </w:rPr>
        <w:t xml:space="preserve"> overensstemmelse med det primære endepunkt.</w:t>
      </w:r>
    </w:p>
    <w:p w14:paraId="1E4F215F" w14:textId="77777777" w:rsidR="000C1329" w:rsidRPr="00D11AD1" w:rsidRDefault="000C1329" w:rsidP="000C1329">
      <w:pPr>
        <w:tabs>
          <w:tab w:val="left" w:pos="851"/>
        </w:tabs>
        <w:ind w:left="851"/>
        <w:rPr>
          <w:sz w:val="24"/>
          <w:szCs w:val="24"/>
        </w:rPr>
      </w:pPr>
    </w:p>
    <w:p w14:paraId="5CC0032A" w14:textId="5760BF3E" w:rsidR="000C1329" w:rsidRPr="00D11AD1" w:rsidRDefault="000C1329" w:rsidP="000C1329">
      <w:pPr>
        <w:tabs>
          <w:tab w:val="left" w:pos="851"/>
        </w:tabs>
        <w:ind w:left="851"/>
        <w:rPr>
          <w:sz w:val="24"/>
          <w:szCs w:val="24"/>
        </w:rPr>
      </w:pPr>
      <w:r w:rsidRPr="00D11AD1">
        <w:rPr>
          <w:sz w:val="24"/>
          <w:szCs w:val="24"/>
        </w:rPr>
        <w:t xml:space="preserve">Raten for MMR på specifikke tidspunkter er vist grafisk i Figur 2. Raten for MMR var konsekvent højere hos </w:t>
      </w:r>
      <w:r w:rsidR="00390F70" w:rsidRPr="00D11AD1">
        <w:rPr>
          <w:sz w:val="24"/>
          <w:szCs w:val="24"/>
        </w:rPr>
        <w:t>d</w:t>
      </w:r>
      <w:r w:rsidRPr="00D11AD1">
        <w:rPr>
          <w:sz w:val="24"/>
          <w:szCs w:val="24"/>
        </w:rPr>
        <w:t>asatinib behandlede patienter sammenlignet med imatinib behandlede patienter.</w:t>
      </w:r>
    </w:p>
    <w:p w14:paraId="56475782" w14:textId="77777777" w:rsidR="00F84077" w:rsidRPr="00D11AD1" w:rsidRDefault="00F84077" w:rsidP="00D91AD6">
      <w:pPr>
        <w:tabs>
          <w:tab w:val="left" w:pos="851"/>
        </w:tabs>
        <w:ind w:left="851"/>
        <w:rPr>
          <w:sz w:val="24"/>
          <w:szCs w:val="24"/>
        </w:rPr>
      </w:pPr>
    </w:p>
    <w:p w14:paraId="32ACB1D9" w14:textId="77777777" w:rsidR="00E80B5F" w:rsidRPr="00D11AD1" w:rsidRDefault="00E80B5F" w:rsidP="00E80B5F">
      <w:pPr>
        <w:tabs>
          <w:tab w:val="left" w:pos="851"/>
        </w:tabs>
        <w:ind w:left="851"/>
        <w:rPr>
          <w:b/>
          <w:bCs/>
          <w:sz w:val="24"/>
          <w:szCs w:val="24"/>
        </w:rPr>
      </w:pPr>
      <w:r w:rsidRPr="00D11AD1">
        <w:rPr>
          <w:b/>
          <w:sz w:val="24"/>
          <w:szCs w:val="24"/>
        </w:rPr>
        <w:t xml:space="preserve">Figur 2: </w:t>
      </w:r>
      <w:r w:rsidRPr="00D11AD1">
        <w:rPr>
          <w:b/>
          <w:bCs/>
          <w:sz w:val="24"/>
          <w:szCs w:val="24"/>
        </w:rPr>
        <w:t>MMR-rater over tid - alle randomiserede patienter i et fase 3-studie med patienter med nyligt diagnosticeret CML i kronisk fase</w:t>
      </w:r>
    </w:p>
    <w:p w14:paraId="262FAF45" w14:textId="77777777" w:rsidR="00E80B5F" w:rsidRPr="00D11AD1" w:rsidRDefault="00E80B5F" w:rsidP="00E80B5F">
      <w:pPr>
        <w:tabs>
          <w:tab w:val="left" w:pos="851"/>
        </w:tabs>
        <w:ind w:left="851"/>
        <w:rPr>
          <w:bCs/>
          <w:sz w:val="24"/>
          <w:szCs w:val="24"/>
        </w:rPr>
      </w:pPr>
    </w:p>
    <w:p w14:paraId="5F16764C" w14:textId="4BA63033" w:rsidR="00F84077" w:rsidRPr="00D11AD1" w:rsidRDefault="00E80B5F" w:rsidP="00D91AD6">
      <w:pPr>
        <w:tabs>
          <w:tab w:val="left" w:pos="851"/>
        </w:tabs>
        <w:ind w:left="851"/>
        <w:rPr>
          <w:sz w:val="24"/>
          <w:szCs w:val="24"/>
        </w:rPr>
      </w:pPr>
      <w:r w:rsidRPr="00D11AD1">
        <w:rPr>
          <w:b/>
          <w:noProof/>
          <w:w w:val="105"/>
          <w:sz w:val="24"/>
          <w:szCs w:val="24"/>
        </w:rPr>
        <w:drawing>
          <wp:inline distT="0" distB="0" distL="0" distR="0" wp14:anchorId="4193F5C9" wp14:editId="6448F104">
            <wp:extent cx="5339283" cy="3233300"/>
            <wp:effectExtent l="0" t="0" r="0" b="5715"/>
            <wp:docPr id="14" name="Billed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351619" cy="3240770"/>
                    </a:xfrm>
                    <a:prstGeom prst="rect">
                      <a:avLst/>
                    </a:prstGeom>
                  </pic:spPr>
                </pic:pic>
              </a:graphicData>
            </a:graphic>
          </wp:inline>
        </w:drawing>
      </w:r>
    </w:p>
    <w:p w14:paraId="34478389" w14:textId="368DEAAC" w:rsidR="000C1329" w:rsidRPr="00D11AD1" w:rsidRDefault="000C1329" w:rsidP="00D91AD6">
      <w:pPr>
        <w:tabs>
          <w:tab w:val="left" w:pos="851"/>
        </w:tabs>
        <w:ind w:left="851"/>
        <w:rPr>
          <w:sz w:val="24"/>
          <w:szCs w:val="24"/>
        </w:rPr>
      </w:pPr>
    </w:p>
    <w:p w14:paraId="7F13FBB3" w14:textId="49B709CD" w:rsidR="00E80B5F" w:rsidRPr="00D11AD1" w:rsidRDefault="00E80B5F" w:rsidP="00E80B5F">
      <w:pPr>
        <w:tabs>
          <w:tab w:val="left" w:pos="851"/>
        </w:tabs>
        <w:ind w:left="851"/>
        <w:rPr>
          <w:sz w:val="24"/>
          <w:szCs w:val="24"/>
        </w:rPr>
      </w:pPr>
      <w:r w:rsidRPr="00D11AD1">
        <w:rPr>
          <w:sz w:val="24"/>
          <w:szCs w:val="24"/>
        </w:rPr>
        <w:t>Andelen af patienter, der opnåede en BCR-ABL-ratio på ≤0,01</w:t>
      </w:r>
      <w:r w:rsidR="00FA34A4" w:rsidRPr="00D11AD1">
        <w:rPr>
          <w:sz w:val="24"/>
          <w:szCs w:val="24"/>
        </w:rPr>
        <w:t xml:space="preserve"> %</w:t>
      </w:r>
      <w:r w:rsidRPr="00D11AD1">
        <w:rPr>
          <w:sz w:val="24"/>
          <w:szCs w:val="24"/>
        </w:rPr>
        <w:t xml:space="preserve"> (4-log-reduktion) til enhver tid, var større i dasatinib</w:t>
      </w:r>
      <w:r w:rsidR="006647D3" w:rsidRPr="00D11AD1">
        <w:rPr>
          <w:sz w:val="24"/>
          <w:szCs w:val="24"/>
        </w:rPr>
        <w:t>-</w:t>
      </w:r>
      <w:r w:rsidRPr="00D11AD1">
        <w:rPr>
          <w:sz w:val="24"/>
          <w:szCs w:val="24"/>
        </w:rPr>
        <w:t>gruppen end i imatinib</w:t>
      </w:r>
      <w:r w:rsidR="006647D3" w:rsidRPr="00D11AD1">
        <w:rPr>
          <w:sz w:val="24"/>
          <w:szCs w:val="24"/>
        </w:rPr>
        <w:t>-</w:t>
      </w:r>
      <w:r w:rsidRPr="00D11AD1">
        <w:rPr>
          <w:sz w:val="24"/>
          <w:szCs w:val="24"/>
        </w:rPr>
        <w:t>gruppen (54,1</w:t>
      </w:r>
      <w:r w:rsidR="00FA34A4" w:rsidRPr="00D11AD1">
        <w:rPr>
          <w:sz w:val="24"/>
          <w:szCs w:val="24"/>
        </w:rPr>
        <w:t xml:space="preserve"> %</w:t>
      </w:r>
      <w:r w:rsidRPr="00D11AD1">
        <w:rPr>
          <w:sz w:val="24"/>
          <w:szCs w:val="24"/>
        </w:rPr>
        <w:t xml:space="preserve"> </w:t>
      </w:r>
      <w:r w:rsidRPr="00D11AD1">
        <w:rPr>
          <w:i/>
          <w:iCs/>
          <w:sz w:val="24"/>
          <w:szCs w:val="24"/>
        </w:rPr>
        <w:t xml:space="preserve">versus </w:t>
      </w:r>
      <w:r w:rsidRPr="00D11AD1">
        <w:rPr>
          <w:sz w:val="24"/>
          <w:szCs w:val="24"/>
        </w:rPr>
        <w:t>45</w:t>
      </w:r>
      <w:r w:rsidR="00FA34A4" w:rsidRPr="00D11AD1">
        <w:rPr>
          <w:sz w:val="24"/>
          <w:szCs w:val="24"/>
        </w:rPr>
        <w:t xml:space="preserve"> %</w:t>
      </w:r>
      <w:r w:rsidRPr="00D11AD1">
        <w:rPr>
          <w:sz w:val="24"/>
          <w:szCs w:val="24"/>
        </w:rPr>
        <w:t>). Andelen af patienter, der opnåede en BCR-ABL-ratio på ≤0,0032</w:t>
      </w:r>
      <w:r w:rsidR="00FA34A4" w:rsidRPr="00D11AD1">
        <w:rPr>
          <w:sz w:val="24"/>
          <w:szCs w:val="24"/>
        </w:rPr>
        <w:t xml:space="preserve"> %</w:t>
      </w:r>
      <w:r w:rsidRPr="00D11AD1">
        <w:rPr>
          <w:sz w:val="24"/>
          <w:szCs w:val="24"/>
        </w:rPr>
        <w:t xml:space="preserve"> (4,5-log-reduktion) til enhver tid, var større i dasatinib</w:t>
      </w:r>
      <w:r w:rsidR="00804D80" w:rsidRPr="00D11AD1">
        <w:rPr>
          <w:sz w:val="24"/>
          <w:szCs w:val="24"/>
        </w:rPr>
        <w:t>-</w:t>
      </w:r>
      <w:r w:rsidRPr="00D11AD1">
        <w:rPr>
          <w:sz w:val="24"/>
          <w:szCs w:val="24"/>
        </w:rPr>
        <w:t>gruppen end i imatinib</w:t>
      </w:r>
      <w:r w:rsidR="00804D80" w:rsidRPr="00D11AD1">
        <w:rPr>
          <w:sz w:val="24"/>
          <w:szCs w:val="24"/>
        </w:rPr>
        <w:t>-</w:t>
      </w:r>
      <w:r w:rsidRPr="00D11AD1">
        <w:rPr>
          <w:sz w:val="24"/>
          <w:szCs w:val="24"/>
        </w:rPr>
        <w:t>gruppen (44</w:t>
      </w:r>
      <w:r w:rsidR="00FA34A4" w:rsidRPr="00D11AD1">
        <w:rPr>
          <w:sz w:val="24"/>
          <w:szCs w:val="24"/>
        </w:rPr>
        <w:t xml:space="preserve"> %</w:t>
      </w:r>
      <w:r w:rsidRPr="00D11AD1">
        <w:rPr>
          <w:sz w:val="24"/>
          <w:szCs w:val="24"/>
        </w:rPr>
        <w:t xml:space="preserve"> versus 34</w:t>
      </w:r>
      <w:r w:rsidR="00FA34A4" w:rsidRPr="00D11AD1">
        <w:rPr>
          <w:sz w:val="24"/>
          <w:szCs w:val="24"/>
        </w:rPr>
        <w:t xml:space="preserve"> %</w:t>
      </w:r>
      <w:r w:rsidRPr="00D11AD1">
        <w:rPr>
          <w:sz w:val="24"/>
          <w:szCs w:val="24"/>
        </w:rPr>
        <w:t>).</w:t>
      </w:r>
    </w:p>
    <w:p w14:paraId="3CABED2D" w14:textId="77777777" w:rsidR="00E80B5F" w:rsidRPr="00D11AD1" w:rsidRDefault="00E80B5F" w:rsidP="00E80B5F">
      <w:pPr>
        <w:tabs>
          <w:tab w:val="left" w:pos="851"/>
        </w:tabs>
        <w:ind w:left="851"/>
        <w:rPr>
          <w:sz w:val="24"/>
          <w:szCs w:val="24"/>
        </w:rPr>
      </w:pPr>
    </w:p>
    <w:p w14:paraId="2AB6A799" w14:textId="77777777" w:rsidR="00E80B5F" w:rsidRPr="00D11AD1" w:rsidRDefault="00E80B5F" w:rsidP="00E80B5F">
      <w:pPr>
        <w:tabs>
          <w:tab w:val="left" w:pos="851"/>
        </w:tabs>
        <w:ind w:left="851"/>
        <w:rPr>
          <w:sz w:val="24"/>
          <w:szCs w:val="24"/>
        </w:rPr>
      </w:pPr>
      <w:r w:rsidRPr="00D11AD1">
        <w:rPr>
          <w:sz w:val="24"/>
          <w:szCs w:val="24"/>
        </w:rPr>
        <w:t>MR4.5-rater over tid er vist grafisk i Figur 3. MR4.5-rater over tid var konsekvent højere hos dasatinib behandlede patienter sammenlignet med imatinib behandlede patienter.</w:t>
      </w:r>
    </w:p>
    <w:p w14:paraId="7D07EDEB" w14:textId="7CF8AE1E" w:rsidR="00523BC3" w:rsidRDefault="00523BC3">
      <w:pPr>
        <w:rPr>
          <w:sz w:val="24"/>
          <w:szCs w:val="24"/>
        </w:rPr>
      </w:pPr>
      <w:r>
        <w:rPr>
          <w:sz w:val="24"/>
          <w:szCs w:val="24"/>
        </w:rPr>
        <w:br w:type="page"/>
      </w:r>
    </w:p>
    <w:p w14:paraId="6B3CA4D7" w14:textId="77777777" w:rsidR="00E80B5F" w:rsidRPr="00D11AD1" w:rsidRDefault="00E80B5F" w:rsidP="00E80B5F">
      <w:pPr>
        <w:tabs>
          <w:tab w:val="left" w:pos="851"/>
        </w:tabs>
        <w:ind w:left="851"/>
        <w:rPr>
          <w:sz w:val="24"/>
          <w:szCs w:val="24"/>
        </w:rPr>
      </w:pPr>
    </w:p>
    <w:p w14:paraId="7D70A265" w14:textId="62D1C5FD" w:rsidR="000C1329" w:rsidRPr="00D11AD1" w:rsidRDefault="00DF29AD" w:rsidP="00D91AD6">
      <w:pPr>
        <w:tabs>
          <w:tab w:val="left" w:pos="851"/>
        </w:tabs>
        <w:ind w:left="851"/>
        <w:rPr>
          <w:b/>
          <w:sz w:val="24"/>
          <w:szCs w:val="24"/>
        </w:rPr>
      </w:pPr>
      <w:r w:rsidRPr="00D11AD1">
        <w:rPr>
          <w:b/>
          <w:sz w:val="24"/>
          <w:szCs w:val="24"/>
        </w:rPr>
        <w:t xml:space="preserve">Figur 3: </w:t>
      </w:r>
      <w:r w:rsidRPr="00D11AD1">
        <w:rPr>
          <w:rFonts w:eastAsia="TimesNewRomanPS-BoldMT"/>
          <w:b/>
          <w:bCs/>
          <w:sz w:val="24"/>
          <w:szCs w:val="24"/>
        </w:rPr>
        <w:t>MR4.5-rater over tid - alle randomiserede patienter i et fase 3-studie med patienter med nyligt diagnosticeret CML i kronisk fase</w:t>
      </w:r>
    </w:p>
    <w:p w14:paraId="7BC9D000" w14:textId="2BCD2C7F" w:rsidR="00E80B5F" w:rsidRPr="00D11AD1" w:rsidRDefault="00E80B5F" w:rsidP="00D91AD6">
      <w:pPr>
        <w:tabs>
          <w:tab w:val="left" w:pos="851"/>
        </w:tabs>
        <w:ind w:left="851"/>
        <w:rPr>
          <w:sz w:val="24"/>
          <w:szCs w:val="24"/>
        </w:rPr>
      </w:pPr>
    </w:p>
    <w:p w14:paraId="7930D0C9" w14:textId="0CD3AE53" w:rsidR="00DF29AD" w:rsidRPr="00D11AD1" w:rsidRDefault="00DF29AD" w:rsidP="00D91AD6">
      <w:pPr>
        <w:tabs>
          <w:tab w:val="left" w:pos="851"/>
        </w:tabs>
        <w:ind w:left="851"/>
        <w:rPr>
          <w:sz w:val="24"/>
          <w:szCs w:val="24"/>
        </w:rPr>
      </w:pPr>
      <w:r w:rsidRPr="00D11AD1">
        <w:rPr>
          <w:noProof/>
          <w:sz w:val="24"/>
          <w:szCs w:val="24"/>
          <w:u w:val="single"/>
        </w:rPr>
        <w:drawing>
          <wp:inline distT="0" distB="0" distL="0" distR="0" wp14:anchorId="2FD36937" wp14:editId="5C782C42">
            <wp:extent cx="5588000" cy="3342640"/>
            <wp:effectExtent l="0" t="0" r="0" b="0"/>
            <wp:docPr id="20" name="Billed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588000" cy="3342640"/>
                    </a:xfrm>
                    <a:prstGeom prst="rect">
                      <a:avLst/>
                    </a:prstGeom>
                  </pic:spPr>
                </pic:pic>
              </a:graphicData>
            </a:graphic>
          </wp:inline>
        </w:drawing>
      </w:r>
    </w:p>
    <w:p w14:paraId="3A9026B5" w14:textId="77777777" w:rsidR="00E80B5F" w:rsidRPr="00D11AD1" w:rsidRDefault="00E80B5F" w:rsidP="00D91AD6">
      <w:pPr>
        <w:tabs>
          <w:tab w:val="left" w:pos="851"/>
        </w:tabs>
        <w:ind w:left="851"/>
        <w:rPr>
          <w:sz w:val="24"/>
          <w:szCs w:val="24"/>
        </w:rPr>
      </w:pPr>
    </w:p>
    <w:p w14:paraId="66F70891" w14:textId="00EEEDD6" w:rsidR="00DF29AD" w:rsidRPr="00D11AD1" w:rsidRDefault="00DF29AD" w:rsidP="00DF29AD">
      <w:pPr>
        <w:tabs>
          <w:tab w:val="left" w:pos="851"/>
        </w:tabs>
        <w:ind w:left="851"/>
        <w:rPr>
          <w:sz w:val="24"/>
          <w:szCs w:val="24"/>
        </w:rPr>
      </w:pPr>
      <w:r w:rsidRPr="00D11AD1">
        <w:rPr>
          <w:sz w:val="24"/>
          <w:szCs w:val="24"/>
        </w:rPr>
        <w:t>Raten for MMR til enhver tid for hver risikogruppe, defineret ved Hasford-score, var større i dasatinib</w:t>
      </w:r>
      <w:r w:rsidR="00804D80" w:rsidRPr="00D11AD1">
        <w:rPr>
          <w:sz w:val="24"/>
          <w:szCs w:val="24"/>
        </w:rPr>
        <w:t>-</w:t>
      </w:r>
      <w:r w:rsidRPr="00D11AD1">
        <w:rPr>
          <w:sz w:val="24"/>
          <w:szCs w:val="24"/>
        </w:rPr>
        <w:t>gruppen end i imatinib</w:t>
      </w:r>
      <w:r w:rsidR="00804D80" w:rsidRPr="00D11AD1">
        <w:rPr>
          <w:sz w:val="24"/>
          <w:szCs w:val="24"/>
        </w:rPr>
        <w:t>-</w:t>
      </w:r>
      <w:r w:rsidRPr="00D11AD1">
        <w:rPr>
          <w:sz w:val="24"/>
          <w:szCs w:val="24"/>
        </w:rPr>
        <w:t xml:space="preserve">gruppen (lav risiko: </w:t>
      </w:r>
      <w:r w:rsidR="00804D80" w:rsidRPr="00D11AD1">
        <w:rPr>
          <w:sz w:val="24"/>
          <w:szCs w:val="24"/>
        </w:rPr>
        <w:t>H</w:t>
      </w:r>
      <w:r w:rsidRPr="00D11AD1">
        <w:rPr>
          <w:sz w:val="24"/>
          <w:szCs w:val="24"/>
        </w:rPr>
        <w:t>enholdsvis 90</w:t>
      </w:r>
      <w:r w:rsidR="00FA34A4" w:rsidRPr="00D11AD1">
        <w:rPr>
          <w:sz w:val="24"/>
          <w:szCs w:val="24"/>
        </w:rPr>
        <w:t xml:space="preserve"> %</w:t>
      </w:r>
      <w:r w:rsidRPr="00D11AD1">
        <w:rPr>
          <w:sz w:val="24"/>
          <w:szCs w:val="24"/>
        </w:rPr>
        <w:t xml:space="preserve"> og 69</w:t>
      </w:r>
      <w:r w:rsidR="00523BC3">
        <w:rPr>
          <w:sz w:val="24"/>
          <w:szCs w:val="24"/>
        </w:rPr>
        <w:t> </w:t>
      </w:r>
      <w:r w:rsidR="00FA34A4" w:rsidRPr="00D11AD1">
        <w:rPr>
          <w:sz w:val="24"/>
          <w:szCs w:val="24"/>
        </w:rPr>
        <w:t>%</w:t>
      </w:r>
      <w:r w:rsidRPr="00D11AD1">
        <w:rPr>
          <w:sz w:val="24"/>
          <w:szCs w:val="24"/>
        </w:rPr>
        <w:t xml:space="preserve">; middel risiko: </w:t>
      </w:r>
      <w:r w:rsidR="00804D80" w:rsidRPr="00D11AD1">
        <w:rPr>
          <w:sz w:val="24"/>
          <w:szCs w:val="24"/>
        </w:rPr>
        <w:t>H</w:t>
      </w:r>
      <w:r w:rsidRPr="00D11AD1">
        <w:rPr>
          <w:sz w:val="24"/>
          <w:szCs w:val="24"/>
        </w:rPr>
        <w:t>enholdsvis 71</w:t>
      </w:r>
      <w:r w:rsidR="00FA34A4" w:rsidRPr="00D11AD1">
        <w:rPr>
          <w:sz w:val="24"/>
          <w:szCs w:val="24"/>
        </w:rPr>
        <w:t xml:space="preserve"> %</w:t>
      </w:r>
      <w:r w:rsidRPr="00D11AD1">
        <w:rPr>
          <w:sz w:val="24"/>
          <w:szCs w:val="24"/>
        </w:rPr>
        <w:t xml:space="preserve"> og 65</w:t>
      </w:r>
      <w:r w:rsidR="00FA34A4" w:rsidRPr="00D11AD1">
        <w:rPr>
          <w:sz w:val="24"/>
          <w:szCs w:val="24"/>
        </w:rPr>
        <w:t xml:space="preserve"> %</w:t>
      </w:r>
      <w:r w:rsidRPr="00D11AD1">
        <w:rPr>
          <w:sz w:val="24"/>
          <w:szCs w:val="24"/>
        </w:rPr>
        <w:t>; høj risiko: 67</w:t>
      </w:r>
      <w:r w:rsidR="00FA34A4" w:rsidRPr="00D11AD1">
        <w:rPr>
          <w:sz w:val="24"/>
          <w:szCs w:val="24"/>
        </w:rPr>
        <w:t xml:space="preserve"> %</w:t>
      </w:r>
      <w:r w:rsidRPr="00D11AD1">
        <w:rPr>
          <w:sz w:val="24"/>
          <w:szCs w:val="24"/>
        </w:rPr>
        <w:t xml:space="preserve"> og 54</w:t>
      </w:r>
      <w:r w:rsidR="00FA34A4" w:rsidRPr="00D11AD1">
        <w:rPr>
          <w:sz w:val="24"/>
          <w:szCs w:val="24"/>
        </w:rPr>
        <w:t xml:space="preserve"> %</w:t>
      </w:r>
      <w:r w:rsidRPr="00D11AD1">
        <w:rPr>
          <w:sz w:val="24"/>
          <w:szCs w:val="24"/>
        </w:rPr>
        <w:t>).</w:t>
      </w:r>
    </w:p>
    <w:p w14:paraId="2E1085BB" w14:textId="77777777" w:rsidR="00DF29AD" w:rsidRPr="00D11AD1" w:rsidRDefault="00DF29AD" w:rsidP="00DF29AD">
      <w:pPr>
        <w:tabs>
          <w:tab w:val="left" w:pos="851"/>
        </w:tabs>
        <w:ind w:left="851"/>
        <w:rPr>
          <w:sz w:val="24"/>
          <w:szCs w:val="24"/>
        </w:rPr>
      </w:pPr>
    </w:p>
    <w:p w14:paraId="4AE735B8" w14:textId="2EC0FFE2" w:rsidR="00DF29AD" w:rsidRPr="00D11AD1" w:rsidRDefault="00DF29AD" w:rsidP="006D21E5">
      <w:pPr>
        <w:tabs>
          <w:tab w:val="left" w:pos="851"/>
        </w:tabs>
        <w:ind w:left="851"/>
        <w:rPr>
          <w:sz w:val="24"/>
          <w:szCs w:val="24"/>
        </w:rPr>
      </w:pPr>
      <w:r w:rsidRPr="00D11AD1">
        <w:rPr>
          <w:sz w:val="24"/>
          <w:szCs w:val="24"/>
        </w:rPr>
        <w:t>I en yderligere analyse opnåede flere patienter behandlet med dasatinib (84</w:t>
      </w:r>
      <w:r w:rsidR="00FA34A4" w:rsidRPr="00D11AD1">
        <w:rPr>
          <w:sz w:val="24"/>
          <w:szCs w:val="24"/>
        </w:rPr>
        <w:t xml:space="preserve"> %</w:t>
      </w:r>
      <w:r w:rsidRPr="00D11AD1">
        <w:rPr>
          <w:sz w:val="24"/>
          <w:szCs w:val="24"/>
        </w:rPr>
        <w:t>) tidlig molekylært respons (defineret som BCR-ABL-niveauer ≤ 10</w:t>
      </w:r>
      <w:r w:rsidR="00FA34A4" w:rsidRPr="00D11AD1">
        <w:rPr>
          <w:sz w:val="24"/>
          <w:szCs w:val="24"/>
        </w:rPr>
        <w:t xml:space="preserve"> %</w:t>
      </w:r>
      <w:r w:rsidRPr="00D11AD1">
        <w:rPr>
          <w:sz w:val="24"/>
          <w:szCs w:val="24"/>
        </w:rPr>
        <w:t xml:space="preserve"> efter 3 måneder) sammenlignet med patienter behandlet med imatinib (64</w:t>
      </w:r>
      <w:r w:rsidR="00FA34A4" w:rsidRPr="00D11AD1">
        <w:rPr>
          <w:sz w:val="24"/>
          <w:szCs w:val="24"/>
        </w:rPr>
        <w:t xml:space="preserve"> %</w:t>
      </w:r>
      <w:r w:rsidRPr="00D11AD1">
        <w:rPr>
          <w:sz w:val="24"/>
          <w:szCs w:val="24"/>
        </w:rPr>
        <w:t>). Hos patienter, der opnåede tidlig molekylært respons, var der en lavere risiko for transformation, en højere progressionsfri overlevelsesrate (PFS) og en højere samlet overlevelsesrate (OS) som vist i Tabel 10.</w:t>
      </w:r>
    </w:p>
    <w:p w14:paraId="0C0D0FA5" w14:textId="0CEA50B4" w:rsidR="00D91AD6" w:rsidRPr="00D11AD1" w:rsidRDefault="00D91AD6" w:rsidP="006D21E5">
      <w:pPr>
        <w:tabs>
          <w:tab w:val="left" w:pos="851"/>
        </w:tabs>
        <w:ind w:left="851"/>
        <w:rPr>
          <w:sz w:val="24"/>
          <w:szCs w:val="24"/>
        </w:rPr>
      </w:pPr>
    </w:p>
    <w:p w14:paraId="0AD02F1D" w14:textId="4855B051" w:rsidR="00DF29AD" w:rsidRPr="00D11AD1" w:rsidRDefault="00DF29AD" w:rsidP="006D21E5">
      <w:pPr>
        <w:tabs>
          <w:tab w:val="left" w:pos="851"/>
        </w:tabs>
        <w:ind w:left="851"/>
        <w:rPr>
          <w:b/>
          <w:bCs/>
          <w:sz w:val="24"/>
          <w:szCs w:val="24"/>
        </w:rPr>
      </w:pPr>
      <w:r w:rsidRPr="00D11AD1">
        <w:rPr>
          <w:b/>
          <w:bCs/>
          <w:sz w:val="24"/>
          <w:szCs w:val="24"/>
        </w:rPr>
        <w:t xml:space="preserve">Tabel 10: </w:t>
      </w:r>
      <w:r w:rsidRPr="00D11AD1">
        <w:rPr>
          <w:b/>
          <w:sz w:val="24"/>
          <w:szCs w:val="24"/>
        </w:rPr>
        <w:t>Dasatinib patienter BCR-ABL ≤ 10</w:t>
      </w:r>
      <w:r w:rsidR="00FA34A4" w:rsidRPr="00D11AD1">
        <w:rPr>
          <w:b/>
          <w:sz w:val="24"/>
          <w:szCs w:val="24"/>
        </w:rPr>
        <w:t xml:space="preserve"> %</w:t>
      </w:r>
      <w:r w:rsidRPr="00D11AD1">
        <w:rPr>
          <w:b/>
          <w:sz w:val="24"/>
          <w:szCs w:val="24"/>
        </w:rPr>
        <w:t xml:space="preserve"> og &gt; 10</w:t>
      </w:r>
      <w:r w:rsidR="00FA34A4" w:rsidRPr="00D11AD1">
        <w:rPr>
          <w:b/>
          <w:sz w:val="24"/>
          <w:szCs w:val="24"/>
        </w:rPr>
        <w:t xml:space="preserve"> %</w:t>
      </w:r>
      <w:r w:rsidRPr="00D11AD1">
        <w:rPr>
          <w:b/>
          <w:sz w:val="24"/>
          <w:szCs w:val="24"/>
        </w:rPr>
        <w:t xml:space="preserve"> efter 3 måneder</w:t>
      </w:r>
    </w:p>
    <w:p w14:paraId="1426C423" w14:textId="2E3F35C7" w:rsidR="00DF29AD" w:rsidRPr="00D11AD1" w:rsidRDefault="00DF29AD" w:rsidP="006D21E5">
      <w:pPr>
        <w:tabs>
          <w:tab w:val="left" w:pos="851"/>
        </w:tabs>
        <w:ind w:left="851"/>
        <w:rPr>
          <w:sz w:val="24"/>
          <w:szCs w:val="24"/>
        </w:rPr>
      </w:pPr>
    </w:p>
    <w:tbl>
      <w:tblPr>
        <w:tblStyle w:val="TableNormal11"/>
        <w:tblW w:w="9072" w:type="dxa"/>
        <w:tblInd w:w="851" w:type="dxa"/>
        <w:tblLayout w:type="fixed"/>
        <w:tblLook w:val="01E0" w:firstRow="1" w:lastRow="1" w:firstColumn="1" w:lastColumn="1" w:noHBand="0" w:noVBand="0"/>
      </w:tblPr>
      <w:tblGrid>
        <w:gridCol w:w="3509"/>
        <w:gridCol w:w="2624"/>
        <w:gridCol w:w="2939"/>
      </w:tblGrid>
      <w:tr w:rsidR="00CE6AF5" w:rsidRPr="00D11AD1" w14:paraId="1D8F3954" w14:textId="77777777" w:rsidTr="00E763C5">
        <w:trPr>
          <w:trHeight w:val="460"/>
        </w:trPr>
        <w:tc>
          <w:tcPr>
            <w:tcW w:w="3509" w:type="dxa"/>
            <w:tcBorders>
              <w:top w:val="single" w:sz="4" w:space="0" w:color="000000"/>
              <w:bottom w:val="single" w:sz="6" w:space="0" w:color="000000"/>
            </w:tcBorders>
          </w:tcPr>
          <w:p w14:paraId="55F4397D" w14:textId="77777777" w:rsidR="00CE6AF5" w:rsidRPr="00D11AD1" w:rsidRDefault="00CE6AF5" w:rsidP="006D21E5">
            <w:pPr>
              <w:rPr>
                <w:rFonts w:ascii="Times New Roman" w:hAnsi="Times New Roman"/>
                <w:b/>
                <w:sz w:val="24"/>
                <w:szCs w:val="24"/>
                <w:lang w:val="da-DK"/>
              </w:rPr>
            </w:pPr>
          </w:p>
          <w:p w14:paraId="154E47B4" w14:textId="77777777" w:rsidR="00CE6AF5" w:rsidRPr="00D11AD1" w:rsidRDefault="00CE6AF5" w:rsidP="006D21E5">
            <w:pPr>
              <w:ind w:left="100"/>
              <w:rPr>
                <w:rFonts w:ascii="Times New Roman" w:hAnsi="Times New Roman"/>
                <w:b/>
                <w:sz w:val="24"/>
                <w:szCs w:val="24"/>
              </w:rPr>
            </w:pPr>
            <w:r w:rsidRPr="00D11AD1">
              <w:rPr>
                <w:rFonts w:ascii="Times New Roman" w:hAnsi="Times New Roman"/>
                <w:b/>
                <w:w w:val="105"/>
                <w:sz w:val="24"/>
                <w:szCs w:val="24"/>
              </w:rPr>
              <w:t>Dasatinib N = 235</w:t>
            </w:r>
          </w:p>
        </w:tc>
        <w:tc>
          <w:tcPr>
            <w:tcW w:w="2624" w:type="dxa"/>
            <w:tcBorders>
              <w:top w:val="single" w:sz="4" w:space="0" w:color="000000"/>
              <w:bottom w:val="single" w:sz="6" w:space="0" w:color="000000"/>
            </w:tcBorders>
          </w:tcPr>
          <w:p w14:paraId="77218F51" w14:textId="77777777" w:rsidR="00CE6AF5" w:rsidRPr="00D11AD1" w:rsidRDefault="00CE6AF5" w:rsidP="006D21E5">
            <w:pPr>
              <w:adjustRightInd w:val="0"/>
              <w:jc w:val="center"/>
              <w:rPr>
                <w:rFonts w:ascii="Times New Roman" w:hAnsi="Times New Roman"/>
                <w:b/>
                <w:bCs/>
                <w:sz w:val="24"/>
                <w:szCs w:val="24"/>
                <w:lang w:val="da-DK"/>
              </w:rPr>
            </w:pPr>
            <w:r w:rsidRPr="00D11AD1">
              <w:rPr>
                <w:rFonts w:ascii="Times New Roman" w:hAnsi="Times New Roman"/>
                <w:b/>
                <w:bCs/>
                <w:sz w:val="24"/>
                <w:szCs w:val="24"/>
                <w:lang w:val="da-DK"/>
              </w:rPr>
              <w:t>Patienter med BCR-ABL</w:t>
            </w:r>
          </w:p>
          <w:p w14:paraId="5D8408D7" w14:textId="48630D9B" w:rsidR="00CE6AF5" w:rsidRPr="00D11AD1" w:rsidRDefault="00CE6AF5" w:rsidP="006D21E5">
            <w:pPr>
              <w:ind w:left="185" w:right="226"/>
              <w:jc w:val="center"/>
              <w:rPr>
                <w:rFonts w:ascii="Times New Roman" w:hAnsi="Times New Roman"/>
                <w:b/>
                <w:sz w:val="24"/>
                <w:szCs w:val="24"/>
                <w:lang w:val="da-DK"/>
              </w:rPr>
            </w:pPr>
            <w:r w:rsidRPr="00D11AD1">
              <w:rPr>
                <w:rFonts w:ascii="Times New Roman" w:hAnsi="Times New Roman"/>
                <w:b/>
                <w:bCs/>
                <w:sz w:val="24"/>
                <w:szCs w:val="24"/>
                <w:lang w:val="da-DK"/>
              </w:rPr>
              <w:t>≤ 10</w:t>
            </w:r>
            <w:r w:rsidR="00FA34A4" w:rsidRPr="00D11AD1">
              <w:rPr>
                <w:rFonts w:ascii="Times New Roman" w:hAnsi="Times New Roman"/>
                <w:b/>
                <w:bCs/>
                <w:sz w:val="24"/>
                <w:szCs w:val="24"/>
                <w:lang w:val="da-DK"/>
              </w:rPr>
              <w:t xml:space="preserve"> %</w:t>
            </w:r>
            <w:r w:rsidRPr="00D11AD1">
              <w:rPr>
                <w:rFonts w:ascii="Times New Roman" w:hAnsi="Times New Roman"/>
                <w:b/>
                <w:bCs/>
                <w:sz w:val="24"/>
                <w:szCs w:val="24"/>
                <w:lang w:val="da-DK"/>
              </w:rPr>
              <w:t xml:space="preserve"> efter 3 måneder</w:t>
            </w:r>
          </w:p>
        </w:tc>
        <w:tc>
          <w:tcPr>
            <w:tcW w:w="2939" w:type="dxa"/>
            <w:tcBorders>
              <w:top w:val="single" w:sz="4" w:space="0" w:color="000000"/>
              <w:bottom w:val="single" w:sz="6" w:space="0" w:color="000000"/>
            </w:tcBorders>
          </w:tcPr>
          <w:p w14:paraId="587C9C69" w14:textId="77777777" w:rsidR="00087751" w:rsidRPr="00D11AD1" w:rsidRDefault="00CE6AF5" w:rsidP="006D21E5">
            <w:pPr>
              <w:adjustRightInd w:val="0"/>
              <w:jc w:val="center"/>
              <w:rPr>
                <w:rFonts w:ascii="Times New Roman" w:hAnsi="Times New Roman"/>
                <w:b/>
                <w:bCs/>
                <w:sz w:val="24"/>
                <w:szCs w:val="24"/>
                <w:lang w:val="da-DK"/>
              </w:rPr>
            </w:pPr>
            <w:r w:rsidRPr="00D11AD1">
              <w:rPr>
                <w:rFonts w:ascii="Times New Roman" w:hAnsi="Times New Roman"/>
                <w:b/>
                <w:bCs/>
                <w:sz w:val="24"/>
                <w:szCs w:val="24"/>
                <w:lang w:val="da-DK"/>
              </w:rPr>
              <w:t>Patienter med BCR-ABL</w:t>
            </w:r>
          </w:p>
          <w:p w14:paraId="0BC4F247" w14:textId="7C4493CF" w:rsidR="00CE6AF5" w:rsidRPr="00D11AD1" w:rsidRDefault="00CE6AF5" w:rsidP="006D21E5">
            <w:pPr>
              <w:adjustRightInd w:val="0"/>
              <w:jc w:val="center"/>
              <w:rPr>
                <w:rFonts w:ascii="Times New Roman" w:hAnsi="Times New Roman"/>
                <w:b/>
                <w:sz w:val="24"/>
                <w:szCs w:val="24"/>
                <w:lang w:val="da-DK"/>
              </w:rPr>
            </w:pPr>
            <w:r w:rsidRPr="00D11AD1">
              <w:rPr>
                <w:rFonts w:ascii="Times New Roman" w:hAnsi="Times New Roman"/>
                <w:b/>
                <w:bCs/>
                <w:sz w:val="24"/>
                <w:szCs w:val="24"/>
                <w:lang w:val="da-DK"/>
              </w:rPr>
              <w:t xml:space="preserve"> &gt;</w:t>
            </w:r>
            <w:r w:rsidR="00087751" w:rsidRPr="00D11AD1">
              <w:rPr>
                <w:rFonts w:ascii="Times New Roman" w:hAnsi="Times New Roman"/>
                <w:b/>
                <w:bCs/>
                <w:sz w:val="24"/>
                <w:szCs w:val="24"/>
                <w:lang w:val="da-DK"/>
              </w:rPr>
              <w:t xml:space="preserve"> </w:t>
            </w:r>
            <w:r w:rsidRPr="00D11AD1">
              <w:rPr>
                <w:rFonts w:ascii="Times New Roman" w:hAnsi="Times New Roman"/>
                <w:b/>
                <w:bCs/>
                <w:sz w:val="24"/>
                <w:szCs w:val="24"/>
                <w:lang w:val="da-DK"/>
              </w:rPr>
              <w:t>10</w:t>
            </w:r>
            <w:r w:rsidR="00FA34A4" w:rsidRPr="00D11AD1">
              <w:rPr>
                <w:rFonts w:ascii="Times New Roman" w:hAnsi="Times New Roman"/>
                <w:b/>
                <w:bCs/>
                <w:sz w:val="24"/>
                <w:szCs w:val="24"/>
                <w:lang w:val="da-DK"/>
              </w:rPr>
              <w:t xml:space="preserve"> %</w:t>
            </w:r>
            <w:r w:rsidRPr="00D11AD1">
              <w:rPr>
                <w:rFonts w:ascii="Times New Roman" w:hAnsi="Times New Roman"/>
                <w:b/>
                <w:bCs/>
                <w:sz w:val="24"/>
                <w:szCs w:val="24"/>
                <w:lang w:val="da-DK"/>
              </w:rPr>
              <w:t xml:space="preserve"> efter 3 måneder</w:t>
            </w:r>
          </w:p>
        </w:tc>
      </w:tr>
      <w:tr w:rsidR="00CE6AF5" w:rsidRPr="00D11AD1" w14:paraId="6A122DEA" w14:textId="77777777" w:rsidTr="00E763C5">
        <w:trPr>
          <w:trHeight w:val="235"/>
        </w:trPr>
        <w:tc>
          <w:tcPr>
            <w:tcW w:w="3509" w:type="dxa"/>
            <w:tcBorders>
              <w:top w:val="single" w:sz="6" w:space="0" w:color="000000"/>
            </w:tcBorders>
          </w:tcPr>
          <w:p w14:paraId="1A971373" w14:textId="51351682" w:rsidR="00CE6AF5" w:rsidRPr="00D11AD1" w:rsidRDefault="00CE6AF5" w:rsidP="006D21E5">
            <w:pPr>
              <w:ind w:left="100"/>
              <w:rPr>
                <w:rFonts w:ascii="Times New Roman" w:hAnsi="Times New Roman"/>
                <w:sz w:val="24"/>
                <w:szCs w:val="24"/>
              </w:rPr>
            </w:pPr>
            <w:r w:rsidRPr="00D11AD1">
              <w:rPr>
                <w:rFonts w:ascii="Times New Roman" w:hAnsi="Times New Roman"/>
                <w:sz w:val="24"/>
                <w:szCs w:val="24"/>
              </w:rPr>
              <w:t>Antal patienter</w:t>
            </w:r>
            <w:r w:rsidRPr="00D11AD1">
              <w:rPr>
                <w:rFonts w:ascii="Times New Roman" w:hAnsi="Times New Roman"/>
                <w:w w:val="105"/>
                <w:sz w:val="24"/>
                <w:szCs w:val="24"/>
              </w:rPr>
              <w:t xml:space="preserve"> (</w:t>
            </w:r>
            <w:r w:rsidR="00FA34A4" w:rsidRPr="00D11AD1">
              <w:rPr>
                <w:rFonts w:ascii="Times New Roman" w:hAnsi="Times New Roman"/>
                <w:w w:val="105"/>
                <w:sz w:val="24"/>
                <w:szCs w:val="24"/>
              </w:rPr>
              <w:t>%</w:t>
            </w:r>
            <w:r w:rsidRPr="00D11AD1">
              <w:rPr>
                <w:rFonts w:ascii="Times New Roman" w:hAnsi="Times New Roman"/>
                <w:w w:val="105"/>
                <w:sz w:val="24"/>
                <w:szCs w:val="24"/>
              </w:rPr>
              <w:t>)</w:t>
            </w:r>
          </w:p>
        </w:tc>
        <w:tc>
          <w:tcPr>
            <w:tcW w:w="2624" w:type="dxa"/>
            <w:tcBorders>
              <w:top w:val="single" w:sz="6" w:space="0" w:color="000000"/>
            </w:tcBorders>
          </w:tcPr>
          <w:p w14:paraId="30D1E4A4" w14:textId="074B9E1B" w:rsidR="00CE6AF5" w:rsidRPr="00D11AD1" w:rsidRDefault="00CE6AF5" w:rsidP="006D21E5">
            <w:pPr>
              <w:ind w:left="187" w:right="225"/>
              <w:jc w:val="center"/>
              <w:rPr>
                <w:rFonts w:ascii="Times New Roman" w:hAnsi="Times New Roman"/>
                <w:sz w:val="24"/>
                <w:szCs w:val="24"/>
              </w:rPr>
            </w:pPr>
            <w:r w:rsidRPr="00D11AD1">
              <w:rPr>
                <w:rFonts w:ascii="Times New Roman" w:hAnsi="Times New Roman"/>
                <w:w w:val="105"/>
                <w:sz w:val="24"/>
                <w:szCs w:val="24"/>
              </w:rPr>
              <w:t>198 (84</w:t>
            </w:r>
            <w:r w:rsidR="00F1797E" w:rsidRPr="00D11AD1">
              <w:rPr>
                <w:rFonts w:ascii="Times New Roman" w:hAnsi="Times New Roman"/>
                <w:w w:val="105"/>
                <w:sz w:val="24"/>
                <w:szCs w:val="24"/>
              </w:rPr>
              <w:t>,</w:t>
            </w:r>
            <w:r w:rsidRPr="00D11AD1">
              <w:rPr>
                <w:rFonts w:ascii="Times New Roman" w:hAnsi="Times New Roman"/>
                <w:w w:val="105"/>
                <w:sz w:val="24"/>
                <w:szCs w:val="24"/>
              </w:rPr>
              <w:t>3)</w:t>
            </w:r>
          </w:p>
        </w:tc>
        <w:tc>
          <w:tcPr>
            <w:tcW w:w="2939" w:type="dxa"/>
            <w:tcBorders>
              <w:top w:val="single" w:sz="6" w:space="0" w:color="000000"/>
            </w:tcBorders>
          </w:tcPr>
          <w:p w14:paraId="7F3D3473" w14:textId="5D414B0B" w:rsidR="00CE6AF5" w:rsidRPr="00D11AD1" w:rsidRDefault="00CE6AF5" w:rsidP="006D21E5">
            <w:pPr>
              <w:ind w:left="608" w:right="545"/>
              <w:jc w:val="center"/>
              <w:rPr>
                <w:rFonts w:ascii="Times New Roman" w:hAnsi="Times New Roman"/>
                <w:sz w:val="24"/>
                <w:szCs w:val="24"/>
              </w:rPr>
            </w:pPr>
            <w:r w:rsidRPr="00D11AD1">
              <w:rPr>
                <w:rFonts w:ascii="Times New Roman" w:hAnsi="Times New Roman"/>
                <w:w w:val="105"/>
                <w:sz w:val="24"/>
                <w:szCs w:val="24"/>
              </w:rPr>
              <w:t>37 (15</w:t>
            </w:r>
            <w:r w:rsidR="00F1797E" w:rsidRPr="00D11AD1">
              <w:rPr>
                <w:rFonts w:ascii="Times New Roman" w:hAnsi="Times New Roman"/>
                <w:w w:val="105"/>
                <w:sz w:val="24"/>
                <w:szCs w:val="24"/>
              </w:rPr>
              <w:t>,</w:t>
            </w:r>
            <w:r w:rsidRPr="00D11AD1">
              <w:rPr>
                <w:rFonts w:ascii="Times New Roman" w:hAnsi="Times New Roman"/>
                <w:w w:val="105"/>
                <w:sz w:val="24"/>
                <w:szCs w:val="24"/>
              </w:rPr>
              <w:t>7)</w:t>
            </w:r>
          </w:p>
        </w:tc>
      </w:tr>
      <w:tr w:rsidR="00CE6AF5" w:rsidRPr="00D11AD1" w14:paraId="5D073273" w14:textId="77777777" w:rsidTr="00E763C5">
        <w:trPr>
          <w:trHeight w:val="220"/>
        </w:trPr>
        <w:tc>
          <w:tcPr>
            <w:tcW w:w="3509" w:type="dxa"/>
          </w:tcPr>
          <w:p w14:paraId="567859E0" w14:textId="12AECE58" w:rsidR="00CE6AF5" w:rsidRPr="00D11AD1" w:rsidRDefault="00CE6AF5" w:rsidP="006D21E5">
            <w:pPr>
              <w:ind w:left="100"/>
              <w:rPr>
                <w:rFonts w:ascii="Times New Roman" w:hAnsi="Times New Roman"/>
                <w:sz w:val="24"/>
                <w:szCs w:val="24"/>
                <w:lang w:val="da-DK"/>
              </w:rPr>
            </w:pPr>
            <w:r w:rsidRPr="00D11AD1">
              <w:rPr>
                <w:rFonts w:ascii="Times New Roman" w:hAnsi="Times New Roman"/>
                <w:sz w:val="24"/>
                <w:szCs w:val="24"/>
                <w:lang w:val="da-DK"/>
              </w:rPr>
              <w:t>Transformation efter 60 måneder, n/N</w:t>
            </w:r>
            <w:r w:rsidRPr="00D11AD1">
              <w:rPr>
                <w:rFonts w:ascii="Times New Roman" w:hAnsi="Times New Roman"/>
                <w:w w:val="105"/>
                <w:sz w:val="24"/>
                <w:szCs w:val="24"/>
                <w:lang w:val="da-DK"/>
              </w:rPr>
              <w:t xml:space="preserve"> (</w:t>
            </w:r>
            <w:r w:rsidR="00FA34A4" w:rsidRPr="00D11AD1">
              <w:rPr>
                <w:rFonts w:ascii="Times New Roman" w:hAnsi="Times New Roman"/>
                <w:w w:val="105"/>
                <w:sz w:val="24"/>
                <w:szCs w:val="24"/>
                <w:lang w:val="da-DK"/>
              </w:rPr>
              <w:t>%</w:t>
            </w:r>
            <w:r w:rsidRPr="00D11AD1">
              <w:rPr>
                <w:rFonts w:ascii="Times New Roman" w:hAnsi="Times New Roman"/>
                <w:w w:val="105"/>
                <w:sz w:val="24"/>
                <w:szCs w:val="24"/>
                <w:lang w:val="da-DK"/>
              </w:rPr>
              <w:t>)</w:t>
            </w:r>
          </w:p>
        </w:tc>
        <w:tc>
          <w:tcPr>
            <w:tcW w:w="2624" w:type="dxa"/>
          </w:tcPr>
          <w:p w14:paraId="621CC77B" w14:textId="79359AAB" w:rsidR="00CE6AF5" w:rsidRPr="00D11AD1" w:rsidRDefault="00CE6AF5" w:rsidP="006D21E5">
            <w:pPr>
              <w:ind w:left="187" w:right="222"/>
              <w:jc w:val="center"/>
              <w:rPr>
                <w:rFonts w:ascii="Times New Roman" w:hAnsi="Times New Roman"/>
                <w:sz w:val="24"/>
                <w:szCs w:val="24"/>
              </w:rPr>
            </w:pPr>
            <w:r w:rsidRPr="00D11AD1">
              <w:rPr>
                <w:rFonts w:ascii="Times New Roman" w:hAnsi="Times New Roman"/>
                <w:w w:val="105"/>
                <w:sz w:val="24"/>
                <w:szCs w:val="24"/>
              </w:rPr>
              <w:t>6/198 (3</w:t>
            </w:r>
            <w:r w:rsidR="00F1797E" w:rsidRPr="00D11AD1">
              <w:rPr>
                <w:rFonts w:ascii="Times New Roman" w:hAnsi="Times New Roman"/>
                <w:w w:val="105"/>
                <w:sz w:val="24"/>
                <w:szCs w:val="24"/>
              </w:rPr>
              <w:t>,</w:t>
            </w:r>
            <w:r w:rsidRPr="00D11AD1">
              <w:rPr>
                <w:rFonts w:ascii="Times New Roman" w:hAnsi="Times New Roman"/>
                <w:w w:val="105"/>
                <w:sz w:val="24"/>
                <w:szCs w:val="24"/>
              </w:rPr>
              <w:t>0)</w:t>
            </w:r>
          </w:p>
        </w:tc>
        <w:tc>
          <w:tcPr>
            <w:tcW w:w="2939" w:type="dxa"/>
          </w:tcPr>
          <w:p w14:paraId="051DA31D" w14:textId="562DDCF8" w:rsidR="00CE6AF5" w:rsidRPr="00D11AD1" w:rsidRDefault="00CE6AF5" w:rsidP="006D21E5">
            <w:pPr>
              <w:ind w:left="608" w:right="540"/>
              <w:jc w:val="center"/>
              <w:rPr>
                <w:rFonts w:ascii="Times New Roman" w:hAnsi="Times New Roman"/>
                <w:sz w:val="24"/>
                <w:szCs w:val="24"/>
              </w:rPr>
            </w:pPr>
            <w:r w:rsidRPr="00D11AD1">
              <w:rPr>
                <w:rFonts w:ascii="Times New Roman" w:hAnsi="Times New Roman"/>
                <w:w w:val="105"/>
                <w:sz w:val="24"/>
                <w:szCs w:val="24"/>
              </w:rPr>
              <w:t>5/37 (13</w:t>
            </w:r>
            <w:r w:rsidR="00F1797E" w:rsidRPr="00D11AD1">
              <w:rPr>
                <w:rFonts w:ascii="Times New Roman" w:hAnsi="Times New Roman"/>
                <w:w w:val="105"/>
                <w:sz w:val="24"/>
                <w:szCs w:val="24"/>
              </w:rPr>
              <w:t>,</w:t>
            </w:r>
            <w:r w:rsidRPr="00D11AD1">
              <w:rPr>
                <w:rFonts w:ascii="Times New Roman" w:hAnsi="Times New Roman"/>
                <w:w w:val="105"/>
                <w:sz w:val="24"/>
                <w:szCs w:val="24"/>
              </w:rPr>
              <w:t>5)</w:t>
            </w:r>
          </w:p>
        </w:tc>
      </w:tr>
      <w:tr w:rsidR="00CE6AF5" w:rsidRPr="00D11AD1" w14:paraId="703E4C99" w14:textId="77777777" w:rsidTr="00E763C5">
        <w:trPr>
          <w:trHeight w:val="220"/>
        </w:trPr>
        <w:tc>
          <w:tcPr>
            <w:tcW w:w="3509" w:type="dxa"/>
          </w:tcPr>
          <w:p w14:paraId="78275857" w14:textId="25C74D93" w:rsidR="00CE6AF5" w:rsidRPr="00D11AD1" w:rsidRDefault="00CE6AF5" w:rsidP="006D21E5">
            <w:pPr>
              <w:ind w:left="100"/>
              <w:rPr>
                <w:rFonts w:ascii="Times New Roman" w:hAnsi="Times New Roman"/>
                <w:sz w:val="24"/>
                <w:szCs w:val="24"/>
                <w:lang w:val="da-DK"/>
              </w:rPr>
            </w:pPr>
            <w:r w:rsidRPr="00D11AD1">
              <w:rPr>
                <w:rFonts w:ascii="Times New Roman" w:hAnsi="Times New Roman"/>
                <w:sz w:val="24"/>
                <w:szCs w:val="24"/>
                <w:lang w:val="da-DK"/>
              </w:rPr>
              <w:t>Rate for PFS efter 60 måneder</w:t>
            </w:r>
            <w:r w:rsidRPr="00D11AD1">
              <w:rPr>
                <w:rFonts w:ascii="Times New Roman" w:hAnsi="Times New Roman"/>
                <w:w w:val="105"/>
                <w:sz w:val="24"/>
                <w:szCs w:val="24"/>
                <w:lang w:val="da-DK"/>
              </w:rPr>
              <w:t xml:space="preserve"> (95</w:t>
            </w:r>
            <w:r w:rsidR="00FA34A4" w:rsidRPr="00D11AD1">
              <w:rPr>
                <w:rFonts w:ascii="Times New Roman" w:hAnsi="Times New Roman"/>
                <w:w w:val="105"/>
                <w:sz w:val="24"/>
                <w:szCs w:val="24"/>
                <w:lang w:val="da-DK"/>
              </w:rPr>
              <w:t xml:space="preserve"> %</w:t>
            </w:r>
            <w:r w:rsidRPr="00D11AD1">
              <w:rPr>
                <w:rFonts w:ascii="Times New Roman" w:hAnsi="Times New Roman"/>
                <w:w w:val="105"/>
                <w:sz w:val="24"/>
                <w:szCs w:val="24"/>
                <w:lang w:val="da-DK"/>
              </w:rPr>
              <w:t xml:space="preserve"> CI)</w:t>
            </w:r>
          </w:p>
        </w:tc>
        <w:tc>
          <w:tcPr>
            <w:tcW w:w="2624" w:type="dxa"/>
          </w:tcPr>
          <w:p w14:paraId="1874F765" w14:textId="1DD54204" w:rsidR="00CE6AF5" w:rsidRPr="00D11AD1" w:rsidRDefault="00CE6AF5" w:rsidP="006D21E5">
            <w:pPr>
              <w:ind w:left="187" w:right="226"/>
              <w:jc w:val="center"/>
              <w:rPr>
                <w:rFonts w:ascii="Times New Roman" w:hAnsi="Times New Roman"/>
                <w:sz w:val="24"/>
                <w:szCs w:val="24"/>
              </w:rPr>
            </w:pPr>
            <w:r w:rsidRPr="00D11AD1">
              <w:rPr>
                <w:rFonts w:ascii="Times New Roman" w:hAnsi="Times New Roman"/>
                <w:w w:val="105"/>
                <w:sz w:val="24"/>
                <w:szCs w:val="24"/>
              </w:rPr>
              <w:t>92</w:t>
            </w:r>
            <w:r w:rsidR="00F1797E" w:rsidRPr="00D11AD1">
              <w:rPr>
                <w:rFonts w:ascii="Times New Roman" w:hAnsi="Times New Roman"/>
                <w:w w:val="105"/>
                <w:sz w:val="24"/>
                <w:szCs w:val="24"/>
              </w:rPr>
              <w:t>,</w:t>
            </w:r>
            <w:r w:rsidRPr="00D11AD1">
              <w:rPr>
                <w:rFonts w:ascii="Times New Roman" w:hAnsi="Times New Roman"/>
                <w:w w:val="105"/>
                <w:sz w:val="24"/>
                <w:szCs w:val="24"/>
              </w:rPr>
              <w:t>0</w:t>
            </w:r>
            <w:r w:rsidR="00FA34A4" w:rsidRPr="00D11AD1">
              <w:rPr>
                <w:rFonts w:ascii="Times New Roman" w:hAnsi="Times New Roman"/>
                <w:w w:val="105"/>
                <w:sz w:val="24"/>
                <w:szCs w:val="24"/>
              </w:rPr>
              <w:t xml:space="preserve"> %</w:t>
            </w:r>
            <w:r w:rsidRPr="00D11AD1">
              <w:rPr>
                <w:rFonts w:ascii="Times New Roman" w:hAnsi="Times New Roman"/>
                <w:w w:val="105"/>
                <w:sz w:val="24"/>
                <w:szCs w:val="24"/>
              </w:rPr>
              <w:t xml:space="preserve"> (89</w:t>
            </w:r>
            <w:r w:rsidR="00F1797E" w:rsidRPr="00D11AD1">
              <w:rPr>
                <w:rFonts w:ascii="Times New Roman" w:hAnsi="Times New Roman"/>
                <w:w w:val="105"/>
                <w:sz w:val="24"/>
                <w:szCs w:val="24"/>
              </w:rPr>
              <w:t>,</w:t>
            </w:r>
            <w:r w:rsidRPr="00D11AD1">
              <w:rPr>
                <w:rFonts w:ascii="Times New Roman" w:hAnsi="Times New Roman"/>
                <w:w w:val="105"/>
                <w:sz w:val="24"/>
                <w:szCs w:val="24"/>
              </w:rPr>
              <w:t>6</w:t>
            </w:r>
            <w:r w:rsidR="000A0798" w:rsidRPr="00D11AD1">
              <w:rPr>
                <w:rFonts w:ascii="Times New Roman" w:hAnsi="Times New Roman"/>
                <w:w w:val="105"/>
                <w:sz w:val="24"/>
                <w:szCs w:val="24"/>
              </w:rPr>
              <w:t>;</w:t>
            </w:r>
            <w:r w:rsidRPr="00D11AD1">
              <w:rPr>
                <w:rFonts w:ascii="Times New Roman" w:hAnsi="Times New Roman"/>
                <w:w w:val="105"/>
                <w:sz w:val="24"/>
                <w:szCs w:val="24"/>
              </w:rPr>
              <w:t xml:space="preserve"> 95</w:t>
            </w:r>
            <w:r w:rsidR="00F1797E" w:rsidRPr="00D11AD1">
              <w:rPr>
                <w:rFonts w:ascii="Times New Roman" w:hAnsi="Times New Roman"/>
                <w:w w:val="105"/>
                <w:sz w:val="24"/>
                <w:szCs w:val="24"/>
              </w:rPr>
              <w:t>,</w:t>
            </w:r>
            <w:r w:rsidRPr="00D11AD1">
              <w:rPr>
                <w:rFonts w:ascii="Times New Roman" w:hAnsi="Times New Roman"/>
                <w:w w:val="105"/>
                <w:sz w:val="24"/>
                <w:szCs w:val="24"/>
              </w:rPr>
              <w:t>2)</w:t>
            </w:r>
          </w:p>
        </w:tc>
        <w:tc>
          <w:tcPr>
            <w:tcW w:w="2939" w:type="dxa"/>
          </w:tcPr>
          <w:p w14:paraId="5A43A5D9" w14:textId="01AB02E6" w:rsidR="00CE6AF5" w:rsidRPr="00D11AD1" w:rsidRDefault="00CE6AF5" w:rsidP="006D21E5">
            <w:pPr>
              <w:ind w:left="607" w:right="547"/>
              <w:jc w:val="center"/>
              <w:rPr>
                <w:rFonts w:ascii="Times New Roman" w:hAnsi="Times New Roman"/>
                <w:sz w:val="24"/>
                <w:szCs w:val="24"/>
              </w:rPr>
            </w:pPr>
            <w:r w:rsidRPr="00D11AD1">
              <w:rPr>
                <w:rFonts w:ascii="Times New Roman" w:hAnsi="Times New Roman"/>
                <w:w w:val="105"/>
                <w:sz w:val="24"/>
                <w:szCs w:val="24"/>
              </w:rPr>
              <w:t>73</w:t>
            </w:r>
            <w:r w:rsidR="00F1797E" w:rsidRPr="00D11AD1">
              <w:rPr>
                <w:rFonts w:ascii="Times New Roman" w:hAnsi="Times New Roman"/>
                <w:w w:val="105"/>
                <w:sz w:val="24"/>
                <w:szCs w:val="24"/>
              </w:rPr>
              <w:t>,</w:t>
            </w:r>
            <w:r w:rsidRPr="00D11AD1">
              <w:rPr>
                <w:rFonts w:ascii="Times New Roman" w:hAnsi="Times New Roman"/>
                <w:w w:val="105"/>
                <w:sz w:val="24"/>
                <w:szCs w:val="24"/>
              </w:rPr>
              <w:t>8</w:t>
            </w:r>
            <w:r w:rsidR="00FA34A4" w:rsidRPr="00D11AD1">
              <w:rPr>
                <w:rFonts w:ascii="Times New Roman" w:hAnsi="Times New Roman"/>
                <w:w w:val="105"/>
                <w:sz w:val="24"/>
                <w:szCs w:val="24"/>
              </w:rPr>
              <w:t xml:space="preserve"> %</w:t>
            </w:r>
            <w:r w:rsidRPr="00D11AD1">
              <w:rPr>
                <w:rFonts w:ascii="Times New Roman" w:hAnsi="Times New Roman"/>
                <w:w w:val="105"/>
                <w:sz w:val="24"/>
                <w:szCs w:val="24"/>
              </w:rPr>
              <w:t xml:space="preserve"> (52</w:t>
            </w:r>
            <w:r w:rsidR="00F1797E" w:rsidRPr="00D11AD1">
              <w:rPr>
                <w:rFonts w:ascii="Times New Roman" w:hAnsi="Times New Roman"/>
                <w:w w:val="105"/>
                <w:sz w:val="24"/>
                <w:szCs w:val="24"/>
              </w:rPr>
              <w:t>,</w:t>
            </w:r>
            <w:r w:rsidRPr="00D11AD1">
              <w:rPr>
                <w:rFonts w:ascii="Times New Roman" w:hAnsi="Times New Roman"/>
                <w:w w:val="105"/>
                <w:sz w:val="24"/>
                <w:szCs w:val="24"/>
              </w:rPr>
              <w:t>0</w:t>
            </w:r>
            <w:r w:rsidR="000A0798" w:rsidRPr="00D11AD1">
              <w:rPr>
                <w:rFonts w:ascii="Times New Roman" w:hAnsi="Times New Roman"/>
                <w:w w:val="105"/>
                <w:sz w:val="24"/>
                <w:szCs w:val="24"/>
              </w:rPr>
              <w:t>;</w:t>
            </w:r>
            <w:r w:rsidRPr="00D11AD1">
              <w:rPr>
                <w:rFonts w:ascii="Times New Roman" w:hAnsi="Times New Roman"/>
                <w:w w:val="105"/>
                <w:sz w:val="24"/>
                <w:szCs w:val="24"/>
              </w:rPr>
              <w:t xml:space="preserve"> 86</w:t>
            </w:r>
            <w:r w:rsidR="00F1797E" w:rsidRPr="00D11AD1">
              <w:rPr>
                <w:rFonts w:ascii="Times New Roman" w:hAnsi="Times New Roman"/>
                <w:w w:val="105"/>
                <w:sz w:val="24"/>
                <w:szCs w:val="24"/>
              </w:rPr>
              <w:t>,</w:t>
            </w:r>
            <w:r w:rsidRPr="00D11AD1">
              <w:rPr>
                <w:rFonts w:ascii="Times New Roman" w:hAnsi="Times New Roman"/>
                <w:w w:val="105"/>
                <w:sz w:val="24"/>
                <w:szCs w:val="24"/>
              </w:rPr>
              <w:t>8)</w:t>
            </w:r>
          </w:p>
        </w:tc>
      </w:tr>
      <w:tr w:rsidR="00CE6AF5" w:rsidRPr="00D11AD1" w14:paraId="1F4579E2" w14:textId="77777777" w:rsidTr="00E763C5">
        <w:trPr>
          <w:trHeight w:val="220"/>
        </w:trPr>
        <w:tc>
          <w:tcPr>
            <w:tcW w:w="3509" w:type="dxa"/>
            <w:tcBorders>
              <w:bottom w:val="single" w:sz="4" w:space="0" w:color="000000"/>
            </w:tcBorders>
          </w:tcPr>
          <w:p w14:paraId="210D7076" w14:textId="5510C2D7" w:rsidR="00CE6AF5" w:rsidRPr="00D11AD1" w:rsidRDefault="00CE6AF5" w:rsidP="006D21E5">
            <w:pPr>
              <w:ind w:left="100"/>
              <w:rPr>
                <w:rFonts w:ascii="Times New Roman" w:hAnsi="Times New Roman"/>
                <w:sz w:val="24"/>
                <w:szCs w:val="24"/>
                <w:lang w:val="da-DK"/>
              </w:rPr>
            </w:pPr>
            <w:r w:rsidRPr="00D11AD1">
              <w:rPr>
                <w:rFonts w:ascii="Times New Roman" w:hAnsi="Times New Roman"/>
                <w:sz w:val="24"/>
                <w:szCs w:val="24"/>
                <w:lang w:val="da-DK"/>
              </w:rPr>
              <w:t>Rate for OS efter 60 måneder</w:t>
            </w:r>
            <w:r w:rsidRPr="00D11AD1">
              <w:rPr>
                <w:rFonts w:ascii="Times New Roman" w:hAnsi="Times New Roman"/>
                <w:w w:val="105"/>
                <w:sz w:val="24"/>
                <w:szCs w:val="24"/>
                <w:lang w:val="da-DK"/>
              </w:rPr>
              <w:t xml:space="preserve"> (95</w:t>
            </w:r>
            <w:r w:rsidR="00FA34A4" w:rsidRPr="00D11AD1">
              <w:rPr>
                <w:rFonts w:ascii="Times New Roman" w:hAnsi="Times New Roman"/>
                <w:w w:val="105"/>
                <w:sz w:val="24"/>
                <w:szCs w:val="24"/>
                <w:lang w:val="da-DK"/>
              </w:rPr>
              <w:t xml:space="preserve"> %</w:t>
            </w:r>
            <w:r w:rsidRPr="00D11AD1">
              <w:rPr>
                <w:rFonts w:ascii="Times New Roman" w:hAnsi="Times New Roman"/>
                <w:w w:val="105"/>
                <w:sz w:val="24"/>
                <w:szCs w:val="24"/>
                <w:lang w:val="da-DK"/>
              </w:rPr>
              <w:t xml:space="preserve"> CI)</w:t>
            </w:r>
          </w:p>
        </w:tc>
        <w:tc>
          <w:tcPr>
            <w:tcW w:w="2624" w:type="dxa"/>
            <w:tcBorders>
              <w:bottom w:val="single" w:sz="4" w:space="0" w:color="000000"/>
            </w:tcBorders>
          </w:tcPr>
          <w:p w14:paraId="1BA0217B" w14:textId="03D6F161" w:rsidR="00CE6AF5" w:rsidRPr="00D11AD1" w:rsidRDefault="00CE6AF5" w:rsidP="006D21E5">
            <w:pPr>
              <w:ind w:left="186" w:right="226"/>
              <w:jc w:val="center"/>
              <w:rPr>
                <w:rFonts w:ascii="Times New Roman" w:hAnsi="Times New Roman"/>
                <w:sz w:val="24"/>
                <w:szCs w:val="24"/>
              </w:rPr>
            </w:pPr>
            <w:r w:rsidRPr="00D11AD1">
              <w:rPr>
                <w:rFonts w:ascii="Times New Roman" w:hAnsi="Times New Roman"/>
                <w:w w:val="105"/>
                <w:sz w:val="24"/>
                <w:szCs w:val="24"/>
              </w:rPr>
              <w:t>93</w:t>
            </w:r>
            <w:r w:rsidR="00F1797E" w:rsidRPr="00D11AD1">
              <w:rPr>
                <w:rFonts w:ascii="Times New Roman" w:hAnsi="Times New Roman"/>
                <w:w w:val="105"/>
                <w:sz w:val="24"/>
                <w:szCs w:val="24"/>
              </w:rPr>
              <w:t>,</w:t>
            </w:r>
            <w:r w:rsidRPr="00D11AD1">
              <w:rPr>
                <w:rFonts w:ascii="Times New Roman" w:hAnsi="Times New Roman"/>
                <w:w w:val="105"/>
                <w:sz w:val="24"/>
                <w:szCs w:val="24"/>
              </w:rPr>
              <w:t>8</w:t>
            </w:r>
            <w:r w:rsidR="00FA34A4" w:rsidRPr="00D11AD1">
              <w:rPr>
                <w:rFonts w:ascii="Times New Roman" w:hAnsi="Times New Roman"/>
                <w:w w:val="105"/>
                <w:sz w:val="24"/>
                <w:szCs w:val="24"/>
              </w:rPr>
              <w:t xml:space="preserve"> %</w:t>
            </w:r>
            <w:r w:rsidRPr="00D11AD1">
              <w:rPr>
                <w:rFonts w:ascii="Times New Roman" w:hAnsi="Times New Roman"/>
                <w:w w:val="105"/>
                <w:sz w:val="24"/>
                <w:szCs w:val="24"/>
              </w:rPr>
              <w:t xml:space="preserve"> (89</w:t>
            </w:r>
            <w:r w:rsidR="00F1797E" w:rsidRPr="00D11AD1">
              <w:rPr>
                <w:rFonts w:ascii="Times New Roman" w:hAnsi="Times New Roman"/>
                <w:w w:val="105"/>
                <w:sz w:val="24"/>
                <w:szCs w:val="24"/>
              </w:rPr>
              <w:t>,</w:t>
            </w:r>
            <w:r w:rsidRPr="00D11AD1">
              <w:rPr>
                <w:rFonts w:ascii="Times New Roman" w:hAnsi="Times New Roman"/>
                <w:w w:val="105"/>
                <w:sz w:val="24"/>
                <w:szCs w:val="24"/>
              </w:rPr>
              <w:t>3</w:t>
            </w:r>
            <w:r w:rsidR="000A0798" w:rsidRPr="00D11AD1">
              <w:rPr>
                <w:rFonts w:ascii="Times New Roman" w:hAnsi="Times New Roman"/>
                <w:w w:val="105"/>
                <w:sz w:val="24"/>
                <w:szCs w:val="24"/>
              </w:rPr>
              <w:t>;</w:t>
            </w:r>
            <w:r w:rsidRPr="00D11AD1">
              <w:rPr>
                <w:rFonts w:ascii="Times New Roman" w:hAnsi="Times New Roman"/>
                <w:w w:val="105"/>
                <w:sz w:val="24"/>
                <w:szCs w:val="24"/>
              </w:rPr>
              <w:t xml:space="preserve"> 96</w:t>
            </w:r>
            <w:r w:rsidR="00F1797E" w:rsidRPr="00D11AD1">
              <w:rPr>
                <w:rFonts w:ascii="Times New Roman" w:hAnsi="Times New Roman"/>
                <w:w w:val="105"/>
                <w:sz w:val="24"/>
                <w:szCs w:val="24"/>
              </w:rPr>
              <w:t>,</w:t>
            </w:r>
            <w:r w:rsidRPr="00D11AD1">
              <w:rPr>
                <w:rFonts w:ascii="Times New Roman" w:hAnsi="Times New Roman"/>
                <w:w w:val="105"/>
                <w:sz w:val="24"/>
                <w:szCs w:val="24"/>
              </w:rPr>
              <w:t>4)</w:t>
            </w:r>
          </w:p>
        </w:tc>
        <w:tc>
          <w:tcPr>
            <w:tcW w:w="2939" w:type="dxa"/>
            <w:tcBorders>
              <w:bottom w:val="single" w:sz="4" w:space="0" w:color="000000"/>
            </w:tcBorders>
          </w:tcPr>
          <w:p w14:paraId="69313184" w14:textId="0803C496" w:rsidR="00CE6AF5" w:rsidRPr="00D11AD1" w:rsidRDefault="00CE6AF5" w:rsidP="006D21E5">
            <w:pPr>
              <w:ind w:left="608" w:right="547"/>
              <w:jc w:val="center"/>
              <w:rPr>
                <w:rFonts w:ascii="Times New Roman" w:hAnsi="Times New Roman"/>
                <w:sz w:val="24"/>
                <w:szCs w:val="24"/>
              </w:rPr>
            </w:pPr>
            <w:r w:rsidRPr="00D11AD1">
              <w:rPr>
                <w:rFonts w:ascii="Times New Roman" w:hAnsi="Times New Roman"/>
                <w:w w:val="105"/>
                <w:sz w:val="24"/>
                <w:szCs w:val="24"/>
              </w:rPr>
              <w:t>80</w:t>
            </w:r>
            <w:r w:rsidR="00F1797E" w:rsidRPr="00D11AD1">
              <w:rPr>
                <w:rFonts w:ascii="Times New Roman" w:hAnsi="Times New Roman"/>
                <w:w w:val="105"/>
                <w:sz w:val="24"/>
                <w:szCs w:val="24"/>
              </w:rPr>
              <w:t>,</w:t>
            </w:r>
            <w:r w:rsidRPr="00D11AD1">
              <w:rPr>
                <w:rFonts w:ascii="Times New Roman" w:hAnsi="Times New Roman"/>
                <w:w w:val="105"/>
                <w:sz w:val="24"/>
                <w:szCs w:val="24"/>
              </w:rPr>
              <w:t>6</w:t>
            </w:r>
            <w:r w:rsidR="00FA34A4" w:rsidRPr="00D11AD1">
              <w:rPr>
                <w:rFonts w:ascii="Times New Roman" w:hAnsi="Times New Roman"/>
                <w:w w:val="105"/>
                <w:sz w:val="24"/>
                <w:szCs w:val="24"/>
              </w:rPr>
              <w:t xml:space="preserve"> %</w:t>
            </w:r>
            <w:r w:rsidRPr="00D11AD1">
              <w:rPr>
                <w:rFonts w:ascii="Times New Roman" w:hAnsi="Times New Roman"/>
                <w:w w:val="105"/>
                <w:sz w:val="24"/>
                <w:szCs w:val="24"/>
              </w:rPr>
              <w:t xml:space="preserve"> (63</w:t>
            </w:r>
            <w:r w:rsidR="00F1797E" w:rsidRPr="00D11AD1">
              <w:rPr>
                <w:rFonts w:ascii="Times New Roman" w:hAnsi="Times New Roman"/>
                <w:w w:val="105"/>
                <w:sz w:val="24"/>
                <w:szCs w:val="24"/>
              </w:rPr>
              <w:t>,</w:t>
            </w:r>
            <w:r w:rsidRPr="00D11AD1">
              <w:rPr>
                <w:rFonts w:ascii="Times New Roman" w:hAnsi="Times New Roman"/>
                <w:w w:val="105"/>
                <w:sz w:val="24"/>
                <w:szCs w:val="24"/>
              </w:rPr>
              <w:t>5</w:t>
            </w:r>
            <w:r w:rsidR="000A0798" w:rsidRPr="00D11AD1">
              <w:rPr>
                <w:rFonts w:ascii="Times New Roman" w:hAnsi="Times New Roman"/>
                <w:w w:val="105"/>
                <w:sz w:val="24"/>
                <w:szCs w:val="24"/>
              </w:rPr>
              <w:t>;</w:t>
            </w:r>
            <w:r w:rsidRPr="00D11AD1">
              <w:rPr>
                <w:rFonts w:ascii="Times New Roman" w:hAnsi="Times New Roman"/>
                <w:w w:val="105"/>
                <w:sz w:val="24"/>
                <w:szCs w:val="24"/>
              </w:rPr>
              <w:t xml:space="preserve"> 90</w:t>
            </w:r>
            <w:r w:rsidR="00F1797E" w:rsidRPr="00D11AD1">
              <w:rPr>
                <w:rFonts w:ascii="Times New Roman" w:hAnsi="Times New Roman"/>
                <w:w w:val="105"/>
                <w:sz w:val="24"/>
                <w:szCs w:val="24"/>
              </w:rPr>
              <w:t>,</w:t>
            </w:r>
            <w:r w:rsidRPr="00D11AD1">
              <w:rPr>
                <w:rFonts w:ascii="Times New Roman" w:hAnsi="Times New Roman"/>
                <w:w w:val="105"/>
                <w:sz w:val="24"/>
                <w:szCs w:val="24"/>
              </w:rPr>
              <w:t>2)</w:t>
            </w:r>
          </w:p>
        </w:tc>
      </w:tr>
    </w:tbl>
    <w:p w14:paraId="49FEDC93" w14:textId="60F83616" w:rsidR="00DF29AD" w:rsidRPr="00D11AD1" w:rsidRDefault="00DF29AD" w:rsidP="006D21E5">
      <w:pPr>
        <w:tabs>
          <w:tab w:val="left" w:pos="851"/>
        </w:tabs>
        <w:ind w:left="851"/>
        <w:rPr>
          <w:sz w:val="24"/>
          <w:szCs w:val="24"/>
        </w:rPr>
      </w:pPr>
    </w:p>
    <w:p w14:paraId="03FDB179" w14:textId="7E7E8F2B" w:rsidR="006E686D" w:rsidRPr="00D11AD1" w:rsidRDefault="006E686D" w:rsidP="006E686D">
      <w:pPr>
        <w:tabs>
          <w:tab w:val="left" w:pos="851"/>
        </w:tabs>
        <w:ind w:left="851"/>
        <w:rPr>
          <w:sz w:val="24"/>
          <w:szCs w:val="24"/>
        </w:rPr>
      </w:pPr>
      <w:r w:rsidRPr="00D11AD1">
        <w:rPr>
          <w:sz w:val="24"/>
          <w:szCs w:val="24"/>
        </w:rPr>
        <w:t>Samlet overlevelsesrate på specifikke tidspunkter er vist grafisk i Figur 4. Samlet overlevelsesrate var konsekvent højere hos dasatinib behandlede patienter, som opnåede BCR-ABL-niveau ≤ 10</w:t>
      </w:r>
      <w:r w:rsidR="00FA34A4" w:rsidRPr="00D11AD1">
        <w:rPr>
          <w:sz w:val="24"/>
          <w:szCs w:val="24"/>
        </w:rPr>
        <w:t xml:space="preserve"> %</w:t>
      </w:r>
      <w:r w:rsidRPr="00D11AD1">
        <w:rPr>
          <w:sz w:val="24"/>
          <w:szCs w:val="24"/>
        </w:rPr>
        <w:t xml:space="preserve"> ved måned 3, sammenlignet med dem, der ikke gjorde.</w:t>
      </w:r>
    </w:p>
    <w:p w14:paraId="1CD41A44" w14:textId="77777777" w:rsidR="006E686D" w:rsidRPr="000A733F" w:rsidRDefault="006E686D" w:rsidP="006E686D">
      <w:pPr>
        <w:tabs>
          <w:tab w:val="left" w:pos="851"/>
        </w:tabs>
        <w:ind w:left="851"/>
        <w:rPr>
          <w:bCs/>
          <w:sz w:val="24"/>
          <w:szCs w:val="24"/>
        </w:rPr>
      </w:pPr>
    </w:p>
    <w:p w14:paraId="0558D32C" w14:textId="35B010D9" w:rsidR="006E686D" w:rsidRPr="00D11AD1" w:rsidRDefault="006E686D" w:rsidP="006E686D">
      <w:pPr>
        <w:tabs>
          <w:tab w:val="left" w:pos="851"/>
        </w:tabs>
        <w:ind w:left="851"/>
        <w:rPr>
          <w:b/>
          <w:sz w:val="24"/>
          <w:szCs w:val="24"/>
        </w:rPr>
      </w:pPr>
      <w:r w:rsidRPr="00D11AD1">
        <w:rPr>
          <w:b/>
          <w:sz w:val="24"/>
          <w:szCs w:val="24"/>
        </w:rPr>
        <w:t xml:space="preserve">Figur 4: </w:t>
      </w:r>
      <w:r w:rsidRPr="00D11AD1">
        <w:rPr>
          <w:b/>
          <w:bCs/>
          <w:sz w:val="24"/>
          <w:szCs w:val="24"/>
        </w:rPr>
        <w:t>Landmark plot for samlet overlevelse for dasatinib ved BCR-ABL-niveau (≤ 10</w:t>
      </w:r>
      <w:r w:rsidR="00FA34A4" w:rsidRPr="00D11AD1">
        <w:rPr>
          <w:b/>
          <w:bCs/>
          <w:sz w:val="24"/>
          <w:szCs w:val="24"/>
        </w:rPr>
        <w:t xml:space="preserve"> %</w:t>
      </w:r>
      <w:r w:rsidRPr="00D11AD1">
        <w:rPr>
          <w:b/>
          <w:bCs/>
          <w:sz w:val="24"/>
          <w:szCs w:val="24"/>
        </w:rPr>
        <w:t xml:space="preserve"> eller &gt; 10</w:t>
      </w:r>
      <w:r w:rsidR="00FA34A4" w:rsidRPr="00D11AD1">
        <w:rPr>
          <w:b/>
          <w:bCs/>
          <w:sz w:val="24"/>
          <w:szCs w:val="24"/>
        </w:rPr>
        <w:t xml:space="preserve"> %</w:t>
      </w:r>
      <w:r w:rsidRPr="00D11AD1">
        <w:rPr>
          <w:b/>
          <w:bCs/>
          <w:sz w:val="24"/>
          <w:szCs w:val="24"/>
        </w:rPr>
        <w:t xml:space="preserve"> ved måned 3 i et fase 3-studie med patienter med nyligt diagnosticeret CML i kronisk fase</w:t>
      </w:r>
    </w:p>
    <w:p w14:paraId="2D3FDB0F" w14:textId="05C3ABF7" w:rsidR="00DF29AD" w:rsidRPr="00D11AD1" w:rsidRDefault="00DF29AD" w:rsidP="00D91AD6">
      <w:pPr>
        <w:tabs>
          <w:tab w:val="left" w:pos="851"/>
        </w:tabs>
        <w:ind w:left="851"/>
        <w:rPr>
          <w:sz w:val="24"/>
          <w:szCs w:val="24"/>
        </w:rPr>
      </w:pPr>
    </w:p>
    <w:p w14:paraId="3EA8CA38" w14:textId="7E021E87" w:rsidR="00DF29AD" w:rsidRPr="00D11AD1" w:rsidRDefault="006E686D" w:rsidP="00D91AD6">
      <w:pPr>
        <w:tabs>
          <w:tab w:val="left" w:pos="851"/>
        </w:tabs>
        <w:ind w:left="851"/>
        <w:rPr>
          <w:sz w:val="24"/>
          <w:szCs w:val="24"/>
        </w:rPr>
      </w:pPr>
      <w:r w:rsidRPr="00D11AD1">
        <w:rPr>
          <w:noProof/>
          <w:sz w:val="24"/>
          <w:szCs w:val="24"/>
        </w:rPr>
        <w:drawing>
          <wp:inline distT="0" distB="0" distL="0" distR="0" wp14:anchorId="325A27EA" wp14:editId="47BA140C">
            <wp:extent cx="5588000" cy="3383915"/>
            <wp:effectExtent l="0" t="0" r="0" b="6985"/>
            <wp:docPr id="22" name="Billed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5588000" cy="3383915"/>
                    </a:xfrm>
                    <a:prstGeom prst="rect">
                      <a:avLst/>
                    </a:prstGeom>
                  </pic:spPr>
                </pic:pic>
              </a:graphicData>
            </a:graphic>
          </wp:inline>
        </w:drawing>
      </w:r>
    </w:p>
    <w:p w14:paraId="5395BF41" w14:textId="00C400A2" w:rsidR="001C02F9" w:rsidRPr="00D11AD1" w:rsidRDefault="001C02F9" w:rsidP="009260DE">
      <w:pPr>
        <w:tabs>
          <w:tab w:val="left" w:pos="851"/>
        </w:tabs>
        <w:ind w:left="851"/>
        <w:rPr>
          <w:sz w:val="24"/>
          <w:szCs w:val="24"/>
        </w:rPr>
      </w:pPr>
    </w:p>
    <w:p w14:paraId="6F2937F3" w14:textId="1A861DA4" w:rsidR="006E686D" w:rsidRPr="00D11AD1" w:rsidRDefault="006E686D" w:rsidP="006E686D">
      <w:pPr>
        <w:tabs>
          <w:tab w:val="left" w:pos="851"/>
        </w:tabs>
        <w:ind w:left="851"/>
        <w:rPr>
          <w:sz w:val="24"/>
          <w:szCs w:val="24"/>
        </w:rPr>
      </w:pPr>
      <w:r w:rsidRPr="00D11AD1">
        <w:rPr>
          <w:sz w:val="24"/>
          <w:szCs w:val="24"/>
        </w:rPr>
        <w:t>Sygdomsprogression blev defineret som øget antal hvide blodlegemer til trods for hensigtsmæssig terapeutisk behandling, tab af CHR, partiel CyR eller CCyR, progression til accelereret fase eller blastfase eller død. Den estimerede 60-måneders rate for progressionsfri overlevelse var 88,9</w:t>
      </w:r>
      <w:r w:rsidR="00FA34A4" w:rsidRPr="00D11AD1">
        <w:rPr>
          <w:sz w:val="24"/>
          <w:szCs w:val="24"/>
        </w:rPr>
        <w:t xml:space="preserve"> %</w:t>
      </w:r>
      <w:r w:rsidRPr="00D11AD1">
        <w:rPr>
          <w:sz w:val="24"/>
          <w:szCs w:val="24"/>
        </w:rPr>
        <w:t xml:space="preserve"> (CI: 84</w:t>
      </w:r>
      <w:r w:rsidR="00FA34A4" w:rsidRPr="00D11AD1">
        <w:rPr>
          <w:sz w:val="24"/>
          <w:szCs w:val="24"/>
        </w:rPr>
        <w:t xml:space="preserve"> %</w:t>
      </w:r>
      <w:r w:rsidRPr="00D11AD1">
        <w:rPr>
          <w:sz w:val="24"/>
          <w:szCs w:val="24"/>
        </w:rPr>
        <w:t xml:space="preserve"> - 92,4</w:t>
      </w:r>
      <w:r w:rsidR="00FA34A4" w:rsidRPr="00D11AD1">
        <w:rPr>
          <w:sz w:val="24"/>
          <w:szCs w:val="24"/>
        </w:rPr>
        <w:t xml:space="preserve"> %</w:t>
      </w:r>
      <w:r w:rsidRPr="00D11AD1">
        <w:rPr>
          <w:sz w:val="24"/>
          <w:szCs w:val="24"/>
        </w:rPr>
        <w:t>) for både dasatinib og imatinib armene. Ved 60 måneder forekom transformation til accelereret fase eller blastfase hos færre patienter, der blev behandlet med dasatinib (n = 8; 3</w:t>
      </w:r>
      <w:r w:rsidR="00FA34A4" w:rsidRPr="00D11AD1">
        <w:rPr>
          <w:sz w:val="24"/>
          <w:szCs w:val="24"/>
        </w:rPr>
        <w:t xml:space="preserve"> %</w:t>
      </w:r>
      <w:r w:rsidRPr="00D11AD1">
        <w:rPr>
          <w:sz w:val="24"/>
          <w:szCs w:val="24"/>
        </w:rPr>
        <w:t>), I forhold til patienter, der blev behandlet med imatinib (n = 15; 5,8</w:t>
      </w:r>
      <w:r w:rsidR="00FA34A4" w:rsidRPr="00D11AD1">
        <w:rPr>
          <w:sz w:val="24"/>
          <w:szCs w:val="24"/>
        </w:rPr>
        <w:t xml:space="preserve"> %</w:t>
      </w:r>
      <w:r w:rsidRPr="00D11AD1">
        <w:rPr>
          <w:sz w:val="24"/>
          <w:szCs w:val="24"/>
        </w:rPr>
        <w:t>). Den estimerede 60-måneders overlevelsesrate for patienter, der blev behandlet med dasatinib og imatinib, var henholdsvis 90,9</w:t>
      </w:r>
      <w:r w:rsidR="00FA34A4" w:rsidRPr="00D11AD1">
        <w:rPr>
          <w:sz w:val="24"/>
          <w:szCs w:val="24"/>
        </w:rPr>
        <w:t xml:space="preserve"> %</w:t>
      </w:r>
      <w:r w:rsidRPr="00D11AD1">
        <w:rPr>
          <w:sz w:val="24"/>
          <w:szCs w:val="24"/>
        </w:rPr>
        <w:t xml:space="preserve"> (CI: 86,6</w:t>
      </w:r>
      <w:r w:rsidR="00FA34A4" w:rsidRPr="00D11AD1">
        <w:rPr>
          <w:sz w:val="24"/>
          <w:szCs w:val="24"/>
        </w:rPr>
        <w:t xml:space="preserve"> %</w:t>
      </w:r>
      <w:r w:rsidRPr="00D11AD1">
        <w:rPr>
          <w:sz w:val="24"/>
          <w:szCs w:val="24"/>
        </w:rPr>
        <w:t xml:space="preserve"> - 93,8</w:t>
      </w:r>
      <w:r w:rsidR="00FA34A4" w:rsidRPr="00D11AD1">
        <w:rPr>
          <w:sz w:val="24"/>
          <w:szCs w:val="24"/>
        </w:rPr>
        <w:t xml:space="preserve"> %</w:t>
      </w:r>
      <w:r w:rsidRPr="00D11AD1">
        <w:rPr>
          <w:sz w:val="24"/>
          <w:szCs w:val="24"/>
        </w:rPr>
        <w:t>) og 89,6</w:t>
      </w:r>
      <w:r w:rsidR="00FA34A4" w:rsidRPr="00D11AD1">
        <w:rPr>
          <w:sz w:val="24"/>
          <w:szCs w:val="24"/>
        </w:rPr>
        <w:t xml:space="preserve"> %</w:t>
      </w:r>
      <w:r w:rsidRPr="00D11AD1">
        <w:rPr>
          <w:sz w:val="24"/>
          <w:szCs w:val="24"/>
        </w:rPr>
        <w:t xml:space="preserve"> (CI: 85,2</w:t>
      </w:r>
      <w:r w:rsidR="00FA34A4" w:rsidRPr="00D11AD1">
        <w:rPr>
          <w:sz w:val="24"/>
          <w:szCs w:val="24"/>
        </w:rPr>
        <w:t xml:space="preserve"> %</w:t>
      </w:r>
      <w:r w:rsidRPr="00D11AD1">
        <w:rPr>
          <w:sz w:val="24"/>
          <w:szCs w:val="24"/>
        </w:rPr>
        <w:t xml:space="preserve"> - 92,8</w:t>
      </w:r>
      <w:r w:rsidR="00FA34A4" w:rsidRPr="00D11AD1">
        <w:rPr>
          <w:sz w:val="24"/>
          <w:szCs w:val="24"/>
        </w:rPr>
        <w:t xml:space="preserve"> %</w:t>
      </w:r>
      <w:r w:rsidRPr="00D11AD1">
        <w:rPr>
          <w:sz w:val="24"/>
          <w:szCs w:val="24"/>
        </w:rPr>
        <w:t>). Der var ingen forskel i OS (HR 1,01, 95</w:t>
      </w:r>
      <w:r w:rsidR="00FA34A4" w:rsidRPr="00D11AD1">
        <w:rPr>
          <w:sz w:val="24"/>
          <w:szCs w:val="24"/>
        </w:rPr>
        <w:t xml:space="preserve"> %</w:t>
      </w:r>
      <w:r w:rsidRPr="00D11AD1">
        <w:rPr>
          <w:sz w:val="24"/>
          <w:szCs w:val="24"/>
        </w:rPr>
        <w:t xml:space="preserve"> CI: 0,58-1,73, p= 0,9800) og PFS (HR 1,00, 95</w:t>
      </w:r>
      <w:r w:rsidR="00FA34A4" w:rsidRPr="00D11AD1">
        <w:rPr>
          <w:sz w:val="24"/>
          <w:szCs w:val="24"/>
        </w:rPr>
        <w:t xml:space="preserve"> %</w:t>
      </w:r>
      <w:r w:rsidRPr="00D11AD1">
        <w:rPr>
          <w:sz w:val="24"/>
          <w:szCs w:val="24"/>
        </w:rPr>
        <w:t xml:space="preserve"> CI: 0,58-1,72, p = 0,9998) mellem dasatinib og imatinib.</w:t>
      </w:r>
    </w:p>
    <w:p w14:paraId="1B545034" w14:textId="77777777" w:rsidR="006E686D" w:rsidRPr="00D11AD1" w:rsidRDefault="006E686D" w:rsidP="006E686D">
      <w:pPr>
        <w:tabs>
          <w:tab w:val="left" w:pos="851"/>
        </w:tabs>
        <w:ind w:left="851"/>
        <w:rPr>
          <w:sz w:val="24"/>
          <w:szCs w:val="24"/>
        </w:rPr>
      </w:pPr>
    </w:p>
    <w:p w14:paraId="0C95962A" w14:textId="77777777" w:rsidR="006E686D" w:rsidRPr="00D11AD1" w:rsidRDefault="006E686D" w:rsidP="006E686D">
      <w:pPr>
        <w:tabs>
          <w:tab w:val="left" w:pos="851"/>
        </w:tabs>
        <w:ind w:left="851"/>
        <w:rPr>
          <w:sz w:val="24"/>
          <w:szCs w:val="24"/>
        </w:rPr>
      </w:pPr>
      <w:r w:rsidRPr="00D11AD1">
        <w:rPr>
          <w:sz w:val="24"/>
          <w:szCs w:val="24"/>
        </w:rPr>
        <w:t xml:space="preserve">Hos patienter, der rapporterede sygdomsprogression eller som seponerede dasatinib eller imatinib behandling, blev der udført BCR-ABL sekventering af patienternes blodprøver, hvor disse er tilgængelige. Samme mutationsfrekvens blev observeret for begge behandlingsarme. Hos dasatinib behandlede patienter var de observerede mutationer T315I, F317I/L og V299L. Et anderledes mutationsspektrum blev observeret for imatinib behandlingsarmen. Baseret på </w:t>
      </w:r>
      <w:r w:rsidRPr="00D11AD1">
        <w:rPr>
          <w:i/>
          <w:iCs/>
          <w:sz w:val="24"/>
          <w:szCs w:val="24"/>
        </w:rPr>
        <w:t>in vitro</w:t>
      </w:r>
      <w:r w:rsidRPr="00D11AD1">
        <w:rPr>
          <w:sz w:val="24"/>
          <w:szCs w:val="24"/>
        </w:rPr>
        <w:t>-data synes dasatinib ikke at være aktiv over for T315I-mutationen.</w:t>
      </w:r>
    </w:p>
    <w:p w14:paraId="54DCC4C8" w14:textId="77777777" w:rsidR="006E686D" w:rsidRPr="00D11AD1" w:rsidRDefault="006E686D" w:rsidP="006E686D">
      <w:pPr>
        <w:tabs>
          <w:tab w:val="left" w:pos="851"/>
        </w:tabs>
        <w:ind w:left="851"/>
        <w:rPr>
          <w:sz w:val="24"/>
          <w:szCs w:val="24"/>
        </w:rPr>
      </w:pPr>
    </w:p>
    <w:p w14:paraId="7C19BF4E" w14:textId="77777777" w:rsidR="006E686D" w:rsidRPr="00D11AD1" w:rsidRDefault="006E686D" w:rsidP="006E686D">
      <w:pPr>
        <w:tabs>
          <w:tab w:val="left" w:pos="851"/>
        </w:tabs>
        <w:ind w:left="851"/>
        <w:rPr>
          <w:i/>
          <w:iCs/>
          <w:sz w:val="24"/>
          <w:szCs w:val="24"/>
          <w:u w:val="single"/>
        </w:rPr>
      </w:pPr>
      <w:r w:rsidRPr="00D11AD1">
        <w:rPr>
          <w:i/>
          <w:iCs/>
          <w:sz w:val="24"/>
          <w:szCs w:val="24"/>
          <w:u w:val="single"/>
        </w:rPr>
        <w:t>CML i kronisk fase - resistens eller intolerans over for tidligere imatinib behandling</w:t>
      </w:r>
    </w:p>
    <w:p w14:paraId="02CD0887" w14:textId="77777777" w:rsidR="006E686D" w:rsidRPr="00D11AD1" w:rsidRDefault="006E686D" w:rsidP="006E686D">
      <w:pPr>
        <w:tabs>
          <w:tab w:val="left" w:pos="851"/>
        </w:tabs>
        <w:ind w:left="851"/>
        <w:rPr>
          <w:sz w:val="24"/>
          <w:szCs w:val="24"/>
        </w:rPr>
      </w:pPr>
      <w:r w:rsidRPr="00D11AD1">
        <w:rPr>
          <w:sz w:val="24"/>
          <w:szCs w:val="24"/>
        </w:rPr>
        <w:t>Der er udført 2 kliniske studier med patienter, der er resistente eller intolerante over for imatinib; det primære effektendepunkt i disse studier var MCyR (Major Cytogenetic Response).</w:t>
      </w:r>
    </w:p>
    <w:p w14:paraId="0ECCD9D2" w14:textId="6926CCC2" w:rsidR="00523BC3" w:rsidRDefault="00523BC3">
      <w:pPr>
        <w:rPr>
          <w:sz w:val="24"/>
          <w:szCs w:val="24"/>
        </w:rPr>
      </w:pPr>
      <w:r>
        <w:rPr>
          <w:sz w:val="24"/>
          <w:szCs w:val="24"/>
        </w:rPr>
        <w:br w:type="page"/>
      </w:r>
    </w:p>
    <w:p w14:paraId="108A1A27" w14:textId="77777777" w:rsidR="006E686D" w:rsidRPr="00D11AD1" w:rsidRDefault="006E686D" w:rsidP="006E686D">
      <w:pPr>
        <w:tabs>
          <w:tab w:val="left" w:pos="851"/>
        </w:tabs>
        <w:ind w:left="851"/>
        <w:rPr>
          <w:sz w:val="24"/>
          <w:szCs w:val="24"/>
        </w:rPr>
      </w:pPr>
    </w:p>
    <w:p w14:paraId="63CCF84C" w14:textId="77777777" w:rsidR="006E686D" w:rsidRPr="00D11AD1" w:rsidRDefault="006E686D" w:rsidP="006E686D">
      <w:pPr>
        <w:tabs>
          <w:tab w:val="left" w:pos="851"/>
        </w:tabs>
        <w:ind w:left="851"/>
        <w:rPr>
          <w:i/>
          <w:iCs/>
          <w:sz w:val="24"/>
          <w:szCs w:val="24"/>
        </w:rPr>
      </w:pPr>
      <w:r w:rsidRPr="00D11AD1">
        <w:rPr>
          <w:i/>
          <w:iCs/>
          <w:sz w:val="24"/>
          <w:szCs w:val="24"/>
        </w:rPr>
        <w:t>Studie 1</w:t>
      </w:r>
    </w:p>
    <w:p w14:paraId="495E767E" w14:textId="5C43D39D" w:rsidR="006E686D" w:rsidRPr="00D11AD1" w:rsidRDefault="006E686D" w:rsidP="006E686D">
      <w:pPr>
        <w:tabs>
          <w:tab w:val="left" w:pos="851"/>
        </w:tabs>
        <w:ind w:left="851"/>
        <w:rPr>
          <w:sz w:val="24"/>
          <w:szCs w:val="24"/>
        </w:rPr>
      </w:pPr>
      <w:r w:rsidRPr="00D11AD1">
        <w:rPr>
          <w:sz w:val="24"/>
          <w:szCs w:val="24"/>
        </w:rPr>
        <w:t xml:space="preserve">Et åbent, randomiseret, non-komparativt multicenter-studie med patienter med behandlingssvigt ved initial behandling med 400 eller 600 mg imatinib. Patienterne randomiseredes (2:1) til enten dasatinib (70 mg 2 gange </w:t>
      </w:r>
      <w:r w:rsidR="00FA34A4" w:rsidRPr="00D11AD1">
        <w:rPr>
          <w:sz w:val="24"/>
          <w:szCs w:val="24"/>
        </w:rPr>
        <w:t>daglig</w:t>
      </w:r>
      <w:r w:rsidRPr="00D11AD1">
        <w:rPr>
          <w:sz w:val="24"/>
          <w:szCs w:val="24"/>
        </w:rPr>
        <w:t xml:space="preserve">) eller imatinib (400 mg 2 gange </w:t>
      </w:r>
      <w:r w:rsidR="00FA34A4" w:rsidRPr="00D11AD1">
        <w:rPr>
          <w:sz w:val="24"/>
          <w:szCs w:val="24"/>
        </w:rPr>
        <w:t>daglig</w:t>
      </w:r>
      <w:r w:rsidRPr="00D11AD1">
        <w:rPr>
          <w:sz w:val="24"/>
          <w:szCs w:val="24"/>
        </w:rPr>
        <w:t xml:space="preserve">). </w:t>
      </w:r>
      <w:r w:rsidRPr="00D11AD1">
        <w:rPr>
          <w:i/>
          <w:iCs/>
          <w:sz w:val="24"/>
          <w:szCs w:val="24"/>
        </w:rPr>
        <w:t xml:space="preserve">Crossover </w:t>
      </w:r>
      <w:r w:rsidRPr="00D11AD1">
        <w:rPr>
          <w:sz w:val="24"/>
          <w:szCs w:val="24"/>
        </w:rPr>
        <w:t>til alternativ behandling var tilladt, hvis patienten viste tegn på sygdomsprogression eller intolerans, som ikke kunne håndteres med dosismodifikation. Det primære endepunkt var MCyR ved 12 uger. Der foreligger resultater for 150 patienter: 101 var randomiseret til dasatinib og 49 til imatinib (alle imatinib resistente). Mediantid fra diagnose til randomisering var 64 måneder i dasatinib gruppen og 52 måneder i imatinib gruppen.</w:t>
      </w:r>
    </w:p>
    <w:p w14:paraId="47F4956B" w14:textId="77777777" w:rsidR="006E686D" w:rsidRPr="00D11AD1" w:rsidRDefault="006E686D" w:rsidP="006E686D">
      <w:pPr>
        <w:tabs>
          <w:tab w:val="left" w:pos="851"/>
        </w:tabs>
        <w:ind w:left="851"/>
        <w:rPr>
          <w:sz w:val="24"/>
          <w:szCs w:val="24"/>
        </w:rPr>
      </w:pPr>
    </w:p>
    <w:p w14:paraId="0D14F4F4" w14:textId="17397A93" w:rsidR="006E686D" w:rsidRPr="00D11AD1" w:rsidRDefault="006E686D" w:rsidP="006E686D">
      <w:pPr>
        <w:tabs>
          <w:tab w:val="left" w:pos="851"/>
        </w:tabs>
        <w:ind w:left="851"/>
        <w:rPr>
          <w:sz w:val="24"/>
          <w:szCs w:val="24"/>
        </w:rPr>
      </w:pPr>
      <w:r w:rsidRPr="00D11AD1">
        <w:rPr>
          <w:sz w:val="24"/>
          <w:szCs w:val="24"/>
        </w:rPr>
        <w:t>Alle patienter var ekstensivt forbehandlede. Tidligere fuldstændigt hæmatologisk respons (CHR) på imatinib sås hos 93</w:t>
      </w:r>
      <w:r w:rsidR="00FA34A4" w:rsidRPr="00D11AD1">
        <w:rPr>
          <w:sz w:val="24"/>
          <w:szCs w:val="24"/>
        </w:rPr>
        <w:t xml:space="preserve"> %</w:t>
      </w:r>
      <w:r w:rsidRPr="00D11AD1">
        <w:rPr>
          <w:sz w:val="24"/>
          <w:szCs w:val="24"/>
        </w:rPr>
        <w:t xml:space="preserve"> af den overordnede patientpopulation. Tidligere MCyR med imatinib sås hos henholdsvis 28</w:t>
      </w:r>
      <w:r w:rsidR="00FA34A4" w:rsidRPr="00D11AD1">
        <w:rPr>
          <w:sz w:val="24"/>
          <w:szCs w:val="24"/>
        </w:rPr>
        <w:t xml:space="preserve"> %</w:t>
      </w:r>
      <w:r w:rsidRPr="00D11AD1">
        <w:rPr>
          <w:sz w:val="24"/>
          <w:szCs w:val="24"/>
        </w:rPr>
        <w:t xml:space="preserve"> og 29</w:t>
      </w:r>
      <w:r w:rsidR="00FA34A4" w:rsidRPr="00D11AD1">
        <w:rPr>
          <w:sz w:val="24"/>
          <w:szCs w:val="24"/>
        </w:rPr>
        <w:t xml:space="preserve"> %</w:t>
      </w:r>
      <w:r w:rsidRPr="00D11AD1">
        <w:rPr>
          <w:sz w:val="24"/>
          <w:szCs w:val="24"/>
        </w:rPr>
        <w:t xml:space="preserve"> af patienterne i dasatinib og imatinib armen.</w:t>
      </w:r>
    </w:p>
    <w:p w14:paraId="7805E843" w14:textId="490AAAF0" w:rsidR="006E686D" w:rsidRPr="00D11AD1" w:rsidRDefault="006E686D" w:rsidP="006E686D">
      <w:pPr>
        <w:tabs>
          <w:tab w:val="left" w:pos="851"/>
        </w:tabs>
        <w:ind w:left="851"/>
        <w:rPr>
          <w:sz w:val="24"/>
          <w:szCs w:val="24"/>
        </w:rPr>
      </w:pPr>
      <w:r w:rsidRPr="00D11AD1">
        <w:rPr>
          <w:sz w:val="24"/>
          <w:szCs w:val="24"/>
        </w:rPr>
        <w:t>Medianbehandlingsvarigheden var 23 måneder for dasatinib (med 44</w:t>
      </w:r>
      <w:r w:rsidR="00FA34A4" w:rsidRPr="00D11AD1">
        <w:rPr>
          <w:sz w:val="24"/>
          <w:szCs w:val="24"/>
        </w:rPr>
        <w:t xml:space="preserve"> %</w:t>
      </w:r>
      <w:r w:rsidRPr="00D11AD1">
        <w:rPr>
          <w:sz w:val="24"/>
          <w:szCs w:val="24"/>
        </w:rPr>
        <w:t xml:space="preserve"> af patienterne behandlet i &gt; 24 måneder indtil dato) og 3 måneder for imatinib (med 10</w:t>
      </w:r>
      <w:r w:rsidR="00FA34A4" w:rsidRPr="00D11AD1">
        <w:rPr>
          <w:sz w:val="24"/>
          <w:szCs w:val="24"/>
        </w:rPr>
        <w:t xml:space="preserve"> %</w:t>
      </w:r>
      <w:r w:rsidRPr="00D11AD1">
        <w:rPr>
          <w:sz w:val="24"/>
          <w:szCs w:val="24"/>
        </w:rPr>
        <w:t xml:space="preserve"> af patienterne behandlet i &gt; 24 måneder til dato). I dasatinib armen opnåede 93</w:t>
      </w:r>
      <w:r w:rsidR="00FA34A4" w:rsidRPr="00D11AD1">
        <w:rPr>
          <w:sz w:val="24"/>
          <w:szCs w:val="24"/>
        </w:rPr>
        <w:t xml:space="preserve"> %</w:t>
      </w:r>
      <w:r w:rsidRPr="00D11AD1">
        <w:rPr>
          <w:sz w:val="24"/>
          <w:szCs w:val="24"/>
        </w:rPr>
        <w:t xml:space="preserve"> af patienterne CHR inden </w:t>
      </w:r>
      <w:r w:rsidRPr="00D11AD1">
        <w:rPr>
          <w:i/>
          <w:iCs/>
          <w:sz w:val="24"/>
          <w:szCs w:val="24"/>
        </w:rPr>
        <w:t xml:space="preserve">crossover </w:t>
      </w:r>
      <w:r w:rsidRPr="00D11AD1">
        <w:rPr>
          <w:sz w:val="24"/>
          <w:szCs w:val="24"/>
        </w:rPr>
        <w:t>og i imatinib armen opnåede 82</w:t>
      </w:r>
      <w:r w:rsidR="00FA34A4" w:rsidRPr="00D11AD1">
        <w:rPr>
          <w:sz w:val="24"/>
          <w:szCs w:val="24"/>
        </w:rPr>
        <w:t xml:space="preserve"> %</w:t>
      </w:r>
      <w:r w:rsidRPr="00D11AD1">
        <w:rPr>
          <w:sz w:val="24"/>
          <w:szCs w:val="24"/>
        </w:rPr>
        <w:t xml:space="preserve"> af patienterne CHR inden </w:t>
      </w:r>
      <w:r w:rsidRPr="00D11AD1">
        <w:rPr>
          <w:i/>
          <w:iCs/>
          <w:sz w:val="24"/>
          <w:szCs w:val="24"/>
        </w:rPr>
        <w:t>crossover</w:t>
      </w:r>
      <w:r w:rsidRPr="00D11AD1">
        <w:rPr>
          <w:sz w:val="24"/>
          <w:szCs w:val="24"/>
        </w:rPr>
        <w:t>.</w:t>
      </w:r>
    </w:p>
    <w:p w14:paraId="15AC5851" w14:textId="77777777" w:rsidR="006E686D" w:rsidRPr="00D11AD1" w:rsidRDefault="006E686D" w:rsidP="006E686D">
      <w:pPr>
        <w:tabs>
          <w:tab w:val="left" w:pos="851"/>
        </w:tabs>
        <w:ind w:left="851"/>
        <w:rPr>
          <w:sz w:val="24"/>
          <w:szCs w:val="24"/>
        </w:rPr>
      </w:pPr>
    </w:p>
    <w:p w14:paraId="0FC4C637" w14:textId="44562A3D" w:rsidR="006E686D" w:rsidRPr="00D11AD1" w:rsidRDefault="006E686D" w:rsidP="006E686D">
      <w:pPr>
        <w:tabs>
          <w:tab w:val="left" w:pos="851"/>
        </w:tabs>
        <w:ind w:left="851"/>
        <w:rPr>
          <w:sz w:val="24"/>
          <w:szCs w:val="24"/>
        </w:rPr>
      </w:pPr>
      <w:r w:rsidRPr="00D11AD1">
        <w:rPr>
          <w:sz w:val="24"/>
          <w:szCs w:val="24"/>
        </w:rPr>
        <w:t>MCyR forekom hyppigere i dasatinib armen (36</w:t>
      </w:r>
      <w:r w:rsidR="00FA34A4" w:rsidRPr="00D11AD1">
        <w:rPr>
          <w:sz w:val="24"/>
          <w:szCs w:val="24"/>
        </w:rPr>
        <w:t xml:space="preserve"> %</w:t>
      </w:r>
      <w:r w:rsidRPr="00D11AD1">
        <w:rPr>
          <w:sz w:val="24"/>
          <w:szCs w:val="24"/>
        </w:rPr>
        <w:t>) end i imatinib armen (29</w:t>
      </w:r>
      <w:r w:rsidR="00FA34A4" w:rsidRPr="00D11AD1">
        <w:rPr>
          <w:sz w:val="24"/>
          <w:szCs w:val="24"/>
        </w:rPr>
        <w:t xml:space="preserve"> %</w:t>
      </w:r>
      <w:r w:rsidRPr="00D11AD1">
        <w:rPr>
          <w:sz w:val="24"/>
          <w:szCs w:val="24"/>
        </w:rPr>
        <w:t>) efter 3 måneder.</w:t>
      </w:r>
    </w:p>
    <w:p w14:paraId="0AF4D498" w14:textId="7CB2DD27" w:rsidR="006E686D" w:rsidRPr="00D11AD1" w:rsidRDefault="006E686D" w:rsidP="006E686D">
      <w:pPr>
        <w:tabs>
          <w:tab w:val="left" w:pos="851"/>
        </w:tabs>
        <w:ind w:left="851"/>
        <w:rPr>
          <w:sz w:val="24"/>
          <w:szCs w:val="24"/>
        </w:rPr>
      </w:pPr>
      <w:r w:rsidRPr="00D11AD1">
        <w:rPr>
          <w:sz w:val="24"/>
          <w:szCs w:val="24"/>
        </w:rPr>
        <w:t>Særligt bør det bemærkes, at 22</w:t>
      </w:r>
      <w:r w:rsidR="00FA34A4" w:rsidRPr="00D11AD1">
        <w:rPr>
          <w:sz w:val="24"/>
          <w:szCs w:val="24"/>
        </w:rPr>
        <w:t xml:space="preserve"> %</w:t>
      </w:r>
      <w:r w:rsidRPr="00D11AD1">
        <w:rPr>
          <w:sz w:val="24"/>
          <w:szCs w:val="24"/>
        </w:rPr>
        <w:t xml:space="preserve"> af patienterne indberettede et fuldstændigt cytogent respons (CCyR) i dasatinib armen, mens kun 8</w:t>
      </w:r>
      <w:r w:rsidR="00FA34A4" w:rsidRPr="00D11AD1">
        <w:rPr>
          <w:sz w:val="24"/>
          <w:szCs w:val="24"/>
        </w:rPr>
        <w:t xml:space="preserve"> %</w:t>
      </w:r>
      <w:r w:rsidRPr="00D11AD1">
        <w:rPr>
          <w:sz w:val="24"/>
          <w:szCs w:val="24"/>
        </w:rPr>
        <w:t xml:space="preserve"> opnåede CCyR i imatinib armen. Med længere behandling og opfølgning (middelværdi på 24 måneder) opnåedes MCyR hos 53</w:t>
      </w:r>
      <w:r w:rsidR="00FA34A4" w:rsidRPr="00D11AD1">
        <w:rPr>
          <w:sz w:val="24"/>
          <w:szCs w:val="24"/>
        </w:rPr>
        <w:t xml:space="preserve"> %</w:t>
      </w:r>
      <w:r w:rsidRPr="00D11AD1">
        <w:rPr>
          <w:sz w:val="24"/>
          <w:szCs w:val="24"/>
        </w:rPr>
        <w:t xml:space="preserve"> af de dasatinib behandlede patienter (CCyR hos 44</w:t>
      </w:r>
      <w:r w:rsidR="00FA34A4" w:rsidRPr="00D11AD1">
        <w:rPr>
          <w:sz w:val="24"/>
          <w:szCs w:val="24"/>
        </w:rPr>
        <w:t xml:space="preserve"> %</w:t>
      </w:r>
      <w:r w:rsidRPr="00D11AD1">
        <w:rPr>
          <w:sz w:val="24"/>
          <w:szCs w:val="24"/>
        </w:rPr>
        <w:t>) og 33</w:t>
      </w:r>
      <w:r w:rsidR="00FA34A4" w:rsidRPr="00D11AD1">
        <w:rPr>
          <w:sz w:val="24"/>
          <w:szCs w:val="24"/>
        </w:rPr>
        <w:t xml:space="preserve"> %</w:t>
      </w:r>
      <w:r w:rsidRPr="00D11AD1">
        <w:rPr>
          <w:sz w:val="24"/>
          <w:szCs w:val="24"/>
        </w:rPr>
        <w:t xml:space="preserve"> af de imatinib behandlede patienter (CCyR hos 18</w:t>
      </w:r>
      <w:r w:rsidR="00FA34A4" w:rsidRPr="00D11AD1">
        <w:rPr>
          <w:sz w:val="24"/>
          <w:szCs w:val="24"/>
        </w:rPr>
        <w:t xml:space="preserve"> %</w:t>
      </w:r>
      <w:r w:rsidRPr="00D11AD1">
        <w:rPr>
          <w:sz w:val="24"/>
          <w:szCs w:val="24"/>
        </w:rPr>
        <w:t xml:space="preserve">) inden </w:t>
      </w:r>
      <w:r w:rsidRPr="00D11AD1">
        <w:rPr>
          <w:i/>
          <w:iCs/>
          <w:sz w:val="24"/>
          <w:szCs w:val="24"/>
        </w:rPr>
        <w:t>crossover</w:t>
      </w:r>
      <w:r w:rsidRPr="00D11AD1">
        <w:rPr>
          <w:sz w:val="24"/>
          <w:szCs w:val="24"/>
        </w:rPr>
        <w:t>. Blandt patienter som fik imatinib 400 mg inden inklusion i studiet opnåedes MCyR hos 61</w:t>
      </w:r>
      <w:r w:rsidR="00FA34A4" w:rsidRPr="00D11AD1">
        <w:rPr>
          <w:sz w:val="24"/>
          <w:szCs w:val="24"/>
        </w:rPr>
        <w:t xml:space="preserve"> %</w:t>
      </w:r>
      <w:r w:rsidRPr="00D11AD1">
        <w:rPr>
          <w:sz w:val="24"/>
          <w:szCs w:val="24"/>
        </w:rPr>
        <w:t xml:space="preserve"> af patienterne i dasatinib armen og 50</w:t>
      </w:r>
      <w:r w:rsidR="00FA34A4" w:rsidRPr="00D11AD1">
        <w:rPr>
          <w:sz w:val="24"/>
          <w:szCs w:val="24"/>
        </w:rPr>
        <w:t xml:space="preserve"> %</w:t>
      </w:r>
      <w:r w:rsidRPr="00D11AD1">
        <w:rPr>
          <w:sz w:val="24"/>
          <w:szCs w:val="24"/>
        </w:rPr>
        <w:t xml:space="preserve"> i imatinib armen.</w:t>
      </w:r>
    </w:p>
    <w:p w14:paraId="6D8C8FED" w14:textId="77777777" w:rsidR="006E686D" w:rsidRPr="00D11AD1" w:rsidRDefault="006E686D" w:rsidP="006E686D">
      <w:pPr>
        <w:tabs>
          <w:tab w:val="left" w:pos="851"/>
        </w:tabs>
        <w:ind w:left="851"/>
        <w:rPr>
          <w:sz w:val="24"/>
          <w:szCs w:val="24"/>
        </w:rPr>
      </w:pPr>
    </w:p>
    <w:p w14:paraId="447A6697" w14:textId="79290246" w:rsidR="006E686D" w:rsidRPr="00D11AD1" w:rsidRDefault="006E686D" w:rsidP="006E686D">
      <w:pPr>
        <w:tabs>
          <w:tab w:val="left" w:pos="851"/>
        </w:tabs>
        <w:ind w:left="851"/>
        <w:rPr>
          <w:sz w:val="24"/>
          <w:szCs w:val="24"/>
        </w:rPr>
      </w:pPr>
      <w:r w:rsidRPr="00D11AD1">
        <w:rPr>
          <w:sz w:val="24"/>
          <w:szCs w:val="24"/>
        </w:rPr>
        <w:t>Baseret på Kaplan-Meier-estimater var andelen af patienter som opretholdt MCyR i et år 92</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[85</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for dasatinib (CCyR 97</w:t>
      </w:r>
      <w:r w:rsidR="00FA34A4" w:rsidRPr="00D11AD1">
        <w:rPr>
          <w:sz w:val="24"/>
          <w:szCs w:val="24"/>
        </w:rPr>
        <w:t xml:space="preserve"> %</w:t>
      </w:r>
      <w:r w:rsidRPr="00D11AD1">
        <w:rPr>
          <w:sz w:val="24"/>
          <w:szCs w:val="24"/>
        </w:rPr>
        <w:t>, 95</w:t>
      </w:r>
      <w:r w:rsidR="00FA34A4" w:rsidRPr="00D11AD1">
        <w:rPr>
          <w:sz w:val="24"/>
          <w:szCs w:val="24"/>
        </w:rPr>
        <w:t xml:space="preserve"> %</w:t>
      </w:r>
      <w:r w:rsidRPr="00D11AD1">
        <w:rPr>
          <w:sz w:val="24"/>
          <w:szCs w:val="24"/>
        </w:rPr>
        <w:t xml:space="preserve"> CI: [92</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og 74</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[49</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for imatinib (CCyR 100</w:t>
      </w:r>
      <w:r w:rsidR="00FA34A4" w:rsidRPr="00D11AD1">
        <w:rPr>
          <w:sz w:val="24"/>
          <w:szCs w:val="24"/>
        </w:rPr>
        <w:t xml:space="preserve"> %</w:t>
      </w:r>
      <w:r w:rsidRPr="00D11AD1">
        <w:rPr>
          <w:sz w:val="24"/>
          <w:szCs w:val="24"/>
        </w:rPr>
        <w:t>). Andelen af patienter, som opretholdt MCyR i 18 måneder, var 90</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[82</w:t>
      </w:r>
      <w:r w:rsidR="00FA34A4" w:rsidRPr="00D11AD1">
        <w:rPr>
          <w:sz w:val="24"/>
          <w:szCs w:val="24"/>
        </w:rPr>
        <w:t xml:space="preserve"> %</w:t>
      </w:r>
      <w:r w:rsidRPr="00D11AD1">
        <w:rPr>
          <w:sz w:val="24"/>
          <w:szCs w:val="24"/>
        </w:rPr>
        <w:t>-98</w:t>
      </w:r>
      <w:r w:rsidR="00FA34A4" w:rsidRPr="00D11AD1">
        <w:rPr>
          <w:sz w:val="24"/>
          <w:szCs w:val="24"/>
        </w:rPr>
        <w:t xml:space="preserve"> %</w:t>
      </w:r>
      <w:r w:rsidRPr="00D11AD1">
        <w:rPr>
          <w:sz w:val="24"/>
          <w:szCs w:val="24"/>
        </w:rPr>
        <w:t>]) for dasatinib (CCyR 94</w:t>
      </w:r>
      <w:r w:rsidR="00FA34A4" w:rsidRPr="00D11AD1">
        <w:rPr>
          <w:sz w:val="24"/>
          <w:szCs w:val="24"/>
        </w:rPr>
        <w:t xml:space="preserve"> %</w:t>
      </w:r>
      <w:r w:rsidRPr="00D11AD1">
        <w:rPr>
          <w:sz w:val="24"/>
          <w:szCs w:val="24"/>
        </w:rPr>
        <w:t>, 95</w:t>
      </w:r>
      <w:r w:rsidR="00FA34A4" w:rsidRPr="00D11AD1">
        <w:rPr>
          <w:sz w:val="24"/>
          <w:szCs w:val="24"/>
        </w:rPr>
        <w:t xml:space="preserve"> %</w:t>
      </w:r>
      <w:r w:rsidRPr="00D11AD1">
        <w:rPr>
          <w:sz w:val="24"/>
          <w:szCs w:val="24"/>
        </w:rPr>
        <w:t xml:space="preserve"> CI: [87</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og 74</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[49</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for imatinib (CCyR 100</w:t>
      </w:r>
      <w:r w:rsidR="00FA34A4" w:rsidRPr="00D11AD1">
        <w:rPr>
          <w:sz w:val="24"/>
          <w:szCs w:val="24"/>
        </w:rPr>
        <w:t xml:space="preserve"> %</w:t>
      </w:r>
      <w:r w:rsidRPr="00D11AD1">
        <w:rPr>
          <w:sz w:val="24"/>
          <w:szCs w:val="24"/>
        </w:rPr>
        <w:t>).</w:t>
      </w:r>
    </w:p>
    <w:p w14:paraId="26BE937C" w14:textId="77777777" w:rsidR="006E686D" w:rsidRPr="00D11AD1" w:rsidRDefault="006E686D" w:rsidP="006E686D">
      <w:pPr>
        <w:tabs>
          <w:tab w:val="left" w:pos="851"/>
        </w:tabs>
        <w:ind w:left="851"/>
        <w:rPr>
          <w:sz w:val="24"/>
          <w:szCs w:val="24"/>
        </w:rPr>
      </w:pPr>
    </w:p>
    <w:p w14:paraId="782CD3B6" w14:textId="11EEF190" w:rsidR="006E686D" w:rsidRPr="00D11AD1" w:rsidRDefault="006E686D" w:rsidP="006E686D">
      <w:pPr>
        <w:tabs>
          <w:tab w:val="left" w:pos="851"/>
        </w:tabs>
        <w:ind w:left="851"/>
        <w:rPr>
          <w:sz w:val="24"/>
          <w:szCs w:val="24"/>
        </w:rPr>
      </w:pPr>
      <w:r w:rsidRPr="00D11AD1">
        <w:rPr>
          <w:sz w:val="24"/>
          <w:szCs w:val="24"/>
        </w:rPr>
        <w:t>Baseret på Kaplan-Meier-estimater var andelen af patienter med progressionsfri overlevelse (PFS) i et år 91</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[85</w:t>
      </w:r>
      <w:r w:rsidR="00FA34A4" w:rsidRPr="00D11AD1">
        <w:rPr>
          <w:sz w:val="24"/>
          <w:szCs w:val="24"/>
        </w:rPr>
        <w:t xml:space="preserve"> %</w:t>
      </w:r>
      <w:r w:rsidRPr="00D11AD1">
        <w:rPr>
          <w:sz w:val="24"/>
          <w:szCs w:val="24"/>
        </w:rPr>
        <w:t>-97</w:t>
      </w:r>
      <w:r w:rsidR="00FA34A4" w:rsidRPr="00D11AD1">
        <w:rPr>
          <w:sz w:val="24"/>
          <w:szCs w:val="24"/>
        </w:rPr>
        <w:t xml:space="preserve"> %</w:t>
      </w:r>
      <w:r w:rsidRPr="00D11AD1">
        <w:rPr>
          <w:sz w:val="24"/>
          <w:szCs w:val="24"/>
        </w:rPr>
        <w:t>]) for dasatinib og 73</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[54</w:t>
      </w:r>
      <w:r w:rsidR="00FA34A4" w:rsidRPr="00D11AD1">
        <w:rPr>
          <w:sz w:val="24"/>
          <w:szCs w:val="24"/>
        </w:rPr>
        <w:t xml:space="preserve"> %</w:t>
      </w:r>
      <w:r w:rsidRPr="00D11AD1">
        <w:rPr>
          <w:sz w:val="24"/>
          <w:szCs w:val="24"/>
        </w:rPr>
        <w:t>-91</w:t>
      </w:r>
      <w:r w:rsidR="00FA34A4" w:rsidRPr="00D11AD1">
        <w:rPr>
          <w:sz w:val="24"/>
          <w:szCs w:val="24"/>
        </w:rPr>
        <w:t xml:space="preserve"> %</w:t>
      </w:r>
      <w:r w:rsidRPr="00D11AD1">
        <w:rPr>
          <w:sz w:val="24"/>
          <w:szCs w:val="24"/>
        </w:rPr>
        <w:t>]) for imatinib. Andelen af patienter med PFS efter to år var 86</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[78</w:t>
      </w:r>
      <w:r w:rsidR="00FA34A4" w:rsidRPr="00D11AD1">
        <w:rPr>
          <w:sz w:val="24"/>
          <w:szCs w:val="24"/>
        </w:rPr>
        <w:t xml:space="preserve"> %</w:t>
      </w:r>
      <w:r w:rsidRPr="00D11AD1">
        <w:rPr>
          <w:sz w:val="24"/>
          <w:szCs w:val="24"/>
        </w:rPr>
        <w:t>-93</w:t>
      </w:r>
      <w:r w:rsidR="00FA34A4" w:rsidRPr="00D11AD1">
        <w:rPr>
          <w:sz w:val="24"/>
          <w:szCs w:val="24"/>
        </w:rPr>
        <w:t xml:space="preserve"> %</w:t>
      </w:r>
      <w:r w:rsidRPr="00D11AD1">
        <w:rPr>
          <w:sz w:val="24"/>
          <w:szCs w:val="24"/>
        </w:rPr>
        <w:t>]) for dasatinib og 65</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[43</w:t>
      </w:r>
      <w:r w:rsidR="00FA34A4" w:rsidRPr="00D11AD1">
        <w:rPr>
          <w:sz w:val="24"/>
          <w:szCs w:val="24"/>
        </w:rPr>
        <w:t xml:space="preserve"> %</w:t>
      </w:r>
      <w:r w:rsidRPr="00D11AD1">
        <w:rPr>
          <w:sz w:val="24"/>
          <w:szCs w:val="24"/>
        </w:rPr>
        <w:t>-87</w:t>
      </w:r>
      <w:r w:rsidR="00FA34A4" w:rsidRPr="00D11AD1">
        <w:rPr>
          <w:sz w:val="24"/>
          <w:szCs w:val="24"/>
        </w:rPr>
        <w:t xml:space="preserve"> %</w:t>
      </w:r>
      <w:r w:rsidRPr="00D11AD1">
        <w:rPr>
          <w:sz w:val="24"/>
          <w:szCs w:val="24"/>
        </w:rPr>
        <w:t>]) for imatinib.</w:t>
      </w:r>
    </w:p>
    <w:p w14:paraId="56454BB8" w14:textId="77777777" w:rsidR="009F6762" w:rsidRPr="00D11AD1" w:rsidRDefault="009F6762" w:rsidP="006E686D">
      <w:pPr>
        <w:tabs>
          <w:tab w:val="left" w:pos="851"/>
        </w:tabs>
        <w:ind w:left="851"/>
        <w:rPr>
          <w:sz w:val="24"/>
          <w:szCs w:val="24"/>
        </w:rPr>
      </w:pPr>
    </w:p>
    <w:p w14:paraId="50541459" w14:textId="0982A906" w:rsidR="006E686D" w:rsidRPr="00D11AD1" w:rsidRDefault="006E686D" w:rsidP="006E686D">
      <w:pPr>
        <w:tabs>
          <w:tab w:val="left" w:pos="851"/>
        </w:tabs>
        <w:ind w:left="851"/>
        <w:rPr>
          <w:sz w:val="24"/>
          <w:szCs w:val="24"/>
        </w:rPr>
      </w:pPr>
      <w:r w:rsidRPr="00D11AD1">
        <w:rPr>
          <w:sz w:val="24"/>
          <w:szCs w:val="24"/>
        </w:rPr>
        <w:t>Ialt 43</w:t>
      </w:r>
      <w:r w:rsidR="00FA34A4" w:rsidRPr="00D11AD1">
        <w:rPr>
          <w:sz w:val="24"/>
          <w:szCs w:val="24"/>
        </w:rPr>
        <w:t xml:space="preserve"> %</w:t>
      </w:r>
      <w:r w:rsidRPr="00D11AD1">
        <w:rPr>
          <w:sz w:val="24"/>
          <w:szCs w:val="24"/>
        </w:rPr>
        <w:t xml:space="preserve"> af patienterne i dasatinib armen og 82</w:t>
      </w:r>
      <w:r w:rsidR="00FA34A4" w:rsidRPr="00D11AD1">
        <w:rPr>
          <w:sz w:val="24"/>
          <w:szCs w:val="24"/>
        </w:rPr>
        <w:t xml:space="preserve"> %</w:t>
      </w:r>
      <w:r w:rsidRPr="00D11AD1">
        <w:rPr>
          <w:sz w:val="24"/>
          <w:szCs w:val="24"/>
        </w:rPr>
        <w:t xml:space="preserve"> i imatinib armen oplevede behandlingssvigt, defineret som sygdomsprogression eller </w:t>
      </w:r>
      <w:r w:rsidRPr="00D11AD1">
        <w:rPr>
          <w:i/>
          <w:iCs/>
          <w:sz w:val="24"/>
          <w:szCs w:val="24"/>
        </w:rPr>
        <w:t xml:space="preserve">crossover </w:t>
      </w:r>
      <w:r w:rsidRPr="00D11AD1">
        <w:rPr>
          <w:sz w:val="24"/>
          <w:szCs w:val="24"/>
        </w:rPr>
        <w:t>til den anden behandling (manglende respons, intolerans over for forsøgslægemidlet mv.).</w:t>
      </w:r>
    </w:p>
    <w:p w14:paraId="449D8B06" w14:textId="77777777" w:rsidR="006E686D" w:rsidRPr="00D11AD1" w:rsidRDefault="006E686D" w:rsidP="006E686D">
      <w:pPr>
        <w:tabs>
          <w:tab w:val="left" w:pos="851"/>
        </w:tabs>
        <w:ind w:left="851"/>
        <w:rPr>
          <w:sz w:val="24"/>
          <w:szCs w:val="24"/>
        </w:rPr>
      </w:pPr>
    </w:p>
    <w:p w14:paraId="6AEB4636" w14:textId="2B2E763D" w:rsidR="006E686D" w:rsidRPr="00D11AD1" w:rsidRDefault="006E686D" w:rsidP="006E686D">
      <w:pPr>
        <w:tabs>
          <w:tab w:val="left" w:pos="851"/>
        </w:tabs>
        <w:ind w:left="851"/>
        <w:rPr>
          <w:sz w:val="24"/>
          <w:szCs w:val="24"/>
        </w:rPr>
      </w:pPr>
      <w:r w:rsidRPr="00D11AD1">
        <w:rPr>
          <w:sz w:val="24"/>
          <w:szCs w:val="24"/>
        </w:rPr>
        <w:t>Hyppigheden af major molekylært respons (defineret som BCR-ABL/kontroltranskriptioner ≤ 0,1</w:t>
      </w:r>
      <w:r w:rsidR="00FA34A4" w:rsidRPr="00D11AD1">
        <w:rPr>
          <w:sz w:val="24"/>
          <w:szCs w:val="24"/>
        </w:rPr>
        <w:t xml:space="preserve"> %</w:t>
      </w:r>
      <w:r w:rsidRPr="00D11AD1">
        <w:rPr>
          <w:sz w:val="24"/>
          <w:szCs w:val="24"/>
        </w:rPr>
        <w:t xml:space="preserve"> ved RQ-PCR i perifert blod) inden </w:t>
      </w:r>
      <w:r w:rsidRPr="00D11AD1">
        <w:rPr>
          <w:i/>
          <w:iCs/>
          <w:sz w:val="24"/>
          <w:szCs w:val="24"/>
        </w:rPr>
        <w:t xml:space="preserve">crossover </w:t>
      </w:r>
      <w:r w:rsidRPr="00D11AD1">
        <w:rPr>
          <w:sz w:val="24"/>
          <w:szCs w:val="24"/>
        </w:rPr>
        <w:t>var 29</w:t>
      </w:r>
      <w:r w:rsidR="00FA34A4" w:rsidRPr="00D11AD1">
        <w:rPr>
          <w:sz w:val="24"/>
          <w:szCs w:val="24"/>
        </w:rPr>
        <w:t xml:space="preserve"> %</w:t>
      </w:r>
      <w:r w:rsidRPr="00D11AD1">
        <w:rPr>
          <w:sz w:val="24"/>
          <w:szCs w:val="24"/>
        </w:rPr>
        <w:t xml:space="preserve"> for dasatinib og 12</w:t>
      </w:r>
      <w:r w:rsidR="00FA34A4" w:rsidRPr="00D11AD1">
        <w:rPr>
          <w:sz w:val="24"/>
          <w:szCs w:val="24"/>
        </w:rPr>
        <w:t xml:space="preserve"> %</w:t>
      </w:r>
      <w:r w:rsidRPr="00D11AD1">
        <w:rPr>
          <w:sz w:val="24"/>
          <w:szCs w:val="24"/>
        </w:rPr>
        <w:t xml:space="preserve"> for imatinib.</w:t>
      </w:r>
    </w:p>
    <w:p w14:paraId="5EF16812" w14:textId="77777777" w:rsidR="006E686D" w:rsidRPr="00D11AD1" w:rsidRDefault="006E686D" w:rsidP="006E686D">
      <w:pPr>
        <w:tabs>
          <w:tab w:val="left" w:pos="851"/>
        </w:tabs>
        <w:ind w:left="851"/>
        <w:rPr>
          <w:sz w:val="24"/>
          <w:szCs w:val="24"/>
        </w:rPr>
      </w:pPr>
    </w:p>
    <w:p w14:paraId="6E326E73" w14:textId="77777777" w:rsidR="006E686D" w:rsidRPr="00D11AD1" w:rsidRDefault="006E686D" w:rsidP="006E686D">
      <w:pPr>
        <w:tabs>
          <w:tab w:val="left" w:pos="851"/>
        </w:tabs>
        <w:ind w:left="851"/>
        <w:rPr>
          <w:i/>
          <w:iCs/>
          <w:sz w:val="24"/>
          <w:szCs w:val="24"/>
        </w:rPr>
      </w:pPr>
      <w:r w:rsidRPr="00D11AD1">
        <w:rPr>
          <w:i/>
          <w:iCs/>
          <w:sz w:val="24"/>
          <w:szCs w:val="24"/>
        </w:rPr>
        <w:t>Studie 2</w:t>
      </w:r>
    </w:p>
    <w:p w14:paraId="1FC431E8" w14:textId="77777777" w:rsidR="006E686D" w:rsidRPr="00D11AD1" w:rsidRDefault="006E686D" w:rsidP="006E686D">
      <w:pPr>
        <w:tabs>
          <w:tab w:val="left" w:pos="851"/>
        </w:tabs>
        <w:ind w:left="851"/>
        <w:rPr>
          <w:sz w:val="24"/>
          <w:szCs w:val="24"/>
        </w:rPr>
      </w:pPr>
      <w:r w:rsidRPr="00D11AD1">
        <w:rPr>
          <w:sz w:val="24"/>
          <w:szCs w:val="24"/>
        </w:rPr>
        <w:t>Et åbent, enkeltarms-, multicenter-studie med patienter med resistens eller intolerans over for imatinib (dvs. patienter som oplevede signifikant toksicitet under behandling med imatinib hvor fortsat behandling var udelukket).</w:t>
      </w:r>
    </w:p>
    <w:p w14:paraId="44BB5C22" w14:textId="5189ED11" w:rsidR="006E686D" w:rsidRPr="00D11AD1" w:rsidRDefault="006E686D" w:rsidP="006E686D">
      <w:pPr>
        <w:tabs>
          <w:tab w:val="left" w:pos="851"/>
        </w:tabs>
        <w:ind w:left="851"/>
        <w:rPr>
          <w:sz w:val="24"/>
          <w:szCs w:val="24"/>
        </w:rPr>
      </w:pPr>
      <w:r w:rsidRPr="00D11AD1">
        <w:rPr>
          <w:sz w:val="24"/>
          <w:szCs w:val="24"/>
        </w:rPr>
        <w:t xml:space="preserve">Ialt 387 patienter fik dasatinib 70 mg 2 gange </w:t>
      </w:r>
      <w:r w:rsidR="00FA34A4" w:rsidRPr="00D11AD1">
        <w:rPr>
          <w:sz w:val="24"/>
          <w:szCs w:val="24"/>
        </w:rPr>
        <w:t>daglig</w:t>
      </w:r>
      <w:r w:rsidRPr="00D11AD1">
        <w:rPr>
          <w:sz w:val="24"/>
          <w:szCs w:val="24"/>
        </w:rPr>
        <w:t xml:space="preserve"> (288 resistente og 99 intolerante). Mediantiden fra diagnose til start af behandling var 61 måneder. Størstedelen af patienterne (53</w:t>
      </w:r>
      <w:r w:rsidR="00FA34A4" w:rsidRPr="00D11AD1">
        <w:rPr>
          <w:sz w:val="24"/>
          <w:szCs w:val="24"/>
        </w:rPr>
        <w:t xml:space="preserve"> %</w:t>
      </w:r>
      <w:r w:rsidRPr="00D11AD1">
        <w:rPr>
          <w:sz w:val="24"/>
          <w:szCs w:val="24"/>
        </w:rPr>
        <w:t>) var tidligere behandlet med imatinib igennem mere end 3 år. De fleste resistente patienter (72</w:t>
      </w:r>
      <w:r w:rsidR="00FA34A4" w:rsidRPr="00D11AD1">
        <w:rPr>
          <w:sz w:val="24"/>
          <w:szCs w:val="24"/>
        </w:rPr>
        <w:t xml:space="preserve"> %</w:t>
      </w:r>
      <w:r w:rsidRPr="00D11AD1">
        <w:rPr>
          <w:sz w:val="24"/>
          <w:szCs w:val="24"/>
        </w:rPr>
        <w:t>) havde fået &gt; 600 mg imatinib. Ud over imatinib, havde 35</w:t>
      </w:r>
      <w:r w:rsidR="00FA34A4" w:rsidRPr="00D11AD1">
        <w:rPr>
          <w:sz w:val="24"/>
          <w:szCs w:val="24"/>
        </w:rPr>
        <w:t xml:space="preserve"> %</w:t>
      </w:r>
      <w:r w:rsidRPr="00D11AD1">
        <w:rPr>
          <w:sz w:val="24"/>
          <w:szCs w:val="24"/>
        </w:rPr>
        <w:t xml:space="preserve"> af patienterne tidligere modtaget cytotoksisk kemoterapi, 65</w:t>
      </w:r>
      <w:r w:rsidR="00FA34A4" w:rsidRPr="00D11AD1">
        <w:rPr>
          <w:sz w:val="24"/>
          <w:szCs w:val="24"/>
        </w:rPr>
        <w:t xml:space="preserve"> %</w:t>
      </w:r>
      <w:r w:rsidRPr="00D11AD1">
        <w:rPr>
          <w:sz w:val="24"/>
          <w:szCs w:val="24"/>
        </w:rPr>
        <w:t xml:space="preserve"> havde tidligere modtaget interferon, og 10</w:t>
      </w:r>
      <w:r w:rsidR="00FA34A4" w:rsidRPr="00D11AD1">
        <w:rPr>
          <w:sz w:val="24"/>
          <w:szCs w:val="24"/>
        </w:rPr>
        <w:t xml:space="preserve"> %</w:t>
      </w:r>
      <w:r w:rsidRPr="00D11AD1">
        <w:rPr>
          <w:sz w:val="24"/>
          <w:szCs w:val="24"/>
        </w:rPr>
        <w:t xml:space="preserve"> havde tidligere modtaget stamcelletransplantation. 38</w:t>
      </w:r>
      <w:r w:rsidR="00FA34A4" w:rsidRPr="00D11AD1">
        <w:rPr>
          <w:sz w:val="24"/>
          <w:szCs w:val="24"/>
        </w:rPr>
        <w:t xml:space="preserve"> %</w:t>
      </w:r>
      <w:r w:rsidRPr="00D11AD1">
        <w:rPr>
          <w:sz w:val="24"/>
          <w:szCs w:val="24"/>
        </w:rPr>
        <w:t xml:space="preserve"> af patienterne havde </w:t>
      </w:r>
      <w:r w:rsidRPr="00D11AD1">
        <w:rPr>
          <w:i/>
          <w:iCs/>
          <w:sz w:val="24"/>
          <w:szCs w:val="24"/>
        </w:rPr>
        <w:t>baseline</w:t>
      </w:r>
      <w:r w:rsidRPr="00D11AD1">
        <w:rPr>
          <w:sz w:val="24"/>
          <w:szCs w:val="24"/>
        </w:rPr>
        <w:t>-mutationer, der vides at medføre imatinib resistens. Medianbehandlingsvarigheden med dasatinib var 24 måneder med 51</w:t>
      </w:r>
      <w:r w:rsidR="00FA34A4" w:rsidRPr="00D11AD1">
        <w:rPr>
          <w:sz w:val="24"/>
          <w:szCs w:val="24"/>
        </w:rPr>
        <w:t xml:space="preserve"> %</w:t>
      </w:r>
      <w:r w:rsidRPr="00D11AD1">
        <w:rPr>
          <w:sz w:val="24"/>
          <w:szCs w:val="24"/>
        </w:rPr>
        <w:t xml:space="preserve"> af patienterne behandlet i &gt; 24 måneder til dato. Effektresultaterne er angivet i Tabel 11. MCyR opnåedes hos 55</w:t>
      </w:r>
      <w:r w:rsidR="00FA34A4" w:rsidRPr="00D11AD1">
        <w:rPr>
          <w:sz w:val="24"/>
          <w:szCs w:val="24"/>
        </w:rPr>
        <w:t xml:space="preserve"> %</w:t>
      </w:r>
      <w:r w:rsidRPr="00D11AD1">
        <w:rPr>
          <w:sz w:val="24"/>
          <w:szCs w:val="24"/>
        </w:rPr>
        <w:t xml:space="preserve"> af de imatinib resistente patienter og 82</w:t>
      </w:r>
      <w:r w:rsidR="00FA34A4" w:rsidRPr="00D11AD1">
        <w:rPr>
          <w:sz w:val="24"/>
          <w:szCs w:val="24"/>
        </w:rPr>
        <w:t xml:space="preserve"> %</w:t>
      </w:r>
      <w:r w:rsidRPr="00D11AD1">
        <w:rPr>
          <w:sz w:val="24"/>
          <w:szCs w:val="24"/>
        </w:rPr>
        <w:t xml:space="preserve"> af de imatinib intolerante patienter. Med en minimumsopfølgning på 24 måneder har kun 21 ud af de 240 patienter, som opnåede et MCyR, progredieret, og MCyRs medianvarighed er ikke bestemt.</w:t>
      </w:r>
    </w:p>
    <w:p w14:paraId="62CA6FCC" w14:textId="77777777" w:rsidR="006E686D" w:rsidRPr="00D11AD1" w:rsidRDefault="006E686D" w:rsidP="006E686D">
      <w:pPr>
        <w:tabs>
          <w:tab w:val="left" w:pos="851"/>
        </w:tabs>
        <w:ind w:left="851"/>
        <w:rPr>
          <w:sz w:val="24"/>
          <w:szCs w:val="24"/>
        </w:rPr>
      </w:pPr>
    </w:p>
    <w:p w14:paraId="0B2FD116" w14:textId="41FB616C" w:rsidR="006E686D" w:rsidRPr="00D11AD1" w:rsidRDefault="006E686D" w:rsidP="006E686D">
      <w:pPr>
        <w:tabs>
          <w:tab w:val="left" w:pos="851"/>
        </w:tabs>
        <w:ind w:left="851"/>
        <w:rPr>
          <w:sz w:val="24"/>
          <w:szCs w:val="24"/>
        </w:rPr>
      </w:pPr>
      <w:r w:rsidRPr="00D11AD1">
        <w:rPr>
          <w:sz w:val="24"/>
          <w:szCs w:val="24"/>
        </w:rPr>
        <w:t>Baseret på Kaplan-Meier-estimaterne opretholdt 95</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[92</w:t>
      </w:r>
      <w:r w:rsidR="00FA34A4" w:rsidRPr="00D11AD1">
        <w:rPr>
          <w:sz w:val="24"/>
          <w:szCs w:val="24"/>
        </w:rPr>
        <w:t xml:space="preserve"> %</w:t>
      </w:r>
      <w:r w:rsidRPr="00D11AD1">
        <w:rPr>
          <w:sz w:val="24"/>
          <w:szCs w:val="24"/>
        </w:rPr>
        <w:t>-98</w:t>
      </w:r>
      <w:r w:rsidR="00FA34A4" w:rsidRPr="00D11AD1">
        <w:rPr>
          <w:sz w:val="24"/>
          <w:szCs w:val="24"/>
        </w:rPr>
        <w:t xml:space="preserve"> %</w:t>
      </w:r>
      <w:r w:rsidRPr="00D11AD1">
        <w:rPr>
          <w:sz w:val="24"/>
          <w:szCs w:val="24"/>
        </w:rPr>
        <w:t>]) af patienterne MCyR i et år og 88</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[83</w:t>
      </w:r>
      <w:r w:rsidR="00FA34A4" w:rsidRPr="00D11AD1">
        <w:rPr>
          <w:sz w:val="24"/>
          <w:szCs w:val="24"/>
        </w:rPr>
        <w:t xml:space="preserve"> %</w:t>
      </w:r>
      <w:r w:rsidRPr="00D11AD1">
        <w:rPr>
          <w:sz w:val="24"/>
          <w:szCs w:val="24"/>
        </w:rPr>
        <w:t>-93</w:t>
      </w:r>
      <w:r w:rsidR="00FA34A4" w:rsidRPr="00D11AD1">
        <w:rPr>
          <w:sz w:val="24"/>
          <w:szCs w:val="24"/>
        </w:rPr>
        <w:t xml:space="preserve"> %</w:t>
      </w:r>
      <w:r w:rsidRPr="00D11AD1">
        <w:rPr>
          <w:sz w:val="24"/>
          <w:szCs w:val="24"/>
        </w:rPr>
        <w:t>]) opretholdt MCyR i to år. Andelen af patienter som opretholdt CcyR i et år var 97</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[94</w:t>
      </w:r>
      <w:r w:rsidR="00FA34A4" w:rsidRPr="00D11AD1">
        <w:rPr>
          <w:sz w:val="24"/>
          <w:szCs w:val="24"/>
        </w:rPr>
        <w:t xml:space="preserve"> %</w:t>
      </w:r>
      <w:r w:rsidRPr="00D11AD1">
        <w:rPr>
          <w:sz w:val="24"/>
          <w:szCs w:val="24"/>
        </w:rPr>
        <w:t>-99</w:t>
      </w:r>
      <w:r w:rsidR="00FA34A4" w:rsidRPr="00D11AD1">
        <w:rPr>
          <w:sz w:val="24"/>
          <w:szCs w:val="24"/>
        </w:rPr>
        <w:t xml:space="preserve"> %</w:t>
      </w:r>
      <w:r w:rsidRPr="00D11AD1">
        <w:rPr>
          <w:sz w:val="24"/>
          <w:szCs w:val="24"/>
        </w:rPr>
        <w:t>]) og 90</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[86</w:t>
      </w:r>
      <w:r w:rsidR="00FA34A4" w:rsidRPr="00D11AD1">
        <w:rPr>
          <w:sz w:val="24"/>
          <w:szCs w:val="24"/>
        </w:rPr>
        <w:t xml:space="preserve"> %</w:t>
      </w:r>
      <w:r w:rsidRPr="00D11AD1">
        <w:rPr>
          <w:sz w:val="24"/>
          <w:szCs w:val="24"/>
        </w:rPr>
        <w:t>-95</w:t>
      </w:r>
      <w:r w:rsidR="00FA34A4" w:rsidRPr="00D11AD1">
        <w:rPr>
          <w:sz w:val="24"/>
          <w:szCs w:val="24"/>
        </w:rPr>
        <w:t xml:space="preserve"> %</w:t>
      </w:r>
      <w:r w:rsidRPr="00D11AD1">
        <w:rPr>
          <w:sz w:val="24"/>
          <w:szCs w:val="24"/>
        </w:rPr>
        <w:t>]) i to år. Toogfyrre procent af de imatinib resistente patienter uden tidligere MCyR med imatinib (n= 188) opnåede MCyR med dasatinib.</w:t>
      </w:r>
    </w:p>
    <w:p w14:paraId="4474E2A7" w14:textId="6602015A" w:rsidR="006E686D" w:rsidRPr="00D11AD1" w:rsidRDefault="006E686D" w:rsidP="006E686D">
      <w:pPr>
        <w:tabs>
          <w:tab w:val="left" w:pos="851"/>
        </w:tabs>
        <w:ind w:left="851"/>
        <w:rPr>
          <w:sz w:val="24"/>
          <w:szCs w:val="24"/>
        </w:rPr>
      </w:pPr>
      <w:r w:rsidRPr="00D11AD1">
        <w:rPr>
          <w:sz w:val="24"/>
          <w:szCs w:val="24"/>
        </w:rPr>
        <w:t>Der sås 45 forskellige BCR-ABL-mutationer hos 38</w:t>
      </w:r>
      <w:r w:rsidR="00FA34A4" w:rsidRPr="00D11AD1">
        <w:rPr>
          <w:sz w:val="24"/>
          <w:szCs w:val="24"/>
        </w:rPr>
        <w:t xml:space="preserve"> %</w:t>
      </w:r>
      <w:r w:rsidRPr="00D11AD1">
        <w:rPr>
          <w:sz w:val="24"/>
          <w:szCs w:val="24"/>
        </w:rPr>
        <w:t xml:space="preserve"> af patienterne inkluderet i studiet. Der opnåedes fuldstændigt hæmatologisk respons eller MCyR hos patienter med en række BCR-ABL-mutationer forbundet med imatinib resistens bortset fra T315I. Hyppigheden af MCyR efter to år var ens for patienter med BCR-ABL-mutation, P-loop mutation eller ingen mutation ved </w:t>
      </w:r>
      <w:r w:rsidRPr="00D11AD1">
        <w:rPr>
          <w:i/>
          <w:iCs/>
          <w:sz w:val="24"/>
          <w:szCs w:val="24"/>
        </w:rPr>
        <w:t xml:space="preserve">baseline </w:t>
      </w:r>
      <w:r w:rsidRPr="00D11AD1">
        <w:rPr>
          <w:sz w:val="24"/>
          <w:szCs w:val="24"/>
        </w:rPr>
        <w:t>(henholdsvis 63</w:t>
      </w:r>
      <w:r w:rsidR="00FA34A4" w:rsidRPr="00D11AD1">
        <w:rPr>
          <w:sz w:val="24"/>
          <w:szCs w:val="24"/>
        </w:rPr>
        <w:t xml:space="preserve"> %</w:t>
      </w:r>
      <w:r w:rsidRPr="00D11AD1">
        <w:rPr>
          <w:sz w:val="24"/>
          <w:szCs w:val="24"/>
        </w:rPr>
        <w:t>, 61</w:t>
      </w:r>
      <w:r w:rsidR="00FA34A4" w:rsidRPr="00D11AD1">
        <w:rPr>
          <w:sz w:val="24"/>
          <w:szCs w:val="24"/>
        </w:rPr>
        <w:t xml:space="preserve"> %</w:t>
      </w:r>
      <w:r w:rsidRPr="00D11AD1">
        <w:rPr>
          <w:sz w:val="24"/>
          <w:szCs w:val="24"/>
        </w:rPr>
        <w:t xml:space="preserve"> og 62</w:t>
      </w:r>
      <w:r w:rsidR="00FA34A4" w:rsidRPr="00D11AD1">
        <w:rPr>
          <w:sz w:val="24"/>
          <w:szCs w:val="24"/>
        </w:rPr>
        <w:t xml:space="preserve"> %</w:t>
      </w:r>
      <w:r w:rsidRPr="00D11AD1">
        <w:rPr>
          <w:sz w:val="24"/>
          <w:szCs w:val="24"/>
        </w:rPr>
        <w:t>).</w:t>
      </w:r>
    </w:p>
    <w:p w14:paraId="5327FA35" w14:textId="77777777" w:rsidR="006E686D" w:rsidRPr="00D11AD1" w:rsidRDefault="006E686D" w:rsidP="006E686D">
      <w:pPr>
        <w:tabs>
          <w:tab w:val="left" w:pos="851"/>
        </w:tabs>
        <w:ind w:left="851"/>
        <w:rPr>
          <w:sz w:val="24"/>
          <w:szCs w:val="24"/>
        </w:rPr>
      </w:pPr>
    </w:p>
    <w:p w14:paraId="3FB69F6B" w14:textId="37A99F34" w:rsidR="006E686D" w:rsidRPr="00D11AD1" w:rsidRDefault="006E686D" w:rsidP="006E686D">
      <w:pPr>
        <w:tabs>
          <w:tab w:val="left" w:pos="851"/>
        </w:tabs>
        <w:ind w:left="851"/>
        <w:rPr>
          <w:sz w:val="24"/>
          <w:szCs w:val="24"/>
        </w:rPr>
      </w:pPr>
      <w:r w:rsidRPr="00D11AD1">
        <w:rPr>
          <w:sz w:val="24"/>
          <w:szCs w:val="24"/>
        </w:rPr>
        <w:t>Blandt imatinib resistente patienter var den estimerede hyppighed af PFS 88</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[84</w:t>
      </w:r>
      <w:r w:rsidR="00FA34A4" w:rsidRPr="00D11AD1">
        <w:rPr>
          <w:sz w:val="24"/>
          <w:szCs w:val="24"/>
        </w:rPr>
        <w:t xml:space="preserve"> %</w:t>
      </w:r>
      <w:r w:rsidRPr="00D11AD1">
        <w:rPr>
          <w:sz w:val="24"/>
          <w:szCs w:val="24"/>
        </w:rPr>
        <w:t>-92</w:t>
      </w:r>
      <w:r w:rsidR="00FA34A4" w:rsidRPr="00D11AD1">
        <w:rPr>
          <w:sz w:val="24"/>
          <w:szCs w:val="24"/>
        </w:rPr>
        <w:t xml:space="preserve"> %</w:t>
      </w:r>
      <w:r w:rsidRPr="00D11AD1">
        <w:rPr>
          <w:sz w:val="24"/>
          <w:szCs w:val="24"/>
        </w:rPr>
        <w:t>]) efter et år og 75</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[69</w:t>
      </w:r>
      <w:r w:rsidR="00FA34A4" w:rsidRPr="00D11AD1">
        <w:rPr>
          <w:sz w:val="24"/>
          <w:szCs w:val="24"/>
        </w:rPr>
        <w:t xml:space="preserve"> %</w:t>
      </w:r>
      <w:r w:rsidRPr="00D11AD1">
        <w:rPr>
          <w:sz w:val="24"/>
          <w:szCs w:val="24"/>
        </w:rPr>
        <w:t>-81</w:t>
      </w:r>
      <w:r w:rsidR="00FA34A4" w:rsidRPr="00D11AD1">
        <w:rPr>
          <w:sz w:val="24"/>
          <w:szCs w:val="24"/>
        </w:rPr>
        <w:t xml:space="preserve"> %</w:t>
      </w:r>
      <w:r w:rsidRPr="00D11AD1">
        <w:rPr>
          <w:sz w:val="24"/>
          <w:szCs w:val="24"/>
        </w:rPr>
        <w:t>]) efter to år. Blandt imatinib intolerante patienter var den estimerede hyppighed af PFS 98</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[95</w:t>
      </w:r>
      <w:r w:rsidR="00FA34A4" w:rsidRPr="00D11AD1">
        <w:rPr>
          <w:sz w:val="24"/>
          <w:szCs w:val="24"/>
        </w:rPr>
        <w:t xml:space="preserve"> %</w:t>
      </w:r>
      <w:r w:rsidRPr="00D11AD1">
        <w:rPr>
          <w:sz w:val="24"/>
          <w:szCs w:val="24"/>
        </w:rPr>
        <w:t>-100</w:t>
      </w:r>
      <w:r w:rsidR="00FA34A4" w:rsidRPr="00D11AD1">
        <w:rPr>
          <w:sz w:val="24"/>
          <w:szCs w:val="24"/>
        </w:rPr>
        <w:t xml:space="preserve"> %</w:t>
      </w:r>
      <w:r w:rsidRPr="00D11AD1">
        <w:rPr>
          <w:sz w:val="24"/>
          <w:szCs w:val="24"/>
        </w:rPr>
        <w:t>]) efter et år og 94</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[88</w:t>
      </w:r>
      <w:r w:rsidR="00FA34A4" w:rsidRPr="00D11AD1">
        <w:rPr>
          <w:sz w:val="24"/>
          <w:szCs w:val="24"/>
        </w:rPr>
        <w:t xml:space="preserve"> %</w:t>
      </w:r>
      <w:r w:rsidRPr="00D11AD1">
        <w:rPr>
          <w:sz w:val="24"/>
          <w:szCs w:val="24"/>
        </w:rPr>
        <w:t>-99</w:t>
      </w:r>
      <w:r w:rsidR="00FA34A4" w:rsidRPr="00D11AD1">
        <w:rPr>
          <w:sz w:val="24"/>
          <w:szCs w:val="24"/>
        </w:rPr>
        <w:t xml:space="preserve"> %</w:t>
      </w:r>
      <w:r w:rsidRPr="00D11AD1">
        <w:rPr>
          <w:sz w:val="24"/>
          <w:szCs w:val="24"/>
        </w:rPr>
        <w:t>]) efter to år.</w:t>
      </w:r>
    </w:p>
    <w:p w14:paraId="5C0E8F61" w14:textId="77777777" w:rsidR="006E686D" w:rsidRPr="00D11AD1" w:rsidRDefault="006E686D" w:rsidP="006E686D">
      <w:pPr>
        <w:tabs>
          <w:tab w:val="left" w:pos="851"/>
        </w:tabs>
        <w:ind w:left="851"/>
        <w:rPr>
          <w:sz w:val="24"/>
          <w:szCs w:val="24"/>
        </w:rPr>
      </w:pPr>
    </w:p>
    <w:p w14:paraId="359F6F54" w14:textId="37A6EE44" w:rsidR="006E686D" w:rsidRPr="00D11AD1" w:rsidRDefault="006E686D" w:rsidP="006E686D">
      <w:pPr>
        <w:tabs>
          <w:tab w:val="left" w:pos="851"/>
        </w:tabs>
        <w:ind w:left="851"/>
        <w:rPr>
          <w:sz w:val="24"/>
          <w:szCs w:val="24"/>
        </w:rPr>
      </w:pPr>
      <w:r w:rsidRPr="00D11AD1">
        <w:rPr>
          <w:sz w:val="24"/>
          <w:szCs w:val="24"/>
        </w:rPr>
        <w:t>Hyppigheden af major molekylært respons ved 24 måneder var 45</w:t>
      </w:r>
      <w:r w:rsidR="00FA34A4" w:rsidRPr="00D11AD1">
        <w:rPr>
          <w:sz w:val="24"/>
          <w:szCs w:val="24"/>
        </w:rPr>
        <w:t xml:space="preserve"> %</w:t>
      </w:r>
      <w:r w:rsidRPr="00D11AD1">
        <w:rPr>
          <w:sz w:val="24"/>
          <w:szCs w:val="24"/>
        </w:rPr>
        <w:t xml:space="preserve"> (35</w:t>
      </w:r>
      <w:r w:rsidR="00FA34A4" w:rsidRPr="00D11AD1">
        <w:rPr>
          <w:sz w:val="24"/>
          <w:szCs w:val="24"/>
        </w:rPr>
        <w:t xml:space="preserve"> %</w:t>
      </w:r>
      <w:r w:rsidRPr="00D11AD1">
        <w:rPr>
          <w:sz w:val="24"/>
          <w:szCs w:val="24"/>
        </w:rPr>
        <w:t xml:space="preserve"> for imatinib resistente patienter og 74</w:t>
      </w:r>
      <w:r w:rsidR="00FA34A4" w:rsidRPr="00D11AD1">
        <w:rPr>
          <w:sz w:val="24"/>
          <w:szCs w:val="24"/>
        </w:rPr>
        <w:t xml:space="preserve"> %</w:t>
      </w:r>
      <w:r w:rsidRPr="00D11AD1">
        <w:rPr>
          <w:sz w:val="24"/>
          <w:szCs w:val="24"/>
        </w:rPr>
        <w:t xml:space="preserve"> for imatinib intolerante patienter).</w:t>
      </w:r>
    </w:p>
    <w:p w14:paraId="407EC35B" w14:textId="77777777" w:rsidR="006E686D" w:rsidRPr="00D11AD1" w:rsidRDefault="006E686D" w:rsidP="006E686D">
      <w:pPr>
        <w:tabs>
          <w:tab w:val="left" w:pos="851"/>
        </w:tabs>
        <w:ind w:left="851"/>
        <w:rPr>
          <w:sz w:val="24"/>
          <w:szCs w:val="24"/>
        </w:rPr>
      </w:pPr>
    </w:p>
    <w:p w14:paraId="5A194BBB" w14:textId="77777777" w:rsidR="006E686D" w:rsidRPr="00D11AD1" w:rsidRDefault="006E686D" w:rsidP="006E686D">
      <w:pPr>
        <w:tabs>
          <w:tab w:val="left" w:pos="851"/>
        </w:tabs>
        <w:ind w:left="851"/>
        <w:rPr>
          <w:i/>
          <w:iCs/>
          <w:sz w:val="24"/>
          <w:szCs w:val="24"/>
          <w:u w:val="single"/>
        </w:rPr>
      </w:pPr>
      <w:r w:rsidRPr="00D11AD1">
        <w:rPr>
          <w:i/>
          <w:iCs/>
          <w:sz w:val="24"/>
          <w:szCs w:val="24"/>
          <w:u w:val="single"/>
        </w:rPr>
        <w:t>CML i accelereret fase</w:t>
      </w:r>
    </w:p>
    <w:p w14:paraId="177B1E53" w14:textId="687A46AE" w:rsidR="006E686D" w:rsidRPr="00D11AD1" w:rsidRDefault="006E686D" w:rsidP="006E686D">
      <w:pPr>
        <w:tabs>
          <w:tab w:val="left" w:pos="851"/>
        </w:tabs>
        <w:ind w:left="851"/>
        <w:rPr>
          <w:sz w:val="24"/>
          <w:szCs w:val="24"/>
        </w:rPr>
      </w:pPr>
      <w:r w:rsidRPr="00D11AD1">
        <w:rPr>
          <w:sz w:val="24"/>
          <w:szCs w:val="24"/>
        </w:rPr>
        <w:t xml:space="preserve">Der er gennemført et åbent, enkeltarms-, multicenter-studie med patienter med intolerans eller resistens over for imatinib. Ialt 174 patienter fik dasatinib 70 mg 2 gange </w:t>
      </w:r>
      <w:r w:rsidR="00FA34A4" w:rsidRPr="00D11AD1">
        <w:rPr>
          <w:sz w:val="24"/>
          <w:szCs w:val="24"/>
        </w:rPr>
        <w:t>daglig</w:t>
      </w:r>
      <w:r w:rsidRPr="00D11AD1">
        <w:rPr>
          <w:sz w:val="24"/>
          <w:szCs w:val="24"/>
        </w:rPr>
        <w:t xml:space="preserve"> (161 resistente og 13 intolerante over for imatinib). Gennemsnitstid fra diagnose til start af behandling var 82 måneder. Medianbehandlingsvarigheden med dasatinib var 14 måneder med 31</w:t>
      </w:r>
      <w:r w:rsidR="00FA34A4" w:rsidRPr="00D11AD1">
        <w:rPr>
          <w:sz w:val="24"/>
          <w:szCs w:val="24"/>
        </w:rPr>
        <w:t xml:space="preserve"> %</w:t>
      </w:r>
      <w:r w:rsidRPr="00D11AD1">
        <w:rPr>
          <w:sz w:val="24"/>
          <w:szCs w:val="24"/>
        </w:rPr>
        <w:t xml:space="preserve"> af patienterne behandlet i &gt; 24 måneder til dato. Hyppigheden af major molekylært respons (vurderet hos 41 patienter med CCyR) ved 24 måneder var 46</w:t>
      </w:r>
      <w:r w:rsidR="00FA34A4" w:rsidRPr="00D11AD1">
        <w:rPr>
          <w:sz w:val="24"/>
          <w:szCs w:val="24"/>
        </w:rPr>
        <w:t xml:space="preserve"> %</w:t>
      </w:r>
      <w:r w:rsidRPr="00D11AD1">
        <w:rPr>
          <w:sz w:val="24"/>
          <w:szCs w:val="24"/>
        </w:rPr>
        <w:t>. Yderligere effektresultater fremgår af Tabel 11.</w:t>
      </w:r>
    </w:p>
    <w:p w14:paraId="69472460" w14:textId="77777777" w:rsidR="006E686D" w:rsidRPr="00D11AD1" w:rsidRDefault="006E686D" w:rsidP="006E686D">
      <w:pPr>
        <w:tabs>
          <w:tab w:val="left" w:pos="851"/>
        </w:tabs>
        <w:ind w:left="851"/>
        <w:rPr>
          <w:sz w:val="24"/>
          <w:szCs w:val="24"/>
        </w:rPr>
      </w:pPr>
    </w:p>
    <w:p w14:paraId="694B68FD" w14:textId="77777777" w:rsidR="006E686D" w:rsidRPr="00D11AD1" w:rsidRDefault="006E686D" w:rsidP="006E686D">
      <w:pPr>
        <w:tabs>
          <w:tab w:val="left" w:pos="851"/>
        </w:tabs>
        <w:ind w:left="851"/>
        <w:rPr>
          <w:i/>
          <w:iCs/>
          <w:sz w:val="24"/>
          <w:szCs w:val="24"/>
          <w:u w:val="single"/>
        </w:rPr>
      </w:pPr>
      <w:r w:rsidRPr="00D11AD1">
        <w:rPr>
          <w:i/>
          <w:iCs/>
          <w:sz w:val="24"/>
          <w:szCs w:val="24"/>
          <w:u w:val="single"/>
        </w:rPr>
        <w:t>CML i myeloid blastfase</w:t>
      </w:r>
    </w:p>
    <w:p w14:paraId="0D07A441" w14:textId="485A6486" w:rsidR="006E686D" w:rsidRPr="00D11AD1" w:rsidRDefault="006E686D" w:rsidP="006E686D">
      <w:pPr>
        <w:tabs>
          <w:tab w:val="left" w:pos="851"/>
        </w:tabs>
        <w:ind w:left="851"/>
        <w:rPr>
          <w:sz w:val="24"/>
          <w:szCs w:val="24"/>
        </w:rPr>
      </w:pPr>
      <w:r w:rsidRPr="00D11AD1">
        <w:rPr>
          <w:sz w:val="24"/>
          <w:szCs w:val="24"/>
        </w:rPr>
        <w:t xml:space="preserve">Der er gennemført et åbent, enkeltarms-, multicenter-studie med patienter med intolerans eller resistens over for imatinib. Ialt 109 patienter fik dasatinib 70 mg 2 gange </w:t>
      </w:r>
      <w:r w:rsidR="00FA34A4" w:rsidRPr="00D11AD1">
        <w:rPr>
          <w:sz w:val="24"/>
          <w:szCs w:val="24"/>
        </w:rPr>
        <w:lastRenderedPageBreak/>
        <w:t>daglig</w:t>
      </w:r>
      <w:r w:rsidRPr="00D11AD1">
        <w:rPr>
          <w:sz w:val="24"/>
          <w:szCs w:val="24"/>
        </w:rPr>
        <w:t xml:space="preserve"> (99 resistente og 10 intolerante over for imatinib). Mediantiden fra diagnose til start af behandling var 48 måneder.</w:t>
      </w:r>
    </w:p>
    <w:p w14:paraId="79350C21" w14:textId="436FCC92" w:rsidR="006E686D" w:rsidRPr="00D11AD1" w:rsidRDefault="006E686D" w:rsidP="006E686D">
      <w:pPr>
        <w:tabs>
          <w:tab w:val="left" w:pos="851"/>
        </w:tabs>
        <w:ind w:left="851"/>
        <w:rPr>
          <w:sz w:val="24"/>
          <w:szCs w:val="24"/>
        </w:rPr>
      </w:pPr>
      <w:r w:rsidRPr="00D11AD1">
        <w:rPr>
          <w:sz w:val="24"/>
          <w:szCs w:val="24"/>
        </w:rPr>
        <w:t>Medianbehandlingsvarigheden med dasatinib var 3,5 måneder med 12</w:t>
      </w:r>
      <w:r w:rsidR="00FA34A4" w:rsidRPr="00D11AD1">
        <w:rPr>
          <w:sz w:val="24"/>
          <w:szCs w:val="24"/>
        </w:rPr>
        <w:t xml:space="preserve"> %</w:t>
      </w:r>
      <w:r w:rsidRPr="00D11AD1">
        <w:rPr>
          <w:sz w:val="24"/>
          <w:szCs w:val="24"/>
        </w:rPr>
        <w:t xml:space="preserve"> af patienterne behandlet i &gt; 24 måneder til dato. Hyppigheden af major molekylært respons (vurderet hos 19 patienter med CCyR) ved 24 måneder var 68</w:t>
      </w:r>
      <w:r w:rsidR="00FA34A4" w:rsidRPr="00D11AD1">
        <w:rPr>
          <w:sz w:val="24"/>
          <w:szCs w:val="24"/>
        </w:rPr>
        <w:t xml:space="preserve"> %</w:t>
      </w:r>
      <w:r w:rsidRPr="00D11AD1">
        <w:rPr>
          <w:sz w:val="24"/>
          <w:szCs w:val="24"/>
        </w:rPr>
        <w:t>. Yderligere effektresultater fremgår af Tabel 11.</w:t>
      </w:r>
    </w:p>
    <w:p w14:paraId="031F48E0" w14:textId="77777777" w:rsidR="006E686D" w:rsidRPr="00D11AD1" w:rsidRDefault="006E686D" w:rsidP="006E686D">
      <w:pPr>
        <w:tabs>
          <w:tab w:val="left" w:pos="851"/>
        </w:tabs>
        <w:ind w:left="851"/>
        <w:rPr>
          <w:sz w:val="24"/>
          <w:szCs w:val="24"/>
        </w:rPr>
      </w:pPr>
    </w:p>
    <w:p w14:paraId="623B68A7" w14:textId="77777777" w:rsidR="006E686D" w:rsidRPr="00D11AD1" w:rsidRDefault="006E686D" w:rsidP="006E686D">
      <w:pPr>
        <w:tabs>
          <w:tab w:val="left" w:pos="851"/>
        </w:tabs>
        <w:ind w:left="851"/>
        <w:rPr>
          <w:i/>
          <w:iCs/>
          <w:sz w:val="24"/>
          <w:szCs w:val="24"/>
          <w:u w:val="single"/>
        </w:rPr>
      </w:pPr>
      <w:r w:rsidRPr="00D11AD1">
        <w:rPr>
          <w:i/>
          <w:iCs/>
          <w:sz w:val="24"/>
          <w:szCs w:val="24"/>
          <w:u w:val="single"/>
        </w:rPr>
        <w:t>CML i lymfoid blastfase og Ph+ ALL</w:t>
      </w:r>
    </w:p>
    <w:p w14:paraId="1C2AC01D" w14:textId="1D1A09C9" w:rsidR="006E686D" w:rsidRPr="00D11AD1" w:rsidRDefault="006E686D" w:rsidP="006E686D">
      <w:pPr>
        <w:tabs>
          <w:tab w:val="left" w:pos="851"/>
        </w:tabs>
        <w:ind w:left="851"/>
        <w:rPr>
          <w:sz w:val="24"/>
          <w:szCs w:val="24"/>
        </w:rPr>
      </w:pPr>
      <w:r w:rsidRPr="00D11AD1">
        <w:rPr>
          <w:sz w:val="24"/>
          <w:szCs w:val="24"/>
        </w:rPr>
        <w:t xml:space="preserve">Der er gennemført et åbent, enkeltarms-, multicenter-studie med patienter med CML i lymfoid blastfase eller Ph+ ALL, som var resistente eller intolerante over for tidligere imatinibbehandling. Ialt 48 patienter med CML i lymfoid blastfase fik dasatinib 70 2 gange </w:t>
      </w:r>
      <w:r w:rsidR="00FA34A4" w:rsidRPr="00D11AD1">
        <w:rPr>
          <w:sz w:val="24"/>
          <w:szCs w:val="24"/>
        </w:rPr>
        <w:t>daglig</w:t>
      </w:r>
      <w:r w:rsidRPr="00D11AD1">
        <w:rPr>
          <w:sz w:val="24"/>
          <w:szCs w:val="24"/>
        </w:rPr>
        <w:t xml:space="preserve"> (42 resistente og 6 intolerante over for imatinib). Mediantiden fra diagnose til start af behandling var 28 måneder. Medianbehandlingsvarighed med dasatinib var 3 måneder med 2</w:t>
      </w:r>
      <w:r w:rsidR="00FA34A4" w:rsidRPr="00D11AD1">
        <w:rPr>
          <w:sz w:val="24"/>
          <w:szCs w:val="24"/>
        </w:rPr>
        <w:t xml:space="preserve"> %</w:t>
      </w:r>
      <w:r w:rsidRPr="00D11AD1">
        <w:rPr>
          <w:sz w:val="24"/>
          <w:szCs w:val="24"/>
        </w:rPr>
        <w:t xml:space="preserve"> behandlet i &gt; 24 måneder til dato. Hyppigheden af major molekylært respons (alle 22 behandlede patienter med CCyR) ved 24 måneder var 50</w:t>
      </w:r>
      <w:r w:rsidR="00FA34A4" w:rsidRPr="00D11AD1">
        <w:rPr>
          <w:sz w:val="24"/>
          <w:szCs w:val="24"/>
        </w:rPr>
        <w:t xml:space="preserve"> %</w:t>
      </w:r>
      <w:r w:rsidRPr="00D11AD1">
        <w:rPr>
          <w:sz w:val="24"/>
          <w:szCs w:val="24"/>
        </w:rPr>
        <w:t xml:space="preserve">. Derudover fik 46 patienter med Ph+ ALL dasatinib 70 mg 2 gange </w:t>
      </w:r>
      <w:r w:rsidR="00FA34A4" w:rsidRPr="00D11AD1">
        <w:rPr>
          <w:sz w:val="24"/>
          <w:szCs w:val="24"/>
        </w:rPr>
        <w:t>daglig</w:t>
      </w:r>
      <w:r w:rsidRPr="00D11AD1">
        <w:rPr>
          <w:sz w:val="24"/>
          <w:szCs w:val="24"/>
        </w:rPr>
        <w:t xml:space="preserve"> (44 resistente og 2 intolerante over for imatinib). Mediantiden fra diagnose til start af behandling var 18 måneder. Medianbehandlingsvarigheden med dasatinib var 3 måneder med 7</w:t>
      </w:r>
      <w:r w:rsidR="00FA34A4" w:rsidRPr="00D11AD1">
        <w:rPr>
          <w:sz w:val="24"/>
          <w:szCs w:val="24"/>
        </w:rPr>
        <w:t xml:space="preserve"> %</w:t>
      </w:r>
      <w:r w:rsidRPr="00D11AD1">
        <w:rPr>
          <w:sz w:val="24"/>
          <w:szCs w:val="24"/>
        </w:rPr>
        <w:t xml:space="preserve"> af patienterne behandlet i &gt; 24 måneder til dato. Hyppigheden af major molekylært respons (alle 25 behandlede patienter med CCyR) ved 24 måneder var 52</w:t>
      </w:r>
      <w:r w:rsidR="00FA34A4" w:rsidRPr="00D11AD1">
        <w:rPr>
          <w:sz w:val="24"/>
          <w:szCs w:val="24"/>
        </w:rPr>
        <w:t xml:space="preserve"> %</w:t>
      </w:r>
      <w:r w:rsidRPr="00D11AD1">
        <w:rPr>
          <w:sz w:val="24"/>
          <w:szCs w:val="24"/>
        </w:rPr>
        <w:t>. Yderligere effektresultater fremgår af Tabel 11. Det bør bemærkes, at der hurtigt blev opnået større hæmatologisk respons (MaHR) (de fleste inden for 35 dage efter første administration af dasatinib til patienter med CML i lymfoid blastfase, og inden for 55 dage for patienter med Ph+ ALL).</w:t>
      </w:r>
    </w:p>
    <w:p w14:paraId="3650143A" w14:textId="77777777" w:rsidR="006D21E5" w:rsidRPr="00D11AD1" w:rsidRDefault="006D21E5" w:rsidP="006D21E5">
      <w:pPr>
        <w:tabs>
          <w:tab w:val="left" w:pos="851"/>
        </w:tabs>
        <w:ind w:left="851"/>
        <w:rPr>
          <w:sz w:val="24"/>
          <w:szCs w:val="24"/>
        </w:rPr>
      </w:pPr>
    </w:p>
    <w:p w14:paraId="3924B596" w14:textId="77777777" w:rsidR="006D21E5" w:rsidRPr="00D11AD1" w:rsidRDefault="006D21E5" w:rsidP="006D21E5">
      <w:pPr>
        <w:tabs>
          <w:tab w:val="left" w:pos="851"/>
        </w:tabs>
        <w:ind w:left="851"/>
        <w:rPr>
          <w:b/>
          <w:position w:val="8"/>
          <w:sz w:val="24"/>
          <w:szCs w:val="24"/>
        </w:rPr>
      </w:pPr>
      <w:r w:rsidRPr="00D11AD1">
        <w:rPr>
          <w:b/>
          <w:sz w:val="24"/>
          <w:szCs w:val="24"/>
        </w:rPr>
        <w:t xml:space="preserve">Tabel 11: </w:t>
      </w:r>
      <w:r w:rsidRPr="00D11AD1">
        <w:rPr>
          <w:rFonts w:eastAsia="TimesNewRomanPS-BoldMT"/>
          <w:b/>
          <w:bCs/>
          <w:sz w:val="24"/>
          <w:szCs w:val="24"/>
        </w:rPr>
        <w:t xml:space="preserve">Effekt i enkeltarmede fase II-studier med </w:t>
      </w:r>
      <w:r w:rsidRPr="00D11AD1">
        <w:rPr>
          <w:rFonts w:eastAsia="TimesNewRomanPSMT"/>
          <w:b/>
          <w:sz w:val="24"/>
          <w:szCs w:val="24"/>
        </w:rPr>
        <w:t>dasatinib</w:t>
      </w:r>
      <w:r w:rsidRPr="00D11AD1">
        <w:rPr>
          <w:b/>
          <w:position w:val="8"/>
          <w:sz w:val="24"/>
          <w:szCs w:val="24"/>
        </w:rPr>
        <w:t>a</w:t>
      </w:r>
    </w:p>
    <w:tbl>
      <w:tblPr>
        <w:tblStyle w:val="TableGrid1"/>
        <w:tblW w:w="5000" w:type="pct"/>
        <w:tblLook w:val="04A0" w:firstRow="1" w:lastRow="0" w:firstColumn="1" w:lastColumn="0" w:noHBand="0" w:noVBand="1"/>
      </w:tblPr>
      <w:tblGrid>
        <w:gridCol w:w="1786"/>
        <w:gridCol w:w="1308"/>
        <w:gridCol w:w="1531"/>
        <w:gridCol w:w="1545"/>
        <w:gridCol w:w="1602"/>
        <w:gridCol w:w="1572"/>
      </w:tblGrid>
      <w:tr w:rsidR="006D21E5" w:rsidRPr="00D11AD1" w14:paraId="318C72D1" w14:textId="77777777" w:rsidTr="000A733F">
        <w:trPr>
          <w:trHeight w:val="567"/>
        </w:trPr>
        <w:tc>
          <w:tcPr>
            <w:tcW w:w="956" w:type="pct"/>
          </w:tcPr>
          <w:p w14:paraId="2897C30E" w14:textId="77777777" w:rsidR="006D21E5" w:rsidRPr="00D11AD1" w:rsidRDefault="006D21E5" w:rsidP="00D11AD1">
            <w:pPr>
              <w:rPr>
                <w:sz w:val="24"/>
                <w:szCs w:val="24"/>
                <w:lang w:val="da-DK"/>
              </w:rPr>
            </w:pPr>
          </w:p>
        </w:tc>
        <w:tc>
          <w:tcPr>
            <w:tcW w:w="700" w:type="pct"/>
          </w:tcPr>
          <w:p w14:paraId="6122B11F" w14:textId="77777777" w:rsidR="006D21E5" w:rsidRPr="00D11AD1" w:rsidRDefault="006D21E5" w:rsidP="00D11AD1">
            <w:pPr>
              <w:ind w:left="-172" w:right="-153"/>
              <w:jc w:val="center"/>
              <w:rPr>
                <w:b/>
                <w:bCs/>
                <w:sz w:val="24"/>
                <w:szCs w:val="24"/>
              </w:rPr>
            </w:pPr>
            <w:r w:rsidRPr="00D11AD1">
              <w:rPr>
                <w:b/>
                <w:bCs/>
                <w:sz w:val="24"/>
                <w:szCs w:val="24"/>
              </w:rPr>
              <w:t>Chronic</w:t>
            </w:r>
          </w:p>
          <w:p w14:paraId="0AF1E594" w14:textId="77777777" w:rsidR="006D21E5" w:rsidRPr="00D11AD1" w:rsidRDefault="006D21E5" w:rsidP="00D11AD1">
            <w:pPr>
              <w:ind w:left="-172" w:right="-153"/>
              <w:jc w:val="center"/>
              <w:rPr>
                <w:sz w:val="24"/>
                <w:szCs w:val="24"/>
              </w:rPr>
            </w:pPr>
            <w:r w:rsidRPr="00D11AD1">
              <w:rPr>
                <w:b/>
                <w:bCs/>
                <w:sz w:val="24"/>
                <w:szCs w:val="24"/>
              </w:rPr>
              <w:t>(n = 387)</w:t>
            </w:r>
          </w:p>
        </w:tc>
        <w:tc>
          <w:tcPr>
            <w:tcW w:w="819" w:type="pct"/>
          </w:tcPr>
          <w:p w14:paraId="7D012725" w14:textId="77777777" w:rsidR="006D21E5" w:rsidRPr="00D11AD1" w:rsidRDefault="006D21E5" w:rsidP="00D11AD1">
            <w:pPr>
              <w:ind w:left="-172" w:right="-155"/>
              <w:jc w:val="center"/>
              <w:rPr>
                <w:sz w:val="24"/>
                <w:szCs w:val="24"/>
              </w:rPr>
            </w:pPr>
            <w:r w:rsidRPr="00D11AD1">
              <w:rPr>
                <w:b/>
                <w:bCs/>
                <w:sz w:val="24"/>
                <w:szCs w:val="24"/>
              </w:rPr>
              <w:t>Accelerated</w:t>
            </w:r>
          </w:p>
          <w:p w14:paraId="3047A21D" w14:textId="77777777" w:rsidR="006D21E5" w:rsidRPr="00D11AD1" w:rsidRDefault="006D21E5" w:rsidP="00D11AD1">
            <w:pPr>
              <w:ind w:left="-172" w:right="-155"/>
              <w:jc w:val="center"/>
              <w:rPr>
                <w:sz w:val="24"/>
                <w:szCs w:val="24"/>
              </w:rPr>
            </w:pPr>
            <w:r w:rsidRPr="00D11AD1">
              <w:rPr>
                <w:b/>
                <w:bCs/>
                <w:sz w:val="24"/>
                <w:szCs w:val="24"/>
              </w:rPr>
              <w:t>(n = 174)</w:t>
            </w:r>
          </w:p>
        </w:tc>
        <w:tc>
          <w:tcPr>
            <w:tcW w:w="827" w:type="pct"/>
          </w:tcPr>
          <w:p w14:paraId="47230D20" w14:textId="77777777" w:rsidR="006D21E5" w:rsidRPr="00D11AD1" w:rsidRDefault="006D21E5" w:rsidP="00D11AD1">
            <w:pPr>
              <w:ind w:left="-172" w:right="-155"/>
              <w:jc w:val="center"/>
              <w:rPr>
                <w:sz w:val="24"/>
                <w:szCs w:val="24"/>
              </w:rPr>
            </w:pPr>
            <w:r w:rsidRPr="00D11AD1">
              <w:rPr>
                <w:b/>
                <w:bCs/>
                <w:sz w:val="24"/>
                <w:szCs w:val="24"/>
              </w:rPr>
              <w:t>Myeloid blast</w:t>
            </w:r>
          </w:p>
          <w:p w14:paraId="26BB4F41" w14:textId="77777777" w:rsidR="006D21E5" w:rsidRPr="00D11AD1" w:rsidRDefault="006D21E5" w:rsidP="00D11AD1">
            <w:pPr>
              <w:ind w:left="-172" w:right="-155"/>
              <w:jc w:val="center"/>
              <w:rPr>
                <w:sz w:val="24"/>
                <w:szCs w:val="24"/>
              </w:rPr>
            </w:pPr>
            <w:r w:rsidRPr="00D11AD1">
              <w:rPr>
                <w:b/>
                <w:bCs/>
                <w:sz w:val="24"/>
                <w:szCs w:val="24"/>
              </w:rPr>
              <w:t>(n = 109)</w:t>
            </w:r>
          </w:p>
        </w:tc>
        <w:tc>
          <w:tcPr>
            <w:tcW w:w="857" w:type="pct"/>
          </w:tcPr>
          <w:p w14:paraId="7ADC4727" w14:textId="77777777" w:rsidR="006D21E5" w:rsidRPr="00D11AD1" w:rsidRDefault="006D21E5" w:rsidP="00D11AD1">
            <w:pPr>
              <w:ind w:left="-172" w:right="-155"/>
              <w:jc w:val="center"/>
              <w:rPr>
                <w:sz w:val="24"/>
                <w:szCs w:val="24"/>
              </w:rPr>
            </w:pPr>
            <w:r w:rsidRPr="00D11AD1">
              <w:rPr>
                <w:b/>
                <w:bCs/>
                <w:sz w:val="24"/>
                <w:szCs w:val="24"/>
              </w:rPr>
              <w:t>Lymphoid blast</w:t>
            </w:r>
          </w:p>
          <w:p w14:paraId="6FA29B80" w14:textId="77777777" w:rsidR="006D21E5" w:rsidRPr="00D11AD1" w:rsidRDefault="006D21E5" w:rsidP="00D11AD1">
            <w:pPr>
              <w:ind w:left="-172" w:right="-155"/>
              <w:jc w:val="center"/>
              <w:rPr>
                <w:sz w:val="24"/>
                <w:szCs w:val="24"/>
              </w:rPr>
            </w:pPr>
            <w:r w:rsidRPr="00D11AD1">
              <w:rPr>
                <w:b/>
                <w:bCs/>
                <w:sz w:val="24"/>
                <w:szCs w:val="24"/>
              </w:rPr>
              <w:t>(n = 48)</w:t>
            </w:r>
          </w:p>
        </w:tc>
        <w:tc>
          <w:tcPr>
            <w:tcW w:w="840" w:type="pct"/>
          </w:tcPr>
          <w:p w14:paraId="4C3472EA" w14:textId="77777777" w:rsidR="006D21E5" w:rsidRPr="00D11AD1" w:rsidRDefault="006D21E5" w:rsidP="00D11AD1">
            <w:pPr>
              <w:ind w:left="-172" w:right="-155"/>
              <w:jc w:val="center"/>
              <w:rPr>
                <w:b/>
                <w:bCs/>
                <w:sz w:val="24"/>
                <w:szCs w:val="24"/>
              </w:rPr>
            </w:pPr>
            <w:r w:rsidRPr="00D11AD1">
              <w:rPr>
                <w:b/>
                <w:bCs/>
                <w:sz w:val="24"/>
                <w:szCs w:val="24"/>
              </w:rPr>
              <w:t>Ph+ ALL</w:t>
            </w:r>
          </w:p>
          <w:p w14:paraId="132946C3" w14:textId="77777777" w:rsidR="006D21E5" w:rsidRPr="00D11AD1" w:rsidRDefault="006D21E5" w:rsidP="00D11AD1">
            <w:pPr>
              <w:ind w:left="-172" w:right="-155"/>
              <w:jc w:val="center"/>
              <w:rPr>
                <w:sz w:val="24"/>
                <w:szCs w:val="24"/>
              </w:rPr>
            </w:pPr>
            <w:r w:rsidRPr="00D11AD1">
              <w:rPr>
                <w:b/>
                <w:bCs/>
                <w:sz w:val="24"/>
                <w:szCs w:val="24"/>
              </w:rPr>
              <w:t>(n = 46)</w:t>
            </w:r>
          </w:p>
        </w:tc>
      </w:tr>
      <w:tr w:rsidR="006D21E5" w:rsidRPr="00D11AD1" w14:paraId="2F1585B8" w14:textId="77777777" w:rsidTr="000A733F">
        <w:trPr>
          <w:trHeight w:val="283"/>
        </w:trPr>
        <w:tc>
          <w:tcPr>
            <w:tcW w:w="5000" w:type="pct"/>
            <w:gridSpan w:val="6"/>
          </w:tcPr>
          <w:p w14:paraId="741D9CCE" w14:textId="77777777" w:rsidR="006D21E5" w:rsidRPr="00D11AD1" w:rsidRDefault="006D21E5" w:rsidP="00D11AD1">
            <w:pPr>
              <w:ind w:left="-30" w:right="-155"/>
              <w:rPr>
                <w:sz w:val="24"/>
                <w:szCs w:val="24"/>
              </w:rPr>
            </w:pPr>
            <w:r w:rsidRPr="00D11AD1">
              <w:rPr>
                <w:b/>
                <w:bCs/>
                <w:sz w:val="24"/>
                <w:szCs w:val="24"/>
              </w:rPr>
              <w:t>Haematologic response rate</w:t>
            </w:r>
            <w:r w:rsidRPr="00D11AD1">
              <w:rPr>
                <w:b/>
                <w:bCs/>
                <w:sz w:val="24"/>
                <w:szCs w:val="24"/>
                <w:vertAlign w:val="superscript"/>
              </w:rPr>
              <w:t>b</w:t>
            </w:r>
            <w:r w:rsidRPr="00D11AD1">
              <w:rPr>
                <w:b/>
                <w:bCs/>
                <w:sz w:val="24"/>
                <w:szCs w:val="24"/>
              </w:rPr>
              <w:t xml:space="preserve"> (%)</w:t>
            </w:r>
          </w:p>
        </w:tc>
      </w:tr>
      <w:tr w:rsidR="006D21E5" w:rsidRPr="00D11AD1" w14:paraId="2A43B5B0" w14:textId="77777777" w:rsidTr="000A733F">
        <w:trPr>
          <w:trHeight w:val="283"/>
        </w:trPr>
        <w:tc>
          <w:tcPr>
            <w:tcW w:w="956" w:type="pct"/>
          </w:tcPr>
          <w:p w14:paraId="67B7B97C" w14:textId="77777777" w:rsidR="006D21E5" w:rsidRPr="00D11AD1" w:rsidRDefault="006D21E5" w:rsidP="00D11AD1">
            <w:pPr>
              <w:ind w:right="-147"/>
              <w:rPr>
                <w:sz w:val="24"/>
                <w:szCs w:val="24"/>
              </w:rPr>
            </w:pPr>
            <w:r w:rsidRPr="00D11AD1">
              <w:rPr>
                <w:sz w:val="24"/>
                <w:szCs w:val="24"/>
              </w:rPr>
              <w:t>MaHR (95% CI)</w:t>
            </w:r>
          </w:p>
        </w:tc>
        <w:tc>
          <w:tcPr>
            <w:tcW w:w="700" w:type="pct"/>
          </w:tcPr>
          <w:p w14:paraId="0E53BB7E" w14:textId="77777777" w:rsidR="006D21E5" w:rsidRPr="00D11AD1" w:rsidRDefault="006D21E5" w:rsidP="00D11AD1">
            <w:pPr>
              <w:ind w:left="-172" w:right="-153"/>
              <w:jc w:val="center"/>
              <w:rPr>
                <w:bCs/>
                <w:sz w:val="24"/>
                <w:szCs w:val="24"/>
              </w:rPr>
            </w:pPr>
            <w:r w:rsidRPr="00D11AD1">
              <w:rPr>
                <w:sz w:val="24"/>
                <w:szCs w:val="24"/>
              </w:rPr>
              <w:t>n/a</w:t>
            </w:r>
          </w:p>
        </w:tc>
        <w:tc>
          <w:tcPr>
            <w:tcW w:w="819" w:type="pct"/>
          </w:tcPr>
          <w:p w14:paraId="3D4C8466" w14:textId="77777777" w:rsidR="006D21E5" w:rsidRPr="00D11AD1" w:rsidRDefault="006D21E5" w:rsidP="00D11AD1">
            <w:pPr>
              <w:ind w:left="-172" w:right="-155"/>
              <w:jc w:val="center"/>
              <w:rPr>
                <w:bCs/>
                <w:sz w:val="24"/>
                <w:szCs w:val="24"/>
              </w:rPr>
            </w:pPr>
            <w:r w:rsidRPr="00D11AD1">
              <w:rPr>
                <w:bCs/>
                <w:sz w:val="24"/>
                <w:szCs w:val="24"/>
              </w:rPr>
              <w:t>64% (57 ‒ 72)</w:t>
            </w:r>
          </w:p>
        </w:tc>
        <w:tc>
          <w:tcPr>
            <w:tcW w:w="827" w:type="pct"/>
          </w:tcPr>
          <w:p w14:paraId="3B801CAA" w14:textId="77777777" w:rsidR="006D21E5" w:rsidRPr="00D11AD1" w:rsidRDefault="006D21E5" w:rsidP="00D11AD1">
            <w:pPr>
              <w:ind w:right="-73"/>
              <w:jc w:val="center"/>
              <w:rPr>
                <w:sz w:val="24"/>
                <w:szCs w:val="24"/>
              </w:rPr>
            </w:pPr>
            <w:r w:rsidRPr="00D11AD1">
              <w:rPr>
                <w:sz w:val="24"/>
                <w:szCs w:val="24"/>
              </w:rPr>
              <w:t>33% (24</w:t>
            </w:r>
            <w:r w:rsidRPr="00D11AD1">
              <w:rPr>
                <w:bCs/>
                <w:sz w:val="24"/>
                <w:szCs w:val="24"/>
              </w:rPr>
              <w:t xml:space="preserve"> ‒ </w:t>
            </w:r>
            <w:r w:rsidRPr="00D11AD1">
              <w:rPr>
                <w:sz w:val="24"/>
                <w:szCs w:val="24"/>
              </w:rPr>
              <w:t>43)</w:t>
            </w:r>
          </w:p>
        </w:tc>
        <w:tc>
          <w:tcPr>
            <w:tcW w:w="857" w:type="pct"/>
          </w:tcPr>
          <w:p w14:paraId="3CD876E8" w14:textId="77777777" w:rsidR="006D21E5" w:rsidRPr="00D11AD1" w:rsidRDefault="006D21E5" w:rsidP="00D11AD1">
            <w:pPr>
              <w:ind w:right="-42"/>
              <w:jc w:val="center"/>
              <w:rPr>
                <w:sz w:val="24"/>
                <w:szCs w:val="24"/>
              </w:rPr>
            </w:pPr>
            <w:r w:rsidRPr="00D11AD1">
              <w:rPr>
                <w:sz w:val="24"/>
                <w:szCs w:val="24"/>
              </w:rPr>
              <w:t>35% (22</w:t>
            </w:r>
            <w:r w:rsidRPr="00D11AD1">
              <w:rPr>
                <w:bCs/>
                <w:sz w:val="24"/>
                <w:szCs w:val="24"/>
              </w:rPr>
              <w:t xml:space="preserve"> ‒ </w:t>
            </w:r>
            <w:r w:rsidRPr="00D11AD1">
              <w:rPr>
                <w:sz w:val="24"/>
                <w:szCs w:val="24"/>
              </w:rPr>
              <w:t>51)</w:t>
            </w:r>
          </w:p>
        </w:tc>
        <w:tc>
          <w:tcPr>
            <w:tcW w:w="840" w:type="pct"/>
          </w:tcPr>
          <w:p w14:paraId="57567141" w14:textId="77777777" w:rsidR="006D21E5" w:rsidRPr="00D11AD1" w:rsidRDefault="006D21E5" w:rsidP="00D11AD1">
            <w:pPr>
              <w:ind w:left="-172" w:right="-42"/>
              <w:jc w:val="center"/>
              <w:rPr>
                <w:bCs/>
                <w:sz w:val="24"/>
                <w:szCs w:val="24"/>
              </w:rPr>
            </w:pPr>
            <w:r w:rsidRPr="00D11AD1">
              <w:rPr>
                <w:bCs/>
                <w:sz w:val="24"/>
                <w:szCs w:val="24"/>
              </w:rPr>
              <w:t>41% (27 ‒ 57)</w:t>
            </w:r>
          </w:p>
        </w:tc>
      </w:tr>
      <w:tr w:rsidR="006D21E5" w:rsidRPr="00D11AD1" w14:paraId="556B9B86" w14:textId="77777777" w:rsidTr="000A733F">
        <w:trPr>
          <w:trHeight w:val="283"/>
        </w:trPr>
        <w:tc>
          <w:tcPr>
            <w:tcW w:w="956" w:type="pct"/>
          </w:tcPr>
          <w:p w14:paraId="029DEA12" w14:textId="77777777" w:rsidR="006D21E5" w:rsidRPr="00D11AD1" w:rsidRDefault="006D21E5" w:rsidP="00D11AD1">
            <w:pPr>
              <w:ind w:left="142" w:right="-147"/>
              <w:rPr>
                <w:sz w:val="24"/>
                <w:szCs w:val="24"/>
              </w:rPr>
            </w:pPr>
            <w:r w:rsidRPr="00D11AD1">
              <w:rPr>
                <w:sz w:val="24"/>
                <w:szCs w:val="24"/>
              </w:rPr>
              <w:t>CHR (95% CI)</w:t>
            </w:r>
          </w:p>
        </w:tc>
        <w:tc>
          <w:tcPr>
            <w:tcW w:w="700" w:type="pct"/>
          </w:tcPr>
          <w:p w14:paraId="7F2972CD" w14:textId="77777777" w:rsidR="006D21E5" w:rsidRPr="00D11AD1" w:rsidRDefault="006D21E5" w:rsidP="00D11AD1">
            <w:pPr>
              <w:ind w:left="-172" w:right="-153"/>
              <w:jc w:val="center"/>
              <w:rPr>
                <w:bCs/>
                <w:sz w:val="24"/>
                <w:szCs w:val="24"/>
              </w:rPr>
            </w:pPr>
            <w:r w:rsidRPr="00D11AD1">
              <w:rPr>
                <w:bCs/>
                <w:sz w:val="24"/>
                <w:szCs w:val="24"/>
              </w:rPr>
              <w:t>91% (88 ‒ 94)</w:t>
            </w:r>
          </w:p>
        </w:tc>
        <w:tc>
          <w:tcPr>
            <w:tcW w:w="819" w:type="pct"/>
          </w:tcPr>
          <w:p w14:paraId="74262080" w14:textId="77777777" w:rsidR="006D21E5" w:rsidRPr="00D11AD1" w:rsidRDefault="006D21E5" w:rsidP="00D11AD1">
            <w:pPr>
              <w:jc w:val="center"/>
              <w:rPr>
                <w:sz w:val="24"/>
                <w:szCs w:val="24"/>
              </w:rPr>
            </w:pPr>
            <w:r w:rsidRPr="00D11AD1">
              <w:rPr>
                <w:sz w:val="24"/>
                <w:szCs w:val="24"/>
              </w:rPr>
              <w:t>50% (42</w:t>
            </w:r>
            <w:r w:rsidRPr="00D11AD1">
              <w:rPr>
                <w:bCs/>
                <w:sz w:val="24"/>
                <w:szCs w:val="24"/>
              </w:rPr>
              <w:t xml:space="preserve"> ‒ </w:t>
            </w:r>
            <w:r w:rsidRPr="00D11AD1">
              <w:rPr>
                <w:sz w:val="24"/>
                <w:szCs w:val="24"/>
              </w:rPr>
              <w:t>58)</w:t>
            </w:r>
          </w:p>
        </w:tc>
        <w:tc>
          <w:tcPr>
            <w:tcW w:w="827" w:type="pct"/>
          </w:tcPr>
          <w:p w14:paraId="75B9D358" w14:textId="77777777" w:rsidR="006D21E5" w:rsidRPr="00D11AD1" w:rsidRDefault="006D21E5" w:rsidP="00D11AD1">
            <w:pPr>
              <w:ind w:right="-73"/>
              <w:jc w:val="center"/>
              <w:rPr>
                <w:sz w:val="24"/>
                <w:szCs w:val="24"/>
              </w:rPr>
            </w:pPr>
            <w:r w:rsidRPr="00D11AD1">
              <w:rPr>
                <w:sz w:val="24"/>
                <w:szCs w:val="24"/>
              </w:rPr>
              <w:t>26% (18</w:t>
            </w:r>
            <w:r w:rsidRPr="00D11AD1">
              <w:rPr>
                <w:bCs/>
                <w:sz w:val="24"/>
                <w:szCs w:val="24"/>
              </w:rPr>
              <w:t xml:space="preserve"> ‒ </w:t>
            </w:r>
            <w:r w:rsidRPr="00D11AD1">
              <w:rPr>
                <w:sz w:val="24"/>
                <w:szCs w:val="24"/>
              </w:rPr>
              <w:t>35)</w:t>
            </w:r>
          </w:p>
        </w:tc>
        <w:tc>
          <w:tcPr>
            <w:tcW w:w="857" w:type="pct"/>
          </w:tcPr>
          <w:p w14:paraId="74EDD91E" w14:textId="77777777" w:rsidR="006D21E5" w:rsidRPr="00D11AD1" w:rsidRDefault="006D21E5" w:rsidP="00D11AD1">
            <w:pPr>
              <w:ind w:right="-42"/>
              <w:jc w:val="center"/>
              <w:rPr>
                <w:sz w:val="24"/>
                <w:szCs w:val="24"/>
              </w:rPr>
            </w:pPr>
            <w:r w:rsidRPr="00D11AD1">
              <w:rPr>
                <w:sz w:val="24"/>
                <w:szCs w:val="24"/>
              </w:rPr>
              <w:t>29% (17</w:t>
            </w:r>
            <w:r w:rsidRPr="00D11AD1">
              <w:rPr>
                <w:bCs/>
                <w:sz w:val="24"/>
                <w:szCs w:val="24"/>
              </w:rPr>
              <w:t xml:space="preserve"> ‒ </w:t>
            </w:r>
            <w:r w:rsidRPr="00D11AD1">
              <w:rPr>
                <w:sz w:val="24"/>
                <w:szCs w:val="24"/>
              </w:rPr>
              <w:t>44)</w:t>
            </w:r>
          </w:p>
        </w:tc>
        <w:tc>
          <w:tcPr>
            <w:tcW w:w="840" w:type="pct"/>
          </w:tcPr>
          <w:p w14:paraId="63AF415E" w14:textId="77777777" w:rsidR="006D21E5" w:rsidRPr="00D11AD1" w:rsidRDefault="006D21E5" w:rsidP="00D11AD1">
            <w:pPr>
              <w:ind w:right="-42"/>
              <w:jc w:val="center"/>
              <w:rPr>
                <w:sz w:val="24"/>
                <w:szCs w:val="24"/>
              </w:rPr>
            </w:pPr>
            <w:r w:rsidRPr="00D11AD1">
              <w:rPr>
                <w:sz w:val="24"/>
                <w:szCs w:val="24"/>
              </w:rPr>
              <w:t>35% (21</w:t>
            </w:r>
            <w:r w:rsidRPr="00D11AD1">
              <w:rPr>
                <w:bCs/>
                <w:sz w:val="24"/>
                <w:szCs w:val="24"/>
              </w:rPr>
              <w:t xml:space="preserve"> ‒ </w:t>
            </w:r>
            <w:r w:rsidRPr="00D11AD1">
              <w:rPr>
                <w:sz w:val="24"/>
                <w:szCs w:val="24"/>
              </w:rPr>
              <w:t>50)</w:t>
            </w:r>
          </w:p>
        </w:tc>
      </w:tr>
      <w:tr w:rsidR="006D21E5" w:rsidRPr="00D11AD1" w14:paraId="10DFCA66" w14:textId="77777777" w:rsidTr="000A733F">
        <w:trPr>
          <w:trHeight w:val="283"/>
        </w:trPr>
        <w:tc>
          <w:tcPr>
            <w:tcW w:w="956" w:type="pct"/>
          </w:tcPr>
          <w:p w14:paraId="1C3A3E7F" w14:textId="77777777" w:rsidR="006D21E5" w:rsidRPr="00D11AD1" w:rsidRDefault="006D21E5" w:rsidP="00D11AD1">
            <w:pPr>
              <w:ind w:left="142"/>
              <w:rPr>
                <w:sz w:val="24"/>
                <w:szCs w:val="24"/>
              </w:rPr>
            </w:pPr>
            <w:r w:rsidRPr="00D11AD1">
              <w:rPr>
                <w:sz w:val="24"/>
                <w:szCs w:val="24"/>
              </w:rPr>
              <w:t>NEL (95% CI)</w:t>
            </w:r>
          </w:p>
        </w:tc>
        <w:tc>
          <w:tcPr>
            <w:tcW w:w="700" w:type="pct"/>
          </w:tcPr>
          <w:p w14:paraId="017C4750" w14:textId="77777777" w:rsidR="006D21E5" w:rsidRPr="00D11AD1" w:rsidRDefault="006D21E5" w:rsidP="00D11AD1">
            <w:pPr>
              <w:ind w:left="-172" w:right="-153"/>
              <w:jc w:val="center"/>
              <w:rPr>
                <w:bCs/>
                <w:sz w:val="24"/>
                <w:szCs w:val="24"/>
              </w:rPr>
            </w:pPr>
            <w:r w:rsidRPr="00D11AD1">
              <w:rPr>
                <w:sz w:val="24"/>
                <w:szCs w:val="24"/>
              </w:rPr>
              <w:t>n/a</w:t>
            </w:r>
          </w:p>
        </w:tc>
        <w:tc>
          <w:tcPr>
            <w:tcW w:w="819" w:type="pct"/>
          </w:tcPr>
          <w:p w14:paraId="17C86BE2" w14:textId="77777777" w:rsidR="006D21E5" w:rsidRPr="00D11AD1" w:rsidRDefault="006D21E5" w:rsidP="00D11AD1">
            <w:pPr>
              <w:jc w:val="center"/>
              <w:rPr>
                <w:sz w:val="24"/>
                <w:szCs w:val="24"/>
              </w:rPr>
            </w:pPr>
            <w:r w:rsidRPr="00D11AD1">
              <w:rPr>
                <w:sz w:val="24"/>
                <w:szCs w:val="24"/>
              </w:rPr>
              <w:t>14% (10</w:t>
            </w:r>
            <w:r w:rsidRPr="00D11AD1">
              <w:rPr>
                <w:bCs/>
                <w:sz w:val="24"/>
                <w:szCs w:val="24"/>
              </w:rPr>
              <w:t xml:space="preserve"> ‒ </w:t>
            </w:r>
            <w:r w:rsidRPr="00D11AD1">
              <w:rPr>
                <w:sz w:val="24"/>
                <w:szCs w:val="24"/>
              </w:rPr>
              <w:t>21)</w:t>
            </w:r>
          </w:p>
        </w:tc>
        <w:tc>
          <w:tcPr>
            <w:tcW w:w="827" w:type="pct"/>
          </w:tcPr>
          <w:p w14:paraId="7EDF69D5" w14:textId="77777777" w:rsidR="006D21E5" w:rsidRPr="00D11AD1" w:rsidRDefault="006D21E5" w:rsidP="00D11AD1">
            <w:pPr>
              <w:jc w:val="center"/>
              <w:rPr>
                <w:sz w:val="24"/>
                <w:szCs w:val="24"/>
              </w:rPr>
            </w:pPr>
            <w:r w:rsidRPr="00D11AD1">
              <w:rPr>
                <w:sz w:val="24"/>
                <w:szCs w:val="24"/>
              </w:rPr>
              <w:t>7% (3</w:t>
            </w:r>
            <w:r w:rsidRPr="00D11AD1">
              <w:rPr>
                <w:bCs/>
                <w:sz w:val="24"/>
                <w:szCs w:val="24"/>
              </w:rPr>
              <w:t xml:space="preserve"> ‒ </w:t>
            </w:r>
            <w:r w:rsidRPr="00D11AD1">
              <w:rPr>
                <w:sz w:val="24"/>
                <w:szCs w:val="24"/>
              </w:rPr>
              <w:t>14)</w:t>
            </w:r>
          </w:p>
        </w:tc>
        <w:tc>
          <w:tcPr>
            <w:tcW w:w="857" w:type="pct"/>
          </w:tcPr>
          <w:p w14:paraId="5BEC0694" w14:textId="77777777" w:rsidR="006D21E5" w:rsidRPr="00D11AD1" w:rsidRDefault="006D21E5" w:rsidP="00D11AD1">
            <w:pPr>
              <w:jc w:val="center"/>
              <w:rPr>
                <w:sz w:val="24"/>
                <w:szCs w:val="24"/>
              </w:rPr>
            </w:pPr>
            <w:r w:rsidRPr="00D11AD1">
              <w:rPr>
                <w:sz w:val="24"/>
                <w:szCs w:val="24"/>
              </w:rPr>
              <w:t>6% (1</w:t>
            </w:r>
            <w:r w:rsidRPr="00D11AD1">
              <w:rPr>
                <w:bCs/>
                <w:sz w:val="24"/>
                <w:szCs w:val="24"/>
              </w:rPr>
              <w:t xml:space="preserve"> ‒ </w:t>
            </w:r>
            <w:r w:rsidRPr="00D11AD1">
              <w:rPr>
                <w:sz w:val="24"/>
                <w:szCs w:val="24"/>
              </w:rPr>
              <w:t>17)</w:t>
            </w:r>
          </w:p>
        </w:tc>
        <w:tc>
          <w:tcPr>
            <w:tcW w:w="840" w:type="pct"/>
          </w:tcPr>
          <w:p w14:paraId="08C5371B" w14:textId="77777777" w:rsidR="006D21E5" w:rsidRPr="00D11AD1" w:rsidRDefault="006D21E5" w:rsidP="00D11AD1">
            <w:pPr>
              <w:jc w:val="center"/>
              <w:rPr>
                <w:sz w:val="24"/>
                <w:szCs w:val="24"/>
              </w:rPr>
            </w:pPr>
            <w:r w:rsidRPr="00D11AD1">
              <w:rPr>
                <w:sz w:val="24"/>
                <w:szCs w:val="24"/>
              </w:rPr>
              <w:t>7% (1</w:t>
            </w:r>
            <w:r w:rsidRPr="00D11AD1">
              <w:rPr>
                <w:bCs/>
                <w:sz w:val="24"/>
                <w:szCs w:val="24"/>
              </w:rPr>
              <w:t xml:space="preserve"> ‒ </w:t>
            </w:r>
            <w:r w:rsidRPr="00D11AD1">
              <w:rPr>
                <w:sz w:val="24"/>
                <w:szCs w:val="24"/>
              </w:rPr>
              <w:t>18)</w:t>
            </w:r>
          </w:p>
        </w:tc>
      </w:tr>
      <w:tr w:rsidR="006D21E5" w:rsidRPr="007055E1" w14:paraId="489FA3AF" w14:textId="77777777" w:rsidTr="000A733F">
        <w:trPr>
          <w:trHeight w:val="283"/>
        </w:trPr>
        <w:tc>
          <w:tcPr>
            <w:tcW w:w="5000" w:type="pct"/>
            <w:gridSpan w:val="6"/>
          </w:tcPr>
          <w:p w14:paraId="74645862" w14:textId="77777777" w:rsidR="006D21E5" w:rsidRPr="00D11AD1" w:rsidRDefault="006D21E5" w:rsidP="00D11AD1">
            <w:pPr>
              <w:ind w:right="-42"/>
              <w:rPr>
                <w:bCs/>
                <w:sz w:val="24"/>
                <w:szCs w:val="24"/>
              </w:rPr>
            </w:pPr>
            <w:r w:rsidRPr="00D11AD1">
              <w:rPr>
                <w:sz w:val="24"/>
                <w:szCs w:val="24"/>
              </w:rPr>
              <w:t>Duration of MaHR (%; Kaplan-Meier estimates)</w:t>
            </w:r>
          </w:p>
        </w:tc>
      </w:tr>
      <w:tr w:rsidR="006D21E5" w:rsidRPr="00D11AD1" w14:paraId="58763C67" w14:textId="77777777" w:rsidTr="000A733F">
        <w:trPr>
          <w:trHeight w:val="283"/>
        </w:trPr>
        <w:tc>
          <w:tcPr>
            <w:tcW w:w="956" w:type="pct"/>
          </w:tcPr>
          <w:p w14:paraId="2F57429F" w14:textId="77777777" w:rsidR="006D21E5" w:rsidRPr="00D11AD1" w:rsidRDefault="006D21E5" w:rsidP="00D11AD1">
            <w:pPr>
              <w:ind w:left="176"/>
              <w:rPr>
                <w:sz w:val="24"/>
                <w:szCs w:val="24"/>
              </w:rPr>
            </w:pPr>
            <w:r w:rsidRPr="00D11AD1">
              <w:rPr>
                <w:sz w:val="24"/>
                <w:szCs w:val="24"/>
              </w:rPr>
              <w:t>1 year</w:t>
            </w:r>
          </w:p>
        </w:tc>
        <w:tc>
          <w:tcPr>
            <w:tcW w:w="700" w:type="pct"/>
          </w:tcPr>
          <w:p w14:paraId="41A3A3A1" w14:textId="77777777" w:rsidR="006D21E5" w:rsidRPr="00D11AD1" w:rsidRDefault="006D21E5" w:rsidP="00D11AD1">
            <w:pPr>
              <w:jc w:val="center"/>
              <w:rPr>
                <w:sz w:val="24"/>
                <w:szCs w:val="24"/>
              </w:rPr>
            </w:pPr>
            <w:r w:rsidRPr="00D11AD1">
              <w:rPr>
                <w:sz w:val="24"/>
                <w:szCs w:val="24"/>
              </w:rPr>
              <w:t>n/a</w:t>
            </w:r>
          </w:p>
        </w:tc>
        <w:tc>
          <w:tcPr>
            <w:tcW w:w="819" w:type="pct"/>
          </w:tcPr>
          <w:p w14:paraId="3DC93779" w14:textId="77777777" w:rsidR="006D21E5" w:rsidRPr="00D11AD1" w:rsidRDefault="006D21E5" w:rsidP="00D11AD1">
            <w:pPr>
              <w:jc w:val="center"/>
              <w:rPr>
                <w:sz w:val="24"/>
                <w:szCs w:val="24"/>
              </w:rPr>
            </w:pPr>
            <w:r w:rsidRPr="00D11AD1">
              <w:rPr>
                <w:sz w:val="24"/>
                <w:szCs w:val="24"/>
              </w:rPr>
              <w:t>79% (71</w:t>
            </w:r>
            <w:r w:rsidRPr="00D11AD1">
              <w:rPr>
                <w:bCs/>
                <w:sz w:val="24"/>
                <w:szCs w:val="24"/>
              </w:rPr>
              <w:t xml:space="preserve"> ‒ </w:t>
            </w:r>
            <w:r w:rsidRPr="00D11AD1">
              <w:rPr>
                <w:sz w:val="24"/>
                <w:szCs w:val="24"/>
              </w:rPr>
              <w:t>87)</w:t>
            </w:r>
          </w:p>
        </w:tc>
        <w:tc>
          <w:tcPr>
            <w:tcW w:w="827" w:type="pct"/>
          </w:tcPr>
          <w:p w14:paraId="6B61EA95" w14:textId="77777777" w:rsidR="006D21E5" w:rsidRPr="00D11AD1" w:rsidRDefault="006D21E5" w:rsidP="00D11AD1">
            <w:pPr>
              <w:ind w:right="-73"/>
              <w:jc w:val="center"/>
              <w:rPr>
                <w:sz w:val="24"/>
                <w:szCs w:val="24"/>
              </w:rPr>
            </w:pPr>
            <w:r w:rsidRPr="00D11AD1">
              <w:rPr>
                <w:sz w:val="24"/>
                <w:szCs w:val="24"/>
              </w:rPr>
              <w:t>71% (55</w:t>
            </w:r>
            <w:r w:rsidRPr="00D11AD1">
              <w:rPr>
                <w:bCs/>
                <w:sz w:val="24"/>
                <w:szCs w:val="24"/>
              </w:rPr>
              <w:t xml:space="preserve"> ‒ </w:t>
            </w:r>
            <w:r w:rsidRPr="00D11AD1">
              <w:rPr>
                <w:sz w:val="24"/>
                <w:szCs w:val="24"/>
              </w:rPr>
              <w:t>87)</w:t>
            </w:r>
          </w:p>
        </w:tc>
        <w:tc>
          <w:tcPr>
            <w:tcW w:w="857" w:type="pct"/>
          </w:tcPr>
          <w:p w14:paraId="267136DD" w14:textId="77777777" w:rsidR="006D21E5" w:rsidRPr="00D11AD1" w:rsidRDefault="006D21E5" w:rsidP="00D11AD1">
            <w:pPr>
              <w:jc w:val="center"/>
              <w:rPr>
                <w:sz w:val="24"/>
                <w:szCs w:val="24"/>
              </w:rPr>
            </w:pPr>
            <w:r w:rsidRPr="00D11AD1">
              <w:rPr>
                <w:sz w:val="24"/>
                <w:szCs w:val="24"/>
              </w:rPr>
              <w:t>29% (3</w:t>
            </w:r>
            <w:r w:rsidRPr="00D11AD1">
              <w:rPr>
                <w:bCs/>
                <w:sz w:val="24"/>
                <w:szCs w:val="24"/>
              </w:rPr>
              <w:t xml:space="preserve"> ‒ </w:t>
            </w:r>
            <w:r w:rsidRPr="00D11AD1">
              <w:rPr>
                <w:sz w:val="24"/>
                <w:szCs w:val="24"/>
              </w:rPr>
              <w:t>56)</w:t>
            </w:r>
          </w:p>
        </w:tc>
        <w:tc>
          <w:tcPr>
            <w:tcW w:w="840" w:type="pct"/>
          </w:tcPr>
          <w:p w14:paraId="605282F1" w14:textId="77777777" w:rsidR="006D21E5" w:rsidRPr="00D11AD1" w:rsidRDefault="006D21E5" w:rsidP="00D11AD1">
            <w:pPr>
              <w:jc w:val="center"/>
              <w:rPr>
                <w:sz w:val="24"/>
                <w:szCs w:val="24"/>
              </w:rPr>
            </w:pPr>
            <w:r w:rsidRPr="00D11AD1">
              <w:rPr>
                <w:sz w:val="24"/>
                <w:szCs w:val="24"/>
              </w:rPr>
              <w:t>32% (8</w:t>
            </w:r>
            <w:r w:rsidRPr="00D11AD1">
              <w:rPr>
                <w:bCs/>
                <w:sz w:val="24"/>
                <w:szCs w:val="24"/>
              </w:rPr>
              <w:t xml:space="preserve"> ‒ </w:t>
            </w:r>
            <w:r w:rsidRPr="00D11AD1">
              <w:rPr>
                <w:sz w:val="24"/>
                <w:szCs w:val="24"/>
              </w:rPr>
              <w:t>56)</w:t>
            </w:r>
          </w:p>
        </w:tc>
      </w:tr>
      <w:tr w:rsidR="006D21E5" w:rsidRPr="00D11AD1" w14:paraId="64E3422D" w14:textId="77777777" w:rsidTr="000A733F">
        <w:trPr>
          <w:trHeight w:val="283"/>
        </w:trPr>
        <w:tc>
          <w:tcPr>
            <w:tcW w:w="956" w:type="pct"/>
          </w:tcPr>
          <w:p w14:paraId="4AF827FD" w14:textId="77777777" w:rsidR="006D21E5" w:rsidRPr="00D11AD1" w:rsidRDefault="006D21E5" w:rsidP="00D11AD1">
            <w:pPr>
              <w:ind w:left="176"/>
              <w:rPr>
                <w:sz w:val="24"/>
                <w:szCs w:val="24"/>
              </w:rPr>
            </w:pPr>
            <w:r w:rsidRPr="00D11AD1">
              <w:rPr>
                <w:sz w:val="24"/>
                <w:szCs w:val="24"/>
              </w:rPr>
              <w:t>2 year</w:t>
            </w:r>
          </w:p>
        </w:tc>
        <w:tc>
          <w:tcPr>
            <w:tcW w:w="700" w:type="pct"/>
          </w:tcPr>
          <w:p w14:paraId="2D22F652" w14:textId="77777777" w:rsidR="006D21E5" w:rsidRPr="00D11AD1" w:rsidRDefault="006D21E5" w:rsidP="00D11AD1">
            <w:pPr>
              <w:jc w:val="center"/>
              <w:rPr>
                <w:sz w:val="24"/>
                <w:szCs w:val="24"/>
              </w:rPr>
            </w:pPr>
            <w:r w:rsidRPr="00D11AD1">
              <w:rPr>
                <w:sz w:val="24"/>
                <w:szCs w:val="24"/>
              </w:rPr>
              <w:t>n/a</w:t>
            </w:r>
          </w:p>
        </w:tc>
        <w:tc>
          <w:tcPr>
            <w:tcW w:w="819" w:type="pct"/>
          </w:tcPr>
          <w:p w14:paraId="3150605C" w14:textId="77777777" w:rsidR="006D21E5" w:rsidRPr="00D11AD1" w:rsidRDefault="006D21E5" w:rsidP="00D11AD1">
            <w:pPr>
              <w:jc w:val="center"/>
              <w:rPr>
                <w:sz w:val="24"/>
                <w:szCs w:val="24"/>
              </w:rPr>
            </w:pPr>
            <w:r w:rsidRPr="00D11AD1">
              <w:rPr>
                <w:sz w:val="24"/>
                <w:szCs w:val="24"/>
              </w:rPr>
              <w:t>60% (50</w:t>
            </w:r>
            <w:r w:rsidRPr="00D11AD1">
              <w:rPr>
                <w:bCs/>
                <w:sz w:val="24"/>
                <w:szCs w:val="24"/>
              </w:rPr>
              <w:t xml:space="preserve"> ‒ </w:t>
            </w:r>
            <w:r w:rsidRPr="00D11AD1">
              <w:rPr>
                <w:sz w:val="24"/>
                <w:szCs w:val="24"/>
              </w:rPr>
              <w:t>70)</w:t>
            </w:r>
          </w:p>
        </w:tc>
        <w:tc>
          <w:tcPr>
            <w:tcW w:w="827" w:type="pct"/>
          </w:tcPr>
          <w:p w14:paraId="738D8894" w14:textId="77777777" w:rsidR="006D21E5" w:rsidRPr="00D11AD1" w:rsidRDefault="006D21E5" w:rsidP="00D11AD1">
            <w:pPr>
              <w:ind w:right="-73"/>
              <w:jc w:val="center"/>
              <w:rPr>
                <w:sz w:val="24"/>
                <w:szCs w:val="24"/>
              </w:rPr>
            </w:pPr>
            <w:r w:rsidRPr="00D11AD1">
              <w:rPr>
                <w:sz w:val="24"/>
                <w:szCs w:val="24"/>
              </w:rPr>
              <w:t>41% (21</w:t>
            </w:r>
            <w:r w:rsidRPr="00D11AD1">
              <w:rPr>
                <w:bCs/>
                <w:sz w:val="24"/>
                <w:szCs w:val="24"/>
              </w:rPr>
              <w:t xml:space="preserve"> ‒ </w:t>
            </w:r>
            <w:r w:rsidRPr="00D11AD1">
              <w:rPr>
                <w:sz w:val="24"/>
                <w:szCs w:val="24"/>
              </w:rPr>
              <w:t>60)</w:t>
            </w:r>
          </w:p>
        </w:tc>
        <w:tc>
          <w:tcPr>
            <w:tcW w:w="857" w:type="pct"/>
          </w:tcPr>
          <w:p w14:paraId="17BD89D5" w14:textId="77777777" w:rsidR="006D21E5" w:rsidRPr="00D11AD1" w:rsidRDefault="006D21E5" w:rsidP="00D11AD1">
            <w:pPr>
              <w:jc w:val="center"/>
              <w:rPr>
                <w:sz w:val="24"/>
                <w:szCs w:val="24"/>
              </w:rPr>
            </w:pPr>
            <w:r w:rsidRPr="00D11AD1">
              <w:rPr>
                <w:sz w:val="24"/>
                <w:szCs w:val="24"/>
              </w:rPr>
              <w:t>10% (0</w:t>
            </w:r>
            <w:r w:rsidRPr="00D11AD1">
              <w:rPr>
                <w:bCs/>
                <w:sz w:val="24"/>
                <w:szCs w:val="24"/>
              </w:rPr>
              <w:t xml:space="preserve"> ‒ </w:t>
            </w:r>
            <w:r w:rsidRPr="00D11AD1">
              <w:rPr>
                <w:sz w:val="24"/>
                <w:szCs w:val="24"/>
              </w:rPr>
              <w:t>28)</w:t>
            </w:r>
          </w:p>
        </w:tc>
        <w:tc>
          <w:tcPr>
            <w:tcW w:w="840" w:type="pct"/>
          </w:tcPr>
          <w:p w14:paraId="5D5D71CA" w14:textId="77777777" w:rsidR="006D21E5" w:rsidRPr="00D11AD1" w:rsidRDefault="006D21E5" w:rsidP="00D11AD1">
            <w:pPr>
              <w:jc w:val="center"/>
              <w:rPr>
                <w:sz w:val="24"/>
                <w:szCs w:val="24"/>
              </w:rPr>
            </w:pPr>
            <w:r w:rsidRPr="00D11AD1">
              <w:rPr>
                <w:sz w:val="24"/>
                <w:szCs w:val="24"/>
              </w:rPr>
              <w:t>24% (2</w:t>
            </w:r>
            <w:r w:rsidRPr="00D11AD1">
              <w:rPr>
                <w:bCs/>
                <w:sz w:val="24"/>
                <w:szCs w:val="24"/>
              </w:rPr>
              <w:t xml:space="preserve"> ‒ </w:t>
            </w:r>
            <w:r w:rsidRPr="00D11AD1">
              <w:rPr>
                <w:sz w:val="24"/>
                <w:szCs w:val="24"/>
              </w:rPr>
              <w:t>47)</w:t>
            </w:r>
          </w:p>
        </w:tc>
      </w:tr>
      <w:tr w:rsidR="006D21E5" w:rsidRPr="00D11AD1" w14:paraId="15F68C98" w14:textId="77777777" w:rsidTr="000A733F">
        <w:trPr>
          <w:trHeight w:val="283"/>
        </w:trPr>
        <w:tc>
          <w:tcPr>
            <w:tcW w:w="5000" w:type="pct"/>
            <w:gridSpan w:val="6"/>
          </w:tcPr>
          <w:p w14:paraId="7D6E927C" w14:textId="77777777" w:rsidR="006D21E5" w:rsidRPr="00D11AD1" w:rsidRDefault="006D21E5" w:rsidP="00D11AD1">
            <w:pPr>
              <w:ind w:left="-30" w:right="-155"/>
              <w:rPr>
                <w:bCs/>
                <w:sz w:val="24"/>
                <w:szCs w:val="24"/>
              </w:rPr>
            </w:pPr>
            <w:r w:rsidRPr="00D11AD1">
              <w:rPr>
                <w:b/>
                <w:bCs/>
                <w:sz w:val="24"/>
                <w:szCs w:val="24"/>
              </w:rPr>
              <w:t>Cytogenetic response</w:t>
            </w:r>
            <w:r w:rsidRPr="00D11AD1">
              <w:rPr>
                <w:b/>
                <w:bCs/>
                <w:sz w:val="24"/>
                <w:szCs w:val="24"/>
                <w:vertAlign w:val="superscript"/>
              </w:rPr>
              <w:t>c</w:t>
            </w:r>
            <w:r w:rsidRPr="00D11AD1">
              <w:rPr>
                <w:b/>
                <w:bCs/>
                <w:sz w:val="24"/>
                <w:szCs w:val="24"/>
              </w:rPr>
              <w:t xml:space="preserve"> (%)</w:t>
            </w:r>
          </w:p>
        </w:tc>
      </w:tr>
      <w:tr w:rsidR="006D21E5" w:rsidRPr="00D11AD1" w14:paraId="19869C64" w14:textId="77777777" w:rsidTr="000A733F">
        <w:trPr>
          <w:trHeight w:val="283"/>
        </w:trPr>
        <w:tc>
          <w:tcPr>
            <w:tcW w:w="956" w:type="pct"/>
          </w:tcPr>
          <w:p w14:paraId="2E7C6C46" w14:textId="77777777" w:rsidR="006D21E5" w:rsidRPr="00D11AD1" w:rsidRDefault="006D21E5" w:rsidP="00D11AD1">
            <w:pPr>
              <w:ind w:right="-147"/>
              <w:rPr>
                <w:sz w:val="24"/>
                <w:szCs w:val="24"/>
              </w:rPr>
            </w:pPr>
            <w:r w:rsidRPr="00D11AD1">
              <w:rPr>
                <w:sz w:val="24"/>
                <w:szCs w:val="24"/>
              </w:rPr>
              <w:t>MCyR (95% CI)</w:t>
            </w:r>
          </w:p>
        </w:tc>
        <w:tc>
          <w:tcPr>
            <w:tcW w:w="700" w:type="pct"/>
          </w:tcPr>
          <w:p w14:paraId="76529716" w14:textId="77777777" w:rsidR="006D21E5" w:rsidRPr="00D11AD1" w:rsidRDefault="006D21E5" w:rsidP="00D11AD1">
            <w:pPr>
              <w:ind w:left="-172" w:right="-153"/>
              <w:jc w:val="center"/>
              <w:rPr>
                <w:sz w:val="24"/>
                <w:szCs w:val="24"/>
              </w:rPr>
            </w:pPr>
            <w:r w:rsidRPr="00D11AD1">
              <w:rPr>
                <w:sz w:val="24"/>
                <w:szCs w:val="24"/>
              </w:rPr>
              <w:t>62% (57</w:t>
            </w:r>
            <w:r w:rsidRPr="00D11AD1">
              <w:rPr>
                <w:bCs/>
                <w:sz w:val="24"/>
                <w:szCs w:val="24"/>
              </w:rPr>
              <w:t xml:space="preserve"> ‒ </w:t>
            </w:r>
            <w:r w:rsidRPr="00D11AD1">
              <w:rPr>
                <w:sz w:val="24"/>
                <w:szCs w:val="24"/>
              </w:rPr>
              <w:t>67)</w:t>
            </w:r>
          </w:p>
        </w:tc>
        <w:tc>
          <w:tcPr>
            <w:tcW w:w="819" w:type="pct"/>
          </w:tcPr>
          <w:p w14:paraId="597B2924" w14:textId="77777777" w:rsidR="006D21E5" w:rsidRPr="00D11AD1" w:rsidRDefault="006D21E5" w:rsidP="00D11AD1">
            <w:pPr>
              <w:ind w:left="-172" w:right="-153"/>
              <w:jc w:val="center"/>
              <w:rPr>
                <w:sz w:val="24"/>
                <w:szCs w:val="24"/>
              </w:rPr>
            </w:pPr>
            <w:r w:rsidRPr="00D11AD1">
              <w:rPr>
                <w:sz w:val="24"/>
                <w:szCs w:val="24"/>
              </w:rPr>
              <w:t>40% (33</w:t>
            </w:r>
            <w:r w:rsidRPr="00D11AD1">
              <w:rPr>
                <w:bCs/>
                <w:sz w:val="24"/>
                <w:szCs w:val="24"/>
              </w:rPr>
              <w:t xml:space="preserve"> ‒ </w:t>
            </w:r>
            <w:r w:rsidRPr="00D11AD1">
              <w:rPr>
                <w:sz w:val="24"/>
                <w:szCs w:val="24"/>
              </w:rPr>
              <w:t>48)</w:t>
            </w:r>
          </w:p>
        </w:tc>
        <w:tc>
          <w:tcPr>
            <w:tcW w:w="827" w:type="pct"/>
          </w:tcPr>
          <w:p w14:paraId="64E6378C" w14:textId="77777777" w:rsidR="006D21E5" w:rsidRPr="00D11AD1" w:rsidRDefault="006D21E5" w:rsidP="00D11AD1">
            <w:pPr>
              <w:ind w:left="-172" w:right="-153"/>
              <w:jc w:val="center"/>
              <w:rPr>
                <w:sz w:val="24"/>
                <w:szCs w:val="24"/>
              </w:rPr>
            </w:pPr>
            <w:r w:rsidRPr="00D11AD1">
              <w:rPr>
                <w:sz w:val="24"/>
                <w:szCs w:val="24"/>
              </w:rPr>
              <w:t>34% (25</w:t>
            </w:r>
            <w:r w:rsidRPr="00D11AD1">
              <w:rPr>
                <w:bCs/>
                <w:sz w:val="24"/>
                <w:szCs w:val="24"/>
              </w:rPr>
              <w:t xml:space="preserve"> ‒ </w:t>
            </w:r>
            <w:r w:rsidRPr="00D11AD1">
              <w:rPr>
                <w:sz w:val="24"/>
                <w:szCs w:val="24"/>
              </w:rPr>
              <w:t>44)</w:t>
            </w:r>
          </w:p>
        </w:tc>
        <w:tc>
          <w:tcPr>
            <w:tcW w:w="857" w:type="pct"/>
          </w:tcPr>
          <w:p w14:paraId="6EEDDE28" w14:textId="77777777" w:rsidR="006D21E5" w:rsidRPr="00D11AD1" w:rsidRDefault="006D21E5" w:rsidP="00D11AD1">
            <w:pPr>
              <w:ind w:left="-172" w:right="-153"/>
              <w:jc w:val="center"/>
              <w:rPr>
                <w:sz w:val="24"/>
                <w:szCs w:val="24"/>
              </w:rPr>
            </w:pPr>
            <w:r w:rsidRPr="00D11AD1">
              <w:rPr>
                <w:sz w:val="24"/>
                <w:szCs w:val="24"/>
              </w:rPr>
              <w:t>52% (37</w:t>
            </w:r>
            <w:r w:rsidRPr="00D11AD1">
              <w:rPr>
                <w:bCs/>
                <w:sz w:val="24"/>
                <w:szCs w:val="24"/>
              </w:rPr>
              <w:t xml:space="preserve"> ‒ </w:t>
            </w:r>
            <w:r w:rsidRPr="00D11AD1">
              <w:rPr>
                <w:sz w:val="24"/>
                <w:szCs w:val="24"/>
              </w:rPr>
              <w:t>67)</w:t>
            </w:r>
          </w:p>
        </w:tc>
        <w:tc>
          <w:tcPr>
            <w:tcW w:w="840" w:type="pct"/>
          </w:tcPr>
          <w:p w14:paraId="36709EBD" w14:textId="77777777" w:rsidR="006D21E5" w:rsidRPr="00D11AD1" w:rsidRDefault="006D21E5" w:rsidP="00D11AD1">
            <w:pPr>
              <w:ind w:left="-172" w:right="-153"/>
              <w:jc w:val="center"/>
              <w:rPr>
                <w:sz w:val="24"/>
                <w:szCs w:val="24"/>
              </w:rPr>
            </w:pPr>
            <w:r w:rsidRPr="00D11AD1">
              <w:rPr>
                <w:sz w:val="24"/>
                <w:szCs w:val="24"/>
              </w:rPr>
              <w:t>57% (41</w:t>
            </w:r>
            <w:r w:rsidRPr="00D11AD1">
              <w:rPr>
                <w:bCs/>
                <w:sz w:val="24"/>
                <w:szCs w:val="24"/>
              </w:rPr>
              <w:t xml:space="preserve"> ‒ </w:t>
            </w:r>
            <w:r w:rsidRPr="00D11AD1">
              <w:rPr>
                <w:sz w:val="24"/>
                <w:szCs w:val="24"/>
              </w:rPr>
              <w:t>71)</w:t>
            </w:r>
          </w:p>
        </w:tc>
      </w:tr>
      <w:tr w:rsidR="006D21E5" w:rsidRPr="00D11AD1" w14:paraId="5B8B45A5" w14:textId="77777777" w:rsidTr="000A733F">
        <w:trPr>
          <w:trHeight w:val="283"/>
        </w:trPr>
        <w:tc>
          <w:tcPr>
            <w:tcW w:w="956" w:type="pct"/>
          </w:tcPr>
          <w:p w14:paraId="5C2A7919" w14:textId="77777777" w:rsidR="006D21E5" w:rsidRPr="00D11AD1" w:rsidRDefault="006D21E5" w:rsidP="00D11AD1">
            <w:pPr>
              <w:ind w:left="142" w:right="-147"/>
              <w:rPr>
                <w:sz w:val="24"/>
                <w:szCs w:val="24"/>
              </w:rPr>
            </w:pPr>
            <w:r w:rsidRPr="00D11AD1">
              <w:rPr>
                <w:sz w:val="24"/>
                <w:szCs w:val="24"/>
              </w:rPr>
              <w:t>CCyR (95% CI)</w:t>
            </w:r>
          </w:p>
        </w:tc>
        <w:tc>
          <w:tcPr>
            <w:tcW w:w="700" w:type="pct"/>
          </w:tcPr>
          <w:p w14:paraId="6474ACF1" w14:textId="77777777" w:rsidR="006D21E5" w:rsidRPr="00D11AD1" w:rsidRDefault="006D21E5" w:rsidP="00D11AD1">
            <w:pPr>
              <w:ind w:left="-172" w:right="-153"/>
              <w:jc w:val="center"/>
              <w:rPr>
                <w:sz w:val="24"/>
                <w:szCs w:val="24"/>
              </w:rPr>
            </w:pPr>
            <w:r w:rsidRPr="00D11AD1">
              <w:rPr>
                <w:sz w:val="24"/>
                <w:szCs w:val="24"/>
              </w:rPr>
              <w:t>54% (48</w:t>
            </w:r>
            <w:r w:rsidRPr="00D11AD1">
              <w:rPr>
                <w:bCs/>
                <w:sz w:val="24"/>
                <w:szCs w:val="24"/>
              </w:rPr>
              <w:t xml:space="preserve"> ‒ </w:t>
            </w:r>
            <w:r w:rsidRPr="00D11AD1">
              <w:rPr>
                <w:sz w:val="24"/>
                <w:szCs w:val="24"/>
              </w:rPr>
              <w:t>59)</w:t>
            </w:r>
          </w:p>
        </w:tc>
        <w:tc>
          <w:tcPr>
            <w:tcW w:w="819" w:type="pct"/>
          </w:tcPr>
          <w:p w14:paraId="6B1B72DD" w14:textId="77777777" w:rsidR="006D21E5" w:rsidRPr="00D11AD1" w:rsidRDefault="006D21E5" w:rsidP="00D11AD1">
            <w:pPr>
              <w:ind w:left="-172" w:right="-153"/>
              <w:jc w:val="center"/>
              <w:rPr>
                <w:sz w:val="24"/>
                <w:szCs w:val="24"/>
              </w:rPr>
            </w:pPr>
            <w:r w:rsidRPr="00D11AD1">
              <w:rPr>
                <w:sz w:val="24"/>
                <w:szCs w:val="24"/>
              </w:rPr>
              <w:t>33% (26</w:t>
            </w:r>
            <w:r w:rsidRPr="00D11AD1">
              <w:rPr>
                <w:bCs/>
                <w:sz w:val="24"/>
                <w:szCs w:val="24"/>
              </w:rPr>
              <w:t xml:space="preserve"> ‒ </w:t>
            </w:r>
            <w:r w:rsidRPr="00D11AD1">
              <w:rPr>
                <w:sz w:val="24"/>
                <w:szCs w:val="24"/>
              </w:rPr>
              <w:t>41)</w:t>
            </w:r>
          </w:p>
        </w:tc>
        <w:tc>
          <w:tcPr>
            <w:tcW w:w="827" w:type="pct"/>
          </w:tcPr>
          <w:p w14:paraId="171275E8" w14:textId="77777777" w:rsidR="006D21E5" w:rsidRPr="00D11AD1" w:rsidRDefault="006D21E5" w:rsidP="00D11AD1">
            <w:pPr>
              <w:ind w:left="-172" w:right="-153"/>
              <w:jc w:val="center"/>
              <w:rPr>
                <w:sz w:val="24"/>
                <w:szCs w:val="24"/>
              </w:rPr>
            </w:pPr>
            <w:r w:rsidRPr="00D11AD1">
              <w:rPr>
                <w:sz w:val="24"/>
                <w:szCs w:val="24"/>
              </w:rPr>
              <w:t xml:space="preserve">27% (19 </w:t>
            </w:r>
            <w:r w:rsidRPr="00D11AD1">
              <w:rPr>
                <w:bCs/>
                <w:sz w:val="24"/>
                <w:szCs w:val="24"/>
              </w:rPr>
              <w:t xml:space="preserve">‒ </w:t>
            </w:r>
            <w:r w:rsidRPr="00D11AD1">
              <w:rPr>
                <w:sz w:val="24"/>
                <w:szCs w:val="24"/>
              </w:rPr>
              <w:t>36)</w:t>
            </w:r>
          </w:p>
        </w:tc>
        <w:tc>
          <w:tcPr>
            <w:tcW w:w="857" w:type="pct"/>
          </w:tcPr>
          <w:p w14:paraId="3A42153B" w14:textId="77777777" w:rsidR="006D21E5" w:rsidRPr="00D11AD1" w:rsidRDefault="006D21E5" w:rsidP="00D11AD1">
            <w:pPr>
              <w:ind w:left="-172" w:right="-153"/>
              <w:jc w:val="center"/>
              <w:rPr>
                <w:sz w:val="24"/>
                <w:szCs w:val="24"/>
              </w:rPr>
            </w:pPr>
            <w:r w:rsidRPr="00D11AD1">
              <w:rPr>
                <w:sz w:val="24"/>
                <w:szCs w:val="24"/>
              </w:rPr>
              <w:t xml:space="preserve">46% (31 </w:t>
            </w:r>
            <w:r w:rsidRPr="00D11AD1">
              <w:rPr>
                <w:bCs/>
                <w:sz w:val="24"/>
                <w:szCs w:val="24"/>
              </w:rPr>
              <w:t xml:space="preserve">‒ </w:t>
            </w:r>
            <w:r w:rsidRPr="00D11AD1">
              <w:rPr>
                <w:sz w:val="24"/>
                <w:szCs w:val="24"/>
              </w:rPr>
              <w:t>61)</w:t>
            </w:r>
          </w:p>
        </w:tc>
        <w:tc>
          <w:tcPr>
            <w:tcW w:w="840" w:type="pct"/>
          </w:tcPr>
          <w:p w14:paraId="14354B02" w14:textId="77777777" w:rsidR="006D21E5" w:rsidRPr="00D11AD1" w:rsidRDefault="006D21E5" w:rsidP="00D11AD1">
            <w:pPr>
              <w:ind w:left="-172" w:right="-153"/>
              <w:jc w:val="center"/>
              <w:rPr>
                <w:sz w:val="24"/>
                <w:szCs w:val="24"/>
              </w:rPr>
            </w:pPr>
            <w:r w:rsidRPr="00D11AD1">
              <w:rPr>
                <w:sz w:val="24"/>
                <w:szCs w:val="24"/>
              </w:rPr>
              <w:t xml:space="preserve">54% (39 </w:t>
            </w:r>
            <w:r w:rsidRPr="00D11AD1">
              <w:rPr>
                <w:bCs/>
                <w:sz w:val="24"/>
                <w:szCs w:val="24"/>
              </w:rPr>
              <w:t xml:space="preserve">‒ </w:t>
            </w:r>
            <w:r w:rsidRPr="00D11AD1">
              <w:rPr>
                <w:sz w:val="24"/>
                <w:szCs w:val="24"/>
              </w:rPr>
              <w:t>69)</w:t>
            </w:r>
          </w:p>
        </w:tc>
      </w:tr>
      <w:tr w:rsidR="006D21E5" w:rsidRPr="00D11AD1" w14:paraId="3B46234D" w14:textId="77777777" w:rsidTr="000A733F">
        <w:trPr>
          <w:trHeight w:val="283"/>
        </w:trPr>
        <w:tc>
          <w:tcPr>
            <w:tcW w:w="5000" w:type="pct"/>
            <w:gridSpan w:val="6"/>
          </w:tcPr>
          <w:p w14:paraId="08FBB472" w14:textId="77777777" w:rsidR="006D21E5" w:rsidRPr="00D11AD1" w:rsidRDefault="006D21E5" w:rsidP="00D11AD1">
            <w:pPr>
              <w:ind w:left="-30" w:right="-155"/>
              <w:rPr>
                <w:sz w:val="24"/>
                <w:szCs w:val="24"/>
              </w:rPr>
            </w:pPr>
            <w:r w:rsidRPr="00D11AD1">
              <w:rPr>
                <w:b/>
                <w:bCs/>
                <w:sz w:val="24"/>
                <w:szCs w:val="24"/>
              </w:rPr>
              <w:t>Survival (%; Kaplan-Meier estimates)</w:t>
            </w:r>
          </w:p>
        </w:tc>
      </w:tr>
      <w:tr w:rsidR="006D21E5" w:rsidRPr="00D11AD1" w14:paraId="4CB5C207" w14:textId="77777777" w:rsidTr="000A733F">
        <w:trPr>
          <w:trHeight w:val="283"/>
        </w:trPr>
        <w:tc>
          <w:tcPr>
            <w:tcW w:w="956" w:type="pct"/>
          </w:tcPr>
          <w:p w14:paraId="0CC5090F" w14:textId="77777777" w:rsidR="006D21E5" w:rsidRPr="00D11AD1" w:rsidRDefault="006D21E5" w:rsidP="00D11AD1">
            <w:pPr>
              <w:ind w:right="-147"/>
              <w:rPr>
                <w:sz w:val="24"/>
                <w:szCs w:val="24"/>
              </w:rPr>
            </w:pPr>
            <w:r w:rsidRPr="00D11AD1">
              <w:rPr>
                <w:sz w:val="24"/>
                <w:szCs w:val="24"/>
              </w:rPr>
              <w:t>Progression-Free</w:t>
            </w:r>
          </w:p>
        </w:tc>
        <w:tc>
          <w:tcPr>
            <w:tcW w:w="700" w:type="pct"/>
          </w:tcPr>
          <w:p w14:paraId="7DF92DE2" w14:textId="77777777" w:rsidR="006D21E5" w:rsidRPr="00D11AD1" w:rsidRDefault="006D21E5" w:rsidP="00D11AD1">
            <w:pPr>
              <w:ind w:left="-172" w:right="-153"/>
              <w:jc w:val="center"/>
              <w:rPr>
                <w:sz w:val="24"/>
                <w:szCs w:val="24"/>
              </w:rPr>
            </w:pPr>
          </w:p>
        </w:tc>
        <w:tc>
          <w:tcPr>
            <w:tcW w:w="819" w:type="pct"/>
          </w:tcPr>
          <w:p w14:paraId="5B622219" w14:textId="77777777" w:rsidR="006D21E5" w:rsidRPr="00D11AD1" w:rsidRDefault="006D21E5" w:rsidP="00D11AD1">
            <w:pPr>
              <w:ind w:left="-172" w:right="-155"/>
              <w:jc w:val="center"/>
              <w:rPr>
                <w:bCs/>
                <w:sz w:val="24"/>
                <w:szCs w:val="24"/>
              </w:rPr>
            </w:pPr>
          </w:p>
        </w:tc>
        <w:tc>
          <w:tcPr>
            <w:tcW w:w="827" w:type="pct"/>
          </w:tcPr>
          <w:p w14:paraId="5EC3019B" w14:textId="77777777" w:rsidR="006D21E5" w:rsidRPr="00D11AD1" w:rsidRDefault="006D21E5" w:rsidP="00D11AD1">
            <w:pPr>
              <w:ind w:left="-172" w:right="-73"/>
              <w:jc w:val="center"/>
              <w:rPr>
                <w:bCs/>
                <w:sz w:val="24"/>
                <w:szCs w:val="24"/>
              </w:rPr>
            </w:pPr>
          </w:p>
        </w:tc>
        <w:tc>
          <w:tcPr>
            <w:tcW w:w="857" w:type="pct"/>
          </w:tcPr>
          <w:p w14:paraId="7A21800E" w14:textId="77777777" w:rsidR="006D21E5" w:rsidRPr="00D11AD1" w:rsidRDefault="006D21E5" w:rsidP="00D11AD1">
            <w:pPr>
              <w:ind w:left="-172" w:right="-42"/>
              <w:jc w:val="center"/>
              <w:rPr>
                <w:bCs/>
                <w:sz w:val="24"/>
                <w:szCs w:val="24"/>
              </w:rPr>
            </w:pPr>
          </w:p>
        </w:tc>
        <w:tc>
          <w:tcPr>
            <w:tcW w:w="840" w:type="pct"/>
          </w:tcPr>
          <w:p w14:paraId="723A96BD" w14:textId="77777777" w:rsidR="006D21E5" w:rsidRPr="00D11AD1" w:rsidRDefault="006D21E5" w:rsidP="00D11AD1">
            <w:pPr>
              <w:ind w:left="-172" w:right="-42"/>
              <w:jc w:val="center"/>
              <w:rPr>
                <w:bCs/>
                <w:sz w:val="24"/>
                <w:szCs w:val="24"/>
              </w:rPr>
            </w:pPr>
          </w:p>
        </w:tc>
      </w:tr>
      <w:tr w:rsidR="006D21E5" w:rsidRPr="00D11AD1" w14:paraId="00C383EC" w14:textId="77777777" w:rsidTr="000A733F">
        <w:trPr>
          <w:trHeight w:val="283"/>
        </w:trPr>
        <w:tc>
          <w:tcPr>
            <w:tcW w:w="956" w:type="pct"/>
          </w:tcPr>
          <w:p w14:paraId="73E159A3" w14:textId="77777777" w:rsidR="006D21E5" w:rsidRPr="00D11AD1" w:rsidRDefault="006D21E5" w:rsidP="00D11AD1">
            <w:pPr>
              <w:ind w:left="142" w:right="-147"/>
              <w:rPr>
                <w:sz w:val="24"/>
                <w:szCs w:val="24"/>
              </w:rPr>
            </w:pPr>
            <w:r w:rsidRPr="00D11AD1">
              <w:rPr>
                <w:sz w:val="24"/>
                <w:szCs w:val="24"/>
              </w:rPr>
              <w:t>1 year</w:t>
            </w:r>
          </w:p>
        </w:tc>
        <w:tc>
          <w:tcPr>
            <w:tcW w:w="700" w:type="pct"/>
          </w:tcPr>
          <w:p w14:paraId="2738ACEA" w14:textId="77777777" w:rsidR="006D21E5" w:rsidRPr="00D11AD1" w:rsidRDefault="006D21E5" w:rsidP="00D11AD1">
            <w:pPr>
              <w:ind w:left="-172" w:right="-153"/>
              <w:jc w:val="center"/>
              <w:rPr>
                <w:sz w:val="24"/>
                <w:szCs w:val="24"/>
              </w:rPr>
            </w:pPr>
            <w:r w:rsidRPr="00D11AD1">
              <w:rPr>
                <w:sz w:val="24"/>
                <w:szCs w:val="24"/>
              </w:rPr>
              <w:t>91% (88</w:t>
            </w:r>
            <w:r w:rsidRPr="00D11AD1">
              <w:rPr>
                <w:bCs/>
                <w:sz w:val="24"/>
                <w:szCs w:val="24"/>
              </w:rPr>
              <w:t xml:space="preserve"> ‒ </w:t>
            </w:r>
            <w:r w:rsidRPr="00D11AD1">
              <w:rPr>
                <w:sz w:val="24"/>
                <w:szCs w:val="24"/>
              </w:rPr>
              <w:t>94)</w:t>
            </w:r>
          </w:p>
        </w:tc>
        <w:tc>
          <w:tcPr>
            <w:tcW w:w="819" w:type="pct"/>
          </w:tcPr>
          <w:p w14:paraId="444E59A9" w14:textId="77777777" w:rsidR="006D21E5" w:rsidRPr="00D11AD1" w:rsidRDefault="006D21E5" w:rsidP="00D11AD1">
            <w:pPr>
              <w:rPr>
                <w:sz w:val="24"/>
                <w:szCs w:val="24"/>
              </w:rPr>
            </w:pPr>
            <w:r w:rsidRPr="00D11AD1">
              <w:rPr>
                <w:sz w:val="24"/>
                <w:szCs w:val="24"/>
              </w:rPr>
              <w:t>64% (57</w:t>
            </w:r>
            <w:r w:rsidRPr="00D11AD1">
              <w:rPr>
                <w:bCs/>
                <w:sz w:val="24"/>
                <w:szCs w:val="24"/>
              </w:rPr>
              <w:t xml:space="preserve"> ‒ </w:t>
            </w:r>
            <w:r w:rsidRPr="00D11AD1">
              <w:rPr>
                <w:sz w:val="24"/>
                <w:szCs w:val="24"/>
              </w:rPr>
              <w:t>72)</w:t>
            </w:r>
          </w:p>
        </w:tc>
        <w:tc>
          <w:tcPr>
            <w:tcW w:w="827" w:type="pct"/>
          </w:tcPr>
          <w:p w14:paraId="0CD27B45" w14:textId="77777777" w:rsidR="006D21E5" w:rsidRPr="00D11AD1" w:rsidRDefault="006D21E5" w:rsidP="00D11AD1">
            <w:pPr>
              <w:ind w:right="-73"/>
              <w:rPr>
                <w:sz w:val="24"/>
                <w:szCs w:val="24"/>
              </w:rPr>
            </w:pPr>
            <w:r w:rsidRPr="00D11AD1">
              <w:rPr>
                <w:sz w:val="24"/>
                <w:szCs w:val="24"/>
              </w:rPr>
              <w:t>35% (25</w:t>
            </w:r>
            <w:r w:rsidRPr="00D11AD1">
              <w:rPr>
                <w:bCs/>
                <w:sz w:val="24"/>
                <w:szCs w:val="24"/>
              </w:rPr>
              <w:t xml:space="preserve"> ‒ </w:t>
            </w:r>
            <w:r w:rsidRPr="00D11AD1">
              <w:rPr>
                <w:sz w:val="24"/>
                <w:szCs w:val="24"/>
              </w:rPr>
              <w:t>45)</w:t>
            </w:r>
          </w:p>
        </w:tc>
        <w:tc>
          <w:tcPr>
            <w:tcW w:w="857" w:type="pct"/>
          </w:tcPr>
          <w:p w14:paraId="01CFB580" w14:textId="77777777" w:rsidR="006D21E5" w:rsidRPr="00D11AD1" w:rsidRDefault="006D21E5" w:rsidP="00D11AD1">
            <w:pPr>
              <w:rPr>
                <w:sz w:val="24"/>
                <w:szCs w:val="24"/>
              </w:rPr>
            </w:pPr>
            <w:r w:rsidRPr="00D11AD1">
              <w:rPr>
                <w:sz w:val="24"/>
                <w:szCs w:val="24"/>
              </w:rPr>
              <w:t>14% (3</w:t>
            </w:r>
            <w:r w:rsidRPr="00D11AD1">
              <w:rPr>
                <w:bCs/>
                <w:sz w:val="24"/>
                <w:szCs w:val="24"/>
              </w:rPr>
              <w:t xml:space="preserve"> ‒ </w:t>
            </w:r>
            <w:r w:rsidRPr="00D11AD1">
              <w:rPr>
                <w:sz w:val="24"/>
                <w:szCs w:val="24"/>
              </w:rPr>
              <w:t>25)</w:t>
            </w:r>
          </w:p>
        </w:tc>
        <w:tc>
          <w:tcPr>
            <w:tcW w:w="840" w:type="pct"/>
          </w:tcPr>
          <w:p w14:paraId="1872A227" w14:textId="77777777" w:rsidR="006D21E5" w:rsidRPr="00D11AD1" w:rsidRDefault="006D21E5" w:rsidP="00D11AD1">
            <w:pPr>
              <w:rPr>
                <w:sz w:val="24"/>
                <w:szCs w:val="24"/>
              </w:rPr>
            </w:pPr>
            <w:r w:rsidRPr="00D11AD1">
              <w:rPr>
                <w:sz w:val="24"/>
                <w:szCs w:val="24"/>
              </w:rPr>
              <w:t>21% (9</w:t>
            </w:r>
            <w:r w:rsidRPr="00D11AD1">
              <w:rPr>
                <w:bCs/>
                <w:sz w:val="24"/>
                <w:szCs w:val="24"/>
              </w:rPr>
              <w:t xml:space="preserve"> ‒ </w:t>
            </w:r>
            <w:r w:rsidRPr="00D11AD1">
              <w:rPr>
                <w:sz w:val="24"/>
                <w:szCs w:val="24"/>
              </w:rPr>
              <w:t>34)</w:t>
            </w:r>
          </w:p>
        </w:tc>
      </w:tr>
      <w:tr w:rsidR="006D21E5" w:rsidRPr="00D11AD1" w14:paraId="68DBE4A3" w14:textId="77777777" w:rsidTr="000A733F">
        <w:trPr>
          <w:trHeight w:val="283"/>
        </w:trPr>
        <w:tc>
          <w:tcPr>
            <w:tcW w:w="956" w:type="pct"/>
          </w:tcPr>
          <w:p w14:paraId="67A89F5E" w14:textId="77777777" w:rsidR="006D21E5" w:rsidRPr="00D11AD1" w:rsidRDefault="006D21E5" w:rsidP="00D11AD1">
            <w:pPr>
              <w:ind w:left="142" w:right="-147"/>
              <w:rPr>
                <w:sz w:val="24"/>
                <w:szCs w:val="24"/>
              </w:rPr>
            </w:pPr>
            <w:r w:rsidRPr="00D11AD1">
              <w:rPr>
                <w:sz w:val="24"/>
                <w:szCs w:val="24"/>
              </w:rPr>
              <w:t>2 year</w:t>
            </w:r>
          </w:p>
        </w:tc>
        <w:tc>
          <w:tcPr>
            <w:tcW w:w="700" w:type="pct"/>
          </w:tcPr>
          <w:p w14:paraId="4AF6C08D" w14:textId="77777777" w:rsidR="006D21E5" w:rsidRPr="00D11AD1" w:rsidRDefault="006D21E5" w:rsidP="00D11AD1">
            <w:pPr>
              <w:ind w:left="-172" w:right="-153"/>
              <w:jc w:val="center"/>
              <w:rPr>
                <w:sz w:val="24"/>
                <w:szCs w:val="24"/>
              </w:rPr>
            </w:pPr>
            <w:r w:rsidRPr="00D11AD1">
              <w:rPr>
                <w:sz w:val="24"/>
                <w:szCs w:val="24"/>
              </w:rPr>
              <w:t>80% (75</w:t>
            </w:r>
            <w:r w:rsidRPr="00D11AD1">
              <w:rPr>
                <w:bCs/>
                <w:sz w:val="24"/>
                <w:szCs w:val="24"/>
              </w:rPr>
              <w:t xml:space="preserve"> ‒ </w:t>
            </w:r>
            <w:r w:rsidRPr="00D11AD1">
              <w:rPr>
                <w:sz w:val="24"/>
                <w:szCs w:val="24"/>
              </w:rPr>
              <w:t>84)</w:t>
            </w:r>
          </w:p>
        </w:tc>
        <w:tc>
          <w:tcPr>
            <w:tcW w:w="819" w:type="pct"/>
          </w:tcPr>
          <w:p w14:paraId="7745B9A3" w14:textId="77777777" w:rsidR="006D21E5" w:rsidRPr="00D11AD1" w:rsidRDefault="006D21E5" w:rsidP="00D11AD1">
            <w:pPr>
              <w:rPr>
                <w:sz w:val="24"/>
                <w:szCs w:val="24"/>
              </w:rPr>
            </w:pPr>
            <w:r w:rsidRPr="00D11AD1">
              <w:rPr>
                <w:sz w:val="24"/>
                <w:szCs w:val="24"/>
              </w:rPr>
              <w:t>46% (38</w:t>
            </w:r>
            <w:r w:rsidRPr="00D11AD1">
              <w:rPr>
                <w:bCs/>
                <w:sz w:val="24"/>
                <w:szCs w:val="24"/>
              </w:rPr>
              <w:t xml:space="preserve"> ‒ </w:t>
            </w:r>
            <w:r w:rsidRPr="00D11AD1">
              <w:rPr>
                <w:sz w:val="24"/>
                <w:szCs w:val="24"/>
              </w:rPr>
              <w:t>54)</w:t>
            </w:r>
          </w:p>
        </w:tc>
        <w:tc>
          <w:tcPr>
            <w:tcW w:w="827" w:type="pct"/>
          </w:tcPr>
          <w:p w14:paraId="48EF88F1" w14:textId="77777777" w:rsidR="006D21E5" w:rsidRPr="00D11AD1" w:rsidRDefault="006D21E5" w:rsidP="00D11AD1">
            <w:pPr>
              <w:ind w:right="-73"/>
              <w:rPr>
                <w:sz w:val="24"/>
                <w:szCs w:val="24"/>
              </w:rPr>
            </w:pPr>
            <w:r w:rsidRPr="00D11AD1">
              <w:rPr>
                <w:sz w:val="24"/>
                <w:szCs w:val="24"/>
              </w:rPr>
              <w:t>20% (11</w:t>
            </w:r>
            <w:r w:rsidRPr="00D11AD1">
              <w:rPr>
                <w:bCs/>
                <w:sz w:val="24"/>
                <w:szCs w:val="24"/>
              </w:rPr>
              <w:t xml:space="preserve"> ‒ </w:t>
            </w:r>
            <w:r w:rsidRPr="00D11AD1">
              <w:rPr>
                <w:sz w:val="24"/>
                <w:szCs w:val="24"/>
              </w:rPr>
              <w:t>29)</w:t>
            </w:r>
          </w:p>
        </w:tc>
        <w:tc>
          <w:tcPr>
            <w:tcW w:w="857" w:type="pct"/>
          </w:tcPr>
          <w:p w14:paraId="28656097" w14:textId="77777777" w:rsidR="006D21E5" w:rsidRPr="00D11AD1" w:rsidRDefault="006D21E5" w:rsidP="00D11AD1">
            <w:pPr>
              <w:rPr>
                <w:sz w:val="24"/>
                <w:szCs w:val="24"/>
              </w:rPr>
            </w:pPr>
            <w:r w:rsidRPr="00D11AD1">
              <w:rPr>
                <w:sz w:val="24"/>
                <w:szCs w:val="24"/>
              </w:rPr>
              <w:t>5% (0</w:t>
            </w:r>
            <w:r w:rsidRPr="00D11AD1">
              <w:rPr>
                <w:bCs/>
                <w:sz w:val="24"/>
                <w:szCs w:val="24"/>
              </w:rPr>
              <w:t xml:space="preserve"> ‒ </w:t>
            </w:r>
            <w:r w:rsidRPr="00D11AD1">
              <w:rPr>
                <w:sz w:val="24"/>
                <w:szCs w:val="24"/>
              </w:rPr>
              <w:t>13)</w:t>
            </w:r>
          </w:p>
        </w:tc>
        <w:tc>
          <w:tcPr>
            <w:tcW w:w="840" w:type="pct"/>
          </w:tcPr>
          <w:p w14:paraId="54374EEE" w14:textId="77777777" w:rsidR="006D21E5" w:rsidRPr="00D11AD1" w:rsidRDefault="006D21E5" w:rsidP="00D11AD1">
            <w:pPr>
              <w:rPr>
                <w:sz w:val="24"/>
                <w:szCs w:val="24"/>
              </w:rPr>
            </w:pPr>
            <w:r w:rsidRPr="00D11AD1">
              <w:rPr>
                <w:sz w:val="24"/>
                <w:szCs w:val="24"/>
              </w:rPr>
              <w:t>12% (2</w:t>
            </w:r>
            <w:r w:rsidRPr="00D11AD1">
              <w:rPr>
                <w:bCs/>
                <w:sz w:val="24"/>
                <w:szCs w:val="24"/>
              </w:rPr>
              <w:t xml:space="preserve"> ‒ </w:t>
            </w:r>
            <w:r w:rsidRPr="00D11AD1">
              <w:rPr>
                <w:sz w:val="24"/>
                <w:szCs w:val="24"/>
              </w:rPr>
              <w:t>23)</w:t>
            </w:r>
          </w:p>
        </w:tc>
      </w:tr>
      <w:tr w:rsidR="006D21E5" w:rsidRPr="00D11AD1" w14:paraId="2C9359E0" w14:textId="77777777" w:rsidTr="000A733F">
        <w:trPr>
          <w:trHeight w:val="283"/>
        </w:trPr>
        <w:tc>
          <w:tcPr>
            <w:tcW w:w="956" w:type="pct"/>
          </w:tcPr>
          <w:p w14:paraId="56DF3BCC" w14:textId="77777777" w:rsidR="006D21E5" w:rsidRPr="00D11AD1" w:rsidRDefault="006D21E5" w:rsidP="00D11AD1">
            <w:pPr>
              <w:ind w:right="-147"/>
              <w:rPr>
                <w:sz w:val="24"/>
                <w:szCs w:val="24"/>
              </w:rPr>
            </w:pPr>
            <w:r w:rsidRPr="00D11AD1">
              <w:rPr>
                <w:sz w:val="24"/>
                <w:szCs w:val="24"/>
              </w:rPr>
              <w:t>Overall</w:t>
            </w:r>
          </w:p>
        </w:tc>
        <w:tc>
          <w:tcPr>
            <w:tcW w:w="700" w:type="pct"/>
          </w:tcPr>
          <w:p w14:paraId="4D05E13E" w14:textId="77777777" w:rsidR="006D21E5" w:rsidRPr="00D11AD1" w:rsidRDefault="006D21E5" w:rsidP="00D11AD1">
            <w:pPr>
              <w:ind w:left="-172" w:right="-153"/>
              <w:jc w:val="center"/>
              <w:rPr>
                <w:sz w:val="24"/>
                <w:szCs w:val="24"/>
              </w:rPr>
            </w:pPr>
          </w:p>
        </w:tc>
        <w:tc>
          <w:tcPr>
            <w:tcW w:w="819" w:type="pct"/>
          </w:tcPr>
          <w:p w14:paraId="759EE315" w14:textId="77777777" w:rsidR="006D21E5" w:rsidRPr="00D11AD1" w:rsidRDefault="006D21E5" w:rsidP="00D11AD1">
            <w:pPr>
              <w:ind w:left="-172" w:right="-155"/>
              <w:jc w:val="center"/>
              <w:rPr>
                <w:sz w:val="24"/>
                <w:szCs w:val="24"/>
              </w:rPr>
            </w:pPr>
          </w:p>
        </w:tc>
        <w:tc>
          <w:tcPr>
            <w:tcW w:w="827" w:type="pct"/>
          </w:tcPr>
          <w:p w14:paraId="6B7A9B7B" w14:textId="77777777" w:rsidR="006D21E5" w:rsidRPr="00D11AD1" w:rsidRDefault="006D21E5" w:rsidP="00D11AD1">
            <w:pPr>
              <w:ind w:left="-172" w:right="-73"/>
              <w:jc w:val="center"/>
              <w:rPr>
                <w:sz w:val="24"/>
                <w:szCs w:val="24"/>
              </w:rPr>
            </w:pPr>
          </w:p>
        </w:tc>
        <w:tc>
          <w:tcPr>
            <w:tcW w:w="857" w:type="pct"/>
          </w:tcPr>
          <w:p w14:paraId="59ABAB74" w14:textId="77777777" w:rsidR="006D21E5" w:rsidRPr="00D11AD1" w:rsidRDefault="006D21E5" w:rsidP="00D11AD1">
            <w:pPr>
              <w:ind w:left="-172" w:right="-42"/>
              <w:jc w:val="center"/>
              <w:rPr>
                <w:sz w:val="24"/>
                <w:szCs w:val="24"/>
              </w:rPr>
            </w:pPr>
          </w:p>
        </w:tc>
        <w:tc>
          <w:tcPr>
            <w:tcW w:w="840" w:type="pct"/>
          </w:tcPr>
          <w:p w14:paraId="29DD5F07" w14:textId="77777777" w:rsidR="006D21E5" w:rsidRPr="00D11AD1" w:rsidRDefault="006D21E5" w:rsidP="00D11AD1">
            <w:pPr>
              <w:ind w:left="-172" w:right="-42"/>
              <w:jc w:val="center"/>
              <w:rPr>
                <w:sz w:val="24"/>
                <w:szCs w:val="24"/>
              </w:rPr>
            </w:pPr>
          </w:p>
        </w:tc>
      </w:tr>
      <w:tr w:rsidR="006D21E5" w:rsidRPr="00D11AD1" w14:paraId="30E03D5D" w14:textId="77777777" w:rsidTr="000A733F">
        <w:trPr>
          <w:trHeight w:val="283"/>
        </w:trPr>
        <w:tc>
          <w:tcPr>
            <w:tcW w:w="956" w:type="pct"/>
          </w:tcPr>
          <w:p w14:paraId="2BEBA10C" w14:textId="77777777" w:rsidR="006D21E5" w:rsidRPr="00D11AD1" w:rsidRDefault="006D21E5" w:rsidP="00D11AD1">
            <w:pPr>
              <w:ind w:left="142" w:right="-147"/>
              <w:rPr>
                <w:sz w:val="24"/>
                <w:szCs w:val="24"/>
              </w:rPr>
            </w:pPr>
            <w:r w:rsidRPr="00D11AD1">
              <w:rPr>
                <w:sz w:val="24"/>
                <w:szCs w:val="24"/>
              </w:rPr>
              <w:t>1 year</w:t>
            </w:r>
          </w:p>
        </w:tc>
        <w:tc>
          <w:tcPr>
            <w:tcW w:w="700" w:type="pct"/>
          </w:tcPr>
          <w:p w14:paraId="098E0575" w14:textId="77777777" w:rsidR="006D21E5" w:rsidRPr="00D11AD1" w:rsidRDefault="006D21E5" w:rsidP="00D11AD1">
            <w:pPr>
              <w:ind w:left="-172" w:right="-153"/>
              <w:jc w:val="center"/>
              <w:rPr>
                <w:sz w:val="24"/>
                <w:szCs w:val="24"/>
              </w:rPr>
            </w:pPr>
            <w:r w:rsidRPr="00D11AD1">
              <w:rPr>
                <w:sz w:val="24"/>
                <w:szCs w:val="24"/>
              </w:rPr>
              <w:t>97% (95</w:t>
            </w:r>
            <w:r w:rsidRPr="00D11AD1">
              <w:rPr>
                <w:bCs/>
                <w:sz w:val="24"/>
                <w:szCs w:val="24"/>
              </w:rPr>
              <w:t xml:space="preserve"> ‒ </w:t>
            </w:r>
            <w:r w:rsidRPr="00D11AD1">
              <w:rPr>
                <w:sz w:val="24"/>
                <w:szCs w:val="24"/>
              </w:rPr>
              <w:t>99)</w:t>
            </w:r>
          </w:p>
        </w:tc>
        <w:tc>
          <w:tcPr>
            <w:tcW w:w="819" w:type="pct"/>
          </w:tcPr>
          <w:p w14:paraId="2874008B" w14:textId="77777777" w:rsidR="006D21E5" w:rsidRPr="00D11AD1" w:rsidRDefault="006D21E5" w:rsidP="00D11AD1">
            <w:pPr>
              <w:ind w:left="-172" w:right="-153"/>
              <w:jc w:val="center"/>
              <w:rPr>
                <w:sz w:val="24"/>
                <w:szCs w:val="24"/>
              </w:rPr>
            </w:pPr>
            <w:r w:rsidRPr="00D11AD1">
              <w:rPr>
                <w:sz w:val="24"/>
                <w:szCs w:val="24"/>
              </w:rPr>
              <w:t>83% (77</w:t>
            </w:r>
            <w:r w:rsidRPr="00D11AD1">
              <w:rPr>
                <w:bCs/>
                <w:sz w:val="24"/>
                <w:szCs w:val="24"/>
              </w:rPr>
              <w:t xml:space="preserve"> ‒ </w:t>
            </w:r>
            <w:r w:rsidRPr="00D11AD1">
              <w:rPr>
                <w:sz w:val="24"/>
                <w:szCs w:val="24"/>
              </w:rPr>
              <w:t>89)</w:t>
            </w:r>
          </w:p>
        </w:tc>
        <w:tc>
          <w:tcPr>
            <w:tcW w:w="827" w:type="pct"/>
          </w:tcPr>
          <w:p w14:paraId="0545A054" w14:textId="77777777" w:rsidR="006D21E5" w:rsidRPr="00D11AD1" w:rsidRDefault="006D21E5" w:rsidP="00D11AD1">
            <w:pPr>
              <w:ind w:left="-172" w:right="-153"/>
              <w:jc w:val="center"/>
              <w:rPr>
                <w:sz w:val="24"/>
                <w:szCs w:val="24"/>
              </w:rPr>
            </w:pPr>
            <w:r w:rsidRPr="00D11AD1">
              <w:rPr>
                <w:sz w:val="24"/>
                <w:szCs w:val="24"/>
              </w:rPr>
              <w:t>48% (38</w:t>
            </w:r>
            <w:r w:rsidRPr="00D11AD1">
              <w:rPr>
                <w:bCs/>
                <w:sz w:val="24"/>
                <w:szCs w:val="24"/>
              </w:rPr>
              <w:t xml:space="preserve"> ‒ </w:t>
            </w:r>
            <w:r w:rsidRPr="00D11AD1">
              <w:rPr>
                <w:sz w:val="24"/>
                <w:szCs w:val="24"/>
              </w:rPr>
              <w:t>59)</w:t>
            </w:r>
          </w:p>
        </w:tc>
        <w:tc>
          <w:tcPr>
            <w:tcW w:w="857" w:type="pct"/>
          </w:tcPr>
          <w:p w14:paraId="5B246319" w14:textId="77777777" w:rsidR="006D21E5" w:rsidRPr="00D11AD1" w:rsidRDefault="006D21E5" w:rsidP="00D11AD1">
            <w:pPr>
              <w:ind w:left="-172" w:right="-153"/>
              <w:jc w:val="center"/>
              <w:rPr>
                <w:sz w:val="24"/>
                <w:szCs w:val="24"/>
              </w:rPr>
            </w:pPr>
            <w:r w:rsidRPr="00D11AD1">
              <w:rPr>
                <w:sz w:val="24"/>
                <w:szCs w:val="24"/>
              </w:rPr>
              <w:t>30% (14</w:t>
            </w:r>
            <w:r w:rsidRPr="00D11AD1">
              <w:rPr>
                <w:bCs/>
                <w:sz w:val="24"/>
                <w:szCs w:val="24"/>
              </w:rPr>
              <w:t xml:space="preserve"> ‒ </w:t>
            </w:r>
            <w:r w:rsidRPr="00D11AD1">
              <w:rPr>
                <w:sz w:val="24"/>
                <w:szCs w:val="24"/>
              </w:rPr>
              <w:t>47)</w:t>
            </w:r>
          </w:p>
        </w:tc>
        <w:tc>
          <w:tcPr>
            <w:tcW w:w="840" w:type="pct"/>
          </w:tcPr>
          <w:p w14:paraId="1DFA92D8" w14:textId="77777777" w:rsidR="006D21E5" w:rsidRPr="00D11AD1" w:rsidRDefault="006D21E5" w:rsidP="00D11AD1">
            <w:pPr>
              <w:ind w:left="-172" w:right="-153"/>
              <w:jc w:val="center"/>
              <w:rPr>
                <w:sz w:val="24"/>
                <w:szCs w:val="24"/>
              </w:rPr>
            </w:pPr>
            <w:r w:rsidRPr="00D11AD1">
              <w:rPr>
                <w:sz w:val="24"/>
                <w:szCs w:val="24"/>
              </w:rPr>
              <w:t>35% (20</w:t>
            </w:r>
            <w:r w:rsidRPr="00D11AD1">
              <w:rPr>
                <w:bCs/>
                <w:sz w:val="24"/>
                <w:szCs w:val="24"/>
              </w:rPr>
              <w:t xml:space="preserve"> ‒ </w:t>
            </w:r>
            <w:r w:rsidRPr="00D11AD1">
              <w:rPr>
                <w:sz w:val="24"/>
                <w:szCs w:val="24"/>
              </w:rPr>
              <w:t>51)</w:t>
            </w:r>
          </w:p>
        </w:tc>
      </w:tr>
      <w:tr w:rsidR="006D21E5" w:rsidRPr="00D11AD1" w14:paraId="7387D3D9" w14:textId="77777777" w:rsidTr="000A733F">
        <w:trPr>
          <w:trHeight w:val="283"/>
        </w:trPr>
        <w:tc>
          <w:tcPr>
            <w:tcW w:w="956" w:type="pct"/>
          </w:tcPr>
          <w:p w14:paraId="259EEAE9" w14:textId="77777777" w:rsidR="006D21E5" w:rsidRPr="00D11AD1" w:rsidRDefault="006D21E5" w:rsidP="00D11AD1">
            <w:pPr>
              <w:ind w:left="142" w:right="-147"/>
              <w:rPr>
                <w:sz w:val="24"/>
                <w:szCs w:val="24"/>
              </w:rPr>
            </w:pPr>
            <w:r w:rsidRPr="00D11AD1">
              <w:rPr>
                <w:sz w:val="24"/>
                <w:szCs w:val="24"/>
              </w:rPr>
              <w:lastRenderedPageBreak/>
              <w:t>2 year</w:t>
            </w:r>
          </w:p>
        </w:tc>
        <w:tc>
          <w:tcPr>
            <w:tcW w:w="700" w:type="pct"/>
          </w:tcPr>
          <w:p w14:paraId="5CA6A31E" w14:textId="77777777" w:rsidR="006D21E5" w:rsidRPr="00D11AD1" w:rsidRDefault="006D21E5" w:rsidP="00D11AD1">
            <w:pPr>
              <w:ind w:left="-172" w:right="-153"/>
              <w:jc w:val="center"/>
              <w:rPr>
                <w:sz w:val="24"/>
                <w:szCs w:val="24"/>
              </w:rPr>
            </w:pPr>
            <w:r w:rsidRPr="00D11AD1">
              <w:rPr>
                <w:sz w:val="24"/>
                <w:szCs w:val="24"/>
              </w:rPr>
              <w:t>94% (91</w:t>
            </w:r>
            <w:r w:rsidRPr="00D11AD1">
              <w:rPr>
                <w:bCs/>
                <w:sz w:val="24"/>
                <w:szCs w:val="24"/>
              </w:rPr>
              <w:t xml:space="preserve"> ‒ </w:t>
            </w:r>
            <w:r w:rsidRPr="00D11AD1">
              <w:rPr>
                <w:sz w:val="24"/>
                <w:szCs w:val="24"/>
              </w:rPr>
              <w:t>97)</w:t>
            </w:r>
          </w:p>
        </w:tc>
        <w:tc>
          <w:tcPr>
            <w:tcW w:w="819" w:type="pct"/>
          </w:tcPr>
          <w:p w14:paraId="7FCC91C2" w14:textId="77777777" w:rsidR="006D21E5" w:rsidRPr="00D11AD1" w:rsidRDefault="006D21E5" w:rsidP="00D11AD1">
            <w:pPr>
              <w:ind w:left="-172" w:right="-153"/>
              <w:jc w:val="center"/>
              <w:rPr>
                <w:sz w:val="24"/>
                <w:szCs w:val="24"/>
              </w:rPr>
            </w:pPr>
            <w:r w:rsidRPr="00D11AD1">
              <w:rPr>
                <w:sz w:val="24"/>
                <w:szCs w:val="24"/>
              </w:rPr>
              <w:t>72% (64</w:t>
            </w:r>
            <w:r w:rsidRPr="00D11AD1">
              <w:rPr>
                <w:bCs/>
                <w:sz w:val="24"/>
                <w:szCs w:val="24"/>
              </w:rPr>
              <w:t xml:space="preserve"> ‒ </w:t>
            </w:r>
            <w:r w:rsidRPr="00D11AD1">
              <w:rPr>
                <w:sz w:val="24"/>
                <w:szCs w:val="24"/>
              </w:rPr>
              <w:t>79)</w:t>
            </w:r>
          </w:p>
        </w:tc>
        <w:tc>
          <w:tcPr>
            <w:tcW w:w="827" w:type="pct"/>
          </w:tcPr>
          <w:p w14:paraId="6600B3D7" w14:textId="77777777" w:rsidR="006D21E5" w:rsidRPr="00D11AD1" w:rsidRDefault="006D21E5" w:rsidP="00D11AD1">
            <w:pPr>
              <w:ind w:left="-172" w:right="-153"/>
              <w:jc w:val="center"/>
              <w:rPr>
                <w:sz w:val="24"/>
                <w:szCs w:val="24"/>
              </w:rPr>
            </w:pPr>
            <w:r w:rsidRPr="00D11AD1">
              <w:rPr>
                <w:sz w:val="24"/>
                <w:szCs w:val="24"/>
              </w:rPr>
              <w:t>38% (27</w:t>
            </w:r>
            <w:r w:rsidRPr="00D11AD1">
              <w:rPr>
                <w:bCs/>
                <w:sz w:val="24"/>
                <w:szCs w:val="24"/>
              </w:rPr>
              <w:t xml:space="preserve"> ‒ </w:t>
            </w:r>
            <w:r w:rsidRPr="00D11AD1">
              <w:rPr>
                <w:sz w:val="24"/>
                <w:szCs w:val="24"/>
              </w:rPr>
              <w:t>50)</w:t>
            </w:r>
          </w:p>
        </w:tc>
        <w:tc>
          <w:tcPr>
            <w:tcW w:w="857" w:type="pct"/>
          </w:tcPr>
          <w:p w14:paraId="44001C64" w14:textId="77777777" w:rsidR="006D21E5" w:rsidRPr="00D11AD1" w:rsidRDefault="006D21E5" w:rsidP="00D11AD1">
            <w:pPr>
              <w:ind w:left="-172" w:right="-153"/>
              <w:jc w:val="center"/>
              <w:rPr>
                <w:sz w:val="24"/>
                <w:szCs w:val="24"/>
              </w:rPr>
            </w:pPr>
            <w:r w:rsidRPr="00D11AD1">
              <w:rPr>
                <w:sz w:val="24"/>
                <w:szCs w:val="24"/>
              </w:rPr>
              <w:t>26% (10</w:t>
            </w:r>
            <w:r w:rsidRPr="00D11AD1">
              <w:rPr>
                <w:bCs/>
                <w:sz w:val="24"/>
                <w:szCs w:val="24"/>
              </w:rPr>
              <w:t xml:space="preserve"> ‒ </w:t>
            </w:r>
            <w:r w:rsidRPr="00D11AD1">
              <w:rPr>
                <w:sz w:val="24"/>
                <w:szCs w:val="24"/>
              </w:rPr>
              <w:t>42)</w:t>
            </w:r>
          </w:p>
        </w:tc>
        <w:tc>
          <w:tcPr>
            <w:tcW w:w="840" w:type="pct"/>
          </w:tcPr>
          <w:p w14:paraId="534E07A3" w14:textId="77777777" w:rsidR="006D21E5" w:rsidRPr="00D11AD1" w:rsidRDefault="006D21E5" w:rsidP="00D11AD1">
            <w:pPr>
              <w:ind w:left="-172" w:right="-153"/>
              <w:jc w:val="center"/>
              <w:rPr>
                <w:sz w:val="24"/>
                <w:szCs w:val="24"/>
              </w:rPr>
            </w:pPr>
            <w:r w:rsidRPr="00D11AD1">
              <w:rPr>
                <w:sz w:val="24"/>
                <w:szCs w:val="24"/>
              </w:rPr>
              <w:t>31% (16</w:t>
            </w:r>
            <w:r w:rsidRPr="00D11AD1">
              <w:rPr>
                <w:bCs/>
                <w:sz w:val="24"/>
                <w:szCs w:val="24"/>
              </w:rPr>
              <w:t xml:space="preserve"> ‒ </w:t>
            </w:r>
            <w:r w:rsidRPr="00D11AD1">
              <w:rPr>
                <w:sz w:val="24"/>
                <w:szCs w:val="24"/>
              </w:rPr>
              <w:t>47)</w:t>
            </w:r>
          </w:p>
        </w:tc>
      </w:tr>
    </w:tbl>
    <w:p w14:paraId="4CA68A7B" w14:textId="77777777" w:rsidR="006D21E5" w:rsidRPr="00D11AD1" w:rsidRDefault="006D21E5" w:rsidP="005A0D4E">
      <w:pPr>
        <w:ind w:left="851"/>
        <w:rPr>
          <w:sz w:val="24"/>
          <w:szCs w:val="24"/>
        </w:rPr>
      </w:pPr>
    </w:p>
    <w:p w14:paraId="214D27A0" w14:textId="2698BD65" w:rsidR="009F6762" w:rsidRPr="00D11AD1" w:rsidRDefault="009F6762" w:rsidP="005A0D4E">
      <w:pPr>
        <w:ind w:left="851"/>
        <w:rPr>
          <w:sz w:val="24"/>
          <w:szCs w:val="24"/>
        </w:rPr>
      </w:pPr>
      <w:r w:rsidRPr="00D11AD1">
        <w:rPr>
          <w:sz w:val="24"/>
          <w:szCs w:val="24"/>
        </w:rPr>
        <w:t xml:space="preserve">Data beskrevet i tabellen er fra studier, hvor der blev anvendt en startdosis på 70 mg to gange </w:t>
      </w:r>
      <w:r w:rsidR="00FA34A4" w:rsidRPr="00D11AD1">
        <w:rPr>
          <w:sz w:val="24"/>
          <w:szCs w:val="24"/>
        </w:rPr>
        <w:t>daglig</w:t>
      </w:r>
      <w:r w:rsidRPr="00D11AD1">
        <w:rPr>
          <w:sz w:val="24"/>
          <w:szCs w:val="24"/>
        </w:rPr>
        <w:t>. Se pkt. 4.2 for den anbefalede startdosis.</w:t>
      </w:r>
    </w:p>
    <w:p w14:paraId="27F5DF32" w14:textId="6D53C1AA" w:rsidR="009F6762" w:rsidRPr="00D11AD1" w:rsidRDefault="009F6762" w:rsidP="005A0D4E">
      <w:pPr>
        <w:tabs>
          <w:tab w:val="left" w:pos="1134"/>
        </w:tabs>
        <w:ind w:left="1134" w:hanging="283"/>
        <w:rPr>
          <w:sz w:val="24"/>
          <w:szCs w:val="24"/>
        </w:rPr>
      </w:pPr>
      <w:r w:rsidRPr="00D11AD1">
        <w:rPr>
          <w:sz w:val="24"/>
          <w:szCs w:val="24"/>
          <w:vertAlign w:val="superscript"/>
        </w:rPr>
        <w:t>a</w:t>
      </w:r>
      <w:r w:rsidR="005A0D4E" w:rsidRPr="00D11AD1">
        <w:rPr>
          <w:sz w:val="24"/>
          <w:szCs w:val="24"/>
          <w:vertAlign w:val="superscript"/>
        </w:rPr>
        <w:tab/>
      </w:r>
      <w:r w:rsidRPr="00D11AD1">
        <w:rPr>
          <w:sz w:val="24"/>
          <w:szCs w:val="24"/>
        </w:rPr>
        <w:t>Tal angivet i fed er resultater af de primære endepunkter.</w:t>
      </w:r>
    </w:p>
    <w:p w14:paraId="1E80523D" w14:textId="564AB09A" w:rsidR="009F6762" w:rsidRPr="00D11AD1" w:rsidRDefault="009F6762" w:rsidP="005A0D4E">
      <w:pPr>
        <w:tabs>
          <w:tab w:val="left" w:pos="1134"/>
        </w:tabs>
        <w:ind w:left="1134" w:hanging="283"/>
        <w:rPr>
          <w:sz w:val="24"/>
          <w:szCs w:val="24"/>
        </w:rPr>
      </w:pPr>
      <w:r w:rsidRPr="00D11AD1">
        <w:rPr>
          <w:sz w:val="24"/>
          <w:szCs w:val="24"/>
          <w:vertAlign w:val="superscript"/>
        </w:rPr>
        <w:t>b</w:t>
      </w:r>
      <w:r w:rsidR="005A0D4E" w:rsidRPr="00D11AD1">
        <w:rPr>
          <w:sz w:val="24"/>
          <w:szCs w:val="24"/>
        </w:rPr>
        <w:tab/>
      </w:r>
      <w:r w:rsidRPr="00D11AD1">
        <w:rPr>
          <w:sz w:val="24"/>
          <w:szCs w:val="24"/>
        </w:rPr>
        <w:t>Hæmatologiske responskriterier (alle responser blev bekræftet efter 4 uger): Større hæmatologisk respons: (MaHR) = fuldstændigt hæmatologisk respons (CHR) + ingen tegn på leukæmi (NEL).</w:t>
      </w:r>
    </w:p>
    <w:p w14:paraId="3BDFB62B" w14:textId="4B4A1CEF" w:rsidR="009F6762" w:rsidRPr="00D11AD1" w:rsidRDefault="009F6762" w:rsidP="005A0D4E">
      <w:pPr>
        <w:tabs>
          <w:tab w:val="left" w:pos="1134"/>
        </w:tabs>
        <w:ind w:left="1134"/>
        <w:rPr>
          <w:sz w:val="24"/>
          <w:szCs w:val="24"/>
        </w:rPr>
      </w:pPr>
      <w:r w:rsidRPr="00D11AD1">
        <w:rPr>
          <w:sz w:val="24"/>
          <w:szCs w:val="24"/>
        </w:rPr>
        <w:t>CHR (kronisk CML): WBC ≤ institutionel ULN, trombocytter &lt; 450.000/mm3, ingen blaster eller promyelocytter i perifert blod, &lt; 5</w:t>
      </w:r>
      <w:r w:rsidR="00FA34A4" w:rsidRPr="00D11AD1">
        <w:rPr>
          <w:sz w:val="24"/>
          <w:szCs w:val="24"/>
        </w:rPr>
        <w:t xml:space="preserve"> %</w:t>
      </w:r>
      <w:r w:rsidRPr="00D11AD1">
        <w:rPr>
          <w:sz w:val="24"/>
          <w:szCs w:val="24"/>
        </w:rPr>
        <w:t xml:space="preserve"> myelocytter plus metamyelocytter i perifert blod, basofilocytter i perifert blod &lt; 20</w:t>
      </w:r>
      <w:r w:rsidR="00FA34A4" w:rsidRPr="00D11AD1">
        <w:rPr>
          <w:sz w:val="24"/>
          <w:szCs w:val="24"/>
        </w:rPr>
        <w:t xml:space="preserve"> %</w:t>
      </w:r>
      <w:r w:rsidRPr="00D11AD1">
        <w:rPr>
          <w:sz w:val="24"/>
          <w:szCs w:val="24"/>
        </w:rPr>
        <w:t xml:space="preserve"> og ingen ekstramedullær involvering.</w:t>
      </w:r>
    </w:p>
    <w:p w14:paraId="105C5874" w14:textId="4F8C8F7E" w:rsidR="009F6762" w:rsidRPr="00D11AD1" w:rsidRDefault="009F6762" w:rsidP="005A0D4E">
      <w:pPr>
        <w:tabs>
          <w:tab w:val="left" w:pos="1134"/>
        </w:tabs>
        <w:ind w:left="1134"/>
        <w:rPr>
          <w:sz w:val="24"/>
          <w:szCs w:val="24"/>
        </w:rPr>
      </w:pPr>
      <w:r w:rsidRPr="00D11AD1">
        <w:rPr>
          <w:sz w:val="24"/>
          <w:szCs w:val="24"/>
        </w:rPr>
        <w:t>CHR (fremskreden CML/Ph+ ALL): WBC ≤ institutionel ULN, ANC ≥ 1.000/mm3, trombocytter ≥ 100.000/mm3, ingen blaster eller promyelocytter i perifert blod, knoglemarvsblaster ≤ 5</w:t>
      </w:r>
      <w:r w:rsidR="00FA34A4" w:rsidRPr="00D11AD1">
        <w:rPr>
          <w:sz w:val="24"/>
          <w:szCs w:val="24"/>
        </w:rPr>
        <w:t xml:space="preserve"> %</w:t>
      </w:r>
      <w:r w:rsidRPr="00D11AD1">
        <w:rPr>
          <w:sz w:val="24"/>
          <w:szCs w:val="24"/>
        </w:rPr>
        <w:t>, &lt; 5</w:t>
      </w:r>
      <w:r w:rsidR="00FA34A4" w:rsidRPr="00D11AD1">
        <w:rPr>
          <w:sz w:val="24"/>
          <w:szCs w:val="24"/>
        </w:rPr>
        <w:t xml:space="preserve"> %</w:t>
      </w:r>
      <w:r w:rsidRPr="00D11AD1">
        <w:rPr>
          <w:sz w:val="24"/>
          <w:szCs w:val="24"/>
        </w:rPr>
        <w:t xml:space="preserve"> myelocytter plus metamyelocytter i perifert blod, basofilocytter i perifert blod &lt; 20</w:t>
      </w:r>
      <w:r w:rsidR="00FA34A4" w:rsidRPr="00D11AD1">
        <w:rPr>
          <w:sz w:val="24"/>
          <w:szCs w:val="24"/>
        </w:rPr>
        <w:t xml:space="preserve"> %</w:t>
      </w:r>
      <w:r w:rsidRPr="00D11AD1">
        <w:rPr>
          <w:sz w:val="24"/>
          <w:szCs w:val="24"/>
        </w:rPr>
        <w:t xml:space="preserve"> og ingen ekstramedullær involvering.</w:t>
      </w:r>
    </w:p>
    <w:p w14:paraId="41BA22E5" w14:textId="77777777" w:rsidR="009F6762" w:rsidRPr="00D11AD1" w:rsidRDefault="009F6762" w:rsidP="005A0D4E">
      <w:pPr>
        <w:tabs>
          <w:tab w:val="left" w:pos="1134"/>
        </w:tabs>
        <w:ind w:left="1134"/>
        <w:rPr>
          <w:sz w:val="24"/>
          <w:szCs w:val="24"/>
        </w:rPr>
      </w:pPr>
      <w:r w:rsidRPr="00D11AD1">
        <w:rPr>
          <w:sz w:val="24"/>
          <w:szCs w:val="24"/>
        </w:rPr>
        <w:t>NEL: samme kriterier som for CHR, men ANC ≥ 500/mm3 og &lt; 1.000/mm</w:t>
      </w:r>
      <w:r w:rsidRPr="000A733F">
        <w:rPr>
          <w:sz w:val="24"/>
          <w:szCs w:val="24"/>
          <w:vertAlign w:val="superscript"/>
        </w:rPr>
        <w:t>3</w:t>
      </w:r>
      <w:r w:rsidRPr="00D11AD1">
        <w:rPr>
          <w:sz w:val="24"/>
          <w:szCs w:val="24"/>
        </w:rPr>
        <w:t xml:space="preserve"> eller trombocytter ≥ 20.000/mm3 og ≤ 100.000/mm</w:t>
      </w:r>
      <w:r w:rsidRPr="000A733F">
        <w:rPr>
          <w:sz w:val="24"/>
          <w:szCs w:val="24"/>
          <w:vertAlign w:val="superscript"/>
        </w:rPr>
        <w:t>3</w:t>
      </w:r>
      <w:r w:rsidRPr="00D11AD1">
        <w:rPr>
          <w:sz w:val="24"/>
          <w:szCs w:val="24"/>
        </w:rPr>
        <w:t>.</w:t>
      </w:r>
    </w:p>
    <w:p w14:paraId="1CD99358" w14:textId="4F7FFABF" w:rsidR="009F6762" w:rsidRPr="00D11AD1" w:rsidRDefault="009F6762" w:rsidP="005A0D4E">
      <w:pPr>
        <w:tabs>
          <w:tab w:val="left" w:pos="1134"/>
        </w:tabs>
        <w:ind w:left="1134" w:hanging="283"/>
        <w:rPr>
          <w:sz w:val="24"/>
          <w:szCs w:val="24"/>
        </w:rPr>
      </w:pPr>
      <w:r w:rsidRPr="00D11AD1">
        <w:rPr>
          <w:sz w:val="24"/>
          <w:szCs w:val="24"/>
          <w:vertAlign w:val="superscript"/>
        </w:rPr>
        <w:t>c</w:t>
      </w:r>
      <w:r w:rsidR="005A0D4E" w:rsidRPr="00D11AD1">
        <w:rPr>
          <w:sz w:val="24"/>
          <w:szCs w:val="24"/>
          <w:vertAlign w:val="superscript"/>
        </w:rPr>
        <w:tab/>
      </w:r>
      <w:r w:rsidRPr="00D11AD1">
        <w:rPr>
          <w:sz w:val="24"/>
          <w:szCs w:val="24"/>
        </w:rPr>
        <w:t>Cytogenetiske responskriterier: fuldstændigt (0</w:t>
      </w:r>
      <w:r w:rsidR="00FA34A4" w:rsidRPr="00D11AD1">
        <w:rPr>
          <w:sz w:val="24"/>
          <w:szCs w:val="24"/>
        </w:rPr>
        <w:t xml:space="preserve"> %</w:t>
      </w:r>
      <w:r w:rsidRPr="00D11AD1">
        <w:rPr>
          <w:sz w:val="24"/>
          <w:szCs w:val="24"/>
        </w:rPr>
        <w:t xml:space="preserve"> Ph+ metafaser) eller delvist (&gt; 0</w:t>
      </w:r>
      <w:r w:rsidR="00FA34A4" w:rsidRPr="00D11AD1">
        <w:rPr>
          <w:sz w:val="24"/>
          <w:szCs w:val="24"/>
        </w:rPr>
        <w:t xml:space="preserve"> %</w:t>
      </w:r>
      <w:r w:rsidRPr="00D11AD1">
        <w:rPr>
          <w:sz w:val="24"/>
          <w:szCs w:val="24"/>
        </w:rPr>
        <w:t>‑35</w:t>
      </w:r>
      <w:r w:rsidR="00FA34A4" w:rsidRPr="00D11AD1">
        <w:rPr>
          <w:sz w:val="24"/>
          <w:szCs w:val="24"/>
        </w:rPr>
        <w:t xml:space="preserve"> %</w:t>
      </w:r>
      <w:r w:rsidRPr="00D11AD1">
        <w:rPr>
          <w:sz w:val="24"/>
          <w:szCs w:val="24"/>
        </w:rPr>
        <w:t>). MCyR (0</w:t>
      </w:r>
      <w:r w:rsidR="00FA34A4" w:rsidRPr="00D11AD1">
        <w:rPr>
          <w:sz w:val="24"/>
          <w:szCs w:val="24"/>
        </w:rPr>
        <w:t xml:space="preserve"> %</w:t>
      </w:r>
      <w:r w:rsidRPr="00D11AD1">
        <w:rPr>
          <w:sz w:val="24"/>
          <w:szCs w:val="24"/>
        </w:rPr>
        <w:t xml:space="preserve"> 35</w:t>
      </w:r>
      <w:r w:rsidR="00FA34A4" w:rsidRPr="00D11AD1">
        <w:rPr>
          <w:sz w:val="24"/>
          <w:szCs w:val="24"/>
        </w:rPr>
        <w:t xml:space="preserve"> %</w:t>
      </w:r>
      <w:r w:rsidRPr="00D11AD1">
        <w:rPr>
          <w:sz w:val="24"/>
          <w:szCs w:val="24"/>
        </w:rPr>
        <w:t>) kombinerer både fuldstændigt og delvist respons.</w:t>
      </w:r>
    </w:p>
    <w:p w14:paraId="61F65CE0" w14:textId="77777777" w:rsidR="009F6762" w:rsidRPr="00D11AD1" w:rsidRDefault="009F6762" w:rsidP="005A0D4E">
      <w:pPr>
        <w:tabs>
          <w:tab w:val="left" w:pos="1134"/>
        </w:tabs>
        <w:ind w:left="1134" w:hanging="283"/>
        <w:rPr>
          <w:sz w:val="24"/>
          <w:szCs w:val="24"/>
        </w:rPr>
      </w:pPr>
      <w:r w:rsidRPr="00D11AD1">
        <w:rPr>
          <w:sz w:val="24"/>
          <w:szCs w:val="24"/>
        </w:rPr>
        <w:t>n/a = ikke relevant: CI = konfidensinterval: ULN = øvre normalgrænsee.</w:t>
      </w:r>
    </w:p>
    <w:p w14:paraId="4355E946" w14:textId="77777777" w:rsidR="009F6762" w:rsidRPr="00D11AD1" w:rsidRDefault="009F6762" w:rsidP="009F6762">
      <w:pPr>
        <w:tabs>
          <w:tab w:val="left" w:pos="851"/>
        </w:tabs>
        <w:ind w:left="851"/>
        <w:rPr>
          <w:sz w:val="24"/>
          <w:szCs w:val="24"/>
        </w:rPr>
      </w:pPr>
    </w:p>
    <w:p w14:paraId="51E2EB7C" w14:textId="77777777" w:rsidR="009F6762" w:rsidRPr="00D11AD1" w:rsidRDefault="009F6762" w:rsidP="009F6762">
      <w:pPr>
        <w:tabs>
          <w:tab w:val="left" w:pos="851"/>
        </w:tabs>
        <w:ind w:left="851"/>
        <w:rPr>
          <w:sz w:val="24"/>
          <w:szCs w:val="24"/>
        </w:rPr>
      </w:pPr>
      <w:r w:rsidRPr="00D11AD1">
        <w:rPr>
          <w:sz w:val="24"/>
          <w:szCs w:val="24"/>
        </w:rPr>
        <w:t>Resultater for patienter med knoglemarvstransplantation efter behandling med dasatinib er endnu ikke fuldt evalueret.</w:t>
      </w:r>
    </w:p>
    <w:p w14:paraId="0970D1B6" w14:textId="77777777" w:rsidR="009F6762" w:rsidRPr="00D11AD1" w:rsidRDefault="009F6762" w:rsidP="009F6762">
      <w:pPr>
        <w:tabs>
          <w:tab w:val="left" w:pos="851"/>
        </w:tabs>
        <w:ind w:left="851"/>
        <w:rPr>
          <w:sz w:val="24"/>
          <w:szCs w:val="24"/>
        </w:rPr>
      </w:pPr>
    </w:p>
    <w:p w14:paraId="0ACAE388" w14:textId="77F7E196" w:rsidR="009F6762" w:rsidRPr="00D11AD1" w:rsidRDefault="009F6762" w:rsidP="009F6762">
      <w:pPr>
        <w:tabs>
          <w:tab w:val="left" w:pos="851"/>
        </w:tabs>
        <w:ind w:left="851"/>
        <w:rPr>
          <w:i/>
          <w:iCs/>
          <w:sz w:val="24"/>
          <w:szCs w:val="24"/>
          <w:u w:val="single"/>
        </w:rPr>
      </w:pPr>
      <w:r w:rsidRPr="00D11AD1">
        <w:rPr>
          <w:i/>
          <w:iCs/>
          <w:sz w:val="24"/>
          <w:szCs w:val="24"/>
          <w:u w:val="single"/>
        </w:rPr>
        <w:t>Fase-III kliniske studier med patienter med CML i kronisk, accelereret eller myeloid blastfase og Ph+ALL, som var resistente eller intolerante over for imatinib</w:t>
      </w:r>
    </w:p>
    <w:p w14:paraId="24879360" w14:textId="0B7002CF" w:rsidR="009F6762" w:rsidRPr="00D11AD1" w:rsidRDefault="009F6762" w:rsidP="009F6762">
      <w:pPr>
        <w:tabs>
          <w:tab w:val="left" w:pos="851"/>
        </w:tabs>
        <w:ind w:left="851"/>
        <w:rPr>
          <w:sz w:val="24"/>
          <w:szCs w:val="24"/>
        </w:rPr>
      </w:pPr>
      <w:r w:rsidRPr="00D11AD1">
        <w:rPr>
          <w:sz w:val="24"/>
          <w:szCs w:val="24"/>
        </w:rPr>
        <w:t xml:space="preserve">Der er gennemført 2 randomiserede, åbne studier for at evaluere effekten af dasatinib, administreret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sammenlignet med dasatinib, administreret 2 gange </w:t>
      </w:r>
      <w:r w:rsidR="00FA34A4" w:rsidRPr="00D11AD1">
        <w:rPr>
          <w:sz w:val="24"/>
          <w:szCs w:val="24"/>
        </w:rPr>
        <w:t>daglig</w:t>
      </w:r>
      <w:r w:rsidRPr="00D11AD1">
        <w:rPr>
          <w:sz w:val="24"/>
          <w:szCs w:val="24"/>
        </w:rPr>
        <w:t>. Nedenstående resultater er baseret på mindst 2 år og 7 års opfølgning efter behandlingsstart med dasatinib.</w:t>
      </w:r>
    </w:p>
    <w:p w14:paraId="002DA1D8" w14:textId="77777777" w:rsidR="009F6762" w:rsidRPr="00D11AD1" w:rsidRDefault="009F6762" w:rsidP="009F6762">
      <w:pPr>
        <w:tabs>
          <w:tab w:val="left" w:pos="851"/>
        </w:tabs>
        <w:ind w:left="851"/>
        <w:rPr>
          <w:sz w:val="24"/>
          <w:szCs w:val="24"/>
        </w:rPr>
      </w:pPr>
    </w:p>
    <w:p w14:paraId="71A69862" w14:textId="77777777" w:rsidR="009F6762" w:rsidRPr="00D11AD1" w:rsidRDefault="009F6762" w:rsidP="009F6762">
      <w:pPr>
        <w:tabs>
          <w:tab w:val="left" w:pos="851"/>
        </w:tabs>
        <w:ind w:left="851"/>
        <w:rPr>
          <w:i/>
          <w:iCs/>
          <w:sz w:val="24"/>
          <w:szCs w:val="24"/>
        </w:rPr>
      </w:pPr>
      <w:r w:rsidRPr="00D11AD1">
        <w:rPr>
          <w:i/>
          <w:iCs/>
          <w:sz w:val="24"/>
          <w:szCs w:val="24"/>
        </w:rPr>
        <w:t>Studie 1</w:t>
      </w:r>
    </w:p>
    <w:p w14:paraId="1F30DB4B" w14:textId="77777777" w:rsidR="009F6762" w:rsidRPr="00D11AD1" w:rsidRDefault="009F6762" w:rsidP="009F6762">
      <w:pPr>
        <w:tabs>
          <w:tab w:val="left" w:pos="851"/>
        </w:tabs>
        <w:ind w:left="851"/>
        <w:rPr>
          <w:sz w:val="24"/>
          <w:szCs w:val="24"/>
        </w:rPr>
      </w:pPr>
      <w:r w:rsidRPr="00D11AD1">
        <w:rPr>
          <w:sz w:val="24"/>
          <w:szCs w:val="24"/>
        </w:rPr>
        <w:t>I studiet med CML i kronisk fase, var det primære endepunkt MCyR hos imatinib resistente patienter.</w:t>
      </w:r>
    </w:p>
    <w:p w14:paraId="30599F7E" w14:textId="5DEA0F22" w:rsidR="009F6762" w:rsidRPr="00D11AD1" w:rsidRDefault="009F6762" w:rsidP="009F6762">
      <w:pPr>
        <w:tabs>
          <w:tab w:val="left" w:pos="851"/>
        </w:tabs>
        <w:ind w:left="851"/>
        <w:rPr>
          <w:sz w:val="24"/>
          <w:szCs w:val="24"/>
        </w:rPr>
      </w:pPr>
      <w:r w:rsidRPr="00D11AD1">
        <w:rPr>
          <w:sz w:val="24"/>
          <w:szCs w:val="24"/>
        </w:rPr>
        <w:t xml:space="preserve">Det vigtigste sekundære endepunkt var MCyR i forhold til total daglig dosis hos imatinib resistente patienter. Andre sekundære endepunkter omfattede varighed af MCyR, PFS samt samlet overlevelse. I alt 670 patienter, af hvem 497 var imatinib resistente, blev randomiseret til dasatinib 100 mg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140 mg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50 mg 2 gange </w:t>
      </w:r>
      <w:r w:rsidR="00FA34A4" w:rsidRPr="00D11AD1">
        <w:rPr>
          <w:sz w:val="24"/>
          <w:szCs w:val="24"/>
        </w:rPr>
        <w:t>daglig</w:t>
      </w:r>
      <w:r w:rsidRPr="00D11AD1">
        <w:rPr>
          <w:sz w:val="24"/>
          <w:szCs w:val="24"/>
        </w:rPr>
        <w:t xml:space="preserve"> eller 70 mg 2 gange </w:t>
      </w:r>
      <w:r w:rsidR="00FA34A4" w:rsidRPr="00D11AD1">
        <w:rPr>
          <w:sz w:val="24"/>
          <w:szCs w:val="24"/>
        </w:rPr>
        <w:t>daglig</w:t>
      </w:r>
      <w:r w:rsidRPr="00D11AD1">
        <w:rPr>
          <w:sz w:val="24"/>
          <w:szCs w:val="24"/>
        </w:rPr>
        <w:t>. Medianbehandlingsvarigheden for alle patienter i fortsat behandling med en opfølgningsperiode på mindst 5 år (n=205) var 59 måneder (28-66 måneder). Medianbehandlingsvarigheden for alle patienter ved en opfølgningsperiode på 7 år var ca. 29,8 måneder (1-92,9 måneder).</w:t>
      </w:r>
    </w:p>
    <w:p w14:paraId="7948770B" w14:textId="77777777" w:rsidR="009F6762" w:rsidRPr="00D11AD1" w:rsidRDefault="009F6762" w:rsidP="009F6762">
      <w:pPr>
        <w:tabs>
          <w:tab w:val="left" w:pos="851"/>
        </w:tabs>
        <w:ind w:left="851"/>
        <w:rPr>
          <w:sz w:val="24"/>
          <w:szCs w:val="24"/>
        </w:rPr>
      </w:pPr>
    </w:p>
    <w:p w14:paraId="6C0BCBC4" w14:textId="59742B66" w:rsidR="009F6762" w:rsidRPr="00D11AD1" w:rsidRDefault="009F6762" w:rsidP="009F6762">
      <w:pPr>
        <w:tabs>
          <w:tab w:val="left" w:pos="851"/>
        </w:tabs>
        <w:ind w:left="851"/>
        <w:rPr>
          <w:sz w:val="24"/>
          <w:szCs w:val="24"/>
        </w:rPr>
      </w:pPr>
      <w:r w:rsidRPr="00D11AD1">
        <w:rPr>
          <w:sz w:val="24"/>
          <w:szCs w:val="24"/>
        </w:rPr>
        <w:t xml:space="preserve">Der blev opnået effekt på tværs af alle dasatinib behandlingsgrupper med dosering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med sammenlignelig effekt (non-inferior) i forhold til dosering 2 gange </w:t>
      </w:r>
      <w:r w:rsidR="00FA34A4" w:rsidRPr="00D11AD1">
        <w:rPr>
          <w:sz w:val="24"/>
          <w:szCs w:val="24"/>
        </w:rPr>
        <w:t>daglig</w:t>
      </w:r>
      <w:r w:rsidRPr="00D11AD1">
        <w:rPr>
          <w:sz w:val="24"/>
          <w:szCs w:val="24"/>
        </w:rPr>
        <w:t xml:space="preserve"> for det primære effektendepunkt (forskel i MCyR 1,9</w:t>
      </w:r>
      <w:r w:rsidR="00FA34A4" w:rsidRPr="00D11AD1">
        <w:rPr>
          <w:sz w:val="24"/>
          <w:szCs w:val="24"/>
        </w:rPr>
        <w:t xml:space="preserve"> %</w:t>
      </w:r>
      <w:r w:rsidRPr="00D11AD1">
        <w:rPr>
          <w:sz w:val="24"/>
          <w:szCs w:val="24"/>
        </w:rPr>
        <w:t>; 95</w:t>
      </w:r>
      <w:r w:rsidR="00FA34A4" w:rsidRPr="00D11AD1">
        <w:rPr>
          <w:sz w:val="24"/>
          <w:szCs w:val="24"/>
        </w:rPr>
        <w:t xml:space="preserve"> %</w:t>
      </w:r>
      <w:r w:rsidRPr="00D11AD1">
        <w:rPr>
          <w:sz w:val="24"/>
          <w:szCs w:val="24"/>
        </w:rPr>
        <w:t xml:space="preserve"> konfidensinterval [-6,8</w:t>
      </w:r>
      <w:r w:rsidR="00FA34A4" w:rsidRPr="00D11AD1">
        <w:rPr>
          <w:sz w:val="24"/>
          <w:szCs w:val="24"/>
        </w:rPr>
        <w:t xml:space="preserve"> %</w:t>
      </w:r>
      <w:r w:rsidRPr="00D11AD1">
        <w:rPr>
          <w:sz w:val="24"/>
          <w:szCs w:val="24"/>
        </w:rPr>
        <w:t xml:space="preserve"> - 10,6</w:t>
      </w:r>
      <w:r w:rsidR="00FA34A4" w:rsidRPr="00D11AD1">
        <w:rPr>
          <w:sz w:val="24"/>
          <w:szCs w:val="24"/>
        </w:rPr>
        <w:t xml:space="preserve"> %</w:t>
      </w:r>
      <w:r w:rsidRPr="00D11AD1">
        <w:rPr>
          <w:sz w:val="24"/>
          <w:szCs w:val="24"/>
        </w:rPr>
        <w:t xml:space="preserve">]); behandling med 100 mg 1 gang </w:t>
      </w:r>
      <w:r w:rsidR="00FA34A4" w:rsidRPr="00D11AD1">
        <w:rPr>
          <w:sz w:val="24"/>
          <w:szCs w:val="24"/>
        </w:rPr>
        <w:t>daglig</w:t>
      </w:r>
      <w:r w:rsidRPr="00D11AD1">
        <w:rPr>
          <w:sz w:val="24"/>
          <w:szCs w:val="24"/>
        </w:rPr>
        <w:t xml:space="preserve"> viste imidlertid forbedret sikkerhed og tolerabilitet. Effektresultaterne er vist i tabel 12 og 13.</w:t>
      </w:r>
    </w:p>
    <w:p w14:paraId="532D5412" w14:textId="77777777" w:rsidR="009F6762" w:rsidRPr="00D11AD1" w:rsidRDefault="009F6762" w:rsidP="009F6762">
      <w:pPr>
        <w:tabs>
          <w:tab w:val="left" w:pos="851"/>
        </w:tabs>
        <w:ind w:left="851"/>
        <w:rPr>
          <w:sz w:val="24"/>
          <w:szCs w:val="24"/>
        </w:rPr>
      </w:pPr>
    </w:p>
    <w:p w14:paraId="146E41A0" w14:textId="405EA281" w:rsidR="005F4545" w:rsidRPr="00D11AD1" w:rsidRDefault="00766EF4" w:rsidP="009260DE">
      <w:pPr>
        <w:tabs>
          <w:tab w:val="left" w:pos="851"/>
        </w:tabs>
        <w:ind w:left="851"/>
        <w:rPr>
          <w:b/>
          <w:sz w:val="24"/>
          <w:szCs w:val="24"/>
        </w:rPr>
      </w:pPr>
      <w:r w:rsidRPr="00D11AD1">
        <w:rPr>
          <w:b/>
          <w:sz w:val="24"/>
          <w:szCs w:val="24"/>
        </w:rPr>
        <w:lastRenderedPageBreak/>
        <w:t xml:space="preserve">Tabel 12: </w:t>
      </w:r>
      <w:r w:rsidRPr="00D11AD1">
        <w:rPr>
          <w:b/>
          <w:bCs/>
          <w:sz w:val="24"/>
          <w:szCs w:val="24"/>
        </w:rPr>
        <w:t xml:space="preserve">Effekt af </w:t>
      </w:r>
      <w:r w:rsidR="00A73A46" w:rsidRPr="00D11AD1">
        <w:rPr>
          <w:b/>
          <w:bCs/>
          <w:sz w:val="24"/>
          <w:szCs w:val="24"/>
        </w:rPr>
        <w:t>dasatinib</w:t>
      </w:r>
      <w:r w:rsidRPr="00D11AD1">
        <w:rPr>
          <w:b/>
          <w:bCs/>
          <w:sz w:val="24"/>
          <w:szCs w:val="24"/>
        </w:rPr>
        <w:t xml:space="preserve"> i fase 3-studie vedrørende dosisoptimering: imatinib resistent</w:t>
      </w:r>
      <w:r w:rsidRPr="00D11AD1">
        <w:rPr>
          <w:b/>
          <w:sz w:val="24"/>
          <w:szCs w:val="24"/>
        </w:rPr>
        <w:t xml:space="preserve"> </w:t>
      </w:r>
      <w:r w:rsidRPr="00D11AD1">
        <w:rPr>
          <w:b/>
          <w:bCs/>
          <w:sz w:val="24"/>
          <w:szCs w:val="24"/>
        </w:rPr>
        <w:t>eller -intolerant CML i kronisk fase (resultater ved år 2)</w:t>
      </w:r>
      <w:r w:rsidRPr="00D11AD1">
        <w:rPr>
          <w:b/>
          <w:sz w:val="24"/>
          <w:szCs w:val="24"/>
          <w:vertAlign w:val="superscript"/>
        </w:rPr>
        <w:t>a</w:t>
      </w:r>
    </w:p>
    <w:p w14:paraId="17431BEF" w14:textId="049350C2" w:rsidR="00EA3138" w:rsidRPr="00D11AD1" w:rsidRDefault="00EA3138" w:rsidP="009260DE">
      <w:pPr>
        <w:tabs>
          <w:tab w:val="left" w:pos="851"/>
        </w:tabs>
        <w:ind w:left="851"/>
        <w:rPr>
          <w:sz w:val="24"/>
          <w:szCs w:val="24"/>
        </w:rPr>
      </w:pPr>
    </w:p>
    <w:tbl>
      <w:tblPr>
        <w:tblStyle w:val="Tabel-Gitter"/>
        <w:tblW w:w="0" w:type="auto"/>
        <w:tblInd w:w="851" w:type="dxa"/>
        <w:tblLook w:val="04A0" w:firstRow="1" w:lastRow="0" w:firstColumn="1" w:lastColumn="0" w:noHBand="0" w:noVBand="1"/>
      </w:tblPr>
      <w:tblGrid>
        <w:gridCol w:w="4309"/>
        <w:gridCol w:w="4184"/>
      </w:tblGrid>
      <w:tr w:rsidR="00424C18" w:rsidRPr="00D11AD1" w14:paraId="0772B917" w14:textId="77777777" w:rsidTr="00920A5B">
        <w:tc>
          <w:tcPr>
            <w:tcW w:w="4310" w:type="dxa"/>
          </w:tcPr>
          <w:p w14:paraId="2B2ACD0B" w14:textId="13CA3C39" w:rsidR="00424C18" w:rsidRPr="00D11AD1" w:rsidRDefault="00424C18" w:rsidP="009260DE">
            <w:pPr>
              <w:tabs>
                <w:tab w:val="left" w:pos="851"/>
              </w:tabs>
              <w:rPr>
                <w:sz w:val="24"/>
                <w:szCs w:val="24"/>
              </w:rPr>
            </w:pPr>
            <w:r w:rsidRPr="00D11AD1">
              <w:rPr>
                <w:b/>
                <w:sz w:val="24"/>
                <w:szCs w:val="24"/>
              </w:rPr>
              <w:t>Alle</w:t>
            </w:r>
            <w:r w:rsidRPr="00D11AD1">
              <w:rPr>
                <w:b/>
                <w:spacing w:val="-3"/>
                <w:sz w:val="24"/>
                <w:szCs w:val="24"/>
              </w:rPr>
              <w:t xml:space="preserve"> </w:t>
            </w:r>
            <w:r w:rsidRPr="00D11AD1">
              <w:rPr>
                <w:b/>
                <w:sz w:val="24"/>
                <w:szCs w:val="24"/>
              </w:rPr>
              <w:t>patienter</w:t>
            </w:r>
          </w:p>
        </w:tc>
        <w:tc>
          <w:tcPr>
            <w:tcW w:w="4185" w:type="dxa"/>
          </w:tcPr>
          <w:p w14:paraId="2408FA30" w14:textId="347FF3C7" w:rsidR="00424C18" w:rsidRPr="00D11AD1" w:rsidRDefault="002C5387" w:rsidP="002C5387">
            <w:pPr>
              <w:tabs>
                <w:tab w:val="left" w:pos="851"/>
              </w:tabs>
              <w:jc w:val="center"/>
              <w:rPr>
                <w:b/>
                <w:sz w:val="24"/>
                <w:szCs w:val="24"/>
              </w:rPr>
            </w:pPr>
            <w:r w:rsidRPr="00D11AD1">
              <w:rPr>
                <w:b/>
                <w:sz w:val="24"/>
                <w:szCs w:val="24"/>
              </w:rPr>
              <w:t>n=167</w:t>
            </w:r>
          </w:p>
        </w:tc>
      </w:tr>
      <w:tr w:rsidR="00424C18" w:rsidRPr="00D11AD1" w14:paraId="34D4B40D" w14:textId="77777777" w:rsidTr="00920A5B">
        <w:tc>
          <w:tcPr>
            <w:tcW w:w="4310" w:type="dxa"/>
          </w:tcPr>
          <w:p w14:paraId="57335CEE" w14:textId="7D4A3680" w:rsidR="00424C18" w:rsidRPr="00D11AD1" w:rsidRDefault="002C5387" w:rsidP="009260DE">
            <w:pPr>
              <w:tabs>
                <w:tab w:val="left" w:pos="851"/>
              </w:tabs>
              <w:rPr>
                <w:sz w:val="24"/>
                <w:szCs w:val="24"/>
              </w:rPr>
            </w:pPr>
            <w:r w:rsidRPr="00D11AD1">
              <w:rPr>
                <w:b/>
                <w:sz w:val="24"/>
                <w:szCs w:val="24"/>
              </w:rPr>
              <w:t>Imatinib resistente</w:t>
            </w:r>
            <w:r w:rsidRPr="00D11AD1">
              <w:rPr>
                <w:b/>
                <w:spacing w:val="-2"/>
                <w:sz w:val="24"/>
                <w:szCs w:val="24"/>
              </w:rPr>
              <w:t xml:space="preserve"> </w:t>
            </w:r>
            <w:r w:rsidRPr="00D11AD1">
              <w:rPr>
                <w:b/>
                <w:sz w:val="24"/>
                <w:szCs w:val="24"/>
              </w:rPr>
              <w:t>patienter</w:t>
            </w:r>
          </w:p>
        </w:tc>
        <w:tc>
          <w:tcPr>
            <w:tcW w:w="4185" w:type="dxa"/>
          </w:tcPr>
          <w:p w14:paraId="6880EB6D" w14:textId="5781AD0F" w:rsidR="00424C18" w:rsidRPr="00D11AD1" w:rsidRDefault="002C5387" w:rsidP="002C5387">
            <w:pPr>
              <w:tabs>
                <w:tab w:val="left" w:pos="851"/>
              </w:tabs>
              <w:jc w:val="center"/>
              <w:rPr>
                <w:sz w:val="24"/>
                <w:szCs w:val="24"/>
              </w:rPr>
            </w:pPr>
            <w:r w:rsidRPr="00D11AD1">
              <w:rPr>
                <w:b/>
                <w:sz w:val="24"/>
                <w:szCs w:val="24"/>
              </w:rPr>
              <w:t>n=124</w:t>
            </w:r>
          </w:p>
        </w:tc>
      </w:tr>
      <w:tr w:rsidR="00424C18" w:rsidRPr="00D11AD1" w14:paraId="0B90C994" w14:textId="77777777" w:rsidTr="00920A5B">
        <w:tc>
          <w:tcPr>
            <w:tcW w:w="4310" w:type="dxa"/>
          </w:tcPr>
          <w:p w14:paraId="72DD6A15" w14:textId="77777777" w:rsidR="00424C18" w:rsidRPr="00D11AD1" w:rsidRDefault="00424C18" w:rsidP="009260DE">
            <w:pPr>
              <w:tabs>
                <w:tab w:val="left" w:pos="851"/>
              </w:tabs>
              <w:rPr>
                <w:sz w:val="24"/>
                <w:szCs w:val="24"/>
              </w:rPr>
            </w:pPr>
          </w:p>
          <w:p w14:paraId="5F0C2F70" w14:textId="7F9A8EF2" w:rsidR="001543C4" w:rsidRPr="00D11AD1" w:rsidRDefault="001543C4" w:rsidP="009260DE">
            <w:pPr>
              <w:tabs>
                <w:tab w:val="left" w:pos="851"/>
              </w:tabs>
              <w:rPr>
                <w:sz w:val="24"/>
                <w:szCs w:val="24"/>
              </w:rPr>
            </w:pPr>
            <w:r w:rsidRPr="00D11AD1">
              <w:rPr>
                <w:rFonts w:eastAsia="TimesNewRomanPS-BoldMT"/>
                <w:b/>
                <w:bCs/>
                <w:sz w:val="24"/>
                <w:szCs w:val="24"/>
              </w:rPr>
              <w:t>Hæmatologisk responsrate</w:t>
            </w:r>
            <w:r w:rsidRPr="00D11AD1">
              <w:rPr>
                <w:sz w:val="24"/>
                <w:szCs w:val="24"/>
                <w:vertAlign w:val="superscript"/>
              </w:rPr>
              <w:t>b</w:t>
            </w:r>
            <w:r w:rsidRPr="000A733F">
              <w:t xml:space="preserve"> </w:t>
            </w:r>
            <w:r w:rsidRPr="00D11AD1">
              <w:rPr>
                <w:b/>
                <w:sz w:val="24"/>
                <w:szCs w:val="24"/>
              </w:rPr>
              <w:t>(</w:t>
            </w:r>
            <w:r w:rsidR="00FA34A4" w:rsidRPr="00D11AD1">
              <w:rPr>
                <w:b/>
                <w:sz w:val="24"/>
                <w:szCs w:val="24"/>
              </w:rPr>
              <w:t>%</w:t>
            </w:r>
            <w:r w:rsidRPr="00D11AD1">
              <w:rPr>
                <w:b/>
                <w:sz w:val="24"/>
                <w:szCs w:val="24"/>
              </w:rPr>
              <w:t>) (95</w:t>
            </w:r>
            <w:r w:rsidR="00FA34A4" w:rsidRPr="00D11AD1">
              <w:rPr>
                <w:b/>
                <w:sz w:val="24"/>
                <w:szCs w:val="24"/>
              </w:rPr>
              <w:t xml:space="preserve"> %</w:t>
            </w:r>
            <w:r w:rsidRPr="00D11AD1">
              <w:rPr>
                <w:b/>
                <w:sz w:val="24"/>
                <w:szCs w:val="24"/>
              </w:rPr>
              <w:t xml:space="preserve"> CI)</w:t>
            </w:r>
          </w:p>
        </w:tc>
        <w:tc>
          <w:tcPr>
            <w:tcW w:w="4185" w:type="dxa"/>
          </w:tcPr>
          <w:p w14:paraId="7184B7EC" w14:textId="77777777" w:rsidR="00424C18" w:rsidRPr="00D11AD1" w:rsidRDefault="00424C18" w:rsidP="002C5387">
            <w:pPr>
              <w:tabs>
                <w:tab w:val="left" w:pos="851"/>
              </w:tabs>
              <w:jc w:val="center"/>
              <w:rPr>
                <w:sz w:val="24"/>
                <w:szCs w:val="24"/>
              </w:rPr>
            </w:pPr>
          </w:p>
        </w:tc>
      </w:tr>
      <w:tr w:rsidR="00424C18" w:rsidRPr="00D11AD1" w14:paraId="7FBD9280" w14:textId="77777777" w:rsidTr="00920A5B">
        <w:tc>
          <w:tcPr>
            <w:tcW w:w="4310" w:type="dxa"/>
          </w:tcPr>
          <w:p w14:paraId="4C91FB85" w14:textId="0F8367C9" w:rsidR="001543C4" w:rsidRPr="00D11AD1" w:rsidRDefault="001543C4" w:rsidP="009260DE">
            <w:pPr>
              <w:tabs>
                <w:tab w:val="left" w:pos="851"/>
              </w:tabs>
              <w:rPr>
                <w:sz w:val="24"/>
                <w:szCs w:val="24"/>
              </w:rPr>
            </w:pPr>
            <w:r w:rsidRPr="00D11AD1">
              <w:rPr>
                <w:sz w:val="24"/>
                <w:szCs w:val="24"/>
              </w:rPr>
              <w:t>CHR</w:t>
            </w:r>
          </w:p>
        </w:tc>
        <w:tc>
          <w:tcPr>
            <w:tcW w:w="4185" w:type="dxa"/>
          </w:tcPr>
          <w:p w14:paraId="176B0578" w14:textId="40BA85AA" w:rsidR="00424C18" w:rsidRPr="00D11AD1" w:rsidRDefault="001543C4" w:rsidP="002C5387">
            <w:pPr>
              <w:tabs>
                <w:tab w:val="left" w:pos="851"/>
              </w:tabs>
              <w:jc w:val="center"/>
              <w:rPr>
                <w:sz w:val="24"/>
                <w:szCs w:val="24"/>
              </w:rPr>
            </w:pPr>
            <w:r w:rsidRPr="00D11AD1">
              <w:rPr>
                <w:b/>
                <w:sz w:val="24"/>
                <w:szCs w:val="24"/>
              </w:rPr>
              <w:t>92</w:t>
            </w:r>
            <w:r w:rsidR="00FA34A4" w:rsidRPr="00D11AD1">
              <w:rPr>
                <w:b/>
                <w:sz w:val="24"/>
                <w:szCs w:val="24"/>
              </w:rPr>
              <w:t xml:space="preserve"> %</w:t>
            </w:r>
            <w:r w:rsidRPr="00D11AD1">
              <w:rPr>
                <w:b/>
                <w:spacing w:val="-4"/>
                <w:sz w:val="24"/>
                <w:szCs w:val="24"/>
              </w:rPr>
              <w:t xml:space="preserve"> </w:t>
            </w:r>
            <w:r w:rsidRPr="00D11AD1">
              <w:rPr>
                <w:b/>
                <w:sz w:val="24"/>
                <w:szCs w:val="24"/>
              </w:rPr>
              <w:t>(86–95)</w:t>
            </w:r>
          </w:p>
        </w:tc>
      </w:tr>
      <w:tr w:rsidR="00424C18" w:rsidRPr="00D11AD1" w14:paraId="7319DDD4" w14:textId="77777777" w:rsidTr="00920A5B">
        <w:tc>
          <w:tcPr>
            <w:tcW w:w="4310" w:type="dxa"/>
          </w:tcPr>
          <w:p w14:paraId="26AA2466" w14:textId="676AE19B" w:rsidR="00424C18" w:rsidRPr="00D11AD1" w:rsidRDefault="001543C4" w:rsidP="009260DE">
            <w:pPr>
              <w:tabs>
                <w:tab w:val="left" w:pos="851"/>
              </w:tabs>
              <w:rPr>
                <w:sz w:val="24"/>
                <w:szCs w:val="24"/>
              </w:rPr>
            </w:pPr>
            <w:r w:rsidRPr="00D11AD1">
              <w:rPr>
                <w:rFonts w:eastAsia="TimesNewRomanPS-BoldMT"/>
                <w:b/>
                <w:bCs/>
                <w:sz w:val="24"/>
                <w:szCs w:val="24"/>
              </w:rPr>
              <w:t>Cytogenetisk respons</w:t>
            </w:r>
            <w:r w:rsidRPr="00D11AD1">
              <w:rPr>
                <w:sz w:val="24"/>
                <w:szCs w:val="24"/>
                <w:vertAlign w:val="superscript"/>
              </w:rPr>
              <w:t>c</w:t>
            </w:r>
            <w:r w:rsidRPr="000A733F">
              <w:t xml:space="preserve"> </w:t>
            </w:r>
            <w:r w:rsidRPr="00D11AD1">
              <w:rPr>
                <w:b/>
                <w:sz w:val="24"/>
                <w:szCs w:val="24"/>
              </w:rPr>
              <w:t>(</w:t>
            </w:r>
            <w:r w:rsidR="00FA34A4" w:rsidRPr="00D11AD1">
              <w:rPr>
                <w:b/>
                <w:sz w:val="24"/>
                <w:szCs w:val="24"/>
              </w:rPr>
              <w:t>%</w:t>
            </w:r>
            <w:r w:rsidRPr="00D11AD1">
              <w:rPr>
                <w:b/>
                <w:sz w:val="24"/>
                <w:szCs w:val="24"/>
              </w:rPr>
              <w:t>) (95</w:t>
            </w:r>
            <w:r w:rsidR="00FA34A4" w:rsidRPr="00D11AD1">
              <w:rPr>
                <w:b/>
                <w:sz w:val="24"/>
                <w:szCs w:val="24"/>
              </w:rPr>
              <w:t xml:space="preserve"> %</w:t>
            </w:r>
            <w:r w:rsidRPr="00D11AD1">
              <w:rPr>
                <w:b/>
                <w:sz w:val="24"/>
                <w:szCs w:val="24"/>
              </w:rPr>
              <w:t xml:space="preserve"> CI)</w:t>
            </w:r>
          </w:p>
        </w:tc>
        <w:tc>
          <w:tcPr>
            <w:tcW w:w="4185" w:type="dxa"/>
          </w:tcPr>
          <w:p w14:paraId="6843261C" w14:textId="77777777" w:rsidR="00424C18" w:rsidRPr="00D11AD1" w:rsidRDefault="00424C18" w:rsidP="002C5387">
            <w:pPr>
              <w:tabs>
                <w:tab w:val="left" w:pos="851"/>
              </w:tabs>
              <w:jc w:val="center"/>
              <w:rPr>
                <w:sz w:val="24"/>
                <w:szCs w:val="24"/>
              </w:rPr>
            </w:pPr>
          </w:p>
        </w:tc>
      </w:tr>
      <w:tr w:rsidR="00424C18" w:rsidRPr="00D11AD1" w14:paraId="44B0AFDF" w14:textId="77777777" w:rsidTr="00920A5B">
        <w:tc>
          <w:tcPr>
            <w:tcW w:w="4310" w:type="dxa"/>
          </w:tcPr>
          <w:p w14:paraId="4260102B" w14:textId="3EACCDA8" w:rsidR="00424C18" w:rsidRPr="00D11AD1" w:rsidRDefault="001543C4" w:rsidP="009260DE">
            <w:pPr>
              <w:tabs>
                <w:tab w:val="left" w:pos="851"/>
              </w:tabs>
              <w:rPr>
                <w:sz w:val="24"/>
                <w:szCs w:val="24"/>
              </w:rPr>
            </w:pPr>
            <w:r w:rsidRPr="00D11AD1">
              <w:rPr>
                <w:sz w:val="24"/>
                <w:szCs w:val="24"/>
              </w:rPr>
              <w:t>MCyR</w:t>
            </w:r>
          </w:p>
        </w:tc>
        <w:tc>
          <w:tcPr>
            <w:tcW w:w="4185" w:type="dxa"/>
          </w:tcPr>
          <w:p w14:paraId="7A5908BA" w14:textId="77777777" w:rsidR="00424C18" w:rsidRPr="00D11AD1" w:rsidRDefault="00424C18" w:rsidP="002C5387">
            <w:pPr>
              <w:tabs>
                <w:tab w:val="left" w:pos="851"/>
              </w:tabs>
              <w:jc w:val="center"/>
              <w:rPr>
                <w:sz w:val="24"/>
                <w:szCs w:val="24"/>
              </w:rPr>
            </w:pPr>
          </w:p>
        </w:tc>
      </w:tr>
      <w:tr w:rsidR="00424C18" w:rsidRPr="00D11AD1" w14:paraId="1DCDE1CA" w14:textId="77777777" w:rsidTr="00920A5B">
        <w:tc>
          <w:tcPr>
            <w:tcW w:w="4310" w:type="dxa"/>
          </w:tcPr>
          <w:p w14:paraId="4957D1DB" w14:textId="47C8F5E9" w:rsidR="00424C18" w:rsidRPr="00D11AD1" w:rsidRDefault="00922F9B" w:rsidP="009260DE">
            <w:pPr>
              <w:tabs>
                <w:tab w:val="left" w:pos="851"/>
              </w:tabs>
              <w:rPr>
                <w:sz w:val="24"/>
                <w:szCs w:val="24"/>
              </w:rPr>
            </w:pPr>
            <w:r w:rsidRPr="00D11AD1">
              <w:rPr>
                <w:sz w:val="24"/>
                <w:szCs w:val="24"/>
              </w:rPr>
              <w:tab/>
              <w:t>Alle</w:t>
            </w:r>
            <w:r w:rsidRPr="00D11AD1">
              <w:rPr>
                <w:spacing w:val="-3"/>
                <w:sz w:val="24"/>
                <w:szCs w:val="24"/>
              </w:rPr>
              <w:t xml:space="preserve"> </w:t>
            </w:r>
            <w:r w:rsidRPr="00D11AD1">
              <w:rPr>
                <w:sz w:val="24"/>
                <w:szCs w:val="24"/>
              </w:rPr>
              <w:t>patienter</w:t>
            </w:r>
          </w:p>
        </w:tc>
        <w:tc>
          <w:tcPr>
            <w:tcW w:w="4185" w:type="dxa"/>
          </w:tcPr>
          <w:p w14:paraId="491AA237" w14:textId="164B2410" w:rsidR="00424C18" w:rsidRPr="00D11AD1" w:rsidRDefault="00922F9B" w:rsidP="002C5387">
            <w:pPr>
              <w:tabs>
                <w:tab w:val="left" w:pos="851"/>
              </w:tabs>
              <w:jc w:val="center"/>
              <w:rPr>
                <w:sz w:val="24"/>
                <w:szCs w:val="24"/>
              </w:rPr>
            </w:pPr>
            <w:r w:rsidRPr="00D11AD1">
              <w:rPr>
                <w:b/>
                <w:sz w:val="24"/>
                <w:szCs w:val="24"/>
              </w:rPr>
              <w:t>63</w:t>
            </w:r>
            <w:r w:rsidR="00FA34A4" w:rsidRPr="00D11AD1">
              <w:rPr>
                <w:b/>
                <w:sz w:val="24"/>
                <w:szCs w:val="24"/>
              </w:rPr>
              <w:t xml:space="preserve"> %</w:t>
            </w:r>
            <w:r w:rsidRPr="00D11AD1">
              <w:rPr>
                <w:b/>
                <w:spacing w:val="-4"/>
                <w:sz w:val="24"/>
                <w:szCs w:val="24"/>
              </w:rPr>
              <w:t xml:space="preserve"> </w:t>
            </w:r>
            <w:r w:rsidRPr="00D11AD1">
              <w:rPr>
                <w:b/>
                <w:sz w:val="24"/>
                <w:szCs w:val="24"/>
              </w:rPr>
              <w:t>(56–71)</w:t>
            </w:r>
          </w:p>
        </w:tc>
      </w:tr>
      <w:tr w:rsidR="00424C18" w:rsidRPr="00D11AD1" w14:paraId="3669F963" w14:textId="77777777" w:rsidTr="00920A5B">
        <w:tc>
          <w:tcPr>
            <w:tcW w:w="4310" w:type="dxa"/>
          </w:tcPr>
          <w:p w14:paraId="7E5BB2A2" w14:textId="66A40DA8" w:rsidR="00424C18" w:rsidRPr="00D11AD1" w:rsidRDefault="00922F9B" w:rsidP="009260DE">
            <w:pPr>
              <w:tabs>
                <w:tab w:val="left" w:pos="851"/>
              </w:tabs>
              <w:rPr>
                <w:sz w:val="24"/>
                <w:szCs w:val="24"/>
              </w:rPr>
            </w:pPr>
            <w:r w:rsidRPr="00D11AD1">
              <w:rPr>
                <w:sz w:val="24"/>
                <w:szCs w:val="24"/>
              </w:rPr>
              <w:tab/>
              <w:t>Imatinib resistente</w:t>
            </w:r>
            <w:r w:rsidRPr="00D11AD1">
              <w:rPr>
                <w:spacing w:val="-2"/>
                <w:sz w:val="24"/>
                <w:szCs w:val="24"/>
              </w:rPr>
              <w:t xml:space="preserve"> </w:t>
            </w:r>
            <w:r w:rsidRPr="00D11AD1">
              <w:rPr>
                <w:sz w:val="24"/>
                <w:szCs w:val="24"/>
              </w:rPr>
              <w:t>patienter</w:t>
            </w:r>
          </w:p>
        </w:tc>
        <w:tc>
          <w:tcPr>
            <w:tcW w:w="4185" w:type="dxa"/>
          </w:tcPr>
          <w:p w14:paraId="1EE0F028" w14:textId="03F160A7" w:rsidR="00424C18" w:rsidRPr="00D11AD1" w:rsidRDefault="00922F9B" w:rsidP="002C5387">
            <w:pPr>
              <w:tabs>
                <w:tab w:val="left" w:pos="851"/>
              </w:tabs>
              <w:jc w:val="center"/>
              <w:rPr>
                <w:sz w:val="24"/>
                <w:szCs w:val="24"/>
              </w:rPr>
            </w:pPr>
            <w:r w:rsidRPr="00D11AD1">
              <w:rPr>
                <w:b/>
                <w:sz w:val="24"/>
                <w:szCs w:val="24"/>
              </w:rPr>
              <w:t>59</w:t>
            </w:r>
            <w:r w:rsidR="00FA34A4" w:rsidRPr="00D11AD1">
              <w:rPr>
                <w:b/>
                <w:sz w:val="24"/>
                <w:szCs w:val="24"/>
              </w:rPr>
              <w:t xml:space="preserve"> %</w:t>
            </w:r>
            <w:r w:rsidRPr="00D11AD1">
              <w:rPr>
                <w:b/>
                <w:spacing w:val="-4"/>
                <w:sz w:val="24"/>
                <w:szCs w:val="24"/>
              </w:rPr>
              <w:t xml:space="preserve"> </w:t>
            </w:r>
            <w:r w:rsidRPr="00D11AD1">
              <w:rPr>
                <w:b/>
                <w:sz w:val="24"/>
                <w:szCs w:val="24"/>
              </w:rPr>
              <w:t>(50–68)</w:t>
            </w:r>
          </w:p>
        </w:tc>
      </w:tr>
      <w:tr w:rsidR="00424C18" w:rsidRPr="00D11AD1" w14:paraId="5B5933AA" w14:textId="77777777" w:rsidTr="00920A5B">
        <w:tc>
          <w:tcPr>
            <w:tcW w:w="4310" w:type="dxa"/>
          </w:tcPr>
          <w:p w14:paraId="0377F4E8" w14:textId="2D7E420E" w:rsidR="00424C18" w:rsidRPr="00D11AD1" w:rsidRDefault="00922F9B" w:rsidP="009260DE">
            <w:pPr>
              <w:tabs>
                <w:tab w:val="left" w:pos="851"/>
              </w:tabs>
              <w:rPr>
                <w:sz w:val="24"/>
                <w:szCs w:val="24"/>
              </w:rPr>
            </w:pPr>
            <w:r w:rsidRPr="00D11AD1">
              <w:rPr>
                <w:sz w:val="24"/>
                <w:szCs w:val="24"/>
              </w:rPr>
              <w:t>CCyR</w:t>
            </w:r>
          </w:p>
        </w:tc>
        <w:tc>
          <w:tcPr>
            <w:tcW w:w="4185" w:type="dxa"/>
          </w:tcPr>
          <w:p w14:paraId="2BFB1B75" w14:textId="77777777" w:rsidR="00424C18" w:rsidRPr="00D11AD1" w:rsidRDefault="00424C18" w:rsidP="002C5387">
            <w:pPr>
              <w:tabs>
                <w:tab w:val="left" w:pos="851"/>
              </w:tabs>
              <w:jc w:val="center"/>
              <w:rPr>
                <w:sz w:val="24"/>
                <w:szCs w:val="24"/>
              </w:rPr>
            </w:pPr>
          </w:p>
        </w:tc>
      </w:tr>
      <w:tr w:rsidR="00424C18" w:rsidRPr="00D11AD1" w14:paraId="155D5DBA" w14:textId="77777777" w:rsidTr="00920A5B">
        <w:tc>
          <w:tcPr>
            <w:tcW w:w="4310" w:type="dxa"/>
          </w:tcPr>
          <w:p w14:paraId="7F3DA89A" w14:textId="0C6C8779" w:rsidR="00424C18" w:rsidRPr="00D11AD1" w:rsidRDefault="001E39D7" w:rsidP="009260DE">
            <w:pPr>
              <w:tabs>
                <w:tab w:val="left" w:pos="851"/>
              </w:tabs>
              <w:rPr>
                <w:sz w:val="24"/>
                <w:szCs w:val="24"/>
              </w:rPr>
            </w:pPr>
            <w:r w:rsidRPr="00D11AD1">
              <w:rPr>
                <w:sz w:val="24"/>
                <w:szCs w:val="24"/>
              </w:rPr>
              <w:tab/>
              <w:t>Alle</w:t>
            </w:r>
            <w:r w:rsidRPr="00D11AD1">
              <w:rPr>
                <w:spacing w:val="-3"/>
                <w:sz w:val="24"/>
                <w:szCs w:val="24"/>
              </w:rPr>
              <w:t xml:space="preserve"> </w:t>
            </w:r>
            <w:r w:rsidRPr="00D11AD1">
              <w:rPr>
                <w:sz w:val="24"/>
                <w:szCs w:val="24"/>
              </w:rPr>
              <w:t>patienter</w:t>
            </w:r>
          </w:p>
        </w:tc>
        <w:tc>
          <w:tcPr>
            <w:tcW w:w="4185" w:type="dxa"/>
          </w:tcPr>
          <w:p w14:paraId="7B7A13FA" w14:textId="7F231F76" w:rsidR="00424C18" w:rsidRPr="00D11AD1" w:rsidRDefault="001E39D7" w:rsidP="002C5387">
            <w:pPr>
              <w:tabs>
                <w:tab w:val="left" w:pos="851"/>
              </w:tabs>
              <w:jc w:val="center"/>
              <w:rPr>
                <w:sz w:val="24"/>
                <w:szCs w:val="24"/>
              </w:rPr>
            </w:pPr>
            <w:r w:rsidRPr="00D11AD1">
              <w:rPr>
                <w:b/>
                <w:sz w:val="24"/>
                <w:szCs w:val="24"/>
              </w:rPr>
              <w:t>50</w:t>
            </w:r>
            <w:r w:rsidR="00FA34A4" w:rsidRPr="00D11AD1">
              <w:rPr>
                <w:b/>
                <w:sz w:val="24"/>
                <w:szCs w:val="24"/>
              </w:rPr>
              <w:t xml:space="preserve"> %</w:t>
            </w:r>
            <w:r w:rsidRPr="00D11AD1">
              <w:rPr>
                <w:b/>
                <w:spacing w:val="-4"/>
                <w:sz w:val="24"/>
                <w:szCs w:val="24"/>
              </w:rPr>
              <w:t xml:space="preserve"> </w:t>
            </w:r>
            <w:r w:rsidRPr="00D11AD1">
              <w:rPr>
                <w:b/>
                <w:sz w:val="24"/>
                <w:szCs w:val="24"/>
              </w:rPr>
              <w:t>(42–58)</w:t>
            </w:r>
          </w:p>
        </w:tc>
      </w:tr>
      <w:tr w:rsidR="00424C18" w:rsidRPr="00D11AD1" w14:paraId="08F4344E" w14:textId="77777777" w:rsidTr="00920A5B">
        <w:tc>
          <w:tcPr>
            <w:tcW w:w="4310" w:type="dxa"/>
          </w:tcPr>
          <w:p w14:paraId="5A7BEACC" w14:textId="67863815" w:rsidR="00424C18" w:rsidRPr="00D11AD1" w:rsidRDefault="001E39D7" w:rsidP="009260DE">
            <w:pPr>
              <w:tabs>
                <w:tab w:val="left" w:pos="851"/>
              </w:tabs>
              <w:rPr>
                <w:sz w:val="24"/>
                <w:szCs w:val="24"/>
              </w:rPr>
            </w:pPr>
            <w:r w:rsidRPr="00D11AD1">
              <w:rPr>
                <w:sz w:val="24"/>
                <w:szCs w:val="24"/>
              </w:rPr>
              <w:tab/>
            </w:r>
            <w:r w:rsidR="00920A5B" w:rsidRPr="00D11AD1">
              <w:rPr>
                <w:sz w:val="24"/>
                <w:szCs w:val="24"/>
              </w:rPr>
              <w:t>Imatinib resistente</w:t>
            </w:r>
            <w:r w:rsidR="00920A5B" w:rsidRPr="00D11AD1">
              <w:rPr>
                <w:spacing w:val="-2"/>
                <w:sz w:val="24"/>
                <w:szCs w:val="24"/>
              </w:rPr>
              <w:t xml:space="preserve"> </w:t>
            </w:r>
            <w:r w:rsidR="00920A5B" w:rsidRPr="00D11AD1">
              <w:rPr>
                <w:sz w:val="24"/>
                <w:szCs w:val="24"/>
              </w:rPr>
              <w:t>patienter</w:t>
            </w:r>
          </w:p>
        </w:tc>
        <w:tc>
          <w:tcPr>
            <w:tcW w:w="4185" w:type="dxa"/>
          </w:tcPr>
          <w:p w14:paraId="5EEB6E52" w14:textId="64970F01" w:rsidR="00424C18" w:rsidRPr="00D11AD1" w:rsidRDefault="001E39D7" w:rsidP="002C5387">
            <w:pPr>
              <w:tabs>
                <w:tab w:val="left" w:pos="851"/>
              </w:tabs>
              <w:jc w:val="center"/>
              <w:rPr>
                <w:sz w:val="24"/>
                <w:szCs w:val="24"/>
              </w:rPr>
            </w:pPr>
            <w:r w:rsidRPr="00D11AD1">
              <w:rPr>
                <w:b/>
                <w:sz w:val="24"/>
                <w:szCs w:val="24"/>
              </w:rPr>
              <w:t>44</w:t>
            </w:r>
            <w:r w:rsidR="00FA34A4" w:rsidRPr="00D11AD1">
              <w:rPr>
                <w:b/>
                <w:sz w:val="24"/>
                <w:szCs w:val="24"/>
              </w:rPr>
              <w:t xml:space="preserve"> %</w:t>
            </w:r>
            <w:r w:rsidRPr="00D11AD1">
              <w:rPr>
                <w:b/>
                <w:spacing w:val="-4"/>
                <w:sz w:val="24"/>
                <w:szCs w:val="24"/>
              </w:rPr>
              <w:t xml:space="preserve"> </w:t>
            </w:r>
            <w:r w:rsidRPr="00D11AD1">
              <w:rPr>
                <w:b/>
                <w:sz w:val="24"/>
                <w:szCs w:val="24"/>
              </w:rPr>
              <w:t>(35–53)</w:t>
            </w:r>
          </w:p>
        </w:tc>
      </w:tr>
      <w:tr w:rsidR="00424C18" w:rsidRPr="00D11AD1" w14:paraId="64CCF5D2" w14:textId="77777777" w:rsidTr="00920A5B">
        <w:tc>
          <w:tcPr>
            <w:tcW w:w="4310" w:type="dxa"/>
          </w:tcPr>
          <w:p w14:paraId="78CA0BED" w14:textId="0A5DF5B7" w:rsidR="00424C18" w:rsidRPr="00D11AD1" w:rsidRDefault="007B16B1" w:rsidP="009260DE">
            <w:pPr>
              <w:tabs>
                <w:tab w:val="left" w:pos="851"/>
              </w:tabs>
              <w:rPr>
                <w:b/>
                <w:sz w:val="24"/>
                <w:szCs w:val="24"/>
              </w:rPr>
            </w:pPr>
            <w:r w:rsidRPr="00D11AD1">
              <w:rPr>
                <w:b/>
                <w:bCs/>
                <w:sz w:val="24"/>
                <w:szCs w:val="24"/>
              </w:rPr>
              <w:t>Major molekulært respons hos patienter, der opnår</w:t>
            </w:r>
            <w:r w:rsidRPr="00D11AD1">
              <w:rPr>
                <w:b/>
                <w:sz w:val="24"/>
                <w:szCs w:val="24"/>
              </w:rPr>
              <w:t xml:space="preserve"> CCyRd (</w:t>
            </w:r>
            <w:r w:rsidR="00FA34A4" w:rsidRPr="00D11AD1">
              <w:rPr>
                <w:b/>
                <w:sz w:val="24"/>
                <w:szCs w:val="24"/>
              </w:rPr>
              <w:t>%</w:t>
            </w:r>
            <w:r w:rsidRPr="00D11AD1">
              <w:rPr>
                <w:b/>
                <w:sz w:val="24"/>
                <w:szCs w:val="24"/>
              </w:rPr>
              <w:t>) (95</w:t>
            </w:r>
            <w:r w:rsidR="00FA34A4" w:rsidRPr="00D11AD1">
              <w:rPr>
                <w:b/>
                <w:sz w:val="24"/>
                <w:szCs w:val="24"/>
              </w:rPr>
              <w:t xml:space="preserve"> %</w:t>
            </w:r>
            <w:r w:rsidRPr="00D11AD1">
              <w:rPr>
                <w:b/>
                <w:sz w:val="24"/>
                <w:szCs w:val="24"/>
              </w:rPr>
              <w:t xml:space="preserve"> CI)</w:t>
            </w:r>
          </w:p>
        </w:tc>
        <w:tc>
          <w:tcPr>
            <w:tcW w:w="4185" w:type="dxa"/>
          </w:tcPr>
          <w:p w14:paraId="7A388180" w14:textId="77777777" w:rsidR="00424C18" w:rsidRPr="00D11AD1" w:rsidRDefault="00424C18" w:rsidP="002C5387">
            <w:pPr>
              <w:tabs>
                <w:tab w:val="left" w:pos="851"/>
              </w:tabs>
              <w:jc w:val="center"/>
              <w:rPr>
                <w:sz w:val="24"/>
                <w:szCs w:val="24"/>
              </w:rPr>
            </w:pPr>
          </w:p>
        </w:tc>
      </w:tr>
      <w:tr w:rsidR="00424C18" w:rsidRPr="00D11AD1" w14:paraId="5E1C8155" w14:textId="77777777" w:rsidTr="00920A5B">
        <w:tc>
          <w:tcPr>
            <w:tcW w:w="4310" w:type="dxa"/>
          </w:tcPr>
          <w:p w14:paraId="3FEA04CD" w14:textId="47C79517" w:rsidR="00424C18" w:rsidRPr="00D11AD1" w:rsidRDefault="00920A5B" w:rsidP="009260DE">
            <w:pPr>
              <w:tabs>
                <w:tab w:val="left" w:pos="851"/>
              </w:tabs>
              <w:rPr>
                <w:sz w:val="24"/>
                <w:szCs w:val="24"/>
              </w:rPr>
            </w:pPr>
            <w:r w:rsidRPr="00D11AD1">
              <w:rPr>
                <w:sz w:val="24"/>
                <w:szCs w:val="24"/>
              </w:rPr>
              <w:t>Alle patienter</w:t>
            </w:r>
          </w:p>
        </w:tc>
        <w:tc>
          <w:tcPr>
            <w:tcW w:w="4185" w:type="dxa"/>
          </w:tcPr>
          <w:p w14:paraId="0FC6F11C" w14:textId="49B56E08" w:rsidR="00424C18" w:rsidRPr="00D11AD1" w:rsidRDefault="00920A5B" w:rsidP="002C5387">
            <w:pPr>
              <w:tabs>
                <w:tab w:val="left" w:pos="851"/>
              </w:tabs>
              <w:jc w:val="center"/>
              <w:rPr>
                <w:sz w:val="24"/>
                <w:szCs w:val="24"/>
              </w:rPr>
            </w:pPr>
            <w:r w:rsidRPr="00D11AD1">
              <w:rPr>
                <w:b/>
                <w:sz w:val="24"/>
                <w:szCs w:val="24"/>
              </w:rPr>
              <w:t>69</w:t>
            </w:r>
            <w:r w:rsidR="00FA34A4" w:rsidRPr="00D11AD1">
              <w:rPr>
                <w:b/>
                <w:sz w:val="24"/>
                <w:szCs w:val="24"/>
              </w:rPr>
              <w:t xml:space="preserve"> %</w:t>
            </w:r>
            <w:r w:rsidRPr="00D11AD1">
              <w:rPr>
                <w:b/>
                <w:spacing w:val="-4"/>
                <w:sz w:val="24"/>
                <w:szCs w:val="24"/>
              </w:rPr>
              <w:t xml:space="preserve"> </w:t>
            </w:r>
            <w:r w:rsidRPr="00D11AD1">
              <w:rPr>
                <w:b/>
                <w:sz w:val="24"/>
                <w:szCs w:val="24"/>
              </w:rPr>
              <w:t>(58–79)</w:t>
            </w:r>
          </w:p>
        </w:tc>
      </w:tr>
      <w:tr w:rsidR="00424C18" w:rsidRPr="00D11AD1" w14:paraId="63033A58" w14:textId="77777777" w:rsidTr="00920A5B">
        <w:tc>
          <w:tcPr>
            <w:tcW w:w="4310" w:type="dxa"/>
          </w:tcPr>
          <w:p w14:paraId="338C9096" w14:textId="23226568" w:rsidR="00424C18" w:rsidRPr="00D11AD1" w:rsidRDefault="00920A5B" w:rsidP="009260DE">
            <w:pPr>
              <w:tabs>
                <w:tab w:val="left" w:pos="851"/>
              </w:tabs>
              <w:rPr>
                <w:sz w:val="24"/>
                <w:szCs w:val="24"/>
              </w:rPr>
            </w:pPr>
            <w:r w:rsidRPr="00D11AD1">
              <w:rPr>
                <w:sz w:val="24"/>
                <w:szCs w:val="24"/>
              </w:rPr>
              <w:t>Imatinib resistente</w:t>
            </w:r>
            <w:r w:rsidRPr="00D11AD1">
              <w:rPr>
                <w:spacing w:val="-2"/>
                <w:sz w:val="24"/>
                <w:szCs w:val="24"/>
              </w:rPr>
              <w:t xml:space="preserve"> </w:t>
            </w:r>
            <w:r w:rsidRPr="00D11AD1">
              <w:rPr>
                <w:sz w:val="24"/>
                <w:szCs w:val="24"/>
              </w:rPr>
              <w:t>patienter</w:t>
            </w:r>
          </w:p>
        </w:tc>
        <w:tc>
          <w:tcPr>
            <w:tcW w:w="4185" w:type="dxa"/>
          </w:tcPr>
          <w:p w14:paraId="3293968C" w14:textId="6A029C0E" w:rsidR="00424C18" w:rsidRPr="00D11AD1" w:rsidRDefault="00920A5B" w:rsidP="002C5387">
            <w:pPr>
              <w:tabs>
                <w:tab w:val="left" w:pos="851"/>
              </w:tabs>
              <w:jc w:val="center"/>
              <w:rPr>
                <w:sz w:val="24"/>
                <w:szCs w:val="24"/>
              </w:rPr>
            </w:pPr>
            <w:r w:rsidRPr="00D11AD1">
              <w:rPr>
                <w:b/>
                <w:sz w:val="24"/>
                <w:szCs w:val="24"/>
              </w:rPr>
              <w:t>72</w:t>
            </w:r>
            <w:r w:rsidR="00FA34A4" w:rsidRPr="00D11AD1">
              <w:rPr>
                <w:b/>
                <w:sz w:val="24"/>
                <w:szCs w:val="24"/>
              </w:rPr>
              <w:t xml:space="preserve"> %</w:t>
            </w:r>
            <w:r w:rsidRPr="00D11AD1">
              <w:rPr>
                <w:b/>
                <w:spacing w:val="-4"/>
                <w:sz w:val="24"/>
                <w:szCs w:val="24"/>
              </w:rPr>
              <w:t xml:space="preserve"> </w:t>
            </w:r>
            <w:r w:rsidRPr="00D11AD1">
              <w:rPr>
                <w:b/>
                <w:sz w:val="24"/>
                <w:szCs w:val="24"/>
              </w:rPr>
              <w:t>(58–83)</w:t>
            </w:r>
          </w:p>
        </w:tc>
      </w:tr>
    </w:tbl>
    <w:p w14:paraId="319A8AC2" w14:textId="38FFB0CC" w:rsidR="00920A5B" w:rsidRPr="00D11AD1" w:rsidRDefault="00920A5B" w:rsidP="00920A5B">
      <w:pPr>
        <w:tabs>
          <w:tab w:val="left" w:pos="993"/>
        </w:tabs>
        <w:ind w:left="993" w:hanging="142"/>
        <w:rPr>
          <w:sz w:val="24"/>
          <w:szCs w:val="24"/>
        </w:rPr>
      </w:pPr>
      <w:r w:rsidRPr="00D11AD1">
        <w:rPr>
          <w:sz w:val="24"/>
          <w:szCs w:val="24"/>
          <w:vertAlign w:val="superscript"/>
        </w:rPr>
        <w:t>a</w:t>
      </w:r>
      <w:r w:rsidRPr="00D11AD1">
        <w:rPr>
          <w:sz w:val="24"/>
          <w:szCs w:val="24"/>
          <w:vertAlign w:val="superscript"/>
        </w:rPr>
        <w:tab/>
      </w:r>
      <w:r w:rsidRPr="00D11AD1">
        <w:rPr>
          <w:sz w:val="24"/>
          <w:szCs w:val="24"/>
        </w:rPr>
        <w:t xml:space="preserve">Resultater rapporteret med anbefalet startdosis på 100 mg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w:t>
      </w:r>
    </w:p>
    <w:p w14:paraId="10CA142A" w14:textId="7057EEDA" w:rsidR="00920A5B" w:rsidRPr="00D11AD1" w:rsidRDefault="00920A5B" w:rsidP="00920A5B">
      <w:pPr>
        <w:tabs>
          <w:tab w:val="left" w:pos="993"/>
        </w:tabs>
        <w:ind w:left="993" w:hanging="142"/>
        <w:rPr>
          <w:sz w:val="24"/>
          <w:szCs w:val="24"/>
        </w:rPr>
      </w:pPr>
      <w:r w:rsidRPr="00D11AD1">
        <w:rPr>
          <w:sz w:val="24"/>
          <w:szCs w:val="24"/>
          <w:vertAlign w:val="superscript"/>
        </w:rPr>
        <w:t>b</w:t>
      </w:r>
      <w:r w:rsidRPr="00D11AD1">
        <w:rPr>
          <w:sz w:val="24"/>
          <w:szCs w:val="24"/>
          <w:vertAlign w:val="superscript"/>
        </w:rPr>
        <w:tab/>
      </w:r>
      <w:r w:rsidRPr="00D11AD1">
        <w:rPr>
          <w:sz w:val="24"/>
          <w:szCs w:val="24"/>
        </w:rPr>
        <w:t>Hæmatologiske responskriterier (alle responser blev bekræftet efter 4 uger): Komplet hæmatologisk respons (CHR) (kronisk CML): WBC ≤ institutionel ULN, blodplader &lt;450.000/mm</w:t>
      </w:r>
      <w:r w:rsidRPr="000A733F">
        <w:rPr>
          <w:sz w:val="24"/>
          <w:szCs w:val="24"/>
          <w:vertAlign w:val="superscript"/>
        </w:rPr>
        <w:t>3</w:t>
      </w:r>
      <w:r w:rsidRPr="00D11AD1">
        <w:rPr>
          <w:sz w:val="24"/>
          <w:szCs w:val="24"/>
        </w:rPr>
        <w:t>, ingen blastceller eller promyelocytter i perifert blod, &lt;5</w:t>
      </w:r>
      <w:r w:rsidR="00FA34A4" w:rsidRPr="00D11AD1">
        <w:rPr>
          <w:sz w:val="24"/>
          <w:szCs w:val="24"/>
        </w:rPr>
        <w:t xml:space="preserve"> %</w:t>
      </w:r>
      <w:r w:rsidRPr="00D11AD1">
        <w:rPr>
          <w:sz w:val="24"/>
          <w:szCs w:val="24"/>
        </w:rPr>
        <w:t xml:space="preserve"> myelocytter plus metamyelocytter i perifert blod, basofile i perifert blod &lt;20</w:t>
      </w:r>
      <w:r w:rsidR="00FA34A4" w:rsidRPr="00D11AD1">
        <w:rPr>
          <w:sz w:val="24"/>
          <w:szCs w:val="24"/>
        </w:rPr>
        <w:t xml:space="preserve"> %</w:t>
      </w:r>
      <w:r w:rsidRPr="00D11AD1">
        <w:rPr>
          <w:sz w:val="24"/>
          <w:szCs w:val="24"/>
        </w:rPr>
        <w:t xml:space="preserve"> og ingen ekstramedullær involvering.</w:t>
      </w:r>
    </w:p>
    <w:p w14:paraId="33744103" w14:textId="3D1F88CB" w:rsidR="00920A5B" w:rsidRPr="00D11AD1" w:rsidRDefault="00920A5B" w:rsidP="00920A5B">
      <w:pPr>
        <w:tabs>
          <w:tab w:val="left" w:pos="993"/>
        </w:tabs>
        <w:ind w:left="993" w:hanging="142"/>
        <w:rPr>
          <w:sz w:val="24"/>
          <w:szCs w:val="24"/>
          <w:lang w:val="nb-NO"/>
        </w:rPr>
      </w:pPr>
      <w:r w:rsidRPr="00D11AD1">
        <w:rPr>
          <w:sz w:val="24"/>
          <w:szCs w:val="24"/>
          <w:vertAlign w:val="superscript"/>
          <w:lang w:val="nb-NO"/>
        </w:rPr>
        <w:t>c</w:t>
      </w:r>
      <w:r w:rsidRPr="00D11AD1">
        <w:rPr>
          <w:sz w:val="24"/>
          <w:szCs w:val="24"/>
          <w:vertAlign w:val="superscript"/>
          <w:lang w:val="nb-NO"/>
        </w:rPr>
        <w:tab/>
      </w:r>
      <w:r w:rsidRPr="00D11AD1">
        <w:rPr>
          <w:sz w:val="24"/>
          <w:szCs w:val="24"/>
          <w:lang w:val="nb-NO"/>
        </w:rPr>
        <w:t>Cytogenetisk responskriterier: komplet (0</w:t>
      </w:r>
      <w:r w:rsidR="00FA34A4" w:rsidRPr="00D11AD1">
        <w:rPr>
          <w:sz w:val="24"/>
          <w:szCs w:val="24"/>
          <w:lang w:val="nb-NO"/>
        </w:rPr>
        <w:t xml:space="preserve"> %</w:t>
      </w:r>
      <w:r w:rsidRPr="00D11AD1">
        <w:rPr>
          <w:sz w:val="24"/>
          <w:szCs w:val="24"/>
          <w:lang w:val="nb-NO"/>
        </w:rPr>
        <w:t xml:space="preserve"> Ph+ metafaser) eller delvis (&gt;0</w:t>
      </w:r>
      <w:r w:rsidR="00FA34A4" w:rsidRPr="00D11AD1">
        <w:rPr>
          <w:sz w:val="24"/>
          <w:szCs w:val="24"/>
          <w:lang w:val="nb-NO"/>
        </w:rPr>
        <w:t xml:space="preserve"> %</w:t>
      </w:r>
      <w:r w:rsidRPr="00D11AD1">
        <w:rPr>
          <w:sz w:val="24"/>
          <w:szCs w:val="24"/>
          <w:lang w:val="nb-NO"/>
        </w:rPr>
        <w:t>–35</w:t>
      </w:r>
      <w:r w:rsidR="00FA34A4" w:rsidRPr="00D11AD1">
        <w:rPr>
          <w:sz w:val="24"/>
          <w:szCs w:val="24"/>
          <w:lang w:val="nb-NO"/>
        </w:rPr>
        <w:t xml:space="preserve"> %</w:t>
      </w:r>
      <w:r w:rsidRPr="00D11AD1">
        <w:rPr>
          <w:sz w:val="24"/>
          <w:szCs w:val="24"/>
          <w:lang w:val="nb-NO"/>
        </w:rPr>
        <w:t>). MCyR (0</w:t>
      </w:r>
      <w:r w:rsidR="00FA34A4" w:rsidRPr="00D11AD1">
        <w:rPr>
          <w:sz w:val="24"/>
          <w:szCs w:val="24"/>
          <w:lang w:val="nb-NO"/>
        </w:rPr>
        <w:t xml:space="preserve"> %</w:t>
      </w:r>
      <w:r w:rsidRPr="00D11AD1">
        <w:rPr>
          <w:sz w:val="24"/>
          <w:szCs w:val="24"/>
          <w:lang w:val="nb-NO"/>
        </w:rPr>
        <w:t>–35</w:t>
      </w:r>
      <w:r w:rsidR="00FA34A4" w:rsidRPr="00D11AD1">
        <w:rPr>
          <w:sz w:val="24"/>
          <w:szCs w:val="24"/>
          <w:lang w:val="nb-NO"/>
        </w:rPr>
        <w:t xml:space="preserve"> %</w:t>
      </w:r>
      <w:r w:rsidRPr="00D11AD1">
        <w:rPr>
          <w:sz w:val="24"/>
          <w:szCs w:val="24"/>
          <w:lang w:val="nb-NO"/>
        </w:rPr>
        <w:t>) kombinerer både komplet og delvist respons.</w:t>
      </w:r>
    </w:p>
    <w:p w14:paraId="0DEEDAF2" w14:textId="233A858E" w:rsidR="00920A5B" w:rsidRPr="00D11AD1" w:rsidRDefault="00920A5B" w:rsidP="00920A5B">
      <w:pPr>
        <w:tabs>
          <w:tab w:val="left" w:pos="993"/>
        </w:tabs>
        <w:ind w:left="993" w:hanging="142"/>
        <w:rPr>
          <w:sz w:val="24"/>
          <w:szCs w:val="24"/>
          <w:lang w:val="nb-NO"/>
        </w:rPr>
      </w:pPr>
      <w:r w:rsidRPr="00D11AD1">
        <w:rPr>
          <w:sz w:val="24"/>
          <w:szCs w:val="24"/>
          <w:vertAlign w:val="superscript"/>
          <w:lang w:val="nb-NO"/>
        </w:rPr>
        <w:t>d</w:t>
      </w:r>
      <w:r w:rsidRPr="00D11AD1">
        <w:rPr>
          <w:sz w:val="24"/>
          <w:szCs w:val="24"/>
          <w:lang w:val="nb-NO"/>
        </w:rPr>
        <w:tab/>
        <w:t>Major molekylære responskriterier: Defineret som BCR-ABL/kontroltranskriptioner ≤0,1</w:t>
      </w:r>
      <w:r w:rsidR="00FA34A4" w:rsidRPr="00D11AD1">
        <w:rPr>
          <w:sz w:val="24"/>
          <w:szCs w:val="24"/>
          <w:lang w:val="nb-NO"/>
        </w:rPr>
        <w:t xml:space="preserve"> %</w:t>
      </w:r>
      <w:r w:rsidRPr="00D11AD1">
        <w:rPr>
          <w:sz w:val="24"/>
          <w:szCs w:val="24"/>
          <w:lang w:val="nb-NO"/>
        </w:rPr>
        <w:t xml:space="preserve"> ved RQ-PCR I perifere blodprøver.</w:t>
      </w:r>
    </w:p>
    <w:p w14:paraId="6A1B73A2" w14:textId="77777777" w:rsidR="006D21E5" w:rsidRPr="00D11AD1" w:rsidRDefault="006D21E5" w:rsidP="006D21E5">
      <w:pPr>
        <w:ind w:left="851"/>
        <w:rPr>
          <w:sz w:val="24"/>
          <w:szCs w:val="24"/>
          <w:lang w:val="nb-NO"/>
        </w:rPr>
      </w:pPr>
    </w:p>
    <w:p w14:paraId="3A300E95" w14:textId="77777777" w:rsidR="006D21E5" w:rsidRPr="00D11AD1" w:rsidRDefault="006D21E5" w:rsidP="006D21E5">
      <w:pPr>
        <w:ind w:left="851"/>
        <w:rPr>
          <w:rFonts w:eastAsia="TimesNewRomanPS-BoldMT"/>
          <w:b/>
          <w:bCs/>
          <w:sz w:val="24"/>
          <w:szCs w:val="24"/>
          <w:vertAlign w:val="superscript"/>
          <w:lang w:val="nb-NO"/>
        </w:rPr>
      </w:pPr>
      <w:r w:rsidRPr="00D11AD1">
        <w:rPr>
          <w:b/>
          <w:w w:val="105"/>
          <w:sz w:val="24"/>
          <w:szCs w:val="24"/>
          <w:lang w:val="nb-NO"/>
        </w:rPr>
        <w:t>Tabel</w:t>
      </w:r>
      <w:r w:rsidRPr="00D11AD1">
        <w:rPr>
          <w:b/>
          <w:spacing w:val="-6"/>
          <w:w w:val="105"/>
          <w:sz w:val="24"/>
          <w:szCs w:val="24"/>
          <w:lang w:val="nb-NO"/>
        </w:rPr>
        <w:t xml:space="preserve"> </w:t>
      </w:r>
      <w:r w:rsidRPr="00D11AD1">
        <w:rPr>
          <w:b/>
          <w:w w:val="105"/>
          <w:sz w:val="24"/>
          <w:szCs w:val="24"/>
          <w:lang w:val="nb-NO"/>
        </w:rPr>
        <w:t xml:space="preserve">13: </w:t>
      </w:r>
      <w:r w:rsidRPr="00D11AD1">
        <w:rPr>
          <w:rFonts w:eastAsia="TimesNewRomanPS-BoldMT"/>
          <w:b/>
          <w:bCs/>
          <w:sz w:val="24"/>
          <w:szCs w:val="24"/>
          <w:lang w:val="nb-NO"/>
        </w:rPr>
        <w:t xml:space="preserve">Langvarig virkning af </w:t>
      </w:r>
      <w:r w:rsidRPr="00D11AD1">
        <w:rPr>
          <w:rFonts w:eastAsia="TimesNewRomanPSMT"/>
          <w:b/>
          <w:sz w:val="24"/>
          <w:szCs w:val="24"/>
          <w:lang w:val="nb-NO"/>
        </w:rPr>
        <w:t xml:space="preserve">dasatinib </w:t>
      </w:r>
      <w:r w:rsidRPr="00D11AD1">
        <w:rPr>
          <w:rFonts w:eastAsia="TimesNewRomanPS-BoldMT"/>
          <w:b/>
          <w:bCs/>
          <w:sz w:val="24"/>
          <w:szCs w:val="24"/>
          <w:lang w:val="nb-NO"/>
        </w:rPr>
        <w:t>i fase 3 dosisoptimeringsstudie: imatinib resistente eller intolerante patienter med CML i kronisk fase</w:t>
      </w:r>
      <w:r w:rsidRPr="00D11AD1">
        <w:rPr>
          <w:rFonts w:eastAsia="TimesNewRomanPS-BoldMT"/>
          <w:b/>
          <w:bCs/>
          <w:sz w:val="24"/>
          <w:szCs w:val="24"/>
          <w:vertAlign w:val="superscript"/>
          <w:lang w:val="nb-NO"/>
        </w:rPr>
        <w:t>a</w:t>
      </w:r>
    </w:p>
    <w:tbl>
      <w:tblPr>
        <w:tblStyle w:val="Mkatabulky1"/>
        <w:tblW w:w="5000" w:type="pct"/>
        <w:tblLook w:val="04A0" w:firstRow="1" w:lastRow="0" w:firstColumn="1" w:lastColumn="0" w:noHBand="0" w:noVBand="1"/>
      </w:tblPr>
      <w:tblGrid>
        <w:gridCol w:w="2920"/>
        <w:gridCol w:w="1831"/>
        <w:gridCol w:w="1531"/>
        <w:gridCol w:w="1531"/>
        <w:gridCol w:w="1531"/>
      </w:tblGrid>
      <w:tr w:rsidR="006D21E5" w:rsidRPr="00D11AD1" w14:paraId="17299FBB" w14:textId="77777777" w:rsidTr="000A733F">
        <w:trPr>
          <w:trHeight w:val="283"/>
        </w:trPr>
        <w:tc>
          <w:tcPr>
            <w:tcW w:w="1563" w:type="pct"/>
          </w:tcPr>
          <w:p w14:paraId="60AC36DB" w14:textId="77777777" w:rsidR="006D21E5" w:rsidRPr="00C44D32" w:rsidRDefault="006D21E5" w:rsidP="00D11AD1">
            <w:pPr>
              <w:rPr>
                <w:rFonts w:eastAsia="Times New Roman"/>
                <w:bCs/>
                <w:sz w:val="24"/>
                <w:szCs w:val="24"/>
                <w:lang w:val="nb-NO"/>
              </w:rPr>
            </w:pPr>
          </w:p>
        </w:tc>
        <w:tc>
          <w:tcPr>
            <w:tcW w:w="3437" w:type="pct"/>
            <w:gridSpan w:val="4"/>
          </w:tcPr>
          <w:p w14:paraId="49C14966" w14:textId="77777777" w:rsidR="006D21E5" w:rsidRPr="00D11AD1" w:rsidRDefault="006D21E5" w:rsidP="00D11AD1">
            <w:pPr>
              <w:jc w:val="center"/>
              <w:rPr>
                <w:rFonts w:eastAsia="Times New Roman"/>
                <w:bCs/>
                <w:sz w:val="24"/>
                <w:szCs w:val="24"/>
              </w:rPr>
            </w:pPr>
            <w:r w:rsidRPr="00D11AD1">
              <w:rPr>
                <w:rFonts w:eastAsia="Times New Roman"/>
                <w:b/>
                <w:bCs/>
                <w:sz w:val="24"/>
                <w:szCs w:val="24"/>
              </w:rPr>
              <w:t>Minimum follow-up period</w:t>
            </w:r>
          </w:p>
        </w:tc>
      </w:tr>
      <w:tr w:rsidR="006D21E5" w:rsidRPr="00D11AD1" w14:paraId="1571ACC7" w14:textId="77777777" w:rsidTr="000A733F">
        <w:trPr>
          <w:trHeight w:val="283"/>
        </w:trPr>
        <w:tc>
          <w:tcPr>
            <w:tcW w:w="1563" w:type="pct"/>
          </w:tcPr>
          <w:p w14:paraId="32E17BF6" w14:textId="77777777" w:rsidR="006D21E5" w:rsidRPr="00D11AD1" w:rsidRDefault="006D21E5" w:rsidP="00D11AD1">
            <w:pPr>
              <w:rPr>
                <w:rFonts w:eastAsia="Times New Roman"/>
                <w:bCs/>
                <w:sz w:val="24"/>
                <w:szCs w:val="24"/>
              </w:rPr>
            </w:pPr>
          </w:p>
        </w:tc>
        <w:tc>
          <w:tcPr>
            <w:tcW w:w="980" w:type="pct"/>
          </w:tcPr>
          <w:p w14:paraId="0F5D5A98" w14:textId="77777777" w:rsidR="006D21E5" w:rsidRPr="00D11AD1" w:rsidRDefault="006D21E5" w:rsidP="00D11AD1">
            <w:pPr>
              <w:jc w:val="center"/>
              <w:rPr>
                <w:rFonts w:eastAsia="Times New Roman"/>
                <w:bCs/>
                <w:sz w:val="24"/>
                <w:szCs w:val="24"/>
              </w:rPr>
            </w:pPr>
            <w:r w:rsidRPr="00D11AD1">
              <w:rPr>
                <w:rFonts w:eastAsia="Times New Roman"/>
                <w:b/>
                <w:bCs/>
                <w:sz w:val="24"/>
                <w:szCs w:val="24"/>
              </w:rPr>
              <w:t>1 year</w:t>
            </w:r>
          </w:p>
        </w:tc>
        <w:tc>
          <w:tcPr>
            <w:tcW w:w="819" w:type="pct"/>
          </w:tcPr>
          <w:p w14:paraId="0B6944FA" w14:textId="77777777" w:rsidR="006D21E5" w:rsidRPr="00D11AD1" w:rsidRDefault="006D21E5" w:rsidP="00D11AD1">
            <w:pPr>
              <w:jc w:val="center"/>
              <w:rPr>
                <w:rFonts w:eastAsia="Times New Roman"/>
                <w:sz w:val="24"/>
                <w:szCs w:val="24"/>
              </w:rPr>
            </w:pPr>
            <w:r w:rsidRPr="00D11AD1">
              <w:rPr>
                <w:b/>
                <w:bCs/>
                <w:sz w:val="24"/>
                <w:szCs w:val="24"/>
              </w:rPr>
              <w:t>2 years</w:t>
            </w:r>
          </w:p>
        </w:tc>
        <w:tc>
          <w:tcPr>
            <w:tcW w:w="819" w:type="pct"/>
          </w:tcPr>
          <w:p w14:paraId="6087D06F" w14:textId="77777777" w:rsidR="006D21E5" w:rsidRPr="00D11AD1" w:rsidRDefault="006D21E5" w:rsidP="00D11AD1">
            <w:pPr>
              <w:jc w:val="center"/>
              <w:rPr>
                <w:rFonts w:eastAsia="Times New Roman"/>
                <w:sz w:val="24"/>
                <w:szCs w:val="24"/>
              </w:rPr>
            </w:pPr>
            <w:r w:rsidRPr="00D11AD1">
              <w:rPr>
                <w:b/>
                <w:bCs/>
                <w:sz w:val="24"/>
                <w:szCs w:val="24"/>
              </w:rPr>
              <w:t>5 years</w:t>
            </w:r>
          </w:p>
        </w:tc>
        <w:tc>
          <w:tcPr>
            <w:tcW w:w="819" w:type="pct"/>
          </w:tcPr>
          <w:p w14:paraId="55541335" w14:textId="77777777" w:rsidR="006D21E5" w:rsidRPr="00D11AD1" w:rsidRDefault="006D21E5" w:rsidP="00D11AD1">
            <w:pPr>
              <w:jc w:val="center"/>
              <w:rPr>
                <w:rFonts w:eastAsia="Times New Roman"/>
                <w:sz w:val="24"/>
                <w:szCs w:val="24"/>
              </w:rPr>
            </w:pPr>
            <w:r w:rsidRPr="00D11AD1">
              <w:rPr>
                <w:b/>
                <w:bCs/>
                <w:sz w:val="24"/>
                <w:szCs w:val="24"/>
              </w:rPr>
              <w:t>7 years</w:t>
            </w:r>
          </w:p>
        </w:tc>
      </w:tr>
      <w:tr w:rsidR="006D21E5" w:rsidRPr="00D11AD1" w14:paraId="5EF5BB7B" w14:textId="77777777" w:rsidTr="000A733F">
        <w:trPr>
          <w:trHeight w:val="283"/>
        </w:trPr>
        <w:tc>
          <w:tcPr>
            <w:tcW w:w="5000" w:type="pct"/>
            <w:gridSpan w:val="5"/>
          </w:tcPr>
          <w:p w14:paraId="44FDFD93" w14:textId="77777777" w:rsidR="006D21E5" w:rsidRPr="00D11AD1" w:rsidRDefault="006D21E5" w:rsidP="00D11AD1">
            <w:pPr>
              <w:rPr>
                <w:rFonts w:eastAsia="Times New Roman"/>
                <w:sz w:val="24"/>
                <w:szCs w:val="24"/>
              </w:rPr>
            </w:pPr>
            <w:r w:rsidRPr="00D11AD1">
              <w:rPr>
                <w:rFonts w:eastAsia="Times New Roman"/>
                <w:b/>
                <w:bCs/>
                <w:sz w:val="24"/>
                <w:szCs w:val="24"/>
              </w:rPr>
              <w:t>Major molecular response</w:t>
            </w:r>
          </w:p>
        </w:tc>
      </w:tr>
      <w:tr w:rsidR="006D21E5" w:rsidRPr="00D11AD1" w14:paraId="696449DF" w14:textId="77777777" w:rsidTr="000A733F">
        <w:trPr>
          <w:trHeight w:val="283"/>
        </w:trPr>
        <w:tc>
          <w:tcPr>
            <w:tcW w:w="1563" w:type="pct"/>
          </w:tcPr>
          <w:p w14:paraId="142637AD" w14:textId="77777777" w:rsidR="006D21E5" w:rsidRPr="00D11AD1" w:rsidRDefault="006D21E5" w:rsidP="00D11AD1">
            <w:pPr>
              <w:ind w:left="188"/>
              <w:rPr>
                <w:rFonts w:eastAsia="Times New Roman"/>
                <w:sz w:val="24"/>
                <w:szCs w:val="24"/>
              </w:rPr>
            </w:pPr>
            <w:r w:rsidRPr="00D11AD1">
              <w:rPr>
                <w:rFonts w:eastAsia="Times New Roman"/>
                <w:sz w:val="24"/>
                <w:szCs w:val="24"/>
              </w:rPr>
              <w:t>All patients</w:t>
            </w:r>
          </w:p>
        </w:tc>
        <w:tc>
          <w:tcPr>
            <w:tcW w:w="980" w:type="pct"/>
          </w:tcPr>
          <w:p w14:paraId="1932A118" w14:textId="77777777" w:rsidR="006D21E5" w:rsidRPr="00D11AD1" w:rsidRDefault="006D21E5" w:rsidP="00D11AD1">
            <w:pPr>
              <w:ind w:left="-65" w:right="-108"/>
              <w:jc w:val="center"/>
              <w:rPr>
                <w:rFonts w:eastAsia="Times New Roman"/>
                <w:sz w:val="24"/>
                <w:szCs w:val="24"/>
              </w:rPr>
            </w:pPr>
            <w:r w:rsidRPr="00D11AD1">
              <w:rPr>
                <w:sz w:val="24"/>
                <w:szCs w:val="24"/>
              </w:rPr>
              <w:t>n/a</w:t>
            </w:r>
          </w:p>
        </w:tc>
        <w:tc>
          <w:tcPr>
            <w:tcW w:w="819" w:type="pct"/>
          </w:tcPr>
          <w:p w14:paraId="465AE6DE" w14:textId="77777777" w:rsidR="006D21E5" w:rsidRPr="00D11AD1" w:rsidRDefault="006D21E5" w:rsidP="00D11AD1">
            <w:pPr>
              <w:ind w:left="-108" w:right="-160"/>
              <w:jc w:val="center"/>
              <w:rPr>
                <w:rFonts w:eastAsia="Times New Roman"/>
                <w:sz w:val="24"/>
                <w:szCs w:val="24"/>
              </w:rPr>
            </w:pPr>
            <w:r w:rsidRPr="00D11AD1">
              <w:rPr>
                <w:sz w:val="24"/>
                <w:szCs w:val="24"/>
              </w:rPr>
              <w:t>37% (57/154)</w:t>
            </w:r>
          </w:p>
        </w:tc>
        <w:tc>
          <w:tcPr>
            <w:tcW w:w="819" w:type="pct"/>
          </w:tcPr>
          <w:p w14:paraId="2857A1A0" w14:textId="77777777" w:rsidR="006D21E5" w:rsidRPr="00D11AD1" w:rsidRDefault="006D21E5" w:rsidP="00D11AD1">
            <w:pPr>
              <w:ind w:left="-108" w:right="-94"/>
              <w:jc w:val="center"/>
              <w:rPr>
                <w:rFonts w:eastAsia="Times New Roman"/>
                <w:sz w:val="24"/>
                <w:szCs w:val="24"/>
              </w:rPr>
            </w:pPr>
            <w:r w:rsidRPr="00D11AD1">
              <w:rPr>
                <w:sz w:val="24"/>
                <w:szCs w:val="24"/>
              </w:rPr>
              <w:t>44% (71/160)</w:t>
            </w:r>
          </w:p>
        </w:tc>
        <w:tc>
          <w:tcPr>
            <w:tcW w:w="819" w:type="pct"/>
          </w:tcPr>
          <w:p w14:paraId="44E03BD6" w14:textId="77777777" w:rsidR="006D21E5" w:rsidRPr="00D11AD1" w:rsidRDefault="006D21E5" w:rsidP="00D11AD1">
            <w:pPr>
              <w:ind w:left="-108" w:right="-108"/>
              <w:jc w:val="center"/>
              <w:rPr>
                <w:rFonts w:eastAsia="Times New Roman"/>
                <w:sz w:val="24"/>
                <w:szCs w:val="24"/>
              </w:rPr>
            </w:pPr>
            <w:r w:rsidRPr="00D11AD1">
              <w:rPr>
                <w:sz w:val="24"/>
                <w:szCs w:val="24"/>
              </w:rPr>
              <w:t>46% (73/160)</w:t>
            </w:r>
          </w:p>
        </w:tc>
      </w:tr>
      <w:tr w:rsidR="006D21E5" w:rsidRPr="00D11AD1" w14:paraId="148E8E5B" w14:textId="77777777" w:rsidTr="000A733F">
        <w:trPr>
          <w:trHeight w:val="283"/>
        </w:trPr>
        <w:tc>
          <w:tcPr>
            <w:tcW w:w="1563" w:type="pct"/>
          </w:tcPr>
          <w:p w14:paraId="4772D4A4" w14:textId="77777777" w:rsidR="006D21E5" w:rsidRPr="00D11AD1" w:rsidRDefault="006D21E5" w:rsidP="00D11AD1">
            <w:pPr>
              <w:ind w:left="188"/>
              <w:rPr>
                <w:rFonts w:eastAsia="Times New Roman"/>
                <w:sz w:val="24"/>
                <w:szCs w:val="24"/>
              </w:rPr>
            </w:pPr>
            <w:r w:rsidRPr="00D11AD1">
              <w:rPr>
                <w:rFonts w:eastAsia="Times New Roman"/>
                <w:sz w:val="24"/>
                <w:szCs w:val="24"/>
              </w:rPr>
              <w:t>Imatinib-resistant patients</w:t>
            </w:r>
          </w:p>
        </w:tc>
        <w:tc>
          <w:tcPr>
            <w:tcW w:w="980" w:type="pct"/>
          </w:tcPr>
          <w:p w14:paraId="1B546F3F" w14:textId="77777777" w:rsidR="006D21E5" w:rsidRPr="00D11AD1" w:rsidRDefault="006D21E5" w:rsidP="00D11AD1">
            <w:pPr>
              <w:ind w:left="-65" w:right="-108"/>
              <w:jc w:val="center"/>
              <w:rPr>
                <w:rFonts w:eastAsia="Times New Roman"/>
                <w:sz w:val="24"/>
                <w:szCs w:val="24"/>
              </w:rPr>
            </w:pPr>
            <w:r w:rsidRPr="00D11AD1">
              <w:rPr>
                <w:sz w:val="24"/>
                <w:szCs w:val="24"/>
              </w:rPr>
              <w:t>n/a</w:t>
            </w:r>
          </w:p>
        </w:tc>
        <w:tc>
          <w:tcPr>
            <w:tcW w:w="819" w:type="pct"/>
          </w:tcPr>
          <w:p w14:paraId="113C8B4C" w14:textId="77777777" w:rsidR="006D21E5" w:rsidRPr="00D11AD1" w:rsidRDefault="006D21E5" w:rsidP="00D11AD1">
            <w:pPr>
              <w:ind w:left="-108" w:right="-160"/>
              <w:jc w:val="center"/>
              <w:rPr>
                <w:rFonts w:eastAsia="Times New Roman"/>
                <w:sz w:val="24"/>
                <w:szCs w:val="24"/>
              </w:rPr>
            </w:pPr>
            <w:r w:rsidRPr="00D11AD1">
              <w:rPr>
                <w:sz w:val="24"/>
                <w:szCs w:val="24"/>
              </w:rPr>
              <w:t>35% (41/117)</w:t>
            </w:r>
          </w:p>
        </w:tc>
        <w:tc>
          <w:tcPr>
            <w:tcW w:w="819" w:type="pct"/>
          </w:tcPr>
          <w:p w14:paraId="5AB89A0E" w14:textId="77777777" w:rsidR="006D21E5" w:rsidRPr="00D11AD1" w:rsidRDefault="006D21E5" w:rsidP="00D11AD1">
            <w:pPr>
              <w:ind w:left="-108" w:right="-94"/>
              <w:jc w:val="center"/>
              <w:rPr>
                <w:rFonts w:eastAsia="Times New Roman"/>
                <w:sz w:val="24"/>
                <w:szCs w:val="24"/>
              </w:rPr>
            </w:pPr>
            <w:r w:rsidRPr="00D11AD1">
              <w:rPr>
                <w:sz w:val="24"/>
                <w:szCs w:val="24"/>
              </w:rPr>
              <w:t>42% (50/120)</w:t>
            </w:r>
          </w:p>
        </w:tc>
        <w:tc>
          <w:tcPr>
            <w:tcW w:w="819" w:type="pct"/>
          </w:tcPr>
          <w:p w14:paraId="76FAF4CF" w14:textId="77777777" w:rsidR="006D21E5" w:rsidRPr="00D11AD1" w:rsidRDefault="006D21E5" w:rsidP="00D11AD1">
            <w:pPr>
              <w:ind w:left="-108" w:right="-108"/>
              <w:jc w:val="center"/>
              <w:rPr>
                <w:rFonts w:eastAsia="Times New Roman"/>
                <w:sz w:val="24"/>
                <w:szCs w:val="24"/>
              </w:rPr>
            </w:pPr>
            <w:r w:rsidRPr="00D11AD1">
              <w:rPr>
                <w:sz w:val="24"/>
                <w:szCs w:val="24"/>
              </w:rPr>
              <w:t>43% (51/120)</w:t>
            </w:r>
          </w:p>
        </w:tc>
      </w:tr>
      <w:tr w:rsidR="006D21E5" w:rsidRPr="00D11AD1" w14:paraId="2E71D15C" w14:textId="77777777" w:rsidTr="000A733F">
        <w:trPr>
          <w:trHeight w:val="283"/>
        </w:trPr>
        <w:tc>
          <w:tcPr>
            <w:tcW w:w="1563" w:type="pct"/>
          </w:tcPr>
          <w:p w14:paraId="3BF7F4ED" w14:textId="77777777" w:rsidR="006D21E5" w:rsidRPr="00D11AD1" w:rsidRDefault="006D21E5" w:rsidP="00D11AD1">
            <w:pPr>
              <w:ind w:left="188" w:right="-168"/>
              <w:rPr>
                <w:rFonts w:eastAsia="Times New Roman"/>
                <w:sz w:val="24"/>
                <w:szCs w:val="24"/>
              </w:rPr>
            </w:pPr>
            <w:r w:rsidRPr="00D11AD1">
              <w:rPr>
                <w:rFonts w:eastAsia="Times New Roman"/>
                <w:sz w:val="24"/>
                <w:szCs w:val="24"/>
              </w:rPr>
              <w:t>Imatinib-intolerant patients</w:t>
            </w:r>
          </w:p>
        </w:tc>
        <w:tc>
          <w:tcPr>
            <w:tcW w:w="980" w:type="pct"/>
          </w:tcPr>
          <w:p w14:paraId="327C06F5" w14:textId="77777777" w:rsidR="006D21E5" w:rsidRPr="00D11AD1" w:rsidRDefault="006D21E5" w:rsidP="00D11AD1">
            <w:pPr>
              <w:ind w:left="-65" w:right="-108"/>
              <w:jc w:val="center"/>
              <w:rPr>
                <w:rFonts w:eastAsia="Times New Roman"/>
                <w:sz w:val="24"/>
                <w:szCs w:val="24"/>
              </w:rPr>
            </w:pPr>
            <w:r w:rsidRPr="00D11AD1">
              <w:rPr>
                <w:sz w:val="24"/>
                <w:szCs w:val="24"/>
              </w:rPr>
              <w:t>n/a</w:t>
            </w:r>
          </w:p>
        </w:tc>
        <w:tc>
          <w:tcPr>
            <w:tcW w:w="819" w:type="pct"/>
          </w:tcPr>
          <w:p w14:paraId="5B23BD31" w14:textId="77777777" w:rsidR="006D21E5" w:rsidRPr="00D11AD1" w:rsidRDefault="006D21E5" w:rsidP="00D11AD1">
            <w:pPr>
              <w:ind w:left="-108" w:right="-160"/>
              <w:jc w:val="center"/>
              <w:rPr>
                <w:rFonts w:eastAsia="Times New Roman"/>
                <w:sz w:val="24"/>
                <w:szCs w:val="24"/>
              </w:rPr>
            </w:pPr>
            <w:r w:rsidRPr="00D11AD1">
              <w:rPr>
                <w:sz w:val="24"/>
                <w:szCs w:val="24"/>
              </w:rPr>
              <w:t>43% (16/37)</w:t>
            </w:r>
          </w:p>
        </w:tc>
        <w:tc>
          <w:tcPr>
            <w:tcW w:w="819" w:type="pct"/>
          </w:tcPr>
          <w:p w14:paraId="051DF8FD" w14:textId="77777777" w:rsidR="006D21E5" w:rsidRPr="00D11AD1" w:rsidRDefault="006D21E5" w:rsidP="00D11AD1">
            <w:pPr>
              <w:ind w:left="-108" w:right="-94"/>
              <w:jc w:val="center"/>
              <w:rPr>
                <w:rFonts w:eastAsia="Times New Roman"/>
                <w:sz w:val="24"/>
                <w:szCs w:val="24"/>
              </w:rPr>
            </w:pPr>
            <w:r w:rsidRPr="00D11AD1">
              <w:rPr>
                <w:sz w:val="24"/>
                <w:szCs w:val="24"/>
              </w:rPr>
              <w:t>53% (21/40)</w:t>
            </w:r>
          </w:p>
        </w:tc>
        <w:tc>
          <w:tcPr>
            <w:tcW w:w="819" w:type="pct"/>
          </w:tcPr>
          <w:p w14:paraId="69E5C2DF" w14:textId="77777777" w:rsidR="006D21E5" w:rsidRPr="00D11AD1" w:rsidRDefault="006D21E5" w:rsidP="00D11AD1">
            <w:pPr>
              <w:ind w:left="-108" w:right="-108"/>
              <w:jc w:val="center"/>
              <w:rPr>
                <w:rFonts w:eastAsia="Times New Roman"/>
                <w:sz w:val="24"/>
                <w:szCs w:val="24"/>
              </w:rPr>
            </w:pPr>
            <w:r w:rsidRPr="00D11AD1">
              <w:rPr>
                <w:sz w:val="24"/>
                <w:szCs w:val="24"/>
              </w:rPr>
              <w:t>55% (22/40)</w:t>
            </w:r>
          </w:p>
        </w:tc>
      </w:tr>
      <w:tr w:rsidR="006D21E5" w:rsidRPr="00D11AD1" w14:paraId="53A08308" w14:textId="77777777" w:rsidTr="000A733F">
        <w:trPr>
          <w:trHeight w:val="283"/>
        </w:trPr>
        <w:tc>
          <w:tcPr>
            <w:tcW w:w="5000" w:type="pct"/>
            <w:gridSpan w:val="5"/>
          </w:tcPr>
          <w:p w14:paraId="5F7982EC" w14:textId="77777777" w:rsidR="006D21E5" w:rsidRPr="00D11AD1" w:rsidRDefault="006D21E5" w:rsidP="00D11AD1">
            <w:pPr>
              <w:ind w:right="-108"/>
              <w:rPr>
                <w:rFonts w:eastAsia="Times New Roman"/>
                <w:sz w:val="24"/>
                <w:szCs w:val="24"/>
              </w:rPr>
            </w:pPr>
            <w:r w:rsidRPr="00D11AD1">
              <w:rPr>
                <w:rFonts w:eastAsia="Times New Roman"/>
                <w:b/>
                <w:bCs/>
                <w:sz w:val="24"/>
                <w:szCs w:val="24"/>
              </w:rPr>
              <w:t>Progression-free survival</w:t>
            </w:r>
            <w:r w:rsidRPr="00D11AD1">
              <w:rPr>
                <w:rFonts w:eastAsia="Times New Roman"/>
                <w:b/>
                <w:bCs/>
                <w:sz w:val="24"/>
                <w:szCs w:val="24"/>
                <w:vertAlign w:val="superscript"/>
              </w:rPr>
              <w:t>b</w:t>
            </w:r>
          </w:p>
        </w:tc>
      </w:tr>
      <w:tr w:rsidR="006D21E5" w:rsidRPr="00D11AD1" w14:paraId="4C4DDD7B" w14:textId="77777777" w:rsidTr="000A733F">
        <w:trPr>
          <w:trHeight w:val="283"/>
        </w:trPr>
        <w:tc>
          <w:tcPr>
            <w:tcW w:w="1563" w:type="pct"/>
          </w:tcPr>
          <w:p w14:paraId="4FCFA7F1" w14:textId="77777777" w:rsidR="006D21E5" w:rsidRPr="00D11AD1" w:rsidRDefault="006D21E5" w:rsidP="00D11AD1">
            <w:pPr>
              <w:ind w:left="188"/>
              <w:rPr>
                <w:rFonts w:eastAsia="Times New Roman"/>
                <w:sz w:val="24"/>
                <w:szCs w:val="24"/>
              </w:rPr>
            </w:pPr>
            <w:r w:rsidRPr="00D11AD1">
              <w:rPr>
                <w:rFonts w:eastAsia="Times New Roman"/>
                <w:sz w:val="24"/>
                <w:szCs w:val="24"/>
              </w:rPr>
              <w:t>All patients</w:t>
            </w:r>
          </w:p>
        </w:tc>
        <w:tc>
          <w:tcPr>
            <w:tcW w:w="980" w:type="pct"/>
          </w:tcPr>
          <w:p w14:paraId="6C6AA0D0" w14:textId="77777777" w:rsidR="006D21E5" w:rsidRPr="00D11AD1" w:rsidRDefault="006D21E5" w:rsidP="00D11AD1">
            <w:pPr>
              <w:ind w:left="-65" w:right="-108"/>
              <w:jc w:val="center"/>
              <w:rPr>
                <w:rFonts w:eastAsia="Times New Roman"/>
                <w:sz w:val="24"/>
                <w:szCs w:val="24"/>
              </w:rPr>
            </w:pPr>
            <w:r w:rsidRPr="00D11AD1">
              <w:rPr>
                <w:sz w:val="24"/>
                <w:szCs w:val="24"/>
              </w:rPr>
              <w:t>90% (86</w:t>
            </w:r>
            <w:r w:rsidRPr="00D11AD1">
              <w:rPr>
                <w:bCs/>
                <w:sz w:val="24"/>
                <w:szCs w:val="24"/>
              </w:rPr>
              <w:t xml:space="preserve"> – </w:t>
            </w:r>
            <w:r w:rsidRPr="00D11AD1">
              <w:rPr>
                <w:sz w:val="24"/>
                <w:szCs w:val="24"/>
              </w:rPr>
              <w:t>95)</w:t>
            </w:r>
          </w:p>
        </w:tc>
        <w:tc>
          <w:tcPr>
            <w:tcW w:w="819" w:type="pct"/>
          </w:tcPr>
          <w:p w14:paraId="51A84AB7" w14:textId="77777777" w:rsidR="006D21E5" w:rsidRPr="00D11AD1" w:rsidRDefault="006D21E5" w:rsidP="00D11AD1">
            <w:pPr>
              <w:ind w:left="-108" w:right="-160"/>
              <w:jc w:val="center"/>
              <w:rPr>
                <w:rFonts w:eastAsia="Times New Roman"/>
                <w:sz w:val="24"/>
                <w:szCs w:val="24"/>
              </w:rPr>
            </w:pPr>
            <w:r w:rsidRPr="00D11AD1">
              <w:rPr>
                <w:sz w:val="24"/>
                <w:szCs w:val="24"/>
              </w:rPr>
              <w:t>80% (73</w:t>
            </w:r>
            <w:r w:rsidRPr="00D11AD1">
              <w:rPr>
                <w:bCs/>
                <w:sz w:val="24"/>
                <w:szCs w:val="24"/>
              </w:rPr>
              <w:t xml:space="preserve"> – </w:t>
            </w:r>
            <w:r w:rsidRPr="00D11AD1">
              <w:rPr>
                <w:sz w:val="24"/>
                <w:szCs w:val="24"/>
              </w:rPr>
              <w:t>87)</w:t>
            </w:r>
          </w:p>
        </w:tc>
        <w:tc>
          <w:tcPr>
            <w:tcW w:w="819" w:type="pct"/>
          </w:tcPr>
          <w:p w14:paraId="404731C3" w14:textId="77777777" w:rsidR="006D21E5" w:rsidRPr="00D11AD1" w:rsidRDefault="006D21E5" w:rsidP="00D11AD1">
            <w:pPr>
              <w:ind w:left="-108" w:right="-94"/>
              <w:jc w:val="center"/>
              <w:rPr>
                <w:rFonts w:eastAsia="Times New Roman"/>
                <w:sz w:val="24"/>
                <w:szCs w:val="24"/>
              </w:rPr>
            </w:pPr>
            <w:r w:rsidRPr="00D11AD1">
              <w:rPr>
                <w:sz w:val="24"/>
                <w:szCs w:val="24"/>
              </w:rPr>
              <w:t>51% (41</w:t>
            </w:r>
            <w:r w:rsidRPr="00D11AD1">
              <w:rPr>
                <w:bCs/>
                <w:sz w:val="24"/>
                <w:szCs w:val="24"/>
              </w:rPr>
              <w:t xml:space="preserve"> – </w:t>
            </w:r>
            <w:r w:rsidRPr="00D11AD1">
              <w:rPr>
                <w:sz w:val="24"/>
                <w:szCs w:val="24"/>
              </w:rPr>
              <w:t>60)</w:t>
            </w:r>
          </w:p>
        </w:tc>
        <w:tc>
          <w:tcPr>
            <w:tcW w:w="819" w:type="pct"/>
          </w:tcPr>
          <w:p w14:paraId="064CD32B" w14:textId="77777777" w:rsidR="006D21E5" w:rsidRPr="00D11AD1" w:rsidRDefault="006D21E5" w:rsidP="00D11AD1">
            <w:pPr>
              <w:ind w:left="-108" w:right="-108"/>
              <w:jc w:val="center"/>
              <w:rPr>
                <w:rFonts w:eastAsia="Times New Roman"/>
                <w:sz w:val="24"/>
                <w:szCs w:val="24"/>
              </w:rPr>
            </w:pPr>
            <w:r w:rsidRPr="00D11AD1">
              <w:rPr>
                <w:sz w:val="24"/>
                <w:szCs w:val="24"/>
              </w:rPr>
              <w:t>42% (33</w:t>
            </w:r>
            <w:r w:rsidRPr="00D11AD1">
              <w:rPr>
                <w:bCs/>
                <w:sz w:val="24"/>
                <w:szCs w:val="24"/>
              </w:rPr>
              <w:t xml:space="preserve"> – </w:t>
            </w:r>
            <w:r w:rsidRPr="00D11AD1">
              <w:rPr>
                <w:sz w:val="24"/>
                <w:szCs w:val="24"/>
              </w:rPr>
              <w:t>51)</w:t>
            </w:r>
          </w:p>
        </w:tc>
      </w:tr>
      <w:tr w:rsidR="006D21E5" w:rsidRPr="00D11AD1" w14:paraId="550E4A64" w14:textId="77777777" w:rsidTr="000A733F">
        <w:trPr>
          <w:trHeight w:val="283"/>
        </w:trPr>
        <w:tc>
          <w:tcPr>
            <w:tcW w:w="1563" w:type="pct"/>
          </w:tcPr>
          <w:p w14:paraId="62368EC0" w14:textId="77777777" w:rsidR="006D21E5" w:rsidRPr="00D11AD1" w:rsidRDefault="006D21E5" w:rsidP="00D11AD1">
            <w:pPr>
              <w:ind w:left="188"/>
              <w:rPr>
                <w:rFonts w:eastAsia="Times New Roman"/>
                <w:sz w:val="24"/>
                <w:szCs w:val="24"/>
              </w:rPr>
            </w:pPr>
            <w:r w:rsidRPr="00D11AD1">
              <w:rPr>
                <w:rFonts w:eastAsia="Times New Roman"/>
                <w:sz w:val="24"/>
                <w:szCs w:val="24"/>
              </w:rPr>
              <w:t>Imatinib-resistant patients</w:t>
            </w:r>
          </w:p>
        </w:tc>
        <w:tc>
          <w:tcPr>
            <w:tcW w:w="980" w:type="pct"/>
          </w:tcPr>
          <w:p w14:paraId="620F3823" w14:textId="77777777" w:rsidR="006D21E5" w:rsidRPr="00D11AD1" w:rsidRDefault="006D21E5" w:rsidP="00D11AD1">
            <w:pPr>
              <w:ind w:left="-65" w:right="-108"/>
              <w:jc w:val="center"/>
              <w:rPr>
                <w:rFonts w:eastAsia="Times New Roman"/>
                <w:sz w:val="24"/>
                <w:szCs w:val="24"/>
              </w:rPr>
            </w:pPr>
            <w:r w:rsidRPr="00D11AD1">
              <w:rPr>
                <w:sz w:val="24"/>
                <w:szCs w:val="24"/>
              </w:rPr>
              <w:t>88% (82</w:t>
            </w:r>
            <w:r w:rsidRPr="00D11AD1">
              <w:rPr>
                <w:bCs/>
                <w:sz w:val="24"/>
                <w:szCs w:val="24"/>
              </w:rPr>
              <w:t xml:space="preserve"> – </w:t>
            </w:r>
            <w:r w:rsidRPr="00D11AD1">
              <w:rPr>
                <w:sz w:val="24"/>
                <w:szCs w:val="24"/>
              </w:rPr>
              <w:t>94)</w:t>
            </w:r>
          </w:p>
        </w:tc>
        <w:tc>
          <w:tcPr>
            <w:tcW w:w="819" w:type="pct"/>
          </w:tcPr>
          <w:p w14:paraId="7CE96F20" w14:textId="77777777" w:rsidR="006D21E5" w:rsidRPr="00D11AD1" w:rsidRDefault="006D21E5" w:rsidP="00D11AD1">
            <w:pPr>
              <w:ind w:left="-108" w:right="-160"/>
              <w:jc w:val="center"/>
              <w:rPr>
                <w:rFonts w:eastAsia="Times New Roman"/>
                <w:sz w:val="24"/>
                <w:szCs w:val="24"/>
              </w:rPr>
            </w:pPr>
            <w:r w:rsidRPr="00D11AD1">
              <w:rPr>
                <w:sz w:val="24"/>
                <w:szCs w:val="24"/>
              </w:rPr>
              <w:t>77% (68</w:t>
            </w:r>
            <w:r w:rsidRPr="00D11AD1">
              <w:rPr>
                <w:bCs/>
                <w:sz w:val="24"/>
                <w:szCs w:val="24"/>
              </w:rPr>
              <w:t xml:space="preserve"> – </w:t>
            </w:r>
            <w:r w:rsidRPr="00D11AD1">
              <w:rPr>
                <w:sz w:val="24"/>
                <w:szCs w:val="24"/>
              </w:rPr>
              <w:t>85)</w:t>
            </w:r>
          </w:p>
        </w:tc>
        <w:tc>
          <w:tcPr>
            <w:tcW w:w="819" w:type="pct"/>
          </w:tcPr>
          <w:p w14:paraId="22592BB8" w14:textId="77777777" w:rsidR="006D21E5" w:rsidRPr="00D11AD1" w:rsidRDefault="006D21E5" w:rsidP="00D11AD1">
            <w:pPr>
              <w:ind w:left="-108" w:right="-94"/>
              <w:jc w:val="center"/>
              <w:rPr>
                <w:rFonts w:eastAsia="Times New Roman"/>
                <w:sz w:val="24"/>
                <w:szCs w:val="24"/>
              </w:rPr>
            </w:pPr>
            <w:r w:rsidRPr="00D11AD1">
              <w:rPr>
                <w:sz w:val="24"/>
                <w:szCs w:val="24"/>
              </w:rPr>
              <w:t>49% (39</w:t>
            </w:r>
            <w:r w:rsidRPr="00D11AD1">
              <w:rPr>
                <w:bCs/>
                <w:sz w:val="24"/>
                <w:szCs w:val="24"/>
              </w:rPr>
              <w:t xml:space="preserve"> – </w:t>
            </w:r>
            <w:r w:rsidRPr="00D11AD1">
              <w:rPr>
                <w:sz w:val="24"/>
                <w:szCs w:val="24"/>
              </w:rPr>
              <w:t>59)</w:t>
            </w:r>
          </w:p>
        </w:tc>
        <w:tc>
          <w:tcPr>
            <w:tcW w:w="819" w:type="pct"/>
          </w:tcPr>
          <w:p w14:paraId="51EEE684" w14:textId="77777777" w:rsidR="006D21E5" w:rsidRPr="00D11AD1" w:rsidRDefault="006D21E5" w:rsidP="00D11AD1">
            <w:pPr>
              <w:ind w:left="-108" w:right="-108"/>
              <w:jc w:val="center"/>
              <w:rPr>
                <w:rFonts w:eastAsia="Times New Roman"/>
                <w:sz w:val="24"/>
                <w:szCs w:val="24"/>
              </w:rPr>
            </w:pPr>
            <w:r w:rsidRPr="00D11AD1">
              <w:rPr>
                <w:sz w:val="24"/>
                <w:szCs w:val="24"/>
              </w:rPr>
              <w:t>39% (29</w:t>
            </w:r>
            <w:r w:rsidRPr="00D11AD1">
              <w:rPr>
                <w:bCs/>
                <w:sz w:val="24"/>
                <w:szCs w:val="24"/>
              </w:rPr>
              <w:t xml:space="preserve"> – </w:t>
            </w:r>
            <w:r w:rsidRPr="00D11AD1">
              <w:rPr>
                <w:sz w:val="24"/>
                <w:szCs w:val="24"/>
              </w:rPr>
              <w:t>49)</w:t>
            </w:r>
          </w:p>
        </w:tc>
      </w:tr>
      <w:tr w:rsidR="006D21E5" w:rsidRPr="00D11AD1" w14:paraId="474819E7" w14:textId="77777777" w:rsidTr="000A733F">
        <w:trPr>
          <w:trHeight w:val="283"/>
        </w:trPr>
        <w:tc>
          <w:tcPr>
            <w:tcW w:w="1563" w:type="pct"/>
          </w:tcPr>
          <w:p w14:paraId="2048C282" w14:textId="77777777" w:rsidR="006D21E5" w:rsidRPr="00D11AD1" w:rsidRDefault="006D21E5" w:rsidP="00D11AD1">
            <w:pPr>
              <w:ind w:left="188" w:right="-168"/>
              <w:rPr>
                <w:rFonts w:eastAsia="Times New Roman"/>
                <w:sz w:val="24"/>
                <w:szCs w:val="24"/>
              </w:rPr>
            </w:pPr>
            <w:r w:rsidRPr="00D11AD1">
              <w:rPr>
                <w:rFonts w:eastAsia="Times New Roman"/>
                <w:sz w:val="24"/>
                <w:szCs w:val="24"/>
              </w:rPr>
              <w:t>Imatinib-intolerant patients</w:t>
            </w:r>
          </w:p>
        </w:tc>
        <w:tc>
          <w:tcPr>
            <w:tcW w:w="980" w:type="pct"/>
          </w:tcPr>
          <w:p w14:paraId="225AC973" w14:textId="77777777" w:rsidR="006D21E5" w:rsidRPr="00D11AD1" w:rsidRDefault="006D21E5" w:rsidP="00D11AD1">
            <w:pPr>
              <w:ind w:left="-65" w:right="-108"/>
              <w:jc w:val="center"/>
              <w:rPr>
                <w:rFonts w:eastAsia="Times New Roman"/>
                <w:sz w:val="24"/>
                <w:szCs w:val="24"/>
              </w:rPr>
            </w:pPr>
            <w:r w:rsidRPr="00D11AD1">
              <w:rPr>
                <w:sz w:val="24"/>
                <w:szCs w:val="24"/>
              </w:rPr>
              <w:t>97% (92</w:t>
            </w:r>
            <w:r w:rsidRPr="00D11AD1">
              <w:rPr>
                <w:bCs/>
                <w:sz w:val="24"/>
                <w:szCs w:val="24"/>
              </w:rPr>
              <w:t xml:space="preserve"> – </w:t>
            </w:r>
            <w:r w:rsidRPr="00D11AD1">
              <w:rPr>
                <w:sz w:val="24"/>
                <w:szCs w:val="24"/>
              </w:rPr>
              <w:t>100)</w:t>
            </w:r>
          </w:p>
        </w:tc>
        <w:tc>
          <w:tcPr>
            <w:tcW w:w="819" w:type="pct"/>
          </w:tcPr>
          <w:p w14:paraId="0FEEFA8D" w14:textId="77777777" w:rsidR="006D21E5" w:rsidRPr="00D11AD1" w:rsidRDefault="006D21E5" w:rsidP="00D11AD1">
            <w:pPr>
              <w:ind w:left="-108" w:right="-160"/>
              <w:jc w:val="center"/>
              <w:rPr>
                <w:rFonts w:eastAsia="Times New Roman"/>
                <w:sz w:val="24"/>
                <w:szCs w:val="24"/>
              </w:rPr>
            </w:pPr>
            <w:r w:rsidRPr="00D11AD1">
              <w:rPr>
                <w:sz w:val="24"/>
                <w:szCs w:val="24"/>
              </w:rPr>
              <w:t>87% (76</w:t>
            </w:r>
            <w:r w:rsidRPr="00D11AD1">
              <w:rPr>
                <w:bCs/>
                <w:sz w:val="24"/>
                <w:szCs w:val="24"/>
              </w:rPr>
              <w:t xml:space="preserve"> – </w:t>
            </w:r>
            <w:r w:rsidRPr="00D11AD1">
              <w:rPr>
                <w:sz w:val="24"/>
                <w:szCs w:val="24"/>
              </w:rPr>
              <w:t>99)</w:t>
            </w:r>
          </w:p>
        </w:tc>
        <w:tc>
          <w:tcPr>
            <w:tcW w:w="819" w:type="pct"/>
          </w:tcPr>
          <w:p w14:paraId="5E0EA86C" w14:textId="77777777" w:rsidR="006D21E5" w:rsidRPr="00D11AD1" w:rsidRDefault="006D21E5" w:rsidP="00D11AD1">
            <w:pPr>
              <w:ind w:left="-108" w:right="-94"/>
              <w:jc w:val="center"/>
              <w:rPr>
                <w:rFonts w:eastAsia="Times New Roman"/>
                <w:sz w:val="24"/>
                <w:szCs w:val="24"/>
              </w:rPr>
            </w:pPr>
            <w:r w:rsidRPr="00D11AD1">
              <w:rPr>
                <w:sz w:val="24"/>
                <w:szCs w:val="24"/>
              </w:rPr>
              <w:t>56% (37</w:t>
            </w:r>
            <w:r w:rsidRPr="00D11AD1">
              <w:rPr>
                <w:bCs/>
                <w:sz w:val="24"/>
                <w:szCs w:val="24"/>
              </w:rPr>
              <w:t xml:space="preserve"> – </w:t>
            </w:r>
            <w:r w:rsidRPr="00D11AD1">
              <w:rPr>
                <w:sz w:val="24"/>
                <w:szCs w:val="24"/>
              </w:rPr>
              <w:t>76)</w:t>
            </w:r>
          </w:p>
        </w:tc>
        <w:tc>
          <w:tcPr>
            <w:tcW w:w="819" w:type="pct"/>
          </w:tcPr>
          <w:p w14:paraId="73600FB9" w14:textId="77777777" w:rsidR="006D21E5" w:rsidRPr="00D11AD1" w:rsidRDefault="006D21E5" w:rsidP="00D11AD1">
            <w:pPr>
              <w:ind w:left="-108" w:right="-108"/>
              <w:jc w:val="center"/>
              <w:rPr>
                <w:rFonts w:eastAsia="Times New Roman"/>
                <w:sz w:val="24"/>
                <w:szCs w:val="24"/>
              </w:rPr>
            </w:pPr>
            <w:r w:rsidRPr="00D11AD1">
              <w:rPr>
                <w:sz w:val="24"/>
                <w:szCs w:val="24"/>
              </w:rPr>
              <w:t>51% (32</w:t>
            </w:r>
            <w:r w:rsidRPr="00D11AD1">
              <w:rPr>
                <w:bCs/>
                <w:sz w:val="24"/>
                <w:szCs w:val="24"/>
              </w:rPr>
              <w:t xml:space="preserve"> – </w:t>
            </w:r>
            <w:r w:rsidRPr="00D11AD1">
              <w:rPr>
                <w:sz w:val="24"/>
                <w:szCs w:val="24"/>
              </w:rPr>
              <w:t>67)</w:t>
            </w:r>
          </w:p>
        </w:tc>
      </w:tr>
      <w:tr w:rsidR="006D21E5" w:rsidRPr="00D11AD1" w14:paraId="5FAFC552" w14:textId="77777777" w:rsidTr="000A733F">
        <w:trPr>
          <w:trHeight w:val="283"/>
        </w:trPr>
        <w:tc>
          <w:tcPr>
            <w:tcW w:w="5000" w:type="pct"/>
            <w:gridSpan w:val="5"/>
          </w:tcPr>
          <w:p w14:paraId="341689C3" w14:textId="77777777" w:rsidR="006D21E5" w:rsidRPr="00D11AD1" w:rsidRDefault="006D21E5" w:rsidP="00D11AD1">
            <w:pPr>
              <w:ind w:right="-108"/>
              <w:rPr>
                <w:rFonts w:eastAsia="Times New Roman"/>
                <w:bCs/>
                <w:sz w:val="24"/>
                <w:szCs w:val="24"/>
              </w:rPr>
            </w:pPr>
            <w:r w:rsidRPr="00D11AD1">
              <w:rPr>
                <w:rFonts w:eastAsia="Times New Roman"/>
                <w:b/>
                <w:bCs/>
                <w:sz w:val="24"/>
                <w:szCs w:val="24"/>
              </w:rPr>
              <w:t>Overall survival</w:t>
            </w:r>
          </w:p>
        </w:tc>
      </w:tr>
      <w:tr w:rsidR="006D21E5" w:rsidRPr="00D11AD1" w14:paraId="4DC69265" w14:textId="77777777" w:rsidTr="000A733F">
        <w:trPr>
          <w:trHeight w:val="283"/>
        </w:trPr>
        <w:tc>
          <w:tcPr>
            <w:tcW w:w="1563" w:type="pct"/>
          </w:tcPr>
          <w:p w14:paraId="7531BF91" w14:textId="77777777" w:rsidR="006D21E5" w:rsidRPr="00D11AD1" w:rsidRDefault="006D21E5" w:rsidP="00D11AD1">
            <w:pPr>
              <w:ind w:left="188"/>
              <w:rPr>
                <w:rFonts w:eastAsia="Times New Roman"/>
                <w:sz w:val="24"/>
                <w:szCs w:val="24"/>
              </w:rPr>
            </w:pPr>
            <w:r w:rsidRPr="00D11AD1">
              <w:rPr>
                <w:rFonts w:eastAsia="Times New Roman"/>
                <w:sz w:val="24"/>
                <w:szCs w:val="24"/>
              </w:rPr>
              <w:t>All patients</w:t>
            </w:r>
          </w:p>
        </w:tc>
        <w:tc>
          <w:tcPr>
            <w:tcW w:w="980" w:type="pct"/>
          </w:tcPr>
          <w:p w14:paraId="108F0348" w14:textId="77777777" w:rsidR="006D21E5" w:rsidRPr="00D11AD1" w:rsidRDefault="006D21E5" w:rsidP="00D11AD1">
            <w:pPr>
              <w:ind w:left="-65" w:right="-108"/>
              <w:jc w:val="center"/>
              <w:rPr>
                <w:rFonts w:eastAsia="Times New Roman"/>
                <w:sz w:val="24"/>
                <w:szCs w:val="24"/>
              </w:rPr>
            </w:pPr>
            <w:r w:rsidRPr="00D11AD1">
              <w:rPr>
                <w:sz w:val="24"/>
                <w:szCs w:val="24"/>
              </w:rPr>
              <w:t>96% (93</w:t>
            </w:r>
            <w:r w:rsidRPr="00D11AD1">
              <w:rPr>
                <w:bCs/>
                <w:sz w:val="24"/>
                <w:szCs w:val="24"/>
              </w:rPr>
              <w:t xml:space="preserve"> – </w:t>
            </w:r>
            <w:r w:rsidRPr="00D11AD1">
              <w:rPr>
                <w:sz w:val="24"/>
                <w:szCs w:val="24"/>
              </w:rPr>
              <w:t>99)</w:t>
            </w:r>
          </w:p>
        </w:tc>
        <w:tc>
          <w:tcPr>
            <w:tcW w:w="819" w:type="pct"/>
          </w:tcPr>
          <w:p w14:paraId="597DA052" w14:textId="77777777" w:rsidR="006D21E5" w:rsidRPr="00D11AD1" w:rsidRDefault="006D21E5" w:rsidP="00D11AD1">
            <w:pPr>
              <w:ind w:left="-108" w:right="-160"/>
              <w:jc w:val="center"/>
              <w:rPr>
                <w:rFonts w:eastAsia="Times New Roman"/>
                <w:sz w:val="24"/>
                <w:szCs w:val="24"/>
              </w:rPr>
            </w:pPr>
            <w:r w:rsidRPr="00D11AD1">
              <w:rPr>
                <w:sz w:val="24"/>
                <w:szCs w:val="24"/>
              </w:rPr>
              <w:t>91% (86</w:t>
            </w:r>
            <w:r w:rsidRPr="00D11AD1">
              <w:rPr>
                <w:bCs/>
                <w:sz w:val="24"/>
                <w:szCs w:val="24"/>
              </w:rPr>
              <w:t xml:space="preserve"> – </w:t>
            </w:r>
            <w:r w:rsidRPr="00D11AD1">
              <w:rPr>
                <w:sz w:val="24"/>
                <w:szCs w:val="24"/>
              </w:rPr>
              <w:t>96)</w:t>
            </w:r>
          </w:p>
        </w:tc>
        <w:tc>
          <w:tcPr>
            <w:tcW w:w="819" w:type="pct"/>
          </w:tcPr>
          <w:p w14:paraId="437C4859" w14:textId="77777777" w:rsidR="006D21E5" w:rsidRPr="00D11AD1" w:rsidRDefault="006D21E5" w:rsidP="00D11AD1">
            <w:pPr>
              <w:ind w:left="-108" w:right="-94"/>
              <w:jc w:val="center"/>
              <w:rPr>
                <w:rFonts w:eastAsia="Times New Roman"/>
                <w:sz w:val="24"/>
                <w:szCs w:val="24"/>
              </w:rPr>
            </w:pPr>
            <w:r w:rsidRPr="00D11AD1">
              <w:rPr>
                <w:sz w:val="24"/>
                <w:szCs w:val="24"/>
              </w:rPr>
              <w:t>78% (72</w:t>
            </w:r>
            <w:r w:rsidRPr="00D11AD1">
              <w:rPr>
                <w:bCs/>
                <w:sz w:val="24"/>
                <w:szCs w:val="24"/>
              </w:rPr>
              <w:t xml:space="preserve"> – </w:t>
            </w:r>
            <w:r w:rsidRPr="00D11AD1">
              <w:rPr>
                <w:sz w:val="24"/>
                <w:szCs w:val="24"/>
              </w:rPr>
              <w:t>85)</w:t>
            </w:r>
          </w:p>
        </w:tc>
        <w:tc>
          <w:tcPr>
            <w:tcW w:w="819" w:type="pct"/>
          </w:tcPr>
          <w:p w14:paraId="11F06104" w14:textId="77777777" w:rsidR="006D21E5" w:rsidRPr="00D11AD1" w:rsidRDefault="006D21E5" w:rsidP="00D11AD1">
            <w:pPr>
              <w:ind w:left="-108" w:right="-108"/>
              <w:jc w:val="center"/>
              <w:rPr>
                <w:rFonts w:eastAsia="Times New Roman"/>
                <w:sz w:val="24"/>
                <w:szCs w:val="24"/>
              </w:rPr>
            </w:pPr>
            <w:r w:rsidRPr="00D11AD1">
              <w:rPr>
                <w:sz w:val="24"/>
                <w:szCs w:val="24"/>
              </w:rPr>
              <w:t>65% (56</w:t>
            </w:r>
            <w:r w:rsidRPr="00D11AD1">
              <w:rPr>
                <w:bCs/>
                <w:sz w:val="24"/>
                <w:szCs w:val="24"/>
              </w:rPr>
              <w:t xml:space="preserve"> – </w:t>
            </w:r>
            <w:r w:rsidRPr="00D11AD1">
              <w:rPr>
                <w:sz w:val="24"/>
                <w:szCs w:val="24"/>
              </w:rPr>
              <w:t>72)</w:t>
            </w:r>
          </w:p>
        </w:tc>
      </w:tr>
      <w:tr w:rsidR="006D21E5" w:rsidRPr="00D11AD1" w14:paraId="3916B204" w14:textId="77777777" w:rsidTr="000A733F">
        <w:trPr>
          <w:trHeight w:val="283"/>
        </w:trPr>
        <w:tc>
          <w:tcPr>
            <w:tcW w:w="1563" w:type="pct"/>
          </w:tcPr>
          <w:p w14:paraId="55EB1285" w14:textId="77777777" w:rsidR="006D21E5" w:rsidRPr="00D11AD1" w:rsidRDefault="006D21E5" w:rsidP="00D11AD1">
            <w:pPr>
              <w:ind w:left="188"/>
              <w:rPr>
                <w:rFonts w:eastAsia="Times New Roman"/>
                <w:sz w:val="24"/>
                <w:szCs w:val="24"/>
              </w:rPr>
            </w:pPr>
            <w:r w:rsidRPr="00D11AD1">
              <w:rPr>
                <w:rFonts w:eastAsia="Times New Roman"/>
                <w:sz w:val="24"/>
                <w:szCs w:val="24"/>
              </w:rPr>
              <w:t>Imatinib-resistant patients</w:t>
            </w:r>
          </w:p>
        </w:tc>
        <w:tc>
          <w:tcPr>
            <w:tcW w:w="980" w:type="pct"/>
          </w:tcPr>
          <w:p w14:paraId="36324C63" w14:textId="77777777" w:rsidR="006D21E5" w:rsidRPr="00D11AD1" w:rsidRDefault="006D21E5" w:rsidP="00D11AD1">
            <w:pPr>
              <w:ind w:left="-65" w:right="-108"/>
              <w:jc w:val="center"/>
              <w:rPr>
                <w:rFonts w:eastAsia="Times New Roman"/>
                <w:sz w:val="24"/>
                <w:szCs w:val="24"/>
              </w:rPr>
            </w:pPr>
            <w:r w:rsidRPr="00D11AD1">
              <w:rPr>
                <w:sz w:val="24"/>
                <w:szCs w:val="24"/>
              </w:rPr>
              <w:t>94% (90</w:t>
            </w:r>
            <w:r w:rsidRPr="00D11AD1">
              <w:rPr>
                <w:bCs/>
                <w:sz w:val="24"/>
                <w:szCs w:val="24"/>
              </w:rPr>
              <w:t xml:space="preserve"> – </w:t>
            </w:r>
            <w:r w:rsidRPr="00D11AD1">
              <w:rPr>
                <w:sz w:val="24"/>
                <w:szCs w:val="24"/>
              </w:rPr>
              <w:t>98)</w:t>
            </w:r>
          </w:p>
        </w:tc>
        <w:tc>
          <w:tcPr>
            <w:tcW w:w="819" w:type="pct"/>
          </w:tcPr>
          <w:p w14:paraId="42A94429" w14:textId="77777777" w:rsidR="006D21E5" w:rsidRPr="00D11AD1" w:rsidRDefault="006D21E5" w:rsidP="00D11AD1">
            <w:pPr>
              <w:ind w:left="-108" w:right="-160"/>
              <w:jc w:val="center"/>
              <w:rPr>
                <w:rFonts w:eastAsia="Times New Roman"/>
                <w:sz w:val="24"/>
                <w:szCs w:val="24"/>
              </w:rPr>
            </w:pPr>
            <w:r w:rsidRPr="00D11AD1">
              <w:rPr>
                <w:sz w:val="24"/>
                <w:szCs w:val="24"/>
              </w:rPr>
              <w:t>89% (84</w:t>
            </w:r>
            <w:r w:rsidRPr="00D11AD1">
              <w:rPr>
                <w:bCs/>
                <w:sz w:val="24"/>
                <w:szCs w:val="24"/>
              </w:rPr>
              <w:t xml:space="preserve"> – </w:t>
            </w:r>
            <w:r w:rsidRPr="00D11AD1">
              <w:rPr>
                <w:sz w:val="24"/>
                <w:szCs w:val="24"/>
              </w:rPr>
              <w:t>95)</w:t>
            </w:r>
          </w:p>
        </w:tc>
        <w:tc>
          <w:tcPr>
            <w:tcW w:w="819" w:type="pct"/>
          </w:tcPr>
          <w:p w14:paraId="72A8BCB2" w14:textId="77777777" w:rsidR="006D21E5" w:rsidRPr="00D11AD1" w:rsidRDefault="006D21E5" w:rsidP="00D11AD1">
            <w:pPr>
              <w:ind w:left="-108" w:right="-94"/>
              <w:jc w:val="center"/>
              <w:rPr>
                <w:rFonts w:eastAsia="Times New Roman"/>
                <w:sz w:val="24"/>
                <w:szCs w:val="24"/>
              </w:rPr>
            </w:pPr>
            <w:r w:rsidRPr="00D11AD1">
              <w:rPr>
                <w:sz w:val="24"/>
                <w:szCs w:val="24"/>
              </w:rPr>
              <w:t>77% (69</w:t>
            </w:r>
            <w:r w:rsidRPr="00D11AD1">
              <w:rPr>
                <w:bCs/>
                <w:sz w:val="24"/>
                <w:szCs w:val="24"/>
              </w:rPr>
              <w:t xml:space="preserve"> – </w:t>
            </w:r>
            <w:r w:rsidRPr="00D11AD1">
              <w:rPr>
                <w:sz w:val="24"/>
                <w:szCs w:val="24"/>
              </w:rPr>
              <w:t>85)</w:t>
            </w:r>
          </w:p>
        </w:tc>
        <w:tc>
          <w:tcPr>
            <w:tcW w:w="819" w:type="pct"/>
          </w:tcPr>
          <w:p w14:paraId="4E5BF6C5" w14:textId="77777777" w:rsidR="006D21E5" w:rsidRPr="00D11AD1" w:rsidRDefault="006D21E5" w:rsidP="00D11AD1">
            <w:pPr>
              <w:ind w:left="-108" w:right="-108"/>
              <w:jc w:val="center"/>
              <w:rPr>
                <w:rFonts w:eastAsia="Times New Roman"/>
                <w:sz w:val="24"/>
                <w:szCs w:val="24"/>
              </w:rPr>
            </w:pPr>
            <w:r w:rsidRPr="00D11AD1">
              <w:rPr>
                <w:sz w:val="24"/>
                <w:szCs w:val="24"/>
              </w:rPr>
              <w:t>63% (53</w:t>
            </w:r>
            <w:r w:rsidRPr="00D11AD1">
              <w:rPr>
                <w:bCs/>
                <w:sz w:val="24"/>
                <w:szCs w:val="24"/>
              </w:rPr>
              <w:t xml:space="preserve"> – </w:t>
            </w:r>
            <w:r w:rsidRPr="00D11AD1">
              <w:rPr>
                <w:sz w:val="24"/>
                <w:szCs w:val="24"/>
              </w:rPr>
              <w:t>71)</w:t>
            </w:r>
          </w:p>
        </w:tc>
      </w:tr>
      <w:tr w:rsidR="006D21E5" w:rsidRPr="00D11AD1" w14:paraId="6BA5EFEC" w14:textId="77777777" w:rsidTr="000A733F">
        <w:trPr>
          <w:trHeight w:val="283"/>
        </w:trPr>
        <w:tc>
          <w:tcPr>
            <w:tcW w:w="1563" w:type="pct"/>
          </w:tcPr>
          <w:p w14:paraId="36B8241D" w14:textId="77777777" w:rsidR="006D21E5" w:rsidRPr="00D11AD1" w:rsidRDefault="006D21E5" w:rsidP="00D11AD1">
            <w:pPr>
              <w:ind w:left="188" w:right="-168"/>
              <w:rPr>
                <w:rFonts w:eastAsia="Times New Roman"/>
                <w:sz w:val="24"/>
                <w:szCs w:val="24"/>
              </w:rPr>
            </w:pPr>
            <w:r w:rsidRPr="00D11AD1">
              <w:rPr>
                <w:rFonts w:eastAsia="Times New Roman"/>
                <w:sz w:val="24"/>
                <w:szCs w:val="24"/>
              </w:rPr>
              <w:t>Imatinib-intolerant patients</w:t>
            </w:r>
          </w:p>
        </w:tc>
        <w:tc>
          <w:tcPr>
            <w:tcW w:w="980" w:type="pct"/>
          </w:tcPr>
          <w:p w14:paraId="514E2C26" w14:textId="77777777" w:rsidR="006D21E5" w:rsidRPr="00D11AD1" w:rsidRDefault="006D21E5" w:rsidP="00D11AD1">
            <w:pPr>
              <w:ind w:left="-227" w:right="-204"/>
              <w:jc w:val="center"/>
              <w:rPr>
                <w:rFonts w:eastAsia="Times New Roman"/>
                <w:sz w:val="24"/>
                <w:szCs w:val="24"/>
              </w:rPr>
            </w:pPr>
            <w:r w:rsidRPr="00D11AD1">
              <w:rPr>
                <w:sz w:val="24"/>
                <w:szCs w:val="24"/>
              </w:rPr>
              <w:t>100% (100</w:t>
            </w:r>
            <w:r w:rsidRPr="00D11AD1">
              <w:rPr>
                <w:bCs/>
                <w:sz w:val="24"/>
                <w:szCs w:val="24"/>
              </w:rPr>
              <w:t xml:space="preserve"> – </w:t>
            </w:r>
            <w:r w:rsidRPr="00D11AD1">
              <w:rPr>
                <w:sz w:val="24"/>
                <w:szCs w:val="24"/>
              </w:rPr>
              <w:t>100)</w:t>
            </w:r>
          </w:p>
        </w:tc>
        <w:tc>
          <w:tcPr>
            <w:tcW w:w="819" w:type="pct"/>
          </w:tcPr>
          <w:p w14:paraId="3F008FD0" w14:textId="77777777" w:rsidR="006D21E5" w:rsidRPr="00D11AD1" w:rsidRDefault="006D21E5" w:rsidP="00D11AD1">
            <w:pPr>
              <w:ind w:left="-170" w:right="-159"/>
              <w:jc w:val="center"/>
              <w:rPr>
                <w:rFonts w:eastAsia="Times New Roman"/>
                <w:sz w:val="24"/>
                <w:szCs w:val="24"/>
              </w:rPr>
            </w:pPr>
            <w:r w:rsidRPr="00D11AD1">
              <w:rPr>
                <w:sz w:val="24"/>
                <w:szCs w:val="24"/>
              </w:rPr>
              <w:t>95% (88</w:t>
            </w:r>
            <w:r w:rsidRPr="00D11AD1">
              <w:rPr>
                <w:bCs/>
                <w:sz w:val="24"/>
                <w:szCs w:val="24"/>
              </w:rPr>
              <w:t xml:space="preserve"> – </w:t>
            </w:r>
            <w:r w:rsidRPr="00D11AD1">
              <w:rPr>
                <w:sz w:val="24"/>
                <w:szCs w:val="24"/>
              </w:rPr>
              <w:t>100)</w:t>
            </w:r>
          </w:p>
        </w:tc>
        <w:tc>
          <w:tcPr>
            <w:tcW w:w="819" w:type="pct"/>
          </w:tcPr>
          <w:p w14:paraId="1399E885" w14:textId="77777777" w:rsidR="006D21E5" w:rsidRPr="00D11AD1" w:rsidRDefault="006D21E5" w:rsidP="00D11AD1">
            <w:pPr>
              <w:ind w:left="-108" w:right="-94"/>
              <w:jc w:val="center"/>
              <w:rPr>
                <w:rFonts w:eastAsia="Times New Roman"/>
                <w:sz w:val="24"/>
                <w:szCs w:val="24"/>
              </w:rPr>
            </w:pPr>
            <w:r w:rsidRPr="00D11AD1">
              <w:rPr>
                <w:sz w:val="24"/>
                <w:szCs w:val="24"/>
              </w:rPr>
              <w:t>82% (70</w:t>
            </w:r>
            <w:r w:rsidRPr="00D11AD1">
              <w:rPr>
                <w:bCs/>
                <w:sz w:val="24"/>
                <w:szCs w:val="24"/>
              </w:rPr>
              <w:t xml:space="preserve"> – </w:t>
            </w:r>
            <w:r w:rsidRPr="00D11AD1">
              <w:rPr>
                <w:sz w:val="24"/>
                <w:szCs w:val="24"/>
              </w:rPr>
              <w:t>94)</w:t>
            </w:r>
          </w:p>
        </w:tc>
        <w:tc>
          <w:tcPr>
            <w:tcW w:w="819" w:type="pct"/>
          </w:tcPr>
          <w:p w14:paraId="1279F483" w14:textId="77777777" w:rsidR="006D21E5" w:rsidRPr="00D11AD1" w:rsidRDefault="006D21E5" w:rsidP="00D11AD1">
            <w:pPr>
              <w:ind w:left="-108" w:right="-108"/>
              <w:jc w:val="center"/>
              <w:rPr>
                <w:rFonts w:eastAsia="Times New Roman"/>
                <w:sz w:val="24"/>
                <w:szCs w:val="24"/>
              </w:rPr>
            </w:pPr>
            <w:r w:rsidRPr="00D11AD1">
              <w:rPr>
                <w:sz w:val="24"/>
                <w:szCs w:val="24"/>
              </w:rPr>
              <w:t>70% (52</w:t>
            </w:r>
            <w:r w:rsidRPr="00D11AD1">
              <w:rPr>
                <w:bCs/>
                <w:sz w:val="24"/>
                <w:szCs w:val="24"/>
              </w:rPr>
              <w:t xml:space="preserve"> – </w:t>
            </w:r>
            <w:r w:rsidRPr="00D11AD1">
              <w:rPr>
                <w:sz w:val="24"/>
                <w:szCs w:val="24"/>
              </w:rPr>
              <w:t>82)</w:t>
            </w:r>
          </w:p>
        </w:tc>
      </w:tr>
    </w:tbl>
    <w:p w14:paraId="77994482" w14:textId="1C97FF40" w:rsidR="008062F9" w:rsidRPr="00D11AD1" w:rsidRDefault="008062F9" w:rsidP="00A05952">
      <w:pPr>
        <w:adjustRightInd w:val="0"/>
        <w:ind w:left="993" w:hanging="142"/>
        <w:rPr>
          <w:rFonts w:eastAsia="TimesNewRomanPSMT"/>
          <w:sz w:val="24"/>
          <w:szCs w:val="24"/>
        </w:rPr>
      </w:pPr>
      <w:r w:rsidRPr="00D11AD1">
        <w:rPr>
          <w:position w:val="6"/>
          <w:sz w:val="24"/>
          <w:szCs w:val="24"/>
          <w:vertAlign w:val="superscript"/>
        </w:rPr>
        <w:t>a</w:t>
      </w:r>
      <w:r w:rsidR="00A05952" w:rsidRPr="00D11AD1">
        <w:rPr>
          <w:position w:val="6"/>
          <w:sz w:val="24"/>
          <w:szCs w:val="24"/>
          <w:vertAlign w:val="superscript"/>
        </w:rPr>
        <w:tab/>
      </w:r>
      <w:r w:rsidRPr="00D11AD1">
        <w:rPr>
          <w:position w:val="6"/>
          <w:sz w:val="24"/>
          <w:szCs w:val="24"/>
          <w:vertAlign w:val="superscript"/>
        </w:rPr>
        <w:t xml:space="preserve"> </w:t>
      </w:r>
      <w:r w:rsidRPr="00D11AD1">
        <w:rPr>
          <w:rFonts w:eastAsia="TimesNewRomanPSMT"/>
          <w:sz w:val="24"/>
          <w:szCs w:val="24"/>
        </w:rPr>
        <w:t xml:space="preserve">Resultater rapporteret med anbefalet startdosis på 100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w:t>
      </w:r>
    </w:p>
    <w:p w14:paraId="4DE620F8" w14:textId="6D28A0F4" w:rsidR="008062F9" w:rsidRPr="00D11AD1" w:rsidRDefault="008062F9" w:rsidP="00A05952">
      <w:pPr>
        <w:adjustRightInd w:val="0"/>
        <w:ind w:left="993" w:hanging="142"/>
        <w:rPr>
          <w:rFonts w:eastAsia="TimesNewRomanPSMT"/>
          <w:sz w:val="24"/>
          <w:szCs w:val="24"/>
        </w:rPr>
      </w:pPr>
      <w:r w:rsidRPr="00D11AD1">
        <w:rPr>
          <w:rFonts w:eastAsia="TimesNewRomanPSMT"/>
          <w:sz w:val="24"/>
          <w:szCs w:val="24"/>
          <w:vertAlign w:val="superscript"/>
        </w:rPr>
        <w:lastRenderedPageBreak/>
        <w:t>b</w:t>
      </w:r>
      <w:r w:rsidR="00A05952" w:rsidRPr="00D11AD1">
        <w:rPr>
          <w:rFonts w:eastAsia="TimesNewRomanPSMT"/>
          <w:sz w:val="24"/>
          <w:szCs w:val="24"/>
        </w:rPr>
        <w:tab/>
      </w:r>
      <w:r w:rsidRPr="00D11AD1">
        <w:rPr>
          <w:rFonts w:eastAsia="TimesNewRomanPSMT"/>
          <w:sz w:val="24"/>
          <w:szCs w:val="24"/>
        </w:rPr>
        <w:t>Progression blev defineret som øget WBC-tal, tab af CHR eller MCyR, ≥30</w:t>
      </w:r>
      <w:r w:rsidR="00FA34A4" w:rsidRPr="00D11AD1">
        <w:rPr>
          <w:rFonts w:eastAsia="TimesNewRomanPSMT"/>
          <w:sz w:val="24"/>
          <w:szCs w:val="24"/>
        </w:rPr>
        <w:t xml:space="preserve"> %</w:t>
      </w:r>
      <w:r w:rsidRPr="00D11AD1">
        <w:rPr>
          <w:rFonts w:eastAsia="TimesNewRomanPSMT"/>
          <w:sz w:val="24"/>
          <w:szCs w:val="24"/>
        </w:rPr>
        <w:t xml:space="preserve"> stigning i Ph+ metafaser, bekræftet AP/B</w:t>
      </w:r>
      <w:r w:rsidR="0091489A" w:rsidRPr="00D11AD1">
        <w:rPr>
          <w:rFonts w:eastAsia="TimesNewRomanPSMT"/>
          <w:sz w:val="24"/>
          <w:szCs w:val="24"/>
        </w:rPr>
        <w:t>P</w:t>
      </w:r>
      <w:r w:rsidR="009807D1" w:rsidRPr="00D11AD1">
        <w:rPr>
          <w:rFonts w:eastAsia="TimesNewRomanPSMT"/>
          <w:sz w:val="24"/>
          <w:szCs w:val="24"/>
        </w:rPr>
        <w:t>-</w:t>
      </w:r>
      <w:r w:rsidRPr="00D11AD1">
        <w:rPr>
          <w:rFonts w:eastAsia="TimesNewRomanPSMT"/>
          <w:sz w:val="24"/>
          <w:szCs w:val="24"/>
        </w:rPr>
        <w:t>sygdom eller død. PFS blev analyseret ud fra princippet intent-to-treat, og patienterne blev fulgt til hændelser inkluderende efterfølgende behandling.</w:t>
      </w:r>
    </w:p>
    <w:p w14:paraId="108B99BF" w14:textId="77777777" w:rsidR="008062F9" w:rsidRPr="00D11AD1" w:rsidRDefault="008062F9" w:rsidP="002445A3">
      <w:pPr>
        <w:adjustRightInd w:val="0"/>
        <w:ind w:left="851"/>
        <w:rPr>
          <w:rFonts w:eastAsia="TimesNewRomanPSMT"/>
          <w:sz w:val="24"/>
          <w:szCs w:val="24"/>
        </w:rPr>
      </w:pPr>
    </w:p>
    <w:p w14:paraId="5695EB15" w14:textId="2F6CEC80" w:rsidR="008062F9" w:rsidRPr="00D11AD1" w:rsidRDefault="008062F9" w:rsidP="002445A3">
      <w:pPr>
        <w:adjustRightInd w:val="0"/>
        <w:ind w:left="851"/>
        <w:rPr>
          <w:rFonts w:eastAsia="TimesNewRomanPSMT"/>
          <w:sz w:val="24"/>
          <w:szCs w:val="24"/>
        </w:rPr>
      </w:pPr>
      <w:r w:rsidRPr="00D11AD1">
        <w:rPr>
          <w:rFonts w:eastAsia="TimesNewRomanPSMT"/>
          <w:sz w:val="24"/>
          <w:szCs w:val="24"/>
        </w:rPr>
        <w:t>Baseret på Kaplan-Meier-estimater var antallet af patienter, som opretholdt MCyR i 18 måneder, 93</w:t>
      </w:r>
      <w:r w:rsidR="00FA34A4" w:rsidRPr="00D11AD1">
        <w:rPr>
          <w:rFonts w:eastAsia="TimesNewRomanPSMT"/>
          <w:sz w:val="24"/>
          <w:szCs w:val="24"/>
        </w:rPr>
        <w:t xml:space="preserve"> %</w:t>
      </w:r>
      <w:r w:rsidRPr="00D11AD1">
        <w:rPr>
          <w:rFonts w:eastAsia="TimesNewRomanPSMT"/>
          <w:sz w:val="24"/>
          <w:szCs w:val="24"/>
        </w:rPr>
        <w:t xml:space="preserve"> (95</w:t>
      </w:r>
      <w:r w:rsidR="00FA34A4" w:rsidRPr="00D11AD1">
        <w:rPr>
          <w:rFonts w:eastAsia="TimesNewRomanPSMT"/>
          <w:sz w:val="24"/>
          <w:szCs w:val="24"/>
        </w:rPr>
        <w:t xml:space="preserve"> %</w:t>
      </w:r>
      <w:r w:rsidRPr="00D11AD1">
        <w:rPr>
          <w:rFonts w:eastAsia="TimesNewRomanPSMT"/>
          <w:sz w:val="24"/>
          <w:szCs w:val="24"/>
        </w:rPr>
        <w:t xml:space="preserve"> CI: [88</w:t>
      </w:r>
      <w:r w:rsidR="00FA34A4" w:rsidRPr="00D11AD1">
        <w:rPr>
          <w:rFonts w:eastAsia="TimesNewRomanPSMT"/>
          <w:sz w:val="24"/>
          <w:szCs w:val="24"/>
        </w:rPr>
        <w:t xml:space="preserve"> %</w:t>
      </w:r>
      <w:r w:rsidRPr="00D11AD1">
        <w:rPr>
          <w:rFonts w:eastAsia="TimesNewRomanPSMT"/>
          <w:sz w:val="24"/>
          <w:szCs w:val="24"/>
        </w:rPr>
        <w:t>-98</w:t>
      </w:r>
      <w:r w:rsidR="00FA34A4" w:rsidRPr="00D11AD1">
        <w:rPr>
          <w:rFonts w:eastAsia="TimesNewRomanPSMT"/>
          <w:sz w:val="24"/>
          <w:szCs w:val="24"/>
        </w:rPr>
        <w:t xml:space="preserve"> %</w:t>
      </w:r>
      <w:r w:rsidRPr="00D11AD1">
        <w:rPr>
          <w:rFonts w:eastAsia="TimesNewRomanPSMT"/>
          <w:sz w:val="24"/>
          <w:szCs w:val="24"/>
        </w:rPr>
        <w:t xml:space="preserve">]) for de patienter, der blev behandlet med dasatinib 100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w:t>
      </w:r>
    </w:p>
    <w:p w14:paraId="50687565" w14:textId="77777777" w:rsidR="008062F9" w:rsidRPr="00D11AD1" w:rsidRDefault="008062F9" w:rsidP="002445A3">
      <w:pPr>
        <w:adjustRightInd w:val="0"/>
        <w:ind w:left="851"/>
        <w:rPr>
          <w:rFonts w:eastAsia="TimesNewRomanPSMT"/>
          <w:sz w:val="24"/>
          <w:szCs w:val="24"/>
        </w:rPr>
      </w:pPr>
    </w:p>
    <w:p w14:paraId="526C8BB1" w14:textId="4AB3ABD3" w:rsidR="008062F9" w:rsidRPr="00D11AD1" w:rsidRDefault="008062F9" w:rsidP="002445A3">
      <w:pPr>
        <w:adjustRightInd w:val="0"/>
        <w:ind w:left="851"/>
        <w:rPr>
          <w:rFonts w:eastAsia="TimesNewRomanPSMT"/>
          <w:sz w:val="24"/>
          <w:szCs w:val="24"/>
        </w:rPr>
      </w:pPr>
      <w:r w:rsidRPr="00D11AD1">
        <w:rPr>
          <w:rFonts w:eastAsia="TimesNewRomanPSMT"/>
          <w:sz w:val="24"/>
          <w:szCs w:val="24"/>
        </w:rPr>
        <w:t xml:space="preserve">Effekten blev også vurderet hos patienter, som var intolerante over for imatinib. Hos denne patientpopulation, som fik 100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blev MCyR opnået hos 77</w:t>
      </w:r>
      <w:r w:rsidR="00FA34A4" w:rsidRPr="00D11AD1">
        <w:rPr>
          <w:rFonts w:eastAsia="TimesNewRomanPSMT"/>
          <w:sz w:val="24"/>
          <w:szCs w:val="24"/>
        </w:rPr>
        <w:t xml:space="preserve"> %</w:t>
      </w:r>
      <w:r w:rsidRPr="00D11AD1">
        <w:rPr>
          <w:rFonts w:eastAsia="TimesNewRomanPSMT"/>
          <w:sz w:val="24"/>
          <w:szCs w:val="24"/>
        </w:rPr>
        <w:t xml:space="preserve"> og CCyR hos 67</w:t>
      </w:r>
      <w:r w:rsidR="00FA34A4" w:rsidRPr="00D11AD1">
        <w:rPr>
          <w:rFonts w:eastAsia="TimesNewRomanPSMT"/>
          <w:sz w:val="24"/>
          <w:szCs w:val="24"/>
        </w:rPr>
        <w:t xml:space="preserve"> %</w:t>
      </w:r>
      <w:r w:rsidRPr="00D11AD1">
        <w:rPr>
          <w:rFonts w:eastAsia="TimesNewRomanPSMT"/>
          <w:sz w:val="24"/>
          <w:szCs w:val="24"/>
        </w:rPr>
        <w:t>.</w:t>
      </w:r>
    </w:p>
    <w:p w14:paraId="2937E3A3" w14:textId="77777777" w:rsidR="008062F9" w:rsidRPr="00D11AD1" w:rsidRDefault="008062F9" w:rsidP="002445A3">
      <w:pPr>
        <w:pStyle w:val="Brdtekst"/>
        <w:spacing w:line="249" w:lineRule="auto"/>
        <w:ind w:left="851" w:right="547"/>
        <w:rPr>
          <w:w w:val="105"/>
          <w:sz w:val="24"/>
          <w:szCs w:val="24"/>
          <w:lang w:val="da-DK"/>
        </w:rPr>
      </w:pPr>
    </w:p>
    <w:p w14:paraId="6024B1FD" w14:textId="77777777" w:rsidR="008062F9" w:rsidRPr="00D11AD1" w:rsidRDefault="008062F9" w:rsidP="002445A3">
      <w:pPr>
        <w:adjustRightInd w:val="0"/>
        <w:ind w:left="851"/>
        <w:rPr>
          <w:rFonts w:eastAsiaTheme="minorHAnsi"/>
          <w:i/>
          <w:iCs/>
          <w:sz w:val="24"/>
          <w:szCs w:val="24"/>
          <w:lang w:val="nb-NO"/>
        </w:rPr>
      </w:pPr>
      <w:r w:rsidRPr="00D11AD1">
        <w:rPr>
          <w:rFonts w:eastAsiaTheme="minorHAnsi"/>
          <w:i/>
          <w:iCs/>
          <w:sz w:val="24"/>
          <w:szCs w:val="24"/>
          <w:lang w:val="nb-NO"/>
        </w:rPr>
        <w:t>Studie 2</w:t>
      </w:r>
    </w:p>
    <w:p w14:paraId="7ACD2593" w14:textId="2533CA4C" w:rsidR="008062F9" w:rsidRPr="00D11AD1" w:rsidRDefault="008062F9" w:rsidP="002445A3">
      <w:pPr>
        <w:adjustRightInd w:val="0"/>
        <w:ind w:left="851"/>
        <w:rPr>
          <w:rFonts w:eastAsia="TimesNewRomanPSMT"/>
          <w:sz w:val="24"/>
          <w:szCs w:val="24"/>
        </w:rPr>
      </w:pPr>
      <w:r w:rsidRPr="00D11AD1">
        <w:rPr>
          <w:rFonts w:eastAsia="TimesNewRomanPSMT"/>
          <w:sz w:val="24"/>
          <w:szCs w:val="24"/>
          <w:lang w:val="nb-NO"/>
        </w:rPr>
        <w:t xml:space="preserve">I studiet med CML i fremskreden fase og Ph+ALL var det primære endepunkt MaHR. </w:t>
      </w:r>
      <w:r w:rsidRPr="00D11AD1">
        <w:rPr>
          <w:rFonts w:eastAsia="TimesNewRomanPSMT"/>
          <w:sz w:val="24"/>
          <w:szCs w:val="24"/>
        </w:rPr>
        <w:t xml:space="preserve">I alt 611 patienter blev randomiseret til dasatinib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eller 70 mg 2 gange </w:t>
      </w:r>
      <w:r w:rsidR="00FA34A4" w:rsidRPr="00D11AD1">
        <w:rPr>
          <w:rFonts w:eastAsia="TimesNewRomanPSMT"/>
          <w:sz w:val="24"/>
          <w:szCs w:val="24"/>
        </w:rPr>
        <w:t>daglig</w:t>
      </w:r>
      <w:r w:rsidRPr="00D11AD1">
        <w:rPr>
          <w:rFonts w:eastAsia="TimesNewRomanPSMT"/>
          <w:sz w:val="24"/>
          <w:szCs w:val="24"/>
        </w:rPr>
        <w:t>. Medianbehandlingsvarighed var ca. 6 måneder (0,03‑31 måneder interval).</w:t>
      </w:r>
    </w:p>
    <w:p w14:paraId="2B278379" w14:textId="77777777" w:rsidR="008062F9" w:rsidRPr="00D11AD1" w:rsidRDefault="008062F9" w:rsidP="002445A3">
      <w:pPr>
        <w:adjustRightInd w:val="0"/>
        <w:ind w:left="851"/>
        <w:rPr>
          <w:rFonts w:eastAsia="TimesNewRomanPSMT"/>
          <w:sz w:val="24"/>
          <w:szCs w:val="24"/>
        </w:rPr>
      </w:pPr>
    </w:p>
    <w:p w14:paraId="25EB713B" w14:textId="741DF408" w:rsidR="008062F9" w:rsidRPr="00D11AD1" w:rsidRDefault="008062F9" w:rsidP="002445A3">
      <w:pPr>
        <w:adjustRightInd w:val="0"/>
        <w:ind w:left="851"/>
        <w:rPr>
          <w:rFonts w:eastAsia="TimesNewRomanPSMT"/>
          <w:sz w:val="24"/>
          <w:szCs w:val="24"/>
        </w:rPr>
      </w:pPr>
      <w:r w:rsidRPr="00D11AD1">
        <w:rPr>
          <w:rFonts w:eastAsia="TimesNewRomanPSMT"/>
          <w:sz w:val="24"/>
          <w:szCs w:val="24"/>
        </w:rPr>
        <w:t xml:space="preserve">Dosering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viste sammenlignelig effekt (non-inferioritet) med dosering 2 gange </w:t>
      </w:r>
      <w:r w:rsidR="00FA34A4" w:rsidRPr="00D11AD1">
        <w:rPr>
          <w:rFonts w:eastAsia="TimesNewRomanPSMT"/>
          <w:sz w:val="24"/>
          <w:szCs w:val="24"/>
        </w:rPr>
        <w:t>daglig</w:t>
      </w:r>
      <w:r w:rsidRPr="00D11AD1">
        <w:rPr>
          <w:rFonts w:eastAsia="TimesNewRomanPSMT"/>
          <w:sz w:val="24"/>
          <w:szCs w:val="24"/>
        </w:rPr>
        <w:t xml:space="preserve"> med hensyn til det primære effektendepunkt (forskel i MaHR 0,8</w:t>
      </w:r>
      <w:r w:rsidR="00FA34A4" w:rsidRPr="00D11AD1">
        <w:rPr>
          <w:rFonts w:eastAsia="TimesNewRomanPSMT"/>
          <w:sz w:val="24"/>
          <w:szCs w:val="24"/>
        </w:rPr>
        <w:t xml:space="preserve"> %</w:t>
      </w:r>
      <w:r w:rsidRPr="00D11AD1">
        <w:rPr>
          <w:rFonts w:eastAsia="TimesNewRomanPSMT"/>
          <w:sz w:val="24"/>
          <w:szCs w:val="24"/>
        </w:rPr>
        <w:t>; 95</w:t>
      </w:r>
      <w:r w:rsidR="00FA34A4" w:rsidRPr="00D11AD1">
        <w:rPr>
          <w:rFonts w:eastAsia="TimesNewRomanPSMT"/>
          <w:sz w:val="24"/>
          <w:szCs w:val="24"/>
        </w:rPr>
        <w:t xml:space="preserve"> %</w:t>
      </w:r>
      <w:r w:rsidRPr="00D11AD1">
        <w:rPr>
          <w:rFonts w:eastAsia="TimesNewRomanPSMT"/>
          <w:sz w:val="24"/>
          <w:szCs w:val="24"/>
        </w:rPr>
        <w:t xml:space="preserve"> konfidensinterval [-7,1</w:t>
      </w:r>
      <w:r w:rsidR="00FA34A4" w:rsidRPr="00D11AD1">
        <w:rPr>
          <w:rFonts w:eastAsia="TimesNewRomanPSMT"/>
          <w:sz w:val="24"/>
          <w:szCs w:val="24"/>
        </w:rPr>
        <w:t xml:space="preserve"> %</w:t>
      </w:r>
      <w:r w:rsidRPr="00D11AD1">
        <w:rPr>
          <w:rFonts w:eastAsia="TimesNewRomanPSMT"/>
          <w:sz w:val="24"/>
          <w:szCs w:val="24"/>
        </w:rPr>
        <w:t xml:space="preserve"> - 8,7</w:t>
      </w:r>
      <w:r w:rsidR="00FA34A4" w:rsidRPr="00D11AD1">
        <w:rPr>
          <w:rFonts w:eastAsia="TimesNewRomanPSMT"/>
          <w:sz w:val="24"/>
          <w:szCs w:val="24"/>
        </w:rPr>
        <w:t xml:space="preserve"> %</w:t>
      </w:r>
      <w:r w:rsidRPr="00D11AD1">
        <w:rPr>
          <w:rFonts w:eastAsia="TimesNewRomanPSMT"/>
          <w:sz w:val="24"/>
          <w:szCs w:val="24"/>
        </w:rPr>
        <w:t xml:space="preserve">]); behandling med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viste imidlertid forbedret sikkerhed og tolerabilitet.</w:t>
      </w:r>
    </w:p>
    <w:p w14:paraId="5463A7B8" w14:textId="77777777" w:rsidR="008062F9" w:rsidRPr="00D11AD1" w:rsidRDefault="008062F9" w:rsidP="002445A3">
      <w:pPr>
        <w:adjustRightInd w:val="0"/>
        <w:ind w:left="851"/>
        <w:rPr>
          <w:rFonts w:eastAsia="TimesNewRomanPSMT"/>
          <w:sz w:val="24"/>
          <w:szCs w:val="24"/>
        </w:rPr>
      </w:pPr>
    </w:p>
    <w:p w14:paraId="0E261C08" w14:textId="77777777" w:rsidR="008062F9" w:rsidRPr="00D11AD1" w:rsidRDefault="008062F9" w:rsidP="002445A3">
      <w:pPr>
        <w:pStyle w:val="Brdtekst"/>
        <w:spacing w:before="1"/>
        <w:ind w:left="851"/>
        <w:rPr>
          <w:rFonts w:eastAsia="TimesNewRomanPSMT"/>
          <w:sz w:val="24"/>
          <w:szCs w:val="24"/>
          <w:lang w:val="da-DK"/>
        </w:rPr>
      </w:pPr>
      <w:r w:rsidRPr="00D11AD1">
        <w:rPr>
          <w:rFonts w:eastAsia="TimesNewRomanPSMT"/>
          <w:sz w:val="24"/>
          <w:szCs w:val="24"/>
          <w:lang w:val="da-DK"/>
        </w:rPr>
        <w:t>Responsrater er vist i tabel 14.</w:t>
      </w:r>
    </w:p>
    <w:p w14:paraId="5A765D35" w14:textId="09E2B105" w:rsidR="00EA3138" w:rsidRPr="00D11AD1" w:rsidRDefault="00EA3138" w:rsidP="006D21E5">
      <w:pPr>
        <w:tabs>
          <w:tab w:val="left" w:pos="851"/>
        </w:tabs>
        <w:ind w:left="851"/>
        <w:rPr>
          <w:sz w:val="24"/>
          <w:szCs w:val="24"/>
        </w:rPr>
      </w:pPr>
    </w:p>
    <w:p w14:paraId="0E9B0084" w14:textId="0B88A510" w:rsidR="00FD5950" w:rsidRPr="00D11AD1" w:rsidRDefault="00FD5950" w:rsidP="006D21E5">
      <w:pPr>
        <w:adjustRightInd w:val="0"/>
        <w:ind w:left="851"/>
        <w:rPr>
          <w:rFonts w:eastAsia="TimesNewRomanPS-BoldMT"/>
          <w:b/>
          <w:bCs/>
          <w:sz w:val="24"/>
          <w:szCs w:val="24"/>
          <w:vertAlign w:val="superscript"/>
        </w:rPr>
      </w:pPr>
      <w:r w:rsidRPr="00D11AD1">
        <w:rPr>
          <w:b/>
          <w:sz w:val="24"/>
          <w:szCs w:val="24"/>
        </w:rPr>
        <w:t xml:space="preserve">Tabel 14: </w:t>
      </w:r>
      <w:r w:rsidRPr="00D11AD1">
        <w:rPr>
          <w:rFonts w:eastAsia="TimesNewRomanPS-BoldMT"/>
          <w:b/>
          <w:bCs/>
          <w:sz w:val="24"/>
          <w:szCs w:val="24"/>
        </w:rPr>
        <w:t xml:space="preserve">Effekt af </w:t>
      </w:r>
      <w:r w:rsidRPr="00D11AD1">
        <w:rPr>
          <w:rFonts w:eastAsia="TimesNewRomanPSMT"/>
          <w:b/>
          <w:sz w:val="24"/>
          <w:szCs w:val="24"/>
        </w:rPr>
        <w:t>dasatinib</w:t>
      </w:r>
      <w:r w:rsidR="00A71CBF" w:rsidRPr="00D11AD1">
        <w:rPr>
          <w:rFonts w:eastAsia="TimesNewRomanPSMT"/>
          <w:b/>
          <w:sz w:val="24"/>
          <w:szCs w:val="24"/>
        </w:rPr>
        <w:t xml:space="preserve"> </w:t>
      </w:r>
      <w:r w:rsidRPr="00D11AD1">
        <w:rPr>
          <w:rFonts w:eastAsia="TimesNewRomanPS-BoldMT"/>
          <w:b/>
          <w:bCs/>
          <w:sz w:val="24"/>
          <w:szCs w:val="24"/>
        </w:rPr>
        <w:t>i fase III-studie vedrørende dosisoptimering: CML og Ph+ ALL i fremskreden fase (resultater efter 2 år</w:t>
      </w:r>
      <w:r w:rsidR="00A71CBF" w:rsidRPr="00D11AD1">
        <w:rPr>
          <w:rFonts w:eastAsia="TimesNewRomanPS-BoldMT"/>
          <w:b/>
          <w:bCs/>
          <w:sz w:val="24"/>
          <w:szCs w:val="24"/>
        </w:rPr>
        <w:t>)</w:t>
      </w:r>
      <w:r w:rsidR="00A71CBF" w:rsidRPr="00D11AD1">
        <w:rPr>
          <w:rFonts w:eastAsia="TimesNewRomanPS-BoldMT"/>
          <w:b/>
          <w:bCs/>
          <w:sz w:val="24"/>
          <w:szCs w:val="24"/>
          <w:vertAlign w:val="superscript"/>
        </w:rPr>
        <w:t>a</w:t>
      </w:r>
    </w:p>
    <w:p w14:paraId="1430FB02" w14:textId="77777777" w:rsidR="00E70A5B" w:rsidRPr="00D11AD1" w:rsidRDefault="00E70A5B" w:rsidP="006D21E5">
      <w:pPr>
        <w:adjustRightInd w:val="0"/>
        <w:ind w:left="851"/>
        <w:rPr>
          <w:rFonts w:eastAsia="TimesNewRomanPS-BoldMT"/>
          <w:b/>
          <w:bCs/>
          <w:sz w:val="24"/>
          <w:szCs w:val="24"/>
        </w:rPr>
      </w:pPr>
    </w:p>
    <w:tbl>
      <w:tblPr>
        <w:tblStyle w:val="TableNormal1"/>
        <w:tblW w:w="5000" w:type="pct"/>
        <w:tblLook w:val="01E0" w:firstRow="1" w:lastRow="1" w:firstColumn="1" w:lastColumn="1" w:noHBand="0" w:noVBand="0"/>
      </w:tblPr>
      <w:tblGrid>
        <w:gridCol w:w="1359"/>
        <w:gridCol w:w="1926"/>
        <w:gridCol w:w="2056"/>
        <w:gridCol w:w="2236"/>
        <w:gridCol w:w="1777"/>
      </w:tblGrid>
      <w:tr w:rsidR="00FD5950" w:rsidRPr="00D11AD1" w14:paraId="32764C0C" w14:textId="77777777" w:rsidTr="000A733F">
        <w:trPr>
          <w:trHeight w:val="427"/>
        </w:trPr>
        <w:tc>
          <w:tcPr>
            <w:tcW w:w="726" w:type="pct"/>
            <w:tcBorders>
              <w:top w:val="single" w:sz="4" w:space="0" w:color="000000"/>
              <w:bottom w:val="single" w:sz="4" w:space="0" w:color="000000"/>
            </w:tcBorders>
          </w:tcPr>
          <w:p w14:paraId="6B6F83BE" w14:textId="77777777" w:rsidR="00FD5950" w:rsidRPr="00D11AD1" w:rsidRDefault="00FD5950" w:rsidP="006D21E5">
            <w:pPr>
              <w:pStyle w:val="TableParagraph"/>
              <w:rPr>
                <w:rFonts w:ascii="Times New Roman" w:hAnsi="Times New Roman" w:cs="Times New Roman"/>
                <w:sz w:val="24"/>
                <w:szCs w:val="24"/>
                <w:lang w:val="da-DK"/>
              </w:rPr>
            </w:pPr>
          </w:p>
        </w:tc>
        <w:tc>
          <w:tcPr>
            <w:tcW w:w="1029" w:type="pct"/>
            <w:tcBorders>
              <w:top w:val="single" w:sz="4" w:space="0" w:color="000000"/>
              <w:bottom w:val="single" w:sz="4" w:space="0" w:color="000000"/>
            </w:tcBorders>
          </w:tcPr>
          <w:p w14:paraId="301E0E47" w14:textId="77777777" w:rsidR="00FD5950" w:rsidRPr="00D11AD1" w:rsidRDefault="00FD5950" w:rsidP="006D21E5">
            <w:pPr>
              <w:pStyle w:val="TableParagraph"/>
              <w:ind w:right="474"/>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Accelereret</w:t>
            </w:r>
          </w:p>
          <w:p w14:paraId="0C16962F" w14:textId="77777777" w:rsidR="00FD5950" w:rsidRPr="00D11AD1" w:rsidRDefault="00FD5950" w:rsidP="006D21E5">
            <w:pPr>
              <w:pStyle w:val="TableParagraph"/>
              <w:ind w:left="458" w:right="474" w:hanging="152"/>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(n= 158)</w:t>
            </w:r>
          </w:p>
        </w:tc>
        <w:tc>
          <w:tcPr>
            <w:tcW w:w="1099" w:type="pct"/>
            <w:tcBorders>
              <w:top w:val="single" w:sz="4" w:space="0" w:color="000000"/>
              <w:bottom w:val="single" w:sz="4" w:space="0" w:color="000000"/>
            </w:tcBorders>
          </w:tcPr>
          <w:p w14:paraId="598C3B20" w14:textId="77777777" w:rsidR="00FD5950" w:rsidRPr="00D11AD1" w:rsidRDefault="00FD5950" w:rsidP="006D21E5">
            <w:pPr>
              <w:pStyle w:val="TableParagraph"/>
              <w:ind w:right="268"/>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Myeloid blast</w:t>
            </w:r>
          </w:p>
          <w:p w14:paraId="73C52159" w14:textId="77777777" w:rsidR="00FD5950" w:rsidRPr="00D11AD1" w:rsidRDefault="00FD5950" w:rsidP="006D21E5">
            <w:pPr>
              <w:pStyle w:val="TableParagraph"/>
              <w:ind w:left="769" w:right="268" w:hanging="276"/>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(n= 75)</w:t>
            </w:r>
          </w:p>
        </w:tc>
        <w:tc>
          <w:tcPr>
            <w:tcW w:w="1195" w:type="pct"/>
            <w:tcBorders>
              <w:top w:val="single" w:sz="4" w:space="0" w:color="000000"/>
              <w:bottom w:val="single" w:sz="4" w:space="0" w:color="000000"/>
            </w:tcBorders>
          </w:tcPr>
          <w:p w14:paraId="6C9D54A8" w14:textId="77777777" w:rsidR="00FD5950" w:rsidRPr="00D11AD1" w:rsidRDefault="00FD5950" w:rsidP="006D21E5">
            <w:pPr>
              <w:pStyle w:val="TableParagraph"/>
              <w:ind w:left="771" w:right="408" w:hanging="371"/>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Lymfoid blast (n= 33)</w:t>
            </w:r>
          </w:p>
        </w:tc>
        <w:tc>
          <w:tcPr>
            <w:tcW w:w="950" w:type="pct"/>
            <w:tcBorders>
              <w:top w:val="single" w:sz="4" w:space="0" w:color="000000"/>
              <w:bottom w:val="single" w:sz="4" w:space="0" w:color="000000"/>
            </w:tcBorders>
          </w:tcPr>
          <w:p w14:paraId="6AC59EA6" w14:textId="77777777" w:rsidR="00FD5950" w:rsidRPr="00D11AD1" w:rsidRDefault="00FD5950" w:rsidP="006D21E5">
            <w:pPr>
              <w:pStyle w:val="Brdtekst"/>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Ph+ALL</w:t>
            </w:r>
          </w:p>
          <w:p w14:paraId="3A643C9E" w14:textId="77777777" w:rsidR="00FD5950" w:rsidRPr="00D11AD1" w:rsidRDefault="00FD5950" w:rsidP="006D21E5">
            <w:pPr>
              <w:pStyle w:val="TableParagraph"/>
              <w:ind w:left="505" w:right="524" w:hanging="76"/>
              <w:jc w:val="center"/>
              <w:rPr>
                <w:rFonts w:ascii="Times New Roman" w:hAnsi="Times New Roman" w:cs="Times New Roman"/>
                <w:b/>
                <w:sz w:val="24"/>
                <w:szCs w:val="24"/>
                <w:lang w:val="da-DK"/>
              </w:rPr>
            </w:pPr>
            <w:r w:rsidRPr="00D11AD1">
              <w:rPr>
                <w:rFonts w:ascii="Times New Roman" w:hAnsi="Times New Roman" w:cs="Times New Roman"/>
                <w:b/>
                <w:sz w:val="24"/>
                <w:szCs w:val="24"/>
                <w:lang w:val="da-DK"/>
              </w:rPr>
              <w:t>(n= 40)</w:t>
            </w:r>
          </w:p>
        </w:tc>
      </w:tr>
      <w:tr w:rsidR="00FD5950" w:rsidRPr="00D11AD1" w14:paraId="7337FA93" w14:textId="77777777" w:rsidTr="000A733F">
        <w:trPr>
          <w:trHeight w:val="288"/>
        </w:trPr>
        <w:tc>
          <w:tcPr>
            <w:tcW w:w="726" w:type="pct"/>
            <w:tcBorders>
              <w:top w:val="single" w:sz="4" w:space="0" w:color="000000"/>
            </w:tcBorders>
          </w:tcPr>
          <w:p w14:paraId="7F50293E" w14:textId="77777777" w:rsidR="00FD5950" w:rsidRPr="00D11AD1" w:rsidRDefault="00FD5950" w:rsidP="006D21E5">
            <w:pPr>
              <w:pStyle w:val="TableParagraph"/>
              <w:ind w:left="108"/>
              <w:rPr>
                <w:rFonts w:ascii="Times New Roman" w:hAnsi="Times New Roman" w:cs="Times New Roman"/>
                <w:b/>
                <w:sz w:val="24"/>
                <w:szCs w:val="24"/>
                <w:lang w:val="da-DK"/>
              </w:rPr>
            </w:pPr>
            <w:r w:rsidRPr="00D11AD1">
              <w:rPr>
                <w:rFonts w:ascii="Times New Roman" w:hAnsi="Times New Roman" w:cs="Times New Roman"/>
                <w:b/>
                <w:sz w:val="24"/>
                <w:szCs w:val="24"/>
                <w:lang w:val="da-DK"/>
              </w:rPr>
              <w:t>MaHR</w:t>
            </w:r>
            <w:r w:rsidRPr="00D11AD1">
              <w:rPr>
                <w:rFonts w:ascii="Times New Roman" w:hAnsi="Times New Roman" w:cs="Times New Roman"/>
                <w:b/>
                <w:position w:val="8"/>
                <w:sz w:val="24"/>
                <w:szCs w:val="24"/>
                <w:lang w:val="da-DK"/>
              </w:rPr>
              <w:t>b</w:t>
            </w:r>
          </w:p>
        </w:tc>
        <w:tc>
          <w:tcPr>
            <w:tcW w:w="1029" w:type="pct"/>
            <w:tcBorders>
              <w:top w:val="single" w:sz="4" w:space="0" w:color="000000"/>
            </w:tcBorders>
          </w:tcPr>
          <w:p w14:paraId="414B3B44" w14:textId="2467864C" w:rsidR="00FD5950" w:rsidRPr="00D11AD1" w:rsidRDefault="00FD5950" w:rsidP="006D21E5">
            <w:pPr>
              <w:pStyle w:val="TableParagraph"/>
              <w:ind w:left="493"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66</w:t>
            </w:r>
            <w:r w:rsidR="00FA34A4" w:rsidRPr="00D11AD1">
              <w:rPr>
                <w:rFonts w:ascii="Times New Roman" w:hAnsi="Times New Roman" w:cs="Times New Roman"/>
                <w:sz w:val="24"/>
                <w:szCs w:val="24"/>
                <w:lang w:val="da-DK"/>
              </w:rPr>
              <w:t xml:space="preserve"> %</w:t>
            </w:r>
          </w:p>
        </w:tc>
        <w:tc>
          <w:tcPr>
            <w:tcW w:w="1099" w:type="pct"/>
            <w:tcBorders>
              <w:top w:val="single" w:sz="4" w:space="0" w:color="000000"/>
            </w:tcBorders>
          </w:tcPr>
          <w:p w14:paraId="7E2D7066" w14:textId="081F58BD" w:rsidR="00FD5950" w:rsidRPr="00D11AD1" w:rsidRDefault="00FD5950" w:rsidP="006D21E5">
            <w:pPr>
              <w:pStyle w:val="TableParagraph"/>
              <w:ind w:left="754"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28</w:t>
            </w:r>
            <w:r w:rsidR="00FA34A4" w:rsidRPr="00D11AD1">
              <w:rPr>
                <w:rFonts w:ascii="Times New Roman" w:hAnsi="Times New Roman" w:cs="Times New Roman"/>
                <w:sz w:val="24"/>
                <w:szCs w:val="24"/>
                <w:lang w:val="da-DK"/>
              </w:rPr>
              <w:t xml:space="preserve"> %</w:t>
            </w:r>
          </w:p>
        </w:tc>
        <w:tc>
          <w:tcPr>
            <w:tcW w:w="1195" w:type="pct"/>
            <w:tcBorders>
              <w:top w:val="single" w:sz="4" w:space="0" w:color="000000"/>
            </w:tcBorders>
          </w:tcPr>
          <w:p w14:paraId="303DEAF2" w14:textId="3D8DE995" w:rsidR="00FD5950" w:rsidRPr="00D11AD1" w:rsidRDefault="00FD5950" w:rsidP="006D21E5">
            <w:pPr>
              <w:pStyle w:val="TableParagraph"/>
              <w:ind w:left="756"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42</w:t>
            </w:r>
            <w:r w:rsidR="00FA34A4" w:rsidRPr="00D11AD1">
              <w:rPr>
                <w:rFonts w:ascii="Times New Roman" w:hAnsi="Times New Roman" w:cs="Times New Roman"/>
                <w:sz w:val="24"/>
                <w:szCs w:val="24"/>
                <w:lang w:val="da-DK"/>
              </w:rPr>
              <w:t xml:space="preserve"> %</w:t>
            </w:r>
          </w:p>
        </w:tc>
        <w:tc>
          <w:tcPr>
            <w:tcW w:w="950" w:type="pct"/>
            <w:tcBorders>
              <w:top w:val="single" w:sz="4" w:space="0" w:color="000000"/>
            </w:tcBorders>
          </w:tcPr>
          <w:p w14:paraId="526B2359" w14:textId="22208E5C" w:rsidR="00FD5950" w:rsidRPr="00D11AD1" w:rsidRDefault="00FD5950" w:rsidP="006D21E5">
            <w:pPr>
              <w:pStyle w:val="TableParagraph"/>
              <w:ind w:left="490" w:right="59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38</w:t>
            </w:r>
            <w:r w:rsidR="00FA34A4" w:rsidRPr="00D11AD1">
              <w:rPr>
                <w:rFonts w:ascii="Times New Roman" w:hAnsi="Times New Roman" w:cs="Times New Roman"/>
                <w:sz w:val="24"/>
                <w:szCs w:val="24"/>
                <w:lang w:val="da-DK"/>
              </w:rPr>
              <w:t xml:space="preserve"> %</w:t>
            </w:r>
          </w:p>
        </w:tc>
      </w:tr>
      <w:tr w:rsidR="00FD5950" w:rsidRPr="00D11AD1" w14:paraId="0E979B12" w14:textId="77777777" w:rsidTr="000A733F">
        <w:trPr>
          <w:trHeight w:val="291"/>
        </w:trPr>
        <w:tc>
          <w:tcPr>
            <w:tcW w:w="726" w:type="pct"/>
          </w:tcPr>
          <w:p w14:paraId="4594D329" w14:textId="2BBDCF25" w:rsidR="00FD5950" w:rsidRPr="00D11AD1" w:rsidRDefault="00FD5950" w:rsidP="006D21E5">
            <w:pPr>
              <w:pStyle w:val="TableParagraph"/>
              <w:ind w:left="163"/>
              <w:rPr>
                <w:rFonts w:ascii="Times New Roman" w:hAnsi="Times New Roman" w:cs="Times New Roman"/>
                <w:sz w:val="24"/>
                <w:szCs w:val="24"/>
                <w:lang w:val="da-DK"/>
              </w:rPr>
            </w:pPr>
            <w:r w:rsidRPr="00D11AD1">
              <w:rPr>
                <w:rFonts w:ascii="Times New Roman" w:hAnsi="Times New Roman" w:cs="Times New Roman"/>
                <w:sz w:val="24"/>
                <w:szCs w:val="24"/>
                <w:lang w:val="da-DK"/>
              </w:rPr>
              <w:t>(95</w:t>
            </w:r>
            <w:r w:rsidR="00FA34A4" w:rsidRPr="00D11AD1">
              <w:rPr>
                <w:rFonts w:ascii="Times New Roman" w:hAnsi="Times New Roman" w:cs="Times New Roman"/>
                <w:sz w:val="24"/>
                <w:szCs w:val="24"/>
                <w:lang w:val="da-DK"/>
              </w:rPr>
              <w:t xml:space="preserve"> %</w:t>
            </w:r>
            <w:r w:rsidRPr="00D11AD1">
              <w:rPr>
                <w:rFonts w:ascii="Times New Roman" w:hAnsi="Times New Roman" w:cs="Times New Roman"/>
                <w:sz w:val="24"/>
                <w:szCs w:val="24"/>
                <w:lang w:val="da-DK"/>
              </w:rPr>
              <w:t xml:space="preserve"> CI)</w:t>
            </w:r>
          </w:p>
        </w:tc>
        <w:tc>
          <w:tcPr>
            <w:tcW w:w="1029" w:type="pct"/>
          </w:tcPr>
          <w:p w14:paraId="7975AC2D" w14:textId="77777777" w:rsidR="00FD5950" w:rsidRPr="00D11AD1" w:rsidRDefault="00FD5950" w:rsidP="006D21E5">
            <w:pPr>
              <w:pStyle w:val="TableParagraph"/>
              <w:ind w:left="494"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(59- 74)</w:t>
            </w:r>
          </w:p>
        </w:tc>
        <w:tc>
          <w:tcPr>
            <w:tcW w:w="1099" w:type="pct"/>
          </w:tcPr>
          <w:p w14:paraId="325B23D9" w14:textId="77777777" w:rsidR="00FD5950" w:rsidRPr="00D11AD1" w:rsidRDefault="00FD5950" w:rsidP="006D21E5">
            <w:pPr>
              <w:pStyle w:val="TableParagraph"/>
              <w:ind w:left="755"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(18-40)</w:t>
            </w:r>
          </w:p>
        </w:tc>
        <w:tc>
          <w:tcPr>
            <w:tcW w:w="1195" w:type="pct"/>
          </w:tcPr>
          <w:p w14:paraId="6D7B0C14" w14:textId="77777777" w:rsidR="00FD5950" w:rsidRPr="00D11AD1" w:rsidRDefault="00FD5950" w:rsidP="006D21E5">
            <w:pPr>
              <w:pStyle w:val="TableParagraph"/>
              <w:ind w:left="757"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(26-61)</w:t>
            </w:r>
          </w:p>
        </w:tc>
        <w:tc>
          <w:tcPr>
            <w:tcW w:w="950" w:type="pct"/>
          </w:tcPr>
          <w:p w14:paraId="248B49B6" w14:textId="77777777" w:rsidR="00FD5950" w:rsidRPr="00D11AD1" w:rsidRDefault="00FD5950" w:rsidP="006D21E5">
            <w:pPr>
              <w:pStyle w:val="TableParagraph"/>
              <w:ind w:left="490" w:right="60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(23-54)</w:t>
            </w:r>
          </w:p>
        </w:tc>
      </w:tr>
      <w:tr w:rsidR="00FD5950" w:rsidRPr="00D11AD1" w14:paraId="473F1FC8" w14:textId="77777777" w:rsidTr="000A733F">
        <w:trPr>
          <w:trHeight w:val="349"/>
        </w:trPr>
        <w:tc>
          <w:tcPr>
            <w:tcW w:w="726" w:type="pct"/>
          </w:tcPr>
          <w:p w14:paraId="6924ADBF" w14:textId="77777777" w:rsidR="00FD5950" w:rsidRPr="00D11AD1" w:rsidRDefault="00FD5950" w:rsidP="006D21E5">
            <w:pPr>
              <w:pStyle w:val="TableParagraph"/>
              <w:ind w:left="215"/>
              <w:rPr>
                <w:rFonts w:ascii="Times New Roman" w:hAnsi="Times New Roman" w:cs="Times New Roman"/>
                <w:sz w:val="24"/>
                <w:szCs w:val="24"/>
                <w:lang w:val="da-DK"/>
              </w:rPr>
            </w:pPr>
            <w:r w:rsidRPr="00D11AD1">
              <w:rPr>
                <w:rFonts w:ascii="Times New Roman" w:hAnsi="Times New Roman" w:cs="Times New Roman"/>
                <w:sz w:val="24"/>
                <w:szCs w:val="24"/>
                <w:lang w:val="da-DK"/>
              </w:rPr>
              <w:t>CHR</w:t>
            </w:r>
            <w:r w:rsidRPr="00D11AD1">
              <w:rPr>
                <w:rFonts w:ascii="Times New Roman" w:hAnsi="Times New Roman" w:cs="Times New Roman"/>
                <w:position w:val="9"/>
                <w:sz w:val="24"/>
                <w:szCs w:val="24"/>
                <w:lang w:val="da-DK"/>
              </w:rPr>
              <w:t>b</w:t>
            </w:r>
          </w:p>
        </w:tc>
        <w:tc>
          <w:tcPr>
            <w:tcW w:w="1029" w:type="pct"/>
          </w:tcPr>
          <w:p w14:paraId="3F2A58AC" w14:textId="46AAFE6C" w:rsidR="00FD5950" w:rsidRPr="00D11AD1" w:rsidRDefault="00FD5950" w:rsidP="006D21E5">
            <w:pPr>
              <w:pStyle w:val="TableParagraph"/>
              <w:ind w:left="493"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47</w:t>
            </w:r>
            <w:r w:rsidR="00FA34A4" w:rsidRPr="00D11AD1">
              <w:rPr>
                <w:rFonts w:ascii="Times New Roman" w:hAnsi="Times New Roman" w:cs="Times New Roman"/>
                <w:sz w:val="24"/>
                <w:szCs w:val="24"/>
                <w:lang w:val="da-DK"/>
              </w:rPr>
              <w:t xml:space="preserve"> %</w:t>
            </w:r>
          </w:p>
        </w:tc>
        <w:tc>
          <w:tcPr>
            <w:tcW w:w="1099" w:type="pct"/>
          </w:tcPr>
          <w:p w14:paraId="5698819E" w14:textId="7E7D2BCC" w:rsidR="00FD5950" w:rsidRPr="00D11AD1" w:rsidRDefault="00FD5950" w:rsidP="006D21E5">
            <w:pPr>
              <w:pStyle w:val="TableParagraph"/>
              <w:ind w:left="754"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17</w:t>
            </w:r>
            <w:r w:rsidR="00FA34A4" w:rsidRPr="00D11AD1">
              <w:rPr>
                <w:rFonts w:ascii="Times New Roman" w:hAnsi="Times New Roman" w:cs="Times New Roman"/>
                <w:sz w:val="24"/>
                <w:szCs w:val="24"/>
                <w:lang w:val="da-DK"/>
              </w:rPr>
              <w:t xml:space="preserve"> %</w:t>
            </w:r>
          </w:p>
        </w:tc>
        <w:tc>
          <w:tcPr>
            <w:tcW w:w="1195" w:type="pct"/>
          </w:tcPr>
          <w:p w14:paraId="33B18103" w14:textId="3E7F28BE" w:rsidR="00FD5950" w:rsidRPr="00D11AD1" w:rsidRDefault="00FD5950" w:rsidP="006D21E5">
            <w:pPr>
              <w:pStyle w:val="TableParagraph"/>
              <w:ind w:left="756"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21</w:t>
            </w:r>
            <w:r w:rsidR="00FA34A4" w:rsidRPr="00D11AD1">
              <w:rPr>
                <w:rFonts w:ascii="Times New Roman" w:hAnsi="Times New Roman" w:cs="Times New Roman"/>
                <w:sz w:val="24"/>
                <w:szCs w:val="24"/>
                <w:lang w:val="da-DK"/>
              </w:rPr>
              <w:t xml:space="preserve"> %</w:t>
            </w:r>
          </w:p>
        </w:tc>
        <w:tc>
          <w:tcPr>
            <w:tcW w:w="950" w:type="pct"/>
          </w:tcPr>
          <w:p w14:paraId="3BAF182C" w14:textId="6539C7C6" w:rsidR="00FD5950" w:rsidRPr="00D11AD1" w:rsidRDefault="00FD5950" w:rsidP="006D21E5">
            <w:pPr>
              <w:pStyle w:val="TableParagraph"/>
              <w:ind w:left="490" w:right="59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33</w:t>
            </w:r>
            <w:r w:rsidR="00FA34A4" w:rsidRPr="00D11AD1">
              <w:rPr>
                <w:rFonts w:ascii="Times New Roman" w:hAnsi="Times New Roman" w:cs="Times New Roman"/>
                <w:sz w:val="24"/>
                <w:szCs w:val="24"/>
                <w:lang w:val="da-DK"/>
              </w:rPr>
              <w:t xml:space="preserve"> %</w:t>
            </w:r>
          </w:p>
        </w:tc>
      </w:tr>
      <w:tr w:rsidR="00FD5950" w:rsidRPr="00D11AD1" w14:paraId="682E7173" w14:textId="77777777" w:rsidTr="000A733F">
        <w:trPr>
          <w:trHeight w:val="291"/>
        </w:trPr>
        <w:tc>
          <w:tcPr>
            <w:tcW w:w="726" w:type="pct"/>
          </w:tcPr>
          <w:p w14:paraId="5BB326A7" w14:textId="695D10CA" w:rsidR="00FD5950" w:rsidRPr="00D11AD1" w:rsidRDefault="00FD5950" w:rsidP="006D21E5">
            <w:pPr>
              <w:pStyle w:val="TableParagraph"/>
              <w:ind w:left="107"/>
              <w:rPr>
                <w:rFonts w:ascii="Times New Roman" w:hAnsi="Times New Roman" w:cs="Times New Roman"/>
                <w:sz w:val="24"/>
                <w:szCs w:val="24"/>
                <w:lang w:val="da-DK"/>
              </w:rPr>
            </w:pPr>
            <w:r w:rsidRPr="00D11AD1">
              <w:rPr>
                <w:rFonts w:ascii="Times New Roman" w:hAnsi="Times New Roman" w:cs="Times New Roman"/>
                <w:sz w:val="24"/>
                <w:szCs w:val="24"/>
                <w:lang w:val="da-DK"/>
              </w:rPr>
              <w:t>(95</w:t>
            </w:r>
            <w:r w:rsidR="00FA34A4" w:rsidRPr="00D11AD1">
              <w:rPr>
                <w:rFonts w:ascii="Times New Roman" w:hAnsi="Times New Roman" w:cs="Times New Roman"/>
                <w:sz w:val="24"/>
                <w:szCs w:val="24"/>
                <w:lang w:val="da-DK"/>
              </w:rPr>
              <w:t xml:space="preserve"> %</w:t>
            </w:r>
            <w:r w:rsidRPr="00D11AD1">
              <w:rPr>
                <w:rFonts w:ascii="Times New Roman" w:hAnsi="Times New Roman" w:cs="Times New Roman"/>
                <w:sz w:val="24"/>
                <w:szCs w:val="24"/>
                <w:lang w:val="da-DK"/>
              </w:rPr>
              <w:t xml:space="preserve"> CI)</w:t>
            </w:r>
          </w:p>
        </w:tc>
        <w:tc>
          <w:tcPr>
            <w:tcW w:w="1029" w:type="pct"/>
          </w:tcPr>
          <w:p w14:paraId="02DEBD32" w14:textId="77777777" w:rsidR="00FD5950" w:rsidRPr="00D11AD1" w:rsidRDefault="00FD5950" w:rsidP="006D21E5">
            <w:pPr>
              <w:pStyle w:val="TableParagraph"/>
              <w:ind w:left="494"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(40-56)</w:t>
            </w:r>
          </w:p>
        </w:tc>
        <w:tc>
          <w:tcPr>
            <w:tcW w:w="1099" w:type="pct"/>
          </w:tcPr>
          <w:p w14:paraId="360CE98D" w14:textId="77777777" w:rsidR="00FD5950" w:rsidRPr="00D11AD1" w:rsidRDefault="00FD5950" w:rsidP="006D21E5">
            <w:pPr>
              <w:pStyle w:val="TableParagraph"/>
              <w:ind w:left="755"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(10-28)</w:t>
            </w:r>
          </w:p>
        </w:tc>
        <w:tc>
          <w:tcPr>
            <w:tcW w:w="1195" w:type="pct"/>
          </w:tcPr>
          <w:p w14:paraId="28689D85" w14:textId="77777777" w:rsidR="00FD5950" w:rsidRPr="00D11AD1" w:rsidRDefault="00FD5950" w:rsidP="006D21E5">
            <w:pPr>
              <w:pStyle w:val="TableParagraph"/>
              <w:ind w:left="757"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(9-39)</w:t>
            </w:r>
          </w:p>
        </w:tc>
        <w:tc>
          <w:tcPr>
            <w:tcW w:w="950" w:type="pct"/>
          </w:tcPr>
          <w:p w14:paraId="506FB2E2" w14:textId="77777777" w:rsidR="00FD5950" w:rsidRPr="00D11AD1" w:rsidRDefault="00FD5950" w:rsidP="006D21E5">
            <w:pPr>
              <w:pStyle w:val="TableParagraph"/>
              <w:ind w:left="490" w:right="60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(19-49)</w:t>
            </w:r>
          </w:p>
        </w:tc>
      </w:tr>
      <w:tr w:rsidR="00FD5950" w:rsidRPr="00D11AD1" w14:paraId="7BEAC8C1" w14:textId="77777777" w:rsidTr="000A733F">
        <w:trPr>
          <w:trHeight w:val="291"/>
        </w:trPr>
        <w:tc>
          <w:tcPr>
            <w:tcW w:w="726" w:type="pct"/>
          </w:tcPr>
          <w:p w14:paraId="58C33173" w14:textId="77777777" w:rsidR="00FD5950" w:rsidRPr="00D11AD1" w:rsidRDefault="00FD5950" w:rsidP="006D21E5">
            <w:pPr>
              <w:pStyle w:val="TableParagraph"/>
              <w:ind w:left="163"/>
              <w:rPr>
                <w:rFonts w:ascii="Times New Roman" w:hAnsi="Times New Roman" w:cs="Times New Roman"/>
                <w:sz w:val="24"/>
                <w:szCs w:val="24"/>
                <w:lang w:val="da-DK"/>
              </w:rPr>
            </w:pPr>
            <w:r w:rsidRPr="00D11AD1">
              <w:rPr>
                <w:rFonts w:ascii="Times New Roman" w:hAnsi="Times New Roman" w:cs="Times New Roman"/>
                <w:sz w:val="24"/>
                <w:szCs w:val="24"/>
                <w:lang w:val="da-DK"/>
              </w:rPr>
              <w:t>NEL</w:t>
            </w:r>
            <w:r w:rsidRPr="00D11AD1">
              <w:rPr>
                <w:rFonts w:ascii="Times New Roman" w:hAnsi="Times New Roman" w:cs="Times New Roman"/>
                <w:position w:val="9"/>
                <w:sz w:val="24"/>
                <w:szCs w:val="24"/>
                <w:lang w:val="da-DK"/>
              </w:rPr>
              <w:t>b</w:t>
            </w:r>
          </w:p>
        </w:tc>
        <w:tc>
          <w:tcPr>
            <w:tcW w:w="1029" w:type="pct"/>
          </w:tcPr>
          <w:p w14:paraId="534CFF77" w14:textId="43A1FCAF" w:rsidR="00FD5950" w:rsidRPr="00D11AD1" w:rsidRDefault="00FD5950" w:rsidP="006D21E5">
            <w:pPr>
              <w:pStyle w:val="TableParagraph"/>
              <w:ind w:left="493"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19</w:t>
            </w:r>
            <w:r w:rsidR="00FA34A4" w:rsidRPr="00D11AD1">
              <w:rPr>
                <w:rFonts w:ascii="Times New Roman" w:hAnsi="Times New Roman" w:cs="Times New Roman"/>
                <w:sz w:val="24"/>
                <w:szCs w:val="24"/>
                <w:lang w:val="da-DK"/>
              </w:rPr>
              <w:t xml:space="preserve"> %</w:t>
            </w:r>
          </w:p>
        </w:tc>
        <w:tc>
          <w:tcPr>
            <w:tcW w:w="1099" w:type="pct"/>
          </w:tcPr>
          <w:p w14:paraId="4BF14748" w14:textId="79A93F32" w:rsidR="00FD5950" w:rsidRPr="00D11AD1" w:rsidRDefault="00FD5950" w:rsidP="006D21E5">
            <w:pPr>
              <w:pStyle w:val="TableParagraph"/>
              <w:ind w:left="754"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11</w:t>
            </w:r>
            <w:r w:rsidR="00FA34A4" w:rsidRPr="00D11AD1">
              <w:rPr>
                <w:rFonts w:ascii="Times New Roman" w:hAnsi="Times New Roman" w:cs="Times New Roman"/>
                <w:sz w:val="24"/>
                <w:szCs w:val="24"/>
                <w:lang w:val="da-DK"/>
              </w:rPr>
              <w:t xml:space="preserve"> %</w:t>
            </w:r>
          </w:p>
        </w:tc>
        <w:tc>
          <w:tcPr>
            <w:tcW w:w="1195" w:type="pct"/>
          </w:tcPr>
          <w:p w14:paraId="024860D7" w14:textId="74A0BC2C" w:rsidR="00FD5950" w:rsidRPr="00D11AD1" w:rsidRDefault="00FD5950" w:rsidP="006D21E5">
            <w:pPr>
              <w:pStyle w:val="TableParagraph"/>
              <w:ind w:left="756"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21</w:t>
            </w:r>
            <w:r w:rsidR="00FA34A4" w:rsidRPr="00D11AD1">
              <w:rPr>
                <w:rFonts w:ascii="Times New Roman" w:hAnsi="Times New Roman" w:cs="Times New Roman"/>
                <w:sz w:val="24"/>
                <w:szCs w:val="24"/>
                <w:lang w:val="da-DK"/>
              </w:rPr>
              <w:t xml:space="preserve"> %</w:t>
            </w:r>
          </w:p>
        </w:tc>
        <w:tc>
          <w:tcPr>
            <w:tcW w:w="950" w:type="pct"/>
          </w:tcPr>
          <w:p w14:paraId="2DB7B6C1" w14:textId="57ED77C6" w:rsidR="00FD5950" w:rsidRPr="00D11AD1" w:rsidRDefault="00FD5950" w:rsidP="006D21E5">
            <w:pPr>
              <w:pStyle w:val="TableParagraph"/>
              <w:ind w:left="490" w:right="59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w:t>
            </w:r>
            <w:r w:rsidR="00FA34A4" w:rsidRPr="00D11AD1">
              <w:rPr>
                <w:rFonts w:ascii="Times New Roman" w:hAnsi="Times New Roman" w:cs="Times New Roman"/>
                <w:sz w:val="24"/>
                <w:szCs w:val="24"/>
                <w:lang w:val="da-DK"/>
              </w:rPr>
              <w:t xml:space="preserve"> %</w:t>
            </w:r>
          </w:p>
        </w:tc>
      </w:tr>
      <w:tr w:rsidR="00FD5950" w:rsidRPr="00D11AD1" w14:paraId="59814E39" w14:textId="77777777" w:rsidTr="000A733F">
        <w:trPr>
          <w:trHeight w:val="291"/>
        </w:trPr>
        <w:tc>
          <w:tcPr>
            <w:tcW w:w="726" w:type="pct"/>
            <w:tcBorders>
              <w:bottom w:val="single" w:sz="4" w:space="0" w:color="000000"/>
            </w:tcBorders>
          </w:tcPr>
          <w:p w14:paraId="79247F42" w14:textId="6E09A754" w:rsidR="00FD5950" w:rsidRPr="00D11AD1" w:rsidRDefault="00FD5950" w:rsidP="006D21E5">
            <w:pPr>
              <w:pStyle w:val="TableParagraph"/>
              <w:ind w:left="108"/>
              <w:rPr>
                <w:rFonts w:ascii="Times New Roman" w:hAnsi="Times New Roman" w:cs="Times New Roman"/>
                <w:sz w:val="24"/>
                <w:szCs w:val="24"/>
                <w:lang w:val="da-DK"/>
              </w:rPr>
            </w:pPr>
            <w:r w:rsidRPr="00D11AD1">
              <w:rPr>
                <w:rFonts w:ascii="Times New Roman" w:hAnsi="Times New Roman" w:cs="Times New Roman"/>
                <w:sz w:val="24"/>
                <w:szCs w:val="24"/>
                <w:lang w:val="da-DK"/>
              </w:rPr>
              <w:t>(95</w:t>
            </w:r>
            <w:r w:rsidR="00FA34A4" w:rsidRPr="00D11AD1">
              <w:rPr>
                <w:rFonts w:ascii="Times New Roman" w:hAnsi="Times New Roman" w:cs="Times New Roman"/>
                <w:sz w:val="24"/>
                <w:szCs w:val="24"/>
                <w:lang w:val="da-DK"/>
              </w:rPr>
              <w:t xml:space="preserve"> %</w:t>
            </w:r>
            <w:r w:rsidRPr="00D11AD1">
              <w:rPr>
                <w:rFonts w:ascii="Times New Roman" w:hAnsi="Times New Roman" w:cs="Times New Roman"/>
                <w:sz w:val="24"/>
                <w:szCs w:val="24"/>
                <w:lang w:val="da-DK"/>
              </w:rPr>
              <w:t xml:space="preserve"> CI)</w:t>
            </w:r>
          </w:p>
        </w:tc>
        <w:tc>
          <w:tcPr>
            <w:tcW w:w="1029" w:type="pct"/>
            <w:tcBorders>
              <w:bottom w:val="single" w:sz="4" w:space="0" w:color="000000"/>
            </w:tcBorders>
          </w:tcPr>
          <w:p w14:paraId="0832FD97" w14:textId="77777777" w:rsidR="00FD5950" w:rsidRPr="00D11AD1" w:rsidRDefault="00FD5950" w:rsidP="006D21E5">
            <w:pPr>
              <w:pStyle w:val="TableParagraph"/>
              <w:ind w:left="494"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(13-26)</w:t>
            </w:r>
          </w:p>
        </w:tc>
        <w:tc>
          <w:tcPr>
            <w:tcW w:w="1099" w:type="pct"/>
            <w:tcBorders>
              <w:bottom w:val="single" w:sz="4" w:space="0" w:color="000000"/>
            </w:tcBorders>
          </w:tcPr>
          <w:p w14:paraId="27375203" w14:textId="77777777" w:rsidR="00FD5950" w:rsidRPr="00D11AD1" w:rsidRDefault="00FD5950" w:rsidP="006D21E5">
            <w:pPr>
              <w:pStyle w:val="TableParagraph"/>
              <w:ind w:left="755"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(5-20)</w:t>
            </w:r>
          </w:p>
        </w:tc>
        <w:tc>
          <w:tcPr>
            <w:tcW w:w="1195" w:type="pct"/>
            <w:tcBorders>
              <w:bottom w:val="single" w:sz="4" w:space="0" w:color="000000"/>
            </w:tcBorders>
          </w:tcPr>
          <w:p w14:paraId="105213DC" w14:textId="77777777" w:rsidR="00FD5950" w:rsidRPr="00D11AD1" w:rsidRDefault="00FD5950" w:rsidP="006D21E5">
            <w:pPr>
              <w:pStyle w:val="TableParagraph"/>
              <w:ind w:left="757"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(9-39)</w:t>
            </w:r>
          </w:p>
        </w:tc>
        <w:tc>
          <w:tcPr>
            <w:tcW w:w="950" w:type="pct"/>
            <w:tcBorders>
              <w:bottom w:val="single" w:sz="4" w:space="0" w:color="000000"/>
            </w:tcBorders>
          </w:tcPr>
          <w:p w14:paraId="37D09F70" w14:textId="77777777" w:rsidR="00FD5950" w:rsidRPr="00D11AD1" w:rsidRDefault="00FD5950" w:rsidP="006D21E5">
            <w:pPr>
              <w:pStyle w:val="TableParagraph"/>
              <w:ind w:left="490" w:right="60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(1-17)</w:t>
            </w:r>
          </w:p>
        </w:tc>
      </w:tr>
      <w:tr w:rsidR="00FD5950" w:rsidRPr="00D11AD1" w14:paraId="58E13264" w14:textId="77777777" w:rsidTr="000A733F">
        <w:trPr>
          <w:trHeight w:val="291"/>
        </w:trPr>
        <w:tc>
          <w:tcPr>
            <w:tcW w:w="726" w:type="pct"/>
            <w:tcBorders>
              <w:top w:val="single" w:sz="4" w:space="0" w:color="000000"/>
            </w:tcBorders>
          </w:tcPr>
          <w:p w14:paraId="50A2C5EF" w14:textId="77777777" w:rsidR="00FD5950" w:rsidRPr="00D11AD1" w:rsidRDefault="00FD5950" w:rsidP="006D21E5">
            <w:pPr>
              <w:pStyle w:val="TableParagraph"/>
              <w:ind w:left="108"/>
              <w:rPr>
                <w:rFonts w:ascii="Times New Roman" w:hAnsi="Times New Roman" w:cs="Times New Roman"/>
                <w:b/>
                <w:sz w:val="24"/>
                <w:szCs w:val="24"/>
                <w:lang w:val="da-DK"/>
              </w:rPr>
            </w:pPr>
            <w:r w:rsidRPr="00D11AD1">
              <w:rPr>
                <w:rFonts w:ascii="Times New Roman" w:hAnsi="Times New Roman" w:cs="Times New Roman"/>
                <w:b/>
                <w:sz w:val="24"/>
                <w:szCs w:val="24"/>
                <w:lang w:val="da-DK"/>
              </w:rPr>
              <w:t>MCyR</w:t>
            </w:r>
            <w:r w:rsidRPr="00D11AD1">
              <w:rPr>
                <w:rFonts w:ascii="Times New Roman" w:hAnsi="Times New Roman" w:cs="Times New Roman"/>
                <w:b/>
                <w:position w:val="8"/>
                <w:sz w:val="24"/>
                <w:szCs w:val="24"/>
                <w:lang w:val="da-DK"/>
              </w:rPr>
              <w:t>c</w:t>
            </w:r>
          </w:p>
        </w:tc>
        <w:tc>
          <w:tcPr>
            <w:tcW w:w="1029" w:type="pct"/>
            <w:tcBorders>
              <w:top w:val="single" w:sz="4" w:space="0" w:color="000000"/>
            </w:tcBorders>
          </w:tcPr>
          <w:p w14:paraId="0F904AE1" w14:textId="5D4C7063" w:rsidR="00FD5950" w:rsidRPr="00D11AD1" w:rsidRDefault="00FD5950" w:rsidP="006D21E5">
            <w:pPr>
              <w:pStyle w:val="TableParagraph"/>
              <w:ind w:left="493"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39</w:t>
            </w:r>
            <w:r w:rsidR="00FA34A4" w:rsidRPr="00D11AD1">
              <w:rPr>
                <w:rFonts w:ascii="Times New Roman" w:hAnsi="Times New Roman" w:cs="Times New Roman"/>
                <w:sz w:val="24"/>
                <w:szCs w:val="24"/>
                <w:lang w:val="da-DK"/>
              </w:rPr>
              <w:t xml:space="preserve"> %</w:t>
            </w:r>
          </w:p>
        </w:tc>
        <w:tc>
          <w:tcPr>
            <w:tcW w:w="1099" w:type="pct"/>
            <w:tcBorders>
              <w:top w:val="single" w:sz="4" w:space="0" w:color="000000"/>
            </w:tcBorders>
          </w:tcPr>
          <w:p w14:paraId="2D95402E" w14:textId="51DF3CE0" w:rsidR="00FD5950" w:rsidRPr="00D11AD1" w:rsidRDefault="00FD5950" w:rsidP="006D21E5">
            <w:pPr>
              <w:pStyle w:val="TableParagraph"/>
              <w:ind w:left="754"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28</w:t>
            </w:r>
            <w:r w:rsidR="00FA34A4" w:rsidRPr="00D11AD1">
              <w:rPr>
                <w:rFonts w:ascii="Times New Roman" w:hAnsi="Times New Roman" w:cs="Times New Roman"/>
                <w:sz w:val="24"/>
                <w:szCs w:val="24"/>
                <w:lang w:val="da-DK"/>
              </w:rPr>
              <w:t xml:space="preserve"> %</w:t>
            </w:r>
          </w:p>
        </w:tc>
        <w:tc>
          <w:tcPr>
            <w:tcW w:w="1195" w:type="pct"/>
            <w:tcBorders>
              <w:top w:val="single" w:sz="4" w:space="0" w:color="000000"/>
            </w:tcBorders>
          </w:tcPr>
          <w:p w14:paraId="51CBDF27" w14:textId="3B7CDE1C" w:rsidR="00FD5950" w:rsidRPr="00D11AD1" w:rsidRDefault="00FD5950" w:rsidP="006D21E5">
            <w:pPr>
              <w:pStyle w:val="TableParagraph"/>
              <w:ind w:left="756"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52</w:t>
            </w:r>
            <w:r w:rsidR="00FA34A4" w:rsidRPr="00D11AD1">
              <w:rPr>
                <w:rFonts w:ascii="Times New Roman" w:hAnsi="Times New Roman" w:cs="Times New Roman"/>
                <w:sz w:val="24"/>
                <w:szCs w:val="24"/>
                <w:lang w:val="da-DK"/>
              </w:rPr>
              <w:t xml:space="preserve"> %</w:t>
            </w:r>
          </w:p>
        </w:tc>
        <w:tc>
          <w:tcPr>
            <w:tcW w:w="950" w:type="pct"/>
            <w:tcBorders>
              <w:top w:val="single" w:sz="4" w:space="0" w:color="000000"/>
            </w:tcBorders>
          </w:tcPr>
          <w:p w14:paraId="153CCF16" w14:textId="7C7E8B36" w:rsidR="00FD5950" w:rsidRPr="00D11AD1" w:rsidRDefault="00FD5950" w:rsidP="006D21E5">
            <w:pPr>
              <w:pStyle w:val="TableParagraph"/>
              <w:ind w:left="490" w:right="59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70</w:t>
            </w:r>
            <w:r w:rsidR="00FA34A4" w:rsidRPr="00D11AD1">
              <w:rPr>
                <w:rFonts w:ascii="Times New Roman" w:hAnsi="Times New Roman" w:cs="Times New Roman"/>
                <w:sz w:val="24"/>
                <w:szCs w:val="24"/>
                <w:lang w:val="da-DK"/>
              </w:rPr>
              <w:t xml:space="preserve"> %</w:t>
            </w:r>
          </w:p>
        </w:tc>
      </w:tr>
      <w:tr w:rsidR="00FD5950" w:rsidRPr="00D11AD1" w14:paraId="1E5C1FB4" w14:textId="77777777" w:rsidTr="000A733F">
        <w:trPr>
          <w:trHeight w:val="272"/>
        </w:trPr>
        <w:tc>
          <w:tcPr>
            <w:tcW w:w="726" w:type="pct"/>
          </w:tcPr>
          <w:p w14:paraId="52571765" w14:textId="720C211F" w:rsidR="00FD5950" w:rsidRPr="00D11AD1" w:rsidRDefault="00FD5950" w:rsidP="006D21E5">
            <w:pPr>
              <w:pStyle w:val="TableParagraph"/>
              <w:ind w:left="107"/>
              <w:rPr>
                <w:rFonts w:ascii="Times New Roman" w:hAnsi="Times New Roman" w:cs="Times New Roman"/>
                <w:sz w:val="24"/>
                <w:szCs w:val="24"/>
                <w:lang w:val="da-DK"/>
              </w:rPr>
            </w:pPr>
            <w:r w:rsidRPr="00D11AD1">
              <w:rPr>
                <w:rFonts w:ascii="Times New Roman" w:hAnsi="Times New Roman" w:cs="Times New Roman"/>
                <w:sz w:val="24"/>
                <w:szCs w:val="24"/>
                <w:lang w:val="da-DK"/>
              </w:rPr>
              <w:t>(95</w:t>
            </w:r>
            <w:r w:rsidR="00FA34A4" w:rsidRPr="00D11AD1">
              <w:rPr>
                <w:rFonts w:ascii="Times New Roman" w:hAnsi="Times New Roman" w:cs="Times New Roman"/>
                <w:sz w:val="24"/>
                <w:szCs w:val="24"/>
                <w:lang w:val="da-DK"/>
              </w:rPr>
              <w:t xml:space="preserve"> %</w:t>
            </w:r>
            <w:r w:rsidRPr="00D11AD1">
              <w:rPr>
                <w:rFonts w:ascii="Times New Roman" w:hAnsi="Times New Roman" w:cs="Times New Roman"/>
                <w:sz w:val="24"/>
                <w:szCs w:val="24"/>
                <w:lang w:val="da-DK"/>
              </w:rPr>
              <w:t xml:space="preserve"> CI)</w:t>
            </w:r>
          </w:p>
        </w:tc>
        <w:tc>
          <w:tcPr>
            <w:tcW w:w="1029" w:type="pct"/>
          </w:tcPr>
          <w:p w14:paraId="72295B33" w14:textId="77777777" w:rsidR="00FD5950" w:rsidRPr="00D11AD1" w:rsidRDefault="00FD5950" w:rsidP="006D21E5">
            <w:pPr>
              <w:pStyle w:val="TableParagraph"/>
              <w:ind w:left="494"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(31-47)</w:t>
            </w:r>
          </w:p>
        </w:tc>
        <w:tc>
          <w:tcPr>
            <w:tcW w:w="1099" w:type="pct"/>
          </w:tcPr>
          <w:p w14:paraId="379CA7BE" w14:textId="77777777" w:rsidR="00FD5950" w:rsidRPr="00D11AD1" w:rsidRDefault="00FD5950" w:rsidP="006D21E5">
            <w:pPr>
              <w:pStyle w:val="TableParagraph"/>
              <w:ind w:left="755"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(18-40)</w:t>
            </w:r>
          </w:p>
        </w:tc>
        <w:tc>
          <w:tcPr>
            <w:tcW w:w="1195" w:type="pct"/>
          </w:tcPr>
          <w:p w14:paraId="0FDBF360" w14:textId="77777777" w:rsidR="00FD5950" w:rsidRPr="00D11AD1" w:rsidRDefault="00FD5950" w:rsidP="006D21E5">
            <w:pPr>
              <w:pStyle w:val="TableParagraph"/>
              <w:ind w:left="757"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(34-69)</w:t>
            </w:r>
          </w:p>
        </w:tc>
        <w:tc>
          <w:tcPr>
            <w:tcW w:w="950" w:type="pct"/>
          </w:tcPr>
          <w:p w14:paraId="04146B11" w14:textId="77777777" w:rsidR="00FD5950" w:rsidRPr="00D11AD1" w:rsidRDefault="00FD5950" w:rsidP="006D21E5">
            <w:pPr>
              <w:pStyle w:val="TableParagraph"/>
              <w:ind w:left="490" w:right="601"/>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(54-83)</w:t>
            </w:r>
          </w:p>
        </w:tc>
      </w:tr>
      <w:tr w:rsidR="00FD5950" w:rsidRPr="00D11AD1" w14:paraId="379F38B8" w14:textId="77777777" w:rsidTr="000A733F">
        <w:trPr>
          <w:trHeight w:val="272"/>
        </w:trPr>
        <w:tc>
          <w:tcPr>
            <w:tcW w:w="726" w:type="pct"/>
          </w:tcPr>
          <w:p w14:paraId="4F38FC87" w14:textId="77777777" w:rsidR="00FD5950" w:rsidRPr="00D11AD1" w:rsidRDefault="00FD5950" w:rsidP="006D21E5">
            <w:pPr>
              <w:pStyle w:val="TableParagraph"/>
              <w:ind w:left="163"/>
              <w:rPr>
                <w:rFonts w:ascii="Times New Roman" w:hAnsi="Times New Roman" w:cs="Times New Roman"/>
                <w:sz w:val="24"/>
                <w:szCs w:val="24"/>
                <w:lang w:val="da-DK"/>
              </w:rPr>
            </w:pPr>
            <w:r w:rsidRPr="00D11AD1">
              <w:rPr>
                <w:rFonts w:ascii="Times New Roman" w:hAnsi="Times New Roman" w:cs="Times New Roman"/>
                <w:sz w:val="24"/>
                <w:szCs w:val="24"/>
                <w:lang w:val="da-DK"/>
              </w:rPr>
              <w:t>CcyR</w:t>
            </w:r>
          </w:p>
        </w:tc>
        <w:tc>
          <w:tcPr>
            <w:tcW w:w="1029" w:type="pct"/>
          </w:tcPr>
          <w:p w14:paraId="583CB377" w14:textId="2DF6E042" w:rsidR="00FD5950" w:rsidRPr="00D11AD1" w:rsidRDefault="00FD5950" w:rsidP="006D21E5">
            <w:pPr>
              <w:pStyle w:val="TableParagraph"/>
              <w:ind w:left="493" w:right="676"/>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32</w:t>
            </w:r>
            <w:r w:rsidR="00FA34A4" w:rsidRPr="00D11AD1">
              <w:rPr>
                <w:rFonts w:ascii="Times New Roman" w:hAnsi="Times New Roman" w:cs="Times New Roman"/>
                <w:sz w:val="24"/>
                <w:szCs w:val="24"/>
                <w:lang w:val="da-DK"/>
              </w:rPr>
              <w:t xml:space="preserve"> %</w:t>
            </w:r>
          </w:p>
        </w:tc>
        <w:tc>
          <w:tcPr>
            <w:tcW w:w="1099" w:type="pct"/>
          </w:tcPr>
          <w:p w14:paraId="2BBDAFB4" w14:textId="498AF0F0" w:rsidR="00FD5950" w:rsidRPr="00D11AD1" w:rsidRDefault="00FD5950" w:rsidP="006D21E5">
            <w:pPr>
              <w:pStyle w:val="TableParagraph"/>
              <w:ind w:left="754" w:right="268"/>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17</w:t>
            </w:r>
            <w:r w:rsidR="00FA34A4" w:rsidRPr="00D11AD1">
              <w:rPr>
                <w:rFonts w:ascii="Times New Roman" w:hAnsi="Times New Roman" w:cs="Times New Roman"/>
                <w:sz w:val="24"/>
                <w:szCs w:val="24"/>
                <w:lang w:val="da-DK"/>
              </w:rPr>
              <w:t xml:space="preserve"> %</w:t>
            </w:r>
          </w:p>
        </w:tc>
        <w:tc>
          <w:tcPr>
            <w:tcW w:w="1195" w:type="pct"/>
          </w:tcPr>
          <w:p w14:paraId="270A4D35" w14:textId="1D18EF94" w:rsidR="00FD5950" w:rsidRPr="00D11AD1" w:rsidRDefault="00FD5950" w:rsidP="006D21E5">
            <w:pPr>
              <w:pStyle w:val="TableParagraph"/>
              <w:ind w:left="756" w:right="782"/>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39</w:t>
            </w:r>
            <w:r w:rsidR="00FA34A4" w:rsidRPr="00D11AD1">
              <w:rPr>
                <w:rFonts w:ascii="Times New Roman" w:hAnsi="Times New Roman" w:cs="Times New Roman"/>
                <w:sz w:val="24"/>
                <w:szCs w:val="24"/>
                <w:lang w:val="da-DK"/>
              </w:rPr>
              <w:t xml:space="preserve"> %</w:t>
            </w:r>
          </w:p>
        </w:tc>
        <w:tc>
          <w:tcPr>
            <w:tcW w:w="950" w:type="pct"/>
          </w:tcPr>
          <w:p w14:paraId="5140A24D" w14:textId="3805EAFD" w:rsidR="00FD5950" w:rsidRPr="00D11AD1" w:rsidRDefault="00FD5950" w:rsidP="006D21E5">
            <w:pPr>
              <w:pStyle w:val="TableParagraph"/>
              <w:ind w:left="490" w:right="599"/>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50</w:t>
            </w:r>
            <w:r w:rsidR="00FA34A4" w:rsidRPr="00D11AD1">
              <w:rPr>
                <w:rFonts w:ascii="Times New Roman" w:hAnsi="Times New Roman" w:cs="Times New Roman"/>
                <w:sz w:val="24"/>
                <w:szCs w:val="24"/>
                <w:lang w:val="da-DK"/>
              </w:rPr>
              <w:t xml:space="preserve"> %</w:t>
            </w:r>
          </w:p>
        </w:tc>
      </w:tr>
      <w:tr w:rsidR="00FD5950" w:rsidRPr="00D11AD1" w14:paraId="19B8C127" w14:textId="77777777" w:rsidTr="000A733F">
        <w:trPr>
          <w:trHeight w:val="252"/>
        </w:trPr>
        <w:tc>
          <w:tcPr>
            <w:tcW w:w="726" w:type="pct"/>
            <w:tcBorders>
              <w:bottom w:val="single" w:sz="4" w:space="0" w:color="000000"/>
            </w:tcBorders>
          </w:tcPr>
          <w:p w14:paraId="724FAF07" w14:textId="72559210" w:rsidR="00FD5950" w:rsidRPr="00D11AD1" w:rsidRDefault="00FD5950" w:rsidP="006D21E5">
            <w:pPr>
              <w:pStyle w:val="TableParagraph"/>
              <w:ind w:left="86"/>
              <w:rPr>
                <w:rFonts w:ascii="Times New Roman" w:hAnsi="Times New Roman" w:cs="Times New Roman"/>
                <w:sz w:val="24"/>
                <w:szCs w:val="24"/>
                <w:lang w:val="da-DK"/>
              </w:rPr>
            </w:pPr>
            <w:r w:rsidRPr="00D11AD1">
              <w:rPr>
                <w:rFonts w:ascii="Times New Roman" w:hAnsi="Times New Roman" w:cs="Times New Roman"/>
                <w:sz w:val="24"/>
                <w:szCs w:val="24"/>
                <w:lang w:val="da-DK"/>
              </w:rPr>
              <w:t>(95</w:t>
            </w:r>
            <w:r w:rsidR="00FA34A4" w:rsidRPr="00D11AD1">
              <w:rPr>
                <w:rFonts w:ascii="Times New Roman" w:hAnsi="Times New Roman" w:cs="Times New Roman"/>
                <w:sz w:val="24"/>
                <w:szCs w:val="24"/>
                <w:lang w:val="da-DK"/>
              </w:rPr>
              <w:t xml:space="preserve"> %</w:t>
            </w:r>
            <w:r w:rsidRPr="00D11AD1">
              <w:rPr>
                <w:rFonts w:ascii="Times New Roman" w:hAnsi="Times New Roman" w:cs="Times New Roman"/>
                <w:sz w:val="24"/>
                <w:szCs w:val="24"/>
                <w:lang w:val="da-DK"/>
              </w:rPr>
              <w:t xml:space="preserve"> CI)</w:t>
            </w:r>
          </w:p>
        </w:tc>
        <w:tc>
          <w:tcPr>
            <w:tcW w:w="1029" w:type="pct"/>
            <w:tcBorders>
              <w:bottom w:val="single" w:sz="4" w:space="0" w:color="000000"/>
            </w:tcBorders>
          </w:tcPr>
          <w:p w14:paraId="75FA849E" w14:textId="77777777" w:rsidR="00FD5950" w:rsidRPr="00D11AD1" w:rsidRDefault="00FD5950" w:rsidP="006D21E5">
            <w:pPr>
              <w:pStyle w:val="TableParagraph"/>
              <w:ind w:left="709" w:right="676" w:hanging="283"/>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(25-40)</w:t>
            </w:r>
          </w:p>
        </w:tc>
        <w:tc>
          <w:tcPr>
            <w:tcW w:w="1099" w:type="pct"/>
            <w:tcBorders>
              <w:bottom w:val="single" w:sz="4" w:space="0" w:color="000000"/>
            </w:tcBorders>
          </w:tcPr>
          <w:p w14:paraId="26BEA2F4" w14:textId="77777777" w:rsidR="00FD5950" w:rsidRPr="00D11AD1" w:rsidRDefault="00FD5950" w:rsidP="006D21E5">
            <w:pPr>
              <w:pStyle w:val="TableParagraph"/>
              <w:ind w:left="709" w:right="268" w:hanging="283"/>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(10-28)</w:t>
            </w:r>
          </w:p>
        </w:tc>
        <w:tc>
          <w:tcPr>
            <w:tcW w:w="1195" w:type="pct"/>
            <w:tcBorders>
              <w:bottom w:val="single" w:sz="4" w:space="0" w:color="000000"/>
            </w:tcBorders>
          </w:tcPr>
          <w:p w14:paraId="7A7E205C" w14:textId="77777777" w:rsidR="00FD5950" w:rsidRPr="00D11AD1" w:rsidRDefault="00FD5950" w:rsidP="006D21E5">
            <w:pPr>
              <w:pStyle w:val="TableParagraph"/>
              <w:ind w:left="709" w:right="782" w:hanging="283"/>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(23-58)</w:t>
            </w:r>
          </w:p>
        </w:tc>
        <w:tc>
          <w:tcPr>
            <w:tcW w:w="950" w:type="pct"/>
            <w:tcBorders>
              <w:bottom w:val="single" w:sz="4" w:space="0" w:color="000000"/>
            </w:tcBorders>
          </w:tcPr>
          <w:p w14:paraId="53AC72B1" w14:textId="77777777" w:rsidR="00FD5950" w:rsidRPr="00D11AD1" w:rsidRDefault="00FD5950" w:rsidP="006D21E5">
            <w:pPr>
              <w:pStyle w:val="TableParagraph"/>
              <w:ind w:left="709" w:right="601" w:hanging="283"/>
              <w:jc w:val="center"/>
              <w:rPr>
                <w:rFonts w:ascii="Times New Roman" w:hAnsi="Times New Roman" w:cs="Times New Roman"/>
                <w:sz w:val="24"/>
                <w:szCs w:val="24"/>
                <w:lang w:val="da-DK"/>
              </w:rPr>
            </w:pPr>
            <w:r w:rsidRPr="00D11AD1">
              <w:rPr>
                <w:rFonts w:ascii="Times New Roman" w:hAnsi="Times New Roman" w:cs="Times New Roman"/>
                <w:sz w:val="24"/>
                <w:szCs w:val="24"/>
                <w:lang w:val="da-DK"/>
              </w:rPr>
              <w:t>(34-66)</w:t>
            </w:r>
          </w:p>
        </w:tc>
      </w:tr>
    </w:tbl>
    <w:p w14:paraId="5FD6A844" w14:textId="5B8EE815" w:rsidR="00FD5950" w:rsidRPr="00D11AD1" w:rsidRDefault="00FD5950" w:rsidP="006D21E5">
      <w:pPr>
        <w:adjustRightInd w:val="0"/>
        <w:ind w:left="709" w:hanging="283"/>
        <w:rPr>
          <w:rFonts w:eastAsia="TimesNewRomanPSMT"/>
          <w:sz w:val="24"/>
          <w:szCs w:val="24"/>
        </w:rPr>
      </w:pPr>
      <w:r w:rsidRPr="00D11AD1">
        <w:rPr>
          <w:rFonts w:eastAsia="TimesNewRomanPSMT"/>
          <w:sz w:val="24"/>
          <w:szCs w:val="24"/>
          <w:vertAlign w:val="superscript"/>
        </w:rPr>
        <w:t>a</w:t>
      </w:r>
      <w:r w:rsidR="00437268" w:rsidRPr="00D11AD1">
        <w:rPr>
          <w:rFonts w:eastAsia="TimesNewRomanPSMT"/>
          <w:sz w:val="24"/>
          <w:szCs w:val="24"/>
          <w:vertAlign w:val="superscript"/>
        </w:rPr>
        <w:tab/>
      </w:r>
      <w:r w:rsidRPr="00D11AD1">
        <w:rPr>
          <w:rFonts w:eastAsia="TimesNewRomanPSMT"/>
          <w:sz w:val="24"/>
          <w:szCs w:val="24"/>
        </w:rPr>
        <w:t xml:space="preserve">Resultater rapporteret med anbefalet startdosis på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(se pkt. 4.2).</w:t>
      </w:r>
    </w:p>
    <w:p w14:paraId="49023442" w14:textId="4FB8AE7B" w:rsidR="00FD5950" w:rsidRPr="00D11AD1" w:rsidRDefault="00FD5950" w:rsidP="006D21E5">
      <w:pPr>
        <w:adjustRightInd w:val="0"/>
        <w:ind w:left="709" w:hanging="283"/>
        <w:rPr>
          <w:rFonts w:eastAsia="TimesNewRomanPSMT"/>
          <w:sz w:val="24"/>
          <w:szCs w:val="24"/>
        </w:rPr>
      </w:pPr>
      <w:r w:rsidRPr="00D11AD1">
        <w:rPr>
          <w:rFonts w:eastAsia="TimesNewRomanPSMT"/>
          <w:sz w:val="24"/>
          <w:szCs w:val="24"/>
          <w:vertAlign w:val="superscript"/>
        </w:rPr>
        <w:t>b</w:t>
      </w:r>
      <w:r w:rsidR="00437268" w:rsidRPr="00D11AD1">
        <w:rPr>
          <w:rFonts w:eastAsia="TimesNewRomanPSMT"/>
          <w:sz w:val="24"/>
          <w:szCs w:val="24"/>
        </w:rPr>
        <w:tab/>
      </w:r>
      <w:r w:rsidRPr="00D11AD1">
        <w:rPr>
          <w:rFonts w:eastAsia="TimesNewRomanPSMT"/>
          <w:sz w:val="24"/>
          <w:szCs w:val="24"/>
        </w:rPr>
        <w:t>Hæmatologiske responskriterier (alle responser blev bekræftet efter 4 uger): Større hæmatologisk respons: (MaHR)</w:t>
      </w:r>
    </w:p>
    <w:p w14:paraId="749BB5F8" w14:textId="5E035C92" w:rsidR="00FD5950" w:rsidRPr="00D11AD1" w:rsidRDefault="00FD5950" w:rsidP="006D21E5">
      <w:pPr>
        <w:adjustRightInd w:val="0"/>
        <w:ind w:left="709" w:hanging="283"/>
        <w:rPr>
          <w:rFonts w:eastAsia="TimesNewRomanPSMT"/>
          <w:sz w:val="24"/>
          <w:szCs w:val="24"/>
        </w:rPr>
      </w:pPr>
      <w:r w:rsidRPr="00D11AD1">
        <w:rPr>
          <w:rFonts w:eastAsia="TimesNewRomanPSMT"/>
          <w:sz w:val="24"/>
          <w:szCs w:val="24"/>
        </w:rPr>
        <w:t>=</w:t>
      </w:r>
      <w:r w:rsidR="00437268" w:rsidRPr="00D11AD1">
        <w:rPr>
          <w:rFonts w:eastAsia="TimesNewRomanPSMT"/>
          <w:sz w:val="24"/>
          <w:szCs w:val="24"/>
        </w:rPr>
        <w:tab/>
      </w:r>
      <w:r w:rsidRPr="00D11AD1">
        <w:rPr>
          <w:rFonts w:eastAsia="TimesNewRomanPSMT"/>
          <w:sz w:val="24"/>
          <w:szCs w:val="24"/>
        </w:rPr>
        <w:t>fuldstændigt hæmatologisk respons (CHR) + ingen tegn på leukæmi (NEL).</w:t>
      </w:r>
    </w:p>
    <w:p w14:paraId="14A0DDD0" w14:textId="3EA12DC1" w:rsidR="00FD5950" w:rsidRPr="00D11AD1" w:rsidRDefault="00FD5950" w:rsidP="006D21E5">
      <w:pPr>
        <w:adjustRightInd w:val="0"/>
        <w:ind w:left="426"/>
        <w:rPr>
          <w:rFonts w:eastAsia="TimesNewRomanPSMT"/>
          <w:sz w:val="24"/>
          <w:szCs w:val="24"/>
        </w:rPr>
      </w:pPr>
      <w:r w:rsidRPr="00D11AD1">
        <w:rPr>
          <w:rFonts w:eastAsia="TimesNewRomanPSMT"/>
          <w:sz w:val="24"/>
          <w:szCs w:val="24"/>
        </w:rPr>
        <w:lastRenderedPageBreak/>
        <w:t>CHR: WBC ≤ institutionel ULN, ANC ≥ 1.000/mm</w:t>
      </w:r>
      <w:r w:rsidRPr="00D11AD1">
        <w:rPr>
          <w:rFonts w:eastAsia="TimesNewRomanPSMT"/>
          <w:sz w:val="24"/>
          <w:szCs w:val="24"/>
          <w:vertAlign w:val="superscript"/>
        </w:rPr>
        <w:t>3</w:t>
      </w:r>
      <w:r w:rsidRPr="00D11AD1">
        <w:rPr>
          <w:rFonts w:eastAsia="TimesNewRomanPSMT"/>
          <w:sz w:val="24"/>
          <w:szCs w:val="24"/>
        </w:rPr>
        <w:t>, trombocytter ≥ 100.000/mm</w:t>
      </w:r>
      <w:r w:rsidRPr="00D11AD1">
        <w:rPr>
          <w:rFonts w:eastAsia="TimesNewRomanPSMT"/>
          <w:sz w:val="24"/>
          <w:szCs w:val="24"/>
          <w:vertAlign w:val="superscript"/>
        </w:rPr>
        <w:t>3</w:t>
      </w:r>
      <w:r w:rsidRPr="00D11AD1">
        <w:rPr>
          <w:rFonts w:eastAsia="TimesNewRomanPSMT"/>
          <w:sz w:val="24"/>
          <w:szCs w:val="24"/>
        </w:rPr>
        <w:t>, ingen blaster eller promyelocytter i perifert blod, knoglemarvsblaster ≤ 5</w:t>
      </w:r>
      <w:r w:rsidR="00FA34A4" w:rsidRPr="00D11AD1">
        <w:rPr>
          <w:rFonts w:eastAsia="TimesNewRomanPSMT"/>
          <w:sz w:val="24"/>
          <w:szCs w:val="24"/>
        </w:rPr>
        <w:t xml:space="preserve"> %</w:t>
      </w:r>
      <w:r w:rsidRPr="00D11AD1">
        <w:rPr>
          <w:rFonts w:eastAsia="TimesNewRomanPSMT"/>
          <w:sz w:val="24"/>
          <w:szCs w:val="24"/>
        </w:rPr>
        <w:t>, &lt; 5</w:t>
      </w:r>
      <w:r w:rsidR="00FA34A4" w:rsidRPr="00D11AD1">
        <w:rPr>
          <w:rFonts w:eastAsia="TimesNewRomanPSMT"/>
          <w:sz w:val="24"/>
          <w:szCs w:val="24"/>
        </w:rPr>
        <w:t xml:space="preserve"> %</w:t>
      </w:r>
      <w:r w:rsidRPr="00D11AD1">
        <w:rPr>
          <w:rFonts w:eastAsia="TimesNewRomanPSMT"/>
          <w:sz w:val="24"/>
          <w:szCs w:val="24"/>
        </w:rPr>
        <w:t xml:space="preserve"> myelocytter plus metamyelocytter i perifert blod, basofilocytter i perifert blod &lt; 20</w:t>
      </w:r>
      <w:r w:rsidR="00FA34A4" w:rsidRPr="00D11AD1">
        <w:rPr>
          <w:rFonts w:eastAsia="TimesNewRomanPSMT"/>
          <w:sz w:val="24"/>
          <w:szCs w:val="24"/>
        </w:rPr>
        <w:t xml:space="preserve"> %</w:t>
      </w:r>
      <w:r w:rsidRPr="00D11AD1">
        <w:rPr>
          <w:rFonts w:eastAsia="TimesNewRomanPSMT"/>
          <w:sz w:val="24"/>
          <w:szCs w:val="24"/>
        </w:rPr>
        <w:t xml:space="preserve"> og ingen ekstramedullær involvering.</w:t>
      </w:r>
    </w:p>
    <w:p w14:paraId="7A6A2BA2" w14:textId="77777777" w:rsidR="00FD5950" w:rsidRPr="00D11AD1" w:rsidRDefault="00FD5950" w:rsidP="006D21E5">
      <w:pPr>
        <w:adjustRightInd w:val="0"/>
        <w:ind w:left="426"/>
        <w:rPr>
          <w:rFonts w:eastAsia="TimesNewRomanPSMT"/>
          <w:sz w:val="24"/>
          <w:szCs w:val="24"/>
        </w:rPr>
      </w:pPr>
      <w:r w:rsidRPr="00D11AD1">
        <w:rPr>
          <w:rFonts w:eastAsia="TimesNewRomanPSMT"/>
          <w:sz w:val="24"/>
          <w:szCs w:val="24"/>
        </w:rPr>
        <w:t>NEL: samme kriterier som for CHR, men ANC ≥ 500/mm</w:t>
      </w:r>
      <w:r w:rsidRPr="00D11AD1">
        <w:rPr>
          <w:rFonts w:eastAsia="TimesNewRomanPSMT"/>
          <w:sz w:val="24"/>
          <w:szCs w:val="24"/>
          <w:vertAlign w:val="superscript"/>
        </w:rPr>
        <w:t>3</w:t>
      </w:r>
      <w:r w:rsidRPr="00D11AD1">
        <w:rPr>
          <w:rFonts w:eastAsia="TimesNewRomanPSMT"/>
          <w:sz w:val="24"/>
          <w:szCs w:val="24"/>
        </w:rPr>
        <w:t xml:space="preserve"> og &lt; 1.000/mm</w:t>
      </w:r>
      <w:r w:rsidRPr="00D11AD1">
        <w:rPr>
          <w:rFonts w:eastAsia="TimesNewRomanPSMT"/>
          <w:sz w:val="24"/>
          <w:szCs w:val="24"/>
          <w:vertAlign w:val="superscript"/>
        </w:rPr>
        <w:t>3</w:t>
      </w:r>
      <w:r w:rsidRPr="00D11AD1">
        <w:rPr>
          <w:rFonts w:eastAsia="TimesNewRomanPSMT"/>
          <w:sz w:val="24"/>
          <w:szCs w:val="24"/>
        </w:rPr>
        <w:t xml:space="preserve"> eller trombocytter ≥ 20.000/mm</w:t>
      </w:r>
      <w:r w:rsidRPr="00D11AD1">
        <w:rPr>
          <w:rFonts w:eastAsia="TimesNewRomanPSMT"/>
          <w:sz w:val="24"/>
          <w:szCs w:val="24"/>
          <w:vertAlign w:val="superscript"/>
        </w:rPr>
        <w:t>3</w:t>
      </w:r>
      <w:r w:rsidRPr="00D11AD1">
        <w:rPr>
          <w:rFonts w:eastAsia="TimesNewRomanPSMT"/>
          <w:sz w:val="24"/>
          <w:szCs w:val="24"/>
        </w:rPr>
        <w:t xml:space="preserve"> og ≤ 100.000/mm</w:t>
      </w:r>
      <w:r w:rsidRPr="00D11AD1">
        <w:rPr>
          <w:rFonts w:eastAsia="TimesNewRomanPSMT"/>
          <w:sz w:val="24"/>
          <w:szCs w:val="24"/>
          <w:vertAlign w:val="superscript"/>
        </w:rPr>
        <w:t>3</w:t>
      </w:r>
      <w:r w:rsidRPr="00D11AD1">
        <w:rPr>
          <w:rFonts w:eastAsia="TimesNewRomanPSMT"/>
          <w:sz w:val="24"/>
          <w:szCs w:val="24"/>
        </w:rPr>
        <w:t>.</w:t>
      </w:r>
    </w:p>
    <w:p w14:paraId="5618D319" w14:textId="30CAF5A5" w:rsidR="00FD5950" w:rsidRPr="00D11AD1" w:rsidRDefault="00FD5950" w:rsidP="006D21E5">
      <w:pPr>
        <w:adjustRightInd w:val="0"/>
        <w:ind w:left="709" w:hanging="283"/>
        <w:rPr>
          <w:rFonts w:eastAsia="TimesNewRomanPSMT"/>
          <w:sz w:val="24"/>
          <w:szCs w:val="24"/>
        </w:rPr>
      </w:pPr>
      <w:r w:rsidRPr="00D11AD1">
        <w:rPr>
          <w:rFonts w:eastAsia="TimesNewRomanPSMT"/>
          <w:sz w:val="24"/>
          <w:szCs w:val="24"/>
          <w:vertAlign w:val="superscript"/>
        </w:rPr>
        <w:t>c</w:t>
      </w:r>
      <w:r w:rsidR="00826523" w:rsidRPr="00D11AD1">
        <w:rPr>
          <w:rFonts w:eastAsia="TimesNewRomanPSMT"/>
          <w:sz w:val="24"/>
          <w:szCs w:val="24"/>
          <w:vertAlign w:val="superscript"/>
        </w:rPr>
        <w:tab/>
      </w:r>
      <w:r w:rsidRPr="00D11AD1">
        <w:rPr>
          <w:rFonts w:eastAsia="TimesNewRomanPSMT"/>
          <w:sz w:val="24"/>
          <w:szCs w:val="24"/>
        </w:rPr>
        <w:t>MCyR kombinerer både fuldstændigt (0</w:t>
      </w:r>
      <w:r w:rsidR="00FA34A4" w:rsidRPr="00D11AD1">
        <w:rPr>
          <w:rFonts w:eastAsia="TimesNewRomanPSMT"/>
          <w:sz w:val="24"/>
          <w:szCs w:val="24"/>
        </w:rPr>
        <w:t xml:space="preserve"> %</w:t>
      </w:r>
      <w:r w:rsidRPr="00D11AD1">
        <w:rPr>
          <w:rFonts w:eastAsia="TimesNewRomanPSMT"/>
          <w:sz w:val="24"/>
          <w:szCs w:val="24"/>
        </w:rPr>
        <w:t xml:space="preserve"> Ph+metafaser) og delvist (&gt; 0</w:t>
      </w:r>
      <w:r w:rsidR="00FA34A4" w:rsidRPr="00D11AD1">
        <w:rPr>
          <w:rFonts w:eastAsia="TimesNewRomanPSMT"/>
          <w:sz w:val="24"/>
          <w:szCs w:val="24"/>
        </w:rPr>
        <w:t xml:space="preserve"> %</w:t>
      </w:r>
      <w:r w:rsidRPr="00D11AD1">
        <w:rPr>
          <w:rFonts w:eastAsia="TimesNewRomanPSMT"/>
          <w:sz w:val="24"/>
          <w:szCs w:val="24"/>
        </w:rPr>
        <w:t>-35</w:t>
      </w:r>
      <w:r w:rsidR="00FA34A4" w:rsidRPr="00D11AD1">
        <w:rPr>
          <w:rFonts w:eastAsia="TimesNewRomanPSMT"/>
          <w:sz w:val="24"/>
          <w:szCs w:val="24"/>
        </w:rPr>
        <w:t xml:space="preserve"> %</w:t>
      </w:r>
      <w:r w:rsidRPr="00D11AD1">
        <w:rPr>
          <w:rFonts w:eastAsia="TimesNewRomanPSMT"/>
          <w:sz w:val="24"/>
          <w:szCs w:val="24"/>
        </w:rPr>
        <w:t>) respons.</w:t>
      </w:r>
    </w:p>
    <w:p w14:paraId="116739A1" w14:textId="77777777" w:rsidR="00FD5950" w:rsidRPr="00D11AD1" w:rsidRDefault="00FD5950" w:rsidP="006D21E5">
      <w:pPr>
        <w:pStyle w:val="Brdtekst"/>
        <w:ind w:left="709" w:hanging="283"/>
        <w:rPr>
          <w:sz w:val="24"/>
          <w:szCs w:val="24"/>
          <w:lang w:val="da-DK"/>
        </w:rPr>
      </w:pPr>
      <w:r w:rsidRPr="00D11AD1">
        <w:rPr>
          <w:rFonts w:eastAsia="TimesNewRomanPSMT"/>
          <w:sz w:val="24"/>
          <w:szCs w:val="24"/>
          <w:lang w:val="da-DK"/>
        </w:rPr>
        <w:t>CI = konfidensinterval; ULN = øvre normalgrænse.</w:t>
      </w:r>
    </w:p>
    <w:p w14:paraId="401A9D45" w14:textId="77777777" w:rsidR="00FD5950" w:rsidRPr="00D11AD1" w:rsidRDefault="00FD5950" w:rsidP="006D21E5">
      <w:pPr>
        <w:pStyle w:val="Brdtekst"/>
        <w:ind w:left="851" w:right="136"/>
        <w:rPr>
          <w:w w:val="105"/>
          <w:sz w:val="24"/>
          <w:szCs w:val="24"/>
          <w:lang w:val="da-DK"/>
        </w:rPr>
      </w:pPr>
    </w:p>
    <w:p w14:paraId="58103A5B" w14:textId="3C93392B" w:rsidR="00FD5950" w:rsidRPr="00D11AD1" w:rsidRDefault="00FD5950" w:rsidP="00826523">
      <w:pPr>
        <w:adjustRightInd w:val="0"/>
        <w:ind w:left="851"/>
        <w:rPr>
          <w:rFonts w:eastAsia="TimesNewRomanPSMT"/>
          <w:sz w:val="24"/>
          <w:szCs w:val="24"/>
        </w:rPr>
      </w:pPr>
      <w:r w:rsidRPr="00D11AD1">
        <w:rPr>
          <w:rFonts w:eastAsia="TimesNewRomanPSMT"/>
          <w:sz w:val="24"/>
          <w:szCs w:val="24"/>
        </w:rPr>
        <w:t xml:space="preserve">Hos patienter med CML i accelereret fase, som blev behandlet med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blev medianvarighed af MaHR og den samlede medianoverlevelse ikke nået; median PFS var 25 måneder.</w:t>
      </w:r>
    </w:p>
    <w:p w14:paraId="019B8A2E" w14:textId="77777777" w:rsidR="00FD5950" w:rsidRPr="00D11AD1" w:rsidRDefault="00FD5950" w:rsidP="00826523">
      <w:pPr>
        <w:adjustRightInd w:val="0"/>
        <w:ind w:left="851"/>
        <w:rPr>
          <w:rFonts w:eastAsia="TimesNewRomanPSMT"/>
          <w:sz w:val="24"/>
          <w:szCs w:val="24"/>
        </w:rPr>
      </w:pPr>
    </w:p>
    <w:p w14:paraId="4710C760" w14:textId="06AFC5FB" w:rsidR="00FD5950" w:rsidRPr="00D11AD1" w:rsidRDefault="00FD5950" w:rsidP="00826523">
      <w:pPr>
        <w:adjustRightInd w:val="0"/>
        <w:ind w:left="851"/>
        <w:rPr>
          <w:rFonts w:eastAsia="TimesNewRomanPSMT"/>
          <w:sz w:val="24"/>
          <w:szCs w:val="24"/>
        </w:rPr>
      </w:pPr>
      <w:r w:rsidRPr="00D11AD1">
        <w:rPr>
          <w:rFonts w:eastAsia="TimesNewRomanPSMT"/>
          <w:sz w:val="24"/>
          <w:szCs w:val="24"/>
        </w:rPr>
        <w:t xml:space="preserve">Hos patienterne med CML i myeloid blastfase, som blev behandlet med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xml:space="preserve">, var medianvarighed af MaHR 8 måneder, median PFS var 4 måneder, og den samlede medianoverlevelse var 8 måneder. Hos patienterne med CML i lymfoid blastfase, som blev behandlet med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var medianvarigheden af MaHR 5 måneder, median PFS var 5 måneder, og den samlede medianoverlevelse var 11 måneder.</w:t>
      </w:r>
    </w:p>
    <w:p w14:paraId="69BD7E59" w14:textId="77777777" w:rsidR="00FD5950" w:rsidRPr="00D11AD1" w:rsidRDefault="00FD5950" w:rsidP="00826523">
      <w:pPr>
        <w:adjustRightInd w:val="0"/>
        <w:ind w:left="851"/>
        <w:rPr>
          <w:rFonts w:eastAsia="TimesNewRomanPSMT"/>
          <w:sz w:val="24"/>
          <w:szCs w:val="24"/>
        </w:rPr>
      </w:pPr>
    </w:p>
    <w:p w14:paraId="25A504C9" w14:textId="7610076C" w:rsidR="00FD5950" w:rsidRPr="00D11AD1" w:rsidRDefault="00FD5950" w:rsidP="00826523">
      <w:pPr>
        <w:adjustRightInd w:val="0"/>
        <w:ind w:left="851"/>
        <w:rPr>
          <w:rFonts w:eastAsia="TimesNewRomanPSMT"/>
          <w:sz w:val="24"/>
          <w:szCs w:val="24"/>
        </w:rPr>
      </w:pPr>
      <w:r w:rsidRPr="00D11AD1">
        <w:rPr>
          <w:rFonts w:eastAsia="TimesNewRomanPSMT"/>
          <w:sz w:val="24"/>
          <w:szCs w:val="24"/>
        </w:rPr>
        <w:t xml:space="preserve">Hos patienter med Ph+ ALL, som blev behandlet med 140 mg </w:t>
      </w:r>
      <w:r w:rsidR="00FA34A4" w:rsidRPr="00D11AD1">
        <w:rPr>
          <w:rFonts w:eastAsia="TimesNewRomanPSMT"/>
          <w:sz w:val="24"/>
          <w:szCs w:val="24"/>
        </w:rPr>
        <w:t>en</w:t>
      </w:r>
      <w:r w:rsidRPr="00D11AD1">
        <w:rPr>
          <w:rFonts w:eastAsia="TimesNewRomanPSMT"/>
          <w:sz w:val="24"/>
          <w:szCs w:val="24"/>
        </w:rPr>
        <w:t xml:space="preserve"> gang </w:t>
      </w:r>
      <w:r w:rsidR="00FA34A4" w:rsidRPr="00D11AD1">
        <w:rPr>
          <w:rFonts w:eastAsia="TimesNewRomanPSMT"/>
          <w:sz w:val="24"/>
          <w:szCs w:val="24"/>
        </w:rPr>
        <w:t>daglig</w:t>
      </w:r>
      <w:r w:rsidRPr="00D11AD1">
        <w:rPr>
          <w:rFonts w:eastAsia="TimesNewRomanPSMT"/>
          <w:sz w:val="24"/>
          <w:szCs w:val="24"/>
        </w:rPr>
        <w:t>, var medianvarigheden af MaHR 5 måneder, median PFS var 4 måneder, og den samlede medianoverlevelse var 7 måneder.</w:t>
      </w:r>
    </w:p>
    <w:p w14:paraId="46B54E70" w14:textId="77777777" w:rsidR="00FD5950" w:rsidRPr="00D11AD1" w:rsidRDefault="00FD5950" w:rsidP="00826523">
      <w:pPr>
        <w:pStyle w:val="Brdtekst"/>
        <w:spacing w:before="6"/>
        <w:ind w:left="851"/>
        <w:rPr>
          <w:sz w:val="24"/>
          <w:szCs w:val="24"/>
          <w:lang w:val="da-DK"/>
        </w:rPr>
      </w:pPr>
    </w:p>
    <w:p w14:paraId="348EFA1A" w14:textId="77777777" w:rsidR="00FD5950" w:rsidRPr="00D11AD1" w:rsidRDefault="00FD5950" w:rsidP="00826523">
      <w:pPr>
        <w:adjustRightInd w:val="0"/>
        <w:ind w:left="851"/>
        <w:rPr>
          <w:rFonts w:eastAsia="TimesNewRomanPSMT"/>
          <w:sz w:val="24"/>
          <w:szCs w:val="24"/>
          <w:u w:val="single"/>
        </w:rPr>
      </w:pPr>
      <w:r w:rsidRPr="00D11AD1">
        <w:rPr>
          <w:rFonts w:eastAsia="TimesNewRomanPSMT"/>
          <w:sz w:val="24"/>
          <w:szCs w:val="24"/>
          <w:u w:val="single"/>
        </w:rPr>
        <w:t>Pædiatrisk population</w:t>
      </w:r>
    </w:p>
    <w:p w14:paraId="6C1D81FF" w14:textId="77777777" w:rsidR="00FD5950" w:rsidRPr="00D11AD1" w:rsidRDefault="00FD5950" w:rsidP="00826523">
      <w:pPr>
        <w:adjustRightInd w:val="0"/>
        <w:ind w:left="851"/>
        <w:rPr>
          <w:rFonts w:eastAsia="TimesNewRomanPSMT"/>
          <w:sz w:val="24"/>
          <w:szCs w:val="24"/>
          <w:u w:val="single"/>
        </w:rPr>
      </w:pPr>
    </w:p>
    <w:p w14:paraId="43110993" w14:textId="77777777" w:rsidR="00FD5950" w:rsidRPr="00D11AD1" w:rsidRDefault="00FD5950" w:rsidP="00826523">
      <w:pPr>
        <w:adjustRightInd w:val="0"/>
        <w:ind w:left="851"/>
        <w:rPr>
          <w:rFonts w:eastAsia="TimesNewRomanPSMT"/>
          <w:i/>
          <w:iCs/>
          <w:sz w:val="24"/>
          <w:szCs w:val="24"/>
        </w:rPr>
      </w:pPr>
      <w:r w:rsidRPr="00D11AD1">
        <w:rPr>
          <w:rFonts w:eastAsia="TimesNewRomanPSMT"/>
          <w:i/>
          <w:iCs/>
          <w:sz w:val="24"/>
          <w:szCs w:val="24"/>
        </w:rPr>
        <w:t>Pædiatriske patienter med CML</w:t>
      </w:r>
    </w:p>
    <w:p w14:paraId="7FA922A4" w14:textId="2E517667" w:rsidR="00FD5950" w:rsidRPr="00D11AD1" w:rsidRDefault="00FD5950" w:rsidP="00826523">
      <w:pPr>
        <w:adjustRightInd w:val="0"/>
        <w:ind w:left="851"/>
        <w:rPr>
          <w:rFonts w:eastAsia="TimesNewRomanPSMT"/>
          <w:sz w:val="24"/>
          <w:szCs w:val="24"/>
        </w:rPr>
      </w:pPr>
      <w:r w:rsidRPr="00D11AD1">
        <w:rPr>
          <w:rFonts w:eastAsia="TimesNewRomanPSMT"/>
          <w:sz w:val="24"/>
          <w:szCs w:val="24"/>
        </w:rPr>
        <w:t>Blandt 130 patienter med CML i kronisk fase (CML-CP) behandlet i to pædiatriske studier et fase I, åbent, non-randomiseret dosisintervalforsøg og et fase II, åbent, non-randomiseret forsøg, var 84 patienter (udelukkende fra fase II-forsøget) nydiagnosticerede med CML-CP og 46 patienter (17 fra fase I-forsøget og 29 fra fase II-forsøget) resistente eller intolerante overfor tidligere behandling med imatinib. Syvoghalvfems af de 130 pædiatriske patienter med CML-CP blev behandlet med dasatinib</w:t>
      </w:r>
      <w:r w:rsidR="003240C6" w:rsidRPr="00D11AD1">
        <w:rPr>
          <w:rFonts w:eastAsia="TimesNewRomanPSMT"/>
          <w:sz w:val="24"/>
          <w:szCs w:val="24"/>
        </w:rPr>
        <w:t xml:space="preserve"> </w:t>
      </w:r>
      <w:r w:rsidRPr="00D11AD1">
        <w:rPr>
          <w:rFonts w:eastAsia="TimesNewRomanPSMT"/>
          <w:sz w:val="24"/>
          <w:szCs w:val="24"/>
        </w:rPr>
        <w:t xml:space="preserve">tabletter 60 mg/m2 en gang </w:t>
      </w:r>
      <w:r w:rsidR="00FA34A4" w:rsidRPr="00D11AD1">
        <w:rPr>
          <w:rFonts w:eastAsia="TimesNewRomanPSMT"/>
          <w:sz w:val="24"/>
          <w:szCs w:val="24"/>
        </w:rPr>
        <w:t>daglig</w:t>
      </w:r>
      <w:r w:rsidRPr="00D11AD1">
        <w:rPr>
          <w:rFonts w:eastAsia="TimesNewRomanPSMT"/>
          <w:sz w:val="24"/>
          <w:szCs w:val="24"/>
        </w:rPr>
        <w:t xml:space="preserve"> (maximumdosis på 100 mg en gang </w:t>
      </w:r>
      <w:r w:rsidR="00FA34A4" w:rsidRPr="00D11AD1">
        <w:rPr>
          <w:rFonts w:eastAsia="TimesNewRomanPSMT"/>
          <w:sz w:val="24"/>
          <w:szCs w:val="24"/>
        </w:rPr>
        <w:t>daglig</w:t>
      </w:r>
      <w:r w:rsidRPr="00D11AD1">
        <w:rPr>
          <w:rFonts w:eastAsia="TimesNewRomanPSMT"/>
          <w:sz w:val="24"/>
          <w:szCs w:val="24"/>
        </w:rPr>
        <w:t xml:space="preserve"> for patienter med højt BSA). Patienter blev behandlet indtil sygdomsprogression eller uacceptabel toksicitet.</w:t>
      </w:r>
    </w:p>
    <w:p w14:paraId="16A2F068" w14:textId="77777777" w:rsidR="00FD5950" w:rsidRPr="00D11AD1" w:rsidRDefault="00FD5950" w:rsidP="00826523">
      <w:pPr>
        <w:spacing w:line="242" w:lineRule="auto"/>
        <w:ind w:left="851"/>
        <w:rPr>
          <w:sz w:val="24"/>
          <w:szCs w:val="24"/>
        </w:rPr>
      </w:pPr>
    </w:p>
    <w:p w14:paraId="03ED7EF5" w14:textId="77777777" w:rsidR="00FD5950" w:rsidRPr="00D11AD1" w:rsidRDefault="00FD5950" w:rsidP="006D21E5">
      <w:pPr>
        <w:adjustRightInd w:val="0"/>
        <w:ind w:left="851"/>
        <w:rPr>
          <w:rFonts w:eastAsia="TimesNewRomanPSMT"/>
          <w:sz w:val="24"/>
          <w:szCs w:val="24"/>
        </w:rPr>
      </w:pPr>
      <w:r w:rsidRPr="00D11AD1">
        <w:rPr>
          <w:rFonts w:eastAsia="TimesNewRomanPSMT"/>
          <w:sz w:val="24"/>
          <w:szCs w:val="24"/>
        </w:rPr>
        <w:t>Primære effektendepunkter var komplet cytogenetisk respons (CCyR), betydeligt cytogenetisk respons (MCyR) og betydeligt molekylært respons (MMR). Resultaterne er angivet i Tabel 15.</w:t>
      </w:r>
    </w:p>
    <w:p w14:paraId="58ADBC78" w14:textId="0AF61FAB" w:rsidR="00523BC3" w:rsidRDefault="00523BC3">
      <w:pPr>
        <w:rPr>
          <w:sz w:val="24"/>
          <w:szCs w:val="24"/>
        </w:rPr>
      </w:pPr>
      <w:r>
        <w:rPr>
          <w:sz w:val="24"/>
          <w:szCs w:val="24"/>
        </w:rPr>
        <w:br w:type="page"/>
      </w:r>
    </w:p>
    <w:p w14:paraId="1F2986B7" w14:textId="77777777" w:rsidR="00EA3138" w:rsidRPr="00D11AD1" w:rsidRDefault="00EA3138" w:rsidP="006D21E5">
      <w:pPr>
        <w:tabs>
          <w:tab w:val="left" w:pos="851"/>
        </w:tabs>
        <w:ind w:left="851"/>
        <w:rPr>
          <w:sz w:val="24"/>
          <w:szCs w:val="24"/>
        </w:rPr>
      </w:pPr>
    </w:p>
    <w:p w14:paraId="39658D28" w14:textId="7A8DDB45" w:rsidR="006108E4" w:rsidRPr="00D11AD1" w:rsidRDefault="006108E4" w:rsidP="006D21E5">
      <w:pPr>
        <w:tabs>
          <w:tab w:val="left" w:pos="851"/>
        </w:tabs>
        <w:ind w:left="851"/>
        <w:rPr>
          <w:b/>
          <w:sz w:val="24"/>
          <w:szCs w:val="24"/>
        </w:rPr>
      </w:pPr>
      <w:r w:rsidRPr="00D11AD1">
        <w:rPr>
          <w:b/>
          <w:bCs/>
          <w:sz w:val="24"/>
          <w:szCs w:val="24"/>
        </w:rPr>
        <w:t xml:space="preserve">Tabel 15: </w:t>
      </w:r>
      <w:r w:rsidRPr="00D11AD1">
        <w:rPr>
          <w:b/>
          <w:sz w:val="24"/>
          <w:szCs w:val="24"/>
        </w:rPr>
        <w:t xml:space="preserve">Effekt af </w:t>
      </w:r>
      <w:r w:rsidRPr="00D11AD1">
        <w:rPr>
          <w:b/>
          <w:bCs/>
          <w:sz w:val="24"/>
          <w:szCs w:val="24"/>
        </w:rPr>
        <w:t>dasatinib</w:t>
      </w:r>
      <w:r w:rsidRPr="00D11AD1">
        <w:rPr>
          <w:b/>
          <w:sz w:val="24"/>
          <w:szCs w:val="24"/>
        </w:rPr>
        <w:t xml:space="preserve">hos pædiatriske patienter med CML-CP </w:t>
      </w:r>
    </w:p>
    <w:p w14:paraId="07E50D54" w14:textId="77777777" w:rsidR="006108E4" w:rsidRPr="00D11AD1" w:rsidRDefault="006108E4" w:rsidP="006D21E5">
      <w:pPr>
        <w:tabs>
          <w:tab w:val="left" w:pos="851"/>
        </w:tabs>
        <w:ind w:left="851"/>
        <w:rPr>
          <w:sz w:val="24"/>
          <w:szCs w:val="24"/>
        </w:rPr>
      </w:pPr>
      <w:r w:rsidRPr="00D11AD1">
        <w:rPr>
          <w:b/>
          <w:sz w:val="24"/>
          <w:szCs w:val="24"/>
        </w:rPr>
        <w:t>Kumulativt respons over tid efter minimum opfølgningsperiode</w:t>
      </w:r>
    </w:p>
    <w:tbl>
      <w:tblPr>
        <w:tblW w:w="5000" w:type="pct"/>
        <w:tblLook w:val="01E0" w:firstRow="1" w:lastRow="1" w:firstColumn="1" w:lastColumn="1" w:noHBand="0" w:noVBand="0"/>
      </w:tblPr>
      <w:tblGrid>
        <w:gridCol w:w="1952"/>
        <w:gridCol w:w="1787"/>
        <w:gridCol w:w="1871"/>
        <w:gridCol w:w="1873"/>
        <w:gridCol w:w="1871"/>
      </w:tblGrid>
      <w:tr w:rsidR="006108E4" w:rsidRPr="00D11AD1" w14:paraId="5695B262" w14:textId="77777777" w:rsidTr="000A733F">
        <w:trPr>
          <w:trHeight w:val="218"/>
        </w:trPr>
        <w:tc>
          <w:tcPr>
            <w:tcW w:w="1044" w:type="pct"/>
            <w:tcBorders>
              <w:top w:val="single" w:sz="4" w:space="0" w:color="000000"/>
              <w:bottom w:val="single" w:sz="6" w:space="0" w:color="000000"/>
            </w:tcBorders>
          </w:tcPr>
          <w:p w14:paraId="793D022A" w14:textId="77777777" w:rsidR="006108E4" w:rsidRPr="00D11AD1" w:rsidRDefault="006108E4" w:rsidP="006D21E5">
            <w:pPr>
              <w:ind w:left="43"/>
              <w:rPr>
                <w:sz w:val="24"/>
                <w:szCs w:val="24"/>
              </w:rPr>
            </w:pPr>
          </w:p>
        </w:tc>
        <w:tc>
          <w:tcPr>
            <w:tcW w:w="955" w:type="pct"/>
            <w:tcBorders>
              <w:top w:val="single" w:sz="4" w:space="0" w:color="000000"/>
              <w:bottom w:val="single" w:sz="6" w:space="0" w:color="000000"/>
            </w:tcBorders>
          </w:tcPr>
          <w:p w14:paraId="3488FD5E" w14:textId="77777777" w:rsidR="006108E4" w:rsidRPr="00D11AD1" w:rsidRDefault="006108E4" w:rsidP="006D21E5">
            <w:pPr>
              <w:ind w:left="73"/>
              <w:rPr>
                <w:b/>
                <w:sz w:val="24"/>
                <w:szCs w:val="24"/>
              </w:rPr>
            </w:pPr>
            <w:r w:rsidRPr="00D11AD1">
              <w:rPr>
                <w:b/>
                <w:sz w:val="24"/>
                <w:szCs w:val="24"/>
              </w:rPr>
              <w:t xml:space="preserve">3 </w:t>
            </w:r>
            <w:r w:rsidRPr="00D11AD1">
              <w:rPr>
                <w:b/>
                <w:bCs/>
                <w:sz w:val="24"/>
                <w:szCs w:val="24"/>
              </w:rPr>
              <w:t>måneder</w:t>
            </w:r>
          </w:p>
        </w:tc>
        <w:tc>
          <w:tcPr>
            <w:tcW w:w="1000" w:type="pct"/>
            <w:tcBorders>
              <w:top w:val="single" w:sz="4" w:space="0" w:color="000000"/>
              <w:bottom w:val="single" w:sz="6" w:space="0" w:color="000000"/>
            </w:tcBorders>
          </w:tcPr>
          <w:p w14:paraId="066CDF96" w14:textId="77777777" w:rsidR="006108E4" w:rsidRPr="00D11AD1" w:rsidRDefault="006108E4" w:rsidP="006D21E5">
            <w:pPr>
              <w:ind w:left="118"/>
              <w:rPr>
                <w:b/>
                <w:sz w:val="24"/>
                <w:szCs w:val="24"/>
              </w:rPr>
            </w:pPr>
            <w:r w:rsidRPr="00D11AD1">
              <w:rPr>
                <w:b/>
                <w:sz w:val="24"/>
                <w:szCs w:val="24"/>
              </w:rPr>
              <w:t xml:space="preserve">6 </w:t>
            </w:r>
            <w:r w:rsidRPr="00D11AD1">
              <w:rPr>
                <w:b/>
                <w:bCs/>
                <w:sz w:val="24"/>
                <w:szCs w:val="24"/>
              </w:rPr>
              <w:t>måneder</w:t>
            </w:r>
          </w:p>
        </w:tc>
        <w:tc>
          <w:tcPr>
            <w:tcW w:w="1001" w:type="pct"/>
            <w:tcBorders>
              <w:top w:val="single" w:sz="4" w:space="0" w:color="000000"/>
              <w:bottom w:val="single" w:sz="6" w:space="0" w:color="000000"/>
            </w:tcBorders>
          </w:tcPr>
          <w:p w14:paraId="19CA2834" w14:textId="77777777" w:rsidR="006108E4" w:rsidRPr="00D11AD1" w:rsidRDefault="006108E4" w:rsidP="006D21E5">
            <w:pPr>
              <w:rPr>
                <w:b/>
                <w:sz w:val="24"/>
                <w:szCs w:val="24"/>
              </w:rPr>
            </w:pPr>
            <w:r w:rsidRPr="00D11AD1">
              <w:rPr>
                <w:b/>
                <w:sz w:val="24"/>
                <w:szCs w:val="24"/>
              </w:rPr>
              <w:t xml:space="preserve">12 </w:t>
            </w:r>
            <w:r w:rsidRPr="00D11AD1">
              <w:rPr>
                <w:b/>
                <w:bCs/>
                <w:sz w:val="24"/>
                <w:szCs w:val="24"/>
              </w:rPr>
              <w:t>måneder</w:t>
            </w:r>
          </w:p>
        </w:tc>
        <w:tc>
          <w:tcPr>
            <w:tcW w:w="1001" w:type="pct"/>
            <w:tcBorders>
              <w:top w:val="single" w:sz="4" w:space="0" w:color="000000"/>
              <w:bottom w:val="single" w:sz="6" w:space="0" w:color="000000"/>
            </w:tcBorders>
          </w:tcPr>
          <w:p w14:paraId="7B751AE5" w14:textId="77777777" w:rsidR="006108E4" w:rsidRPr="00D11AD1" w:rsidRDefault="006108E4" w:rsidP="006D21E5">
            <w:pPr>
              <w:rPr>
                <w:b/>
                <w:sz w:val="24"/>
                <w:szCs w:val="24"/>
              </w:rPr>
            </w:pPr>
            <w:r w:rsidRPr="00D11AD1">
              <w:rPr>
                <w:b/>
                <w:sz w:val="24"/>
                <w:szCs w:val="24"/>
              </w:rPr>
              <w:t xml:space="preserve">24 </w:t>
            </w:r>
            <w:r w:rsidRPr="00D11AD1">
              <w:rPr>
                <w:b/>
                <w:bCs/>
                <w:sz w:val="24"/>
                <w:szCs w:val="24"/>
              </w:rPr>
              <w:t>måneder</w:t>
            </w:r>
          </w:p>
        </w:tc>
      </w:tr>
      <w:tr w:rsidR="006108E4" w:rsidRPr="00D11AD1" w14:paraId="2B47CA0C" w14:textId="77777777" w:rsidTr="000A733F">
        <w:trPr>
          <w:trHeight w:val="238"/>
        </w:trPr>
        <w:tc>
          <w:tcPr>
            <w:tcW w:w="1044" w:type="pct"/>
            <w:tcBorders>
              <w:top w:val="single" w:sz="6" w:space="0" w:color="000000"/>
            </w:tcBorders>
          </w:tcPr>
          <w:p w14:paraId="47E948B8" w14:textId="77777777" w:rsidR="006108E4" w:rsidRPr="00D11AD1" w:rsidRDefault="006108E4" w:rsidP="006D21E5">
            <w:pPr>
              <w:ind w:left="43"/>
              <w:rPr>
                <w:b/>
                <w:sz w:val="24"/>
                <w:szCs w:val="24"/>
              </w:rPr>
            </w:pPr>
            <w:r w:rsidRPr="00D11AD1">
              <w:rPr>
                <w:b/>
                <w:sz w:val="24"/>
                <w:szCs w:val="24"/>
              </w:rPr>
              <w:t>CcyR</w:t>
            </w:r>
          </w:p>
        </w:tc>
        <w:tc>
          <w:tcPr>
            <w:tcW w:w="955" w:type="pct"/>
            <w:tcBorders>
              <w:top w:val="single" w:sz="6" w:space="0" w:color="000000"/>
            </w:tcBorders>
          </w:tcPr>
          <w:p w14:paraId="5B97A2FE" w14:textId="77777777" w:rsidR="006108E4" w:rsidRPr="00D11AD1" w:rsidRDefault="006108E4" w:rsidP="006D21E5">
            <w:pPr>
              <w:ind w:left="73"/>
              <w:rPr>
                <w:sz w:val="24"/>
                <w:szCs w:val="24"/>
              </w:rPr>
            </w:pPr>
          </w:p>
        </w:tc>
        <w:tc>
          <w:tcPr>
            <w:tcW w:w="1000" w:type="pct"/>
            <w:tcBorders>
              <w:top w:val="single" w:sz="6" w:space="0" w:color="000000"/>
            </w:tcBorders>
          </w:tcPr>
          <w:p w14:paraId="6354D68B" w14:textId="77777777" w:rsidR="006108E4" w:rsidRPr="00D11AD1" w:rsidRDefault="006108E4" w:rsidP="006D21E5">
            <w:pPr>
              <w:ind w:left="118"/>
              <w:rPr>
                <w:sz w:val="24"/>
                <w:szCs w:val="24"/>
              </w:rPr>
            </w:pPr>
          </w:p>
        </w:tc>
        <w:tc>
          <w:tcPr>
            <w:tcW w:w="1001" w:type="pct"/>
            <w:tcBorders>
              <w:top w:val="single" w:sz="6" w:space="0" w:color="000000"/>
            </w:tcBorders>
          </w:tcPr>
          <w:p w14:paraId="48B77E65" w14:textId="77777777" w:rsidR="006108E4" w:rsidRPr="00D11AD1" w:rsidRDefault="006108E4" w:rsidP="006D21E5">
            <w:pPr>
              <w:rPr>
                <w:sz w:val="24"/>
                <w:szCs w:val="24"/>
              </w:rPr>
            </w:pPr>
          </w:p>
        </w:tc>
        <w:tc>
          <w:tcPr>
            <w:tcW w:w="1001" w:type="pct"/>
            <w:tcBorders>
              <w:top w:val="single" w:sz="6" w:space="0" w:color="000000"/>
            </w:tcBorders>
          </w:tcPr>
          <w:p w14:paraId="4278B1BF" w14:textId="77777777" w:rsidR="006108E4" w:rsidRPr="00D11AD1" w:rsidRDefault="006108E4" w:rsidP="006D21E5">
            <w:pPr>
              <w:rPr>
                <w:sz w:val="24"/>
                <w:szCs w:val="24"/>
              </w:rPr>
            </w:pPr>
          </w:p>
        </w:tc>
      </w:tr>
      <w:tr w:rsidR="006108E4" w:rsidRPr="00D11AD1" w14:paraId="7028CBDC" w14:textId="77777777" w:rsidTr="000A733F">
        <w:trPr>
          <w:trHeight w:val="218"/>
        </w:trPr>
        <w:tc>
          <w:tcPr>
            <w:tcW w:w="1044" w:type="pct"/>
          </w:tcPr>
          <w:p w14:paraId="7C1F0A25" w14:textId="61D8E900" w:rsidR="006108E4" w:rsidRPr="00D11AD1" w:rsidRDefault="006108E4" w:rsidP="006D21E5">
            <w:pPr>
              <w:ind w:left="43"/>
              <w:rPr>
                <w:b/>
                <w:sz w:val="24"/>
                <w:szCs w:val="24"/>
              </w:rPr>
            </w:pPr>
            <w:r w:rsidRPr="00D11AD1">
              <w:rPr>
                <w:b/>
                <w:sz w:val="24"/>
                <w:szCs w:val="24"/>
              </w:rPr>
              <w:t>(95</w:t>
            </w:r>
            <w:r w:rsidR="00FA34A4" w:rsidRPr="00D11AD1">
              <w:rPr>
                <w:b/>
                <w:sz w:val="24"/>
                <w:szCs w:val="24"/>
              </w:rPr>
              <w:t xml:space="preserve"> %</w:t>
            </w:r>
            <w:r w:rsidRPr="00D11AD1">
              <w:rPr>
                <w:b/>
                <w:sz w:val="24"/>
                <w:szCs w:val="24"/>
              </w:rPr>
              <w:t xml:space="preserve"> CI)</w:t>
            </w:r>
          </w:p>
        </w:tc>
        <w:tc>
          <w:tcPr>
            <w:tcW w:w="955" w:type="pct"/>
          </w:tcPr>
          <w:p w14:paraId="4DD51AD6" w14:textId="77777777" w:rsidR="006108E4" w:rsidRPr="00D11AD1" w:rsidRDefault="006108E4" w:rsidP="006D21E5">
            <w:pPr>
              <w:ind w:left="73"/>
              <w:rPr>
                <w:sz w:val="24"/>
                <w:szCs w:val="24"/>
              </w:rPr>
            </w:pPr>
          </w:p>
        </w:tc>
        <w:tc>
          <w:tcPr>
            <w:tcW w:w="1000" w:type="pct"/>
          </w:tcPr>
          <w:p w14:paraId="03736514" w14:textId="77777777" w:rsidR="006108E4" w:rsidRPr="00D11AD1" w:rsidRDefault="006108E4" w:rsidP="006D21E5">
            <w:pPr>
              <w:ind w:left="118"/>
              <w:rPr>
                <w:sz w:val="24"/>
                <w:szCs w:val="24"/>
              </w:rPr>
            </w:pPr>
          </w:p>
        </w:tc>
        <w:tc>
          <w:tcPr>
            <w:tcW w:w="1001" w:type="pct"/>
          </w:tcPr>
          <w:p w14:paraId="7CF961DD" w14:textId="77777777" w:rsidR="006108E4" w:rsidRPr="00D11AD1" w:rsidRDefault="006108E4" w:rsidP="006D21E5">
            <w:pPr>
              <w:rPr>
                <w:sz w:val="24"/>
                <w:szCs w:val="24"/>
              </w:rPr>
            </w:pPr>
          </w:p>
        </w:tc>
        <w:tc>
          <w:tcPr>
            <w:tcW w:w="1001" w:type="pct"/>
          </w:tcPr>
          <w:p w14:paraId="062C64EF" w14:textId="77777777" w:rsidR="006108E4" w:rsidRPr="00D11AD1" w:rsidRDefault="006108E4" w:rsidP="006D21E5">
            <w:pPr>
              <w:rPr>
                <w:sz w:val="24"/>
                <w:szCs w:val="24"/>
              </w:rPr>
            </w:pPr>
          </w:p>
        </w:tc>
      </w:tr>
      <w:tr w:rsidR="006108E4" w:rsidRPr="00D11AD1" w14:paraId="18A7F1E9" w14:textId="77777777" w:rsidTr="000A733F">
        <w:trPr>
          <w:trHeight w:val="218"/>
        </w:trPr>
        <w:tc>
          <w:tcPr>
            <w:tcW w:w="1044" w:type="pct"/>
          </w:tcPr>
          <w:p w14:paraId="6821A91C" w14:textId="77777777" w:rsidR="006108E4" w:rsidRPr="00D11AD1" w:rsidRDefault="006108E4" w:rsidP="006D21E5">
            <w:pPr>
              <w:ind w:left="43"/>
              <w:rPr>
                <w:sz w:val="24"/>
                <w:szCs w:val="24"/>
              </w:rPr>
            </w:pPr>
            <w:r w:rsidRPr="00D11AD1">
              <w:rPr>
                <w:sz w:val="24"/>
                <w:szCs w:val="24"/>
              </w:rPr>
              <w:t>Nydiagnosticeret</w:t>
            </w:r>
          </w:p>
        </w:tc>
        <w:tc>
          <w:tcPr>
            <w:tcW w:w="955" w:type="pct"/>
          </w:tcPr>
          <w:p w14:paraId="6E61907A" w14:textId="55518430" w:rsidR="006108E4" w:rsidRPr="00D11AD1" w:rsidRDefault="006108E4" w:rsidP="006D21E5">
            <w:pPr>
              <w:ind w:left="73"/>
              <w:rPr>
                <w:sz w:val="24"/>
                <w:szCs w:val="24"/>
              </w:rPr>
            </w:pPr>
            <w:r w:rsidRPr="00D11AD1">
              <w:rPr>
                <w:sz w:val="24"/>
                <w:szCs w:val="24"/>
              </w:rPr>
              <w:t>43</w:t>
            </w:r>
            <w:r w:rsidR="001E3A10" w:rsidRPr="00D11AD1">
              <w:rPr>
                <w:sz w:val="24"/>
                <w:szCs w:val="24"/>
              </w:rPr>
              <w:t>,</w:t>
            </w:r>
            <w:r w:rsidRPr="00D11AD1">
              <w:rPr>
                <w:sz w:val="24"/>
                <w:szCs w:val="24"/>
              </w:rPr>
              <w:t>1</w:t>
            </w:r>
            <w:r w:rsidR="00FA34A4" w:rsidRPr="00D11AD1">
              <w:rPr>
                <w:sz w:val="24"/>
                <w:szCs w:val="24"/>
              </w:rPr>
              <w:t xml:space="preserve"> %</w:t>
            </w:r>
          </w:p>
        </w:tc>
        <w:tc>
          <w:tcPr>
            <w:tcW w:w="1000" w:type="pct"/>
          </w:tcPr>
          <w:p w14:paraId="2FF09B72" w14:textId="13A9AAA1" w:rsidR="006108E4" w:rsidRPr="00D11AD1" w:rsidRDefault="006108E4" w:rsidP="006D21E5">
            <w:pPr>
              <w:ind w:left="118"/>
              <w:rPr>
                <w:sz w:val="24"/>
                <w:szCs w:val="24"/>
              </w:rPr>
            </w:pPr>
            <w:r w:rsidRPr="00D11AD1">
              <w:rPr>
                <w:sz w:val="24"/>
                <w:szCs w:val="24"/>
              </w:rPr>
              <w:t>66</w:t>
            </w:r>
            <w:r w:rsidR="001E3A10" w:rsidRPr="00D11AD1">
              <w:rPr>
                <w:sz w:val="24"/>
                <w:szCs w:val="24"/>
              </w:rPr>
              <w:t>,</w:t>
            </w:r>
            <w:r w:rsidRPr="00D11AD1">
              <w:rPr>
                <w:sz w:val="24"/>
                <w:szCs w:val="24"/>
              </w:rPr>
              <w:t>7</w:t>
            </w:r>
            <w:r w:rsidR="00FA34A4" w:rsidRPr="00D11AD1">
              <w:rPr>
                <w:sz w:val="24"/>
                <w:szCs w:val="24"/>
              </w:rPr>
              <w:t xml:space="preserve"> %</w:t>
            </w:r>
          </w:p>
        </w:tc>
        <w:tc>
          <w:tcPr>
            <w:tcW w:w="1001" w:type="pct"/>
          </w:tcPr>
          <w:p w14:paraId="3C883975" w14:textId="7A7435AE" w:rsidR="006108E4" w:rsidRPr="00D11AD1" w:rsidRDefault="006108E4" w:rsidP="006D21E5">
            <w:pPr>
              <w:rPr>
                <w:sz w:val="24"/>
                <w:szCs w:val="24"/>
              </w:rPr>
            </w:pPr>
            <w:r w:rsidRPr="00D11AD1">
              <w:rPr>
                <w:sz w:val="24"/>
                <w:szCs w:val="24"/>
              </w:rPr>
              <w:t>96</w:t>
            </w:r>
            <w:r w:rsidR="001E3A10" w:rsidRPr="00D11AD1">
              <w:rPr>
                <w:sz w:val="24"/>
                <w:szCs w:val="24"/>
              </w:rPr>
              <w:t>,</w:t>
            </w:r>
            <w:r w:rsidRPr="00D11AD1">
              <w:rPr>
                <w:sz w:val="24"/>
                <w:szCs w:val="24"/>
              </w:rPr>
              <w:t>1</w:t>
            </w:r>
            <w:r w:rsidR="00FA34A4" w:rsidRPr="00D11AD1">
              <w:rPr>
                <w:sz w:val="24"/>
                <w:szCs w:val="24"/>
              </w:rPr>
              <w:t xml:space="preserve"> %</w:t>
            </w:r>
          </w:p>
        </w:tc>
        <w:tc>
          <w:tcPr>
            <w:tcW w:w="1001" w:type="pct"/>
          </w:tcPr>
          <w:p w14:paraId="51111D90" w14:textId="3F6B44AC" w:rsidR="006108E4" w:rsidRPr="00D11AD1" w:rsidRDefault="006108E4" w:rsidP="006D21E5">
            <w:pPr>
              <w:rPr>
                <w:sz w:val="24"/>
                <w:szCs w:val="24"/>
              </w:rPr>
            </w:pPr>
            <w:r w:rsidRPr="00D11AD1">
              <w:rPr>
                <w:sz w:val="24"/>
                <w:szCs w:val="24"/>
              </w:rPr>
              <w:t>96</w:t>
            </w:r>
            <w:r w:rsidR="001E3A10" w:rsidRPr="00D11AD1">
              <w:rPr>
                <w:sz w:val="24"/>
                <w:szCs w:val="24"/>
              </w:rPr>
              <w:t>,</w:t>
            </w:r>
            <w:r w:rsidRPr="00D11AD1">
              <w:rPr>
                <w:sz w:val="24"/>
                <w:szCs w:val="24"/>
              </w:rPr>
              <w:t>1</w:t>
            </w:r>
            <w:r w:rsidR="00FA34A4" w:rsidRPr="00D11AD1">
              <w:rPr>
                <w:sz w:val="24"/>
                <w:szCs w:val="24"/>
              </w:rPr>
              <w:t xml:space="preserve"> %</w:t>
            </w:r>
          </w:p>
        </w:tc>
      </w:tr>
      <w:tr w:rsidR="006108E4" w:rsidRPr="00D11AD1" w14:paraId="63ECA071" w14:textId="77777777" w:rsidTr="000A733F">
        <w:trPr>
          <w:trHeight w:val="357"/>
        </w:trPr>
        <w:tc>
          <w:tcPr>
            <w:tcW w:w="1044" w:type="pct"/>
          </w:tcPr>
          <w:p w14:paraId="7DF82DE4" w14:textId="77777777" w:rsidR="006108E4" w:rsidRPr="00D11AD1" w:rsidRDefault="006108E4" w:rsidP="006D21E5">
            <w:pPr>
              <w:ind w:left="43"/>
              <w:rPr>
                <w:sz w:val="24"/>
                <w:szCs w:val="24"/>
              </w:rPr>
            </w:pPr>
            <w:r w:rsidRPr="00D11AD1">
              <w:rPr>
                <w:sz w:val="24"/>
                <w:szCs w:val="24"/>
              </w:rPr>
              <w:t>(N = 51)</w:t>
            </w:r>
            <w:r w:rsidRPr="00D11AD1">
              <w:rPr>
                <w:sz w:val="24"/>
                <w:szCs w:val="24"/>
                <w:vertAlign w:val="superscript"/>
              </w:rPr>
              <w:t>a</w:t>
            </w:r>
          </w:p>
        </w:tc>
        <w:tc>
          <w:tcPr>
            <w:tcW w:w="955" w:type="pct"/>
          </w:tcPr>
          <w:p w14:paraId="35057126" w14:textId="1887B37E" w:rsidR="006108E4" w:rsidRPr="00D11AD1" w:rsidRDefault="006108E4" w:rsidP="006D21E5">
            <w:pPr>
              <w:ind w:left="73"/>
              <w:rPr>
                <w:sz w:val="24"/>
                <w:szCs w:val="24"/>
              </w:rPr>
            </w:pPr>
            <w:r w:rsidRPr="00D11AD1">
              <w:rPr>
                <w:sz w:val="24"/>
                <w:szCs w:val="24"/>
              </w:rPr>
              <w:t>(29</w:t>
            </w:r>
            <w:r w:rsidR="001E3A10" w:rsidRPr="00D11AD1">
              <w:rPr>
                <w:sz w:val="24"/>
                <w:szCs w:val="24"/>
              </w:rPr>
              <w:t>,</w:t>
            </w:r>
            <w:r w:rsidRPr="00D11AD1">
              <w:rPr>
                <w:sz w:val="24"/>
                <w:szCs w:val="24"/>
              </w:rPr>
              <w:t>3</w:t>
            </w:r>
            <w:r w:rsidR="005B4447" w:rsidRPr="00D11AD1">
              <w:rPr>
                <w:sz w:val="24"/>
                <w:szCs w:val="24"/>
              </w:rPr>
              <w:t>;</w:t>
            </w:r>
            <w:r w:rsidRPr="00D11AD1">
              <w:rPr>
                <w:sz w:val="24"/>
                <w:szCs w:val="24"/>
              </w:rPr>
              <w:t xml:space="preserve"> 57</w:t>
            </w:r>
            <w:r w:rsidR="001E3A10" w:rsidRPr="00D11AD1">
              <w:rPr>
                <w:sz w:val="24"/>
                <w:szCs w:val="24"/>
              </w:rPr>
              <w:t>,</w:t>
            </w:r>
            <w:r w:rsidRPr="00D11AD1">
              <w:rPr>
                <w:sz w:val="24"/>
                <w:szCs w:val="24"/>
              </w:rPr>
              <w:t>8)</w:t>
            </w:r>
          </w:p>
        </w:tc>
        <w:tc>
          <w:tcPr>
            <w:tcW w:w="1000" w:type="pct"/>
          </w:tcPr>
          <w:p w14:paraId="2CD2993F" w14:textId="48B0B498" w:rsidR="006108E4" w:rsidRPr="00D11AD1" w:rsidRDefault="006108E4" w:rsidP="006D21E5">
            <w:pPr>
              <w:ind w:left="118"/>
              <w:rPr>
                <w:sz w:val="24"/>
                <w:szCs w:val="24"/>
              </w:rPr>
            </w:pPr>
            <w:r w:rsidRPr="00D11AD1">
              <w:rPr>
                <w:sz w:val="24"/>
                <w:szCs w:val="24"/>
              </w:rPr>
              <w:t>(52</w:t>
            </w:r>
            <w:r w:rsidR="001E3A10" w:rsidRPr="00D11AD1">
              <w:rPr>
                <w:sz w:val="24"/>
                <w:szCs w:val="24"/>
              </w:rPr>
              <w:t>,</w:t>
            </w:r>
            <w:r w:rsidRPr="00D11AD1">
              <w:rPr>
                <w:sz w:val="24"/>
                <w:szCs w:val="24"/>
              </w:rPr>
              <w:t>1</w:t>
            </w:r>
            <w:r w:rsidR="005B4447" w:rsidRPr="00D11AD1">
              <w:rPr>
                <w:sz w:val="24"/>
                <w:szCs w:val="24"/>
              </w:rPr>
              <w:t>;</w:t>
            </w:r>
            <w:r w:rsidRPr="00D11AD1">
              <w:rPr>
                <w:sz w:val="24"/>
                <w:szCs w:val="24"/>
              </w:rPr>
              <w:t xml:space="preserve"> 79</w:t>
            </w:r>
            <w:r w:rsidR="001E3A10" w:rsidRPr="00D11AD1">
              <w:rPr>
                <w:sz w:val="24"/>
                <w:szCs w:val="24"/>
              </w:rPr>
              <w:t>,</w:t>
            </w:r>
            <w:r w:rsidRPr="00D11AD1">
              <w:rPr>
                <w:sz w:val="24"/>
                <w:szCs w:val="24"/>
              </w:rPr>
              <w:t>2)</w:t>
            </w:r>
          </w:p>
        </w:tc>
        <w:tc>
          <w:tcPr>
            <w:tcW w:w="1001" w:type="pct"/>
          </w:tcPr>
          <w:p w14:paraId="264DC295" w14:textId="31AC8F46" w:rsidR="006108E4" w:rsidRPr="00D11AD1" w:rsidRDefault="006108E4" w:rsidP="006D21E5">
            <w:pPr>
              <w:rPr>
                <w:sz w:val="24"/>
                <w:szCs w:val="24"/>
              </w:rPr>
            </w:pPr>
            <w:r w:rsidRPr="00D11AD1">
              <w:rPr>
                <w:sz w:val="24"/>
                <w:szCs w:val="24"/>
              </w:rPr>
              <w:t>(86</w:t>
            </w:r>
            <w:r w:rsidR="001E3A10" w:rsidRPr="00D11AD1">
              <w:rPr>
                <w:sz w:val="24"/>
                <w:szCs w:val="24"/>
              </w:rPr>
              <w:t>,</w:t>
            </w:r>
            <w:r w:rsidRPr="00D11AD1">
              <w:rPr>
                <w:sz w:val="24"/>
                <w:szCs w:val="24"/>
              </w:rPr>
              <w:t>5</w:t>
            </w:r>
            <w:r w:rsidR="005B4447" w:rsidRPr="00D11AD1">
              <w:rPr>
                <w:sz w:val="24"/>
                <w:szCs w:val="24"/>
              </w:rPr>
              <w:t>;</w:t>
            </w:r>
            <w:r w:rsidRPr="00D11AD1">
              <w:rPr>
                <w:sz w:val="24"/>
                <w:szCs w:val="24"/>
              </w:rPr>
              <w:t xml:space="preserve"> 99</w:t>
            </w:r>
            <w:r w:rsidR="001E3A10" w:rsidRPr="00D11AD1">
              <w:rPr>
                <w:sz w:val="24"/>
                <w:szCs w:val="24"/>
              </w:rPr>
              <w:t>,</w:t>
            </w:r>
            <w:r w:rsidRPr="00D11AD1">
              <w:rPr>
                <w:sz w:val="24"/>
                <w:szCs w:val="24"/>
              </w:rPr>
              <w:t>5)</w:t>
            </w:r>
          </w:p>
        </w:tc>
        <w:tc>
          <w:tcPr>
            <w:tcW w:w="1001" w:type="pct"/>
          </w:tcPr>
          <w:p w14:paraId="102E868E" w14:textId="6B4A3CF0" w:rsidR="006108E4" w:rsidRPr="00D11AD1" w:rsidRDefault="006108E4" w:rsidP="006D21E5">
            <w:pPr>
              <w:rPr>
                <w:sz w:val="24"/>
                <w:szCs w:val="24"/>
              </w:rPr>
            </w:pPr>
            <w:r w:rsidRPr="00D11AD1">
              <w:rPr>
                <w:sz w:val="24"/>
                <w:szCs w:val="24"/>
              </w:rPr>
              <w:t>(86</w:t>
            </w:r>
            <w:r w:rsidR="001E3A10" w:rsidRPr="00D11AD1">
              <w:rPr>
                <w:sz w:val="24"/>
                <w:szCs w:val="24"/>
              </w:rPr>
              <w:t>,</w:t>
            </w:r>
            <w:r w:rsidRPr="00D11AD1">
              <w:rPr>
                <w:sz w:val="24"/>
                <w:szCs w:val="24"/>
              </w:rPr>
              <w:t>5</w:t>
            </w:r>
            <w:r w:rsidR="005B4447" w:rsidRPr="00D11AD1">
              <w:rPr>
                <w:sz w:val="24"/>
                <w:szCs w:val="24"/>
              </w:rPr>
              <w:t>;</w:t>
            </w:r>
            <w:r w:rsidRPr="00D11AD1">
              <w:rPr>
                <w:sz w:val="24"/>
                <w:szCs w:val="24"/>
              </w:rPr>
              <w:t xml:space="preserve"> 99</w:t>
            </w:r>
            <w:r w:rsidR="001E3A10" w:rsidRPr="00D11AD1">
              <w:rPr>
                <w:sz w:val="24"/>
                <w:szCs w:val="24"/>
              </w:rPr>
              <w:t>,</w:t>
            </w:r>
            <w:r w:rsidRPr="00D11AD1">
              <w:rPr>
                <w:sz w:val="24"/>
                <w:szCs w:val="24"/>
              </w:rPr>
              <w:t>5)</w:t>
            </w:r>
          </w:p>
        </w:tc>
      </w:tr>
      <w:tr w:rsidR="006108E4" w:rsidRPr="00D11AD1" w14:paraId="7090A2EF" w14:textId="77777777" w:rsidTr="000A733F">
        <w:trPr>
          <w:trHeight w:val="337"/>
        </w:trPr>
        <w:tc>
          <w:tcPr>
            <w:tcW w:w="1044" w:type="pct"/>
          </w:tcPr>
          <w:p w14:paraId="07D40B5C" w14:textId="77777777" w:rsidR="006108E4" w:rsidRPr="00D11AD1" w:rsidRDefault="006108E4" w:rsidP="006D21E5">
            <w:pPr>
              <w:ind w:left="43"/>
              <w:rPr>
                <w:sz w:val="24"/>
                <w:szCs w:val="24"/>
              </w:rPr>
            </w:pPr>
            <w:r w:rsidRPr="00D11AD1">
              <w:rPr>
                <w:sz w:val="24"/>
                <w:szCs w:val="24"/>
              </w:rPr>
              <w:t>Forudgående imatinib</w:t>
            </w:r>
          </w:p>
        </w:tc>
        <w:tc>
          <w:tcPr>
            <w:tcW w:w="955" w:type="pct"/>
          </w:tcPr>
          <w:p w14:paraId="6CC48902" w14:textId="0B30FE30" w:rsidR="006108E4" w:rsidRPr="00D11AD1" w:rsidRDefault="006108E4" w:rsidP="006D21E5">
            <w:pPr>
              <w:ind w:left="73"/>
              <w:rPr>
                <w:sz w:val="24"/>
                <w:szCs w:val="24"/>
              </w:rPr>
            </w:pPr>
            <w:r w:rsidRPr="00D11AD1">
              <w:rPr>
                <w:sz w:val="24"/>
                <w:szCs w:val="24"/>
              </w:rPr>
              <w:t>45</w:t>
            </w:r>
            <w:r w:rsidR="001E3A10" w:rsidRPr="00D11AD1">
              <w:rPr>
                <w:sz w:val="24"/>
                <w:szCs w:val="24"/>
              </w:rPr>
              <w:t>,</w:t>
            </w:r>
            <w:r w:rsidRPr="00D11AD1">
              <w:rPr>
                <w:sz w:val="24"/>
                <w:szCs w:val="24"/>
              </w:rPr>
              <w:t>7</w:t>
            </w:r>
            <w:r w:rsidR="00FA34A4" w:rsidRPr="00D11AD1">
              <w:rPr>
                <w:sz w:val="24"/>
                <w:szCs w:val="24"/>
              </w:rPr>
              <w:t xml:space="preserve"> %</w:t>
            </w:r>
          </w:p>
        </w:tc>
        <w:tc>
          <w:tcPr>
            <w:tcW w:w="1000" w:type="pct"/>
          </w:tcPr>
          <w:p w14:paraId="4AC90198" w14:textId="5AA9D6EA" w:rsidR="006108E4" w:rsidRPr="00D11AD1" w:rsidRDefault="006108E4" w:rsidP="006D21E5">
            <w:pPr>
              <w:ind w:left="118"/>
              <w:rPr>
                <w:sz w:val="24"/>
                <w:szCs w:val="24"/>
              </w:rPr>
            </w:pPr>
            <w:r w:rsidRPr="00D11AD1">
              <w:rPr>
                <w:sz w:val="24"/>
                <w:szCs w:val="24"/>
              </w:rPr>
              <w:t>71</w:t>
            </w:r>
            <w:r w:rsidR="001E3A10" w:rsidRPr="00D11AD1">
              <w:rPr>
                <w:sz w:val="24"/>
                <w:szCs w:val="24"/>
              </w:rPr>
              <w:t>,</w:t>
            </w:r>
            <w:r w:rsidRPr="00D11AD1">
              <w:rPr>
                <w:sz w:val="24"/>
                <w:szCs w:val="24"/>
              </w:rPr>
              <w:t>7</w:t>
            </w:r>
            <w:r w:rsidR="00FA34A4" w:rsidRPr="00D11AD1">
              <w:rPr>
                <w:sz w:val="24"/>
                <w:szCs w:val="24"/>
              </w:rPr>
              <w:t xml:space="preserve"> %</w:t>
            </w:r>
          </w:p>
        </w:tc>
        <w:tc>
          <w:tcPr>
            <w:tcW w:w="1001" w:type="pct"/>
          </w:tcPr>
          <w:p w14:paraId="1C4F0567" w14:textId="55719573" w:rsidR="006108E4" w:rsidRPr="00D11AD1" w:rsidRDefault="006108E4" w:rsidP="006D21E5">
            <w:pPr>
              <w:rPr>
                <w:sz w:val="24"/>
                <w:szCs w:val="24"/>
              </w:rPr>
            </w:pPr>
            <w:r w:rsidRPr="00D11AD1">
              <w:rPr>
                <w:sz w:val="24"/>
                <w:szCs w:val="24"/>
              </w:rPr>
              <w:t>78</w:t>
            </w:r>
            <w:r w:rsidR="001E3A10" w:rsidRPr="00D11AD1">
              <w:rPr>
                <w:sz w:val="24"/>
                <w:szCs w:val="24"/>
              </w:rPr>
              <w:t>,</w:t>
            </w:r>
            <w:r w:rsidRPr="00D11AD1">
              <w:rPr>
                <w:sz w:val="24"/>
                <w:szCs w:val="24"/>
              </w:rPr>
              <w:t>3</w:t>
            </w:r>
            <w:r w:rsidR="00FA34A4" w:rsidRPr="00D11AD1">
              <w:rPr>
                <w:sz w:val="24"/>
                <w:szCs w:val="24"/>
              </w:rPr>
              <w:t xml:space="preserve"> %</w:t>
            </w:r>
          </w:p>
        </w:tc>
        <w:tc>
          <w:tcPr>
            <w:tcW w:w="1001" w:type="pct"/>
          </w:tcPr>
          <w:p w14:paraId="1E8F0A73" w14:textId="0B10FE09" w:rsidR="006108E4" w:rsidRPr="00D11AD1" w:rsidRDefault="006108E4" w:rsidP="006D21E5">
            <w:pPr>
              <w:rPr>
                <w:sz w:val="24"/>
                <w:szCs w:val="24"/>
              </w:rPr>
            </w:pPr>
            <w:r w:rsidRPr="00D11AD1">
              <w:rPr>
                <w:sz w:val="24"/>
                <w:szCs w:val="24"/>
              </w:rPr>
              <w:t>82</w:t>
            </w:r>
            <w:r w:rsidR="001E3A10" w:rsidRPr="00D11AD1">
              <w:rPr>
                <w:sz w:val="24"/>
                <w:szCs w:val="24"/>
              </w:rPr>
              <w:t>,</w:t>
            </w:r>
            <w:r w:rsidRPr="00D11AD1">
              <w:rPr>
                <w:sz w:val="24"/>
                <w:szCs w:val="24"/>
              </w:rPr>
              <w:t>6</w:t>
            </w:r>
            <w:r w:rsidR="00FA34A4" w:rsidRPr="00D11AD1">
              <w:rPr>
                <w:sz w:val="24"/>
                <w:szCs w:val="24"/>
              </w:rPr>
              <w:t xml:space="preserve"> %</w:t>
            </w:r>
          </w:p>
        </w:tc>
      </w:tr>
      <w:tr w:rsidR="006108E4" w:rsidRPr="00D11AD1" w14:paraId="6A6A2AFC" w14:textId="77777777" w:rsidTr="000A733F">
        <w:trPr>
          <w:trHeight w:val="357"/>
        </w:trPr>
        <w:tc>
          <w:tcPr>
            <w:tcW w:w="1044" w:type="pct"/>
          </w:tcPr>
          <w:p w14:paraId="77C79DC3" w14:textId="77777777" w:rsidR="006108E4" w:rsidRPr="00D11AD1" w:rsidRDefault="006108E4" w:rsidP="006D21E5">
            <w:pPr>
              <w:ind w:left="43"/>
              <w:rPr>
                <w:sz w:val="24"/>
                <w:szCs w:val="24"/>
              </w:rPr>
            </w:pPr>
            <w:r w:rsidRPr="00D11AD1">
              <w:rPr>
                <w:sz w:val="24"/>
                <w:szCs w:val="24"/>
              </w:rPr>
              <w:t>(N = 46)</w:t>
            </w:r>
            <w:r w:rsidRPr="00D11AD1">
              <w:rPr>
                <w:sz w:val="24"/>
                <w:szCs w:val="24"/>
                <w:vertAlign w:val="superscript"/>
              </w:rPr>
              <w:t>b</w:t>
            </w:r>
          </w:p>
        </w:tc>
        <w:tc>
          <w:tcPr>
            <w:tcW w:w="955" w:type="pct"/>
          </w:tcPr>
          <w:p w14:paraId="3FFC3441" w14:textId="68B8C513" w:rsidR="006108E4" w:rsidRPr="00D11AD1" w:rsidRDefault="006108E4" w:rsidP="006D21E5">
            <w:pPr>
              <w:ind w:left="73"/>
              <w:rPr>
                <w:sz w:val="24"/>
                <w:szCs w:val="24"/>
              </w:rPr>
            </w:pPr>
            <w:r w:rsidRPr="00D11AD1">
              <w:rPr>
                <w:sz w:val="24"/>
                <w:szCs w:val="24"/>
              </w:rPr>
              <w:t>(30</w:t>
            </w:r>
            <w:r w:rsidR="001E3A10" w:rsidRPr="00D11AD1">
              <w:rPr>
                <w:sz w:val="24"/>
                <w:szCs w:val="24"/>
              </w:rPr>
              <w:t>,</w:t>
            </w:r>
            <w:r w:rsidRPr="00D11AD1">
              <w:rPr>
                <w:sz w:val="24"/>
                <w:szCs w:val="24"/>
              </w:rPr>
              <w:t>9</w:t>
            </w:r>
            <w:r w:rsidR="005B4447" w:rsidRPr="00D11AD1">
              <w:rPr>
                <w:sz w:val="24"/>
                <w:szCs w:val="24"/>
              </w:rPr>
              <w:t>;</w:t>
            </w:r>
            <w:r w:rsidRPr="00D11AD1">
              <w:rPr>
                <w:sz w:val="24"/>
                <w:szCs w:val="24"/>
              </w:rPr>
              <w:t xml:space="preserve"> 61</w:t>
            </w:r>
            <w:r w:rsidR="001E3A10" w:rsidRPr="00D11AD1">
              <w:rPr>
                <w:sz w:val="24"/>
                <w:szCs w:val="24"/>
              </w:rPr>
              <w:t>,</w:t>
            </w:r>
            <w:r w:rsidRPr="00D11AD1">
              <w:rPr>
                <w:sz w:val="24"/>
                <w:szCs w:val="24"/>
              </w:rPr>
              <w:t>0)</w:t>
            </w:r>
          </w:p>
        </w:tc>
        <w:tc>
          <w:tcPr>
            <w:tcW w:w="1000" w:type="pct"/>
          </w:tcPr>
          <w:p w14:paraId="496D898A" w14:textId="5D452551" w:rsidR="006108E4" w:rsidRPr="00D11AD1" w:rsidRDefault="006108E4" w:rsidP="006D21E5">
            <w:pPr>
              <w:ind w:left="118"/>
              <w:rPr>
                <w:sz w:val="24"/>
                <w:szCs w:val="24"/>
              </w:rPr>
            </w:pPr>
            <w:r w:rsidRPr="00D11AD1">
              <w:rPr>
                <w:sz w:val="24"/>
                <w:szCs w:val="24"/>
              </w:rPr>
              <w:t>(56</w:t>
            </w:r>
            <w:r w:rsidR="001E3A10" w:rsidRPr="00D11AD1">
              <w:rPr>
                <w:sz w:val="24"/>
                <w:szCs w:val="24"/>
              </w:rPr>
              <w:t>,</w:t>
            </w:r>
            <w:r w:rsidRPr="00D11AD1">
              <w:rPr>
                <w:sz w:val="24"/>
                <w:szCs w:val="24"/>
              </w:rPr>
              <w:t>5</w:t>
            </w:r>
            <w:r w:rsidR="005B4447" w:rsidRPr="00D11AD1">
              <w:rPr>
                <w:sz w:val="24"/>
                <w:szCs w:val="24"/>
              </w:rPr>
              <w:t>;</w:t>
            </w:r>
            <w:r w:rsidRPr="00D11AD1">
              <w:rPr>
                <w:sz w:val="24"/>
                <w:szCs w:val="24"/>
              </w:rPr>
              <w:t xml:space="preserve"> 84</w:t>
            </w:r>
            <w:r w:rsidR="001E3A10" w:rsidRPr="00D11AD1">
              <w:rPr>
                <w:sz w:val="24"/>
                <w:szCs w:val="24"/>
              </w:rPr>
              <w:t>,</w:t>
            </w:r>
            <w:r w:rsidRPr="00D11AD1">
              <w:rPr>
                <w:sz w:val="24"/>
                <w:szCs w:val="24"/>
              </w:rPr>
              <w:t>0)</w:t>
            </w:r>
          </w:p>
        </w:tc>
        <w:tc>
          <w:tcPr>
            <w:tcW w:w="1001" w:type="pct"/>
          </w:tcPr>
          <w:p w14:paraId="0A424A81" w14:textId="69E982ED" w:rsidR="006108E4" w:rsidRPr="00D11AD1" w:rsidRDefault="006108E4" w:rsidP="006D21E5">
            <w:pPr>
              <w:rPr>
                <w:sz w:val="24"/>
                <w:szCs w:val="24"/>
              </w:rPr>
            </w:pPr>
            <w:r w:rsidRPr="00D11AD1">
              <w:rPr>
                <w:sz w:val="24"/>
                <w:szCs w:val="24"/>
              </w:rPr>
              <w:t>(63</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89</w:t>
            </w:r>
            <w:r w:rsidR="001E3A10" w:rsidRPr="00D11AD1">
              <w:rPr>
                <w:sz w:val="24"/>
                <w:szCs w:val="24"/>
              </w:rPr>
              <w:t>,</w:t>
            </w:r>
            <w:r w:rsidRPr="00D11AD1">
              <w:rPr>
                <w:sz w:val="24"/>
                <w:szCs w:val="24"/>
              </w:rPr>
              <w:t>1)</w:t>
            </w:r>
          </w:p>
        </w:tc>
        <w:tc>
          <w:tcPr>
            <w:tcW w:w="1001" w:type="pct"/>
          </w:tcPr>
          <w:p w14:paraId="2C30E266" w14:textId="2BD934FC" w:rsidR="006108E4" w:rsidRPr="00D11AD1" w:rsidRDefault="006108E4" w:rsidP="006D21E5">
            <w:pPr>
              <w:rPr>
                <w:sz w:val="24"/>
                <w:szCs w:val="24"/>
              </w:rPr>
            </w:pPr>
            <w:r w:rsidRPr="00D11AD1">
              <w:rPr>
                <w:sz w:val="24"/>
                <w:szCs w:val="24"/>
              </w:rPr>
              <w:t>(68</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92</w:t>
            </w:r>
            <w:r w:rsidR="001E3A10" w:rsidRPr="00D11AD1">
              <w:rPr>
                <w:sz w:val="24"/>
                <w:szCs w:val="24"/>
              </w:rPr>
              <w:t>,</w:t>
            </w:r>
            <w:r w:rsidRPr="00D11AD1">
              <w:rPr>
                <w:sz w:val="24"/>
                <w:szCs w:val="24"/>
              </w:rPr>
              <w:t>2)</w:t>
            </w:r>
          </w:p>
        </w:tc>
      </w:tr>
      <w:tr w:rsidR="006108E4" w:rsidRPr="00D11AD1" w14:paraId="1846A5B2" w14:textId="77777777" w:rsidTr="000A733F">
        <w:trPr>
          <w:trHeight w:val="337"/>
        </w:trPr>
        <w:tc>
          <w:tcPr>
            <w:tcW w:w="1044" w:type="pct"/>
          </w:tcPr>
          <w:p w14:paraId="05FFEDC7" w14:textId="77777777" w:rsidR="006108E4" w:rsidRPr="00D11AD1" w:rsidRDefault="006108E4" w:rsidP="006D21E5">
            <w:pPr>
              <w:ind w:left="43"/>
              <w:rPr>
                <w:b/>
                <w:sz w:val="24"/>
                <w:szCs w:val="24"/>
              </w:rPr>
            </w:pPr>
            <w:r w:rsidRPr="00D11AD1">
              <w:rPr>
                <w:b/>
                <w:sz w:val="24"/>
                <w:szCs w:val="24"/>
              </w:rPr>
              <w:t>MCyR</w:t>
            </w:r>
          </w:p>
        </w:tc>
        <w:tc>
          <w:tcPr>
            <w:tcW w:w="955" w:type="pct"/>
          </w:tcPr>
          <w:p w14:paraId="465191CE" w14:textId="77777777" w:rsidR="006108E4" w:rsidRPr="00D11AD1" w:rsidRDefault="006108E4" w:rsidP="006D21E5">
            <w:pPr>
              <w:ind w:left="73"/>
              <w:rPr>
                <w:sz w:val="24"/>
                <w:szCs w:val="24"/>
              </w:rPr>
            </w:pPr>
          </w:p>
        </w:tc>
        <w:tc>
          <w:tcPr>
            <w:tcW w:w="1000" w:type="pct"/>
          </w:tcPr>
          <w:p w14:paraId="4253739D" w14:textId="77777777" w:rsidR="006108E4" w:rsidRPr="00D11AD1" w:rsidRDefault="006108E4" w:rsidP="006D21E5">
            <w:pPr>
              <w:ind w:left="118"/>
              <w:rPr>
                <w:sz w:val="24"/>
                <w:szCs w:val="24"/>
              </w:rPr>
            </w:pPr>
          </w:p>
        </w:tc>
        <w:tc>
          <w:tcPr>
            <w:tcW w:w="1001" w:type="pct"/>
          </w:tcPr>
          <w:p w14:paraId="16871778" w14:textId="77777777" w:rsidR="006108E4" w:rsidRPr="00D11AD1" w:rsidRDefault="006108E4" w:rsidP="006D21E5">
            <w:pPr>
              <w:rPr>
                <w:sz w:val="24"/>
                <w:szCs w:val="24"/>
              </w:rPr>
            </w:pPr>
          </w:p>
        </w:tc>
        <w:tc>
          <w:tcPr>
            <w:tcW w:w="1001" w:type="pct"/>
          </w:tcPr>
          <w:p w14:paraId="579C0A5E" w14:textId="77777777" w:rsidR="006108E4" w:rsidRPr="00D11AD1" w:rsidRDefault="006108E4" w:rsidP="006D21E5">
            <w:pPr>
              <w:rPr>
                <w:sz w:val="24"/>
                <w:szCs w:val="24"/>
              </w:rPr>
            </w:pPr>
          </w:p>
        </w:tc>
      </w:tr>
      <w:tr w:rsidR="006108E4" w:rsidRPr="00D11AD1" w14:paraId="48174293" w14:textId="77777777" w:rsidTr="000A733F">
        <w:trPr>
          <w:trHeight w:val="218"/>
        </w:trPr>
        <w:tc>
          <w:tcPr>
            <w:tcW w:w="1044" w:type="pct"/>
          </w:tcPr>
          <w:p w14:paraId="694F6691" w14:textId="36126F52" w:rsidR="006108E4" w:rsidRPr="00D11AD1" w:rsidRDefault="006108E4" w:rsidP="006D21E5">
            <w:pPr>
              <w:ind w:left="43"/>
              <w:rPr>
                <w:b/>
                <w:sz w:val="24"/>
                <w:szCs w:val="24"/>
              </w:rPr>
            </w:pPr>
            <w:r w:rsidRPr="00D11AD1">
              <w:rPr>
                <w:b/>
                <w:sz w:val="24"/>
                <w:szCs w:val="24"/>
              </w:rPr>
              <w:t>(95</w:t>
            </w:r>
            <w:r w:rsidR="00FA34A4" w:rsidRPr="00D11AD1">
              <w:rPr>
                <w:b/>
                <w:sz w:val="24"/>
                <w:szCs w:val="24"/>
              </w:rPr>
              <w:t xml:space="preserve"> %</w:t>
            </w:r>
            <w:r w:rsidRPr="00D11AD1">
              <w:rPr>
                <w:b/>
                <w:sz w:val="24"/>
                <w:szCs w:val="24"/>
              </w:rPr>
              <w:t xml:space="preserve"> CI)</w:t>
            </w:r>
          </w:p>
        </w:tc>
        <w:tc>
          <w:tcPr>
            <w:tcW w:w="955" w:type="pct"/>
          </w:tcPr>
          <w:p w14:paraId="261EBEC4" w14:textId="77777777" w:rsidR="006108E4" w:rsidRPr="00D11AD1" w:rsidRDefault="006108E4" w:rsidP="006D21E5">
            <w:pPr>
              <w:ind w:left="73"/>
              <w:rPr>
                <w:sz w:val="24"/>
                <w:szCs w:val="24"/>
              </w:rPr>
            </w:pPr>
          </w:p>
        </w:tc>
        <w:tc>
          <w:tcPr>
            <w:tcW w:w="1000" w:type="pct"/>
          </w:tcPr>
          <w:p w14:paraId="048922E0" w14:textId="77777777" w:rsidR="006108E4" w:rsidRPr="00D11AD1" w:rsidRDefault="006108E4" w:rsidP="006D21E5">
            <w:pPr>
              <w:ind w:left="118"/>
              <w:rPr>
                <w:sz w:val="24"/>
                <w:szCs w:val="24"/>
              </w:rPr>
            </w:pPr>
          </w:p>
        </w:tc>
        <w:tc>
          <w:tcPr>
            <w:tcW w:w="1001" w:type="pct"/>
          </w:tcPr>
          <w:p w14:paraId="1C0B8B4C" w14:textId="77777777" w:rsidR="006108E4" w:rsidRPr="00D11AD1" w:rsidRDefault="006108E4" w:rsidP="006D21E5">
            <w:pPr>
              <w:rPr>
                <w:sz w:val="24"/>
                <w:szCs w:val="24"/>
              </w:rPr>
            </w:pPr>
          </w:p>
        </w:tc>
        <w:tc>
          <w:tcPr>
            <w:tcW w:w="1001" w:type="pct"/>
          </w:tcPr>
          <w:p w14:paraId="01EBA4A0" w14:textId="77777777" w:rsidR="006108E4" w:rsidRPr="00D11AD1" w:rsidRDefault="006108E4" w:rsidP="006D21E5">
            <w:pPr>
              <w:rPr>
                <w:sz w:val="24"/>
                <w:szCs w:val="24"/>
              </w:rPr>
            </w:pPr>
          </w:p>
        </w:tc>
      </w:tr>
      <w:tr w:rsidR="006108E4" w:rsidRPr="00D11AD1" w14:paraId="1B579894" w14:textId="77777777" w:rsidTr="000A733F">
        <w:trPr>
          <w:trHeight w:val="218"/>
        </w:trPr>
        <w:tc>
          <w:tcPr>
            <w:tcW w:w="1044" w:type="pct"/>
          </w:tcPr>
          <w:p w14:paraId="3F61E0F0" w14:textId="77777777" w:rsidR="006108E4" w:rsidRPr="00D11AD1" w:rsidRDefault="006108E4" w:rsidP="006D21E5">
            <w:pPr>
              <w:ind w:left="43"/>
              <w:rPr>
                <w:sz w:val="24"/>
                <w:szCs w:val="24"/>
              </w:rPr>
            </w:pPr>
            <w:r w:rsidRPr="00D11AD1">
              <w:rPr>
                <w:sz w:val="24"/>
                <w:szCs w:val="24"/>
              </w:rPr>
              <w:t>Nydiagnosticeret</w:t>
            </w:r>
          </w:p>
        </w:tc>
        <w:tc>
          <w:tcPr>
            <w:tcW w:w="955" w:type="pct"/>
          </w:tcPr>
          <w:p w14:paraId="28FF385F" w14:textId="14198BE2" w:rsidR="006108E4" w:rsidRPr="00D11AD1" w:rsidRDefault="006108E4" w:rsidP="006D21E5">
            <w:pPr>
              <w:ind w:left="73"/>
              <w:rPr>
                <w:sz w:val="24"/>
                <w:szCs w:val="24"/>
              </w:rPr>
            </w:pPr>
            <w:r w:rsidRPr="00D11AD1">
              <w:rPr>
                <w:sz w:val="24"/>
                <w:szCs w:val="24"/>
              </w:rPr>
              <w:t>60</w:t>
            </w:r>
            <w:r w:rsidR="001E3A10" w:rsidRPr="00D11AD1">
              <w:rPr>
                <w:sz w:val="24"/>
                <w:szCs w:val="24"/>
              </w:rPr>
              <w:t>,</w:t>
            </w:r>
            <w:r w:rsidRPr="00D11AD1">
              <w:rPr>
                <w:sz w:val="24"/>
                <w:szCs w:val="24"/>
              </w:rPr>
              <w:t>8</w:t>
            </w:r>
            <w:r w:rsidR="00FA34A4" w:rsidRPr="00D11AD1">
              <w:rPr>
                <w:sz w:val="24"/>
                <w:szCs w:val="24"/>
              </w:rPr>
              <w:t xml:space="preserve"> %</w:t>
            </w:r>
          </w:p>
        </w:tc>
        <w:tc>
          <w:tcPr>
            <w:tcW w:w="1000" w:type="pct"/>
          </w:tcPr>
          <w:p w14:paraId="62225E8A" w14:textId="3D468F2E" w:rsidR="006108E4" w:rsidRPr="00D11AD1" w:rsidRDefault="006108E4" w:rsidP="006D21E5">
            <w:pPr>
              <w:ind w:left="118"/>
              <w:rPr>
                <w:sz w:val="24"/>
                <w:szCs w:val="24"/>
              </w:rPr>
            </w:pPr>
            <w:r w:rsidRPr="00D11AD1">
              <w:rPr>
                <w:sz w:val="24"/>
                <w:szCs w:val="24"/>
              </w:rPr>
              <w:t>90</w:t>
            </w:r>
            <w:r w:rsidR="001E3A10" w:rsidRPr="00D11AD1">
              <w:rPr>
                <w:sz w:val="24"/>
                <w:szCs w:val="24"/>
              </w:rPr>
              <w:t>,</w:t>
            </w:r>
            <w:r w:rsidRPr="00D11AD1">
              <w:rPr>
                <w:sz w:val="24"/>
                <w:szCs w:val="24"/>
              </w:rPr>
              <w:t>2</w:t>
            </w:r>
            <w:r w:rsidR="00FA34A4" w:rsidRPr="00D11AD1">
              <w:rPr>
                <w:sz w:val="24"/>
                <w:szCs w:val="24"/>
              </w:rPr>
              <w:t xml:space="preserve"> %</w:t>
            </w:r>
          </w:p>
        </w:tc>
        <w:tc>
          <w:tcPr>
            <w:tcW w:w="1001" w:type="pct"/>
          </w:tcPr>
          <w:p w14:paraId="5B91BFA7" w14:textId="432DCEE5" w:rsidR="006108E4" w:rsidRPr="00D11AD1" w:rsidRDefault="006108E4" w:rsidP="006D21E5">
            <w:pPr>
              <w:rPr>
                <w:sz w:val="24"/>
                <w:szCs w:val="24"/>
              </w:rPr>
            </w:pPr>
            <w:r w:rsidRPr="00D11AD1">
              <w:rPr>
                <w:sz w:val="24"/>
                <w:szCs w:val="24"/>
              </w:rPr>
              <w:t>98</w:t>
            </w:r>
            <w:r w:rsidR="001E3A10" w:rsidRPr="00D11AD1">
              <w:rPr>
                <w:sz w:val="24"/>
                <w:szCs w:val="24"/>
              </w:rPr>
              <w:t>,</w:t>
            </w:r>
            <w:r w:rsidRPr="00D11AD1">
              <w:rPr>
                <w:sz w:val="24"/>
                <w:szCs w:val="24"/>
              </w:rPr>
              <w:t>0</w:t>
            </w:r>
            <w:r w:rsidR="00FA34A4" w:rsidRPr="00D11AD1">
              <w:rPr>
                <w:sz w:val="24"/>
                <w:szCs w:val="24"/>
              </w:rPr>
              <w:t xml:space="preserve"> %</w:t>
            </w:r>
          </w:p>
        </w:tc>
        <w:tc>
          <w:tcPr>
            <w:tcW w:w="1001" w:type="pct"/>
          </w:tcPr>
          <w:p w14:paraId="01725C9D" w14:textId="403483D5" w:rsidR="006108E4" w:rsidRPr="00D11AD1" w:rsidRDefault="006108E4" w:rsidP="006D21E5">
            <w:pPr>
              <w:rPr>
                <w:sz w:val="24"/>
                <w:szCs w:val="24"/>
              </w:rPr>
            </w:pPr>
            <w:r w:rsidRPr="00D11AD1">
              <w:rPr>
                <w:sz w:val="24"/>
                <w:szCs w:val="24"/>
              </w:rPr>
              <w:t>98</w:t>
            </w:r>
            <w:r w:rsidR="001E3A10" w:rsidRPr="00D11AD1">
              <w:rPr>
                <w:sz w:val="24"/>
                <w:szCs w:val="24"/>
              </w:rPr>
              <w:t>,</w:t>
            </w:r>
            <w:r w:rsidRPr="00D11AD1">
              <w:rPr>
                <w:sz w:val="24"/>
                <w:szCs w:val="24"/>
              </w:rPr>
              <w:t>0</w:t>
            </w:r>
            <w:r w:rsidR="00FA34A4" w:rsidRPr="00D11AD1">
              <w:rPr>
                <w:sz w:val="24"/>
                <w:szCs w:val="24"/>
              </w:rPr>
              <w:t xml:space="preserve"> %</w:t>
            </w:r>
          </w:p>
        </w:tc>
      </w:tr>
      <w:tr w:rsidR="006108E4" w:rsidRPr="00D11AD1" w14:paraId="011AB164" w14:textId="77777777" w:rsidTr="000A733F">
        <w:trPr>
          <w:trHeight w:val="357"/>
        </w:trPr>
        <w:tc>
          <w:tcPr>
            <w:tcW w:w="1044" w:type="pct"/>
          </w:tcPr>
          <w:p w14:paraId="0A851952" w14:textId="77777777" w:rsidR="006108E4" w:rsidRPr="00D11AD1" w:rsidRDefault="006108E4" w:rsidP="006D21E5">
            <w:pPr>
              <w:ind w:left="43"/>
              <w:rPr>
                <w:sz w:val="24"/>
                <w:szCs w:val="24"/>
              </w:rPr>
            </w:pPr>
            <w:r w:rsidRPr="00D11AD1">
              <w:rPr>
                <w:sz w:val="24"/>
                <w:szCs w:val="24"/>
              </w:rPr>
              <w:t>(N = 51)</w:t>
            </w:r>
            <w:r w:rsidRPr="00D11AD1">
              <w:rPr>
                <w:sz w:val="24"/>
                <w:szCs w:val="24"/>
                <w:vertAlign w:val="superscript"/>
              </w:rPr>
              <w:t>a</w:t>
            </w:r>
          </w:p>
        </w:tc>
        <w:tc>
          <w:tcPr>
            <w:tcW w:w="955" w:type="pct"/>
          </w:tcPr>
          <w:p w14:paraId="2F291C92" w14:textId="4BC9E5E4" w:rsidR="006108E4" w:rsidRPr="00D11AD1" w:rsidRDefault="006108E4" w:rsidP="006D21E5">
            <w:pPr>
              <w:ind w:left="73"/>
              <w:rPr>
                <w:sz w:val="24"/>
                <w:szCs w:val="24"/>
              </w:rPr>
            </w:pPr>
            <w:r w:rsidRPr="00D11AD1">
              <w:rPr>
                <w:sz w:val="24"/>
                <w:szCs w:val="24"/>
              </w:rPr>
              <w:t>(46</w:t>
            </w:r>
            <w:r w:rsidR="001E3A10" w:rsidRPr="00D11AD1">
              <w:rPr>
                <w:sz w:val="24"/>
                <w:szCs w:val="24"/>
              </w:rPr>
              <w:t>,</w:t>
            </w:r>
            <w:r w:rsidRPr="00D11AD1">
              <w:rPr>
                <w:sz w:val="24"/>
                <w:szCs w:val="24"/>
              </w:rPr>
              <w:t>1</w:t>
            </w:r>
            <w:r w:rsidR="005B4447" w:rsidRPr="00D11AD1">
              <w:rPr>
                <w:sz w:val="24"/>
                <w:szCs w:val="24"/>
              </w:rPr>
              <w:t>;</w:t>
            </w:r>
            <w:r w:rsidRPr="00D11AD1">
              <w:rPr>
                <w:sz w:val="24"/>
                <w:szCs w:val="24"/>
              </w:rPr>
              <w:t xml:space="preserve"> 74</w:t>
            </w:r>
            <w:r w:rsidR="001E3A10" w:rsidRPr="00D11AD1">
              <w:rPr>
                <w:sz w:val="24"/>
                <w:szCs w:val="24"/>
              </w:rPr>
              <w:t>,</w:t>
            </w:r>
            <w:r w:rsidRPr="00D11AD1">
              <w:rPr>
                <w:sz w:val="24"/>
                <w:szCs w:val="24"/>
              </w:rPr>
              <w:t>2)</w:t>
            </w:r>
          </w:p>
        </w:tc>
        <w:tc>
          <w:tcPr>
            <w:tcW w:w="1000" w:type="pct"/>
          </w:tcPr>
          <w:p w14:paraId="5739CA97" w14:textId="6CD84AED" w:rsidR="006108E4" w:rsidRPr="00D11AD1" w:rsidRDefault="006108E4" w:rsidP="006D21E5">
            <w:pPr>
              <w:ind w:left="118"/>
              <w:rPr>
                <w:sz w:val="24"/>
                <w:szCs w:val="24"/>
              </w:rPr>
            </w:pPr>
            <w:r w:rsidRPr="00D11AD1">
              <w:rPr>
                <w:sz w:val="24"/>
                <w:szCs w:val="24"/>
              </w:rPr>
              <w:t>(78</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96</w:t>
            </w:r>
            <w:r w:rsidR="001E3A10" w:rsidRPr="00D11AD1">
              <w:rPr>
                <w:sz w:val="24"/>
                <w:szCs w:val="24"/>
              </w:rPr>
              <w:t>,</w:t>
            </w:r>
            <w:r w:rsidRPr="00D11AD1">
              <w:rPr>
                <w:sz w:val="24"/>
                <w:szCs w:val="24"/>
              </w:rPr>
              <w:t>7)</w:t>
            </w:r>
          </w:p>
        </w:tc>
        <w:tc>
          <w:tcPr>
            <w:tcW w:w="1001" w:type="pct"/>
          </w:tcPr>
          <w:p w14:paraId="5F1DF83B" w14:textId="0501A08F" w:rsidR="006108E4" w:rsidRPr="00D11AD1" w:rsidRDefault="006108E4" w:rsidP="006D21E5">
            <w:pPr>
              <w:rPr>
                <w:sz w:val="24"/>
                <w:szCs w:val="24"/>
              </w:rPr>
            </w:pPr>
            <w:r w:rsidRPr="00D11AD1">
              <w:rPr>
                <w:sz w:val="24"/>
                <w:szCs w:val="24"/>
              </w:rPr>
              <w:t>(89</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100)</w:t>
            </w:r>
          </w:p>
        </w:tc>
        <w:tc>
          <w:tcPr>
            <w:tcW w:w="1001" w:type="pct"/>
          </w:tcPr>
          <w:p w14:paraId="1BC8CAD9" w14:textId="072EF707" w:rsidR="006108E4" w:rsidRPr="00D11AD1" w:rsidRDefault="006108E4" w:rsidP="006D21E5">
            <w:pPr>
              <w:rPr>
                <w:sz w:val="24"/>
                <w:szCs w:val="24"/>
              </w:rPr>
            </w:pPr>
            <w:r w:rsidRPr="00D11AD1">
              <w:rPr>
                <w:sz w:val="24"/>
                <w:szCs w:val="24"/>
              </w:rPr>
              <w:t>(89</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100)</w:t>
            </w:r>
          </w:p>
        </w:tc>
      </w:tr>
      <w:tr w:rsidR="006108E4" w:rsidRPr="00D11AD1" w14:paraId="1808C8B5" w14:textId="77777777" w:rsidTr="000A733F">
        <w:trPr>
          <w:trHeight w:val="337"/>
        </w:trPr>
        <w:tc>
          <w:tcPr>
            <w:tcW w:w="1044" w:type="pct"/>
          </w:tcPr>
          <w:p w14:paraId="7813F289" w14:textId="77777777" w:rsidR="006108E4" w:rsidRPr="00D11AD1" w:rsidRDefault="006108E4" w:rsidP="006D21E5">
            <w:pPr>
              <w:ind w:left="43"/>
              <w:rPr>
                <w:sz w:val="24"/>
                <w:szCs w:val="24"/>
              </w:rPr>
            </w:pPr>
            <w:r w:rsidRPr="00D11AD1">
              <w:rPr>
                <w:sz w:val="24"/>
                <w:szCs w:val="24"/>
              </w:rPr>
              <w:t>Forudgående imatinib</w:t>
            </w:r>
          </w:p>
        </w:tc>
        <w:tc>
          <w:tcPr>
            <w:tcW w:w="955" w:type="pct"/>
          </w:tcPr>
          <w:p w14:paraId="304C6E3A" w14:textId="10463D55" w:rsidR="006108E4" w:rsidRPr="00D11AD1" w:rsidRDefault="006108E4" w:rsidP="006D21E5">
            <w:pPr>
              <w:ind w:left="73"/>
              <w:rPr>
                <w:sz w:val="24"/>
                <w:szCs w:val="24"/>
              </w:rPr>
            </w:pPr>
            <w:r w:rsidRPr="00D11AD1">
              <w:rPr>
                <w:sz w:val="24"/>
                <w:szCs w:val="24"/>
              </w:rPr>
              <w:t>60</w:t>
            </w:r>
            <w:r w:rsidR="001E3A10" w:rsidRPr="00D11AD1">
              <w:rPr>
                <w:sz w:val="24"/>
                <w:szCs w:val="24"/>
              </w:rPr>
              <w:t>,</w:t>
            </w:r>
            <w:r w:rsidRPr="00D11AD1">
              <w:rPr>
                <w:sz w:val="24"/>
                <w:szCs w:val="24"/>
              </w:rPr>
              <w:t>9</w:t>
            </w:r>
            <w:r w:rsidR="00FA34A4" w:rsidRPr="00D11AD1">
              <w:rPr>
                <w:sz w:val="24"/>
                <w:szCs w:val="24"/>
              </w:rPr>
              <w:t xml:space="preserve"> %</w:t>
            </w:r>
          </w:p>
        </w:tc>
        <w:tc>
          <w:tcPr>
            <w:tcW w:w="1000" w:type="pct"/>
          </w:tcPr>
          <w:p w14:paraId="7F2D8135" w14:textId="5ED3AD7B" w:rsidR="006108E4" w:rsidRPr="00D11AD1" w:rsidRDefault="006108E4" w:rsidP="006D21E5">
            <w:pPr>
              <w:ind w:left="118"/>
              <w:rPr>
                <w:sz w:val="24"/>
                <w:szCs w:val="24"/>
              </w:rPr>
            </w:pPr>
            <w:r w:rsidRPr="00D11AD1">
              <w:rPr>
                <w:sz w:val="24"/>
                <w:szCs w:val="24"/>
              </w:rPr>
              <w:t>82</w:t>
            </w:r>
            <w:r w:rsidR="001E3A10" w:rsidRPr="00D11AD1">
              <w:rPr>
                <w:sz w:val="24"/>
                <w:szCs w:val="24"/>
              </w:rPr>
              <w:t>,</w:t>
            </w:r>
            <w:r w:rsidRPr="00D11AD1">
              <w:rPr>
                <w:sz w:val="24"/>
                <w:szCs w:val="24"/>
              </w:rPr>
              <w:t>6</w:t>
            </w:r>
            <w:r w:rsidR="00FA34A4" w:rsidRPr="00D11AD1">
              <w:rPr>
                <w:sz w:val="24"/>
                <w:szCs w:val="24"/>
              </w:rPr>
              <w:t xml:space="preserve"> %</w:t>
            </w:r>
          </w:p>
        </w:tc>
        <w:tc>
          <w:tcPr>
            <w:tcW w:w="1001" w:type="pct"/>
          </w:tcPr>
          <w:p w14:paraId="0FC2BBCD" w14:textId="68B51C5E" w:rsidR="006108E4" w:rsidRPr="00D11AD1" w:rsidRDefault="006108E4" w:rsidP="006D21E5">
            <w:pPr>
              <w:rPr>
                <w:sz w:val="24"/>
                <w:szCs w:val="24"/>
              </w:rPr>
            </w:pPr>
            <w:r w:rsidRPr="00D11AD1">
              <w:rPr>
                <w:sz w:val="24"/>
                <w:szCs w:val="24"/>
              </w:rPr>
              <w:t>89</w:t>
            </w:r>
            <w:r w:rsidR="001E3A10" w:rsidRPr="00D11AD1">
              <w:rPr>
                <w:sz w:val="24"/>
                <w:szCs w:val="24"/>
              </w:rPr>
              <w:t>,</w:t>
            </w:r>
            <w:r w:rsidRPr="00D11AD1">
              <w:rPr>
                <w:sz w:val="24"/>
                <w:szCs w:val="24"/>
              </w:rPr>
              <w:t>1</w:t>
            </w:r>
            <w:r w:rsidR="00FA34A4" w:rsidRPr="00D11AD1">
              <w:rPr>
                <w:sz w:val="24"/>
                <w:szCs w:val="24"/>
              </w:rPr>
              <w:t xml:space="preserve"> %</w:t>
            </w:r>
          </w:p>
        </w:tc>
        <w:tc>
          <w:tcPr>
            <w:tcW w:w="1001" w:type="pct"/>
          </w:tcPr>
          <w:p w14:paraId="3CAB7087" w14:textId="44687E2B" w:rsidR="006108E4" w:rsidRPr="00D11AD1" w:rsidRDefault="006108E4" w:rsidP="006D21E5">
            <w:pPr>
              <w:rPr>
                <w:sz w:val="24"/>
                <w:szCs w:val="24"/>
              </w:rPr>
            </w:pPr>
            <w:r w:rsidRPr="00D11AD1">
              <w:rPr>
                <w:sz w:val="24"/>
                <w:szCs w:val="24"/>
              </w:rPr>
              <w:t>89</w:t>
            </w:r>
            <w:r w:rsidR="001E3A10" w:rsidRPr="00D11AD1">
              <w:rPr>
                <w:sz w:val="24"/>
                <w:szCs w:val="24"/>
              </w:rPr>
              <w:t>,</w:t>
            </w:r>
            <w:r w:rsidRPr="00D11AD1">
              <w:rPr>
                <w:sz w:val="24"/>
                <w:szCs w:val="24"/>
              </w:rPr>
              <w:t>1</w:t>
            </w:r>
            <w:r w:rsidR="00FA34A4" w:rsidRPr="00D11AD1">
              <w:rPr>
                <w:sz w:val="24"/>
                <w:szCs w:val="24"/>
              </w:rPr>
              <w:t xml:space="preserve"> %</w:t>
            </w:r>
          </w:p>
        </w:tc>
      </w:tr>
      <w:tr w:rsidR="006108E4" w:rsidRPr="00D11AD1" w14:paraId="79789415" w14:textId="77777777" w:rsidTr="000A733F">
        <w:trPr>
          <w:trHeight w:val="357"/>
        </w:trPr>
        <w:tc>
          <w:tcPr>
            <w:tcW w:w="1044" w:type="pct"/>
          </w:tcPr>
          <w:p w14:paraId="24087D2E" w14:textId="77777777" w:rsidR="006108E4" w:rsidRPr="00D11AD1" w:rsidRDefault="006108E4" w:rsidP="006D21E5">
            <w:pPr>
              <w:ind w:left="43"/>
              <w:rPr>
                <w:sz w:val="24"/>
                <w:szCs w:val="24"/>
              </w:rPr>
            </w:pPr>
            <w:r w:rsidRPr="00D11AD1">
              <w:rPr>
                <w:sz w:val="24"/>
                <w:szCs w:val="24"/>
              </w:rPr>
              <w:t>(N = 46)</w:t>
            </w:r>
            <w:r w:rsidRPr="00D11AD1">
              <w:rPr>
                <w:sz w:val="24"/>
                <w:szCs w:val="24"/>
                <w:vertAlign w:val="superscript"/>
              </w:rPr>
              <w:t>b</w:t>
            </w:r>
          </w:p>
        </w:tc>
        <w:tc>
          <w:tcPr>
            <w:tcW w:w="955" w:type="pct"/>
          </w:tcPr>
          <w:p w14:paraId="74B714BD" w14:textId="2B48C13F" w:rsidR="006108E4" w:rsidRPr="00D11AD1" w:rsidRDefault="006108E4" w:rsidP="006D21E5">
            <w:pPr>
              <w:ind w:left="73"/>
              <w:rPr>
                <w:sz w:val="24"/>
                <w:szCs w:val="24"/>
              </w:rPr>
            </w:pPr>
            <w:r w:rsidRPr="00D11AD1">
              <w:rPr>
                <w:sz w:val="24"/>
                <w:szCs w:val="24"/>
              </w:rPr>
              <w:t>(45</w:t>
            </w:r>
            <w:r w:rsidR="001E3A10" w:rsidRPr="00D11AD1">
              <w:rPr>
                <w:sz w:val="24"/>
                <w:szCs w:val="24"/>
              </w:rPr>
              <w:t>,</w:t>
            </w:r>
            <w:r w:rsidRPr="00D11AD1">
              <w:rPr>
                <w:sz w:val="24"/>
                <w:szCs w:val="24"/>
              </w:rPr>
              <w:t>4</w:t>
            </w:r>
            <w:r w:rsidR="005B4447" w:rsidRPr="00D11AD1">
              <w:rPr>
                <w:sz w:val="24"/>
                <w:szCs w:val="24"/>
              </w:rPr>
              <w:t>;</w:t>
            </w:r>
            <w:r w:rsidRPr="00D11AD1">
              <w:rPr>
                <w:sz w:val="24"/>
                <w:szCs w:val="24"/>
              </w:rPr>
              <w:t xml:space="preserve"> 74</w:t>
            </w:r>
            <w:r w:rsidR="001E3A10" w:rsidRPr="00D11AD1">
              <w:rPr>
                <w:sz w:val="24"/>
                <w:szCs w:val="24"/>
              </w:rPr>
              <w:t>,</w:t>
            </w:r>
            <w:r w:rsidRPr="00D11AD1">
              <w:rPr>
                <w:sz w:val="24"/>
                <w:szCs w:val="24"/>
              </w:rPr>
              <w:t>9)</w:t>
            </w:r>
          </w:p>
        </w:tc>
        <w:tc>
          <w:tcPr>
            <w:tcW w:w="1000" w:type="pct"/>
          </w:tcPr>
          <w:p w14:paraId="2EA39E5B" w14:textId="79ABE4EC" w:rsidR="006108E4" w:rsidRPr="00D11AD1" w:rsidRDefault="006108E4" w:rsidP="006D21E5">
            <w:pPr>
              <w:ind w:left="118"/>
              <w:rPr>
                <w:sz w:val="24"/>
                <w:szCs w:val="24"/>
              </w:rPr>
            </w:pPr>
            <w:r w:rsidRPr="00D11AD1">
              <w:rPr>
                <w:sz w:val="24"/>
                <w:szCs w:val="24"/>
              </w:rPr>
              <w:t>(68</w:t>
            </w:r>
            <w:r w:rsidR="001E3A10" w:rsidRPr="00D11AD1">
              <w:rPr>
                <w:sz w:val="24"/>
                <w:szCs w:val="24"/>
              </w:rPr>
              <w:t>,</w:t>
            </w:r>
            <w:r w:rsidRPr="00D11AD1">
              <w:rPr>
                <w:sz w:val="24"/>
                <w:szCs w:val="24"/>
              </w:rPr>
              <w:t>6</w:t>
            </w:r>
            <w:r w:rsidR="005B4447" w:rsidRPr="00D11AD1">
              <w:rPr>
                <w:sz w:val="24"/>
                <w:szCs w:val="24"/>
              </w:rPr>
              <w:t>;</w:t>
            </w:r>
            <w:r w:rsidRPr="00D11AD1">
              <w:rPr>
                <w:sz w:val="24"/>
                <w:szCs w:val="24"/>
              </w:rPr>
              <w:t xml:space="preserve"> 92</w:t>
            </w:r>
            <w:r w:rsidR="001E3A10" w:rsidRPr="00D11AD1">
              <w:rPr>
                <w:sz w:val="24"/>
                <w:szCs w:val="24"/>
              </w:rPr>
              <w:t>,</w:t>
            </w:r>
            <w:r w:rsidRPr="00D11AD1">
              <w:rPr>
                <w:sz w:val="24"/>
                <w:szCs w:val="24"/>
              </w:rPr>
              <w:t>2)</w:t>
            </w:r>
          </w:p>
        </w:tc>
        <w:tc>
          <w:tcPr>
            <w:tcW w:w="1001" w:type="pct"/>
          </w:tcPr>
          <w:p w14:paraId="55FEE119" w14:textId="58902BE3" w:rsidR="006108E4" w:rsidRPr="00D11AD1" w:rsidRDefault="006108E4" w:rsidP="006D21E5">
            <w:pPr>
              <w:rPr>
                <w:sz w:val="24"/>
                <w:szCs w:val="24"/>
              </w:rPr>
            </w:pPr>
            <w:r w:rsidRPr="00D11AD1">
              <w:rPr>
                <w:sz w:val="24"/>
                <w:szCs w:val="24"/>
              </w:rPr>
              <w:t>(76</w:t>
            </w:r>
            <w:r w:rsidR="001E3A10" w:rsidRPr="00D11AD1">
              <w:rPr>
                <w:sz w:val="24"/>
                <w:szCs w:val="24"/>
              </w:rPr>
              <w:t>,</w:t>
            </w:r>
            <w:r w:rsidRPr="00D11AD1">
              <w:rPr>
                <w:sz w:val="24"/>
                <w:szCs w:val="24"/>
              </w:rPr>
              <w:t>4</w:t>
            </w:r>
            <w:r w:rsidR="005B4447" w:rsidRPr="00D11AD1">
              <w:rPr>
                <w:sz w:val="24"/>
                <w:szCs w:val="24"/>
              </w:rPr>
              <w:t>;</w:t>
            </w:r>
            <w:r w:rsidRPr="00D11AD1">
              <w:rPr>
                <w:sz w:val="24"/>
                <w:szCs w:val="24"/>
              </w:rPr>
              <w:t xml:space="preserve"> 6</w:t>
            </w:r>
            <w:r w:rsidR="001E3A10" w:rsidRPr="00D11AD1">
              <w:rPr>
                <w:sz w:val="24"/>
                <w:szCs w:val="24"/>
              </w:rPr>
              <w:t>,</w:t>
            </w:r>
            <w:r w:rsidRPr="00D11AD1">
              <w:rPr>
                <w:sz w:val="24"/>
                <w:szCs w:val="24"/>
              </w:rPr>
              <w:t>4)</w:t>
            </w:r>
          </w:p>
        </w:tc>
        <w:tc>
          <w:tcPr>
            <w:tcW w:w="1001" w:type="pct"/>
          </w:tcPr>
          <w:p w14:paraId="2E0E6655" w14:textId="228DEE67" w:rsidR="006108E4" w:rsidRPr="00D11AD1" w:rsidRDefault="006108E4" w:rsidP="006D21E5">
            <w:pPr>
              <w:rPr>
                <w:sz w:val="24"/>
                <w:szCs w:val="24"/>
              </w:rPr>
            </w:pPr>
            <w:r w:rsidRPr="00D11AD1">
              <w:rPr>
                <w:sz w:val="24"/>
                <w:szCs w:val="24"/>
              </w:rPr>
              <w:t>(76</w:t>
            </w:r>
            <w:r w:rsidR="001E3A10" w:rsidRPr="00D11AD1">
              <w:rPr>
                <w:sz w:val="24"/>
                <w:szCs w:val="24"/>
              </w:rPr>
              <w:t>,</w:t>
            </w:r>
            <w:r w:rsidRPr="00D11AD1">
              <w:rPr>
                <w:sz w:val="24"/>
                <w:szCs w:val="24"/>
              </w:rPr>
              <w:t>4</w:t>
            </w:r>
            <w:r w:rsidR="005B4447" w:rsidRPr="00D11AD1">
              <w:rPr>
                <w:sz w:val="24"/>
                <w:szCs w:val="24"/>
              </w:rPr>
              <w:t>;</w:t>
            </w:r>
            <w:r w:rsidRPr="00D11AD1">
              <w:rPr>
                <w:sz w:val="24"/>
                <w:szCs w:val="24"/>
              </w:rPr>
              <w:t xml:space="preserve"> 96</w:t>
            </w:r>
            <w:r w:rsidR="001E3A10" w:rsidRPr="00D11AD1">
              <w:rPr>
                <w:sz w:val="24"/>
                <w:szCs w:val="24"/>
              </w:rPr>
              <w:t>,</w:t>
            </w:r>
            <w:r w:rsidRPr="00D11AD1">
              <w:rPr>
                <w:sz w:val="24"/>
                <w:szCs w:val="24"/>
              </w:rPr>
              <w:t>4)</w:t>
            </w:r>
          </w:p>
        </w:tc>
      </w:tr>
      <w:tr w:rsidR="006108E4" w:rsidRPr="00D11AD1" w14:paraId="060CDBCD" w14:textId="77777777" w:rsidTr="000A733F">
        <w:trPr>
          <w:trHeight w:val="337"/>
        </w:trPr>
        <w:tc>
          <w:tcPr>
            <w:tcW w:w="1044" w:type="pct"/>
          </w:tcPr>
          <w:p w14:paraId="21D5D53A" w14:textId="77777777" w:rsidR="006108E4" w:rsidRPr="00D11AD1" w:rsidRDefault="006108E4" w:rsidP="006D21E5">
            <w:pPr>
              <w:ind w:left="43"/>
              <w:rPr>
                <w:b/>
                <w:sz w:val="24"/>
                <w:szCs w:val="24"/>
              </w:rPr>
            </w:pPr>
            <w:r w:rsidRPr="00D11AD1">
              <w:rPr>
                <w:b/>
                <w:sz w:val="24"/>
                <w:szCs w:val="24"/>
              </w:rPr>
              <w:t>MMR</w:t>
            </w:r>
          </w:p>
        </w:tc>
        <w:tc>
          <w:tcPr>
            <w:tcW w:w="955" w:type="pct"/>
          </w:tcPr>
          <w:p w14:paraId="2361E59E" w14:textId="77777777" w:rsidR="006108E4" w:rsidRPr="00D11AD1" w:rsidRDefault="006108E4" w:rsidP="006D21E5">
            <w:pPr>
              <w:ind w:left="73"/>
              <w:rPr>
                <w:sz w:val="24"/>
                <w:szCs w:val="24"/>
              </w:rPr>
            </w:pPr>
          </w:p>
        </w:tc>
        <w:tc>
          <w:tcPr>
            <w:tcW w:w="1000" w:type="pct"/>
          </w:tcPr>
          <w:p w14:paraId="7DB2A62D" w14:textId="77777777" w:rsidR="006108E4" w:rsidRPr="00D11AD1" w:rsidRDefault="006108E4" w:rsidP="006D21E5">
            <w:pPr>
              <w:ind w:left="118"/>
              <w:rPr>
                <w:sz w:val="24"/>
                <w:szCs w:val="24"/>
              </w:rPr>
            </w:pPr>
          </w:p>
        </w:tc>
        <w:tc>
          <w:tcPr>
            <w:tcW w:w="1001" w:type="pct"/>
          </w:tcPr>
          <w:p w14:paraId="499E0D00" w14:textId="77777777" w:rsidR="006108E4" w:rsidRPr="00D11AD1" w:rsidRDefault="006108E4" w:rsidP="006D21E5">
            <w:pPr>
              <w:rPr>
                <w:sz w:val="24"/>
                <w:szCs w:val="24"/>
              </w:rPr>
            </w:pPr>
          </w:p>
        </w:tc>
        <w:tc>
          <w:tcPr>
            <w:tcW w:w="1001" w:type="pct"/>
          </w:tcPr>
          <w:p w14:paraId="4F658E31" w14:textId="77777777" w:rsidR="006108E4" w:rsidRPr="00D11AD1" w:rsidRDefault="006108E4" w:rsidP="006D21E5">
            <w:pPr>
              <w:rPr>
                <w:sz w:val="24"/>
                <w:szCs w:val="24"/>
              </w:rPr>
            </w:pPr>
          </w:p>
        </w:tc>
      </w:tr>
      <w:tr w:rsidR="006108E4" w:rsidRPr="00D11AD1" w14:paraId="6249B0CF" w14:textId="77777777" w:rsidTr="000A733F">
        <w:trPr>
          <w:trHeight w:val="218"/>
        </w:trPr>
        <w:tc>
          <w:tcPr>
            <w:tcW w:w="1044" w:type="pct"/>
          </w:tcPr>
          <w:p w14:paraId="3658ED76" w14:textId="140D2557" w:rsidR="006108E4" w:rsidRPr="00D11AD1" w:rsidRDefault="006108E4" w:rsidP="006D21E5">
            <w:pPr>
              <w:ind w:left="43"/>
              <w:rPr>
                <w:b/>
                <w:sz w:val="24"/>
                <w:szCs w:val="24"/>
              </w:rPr>
            </w:pPr>
            <w:r w:rsidRPr="00D11AD1">
              <w:rPr>
                <w:b/>
                <w:sz w:val="24"/>
                <w:szCs w:val="24"/>
              </w:rPr>
              <w:t>(95</w:t>
            </w:r>
            <w:r w:rsidR="00FA34A4" w:rsidRPr="00D11AD1">
              <w:rPr>
                <w:b/>
                <w:sz w:val="24"/>
                <w:szCs w:val="24"/>
              </w:rPr>
              <w:t xml:space="preserve"> %</w:t>
            </w:r>
            <w:r w:rsidRPr="00D11AD1">
              <w:rPr>
                <w:b/>
                <w:sz w:val="24"/>
                <w:szCs w:val="24"/>
              </w:rPr>
              <w:t xml:space="preserve"> CI)</w:t>
            </w:r>
          </w:p>
        </w:tc>
        <w:tc>
          <w:tcPr>
            <w:tcW w:w="955" w:type="pct"/>
          </w:tcPr>
          <w:p w14:paraId="0C9AA53B" w14:textId="77777777" w:rsidR="006108E4" w:rsidRPr="00D11AD1" w:rsidRDefault="006108E4" w:rsidP="006D21E5">
            <w:pPr>
              <w:ind w:left="73"/>
              <w:rPr>
                <w:sz w:val="24"/>
                <w:szCs w:val="24"/>
              </w:rPr>
            </w:pPr>
          </w:p>
        </w:tc>
        <w:tc>
          <w:tcPr>
            <w:tcW w:w="1000" w:type="pct"/>
          </w:tcPr>
          <w:p w14:paraId="23C18859" w14:textId="77777777" w:rsidR="006108E4" w:rsidRPr="00D11AD1" w:rsidRDefault="006108E4" w:rsidP="006D21E5">
            <w:pPr>
              <w:ind w:left="118"/>
              <w:rPr>
                <w:sz w:val="24"/>
                <w:szCs w:val="24"/>
              </w:rPr>
            </w:pPr>
          </w:p>
        </w:tc>
        <w:tc>
          <w:tcPr>
            <w:tcW w:w="1001" w:type="pct"/>
          </w:tcPr>
          <w:p w14:paraId="529895D9" w14:textId="77777777" w:rsidR="006108E4" w:rsidRPr="00D11AD1" w:rsidRDefault="006108E4" w:rsidP="006D21E5">
            <w:pPr>
              <w:rPr>
                <w:sz w:val="24"/>
                <w:szCs w:val="24"/>
              </w:rPr>
            </w:pPr>
          </w:p>
        </w:tc>
        <w:tc>
          <w:tcPr>
            <w:tcW w:w="1001" w:type="pct"/>
          </w:tcPr>
          <w:p w14:paraId="42B985AA" w14:textId="77777777" w:rsidR="006108E4" w:rsidRPr="00D11AD1" w:rsidRDefault="006108E4" w:rsidP="006D21E5">
            <w:pPr>
              <w:rPr>
                <w:sz w:val="24"/>
                <w:szCs w:val="24"/>
              </w:rPr>
            </w:pPr>
          </w:p>
        </w:tc>
      </w:tr>
      <w:tr w:rsidR="006108E4" w:rsidRPr="00D11AD1" w14:paraId="6873C470" w14:textId="77777777" w:rsidTr="000A733F">
        <w:trPr>
          <w:trHeight w:val="218"/>
        </w:trPr>
        <w:tc>
          <w:tcPr>
            <w:tcW w:w="1044" w:type="pct"/>
          </w:tcPr>
          <w:p w14:paraId="4010DE2D" w14:textId="77777777" w:rsidR="006108E4" w:rsidRPr="00D11AD1" w:rsidRDefault="006108E4" w:rsidP="006D21E5">
            <w:pPr>
              <w:ind w:left="43"/>
              <w:rPr>
                <w:sz w:val="24"/>
                <w:szCs w:val="24"/>
              </w:rPr>
            </w:pPr>
            <w:r w:rsidRPr="00D11AD1">
              <w:rPr>
                <w:sz w:val="24"/>
                <w:szCs w:val="24"/>
              </w:rPr>
              <w:t>Nydiagnosticeret</w:t>
            </w:r>
          </w:p>
        </w:tc>
        <w:tc>
          <w:tcPr>
            <w:tcW w:w="955" w:type="pct"/>
          </w:tcPr>
          <w:p w14:paraId="62282A2E" w14:textId="226325B4" w:rsidR="006108E4" w:rsidRPr="00D11AD1" w:rsidRDefault="006108E4" w:rsidP="006D21E5">
            <w:pPr>
              <w:ind w:left="73"/>
              <w:rPr>
                <w:sz w:val="24"/>
                <w:szCs w:val="24"/>
              </w:rPr>
            </w:pPr>
            <w:r w:rsidRPr="00D11AD1">
              <w:rPr>
                <w:sz w:val="24"/>
                <w:szCs w:val="24"/>
              </w:rPr>
              <w:t>7</w:t>
            </w:r>
            <w:r w:rsidR="001E3A10" w:rsidRPr="00D11AD1">
              <w:rPr>
                <w:sz w:val="24"/>
                <w:szCs w:val="24"/>
              </w:rPr>
              <w:t>,</w:t>
            </w:r>
            <w:r w:rsidRPr="00D11AD1">
              <w:rPr>
                <w:sz w:val="24"/>
                <w:szCs w:val="24"/>
              </w:rPr>
              <w:t>8</w:t>
            </w:r>
            <w:r w:rsidR="00FA34A4" w:rsidRPr="00D11AD1">
              <w:rPr>
                <w:sz w:val="24"/>
                <w:szCs w:val="24"/>
              </w:rPr>
              <w:t xml:space="preserve"> %</w:t>
            </w:r>
          </w:p>
        </w:tc>
        <w:tc>
          <w:tcPr>
            <w:tcW w:w="1000" w:type="pct"/>
          </w:tcPr>
          <w:p w14:paraId="39E70BA4" w14:textId="2A20359F" w:rsidR="006108E4" w:rsidRPr="00D11AD1" w:rsidRDefault="006108E4" w:rsidP="006D21E5">
            <w:pPr>
              <w:ind w:left="118"/>
              <w:rPr>
                <w:sz w:val="24"/>
                <w:szCs w:val="24"/>
              </w:rPr>
            </w:pPr>
            <w:r w:rsidRPr="00D11AD1">
              <w:rPr>
                <w:sz w:val="24"/>
                <w:szCs w:val="24"/>
              </w:rPr>
              <w:t>31</w:t>
            </w:r>
            <w:r w:rsidR="001E3A10" w:rsidRPr="00D11AD1">
              <w:rPr>
                <w:sz w:val="24"/>
                <w:szCs w:val="24"/>
              </w:rPr>
              <w:t>,</w:t>
            </w:r>
            <w:r w:rsidRPr="00D11AD1">
              <w:rPr>
                <w:sz w:val="24"/>
                <w:szCs w:val="24"/>
              </w:rPr>
              <w:t>4</w:t>
            </w:r>
            <w:r w:rsidR="00FA34A4" w:rsidRPr="00D11AD1">
              <w:rPr>
                <w:sz w:val="24"/>
                <w:szCs w:val="24"/>
              </w:rPr>
              <w:t xml:space="preserve"> %</w:t>
            </w:r>
          </w:p>
        </w:tc>
        <w:tc>
          <w:tcPr>
            <w:tcW w:w="1001" w:type="pct"/>
          </w:tcPr>
          <w:p w14:paraId="6FB65FC0" w14:textId="4E2AC025" w:rsidR="006108E4" w:rsidRPr="00D11AD1" w:rsidRDefault="006108E4" w:rsidP="006D21E5">
            <w:pPr>
              <w:rPr>
                <w:sz w:val="24"/>
                <w:szCs w:val="24"/>
              </w:rPr>
            </w:pPr>
            <w:r w:rsidRPr="00D11AD1">
              <w:rPr>
                <w:sz w:val="24"/>
                <w:szCs w:val="24"/>
              </w:rPr>
              <w:t>56</w:t>
            </w:r>
            <w:r w:rsidR="001E3A10" w:rsidRPr="00D11AD1">
              <w:rPr>
                <w:sz w:val="24"/>
                <w:szCs w:val="24"/>
              </w:rPr>
              <w:t>,</w:t>
            </w:r>
            <w:r w:rsidRPr="00D11AD1">
              <w:rPr>
                <w:sz w:val="24"/>
                <w:szCs w:val="24"/>
              </w:rPr>
              <w:t>9</w:t>
            </w:r>
            <w:r w:rsidR="00FA34A4" w:rsidRPr="00D11AD1">
              <w:rPr>
                <w:sz w:val="24"/>
                <w:szCs w:val="24"/>
              </w:rPr>
              <w:t xml:space="preserve"> %</w:t>
            </w:r>
          </w:p>
        </w:tc>
        <w:tc>
          <w:tcPr>
            <w:tcW w:w="1001" w:type="pct"/>
          </w:tcPr>
          <w:p w14:paraId="42844C66" w14:textId="59A23D83" w:rsidR="006108E4" w:rsidRPr="00D11AD1" w:rsidRDefault="006108E4" w:rsidP="006D21E5">
            <w:pPr>
              <w:rPr>
                <w:sz w:val="24"/>
                <w:szCs w:val="24"/>
              </w:rPr>
            </w:pPr>
            <w:r w:rsidRPr="00D11AD1">
              <w:rPr>
                <w:sz w:val="24"/>
                <w:szCs w:val="24"/>
              </w:rPr>
              <w:t>74</w:t>
            </w:r>
            <w:r w:rsidR="001E3A10" w:rsidRPr="00D11AD1">
              <w:rPr>
                <w:sz w:val="24"/>
                <w:szCs w:val="24"/>
              </w:rPr>
              <w:t>,</w:t>
            </w:r>
            <w:r w:rsidRPr="00D11AD1">
              <w:rPr>
                <w:sz w:val="24"/>
                <w:szCs w:val="24"/>
              </w:rPr>
              <w:t>5</w:t>
            </w:r>
            <w:r w:rsidR="00FA34A4" w:rsidRPr="00D11AD1">
              <w:rPr>
                <w:sz w:val="24"/>
                <w:szCs w:val="24"/>
              </w:rPr>
              <w:t xml:space="preserve"> %</w:t>
            </w:r>
          </w:p>
        </w:tc>
      </w:tr>
      <w:tr w:rsidR="006108E4" w:rsidRPr="00D11AD1" w14:paraId="2733480A" w14:textId="77777777" w:rsidTr="000A733F">
        <w:trPr>
          <w:trHeight w:val="357"/>
        </w:trPr>
        <w:tc>
          <w:tcPr>
            <w:tcW w:w="1044" w:type="pct"/>
          </w:tcPr>
          <w:p w14:paraId="3C43DF4B" w14:textId="77777777" w:rsidR="006108E4" w:rsidRPr="00D11AD1" w:rsidRDefault="006108E4" w:rsidP="006D21E5">
            <w:pPr>
              <w:ind w:left="43"/>
              <w:rPr>
                <w:sz w:val="24"/>
                <w:szCs w:val="24"/>
              </w:rPr>
            </w:pPr>
            <w:r w:rsidRPr="00D11AD1">
              <w:rPr>
                <w:sz w:val="24"/>
                <w:szCs w:val="24"/>
              </w:rPr>
              <w:t>(N = 51)</w:t>
            </w:r>
            <w:r w:rsidRPr="00D11AD1">
              <w:rPr>
                <w:sz w:val="24"/>
                <w:szCs w:val="24"/>
                <w:vertAlign w:val="superscript"/>
              </w:rPr>
              <w:t>a</w:t>
            </w:r>
          </w:p>
        </w:tc>
        <w:tc>
          <w:tcPr>
            <w:tcW w:w="955" w:type="pct"/>
          </w:tcPr>
          <w:p w14:paraId="12DA1B96" w14:textId="3159A1E2" w:rsidR="006108E4" w:rsidRPr="00D11AD1" w:rsidRDefault="006108E4" w:rsidP="006D21E5">
            <w:pPr>
              <w:ind w:left="73"/>
              <w:rPr>
                <w:sz w:val="24"/>
                <w:szCs w:val="24"/>
              </w:rPr>
            </w:pPr>
            <w:r w:rsidRPr="00D11AD1">
              <w:rPr>
                <w:sz w:val="24"/>
                <w:szCs w:val="24"/>
              </w:rPr>
              <w:t>(2</w:t>
            </w:r>
            <w:r w:rsidR="001E3A10" w:rsidRPr="00D11AD1">
              <w:rPr>
                <w:sz w:val="24"/>
                <w:szCs w:val="24"/>
              </w:rPr>
              <w:t>,</w:t>
            </w:r>
            <w:r w:rsidRPr="00D11AD1">
              <w:rPr>
                <w:sz w:val="24"/>
                <w:szCs w:val="24"/>
              </w:rPr>
              <w:t>2</w:t>
            </w:r>
            <w:r w:rsidR="005B4447" w:rsidRPr="00D11AD1">
              <w:rPr>
                <w:sz w:val="24"/>
                <w:szCs w:val="24"/>
              </w:rPr>
              <w:t>;</w:t>
            </w:r>
            <w:r w:rsidRPr="00D11AD1">
              <w:rPr>
                <w:sz w:val="24"/>
                <w:szCs w:val="24"/>
              </w:rPr>
              <w:t xml:space="preserve"> 18</w:t>
            </w:r>
            <w:r w:rsidR="001E3A10" w:rsidRPr="00D11AD1">
              <w:rPr>
                <w:sz w:val="24"/>
                <w:szCs w:val="24"/>
              </w:rPr>
              <w:t>,</w:t>
            </w:r>
            <w:r w:rsidRPr="00D11AD1">
              <w:rPr>
                <w:sz w:val="24"/>
                <w:szCs w:val="24"/>
              </w:rPr>
              <w:t>9)</w:t>
            </w:r>
          </w:p>
        </w:tc>
        <w:tc>
          <w:tcPr>
            <w:tcW w:w="1000" w:type="pct"/>
          </w:tcPr>
          <w:p w14:paraId="54610D14" w14:textId="499CEE3E" w:rsidR="006108E4" w:rsidRPr="00D11AD1" w:rsidRDefault="006108E4" w:rsidP="006D21E5">
            <w:pPr>
              <w:ind w:left="118"/>
              <w:rPr>
                <w:sz w:val="24"/>
                <w:szCs w:val="24"/>
              </w:rPr>
            </w:pPr>
            <w:r w:rsidRPr="00D11AD1">
              <w:rPr>
                <w:sz w:val="24"/>
                <w:szCs w:val="24"/>
              </w:rPr>
              <w:t>(19</w:t>
            </w:r>
            <w:r w:rsidR="001E3A10" w:rsidRPr="00D11AD1">
              <w:rPr>
                <w:sz w:val="24"/>
                <w:szCs w:val="24"/>
              </w:rPr>
              <w:t>,</w:t>
            </w:r>
            <w:r w:rsidRPr="00D11AD1">
              <w:rPr>
                <w:sz w:val="24"/>
                <w:szCs w:val="24"/>
              </w:rPr>
              <w:t>1</w:t>
            </w:r>
            <w:r w:rsidR="005B4447" w:rsidRPr="00D11AD1">
              <w:rPr>
                <w:sz w:val="24"/>
                <w:szCs w:val="24"/>
              </w:rPr>
              <w:t>;</w:t>
            </w:r>
            <w:r w:rsidRPr="00D11AD1">
              <w:rPr>
                <w:sz w:val="24"/>
                <w:szCs w:val="24"/>
              </w:rPr>
              <w:t xml:space="preserve"> 45</w:t>
            </w:r>
            <w:r w:rsidR="001E3A10" w:rsidRPr="00D11AD1">
              <w:rPr>
                <w:sz w:val="24"/>
                <w:szCs w:val="24"/>
              </w:rPr>
              <w:t>,</w:t>
            </w:r>
            <w:r w:rsidRPr="00D11AD1">
              <w:rPr>
                <w:sz w:val="24"/>
                <w:szCs w:val="24"/>
              </w:rPr>
              <w:t>9)</w:t>
            </w:r>
          </w:p>
        </w:tc>
        <w:tc>
          <w:tcPr>
            <w:tcW w:w="1001" w:type="pct"/>
          </w:tcPr>
          <w:p w14:paraId="2A3F8BF6" w14:textId="53F8250F" w:rsidR="006108E4" w:rsidRPr="00D11AD1" w:rsidRDefault="006108E4" w:rsidP="006D21E5">
            <w:pPr>
              <w:rPr>
                <w:sz w:val="24"/>
                <w:szCs w:val="24"/>
              </w:rPr>
            </w:pPr>
            <w:r w:rsidRPr="00D11AD1">
              <w:rPr>
                <w:sz w:val="24"/>
                <w:szCs w:val="24"/>
              </w:rPr>
              <w:t>(42</w:t>
            </w:r>
            <w:r w:rsidR="001E3A10" w:rsidRPr="00D11AD1">
              <w:rPr>
                <w:sz w:val="24"/>
                <w:szCs w:val="24"/>
              </w:rPr>
              <w:t>,</w:t>
            </w:r>
            <w:r w:rsidRPr="00D11AD1">
              <w:rPr>
                <w:sz w:val="24"/>
                <w:szCs w:val="24"/>
              </w:rPr>
              <w:t>2</w:t>
            </w:r>
            <w:r w:rsidR="005B4447" w:rsidRPr="00D11AD1">
              <w:rPr>
                <w:sz w:val="24"/>
                <w:szCs w:val="24"/>
              </w:rPr>
              <w:t>;</w:t>
            </w:r>
            <w:r w:rsidRPr="00D11AD1">
              <w:rPr>
                <w:sz w:val="24"/>
                <w:szCs w:val="24"/>
              </w:rPr>
              <w:t xml:space="preserve"> 70</w:t>
            </w:r>
            <w:r w:rsidR="001E3A10" w:rsidRPr="00D11AD1">
              <w:rPr>
                <w:sz w:val="24"/>
                <w:szCs w:val="24"/>
              </w:rPr>
              <w:t>,</w:t>
            </w:r>
            <w:r w:rsidRPr="00D11AD1">
              <w:rPr>
                <w:sz w:val="24"/>
                <w:szCs w:val="24"/>
              </w:rPr>
              <w:t>7)</w:t>
            </w:r>
          </w:p>
        </w:tc>
        <w:tc>
          <w:tcPr>
            <w:tcW w:w="1001" w:type="pct"/>
          </w:tcPr>
          <w:p w14:paraId="62E93215" w14:textId="732C9687" w:rsidR="006108E4" w:rsidRPr="00D11AD1" w:rsidRDefault="006108E4" w:rsidP="006D21E5">
            <w:pPr>
              <w:rPr>
                <w:sz w:val="24"/>
                <w:szCs w:val="24"/>
              </w:rPr>
            </w:pPr>
            <w:r w:rsidRPr="00D11AD1">
              <w:rPr>
                <w:sz w:val="24"/>
                <w:szCs w:val="24"/>
              </w:rPr>
              <w:t>(60</w:t>
            </w:r>
            <w:r w:rsidR="001E3A10" w:rsidRPr="00D11AD1">
              <w:rPr>
                <w:sz w:val="24"/>
                <w:szCs w:val="24"/>
              </w:rPr>
              <w:t>,</w:t>
            </w:r>
            <w:r w:rsidRPr="00D11AD1">
              <w:rPr>
                <w:sz w:val="24"/>
                <w:szCs w:val="24"/>
              </w:rPr>
              <w:t>4</w:t>
            </w:r>
            <w:r w:rsidR="005B4447" w:rsidRPr="00D11AD1">
              <w:rPr>
                <w:sz w:val="24"/>
                <w:szCs w:val="24"/>
              </w:rPr>
              <w:t>;</w:t>
            </w:r>
            <w:r w:rsidRPr="00D11AD1">
              <w:rPr>
                <w:sz w:val="24"/>
                <w:szCs w:val="24"/>
              </w:rPr>
              <w:t xml:space="preserve"> 85</w:t>
            </w:r>
            <w:r w:rsidR="001E3A10" w:rsidRPr="00D11AD1">
              <w:rPr>
                <w:sz w:val="24"/>
                <w:szCs w:val="24"/>
              </w:rPr>
              <w:t>,</w:t>
            </w:r>
            <w:r w:rsidRPr="00D11AD1">
              <w:rPr>
                <w:sz w:val="24"/>
                <w:szCs w:val="24"/>
              </w:rPr>
              <w:t>7)</w:t>
            </w:r>
          </w:p>
        </w:tc>
      </w:tr>
      <w:tr w:rsidR="006108E4" w:rsidRPr="00D11AD1" w14:paraId="57808E13" w14:textId="77777777" w:rsidTr="000A733F">
        <w:trPr>
          <w:trHeight w:val="337"/>
        </w:trPr>
        <w:tc>
          <w:tcPr>
            <w:tcW w:w="1044" w:type="pct"/>
          </w:tcPr>
          <w:p w14:paraId="755F7D7F" w14:textId="77777777" w:rsidR="006108E4" w:rsidRPr="00D11AD1" w:rsidRDefault="006108E4" w:rsidP="006D21E5">
            <w:pPr>
              <w:ind w:left="43"/>
              <w:rPr>
                <w:sz w:val="24"/>
                <w:szCs w:val="24"/>
              </w:rPr>
            </w:pPr>
            <w:r w:rsidRPr="00D11AD1">
              <w:rPr>
                <w:sz w:val="24"/>
                <w:szCs w:val="24"/>
              </w:rPr>
              <w:t>Forudgående imatinib</w:t>
            </w:r>
          </w:p>
        </w:tc>
        <w:tc>
          <w:tcPr>
            <w:tcW w:w="955" w:type="pct"/>
          </w:tcPr>
          <w:p w14:paraId="6B5E777B" w14:textId="24BF1943" w:rsidR="006108E4" w:rsidRPr="00D11AD1" w:rsidRDefault="006108E4" w:rsidP="006D21E5">
            <w:pPr>
              <w:ind w:left="73"/>
              <w:rPr>
                <w:sz w:val="24"/>
                <w:szCs w:val="24"/>
              </w:rPr>
            </w:pPr>
            <w:r w:rsidRPr="00D11AD1">
              <w:rPr>
                <w:sz w:val="24"/>
                <w:szCs w:val="24"/>
              </w:rPr>
              <w:t>15</w:t>
            </w:r>
            <w:r w:rsidR="001E3A10" w:rsidRPr="00D11AD1">
              <w:rPr>
                <w:sz w:val="24"/>
                <w:szCs w:val="24"/>
              </w:rPr>
              <w:t>,</w:t>
            </w:r>
            <w:r w:rsidRPr="00D11AD1">
              <w:rPr>
                <w:sz w:val="24"/>
                <w:szCs w:val="24"/>
              </w:rPr>
              <w:t>2</w:t>
            </w:r>
            <w:r w:rsidR="00FA34A4" w:rsidRPr="00D11AD1">
              <w:rPr>
                <w:sz w:val="24"/>
                <w:szCs w:val="24"/>
              </w:rPr>
              <w:t xml:space="preserve"> %</w:t>
            </w:r>
          </w:p>
        </w:tc>
        <w:tc>
          <w:tcPr>
            <w:tcW w:w="1000" w:type="pct"/>
          </w:tcPr>
          <w:p w14:paraId="221A9DC0" w14:textId="698F0700" w:rsidR="006108E4" w:rsidRPr="00D11AD1" w:rsidRDefault="006108E4" w:rsidP="006D21E5">
            <w:pPr>
              <w:ind w:left="118"/>
              <w:rPr>
                <w:sz w:val="24"/>
                <w:szCs w:val="24"/>
              </w:rPr>
            </w:pPr>
            <w:r w:rsidRPr="00D11AD1">
              <w:rPr>
                <w:sz w:val="24"/>
                <w:szCs w:val="24"/>
              </w:rPr>
              <w:t>26</w:t>
            </w:r>
            <w:r w:rsidR="001E3A10" w:rsidRPr="00D11AD1">
              <w:rPr>
                <w:sz w:val="24"/>
                <w:szCs w:val="24"/>
              </w:rPr>
              <w:t>,</w:t>
            </w:r>
            <w:r w:rsidRPr="00D11AD1">
              <w:rPr>
                <w:sz w:val="24"/>
                <w:szCs w:val="24"/>
              </w:rPr>
              <w:t>1</w:t>
            </w:r>
            <w:r w:rsidR="00FA34A4" w:rsidRPr="00D11AD1">
              <w:rPr>
                <w:sz w:val="24"/>
                <w:szCs w:val="24"/>
              </w:rPr>
              <w:t xml:space="preserve"> %</w:t>
            </w:r>
          </w:p>
        </w:tc>
        <w:tc>
          <w:tcPr>
            <w:tcW w:w="1001" w:type="pct"/>
          </w:tcPr>
          <w:p w14:paraId="72229029" w14:textId="0C739C07" w:rsidR="006108E4" w:rsidRPr="00D11AD1" w:rsidRDefault="006108E4" w:rsidP="006D21E5">
            <w:pPr>
              <w:rPr>
                <w:sz w:val="24"/>
                <w:szCs w:val="24"/>
              </w:rPr>
            </w:pPr>
            <w:r w:rsidRPr="00D11AD1">
              <w:rPr>
                <w:sz w:val="24"/>
                <w:szCs w:val="24"/>
              </w:rPr>
              <w:t>39</w:t>
            </w:r>
            <w:r w:rsidR="001E3A10" w:rsidRPr="00D11AD1">
              <w:rPr>
                <w:sz w:val="24"/>
                <w:szCs w:val="24"/>
              </w:rPr>
              <w:t>,</w:t>
            </w:r>
            <w:r w:rsidRPr="00D11AD1">
              <w:rPr>
                <w:sz w:val="24"/>
                <w:szCs w:val="24"/>
              </w:rPr>
              <w:t>1</w:t>
            </w:r>
            <w:r w:rsidR="00FA34A4" w:rsidRPr="00D11AD1">
              <w:rPr>
                <w:sz w:val="24"/>
                <w:szCs w:val="24"/>
              </w:rPr>
              <w:t xml:space="preserve"> %</w:t>
            </w:r>
          </w:p>
        </w:tc>
        <w:tc>
          <w:tcPr>
            <w:tcW w:w="1001" w:type="pct"/>
          </w:tcPr>
          <w:p w14:paraId="330164B0" w14:textId="7E35F0B8" w:rsidR="006108E4" w:rsidRPr="00D11AD1" w:rsidRDefault="006108E4" w:rsidP="006D21E5">
            <w:pPr>
              <w:rPr>
                <w:sz w:val="24"/>
                <w:szCs w:val="24"/>
              </w:rPr>
            </w:pPr>
            <w:r w:rsidRPr="00D11AD1">
              <w:rPr>
                <w:sz w:val="24"/>
                <w:szCs w:val="24"/>
              </w:rPr>
              <w:t>52</w:t>
            </w:r>
            <w:r w:rsidR="001E3A10" w:rsidRPr="00D11AD1">
              <w:rPr>
                <w:sz w:val="24"/>
                <w:szCs w:val="24"/>
              </w:rPr>
              <w:t>,</w:t>
            </w:r>
            <w:r w:rsidRPr="00D11AD1">
              <w:rPr>
                <w:sz w:val="24"/>
                <w:szCs w:val="24"/>
              </w:rPr>
              <w:t>2</w:t>
            </w:r>
            <w:r w:rsidR="00FA34A4" w:rsidRPr="00D11AD1">
              <w:rPr>
                <w:sz w:val="24"/>
                <w:szCs w:val="24"/>
              </w:rPr>
              <w:t xml:space="preserve"> %</w:t>
            </w:r>
          </w:p>
        </w:tc>
      </w:tr>
      <w:tr w:rsidR="006108E4" w:rsidRPr="00D11AD1" w14:paraId="5694E180" w14:textId="77777777" w:rsidTr="000A733F">
        <w:trPr>
          <w:trHeight w:val="238"/>
        </w:trPr>
        <w:tc>
          <w:tcPr>
            <w:tcW w:w="1044" w:type="pct"/>
          </w:tcPr>
          <w:p w14:paraId="79D75C72" w14:textId="77777777" w:rsidR="006108E4" w:rsidRPr="00D11AD1" w:rsidRDefault="006108E4" w:rsidP="006D21E5">
            <w:pPr>
              <w:ind w:left="43"/>
              <w:rPr>
                <w:sz w:val="24"/>
                <w:szCs w:val="24"/>
              </w:rPr>
            </w:pPr>
            <w:r w:rsidRPr="00D11AD1">
              <w:rPr>
                <w:sz w:val="24"/>
                <w:szCs w:val="24"/>
              </w:rPr>
              <w:t>(N = 46)</w:t>
            </w:r>
            <w:r w:rsidRPr="00D11AD1">
              <w:rPr>
                <w:sz w:val="24"/>
                <w:szCs w:val="24"/>
                <w:vertAlign w:val="superscript"/>
              </w:rPr>
              <w:t>b</w:t>
            </w:r>
          </w:p>
        </w:tc>
        <w:tc>
          <w:tcPr>
            <w:tcW w:w="955" w:type="pct"/>
          </w:tcPr>
          <w:p w14:paraId="560270AE" w14:textId="6A90F8EA" w:rsidR="006108E4" w:rsidRPr="00D11AD1" w:rsidRDefault="006108E4" w:rsidP="006D21E5">
            <w:pPr>
              <w:ind w:left="73"/>
              <w:rPr>
                <w:sz w:val="24"/>
                <w:szCs w:val="24"/>
              </w:rPr>
            </w:pPr>
            <w:r w:rsidRPr="00D11AD1">
              <w:rPr>
                <w:sz w:val="24"/>
                <w:szCs w:val="24"/>
              </w:rPr>
              <w:t>(6</w:t>
            </w:r>
            <w:r w:rsidR="001E3A10" w:rsidRPr="00D11AD1">
              <w:rPr>
                <w:sz w:val="24"/>
                <w:szCs w:val="24"/>
              </w:rPr>
              <w:t>,</w:t>
            </w:r>
            <w:r w:rsidRPr="00D11AD1">
              <w:rPr>
                <w:sz w:val="24"/>
                <w:szCs w:val="24"/>
              </w:rPr>
              <w:t>3</w:t>
            </w:r>
            <w:r w:rsidR="005B4447" w:rsidRPr="00D11AD1">
              <w:rPr>
                <w:sz w:val="24"/>
                <w:szCs w:val="24"/>
              </w:rPr>
              <w:t>;</w:t>
            </w:r>
            <w:r w:rsidRPr="00D11AD1">
              <w:rPr>
                <w:sz w:val="24"/>
                <w:szCs w:val="24"/>
              </w:rPr>
              <w:t xml:space="preserve"> 28</w:t>
            </w:r>
            <w:r w:rsidR="001E3A10" w:rsidRPr="00D11AD1">
              <w:rPr>
                <w:sz w:val="24"/>
                <w:szCs w:val="24"/>
              </w:rPr>
              <w:t>,</w:t>
            </w:r>
            <w:r w:rsidRPr="00D11AD1">
              <w:rPr>
                <w:sz w:val="24"/>
                <w:szCs w:val="24"/>
              </w:rPr>
              <w:t>9)</w:t>
            </w:r>
          </w:p>
        </w:tc>
        <w:tc>
          <w:tcPr>
            <w:tcW w:w="1000" w:type="pct"/>
          </w:tcPr>
          <w:p w14:paraId="36A9B960" w14:textId="35DE2D82" w:rsidR="006108E4" w:rsidRPr="00D11AD1" w:rsidRDefault="006108E4" w:rsidP="006D21E5">
            <w:pPr>
              <w:ind w:left="118"/>
              <w:rPr>
                <w:sz w:val="24"/>
                <w:szCs w:val="24"/>
              </w:rPr>
            </w:pPr>
            <w:r w:rsidRPr="00D11AD1">
              <w:rPr>
                <w:sz w:val="24"/>
                <w:szCs w:val="24"/>
              </w:rPr>
              <w:t>(14</w:t>
            </w:r>
            <w:r w:rsidR="001E3A10" w:rsidRPr="00D11AD1">
              <w:rPr>
                <w:sz w:val="24"/>
                <w:szCs w:val="24"/>
              </w:rPr>
              <w:t>,</w:t>
            </w:r>
            <w:r w:rsidRPr="00D11AD1">
              <w:rPr>
                <w:sz w:val="24"/>
                <w:szCs w:val="24"/>
              </w:rPr>
              <w:t>3</w:t>
            </w:r>
            <w:r w:rsidR="005B4447" w:rsidRPr="00D11AD1">
              <w:rPr>
                <w:sz w:val="24"/>
                <w:szCs w:val="24"/>
              </w:rPr>
              <w:t>;</w:t>
            </w:r>
            <w:r w:rsidRPr="00D11AD1">
              <w:rPr>
                <w:sz w:val="24"/>
                <w:szCs w:val="24"/>
              </w:rPr>
              <w:t xml:space="preserve"> 41</w:t>
            </w:r>
            <w:r w:rsidR="001E3A10" w:rsidRPr="00D11AD1">
              <w:rPr>
                <w:sz w:val="24"/>
                <w:szCs w:val="24"/>
              </w:rPr>
              <w:t>,</w:t>
            </w:r>
            <w:r w:rsidRPr="00D11AD1">
              <w:rPr>
                <w:sz w:val="24"/>
                <w:szCs w:val="24"/>
              </w:rPr>
              <w:t>1)</w:t>
            </w:r>
          </w:p>
        </w:tc>
        <w:tc>
          <w:tcPr>
            <w:tcW w:w="1001" w:type="pct"/>
          </w:tcPr>
          <w:p w14:paraId="28395C83" w14:textId="4F135E94" w:rsidR="006108E4" w:rsidRPr="00D11AD1" w:rsidRDefault="006108E4" w:rsidP="006D21E5">
            <w:pPr>
              <w:rPr>
                <w:sz w:val="24"/>
                <w:szCs w:val="24"/>
              </w:rPr>
            </w:pPr>
            <w:r w:rsidRPr="00D11AD1">
              <w:rPr>
                <w:sz w:val="24"/>
                <w:szCs w:val="24"/>
              </w:rPr>
              <w:t>(25</w:t>
            </w:r>
            <w:r w:rsidR="001E3A10" w:rsidRPr="00D11AD1">
              <w:rPr>
                <w:sz w:val="24"/>
                <w:szCs w:val="24"/>
              </w:rPr>
              <w:t>,</w:t>
            </w:r>
            <w:r w:rsidRPr="00D11AD1">
              <w:rPr>
                <w:sz w:val="24"/>
                <w:szCs w:val="24"/>
              </w:rPr>
              <w:t>1</w:t>
            </w:r>
            <w:r w:rsidR="005B4447" w:rsidRPr="00D11AD1">
              <w:rPr>
                <w:sz w:val="24"/>
                <w:szCs w:val="24"/>
              </w:rPr>
              <w:t>;</w:t>
            </w:r>
            <w:r w:rsidRPr="00D11AD1">
              <w:rPr>
                <w:sz w:val="24"/>
                <w:szCs w:val="24"/>
              </w:rPr>
              <w:t xml:space="preserve"> 54</w:t>
            </w:r>
            <w:r w:rsidR="001E3A10" w:rsidRPr="00D11AD1">
              <w:rPr>
                <w:sz w:val="24"/>
                <w:szCs w:val="24"/>
              </w:rPr>
              <w:t>,</w:t>
            </w:r>
            <w:r w:rsidRPr="00D11AD1">
              <w:rPr>
                <w:sz w:val="24"/>
                <w:szCs w:val="24"/>
              </w:rPr>
              <w:t>6)</w:t>
            </w:r>
          </w:p>
        </w:tc>
        <w:tc>
          <w:tcPr>
            <w:tcW w:w="1001" w:type="pct"/>
          </w:tcPr>
          <w:p w14:paraId="3B9ECFC1" w14:textId="5F9BE01B" w:rsidR="006108E4" w:rsidRPr="00D11AD1" w:rsidRDefault="006108E4" w:rsidP="006D21E5">
            <w:pPr>
              <w:rPr>
                <w:sz w:val="24"/>
                <w:szCs w:val="24"/>
              </w:rPr>
            </w:pPr>
            <w:r w:rsidRPr="00D11AD1">
              <w:rPr>
                <w:sz w:val="24"/>
                <w:szCs w:val="24"/>
              </w:rPr>
              <w:t>(36</w:t>
            </w:r>
            <w:r w:rsidR="001E3A10" w:rsidRPr="00D11AD1">
              <w:rPr>
                <w:sz w:val="24"/>
                <w:szCs w:val="24"/>
              </w:rPr>
              <w:t>,</w:t>
            </w:r>
            <w:r w:rsidRPr="00D11AD1">
              <w:rPr>
                <w:sz w:val="24"/>
                <w:szCs w:val="24"/>
              </w:rPr>
              <w:t>9</w:t>
            </w:r>
            <w:r w:rsidR="005B4447" w:rsidRPr="00D11AD1">
              <w:rPr>
                <w:sz w:val="24"/>
                <w:szCs w:val="24"/>
              </w:rPr>
              <w:t>;</w:t>
            </w:r>
            <w:r w:rsidRPr="00D11AD1">
              <w:rPr>
                <w:sz w:val="24"/>
                <w:szCs w:val="24"/>
              </w:rPr>
              <w:t xml:space="preserve"> 67</w:t>
            </w:r>
            <w:r w:rsidR="001E3A10" w:rsidRPr="00D11AD1">
              <w:rPr>
                <w:sz w:val="24"/>
                <w:szCs w:val="24"/>
              </w:rPr>
              <w:t>,</w:t>
            </w:r>
            <w:r w:rsidRPr="00D11AD1">
              <w:rPr>
                <w:sz w:val="24"/>
                <w:szCs w:val="24"/>
              </w:rPr>
              <w:t>1)</w:t>
            </w:r>
          </w:p>
        </w:tc>
      </w:tr>
    </w:tbl>
    <w:p w14:paraId="289BC2CB" w14:textId="62F795C0" w:rsidR="006108E4" w:rsidRPr="00D11AD1" w:rsidRDefault="006108E4" w:rsidP="006D21E5">
      <w:pPr>
        <w:tabs>
          <w:tab w:val="left" w:pos="993"/>
        </w:tabs>
        <w:ind w:left="993" w:hanging="142"/>
        <w:rPr>
          <w:sz w:val="24"/>
          <w:szCs w:val="24"/>
        </w:rPr>
      </w:pPr>
      <w:r w:rsidRPr="00D11AD1">
        <w:rPr>
          <w:sz w:val="24"/>
          <w:szCs w:val="24"/>
          <w:vertAlign w:val="superscript"/>
        </w:rPr>
        <w:t>a</w:t>
      </w:r>
      <w:r w:rsidRPr="00D11AD1">
        <w:rPr>
          <w:sz w:val="24"/>
          <w:szCs w:val="24"/>
        </w:rPr>
        <w:t xml:space="preserve"> Patienter fra et fase-II pædiatrisk studie med nydiagnosticeret CML-CP, der får oral tabletformulering</w:t>
      </w:r>
    </w:p>
    <w:p w14:paraId="7A8CB0AC" w14:textId="7651255D" w:rsidR="006108E4" w:rsidRPr="00D11AD1" w:rsidRDefault="006108E4" w:rsidP="006D21E5">
      <w:pPr>
        <w:tabs>
          <w:tab w:val="left" w:pos="993"/>
        </w:tabs>
        <w:ind w:left="993" w:hanging="142"/>
        <w:rPr>
          <w:sz w:val="24"/>
          <w:szCs w:val="24"/>
        </w:rPr>
      </w:pPr>
      <w:r w:rsidRPr="00D11AD1">
        <w:rPr>
          <w:sz w:val="24"/>
          <w:szCs w:val="24"/>
          <w:vertAlign w:val="superscript"/>
        </w:rPr>
        <w:t>b</w:t>
      </w:r>
      <w:r w:rsidRPr="00D11AD1">
        <w:rPr>
          <w:sz w:val="24"/>
          <w:szCs w:val="24"/>
        </w:rPr>
        <w:t xml:space="preserve"> Patienter fra fase-I og fase-II pædiatriske studier i imitanib resistent eller -intolerant CML-CP, som får oral tabletformulering</w:t>
      </w:r>
    </w:p>
    <w:p w14:paraId="0262A8E7" w14:textId="77777777" w:rsidR="006108E4" w:rsidRPr="00D11AD1" w:rsidRDefault="006108E4" w:rsidP="006D21E5">
      <w:pPr>
        <w:tabs>
          <w:tab w:val="left" w:pos="851"/>
        </w:tabs>
        <w:ind w:left="851"/>
        <w:rPr>
          <w:sz w:val="24"/>
          <w:szCs w:val="24"/>
        </w:rPr>
      </w:pPr>
    </w:p>
    <w:p w14:paraId="1DF6677C" w14:textId="7BAEBD21" w:rsidR="006108E4" w:rsidRPr="00D11AD1" w:rsidRDefault="006108E4" w:rsidP="006108E4">
      <w:pPr>
        <w:tabs>
          <w:tab w:val="left" w:pos="851"/>
        </w:tabs>
        <w:ind w:left="851"/>
        <w:rPr>
          <w:sz w:val="24"/>
          <w:szCs w:val="24"/>
        </w:rPr>
      </w:pPr>
      <w:r w:rsidRPr="00D11AD1">
        <w:rPr>
          <w:sz w:val="24"/>
          <w:szCs w:val="24"/>
        </w:rPr>
        <w:t>Efter minimum 7 års opfølgning i det pædiatriske fase-I studie blandt 17 patienter med imatinib resistent eller intolerant CML-CP var medianvarigheden af progressionsfri overlevelse (PFS) 53,6 måneder og raten af OS var 82,4</w:t>
      </w:r>
      <w:r w:rsidR="00FA34A4" w:rsidRPr="00D11AD1">
        <w:rPr>
          <w:sz w:val="24"/>
          <w:szCs w:val="24"/>
        </w:rPr>
        <w:t xml:space="preserve"> %</w:t>
      </w:r>
      <w:r w:rsidRPr="00D11AD1">
        <w:rPr>
          <w:sz w:val="24"/>
          <w:szCs w:val="24"/>
        </w:rPr>
        <w:t>.</w:t>
      </w:r>
    </w:p>
    <w:p w14:paraId="10ECB10E" w14:textId="77777777" w:rsidR="006108E4" w:rsidRPr="00D11AD1" w:rsidRDefault="006108E4" w:rsidP="006108E4">
      <w:pPr>
        <w:tabs>
          <w:tab w:val="left" w:pos="851"/>
        </w:tabs>
        <w:ind w:left="851"/>
        <w:rPr>
          <w:sz w:val="24"/>
          <w:szCs w:val="24"/>
        </w:rPr>
      </w:pPr>
    </w:p>
    <w:p w14:paraId="6351289F" w14:textId="08820F30" w:rsidR="006108E4" w:rsidRPr="00D11AD1" w:rsidRDefault="006108E4" w:rsidP="006108E4">
      <w:pPr>
        <w:tabs>
          <w:tab w:val="left" w:pos="851"/>
        </w:tabs>
        <w:ind w:left="851"/>
        <w:rPr>
          <w:sz w:val="24"/>
          <w:szCs w:val="24"/>
        </w:rPr>
      </w:pPr>
      <w:r w:rsidRPr="00D11AD1">
        <w:rPr>
          <w:sz w:val="24"/>
          <w:szCs w:val="24"/>
        </w:rPr>
        <w:t>I det pædiatriske fase-II-studie med patienter, der fik tabletformuleringen, var den estimerede 24-måneders PFS blandt de 51 patienter med nydiagnosticeret CML-CP 94,0</w:t>
      </w:r>
      <w:r w:rsidR="00523BC3">
        <w:rPr>
          <w:sz w:val="24"/>
          <w:szCs w:val="24"/>
        </w:rPr>
        <w:t> </w:t>
      </w:r>
      <w:r w:rsidR="00FA34A4" w:rsidRPr="00D11AD1">
        <w:rPr>
          <w:sz w:val="24"/>
          <w:szCs w:val="24"/>
        </w:rPr>
        <w:t>%</w:t>
      </w:r>
      <w:r w:rsidRPr="00D11AD1">
        <w:rPr>
          <w:sz w:val="24"/>
          <w:szCs w:val="24"/>
        </w:rPr>
        <w:t xml:space="preserve"> (82,6; 98,0) og 81,7</w:t>
      </w:r>
      <w:r w:rsidR="00FA34A4" w:rsidRPr="00D11AD1">
        <w:rPr>
          <w:sz w:val="24"/>
          <w:szCs w:val="24"/>
        </w:rPr>
        <w:t xml:space="preserve"> %</w:t>
      </w:r>
      <w:r w:rsidRPr="00D11AD1">
        <w:rPr>
          <w:sz w:val="24"/>
          <w:szCs w:val="24"/>
        </w:rPr>
        <w:t xml:space="preserve"> (61,4; 92,0) blandt de 29 patienter med imatinib resistent/intolerant CML-CP. Efter 24 måneders opfølgning var OS </w:t>
      </w:r>
      <w:r w:rsidR="00A376AC" w:rsidRPr="00D11AD1">
        <w:rPr>
          <w:sz w:val="24"/>
          <w:szCs w:val="24"/>
        </w:rPr>
        <w:t>i</w:t>
      </w:r>
      <w:r w:rsidRPr="00D11AD1">
        <w:rPr>
          <w:sz w:val="24"/>
          <w:szCs w:val="24"/>
        </w:rPr>
        <w:t xml:space="preserve"> nydiagnosticerede patienter 100</w:t>
      </w:r>
      <w:r w:rsidR="00FA34A4" w:rsidRPr="00D11AD1">
        <w:rPr>
          <w:sz w:val="24"/>
          <w:szCs w:val="24"/>
        </w:rPr>
        <w:t xml:space="preserve"> %</w:t>
      </w:r>
      <w:r w:rsidRPr="00D11AD1">
        <w:rPr>
          <w:sz w:val="24"/>
          <w:szCs w:val="24"/>
        </w:rPr>
        <w:t xml:space="preserve"> og 96,6</w:t>
      </w:r>
      <w:r w:rsidR="00FA34A4" w:rsidRPr="00D11AD1">
        <w:rPr>
          <w:sz w:val="24"/>
          <w:szCs w:val="24"/>
        </w:rPr>
        <w:t xml:space="preserve"> %</w:t>
      </w:r>
      <w:r w:rsidRPr="00D11AD1">
        <w:rPr>
          <w:sz w:val="24"/>
          <w:szCs w:val="24"/>
        </w:rPr>
        <w:t xml:space="preserve"> i imatinib resistente eller intolerante patienter.</w:t>
      </w:r>
    </w:p>
    <w:p w14:paraId="3B9040FE" w14:textId="77777777" w:rsidR="006108E4" w:rsidRPr="00D11AD1" w:rsidRDefault="006108E4" w:rsidP="006108E4">
      <w:pPr>
        <w:tabs>
          <w:tab w:val="left" w:pos="851"/>
        </w:tabs>
        <w:ind w:left="851"/>
        <w:rPr>
          <w:sz w:val="24"/>
          <w:szCs w:val="24"/>
        </w:rPr>
      </w:pPr>
      <w:r w:rsidRPr="00D11AD1">
        <w:rPr>
          <w:sz w:val="24"/>
          <w:szCs w:val="24"/>
        </w:rPr>
        <w:t>I det pædiatriske fase-II-studie progredierede 1 nydiagnoticeret patient og 2 imatinib resistente eller intolerante patienter til CML i blastfasen.</w:t>
      </w:r>
    </w:p>
    <w:p w14:paraId="281A12F6" w14:textId="77777777" w:rsidR="006108E4" w:rsidRPr="00D11AD1" w:rsidRDefault="006108E4" w:rsidP="006108E4">
      <w:pPr>
        <w:tabs>
          <w:tab w:val="left" w:pos="851"/>
        </w:tabs>
        <w:ind w:left="851"/>
        <w:rPr>
          <w:sz w:val="24"/>
          <w:szCs w:val="24"/>
        </w:rPr>
      </w:pPr>
    </w:p>
    <w:p w14:paraId="0B56342C" w14:textId="474D7661" w:rsidR="006108E4" w:rsidRPr="00D11AD1" w:rsidRDefault="006108E4" w:rsidP="006108E4">
      <w:pPr>
        <w:tabs>
          <w:tab w:val="left" w:pos="851"/>
        </w:tabs>
        <w:ind w:left="851"/>
        <w:rPr>
          <w:sz w:val="24"/>
          <w:szCs w:val="24"/>
        </w:rPr>
      </w:pPr>
      <w:r w:rsidRPr="00D11AD1">
        <w:rPr>
          <w:sz w:val="24"/>
          <w:szCs w:val="24"/>
        </w:rPr>
        <w:t>Der var 33 nydiagnosticerede patienter med CML-CP, der fik dasatinib</w:t>
      </w:r>
      <w:r w:rsidR="008337BE" w:rsidRPr="00D11AD1">
        <w:rPr>
          <w:sz w:val="24"/>
          <w:szCs w:val="24"/>
        </w:rPr>
        <w:t xml:space="preserve"> </w:t>
      </w:r>
      <w:r w:rsidRPr="00D11AD1">
        <w:rPr>
          <w:sz w:val="24"/>
          <w:szCs w:val="24"/>
        </w:rPr>
        <w:t>pulver til oral suspension ved en dosis på 72 mg/m</w:t>
      </w:r>
      <w:r w:rsidRPr="00951E66">
        <w:rPr>
          <w:sz w:val="24"/>
          <w:szCs w:val="24"/>
          <w:vertAlign w:val="superscript"/>
        </w:rPr>
        <w:t>2</w:t>
      </w:r>
      <w:r w:rsidRPr="00D11AD1">
        <w:rPr>
          <w:sz w:val="24"/>
          <w:szCs w:val="24"/>
        </w:rPr>
        <w:t>. Denne dosis repræsenterer 30</w:t>
      </w:r>
      <w:r w:rsidR="00FA34A4" w:rsidRPr="00D11AD1">
        <w:rPr>
          <w:sz w:val="24"/>
          <w:szCs w:val="24"/>
        </w:rPr>
        <w:t xml:space="preserve"> %</w:t>
      </w:r>
      <w:r w:rsidRPr="00D11AD1">
        <w:rPr>
          <w:sz w:val="24"/>
          <w:szCs w:val="24"/>
        </w:rPr>
        <w:t xml:space="preserve"> lavere eksponering sammenlignet med den anbefalede dosis (se pkt. 5.2 i Produktresuméet for dasatinib</w:t>
      </w:r>
      <w:r w:rsidR="008337BE" w:rsidRPr="00D11AD1">
        <w:rPr>
          <w:sz w:val="24"/>
          <w:szCs w:val="24"/>
        </w:rPr>
        <w:t xml:space="preserve"> </w:t>
      </w:r>
      <w:r w:rsidRPr="00D11AD1">
        <w:rPr>
          <w:sz w:val="24"/>
          <w:szCs w:val="24"/>
        </w:rPr>
        <w:t>pulver til oral suspension). Hos disse patienter var CCyR og MMR hhv. 87,9</w:t>
      </w:r>
      <w:r w:rsidR="00523BC3">
        <w:rPr>
          <w:sz w:val="24"/>
          <w:szCs w:val="24"/>
        </w:rPr>
        <w:t> </w:t>
      </w:r>
      <w:r w:rsidR="00FA34A4" w:rsidRPr="00D11AD1">
        <w:rPr>
          <w:sz w:val="24"/>
          <w:szCs w:val="24"/>
        </w:rPr>
        <w:t>%</w:t>
      </w:r>
      <w:r w:rsidRPr="00D11AD1">
        <w:rPr>
          <w:sz w:val="24"/>
          <w:szCs w:val="24"/>
        </w:rPr>
        <w:t xml:space="preserve"> [95</w:t>
      </w:r>
      <w:r w:rsidR="00FA34A4" w:rsidRPr="00D11AD1">
        <w:rPr>
          <w:sz w:val="24"/>
          <w:szCs w:val="24"/>
        </w:rPr>
        <w:t xml:space="preserve"> %</w:t>
      </w:r>
      <w:r w:rsidRPr="00D11AD1">
        <w:rPr>
          <w:sz w:val="24"/>
          <w:szCs w:val="24"/>
        </w:rPr>
        <w:t>CI: (71,8-96,6)] og 45,5</w:t>
      </w:r>
      <w:r w:rsidR="00FA34A4" w:rsidRPr="00D11AD1">
        <w:rPr>
          <w:sz w:val="24"/>
          <w:szCs w:val="24"/>
        </w:rPr>
        <w:t xml:space="preserve"> %</w:t>
      </w:r>
      <w:r w:rsidRPr="00D11AD1">
        <w:rPr>
          <w:sz w:val="24"/>
          <w:szCs w:val="24"/>
        </w:rPr>
        <w:t xml:space="preserve"> [95</w:t>
      </w:r>
      <w:r w:rsidR="00FA34A4" w:rsidRPr="00D11AD1">
        <w:rPr>
          <w:sz w:val="24"/>
          <w:szCs w:val="24"/>
        </w:rPr>
        <w:t xml:space="preserve"> %</w:t>
      </w:r>
      <w:r w:rsidRPr="00D11AD1">
        <w:rPr>
          <w:sz w:val="24"/>
          <w:szCs w:val="24"/>
        </w:rPr>
        <w:t xml:space="preserve"> CI: (28,1-63,6)] ved 12 måneder.</w:t>
      </w:r>
    </w:p>
    <w:p w14:paraId="051C366F" w14:textId="77777777" w:rsidR="006108E4" w:rsidRPr="00D11AD1" w:rsidRDefault="006108E4" w:rsidP="006108E4">
      <w:pPr>
        <w:tabs>
          <w:tab w:val="left" w:pos="851"/>
        </w:tabs>
        <w:ind w:left="851"/>
        <w:rPr>
          <w:sz w:val="24"/>
          <w:szCs w:val="24"/>
        </w:rPr>
      </w:pPr>
    </w:p>
    <w:p w14:paraId="2660E783" w14:textId="77777777" w:rsidR="006108E4" w:rsidRPr="00D11AD1" w:rsidRDefault="006108E4" w:rsidP="006108E4">
      <w:pPr>
        <w:tabs>
          <w:tab w:val="left" w:pos="851"/>
        </w:tabs>
        <w:ind w:left="851"/>
        <w:rPr>
          <w:sz w:val="24"/>
          <w:szCs w:val="24"/>
        </w:rPr>
      </w:pPr>
      <w:r w:rsidRPr="00D11AD1">
        <w:rPr>
          <w:sz w:val="24"/>
          <w:szCs w:val="24"/>
        </w:rPr>
        <w:lastRenderedPageBreak/>
        <w:t>Blandt dasatinib behandlede CML-CP pædiatriske patienter tidligere eksponeret over for imatinib blev følgende mutationer påvist ved behandlingens afslutning: T315A, E255K og F317L. E255K og F317L blev dog også påvist før behandlingenstart. Ingen mutationer blev påvist i nydiagnosticerede CML-CP patienter ved behandlingens afslutning.</w:t>
      </w:r>
    </w:p>
    <w:p w14:paraId="6E9E665A" w14:textId="77777777" w:rsidR="006108E4" w:rsidRPr="00D11AD1" w:rsidRDefault="006108E4" w:rsidP="006108E4">
      <w:pPr>
        <w:tabs>
          <w:tab w:val="left" w:pos="851"/>
        </w:tabs>
        <w:ind w:left="851"/>
        <w:rPr>
          <w:i/>
          <w:sz w:val="24"/>
          <w:szCs w:val="24"/>
          <w:u w:val="single"/>
        </w:rPr>
      </w:pPr>
    </w:p>
    <w:p w14:paraId="4DC97BC3" w14:textId="77777777" w:rsidR="006108E4" w:rsidRPr="00D11AD1" w:rsidRDefault="006108E4" w:rsidP="006108E4">
      <w:pPr>
        <w:tabs>
          <w:tab w:val="left" w:pos="851"/>
        </w:tabs>
        <w:ind w:left="851"/>
        <w:rPr>
          <w:i/>
          <w:iCs/>
          <w:sz w:val="24"/>
          <w:szCs w:val="24"/>
        </w:rPr>
      </w:pPr>
      <w:r w:rsidRPr="00D11AD1">
        <w:rPr>
          <w:i/>
          <w:iCs/>
          <w:sz w:val="24"/>
          <w:szCs w:val="24"/>
        </w:rPr>
        <w:t>Pædiatriske patienter med ALL</w:t>
      </w:r>
    </w:p>
    <w:p w14:paraId="459DC56D" w14:textId="101424CE" w:rsidR="006108E4" w:rsidRPr="00D11AD1" w:rsidRDefault="006108E4" w:rsidP="006108E4">
      <w:pPr>
        <w:tabs>
          <w:tab w:val="left" w:pos="851"/>
        </w:tabs>
        <w:ind w:left="851"/>
        <w:rPr>
          <w:sz w:val="24"/>
          <w:szCs w:val="24"/>
        </w:rPr>
      </w:pPr>
      <w:r w:rsidRPr="00D11AD1">
        <w:rPr>
          <w:sz w:val="24"/>
          <w:szCs w:val="24"/>
        </w:rPr>
        <w:t xml:space="preserve">Effekten af </w:t>
      </w:r>
      <w:r w:rsidR="008337BE" w:rsidRPr="00D11AD1">
        <w:rPr>
          <w:sz w:val="24"/>
          <w:szCs w:val="24"/>
        </w:rPr>
        <w:t>dasatinib</w:t>
      </w:r>
      <w:r w:rsidRPr="00D11AD1">
        <w:rPr>
          <w:sz w:val="24"/>
          <w:szCs w:val="24"/>
        </w:rPr>
        <w:t xml:space="preserve"> i kombination med kemoterapi blev vurderet i et pivotalt studie med pædiatriske patienter, der var over 1 år og havde nydiagnosticeret Ph+ ALL.</w:t>
      </w:r>
    </w:p>
    <w:p w14:paraId="50ABBB6A" w14:textId="77777777" w:rsidR="006108E4" w:rsidRPr="00D11AD1" w:rsidRDefault="006108E4" w:rsidP="006108E4">
      <w:pPr>
        <w:tabs>
          <w:tab w:val="left" w:pos="851"/>
        </w:tabs>
        <w:ind w:left="851"/>
        <w:rPr>
          <w:sz w:val="24"/>
          <w:szCs w:val="24"/>
        </w:rPr>
      </w:pPr>
    </w:p>
    <w:p w14:paraId="6741C306" w14:textId="3D8CF7E8" w:rsidR="006108E4" w:rsidRPr="00D11AD1" w:rsidRDefault="006108E4" w:rsidP="006108E4">
      <w:pPr>
        <w:tabs>
          <w:tab w:val="left" w:pos="851"/>
        </w:tabs>
        <w:ind w:left="851"/>
        <w:rPr>
          <w:sz w:val="24"/>
          <w:szCs w:val="24"/>
        </w:rPr>
      </w:pPr>
      <w:r w:rsidRPr="00D11AD1">
        <w:rPr>
          <w:sz w:val="24"/>
          <w:szCs w:val="24"/>
        </w:rPr>
        <w:t>I dette historisk kontrollerede fase II-multicenterstudie med dasatinib som supplement til standardkemoterapi fik 106 pædiatriske patienter med nydiagnosticeret Ph+ ALL, hvoraf 104 patienter havde bekræftet Ph+ ALL, Dasatinib I en daglig dosis på 60 mg/m</w:t>
      </w:r>
      <w:r w:rsidRPr="00D11AD1">
        <w:rPr>
          <w:sz w:val="24"/>
          <w:szCs w:val="24"/>
          <w:vertAlign w:val="superscript"/>
        </w:rPr>
        <w:t>2</w:t>
      </w:r>
      <w:r w:rsidRPr="00D11AD1">
        <w:rPr>
          <w:sz w:val="24"/>
          <w:szCs w:val="24"/>
        </w:rPr>
        <w:t xml:space="preserve"> i et kontinuerligt dosisregime i op til 24 måneder I kombination med kemoterapi. 82 patienter fik udelukkende dasatinib tabletter, og 24 patienter fik dasatinib pulver til oral suspension mindst </w:t>
      </w:r>
      <w:r w:rsidR="00FA34A4" w:rsidRPr="00D11AD1">
        <w:rPr>
          <w:sz w:val="24"/>
          <w:szCs w:val="24"/>
        </w:rPr>
        <w:t>en</w:t>
      </w:r>
      <w:r w:rsidRPr="00D11AD1">
        <w:rPr>
          <w:sz w:val="24"/>
          <w:szCs w:val="24"/>
        </w:rPr>
        <w:t xml:space="preserve"> gang, ud af dem fik 8 patienter udelukkende </w:t>
      </w:r>
      <w:r w:rsidR="008337BE" w:rsidRPr="00D11AD1">
        <w:rPr>
          <w:sz w:val="24"/>
          <w:szCs w:val="24"/>
        </w:rPr>
        <w:t>d</w:t>
      </w:r>
      <w:r w:rsidRPr="00D11AD1">
        <w:rPr>
          <w:sz w:val="24"/>
          <w:szCs w:val="24"/>
        </w:rPr>
        <w:t>asatinib pulver til oral suspension. Standardkemoterapiregimet var det samme som det, der blev anvendt i AIEOP-BFM ALL 2000-studiet (kemoterapeutisk standardmultistofkemoterapi</w:t>
      </w:r>
      <w:r w:rsidR="00523BC3">
        <w:rPr>
          <w:sz w:val="24"/>
          <w:szCs w:val="24"/>
        </w:rPr>
        <w:softHyphen/>
      </w:r>
      <w:r w:rsidRPr="00D11AD1">
        <w:rPr>
          <w:sz w:val="24"/>
          <w:szCs w:val="24"/>
        </w:rPr>
        <w:t>protokol). Det primære effektendepunkt var hændelsesfri overlevelse (EFS) efter 3 år, som var 65,5</w:t>
      </w:r>
      <w:r w:rsidR="00FA34A4" w:rsidRPr="00D11AD1">
        <w:rPr>
          <w:sz w:val="24"/>
          <w:szCs w:val="24"/>
        </w:rPr>
        <w:t xml:space="preserve"> %</w:t>
      </w:r>
      <w:r w:rsidRPr="00D11AD1">
        <w:rPr>
          <w:sz w:val="24"/>
          <w:szCs w:val="24"/>
        </w:rPr>
        <w:t xml:space="preserve"> (55,5; 73,7).</w:t>
      </w:r>
    </w:p>
    <w:p w14:paraId="60E39E23" w14:textId="77777777" w:rsidR="006108E4" w:rsidRPr="00D11AD1" w:rsidRDefault="006108E4" w:rsidP="006108E4">
      <w:pPr>
        <w:tabs>
          <w:tab w:val="left" w:pos="851"/>
        </w:tabs>
        <w:ind w:left="851"/>
        <w:rPr>
          <w:sz w:val="24"/>
          <w:szCs w:val="24"/>
        </w:rPr>
      </w:pPr>
    </w:p>
    <w:p w14:paraId="17368035" w14:textId="2689492E" w:rsidR="006108E4" w:rsidRPr="00D11AD1" w:rsidRDefault="006108E4" w:rsidP="006108E4">
      <w:pPr>
        <w:tabs>
          <w:tab w:val="left" w:pos="851"/>
        </w:tabs>
        <w:ind w:left="851"/>
        <w:rPr>
          <w:sz w:val="24"/>
          <w:szCs w:val="24"/>
        </w:rPr>
      </w:pPr>
      <w:r w:rsidRPr="00D11AD1">
        <w:rPr>
          <w:sz w:val="24"/>
          <w:szCs w:val="24"/>
        </w:rPr>
        <w:t>Raten for MRD-negativitet (minimal restsygdom) vurderet vha. Ig/TCR var 71,7</w:t>
      </w:r>
      <w:r w:rsidR="00FA34A4" w:rsidRPr="00D11AD1">
        <w:rPr>
          <w:sz w:val="24"/>
          <w:szCs w:val="24"/>
        </w:rPr>
        <w:t xml:space="preserve"> %</w:t>
      </w:r>
      <w:r w:rsidRPr="00D11AD1">
        <w:rPr>
          <w:sz w:val="24"/>
          <w:szCs w:val="24"/>
        </w:rPr>
        <w:t xml:space="preserve"> ved afslutningen af konsolideringen for alle behandlede patienter. Da raten var baseret på 85 patienter med eva</w:t>
      </w:r>
      <w:r w:rsidR="00523BC3">
        <w:rPr>
          <w:sz w:val="24"/>
          <w:szCs w:val="24"/>
        </w:rPr>
        <w:t>lu</w:t>
      </w:r>
      <w:r w:rsidRPr="00D11AD1">
        <w:rPr>
          <w:sz w:val="24"/>
          <w:szCs w:val="24"/>
        </w:rPr>
        <w:t>erbare Ig/TCR-vurderinger, var estimatet 89,4</w:t>
      </w:r>
      <w:r w:rsidR="00FA34A4" w:rsidRPr="00D11AD1">
        <w:rPr>
          <w:sz w:val="24"/>
          <w:szCs w:val="24"/>
        </w:rPr>
        <w:t xml:space="preserve"> %</w:t>
      </w:r>
      <w:r w:rsidRPr="00D11AD1">
        <w:rPr>
          <w:sz w:val="24"/>
          <w:szCs w:val="24"/>
        </w:rPr>
        <w:t>. Raterne for MRD-negativitet ved afslutningen af induktionen og konsolideringen målt vha. flowcytometri var henholdsvis 66,0</w:t>
      </w:r>
      <w:r w:rsidR="00FA34A4" w:rsidRPr="00D11AD1">
        <w:rPr>
          <w:sz w:val="24"/>
          <w:szCs w:val="24"/>
        </w:rPr>
        <w:t xml:space="preserve"> %</w:t>
      </w:r>
      <w:r w:rsidRPr="00D11AD1">
        <w:rPr>
          <w:sz w:val="24"/>
          <w:szCs w:val="24"/>
        </w:rPr>
        <w:t xml:space="preserve"> og 84,0</w:t>
      </w:r>
      <w:r w:rsidR="00FA34A4" w:rsidRPr="00D11AD1">
        <w:rPr>
          <w:sz w:val="24"/>
          <w:szCs w:val="24"/>
        </w:rPr>
        <w:t xml:space="preserve"> %</w:t>
      </w:r>
      <w:r w:rsidRPr="00D11AD1">
        <w:rPr>
          <w:sz w:val="24"/>
          <w:szCs w:val="24"/>
        </w:rPr>
        <w:t>.</w:t>
      </w:r>
    </w:p>
    <w:p w14:paraId="20E11C6A" w14:textId="2213492A" w:rsidR="00A768CF" w:rsidRPr="00D11AD1" w:rsidRDefault="00A768CF">
      <w:pPr>
        <w:rPr>
          <w:bCs/>
          <w:sz w:val="24"/>
          <w:szCs w:val="24"/>
        </w:rPr>
      </w:pPr>
    </w:p>
    <w:p w14:paraId="32D706E4" w14:textId="77777777" w:rsidR="009260DE" w:rsidRPr="00D11AD1" w:rsidRDefault="009260DE" w:rsidP="009260DE">
      <w:pPr>
        <w:tabs>
          <w:tab w:val="left" w:pos="851"/>
        </w:tabs>
        <w:ind w:left="851" w:hanging="851"/>
        <w:rPr>
          <w:b/>
          <w:sz w:val="24"/>
          <w:szCs w:val="24"/>
        </w:rPr>
      </w:pPr>
      <w:r w:rsidRPr="00D11AD1">
        <w:rPr>
          <w:b/>
          <w:sz w:val="24"/>
          <w:szCs w:val="24"/>
        </w:rPr>
        <w:t>5.2</w:t>
      </w:r>
      <w:r w:rsidRPr="00D11AD1">
        <w:rPr>
          <w:b/>
          <w:sz w:val="24"/>
          <w:szCs w:val="24"/>
        </w:rPr>
        <w:tab/>
        <w:t>Farmakokinetiske egenskaber</w:t>
      </w:r>
    </w:p>
    <w:p w14:paraId="6CE19F79" w14:textId="77777777" w:rsidR="00DC2021" w:rsidRPr="00D11AD1" w:rsidRDefault="00DC2021" w:rsidP="00DC2021">
      <w:pPr>
        <w:tabs>
          <w:tab w:val="left" w:pos="851"/>
        </w:tabs>
        <w:ind w:left="851"/>
        <w:rPr>
          <w:sz w:val="24"/>
          <w:szCs w:val="24"/>
        </w:rPr>
      </w:pPr>
      <w:r w:rsidRPr="00D11AD1">
        <w:rPr>
          <w:sz w:val="24"/>
          <w:szCs w:val="24"/>
        </w:rPr>
        <w:t xml:space="preserve">Dasatinibs farmakokinetik er evalueret hos 229 voksne, raske frivillige og hos 84 patienter. </w:t>
      </w:r>
    </w:p>
    <w:p w14:paraId="26AFC47E" w14:textId="77777777" w:rsidR="00DC2021" w:rsidRPr="00D11AD1" w:rsidRDefault="00DC2021" w:rsidP="00DC2021">
      <w:pPr>
        <w:tabs>
          <w:tab w:val="left" w:pos="851"/>
        </w:tabs>
        <w:ind w:left="851"/>
        <w:rPr>
          <w:sz w:val="24"/>
          <w:szCs w:val="24"/>
          <w:u w:val="single"/>
        </w:rPr>
      </w:pPr>
    </w:p>
    <w:p w14:paraId="4011E007" w14:textId="77777777" w:rsidR="00DC2021" w:rsidRPr="00D11AD1" w:rsidRDefault="00DC2021" w:rsidP="00DC2021">
      <w:pPr>
        <w:tabs>
          <w:tab w:val="left" w:pos="851"/>
        </w:tabs>
        <w:ind w:left="851"/>
        <w:rPr>
          <w:sz w:val="24"/>
          <w:szCs w:val="24"/>
          <w:u w:val="single"/>
        </w:rPr>
      </w:pPr>
      <w:r w:rsidRPr="00D11AD1">
        <w:rPr>
          <w:sz w:val="24"/>
          <w:szCs w:val="24"/>
          <w:u w:val="single"/>
        </w:rPr>
        <w:t>Absorption</w:t>
      </w:r>
    </w:p>
    <w:p w14:paraId="08CC469C" w14:textId="5D46AFB5" w:rsidR="00DC2021" w:rsidRPr="00D11AD1" w:rsidRDefault="00DC2021" w:rsidP="00DC2021">
      <w:pPr>
        <w:tabs>
          <w:tab w:val="left" w:pos="851"/>
        </w:tabs>
        <w:ind w:left="851"/>
        <w:rPr>
          <w:sz w:val="24"/>
          <w:szCs w:val="24"/>
        </w:rPr>
      </w:pPr>
      <w:r w:rsidRPr="00D11AD1">
        <w:rPr>
          <w:sz w:val="24"/>
          <w:szCs w:val="24"/>
        </w:rPr>
        <w:t>Dasatinib absorberes hurtigt hos patienter efter oral administration, med maksimal koncentration efter 0,5 til 3 timer. Efter oral administration er stigningen i gennemsnitlig eksponering (AUCτ) ca. proportional med dosisstigningen over et dosisspænd på 25</w:t>
      </w:r>
      <w:r w:rsidR="00911CC2" w:rsidRPr="00D11AD1">
        <w:rPr>
          <w:sz w:val="24"/>
          <w:szCs w:val="24"/>
        </w:rPr>
        <w:t>-</w:t>
      </w:r>
      <w:r w:rsidRPr="00D11AD1">
        <w:rPr>
          <w:sz w:val="24"/>
          <w:szCs w:val="24"/>
        </w:rPr>
        <w:t xml:space="preserve">120 mg 2 gange </w:t>
      </w:r>
      <w:r w:rsidR="00FA34A4" w:rsidRPr="00D11AD1">
        <w:rPr>
          <w:sz w:val="24"/>
          <w:szCs w:val="24"/>
        </w:rPr>
        <w:t>daglig</w:t>
      </w:r>
      <w:r w:rsidRPr="00D11AD1">
        <w:rPr>
          <w:sz w:val="24"/>
          <w:szCs w:val="24"/>
        </w:rPr>
        <w:t xml:space="preserve">. Den overordnede gennemsnitlige halveringstid af </w:t>
      </w:r>
      <w:r w:rsidR="00911CC2" w:rsidRPr="00D11AD1">
        <w:rPr>
          <w:sz w:val="24"/>
          <w:szCs w:val="24"/>
        </w:rPr>
        <w:t>d</w:t>
      </w:r>
      <w:r w:rsidRPr="00D11AD1">
        <w:rPr>
          <w:sz w:val="24"/>
          <w:szCs w:val="24"/>
        </w:rPr>
        <w:t>asatinib er cirka 5-6 timer hos patienter.</w:t>
      </w:r>
    </w:p>
    <w:p w14:paraId="1FBD8EE3" w14:textId="77777777" w:rsidR="00DC2021" w:rsidRPr="00D11AD1" w:rsidRDefault="00DC2021" w:rsidP="00DC2021">
      <w:pPr>
        <w:tabs>
          <w:tab w:val="left" w:pos="851"/>
        </w:tabs>
        <w:ind w:left="851"/>
        <w:rPr>
          <w:sz w:val="24"/>
          <w:szCs w:val="24"/>
        </w:rPr>
      </w:pPr>
    </w:p>
    <w:p w14:paraId="461F677E" w14:textId="7F2553C2" w:rsidR="00DC2021" w:rsidRPr="00D11AD1" w:rsidRDefault="00DC2021" w:rsidP="00DC2021">
      <w:pPr>
        <w:tabs>
          <w:tab w:val="left" w:pos="851"/>
        </w:tabs>
        <w:ind w:left="851"/>
        <w:rPr>
          <w:sz w:val="24"/>
          <w:szCs w:val="24"/>
          <w:u w:val="single"/>
        </w:rPr>
      </w:pPr>
      <w:r w:rsidRPr="00D11AD1">
        <w:rPr>
          <w:sz w:val="24"/>
          <w:szCs w:val="24"/>
        </w:rPr>
        <w:t>Data fra raske frivillige, der fik enkeltdosis dasatinib 100 mg 30 minutter efter et fedtrigt måltid, viste en 14</w:t>
      </w:r>
      <w:r w:rsidR="00FA34A4" w:rsidRPr="00D11AD1">
        <w:rPr>
          <w:sz w:val="24"/>
          <w:szCs w:val="24"/>
        </w:rPr>
        <w:t xml:space="preserve"> %</w:t>
      </w:r>
      <w:r w:rsidRPr="00D11AD1">
        <w:rPr>
          <w:sz w:val="24"/>
          <w:szCs w:val="24"/>
        </w:rPr>
        <w:t xml:space="preserve"> stigning i gennemsnitligt AUC for dasatinib. Et fedtfattigt måltid 30 minutter inden dasatinib resulterede i en stigning i gennemsnitligt AUC for dasatinib på 21</w:t>
      </w:r>
      <w:r w:rsidR="00FA34A4" w:rsidRPr="00D11AD1">
        <w:rPr>
          <w:sz w:val="24"/>
          <w:szCs w:val="24"/>
        </w:rPr>
        <w:t xml:space="preserve"> %</w:t>
      </w:r>
      <w:r w:rsidRPr="00D11AD1">
        <w:rPr>
          <w:sz w:val="24"/>
          <w:szCs w:val="24"/>
        </w:rPr>
        <w:t>. Den observerede effekt af fødeindtag repræsenterer ikke klinisk relevante ændringer i eksponeringen.</w:t>
      </w:r>
    </w:p>
    <w:p w14:paraId="3DD21C1F" w14:textId="77777777" w:rsidR="00DC2021" w:rsidRPr="00D11AD1" w:rsidRDefault="00DC2021" w:rsidP="00DC2021">
      <w:pPr>
        <w:tabs>
          <w:tab w:val="left" w:pos="851"/>
        </w:tabs>
        <w:ind w:left="851"/>
        <w:rPr>
          <w:sz w:val="24"/>
          <w:szCs w:val="24"/>
        </w:rPr>
      </w:pPr>
    </w:p>
    <w:p w14:paraId="408DB8D0" w14:textId="77777777" w:rsidR="00DC2021" w:rsidRPr="00D11AD1" w:rsidRDefault="00DC2021" w:rsidP="00DC2021">
      <w:pPr>
        <w:tabs>
          <w:tab w:val="left" w:pos="851"/>
        </w:tabs>
        <w:ind w:left="851"/>
        <w:rPr>
          <w:sz w:val="24"/>
          <w:szCs w:val="24"/>
          <w:u w:val="single"/>
        </w:rPr>
      </w:pPr>
      <w:r w:rsidRPr="00D11AD1">
        <w:rPr>
          <w:sz w:val="24"/>
          <w:szCs w:val="24"/>
          <w:u w:val="single"/>
        </w:rPr>
        <w:t>Fordeling</w:t>
      </w:r>
    </w:p>
    <w:p w14:paraId="17F7DE74" w14:textId="49A5632B" w:rsidR="00DC2021" w:rsidRPr="00D11AD1" w:rsidRDefault="00DC2021" w:rsidP="00DC2021">
      <w:pPr>
        <w:tabs>
          <w:tab w:val="left" w:pos="851"/>
        </w:tabs>
        <w:ind w:left="851"/>
        <w:rPr>
          <w:sz w:val="24"/>
          <w:szCs w:val="24"/>
        </w:rPr>
      </w:pPr>
      <w:r w:rsidRPr="00D11AD1">
        <w:rPr>
          <w:sz w:val="24"/>
          <w:szCs w:val="24"/>
        </w:rPr>
        <w:t>Dasatinib har hos patienter et stort tilsyneladende fordelingsvolumen (2.505 l), variationskoefficient (CV</w:t>
      </w:r>
      <w:r w:rsidR="00FA34A4" w:rsidRPr="00D11AD1">
        <w:rPr>
          <w:sz w:val="24"/>
          <w:szCs w:val="24"/>
        </w:rPr>
        <w:t xml:space="preserve"> %</w:t>
      </w:r>
      <w:r w:rsidRPr="00D11AD1">
        <w:rPr>
          <w:sz w:val="24"/>
          <w:szCs w:val="24"/>
        </w:rPr>
        <w:t xml:space="preserve"> 93</w:t>
      </w:r>
      <w:r w:rsidR="00FA34A4" w:rsidRPr="00D11AD1">
        <w:rPr>
          <w:sz w:val="24"/>
          <w:szCs w:val="24"/>
        </w:rPr>
        <w:t xml:space="preserve"> %</w:t>
      </w:r>
      <w:r w:rsidRPr="00D11AD1">
        <w:rPr>
          <w:sz w:val="24"/>
          <w:szCs w:val="24"/>
        </w:rPr>
        <w:t>), hvilket tyder på, at produktet i omfattende grad fordeles i det ekstravaskulære rum. Ved klinisk relevante koncentrationer af dasatinib var binding til plasmaproteiner ca. 96</w:t>
      </w:r>
      <w:r w:rsidR="00FA34A4" w:rsidRPr="00D11AD1">
        <w:rPr>
          <w:sz w:val="24"/>
          <w:szCs w:val="24"/>
        </w:rPr>
        <w:t xml:space="preserve"> %</w:t>
      </w:r>
      <w:r w:rsidRPr="00D11AD1">
        <w:rPr>
          <w:sz w:val="24"/>
          <w:szCs w:val="24"/>
        </w:rPr>
        <w:t xml:space="preserve">, på basis af </w:t>
      </w:r>
      <w:r w:rsidRPr="00D11AD1">
        <w:rPr>
          <w:i/>
          <w:iCs/>
          <w:sz w:val="24"/>
          <w:szCs w:val="24"/>
        </w:rPr>
        <w:t xml:space="preserve">in vitro- </w:t>
      </w:r>
      <w:r w:rsidRPr="00D11AD1">
        <w:rPr>
          <w:sz w:val="24"/>
          <w:szCs w:val="24"/>
        </w:rPr>
        <w:t>eksperimenter.</w:t>
      </w:r>
    </w:p>
    <w:p w14:paraId="33A9AA8A" w14:textId="7BC93622" w:rsidR="00523BC3" w:rsidRDefault="00523BC3">
      <w:pPr>
        <w:rPr>
          <w:sz w:val="24"/>
          <w:szCs w:val="24"/>
        </w:rPr>
      </w:pPr>
      <w:r>
        <w:rPr>
          <w:sz w:val="24"/>
          <w:szCs w:val="24"/>
        </w:rPr>
        <w:br w:type="page"/>
      </w:r>
    </w:p>
    <w:p w14:paraId="712EC10B" w14:textId="77777777" w:rsidR="00DC2021" w:rsidRPr="00D11AD1" w:rsidRDefault="00DC2021" w:rsidP="00DC2021">
      <w:pPr>
        <w:tabs>
          <w:tab w:val="left" w:pos="851"/>
        </w:tabs>
        <w:ind w:left="851"/>
        <w:rPr>
          <w:sz w:val="24"/>
          <w:szCs w:val="24"/>
        </w:rPr>
      </w:pPr>
    </w:p>
    <w:p w14:paraId="60993836" w14:textId="77777777" w:rsidR="00DC2021" w:rsidRPr="00D11AD1" w:rsidRDefault="00DC2021" w:rsidP="00DC2021">
      <w:pPr>
        <w:tabs>
          <w:tab w:val="left" w:pos="851"/>
        </w:tabs>
        <w:ind w:left="851"/>
        <w:rPr>
          <w:sz w:val="24"/>
          <w:szCs w:val="24"/>
          <w:u w:val="single"/>
        </w:rPr>
      </w:pPr>
      <w:r w:rsidRPr="00D11AD1">
        <w:rPr>
          <w:sz w:val="24"/>
          <w:szCs w:val="24"/>
          <w:u w:val="single"/>
        </w:rPr>
        <w:t>Biotransformation</w:t>
      </w:r>
    </w:p>
    <w:p w14:paraId="710E6973" w14:textId="677650AD" w:rsidR="00DC2021" w:rsidRPr="00D11AD1" w:rsidRDefault="00DC2021" w:rsidP="00DC2021">
      <w:pPr>
        <w:tabs>
          <w:tab w:val="left" w:pos="851"/>
        </w:tabs>
        <w:ind w:left="851"/>
        <w:rPr>
          <w:sz w:val="24"/>
          <w:szCs w:val="24"/>
        </w:rPr>
      </w:pPr>
      <w:r w:rsidRPr="00D11AD1">
        <w:rPr>
          <w:sz w:val="24"/>
          <w:szCs w:val="24"/>
        </w:rPr>
        <w:t>Dasatinib metaboliseres i omfattende grad hos mennesker, og mange enzymer er involverede i metaboliseringen. Hos raske frivillige, der fik 100 mg [14C]-mærket dasatinib, udgjorde uomdannet dasatinib 29</w:t>
      </w:r>
      <w:r w:rsidR="00FA34A4" w:rsidRPr="00D11AD1">
        <w:rPr>
          <w:sz w:val="24"/>
          <w:szCs w:val="24"/>
        </w:rPr>
        <w:t xml:space="preserve"> %</w:t>
      </w:r>
      <w:r w:rsidRPr="00D11AD1">
        <w:rPr>
          <w:sz w:val="24"/>
          <w:szCs w:val="24"/>
        </w:rPr>
        <w:t xml:space="preserve"> af den cirkulerende radioaktivitet i\ plasma. Plasmakoncentration og målt </w:t>
      </w:r>
      <w:r w:rsidRPr="00D11AD1">
        <w:rPr>
          <w:i/>
          <w:iCs/>
          <w:sz w:val="24"/>
          <w:szCs w:val="24"/>
        </w:rPr>
        <w:t>in vitro</w:t>
      </w:r>
      <w:r w:rsidRPr="00D11AD1">
        <w:rPr>
          <w:sz w:val="24"/>
          <w:szCs w:val="24"/>
        </w:rPr>
        <w:t xml:space="preserve"> aktivitet viser, at dasatinib</w:t>
      </w:r>
      <w:r w:rsidR="00911CC2" w:rsidRPr="00D11AD1">
        <w:rPr>
          <w:sz w:val="24"/>
          <w:szCs w:val="24"/>
        </w:rPr>
        <w:t>-</w:t>
      </w:r>
      <w:r w:rsidRPr="00D11AD1">
        <w:rPr>
          <w:sz w:val="24"/>
          <w:szCs w:val="24"/>
        </w:rPr>
        <w:t>metabolitter sandsynligvis ikke spiller en større rolle i produktets observerede farmakologi. CYP3A4 er i høj grad ansvarlig for metabolismen af dasatinib.</w:t>
      </w:r>
    </w:p>
    <w:p w14:paraId="50F047F4" w14:textId="77777777" w:rsidR="00DC2021" w:rsidRPr="00D11AD1" w:rsidRDefault="00DC2021" w:rsidP="00DC2021">
      <w:pPr>
        <w:tabs>
          <w:tab w:val="left" w:pos="851"/>
        </w:tabs>
        <w:ind w:left="851"/>
        <w:rPr>
          <w:sz w:val="24"/>
          <w:szCs w:val="24"/>
        </w:rPr>
      </w:pPr>
    </w:p>
    <w:p w14:paraId="2D053A20" w14:textId="77777777" w:rsidR="00DC2021" w:rsidRPr="00D11AD1" w:rsidRDefault="00DC2021" w:rsidP="00DC2021">
      <w:pPr>
        <w:tabs>
          <w:tab w:val="left" w:pos="851"/>
        </w:tabs>
        <w:ind w:left="851"/>
        <w:rPr>
          <w:sz w:val="24"/>
          <w:szCs w:val="24"/>
          <w:u w:val="single"/>
        </w:rPr>
      </w:pPr>
      <w:r w:rsidRPr="00D11AD1">
        <w:rPr>
          <w:sz w:val="24"/>
          <w:szCs w:val="24"/>
          <w:u w:val="single"/>
        </w:rPr>
        <w:t>Elimination</w:t>
      </w:r>
    </w:p>
    <w:p w14:paraId="3C93B956" w14:textId="306452C4" w:rsidR="00DC2021" w:rsidRPr="00D11AD1" w:rsidRDefault="00DC2021" w:rsidP="00DC2021">
      <w:pPr>
        <w:tabs>
          <w:tab w:val="left" w:pos="851"/>
        </w:tabs>
        <w:ind w:left="851"/>
        <w:rPr>
          <w:sz w:val="24"/>
          <w:szCs w:val="24"/>
        </w:rPr>
      </w:pPr>
      <w:r w:rsidRPr="00D11AD1">
        <w:rPr>
          <w:sz w:val="24"/>
          <w:szCs w:val="24"/>
        </w:rPr>
        <w:t>Dasatinibs gennemsnitlige terminale halveringstid er 3-5 timer. Den gennemsnitlige tilsyneladende orale clearance er 363,8 l/t (CV</w:t>
      </w:r>
      <w:r w:rsidR="00FA34A4" w:rsidRPr="00D11AD1">
        <w:rPr>
          <w:sz w:val="24"/>
          <w:szCs w:val="24"/>
        </w:rPr>
        <w:t xml:space="preserve"> %</w:t>
      </w:r>
      <w:r w:rsidRPr="00D11AD1">
        <w:rPr>
          <w:sz w:val="24"/>
          <w:szCs w:val="24"/>
        </w:rPr>
        <w:t xml:space="preserve"> 81,3</w:t>
      </w:r>
      <w:r w:rsidR="00FA34A4" w:rsidRPr="00D11AD1">
        <w:rPr>
          <w:sz w:val="24"/>
          <w:szCs w:val="24"/>
        </w:rPr>
        <w:t xml:space="preserve"> %</w:t>
      </w:r>
      <w:r w:rsidRPr="00D11AD1">
        <w:rPr>
          <w:sz w:val="24"/>
          <w:szCs w:val="24"/>
        </w:rPr>
        <w:t>).</w:t>
      </w:r>
    </w:p>
    <w:p w14:paraId="0A39FEAC" w14:textId="77777777" w:rsidR="00DC2021" w:rsidRPr="00D11AD1" w:rsidRDefault="00DC2021" w:rsidP="00DC2021">
      <w:pPr>
        <w:tabs>
          <w:tab w:val="left" w:pos="851"/>
        </w:tabs>
        <w:ind w:left="851"/>
        <w:rPr>
          <w:sz w:val="24"/>
          <w:szCs w:val="24"/>
        </w:rPr>
      </w:pPr>
    </w:p>
    <w:p w14:paraId="6DEBCB92" w14:textId="763FF9AF" w:rsidR="00DC2021" w:rsidRPr="00D11AD1" w:rsidRDefault="00DC2021" w:rsidP="00DC2021">
      <w:pPr>
        <w:tabs>
          <w:tab w:val="left" w:pos="851"/>
        </w:tabs>
        <w:ind w:left="851"/>
        <w:rPr>
          <w:sz w:val="24"/>
          <w:szCs w:val="24"/>
        </w:rPr>
      </w:pPr>
      <w:r w:rsidRPr="00D11AD1">
        <w:rPr>
          <w:sz w:val="24"/>
          <w:szCs w:val="24"/>
        </w:rPr>
        <w:t>Udskillelse finder primært sted gennem fæces, mest i form af metabolitter. Efter oral enkeltdosis af [</w:t>
      </w:r>
      <w:r w:rsidRPr="00D11AD1">
        <w:rPr>
          <w:sz w:val="24"/>
          <w:szCs w:val="24"/>
          <w:vertAlign w:val="superscript"/>
        </w:rPr>
        <w:t>14</w:t>
      </w:r>
      <w:r w:rsidRPr="00D11AD1">
        <w:rPr>
          <w:sz w:val="24"/>
          <w:szCs w:val="24"/>
        </w:rPr>
        <w:t>C]-mærket dasatinib, var ca. 89</w:t>
      </w:r>
      <w:r w:rsidR="00FA34A4" w:rsidRPr="00D11AD1">
        <w:rPr>
          <w:sz w:val="24"/>
          <w:szCs w:val="24"/>
        </w:rPr>
        <w:t xml:space="preserve"> %</w:t>
      </w:r>
      <w:r w:rsidRPr="00D11AD1">
        <w:rPr>
          <w:sz w:val="24"/>
          <w:szCs w:val="24"/>
        </w:rPr>
        <w:t xml:space="preserve"> af dosis udskilt inden for 10 dage, og henholdsvis 4</w:t>
      </w:r>
      <w:r w:rsidR="00FA34A4" w:rsidRPr="00D11AD1">
        <w:rPr>
          <w:sz w:val="24"/>
          <w:szCs w:val="24"/>
        </w:rPr>
        <w:t xml:space="preserve"> %</w:t>
      </w:r>
      <w:r w:rsidRPr="00D11AD1">
        <w:rPr>
          <w:sz w:val="24"/>
          <w:szCs w:val="24"/>
        </w:rPr>
        <w:t xml:space="preserve"> og 85</w:t>
      </w:r>
      <w:r w:rsidR="00FA34A4" w:rsidRPr="00D11AD1">
        <w:rPr>
          <w:sz w:val="24"/>
          <w:szCs w:val="24"/>
        </w:rPr>
        <w:t xml:space="preserve"> %</w:t>
      </w:r>
      <w:r w:rsidRPr="00D11AD1">
        <w:rPr>
          <w:sz w:val="24"/>
          <w:szCs w:val="24"/>
        </w:rPr>
        <w:t xml:space="preserve"> af radioaktiviteten kunne genfindes i urin og fæces. Uomdannet dasatinib stod for henholdsvis 0,1</w:t>
      </w:r>
      <w:r w:rsidR="00FA34A4" w:rsidRPr="00D11AD1">
        <w:rPr>
          <w:sz w:val="24"/>
          <w:szCs w:val="24"/>
        </w:rPr>
        <w:t xml:space="preserve"> %</w:t>
      </w:r>
      <w:r w:rsidRPr="00D11AD1">
        <w:rPr>
          <w:sz w:val="24"/>
          <w:szCs w:val="24"/>
        </w:rPr>
        <w:t xml:space="preserve"> og 19</w:t>
      </w:r>
      <w:r w:rsidR="00FA34A4" w:rsidRPr="00D11AD1">
        <w:rPr>
          <w:sz w:val="24"/>
          <w:szCs w:val="24"/>
        </w:rPr>
        <w:t xml:space="preserve"> %</w:t>
      </w:r>
      <w:r w:rsidRPr="00D11AD1">
        <w:rPr>
          <w:sz w:val="24"/>
          <w:szCs w:val="24"/>
        </w:rPr>
        <w:t xml:space="preserve"> af dosis i urin og fæces, mens resten af dosis var metabolitter.</w:t>
      </w:r>
    </w:p>
    <w:p w14:paraId="09ED9DFF" w14:textId="77777777" w:rsidR="00DC2021" w:rsidRPr="00D11AD1" w:rsidRDefault="00DC2021" w:rsidP="00DC2021">
      <w:pPr>
        <w:tabs>
          <w:tab w:val="left" w:pos="851"/>
        </w:tabs>
        <w:ind w:left="851"/>
        <w:rPr>
          <w:sz w:val="24"/>
          <w:szCs w:val="24"/>
        </w:rPr>
      </w:pPr>
    </w:p>
    <w:p w14:paraId="7BD30026" w14:textId="77777777" w:rsidR="00DC2021" w:rsidRPr="00D11AD1" w:rsidRDefault="00DC2021" w:rsidP="00DC2021">
      <w:pPr>
        <w:tabs>
          <w:tab w:val="left" w:pos="851"/>
        </w:tabs>
        <w:ind w:left="851"/>
        <w:rPr>
          <w:sz w:val="24"/>
          <w:szCs w:val="24"/>
          <w:u w:val="single"/>
        </w:rPr>
      </w:pPr>
      <w:r w:rsidRPr="00D11AD1">
        <w:rPr>
          <w:sz w:val="24"/>
          <w:szCs w:val="24"/>
          <w:u w:val="single"/>
        </w:rPr>
        <w:t>Lever- og nyreinsufficiens</w:t>
      </w:r>
    </w:p>
    <w:p w14:paraId="68B99AB4" w14:textId="25DF99A8" w:rsidR="00DC2021" w:rsidRPr="00D11AD1" w:rsidRDefault="00DC2021" w:rsidP="00DC2021">
      <w:pPr>
        <w:tabs>
          <w:tab w:val="left" w:pos="851"/>
        </w:tabs>
        <w:ind w:left="851"/>
        <w:rPr>
          <w:sz w:val="24"/>
          <w:szCs w:val="24"/>
        </w:rPr>
      </w:pPr>
      <w:r w:rsidRPr="00D11AD1">
        <w:rPr>
          <w:sz w:val="24"/>
          <w:szCs w:val="24"/>
        </w:rPr>
        <w:t>Effekten af en enkeltdosis dasatinib på farmakokinetikken ved leverinsufficiens blev undersøgt hos 8 forsøgspersoner med moderat leverinsufficiens, som fik en dosis på 50 mg, og 5 forsøgspersoner med alvorlig leverinsufficiens, som fik en dosis på 20 mg sammenlignet med sammenlignelige raske forsøgspersoner, som fik en dosis på 70 mg dasatinib. Hos forsøgspersoner med moderat leverinsufficiens var dasatinibs gennemsnitlige C</w:t>
      </w:r>
      <w:r w:rsidRPr="00D11AD1">
        <w:rPr>
          <w:sz w:val="24"/>
          <w:szCs w:val="24"/>
          <w:vertAlign w:val="subscript"/>
        </w:rPr>
        <w:t>max</w:t>
      </w:r>
      <w:r w:rsidRPr="00D11AD1">
        <w:rPr>
          <w:sz w:val="24"/>
          <w:szCs w:val="24"/>
        </w:rPr>
        <w:t xml:space="preserve"> og AUC, justeret for 70 mg dosen, nedsat med henholdsvis 47</w:t>
      </w:r>
      <w:r w:rsidR="00FA34A4" w:rsidRPr="00D11AD1">
        <w:rPr>
          <w:sz w:val="24"/>
          <w:szCs w:val="24"/>
        </w:rPr>
        <w:t xml:space="preserve"> %</w:t>
      </w:r>
      <w:r w:rsidRPr="00D11AD1">
        <w:rPr>
          <w:sz w:val="24"/>
          <w:szCs w:val="24"/>
        </w:rPr>
        <w:t xml:space="preserve"> og 8</w:t>
      </w:r>
      <w:r w:rsidR="00FA34A4" w:rsidRPr="00D11AD1">
        <w:rPr>
          <w:sz w:val="24"/>
          <w:szCs w:val="24"/>
        </w:rPr>
        <w:t xml:space="preserve"> %</w:t>
      </w:r>
      <w:r w:rsidRPr="00D11AD1">
        <w:rPr>
          <w:sz w:val="24"/>
          <w:szCs w:val="24"/>
        </w:rPr>
        <w:t xml:space="preserve"> sammenlignet med forsøgspersoner med normal leverfunktion. Hos forsøgspersoner med alvorlig leverinsufficiens var den gennemsnitlige C</w:t>
      </w:r>
      <w:r w:rsidRPr="00D11AD1">
        <w:rPr>
          <w:sz w:val="24"/>
          <w:szCs w:val="24"/>
          <w:vertAlign w:val="subscript"/>
        </w:rPr>
        <w:t>max</w:t>
      </w:r>
      <w:r w:rsidRPr="00D11AD1">
        <w:rPr>
          <w:sz w:val="24"/>
          <w:szCs w:val="24"/>
        </w:rPr>
        <w:t xml:space="preserve"> og AUC, justeret for 70 mg dosen, nedsat med henholdsvis 43</w:t>
      </w:r>
      <w:r w:rsidR="00FA34A4" w:rsidRPr="00D11AD1">
        <w:rPr>
          <w:sz w:val="24"/>
          <w:szCs w:val="24"/>
        </w:rPr>
        <w:t xml:space="preserve"> %</w:t>
      </w:r>
      <w:r w:rsidRPr="00D11AD1">
        <w:rPr>
          <w:sz w:val="24"/>
          <w:szCs w:val="24"/>
        </w:rPr>
        <w:t xml:space="preserve"> og 28</w:t>
      </w:r>
      <w:r w:rsidR="00FA34A4" w:rsidRPr="00D11AD1">
        <w:rPr>
          <w:sz w:val="24"/>
          <w:szCs w:val="24"/>
        </w:rPr>
        <w:t xml:space="preserve"> %</w:t>
      </w:r>
      <w:r w:rsidRPr="00D11AD1">
        <w:rPr>
          <w:sz w:val="24"/>
          <w:szCs w:val="24"/>
        </w:rPr>
        <w:t xml:space="preserve"> sammenlignet med forsøgspersoner med normal leverfunktion (se pkt. 4.2 og 4.4).</w:t>
      </w:r>
    </w:p>
    <w:p w14:paraId="3370D09F" w14:textId="4101F9C1" w:rsidR="00DC2021" w:rsidRPr="00D11AD1" w:rsidRDefault="00DC2021" w:rsidP="00DC2021">
      <w:pPr>
        <w:tabs>
          <w:tab w:val="left" w:pos="851"/>
        </w:tabs>
        <w:ind w:left="851"/>
        <w:rPr>
          <w:sz w:val="24"/>
          <w:szCs w:val="24"/>
        </w:rPr>
      </w:pPr>
      <w:r w:rsidRPr="00D11AD1">
        <w:rPr>
          <w:sz w:val="24"/>
          <w:szCs w:val="24"/>
        </w:rPr>
        <w:t>Dasatinib og dets metabolitter udskilles minimalt via nyrerne.</w:t>
      </w:r>
    </w:p>
    <w:p w14:paraId="03D73317" w14:textId="77777777" w:rsidR="00911CC2" w:rsidRPr="00D11AD1" w:rsidRDefault="00911CC2" w:rsidP="00DC2021">
      <w:pPr>
        <w:tabs>
          <w:tab w:val="left" w:pos="851"/>
        </w:tabs>
        <w:ind w:left="851"/>
        <w:rPr>
          <w:sz w:val="24"/>
          <w:szCs w:val="24"/>
        </w:rPr>
      </w:pPr>
    </w:p>
    <w:p w14:paraId="0A002674" w14:textId="77777777" w:rsidR="00DC2021" w:rsidRPr="00D11AD1" w:rsidRDefault="00DC2021" w:rsidP="00DC2021">
      <w:pPr>
        <w:tabs>
          <w:tab w:val="left" w:pos="851"/>
        </w:tabs>
        <w:ind w:left="851"/>
        <w:rPr>
          <w:sz w:val="24"/>
          <w:szCs w:val="24"/>
          <w:u w:val="single"/>
        </w:rPr>
      </w:pPr>
      <w:r w:rsidRPr="00D11AD1">
        <w:rPr>
          <w:sz w:val="24"/>
          <w:szCs w:val="24"/>
          <w:u w:val="single"/>
        </w:rPr>
        <w:t>Pædiatrisk population</w:t>
      </w:r>
    </w:p>
    <w:p w14:paraId="3A67CC93" w14:textId="45828BEF" w:rsidR="00DC2021" w:rsidRPr="00D11AD1" w:rsidRDefault="00DC2021" w:rsidP="00DC2021">
      <w:pPr>
        <w:tabs>
          <w:tab w:val="left" w:pos="851"/>
        </w:tabs>
        <w:ind w:left="851"/>
        <w:rPr>
          <w:sz w:val="24"/>
          <w:szCs w:val="24"/>
        </w:rPr>
      </w:pPr>
      <w:r w:rsidRPr="00D11AD1">
        <w:rPr>
          <w:sz w:val="24"/>
          <w:szCs w:val="24"/>
        </w:rPr>
        <w:t>Farmakokinetikken for dasatinib er blevet evalueret hos 104 pædiatriske patienter med leukæmi eller</w:t>
      </w:r>
      <w:r w:rsidR="00911CC2" w:rsidRPr="00D11AD1">
        <w:rPr>
          <w:sz w:val="24"/>
          <w:szCs w:val="24"/>
        </w:rPr>
        <w:t xml:space="preserve"> </w:t>
      </w:r>
      <w:r w:rsidRPr="00D11AD1">
        <w:rPr>
          <w:sz w:val="24"/>
          <w:szCs w:val="24"/>
        </w:rPr>
        <w:t>solide tumorer (72, der fik tabletformuleringen og 32, som fik pulver til oral suspension).</w:t>
      </w:r>
    </w:p>
    <w:p w14:paraId="3B1FF0F4" w14:textId="77777777" w:rsidR="00DC2021" w:rsidRPr="00D11AD1" w:rsidRDefault="00DC2021" w:rsidP="00DC2021">
      <w:pPr>
        <w:tabs>
          <w:tab w:val="left" w:pos="851"/>
        </w:tabs>
        <w:ind w:left="851"/>
        <w:rPr>
          <w:sz w:val="24"/>
          <w:szCs w:val="24"/>
        </w:rPr>
      </w:pPr>
    </w:p>
    <w:p w14:paraId="536B9A67" w14:textId="77777777" w:rsidR="00DC2021" w:rsidRPr="00D11AD1" w:rsidRDefault="00DC2021" w:rsidP="00DC2021">
      <w:pPr>
        <w:tabs>
          <w:tab w:val="left" w:pos="851"/>
        </w:tabs>
        <w:ind w:left="851"/>
        <w:rPr>
          <w:sz w:val="24"/>
          <w:szCs w:val="24"/>
        </w:rPr>
      </w:pPr>
      <w:r w:rsidRPr="00D11AD1">
        <w:rPr>
          <w:sz w:val="24"/>
          <w:szCs w:val="24"/>
        </w:rPr>
        <w:t>I et pædiatrisk farmakokinetisk studie er den dosisnormaliserede eksponering af dasatinib (C</w:t>
      </w:r>
      <w:r w:rsidRPr="00D11AD1">
        <w:rPr>
          <w:sz w:val="24"/>
          <w:szCs w:val="24"/>
          <w:vertAlign w:val="subscript"/>
        </w:rPr>
        <w:t>avg</w:t>
      </w:r>
      <w:r w:rsidRPr="00D11AD1">
        <w:rPr>
          <w:sz w:val="24"/>
          <w:szCs w:val="24"/>
        </w:rPr>
        <w:t>, C</w:t>
      </w:r>
      <w:r w:rsidRPr="00D11AD1">
        <w:rPr>
          <w:sz w:val="24"/>
          <w:szCs w:val="24"/>
          <w:vertAlign w:val="subscript"/>
        </w:rPr>
        <w:t>min</w:t>
      </w:r>
      <w:r w:rsidRPr="00D11AD1">
        <w:rPr>
          <w:sz w:val="24"/>
          <w:szCs w:val="24"/>
        </w:rPr>
        <w:t xml:space="preserve"> og C</w:t>
      </w:r>
      <w:r w:rsidRPr="00D11AD1">
        <w:rPr>
          <w:sz w:val="24"/>
          <w:szCs w:val="24"/>
          <w:vertAlign w:val="subscript"/>
        </w:rPr>
        <w:t>max</w:t>
      </w:r>
      <w:r w:rsidRPr="00D11AD1">
        <w:rPr>
          <w:sz w:val="24"/>
          <w:szCs w:val="24"/>
        </w:rPr>
        <w:t>) sammenlignelig mellem 21 patienter med CP-CML og 16 patienter med Ph+ ALL.</w:t>
      </w:r>
    </w:p>
    <w:p w14:paraId="620F527C" w14:textId="77777777" w:rsidR="00DC2021" w:rsidRPr="00D11AD1" w:rsidRDefault="00DC2021" w:rsidP="00DC2021">
      <w:pPr>
        <w:tabs>
          <w:tab w:val="left" w:pos="851"/>
        </w:tabs>
        <w:ind w:left="851"/>
        <w:rPr>
          <w:sz w:val="24"/>
          <w:szCs w:val="24"/>
        </w:rPr>
      </w:pPr>
    </w:p>
    <w:p w14:paraId="00DC3C90" w14:textId="5C4B4628" w:rsidR="00DC2021" w:rsidRPr="00D11AD1" w:rsidRDefault="00DC2021" w:rsidP="00DC2021">
      <w:pPr>
        <w:tabs>
          <w:tab w:val="left" w:pos="851"/>
        </w:tabs>
        <w:ind w:left="851"/>
        <w:rPr>
          <w:sz w:val="24"/>
          <w:szCs w:val="24"/>
        </w:rPr>
      </w:pPr>
      <w:r w:rsidRPr="00D11AD1">
        <w:rPr>
          <w:sz w:val="24"/>
          <w:szCs w:val="24"/>
        </w:rPr>
        <w:t>Farmakokinetikken for tabletformuleringen af dasatinib blev evalueret i 72 pædiatriske patienter med recidiv eller refraktær leukæmi eller solide tumorer ved orale doser, der strækker sig fra 60 til 120 mg/m</w:t>
      </w:r>
      <w:r w:rsidRPr="00D11AD1">
        <w:rPr>
          <w:sz w:val="24"/>
          <w:szCs w:val="24"/>
          <w:vertAlign w:val="superscript"/>
        </w:rPr>
        <w:t>2</w:t>
      </w:r>
      <w:r w:rsidRPr="00D11AD1">
        <w:rPr>
          <w:sz w:val="24"/>
          <w:szCs w:val="24"/>
        </w:rPr>
        <w:t xml:space="preserve"> </w:t>
      </w:r>
      <w:r w:rsidR="00FA34A4" w:rsidRPr="00D11AD1">
        <w:rPr>
          <w:sz w:val="24"/>
          <w:szCs w:val="24"/>
        </w:rPr>
        <w:t>en</w:t>
      </w:r>
      <w:r w:rsidRPr="00D11AD1">
        <w:rPr>
          <w:sz w:val="24"/>
          <w:szCs w:val="24"/>
        </w:rPr>
        <w:t xml:space="preserve"> gang </w:t>
      </w:r>
      <w:r w:rsidR="00FA34A4" w:rsidRPr="00D11AD1">
        <w:rPr>
          <w:sz w:val="24"/>
          <w:szCs w:val="24"/>
        </w:rPr>
        <w:t>daglig</w:t>
      </w:r>
      <w:r w:rsidRPr="00D11AD1">
        <w:rPr>
          <w:sz w:val="24"/>
          <w:szCs w:val="24"/>
        </w:rPr>
        <w:t xml:space="preserve"> og 50 til 110 mg/m</w:t>
      </w:r>
      <w:r w:rsidRPr="00D11AD1">
        <w:rPr>
          <w:sz w:val="24"/>
          <w:szCs w:val="24"/>
          <w:vertAlign w:val="superscript"/>
        </w:rPr>
        <w:t>2</w:t>
      </w:r>
      <w:r w:rsidRPr="00D11AD1">
        <w:rPr>
          <w:sz w:val="24"/>
          <w:szCs w:val="24"/>
        </w:rPr>
        <w:t xml:space="preserve"> to gange </w:t>
      </w:r>
      <w:r w:rsidR="00FA34A4" w:rsidRPr="00D11AD1">
        <w:rPr>
          <w:sz w:val="24"/>
          <w:szCs w:val="24"/>
        </w:rPr>
        <w:t>daglig</w:t>
      </w:r>
      <w:r w:rsidRPr="00D11AD1">
        <w:rPr>
          <w:sz w:val="24"/>
          <w:szCs w:val="24"/>
        </w:rPr>
        <w:t>. Data fra to studier blev poolet og viste, at dasatinib absorberes hurtigt. Gennemsnitlig T</w:t>
      </w:r>
      <w:r w:rsidRPr="00523BC3">
        <w:rPr>
          <w:sz w:val="24"/>
          <w:szCs w:val="24"/>
          <w:vertAlign w:val="subscript"/>
        </w:rPr>
        <w:t>max</w:t>
      </w:r>
      <w:r w:rsidRPr="00D11AD1">
        <w:rPr>
          <w:sz w:val="24"/>
          <w:szCs w:val="24"/>
        </w:rPr>
        <w:t xml:space="preserve"> blev observeret mellem 0,5 og 6 timer og den gennemsnitlige halveringstid strakte sig fra 2 til 5 timer hen over alle dosisniveauer og aldersgrupper. PK for dasatinib viste dosisproportionalitet med en dosisrelateret stigning i eksponering observeret hos pædiatriske patienter. Der var ingen signifikant forskel på dasatinibs PK mellem børn og unge. De geometriske middelværdier for dosisnormaliseret dasatinib C</w:t>
      </w:r>
      <w:r w:rsidRPr="00D11AD1">
        <w:rPr>
          <w:sz w:val="24"/>
          <w:szCs w:val="24"/>
          <w:vertAlign w:val="subscript"/>
        </w:rPr>
        <w:t>max</w:t>
      </w:r>
      <w:r w:rsidRPr="00D11AD1">
        <w:rPr>
          <w:sz w:val="24"/>
          <w:szCs w:val="24"/>
        </w:rPr>
        <w:t xml:space="preserve">, AUC (0-T) og AUC (INF) så ud til at være sammenlignelige mellem børn og unge ved </w:t>
      </w:r>
      <w:r w:rsidRPr="00D11AD1">
        <w:rPr>
          <w:sz w:val="24"/>
          <w:szCs w:val="24"/>
        </w:rPr>
        <w:lastRenderedPageBreak/>
        <w:t xml:space="preserve">forskellige dosisniveauer. En PPK-modelbaseret simulation forudsagde, at den kropsvægtinddelte dosisanbefaling beskrevet for tabletten i pkt. 4.2 forventes at give en lignende eksponering som en tabletdosis på 60 mg/m2. Disse data bør tages med </w:t>
      </w:r>
      <w:r w:rsidR="00911CC2" w:rsidRPr="00D11AD1">
        <w:rPr>
          <w:sz w:val="24"/>
          <w:szCs w:val="24"/>
        </w:rPr>
        <w:t>i</w:t>
      </w:r>
      <w:r w:rsidRPr="00D11AD1">
        <w:rPr>
          <w:sz w:val="24"/>
          <w:szCs w:val="24"/>
        </w:rPr>
        <w:t xml:space="preserve"> overvejelserne, hvis patienter skal skifte fra tabletter til pulver til oral suspension eller omvendt.</w:t>
      </w:r>
    </w:p>
    <w:p w14:paraId="19BB7FCE" w14:textId="77777777" w:rsidR="009260DE" w:rsidRPr="00D11AD1" w:rsidRDefault="009260DE" w:rsidP="009260DE">
      <w:pPr>
        <w:tabs>
          <w:tab w:val="left" w:pos="851"/>
        </w:tabs>
        <w:ind w:left="851"/>
        <w:rPr>
          <w:sz w:val="24"/>
          <w:szCs w:val="24"/>
        </w:rPr>
      </w:pPr>
    </w:p>
    <w:p w14:paraId="4922C19A" w14:textId="3B1DB6EB" w:rsidR="009260DE" w:rsidRPr="00D11AD1" w:rsidRDefault="009260DE" w:rsidP="009260DE">
      <w:pPr>
        <w:tabs>
          <w:tab w:val="left" w:pos="851"/>
        </w:tabs>
        <w:ind w:left="851" w:hanging="851"/>
        <w:rPr>
          <w:b/>
          <w:sz w:val="24"/>
          <w:szCs w:val="24"/>
        </w:rPr>
      </w:pPr>
      <w:r w:rsidRPr="00D11AD1">
        <w:rPr>
          <w:b/>
          <w:sz w:val="24"/>
          <w:szCs w:val="24"/>
        </w:rPr>
        <w:t>5.3</w:t>
      </w:r>
      <w:r w:rsidRPr="00D11AD1">
        <w:rPr>
          <w:b/>
          <w:sz w:val="24"/>
          <w:szCs w:val="24"/>
        </w:rPr>
        <w:tab/>
      </w:r>
      <w:r w:rsidR="00C43322" w:rsidRPr="00D11AD1">
        <w:rPr>
          <w:b/>
          <w:sz w:val="24"/>
          <w:szCs w:val="24"/>
        </w:rPr>
        <w:t>Non-</w:t>
      </w:r>
      <w:r w:rsidRPr="00D11AD1">
        <w:rPr>
          <w:b/>
          <w:sz w:val="24"/>
          <w:szCs w:val="24"/>
        </w:rPr>
        <w:t>kliniske sikkerhedsdata</w:t>
      </w:r>
    </w:p>
    <w:p w14:paraId="19524CE5" w14:textId="77777777" w:rsidR="00F77C01" w:rsidRPr="00D11AD1" w:rsidRDefault="00F77C01" w:rsidP="00F77C01">
      <w:pPr>
        <w:tabs>
          <w:tab w:val="left" w:pos="851"/>
        </w:tabs>
        <w:ind w:left="851"/>
        <w:rPr>
          <w:sz w:val="24"/>
          <w:szCs w:val="24"/>
        </w:rPr>
      </w:pPr>
      <w:r w:rsidRPr="00D11AD1">
        <w:rPr>
          <w:sz w:val="24"/>
          <w:szCs w:val="24"/>
        </w:rPr>
        <w:t xml:space="preserve">Dasatinibs ikke-kliniske sikkerhedsprofil er vurderet i mange </w:t>
      </w:r>
      <w:r w:rsidRPr="00D11AD1">
        <w:rPr>
          <w:i/>
          <w:iCs/>
          <w:sz w:val="24"/>
          <w:szCs w:val="24"/>
        </w:rPr>
        <w:t xml:space="preserve">in vitro </w:t>
      </w:r>
      <w:r w:rsidRPr="00D11AD1">
        <w:rPr>
          <w:sz w:val="24"/>
          <w:szCs w:val="24"/>
        </w:rPr>
        <w:t xml:space="preserve">og </w:t>
      </w:r>
      <w:r w:rsidRPr="00D11AD1">
        <w:rPr>
          <w:i/>
          <w:iCs/>
          <w:sz w:val="24"/>
          <w:szCs w:val="24"/>
        </w:rPr>
        <w:t>in vivo</w:t>
      </w:r>
      <w:r w:rsidRPr="00D11AD1">
        <w:rPr>
          <w:sz w:val="24"/>
          <w:szCs w:val="24"/>
        </w:rPr>
        <w:t xml:space="preserve"> studier med mus, rotter, aber og kaniner. </w:t>
      </w:r>
    </w:p>
    <w:p w14:paraId="055CAB50" w14:textId="77777777" w:rsidR="00F77C01" w:rsidRPr="00D11AD1" w:rsidRDefault="00F77C01" w:rsidP="00F77C01">
      <w:pPr>
        <w:tabs>
          <w:tab w:val="left" w:pos="851"/>
        </w:tabs>
        <w:ind w:left="851"/>
        <w:rPr>
          <w:sz w:val="24"/>
          <w:szCs w:val="24"/>
        </w:rPr>
      </w:pPr>
    </w:p>
    <w:p w14:paraId="4F24BF6E" w14:textId="77777777" w:rsidR="00F77C01" w:rsidRPr="00D11AD1" w:rsidRDefault="00F77C01" w:rsidP="00F77C01">
      <w:pPr>
        <w:tabs>
          <w:tab w:val="left" w:pos="851"/>
        </w:tabs>
        <w:ind w:left="851"/>
        <w:rPr>
          <w:sz w:val="24"/>
          <w:szCs w:val="24"/>
        </w:rPr>
      </w:pPr>
      <w:r w:rsidRPr="00D11AD1">
        <w:rPr>
          <w:sz w:val="24"/>
          <w:szCs w:val="24"/>
        </w:rPr>
        <w:t>Der sås hovedsageligt toksicitet i det gastrointestinale, hæmatopoietiske og lymfoide system. Gastrointestinal toksicitet var dosisbegrænsende hos rotter og aber, da tarmen vedvarende var et målorgan. Hos rotter var minimale til milde fald i erythrocytparametre ledsaget af knoglemarvsforandringer; tilsvarende forandringer sås hos aber med lavere incidens. Lymfoid toksicitet hos rotter bestod i lymfoidtab i lymfeglandler, milt og thymus samt reduceret vægt af lymfoide organer. Forandringer i de gastrointestinale, hæmatopoietiske og lymfoide systemer var reversible efter behandlingsophør.</w:t>
      </w:r>
    </w:p>
    <w:p w14:paraId="4FD0AE9C" w14:textId="77777777" w:rsidR="00F77C01" w:rsidRPr="00D11AD1" w:rsidRDefault="00F77C01" w:rsidP="00F77C01">
      <w:pPr>
        <w:tabs>
          <w:tab w:val="left" w:pos="851"/>
        </w:tabs>
        <w:ind w:left="851"/>
        <w:rPr>
          <w:sz w:val="24"/>
          <w:szCs w:val="24"/>
        </w:rPr>
      </w:pPr>
    </w:p>
    <w:p w14:paraId="13C773BC" w14:textId="77777777" w:rsidR="00F77C01" w:rsidRPr="00D11AD1" w:rsidRDefault="00F77C01" w:rsidP="00F77C01">
      <w:pPr>
        <w:tabs>
          <w:tab w:val="left" w:pos="851"/>
        </w:tabs>
        <w:ind w:left="851"/>
        <w:rPr>
          <w:sz w:val="24"/>
          <w:szCs w:val="24"/>
          <w:lang w:val="nb-NO"/>
        </w:rPr>
      </w:pPr>
      <w:r w:rsidRPr="00D11AD1">
        <w:rPr>
          <w:sz w:val="24"/>
          <w:szCs w:val="24"/>
        </w:rPr>
        <w:t xml:space="preserve">Nyreforandringer hos aber behandlet i op til 9 måneder var begrænset til en stigning i baggrundsnyremineralisering. </w:t>
      </w:r>
      <w:r w:rsidRPr="00D11AD1">
        <w:rPr>
          <w:sz w:val="24"/>
          <w:szCs w:val="24"/>
          <w:lang w:val="nb-NO"/>
        </w:rPr>
        <w:t xml:space="preserve">I et akut, oralt enkeltdosisstudie med aber sås kutan blødning, men dette sås ikke i studier med gentagne doser, hverken hos aber eller rotter. Hos rotter hæmmede dasatinib trombocytaggregationen </w:t>
      </w:r>
      <w:r w:rsidRPr="00D11AD1">
        <w:rPr>
          <w:i/>
          <w:iCs/>
          <w:sz w:val="24"/>
          <w:szCs w:val="24"/>
          <w:lang w:val="nb-NO"/>
        </w:rPr>
        <w:t xml:space="preserve">in vitro </w:t>
      </w:r>
      <w:r w:rsidRPr="00D11AD1">
        <w:rPr>
          <w:sz w:val="24"/>
          <w:szCs w:val="24"/>
          <w:lang w:val="nb-NO"/>
        </w:rPr>
        <w:t xml:space="preserve">og forlængede overhudsblødning </w:t>
      </w:r>
      <w:r w:rsidRPr="00D11AD1">
        <w:rPr>
          <w:i/>
          <w:iCs/>
          <w:sz w:val="24"/>
          <w:szCs w:val="24"/>
          <w:lang w:val="nb-NO"/>
        </w:rPr>
        <w:t>in vivo</w:t>
      </w:r>
      <w:r w:rsidRPr="00D11AD1">
        <w:rPr>
          <w:sz w:val="24"/>
          <w:szCs w:val="24"/>
          <w:lang w:val="nb-NO"/>
        </w:rPr>
        <w:t>, men forårsagede ikke spontan blødning.</w:t>
      </w:r>
    </w:p>
    <w:p w14:paraId="65AFBDB3" w14:textId="77777777" w:rsidR="00F77C01" w:rsidRPr="00D11AD1" w:rsidRDefault="00F77C01" w:rsidP="00F77C01">
      <w:pPr>
        <w:tabs>
          <w:tab w:val="left" w:pos="851"/>
        </w:tabs>
        <w:ind w:left="851"/>
        <w:rPr>
          <w:sz w:val="24"/>
          <w:szCs w:val="24"/>
          <w:lang w:val="nb-NO"/>
        </w:rPr>
      </w:pPr>
    </w:p>
    <w:p w14:paraId="220D6408" w14:textId="77777777" w:rsidR="00F77C01" w:rsidRPr="00D11AD1" w:rsidRDefault="00F77C01" w:rsidP="00F77C01">
      <w:pPr>
        <w:tabs>
          <w:tab w:val="left" w:pos="851"/>
        </w:tabs>
        <w:ind w:left="851"/>
        <w:rPr>
          <w:sz w:val="24"/>
          <w:szCs w:val="24"/>
        </w:rPr>
      </w:pPr>
      <w:r w:rsidRPr="00D11AD1">
        <w:rPr>
          <w:sz w:val="24"/>
          <w:szCs w:val="24"/>
          <w:lang w:val="nb-NO"/>
        </w:rPr>
        <w:t xml:space="preserve">Dasatinib aktivitet </w:t>
      </w:r>
      <w:r w:rsidRPr="00D11AD1">
        <w:rPr>
          <w:i/>
          <w:iCs/>
          <w:sz w:val="24"/>
          <w:szCs w:val="24"/>
          <w:lang w:val="nb-NO"/>
        </w:rPr>
        <w:t xml:space="preserve">in vitro </w:t>
      </w:r>
      <w:r w:rsidRPr="00D11AD1">
        <w:rPr>
          <w:sz w:val="24"/>
          <w:szCs w:val="24"/>
          <w:lang w:val="nb-NO"/>
        </w:rPr>
        <w:t xml:space="preserve">i hERG- og Purkinje-fiberassays tydede på et potentiale for forlængelse af kardiel ventrikelrepolarisering (QT-interval). </w:t>
      </w:r>
      <w:r w:rsidRPr="00D11AD1">
        <w:rPr>
          <w:sz w:val="24"/>
          <w:szCs w:val="24"/>
        </w:rPr>
        <w:t xml:space="preserve">I et </w:t>
      </w:r>
      <w:r w:rsidRPr="00D11AD1">
        <w:rPr>
          <w:i/>
          <w:iCs/>
          <w:sz w:val="24"/>
          <w:szCs w:val="24"/>
        </w:rPr>
        <w:t xml:space="preserve">in vivo </w:t>
      </w:r>
      <w:r w:rsidRPr="00D11AD1">
        <w:rPr>
          <w:sz w:val="24"/>
          <w:szCs w:val="24"/>
        </w:rPr>
        <w:t>enkeltdosisstudie med telemetri-monitorerede aber, der var ved bevidsthed, er der dog ikke set ændringer i QT-interval eller formen af EKG-takker.</w:t>
      </w:r>
    </w:p>
    <w:p w14:paraId="76C33EE0" w14:textId="77777777" w:rsidR="00F77C01" w:rsidRPr="00D11AD1" w:rsidRDefault="00F77C01" w:rsidP="00F77C01">
      <w:pPr>
        <w:tabs>
          <w:tab w:val="left" w:pos="851"/>
        </w:tabs>
        <w:ind w:left="851"/>
        <w:rPr>
          <w:sz w:val="24"/>
          <w:szCs w:val="24"/>
        </w:rPr>
      </w:pPr>
    </w:p>
    <w:p w14:paraId="3B500B84" w14:textId="77777777" w:rsidR="00F77C01" w:rsidRPr="00D11AD1" w:rsidRDefault="00F77C01" w:rsidP="00F77C01">
      <w:pPr>
        <w:tabs>
          <w:tab w:val="left" w:pos="851"/>
        </w:tabs>
        <w:ind w:left="851"/>
        <w:rPr>
          <w:sz w:val="24"/>
          <w:szCs w:val="24"/>
        </w:rPr>
      </w:pPr>
      <w:r w:rsidRPr="00D11AD1">
        <w:rPr>
          <w:sz w:val="24"/>
          <w:szCs w:val="24"/>
        </w:rPr>
        <w:t xml:space="preserve">Dasatinib var ikke mutagent i </w:t>
      </w:r>
      <w:r w:rsidRPr="00D11AD1">
        <w:rPr>
          <w:i/>
          <w:iCs/>
          <w:sz w:val="24"/>
          <w:szCs w:val="24"/>
        </w:rPr>
        <w:t xml:space="preserve">in vitro </w:t>
      </w:r>
      <w:r w:rsidRPr="00D11AD1">
        <w:rPr>
          <w:sz w:val="24"/>
          <w:szCs w:val="24"/>
        </w:rPr>
        <w:t xml:space="preserve">bakterielle celle-assay (Ames test) og var ikke genotoksisk i et </w:t>
      </w:r>
      <w:r w:rsidRPr="00D11AD1">
        <w:rPr>
          <w:i/>
          <w:iCs/>
          <w:sz w:val="24"/>
          <w:szCs w:val="24"/>
        </w:rPr>
        <w:t xml:space="preserve">in vivo </w:t>
      </w:r>
      <w:r w:rsidRPr="00D11AD1">
        <w:rPr>
          <w:sz w:val="24"/>
          <w:szCs w:val="24"/>
        </w:rPr>
        <w:t xml:space="preserve">mikronukleus-studie med rotter. Dasatinib var clastogent </w:t>
      </w:r>
      <w:r w:rsidRPr="00D11AD1">
        <w:rPr>
          <w:i/>
          <w:iCs/>
          <w:sz w:val="24"/>
          <w:szCs w:val="24"/>
        </w:rPr>
        <w:t xml:space="preserve">in vitro </w:t>
      </w:r>
      <w:r w:rsidRPr="00D11AD1">
        <w:rPr>
          <w:sz w:val="24"/>
          <w:szCs w:val="24"/>
        </w:rPr>
        <w:t>med deling af CHO-celler (Chinese Hamster Ovary celler).</w:t>
      </w:r>
    </w:p>
    <w:p w14:paraId="08D68F6A" w14:textId="77777777" w:rsidR="00F77C01" w:rsidRPr="00D11AD1" w:rsidRDefault="00F77C01" w:rsidP="00F77C01">
      <w:pPr>
        <w:tabs>
          <w:tab w:val="left" w:pos="851"/>
        </w:tabs>
        <w:ind w:left="851"/>
        <w:rPr>
          <w:sz w:val="24"/>
          <w:szCs w:val="24"/>
        </w:rPr>
      </w:pPr>
    </w:p>
    <w:p w14:paraId="2A487B6C" w14:textId="77777777" w:rsidR="00F77C01" w:rsidRPr="00D11AD1" w:rsidRDefault="00F77C01" w:rsidP="00F77C01">
      <w:pPr>
        <w:tabs>
          <w:tab w:val="left" w:pos="851"/>
        </w:tabs>
        <w:ind w:left="851"/>
        <w:rPr>
          <w:sz w:val="24"/>
          <w:szCs w:val="24"/>
        </w:rPr>
      </w:pPr>
      <w:r w:rsidRPr="00D11AD1">
        <w:rPr>
          <w:sz w:val="24"/>
          <w:szCs w:val="24"/>
        </w:rPr>
        <w:t>I et konventionelt rottefertilitetsstudie og i et studie vedrørende tidlig embryoudvikling påvirkede dasatinib ikke fertiliteten hos han- eller hunrotter, men inducerede embryoletalitet ved dosisniveauer omtrent svarende til human klinisk eksponeringer. Dasatinib har tilsvarende induceret embryoletalitet med nedsat kuldstørrelse i embryoføtale udviklingsstudier hos rotter samt føtale skeletforandringer hos såvel rotter og kaniner. Disse virkninger forekom ved doser, der ikke gav maternel toksicitet, hvilket tyder på, at dasatinib er selektivt reproduktionstoksisk fra implantering til og med organgenesen er afsluttet.</w:t>
      </w:r>
    </w:p>
    <w:p w14:paraId="39B3B4A1" w14:textId="77777777" w:rsidR="00F77C01" w:rsidRPr="00D11AD1" w:rsidRDefault="00F77C01" w:rsidP="00F77C01">
      <w:pPr>
        <w:tabs>
          <w:tab w:val="left" w:pos="851"/>
        </w:tabs>
        <w:ind w:left="851"/>
        <w:rPr>
          <w:sz w:val="24"/>
          <w:szCs w:val="24"/>
        </w:rPr>
      </w:pPr>
    </w:p>
    <w:p w14:paraId="3E254886" w14:textId="77777777" w:rsidR="00F77C01" w:rsidRPr="00D11AD1" w:rsidRDefault="00F77C01" w:rsidP="00F77C01">
      <w:pPr>
        <w:tabs>
          <w:tab w:val="left" w:pos="851"/>
        </w:tabs>
        <w:ind w:left="851"/>
        <w:rPr>
          <w:sz w:val="24"/>
          <w:szCs w:val="24"/>
        </w:rPr>
      </w:pPr>
      <w:r w:rsidRPr="00D11AD1">
        <w:rPr>
          <w:sz w:val="24"/>
          <w:szCs w:val="24"/>
        </w:rPr>
        <w:t xml:space="preserve">Dasatinib inducerede immunosuppression hos mus, som var dosisrelateret og effektivt kunne behandles med dosisreduktion og/eller ændringer i dosisskemaet. Dasatinib havde fototoksisk potentiale i et </w:t>
      </w:r>
      <w:r w:rsidRPr="00D11AD1">
        <w:rPr>
          <w:i/>
          <w:iCs/>
          <w:sz w:val="24"/>
          <w:szCs w:val="24"/>
        </w:rPr>
        <w:t xml:space="preserve">in vitro </w:t>
      </w:r>
      <w:r w:rsidRPr="00D11AD1">
        <w:rPr>
          <w:sz w:val="24"/>
          <w:szCs w:val="24"/>
        </w:rPr>
        <w:t xml:space="preserve">neutral red uptake fototoksicitets-assay i musefibroblaster. Dasatinib anses for at være ikke-fototoksisk </w:t>
      </w:r>
      <w:r w:rsidRPr="00D11AD1">
        <w:rPr>
          <w:i/>
          <w:iCs/>
          <w:sz w:val="24"/>
          <w:szCs w:val="24"/>
        </w:rPr>
        <w:t xml:space="preserve">in vivo </w:t>
      </w:r>
      <w:r w:rsidRPr="00D11AD1">
        <w:rPr>
          <w:sz w:val="24"/>
          <w:szCs w:val="24"/>
        </w:rPr>
        <w:t>efter en enkelt oral administration til hårløse hunmus ved doser op til 3 gange større end de humane doser efter administration af den anbefalede terapeutiske dosis (baseret på AUC).</w:t>
      </w:r>
    </w:p>
    <w:p w14:paraId="375C13D2" w14:textId="77777777" w:rsidR="00F77C01" w:rsidRPr="00D11AD1" w:rsidRDefault="00F77C01" w:rsidP="00F77C01">
      <w:pPr>
        <w:tabs>
          <w:tab w:val="left" w:pos="851"/>
        </w:tabs>
        <w:ind w:left="851"/>
        <w:rPr>
          <w:sz w:val="24"/>
          <w:szCs w:val="24"/>
        </w:rPr>
      </w:pPr>
    </w:p>
    <w:p w14:paraId="627142A4" w14:textId="7E5C0D00" w:rsidR="00F77C01" w:rsidRPr="00D11AD1" w:rsidRDefault="00F77C01" w:rsidP="00F77C01">
      <w:pPr>
        <w:tabs>
          <w:tab w:val="left" w:pos="851"/>
        </w:tabs>
        <w:ind w:left="851"/>
        <w:rPr>
          <w:sz w:val="24"/>
          <w:szCs w:val="24"/>
        </w:rPr>
      </w:pPr>
      <w:r w:rsidRPr="00D11AD1">
        <w:rPr>
          <w:sz w:val="24"/>
          <w:szCs w:val="24"/>
        </w:rPr>
        <w:lastRenderedPageBreak/>
        <w:t xml:space="preserve">I et to-årigt karcinogenicitetsstudie fik rotter orale dasatinib doser på 0,3, 1 og 3 mg/kg/dag. Den højeste dosis medførte plasmaniveauer (AUC), der generelt svarer til niveauet hos mennesker ved den anbefalede startdosis på mellem 100 mg og 140 mg </w:t>
      </w:r>
      <w:r w:rsidR="00FA34A4" w:rsidRPr="00D11AD1">
        <w:rPr>
          <w:sz w:val="24"/>
          <w:szCs w:val="24"/>
        </w:rPr>
        <w:t>daglig</w:t>
      </w:r>
      <w:r w:rsidRPr="00D11AD1">
        <w:rPr>
          <w:sz w:val="24"/>
          <w:szCs w:val="24"/>
        </w:rPr>
        <w:t>. Der blev observeret en klinisk signifikant stigning i den samlede hyppighed af planocellulært karcinom og papillomer i uterus og cervix hos høj-dosis hunrotter og i prostataadenom hos lav-dosis hanrotter. Hvorvidt fundene fra karcinogenicitetsstudiet med rotter har relevans for mennesker er ukendt.</w:t>
      </w:r>
    </w:p>
    <w:p w14:paraId="2F54A76B" w14:textId="113B332D" w:rsidR="009260DE" w:rsidRPr="00D11AD1" w:rsidRDefault="009260DE" w:rsidP="009260DE">
      <w:pPr>
        <w:tabs>
          <w:tab w:val="left" w:pos="851"/>
        </w:tabs>
        <w:ind w:left="851"/>
        <w:rPr>
          <w:sz w:val="24"/>
          <w:szCs w:val="24"/>
        </w:rPr>
      </w:pPr>
    </w:p>
    <w:p w14:paraId="2726F4B4" w14:textId="77777777" w:rsidR="00F77C01" w:rsidRPr="00D11AD1" w:rsidRDefault="00F77C01" w:rsidP="009260DE">
      <w:pPr>
        <w:tabs>
          <w:tab w:val="left" w:pos="851"/>
        </w:tabs>
        <w:ind w:left="851"/>
        <w:rPr>
          <w:sz w:val="24"/>
          <w:szCs w:val="24"/>
        </w:rPr>
      </w:pPr>
    </w:p>
    <w:p w14:paraId="5DA77D86" w14:textId="77777777" w:rsidR="009260DE" w:rsidRPr="00D11AD1" w:rsidRDefault="009260DE" w:rsidP="009260DE">
      <w:pPr>
        <w:tabs>
          <w:tab w:val="left" w:pos="851"/>
        </w:tabs>
        <w:ind w:left="851" w:hanging="851"/>
        <w:rPr>
          <w:b/>
          <w:sz w:val="24"/>
          <w:szCs w:val="24"/>
        </w:rPr>
      </w:pPr>
      <w:r w:rsidRPr="00D11AD1">
        <w:rPr>
          <w:b/>
          <w:sz w:val="24"/>
          <w:szCs w:val="24"/>
        </w:rPr>
        <w:t>6.</w:t>
      </w:r>
      <w:r w:rsidRPr="00D11AD1">
        <w:rPr>
          <w:b/>
          <w:sz w:val="24"/>
          <w:szCs w:val="24"/>
        </w:rPr>
        <w:tab/>
        <w:t>FARMACEUTISKE OPLYSNINGER</w:t>
      </w:r>
    </w:p>
    <w:p w14:paraId="7D876CB8" w14:textId="77777777" w:rsidR="009260DE" w:rsidRPr="00D11AD1" w:rsidRDefault="009260DE" w:rsidP="009260DE">
      <w:pPr>
        <w:tabs>
          <w:tab w:val="left" w:pos="851"/>
        </w:tabs>
        <w:ind w:left="851"/>
        <w:rPr>
          <w:sz w:val="24"/>
          <w:szCs w:val="24"/>
        </w:rPr>
      </w:pPr>
    </w:p>
    <w:p w14:paraId="4F62D663" w14:textId="77777777" w:rsidR="009260DE" w:rsidRPr="00D11AD1" w:rsidRDefault="009260DE" w:rsidP="009260DE">
      <w:pPr>
        <w:tabs>
          <w:tab w:val="left" w:pos="851"/>
        </w:tabs>
        <w:ind w:left="851" w:hanging="851"/>
        <w:rPr>
          <w:b/>
          <w:sz w:val="24"/>
          <w:szCs w:val="24"/>
        </w:rPr>
      </w:pPr>
      <w:r w:rsidRPr="00D11AD1">
        <w:rPr>
          <w:b/>
          <w:sz w:val="24"/>
          <w:szCs w:val="24"/>
        </w:rPr>
        <w:t>6.1</w:t>
      </w:r>
      <w:r w:rsidRPr="00D11AD1">
        <w:rPr>
          <w:b/>
          <w:sz w:val="24"/>
          <w:szCs w:val="24"/>
        </w:rPr>
        <w:tab/>
        <w:t>Hjælpestoffer</w:t>
      </w:r>
    </w:p>
    <w:p w14:paraId="6BD1D046" w14:textId="77777777" w:rsidR="002A77ED" w:rsidRPr="00D11AD1" w:rsidRDefault="002A77ED" w:rsidP="002A77ED">
      <w:pPr>
        <w:tabs>
          <w:tab w:val="left" w:pos="851"/>
        </w:tabs>
        <w:ind w:left="851"/>
        <w:rPr>
          <w:sz w:val="24"/>
          <w:szCs w:val="24"/>
          <w:u w:val="single"/>
        </w:rPr>
      </w:pPr>
    </w:p>
    <w:p w14:paraId="1F40325A" w14:textId="55BA6C19" w:rsidR="002A77ED" w:rsidRPr="00D11AD1" w:rsidRDefault="002A77ED" w:rsidP="002A77ED">
      <w:pPr>
        <w:tabs>
          <w:tab w:val="left" w:pos="851"/>
        </w:tabs>
        <w:ind w:left="851"/>
        <w:rPr>
          <w:sz w:val="24"/>
          <w:szCs w:val="24"/>
          <w:u w:val="single"/>
        </w:rPr>
      </w:pPr>
      <w:r w:rsidRPr="00D11AD1">
        <w:rPr>
          <w:sz w:val="24"/>
          <w:szCs w:val="24"/>
          <w:u w:val="single"/>
        </w:rPr>
        <w:t>Tabletkerne</w:t>
      </w:r>
    </w:p>
    <w:p w14:paraId="7CD86D6D" w14:textId="77777777" w:rsidR="002A77ED" w:rsidRPr="00D11AD1" w:rsidRDefault="002A77ED" w:rsidP="002A77ED">
      <w:pPr>
        <w:tabs>
          <w:tab w:val="left" w:pos="851"/>
        </w:tabs>
        <w:ind w:left="851"/>
        <w:rPr>
          <w:sz w:val="24"/>
          <w:szCs w:val="24"/>
        </w:rPr>
      </w:pPr>
      <w:r w:rsidRPr="00D11AD1">
        <w:rPr>
          <w:sz w:val="24"/>
          <w:szCs w:val="24"/>
        </w:rPr>
        <w:t>Mikrokrystallinsk cellulose (type 101)</w:t>
      </w:r>
    </w:p>
    <w:p w14:paraId="15EADA6C" w14:textId="77777777" w:rsidR="002A77ED" w:rsidRPr="00D11AD1" w:rsidRDefault="002A77ED" w:rsidP="002A77ED">
      <w:pPr>
        <w:tabs>
          <w:tab w:val="left" w:pos="851"/>
        </w:tabs>
        <w:ind w:left="851"/>
        <w:rPr>
          <w:sz w:val="24"/>
          <w:szCs w:val="24"/>
          <w:lang w:val="en-US"/>
        </w:rPr>
      </w:pPr>
      <w:r w:rsidRPr="00D11AD1">
        <w:rPr>
          <w:sz w:val="24"/>
          <w:szCs w:val="24"/>
          <w:lang w:val="en-US"/>
        </w:rPr>
        <w:t>Mikrokrystallinsk cellulose (type 102)</w:t>
      </w:r>
    </w:p>
    <w:p w14:paraId="6DCA2365" w14:textId="77777777" w:rsidR="002A77ED" w:rsidRPr="00D11AD1" w:rsidRDefault="002A77ED" w:rsidP="002A77ED">
      <w:pPr>
        <w:tabs>
          <w:tab w:val="left" w:pos="851"/>
        </w:tabs>
        <w:ind w:left="851"/>
        <w:rPr>
          <w:sz w:val="24"/>
          <w:szCs w:val="24"/>
          <w:lang w:val="en-US"/>
        </w:rPr>
      </w:pPr>
      <w:r w:rsidRPr="00D11AD1">
        <w:rPr>
          <w:sz w:val="24"/>
          <w:szCs w:val="24"/>
          <w:lang w:val="en-US"/>
        </w:rPr>
        <w:t>Lactosemonohydrat</w:t>
      </w:r>
    </w:p>
    <w:p w14:paraId="7EBCC270" w14:textId="77777777" w:rsidR="002A77ED" w:rsidRPr="00D11AD1" w:rsidRDefault="002A77ED" w:rsidP="002A77ED">
      <w:pPr>
        <w:tabs>
          <w:tab w:val="left" w:pos="851"/>
        </w:tabs>
        <w:ind w:left="851"/>
        <w:rPr>
          <w:sz w:val="24"/>
          <w:szCs w:val="24"/>
          <w:lang w:val="en-US"/>
        </w:rPr>
      </w:pPr>
      <w:r w:rsidRPr="00D11AD1">
        <w:rPr>
          <w:sz w:val="24"/>
          <w:szCs w:val="24"/>
          <w:lang w:val="en-US"/>
        </w:rPr>
        <w:t xml:space="preserve">Hydroxypropylcellulose </w:t>
      </w:r>
    </w:p>
    <w:p w14:paraId="2A7C407E" w14:textId="77777777" w:rsidR="002A77ED" w:rsidRPr="00D11AD1" w:rsidRDefault="002A77ED" w:rsidP="002A77ED">
      <w:pPr>
        <w:tabs>
          <w:tab w:val="left" w:pos="851"/>
        </w:tabs>
        <w:ind w:left="851"/>
        <w:rPr>
          <w:sz w:val="24"/>
          <w:szCs w:val="24"/>
          <w:lang w:val="en-US"/>
        </w:rPr>
      </w:pPr>
      <w:r w:rsidRPr="00D11AD1">
        <w:rPr>
          <w:sz w:val="24"/>
          <w:szCs w:val="24"/>
          <w:lang w:val="en-US"/>
        </w:rPr>
        <w:t>Croscarmellosenatrium</w:t>
      </w:r>
    </w:p>
    <w:p w14:paraId="7BC2FAB6" w14:textId="77777777" w:rsidR="002A77ED" w:rsidRPr="00D11AD1" w:rsidRDefault="002A77ED" w:rsidP="002A77ED">
      <w:pPr>
        <w:tabs>
          <w:tab w:val="left" w:pos="851"/>
        </w:tabs>
        <w:ind w:left="851"/>
        <w:rPr>
          <w:sz w:val="24"/>
          <w:szCs w:val="24"/>
        </w:rPr>
      </w:pPr>
      <w:r w:rsidRPr="00D11AD1">
        <w:rPr>
          <w:sz w:val="24"/>
          <w:szCs w:val="24"/>
        </w:rPr>
        <w:t>Magnesiumstearat</w:t>
      </w:r>
    </w:p>
    <w:p w14:paraId="02190943" w14:textId="77777777" w:rsidR="002A77ED" w:rsidRPr="00D11AD1" w:rsidRDefault="002A77ED" w:rsidP="002A77ED">
      <w:pPr>
        <w:tabs>
          <w:tab w:val="left" w:pos="851"/>
        </w:tabs>
        <w:ind w:left="851"/>
        <w:rPr>
          <w:sz w:val="24"/>
          <w:szCs w:val="24"/>
        </w:rPr>
      </w:pPr>
    </w:p>
    <w:p w14:paraId="15850D9C" w14:textId="77777777" w:rsidR="002A77ED" w:rsidRPr="00D11AD1" w:rsidRDefault="002A77ED" w:rsidP="002A77ED">
      <w:pPr>
        <w:tabs>
          <w:tab w:val="left" w:pos="851"/>
        </w:tabs>
        <w:ind w:left="851"/>
        <w:rPr>
          <w:sz w:val="24"/>
          <w:szCs w:val="24"/>
          <w:u w:val="single"/>
        </w:rPr>
      </w:pPr>
      <w:r w:rsidRPr="00D11AD1">
        <w:rPr>
          <w:sz w:val="24"/>
          <w:szCs w:val="24"/>
          <w:u w:val="single"/>
        </w:rPr>
        <w:t>Filmovertræk</w:t>
      </w:r>
    </w:p>
    <w:p w14:paraId="2C67CAFB" w14:textId="77777777" w:rsidR="002A77ED" w:rsidRPr="00D11AD1" w:rsidRDefault="002A77ED" w:rsidP="002A77ED">
      <w:pPr>
        <w:tabs>
          <w:tab w:val="left" w:pos="851"/>
        </w:tabs>
        <w:ind w:left="851"/>
        <w:rPr>
          <w:sz w:val="24"/>
          <w:szCs w:val="24"/>
        </w:rPr>
      </w:pPr>
      <w:r w:rsidRPr="00D11AD1">
        <w:rPr>
          <w:sz w:val="24"/>
          <w:szCs w:val="24"/>
        </w:rPr>
        <w:t xml:space="preserve">Hypromellose </w:t>
      </w:r>
    </w:p>
    <w:p w14:paraId="24E2B73B" w14:textId="77777777" w:rsidR="002A77ED" w:rsidRPr="00D11AD1" w:rsidRDefault="002A77ED" w:rsidP="002A77ED">
      <w:pPr>
        <w:tabs>
          <w:tab w:val="left" w:pos="851"/>
        </w:tabs>
        <w:ind w:left="851"/>
        <w:rPr>
          <w:sz w:val="24"/>
          <w:szCs w:val="24"/>
        </w:rPr>
      </w:pPr>
      <w:r w:rsidRPr="00D11AD1">
        <w:rPr>
          <w:sz w:val="24"/>
          <w:szCs w:val="24"/>
        </w:rPr>
        <w:t>Titandioxid (E171)</w:t>
      </w:r>
    </w:p>
    <w:p w14:paraId="289C272E" w14:textId="77777777" w:rsidR="002A77ED" w:rsidRPr="00D11AD1" w:rsidRDefault="002A77ED" w:rsidP="002A77ED">
      <w:pPr>
        <w:tabs>
          <w:tab w:val="left" w:pos="851"/>
        </w:tabs>
        <w:ind w:left="851"/>
        <w:rPr>
          <w:sz w:val="24"/>
          <w:szCs w:val="24"/>
        </w:rPr>
      </w:pPr>
      <w:r w:rsidRPr="00D11AD1">
        <w:rPr>
          <w:sz w:val="24"/>
          <w:szCs w:val="24"/>
        </w:rPr>
        <w:t>Triethylcitrat</w:t>
      </w:r>
    </w:p>
    <w:p w14:paraId="0A306274" w14:textId="77777777" w:rsidR="009260DE" w:rsidRPr="00D11AD1" w:rsidRDefault="009260DE" w:rsidP="009260DE">
      <w:pPr>
        <w:tabs>
          <w:tab w:val="left" w:pos="851"/>
        </w:tabs>
        <w:ind w:left="851"/>
        <w:rPr>
          <w:sz w:val="24"/>
          <w:szCs w:val="24"/>
        </w:rPr>
      </w:pPr>
    </w:p>
    <w:p w14:paraId="7D3DC498" w14:textId="77777777" w:rsidR="009260DE" w:rsidRPr="00D11AD1" w:rsidRDefault="009260DE" w:rsidP="009260DE">
      <w:pPr>
        <w:tabs>
          <w:tab w:val="left" w:pos="851"/>
        </w:tabs>
        <w:ind w:left="851" w:hanging="851"/>
        <w:rPr>
          <w:b/>
          <w:sz w:val="24"/>
          <w:szCs w:val="24"/>
        </w:rPr>
      </w:pPr>
      <w:r w:rsidRPr="00D11AD1">
        <w:rPr>
          <w:b/>
          <w:sz w:val="24"/>
          <w:szCs w:val="24"/>
        </w:rPr>
        <w:t>6.2</w:t>
      </w:r>
      <w:r w:rsidRPr="00D11AD1">
        <w:rPr>
          <w:b/>
          <w:sz w:val="24"/>
          <w:szCs w:val="24"/>
        </w:rPr>
        <w:tab/>
        <w:t>Uforligeligheder</w:t>
      </w:r>
    </w:p>
    <w:p w14:paraId="45ABEDDC" w14:textId="6F2BFF5E" w:rsidR="009260DE" w:rsidRPr="00D11AD1" w:rsidRDefault="00156C5A" w:rsidP="009260DE">
      <w:pPr>
        <w:tabs>
          <w:tab w:val="left" w:pos="851"/>
        </w:tabs>
        <w:ind w:left="851"/>
        <w:rPr>
          <w:sz w:val="24"/>
          <w:szCs w:val="24"/>
        </w:rPr>
      </w:pPr>
      <w:r w:rsidRPr="00D11AD1">
        <w:rPr>
          <w:sz w:val="24"/>
          <w:szCs w:val="24"/>
        </w:rPr>
        <w:t>Ikke relevant.</w:t>
      </w:r>
    </w:p>
    <w:p w14:paraId="6FD0E776" w14:textId="77777777" w:rsidR="009260DE" w:rsidRPr="00D11AD1" w:rsidRDefault="009260DE" w:rsidP="009260DE">
      <w:pPr>
        <w:tabs>
          <w:tab w:val="left" w:pos="851"/>
        </w:tabs>
        <w:ind w:left="851"/>
        <w:rPr>
          <w:sz w:val="24"/>
          <w:szCs w:val="24"/>
        </w:rPr>
      </w:pPr>
    </w:p>
    <w:p w14:paraId="3C4C9234" w14:textId="77777777" w:rsidR="009260DE" w:rsidRPr="00D11AD1" w:rsidRDefault="009260DE" w:rsidP="009260DE">
      <w:pPr>
        <w:tabs>
          <w:tab w:val="left" w:pos="851"/>
        </w:tabs>
        <w:ind w:left="851" w:hanging="851"/>
        <w:rPr>
          <w:b/>
          <w:sz w:val="24"/>
          <w:szCs w:val="24"/>
        </w:rPr>
      </w:pPr>
      <w:r w:rsidRPr="00D11AD1">
        <w:rPr>
          <w:b/>
          <w:sz w:val="24"/>
          <w:szCs w:val="24"/>
        </w:rPr>
        <w:t>6.3</w:t>
      </w:r>
      <w:r w:rsidRPr="00D11AD1">
        <w:rPr>
          <w:b/>
          <w:sz w:val="24"/>
          <w:szCs w:val="24"/>
        </w:rPr>
        <w:tab/>
        <w:t>Opbevaringstid</w:t>
      </w:r>
    </w:p>
    <w:p w14:paraId="6091A3F0" w14:textId="0F3C1851" w:rsidR="009260DE" w:rsidRPr="00D11AD1" w:rsidRDefault="009260DE" w:rsidP="009260DE">
      <w:pPr>
        <w:tabs>
          <w:tab w:val="left" w:pos="851"/>
        </w:tabs>
        <w:ind w:left="851" w:hanging="851"/>
        <w:rPr>
          <w:sz w:val="24"/>
          <w:szCs w:val="24"/>
        </w:rPr>
      </w:pPr>
      <w:r w:rsidRPr="00D11AD1">
        <w:rPr>
          <w:sz w:val="24"/>
          <w:szCs w:val="24"/>
        </w:rPr>
        <w:tab/>
      </w:r>
      <w:r w:rsidR="00156C5A" w:rsidRPr="00D11AD1">
        <w:rPr>
          <w:sz w:val="24"/>
          <w:szCs w:val="24"/>
        </w:rPr>
        <w:t>30 måneder.</w:t>
      </w:r>
    </w:p>
    <w:p w14:paraId="4E4B203A" w14:textId="77777777" w:rsidR="009260DE" w:rsidRPr="00D11AD1" w:rsidRDefault="009260DE" w:rsidP="009260DE">
      <w:pPr>
        <w:tabs>
          <w:tab w:val="left" w:pos="851"/>
        </w:tabs>
        <w:ind w:left="851"/>
        <w:rPr>
          <w:sz w:val="24"/>
          <w:szCs w:val="24"/>
        </w:rPr>
      </w:pPr>
    </w:p>
    <w:p w14:paraId="33203C72" w14:textId="77777777" w:rsidR="009260DE" w:rsidRPr="00D11AD1" w:rsidRDefault="009260DE" w:rsidP="009260DE">
      <w:pPr>
        <w:tabs>
          <w:tab w:val="left" w:pos="851"/>
        </w:tabs>
        <w:ind w:left="851" w:hanging="851"/>
        <w:rPr>
          <w:b/>
          <w:sz w:val="24"/>
          <w:szCs w:val="24"/>
        </w:rPr>
      </w:pPr>
      <w:r w:rsidRPr="00D11AD1">
        <w:rPr>
          <w:b/>
          <w:sz w:val="24"/>
          <w:szCs w:val="24"/>
        </w:rPr>
        <w:t>6.4</w:t>
      </w:r>
      <w:r w:rsidRPr="00D11AD1">
        <w:rPr>
          <w:b/>
          <w:sz w:val="24"/>
          <w:szCs w:val="24"/>
        </w:rPr>
        <w:tab/>
        <w:t>Særlige opbevaringsforhold</w:t>
      </w:r>
    </w:p>
    <w:p w14:paraId="01AEE4EC" w14:textId="77777777" w:rsidR="00156C5A" w:rsidRPr="00D11AD1" w:rsidRDefault="00156C5A" w:rsidP="00156C5A">
      <w:pPr>
        <w:tabs>
          <w:tab w:val="left" w:pos="851"/>
        </w:tabs>
        <w:ind w:left="851"/>
        <w:rPr>
          <w:sz w:val="24"/>
          <w:szCs w:val="24"/>
        </w:rPr>
      </w:pPr>
      <w:r w:rsidRPr="00D11AD1">
        <w:rPr>
          <w:sz w:val="24"/>
          <w:szCs w:val="24"/>
        </w:rPr>
        <w:t>Dette lægemiddel kræver ingen særlige forholdsregler vedrørende opbevaringen.</w:t>
      </w:r>
    </w:p>
    <w:p w14:paraId="16F80D3C" w14:textId="77777777" w:rsidR="009260DE" w:rsidRPr="00D11AD1" w:rsidRDefault="009260DE" w:rsidP="009260DE">
      <w:pPr>
        <w:tabs>
          <w:tab w:val="left" w:pos="851"/>
        </w:tabs>
        <w:ind w:left="851"/>
        <w:rPr>
          <w:sz w:val="24"/>
          <w:szCs w:val="24"/>
        </w:rPr>
      </w:pPr>
    </w:p>
    <w:p w14:paraId="452069AC" w14:textId="00BB8448" w:rsidR="009260DE" w:rsidRPr="00D11AD1" w:rsidRDefault="009260DE" w:rsidP="009260DE">
      <w:pPr>
        <w:tabs>
          <w:tab w:val="left" w:pos="851"/>
        </w:tabs>
        <w:ind w:left="851" w:hanging="851"/>
        <w:rPr>
          <w:b/>
          <w:sz w:val="24"/>
          <w:szCs w:val="24"/>
        </w:rPr>
      </w:pPr>
      <w:r w:rsidRPr="00D11AD1">
        <w:rPr>
          <w:b/>
          <w:sz w:val="24"/>
          <w:szCs w:val="24"/>
        </w:rPr>
        <w:t>6.5</w:t>
      </w:r>
      <w:r w:rsidRPr="00D11AD1">
        <w:rPr>
          <w:b/>
          <w:sz w:val="24"/>
          <w:szCs w:val="24"/>
        </w:rPr>
        <w:tab/>
        <w:t>Emballagetype og pakningsstørrelser</w:t>
      </w:r>
    </w:p>
    <w:p w14:paraId="643A4EFD" w14:textId="77777777" w:rsidR="00156C5A" w:rsidRPr="00D11AD1" w:rsidRDefault="00156C5A" w:rsidP="00156C5A">
      <w:pPr>
        <w:tabs>
          <w:tab w:val="left" w:pos="851"/>
        </w:tabs>
        <w:ind w:left="851"/>
        <w:rPr>
          <w:sz w:val="24"/>
          <w:szCs w:val="24"/>
        </w:rPr>
      </w:pPr>
    </w:p>
    <w:p w14:paraId="2BF51D0C" w14:textId="765C6D27" w:rsidR="00156C5A" w:rsidRPr="00D11AD1" w:rsidRDefault="00156C5A" w:rsidP="00156C5A">
      <w:pPr>
        <w:tabs>
          <w:tab w:val="left" w:pos="851"/>
        </w:tabs>
        <w:ind w:left="851"/>
        <w:rPr>
          <w:sz w:val="24"/>
          <w:szCs w:val="24"/>
          <w:u w:val="single"/>
        </w:rPr>
      </w:pPr>
      <w:r w:rsidRPr="00D11AD1">
        <w:rPr>
          <w:sz w:val="24"/>
          <w:szCs w:val="24"/>
          <w:u w:val="single"/>
        </w:rPr>
        <w:t>20 mg, 50 mg, 70 mg</w:t>
      </w:r>
    </w:p>
    <w:p w14:paraId="68CC9548" w14:textId="77777777" w:rsidR="00561E0C" w:rsidRPr="00D11AD1" w:rsidRDefault="00561E0C" w:rsidP="00156C5A">
      <w:pPr>
        <w:tabs>
          <w:tab w:val="left" w:pos="851"/>
        </w:tabs>
        <w:ind w:left="851"/>
        <w:rPr>
          <w:sz w:val="24"/>
          <w:szCs w:val="24"/>
        </w:rPr>
      </w:pPr>
    </w:p>
    <w:p w14:paraId="3CD19713" w14:textId="4F9D838D" w:rsidR="00561E0C" w:rsidRPr="00D11AD1" w:rsidRDefault="00561E0C" w:rsidP="00156C5A">
      <w:pPr>
        <w:tabs>
          <w:tab w:val="left" w:pos="851"/>
        </w:tabs>
        <w:ind w:left="851"/>
        <w:rPr>
          <w:i/>
          <w:sz w:val="24"/>
          <w:szCs w:val="24"/>
        </w:rPr>
      </w:pPr>
      <w:r w:rsidRPr="00D11AD1">
        <w:rPr>
          <w:i/>
          <w:sz w:val="24"/>
          <w:szCs w:val="24"/>
        </w:rPr>
        <w:t>O</w:t>
      </w:r>
      <w:r w:rsidR="00156C5A" w:rsidRPr="00D11AD1">
        <w:rPr>
          <w:i/>
          <w:sz w:val="24"/>
          <w:szCs w:val="24"/>
        </w:rPr>
        <w:t>PA/Al/PVC-aluminium blisterpakning</w:t>
      </w:r>
    </w:p>
    <w:p w14:paraId="419A393B" w14:textId="4F6A6B12" w:rsidR="00561E0C" w:rsidRPr="00D11AD1" w:rsidRDefault="00561E0C" w:rsidP="00156C5A">
      <w:pPr>
        <w:tabs>
          <w:tab w:val="left" w:pos="851"/>
        </w:tabs>
        <w:ind w:left="851"/>
        <w:rPr>
          <w:sz w:val="24"/>
          <w:szCs w:val="24"/>
        </w:rPr>
      </w:pPr>
      <w:r w:rsidRPr="00D11AD1">
        <w:rPr>
          <w:sz w:val="24"/>
          <w:szCs w:val="24"/>
        </w:rPr>
        <w:t xml:space="preserve">Pakningsstørrelser: </w:t>
      </w:r>
      <w:r w:rsidR="00156C5A" w:rsidRPr="00D11AD1">
        <w:rPr>
          <w:sz w:val="24"/>
          <w:szCs w:val="24"/>
        </w:rPr>
        <w:t>3</w:t>
      </w:r>
      <w:r w:rsidR="00951E66">
        <w:rPr>
          <w:sz w:val="24"/>
          <w:szCs w:val="24"/>
        </w:rPr>
        <w:t>0</w:t>
      </w:r>
      <w:r w:rsidR="00156C5A" w:rsidRPr="00D11AD1">
        <w:rPr>
          <w:sz w:val="24"/>
          <w:szCs w:val="24"/>
        </w:rPr>
        <w:t>, 56 og 60 filmovertrukne tabletter</w:t>
      </w:r>
      <w:r w:rsidRPr="00D11AD1">
        <w:rPr>
          <w:sz w:val="24"/>
          <w:szCs w:val="24"/>
        </w:rPr>
        <w:t>.</w:t>
      </w:r>
    </w:p>
    <w:p w14:paraId="756826BB" w14:textId="54926992" w:rsidR="00156C5A" w:rsidRPr="00D11AD1" w:rsidRDefault="00156C5A" w:rsidP="00156C5A">
      <w:pPr>
        <w:tabs>
          <w:tab w:val="left" w:pos="851"/>
        </w:tabs>
        <w:ind w:left="851"/>
        <w:rPr>
          <w:sz w:val="24"/>
          <w:szCs w:val="24"/>
        </w:rPr>
      </w:pPr>
    </w:p>
    <w:p w14:paraId="01BFB3E5" w14:textId="2E5AD299" w:rsidR="00561E0C" w:rsidRPr="00D11AD1" w:rsidRDefault="00156C5A" w:rsidP="00156C5A">
      <w:pPr>
        <w:tabs>
          <w:tab w:val="left" w:pos="851"/>
        </w:tabs>
        <w:ind w:left="851"/>
        <w:rPr>
          <w:sz w:val="24"/>
          <w:szCs w:val="24"/>
        </w:rPr>
      </w:pPr>
      <w:r w:rsidRPr="00D11AD1">
        <w:rPr>
          <w:i/>
          <w:sz w:val="24"/>
          <w:szCs w:val="24"/>
        </w:rPr>
        <w:t>HDPE (High-density polyethylene) flaske med et silicagel-tørremiddel og børnesikret polypropylenskruelåg</w:t>
      </w:r>
    </w:p>
    <w:p w14:paraId="37A2B7D0" w14:textId="4F92A407" w:rsidR="00156C5A" w:rsidRPr="00D11AD1" w:rsidRDefault="00561E0C" w:rsidP="00156C5A">
      <w:pPr>
        <w:tabs>
          <w:tab w:val="left" w:pos="851"/>
        </w:tabs>
        <w:ind w:left="851"/>
        <w:rPr>
          <w:sz w:val="24"/>
          <w:szCs w:val="24"/>
        </w:rPr>
      </w:pPr>
      <w:r w:rsidRPr="00D11AD1">
        <w:rPr>
          <w:sz w:val="24"/>
          <w:szCs w:val="24"/>
        </w:rPr>
        <w:t xml:space="preserve">Pakningsstørrelser: </w:t>
      </w:r>
      <w:r w:rsidR="00156C5A" w:rsidRPr="00D11AD1">
        <w:rPr>
          <w:sz w:val="24"/>
          <w:szCs w:val="24"/>
        </w:rPr>
        <w:t>60 filmovertrukne tabletter.</w:t>
      </w:r>
    </w:p>
    <w:p w14:paraId="47AB7D27" w14:textId="77777777" w:rsidR="001F3DD0" w:rsidRPr="00D11AD1" w:rsidRDefault="001F3DD0" w:rsidP="00156C5A">
      <w:pPr>
        <w:tabs>
          <w:tab w:val="left" w:pos="851"/>
        </w:tabs>
        <w:ind w:left="851"/>
        <w:rPr>
          <w:sz w:val="24"/>
          <w:szCs w:val="24"/>
        </w:rPr>
      </w:pPr>
    </w:p>
    <w:p w14:paraId="78728558" w14:textId="33F5279D" w:rsidR="00156C5A" w:rsidRPr="00D11AD1" w:rsidRDefault="00156C5A" w:rsidP="00156C5A">
      <w:pPr>
        <w:tabs>
          <w:tab w:val="left" w:pos="851"/>
        </w:tabs>
        <w:ind w:left="851"/>
        <w:rPr>
          <w:sz w:val="24"/>
          <w:szCs w:val="24"/>
          <w:u w:val="single"/>
        </w:rPr>
      </w:pPr>
      <w:r w:rsidRPr="00D11AD1">
        <w:rPr>
          <w:sz w:val="24"/>
          <w:szCs w:val="24"/>
          <w:u w:val="single"/>
        </w:rPr>
        <w:t>80</w:t>
      </w:r>
      <w:r w:rsidR="00561E0C" w:rsidRPr="00D11AD1">
        <w:rPr>
          <w:sz w:val="24"/>
          <w:szCs w:val="24"/>
          <w:u w:val="single"/>
        </w:rPr>
        <w:t xml:space="preserve"> </w:t>
      </w:r>
      <w:r w:rsidRPr="00D11AD1">
        <w:rPr>
          <w:sz w:val="24"/>
          <w:szCs w:val="24"/>
          <w:u w:val="single"/>
        </w:rPr>
        <w:t>mg, 100</w:t>
      </w:r>
      <w:r w:rsidR="00561E0C" w:rsidRPr="00D11AD1">
        <w:rPr>
          <w:sz w:val="24"/>
          <w:szCs w:val="24"/>
          <w:u w:val="single"/>
        </w:rPr>
        <w:t xml:space="preserve"> </w:t>
      </w:r>
      <w:r w:rsidRPr="00D11AD1">
        <w:rPr>
          <w:sz w:val="24"/>
          <w:szCs w:val="24"/>
          <w:u w:val="single"/>
        </w:rPr>
        <w:t>mg og 140 mg</w:t>
      </w:r>
    </w:p>
    <w:p w14:paraId="13C1B28D" w14:textId="77777777" w:rsidR="00FA34A4" w:rsidRPr="00D11AD1" w:rsidRDefault="00FA34A4" w:rsidP="00156C5A">
      <w:pPr>
        <w:tabs>
          <w:tab w:val="left" w:pos="851"/>
        </w:tabs>
        <w:ind w:left="851"/>
        <w:rPr>
          <w:sz w:val="24"/>
          <w:szCs w:val="24"/>
        </w:rPr>
      </w:pPr>
    </w:p>
    <w:p w14:paraId="3C1E33E7" w14:textId="77777777" w:rsidR="0088471B" w:rsidRPr="00D11AD1" w:rsidRDefault="00561E0C" w:rsidP="00156C5A">
      <w:pPr>
        <w:tabs>
          <w:tab w:val="left" w:pos="851"/>
        </w:tabs>
        <w:ind w:left="851"/>
        <w:rPr>
          <w:i/>
          <w:sz w:val="24"/>
          <w:szCs w:val="24"/>
        </w:rPr>
      </w:pPr>
      <w:r w:rsidRPr="00D11AD1">
        <w:rPr>
          <w:i/>
          <w:sz w:val="24"/>
          <w:szCs w:val="24"/>
        </w:rPr>
        <w:t>O</w:t>
      </w:r>
      <w:r w:rsidR="00156C5A" w:rsidRPr="00D11AD1">
        <w:rPr>
          <w:i/>
          <w:sz w:val="24"/>
          <w:szCs w:val="24"/>
        </w:rPr>
        <w:t>PA/Al/PVC-aluminium blisterpakning</w:t>
      </w:r>
    </w:p>
    <w:p w14:paraId="5C72788E" w14:textId="5BD2502E" w:rsidR="00156C5A" w:rsidRPr="00D11AD1" w:rsidRDefault="0088471B" w:rsidP="00156C5A">
      <w:pPr>
        <w:tabs>
          <w:tab w:val="left" w:pos="851"/>
        </w:tabs>
        <w:ind w:left="851"/>
        <w:rPr>
          <w:sz w:val="24"/>
          <w:szCs w:val="24"/>
        </w:rPr>
      </w:pPr>
      <w:r w:rsidRPr="00D11AD1">
        <w:rPr>
          <w:sz w:val="24"/>
          <w:szCs w:val="24"/>
        </w:rPr>
        <w:t xml:space="preserve">Pakningsstørrelser: </w:t>
      </w:r>
      <w:r w:rsidR="00156C5A" w:rsidRPr="00D11AD1">
        <w:rPr>
          <w:sz w:val="24"/>
          <w:szCs w:val="24"/>
        </w:rPr>
        <w:t>30 og 60 filmovertrukne tabletter.</w:t>
      </w:r>
    </w:p>
    <w:p w14:paraId="2E87B588" w14:textId="77777777" w:rsidR="00156C5A" w:rsidRPr="00D11AD1" w:rsidRDefault="00156C5A" w:rsidP="00156C5A">
      <w:pPr>
        <w:tabs>
          <w:tab w:val="left" w:pos="851"/>
        </w:tabs>
        <w:ind w:left="851"/>
        <w:rPr>
          <w:sz w:val="24"/>
          <w:szCs w:val="24"/>
        </w:rPr>
      </w:pPr>
    </w:p>
    <w:p w14:paraId="3BA15761" w14:textId="77777777" w:rsidR="0088471B" w:rsidRPr="00D11AD1" w:rsidRDefault="00156C5A" w:rsidP="00156C5A">
      <w:pPr>
        <w:tabs>
          <w:tab w:val="left" w:pos="851"/>
        </w:tabs>
        <w:ind w:left="851"/>
        <w:rPr>
          <w:i/>
          <w:sz w:val="24"/>
          <w:szCs w:val="24"/>
        </w:rPr>
      </w:pPr>
      <w:r w:rsidRPr="00D11AD1">
        <w:rPr>
          <w:i/>
          <w:sz w:val="24"/>
          <w:szCs w:val="24"/>
        </w:rPr>
        <w:lastRenderedPageBreak/>
        <w:t>HDPE (High-density polyethylene) flaske med et silicagel-tørremiddel og børnesikret polypropylenskruelåg</w:t>
      </w:r>
    </w:p>
    <w:p w14:paraId="274BE2FF" w14:textId="41E45111" w:rsidR="00156C5A" w:rsidRPr="00D11AD1" w:rsidRDefault="0088471B" w:rsidP="00156C5A">
      <w:pPr>
        <w:tabs>
          <w:tab w:val="left" w:pos="851"/>
        </w:tabs>
        <w:ind w:left="851"/>
        <w:rPr>
          <w:sz w:val="24"/>
          <w:szCs w:val="24"/>
        </w:rPr>
      </w:pPr>
      <w:r w:rsidRPr="00D11AD1">
        <w:rPr>
          <w:sz w:val="24"/>
          <w:szCs w:val="24"/>
        </w:rPr>
        <w:t xml:space="preserve">Pakningsstørrelser: </w:t>
      </w:r>
      <w:r w:rsidR="00156C5A" w:rsidRPr="00D11AD1">
        <w:rPr>
          <w:sz w:val="24"/>
          <w:szCs w:val="24"/>
        </w:rPr>
        <w:t>30 filmovertrukne tabletter.</w:t>
      </w:r>
    </w:p>
    <w:p w14:paraId="25501A25" w14:textId="77777777" w:rsidR="00156C5A" w:rsidRPr="00D11AD1" w:rsidRDefault="00156C5A" w:rsidP="00156C5A">
      <w:pPr>
        <w:tabs>
          <w:tab w:val="left" w:pos="851"/>
        </w:tabs>
        <w:ind w:left="851"/>
        <w:rPr>
          <w:sz w:val="24"/>
          <w:szCs w:val="24"/>
        </w:rPr>
      </w:pPr>
    </w:p>
    <w:p w14:paraId="0D07B830" w14:textId="77777777" w:rsidR="00156C5A" w:rsidRPr="00D11AD1" w:rsidRDefault="00156C5A" w:rsidP="00156C5A">
      <w:pPr>
        <w:tabs>
          <w:tab w:val="left" w:pos="851"/>
        </w:tabs>
        <w:ind w:left="851"/>
        <w:rPr>
          <w:sz w:val="24"/>
          <w:szCs w:val="24"/>
        </w:rPr>
      </w:pPr>
      <w:r w:rsidRPr="00D11AD1">
        <w:rPr>
          <w:sz w:val="24"/>
          <w:szCs w:val="24"/>
        </w:rPr>
        <w:t>Ikke alle pakningsstørrelser er nødvendigvis markedsført.</w:t>
      </w:r>
    </w:p>
    <w:p w14:paraId="40C45CB6" w14:textId="77777777" w:rsidR="009260DE" w:rsidRPr="00D11AD1" w:rsidRDefault="009260DE" w:rsidP="009260DE">
      <w:pPr>
        <w:tabs>
          <w:tab w:val="left" w:pos="851"/>
        </w:tabs>
        <w:ind w:left="851"/>
        <w:rPr>
          <w:sz w:val="24"/>
          <w:szCs w:val="24"/>
        </w:rPr>
      </w:pPr>
    </w:p>
    <w:p w14:paraId="48257D58" w14:textId="7102B832" w:rsidR="009260DE" w:rsidRPr="00D11AD1" w:rsidRDefault="009260DE" w:rsidP="009260DE">
      <w:pPr>
        <w:tabs>
          <w:tab w:val="left" w:pos="851"/>
        </w:tabs>
        <w:ind w:left="851" w:hanging="851"/>
        <w:rPr>
          <w:b/>
          <w:sz w:val="24"/>
          <w:szCs w:val="24"/>
        </w:rPr>
      </w:pPr>
      <w:r w:rsidRPr="00D11AD1">
        <w:rPr>
          <w:b/>
          <w:sz w:val="24"/>
          <w:szCs w:val="24"/>
        </w:rPr>
        <w:t>6.6</w:t>
      </w:r>
      <w:r w:rsidRPr="00D11AD1">
        <w:rPr>
          <w:b/>
          <w:sz w:val="24"/>
          <w:szCs w:val="24"/>
        </w:rPr>
        <w:tab/>
        <w:t xml:space="preserve">Regler for </w:t>
      </w:r>
      <w:bookmarkStart w:id="7" w:name="_Hlk121315784"/>
      <w:r w:rsidR="002E2744" w:rsidRPr="00D11AD1">
        <w:rPr>
          <w:b/>
          <w:sz w:val="24"/>
          <w:szCs w:val="24"/>
        </w:rPr>
        <w:t>bortskaffelse</w:t>
      </w:r>
      <w:bookmarkEnd w:id="7"/>
      <w:r w:rsidR="002E2744" w:rsidRPr="00D11AD1">
        <w:rPr>
          <w:b/>
          <w:sz w:val="24"/>
          <w:szCs w:val="24"/>
        </w:rPr>
        <w:t xml:space="preserve"> </w:t>
      </w:r>
      <w:r w:rsidRPr="00D11AD1">
        <w:rPr>
          <w:b/>
          <w:sz w:val="24"/>
          <w:szCs w:val="24"/>
        </w:rPr>
        <w:t>og anden håndtering</w:t>
      </w:r>
    </w:p>
    <w:p w14:paraId="1209762F" w14:textId="77777777" w:rsidR="0088471B" w:rsidRPr="00D11AD1" w:rsidRDefault="0088471B" w:rsidP="0088471B">
      <w:pPr>
        <w:tabs>
          <w:tab w:val="left" w:pos="851"/>
        </w:tabs>
        <w:ind w:left="851"/>
        <w:rPr>
          <w:sz w:val="24"/>
          <w:szCs w:val="24"/>
        </w:rPr>
      </w:pPr>
      <w:r w:rsidRPr="00D11AD1">
        <w:rPr>
          <w:sz w:val="24"/>
          <w:szCs w:val="24"/>
        </w:rPr>
        <w:t>De filmovertrukne tabletter består af en kernetablet, omgivet af filmovertræk for at undgå, at sundhedspersonalet udsættes for det aktive stof. Det anbefales at anvende latex- eller nitrilhandsker til hensigtsmæssig bortskaffelse af tabletter, der utilsigtet knuses eller knækkes for at minimere risikoen for optagelse gennem huden.</w:t>
      </w:r>
    </w:p>
    <w:p w14:paraId="1007B3C8" w14:textId="77777777" w:rsidR="0088471B" w:rsidRPr="00D11AD1" w:rsidRDefault="0088471B" w:rsidP="0088471B">
      <w:pPr>
        <w:tabs>
          <w:tab w:val="left" w:pos="851"/>
        </w:tabs>
        <w:ind w:left="851"/>
        <w:rPr>
          <w:sz w:val="24"/>
          <w:szCs w:val="24"/>
        </w:rPr>
      </w:pPr>
    </w:p>
    <w:p w14:paraId="1288B6CE" w14:textId="77777777" w:rsidR="0088471B" w:rsidRPr="00D11AD1" w:rsidRDefault="0088471B" w:rsidP="0088471B">
      <w:pPr>
        <w:tabs>
          <w:tab w:val="left" w:pos="851"/>
        </w:tabs>
        <w:ind w:left="851"/>
        <w:rPr>
          <w:sz w:val="24"/>
          <w:szCs w:val="24"/>
        </w:rPr>
      </w:pPr>
      <w:r w:rsidRPr="00D11AD1">
        <w:rPr>
          <w:sz w:val="24"/>
          <w:szCs w:val="24"/>
        </w:rPr>
        <w:t>Ikke anvendt lægemiddel samt affald heraf skal bortskaffes i henhold til lokale retningslinjer.</w:t>
      </w:r>
    </w:p>
    <w:p w14:paraId="68CBA88E" w14:textId="77777777" w:rsidR="009260DE" w:rsidRPr="00D11AD1" w:rsidRDefault="009260DE" w:rsidP="009260DE">
      <w:pPr>
        <w:tabs>
          <w:tab w:val="left" w:pos="851"/>
        </w:tabs>
        <w:ind w:left="851"/>
        <w:jc w:val="both"/>
        <w:rPr>
          <w:sz w:val="24"/>
          <w:szCs w:val="24"/>
        </w:rPr>
      </w:pPr>
    </w:p>
    <w:p w14:paraId="680E47D8" w14:textId="77777777" w:rsidR="009260DE" w:rsidRPr="00D11AD1" w:rsidRDefault="009260DE" w:rsidP="009260DE">
      <w:pPr>
        <w:tabs>
          <w:tab w:val="left" w:pos="851"/>
        </w:tabs>
        <w:ind w:left="851" w:hanging="851"/>
        <w:rPr>
          <w:b/>
          <w:sz w:val="24"/>
          <w:szCs w:val="24"/>
        </w:rPr>
      </w:pPr>
      <w:r w:rsidRPr="00D11AD1">
        <w:rPr>
          <w:b/>
          <w:sz w:val="24"/>
          <w:szCs w:val="24"/>
        </w:rPr>
        <w:t>7.</w:t>
      </w:r>
      <w:r w:rsidRPr="00D11AD1">
        <w:rPr>
          <w:b/>
          <w:sz w:val="24"/>
          <w:szCs w:val="24"/>
        </w:rPr>
        <w:tab/>
        <w:t>INDEHAVER AF MARKEDSFØRINGSTILLADELSEN</w:t>
      </w:r>
    </w:p>
    <w:p w14:paraId="33EF53C5" w14:textId="77777777" w:rsidR="003A0506" w:rsidRPr="003A0506" w:rsidRDefault="003A0506" w:rsidP="003A0506">
      <w:pPr>
        <w:tabs>
          <w:tab w:val="left" w:pos="851"/>
        </w:tabs>
        <w:ind w:left="851"/>
        <w:rPr>
          <w:sz w:val="24"/>
          <w:szCs w:val="24"/>
          <w:lang w:val="en-US"/>
        </w:rPr>
      </w:pPr>
      <w:bookmarkStart w:id="8" w:name="_Hlk150335250"/>
      <w:r w:rsidRPr="003A0506">
        <w:rPr>
          <w:sz w:val="24"/>
          <w:szCs w:val="24"/>
          <w:lang w:val="en-US"/>
        </w:rPr>
        <w:t>Vivanta Generics s.r.o.</w:t>
      </w:r>
    </w:p>
    <w:p w14:paraId="7F6D7A43" w14:textId="77777777" w:rsidR="003A0506" w:rsidRPr="003A0506" w:rsidRDefault="003A0506" w:rsidP="003A0506">
      <w:pPr>
        <w:tabs>
          <w:tab w:val="left" w:pos="851"/>
        </w:tabs>
        <w:ind w:left="851"/>
        <w:rPr>
          <w:sz w:val="24"/>
          <w:szCs w:val="24"/>
        </w:rPr>
      </w:pPr>
      <w:r w:rsidRPr="003A0506">
        <w:rPr>
          <w:sz w:val="24"/>
          <w:szCs w:val="24"/>
        </w:rPr>
        <w:t>Trtinova 260/1</w:t>
      </w:r>
    </w:p>
    <w:p w14:paraId="25F86A68" w14:textId="77777777" w:rsidR="003A0506" w:rsidRPr="003A0506" w:rsidRDefault="003A0506" w:rsidP="003A0506">
      <w:pPr>
        <w:tabs>
          <w:tab w:val="left" w:pos="851"/>
        </w:tabs>
        <w:ind w:left="851"/>
        <w:rPr>
          <w:sz w:val="24"/>
          <w:szCs w:val="24"/>
        </w:rPr>
      </w:pPr>
      <w:r w:rsidRPr="003A0506">
        <w:rPr>
          <w:sz w:val="24"/>
          <w:szCs w:val="24"/>
        </w:rPr>
        <w:t>Cakovice</w:t>
      </w:r>
    </w:p>
    <w:p w14:paraId="4616DA3E" w14:textId="77777777" w:rsidR="003A0506" w:rsidRPr="003A0506" w:rsidRDefault="003A0506" w:rsidP="003A0506">
      <w:pPr>
        <w:tabs>
          <w:tab w:val="left" w:pos="851"/>
        </w:tabs>
        <w:ind w:left="851"/>
        <w:rPr>
          <w:sz w:val="24"/>
          <w:szCs w:val="24"/>
        </w:rPr>
      </w:pPr>
      <w:r w:rsidRPr="003A0506">
        <w:rPr>
          <w:sz w:val="24"/>
          <w:szCs w:val="24"/>
        </w:rPr>
        <w:t>196 00 Prag</w:t>
      </w:r>
    </w:p>
    <w:p w14:paraId="75BF5AC8" w14:textId="77777777" w:rsidR="003A0506" w:rsidRPr="003A0506" w:rsidRDefault="003A0506" w:rsidP="003A0506">
      <w:pPr>
        <w:tabs>
          <w:tab w:val="left" w:pos="851"/>
        </w:tabs>
        <w:ind w:left="851"/>
        <w:rPr>
          <w:sz w:val="24"/>
          <w:szCs w:val="24"/>
        </w:rPr>
      </w:pPr>
      <w:r w:rsidRPr="003A0506">
        <w:rPr>
          <w:sz w:val="24"/>
          <w:szCs w:val="24"/>
        </w:rPr>
        <w:t>Tjekkiet</w:t>
      </w:r>
    </w:p>
    <w:bookmarkEnd w:id="8"/>
    <w:p w14:paraId="6A877C10" w14:textId="77777777" w:rsidR="009260DE" w:rsidRPr="00D11AD1" w:rsidRDefault="009260DE" w:rsidP="009260DE">
      <w:pPr>
        <w:tabs>
          <w:tab w:val="left" w:pos="851"/>
        </w:tabs>
        <w:ind w:left="851"/>
        <w:rPr>
          <w:sz w:val="24"/>
          <w:szCs w:val="24"/>
        </w:rPr>
      </w:pPr>
    </w:p>
    <w:p w14:paraId="6AAF650D" w14:textId="2CD7E27A" w:rsidR="009260DE" w:rsidRPr="00D11AD1" w:rsidRDefault="009260DE" w:rsidP="009260DE">
      <w:pPr>
        <w:tabs>
          <w:tab w:val="left" w:pos="851"/>
        </w:tabs>
        <w:ind w:left="851" w:hanging="851"/>
        <w:rPr>
          <w:b/>
          <w:sz w:val="24"/>
          <w:szCs w:val="24"/>
        </w:rPr>
      </w:pPr>
      <w:r w:rsidRPr="00D11AD1">
        <w:rPr>
          <w:b/>
          <w:sz w:val="24"/>
          <w:szCs w:val="24"/>
        </w:rPr>
        <w:t>8.</w:t>
      </w:r>
      <w:r w:rsidRPr="00D11AD1">
        <w:rPr>
          <w:b/>
          <w:sz w:val="24"/>
          <w:szCs w:val="24"/>
        </w:rPr>
        <w:tab/>
        <w:t>MARKEDSFØRINGSTILLADELSESNUMMER (</w:t>
      </w:r>
      <w:r w:rsidR="000428DF" w:rsidRPr="00D11AD1">
        <w:rPr>
          <w:b/>
          <w:sz w:val="24"/>
          <w:szCs w:val="24"/>
        </w:rPr>
        <w:t>-</w:t>
      </w:r>
      <w:r w:rsidRPr="00D11AD1">
        <w:rPr>
          <w:b/>
          <w:sz w:val="24"/>
          <w:szCs w:val="24"/>
        </w:rPr>
        <w:t>NUMRE)</w:t>
      </w:r>
    </w:p>
    <w:p w14:paraId="4D59404E" w14:textId="2DA6C96C" w:rsidR="002B3A6F" w:rsidRPr="00D11AD1" w:rsidRDefault="002B3A6F" w:rsidP="002B3A6F">
      <w:pPr>
        <w:tabs>
          <w:tab w:val="left" w:pos="851"/>
          <w:tab w:val="left" w:pos="1701"/>
        </w:tabs>
        <w:ind w:left="851"/>
        <w:jc w:val="both"/>
        <w:rPr>
          <w:sz w:val="24"/>
          <w:szCs w:val="24"/>
        </w:rPr>
      </w:pPr>
      <w:r w:rsidRPr="00D11AD1">
        <w:rPr>
          <w:sz w:val="24"/>
          <w:szCs w:val="24"/>
        </w:rPr>
        <w:t>20 mg:</w:t>
      </w:r>
      <w:r w:rsidRPr="00D11AD1">
        <w:rPr>
          <w:sz w:val="24"/>
          <w:szCs w:val="24"/>
        </w:rPr>
        <w:tab/>
        <w:t>61244</w:t>
      </w:r>
    </w:p>
    <w:p w14:paraId="7404C47A" w14:textId="795250C1" w:rsidR="002B3A6F" w:rsidRPr="00D11AD1" w:rsidRDefault="002B3A6F" w:rsidP="002B3A6F">
      <w:pPr>
        <w:tabs>
          <w:tab w:val="left" w:pos="851"/>
          <w:tab w:val="left" w:pos="1701"/>
        </w:tabs>
        <w:ind w:left="851"/>
        <w:jc w:val="both"/>
        <w:rPr>
          <w:sz w:val="24"/>
          <w:szCs w:val="24"/>
        </w:rPr>
      </w:pPr>
      <w:r w:rsidRPr="00D11AD1">
        <w:rPr>
          <w:sz w:val="24"/>
          <w:szCs w:val="24"/>
        </w:rPr>
        <w:t>50 mg:</w:t>
      </w:r>
      <w:r w:rsidRPr="00D11AD1">
        <w:rPr>
          <w:sz w:val="24"/>
          <w:szCs w:val="24"/>
        </w:rPr>
        <w:tab/>
        <w:t>61245</w:t>
      </w:r>
    </w:p>
    <w:p w14:paraId="75F27BD8" w14:textId="2DA89E9C" w:rsidR="002B3A6F" w:rsidRPr="00D11AD1" w:rsidRDefault="002B3A6F" w:rsidP="002B3A6F">
      <w:pPr>
        <w:tabs>
          <w:tab w:val="left" w:pos="851"/>
          <w:tab w:val="left" w:pos="1701"/>
        </w:tabs>
        <w:ind w:left="851"/>
        <w:jc w:val="both"/>
        <w:rPr>
          <w:sz w:val="24"/>
          <w:szCs w:val="24"/>
        </w:rPr>
      </w:pPr>
      <w:r w:rsidRPr="00D11AD1">
        <w:rPr>
          <w:sz w:val="24"/>
          <w:szCs w:val="24"/>
        </w:rPr>
        <w:t>70 mg:</w:t>
      </w:r>
      <w:r w:rsidRPr="00D11AD1">
        <w:rPr>
          <w:sz w:val="24"/>
          <w:szCs w:val="24"/>
        </w:rPr>
        <w:tab/>
        <w:t>61246</w:t>
      </w:r>
    </w:p>
    <w:p w14:paraId="728613AA" w14:textId="3C01F4FC" w:rsidR="002B3A6F" w:rsidRPr="00D11AD1" w:rsidRDefault="002B3A6F" w:rsidP="002B3A6F">
      <w:pPr>
        <w:tabs>
          <w:tab w:val="left" w:pos="851"/>
          <w:tab w:val="left" w:pos="1701"/>
        </w:tabs>
        <w:ind w:left="851"/>
        <w:jc w:val="both"/>
        <w:rPr>
          <w:sz w:val="24"/>
          <w:szCs w:val="24"/>
        </w:rPr>
      </w:pPr>
      <w:r w:rsidRPr="00D11AD1">
        <w:rPr>
          <w:sz w:val="24"/>
          <w:szCs w:val="24"/>
        </w:rPr>
        <w:t>80 mg:</w:t>
      </w:r>
      <w:r w:rsidRPr="00D11AD1">
        <w:rPr>
          <w:sz w:val="24"/>
          <w:szCs w:val="24"/>
        </w:rPr>
        <w:tab/>
        <w:t>61247</w:t>
      </w:r>
    </w:p>
    <w:p w14:paraId="1CAD46E3" w14:textId="4CCE4D2E" w:rsidR="002B3A6F" w:rsidRPr="00D11AD1" w:rsidRDefault="002B3A6F" w:rsidP="002B3A6F">
      <w:pPr>
        <w:tabs>
          <w:tab w:val="left" w:pos="851"/>
          <w:tab w:val="left" w:pos="1701"/>
        </w:tabs>
        <w:ind w:left="851"/>
        <w:jc w:val="both"/>
        <w:rPr>
          <w:sz w:val="24"/>
          <w:szCs w:val="24"/>
        </w:rPr>
      </w:pPr>
      <w:r w:rsidRPr="00D11AD1">
        <w:rPr>
          <w:sz w:val="24"/>
          <w:szCs w:val="24"/>
        </w:rPr>
        <w:t>100 mg:</w:t>
      </w:r>
      <w:r w:rsidRPr="00D11AD1">
        <w:rPr>
          <w:sz w:val="24"/>
          <w:szCs w:val="24"/>
        </w:rPr>
        <w:tab/>
        <w:t>61248</w:t>
      </w:r>
    </w:p>
    <w:p w14:paraId="3E853C1F" w14:textId="4F65DC93" w:rsidR="002B3A6F" w:rsidRPr="00D11AD1" w:rsidRDefault="002B3A6F" w:rsidP="002B3A6F">
      <w:pPr>
        <w:tabs>
          <w:tab w:val="left" w:pos="851"/>
          <w:tab w:val="left" w:pos="1701"/>
        </w:tabs>
        <w:ind w:left="851"/>
        <w:jc w:val="both"/>
        <w:rPr>
          <w:sz w:val="24"/>
          <w:szCs w:val="24"/>
        </w:rPr>
      </w:pPr>
      <w:r w:rsidRPr="00D11AD1">
        <w:rPr>
          <w:sz w:val="24"/>
          <w:szCs w:val="24"/>
        </w:rPr>
        <w:t>140 mg:</w:t>
      </w:r>
      <w:r w:rsidRPr="00D11AD1">
        <w:rPr>
          <w:sz w:val="24"/>
          <w:szCs w:val="24"/>
        </w:rPr>
        <w:tab/>
        <w:t>61249</w:t>
      </w:r>
    </w:p>
    <w:p w14:paraId="402876EE" w14:textId="77777777" w:rsidR="009260DE" w:rsidRPr="00D11AD1" w:rsidRDefault="009260DE" w:rsidP="009260DE">
      <w:pPr>
        <w:tabs>
          <w:tab w:val="left" w:pos="851"/>
        </w:tabs>
        <w:ind w:left="851"/>
        <w:jc w:val="both"/>
        <w:rPr>
          <w:sz w:val="24"/>
          <w:szCs w:val="24"/>
        </w:rPr>
      </w:pPr>
    </w:p>
    <w:p w14:paraId="6B676299" w14:textId="77777777" w:rsidR="009260DE" w:rsidRPr="00D11AD1" w:rsidRDefault="009260DE" w:rsidP="009260DE">
      <w:pPr>
        <w:tabs>
          <w:tab w:val="left" w:pos="851"/>
        </w:tabs>
        <w:ind w:left="851" w:hanging="851"/>
        <w:rPr>
          <w:b/>
          <w:sz w:val="24"/>
          <w:szCs w:val="24"/>
        </w:rPr>
      </w:pPr>
      <w:r w:rsidRPr="00D11AD1">
        <w:rPr>
          <w:b/>
          <w:sz w:val="24"/>
          <w:szCs w:val="24"/>
        </w:rPr>
        <w:t>9.</w:t>
      </w:r>
      <w:r w:rsidRPr="00D11AD1">
        <w:rPr>
          <w:b/>
          <w:sz w:val="24"/>
          <w:szCs w:val="24"/>
        </w:rPr>
        <w:tab/>
        <w:t>DATO FOR FØRSTE MARKEDSFØRINGSTILLADELSE</w:t>
      </w:r>
    </w:p>
    <w:p w14:paraId="783E7520" w14:textId="739B8D97" w:rsidR="009260DE" w:rsidRPr="00D11AD1" w:rsidRDefault="00AE1621" w:rsidP="009260DE">
      <w:pPr>
        <w:tabs>
          <w:tab w:val="left" w:pos="851"/>
        </w:tabs>
        <w:ind w:left="851"/>
        <w:rPr>
          <w:sz w:val="24"/>
          <w:szCs w:val="24"/>
        </w:rPr>
      </w:pPr>
      <w:r w:rsidRPr="00D11AD1">
        <w:rPr>
          <w:sz w:val="24"/>
          <w:szCs w:val="24"/>
        </w:rPr>
        <w:t>26. marts 2020</w:t>
      </w:r>
    </w:p>
    <w:p w14:paraId="0F203C0C" w14:textId="77777777" w:rsidR="009260DE" w:rsidRPr="00D11AD1" w:rsidRDefault="009260DE" w:rsidP="009260DE">
      <w:pPr>
        <w:tabs>
          <w:tab w:val="left" w:pos="851"/>
        </w:tabs>
        <w:ind w:left="851"/>
        <w:rPr>
          <w:sz w:val="24"/>
          <w:szCs w:val="24"/>
        </w:rPr>
      </w:pPr>
    </w:p>
    <w:p w14:paraId="62AC4FBB" w14:textId="77777777" w:rsidR="009260DE" w:rsidRPr="00D11AD1" w:rsidRDefault="009260DE" w:rsidP="009260DE">
      <w:pPr>
        <w:tabs>
          <w:tab w:val="left" w:pos="851"/>
        </w:tabs>
        <w:ind w:left="851" w:hanging="851"/>
        <w:rPr>
          <w:b/>
          <w:sz w:val="24"/>
          <w:szCs w:val="24"/>
        </w:rPr>
      </w:pPr>
      <w:r w:rsidRPr="00D11AD1">
        <w:rPr>
          <w:b/>
          <w:sz w:val="24"/>
          <w:szCs w:val="24"/>
        </w:rPr>
        <w:t>10.</w:t>
      </w:r>
      <w:r w:rsidRPr="00D11AD1">
        <w:rPr>
          <w:b/>
          <w:sz w:val="24"/>
          <w:szCs w:val="24"/>
        </w:rPr>
        <w:tab/>
        <w:t>DATO FOR ÆNDRING AF TEKSTEN</w:t>
      </w:r>
    </w:p>
    <w:p w14:paraId="077B9BB1" w14:textId="3AD3EE00" w:rsidR="007F02D1" w:rsidRDefault="003A0506" w:rsidP="009260DE">
      <w:pPr>
        <w:tabs>
          <w:tab w:val="left" w:pos="851"/>
        </w:tabs>
        <w:ind w:left="851"/>
        <w:rPr>
          <w:sz w:val="24"/>
          <w:szCs w:val="24"/>
        </w:rPr>
      </w:pPr>
      <w:r>
        <w:rPr>
          <w:sz w:val="24"/>
          <w:szCs w:val="24"/>
        </w:rPr>
        <w:t>8. november 2023</w:t>
      </w:r>
    </w:p>
    <w:p w14:paraId="79173E03" w14:textId="77777777" w:rsidR="007F02D1" w:rsidRPr="007F02D1" w:rsidRDefault="007F02D1" w:rsidP="007F02D1">
      <w:pPr>
        <w:rPr>
          <w:sz w:val="24"/>
          <w:szCs w:val="24"/>
        </w:rPr>
      </w:pPr>
    </w:p>
    <w:p w14:paraId="6B40AD82" w14:textId="77777777" w:rsidR="007F02D1" w:rsidRPr="007F02D1" w:rsidRDefault="007F02D1" w:rsidP="007F02D1">
      <w:pPr>
        <w:rPr>
          <w:sz w:val="24"/>
          <w:szCs w:val="24"/>
        </w:rPr>
      </w:pPr>
    </w:p>
    <w:p w14:paraId="4C09A732" w14:textId="77777777" w:rsidR="007F02D1" w:rsidRPr="007F02D1" w:rsidRDefault="007F02D1" w:rsidP="007F02D1">
      <w:pPr>
        <w:rPr>
          <w:sz w:val="24"/>
          <w:szCs w:val="24"/>
        </w:rPr>
      </w:pPr>
    </w:p>
    <w:p w14:paraId="61BF41C9" w14:textId="77777777" w:rsidR="007F02D1" w:rsidRPr="007F02D1" w:rsidRDefault="007F02D1" w:rsidP="007F02D1">
      <w:pPr>
        <w:rPr>
          <w:sz w:val="24"/>
          <w:szCs w:val="24"/>
        </w:rPr>
      </w:pPr>
    </w:p>
    <w:p w14:paraId="4EFFA538" w14:textId="77777777" w:rsidR="007F02D1" w:rsidRPr="007F02D1" w:rsidRDefault="007F02D1" w:rsidP="007F02D1">
      <w:pPr>
        <w:rPr>
          <w:sz w:val="24"/>
          <w:szCs w:val="24"/>
        </w:rPr>
      </w:pPr>
    </w:p>
    <w:p w14:paraId="77359EF5" w14:textId="77777777" w:rsidR="007F02D1" w:rsidRPr="007F02D1" w:rsidRDefault="007F02D1" w:rsidP="007F02D1">
      <w:pPr>
        <w:rPr>
          <w:sz w:val="24"/>
          <w:szCs w:val="24"/>
        </w:rPr>
      </w:pPr>
    </w:p>
    <w:p w14:paraId="6D7212FB" w14:textId="77777777" w:rsidR="007F02D1" w:rsidRPr="007F02D1" w:rsidRDefault="007F02D1" w:rsidP="007F02D1">
      <w:pPr>
        <w:rPr>
          <w:sz w:val="24"/>
          <w:szCs w:val="24"/>
        </w:rPr>
      </w:pPr>
    </w:p>
    <w:p w14:paraId="137BB494" w14:textId="77777777" w:rsidR="007F02D1" w:rsidRPr="007F02D1" w:rsidRDefault="007F02D1" w:rsidP="007F02D1">
      <w:pPr>
        <w:rPr>
          <w:sz w:val="24"/>
          <w:szCs w:val="24"/>
        </w:rPr>
      </w:pPr>
    </w:p>
    <w:p w14:paraId="139EA57F" w14:textId="77777777" w:rsidR="007F02D1" w:rsidRPr="007F02D1" w:rsidRDefault="007F02D1" w:rsidP="007F02D1">
      <w:pPr>
        <w:rPr>
          <w:sz w:val="24"/>
          <w:szCs w:val="24"/>
        </w:rPr>
      </w:pPr>
    </w:p>
    <w:p w14:paraId="4DDC340F" w14:textId="77777777" w:rsidR="007F02D1" w:rsidRPr="007F02D1" w:rsidRDefault="007F02D1" w:rsidP="007F02D1">
      <w:pPr>
        <w:rPr>
          <w:sz w:val="24"/>
          <w:szCs w:val="24"/>
        </w:rPr>
      </w:pPr>
    </w:p>
    <w:p w14:paraId="302AD3AF" w14:textId="77777777" w:rsidR="007F02D1" w:rsidRPr="007F02D1" w:rsidRDefault="007F02D1" w:rsidP="007F02D1">
      <w:pPr>
        <w:rPr>
          <w:sz w:val="24"/>
          <w:szCs w:val="24"/>
        </w:rPr>
      </w:pPr>
    </w:p>
    <w:p w14:paraId="1CC75CE3" w14:textId="77777777" w:rsidR="007F02D1" w:rsidRPr="007F02D1" w:rsidRDefault="007F02D1" w:rsidP="007F02D1">
      <w:pPr>
        <w:rPr>
          <w:sz w:val="24"/>
          <w:szCs w:val="24"/>
        </w:rPr>
      </w:pPr>
    </w:p>
    <w:p w14:paraId="6F5E39E3" w14:textId="2743346D" w:rsidR="007F02D1" w:rsidRDefault="007F02D1" w:rsidP="007F02D1">
      <w:pPr>
        <w:rPr>
          <w:sz w:val="24"/>
          <w:szCs w:val="24"/>
        </w:rPr>
      </w:pPr>
    </w:p>
    <w:p w14:paraId="583F09C5" w14:textId="0566B20C" w:rsidR="009260DE" w:rsidRPr="007F02D1" w:rsidRDefault="007F02D1" w:rsidP="007F02D1">
      <w:pPr>
        <w:tabs>
          <w:tab w:val="left" w:pos="3700"/>
        </w:tabs>
        <w:rPr>
          <w:sz w:val="24"/>
          <w:szCs w:val="24"/>
        </w:rPr>
      </w:pPr>
      <w:r>
        <w:rPr>
          <w:sz w:val="24"/>
          <w:szCs w:val="24"/>
        </w:rPr>
        <w:tab/>
      </w:r>
    </w:p>
    <w:sectPr w:rsidR="009260DE" w:rsidRPr="007F02D1" w:rsidSect="00E26F67">
      <w:footerReference w:type="default" r:id="rId12"/>
      <w:pgSz w:w="11906" w:h="16838" w:code="9"/>
      <w:pgMar w:top="851" w:right="1418"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7B5A300" w14:textId="77777777" w:rsidR="007055E1" w:rsidRDefault="007055E1">
      <w:r>
        <w:separator/>
      </w:r>
    </w:p>
  </w:endnote>
  <w:endnote w:type="continuationSeparator" w:id="0">
    <w:p w14:paraId="10FB150E" w14:textId="77777777" w:rsidR="007055E1" w:rsidRDefault="007055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NewRomanPSMT">
    <w:altName w:val="MS Gothic"/>
    <w:panose1 w:val="00000000000000000000"/>
    <w:charset w:val="80"/>
    <w:family w:val="auto"/>
    <w:notTrueType/>
    <w:pitch w:val="default"/>
    <w:sig w:usb0="00000001" w:usb1="08070000" w:usb2="00000010" w:usb3="00000000" w:csb0="00020000" w:csb1="00000000"/>
  </w:font>
  <w:font w:name="TimesNewRomanPS-BoldMT">
    <w:altName w:val="MS Gothic"/>
    <w:charset w:val="00"/>
    <w:family w:val="auto"/>
    <w:pitch w:val="default"/>
  </w:font>
  <w:font w:name="Cambria Math">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E9D91" w14:textId="77777777" w:rsidR="007055E1" w:rsidRDefault="007055E1">
    <w:pPr>
      <w:pStyle w:val="Sidefod"/>
      <w:pBdr>
        <w:bottom w:val="single" w:sz="6" w:space="1" w:color="auto"/>
      </w:pBdr>
    </w:pPr>
  </w:p>
  <w:p w14:paraId="7A3F6FBB" w14:textId="77777777" w:rsidR="007055E1" w:rsidRDefault="007055E1" w:rsidP="00C42586">
    <w:pPr>
      <w:pStyle w:val="Sidefod"/>
      <w:tabs>
        <w:tab w:val="clear" w:pos="4819"/>
        <w:tab w:val="left" w:pos="8505"/>
      </w:tabs>
      <w:rPr>
        <w:i/>
        <w:sz w:val="18"/>
        <w:szCs w:val="18"/>
      </w:rPr>
    </w:pPr>
  </w:p>
  <w:p w14:paraId="6EAE51A4" w14:textId="1299F9DF" w:rsidR="007055E1" w:rsidRPr="00B373D7" w:rsidRDefault="007055E1" w:rsidP="00E4504E">
    <w:pPr>
      <w:pStyle w:val="Sidefod"/>
      <w:tabs>
        <w:tab w:val="clear" w:pos="4819"/>
        <w:tab w:val="left" w:pos="8222"/>
      </w:tabs>
      <w:rPr>
        <w:i/>
        <w:sz w:val="18"/>
        <w:szCs w:val="18"/>
      </w:rPr>
    </w:pPr>
    <w:r w:rsidRPr="00B373D7">
      <w:rPr>
        <w:i/>
        <w:sz w:val="18"/>
        <w:szCs w:val="18"/>
      </w:rPr>
      <w:fldChar w:fldCharType="begin"/>
    </w:r>
    <w:r w:rsidRPr="00B373D7">
      <w:rPr>
        <w:i/>
        <w:sz w:val="18"/>
        <w:szCs w:val="18"/>
      </w:rPr>
      <w:instrText xml:space="preserve"> FILENAME </w:instrText>
    </w:r>
    <w:r w:rsidRPr="00B373D7">
      <w:rPr>
        <w:i/>
        <w:sz w:val="18"/>
        <w:szCs w:val="18"/>
      </w:rPr>
      <w:fldChar w:fldCharType="separate"/>
    </w:r>
    <w:r>
      <w:rPr>
        <w:i/>
        <w:noProof/>
        <w:sz w:val="18"/>
        <w:szCs w:val="18"/>
      </w:rPr>
      <w:t>Dasatinib Alvogen, filmovertrukne tabletter 20 mg, 50 mg, 70 mg, 80 mg, 100 mg og 140 mg</w:t>
    </w:r>
    <w:r w:rsidRPr="00B373D7">
      <w:rPr>
        <w:i/>
        <w:sz w:val="18"/>
        <w:szCs w:val="18"/>
      </w:rPr>
      <w:fldChar w:fldCharType="end"/>
    </w:r>
    <w:r w:rsidRPr="00B373D7">
      <w:rPr>
        <w:i/>
        <w:sz w:val="18"/>
        <w:szCs w:val="18"/>
      </w:rPr>
      <w:tab/>
      <w:t xml:space="preserve">Side </w:t>
    </w:r>
    <w:r w:rsidRPr="00B373D7">
      <w:rPr>
        <w:rStyle w:val="Sidetal"/>
        <w:i/>
        <w:sz w:val="18"/>
        <w:szCs w:val="18"/>
      </w:rPr>
      <w:fldChar w:fldCharType="begin"/>
    </w:r>
    <w:r w:rsidRPr="00B373D7">
      <w:rPr>
        <w:rStyle w:val="Sidetal"/>
        <w:i/>
        <w:sz w:val="18"/>
        <w:szCs w:val="18"/>
      </w:rPr>
      <w:instrText xml:space="preserve"> PAGE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r w:rsidRPr="00B373D7">
      <w:rPr>
        <w:rStyle w:val="Sidetal"/>
        <w:i/>
        <w:sz w:val="18"/>
        <w:szCs w:val="18"/>
      </w:rPr>
      <w:t xml:space="preserve"> af </w:t>
    </w:r>
    <w:r w:rsidRPr="00B373D7">
      <w:rPr>
        <w:rStyle w:val="Sidetal"/>
        <w:i/>
        <w:sz w:val="18"/>
        <w:szCs w:val="18"/>
      </w:rPr>
      <w:fldChar w:fldCharType="begin"/>
    </w:r>
    <w:r w:rsidRPr="00B373D7">
      <w:rPr>
        <w:rStyle w:val="Sidetal"/>
        <w:i/>
        <w:sz w:val="18"/>
        <w:szCs w:val="18"/>
      </w:rPr>
      <w:instrText xml:space="preserve"> NUMPAGES </w:instrText>
    </w:r>
    <w:r w:rsidRPr="00B373D7">
      <w:rPr>
        <w:rStyle w:val="Sidetal"/>
        <w:i/>
        <w:sz w:val="18"/>
        <w:szCs w:val="18"/>
      </w:rPr>
      <w:fldChar w:fldCharType="separate"/>
    </w:r>
    <w:r>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31FA4F0" w14:textId="77777777" w:rsidR="007055E1" w:rsidRDefault="007055E1">
      <w:r>
        <w:separator/>
      </w:r>
    </w:p>
  </w:footnote>
  <w:footnote w:type="continuationSeparator" w:id="0">
    <w:p w14:paraId="1631956D" w14:textId="77777777" w:rsidR="007055E1" w:rsidRDefault="007055E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5731F5"/>
    <w:multiLevelType w:val="hybridMultilevel"/>
    <w:tmpl w:val="68804C78"/>
    <w:lvl w:ilvl="0" w:tplc="EB48B2B0">
      <w:numFmt w:val="bullet"/>
      <w:lvlText w:val="–"/>
      <w:lvlJc w:val="left"/>
      <w:pPr>
        <w:ind w:left="1211" w:hanging="360"/>
      </w:pPr>
      <w:rPr>
        <w:rFonts w:ascii="Times New Roman" w:eastAsia="Times New Roman" w:hAnsi="Times New Roman" w:cs="Times New Roman"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start w:val="1"/>
      <w:numFmt w:val="bullet"/>
      <w:lvlText w:val=""/>
      <w:lvlJc w:val="left"/>
      <w:pPr>
        <w:ind w:left="3371" w:hanging="360"/>
      </w:pPr>
      <w:rPr>
        <w:rFonts w:ascii="Symbol" w:hAnsi="Symbol" w:hint="default"/>
      </w:rPr>
    </w:lvl>
    <w:lvl w:ilvl="4" w:tplc="10090003">
      <w:start w:val="1"/>
      <w:numFmt w:val="bullet"/>
      <w:lvlText w:val="o"/>
      <w:lvlJc w:val="left"/>
      <w:pPr>
        <w:ind w:left="4091" w:hanging="360"/>
      </w:pPr>
      <w:rPr>
        <w:rFonts w:ascii="Courier New" w:hAnsi="Courier New" w:cs="Courier New" w:hint="default"/>
      </w:rPr>
    </w:lvl>
    <w:lvl w:ilvl="5" w:tplc="10090005">
      <w:start w:val="1"/>
      <w:numFmt w:val="bullet"/>
      <w:lvlText w:val=""/>
      <w:lvlJc w:val="left"/>
      <w:pPr>
        <w:ind w:left="4811" w:hanging="360"/>
      </w:pPr>
      <w:rPr>
        <w:rFonts w:ascii="Wingdings" w:hAnsi="Wingdings" w:hint="default"/>
      </w:rPr>
    </w:lvl>
    <w:lvl w:ilvl="6" w:tplc="10090001">
      <w:start w:val="1"/>
      <w:numFmt w:val="bullet"/>
      <w:lvlText w:val=""/>
      <w:lvlJc w:val="left"/>
      <w:pPr>
        <w:ind w:left="5531" w:hanging="360"/>
      </w:pPr>
      <w:rPr>
        <w:rFonts w:ascii="Symbol" w:hAnsi="Symbol" w:hint="default"/>
      </w:rPr>
    </w:lvl>
    <w:lvl w:ilvl="7" w:tplc="10090003">
      <w:start w:val="1"/>
      <w:numFmt w:val="bullet"/>
      <w:lvlText w:val="o"/>
      <w:lvlJc w:val="left"/>
      <w:pPr>
        <w:ind w:left="6251" w:hanging="360"/>
      </w:pPr>
      <w:rPr>
        <w:rFonts w:ascii="Courier New" w:hAnsi="Courier New" w:cs="Courier New" w:hint="default"/>
      </w:rPr>
    </w:lvl>
    <w:lvl w:ilvl="8" w:tplc="10090005">
      <w:start w:val="1"/>
      <w:numFmt w:val="bullet"/>
      <w:lvlText w:val=""/>
      <w:lvlJc w:val="left"/>
      <w:pPr>
        <w:ind w:left="6971" w:hanging="360"/>
      </w:pPr>
      <w:rPr>
        <w:rFonts w:ascii="Wingdings" w:hAnsi="Wingdings" w:hint="default"/>
      </w:rPr>
    </w:lvl>
  </w:abstractNum>
  <w:abstractNum w:abstractNumId="1"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23716D39"/>
    <w:multiLevelType w:val="multilevel"/>
    <w:tmpl w:val="5B32F926"/>
    <w:lvl w:ilvl="0">
      <w:start w:val="4"/>
      <w:numFmt w:val="decimal"/>
      <w:lvlText w:val="%1"/>
      <w:lvlJc w:val="left"/>
      <w:pPr>
        <w:ind w:left="360" w:hanging="360"/>
      </w:pPr>
      <w:rPr>
        <w:rFonts w:hint="default"/>
        <w:w w:val="105"/>
      </w:rPr>
    </w:lvl>
    <w:lvl w:ilvl="1">
      <w:start w:val="6"/>
      <w:numFmt w:val="decimal"/>
      <w:lvlText w:val="%1.%2"/>
      <w:lvlJc w:val="left"/>
      <w:pPr>
        <w:ind w:left="360" w:hanging="360"/>
      </w:pPr>
      <w:rPr>
        <w:rFonts w:hint="default"/>
        <w:b/>
        <w:w w:val="105"/>
      </w:rPr>
    </w:lvl>
    <w:lvl w:ilvl="2">
      <w:start w:val="1"/>
      <w:numFmt w:val="decimal"/>
      <w:lvlText w:val="%1.%2.%3"/>
      <w:lvlJc w:val="left"/>
      <w:pPr>
        <w:ind w:left="720" w:hanging="720"/>
      </w:pPr>
      <w:rPr>
        <w:rFonts w:hint="default"/>
        <w:w w:val="105"/>
      </w:rPr>
    </w:lvl>
    <w:lvl w:ilvl="3">
      <w:start w:val="1"/>
      <w:numFmt w:val="decimal"/>
      <w:lvlText w:val="%1.%2.%3.%4"/>
      <w:lvlJc w:val="left"/>
      <w:pPr>
        <w:ind w:left="720" w:hanging="720"/>
      </w:pPr>
      <w:rPr>
        <w:rFonts w:hint="default"/>
        <w:w w:val="105"/>
      </w:rPr>
    </w:lvl>
    <w:lvl w:ilvl="4">
      <w:start w:val="1"/>
      <w:numFmt w:val="decimal"/>
      <w:lvlText w:val="%1.%2.%3.%4.%5"/>
      <w:lvlJc w:val="left"/>
      <w:pPr>
        <w:ind w:left="720" w:hanging="720"/>
      </w:pPr>
      <w:rPr>
        <w:rFonts w:hint="default"/>
        <w:w w:val="105"/>
      </w:rPr>
    </w:lvl>
    <w:lvl w:ilvl="5">
      <w:start w:val="1"/>
      <w:numFmt w:val="decimal"/>
      <w:lvlText w:val="%1.%2.%3.%4.%5.%6"/>
      <w:lvlJc w:val="left"/>
      <w:pPr>
        <w:ind w:left="1080" w:hanging="1080"/>
      </w:pPr>
      <w:rPr>
        <w:rFonts w:hint="default"/>
        <w:w w:val="105"/>
      </w:rPr>
    </w:lvl>
    <w:lvl w:ilvl="6">
      <w:start w:val="1"/>
      <w:numFmt w:val="decimal"/>
      <w:lvlText w:val="%1.%2.%3.%4.%5.%6.%7"/>
      <w:lvlJc w:val="left"/>
      <w:pPr>
        <w:ind w:left="1080" w:hanging="1080"/>
      </w:pPr>
      <w:rPr>
        <w:rFonts w:hint="default"/>
        <w:w w:val="105"/>
      </w:rPr>
    </w:lvl>
    <w:lvl w:ilvl="7">
      <w:start w:val="1"/>
      <w:numFmt w:val="decimal"/>
      <w:lvlText w:val="%1.%2.%3.%4.%5.%6.%7.%8"/>
      <w:lvlJc w:val="left"/>
      <w:pPr>
        <w:ind w:left="1440" w:hanging="1440"/>
      </w:pPr>
      <w:rPr>
        <w:rFonts w:hint="default"/>
        <w:w w:val="105"/>
      </w:rPr>
    </w:lvl>
    <w:lvl w:ilvl="8">
      <w:start w:val="1"/>
      <w:numFmt w:val="decimal"/>
      <w:lvlText w:val="%1.%2.%3.%4.%5.%6.%7.%8.%9"/>
      <w:lvlJc w:val="left"/>
      <w:pPr>
        <w:ind w:left="1440" w:hanging="1440"/>
      </w:pPr>
      <w:rPr>
        <w:rFonts w:hint="default"/>
        <w:w w:val="105"/>
      </w:rPr>
    </w:lvl>
  </w:abstractNum>
  <w:abstractNum w:abstractNumId="3" w15:restartNumberingAfterBreak="0">
    <w:nsid w:val="2AAB2B66"/>
    <w:multiLevelType w:val="hybridMultilevel"/>
    <w:tmpl w:val="32846664"/>
    <w:lvl w:ilvl="0" w:tplc="EB48B2B0">
      <w:numFmt w:val="bullet"/>
      <w:lvlText w:val="–"/>
      <w:lvlJc w:val="left"/>
      <w:pPr>
        <w:ind w:left="1211" w:hanging="360"/>
      </w:pPr>
      <w:rPr>
        <w:rFonts w:ascii="Times New Roman" w:eastAsia="Times New Roman" w:hAnsi="Times New Roman" w:cs="Times New Roman"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start w:val="1"/>
      <w:numFmt w:val="bullet"/>
      <w:lvlText w:val=""/>
      <w:lvlJc w:val="left"/>
      <w:pPr>
        <w:ind w:left="3371" w:hanging="360"/>
      </w:pPr>
      <w:rPr>
        <w:rFonts w:ascii="Symbol" w:hAnsi="Symbol" w:hint="default"/>
      </w:rPr>
    </w:lvl>
    <w:lvl w:ilvl="4" w:tplc="10090003">
      <w:start w:val="1"/>
      <w:numFmt w:val="bullet"/>
      <w:lvlText w:val="o"/>
      <w:lvlJc w:val="left"/>
      <w:pPr>
        <w:ind w:left="4091" w:hanging="360"/>
      </w:pPr>
      <w:rPr>
        <w:rFonts w:ascii="Courier New" w:hAnsi="Courier New" w:cs="Courier New" w:hint="default"/>
      </w:rPr>
    </w:lvl>
    <w:lvl w:ilvl="5" w:tplc="10090005">
      <w:start w:val="1"/>
      <w:numFmt w:val="bullet"/>
      <w:lvlText w:val=""/>
      <w:lvlJc w:val="left"/>
      <w:pPr>
        <w:ind w:left="4811" w:hanging="360"/>
      </w:pPr>
      <w:rPr>
        <w:rFonts w:ascii="Wingdings" w:hAnsi="Wingdings" w:hint="default"/>
      </w:rPr>
    </w:lvl>
    <w:lvl w:ilvl="6" w:tplc="10090001">
      <w:start w:val="1"/>
      <w:numFmt w:val="bullet"/>
      <w:lvlText w:val=""/>
      <w:lvlJc w:val="left"/>
      <w:pPr>
        <w:ind w:left="5531" w:hanging="360"/>
      </w:pPr>
      <w:rPr>
        <w:rFonts w:ascii="Symbol" w:hAnsi="Symbol" w:hint="default"/>
      </w:rPr>
    </w:lvl>
    <w:lvl w:ilvl="7" w:tplc="10090003">
      <w:start w:val="1"/>
      <w:numFmt w:val="bullet"/>
      <w:lvlText w:val="o"/>
      <w:lvlJc w:val="left"/>
      <w:pPr>
        <w:ind w:left="6251" w:hanging="360"/>
      </w:pPr>
      <w:rPr>
        <w:rFonts w:ascii="Courier New" w:hAnsi="Courier New" w:cs="Courier New" w:hint="default"/>
      </w:rPr>
    </w:lvl>
    <w:lvl w:ilvl="8" w:tplc="10090005">
      <w:start w:val="1"/>
      <w:numFmt w:val="bullet"/>
      <w:lvlText w:val=""/>
      <w:lvlJc w:val="left"/>
      <w:pPr>
        <w:ind w:left="6971" w:hanging="360"/>
      </w:pPr>
      <w:rPr>
        <w:rFonts w:ascii="Wingdings" w:hAnsi="Wingdings" w:hint="default"/>
      </w:rPr>
    </w:lvl>
  </w:abstractNum>
  <w:abstractNum w:abstractNumId="4" w15:restartNumberingAfterBreak="0">
    <w:nsid w:val="2F982977"/>
    <w:multiLevelType w:val="hybridMultilevel"/>
    <w:tmpl w:val="E4EA7EE4"/>
    <w:lvl w:ilvl="0" w:tplc="DF66E370">
      <w:start w:val="1"/>
      <w:numFmt w:val="decimal"/>
      <w:lvlText w:val="%1."/>
      <w:lvlJc w:val="left"/>
      <w:pPr>
        <w:ind w:left="848" w:hanging="360"/>
      </w:pPr>
      <w:rPr>
        <w:rFonts w:ascii="Times New Roman" w:eastAsia="Times New Roman" w:hAnsi="Times New Roman" w:cs="Times New Roman" w:hint="default"/>
        <w:spacing w:val="-2"/>
        <w:w w:val="103"/>
        <w:sz w:val="20"/>
        <w:szCs w:val="20"/>
      </w:rPr>
    </w:lvl>
    <w:lvl w:ilvl="1" w:tplc="10090019" w:tentative="1">
      <w:start w:val="1"/>
      <w:numFmt w:val="lowerLetter"/>
      <w:lvlText w:val="%2."/>
      <w:lvlJc w:val="left"/>
      <w:pPr>
        <w:ind w:left="1568" w:hanging="360"/>
      </w:pPr>
    </w:lvl>
    <w:lvl w:ilvl="2" w:tplc="1009001B" w:tentative="1">
      <w:start w:val="1"/>
      <w:numFmt w:val="lowerRoman"/>
      <w:lvlText w:val="%3."/>
      <w:lvlJc w:val="right"/>
      <w:pPr>
        <w:ind w:left="2288" w:hanging="180"/>
      </w:pPr>
    </w:lvl>
    <w:lvl w:ilvl="3" w:tplc="1009000F" w:tentative="1">
      <w:start w:val="1"/>
      <w:numFmt w:val="decimal"/>
      <w:lvlText w:val="%4."/>
      <w:lvlJc w:val="left"/>
      <w:pPr>
        <w:ind w:left="3008" w:hanging="360"/>
      </w:pPr>
    </w:lvl>
    <w:lvl w:ilvl="4" w:tplc="10090019" w:tentative="1">
      <w:start w:val="1"/>
      <w:numFmt w:val="lowerLetter"/>
      <w:lvlText w:val="%5."/>
      <w:lvlJc w:val="left"/>
      <w:pPr>
        <w:ind w:left="3728" w:hanging="360"/>
      </w:pPr>
    </w:lvl>
    <w:lvl w:ilvl="5" w:tplc="1009001B" w:tentative="1">
      <w:start w:val="1"/>
      <w:numFmt w:val="lowerRoman"/>
      <w:lvlText w:val="%6."/>
      <w:lvlJc w:val="right"/>
      <w:pPr>
        <w:ind w:left="4448" w:hanging="180"/>
      </w:pPr>
    </w:lvl>
    <w:lvl w:ilvl="6" w:tplc="1009000F" w:tentative="1">
      <w:start w:val="1"/>
      <w:numFmt w:val="decimal"/>
      <w:lvlText w:val="%7."/>
      <w:lvlJc w:val="left"/>
      <w:pPr>
        <w:ind w:left="5168" w:hanging="360"/>
      </w:pPr>
    </w:lvl>
    <w:lvl w:ilvl="7" w:tplc="10090019" w:tentative="1">
      <w:start w:val="1"/>
      <w:numFmt w:val="lowerLetter"/>
      <w:lvlText w:val="%8."/>
      <w:lvlJc w:val="left"/>
      <w:pPr>
        <w:ind w:left="5888" w:hanging="360"/>
      </w:pPr>
    </w:lvl>
    <w:lvl w:ilvl="8" w:tplc="1009001B" w:tentative="1">
      <w:start w:val="1"/>
      <w:numFmt w:val="lowerRoman"/>
      <w:lvlText w:val="%9."/>
      <w:lvlJc w:val="right"/>
      <w:pPr>
        <w:ind w:left="6608" w:hanging="180"/>
      </w:pPr>
    </w:lvl>
  </w:abstractNum>
  <w:abstractNum w:abstractNumId="5"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7"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8" w15:restartNumberingAfterBreak="0">
    <w:nsid w:val="54A751D3"/>
    <w:multiLevelType w:val="hybridMultilevel"/>
    <w:tmpl w:val="92CCFF5E"/>
    <w:lvl w:ilvl="0" w:tplc="EB48B2B0">
      <w:numFmt w:val="bullet"/>
      <w:lvlText w:val="–"/>
      <w:lvlJc w:val="left"/>
      <w:pPr>
        <w:ind w:left="1211" w:hanging="360"/>
      </w:pPr>
      <w:rPr>
        <w:rFonts w:ascii="Times New Roman" w:eastAsia="Times New Roman" w:hAnsi="Times New Roman" w:cs="Times New Roman" w:hint="default"/>
      </w:rPr>
    </w:lvl>
    <w:lvl w:ilvl="1" w:tplc="10090003">
      <w:start w:val="1"/>
      <w:numFmt w:val="bullet"/>
      <w:lvlText w:val="o"/>
      <w:lvlJc w:val="left"/>
      <w:pPr>
        <w:ind w:left="1931" w:hanging="360"/>
      </w:pPr>
      <w:rPr>
        <w:rFonts w:ascii="Courier New" w:hAnsi="Courier New" w:cs="Courier New" w:hint="default"/>
      </w:rPr>
    </w:lvl>
    <w:lvl w:ilvl="2" w:tplc="10090005">
      <w:start w:val="1"/>
      <w:numFmt w:val="bullet"/>
      <w:lvlText w:val=""/>
      <w:lvlJc w:val="left"/>
      <w:pPr>
        <w:ind w:left="2651" w:hanging="360"/>
      </w:pPr>
      <w:rPr>
        <w:rFonts w:ascii="Wingdings" w:hAnsi="Wingdings" w:hint="default"/>
      </w:rPr>
    </w:lvl>
    <w:lvl w:ilvl="3" w:tplc="10090001">
      <w:start w:val="1"/>
      <w:numFmt w:val="bullet"/>
      <w:lvlText w:val=""/>
      <w:lvlJc w:val="left"/>
      <w:pPr>
        <w:ind w:left="3371" w:hanging="360"/>
      </w:pPr>
      <w:rPr>
        <w:rFonts w:ascii="Symbol" w:hAnsi="Symbol" w:hint="default"/>
      </w:rPr>
    </w:lvl>
    <w:lvl w:ilvl="4" w:tplc="10090003">
      <w:start w:val="1"/>
      <w:numFmt w:val="bullet"/>
      <w:lvlText w:val="o"/>
      <w:lvlJc w:val="left"/>
      <w:pPr>
        <w:ind w:left="4091" w:hanging="360"/>
      </w:pPr>
      <w:rPr>
        <w:rFonts w:ascii="Courier New" w:hAnsi="Courier New" w:cs="Courier New" w:hint="default"/>
      </w:rPr>
    </w:lvl>
    <w:lvl w:ilvl="5" w:tplc="10090005">
      <w:start w:val="1"/>
      <w:numFmt w:val="bullet"/>
      <w:lvlText w:val=""/>
      <w:lvlJc w:val="left"/>
      <w:pPr>
        <w:ind w:left="4811" w:hanging="360"/>
      </w:pPr>
      <w:rPr>
        <w:rFonts w:ascii="Wingdings" w:hAnsi="Wingdings" w:hint="default"/>
      </w:rPr>
    </w:lvl>
    <w:lvl w:ilvl="6" w:tplc="10090001">
      <w:start w:val="1"/>
      <w:numFmt w:val="bullet"/>
      <w:lvlText w:val=""/>
      <w:lvlJc w:val="left"/>
      <w:pPr>
        <w:ind w:left="5531" w:hanging="360"/>
      </w:pPr>
      <w:rPr>
        <w:rFonts w:ascii="Symbol" w:hAnsi="Symbol" w:hint="default"/>
      </w:rPr>
    </w:lvl>
    <w:lvl w:ilvl="7" w:tplc="10090003">
      <w:start w:val="1"/>
      <w:numFmt w:val="bullet"/>
      <w:lvlText w:val="o"/>
      <w:lvlJc w:val="left"/>
      <w:pPr>
        <w:ind w:left="6251" w:hanging="360"/>
      </w:pPr>
      <w:rPr>
        <w:rFonts w:ascii="Courier New" w:hAnsi="Courier New" w:cs="Courier New" w:hint="default"/>
      </w:rPr>
    </w:lvl>
    <w:lvl w:ilvl="8" w:tplc="10090005">
      <w:start w:val="1"/>
      <w:numFmt w:val="bullet"/>
      <w:lvlText w:val=""/>
      <w:lvlJc w:val="left"/>
      <w:pPr>
        <w:ind w:left="6971" w:hanging="360"/>
      </w:pPr>
      <w:rPr>
        <w:rFonts w:ascii="Wingdings" w:hAnsi="Wingdings" w:hint="default"/>
      </w:rPr>
    </w:lvl>
  </w:abstractNum>
  <w:abstractNum w:abstractNumId="9"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0" w15:restartNumberingAfterBreak="0">
    <w:nsid w:val="591A7C9C"/>
    <w:multiLevelType w:val="hybridMultilevel"/>
    <w:tmpl w:val="A536934E"/>
    <w:lvl w:ilvl="0" w:tplc="ADB20FDC">
      <w:start w:val="1"/>
      <w:numFmt w:val="decimal"/>
      <w:lvlText w:val="%1"/>
      <w:lvlJc w:val="left"/>
      <w:pPr>
        <w:ind w:left="359" w:hanging="264"/>
      </w:pPr>
      <w:rPr>
        <w:rFonts w:ascii="Times New Roman" w:eastAsia="Times New Roman" w:hAnsi="Times New Roman" w:cs="Times New Roman" w:hint="default"/>
        <w:w w:val="103"/>
        <w:sz w:val="20"/>
        <w:szCs w:val="20"/>
      </w:rPr>
    </w:lvl>
    <w:lvl w:ilvl="1" w:tplc="BC78D484">
      <w:numFmt w:val="bullet"/>
      <w:lvlText w:val="•"/>
      <w:lvlJc w:val="left"/>
      <w:pPr>
        <w:ind w:left="745" w:hanging="264"/>
      </w:pPr>
      <w:rPr>
        <w:rFonts w:hint="default"/>
      </w:rPr>
    </w:lvl>
    <w:lvl w:ilvl="2" w:tplc="7DCEE4F6">
      <w:numFmt w:val="bullet"/>
      <w:lvlText w:val="•"/>
      <w:lvlJc w:val="left"/>
      <w:pPr>
        <w:ind w:left="1131" w:hanging="264"/>
      </w:pPr>
      <w:rPr>
        <w:rFonts w:hint="default"/>
      </w:rPr>
    </w:lvl>
    <w:lvl w:ilvl="3" w:tplc="66625804">
      <w:numFmt w:val="bullet"/>
      <w:lvlText w:val="•"/>
      <w:lvlJc w:val="left"/>
      <w:pPr>
        <w:ind w:left="1516" w:hanging="264"/>
      </w:pPr>
      <w:rPr>
        <w:rFonts w:hint="default"/>
      </w:rPr>
    </w:lvl>
    <w:lvl w:ilvl="4" w:tplc="E91A1344">
      <w:numFmt w:val="bullet"/>
      <w:lvlText w:val="•"/>
      <w:lvlJc w:val="left"/>
      <w:pPr>
        <w:ind w:left="1902" w:hanging="264"/>
      </w:pPr>
      <w:rPr>
        <w:rFonts w:hint="default"/>
      </w:rPr>
    </w:lvl>
    <w:lvl w:ilvl="5" w:tplc="96EC5556">
      <w:numFmt w:val="bullet"/>
      <w:lvlText w:val="•"/>
      <w:lvlJc w:val="left"/>
      <w:pPr>
        <w:ind w:left="2287" w:hanging="264"/>
      </w:pPr>
      <w:rPr>
        <w:rFonts w:hint="default"/>
      </w:rPr>
    </w:lvl>
    <w:lvl w:ilvl="6" w:tplc="34341200">
      <w:numFmt w:val="bullet"/>
      <w:lvlText w:val="•"/>
      <w:lvlJc w:val="left"/>
      <w:pPr>
        <w:ind w:left="2673" w:hanging="264"/>
      </w:pPr>
      <w:rPr>
        <w:rFonts w:hint="default"/>
      </w:rPr>
    </w:lvl>
    <w:lvl w:ilvl="7" w:tplc="038A0F52">
      <w:numFmt w:val="bullet"/>
      <w:lvlText w:val="•"/>
      <w:lvlJc w:val="left"/>
      <w:pPr>
        <w:ind w:left="3059" w:hanging="264"/>
      </w:pPr>
      <w:rPr>
        <w:rFonts w:hint="default"/>
      </w:rPr>
    </w:lvl>
    <w:lvl w:ilvl="8" w:tplc="FC0CEE30">
      <w:numFmt w:val="bullet"/>
      <w:lvlText w:val="•"/>
      <w:lvlJc w:val="left"/>
      <w:pPr>
        <w:ind w:left="3444" w:hanging="264"/>
      </w:pPr>
      <w:rPr>
        <w:rFonts w:hint="default"/>
      </w:rPr>
    </w:lvl>
  </w:abstractNum>
  <w:abstractNum w:abstractNumId="11" w15:restartNumberingAfterBreak="0">
    <w:nsid w:val="6BB555AC"/>
    <w:multiLevelType w:val="hybridMultilevel"/>
    <w:tmpl w:val="E7DEB540"/>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12" w15:restartNumberingAfterBreak="0">
    <w:nsid w:val="6FBB233B"/>
    <w:multiLevelType w:val="hybridMultilevel"/>
    <w:tmpl w:val="72CC5752"/>
    <w:lvl w:ilvl="0" w:tplc="6D362C64">
      <w:start w:val="1"/>
      <w:numFmt w:val="decimal"/>
      <w:lvlText w:val="%1"/>
      <w:lvlJc w:val="left"/>
      <w:pPr>
        <w:ind w:left="359" w:hanging="264"/>
      </w:pPr>
      <w:rPr>
        <w:rFonts w:ascii="Times New Roman" w:eastAsia="Times New Roman" w:hAnsi="Times New Roman" w:cs="Times New Roman" w:hint="default"/>
        <w:w w:val="103"/>
        <w:sz w:val="20"/>
        <w:szCs w:val="20"/>
      </w:rPr>
    </w:lvl>
    <w:lvl w:ilvl="1" w:tplc="79D43282">
      <w:numFmt w:val="bullet"/>
      <w:lvlText w:val="•"/>
      <w:lvlJc w:val="left"/>
      <w:pPr>
        <w:ind w:left="745" w:hanging="264"/>
      </w:pPr>
      <w:rPr>
        <w:rFonts w:hint="default"/>
      </w:rPr>
    </w:lvl>
    <w:lvl w:ilvl="2" w:tplc="2B00F6A6">
      <w:numFmt w:val="bullet"/>
      <w:lvlText w:val="•"/>
      <w:lvlJc w:val="left"/>
      <w:pPr>
        <w:ind w:left="1131" w:hanging="264"/>
      </w:pPr>
      <w:rPr>
        <w:rFonts w:hint="default"/>
      </w:rPr>
    </w:lvl>
    <w:lvl w:ilvl="3" w:tplc="E068A942">
      <w:numFmt w:val="bullet"/>
      <w:lvlText w:val="•"/>
      <w:lvlJc w:val="left"/>
      <w:pPr>
        <w:ind w:left="1516" w:hanging="264"/>
      </w:pPr>
      <w:rPr>
        <w:rFonts w:hint="default"/>
      </w:rPr>
    </w:lvl>
    <w:lvl w:ilvl="4" w:tplc="FC62E66A">
      <w:numFmt w:val="bullet"/>
      <w:lvlText w:val="•"/>
      <w:lvlJc w:val="left"/>
      <w:pPr>
        <w:ind w:left="1902" w:hanging="264"/>
      </w:pPr>
      <w:rPr>
        <w:rFonts w:hint="default"/>
      </w:rPr>
    </w:lvl>
    <w:lvl w:ilvl="5" w:tplc="2CBED756">
      <w:numFmt w:val="bullet"/>
      <w:lvlText w:val="•"/>
      <w:lvlJc w:val="left"/>
      <w:pPr>
        <w:ind w:left="2287" w:hanging="264"/>
      </w:pPr>
      <w:rPr>
        <w:rFonts w:hint="default"/>
      </w:rPr>
    </w:lvl>
    <w:lvl w:ilvl="6" w:tplc="BAF85FA8">
      <w:numFmt w:val="bullet"/>
      <w:lvlText w:val="•"/>
      <w:lvlJc w:val="left"/>
      <w:pPr>
        <w:ind w:left="2673" w:hanging="264"/>
      </w:pPr>
      <w:rPr>
        <w:rFonts w:hint="default"/>
      </w:rPr>
    </w:lvl>
    <w:lvl w:ilvl="7" w:tplc="19DA1EE2">
      <w:numFmt w:val="bullet"/>
      <w:lvlText w:val="•"/>
      <w:lvlJc w:val="left"/>
      <w:pPr>
        <w:ind w:left="3059" w:hanging="264"/>
      </w:pPr>
      <w:rPr>
        <w:rFonts w:hint="default"/>
      </w:rPr>
    </w:lvl>
    <w:lvl w:ilvl="8" w:tplc="0C4C152C">
      <w:numFmt w:val="bullet"/>
      <w:lvlText w:val="•"/>
      <w:lvlJc w:val="left"/>
      <w:pPr>
        <w:ind w:left="3444" w:hanging="264"/>
      </w:pPr>
      <w:rPr>
        <w:rFonts w:hint="default"/>
      </w:rPr>
    </w:lvl>
  </w:abstractNum>
  <w:abstractNum w:abstractNumId="13" w15:restartNumberingAfterBreak="0">
    <w:nsid w:val="754D672A"/>
    <w:multiLevelType w:val="hybridMultilevel"/>
    <w:tmpl w:val="01FEDE6A"/>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num w:numId="1">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6"/>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9"/>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1"/>
  </w:num>
  <w:num w:numId="7">
    <w:abstractNumId w:val="13"/>
  </w:num>
  <w:num w:numId="8">
    <w:abstractNumId w:val="12"/>
  </w:num>
  <w:num w:numId="9">
    <w:abstractNumId w:val="10"/>
  </w:num>
  <w:num w:numId="10">
    <w:abstractNumId w:val="4"/>
  </w:num>
  <w:num w:numId="11">
    <w:abstractNumId w:val="2"/>
  </w:num>
  <w:num w:numId="12">
    <w:abstractNumId w:val="0"/>
  </w:num>
  <w:num w:numId="13">
    <w:abstractNumId w:val="8"/>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1304"/>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4EAE"/>
    <w:rsid w:val="00004DA7"/>
    <w:rsid w:val="000259B9"/>
    <w:rsid w:val="00041491"/>
    <w:rsid w:val="000428DF"/>
    <w:rsid w:val="00046649"/>
    <w:rsid w:val="00050D16"/>
    <w:rsid w:val="000566A6"/>
    <w:rsid w:val="00074F2A"/>
    <w:rsid w:val="00087751"/>
    <w:rsid w:val="000A02AE"/>
    <w:rsid w:val="000A0798"/>
    <w:rsid w:val="000A1CA8"/>
    <w:rsid w:val="000A466B"/>
    <w:rsid w:val="000A733F"/>
    <w:rsid w:val="000B058C"/>
    <w:rsid w:val="000C1329"/>
    <w:rsid w:val="000E4EE6"/>
    <w:rsid w:val="00123052"/>
    <w:rsid w:val="001454E2"/>
    <w:rsid w:val="001473E8"/>
    <w:rsid w:val="001543C4"/>
    <w:rsid w:val="00156C5A"/>
    <w:rsid w:val="00163791"/>
    <w:rsid w:val="00194F1E"/>
    <w:rsid w:val="001A0A2E"/>
    <w:rsid w:val="001C02F9"/>
    <w:rsid w:val="001C7413"/>
    <w:rsid w:val="001D319D"/>
    <w:rsid w:val="001E39D7"/>
    <w:rsid w:val="001E3A10"/>
    <w:rsid w:val="001E67C8"/>
    <w:rsid w:val="001F3DD0"/>
    <w:rsid w:val="001F5A60"/>
    <w:rsid w:val="00205CF1"/>
    <w:rsid w:val="00206CE8"/>
    <w:rsid w:val="0020758D"/>
    <w:rsid w:val="0021526C"/>
    <w:rsid w:val="002202C2"/>
    <w:rsid w:val="00222616"/>
    <w:rsid w:val="00232480"/>
    <w:rsid w:val="00237C8D"/>
    <w:rsid w:val="002445A3"/>
    <w:rsid w:val="002456EB"/>
    <w:rsid w:val="00250D6E"/>
    <w:rsid w:val="00254086"/>
    <w:rsid w:val="002652DD"/>
    <w:rsid w:val="00280701"/>
    <w:rsid w:val="00283A2B"/>
    <w:rsid w:val="002A2BF7"/>
    <w:rsid w:val="002A77ED"/>
    <w:rsid w:val="002A7F3B"/>
    <w:rsid w:val="002B30AD"/>
    <w:rsid w:val="002B3A6F"/>
    <w:rsid w:val="002C2C01"/>
    <w:rsid w:val="002C5387"/>
    <w:rsid w:val="002E2744"/>
    <w:rsid w:val="002E419E"/>
    <w:rsid w:val="003240C6"/>
    <w:rsid w:val="00342E9E"/>
    <w:rsid w:val="00353A40"/>
    <w:rsid w:val="00361E43"/>
    <w:rsid w:val="00385AF5"/>
    <w:rsid w:val="00385D06"/>
    <w:rsid w:val="00390F70"/>
    <w:rsid w:val="003A0506"/>
    <w:rsid w:val="003A29AE"/>
    <w:rsid w:val="003A32D7"/>
    <w:rsid w:val="003B4074"/>
    <w:rsid w:val="003C769A"/>
    <w:rsid w:val="003D11CB"/>
    <w:rsid w:val="003D5C5B"/>
    <w:rsid w:val="003D682F"/>
    <w:rsid w:val="003E3995"/>
    <w:rsid w:val="003E4696"/>
    <w:rsid w:val="003E4896"/>
    <w:rsid w:val="003F1838"/>
    <w:rsid w:val="003F7B19"/>
    <w:rsid w:val="004209F1"/>
    <w:rsid w:val="00424C18"/>
    <w:rsid w:val="00437268"/>
    <w:rsid w:val="0044220E"/>
    <w:rsid w:val="0044311F"/>
    <w:rsid w:val="0045746C"/>
    <w:rsid w:val="00464283"/>
    <w:rsid w:val="00480C18"/>
    <w:rsid w:val="00481015"/>
    <w:rsid w:val="0049104B"/>
    <w:rsid w:val="004A4517"/>
    <w:rsid w:val="004B2A25"/>
    <w:rsid w:val="004D282D"/>
    <w:rsid w:val="004D2AE8"/>
    <w:rsid w:val="004D630B"/>
    <w:rsid w:val="004E27EB"/>
    <w:rsid w:val="004E3B12"/>
    <w:rsid w:val="004E6AFE"/>
    <w:rsid w:val="004F4B11"/>
    <w:rsid w:val="004F6070"/>
    <w:rsid w:val="00515D37"/>
    <w:rsid w:val="00523BC3"/>
    <w:rsid w:val="00532310"/>
    <w:rsid w:val="00536434"/>
    <w:rsid w:val="00555E2C"/>
    <w:rsid w:val="00561E0C"/>
    <w:rsid w:val="00565F0F"/>
    <w:rsid w:val="005760A0"/>
    <w:rsid w:val="00594A86"/>
    <w:rsid w:val="00596D86"/>
    <w:rsid w:val="005A0D4E"/>
    <w:rsid w:val="005B1506"/>
    <w:rsid w:val="005B4447"/>
    <w:rsid w:val="005B73F7"/>
    <w:rsid w:val="005C2DCA"/>
    <w:rsid w:val="005D40A7"/>
    <w:rsid w:val="005E42DC"/>
    <w:rsid w:val="005E64B2"/>
    <w:rsid w:val="005F4545"/>
    <w:rsid w:val="005F4817"/>
    <w:rsid w:val="005F51BE"/>
    <w:rsid w:val="006003B8"/>
    <w:rsid w:val="0060600B"/>
    <w:rsid w:val="006108E4"/>
    <w:rsid w:val="00620C54"/>
    <w:rsid w:val="0062123B"/>
    <w:rsid w:val="006227E3"/>
    <w:rsid w:val="00624299"/>
    <w:rsid w:val="00627B44"/>
    <w:rsid w:val="00637F5A"/>
    <w:rsid w:val="00647285"/>
    <w:rsid w:val="006560B1"/>
    <w:rsid w:val="006647D3"/>
    <w:rsid w:val="006756DD"/>
    <w:rsid w:val="00682708"/>
    <w:rsid w:val="00683ACA"/>
    <w:rsid w:val="0069707F"/>
    <w:rsid w:val="006A3864"/>
    <w:rsid w:val="006A3EF9"/>
    <w:rsid w:val="006D21E5"/>
    <w:rsid w:val="006D3BCA"/>
    <w:rsid w:val="006D3DE8"/>
    <w:rsid w:val="006D5D14"/>
    <w:rsid w:val="006E686D"/>
    <w:rsid w:val="007055E1"/>
    <w:rsid w:val="00705D0A"/>
    <w:rsid w:val="00710072"/>
    <w:rsid w:val="007172FD"/>
    <w:rsid w:val="00721CF0"/>
    <w:rsid w:val="00737275"/>
    <w:rsid w:val="00740EEC"/>
    <w:rsid w:val="00745B23"/>
    <w:rsid w:val="00751E5B"/>
    <w:rsid w:val="0075737B"/>
    <w:rsid w:val="00766EF4"/>
    <w:rsid w:val="0077425C"/>
    <w:rsid w:val="0078011A"/>
    <w:rsid w:val="00782AF4"/>
    <w:rsid w:val="00790EE7"/>
    <w:rsid w:val="0079313E"/>
    <w:rsid w:val="007B16B1"/>
    <w:rsid w:val="007B6649"/>
    <w:rsid w:val="007E31DA"/>
    <w:rsid w:val="007E3E91"/>
    <w:rsid w:val="007F02D1"/>
    <w:rsid w:val="007F222F"/>
    <w:rsid w:val="00804D80"/>
    <w:rsid w:val="008062F9"/>
    <w:rsid w:val="008205CE"/>
    <w:rsid w:val="0082576E"/>
    <w:rsid w:val="00826523"/>
    <w:rsid w:val="008309EC"/>
    <w:rsid w:val="008337BE"/>
    <w:rsid w:val="00844666"/>
    <w:rsid w:val="00856AAD"/>
    <w:rsid w:val="008844D6"/>
    <w:rsid w:val="0088471B"/>
    <w:rsid w:val="00897647"/>
    <w:rsid w:val="008B5809"/>
    <w:rsid w:val="008B67F0"/>
    <w:rsid w:val="008E4ECB"/>
    <w:rsid w:val="00907F75"/>
    <w:rsid w:val="00911CC2"/>
    <w:rsid w:val="00914345"/>
    <w:rsid w:val="0091489A"/>
    <w:rsid w:val="00920A5B"/>
    <w:rsid w:val="00922F9B"/>
    <w:rsid w:val="009260DE"/>
    <w:rsid w:val="0093258A"/>
    <w:rsid w:val="009327A4"/>
    <w:rsid w:val="00951E66"/>
    <w:rsid w:val="00954A86"/>
    <w:rsid w:val="00972652"/>
    <w:rsid w:val="009807D1"/>
    <w:rsid w:val="009A5A0C"/>
    <w:rsid w:val="009C7227"/>
    <w:rsid w:val="009C7BA3"/>
    <w:rsid w:val="009D09E8"/>
    <w:rsid w:val="009D1F5A"/>
    <w:rsid w:val="009E3F68"/>
    <w:rsid w:val="009F6762"/>
    <w:rsid w:val="00A05952"/>
    <w:rsid w:val="00A1711F"/>
    <w:rsid w:val="00A25AEA"/>
    <w:rsid w:val="00A376AC"/>
    <w:rsid w:val="00A52C07"/>
    <w:rsid w:val="00A63680"/>
    <w:rsid w:val="00A65854"/>
    <w:rsid w:val="00A66970"/>
    <w:rsid w:val="00A6734C"/>
    <w:rsid w:val="00A71CBF"/>
    <w:rsid w:val="00A73A46"/>
    <w:rsid w:val="00A768CF"/>
    <w:rsid w:val="00A858A6"/>
    <w:rsid w:val="00A90561"/>
    <w:rsid w:val="00A94092"/>
    <w:rsid w:val="00A95304"/>
    <w:rsid w:val="00AA621E"/>
    <w:rsid w:val="00AB2C29"/>
    <w:rsid w:val="00AE1621"/>
    <w:rsid w:val="00AE1CD8"/>
    <w:rsid w:val="00B003BF"/>
    <w:rsid w:val="00B150E7"/>
    <w:rsid w:val="00B151F9"/>
    <w:rsid w:val="00B373D7"/>
    <w:rsid w:val="00B64E59"/>
    <w:rsid w:val="00B96276"/>
    <w:rsid w:val="00B971B2"/>
    <w:rsid w:val="00BA1CDE"/>
    <w:rsid w:val="00BB3381"/>
    <w:rsid w:val="00BD3076"/>
    <w:rsid w:val="00BE2F0A"/>
    <w:rsid w:val="00BE669E"/>
    <w:rsid w:val="00C1113D"/>
    <w:rsid w:val="00C36276"/>
    <w:rsid w:val="00C42586"/>
    <w:rsid w:val="00C43322"/>
    <w:rsid w:val="00C44D32"/>
    <w:rsid w:val="00C55534"/>
    <w:rsid w:val="00C60CCD"/>
    <w:rsid w:val="00C84483"/>
    <w:rsid w:val="00C95551"/>
    <w:rsid w:val="00C95960"/>
    <w:rsid w:val="00CB20D7"/>
    <w:rsid w:val="00CD3728"/>
    <w:rsid w:val="00CE5A13"/>
    <w:rsid w:val="00CE6AF5"/>
    <w:rsid w:val="00D020B0"/>
    <w:rsid w:val="00D04404"/>
    <w:rsid w:val="00D04EAE"/>
    <w:rsid w:val="00D11748"/>
    <w:rsid w:val="00D11AD1"/>
    <w:rsid w:val="00D15BC8"/>
    <w:rsid w:val="00D22397"/>
    <w:rsid w:val="00D2556E"/>
    <w:rsid w:val="00D34FCC"/>
    <w:rsid w:val="00D366CF"/>
    <w:rsid w:val="00D4321D"/>
    <w:rsid w:val="00D43B88"/>
    <w:rsid w:val="00D75289"/>
    <w:rsid w:val="00D84A9E"/>
    <w:rsid w:val="00D87035"/>
    <w:rsid w:val="00D91AD6"/>
    <w:rsid w:val="00D928A1"/>
    <w:rsid w:val="00DC2021"/>
    <w:rsid w:val="00DD396D"/>
    <w:rsid w:val="00DF29AD"/>
    <w:rsid w:val="00E108AA"/>
    <w:rsid w:val="00E26F67"/>
    <w:rsid w:val="00E3749A"/>
    <w:rsid w:val="00E44B2A"/>
    <w:rsid w:val="00E4504E"/>
    <w:rsid w:val="00E4719F"/>
    <w:rsid w:val="00E70A5B"/>
    <w:rsid w:val="00E7437F"/>
    <w:rsid w:val="00E763C5"/>
    <w:rsid w:val="00E77415"/>
    <w:rsid w:val="00E80B5F"/>
    <w:rsid w:val="00E80BCB"/>
    <w:rsid w:val="00E84A42"/>
    <w:rsid w:val="00E85BE3"/>
    <w:rsid w:val="00E865B8"/>
    <w:rsid w:val="00EA3138"/>
    <w:rsid w:val="00EB3A09"/>
    <w:rsid w:val="00EC0AFA"/>
    <w:rsid w:val="00EC0B9B"/>
    <w:rsid w:val="00ED5E9F"/>
    <w:rsid w:val="00EE53F2"/>
    <w:rsid w:val="00F0590E"/>
    <w:rsid w:val="00F11BD6"/>
    <w:rsid w:val="00F11C39"/>
    <w:rsid w:val="00F1304D"/>
    <w:rsid w:val="00F1797E"/>
    <w:rsid w:val="00F54CF2"/>
    <w:rsid w:val="00F66D4F"/>
    <w:rsid w:val="00F67A10"/>
    <w:rsid w:val="00F74526"/>
    <w:rsid w:val="00F77C01"/>
    <w:rsid w:val="00F84077"/>
    <w:rsid w:val="00F95061"/>
    <w:rsid w:val="00FA34A4"/>
    <w:rsid w:val="00FA3860"/>
    <w:rsid w:val="00FA50DD"/>
    <w:rsid w:val="00FB6D01"/>
    <w:rsid w:val="00FC7C39"/>
    <w:rsid w:val="00FD595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CB965D"/>
  <w15:chartTrackingRefBased/>
  <w15:docId w15:val="{2C4C686F-4DDA-43AF-81FB-BDEA9A30C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uiPriority w:val="99"/>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uiPriority w:val="99"/>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uiPriority w:val="99"/>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Brdtekst">
    <w:name w:val="Body Text"/>
    <w:basedOn w:val="Normal"/>
    <w:link w:val="BrdtekstTegn"/>
    <w:uiPriority w:val="1"/>
    <w:semiHidden/>
    <w:unhideWhenUsed/>
    <w:qFormat/>
    <w:rsid w:val="005760A0"/>
    <w:pPr>
      <w:widowControl w:val="0"/>
      <w:autoSpaceDE w:val="0"/>
      <w:autoSpaceDN w:val="0"/>
    </w:pPr>
    <w:rPr>
      <w:sz w:val="20"/>
      <w:lang w:val="en-US"/>
    </w:rPr>
  </w:style>
  <w:style w:type="character" w:customStyle="1" w:styleId="BrdtekstTegn">
    <w:name w:val="Brødtekst Tegn"/>
    <w:basedOn w:val="Standardskrifttypeiafsnit"/>
    <w:link w:val="Brdtekst"/>
    <w:uiPriority w:val="1"/>
    <w:semiHidden/>
    <w:rsid w:val="005760A0"/>
    <w:rPr>
      <w:lang w:val="en-US" w:eastAsia="en-US"/>
    </w:rPr>
  </w:style>
  <w:style w:type="table" w:styleId="Tabel-Gitter">
    <w:name w:val="Table Grid"/>
    <w:basedOn w:val="Tabel-Normal"/>
    <w:uiPriority w:val="59"/>
    <w:rsid w:val="00B971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unhideWhenUsed/>
    <w:qFormat/>
    <w:rsid w:val="004E27EB"/>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E27EB"/>
    <w:pPr>
      <w:widowControl w:val="0"/>
      <w:autoSpaceDE w:val="0"/>
      <w:autoSpaceDN w:val="0"/>
    </w:pPr>
    <w:rPr>
      <w:sz w:val="22"/>
      <w:szCs w:val="22"/>
      <w:lang w:val="en-US"/>
    </w:rPr>
  </w:style>
  <w:style w:type="character" w:styleId="Hyperlink">
    <w:name w:val="Hyperlink"/>
    <w:basedOn w:val="Standardskrifttypeiafsnit"/>
    <w:uiPriority w:val="99"/>
    <w:unhideWhenUsed/>
    <w:rsid w:val="006D3DE8"/>
    <w:rPr>
      <w:color w:val="0563C1" w:themeColor="hyperlink"/>
      <w:u w:val="single"/>
    </w:rPr>
  </w:style>
  <w:style w:type="character" w:styleId="Ulstomtale">
    <w:name w:val="Unresolved Mention"/>
    <w:basedOn w:val="Standardskrifttypeiafsnit"/>
    <w:uiPriority w:val="99"/>
    <w:semiHidden/>
    <w:unhideWhenUsed/>
    <w:rsid w:val="006D3DE8"/>
    <w:rPr>
      <w:color w:val="605E5C"/>
      <w:shd w:val="clear" w:color="auto" w:fill="E1DFDD"/>
    </w:rPr>
  </w:style>
  <w:style w:type="table" w:customStyle="1" w:styleId="TableNormal11">
    <w:name w:val="Table Normal11"/>
    <w:uiPriority w:val="2"/>
    <w:semiHidden/>
    <w:unhideWhenUsed/>
    <w:qFormat/>
    <w:rsid w:val="00CE6AF5"/>
    <w:pPr>
      <w:widowControl w:val="0"/>
      <w:autoSpaceDE w:val="0"/>
      <w:autoSpaceDN w:val="0"/>
    </w:pPr>
    <w:rPr>
      <w:rFonts w:ascii="Calibri" w:eastAsia="Calibri" w:hAnsi="Calibri"/>
      <w:sz w:val="22"/>
      <w:szCs w:val="22"/>
      <w:lang w:val="en-US" w:eastAsia="en-US"/>
    </w:rPr>
    <w:tblPr>
      <w:tblInd w:w="0" w:type="dxa"/>
      <w:tblCellMar>
        <w:top w:w="0" w:type="dxa"/>
        <w:left w:w="0" w:type="dxa"/>
        <w:bottom w:w="0" w:type="dxa"/>
        <w:right w:w="0" w:type="dxa"/>
      </w:tblCellMar>
    </w:tblPr>
  </w:style>
  <w:style w:type="table" w:customStyle="1" w:styleId="Tabel-Gitter1">
    <w:name w:val="Tabel - Gitter1"/>
    <w:basedOn w:val="Tabel-Normal"/>
    <w:next w:val="Tabel-Gitter"/>
    <w:uiPriority w:val="59"/>
    <w:rsid w:val="005F4545"/>
    <w:pPr>
      <w:widowControl w:val="0"/>
      <w:autoSpaceDE w:val="0"/>
      <w:autoSpaceDN w:val="0"/>
    </w:pPr>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el-Normal"/>
    <w:next w:val="Tabel-Gitter"/>
    <w:uiPriority w:val="59"/>
    <w:rsid w:val="006D21E5"/>
    <w:rPr>
      <w:lang w:val="en-US" w:eastAsia="zh-C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Mkatabulky1">
    <w:name w:val="Mřížka tabulky1"/>
    <w:basedOn w:val="Tabel-Normal"/>
    <w:next w:val="Tabel-Gitter"/>
    <w:uiPriority w:val="59"/>
    <w:rsid w:val="006D21E5"/>
    <w:rPr>
      <w:rFonts w:eastAsia="MS Mincho"/>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837964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321201624">
      <w:bodyDiv w:val="1"/>
      <w:marLeft w:val="0"/>
      <w:marRight w:val="0"/>
      <w:marTop w:val="0"/>
      <w:marBottom w:val="0"/>
      <w:divBdr>
        <w:top w:val="none" w:sz="0" w:space="0" w:color="auto"/>
        <w:left w:val="none" w:sz="0" w:space="0" w:color="auto"/>
        <w:bottom w:val="none" w:sz="0" w:space="0" w:color="auto"/>
        <w:right w:val="none" w:sz="0" w:space="0" w:color="auto"/>
      </w:divBdr>
    </w:div>
    <w:div w:id="486947111">
      <w:bodyDiv w:val="1"/>
      <w:marLeft w:val="0"/>
      <w:marRight w:val="0"/>
      <w:marTop w:val="0"/>
      <w:marBottom w:val="0"/>
      <w:divBdr>
        <w:top w:val="none" w:sz="0" w:space="0" w:color="auto"/>
        <w:left w:val="none" w:sz="0" w:space="0" w:color="auto"/>
        <w:bottom w:val="none" w:sz="0" w:space="0" w:color="auto"/>
        <w:right w:val="none" w:sz="0" w:space="0" w:color="auto"/>
      </w:divBdr>
    </w:div>
    <w:div w:id="607467146">
      <w:bodyDiv w:val="1"/>
      <w:marLeft w:val="0"/>
      <w:marRight w:val="0"/>
      <w:marTop w:val="0"/>
      <w:marBottom w:val="0"/>
      <w:divBdr>
        <w:top w:val="none" w:sz="0" w:space="0" w:color="auto"/>
        <w:left w:val="none" w:sz="0" w:space="0" w:color="auto"/>
        <w:bottom w:val="none" w:sz="0" w:space="0" w:color="auto"/>
        <w:right w:val="none" w:sz="0" w:space="0" w:color="auto"/>
      </w:divBdr>
    </w:div>
    <w:div w:id="643854986">
      <w:bodyDiv w:val="1"/>
      <w:marLeft w:val="0"/>
      <w:marRight w:val="0"/>
      <w:marTop w:val="0"/>
      <w:marBottom w:val="0"/>
      <w:divBdr>
        <w:top w:val="none" w:sz="0" w:space="0" w:color="auto"/>
        <w:left w:val="none" w:sz="0" w:space="0" w:color="auto"/>
        <w:bottom w:val="none" w:sz="0" w:space="0" w:color="auto"/>
        <w:right w:val="none" w:sz="0" w:space="0" w:color="auto"/>
      </w:divBdr>
    </w:div>
    <w:div w:id="753161609">
      <w:bodyDiv w:val="1"/>
      <w:marLeft w:val="0"/>
      <w:marRight w:val="0"/>
      <w:marTop w:val="0"/>
      <w:marBottom w:val="0"/>
      <w:divBdr>
        <w:top w:val="none" w:sz="0" w:space="0" w:color="auto"/>
        <w:left w:val="none" w:sz="0" w:space="0" w:color="auto"/>
        <w:bottom w:val="none" w:sz="0" w:space="0" w:color="auto"/>
        <w:right w:val="none" w:sz="0" w:space="0" w:color="auto"/>
      </w:divBdr>
    </w:div>
    <w:div w:id="1060710503">
      <w:bodyDiv w:val="1"/>
      <w:marLeft w:val="0"/>
      <w:marRight w:val="0"/>
      <w:marTop w:val="0"/>
      <w:marBottom w:val="0"/>
      <w:divBdr>
        <w:top w:val="none" w:sz="0" w:space="0" w:color="auto"/>
        <w:left w:val="none" w:sz="0" w:space="0" w:color="auto"/>
        <w:bottom w:val="none" w:sz="0" w:space="0" w:color="auto"/>
        <w:right w:val="none" w:sz="0" w:space="0" w:color="auto"/>
      </w:divBdr>
    </w:div>
    <w:div w:id="1123886692">
      <w:bodyDiv w:val="1"/>
      <w:marLeft w:val="0"/>
      <w:marRight w:val="0"/>
      <w:marTop w:val="0"/>
      <w:marBottom w:val="0"/>
      <w:divBdr>
        <w:top w:val="none" w:sz="0" w:space="0" w:color="auto"/>
        <w:left w:val="none" w:sz="0" w:space="0" w:color="auto"/>
        <w:bottom w:val="none" w:sz="0" w:space="0" w:color="auto"/>
        <w:right w:val="none" w:sz="0" w:space="0" w:color="auto"/>
      </w:divBdr>
    </w:div>
    <w:div w:id="1221675705">
      <w:bodyDiv w:val="1"/>
      <w:marLeft w:val="0"/>
      <w:marRight w:val="0"/>
      <w:marTop w:val="0"/>
      <w:marBottom w:val="0"/>
      <w:divBdr>
        <w:top w:val="none" w:sz="0" w:space="0" w:color="auto"/>
        <w:left w:val="none" w:sz="0" w:space="0" w:color="auto"/>
        <w:bottom w:val="none" w:sz="0" w:space="0" w:color="auto"/>
        <w:right w:val="none" w:sz="0" w:space="0" w:color="auto"/>
      </w:divBdr>
    </w:div>
    <w:div w:id="1432974001">
      <w:bodyDiv w:val="1"/>
      <w:marLeft w:val="0"/>
      <w:marRight w:val="0"/>
      <w:marTop w:val="0"/>
      <w:marBottom w:val="0"/>
      <w:divBdr>
        <w:top w:val="none" w:sz="0" w:space="0" w:color="auto"/>
        <w:left w:val="none" w:sz="0" w:space="0" w:color="auto"/>
        <w:bottom w:val="none" w:sz="0" w:space="0" w:color="auto"/>
        <w:right w:val="none" w:sz="0" w:space="0" w:color="auto"/>
      </w:divBdr>
    </w:div>
    <w:div w:id="1936937544">
      <w:bodyDiv w:val="1"/>
      <w:marLeft w:val="0"/>
      <w:marRight w:val="0"/>
      <w:marTop w:val="0"/>
      <w:marBottom w:val="0"/>
      <w:divBdr>
        <w:top w:val="none" w:sz="0" w:space="0" w:color="auto"/>
        <w:left w:val="none" w:sz="0" w:space="0" w:color="auto"/>
        <w:bottom w:val="none" w:sz="0" w:space="0" w:color="auto"/>
        <w:right w:val="none" w:sz="0" w:space="0" w:color="auto"/>
      </w:divBdr>
    </w:div>
    <w:div w:id="2007047100">
      <w:bodyDiv w:val="1"/>
      <w:marLeft w:val="0"/>
      <w:marRight w:val="0"/>
      <w:marTop w:val="0"/>
      <w:marBottom w:val="0"/>
      <w:divBdr>
        <w:top w:val="none" w:sz="0" w:space="0" w:color="auto"/>
        <w:left w:val="none" w:sz="0" w:space="0" w:color="auto"/>
        <w:bottom w:val="none" w:sz="0" w:space="0" w:color="auto"/>
        <w:right w:val="none" w:sz="0" w:space="0" w:color="auto"/>
      </w:divBdr>
    </w:div>
    <w:div w:id="2069718595">
      <w:bodyDiv w:val="1"/>
      <w:marLeft w:val="0"/>
      <w:marRight w:val="0"/>
      <w:marTop w:val="0"/>
      <w:marBottom w:val="0"/>
      <w:divBdr>
        <w:top w:val="none" w:sz="0" w:space="0" w:color="auto"/>
        <w:left w:val="none" w:sz="0" w:space="0" w:color="auto"/>
        <w:bottom w:val="none" w:sz="0" w:space="0" w:color="auto"/>
        <w:right w:val="none" w:sz="0" w:space="0" w:color="auto"/>
      </w:divBdr>
    </w:div>
    <w:div w:id="2069759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71</TotalTime>
  <Pages>44</Pages>
  <Words>15881</Words>
  <Characters>94542</Characters>
  <Application>Microsoft Office Word</Application>
  <DocSecurity>0</DocSecurity>
  <Lines>787</Lines>
  <Paragraphs>220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110203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Hanne Thy Iversen</dc:creator>
  <cp:keywords/>
  <dc:description>2023080212 var 3 g, Dasatinib Alvogen til Dasatinib Vivanta + MAH skift til Vivanta 2023080905</dc:description>
  <cp:lastModifiedBy>Hanne Thy Iversen</cp:lastModifiedBy>
  <cp:revision>17</cp:revision>
  <cp:lastPrinted>2012-08-22T08:53:00Z</cp:lastPrinted>
  <dcterms:created xsi:type="dcterms:W3CDTF">2023-01-19T13:39:00Z</dcterms:created>
  <dcterms:modified xsi:type="dcterms:W3CDTF">2023-11-08T11:49:00Z</dcterms:modified>
</cp:coreProperties>
</file>