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F4FEC8" w14:textId="77777777" w:rsidR="009260DE" w:rsidRPr="008F49E1" w:rsidRDefault="0021526C" w:rsidP="009260DE">
      <w:pPr>
        <w:rPr>
          <w:sz w:val="24"/>
          <w:szCs w:val="24"/>
        </w:rPr>
      </w:pPr>
      <w:bookmarkStart w:id="0" w:name="_GoBack"/>
      <w:bookmarkEnd w:id="0"/>
      <w:r w:rsidRPr="009260DE">
        <w:rPr>
          <w:noProof/>
          <w:sz w:val="24"/>
          <w:szCs w:val="24"/>
          <w:lang w:eastAsia="da-DK"/>
        </w:rPr>
        <w:drawing>
          <wp:anchor distT="0" distB="0" distL="114300" distR="114300" simplePos="0" relativeHeight="251658240" behindDoc="0" locked="0" layoutInCell="1" allowOverlap="1" wp14:anchorId="082C367E" wp14:editId="2333246A">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Pr>
          <w:sz w:val="24"/>
          <w:szCs w:val="24"/>
        </w:rPr>
        <w:br w:type="textWrapping" w:clear="all"/>
      </w:r>
    </w:p>
    <w:p w14:paraId="20DF0F22" w14:textId="77777777" w:rsidR="009260DE" w:rsidRPr="00C84483" w:rsidRDefault="009260DE" w:rsidP="009260DE">
      <w:pPr>
        <w:pStyle w:val="Titel"/>
        <w:tabs>
          <w:tab w:val="right" w:pos="9356"/>
        </w:tabs>
        <w:jc w:val="left"/>
        <w:rPr>
          <w:b w:val="0"/>
          <w:szCs w:val="24"/>
          <w:lang w:eastAsia="en-US"/>
        </w:rPr>
      </w:pPr>
    </w:p>
    <w:p w14:paraId="285441FA" w14:textId="75D3E145" w:rsidR="009260DE" w:rsidRPr="00C84483" w:rsidRDefault="009260DE" w:rsidP="009260DE">
      <w:pPr>
        <w:pStyle w:val="Titel"/>
        <w:tabs>
          <w:tab w:val="right" w:pos="9356"/>
        </w:tabs>
        <w:jc w:val="left"/>
        <w:rPr>
          <w:b w:val="0"/>
          <w:szCs w:val="24"/>
          <w:lang w:eastAsia="en-US"/>
        </w:rPr>
      </w:pPr>
      <w:r w:rsidRPr="00C84483">
        <w:rPr>
          <w:b w:val="0"/>
          <w:szCs w:val="24"/>
          <w:lang w:eastAsia="en-US"/>
        </w:rPr>
        <w:tab/>
      </w:r>
      <w:r w:rsidR="00D9251E">
        <w:rPr>
          <w:szCs w:val="24"/>
        </w:rPr>
        <w:t>21. august 2025</w:t>
      </w:r>
    </w:p>
    <w:p w14:paraId="4373D742" w14:textId="77777777" w:rsidR="009260DE" w:rsidRPr="00C84483" w:rsidRDefault="009260DE" w:rsidP="009260DE">
      <w:pPr>
        <w:pStyle w:val="Titel"/>
        <w:tabs>
          <w:tab w:val="left" w:pos="8222"/>
        </w:tabs>
        <w:jc w:val="left"/>
        <w:rPr>
          <w:b w:val="0"/>
          <w:szCs w:val="24"/>
        </w:rPr>
      </w:pPr>
    </w:p>
    <w:p w14:paraId="4E15C4BC" w14:textId="77777777" w:rsidR="009260DE" w:rsidRPr="00C84483" w:rsidRDefault="009260DE" w:rsidP="009260DE">
      <w:pPr>
        <w:pStyle w:val="Titel"/>
        <w:jc w:val="left"/>
        <w:rPr>
          <w:b w:val="0"/>
          <w:szCs w:val="24"/>
        </w:rPr>
      </w:pPr>
    </w:p>
    <w:p w14:paraId="34293E42" w14:textId="77777777" w:rsidR="009260DE" w:rsidRPr="00C84483" w:rsidRDefault="009260DE" w:rsidP="009260DE">
      <w:pPr>
        <w:pStyle w:val="Titel"/>
        <w:jc w:val="left"/>
        <w:rPr>
          <w:b w:val="0"/>
          <w:szCs w:val="24"/>
        </w:rPr>
      </w:pPr>
    </w:p>
    <w:p w14:paraId="2D463B46" w14:textId="77777777" w:rsidR="009260DE" w:rsidRPr="00C84483" w:rsidRDefault="009260DE" w:rsidP="009260DE">
      <w:pPr>
        <w:jc w:val="center"/>
        <w:rPr>
          <w:b/>
          <w:sz w:val="24"/>
          <w:szCs w:val="24"/>
        </w:rPr>
      </w:pPr>
      <w:r w:rsidRPr="00C84483">
        <w:rPr>
          <w:b/>
          <w:sz w:val="24"/>
          <w:szCs w:val="24"/>
        </w:rPr>
        <w:t>PRODUKTRESUMÉ</w:t>
      </w:r>
    </w:p>
    <w:p w14:paraId="7A5CC956" w14:textId="77777777" w:rsidR="009260DE" w:rsidRPr="00C84483" w:rsidRDefault="009260DE" w:rsidP="009260DE">
      <w:pPr>
        <w:jc w:val="center"/>
        <w:rPr>
          <w:b/>
          <w:sz w:val="24"/>
          <w:szCs w:val="24"/>
        </w:rPr>
      </w:pPr>
    </w:p>
    <w:p w14:paraId="54A4F16F" w14:textId="77777777" w:rsidR="009260DE" w:rsidRDefault="009260DE" w:rsidP="009260DE">
      <w:pPr>
        <w:jc w:val="center"/>
        <w:rPr>
          <w:b/>
          <w:sz w:val="24"/>
          <w:szCs w:val="24"/>
        </w:rPr>
      </w:pPr>
      <w:r w:rsidRPr="00C84483">
        <w:rPr>
          <w:b/>
          <w:sz w:val="24"/>
          <w:szCs w:val="24"/>
        </w:rPr>
        <w:t>for</w:t>
      </w:r>
    </w:p>
    <w:p w14:paraId="56CF1FA4" w14:textId="77777777" w:rsidR="000B058C" w:rsidRPr="00C84483" w:rsidRDefault="000B058C" w:rsidP="009260DE">
      <w:pPr>
        <w:jc w:val="center"/>
        <w:rPr>
          <w:b/>
          <w:sz w:val="24"/>
          <w:szCs w:val="24"/>
        </w:rPr>
      </w:pPr>
    </w:p>
    <w:p w14:paraId="62FDBB21" w14:textId="1A9537EC" w:rsidR="009260DE" w:rsidRPr="00C84483" w:rsidRDefault="00EF5A69" w:rsidP="009260DE">
      <w:pPr>
        <w:jc w:val="center"/>
        <w:rPr>
          <w:b/>
          <w:sz w:val="24"/>
          <w:szCs w:val="24"/>
        </w:rPr>
      </w:pPr>
      <w:r w:rsidRPr="00EF5A69">
        <w:rPr>
          <w:b/>
          <w:sz w:val="24"/>
          <w:szCs w:val="24"/>
        </w:rPr>
        <w:t xml:space="preserve">Daunorubicin </w:t>
      </w:r>
      <w:r w:rsidR="008D6864">
        <w:rPr>
          <w:b/>
          <w:sz w:val="24"/>
          <w:szCs w:val="24"/>
        </w:rPr>
        <w:t>"</w:t>
      </w:r>
      <w:r w:rsidRPr="00EF5A69">
        <w:rPr>
          <w:b/>
          <w:sz w:val="24"/>
          <w:szCs w:val="24"/>
        </w:rPr>
        <w:t>Hikma</w:t>
      </w:r>
      <w:r w:rsidR="008D6864">
        <w:rPr>
          <w:b/>
          <w:sz w:val="24"/>
          <w:szCs w:val="24"/>
        </w:rPr>
        <w:t>"</w:t>
      </w:r>
      <w:r>
        <w:rPr>
          <w:b/>
          <w:sz w:val="24"/>
          <w:szCs w:val="24"/>
        </w:rPr>
        <w:t>, infusionsvæske, opløsning</w:t>
      </w:r>
    </w:p>
    <w:p w14:paraId="3B00D80D" w14:textId="77777777" w:rsidR="009260DE" w:rsidRPr="00C84483" w:rsidRDefault="009260DE" w:rsidP="009260DE">
      <w:pPr>
        <w:jc w:val="both"/>
        <w:rPr>
          <w:sz w:val="24"/>
          <w:szCs w:val="24"/>
        </w:rPr>
      </w:pPr>
    </w:p>
    <w:p w14:paraId="2A6D3641" w14:textId="77777777" w:rsidR="009260DE" w:rsidRPr="00C84483" w:rsidRDefault="009260DE" w:rsidP="009260DE">
      <w:pPr>
        <w:jc w:val="both"/>
        <w:rPr>
          <w:sz w:val="24"/>
          <w:szCs w:val="24"/>
        </w:rPr>
      </w:pPr>
    </w:p>
    <w:p w14:paraId="3AC712B0" w14:textId="77777777" w:rsidR="009260DE" w:rsidRPr="00C84483" w:rsidRDefault="009260DE" w:rsidP="009260DE">
      <w:pPr>
        <w:tabs>
          <w:tab w:val="left" w:pos="851"/>
        </w:tabs>
        <w:ind w:left="851" w:hanging="851"/>
        <w:rPr>
          <w:b/>
          <w:sz w:val="24"/>
          <w:szCs w:val="24"/>
        </w:rPr>
      </w:pPr>
      <w:r w:rsidRPr="00C84483">
        <w:rPr>
          <w:b/>
          <w:sz w:val="24"/>
          <w:szCs w:val="24"/>
        </w:rPr>
        <w:t>0.</w:t>
      </w:r>
      <w:r w:rsidRPr="00C84483">
        <w:rPr>
          <w:b/>
          <w:sz w:val="24"/>
          <w:szCs w:val="24"/>
        </w:rPr>
        <w:tab/>
        <w:t>D.SP.NR.</w:t>
      </w:r>
    </w:p>
    <w:p w14:paraId="0224B0D3" w14:textId="06D9CA82" w:rsidR="009260DE" w:rsidRPr="00C84483" w:rsidRDefault="00136633" w:rsidP="009260DE">
      <w:pPr>
        <w:tabs>
          <w:tab w:val="left" w:pos="851"/>
        </w:tabs>
        <w:ind w:left="851"/>
        <w:rPr>
          <w:sz w:val="24"/>
          <w:szCs w:val="24"/>
        </w:rPr>
      </w:pPr>
      <w:r>
        <w:rPr>
          <w:sz w:val="24"/>
          <w:szCs w:val="24"/>
        </w:rPr>
        <w:t>33320</w:t>
      </w:r>
    </w:p>
    <w:p w14:paraId="54A03BAF" w14:textId="77777777" w:rsidR="009260DE" w:rsidRPr="00C84483" w:rsidRDefault="009260DE" w:rsidP="009260DE">
      <w:pPr>
        <w:tabs>
          <w:tab w:val="left" w:pos="851"/>
        </w:tabs>
        <w:ind w:left="851"/>
        <w:rPr>
          <w:sz w:val="24"/>
          <w:szCs w:val="24"/>
        </w:rPr>
      </w:pPr>
    </w:p>
    <w:p w14:paraId="221E88C9" w14:textId="77777777" w:rsidR="009260DE" w:rsidRPr="00C84483" w:rsidRDefault="009260DE" w:rsidP="009260DE">
      <w:pPr>
        <w:tabs>
          <w:tab w:val="left" w:pos="851"/>
        </w:tabs>
        <w:ind w:left="851" w:hanging="851"/>
        <w:rPr>
          <w:b/>
          <w:sz w:val="24"/>
          <w:szCs w:val="24"/>
        </w:rPr>
      </w:pPr>
      <w:r w:rsidRPr="00C84483">
        <w:rPr>
          <w:b/>
          <w:sz w:val="24"/>
          <w:szCs w:val="24"/>
        </w:rPr>
        <w:t>1.</w:t>
      </w:r>
      <w:r w:rsidRPr="00C84483">
        <w:rPr>
          <w:b/>
          <w:sz w:val="24"/>
          <w:szCs w:val="24"/>
        </w:rPr>
        <w:tab/>
        <w:t>LÆGEMIDLETS NAVN</w:t>
      </w:r>
    </w:p>
    <w:p w14:paraId="08725A32" w14:textId="1870E639" w:rsidR="009260DE" w:rsidRPr="00136633" w:rsidRDefault="00136633" w:rsidP="009260DE">
      <w:pPr>
        <w:tabs>
          <w:tab w:val="left" w:pos="851"/>
        </w:tabs>
        <w:ind w:left="851"/>
        <w:rPr>
          <w:sz w:val="24"/>
          <w:szCs w:val="24"/>
        </w:rPr>
      </w:pPr>
      <w:r w:rsidRPr="00136633">
        <w:rPr>
          <w:sz w:val="24"/>
          <w:szCs w:val="24"/>
        </w:rPr>
        <w:t xml:space="preserve">Daunorubicin </w:t>
      </w:r>
      <w:r w:rsidR="008D6864">
        <w:rPr>
          <w:sz w:val="24"/>
          <w:szCs w:val="24"/>
        </w:rPr>
        <w:t>"</w:t>
      </w:r>
      <w:r w:rsidRPr="00136633">
        <w:rPr>
          <w:sz w:val="24"/>
          <w:szCs w:val="24"/>
        </w:rPr>
        <w:t>Hikma</w:t>
      </w:r>
      <w:r w:rsidR="008D6864">
        <w:rPr>
          <w:sz w:val="24"/>
          <w:szCs w:val="24"/>
        </w:rPr>
        <w:t>"</w:t>
      </w:r>
    </w:p>
    <w:p w14:paraId="25FAD51B" w14:textId="77777777" w:rsidR="009260DE" w:rsidRPr="00136633" w:rsidRDefault="009260DE" w:rsidP="009260DE">
      <w:pPr>
        <w:tabs>
          <w:tab w:val="left" w:pos="851"/>
        </w:tabs>
        <w:ind w:left="851"/>
        <w:rPr>
          <w:sz w:val="24"/>
          <w:szCs w:val="24"/>
        </w:rPr>
      </w:pPr>
    </w:p>
    <w:p w14:paraId="22CE3557" w14:textId="77777777" w:rsidR="009260DE" w:rsidRPr="00C84483" w:rsidRDefault="009260DE" w:rsidP="009260DE">
      <w:pPr>
        <w:tabs>
          <w:tab w:val="left" w:pos="851"/>
        </w:tabs>
        <w:ind w:left="851" w:hanging="851"/>
        <w:rPr>
          <w:b/>
          <w:sz w:val="24"/>
          <w:szCs w:val="24"/>
        </w:rPr>
      </w:pPr>
      <w:r w:rsidRPr="00C84483">
        <w:rPr>
          <w:b/>
          <w:sz w:val="24"/>
          <w:szCs w:val="24"/>
        </w:rPr>
        <w:t>2.</w:t>
      </w:r>
      <w:r w:rsidRPr="00C84483">
        <w:rPr>
          <w:b/>
          <w:sz w:val="24"/>
          <w:szCs w:val="24"/>
        </w:rPr>
        <w:tab/>
        <w:t>KVALITATIV OG KVANTITATIV SAMMENSÆTNING</w:t>
      </w:r>
    </w:p>
    <w:p w14:paraId="5BFBE9E3" w14:textId="77777777" w:rsidR="00136633" w:rsidRPr="00136633" w:rsidRDefault="00136633" w:rsidP="00136633">
      <w:pPr>
        <w:tabs>
          <w:tab w:val="left" w:pos="851"/>
        </w:tabs>
        <w:ind w:left="851"/>
        <w:rPr>
          <w:sz w:val="24"/>
          <w:szCs w:val="24"/>
        </w:rPr>
      </w:pPr>
      <w:r w:rsidRPr="00136633">
        <w:rPr>
          <w:sz w:val="24"/>
          <w:szCs w:val="24"/>
        </w:rPr>
        <w:t>1 ml indeholder 5,34 mg daunorubicinhydrochlorid svarende til 5 mg daunorubicin.</w:t>
      </w:r>
    </w:p>
    <w:p w14:paraId="6A489AD4" w14:textId="77777777" w:rsidR="00136633" w:rsidRPr="00136633" w:rsidRDefault="00136633" w:rsidP="00136633">
      <w:pPr>
        <w:tabs>
          <w:tab w:val="left" w:pos="851"/>
        </w:tabs>
        <w:ind w:left="851"/>
        <w:rPr>
          <w:sz w:val="24"/>
          <w:szCs w:val="24"/>
        </w:rPr>
      </w:pPr>
      <w:r w:rsidRPr="00136633">
        <w:rPr>
          <w:sz w:val="24"/>
          <w:szCs w:val="24"/>
        </w:rPr>
        <w:t>Hvert hætteglas med 4 ml indeholder 20 mg daunorubicin.</w:t>
      </w:r>
    </w:p>
    <w:p w14:paraId="7E68B065" w14:textId="77777777" w:rsidR="00136633" w:rsidRPr="00136633" w:rsidRDefault="00136633" w:rsidP="00136633">
      <w:pPr>
        <w:tabs>
          <w:tab w:val="left" w:pos="851"/>
        </w:tabs>
        <w:ind w:left="851"/>
        <w:rPr>
          <w:sz w:val="24"/>
          <w:szCs w:val="24"/>
        </w:rPr>
      </w:pPr>
    </w:p>
    <w:p w14:paraId="11441CCA" w14:textId="77777777" w:rsidR="00136633" w:rsidRPr="00136633" w:rsidRDefault="00136633" w:rsidP="00136633">
      <w:pPr>
        <w:tabs>
          <w:tab w:val="left" w:pos="851"/>
        </w:tabs>
        <w:ind w:left="851"/>
        <w:rPr>
          <w:sz w:val="24"/>
          <w:szCs w:val="24"/>
        </w:rPr>
      </w:pPr>
      <w:r w:rsidRPr="00136633">
        <w:rPr>
          <w:sz w:val="24"/>
          <w:szCs w:val="24"/>
        </w:rPr>
        <w:t>Alle hjælpestoffer er anført under pkt. 6.1.</w:t>
      </w:r>
    </w:p>
    <w:p w14:paraId="66430677" w14:textId="77777777" w:rsidR="009260DE" w:rsidRPr="00C84483" w:rsidRDefault="009260DE" w:rsidP="009260DE">
      <w:pPr>
        <w:tabs>
          <w:tab w:val="left" w:pos="851"/>
        </w:tabs>
        <w:ind w:left="851"/>
        <w:rPr>
          <w:sz w:val="24"/>
          <w:szCs w:val="24"/>
        </w:rPr>
      </w:pPr>
    </w:p>
    <w:p w14:paraId="345BEE01" w14:textId="77777777" w:rsidR="009260DE" w:rsidRPr="00C84483" w:rsidRDefault="009260DE" w:rsidP="009260DE">
      <w:pPr>
        <w:tabs>
          <w:tab w:val="left" w:pos="851"/>
        </w:tabs>
        <w:ind w:left="851" w:hanging="851"/>
        <w:rPr>
          <w:b/>
          <w:sz w:val="24"/>
          <w:szCs w:val="24"/>
        </w:rPr>
      </w:pPr>
      <w:r w:rsidRPr="00C84483">
        <w:rPr>
          <w:b/>
          <w:sz w:val="24"/>
          <w:szCs w:val="24"/>
        </w:rPr>
        <w:t>3.</w:t>
      </w:r>
      <w:r w:rsidRPr="00C84483">
        <w:rPr>
          <w:b/>
          <w:sz w:val="24"/>
          <w:szCs w:val="24"/>
        </w:rPr>
        <w:tab/>
        <w:t>LÆGEMIDDELFORM</w:t>
      </w:r>
    </w:p>
    <w:p w14:paraId="12F5A0BE" w14:textId="0EEDE02C" w:rsidR="00136633" w:rsidRPr="00136633" w:rsidRDefault="00136633" w:rsidP="00136633">
      <w:pPr>
        <w:tabs>
          <w:tab w:val="left" w:pos="851"/>
        </w:tabs>
        <w:ind w:left="851"/>
        <w:rPr>
          <w:sz w:val="24"/>
          <w:szCs w:val="24"/>
        </w:rPr>
      </w:pPr>
      <w:r w:rsidRPr="00136633">
        <w:rPr>
          <w:sz w:val="24"/>
          <w:szCs w:val="24"/>
        </w:rPr>
        <w:t>Infusionsvæske, opløsning</w:t>
      </w:r>
    </w:p>
    <w:p w14:paraId="74244BD2" w14:textId="77777777" w:rsidR="00136633" w:rsidRPr="00136633" w:rsidRDefault="00136633" w:rsidP="00136633">
      <w:pPr>
        <w:tabs>
          <w:tab w:val="left" w:pos="851"/>
        </w:tabs>
        <w:ind w:left="851"/>
        <w:rPr>
          <w:sz w:val="24"/>
          <w:szCs w:val="24"/>
        </w:rPr>
      </w:pPr>
    </w:p>
    <w:p w14:paraId="2F7DBD56" w14:textId="77777777" w:rsidR="00136633" w:rsidRPr="00136633" w:rsidRDefault="00136633" w:rsidP="00136633">
      <w:pPr>
        <w:tabs>
          <w:tab w:val="left" w:pos="851"/>
        </w:tabs>
        <w:ind w:left="851"/>
        <w:rPr>
          <w:sz w:val="24"/>
          <w:szCs w:val="24"/>
        </w:rPr>
      </w:pPr>
      <w:r w:rsidRPr="00136633">
        <w:rPr>
          <w:sz w:val="24"/>
          <w:szCs w:val="24"/>
        </w:rPr>
        <w:t>Klar, dybrød opløsning.</w:t>
      </w:r>
    </w:p>
    <w:p w14:paraId="05D56470" w14:textId="2CC7FAD1" w:rsidR="00136633" w:rsidRPr="00136633" w:rsidRDefault="00136633" w:rsidP="00136633">
      <w:pPr>
        <w:tabs>
          <w:tab w:val="left" w:pos="851"/>
        </w:tabs>
        <w:ind w:left="851"/>
        <w:rPr>
          <w:sz w:val="24"/>
          <w:szCs w:val="24"/>
        </w:rPr>
      </w:pPr>
      <w:r w:rsidRPr="00136633">
        <w:rPr>
          <w:sz w:val="24"/>
          <w:szCs w:val="24"/>
        </w:rPr>
        <w:t>pH: 4,0</w:t>
      </w:r>
      <w:r>
        <w:rPr>
          <w:sz w:val="24"/>
          <w:szCs w:val="24"/>
        </w:rPr>
        <w:t>-</w:t>
      </w:r>
      <w:r w:rsidRPr="00136633">
        <w:rPr>
          <w:sz w:val="24"/>
          <w:szCs w:val="24"/>
        </w:rPr>
        <w:t>5,0</w:t>
      </w:r>
      <w:r>
        <w:rPr>
          <w:sz w:val="24"/>
          <w:szCs w:val="24"/>
        </w:rPr>
        <w:t>.</w:t>
      </w:r>
    </w:p>
    <w:p w14:paraId="68C2E54B" w14:textId="77777777" w:rsidR="009260DE" w:rsidRPr="00C84483" w:rsidRDefault="009260DE" w:rsidP="009260DE">
      <w:pPr>
        <w:tabs>
          <w:tab w:val="left" w:pos="851"/>
        </w:tabs>
        <w:ind w:left="851"/>
        <w:rPr>
          <w:sz w:val="24"/>
          <w:szCs w:val="24"/>
        </w:rPr>
      </w:pPr>
    </w:p>
    <w:p w14:paraId="17E36AC8" w14:textId="77777777" w:rsidR="009260DE" w:rsidRPr="00C84483" w:rsidRDefault="009260DE" w:rsidP="009260DE">
      <w:pPr>
        <w:tabs>
          <w:tab w:val="left" w:pos="851"/>
        </w:tabs>
        <w:ind w:left="851"/>
        <w:rPr>
          <w:sz w:val="24"/>
          <w:szCs w:val="24"/>
        </w:rPr>
      </w:pPr>
    </w:p>
    <w:p w14:paraId="0A8429CA" w14:textId="77777777" w:rsidR="009260DE" w:rsidRPr="00C84483" w:rsidRDefault="009260DE" w:rsidP="009260DE">
      <w:pPr>
        <w:tabs>
          <w:tab w:val="left" w:pos="851"/>
        </w:tabs>
        <w:ind w:left="851" w:hanging="851"/>
        <w:rPr>
          <w:b/>
          <w:sz w:val="24"/>
          <w:szCs w:val="24"/>
        </w:rPr>
      </w:pPr>
      <w:r w:rsidRPr="00C84483">
        <w:rPr>
          <w:b/>
          <w:sz w:val="24"/>
          <w:szCs w:val="24"/>
        </w:rPr>
        <w:t>4.</w:t>
      </w:r>
      <w:r w:rsidRPr="00C84483">
        <w:rPr>
          <w:b/>
          <w:sz w:val="24"/>
          <w:szCs w:val="24"/>
        </w:rPr>
        <w:tab/>
        <w:t>KLINISKE OPLYSNINGER</w:t>
      </w:r>
    </w:p>
    <w:p w14:paraId="0B43E787" w14:textId="77777777" w:rsidR="009260DE" w:rsidRPr="00C84483" w:rsidRDefault="009260DE" w:rsidP="009260DE">
      <w:pPr>
        <w:tabs>
          <w:tab w:val="left" w:pos="851"/>
        </w:tabs>
        <w:ind w:left="851"/>
        <w:rPr>
          <w:b/>
          <w:sz w:val="24"/>
          <w:szCs w:val="24"/>
        </w:rPr>
      </w:pPr>
    </w:p>
    <w:p w14:paraId="4715E1E9" w14:textId="77777777" w:rsidR="009260DE" w:rsidRPr="00C84483" w:rsidRDefault="009260DE" w:rsidP="009260DE">
      <w:pPr>
        <w:tabs>
          <w:tab w:val="left" w:pos="851"/>
        </w:tabs>
        <w:ind w:left="851" w:hanging="851"/>
        <w:rPr>
          <w:b/>
          <w:sz w:val="24"/>
          <w:szCs w:val="24"/>
          <w:u w:val="single"/>
        </w:rPr>
      </w:pPr>
      <w:r w:rsidRPr="00C84483">
        <w:rPr>
          <w:b/>
          <w:sz w:val="24"/>
          <w:szCs w:val="24"/>
        </w:rPr>
        <w:t>4.1</w:t>
      </w:r>
      <w:r w:rsidRPr="00C84483">
        <w:rPr>
          <w:b/>
          <w:sz w:val="24"/>
          <w:szCs w:val="24"/>
        </w:rPr>
        <w:tab/>
        <w:t>Terapeutiske indikationer</w:t>
      </w:r>
    </w:p>
    <w:p w14:paraId="5D79CFF2" w14:textId="77777777" w:rsidR="00136633" w:rsidRPr="00136633" w:rsidRDefault="00136633" w:rsidP="00136633">
      <w:pPr>
        <w:tabs>
          <w:tab w:val="left" w:pos="851"/>
        </w:tabs>
        <w:ind w:left="851"/>
        <w:rPr>
          <w:sz w:val="24"/>
          <w:szCs w:val="24"/>
        </w:rPr>
      </w:pPr>
    </w:p>
    <w:p w14:paraId="252B6416" w14:textId="77777777" w:rsidR="00136633" w:rsidRPr="00136633" w:rsidRDefault="00136633" w:rsidP="00136633">
      <w:pPr>
        <w:tabs>
          <w:tab w:val="left" w:pos="851"/>
        </w:tabs>
        <w:ind w:left="851"/>
        <w:rPr>
          <w:sz w:val="24"/>
          <w:szCs w:val="24"/>
          <w:u w:val="single"/>
        </w:rPr>
      </w:pPr>
      <w:r w:rsidRPr="00136633">
        <w:rPr>
          <w:sz w:val="24"/>
          <w:szCs w:val="24"/>
          <w:u w:val="single"/>
        </w:rPr>
        <w:t>Voksne</w:t>
      </w:r>
    </w:p>
    <w:p w14:paraId="0CAB6C6C" w14:textId="1D6B5BF9" w:rsidR="00136633" w:rsidRPr="00136633" w:rsidRDefault="00136633" w:rsidP="00136633">
      <w:pPr>
        <w:tabs>
          <w:tab w:val="left" w:pos="851"/>
        </w:tabs>
        <w:ind w:left="851"/>
        <w:rPr>
          <w:sz w:val="24"/>
          <w:szCs w:val="24"/>
        </w:rPr>
      </w:pPr>
      <w:r w:rsidRPr="00136633">
        <w:rPr>
          <w:sz w:val="24"/>
          <w:szCs w:val="24"/>
        </w:rPr>
        <w:t xml:space="preserve">Daunorubicin </w:t>
      </w:r>
      <w:r w:rsidR="008D6864">
        <w:rPr>
          <w:sz w:val="24"/>
          <w:szCs w:val="24"/>
        </w:rPr>
        <w:t>"</w:t>
      </w:r>
      <w:r w:rsidRPr="00136633">
        <w:rPr>
          <w:sz w:val="24"/>
          <w:szCs w:val="24"/>
        </w:rPr>
        <w:t>Hikma</w:t>
      </w:r>
      <w:r w:rsidR="008D6864">
        <w:rPr>
          <w:sz w:val="24"/>
          <w:szCs w:val="24"/>
        </w:rPr>
        <w:t>"</w:t>
      </w:r>
      <w:r w:rsidRPr="00136633">
        <w:rPr>
          <w:sz w:val="24"/>
          <w:szCs w:val="24"/>
        </w:rPr>
        <w:t xml:space="preserve"> er indiceret til voksne som monoterapi eller som en del af en kombinationsbehandling til behandlingen af</w:t>
      </w:r>
    </w:p>
    <w:p w14:paraId="276B2934" w14:textId="77777777" w:rsidR="00136633" w:rsidRPr="00136633" w:rsidRDefault="00136633" w:rsidP="00136633">
      <w:pPr>
        <w:numPr>
          <w:ilvl w:val="0"/>
          <w:numId w:val="6"/>
        </w:numPr>
        <w:tabs>
          <w:tab w:val="left" w:pos="851"/>
        </w:tabs>
        <w:ind w:left="1134" w:hanging="283"/>
        <w:rPr>
          <w:sz w:val="24"/>
          <w:szCs w:val="24"/>
        </w:rPr>
      </w:pPr>
      <w:r w:rsidRPr="00136633">
        <w:rPr>
          <w:sz w:val="24"/>
          <w:szCs w:val="24"/>
        </w:rPr>
        <w:t>akut lymfatisk leukæmi</w:t>
      </w:r>
    </w:p>
    <w:p w14:paraId="55186BAF" w14:textId="77777777" w:rsidR="00136633" w:rsidRPr="00136633" w:rsidRDefault="00136633" w:rsidP="00136633">
      <w:pPr>
        <w:numPr>
          <w:ilvl w:val="0"/>
          <w:numId w:val="6"/>
        </w:numPr>
        <w:tabs>
          <w:tab w:val="left" w:pos="851"/>
        </w:tabs>
        <w:ind w:left="1134" w:hanging="283"/>
        <w:rPr>
          <w:sz w:val="24"/>
          <w:szCs w:val="24"/>
        </w:rPr>
      </w:pPr>
      <w:r w:rsidRPr="00136633">
        <w:rPr>
          <w:sz w:val="24"/>
          <w:szCs w:val="24"/>
        </w:rPr>
        <w:t>akut ikke</w:t>
      </w:r>
      <w:r w:rsidRPr="00136633">
        <w:rPr>
          <w:sz w:val="24"/>
          <w:szCs w:val="24"/>
        </w:rPr>
        <w:noBreakHyphen/>
        <w:t>lymfatisk leukæmi</w:t>
      </w:r>
    </w:p>
    <w:p w14:paraId="24E7F078" w14:textId="77777777" w:rsidR="00136633" w:rsidRPr="00136633" w:rsidRDefault="00136633" w:rsidP="00136633">
      <w:pPr>
        <w:numPr>
          <w:ilvl w:val="0"/>
          <w:numId w:val="6"/>
        </w:numPr>
        <w:tabs>
          <w:tab w:val="left" w:pos="851"/>
        </w:tabs>
        <w:ind w:left="1134" w:hanging="283"/>
        <w:rPr>
          <w:sz w:val="24"/>
          <w:szCs w:val="24"/>
        </w:rPr>
      </w:pPr>
      <w:r w:rsidRPr="00136633">
        <w:rPr>
          <w:sz w:val="24"/>
          <w:szCs w:val="24"/>
        </w:rPr>
        <w:t>kronisk myeloid leukæmi i blastkrise.</w:t>
      </w:r>
    </w:p>
    <w:p w14:paraId="7100E18A" w14:textId="77777777" w:rsidR="00136633" w:rsidRPr="00136633" w:rsidRDefault="00136633" w:rsidP="00136633">
      <w:pPr>
        <w:tabs>
          <w:tab w:val="left" w:pos="851"/>
        </w:tabs>
        <w:ind w:left="851"/>
        <w:rPr>
          <w:sz w:val="24"/>
          <w:szCs w:val="24"/>
        </w:rPr>
      </w:pPr>
    </w:p>
    <w:p w14:paraId="49D962F1" w14:textId="77777777" w:rsidR="00136633" w:rsidRPr="00136633" w:rsidRDefault="00136633" w:rsidP="00136633">
      <w:pPr>
        <w:tabs>
          <w:tab w:val="left" w:pos="851"/>
        </w:tabs>
        <w:ind w:left="851"/>
        <w:rPr>
          <w:sz w:val="24"/>
          <w:szCs w:val="24"/>
          <w:u w:val="single"/>
        </w:rPr>
      </w:pPr>
      <w:r w:rsidRPr="00136633">
        <w:rPr>
          <w:sz w:val="24"/>
          <w:szCs w:val="24"/>
          <w:u w:val="single"/>
        </w:rPr>
        <w:t>Pædiatrisk population</w:t>
      </w:r>
    </w:p>
    <w:p w14:paraId="33B5A279" w14:textId="2E131CDA" w:rsidR="00136633" w:rsidRPr="00136633" w:rsidRDefault="00136633" w:rsidP="00136633">
      <w:pPr>
        <w:tabs>
          <w:tab w:val="left" w:pos="851"/>
        </w:tabs>
        <w:ind w:left="851"/>
        <w:rPr>
          <w:sz w:val="24"/>
          <w:szCs w:val="24"/>
        </w:rPr>
      </w:pPr>
      <w:r w:rsidRPr="00136633">
        <w:rPr>
          <w:sz w:val="24"/>
          <w:szCs w:val="24"/>
        </w:rPr>
        <w:t xml:space="preserve">Daunorubicin </w:t>
      </w:r>
      <w:r w:rsidR="008D6864">
        <w:rPr>
          <w:sz w:val="24"/>
          <w:szCs w:val="24"/>
        </w:rPr>
        <w:t>"</w:t>
      </w:r>
      <w:r w:rsidRPr="00136633">
        <w:rPr>
          <w:sz w:val="24"/>
          <w:szCs w:val="24"/>
        </w:rPr>
        <w:t>Hikma</w:t>
      </w:r>
      <w:r w:rsidR="008D6864">
        <w:rPr>
          <w:sz w:val="24"/>
          <w:szCs w:val="24"/>
        </w:rPr>
        <w:t>"</w:t>
      </w:r>
      <w:r w:rsidRPr="00136633">
        <w:rPr>
          <w:sz w:val="24"/>
          <w:szCs w:val="24"/>
        </w:rPr>
        <w:t xml:space="preserve"> er indiceret til pædiatriske patienter som en del af en kombinationsbehandling til behandlingen af</w:t>
      </w:r>
    </w:p>
    <w:p w14:paraId="5A26DD83" w14:textId="77777777" w:rsidR="00136633" w:rsidRPr="00136633" w:rsidRDefault="00136633" w:rsidP="00136633">
      <w:pPr>
        <w:numPr>
          <w:ilvl w:val="0"/>
          <w:numId w:val="6"/>
        </w:numPr>
        <w:tabs>
          <w:tab w:val="left" w:pos="851"/>
        </w:tabs>
        <w:ind w:left="1134" w:hanging="283"/>
        <w:rPr>
          <w:sz w:val="24"/>
          <w:szCs w:val="24"/>
        </w:rPr>
      </w:pPr>
      <w:r w:rsidRPr="00136633">
        <w:rPr>
          <w:sz w:val="24"/>
          <w:szCs w:val="24"/>
        </w:rPr>
        <w:t>akut lymfatisk leukæmi</w:t>
      </w:r>
    </w:p>
    <w:p w14:paraId="200CD777" w14:textId="77777777" w:rsidR="00136633" w:rsidRPr="00136633" w:rsidRDefault="00136633" w:rsidP="00136633">
      <w:pPr>
        <w:numPr>
          <w:ilvl w:val="0"/>
          <w:numId w:val="6"/>
        </w:numPr>
        <w:tabs>
          <w:tab w:val="left" w:pos="851"/>
        </w:tabs>
        <w:ind w:left="1134" w:hanging="283"/>
        <w:rPr>
          <w:sz w:val="24"/>
          <w:szCs w:val="24"/>
        </w:rPr>
      </w:pPr>
      <w:r w:rsidRPr="00136633">
        <w:rPr>
          <w:sz w:val="24"/>
          <w:szCs w:val="24"/>
        </w:rPr>
        <w:lastRenderedPageBreak/>
        <w:t>akut myeloid leukæmi.</w:t>
      </w:r>
    </w:p>
    <w:p w14:paraId="699CDB0D" w14:textId="77777777" w:rsidR="009260DE" w:rsidRPr="00C84483" w:rsidRDefault="009260DE" w:rsidP="009260DE">
      <w:pPr>
        <w:tabs>
          <w:tab w:val="left" w:pos="851"/>
        </w:tabs>
        <w:ind w:left="851"/>
        <w:rPr>
          <w:sz w:val="24"/>
          <w:szCs w:val="24"/>
        </w:rPr>
      </w:pPr>
    </w:p>
    <w:p w14:paraId="418C79E8" w14:textId="77777777" w:rsidR="009260DE" w:rsidRPr="00C84483" w:rsidRDefault="009260DE" w:rsidP="009260DE">
      <w:pPr>
        <w:tabs>
          <w:tab w:val="left" w:pos="851"/>
        </w:tabs>
        <w:ind w:left="851" w:hanging="851"/>
        <w:rPr>
          <w:b/>
          <w:sz w:val="24"/>
          <w:szCs w:val="24"/>
        </w:rPr>
      </w:pPr>
      <w:r w:rsidRPr="00C84483">
        <w:rPr>
          <w:b/>
          <w:sz w:val="24"/>
          <w:szCs w:val="24"/>
        </w:rPr>
        <w:t>4.2</w:t>
      </w:r>
      <w:r w:rsidRPr="00C84483">
        <w:rPr>
          <w:b/>
          <w:sz w:val="24"/>
          <w:szCs w:val="24"/>
        </w:rPr>
        <w:tab/>
        <w:t xml:space="preserve">Dosering og </w:t>
      </w:r>
      <w:r w:rsidR="002C1EC0">
        <w:rPr>
          <w:b/>
          <w:sz w:val="24"/>
          <w:szCs w:val="24"/>
        </w:rPr>
        <w:t>administration</w:t>
      </w:r>
    </w:p>
    <w:p w14:paraId="63F7223C" w14:textId="0DE955DE" w:rsidR="00136633" w:rsidRPr="00136633" w:rsidRDefault="00136633" w:rsidP="00136633">
      <w:pPr>
        <w:tabs>
          <w:tab w:val="left" w:pos="851"/>
        </w:tabs>
        <w:ind w:left="851"/>
        <w:rPr>
          <w:sz w:val="24"/>
          <w:szCs w:val="24"/>
        </w:rPr>
      </w:pPr>
      <w:r w:rsidRPr="00136633">
        <w:rPr>
          <w:sz w:val="24"/>
          <w:szCs w:val="24"/>
        </w:rPr>
        <w:t xml:space="preserve">Daunorubicin </w:t>
      </w:r>
      <w:r w:rsidR="008D6864">
        <w:rPr>
          <w:sz w:val="24"/>
          <w:szCs w:val="24"/>
        </w:rPr>
        <w:t>"</w:t>
      </w:r>
      <w:r w:rsidRPr="00136633">
        <w:rPr>
          <w:sz w:val="24"/>
          <w:szCs w:val="24"/>
        </w:rPr>
        <w:t>Hikma</w:t>
      </w:r>
      <w:r w:rsidR="008D6864">
        <w:rPr>
          <w:sz w:val="24"/>
          <w:szCs w:val="24"/>
        </w:rPr>
        <w:t>"</w:t>
      </w:r>
      <w:r w:rsidRPr="00136633">
        <w:rPr>
          <w:sz w:val="24"/>
          <w:szCs w:val="24"/>
        </w:rPr>
        <w:t xml:space="preserve"> bør kun administreres under tæt supervision af en læge med særligt kendskab til brugen af onkolytiske lægemidler, helst på en afdeling med erfaring i brug af sådanne behandlinger.</w:t>
      </w:r>
    </w:p>
    <w:p w14:paraId="1AE94AE4" w14:textId="77777777" w:rsidR="00136633" w:rsidRPr="00136633" w:rsidRDefault="00136633" w:rsidP="00136633">
      <w:pPr>
        <w:tabs>
          <w:tab w:val="left" w:pos="851"/>
        </w:tabs>
        <w:ind w:left="851"/>
        <w:rPr>
          <w:sz w:val="24"/>
          <w:szCs w:val="24"/>
        </w:rPr>
      </w:pPr>
    </w:p>
    <w:p w14:paraId="02EAC04F" w14:textId="77777777" w:rsidR="00136633" w:rsidRPr="00136633" w:rsidRDefault="00136633" w:rsidP="00136633">
      <w:pPr>
        <w:tabs>
          <w:tab w:val="left" w:pos="851"/>
        </w:tabs>
        <w:ind w:left="851"/>
        <w:rPr>
          <w:sz w:val="24"/>
          <w:szCs w:val="24"/>
          <w:u w:val="single"/>
        </w:rPr>
      </w:pPr>
      <w:r w:rsidRPr="00136633">
        <w:rPr>
          <w:sz w:val="24"/>
          <w:szCs w:val="24"/>
          <w:u w:val="single"/>
        </w:rPr>
        <w:t>Dosering</w:t>
      </w:r>
    </w:p>
    <w:p w14:paraId="02E04203" w14:textId="304231ED" w:rsidR="00136633" w:rsidRPr="00136633" w:rsidRDefault="00136633" w:rsidP="00136633">
      <w:pPr>
        <w:tabs>
          <w:tab w:val="left" w:pos="851"/>
        </w:tabs>
        <w:ind w:left="851"/>
        <w:rPr>
          <w:sz w:val="24"/>
          <w:szCs w:val="24"/>
        </w:rPr>
      </w:pPr>
      <w:r w:rsidRPr="00136633">
        <w:rPr>
          <w:sz w:val="24"/>
          <w:szCs w:val="24"/>
        </w:rPr>
        <w:t xml:space="preserve">Dosis af Daunorubicin </w:t>
      </w:r>
      <w:r w:rsidR="008D6864">
        <w:rPr>
          <w:sz w:val="24"/>
          <w:szCs w:val="24"/>
        </w:rPr>
        <w:t>"</w:t>
      </w:r>
      <w:r w:rsidRPr="00136633">
        <w:rPr>
          <w:sz w:val="24"/>
          <w:szCs w:val="24"/>
        </w:rPr>
        <w:t>Hikma</w:t>
      </w:r>
      <w:r w:rsidR="008D6864">
        <w:rPr>
          <w:sz w:val="24"/>
          <w:szCs w:val="24"/>
        </w:rPr>
        <w:t>"</w:t>
      </w:r>
      <w:r w:rsidRPr="00136633">
        <w:rPr>
          <w:sz w:val="24"/>
          <w:szCs w:val="24"/>
        </w:rPr>
        <w:t xml:space="preserve"> til voksne og børn (over 2 år) beregnes normalt ud fra legemsoverfladearealet og bør justeres i henhold til kliniske data, behandlingsrespons og patientens hæmatologiske tilstand. Hos voksne bør den kumulative dosis ikke overstige 550 mg daunorubicin/m</w:t>
      </w:r>
      <w:r w:rsidRPr="00136633">
        <w:rPr>
          <w:sz w:val="24"/>
          <w:szCs w:val="24"/>
          <w:vertAlign w:val="superscript"/>
        </w:rPr>
        <w:t>2</w:t>
      </w:r>
      <w:r w:rsidRPr="00136633">
        <w:rPr>
          <w:sz w:val="24"/>
          <w:szCs w:val="24"/>
        </w:rPr>
        <w:t>. I tilfælde af tidligere eller samtidig bestråling eller administration af potentielt kardiotoksiske lægemidler er den maksimale kumulative dosis 400 mg daunorubicin/m</w:t>
      </w:r>
      <w:r w:rsidRPr="00136633">
        <w:rPr>
          <w:sz w:val="24"/>
          <w:szCs w:val="24"/>
          <w:vertAlign w:val="superscript"/>
        </w:rPr>
        <w:t>2</w:t>
      </w:r>
      <w:r w:rsidRPr="00136633">
        <w:rPr>
          <w:sz w:val="24"/>
          <w:szCs w:val="24"/>
        </w:rPr>
        <w:t>.</w:t>
      </w:r>
    </w:p>
    <w:p w14:paraId="7051201E" w14:textId="77777777" w:rsidR="00136633" w:rsidRPr="00136633" w:rsidRDefault="00136633" w:rsidP="00136633">
      <w:pPr>
        <w:tabs>
          <w:tab w:val="left" w:pos="851"/>
        </w:tabs>
        <w:ind w:left="851"/>
        <w:rPr>
          <w:sz w:val="24"/>
          <w:szCs w:val="24"/>
        </w:rPr>
      </w:pPr>
    </w:p>
    <w:p w14:paraId="734A041E" w14:textId="77777777" w:rsidR="00136633" w:rsidRPr="00136633" w:rsidRDefault="00136633" w:rsidP="00136633">
      <w:pPr>
        <w:tabs>
          <w:tab w:val="left" w:pos="851"/>
        </w:tabs>
        <w:ind w:left="851"/>
        <w:rPr>
          <w:sz w:val="24"/>
          <w:szCs w:val="24"/>
        </w:rPr>
      </w:pPr>
      <w:r w:rsidRPr="00136633">
        <w:rPr>
          <w:sz w:val="24"/>
          <w:szCs w:val="24"/>
        </w:rPr>
        <w:t>Gældende specialiserede protokoller og retningslinjer bør konsulteres for passende doseringsregime.</w:t>
      </w:r>
    </w:p>
    <w:p w14:paraId="798CFABE" w14:textId="77777777" w:rsidR="00136633" w:rsidRPr="00136633" w:rsidRDefault="00136633" w:rsidP="00136633">
      <w:pPr>
        <w:tabs>
          <w:tab w:val="left" w:pos="851"/>
        </w:tabs>
        <w:ind w:left="851"/>
        <w:rPr>
          <w:sz w:val="24"/>
          <w:szCs w:val="24"/>
        </w:rPr>
      </w:pPr>
    </w:p>
    <w:p w14:paraId="307C3101" w14:textId="77777777" w:rsidR="00136633" w:rsidRPr="00136633" w:rsidRDefault="00136633" w:rsidP="00136633">
      <w:pPr>
        <w:tabs>
          <w:tab w:val="left" w:pos="851"/>
        </w:tabs>
        <w:ind w:left="851"/>
        <w:rPr>
          <w:i/>
          <w:iCs/>
          <w:sz w:val="24"/>
          <w:szCs w:val="24"/>
        </w:rPr>
      </w:pPr>
      <w:r w:rsidRPr="00136633">
        <w:rPr>
          <w:i/>
          <w:iCs/>
          <w:sz w:val="24"/>
          <w:szCs w:val="24"/>
        </w:rPr>
        <w:t>Monoterapi</w:t>
      </w:r>
    </w:p>
    <w:p w14:paraId="2770AF15" w14:textId="77777777" w:rsidR="00136633" w:rsidRPr="00136633" w:rsidRDefault="00136633" w:rsidP="00136633">
      <w:pPr>
        <w:tabs>
          <w:tab w:val="left" w:pos="851"/>
        </w:tabs>
        <w:ind w:left="851"/>
        <w:rPr>
          <w:sz w:val="24"/>
          <w:szCs w:val="24"/>
        </w:rPr>
      </w:pPr>
      <w:r w:rsidRPr="00136633">
        <w:rPr>
          <w:sz w:val="24"/>
          <w:szCs w:val="24"/>
        </w:rPr>
        <w:t>Den mest almindelige dosis er 30</w:t>
      </w:r>
      <w:r w:rsidRPr="00136633">
        <w:rPr>
          <w:sz w:val="24"/>
          <w:szCs w:val="24"/>
        </w:rPr>
        <w:noBreakHyphen/>
        <w:t>60 mg daunorubicin/m</w:t>
      </w:r>
      <w:r w:rsidRPr="00136633">
        <w:rPr>
          <w:sz w:val="24"/>
          <w:szCs w:val="24"/>
          <w:vertAlign w:val="superscript"/>
        </w:rPr>
        <w:t>2</w:t>
      </w:r>
      <w:r w:rsidRPr="00136633">
        <w:rPr>
          <w:sz w:val="24"/>
          <w:szCs w:val="24"/>
        </w:rPr>
        <w:t xml:space="preserve"> dagligt i 3 til 5 dage. Det skal administreres langsomt intravenøst (ca. 5 minutter) ved brug af en hurtigløbende infusion med fysiologisk saltvand eller glucoseopløsning. Behandlingen kan gentages efter 3 til 6 uger.</w:t>
      </w:r>
    </w:p>
    <w:p w14:paraId="28F9898E" w14:textId="77777777" w:rsidR="00136633" w:rsidRPr="00136633" w:rsidRDefault="00136633" w:rsidP="00136633">
      <w:pPr>
        <w:tabs>
          <w:tab w:val="left" w:pos="851"/>
        </w:tabs>
        <w:ind w:left="851"/>
        <w:rPr>
          <w:sz w:val="24"/>
          <w:szCs w:val="24"/>
        </w:rPr>
      </w:pPr>
    </w:p>
    <w:p w14:paraId="081EC6A9" w14:textId="77777777" w:rsidR="00136633" w:rsidRPr="00136633" w:rsidRDefault="00136633" w:rsidP="00136633">
      <w:pPr>
        <w:tabs>
          <w:tab w:val="left" w:pos="851"/>
        </w:tabs>
        <w:ind w:left="851"/>
        <w:rPr>
          <w:i/>
          <w:iCs/>
          <w:sz w:val="24"/>
          <w:szCs w:val="24"/>
        </w:rPr>
      </w:pPr>
      <w:r w:rsidRPr="00136633">
        <w:rPr>
          <w:i/>
          <w:iCs/>
          <w:sz w:val="24"/>
          <w:szCs w:val="24"/>
        </w:rPr>
        <w:t>Kombinationskemoterapi</w:t>
      </w:r>
    </w:p>
    <w:p w14:paraId="1FB7EC1B" w14:textId="5EA1D2F0" w:rsidR="00136633" w:rsidRPr="00136633" w:rsidRDefault="00136633" w:rsidP="00136633">
      <w:pPr>
        <w:tabs>
          <w:tab w:val="left" w:pos="851"/>
        </w:tabs>
        <w:ind w:left="851"/>
        <w:rPr>
          <w:sz w:val="24"/>
          <w:szCs w:val="24"/>
        </w:rPr>
      </w:pPr>
      <w:r w:rsidRPr="00136633">
        <w:rPr>
          <w:sz w:val="24"/>
          <w:szCs w:val="24"/>
        </w:rPr>
        <w:t xml:space="preserve">Når Daunorubicin </w:t>
      </w:r>
      <w:r w:rsidR="008D6864">
        <w:rPr>
          <w:sz w:val="24"/>
          <w:szCs w:val="24"/>
        </w:rPr>
        <w:t>"</w:t>
      </w:r>
      <w:r w:rsidRPr="00136633">
        <w:rPr>
          <w:sz w:val="24"/>
          <w:szCs w:val="24"/>
        </w:rPr>
        <w:t>Hikma</w:t>
      </w:r>
      <w:r w:rsidR="008D6864">
        <w:rPr>
          <w:sz w:val="24"/>
          <w:szCs w:val="24"/>
        </w:rPr>
        <w:t>"</w:t>
      </w:r>
      <w:r w:rsidRPr="00136633">
        <w:rPr>
          <w:sz w:val="24"/>
          <w:szCs w:val="24"/>
        </w:rPr>
        <w:t xml:space="preserve"> anvendes i kombination med andre kræftlægemidler, der interfererer med knoglemarvsfunktionen, bør dosis reduceres til 25</w:t>
      </w:r>
      <w:r w:rsidRPr="00136633">
        <w:rPr>
          <w:sz w:val="24"/>
          <w:szCs w:val="24"/>
        </w:rPr>
        <w:noBreakHyphen/>
        <w:t>50 mg daunorubicin/m</w:t>
      </w:r>
      <w:r w:rsidRPr="00136633">
        <w:rPr>
          <w:sz w:val="24"/>
          <w:szCs w:val="24"/>
          <w:vertAlign w:val="superscript"/>
        </w:rPr>
        <w:t>2</w:t>
      </w:r>
      <w:r w:rsidRPr="00136633">
        <w:rPr>
          <w:sz w:val="24"/>
          <w:szCs w:val="24"/>
        </w:rPr>
        <w:t xml:space="preserve"> dagligt. Daunorubicin </w:t>
      </w:r>
      <w:r w:rsidR="008D6864">
        <w:rPr>
          <w:sz w:val="24"/>
          <w:szCs w:val="24"/>
        </w:rPr>
        <w:t>"</w:t>
      </w:r>
      <w:r w:rsidRPr="00136633">
        <w:rPr>
          <w:sz w:val="24"/>
          <w:szCs w:val="24"/>
        </w:rPr>
        <w:t>Hikma</w:t>
      </w:r>
      <w:r w:rsidR="008D6864">
        <w:rPr>
          <w:sz w:val="24"/>
          <w:szCs w:val="24"/>
        </w:rPr>
        <w:t>"</w:t>
      </w:r>
      <w:r w:rsidRPr="00136633">
        <w:rPr>
          <w:sz w:val="24"/>
          <w:szCs w:val="24"/>
        </w:rPr>
        <w:t xml:space="preserve"> er blevet anvendt i kombination med vincristin og prednison eller prednisolon til akut lymfoblastær leukæmi og i kombination med cytarabin og thioguanin til akut ikke</w:t>
      </w:r>
      <w:r w:rsidRPr="00136633">
        <w:rPr>
          <w:sz w:val="24"/>
          <w:szCs w:val="24"/>
        </w:rPr>
        <w:noBreakHyphen/>
        <w:t>lymfoblastær leukæmi.</w:t>
      </w:r>
    </w:p>
    <w:p w14:paraId="6DE98FD0" w14:textId="77777777" w:rsidR="00136633" w:rsidRPr="00136633" w:rsidRDefault="00136633" w:rsidP="00136633">
      <w:pPr>
        <w:tabs>
          <w:tab w:val="left" w:pos="851"/>
        </w:tabs>
        <w:ind w:left="851"/>
        <w:rPr>
          <w:sz w:val="24"/>
          <w:szCs w:val="24"/>
        </w:rPr>
      </w:pPr>
    </w:p>
    <w:p w14:paraId="343F0DC2" w14:textId="77777777" w:rsidR="00136633" w:rsidRPr="00136633" w:rsidRDefault="00136633" w:rsidP="00136633">
      <w:pPr>
        <w:tabs>
          <w:tab w:val="left" w:pos="851"/>
        </w:tabs>
        <w:ind w:left="851"/>
        <w:rPr>
          <w:sz w:val="24"/>
          <w:szCs w:val="24"/>
        </w:rPr>
      </w:pPr>
      <w:r w:rsidRPr="00136633">
        <w:rPr>
          <w:i/>
          <w:sz w:val="24"/>
          <w:szCs w:val="24"/>
        </w:rPr>
        <w:t>Pædiatrisk population</w:t>
      </w:r>
    </w:p>
    <w:p w14:paraId="71FF943B" w14:textId="77777777" w:rsidR="00136633" w:rsidRPr="00136633" w:rsidRDefault="00136633" w:rsidP="00136633">
      <w:pPr>
        <w:tabs>
          <w:tab w:val="left" w:pos="851"/>
        </w:tabs>
        <w:ind w:left="851"/>
        <w:rPr>
          <w:sz w:val="24"/>
          <w:szCs w:val="24"/>
        </w:rPr>
      </w:pPr>
      <w:r w:rsidRPr="00136633">
        <w:rPr>
          <w:sz w:val="24"/>
          <w:szCs w:val="24"/>
        </w:rPr>
        <w:t>Hos pædiatriske patienter i alderen 2 år og derover er den maksimale kumulative dosis 300 mg daunorubicin/m</w:t>
      </w:r>
      <w:r w:rsidRPr="00136633">
        <w:rPr>
          <w:sz w:val="24"/>
          <w:szCs w:val="24"/>
          <w:vertAlign w:val="superscript"/>
        </w:rPr>
        <w:t>2</w:t>
      </w:r>
      <w:r w:rsidRPr="00136633">
        <w:rPr>
          <w:sz w:val="24"/>
          <w:szCs w:val="24"/>
        </w:rPr>
        <w:t xml:space="preserve"> legemsoverfladeareal.</w:t>
      </w:r>
    </w:p>
    <w:p w14:paraId="74E68395" w14:textId="77777777" w:rsidR="00136633" w:rsidRPr="00136633" w:rsidRDefault="00136633" w:rsidP="00136633">
      <w:pPr>
        <w:tabs>
          <w:tab w:val="left" w:pos="851"/>
        </w:tabs>
        <w:ind w:left="851"/>
        <w:rPr>
          <w:sz w:val="24"/>
          <w:szCs w:val="24"/>
        </w:rPr>
      </w:pPr>
      <w:r w:rsidRPr="00136633">
        <w:rPr>
          <w:sz w:val="24"/>
          <w:szCs w:val="24"/>
        </w:rPr>
        <w:t>Hos pædiatriske patienter under 2 år (eller med et legemsoverfladeareal på mindre end 0,5 m</w:t>
      </w:r>
      <w:r w:rsidRPr="00136633">
        <w:rPr>
          <w:sz w:val="24"/>
          <w:szCs w:val="24"/>
          <w:vertAlign w:val="superscript"/>
        </w:rPr>
        <w:t>2</w:t>
      </w:r>
      <w:r w:rsidRPr="00136633">
        <w:rPr>
          <w:sz w:val="24"/>
          <w:szCs w:val="24"/>
        </w:rPr>
        <w:t>) er den maksimale kumulative dosis 10 mg daunorubicin/kg legemsvægt. Behandlingen kan gentages efter 3 til 6 uger.</w:t>
      </w:r>
    </w:p>
    <w:p w14:paraId="4A52D78D" w14:textId="77777777" w:rsidR="00136633" w:rsidRPr="00136633" w:rsidRDefault="00136633" w:rsidP="00136633">
      <w:pPr>
        <w:tabs>
          <w:tab w:val="left" w:pos="851"/>
        </w:tabs>
        <w:ind w:left="851"/>
        <w:rPr>
          <w:sz w:val="24"/>
          <w:szCs w:val="24"/>
        </w:rPr>
      </w:pPr>
    </w:p>
    <w:p w14:paraId="67240FC4" w14:textId="77777777" w:rsidR="00136633" w:rsidRPr="00136633" w:rsidRDefault="00136633" w:rsidP="00136633">
      <w:pPr>
        <w:tabs>
          <w:tab w:val="left" w:pos="851"/>
        </w:tabs>
        <w:ind w:left="851"/>
        <w:rPr>
          <w:i/>
          <w:iCs/>
          <w:sz w:val="24"/>
          <w:szCs w:val="24"/>
        </w:rPr>
      </w:pPr>
      <w:r w:rsidRPr="00136633">
        <w:rPr>
          <w:i/>
          <w:iCs/>
          <w:sz w:val="24"/>
          <w:szCs w:val="24"/>
        </w:rPr>
        <w:t>Dosering ved nedsat leverfunktion</w:t>
      </w:r>
    </w:p>
    <w:p w14:paraId="6D7DC058" w14:textId="77777777" w:rsidR="00136633" w:rsidRPr="00136633" w:rsidRDefault="00136633" w:rsidP="00136633">
      <w:pPr>
        <w:tabs>
          <w:tab w:val="left" w:pos="851"/>
        </w:tabs>
        <w:ind w:left="851"/>
        <w:rPr>
          <w:sz w:val="24"/>
          <w:szCs w:val="24"/>
        </w:rPr>
      </w:pPr>
      <w:r w:rsidRPr="00136633">
        <w:rPr>
          <w:sz w:val="24"/>
          <w:szCs w:val="24"/>
        </w:rPr>
        <w:t>Da elimination hovedsageligt sker gennem leveren, bør dosis reduceres hos patienter med nedsat leverfunktion. Hos patienter med en serumbilirubin-koncentration på 12</w:t>
      </w:r>
      <w:r w:rsidRPr="00136633">
        <w:rPr>
          <w:sz w:val="24"/>
          <w:szCs w:val="24"/>
        </w:rPr>
        <w:noBreakHyphen/>
        <w:t>30 µg/ml er en halvering af dosis påkrævet, mens patienter med en serumbilirubin-koncentration på &gt; 30 µg/ml skal have en fjerdedel af dosis.</w:t>
      </w:r>
    </w:p>
    <w:p w14:paraId="0C48F0A0" w14:textId="77777777" w:rsidR="00136633" w:rsidRPr="00136633" w:rsidRDefault="00136633" w:rsidP="00136633">
      <w:pPr>
        <w:tabs>
          <w:tab w:val="left" w:pos="851"/>
        </w:tabs>
        <w:ind w:left="851"/>
        <w:rPr>
          <w:sz w:val="24"/>
          <w:szCs w:val="24"/>
        </w:rPr>
      </w:pPr>
    </w:p>
    <w:p w14:paraId="6543D8F4" w14:textId="77777777" w:rsidR="00136633" w:rsidRPr="00136633" w:rsidRDefault="00136633" w:rsidP="00136633">
      <w:pPr>
        <w:tabs>
          <w:tab w:val="left" w:pos="851"/>
        </w:tabs>
        <w:ind w:left="851"/>
        <w:rPr>
          <w:sz w:val="24"/>
          <w:szCs w:val="24"/>
          <w:u w:val="single"/>
        </w:rPr>
      </w:pPr>
      <w:r w:rsidRPr="00136633">
        <w:rPr>
          <w:sz w:val="24"/>
          <w:szCs w:val="24"/>
          <w:u w:val="single"/>
        </w:rPr>
        <w:t>Administration</w:t>
      </w:r>
    </w:p>
    <w:p w14:paraId="76E6F6A2" w14:textId="77777777" w:rsidR="00136633" w:rsidRPr="00136633" w:rsidRDefault="00136633" w:rsidP="00136633">
      <w:pPr>
        <w:tabs>
          <w:tab w:val="left" w:pos="851"/>
        </w:tabs>
        <w:ind w:left="851"/>
        <w:rPr>
          <w:sz w:val="24"/>
          <w:szCs w:val="24"/>
        </w:rPr>
      </w:pPr>
      <w:r w:rsidRPr="00136633">
        <w:rPr>
          <w:sz w:val="24"/>
          <w:szCs w:val="24"/>
        </w:rPr>
        <w:t>Lægemidlet skal administreres langsomt intravenøst (ca. 5 minutter) ved brug af en hurtigløbende intravenøs infusion med fysiologisk saltvand eller 5 % glucoseopløsning.</w:t>
      </w:r>
    </w:p>
    <w:p w14:paraId="15909792" w14:textId="77777777" w:rsidR="00136633" w:rsidRPr="00136633" w:rsidRDefault="00136633" w:rsidP="00136633">
      <w:pPr>
        <w:tabs>
          <w:tab w:val="left" w:pos="851"/>
        </w:tabs>
        <w:ind w:left="851"/>
        <w:rPr>
          <w:sz w:val="24"/>
          <w:szCs w:val="24"/>
        </w:rPr>
      </w:pPr>
    </w:p>
    <w:p w14:paraId="6713731C" w14:textId="77777777" w:rsidR="00136633" w:rsidRPr="00136633" w:rsidRDefault="00136633" w:rsidP="00136633">
      <w:pPr>
        <w:tabs>
          <w:tab w:val="left" w:pos="851"/>
        </w:tabs>
        <w:ind w:left="851"/>
        <w:rPr>
          <w:sz w:val="24"/>
          <w:szCs w:val="24"/>
        </w:rPr>
      </w:pPr>
      <w:r w:rsidRPr="00136633">
        <w:rPr>
          <w:sz w:val="24"/>
          <w:szCs w:val="24"/>
        </w:rPr>
        <w:t>Hos patienter med øget risiko for kardiotoksicitet kan administration af daunorubicin ved kontinuerlig infusion over flere (3</w:t>
      </w:r>
      <w:r w:rsidRPr="00136633">
        <w:rPr>
          <w:sz w:val="24"/>
          <w:szCs w:val="24"/>
        </w:rPr>
        <w:noBreakHyphen/>
        <w:t xml:space="preserve">5) dage overvejes, da kardiotoksicitet synes at optræde </w:t>
      </w:r>
      <w:r w:rsidRPr="00136633">
        <w:rPr>
          <w:sz w:val="24"/>
          <w:szCs w:val="24"/>
        </w:rPr>
        <w:lastRenderedPageBreak/>
        <w:t>sjældnere, når det administreres på denne måde, uden den terapeutiske effekt forringes. Administration gennem et centralt venekateter er i så fald nødvendigt.</w:t>
      </w:r>
    </w:p>
    <w:p w14:paraId="7033E66A" w14:textId="77777777" w:rsidR="00136633" w:rsidRPr="00136633" w:rsidRDefault="00136633" w:rsidP="00136633">
      <w:pPr>
        <w:tabs>
          <w:tab w:val="left" w:pos="851"/>
        </w:tabs>
        <w:ind w:left="851"/>
        <w:rPr>
          <w:sz w:val="24"/>
          <w:szCs w:val="24"/>
        </w:rPr>
      </w:pPr>
    </w:p>
    <w:p w14:paraId="121B6A45" w14:textId="77777777" w:rsidR="00136633" w:rsidRPr="00136633" w:rsidRDefault="00136633" w:rsidP="00136633">
      <w:pPr>
        <w:tabs>
          <w:tab w:val="left" w:pos="851"/>
        </w:tabs>
        <w:ind w:left="851"/>
        <w:rPr>
          <w:i/>
          <w:sz w:val="24"/>
          <w:szCs w:val="24"/>
        </w:rPr>
      </w:pPr>
      <w:r w:rsidRPr="00136633">
        <w:rPr>
          <w:i/>
          <w:sz w:val="24"/>
          <w:szCs w:val="24"/>
        </w:rPr>
        <w:t>Sikkerhedsforanstaltninger, der skal tages før håndtering og administration af lægemidlet</w:t>
      </w:r>
    </w:p>
    <w:p w14:paraId="40C892FC" w14:textId="61A5ED7F" w:rsidR="00136633" w:rsidRPr="00136633" w:rsidRDefault="00136633" w:rsidP="00136633">
      <w:pPr>
        <w:tabs>
          <w:tab w:val="left" w:pos="851"/>
        </w:tabs>
        <w:ind w:left="851"/>
        <w:rPr>
          <w:sz w:val="24"/>
          <w:szCs w:val="24"/>
        </w:rPr>
      </w:pPr>
      <w:r w:rsidRPr="00136633">
        <w:rPr>
          <w:sz w:val="24"/>
          <w:szCs w:val="24"/>
        </w:rPr>
        <w:t xml:space="preserve">Daunorubicin </w:t>
      </w:r>
      <w:r w:rsidR="008D6864">
        <w:rPr>
          <w:sz w:val="24"/>
          <w:szCs w:val="24"/>
        </w:rPr>
        <w:t>"</w:t>
      </w:r>
      <w:r w:rsidRPr="00136633">
        <w:rPr>
          <w:sz w:val="24"/>
          <w:szCs w:val="24"/>
        </w:rPr>
        <w:t>Hikma</w:t>
      </w:r>
      <w:r w:rsidR="008D6864">
        <w:rPr>
          <w:sz w:val="24"/>
          <w:szCs w:val="24"/>
        </w:rPr>
        <w:t>"</w:t>
      </w:r>
      <w:r w:rsidRPr="00136633">
        <w:rPr>
          <w:sz w:val="24"/>
          <w:szCs w:val="24"/>
        </w:rPr>
        <w:t xml:space="preserve"> er et cytotoksisk lægemiddel. Særlige gældende procedurer og retningslinjer for håndtering og bortskaffelse skal følges. Det anbefales at bruge handsker under administration af Daunorubicin </w:t>
      </w:r>
      <w:r w:rsidR="008D6864">
        <w:rPr>
          <w:sz w:val="24"/>
          <w:szCs w:val="24"/>
        </w:rPr>
        <w:t>"</w:t>
      </w:r>
      <w:r w:rsidRPr="00136633">
        <w:rPr>
          <w:sz w:val="24"/>
          <w:szCs w:val="24"/>
        </w:rPr>
        <w:t>Hikma</w:t>
      </w:r>
      <w:r w:rsidR="008D6864">
        <w:rPr>
          <w:sz w:val="24"/>
          <w:szCs w:val="24"/>
        </w:rPr>
        <w:t>"</w:t>
      </w:r>
      <w:r w:rsidRPr="00136633">
        <w:rPr>
          <w:sz w:val="24"/>
          <w:szCs w:val="24"/>
        </w:rPr>
        <w:t>. Hvis opløsningen kommer i kontakt med huden eller slimhinderne, skal området straks vaskes med fysiologisk saltvandsopløsning.</w:t>
      </w:r>
    </w:p>
    <w:p w14:paraId="027746A9" w14:textId="77777777" w:rsidR="009260DE" w:rsidRPr="00C84483" w:rsidRDefault="009260DE" w:rsidP="009260DE">
      <w:pPr>
        <w:tabs>
          <w:tab w:val="left" w:pos="851"/>
        </w:tabs>
        <w:ind w:left="851"/>
        <w:rPr>
          <w:sz w:val="24"/>
          <w:szCs w:val="24"/>
        </w:rPr>
      </w:pPr>
    </w:p>
    <w:p w14:paraId="34DE6789" w14:textId="77777777" w:rsidR="009260DE" w:rsidRPr="00C84483" w:rsidRDefault="009260DE" w:rsidP="009260DE">
      <w:pPr>
        <w:tabs>
          <w:tab w:val="left" w:pos="851"/>
        </w:tabs>
        <w:ind w:left="851" w:hanging="851"/>
        <w:rPr>
          <w:b/>
          <w:sz w:val="24"/>
          <w:szCs w:val="24"/>
        </w:rPr>
      </w:pPr>
      <w:r w:rsidRPr="00C84483">
        <w:rPr>
          <w:b/>
          <w:sz w:val="24"/>
          <w:szCs w:val="24"/>
        </w:rPr>
        <w:t>4.3</w:t>
      </w:r>
      <w:r w:rsidRPr="00C84483">
        <w:rPr>
          <w:b/>
          <w:sz w:val="24"/>
          <w:szCs w:val="24"/>
        </w:rPr>
        <w:tab/>
        <w:t>Kontraindikationer</w:t>
      </w:r>
    </w:p>
    <w:p w14:paraId="427EC944" w14:textId="77777777" w:rsidR="00136633" w:rsidRPr="00136633" w:rsidRDefault="00136633" w:rsidP="00136633">
      <w:pPr>
        <w:numPr>
          <w:ilvl w:val="0"/>
          <w:numId w:val="7"/>
        </w:numPr>
        <w:tabs>
          <w:tab w:val="left" w:pos="851"/>
        </w:tabs>
        <w:ind w:left="1134" w:hanging="283"/>
        <w:rPr>
          <w:sz w:val="24"/>
          <w:szCs w:val="24"/>
        </w:rPr>
      </w:pPr>
      <w:r w:rsidRPr="00136633">
        <w:rPr>
          <w:sz w:val="24"/>
          <w:szCs w:val="24"/>
        </w:rPr>
        <w:t>Udtalt knoglemarvssuppression, f.eks. induceret af tidligere lægemidler eller strålebehandling.</w:t>
      </w:r>
    </w:p>
    <w:p w14:paraId="14FBFDA3" w14:textId="77777777" w:rsidR="00136633" w:rsidRPr="00136633" w:rsidRDefault="00136633" w:rsidP="00136633">
      <w:pPr>
        <w:numPr>
          <w:ilvl w:val="0"/>
          <w:numId w:val="7"/>
        </w:numPr>
        <w:tabs>
          <w:tab w:val="left" w:pos="851"/>
        </w:tabs>
        <w:ind w:left="1134" w:hanging="283"/>
        <w:rPr>
          <w:sz w:val="24"/>
          <w:szCs w:val="24"/>
        </w:rPr>
      </w:pPr>
      <w:r w:rsidRPr="00136633">
        <w:rPr>
          <w:sz w:val="24"/>
          <w:szCs w:val="24"/>
        </w:rPr>
        <w:t>Hos patienter med hjertesygdom og/eller eksisterende hjertesvigt. Hvis der er mistanke herom, bør der foretages en vurdering ved bestemmelse af uddrivningsfraktionen.</w:t>
      </w:r>
    </w:p>
    <w:p w14:paraId="223E1814" w14:textId="77777777" w:rsidR="00136633" w:rsidRPr="00136633" w:rsidRDefault="00136633" w:rsidP="00136633">
      <w:pPr>
        <w:numPr>
          <w:ilvl w:val="0"/>
          <w:numId w:val="7"/>
        </w:numPr>
        <w:tabs>
          <w:tab w:val="left" w:pos="851"/>
        </w:tabs>
        <w:ind w:left="1134" w:hanging="283"/>
        <w:rPr>
          <w:sz w:val="24"/>
          <w:szCs w:val="24"/>
        </w:rPr>
      </w:pPr>
      <w:r w:rsidRPr="00136633">
        <w:rPr>
          <w:sz w:val="24"/>
          <w:szCs w:val="24"/>
        </w:rPr>
        <w:t>Hos patienter med ukontrolleret koronarinsufficiens, herunder personer med komplikationer forårsaget af markant nedsat venstre ventrikelfunktion.</w:t>
      </w:r>
    </w:p>
    <w:p w14:paraId="432E8424" w14:textId="77777777" w:rsidR="00136633" w:rsidRPr="00136633" w:rsidRDefault="00136633" w:rsidP="00136633">
      <w:pPr>
        <w:numPr>
          <w:ilvl w:val="0"/>
          <w:numId w:val="7"/>
        </w:numPr>
        <w:tabs>
          <w:tab w:val="left" w:pos="851"/>
        </w:tabs>
        <w:ind w:left="1134" w:hanging="283"/>
        <w:rPr>
          <w:sz w:val="24"/>
          <w:szCs w:val="24"/>
        </w:rPr>
      </w:pPr>
      <w:r w:rsidRPr="00136633">
        <w:rPr>
          <w:sz w:val="24"/>
          <w:szCs w:val="24"/>
        </w:rPr>
        <w:t>Tidligere behandling med en maksimal kumulativ dosis af andre antracykliner såsom doxorubicin eller epirubicin.</w:t>
      </w:r>
    </w:p>
    <w:p w14:paraId="6A9040DA" w14:textId="77777777" w:rsidR="00136633" w:rsidRPr="00136633" w:rsidRDefault="00136633" w:rsidP="00136633">
      <w:pPr>
        <w:numPr>
          <w:ilvl w:val="0"/>
          <w:numId w:val="7"/>
        </w:numPr>
        <w:tabs>
          <w:tab w:val="left" w:pos="851"/>
        </w:tabs>
        <w:ind w:left="1134" w:hanging="283"/>
        <w:rPr>
          <w:sz w:val="24"/>
          <w:szCs w:val="24"/>
        </w:rPr>
      </w:pPr>
      <w:r w:rsidRPr="00136633">
        <w:rPr>
          <w:sz w:val="24"/>
          <w:szCs w:val="24"/>
        </w:rPr>
        <w:t>Overfølsomhed over for det aktive stof eller over for et eller flere af hjælpestofferne anført i pkt. 6.1.</w:t>
      </w:r>
    </w:p>
    <w:p w14:paraId="3B14DAFD" w14:textId="77777777" w:rsidR="00136633" w:rsidRPr="00136633" w:rsidRDefault="00136633" w:rsidP="00136633">
      <w:pPr>
        <w:numPr>
          <w:ilvl w:val="0"/>
          <w:numId w:val="7"/>
        </w:numPr>
        <w:tabs>
          <w:tab w:val="left" w:pos="851"/>
        </w:tabs>
        <w:ind w:left="1134" w:hanging="283"/>
        <w:rPr>
          <w:sz w:val="24"/>
          <w:szCs w:val="24"/>
        </w:rPr>
      </w:pPr>
      <w:r w:rsidRPr="00136633">
        <w:rPr>
          <w:sz w:val="24"/>
          <w:szCs w:val="24"/>
        </w:rPr>
        <w:t>Tilstedeværelse af svære infektioner.</w:t>
      </w:r>
    </w:p>
    <w:p w14:paraId="2A21F60D" w14:textId="77777777" w:rsidR="00136633" w:rsidRPr="00136633" w:rsidRDefault="00136633" w:rsidP="00136633">
      <w:pPr>
        <w:numPr>
          <w:ilvl w:val="0"/>
          <w:numId w:val="7"/>
        </w:numPr>
        <w:tabs>
          <w:tab w:val="left" w:pos="851"/>
        </w:tabs>
        <w:ind w:left="1134" w:hanging="283"/>
        <w:rPr>
          <w:sz w:val="24"/>
          <w:szCs w:val="24"/>
        </w:rPr>
      </w:pPr>
      <w:r w:rsidRPr="00136633">
        <w:rPr>
          <w:sz w:val="24"/>
          <w:szCs w:val="24"/>
        </w:rPr>
        <w:t>Svært nedsat lever</w:t>
      </w:r>
      <w:r w:rsidRPr="00136633">
        <w:rPr>
          <w:sz w:val="24"/>
          <w:szCs w:val="24"/>
        </w:rPr>
        <w:noBreakHyphen/>
        <w:t xml:space="preserve"> eller nyrefunktion.</w:t>
      </w:r>
    </w:p>
    <w:p w14:paraId="73E917E7" w14:textId="77777777" w:rsidR="00136633" w:rsidRPr="00136633" w:rsidRDefault="00136633" w:rsidP="00136633">
      <w:pPr>
        <w:numPr>
          <w:ilvl w:val="0"/>
          <w:numId w:val="7"/>
        </w:numPr>
        <w:tabs>
          <w:tab w:val="left" w:pos="851"/>
        </w:tabs>
        <w:ind w:left="1134" w:hanging="283"/>
        <w:rPr>
          <w:sz w:val="24"/>
          <w:szCs w:val="24"/>
        </w:rPr>
      </w:pPr>
      <w:r w:rsidRPr="00136633">
        <w:rPr>
          <w:sz w:val="24"/>
          <w:szCs w:val="24"/>
        </w:rPr>
        <w:t>Nyligt myokardieinfarkt.</w:t>
      </w:r>
    </w:p>
    <w:p w14:paraId="5046E830" w14:textId="77777777" w:rsidR="00136633" w:rsidRPr="00136633" w:rsidRDefault="00136633" w:rsidP="00136633">
      <w:pPr>
        <w:numPr>
          <w:ilvl w:val="0"/>
          <w:numId w:val="7"/>
        </w:numPr>
        <w:tabs>
          <w:tab w:val="left" w:pos="851"/>
        </w:tabs>
        <w:ind w:left="1134" w:hanging="283"/>
        <w:rPr>
          <w:sz w:val="24"/>
          <w:szCs w:val="24"/>
        </w:rPr>
      </w:pPr>
      <w:r w:rsidRPr="00136633">
        <w:rPr>
          <w:sz w:val="24"/>
          <w:szCs w:val="24"/>
        </w:rPr>
        <w:t>Svære arytmier.</w:t>
      </w:r>
    </w:p>
    <w:p w14:paraId="4B46493C" w14:textId="77777777" w:rsidR="00136633" w:rsidRPr="00136633" w:rsidRDefault="00136633" w:rsidP="00136633">
      <w:pPr>
        <w:numPr>
          <w:ilvl w:val="0"/>
          <w:numId w:val="7"/>
        </w:numPr>
        <w:tabs>
          <w:tab w:val="left" w:pos="851"/>
        </w:tabs>
        <w:ind w:left="1134" w:hanging="283"/>
        <w:rPr>
          <w:sz w:val="24"/>
          <w:szCs w:val="24"/>
        </w:rPr>
      </w:pPr>
      <w:r w:rsidRPr="00136633">
        <w:rPr>
          <w:sz w:val="24"/>
          <w:szCs w:val="24"/>
        </w:rPr>
        <w:t>Amning.</w:t>
      </w:r>
    </w:p>
    <w:p w14:paraId="62746DCB" w14:textId="77777777" w:rsidR="00136633" w:rsidRPr="00136633" w:rsidRDefault="00136633" w:rsidP="00136633">
      <w:pPr>
        <w:tabs>
          <w:tab w:val="left" w:pos="851"/>
        </w:tabs>
        <w:ind w:left="1134" w:hanging="283"/>
        <w:rPr>
          <w:sz w:val="24"/>
          <w:szCs w:val="24"/>
        </w:rPr>
      </w:pPr>
    </w:p>
    <w:p w14:paraId="27A4ED46" w14:textId="77777777" w:rsidR="00136633" w:rsidRPr="00136633" w:rsidRDefault="00136633" w:rsidP="00136633">
      <w:pPr>
        <w:tabs>
          <w:tab w:val="left" w:pos="851"/>
        </w:tabs>
        <w:ind w:left="851"/>
        <w:rPr>
          <w:sz w:val="24"/>
          <w:szCs w:val="24"/>
        </w:rPr>
      </w:pPr>
      <w:r w:rsidRPr="00136633">
        <w:rPr>
          <w:sz w:val="24"/>
          <w:szCs w:val="24"/>
        </w:rPr>
        <w:t>Daunorubicin må ikke anvendes, hvis den maksimale kumulative dosis af daunorubicin (550 mg/m</w:t>
      </w:r>
      <w:r w:rsidRPr="00136633">
        <w:rPr>
          <w:sz w:val="24"/>
          <w:szCs w:val="24"/>
          <w:vertAlign w:val="superscript"/>
        </w:rPr>
        <w:t>2</w:t>
      </w:r>
      <w:r w:rsidRPr="00136633">
        <w:rPr>
          <w:sz w:val="24"/>
          <w:szCs w:val="24"/>
        </w:rPr>
        <w:t xml:space="preserve"> for voksne, 300 mg/m</w:t>
      </w:r>
      <w:r w:rsidRPr="00136633">
        <w:rPr>
          <w:sz w:val="24"/>
          <w:szCs w:val="24"/>
          <w:vertAlign w:val="superscript"/>
        </w:rPr>
        <w:t>2</w:t>
      </w:r>
      <w:r w:rsidRPr="00136633">
        <w:rPr>
          <w:sz w:val="24"/>
          <w:szCs w:val="24"/>
        </w:rPr>
        <w:t xml:space="preserve"> for børn i alderen 2 år og derover, 10 mg/kg legemsvægt for børn under 2 år) eller et andet kardiotoksisk antracyklin allerede er blevet administreret, da risikoen for livstruende hjerteskade ellers øges betydeligt.</w:t>
      </w:r>
    </w:p>
    <w:p w14:paraId="7532696D" w14:textId="77777777" w:rsidR="009260DE" w:rsidRPr="00C84483" w:rsidRDefault="009260DE" w:rsidP="009260DE">
      <w:pPr>
        <w:tabs>
          <w:tab w:val="left" w:pos="851"/>
        </w:tabs>
        <w:ind w:left="851"/>
        <w:rPr>
          <w:sz w:val="24"/>
          <w:szCs w:val="24"/>
        </w:rPr>
      </w:pPr>
    </w:p>
    <w:p w14:paraId="2A037029" w14:textId="77777777" w:rsidR="009260DE" w:rsidRPr="00C84483" w:rsidRDefault="009260DE" w:rsidP="009260DE">
      <w:pPr>
        <w:tabs>
          <w:tab w:val="left" w:pos="851"/>
        </w:tabs>
        <w:ind w:left="851" w:hanging="851"/>
        <w:rPr>
          <w:b/>
          <w:sz w:val="24"/>
          <w:szCs w:val="24"/>
        </w:rPr>
      </w:pPr>
      <w:r w:rsidRPr="00C84483">
        <w:rPr>
          <w:b/>
          <w:sz w:val="24"/>
          <w:szCs w:val="24"/>
        </w:rPr>
        <w:t>4.4</w:t>
      </w:r>
      <w:r w:rsidRPr="00C84483">
        <w:rPr>
          <w:b/>
          <w:sz w:val="24"/>
          <w:szCs w:val="24"/>
        </w:rPr>
        <w:tab/>
        <w:t>Særlige advarsler og forsigtighedsregler vedrørende brugen</w:t>
      </w:r>
    </w:p>
    <w:p w14:paraId="13180219" w14:textId="77777777" w:rsidR="00126A5E" w:rsidRPr="00126A5E" w:rsidRDefault="00126A5E" w:rsidP="00126A5E">
      <w:pPr>
        <w:tabs>
          <w:tab w:val="left" w:pos="851"/>
        </w:tabs>
        <w:ind w:left="851"/>
        <w:rPr>
          <w:sz w:val="24"/>
          <w:szCs w:val="24"/>
        </w:rPr>
      </w:pPr>
    </w:p>
    <w:p w14:paraId="1B1530C2" w14:textId="77777777" w:rsidR="00126A5E" w:rsidRPr="00126A5E" w:rsidRDefault="00126A5E" w:rsidP="00126A5E">
      <w:pPr>
        <w:tabs>
          <w:tab w:val="left" w:pos="851"/>
        </w:tabs>
        <w:ind w:left="851"/>
        <w:rPr>
          <w:sz w:val="24"/>
          <w:szCs w:val="24"/>
          <w:u w:val="single"/>
        </w:rPr>
      </w:pPr>
      <w:r w:rsidRPr="00126A5E">
        <w:rPr>
          <w:sz w:val="24"/>
          <w:szCs w:val="24"/>
          <w:u w:val="single"/>
        </w:rPr>
        <w:t>Særlige advarsler</w:t>
      </w:r>
    </w:p>
    <w:p w14:paraId="16FC3462" w14:textId="4C3AC11A" w:rsidR="00126A5E" w:rsidRPr="00126A5E" w:rsidRDefault="00126A5E" w:rsidP="00126A5E">
      <w:pPr>
        <w:tabs>
          <w:tab w:val="left" w:pos="851"/>
        </w:tabs>
        <w:ind w:left="851"/>
        <w:rPr>
          <w:sz w:val="24"/>
          <w:szCs w:val="24"/>
        </w:rPr>
      </w:pPr>
      <w:r w:rsidRPr="00126A5E">
        <w:rPr>
          <w:sz w:val="24"/>
          <w:szCs w:val="24"/>
        </w:rPr>
        <w:t xml:space="preserve">Daunorubicin </w:t>
      </w:r>
      <w:r w:rsidR="008D6864">
        <w:rPr>
          <w:sz w:val="24"/>
          <w:szCs w:val="24"/>
        </w:rPr>
        <w:t>"</w:t>
      </w:r>
      <w:r w:rsidRPr="00126A5E">
        <w:rPr>
          <w:sz w:val="24"/>
          <w:szCs w:val="24"/>
        </w:rPr>
        <w:t>Hikma</w:t>
      </w:r>
      <w:r w:rsidR="008D6864">
        <w:rPr>
          <w:sz w:val="24"/>
          <w:szCs w:val="24"/>
        </w:rPr>
        <w:t>"</w:t>
      </w:r>
      <w:r w:rsidRPr="00126A5E">
        <w:rPr>
          <w:sz w:val="24"/>
          <w:szCs w:val="24"/>
        </w:rPr>
        <w:t xml:space="preserve"> bør kun administreres under tæt supervision af en læge med særligt kendskab til brugen af cytotoksiske lægemidler, helst på en afdeling med erfaring i brug af sådanne behandlinger.</w:t>
      </w:r>
    </w:p>
    <w:p w14:paraId="64724607" w14:textId="77777777" w:rsidR="00126A5E" w:rsidRPr="00126A5E" w:rsidRDefault="00126A5E" w:rsidP="00126A5E">
      <w:pPr>
        <w:tabs>
          <w:tab w:val="left" w:pos="851"/>
        </w:tabs>
        <w:ind w:left="851"/>
        <w:rPr>
          <w:sz w:val="24"/>
          <w:szCs w:val="24"/>
        </w:rPr>
      </w:pPr>
    </w:p>
    <w:p w14:paraId="0EF55DC0" w14:textId="77777777" w:rsidR="00126A5E" w:rsidRPr="00126A5E" w:rsidRDefault="00126A5E" w:rsidP="00126A5E">
      <w:pPr>
        <w:tabs>
          <w:tab w:val="left" w:pos="851"/>
        </w:tabs>
        <w:ind w:left="851"/>
        <w:rPr>
          <w:sz w:val="24"/>
          <w:szCs w:val="24"/>
        </w:rPr>
      </w:pPr>
      <w:r w:rsidRPr="00126A5E">
        <w:rPr>
          <w:sz w:val="24"/>
          <w:szCs w:val="24"/>
        </w:rPr>
        <w:t>Daunorubicin må ikke administreres intramuskulært eller subkutant.</w:t>
      </w:r>
    </w:p>
    <w:p w14:paraId="761A551B" w14:textId="77777777" w:rsidR="00126A5E" w:rsidRPr="00126A5E" w:rsidRDefault="00126A5E" w:rsidP="00126A5E">
      <w:pPr>
        <w:tabs>
          <w:tab w:val="left" w:pos="851"/>
        </w:tabs>
        <w:ind w:left="851"/>
        <w:rPr>
          <w:sz w:val="24"/>
          <w:szCs w:val="24"/>
        </w:rPr>
      </w:pPr>
      <w:r w:rsidRPr="00126A5E">
        <w:rPr>
          <w:sz w:val="24"/>
          <w:szCs w:val="24"/>
        </w:rPr>
        <w:t>For at undgå irritation af karvæggen og det omgivende væv er det meget vigtigt, at administrationen udelukkende udføres intravenøst, og at infusionen foretages hurtigt for at undgå lokal stase.</w:t>
      </w:r>
    </w:p>
    <w:p w14:paraId="6B3FDC26" w14:textId="77777777" w:rsidR="00126A5E" w:rsidRPr="00126A5E" w:rsidRDefault="00126A5E" w:rsidP="00126A5E">
      <w:pPr>
        <w:tabs>
          <w:tab w:val="left" w:pos="851"/>
        </w:tabs>
        <w:ind w:left="851"/>
        <w:rPr>
          <w:sz w:val="24"/>
          <w:szCs w:val="24"/>
        </w:rPr>
      </w:pPr>
    </w:p>
    <w:p w14:paraId="0BED9B03" w14:textId="77777777" w:rsidR="00126A5E" w:rsidRPr="00126A5E" w:rsidRDefault="00126A5E" w:rsidP="00126A5E">
      <w:pPr>
        <w:tabs>
          <w:tab w:val="left" w:pos="851"/>
        </w:tabs>
        <w:ind w:left="851"/>
        <w:rPr>
          <w:sz w:val="24"/>
          <w:szCs w:val="24"/>
        </w:rPr>
      </w:pPr>
      <w:r w:rsidRPr="00126A5E">
        <w:rPr>
          <w:sz w:val="24"/>
          <w:szCs w:val="24"/>
        </w:rPr>
        <w:t>Ved håndtering af daunorubicin, bør al kontakt med hud og slimhinder undgås. Læger og sygeplejersker skal udøve yderligere sikkerhedsforanstaltninger på grund af daunorubicins mulige mutagene og karcinogene virkning. Særlig forsigtighed tilrådes ved kontakt med patientens afføring og opkast, da det kan indeholde daunorubicin eller en aktiv metabolit. Gravide sundhedspersoner må ikke komme i kontakt med cytostatika.</w:t>
      </w:r>
    </w:p>
    <w:p w14:paraId="356089A6" w14:textId="77777777" w:rsidR="00126A5E" w:rsidRPr="00126A5E" w:rsidRDefault="00126A5E" w:rsidP="00126A5E">
      <w:pPr>
        <w:tabs>
          <w:tab w:val="left" w:pos="851"/>
        </w:tabs>
        <w:ind w:left="851"/>
        <w:rPr>
          <w:sz w:val="24"/>
          <w:szCs w:val="24"/>
        </w:rPr>
      </w:pPr>
    </w:p>
    <w:p w14:paraId="538D6AB0" w14:textId="77777777" w:rsidR="00126A5E" w:rsidRPr="00126A5E" w:rsidRDefault="00126A5E" w:rsidP="00126A5E">
      <w:pPr>
        <w:tabs>
          <w:tab w:val="left" w:pos="851"/>
        </w:tabs>
        <w:ind w:left="851"/>
        <w:rPr>
          <w:sz w:val="24"/>
          <w:szCs w:val="24"/>
        </w:rPr>
      </w:pPr>
      <w:r w:rsidRPr="00126A5E">
        <w:rPr>
          <w:sz w:val="24"/>
          <w:szCs w:val="24"/>
        </w:rPr>
        <w:t>Urin, sved eller tårevæske kan farves rød på grund af daunorubicins sammensætning. Dette varer ved i et par dage og vender derefter tilbage til normalen.</w:t>
      </w:r>
    </w:p>
    <w:p w14:paraId="7342C36B" w14:textId="77777777" w:rsidR="00126A5E" w:rsidRPr="00126A5E" w:rsidRDefault="00126A5E" w:rsidP="00126A5E">
      <w:pPr>
        <w:tabs>
          <w:tab w:val="left" w:pos="851"/>
        </w:tabs>
        <w:ind w:left="851"/>
        <w:rPr>
          <w:sz w:val="24"/>
          <w:szCs w:val="24"/>
        </w:rPr>
      </w:pPr>
    </w:p>
    <w:p w14:paraId="634FC5C6" w14:textId="77777777" w:rsidR="00126A5E" w:rsidRPr="00126A5E" w:rsidRDefault="00126A5E" w:rsidP="00126A5E">
      <w:pPr>
        <w:tabs>
          <w:tab w:val="left" w:pos="851"/>
        </w:tabs>
        <w:ind w:left="851"/>
        <w:rPr>
          <w:sz w:val="24"/>
          <w:szCs w:val="24"/>
          <w:u w:val="single"/>
        </w:rPr>
      </w:pPr>
      <w:r w:rsidRPr="00126A5E">
        <w:rPr>
          <w:sz w:val="24"/>
          <w:szCs w:val="24"/>
          <w:u w:val="single"/>
        </w:rPr>
        <w:t>Forsigtighedsregler vedrørende brugen</w:t>
      </w:r>
    </w:p>
    <w:p w14:paraId="066317F9" w14:textId="77777777" w:rsidR="00126A5E" w:rsidRPr="00126A5E" w:rsidRDefault="00126A5E" w:rsidP="00126A5E">
      <w:pPr>
        <w:tabs>
          <w:tab w:val="left" w:pos="851"/>
        </w:tabs>
        <w:ind w:left="851"/>
        <w:rPr>
          <w:sz w:val="24"/>
          <w:szCs w:val="24"/>
        </w:rPr>
      </w:pPr>
      <w:r w:rsidRPr="00126A5E">
        <w:rPr>
          <w:sz w:val="24"/>
          <w:szCs w:val="24"/>
        </w:rPr>
        <w:t>Relative kontraindikationer er højgradig pancytopeni eller isoleret leukopeni/trombocytopeni.</w:t>
      </w:r>
    </w:p>
    <w:p w14:paraId="229B532C" w14:textId="77777777" w:rsidR="00126A5E" w:rsidRPr="00126A5E" w:rsidRDefault="00126A5E" w:rsidP="00126A5E">
      <w:pPr>
        <w:tabs>
          <w:tab w:val="left" w:pos="851"/>
        </w:tabs>
        <w:ind w:left="851"/>
        <w:rPr>
          <w:sz w:val="24"/>
          <w:szCs w:val="24"/>
        </w:rPr>
      </w:pPr>
      <w:r w:rsidRPr="00126A5E">
        <w:rPr>
          <w:sz w:val="24"/>
          <w:szCs w:val="24"/>
        </w:rPr>
        <w:t>Yderligere relative kontraindikationer er alvorlige hjertearytmier, især ventrikulære takykardier eller arytmier med klinisk relevante hæmodynamiske effekter og klinisk manifest hjertesvigt (selv i anamnesen), myokardieinfarkt, svære nyre</w:t>
      </w:r>
      <w:r w:rsidRPr="00126A5E">
        <w:rPr>
          <w:sz w:val="24"/>
          <w:szCs w:val="24"/>
        </w:rPr>
        <w:noBreakHyphen/>
        <w:t xml:space="preserve"> og leversygdomme, graviditet og dårlig almentilstand hos patienten. Den behandlende læge bør afveje fordele og risici i hvert enkelt tilfælde og derefter beslutte, hvilken behandling der skal gives.</w:t>
      </w:r>
    </w:p>
    <w:p w14:paraId="3BD27CCD" w14:textId="77777777" w:rsidR="00126A5E" w:rsidRPr="00126A5E" w:rsidRDefault="00126A5E" w:rsidP="00126A5E">
      <w:pPr>
        <w:tabs>
          <w:tab w:val="left" w:pos="851"/>
        </w:tabs>
        <w:ind w:left="851"/>
        <w:rPr>
          <w:sz w:val="24"/>
          <w:szCs w:val="24"/>
        </w:rPr>
      </w:pPr>
    </w:p>
    <w:p w14:paraId="150A98B2" w14:textId="77777777" w:rsidR="00126A5E" w:rsidRPr="00126A5E" w:rsidRDefault="00126A5E" w:rsidP="00126A5E">
      <w:pPr>
        <w:tabs>
          <w:tab w:val="left" w:pos="851"/>
        </w:tabs>
        <w:ind w:left="851"/>
        <w:rPr>
          <w:sz w:val="24"/>
          <w:szCs w:val="24"/>
        </w:rPr>
      </w:pPr>
      <w:r w:rsidRPr="00126A5E">
        <w:rPr>
          <w:sz w:val="24"/>
          <w:szCs w:val="24"/>
        </w:rPr>
        <w:t>Ukontrollerede infektioner, især virussygdomme (herpes zoster), kan udvikle sig til livstruende eksacerbationer efter administration af daunorubicin på grund af lægemidlets immunsuppressive virkning. Infektioner bør behandles, før behandling med daunorubicin påbegyndes. Hvis en patient får feber under behandling med daunorubicin (uanset neutrofiltal), bør behandling med et bredspektret antibiotikum påbegyndes.</w:t>
      </w:r>
    </w:p>
    <w:p w14:paraId="52909E6F" w14:textId="77777777" w:rsidR="00126A5E" w:rsidRPr="00126A5E" w:rsidRDefault="00126A5E" w:rsidP="00126A5E">
      <w:pPr>
        <w:tabs>
          <w:tab w:val="left" w:pos="851"/>
        </w:tabs>
        <w:ind w:left="851"/>
        <w:rPr>
          <w:sz w:val="24"/>
          <w:szCs w:val="24"/>
        </w:rPr>
      </w:pPr>
    </w:p>
    <w:p w14:paraId="111AE3E4" w14:textId="05DAE94E" w:rsidR="00126A5E" w:rsidRPr="00126A5E" w:rsidRDefault="00126A5E" w:rsidP="00126A5E">
      <w:pPr>
        <w:tabs>
          <w:tab w:val="left" w:pos="851"/>
        </w:tabs>
        <w:ind w:left="851"/>
        <w:rPr>
          <w:sz w:val="24"/>
          <w:szCs w:val="24"/>
        </w:rPr>
      </w:pPr>
      <w:r w:rsidRPr="00126A5E">
        <w:rPr>
          <w:sz w:val="24"/>
          <w:szCs w:val="24"/>
        </w:rPr>
        <w:t>Særlig forsigtighed er påkrævet hos patienter ved forudgående, samtidig eller planlagt strålebehandling. Disse patienter har en øget risiko for at få lokale reaktioner i det bestrålede område (</w:t>
      </w:r>
      <w:r w:rsidR="008D6864">
        <w:rPr>
          <w:sz w:val="24"/>
          <w:szCs w:val="24"/>
        </w:rPr>
        <w:t>"</w:t>
      </w:r>
      <w:r w:rsidRPr="00126A5E">
        <w:rPr>
          <w:i/>
          <w:iCs/>
          <w:sz w:val="24"/>
          <w:szCs w:val="24"/>
        </w:rPr>
        <w:t>recall</w:t>
      </w:r>
      <w:r w:rsidRPr="00126A5E">
        <w:rPr>
          <w:sz w:val="24"/>
          <w:szCs w:val="24"/>
        </w:rPr>
        <w:t>-fænomen</w:t>
      </w:r>
      <w:r w:rsidR="008D6864">
        <w:rPr>
          <w:sz w:val="24"/>
          <w:szCs w:val="24"/>
        </w:rPr>
        <w:t>"</w:t>
      </w:r>
      <w:r w:rsidRPr="00126A5E">
        <w:rPr>
          <w:sz w:val="24"/>
          <w:szCs w:val="24"/>
        </w:rPr>
        <w:t>) under behandling med daunorubicin. Tidligere mediastinal bestråling forøger daunorubicins kardiotoksicitet.</w:t>
      </w:r>
    </w:p>
    <w:p w14:paraId="4FA553F4" w14:textId="77777777" w:rsidR="00126A5E" w:rsidRPr="00126A5E" w:rsidRDefault="00126A5E" w:rsidP="00126A5E">
      <w:pPr>
        <w:tabs>
          <w:tab w:val="left" w:pos="851"/>
        </w:tabs>
        <w:ind w:left="851"/>
        <w:rPr>
          <w:sz w:val="24"/>
          <w:szCs w:val="24"/>
        </w:rPr>
      </w:pPr>
      <w:r w:rsidRPr="00126A5E">
        <w:rPr>
          <w:sz w:val="24"/>
          <w:szCs w:val="24"/>
        </w:rPr>
        <w:t>Patienter bør komme sig helt efter akut toksicitet fra tidligere cytotoksiske behandlinger (såsom stomatitis, neutropeni, trombocytopeni og generaliserede infektioner), før behandling med daunorubicin påbegyndes.</w:t>
      </w:r>
    </w:p>
    <w:p w14:paraId="1492A557" w14:textId="77777777" w:rsidR="00126A5E" w:rsidRPr="00126A5E" w:rsidRDefault="00126A5E" w:rsidP="00126A5E">
      <w:pPr>
        <w:tabs>
          <w:tab w:val="left" w:pos="851"/>
        </w:tabs>
        <w:ind w:left="851"/>
        <w:rPr>
          <w:sz w:val="24"/>
          <w:szCs w:val="24"/>
        </w:rPr>
      </w:pPr>
    </w:p>
    <w:p w14:paraId="58DDAB15" w14:textId="77777777" w:rsidR="00126A5E" w:rsidRPr="00126A5E" w:rsidRDefault="00126A5E" w:rsidP="00126A5E">
      <w:pPr>
        <w:tabs>
          <w:tab w:val="left" w:pos="851"/>
        </w:tabs>
        <w:ind w:left="851"/>
        <w:rPr>
          <w:sz w:val="24"/>
          <w:szCs w:val="24"/>
        </w:rPr>
      </w:pPr>
      <w:r w:rsidRPr="00126A5E">
        <w:rPr>
          <w:sz w:val="24"/>
          <w:szCs w:val="24"/>
        </w:rPr>
        <w:t>Der skal udvises forsigtighed, når daunorubicin anvendes samtidig med phenytoin på grund af en lægemiddelinteraktion, der kan påvirke plasmaeksponeringen for både daunorubicin og phenytoin, hvilket kan føre til krampeanfald (se pkt. 4.5).</w:t>
      </w:r>
    </w:p>
    <w:p w14:paraId="4AF93279" w14:textId="77777777" w:rsidR="00126A5E" w:rsidRPr="00126A5E" w:rsidRDefault="00126A5E" w:rsidP="00126A5E">
      <w:pPr>
        <w:tabs>
          <w:tab w:val="left" w:pos="851"/>
        </w:tabs>
        <w:ind w:left="851"/>
        <w:rPr>
          <w:sz w:val="24"/>
          <w:szCs w:val="24"/>
        </w:rPr>
      </w:pPr>
    </w:p>
    <w:p w14:paraId="551230BC" w14:textId="77777777" w:rsidR="00126A5E" w:rsidRPr="00126A5E" w:rsidRDefault="00126A5E" w:rsidP="00126A5E">
      <w:pPr>
        <w:tabs>
          <w:tab w:val="left" w:pos="851"/>
        </w:tabs>
        <w:ind w:left="851"/>
        <w:rPr>
          <w:sz w:val="24"/>
          <w:szCs w:val="24"/>
          <w:u w:val="single"/>
        </w:rPr>
      </w:pPr>
      <w:r w:rsidRPr="00126A5E">
        <w:rPr>
          <w:sz w:val="24"/>
          <w:szCs w:val="24"/>
          <w:u w:val="single"/>
        </w:rPr>
        <w:t>Hæmopoietisk system</w:t>
      </w:r>
    </w:p>
    <w:p w14:paraId="35E481E7" w14:textId="77777777" w:rsidR="00126A5E" w:rsidRPr="00126A5E" w:rsidRDefault="00126A5E" w:rsidP="00126A5E">
      <w:pPr>
        <w:tabs>
          <w:tab w:val="left" w:pos="851"/>
        </w:tabs>
        <w:ind w:left="851"/>
        <w:rPr>
          <w:sz w:val="24"/>
          <w:szCs w:val="24"/>
        </w:rPr>
      </w:pPr>
      <w:r w:rsidRPr="00126A5E">
        <w:rPr>
          <w:sz w:val="24"/>
          <w:szCs w:val="24"/>
        </w:rPr>
        <w:t>Efter administration af en terapeutisk dosis vil der forekomme myelosuppression hos alle patienter. Reversibel knoglemarvssuppression udvikles afhængigt af dosis og manifesterer sig hovedsageligt som leukopeni, granulocytopeni (neutropeni) og trombocytopeni. Anæmi forekommer mere sjældent. Nadir nås 8</w:t>
      </w:r>
      <w:r w:rsidRPr="00126A5E">
        <w:rPr>
          <w:sz w:val="24"/>
          <w:szCs w:val="24"/>
        </w:rPr>
        <w:noBreakHyphen/>
        <w:t>10 dage efter påbegyndelse af behandlingen. Restitution forekommer normalt 2</w:t>
      </w:r>
      <w:r w:rsidRPr="00126A5E">
        <w:rPr>
          <w:sz w:val="24"/>
          <w:szCs w:val="24"/>
        </w:rPr>
        <w:noBreakHyphen/>
        <w:t>3 uger efter den sidste administration.</w:t>
      </w:r>
    </w:p>
    <w:p w14:paraId="1A583A16" w14:textId="77777777" w:rsidR="00126A5E" w:rsidRPr="00126A5E" w:rsidRDefault="00126A5E" w:rsidP="00126A5E">
      <w:pPr>
        <w:tabs>
          <w:tab w:val="left" w:pos="851"/>
        </w:tabs>
        <w:ind w:left="851"/>
        <w:rPr>
          <w:sz w:val="24"/>
          <w:szCs w:val="24"/>
        </w:rPr>
      </w:pPr>
    </w:p>
    <w:p w14:paraId="45B91630" w14:textId="77777777" w:rsidR="00126A5E" w:rsidRPr="00126A5E" w:rsidRDefault="00126A5E" w:rsidP="00126A5E">
      <w:pPr>
        <w:tabs>
          <w:tab w:val="left" w:pos="851"/>
        </w:tabs>
        <w:ind w:left="851"/>
        <w:rPr>
          <w:sz w:val="24"/>
          <w:szCs w:val="24"/>
        </w:rPr>
      </w:pPr>
      <w:r w:rsidRPr="00126A5E">
        <w:rPr>
          <w:sz w:val="24"/>
          <w:szCs w:val="24"/>
        </w:rPr>
        <w:t>Der kan forekomme feber, infektion, sepsis, septisk shock, blødning og vævshypoksi som følge af myelosuppression, hvilket kan være dødeligt. For at undgå myelotoksiske komplikationer er omhyggelig overvågning af blodtallet før og under behandlingen med særligt fokus på leukocytter, granulocytter, blodplader og erytrocytter påkrævet. En svær infektion og/eller blødning bør behandles hurtigt og effektivt. I tilfælde af myelosuppression kan intensiv understøttende behandling være nødvendig. Daunorubicin bør administreres med forsigtighed, når neutrofiltallet er &lt; 1.500/mm</w:t>
      </w:r>
      <w:r w:rsidRPr="00126A5E">
        <w:rPr>
          <w:sz w:val="24"/>
          <w:szCs w:val="24"/>
          <w:vertAlign w:val="superscript"/>
        </w:rPr>
        <w:t>3</w:t>
      </w:r>
      <w:r w:rsidRPr="00126A5E">
        <w:rPr>
          <w:sz w:val="24"/>
          <w:szCs w:val="24"/>
        </w:rPr>
        <w:t>.</w:t>
      </w:r>
    </w:p>
    <w:p w14:paraId="6895121E" w14:textId="77777777" w:rsidR="00126A5E" w:rsidRPr="00126A5E" w:rsidRDefault="00126A5E" w:rsidP="00126A5E">
      <w:pPr>
        <w:tabs>
          <w:tab w:val="left" w:pos="851"/>
        </w:tabs>
        <w:ind w:left="851"/>
        <w:rPr>
          <w:sz w:val="24"/>
          <w:szCs w:val="24"/>
        </w:rPr>
      </w:pPr>
    </w:p>
    <w:p w14:paraId="39E4EB34" w14:textId="77777777" w:rsidR="00126A5E" w:rsidRPr="00126A5E" w:rsidRDefault="00126A5E" w:rsidP="00126A5E">
      <w:pPr>
        <w:tabs>
          <w:tab w:val="left" w:pos="851"/>
        </w:tabs>
        <w:ind w:left="851"/>
        <w:rPr>
          <w:sz w:val="24"/>
          <w:szCs w:val="24"/>
        </w:rPr>
      </w:pPr>
      <w:r w:rsidRPr="00126A5E">
        <w:rPr>
          <w:sz w:val="24"/>
          <w:szCs w:val="24"/>
        </w:rPr>
        <w:t xml:space="preserve">Sekundære maligniteter: Der er blevet rapporteret om sekundære maligniteter (herunder leukæmi) hos patienter, når daunorubicin blev givet i kombination med andre antineoplastiske behandlinger, der vides at være forbundet med sekundære maligniteter (se pkt. 4.8). Sekundær leukæmi forekommer hyppigere, når sådanne lægemidler anvendes i kombination med antineoplastiske midler med skadelig virkning på dna, i kombination med strålebehandling, når patienten er blevet kraftigt præmedicineret med cytotoksiske lægemidler, eller ved dosiseskalering af antracyklin. Der kan forekomme sekundære </w:t>
      </w:r>
      <w:r w:rsidRPr="00126A5E">
        <w:rPr>
          <w:sz w:val="24"/>
          <w:szCs w:val="24"/>
        </w:rPr>
        <w:lastRenderedPageBreak/>
        <w:t>maligniteter under behandlingen med daunorubicin eller flere måneder eller år efter behandlingen er afsluttet. Patienterne bør overvåges for sekundære maligniteter.</w:t>
      </w:r>
    </w:p>
    <w:p w14:paraId="1E200FB8" w14:textId="77777777" w:rsidR="00126A5E" w:rsidRPr="00126A5E" w:rsidRDefault="00126A5E" w:rsidP="00126A5E">
      <w:pPr>
        <w:tabs>
          <w:tab w:val="left" w:pos="851"/>
        </w:tabs>
        <w:ind w:left="851"/>
        <w:rPr>
          <w:sz w:val="24"/>
          <w:szCs w:val="24"/>
        </w:rPr>
      </w:pPr>
    </w:p>
    <w:p w14:paraId="4F07D9EA" w14:textId="77777777" w:rsidR="00126A5E" w:rsidRPr="00126A5E" w:rsidRDefault="00126A5E" w:rsidP="00126A5E">
      <w:pPr>
        <w:tabs>
          <w:tab w:val="left" w:pos="851"/>
        </w:tabs>
        <w:ind w:left="851"/>
        <w:rPr>
          <w:sz w:val="24"/>
          <w:szCs w:val="24"/>
        </w:rPr>
      </w:pPr>
      <w:r w:rsidRPr="00126A5E">
        <w:rPr>
          <w:sz w:val="24"/>
          <w:szCs w:val="24"/>
        </w:rPr>
        <w:t>Hos patienter med eksisterende knoglemarvsdepression bør risikoen ved behandlingen overvejes nøje. I betragtning af den udtalte suppression af knoglemarvsaktiviteten, som kan fortsætte selv efter ophør med behandlingen, er det vigtigt at overvåge blodtallet og knoglemarvs</w:t>
      </w:r>
      <w:r w:rsidRPr="00126A5E">
        <w:rPr>
          <w:sz w:val="24"/>
          <w:szCs w:val="24"/>
        </w:rPr>
        <w:noBreakHyphen/>
        <w:t>, lever</w:t>
      </w:r>
      <w:r w:rsidRPr="00126A5E">
        <w:rPr>
          <w:sz w:val="24"/>
          <w:szCs w:val="24"/>
        </w:rPr>
        <w:noBreakHyphen/>
        <w:t xml:space="preserve"> og nyrefunktionen regelmæssigt før, under og efter behandlingen. Det kan være nødvendigt at afbryde behandlingen, justere dosis eller forlænge det behandlingsfrie interval. Patienten kan opleve flere perioder med relativ knoglemarvsaplasi under fasen med remissionsinduktion. Det er derfor vigtigt (f.eks. som en infektionsforebyggende foranstaltning), at der er effektive understøttende faciliteter tilgængelige.</w:t>
      </w:r>
    </w:p>
    <w:p w14:paraId="7B3FB833" w14:textId="77777777" w:rsidR="00126A5E" w:rsidRPr="00126A5E" w:rsidRDefault="00126A5E" w:rsidP="00126A5E">
      <w:pPr>
        <w:tabs>
          <w:tab w:val="left" w:pos="851"/>
        </w:tabs>
        <w:ind w:left="851"/>
        <w:rPr>
          <w:sz w:val="24"/>
          <w:szCs w:val="24"/>
        </w:rPr>
      </w:pPr>
    </w:p>
    <w:p w14:paraId="568A86B2" w14:textId="77777777" w:rsidR="00126A5E" w:rsidRPr="00126A5E" w:rsidRDefault="00126A5E" w:rsidP="00126A5E">
      <w:pPr>
        <w:tabs>
          <w:tab w:val="left" w:pos="851"/>
        </w:tabs>
        <w:ind w:left="851"/>
        <w:rPr>
          <w:sz w:val="24"/>
          <w:szCs w:val="24"/>
          <w:u w:val="single"/>
        </w:rPr>
      </w:pPr>
      <w:r w:rsidRPr="00126A5E">
        <w:rPr>
          <w:sz w:val="24"/>
          <w:szCs w:val="24"/>
          <w:u w:val="single"/>
        </w:rPr>
        <w:t>Kardiotoksicitet</w:t>
      </w:r>
    </w:p>
    <w:p w14:paraId="1B5E3268" w14:textId="77777777" w:rsidR="00126A5E" w:rsidRPr="00126A5E" w:rsidRDefault="00126A5E" w:rsidP="00126A5E">
      <w:pPr>
        <w:tabs>
          <w:tab w:val="left" w:pos="851"/>
        </w:tabs>
        <w:ind w:left="851"/>
        <w:rPr>
          <w:sz w:val="24"/>
          <w:szCs w:val="24"/>
        </w:rPr>
      </w:pPr>
      <w:r w:rsidRPr="00126A5E">
        <w:rPr>
          <w:sz w:val="24"/>
          <w:szCs w:val="24"/>
        </w:rPr>
        <w:t>Skade på myokardiet er en af de største risici forbundet med behandling med daunorubicin.</w:t>
      </w:r>
    </w:p>
    <w:p w14:paraId="07C08E29" w14:textId="77777777" w:rsidR="00126A5E" w:rsidRPr="00126A5E" w:rsidRDefault="00126A5E" w:rsidP="00126A5E">
      <w:pPr>
        <w:tabs>
          <w:tab w:val="left" w:pos="851"/>
        </w:tabs>
        <w:ind w:left="851"/>
        <w:rPr>
          <w:sz w:val="24"/>
          <w:szCs w:val="24"/>
        </w:rPr>
      </w:pPr>
      <w:r w:rsidRPr="00126A5E">
        <w:rPr>
          <w:sz w:val="24"/>
          <w:szCs w:val="24"/>
        </w:rPr>
        <w:t>Toksisk skade på myokardiet forårsaget af daunorubicin kan forekomme i to former. Den dosisafhængige 'akutte type' manifesterer sig ved supraventrikulære arytmier (sinustakykardi, for tidlige ventrikulære kontraktioner, AV</w:t>
      </w:r>
      <w:r w:rsidRPr="00126A5E">
        <w:rPr>
          <w:sz w:val="24"/>
          <w:szCs w:val="24"/>
        </w:rPr>
        <w:noBreakHyphen/>
        <w:t>blok) og/eller uspecifikke ekg</w:t>
      </w:r>
      <w:r w:rsidRPr="00126A5E">
        <w:rPr>
          <w:sz w:val="24"/>
          <w:szCs w:val="24"/>
        </w:rPr>
        <w:noBreakHyphen/>
        <w:t>abnormaliteter (ændringer i ST</w:t>
      </w:r>
      <w:r w:rsidRPr="00126A5E">
        <w:rPr>
          <w:sz w:val="24"/>
          <w:szCs w:val="24"/>
        </w:rPr>
        <w:noBreakHyphen/>
        <w:t>bølgeform, lavspændings</w:t>
      </w:r>
      <w:r w:rsidRPr="00126A5E">
        <w:rPr>
          <w:sz w:val="24"/>
          <w:szCs w:val="24"/>
        </w:rPr>
        <w:noBreakHyphen/>
        <w:t>QRS</w:t>
      </w:r>
      <w:r w:rsidRPr="00126A5E">
        <w:rPr>
          <w:sz w:val="24"/>
          <w:szCs w:val="24"/>
        </w:rPr>
        <w:noBreakHyphen/>
        <w:t>kompleks, T</w:t>
      </w:r>
      <w:r w:rsidRPr="00126A5E">
        <w:rPr>
          <w:sz w:val="24"/>
          <w:szCs w:val="24"/>
        </w:rPr>
        <w:noBreakHyphen/>
        <w:t>bølger). Akut kardiotoksicitet kan forekomme inden for en uge eller længere tid efter administration af daunorubicin. Der er også blevet rapporteret om angina pectoris, myokardieinfarkt, endomyokardiel fibrose og perikarditis/myokarditis. Ved den 'forsinkede type' kan der udvikles kongestiv kardiomyopati, især efter høje kumulative doser af daunorubicin. Nogle gange forekommer dette under behandlingen, men det ses ofte også måneder eller år efter behandlingen er afsluttet. Det manifesterer sig klinisk ved generaliseret hjertesvigt, hvilket i nogle tilfælde kan medføre døden som følge af akut hjertesvigt. Sværhedsgraden og hyppigheden af disse bivirkninger afhænger af den kumulative dosis af daunorubicin.</w:t>
      </w:r>
    </w:p>
    <w:p w14:paraId="011A6E39" w14:textId="77777777" w:rsidR="00126A5E" w:rsidRPr="00126A5E" w:rsidRDefault="00126A5E" w:rsidP="00126A5E">
      <w:pPr>
        <w:tabs>
          <w:tab w:val="left" w:pos="851"/>
        </w:tabs>
        <w:ind w:left="851"/>
        <w:rPr>
          <w:sz w:val="24"/>
          <w:szCs w:val="24"/>
        </w:rPr>
      </w:pPr>
    </w:p>
    <w:p w14:paraId="6E034471" w14:textId="77777777" w:rsidR="00126A5E" w:rsidRPr="00126A5E" w:rsidRDefault="00126A5E" w:rsidP="00126A5E">
      <w:pPr>
        <w:tabs>
          <w:tab w:val="left" w:pos="851"/>
        </w:tabs>
        <w:ind w:left="851"/>
        <w:rPr>
          <w:sz w:val="24"/>
          <w:szCs w:val="24"/>
        </w:rPr>
      </w:pPr>
      <w:r w:rsidRPr="00126A5E">
        <w:rPr>
          <w:sz w:val="24"/>
          <w:szCs w:val="24"/>
        </w:rPr>
        <w:t xml:space="preserve">Risikoen kan reduceres ved regelmæssig overvågning af venstre ventrikels uddrivningsfraktion (LVEF) under behandlingen. Initiering af lægemidler, som beskytter hjertet, kan overvejes for at nedsætte risikoen for kardiomyopati, mens behandlingen bør seponeres ved det første tegn på kardiomyopati. Der anbefales en </w:t>
      </w:r>
      <w:r w:rsidRPr="00126A5E">
        <w:rPr>
          <w:i/>
          <w:iCs/>
          <w:sz w:val="24"/>
          <w:szCs w:val="24"/>
        </w:rPr>
        <w:t>baseline</w:t>
      </w:r>
      <w:r w:rsidRPr="00126A5E">
        <w:rPr>
          <w:sz w:val="24"/>
          <w:szCs w:val="24"/>
        </w:rPr>
        <w:t>-evaluering af hjertet med udførelse af et ekg og enten en isotopkardiografi eller en ekkokardiografi, især hos patienter med risikofaktorer for øget kardiotoksicitet.</w:t>
      </w:r>
    </w:p>
    <w:p w14:paraId="0E6584B0" w14:textId="77777777" w:rsidR="00126A5E" w:rsidRPr="00126A5E" w:rsidRDefault="00126A5E" w:rsidP="00126A5E">
      <w:pPr>
        <w:tabs>
          <w:tab w:val="left" w:pos="851"/>
        </w:tabs>
        <w:ind w:left="851"/>
        <w:rPr>
          <w:sz w:val="24"/>
          <w:szCs w:val="24"/>
        </w:rPr>
      </w:pPr>
      <w:r w:rsidRPr="00126A5E">
        <w:rPr>
          <w:sz w:val="24"/>
          <w:szCs w:val="24"/>
        </w:rPr>
        <w:t xml:space="preserve">Den passende kvantitative metode til gentagen vurdering af hjertefunktionen (evaluering af LVEF) omfatter </w:t>
      </w:r>
      <w:r w:rsidRPr="00126A5E">
        <w:rPr>
          <w:i/>
          <w:iCs/>
          <w:sz w:val="24"/>
          <w:szCs w:val="24"/>
        </w:rPr>
        <w:t>multi-gated</w:t>
      </w:r>
      <w:r w:rsidRPr="00126A5E">
        <w:rPr>
          <w:sz w:val="24"/>
          <w:szCs w:val="24"/>
        </w:rPr>
        <w:t xml:space="preserve"> isotopkardiografi eller ekkokardiografi. Ændringer i ekg’et kan indikere antracyklin-induceret kardiomyopati, men ekg’et er ikke en hverken sensitiv eller præcis metode til registrering af manglende susceptibilitet til overvågning af antracyklin-relateret kardiotoksicitet.</w:t>
      </w:r>
    </w:p>
    <w:p w14:paraId="67A006A9" w14:textId="77777777" w:rsidR="00126A5E" w:rsidRPr="00126A5E" w:rsidRDefault="00126A5E" w:rsidP="00126A5E">
      <w:pPr>
        <w:tabs>
          <w:tab w:val="left" w:pos="851"/>
        </w:tabs>
        <w:ind w:left="851"/>
        <w:rPr>
          <w:sz w:val="24"/>
          <w:szCs w:val="24"/>
        </w:rPr>
      </w:pPr>
      <w:r w:rsidRPr="00126A5E">
        <w:rPr>
          <w:sz w:val="24"/>
          <w:szCs w:val="24"/>
        </w:rPr>
        <w:t>Tærskeldosis er ca. 550 mg daunorubicin/m</w:t>
      </w:r>
      <w:r w:rsidRPr="00126A5E">
        <w:rPr>
          <w:sz w:val="24"/>
          <w:szCs w:val="24"/>
          <w:vertAlign w:val="superscript"/>
        </w:rPr>
        <w:t>2</w:t>
      </w:r>
      <w:r w:rsidRPr="00126A5E">
        <w:rPr>
          <w:sz w:val="24"/>
          <w:szCs w:val="24"/>
        </w:rPr>
        <w:t xml:space="preserve"> hos voksne, ca. 300 mg daunorubicin/m</w:t>
      </w:r>
      <w:r w:rsidRPr="00126A5E">
        <w:rPr>
          <w:sz w:val="24"/>
          <w:szCs w:val="24"/>
          <w:vertAlign w:val="superscript"/>
        </w:rPr>
        <w:t>2</w:t>
      </w:r>
      <w:r w:rsidRPr="00126A5E">
        <w:rPr>
          <w:sz w:val="24"/>
          <w:szCs w:val="24"/>
        </w:rPr>
        <w:t xml:space="preserve"> hos børn i alderen 2 år og derover og ca. 10 mg daunorubicin/kg legemsvægt hos børn under 2 år.</w:t>
      </w:r>
    </w:p>
    <w:p w14:paraId="012C807A" w14:textId="77777777" w:rsidR="00126A5E" w:rsidRPr="00126A5E" w:rsidRDefault="00126A5E" w:rsidP="00126A5E">
      <w:pPr>
        <w:tabs>
          <w:tab w:val="left" w:pos="851"/>
        </w:tabs>
        <w:ind w:left="851"/>
        <w:rPr>
          <w:sz w:val="24"/>
          <w:szCs w:val="24"/>
        </w:rPr>
      </w:pPr>
    </w:p>
    <w:p w14:paraId="23497E32" w14:textId="6178BE64" w:rsidR="00126A5E" w:rsidRPr="00126A5E" w:rsidRDefault="00126A5E" w:rsidP="00126A5E">
      <w:pPr>
        <w:tabs>
          <w:tab w:val="left" w:pos="851"/>
        </w:tabs>
        <w:ind w:left="851"/>
        <w:rPr>
          <w:sz w:val="24"/>
          <w:szCs w:val="24"/>
        </w:rPr>
      </w:pPr>
      <w:r w:rsidRPr="00126A5E">
        <w:rPr>
          <w:sz w:val="24"/>
          <w:szCs w:val="24"/>
        </w:rPr>
        <w:t>Risikoen for udvikling af kardiomyopati stiger almindeligvis med den kumulative dosis af daunorubicin, der gives, og afhænger også af tilstedeværelsen af risikofaktorer, såsom alder (&lt; 15 år eller &gt; 70 år), eksisterende kardiovaskulær sygdom, mediastinal bestråling, tidligere eller samtidig behandling med beslægtede antracykliner eller andre kardiotoksiske præparater, såsom mitomycin</w:t>
      </w:r>
      <w:r w:rsidRPr="00126A5E">
        <w:rPr>
          <w:sz w:val="24"/>
          <w:szCs w:val="24"/>
        </w:rPr>
        <w:noBreakHyphen/>
        <w:t xml:space="preserve">C, dacarbazin, dactinomycin og cyclophosphamid. Omhyggelig overvågning under behandlingen er derfor vigtig. Almindeligvis er risikoen for klinisk manifest kardiomyopati imidlertid antagelig lav ved en kumulativ dosis på </w:t>
      </w:r>
      <w:r w:rsidRPr="00126A5E">
        <w:rPr>
          <w:sz w:val="24"/>
          <w:szCs w:val="24"/>
        </w:rPr>
        <w:lastRenderedPageBreak/>
        <w:t>mindre end 550 mg/m</w:t>
      </w:r>
      <w:r w:rsidRPr="00126A5E">
        <w:rPr>
          <w:sz w:val="24"/>
          <w:szCs w:val="24"/>
          <w:vertAlign w:val="superscript"/>
        </w:rPr>
        <w:t>2</w:t>
      </w:r>
      <w:r w:rsidRPr="00126A5E">
        <w:rPr>
          <w:sz w:val="24"/>
          <w:szCs w:val="24"/>
        </w:rPr>
        <w:t xml:space="preserve">, selvom den stiger stejlt ved en højere dosis (se også </w:t>
      </w:r>
      <w:r w:rsidR="008D6864">
        <w:rPr>
          <w:sz w:val="24"/>
          <w:szCs w:val="24"/>
        </w:rPr>
        <w:t>"</w:t>
      </w:r>
      <w:r w:rsidRPr="00126A5E">
        <w:rPr>
          <w:sz w:val="24"/>
          <w:szCs w:val="24"/>
        </w:rPr>
        <w:t>Bivirkninger</w:t>
      </w:r>
      <w:r w:rsidR="008D6864">
        <w:rPr>
          <w:sz w:val="24"/>
          <w:szCs w:val="24"/>
        </w:rPr>
        <w:t>"</w:t>
      </w:r>
      <w:r w:rsidRPr="00126A5E">
        <w:rPr>
          <w:sz w:val="24"/>
          <w:szCs w:val="24"/>
        </w:rPr>
        <w:t>). Derfor kan 550 mg/m</w:t>
      </w:r>
      <w:r w:rsidRPr="00126A5E">
        <w:rPr>
          <w:sz w:val="24"/>
          <w:szCs w:val="24"/>
          <w:vertAlign w:val="superscript"/>
        </w:rPr>
        <w:t>2</w:t>
      </w:r>
      <w:r w:rsidRPr="00126A5E">
        <w:rPr>
          <w:sz w:val="24"/>
          <w:szCs w:val="24"/>
        </w:rPr>
        <w:t xml:space="preserve"> anses som en relativt sikker øvre grænse.</w:t>
      </w:r>
    </w:p>
    <w:p w14:paraId="557B0EA5" w14:textId="77777777" w:rsidR="00126A5E" w:rsidRPr="00126A5E" w:rsidRDefault="00126A5E" w:rsidP="00126A5E">
      <w:pPr>
        <w:tabs>
          <w:tab w:val="left" w:pos="851"/>
        </w:tabs>
        <w:ind w:left="851"/>
        <w:rPr>
          <w:sz w:val="24"/>
          <w:szCs w:val="24"/>
        </w:rPr>
      </w:pPr>
    </w:p>
    <w:p w14:paraId="6CEDA40C" w14:textId="77777777" w:rsidR="00126A5E" w:rsidRPr="00126A5E" w:rsidRDefault="00126A5E" w:rsidP="00126A5E">
      <w:pPr>
        <w:tabs>
          <w:tab w:val="left" w:pos="851"/>
        </w:tabs>
        <w:ind w:left="851"/>
        <w:rPr>
          <w:sz w:val="24"/>
          <w:szCs w:val="24"/>
        </w:rPr>
      </w:pPr>
      <w:r w:rsidRPr="00126A5E">
        <w:rPr>
          <w:sz w:val="24"/>
          <w:szCs w:val="24"/>
        </w:rPr>
        <w:t>Kardiomyopati forårsaget af antracykliner ledsages af en permanent reduktion i QRS</w:t>
      </w:r>
      <w:r w:rsidRPr="00126A5E">
        <w:rPr>
          <w:sz w:val="24"/>
          <w:szCs w:val="24"/>
        </w:rPr>
        <w:noBreakHyphen/>
        <w:t>spænding, en forlængelse ud over normalgrænserne for det systoliske tidsinterval (PEP/LVET) og en reduktion i uddrivningsfraktionen.</w:t>
      </w:r>
    </w:p>
    <w:p w14:paraId="73BB4942" w14:textId="77777777" w:rsidR="00126A5E" w:rsidRPr="00126A5E" w:rsidRDefault="00126A5E" w:rsidP="00126A5E">
      <w:pPr>
        <w:tabs>
          <w:tab w:val="left" w:pos="851"/>
        </w:tabs>
        <w:ind w:left="851"/>
        <w:rPr>
          <w:sz w:val="24"/>
          <w:szCs w:val="24"/>
        </w:rPr>
      </w:pPr>
      <w:r w:rsidRPr="00126A5E">
        <w:rPr>
          <w:sz w:val="24"/>
          <w:szCs w:val="24"/>
        </w:rPr>
        <w:t>Der anbefales konventionel behandling, hvis der er kliniske tegn på hjertedekompensation.</w:t>
      </w:r>
    </w:p>
    <w:p w14:paraId="72F64E34" w14:textId="77777777" w:rsidR="00126A5E" w:rsidRPr="00126A5E" w:rsidRDefault="00126A5E" w:rsidP="00126A5E">
      <w:pPr>
        <w:tabs>
          <w:tab w:val="left" w:pos="851"/>
        </w:tabs>
        <w:ind w:left="851"/>
        <w:rPr>
          <w:sz w:val="24"/>
          <w:szCs w:val="24"/>
        </w:rPr>
      </w:pPr>
    </w:p>
    <w:p w14:paraId="6E230A03" w14:textId="77777777" w:rsidR="00126A5E" w:rsidRPr="00126A5E" w:rsidRDefault="00126A5E" w:rsidP="00126A5E">
      <w:pPr>
        <w:tabs>
          <w:tab w:val="left" w:pos="851"/>
        </w:tabs>
        <w:ind w:left="851"/>
        <w:rPr>
          <w:sz w:val="24"/>
          <w:szCs w:val="24"/>
        </w:rPr>
      </w:pPr>
      <w:r w:rsidRPr="00126A5E">
        <w:rPr>
          <w:sz w:val="24"/>
          <w:szCs w:val="24"/>
        </w:rPr>
        <w:t>Risikofaktorer for kardiotoksicitet omfatter aktiv eller latent kardiovaskulær sygdom, arteriel hypertension, tidligere eller samtidig mediastinal/perikardiel strålebehandling, tidligere behandling med andre antracykliner eller antracenedioner og samtidig brug af lægemidler med hæmmende virkning på hjertekontraktiliteten eller kardiotoksiske lægemidler (f.eks. trastuzumab). Antracykliner, herunder daunorubicin, bør ikke administreres i kombination med andre kardiotoksiske lægemidler, medmindre patientens hjertefunktion overvåges nøje. Patienter, der får antracykliner efter behandling med andre kardiotoksiske midler, især dem med lange halveringstider såsom trastuzumab (variabel halveringstid; udvaskningsperiode på op til 7 måneder), kan også have en øget risiko for udvikling af kardiotoksicitet. Under sådanne omstændigheder bør en total kumulativ dosis på 400 mg/m</w:t>
      </w:r>
      <w:r w:rsidRPr="00126A5E">
        <w:rPr>
          <w:sz w:val="24"/>
          <w:szCs w:val="24"/>
          <w:vertAlign w:val="superscript"/>
        </w:rPr>
        <w:t>2</w:t>
      </w:r>
      <w:r w:rsidRPr="00126A5E">
        <w:rPr>
          <w:sz w:val="24"/>
          <w:szCs w:val="24"/>
        </w:rPr>
        <w:t xml:space="preserve"> hos voksne kun overskrides med yderste forsigtighed.</w:t>
      </w:r>
    </w:p>
    <w:p w14:paraId="51440F4C" w14:textId="77777777" w:rsidR="00126A5E" w:rsidRPr="00126A5E" w:rsidRDefault="00126A5E" w:rsidP="00126A5E">
      <w:pPr>
        <w:tabs>
          <w:tab w:val="left" w:pos="851"/>
        </w:tabs>
        <w:ind w:left="851"/>
        <w:rPr>
          <w:sz w:val="24"/>
          <w:szCs w:val="24"/>
        </w:rPr>
      </w:pPr>
    </w:p>
    <w:p w14:paraId="3B0BBA57" w14:textId="77777777" w:rsidR="00126A5E" w:rsidRPr="00126A5E" w:rsidRDefault="00126A5E" w:rsidP="00126A5E">
      <w:pPr>
        <w:tabs>
          <w:tab w:val="left" w:pos="851"/>
        </w:tabs>
        <w:ind w:left="851"/>
        <w:rPr>
          <w:sz w:val="24"/>
          <w:szCs w:val="24"/>
        </w:rPr>
      </w:pPr>
      <w:r w:rsidRPr="00126A5E">
        <w:rPr>
          <w:sz w:val="24"/>
          <w:szCs w:val="24"/>
        </w:rPr>
        <w:t>Forsigtighed tilrådes hos patienter med hypokaliæmi, da dette kan øge risikoen for akut kardiotoksicitet fra daunorubicin. Der er også risiko for hyperkaliæmi på grund af tumorlyse efter påbegyndelse af behandling med daunorubicin.</w:t>
      </w:r>
    </w:p>
    <w:p w14:paraId="4BF86C61" w14:textId="77777777" w:rsidR="00126A5E" w:rsidRPr="00126A5E" w:rsidRDefault="00126A5E" w:rsidP="00126A5E">
      <w:pPr>
        <w:tabs>
          <w:tab w:val="left" w:pos="851"/>
        </w:tabs>
        <w:ind w:left="851"/>
        <w:rPr>
          <w:sz w:val="24"/>
          <w:szCs w:val="24"/>
        </w:rPr>
      </w:pPr>
    </w:p>
    <w:p w14:paraId="146297BD" w14:textId="77777777" w:rsidR="00126A5E" w:rsidRPr="00126A5E" w:rsidRDefault="00126A5E" w:rsidP="00126A5E">
      <w:pPr>
        <w:tabs>
          <w:tab w:val="left" w:pos="851"/>
        </w:tabs>
        <w:ind w:left="851"/>
        <w:rPr>
          <w:sz w:val="24"/>
          <w:szCs w:val="24"/>
        </w:rPr>
      </w:pPr>
      <w:r w:rsidRPr="00126A5E">
        <w:rPr>
          <w:sz w:val="24"/>
          <w:szCs w:val="24"/>
        </w:rPr>
        <w:t>Ældre patienter, børn og patienter med hjertesygdom eller manifest arteriel hypertension og thorakal bestråling i anamnesen har en højere risiko.</w:t>
      </w:r>
    </w:p>
    <w:p w14:paraId="2563E09D" w14:textId="77777777" w:rsidR="00126A5E" w:rsidRPr="00126A5E" w:rsidRDefault="00126A5E" w:rsidP="00126A5E">
      <w:pPr>
        <w:tabs>
          <w:tab w:val="left" w:pos="851"/>
        </w:tabs>
        <w:ind w:left="851"/>
        <w:rPr>
          <w:sz w:val="24"/>
          <w:szCs w:val="24"/>
        </w:rPr>
      </w:pPr>
      <w:r w:rsidRPr="00126A5E">
        <w:rPr>
          <w:sz w:val="24"/>
          <w:szCs w:val="24"/>
        </w:rPr>
        <w:t>Under disse omstændigheder bør den totale kumulative dosis på 400 mg daunorubicin/m</w:t>
      </w:r>
      <w:r w:rsidRPr="00126A5E">
        <w:rPr>
          <w:sz w:val="24"/>
          <w:szCs w:val="24"/>
          <w:vertAlign w:val="superscript"/>
        </w:rPr>
        <w:t>2</w:t>
      </w:r>
      <w:r w:rsidRPr="00126A5E">
        <w:rPr>
          <w:sz w:val="24"/>
          <w:szCs w:val="24"/>
        </w:rPr>
        <w:t xml:space="preserve"> ikke overskrides hos voksne. Risikoen for kongestiv hjertesvigt øges betydeligt, når den totale kumulative dosis overstiger 300 mg daunorubicin/m</w:t>
      </w:r>
      <w:r w:rsidRPr="00126A5E">
        <w:rPr>
          <w:sz w:val="24"/>
          <w:szCs w:val="24"/>
          <w:vertAlign w:val="superscript"/>
        </w:rPr>
        <w:t>2</w:t>
      </w:r>
      <w:r w:rsidRPr="00126A5E">
        <w:rPr>
          <w:sz w:val="24"/>
          <w:szCs w:val="24"/>
        </w:rPr>
        <w:t xml:space="preserve"> hos børn i alderen 2 år og derover eller 10 mg daunorubicin/kg kropsvægt hos børn under 2 år (se pkt. 4.8). Dosis bør justeres, hvis der tidligere er anvendt eller samtidig anvendes behandling med kardiotoksiske lægemidler. På grund af en øget risiko for myokardielle skader hos børn og unge anbefales længerevarende kardiologisk overvågning i disse tilfælde.</w:t>
      </w:r>
    </w:p>
    <w:p w14:paraId="03ACAE4C" w14:textId="77777777" w:rsidR="00126A5E" w:rsidRPr="00126A5E" w:rsidRDefault="00126A5E" w:rsidP="00126A5E">
      <w:pPr>
        <w:tabs>
          <w:tab w:val="left" w:pos="851"/>
        </w:tabs>
        <w:ind w:left="851"/>
        <w:rPr>
          <w:sz w:val="24"/>
          <w:szCs w:val="24"/>
        </w:rPr>
      </w:pPr>
    </w:p>
    <w:p w14:paraId="12A7431F" w14:textId="77777777" w:rsidR="00126A5E" w:rsidRPr="00126A5E" w:rsidRDefault="00126A5E" w:rsidP="00126A5E">
      <w:pPr>
        <w:tabs>
          <w:tab w:val="left" w:pos="851"/>
        </w:tabs>
        <w:ind w:left="851"/>
        <w:rPr>
          <w:sz w:val="24"/>
          <w:szCs w:val="24"/>
        </w:rPr>
      </w:pPr>
      <w:r w:rsidRPr="00126A5E">
        <w:rPr>
          <w:sz w:val="24"/>
          <w:szCs w:val="24"/>
        </w:rPr>
        <w:t>Adskillige langtidsstudier hos børn tyder også på, at der efter behandling med et antracyklin kan forekomme kongestive kardiomyopatier med lang latenstid og progressivt forløb.</w:t>
      </w:r>
    </w:p>
    <w:p w14:paraId="35C6C7DE" w14:textId="77777777" w:rsidR="00126A5E" w:rsidRPr="00126A5E" w:rsidRDefault="00126A5E" w:rsidP="00126A5E">
      <w:pPr>
        <w:tabs>
          <w:tab w:val="left" w:pos="851"/>
        </w:tabs>
        <w:ind w:left="851"/>
        <w:rPr>
          <w:sz w:val="24"/>
          <w:szCs w:val="24"/>
        </w:rPr>
      </w:pPr>
    </w:p>
    <w:p w14:paraId="25EE4DB1" w14:textId="77777777" w:rsidR="00126A5E" w:rsidRPr="00126A5E" w:rsidRDefault="00126A5E" w:rsidP="00126A5E">
      <w:pPr>
        <w:tabs>
          <w:tab w:val="left" w:pos="851"/>
        </w:tabs>
        <w:ind w:left="851"/>
        <w:rPr>
          <w:sz w:val="24"/>
          <w:szCs w:val="24"/>
        </w:rPr>
      </w:pPr>
      <w:r w:rsidRPr="00126A5E">
        <w:rPr>
          <w:sz w:val="24"/>
          <w:szCs w:val="24"/>
        </w:rPr>
        <w:t>Sammenlignet med voksne vil lavere kumulative totaldoser hos børn sandsynligvis føre til klinisk relevant hjertesvigt. En publikation af Steinherz et al. (JAMA, 25. september 1991 – vol. 266, nr. 12) beskriver de langsigtede kardiotoksiske bivirkninger af doxorubicin og daunorubicin hos 201 behandlede børn. Patienterne fik en kumulativ total dosis af doxorubicin og/eller daunorubicin på 200 til 1.275 mg/m</w:t>
      </w:r>
      <w:r w:rsidRPr="00126A5E">
        <w:rPr>
          <w:sz w:val="24"/>
          <w:szCs w:val="24"/>
          <w:vertAlign w:val="superscript"/>
        </w:rPr>
        <w:t>2</w:t>
      </w:r>
      <w:r w:rsidRPr="00126A5E">
        <w:rPr>
          <w:sz w:val="24"/>
          <w:szCs w:val="24"/>
        </w:rPr>
        <w:t xml:space="preserve"> (median 450 mg/m</w:t>
      </w:r>
      <w:r w:rsidRPr="00126A5E">
        <w:rPr>
          <w:sz w:val="24"/>
          <w:szCs w:val="24"/>
          <w:vertAlign w:val="superscript"/>
        </w:rPr>
        <w:t>2</w:t>
      </w:r>
      <w:r w:rsidRPr="00126A5E">
        <w:rPr>
          <w:sz w:val="24"/>
          <w:szCs w:val="24"/>
        </w:rPr>
        <w:t>); nogle af patienterne modtog også mediastinal bestråling. Behandlingen fandt sted for 4 til 20 år siden (median 7 år). Det blev antaget, at doxorubicins kardiotoksicitet ville være sammenlignelig med daunorubicins. Nedsat hjertepumpefunktion sås, hvis afkortningsfraktionen i ekkokardiogrammet var &lt; 29 %, uddrivningsfraktionen i radionuklid-ventrikulogrammet var &lt; 50 %, eller der blev observeret et fald i forbindelse med fysisk træning. Forekomsten af nedsat hjertefunktion var 11 %, når den kumulative antracyklin-dosis var mindre end 400 mg/m</w:t>
      </w:r>
      <w:r w:rsidRPr="00126A5E">
        <w:rPr>
          <w:sz w:val="24"/>
          <w:szCs w:val="24"/>
          <w:vertAlign w:val="superscript"/>
        </w:rPr>
        <w:t>2</w:t>
      </w:r>
      <w:r w:rsidRPr="00126A5E">
        <w:rPr>
          <w:sz w:val="24"/>
          <w:szCs w:val="24"/>
        </w:rPr>
        <w:t>, 28 %, hvis dosis var mellem 400 og 599 mg/m</w:t>
      </w:r>
      <w:r w:rsidRPr="00126A5E">
        <w:rPr>
          <w:sz w:val="24"/>
          <w:szCs w:val="24"/>
          <w:vertAlign w:val="superscript"/>
        </w:rPr>
        <w:t>2</w:t>
      </w:r>
      <w:r w:rsidRPr="00126A5E">
        <w:rPr>
          <w:sz w:val="24"/>
          <w:szCs w:val="24"/>
        </w:rPr>
        <w:t>, 47 %, hvis dosis var mellem 600 og 799 mg/m</w:t>
      </w:r>
      <w:r w:rsidRPr="00126A5E">
        <w:rPr>
          <w:sz w:val="24"/>
          <w:szCs w:val="24"/>
          <w:vertAlign w:val="superscript"/>
        </w:rPr>
        <w:t>2</w:t>
      </w:r>
      <w:r w:rsidRPr="00126A5E">
        <w:rPr>
          <w:sz w:val="24"/>
          <w:szCs w:val="24"/>
        </w:rPr>
        <w:t xml:space="preserve">, og 100 % hos 7 patienter, der </w:t>
      </w:r>
      <w:r w:rsidRPr="00126A5E">
        <w:rPr>
          <w:sz w:val="24"/>
          <w:szCs w:val="24"/>
        </w:rPr>
        <w:lastRenderedPageBreak/>
        <w:t>fik mere end 800 mg/m</w:t>
      </w:r>
      <w:r w:rsidRPr="00126A5E">
        <w:rPr>
          <w:sz w:val="24"/>
          <w:szCs w:val="24"/>
          <w:vertAlign w:val="superscript"/>
        </w:rPr>
        <w:t>2</w:t>
      </w:r>
      <w:r w:rsidRPr="00126A5E">
        <w:rPr>
          <w:sz w:val="24"/>
          <w:szCs w:val="24"/>
        </w:rPr>
        <w:t>. Yderligere bestråling øgede forekomsten af hjertedysfunktion ved hvert dosistrin. 9 ud af de 201 undersøgte patienter oplevede desuden kardielle symptomer i form af hjerteinsufficiens, ledningsforstyrrelser og arytmier. Hos 4 ud af de 9 berørte patienter forekom disse symptomer for første gang 12 til 18 år efter afslutningen af kemoterapi.</w:t>
      </w:r>
    </w:p>
    <w:p w14:paraId="42274210" w14:textId="77777777" w:rsidR="00126A5E" w:rsidRPr="00126A5E" w:rsidRDefault="00126A5E" w:rsidP="00126A5E">
      <w:pPr>
        <w:tabs>
          <w:tab w:val="left" w:pos="851"/>
        </w:tabs>
        <w:ind w:left="851"/>
        <w:rPr>
          <w:sz w:val="24"/>
          <w:szCs w:val="24"/>
        </w:rPr>
      </w:pPr>
    </w:p>
    <w:p w14:paraId="771E3394" w14:textId="77777777" w:rsidR="00126A5E" w:rsidRPr="00126A5E" w:rsidRDefault="00126A5E" w:rsidP="00126A5E">
      <w:pPr>
        <w:tabs>
          <w:tab w:val="left" w:pos="851"/>
        </w:tabs>
        <w:ind w:left="851"/>
        <w:rPr>
          <w:sz w:val="24"/>
          <w:szCs w:val="24"/>
          <w:u w:val="single"/>
        </w:rPr>
      </w:pPr>
      <w:r w:rsidRPr="00126A5E">
        <w:rPr>
          <w:sz w:val="24"/>
          <w:szCs w:val="24"/>
          <w:u w:val="single"/>
        </w:rPr>
        <w:t>Lever</w:t>
      </w:r>
      <w:r w:rsidRPr="00126A5E">
        <w:rPr>
          <w:sz w:val="24"/>
          <w:szCs w:val="24"/>
          <w:u w:val="single"/>
        </w:rPr>
        <w:noBreakHyphen/>
        <w:t xml:space="preserve"> og nyrefunktion</w:t>
      </w:r>
    </w:p>
    <w:p w14:paraId="5CADB7D0" w14:textId="77777777" w:rsidR="00126A5E" w:rsidRPr="00126A5E" w:rsidRDefault="00126A5E" w:rsidP="00126A5E">
      <w:pPr>
        <w:tabs>
          <w:tab w:val="left" w:pos="851"/>
        </w:tabs>
        <w:ind w:left="851"/>
        <w:rPr>
          <w:sz w:val="24"/>
          <w:szCs w:val="24"/>
        </w:rPr>
      </w:pPr>
      <w:r w:rsidRPr="00126A5E">
        <w:rPr>
          <w:sz w:val="24"/>
          <w:szCs w:val="24"/>
        </w:rPr>
        <w:t>Daunorubicinhydrochlorid metaboliseres hovedsageligt i leveren og udskilles via galden. For at undgå komplikationer anbefales det at kontrollere leverfunktionen, før behandling med daunorubicin påbegyndes. Hvis leverfunktionen er nedsat, bør dosis reduceres baseret på serumbilirubinniveauet, da lægemidlets toksiske virkninger kan være forøgede hos denne population.</w:t>
      </w:r>
    </w:p>
    <w:p w14:paraId="0F719AEE" w14:textId="77777777" w:rsidR="00126A5E" w:rsidRPr="00126A5E" w:rsidRDefault="00126A5E" w:rsidP="00126A5E">
      <w:pPr>
        <w:tabs>
          <w:tab w:val="left" w:pos="851"/>
        </w:tabs>
        <w:ind w:left="851"/>
        <w:rPr>
          <w:sz w:val="24"/>
          <w:szCs w:val="24"/>
        </w:rPr>
      </w:pPr>
    </w:p>
    <w:p w14:paraId="14515350" w14:textId="77777777" w:rsidR="00126A5E" w:rsidRPr="00126A5E" w:rsidRDefault="00126A5E" w:rsidP="00126A5E">
      <w:pPr>
        <w:tabs>
          <w:tab w:val="left" w:pos="851"/>
        </w:tabs>
        <w:ind w:left="851"/>
        <w:rPr>
          <w:sz w:val="24"/>
          <w:szCs w:val="24"/>
        </w:rPr>
      </w:pPr>
      <w:r w:rsidRPr="00126A5E">
        <w:rPr>
          <w:sz w:val="24"/>
          <w:szCs w:val="24"/>
        </w:rPr>
        <w:t>Nedsat nyrefunktion kan også medføre en forøget toksicitet. Nyrefunktionen bør derfor overvåges, før behandlingen påbegyndes.</w:t>
      </w:r>
    </w:p>
    <w:p w14:paraId="0EF5D60B" w14:textId="77777777" w:rsidR="00126A5E" w:rsidRPr="00126A5E" w:rsidRDefault="00126A5E" w:rsidP="00126A5E">
      <w:pPr>
        <w:tabs>
          <w:tab w:val="left" w:pos="851"/>
        </w:tabs>
        <w:ind w:left="851"/>
        <w:rPr>
          <w:sz w:val="24"/>
          <w:szCs w:val="24"/>
        </w:rPr>
      </w:pPr>
    </w:p>
    <w:p w14:paraId="08211D65" w14:textId="77777777" w:rsidR="00126A5E" w:rsidRPr="00126A5E" w:rsidRDefault="00126A5E" w:rsidP="00126A5E">
      <w:pPr>
        <w:tabs>
          <w:tab w:val="left" w:pos="851"/>
        </w:tabs>
        <w:ind w:left="851"/>
        <w:rPr>
          <w:sz w:val="24"/>
          <w:szCs w:val="24"/>
        </w:rPr>
      </w:pPr>
      <w:r w:rsidRPr="00126A5E">
        <w:rPr>
          <w:sz w:val="24"/>
          <w:szCs w:val="24"/>
        </w:rPr>
        <w:t>Hyperurikæmi og urinsyre-nefropati kan forekomme som følge af et stor antal døde leukæmiceller (tumorlysesyndrom) med mulig nedsat nyrefunktion, især ved tilstedeværelse af et forhøjet antal hvide blodlegemer før behandling. Sværhedsgraden af dette afhænger af hele tumorens størrelse. Af ovenstående årsager er profylaktisk administration af allopurinol nødvendig i behandlingen af akut leukæmi (første cyklus) for at forhindre skade på tubuli og nyresvigt. Der kan forekomme nefrotisk syndrom.</w:t>
      </w:r>
    </w:p>
    <w:p w14:paraId="79716469" w14:textId="77777777" w:rsidR="00126A5E" w:rsidRPr="00126A5E" w:rsidRDefault="00126A5E" w:rsidP="00126A5E">
      <w:pPr>
        <w:tabs>
          <w:tab w:val="left" w:pos="851"/>
        </w:tabs>
        <w:ind w:left="851"/>
        <w:rPr>
          <w:sz w:val="24"/>
          <w:szCs w:val="24"/>
        </w:rPr>
      </w:pPr>
      <w:r w:rsidRPr="00126A5E">
        <w:rPr>
          <w:sz w:val="24"/>
          <w:szCs w:val="24"/>
        </w:rPr>
        <w:t>Blodniveauer af urinsyre, kalium, calciumfosfat og kreatinin bør vurderes efter initial behandling. Risikoen for hyperurikæmi kan nedsættes ved at sikre rigelig væskeadministration og ved at give allopurinol. Hydrering, alkalinisering af urinen og profylakse med allopurinol for at forhindre hyperurikæmi kan mindske potentielle komplikationer ved tumorlysesyndrom.</w:t>
      </w:r>
    </w:p>
    <w:p w14:paraId="0E25FD3E" w14:textId="77777777" w:rsidR="00126A5E" w:rsidRPr="00126A5E" w:rsidRDefault="00126A5E" w:rsidP="00126A5E">
      <w:pPr>
        <w:tabs>
          <w:tab w:val="left" w:pos="851"/>
        </w:tabs>
        <w:ind w:left="851"/>
        <w:rPr>
          <w:sz w:val="24"/>
          <w:szCs w:val="24"/>
        </w:rPr>
      </w:pPr>
    </w:p>
    <w:p w14:paraId="6270F8FB" w14:textId="77777777" w:rsidR="00126A5E" w:rsidRPr="00126A5E" w:rsidRDefault="00126A5E" w:rsidP="00126A5E">
      <w:pPr>
        <w:tabs>
          <w:tab w:val="left" w:pos="851"/>
        </w:tabs>
        <w:ind w:left="851"/>
        <w:rPr>
          <w:sz w:val="24"/>
          <w:szCs w:val="24"/>
          <w:u w:val="single"/>
        </w:rPr>
      </w:pPr>
      <w:r w:rsidRPr="00126A5E">
        <w:rPr>
          <w:sz w:val="24"/>
          <w:szCs w:val="24"/>
          <w:u w:val="single"/>
        </w:rPr>
        <w:t>Immunsupprimerende virkning/øget modtagelighed for infektioner</w:t>
      </w:r>
    </w:p>
    <w:p w14:paraId="230C9DA3" w14:textId="77777777" w:rsidR="00126A5E" w:rsidRPr="00126A5E" w:rsidRDefault="00126A5E" w:rsidP="00126A5E">
      <w:pPr>
        <w:tabs>
          <w:tab w:val="left" w:pos="851"/>
        </w:tabs>
        <w:ind w:left="851"/>
        <w:rPr>
          <w:sz w:val="24"/>
          <w:szCs w:val="24"/>
        </w:rPr>
      </w:pPr>
      <w:r w:rsidRPr="00126A5E">
        <w:rPr>
          <w:sz w:val="24"/>
          <w:szCs w:val="24"/>
        </w:rPr>
        <w:t>Administration af levende eller levende svækkede vacciner til patienter, hvis immunforsvar er blevet kompromitteret af kemoterapeutika, herunder daunorubicin, kan medføre alvorlige eller dødelige infektioner. Vaccination med levende vacciner, såsom vaccine mod gul feber, bør undgås hos patienter, der får daunorubicin. Døde eller inaktiverede vaccines kan administreres. Responset på sådanne vacciner kan dog være nedsat.</w:t>
      </w:r>
    </w:p>
    <w:p w14:paraId="360831A2" w14:textId="77777777" w:rsidR="00126A5E" w:rsidRPr="00126A5E" w:rsidRDefault="00126A5E" w:rsidP="00126A5E">
      <w:pPr>
        <w:tabs>
          <w:tab w:val="left" w:pos="851"/>
        </w:tabs>
        <w:ind w:left="851"/>
        <w:rPr>
          <w:sz w:val="24"/>
          <w:szCs w:val="24"/>
        </w:rPr>
      </w:pPr>
    </w:p>
    <w:p w14:paraId="7364EF43" w14:textId="77777777" w:rsidR="00126A5E" w:rsidRPr="00126A5E" w:rsidRDefault="00126A5E" w:rsidP="00126A5E">
      <w:pPr>
        <w:tabs>
          <w:tab w:val="left" w:pos="851"/>
        </w:tabs>
        <w:ind w:left="851"/>
        <w:rPr>
          <w:sz w:val="24"/>
          <w:szCs w:val="24"/>
          <w:u w:val="single"/>
        </w:rPr>
      </w:pPr>
      <w:r w:rsidRPr="00126A5E">
        <w:rPr>
          <w:sz w:val="24"/>
          <w:szCs w:val="24"/>
          <w:u w:val="single"/>
        </w:rPr>
        <w:t>Nervesystemet</w:t>
      </w:r>
    </w:p>
    <w:p w14:paraId="023BCE43" w14:textId="77777777" w:rsidR="00126A5E" w:rsidRPr="00126A5E" w:rsidRDefault="00126A5E" w:rsidP="00126A5E">
      <w:pPr>
        <w:tabs>
          <w:tab w:val="left" w:pos="851"/>
        </w:tabs>
        <w:ind w:left="851"/>
        <w:rPr>
          <w:sz w:val="24"/>
          <w:szCs w:val="24"/>
        </w:rPr>
      </w:pPr>
      <w:r w:rsidRPr="00126A5E">
        <w:rPr>
          <w:sz w:val="24"/>
          <w:szCs w:val="24"/>
        </w:rPr>
        <w:t>Posterior reversibel encefalopatisyndrom (PRES), også kendt som reversibelt posterior leukoencefalopatisyndrom (RPLS): Der er blevet rapporteret tilfælde af PRES, når daunorubicin er blevet anvendt i kombinationskemoterapi. PRES er en neurologisk lidelse, der kan manifestere sig som hovedpine, krampeanfald, letargi, konfusion, blindhed og andre visuelle og neurologiske forstyrrelser. Der kan være tilstedeværelse af let til svær hypertension. En MR</w:t>
      </w:r>
      <w:r w:rsidRPr="00126A5E">
        <w:rPr>
          <w:sz w:val="24"/>
          <w:szCs w:val="24"/>
        </w:rPr>
        <w:noBreakHyphen/>
        <w:t>scanning er nødvendig for at bekræfte diagnosen PRES. Det bør overvejes at seponere behandlingen med daunorubicin hos patienter med PRES (se pkt. 4.8).</w:t>
      </w:r>
    </w:p>
    <w:p w14:paraId="4B6489A0" w14:textId="77777777" w:rsidR="00126A5E" w:rsidRPr="00126A5E" w:rsidRDefault="00126A5E" w:rsidP="00126A5E">
      <w:pPr>
        <w:tabs>
          <w:tab w:val="left" w:pos="851"/>
        </w:tabs>
        <w:ind w:left="851"/>
        <w:rPr>
          <w:sz w:val="24"/>
          <w:szCs w:val="24"/>
        </w:rPr>
      </w:pPr>
    </w:p>
    <w:p w14:paraId="6B009C30" w14:textId="77777777" w:rsidR="00126A5E" w:rsidRPr="00126A5E" w:rsidRDefault="00126A5E" w:rsidP="00126A5E">
      <w:pPr>
        <w:tabs>
          <w:tab w:val="left" w:pos="851"/>
        </w:tabs>
        <w:ind w:left="851"/>
        <w:rPr>
          <w:sz w:val="24"/>
          <w:szCs w:val="24"/>
          <w:u w:val="single"/>
        </w:rPr>
      </w:pPr>
      <w:r w:rsidRPr="00126A5E">
        <w:rPr>
          <w:sz w:val="24"/>
          <w:szCs w:val="24"/>
          <w:u w:val="single"/>
        </w:rPr>
        <w:t>Mave-tarm-kanalen</w:t>
      </w:r>
    </w:p>
    <w:p w14:paraId="1174BED9" w14:textId="77777777" w:rsidR="00126A5E" w:rsidRPr="00126A5E" w:rsidRDefault="00126A5E" w:rsidP="00126A5E">
      <w:pPr>
        <w:tabs>
          <w:tab w:val="left" w:pos="851"/>
        </w:tabs>
        <w:ind w:left="851"/>
        <w:rPr>
          <w:sz w:val="24"/>
          <w:szCs w:val="24"/>
        </w:rPr>
      </w:pPr>
      <w:r w:rsidRPr="00126A5E">
        <w:rPr>
          <w:sz w:val="24"/>
          <w:szCs w:val="24"/>
        </w:rPr>
        <w:t xml:space="preserve">Kvalme, opkastning og mucositis er ofte særligt svær og kan forårsage dehydrering. Kvalme og opkastning kan forebygges eller lindres ved administration af en passende antiemetisk behandling. Mucositis (hovedsageligt stomatitis, sjældnere øsofagitis) kan forekomme hos patienter, der er i behandling med daunorubicin. Mucositis/stomatitis opstår normalt kort tid efter administration af lægemidlet. I svære tilfælde kan det udvikle </w:t>
      </w:r>
      <w:r w:rsidRPr="00126A5E">
        <w:rPr>
          <w:sz w:val="24"/>
          <w:szCs w:val="24"/>
        </w:rPr>
        <w:lastRenderedPageBreak/>
        <w:t>sig til ulceration på slimhinden i løbet af flere dage. De fleste patienter oplever bedring af denne bivirkning omkring tredje behandlingsuge. Der er blevet observeret tilfælde af colitis, enterocolitis og neutropenisk enterocolitis (tyflitis) hos patienter, som har fået behandling med daunorubicin. Det anbefales at seponere behandlingen og omgående iværksætte passende medicinske tiltag.</w:t>
      </w:r>
    </w:p>
    <w:p w14:paraId="46CA4367" w14:textId="77777777" w:rsidR="00126A5E" w:rsidRPr="00126A5E" w:rsidRDefault="00126A5E" w:rsidP="00126A5E">
      <w:pPr>
        <w:tabs>
          <w:tab w:val="left" w:pos="851"/>
        </w:tabs>
        <w:ind w:left="851"/>
        <w:rPr>
          <w:sz w:val="24"/>
          <w:szCs w:val="24"/>
        </w:rPr>
      </w:pPr>
    </w:p>
    <w:p w14:paraId="5888A593" w14:textId="77777777" w:rsidR="00126A5E" w:rsidRPr="00126A5E" w:rsidRDefault="00126A5E" w:rsidP="00126A5E">
      <w:pPr>
        <w:tabs>
          <w:tab w:val="left" w:pos="851"/>
        </w:tabs>
        <w:ind w:left="851"/>
        <w:rPr>
          <w:sz w:val="24"/>
          <w:szCs w:val="24"/>
          <w:u w:val="single"/>
        </w:rPr>
      </w:pPr>
      <w:r w:rsidRPr="00126A5E">
        <w:rPr>
          <w:sz w:val="24"/>
          <w:szCs w:val="24"/>
          <w:u w:val="single"/>
        </w:rPr>
        <w:t>Almene symptomer og reaktioner på administrationsstedet/ekstravasation</w:t>
      </w:r>
    </w:p>
    <w:p w14:paraId="0D44EC78" w14:textId="77777777" w:rsidR="00126A5E" w:rsidRPr="00126A5E" w:rsidRDefault="00126A5E" w:rsidP="00126A5E">
      <w:pPr>
        <w:tabs>
          <w:tab w:val="left" w:pos="851"/>
        </w:tabs>
        <w:ind w:left="851"/>
        <w:rPr>
          <w:sz w:val="24"/>
          <w:szCs w:val="24"/>
        </w:rPr>
      </w:pPr>
      <w:r w:rsidRPr="00126A5E">
        <w:rPr>
          <w:sz w:val="24"/>
          <w:szCs w:val="24"/>
        </w:rPr>
        <w:t>Efter paravasal administration opstår der lokal irritation og, afhængigt af den administrerede dosis, svær cellulitis, smertefuld ulceration og vævsnekrose. Hvis patienten oplever en brændende fornemmelse omkring infusionskanylen, er der tale om paravenøs administration. I nogle tilfælde kan kirurgisk indgreb være påkrævet. Der kan forekomme irreversibel vævsskade. Der kan også forekomme lokal flebitis, tromboflebitis og/eller venøs sklerose/flebosklerose, særligt hvis daunorubicin administreres i små kar eller gentagne gange i samme vene. Risikoen for flebitis/tromboflebitis kan mindskes ved at følge den anbefalede fremgangsmåde, der er beskrevet i pkt. 4.2. Brug af katetre eller implanterede porte nedsætter risikoen for ekstravasation.</w:t>
      </w:r>
    </w:p>
    <w:p w14:paraId="283078EF" w14:textId="77777777" w:rsidR="00126A5E" w:rsidRPr="00126A5E" w:rsidRDefault="00126A5E" w:rsidP="00126A5E">
      <w:pPr>
        <w:tabs>
          <w:tab w:val="left" w:pos="851"/>
        </w:tabs>
        <w:ind w:left="851"/>
        <w:rPr>
          <w:sz w:val="24"/>
          <w:szCs w:val="24"/>
        </w:rPr>
      </w:pPr>
    </w:p>
    <w:p w14:paraId="669C2B49" w14:textId="77777777" w:rsidR="00126A5E" w:rsidRPr="00126A5E" w:rsidRDefault="00126A5E" w:rsidP="00126A5E">
      <w:pPr>
        <w:tabs>
          <w:tab w:val="left" w:pos="851"/>
        </w:tabs>
        <w:ind w:left="851"/>
        <w:rPr>
          <w:sz w:val="24"/>
          <w:szCs w:val="24"/>
        </w:rPr>
      </w:pPr>
      <w:r w:rsidRPr="00126A5E">
        <w:rPr>
          <w:sz w:val="24"/>
          <w:szCs w:val="24"/>
        </w:rPr>
        <w:t>I tilfælde af ekstravasation skal administrationen omgående stoppes. Kanylen skal blive siddende et øjeblik og derefter fjernes efter kortvarig aspiration. Det anbefales at påføre dimethylsulfoxid 99 % (DMSO 99 %) på et område, der er dobbelt så stort som det berørte område (4 dråber pr. 10 cm</w:t>
      </w:r>
      <w:r w:rsidRPr="00126A5E">
        <w:rPr>
          <w:sz w:val="24"/>
          <w:szCs w:val="24"/>
          <w:vertAlign w:val="superscript"/>
        </w:rPr>
        <w:t>2</w:t>
      </w:r>
      <w:r w:rsidRPr="00126A5E">
        <w:rPr>
          <w:sz w:val="24"/>
          <w:szCs w:val="24"/>
        </w:rPr>
        <w:t xml:space="preserve"> hudareal) 3 gange dagligt i en periode på mindst 14 dage. Der bør om nødvendigt også overvejes debridering. På grund af den antagonistiske mekanisme (vasokonstriktion </w:t>
      </w:r>
      <w:r w:rsidRPr="00126A5E">
        <w:rPr>
          <w:i/>
          <w:iCs/>
          <w:sz w:val="24"/>
          <w:szCs w:val="24"/>
        </w:rPr>
        <w:t>versus</w:t>
      </w:r>
      <w:r w:rsidRPr="00126A5E">
        <w:rPr>
          <w:sz w:val="24"/>
          <w:szCs w:val="24"/>
        </w:rPr>
        <w:t xml:space="preserve"> vasodilatation) bør afkøling af området, f.eks. for at lindre smerter, veksles med påføring af DMSO. Andre tiltag nævnt i litteraturen er kontroversielle og af tvivlsom værdi.</w:t>
      </w:r>
    </w:p>
    <w:p w14:paraId="10356DC8" w14:textId="77777777" w:rsidR="00126A5E" w:rsidRPr="00126A5E" w:rsidRDefault="00126A5E" w:rsidP="00126A5E">
      <w:pPr>
        <w:tabs>
          <w:tab w:val="left" w:pos="851"/>
        </w:tabs>
        <w:ind w:left="851"/>
        <w:rPr>
          <w:sz w:val="24"/>
          <w:szCs w:val="24"/>
        </w:rPr>
      </w:pPr>
    </w:p>
    <w:p w14:paraId="6CC15876" w14:textId="77777777" w:rsidR="00126A5E" w:rsidRPr="00126A5E" w:rsidRDefault="00126A5E" w:rsidP="00126A5E">
      <w:pPr>
        <w:tabs>
          <w:tab w:val="left" w:pos="851"/>
        </w:tabs>
        <w:ind w:left="851"/>
        <w:rPr>
          <w:sz w:val="24"/>
          <w:szCs w:val="24"/>
          <w:u w:val="single"/>
        </w:rPr>
      </w:pPr>
      <w:r w:rsidRPr="00126A5E">
        <w:rPr>
          <w:sz w:val="24"/>
          <w:szCs w:val="24"/>
          <w:u w:val="single"/>
        </w:rPr>
        <w:t>Hud og subkutane væv</w:t>
      </w:r>
    </w:p>
    <w:p w14:paraId="506B99A8" w14:textId="77777777" w:rsidR="00126A5E" w:rsidRPr="00126A5E" w:rsidRDefault="00126A5E" w:rsidP="00126A5E">
      <w:pPr>
        <w:tabs>
          <w:tab w:val="left" w:pos="851"/>
        </w:tabs>
        <w:ind w:left="851"/>
        <w:rPr>
          <w:sz w:val="24"/>
          <w:szCs w:val="24"/>
        </w:rPr>
      </w:pPr>
      <w:r w:rsidRPr="00126A5E">
        <w:rPr>
          <w:sz w:val="24"/>
          <w:szCs w:val="24"/>
        </w:rPr>
        <w:t>Alopeci. Fuldstændig alopeci, der involverer tab af skæg</w:t>
      </w:r>
      <w:r w:rsidRPr="00126A5E">
        <w:rPr>
          <w:sz w:val="24"/>
          <w:szCs w:val="24"/>
        </w:rPr>
        <w:noBreakHyphen/>
        <w:t>, hoved</w:t>
      </w:r>
      <w:r w:rsidRPr="00126A5E">
        <w:rPr>
          <w:sz w:val="24"/>
          <w:szCs w:val="24"/>
        </w:rPr>
        <w:noBreakHyphen/>
        <w:t>, armhule</w:t>
      </w:r>
      <w:r w:rsidRPr="00126A5E">
        <w:rPr>
          <w:sz w:val="24"/>
          <w:szCs w:val="24"/>
        </w:rPr>
        <w:noBreakHyphen/>
        <w:t xml:space="preserve"> og kønshår, forekommer næsten altid, når der gives fuld dosis af daunorubicin. Denne bivirkning kan være til gene for patienterne, men er normalt reversibel. Håret vokser normalt ud igen inden for to til tre måneder efter afslutning af behandlingen.</w:t>
      </w:r>
    </w:p>
    <w:p w14:paraId="4AF2A65C" w14:textId="77777777" w:rsidR="00126A5E" w:rsidRPr="00126A5E" w:rsidRDefault="00126A5E" w:rsidP="00126A5E">
      <w:pPr>
        <w:tabs>
          <w:tab w:val="left" w:pos="851"/>
        </w:tabs>
        <w:ind w:left="851"/>
        <w:rPr>
          <w:sz w:val="24"/>
          <w:szCs w:val="24"/>
        </w:rPr>
      </w:pPr>
    </w:p>
    <w:p w14:paraId="59E4F994" w14:textId="77777777" w:rsidR="00126A5E" w:rsidRPr="00126A5E" w:rsidRDefault="00126A5E" w:rsidP="00126A5E">
      <w:pPr>
        <w:tabs>
          <w:tab w:val="left" w:pos="851"/>
        </w:tabs>
        <w:ind w:left="851"/>
        <w:rPr>
          <w:sz w:val="24"/>
          <w:szCs w:val="24"/>
          <w:u w:val="single"/>
        </w:rPr>
      </w:pPr>
      <w:r w:rsidRPr="00126A5E">
        <w:rPr>
          <w:sz w:val="24"/>
          <w:szCs w:val="24"/>
          <w:u w:val="single"/>
        </w:rPr>
        <w:t>Fertilitet</w:t>
      </w:r>
    </w:p>
    <w:p w14:paraId="40477AA8" w14:textId="77777777" w:rsidR="00126A5E" w:rsidRPr="00126A5E" w:rsidRDefault="00126A5E" w:rsidP="00126A5E">
      <w:pPr>
        <w:tabs>
          <w:tab w:val="left" w:pos="851"/>
        </w:tabs>
        <w:ind w:left="851"/>
        <w:rPr>
          <w:sz w:val="24"/>
          <w:szCs w:val="24"/>
        </w:rPr>
      </w:pPr>
      <w:r w:rsidRPr="00126A5E">
        <w:rPr>
          <w:sz w:val="24"/>
          <w:szCs w:val="24"/>
        </w:rPr>
        <w:t>Daunorubicin hæmmer fertiliteten. Der kan forekomme amenoré og azoospermi. Sværhedsgraden af dette afhænger af dosis. Både mænd og kvinder skal anvende kontraception under og efter behandlingen (se pkt. 4.6). Der anbefales genetisk rådgivning hos mandlige og kvindelig patienter, der har til hensigt at få et barn, efter behandlingen er afsluttet. Mandlige patienter bør informeres om muligheden for opbevaring af sæd, før behandling med daunorubicin påbegyndes, på grund af risikoen for irreversibel infertilitet.</w:t>
      </w:r>
    </w:p>
    <w:p w14:paraId="11395B59" w14:textId="77777777" w:rsidR="00126A5E" w:rsidRPr="00126A5E" w:rsidRDefault="00126A5E" w:rsidP="00126A5E">
      <w:pPr>
        <w:tabs>
          <w:tab w:val="left" w:pos="851"/>
        </w:tabs>
        <w:ind w:left="851"/>
        <w:rPr>
          <w:sz w:val="24"/>
          <w:szCs w:val="24"/>
        </w:rPr>
      </w:pPr>
    </w:p>
    <w:p w14:paraId="6072106A" w14:textId="77777777" w:rsidR="00126A5E" w:rsidRPr="00126A5E" w:rsidRDefault="00126A5E" w:rsidP="00126A5E">
      <w:pPr>
        <w:tabs>
          <w:tab w:val="left" w:pos="851"/>
        </w:tabs>
        <w:ind w:left="851"/>
        <w:rPr>
          <w:sz w:val="24"/>
          <w:szCs w:val="24"/>
          <w:u w:val="single"/>
        </w:rPr>
      </w:pPr>
      <w:r w:rsidRPr="00126A5E">
        <w:rPr>
          <w:sz w:val="24"/>
          <w:szCs w:val="24"/>
          <w:u w:val="single"/>
        </w:rPr>
        <w:t>Dette lægemiddel indeholder: natrium</w:t>
      </w:r>
    </w:p>
    <w:p w14:paraId="12EC9D5C" w14:textId="77777777" w:rsidR="00126A5E" w:rsidRPr="00126A5E" w:rsidRDefault="00126A5E" w:rsidP="00126A5E">
      <w:pPr>
        <w:tabs>
          <w:tab w:val="left" w:pos="851"/>
        </w:tabs>
        <w:ind w:left="851"/>
        <w:rPr>
          <w:sz w:val="24"/>
          <w:szCs w:val="24"/>
        </w:rPr>
      </w:pPr>
      <w:r w:rsidRPr="00126A5E">
        <w:rPr>
          <w:sz w:val="24"/>
          <w:szCs w:val="24"/>
        </w:rPr>
        <w:t>Dette lægemiddel indeholder mindre end 1 mmol (23 mg) natrium pr. hætteglas, dvs. det er i det væsentlige natriumfrit.</w:t>
      </w:r>
    </w:p>
    <w:p w14:paraId="5920743A" w14:textId="77777777" w:rsidR="009260DE" w:rsidRPr="00C84483" w:rsidRDefault="009260DE" w:rsidP="009260DE">
      <w:pPr>
        <w:tabs>
          <w:tab w:val="left" w:pos="851"/>
        </w:tabs>
        <w:ind w:left="851"/>
        <w:rPr>
          <w:sz w:val="24"/>
          <w:szCs w:val="24"/>
        </w:rPr>
      </w:pPr>
    </w:p>
    <w:p w14:paraId="4D17B6B4" w14:textId="77777777" w:rsidR="009260DE" w:rsidRPr="00C84483" w:rsidRDefault="009260DE" w:rsidP="009260DE">
      <w:pPr>
        <w:tabs>
          <w:tab w:val="left" w:pos="851"/>
        </w:tabs>
        <w:ind w:left="851" w:hanging="851"/>
        <w:rPr>
          <w:b/>
          <w:sz w:val="24"/>
          <w:szCs w:val="24"/>
        </w:rPr>
      </w:pPr>
      <w:r w:rsidRPr="00C84483">
        <w:rPr>
          <w:b/>
          <w:sz w:val="24"/>
          <w:szCs w:val="24"/>
        </w:rPr>
        <w:t>4.5</w:t>
      </w:r>
      <w:r w:rsidRPr="00C84483">
        <w:rPr>
          <w:b/>
          <w:sz w:val="24"/>
          <w:szCs w:val="24"/>
        </w:rPr>
        <w:tab/>
        <w:t>Interaktion med andre lægemidler og andre former for interaktion</w:t>
      </w:r>
    </w:p>
    <w:p w14:paraId="0601AF77" w14:textId="77777777" w:rsidR="00B9706C" w:rsidRPr="00B9706C" w:rsidRDefault="00B9706C" w:rsidP="00B9706C">
      <w:pPr>
        <w:tabs>
          <w:tab w:val="left" w:pos="851"/>
        </w:tabs>
        <w:ind w:left="851"/>
        <w:rPr>
          <w:sz w:val="24"/>
          <w:szCs w:val="24"/>
        </w:rPr>
      </w:pPr>
      <w:r w:rsidRPr="00B9706C">
        <w:rPr>
          <w:sz w:val="24"/>
          <w:szCs w:val="24"/>
        </w:rPr>
        <w:t>Daunorubicin administreres i de fleste tilfælde som en del af en kombinationsbehandling med andre cytostatika. Samtidig brug af daunorubicin og andre kardiotoksiske midler eller strålebehandling af mediastinum øger daunorubicins kardiotoksicitet. Den samlede kardiotoksicitet, især i forhold til myelosuppression og gastrointestinal toksicitet, kan derfor forstærkes ved forudgående mediastinal bestråling eller anvendelse af andre kardiotoksiske cytostatika, især mitomycin</w:t>
      </w:r>
      <w:r w:rsidRPr="00B9706C">
        <w:rPr>
          <w:sz w:val="24"/>
          <w:szCs w:val="24"/>
        </w:rPr>
        <w:noBreakHyphen/>
        <w:t xml:space="preserve">C, dacarbazin, dactinomycin og </w:t>
      </w:r>
      <w:r w:rsidRPr="00B9706C">
        <w:rPr>
          <w:sz w:val="24"/>
          <w:szCs w:val="24"/>
        </w:rPr>
        <w:lastRenderedPageBreak/>
        <w:t>cyclophosphamid. Derfor er yderst omhyggelig overvågning af hjertefunktionen påkrævet under hele behandlingsforløbet, såvel som ved samtidig administration af andre kardioaktive midler (f.eks. calciumantagonister). Hvis patienterne tidligere er blevet behandlet eller er i behandling med lægemidler, der påvirker knoglemarvsfunktionen (f.eks. cytostatika, sulfonamider, chloramphenicol, diphenylhydantoin, aminopyrinderivater, antiretrovirale midler), bør muligheden for udtalt nedsat hæmopoiese overvejes. Dosis af daunorubicin bør om nødvendigt justeres. Ved kombination med andre cytostatika (f.eks. cytarabin, cyclophosphamid) kan de toksiske virkninger af behandlingen med daunorubicin forstærkes (se pkt. 4.4).</w:t>
      </w:r>
    </w:p>
    <w:p w14:paraId="09B51172" w14:textId="77777777" w:rsidR="00B9706C" w:rsidRPr="00B9706C" w:rsidRDefault="00B9706C" w:rsidP="00B9706C">
      <w:pPr>
        <w:tabs>
          <w:tab w:val="left" w:pos="851"/>
        </w:tabs>
        <w:ind w:left="851"/>
        <w:rPr>
          <w:sz w:val="24"/>
          <w:szCs w:val="24"/>
        </w:rPr>
      </w:pPr>
    </w:p>
    <w:p w14:paraId="1D58C1A6" w14:textId="77777777" w:rsidR="00B9706C" w:rsidRPr="00B9706C" w:rsidRDefault="00B9706C" w:rsidP="00B9706C">
      <w:pPr>
        <w:tabs>
          <w:tab w:val="left" w:pos="851"/>
        </w:tabs>
        <w:ind w:left="851"/>
        <w:rPr>
          <w:bCs/>
          <w:sz w:val="24"/>
          <w:szCs w:val="24"/>
          <w:u w:val="single"/>
        </w:rPr>
      </w:pPr>
      <w:r w:rsidRPr="00B9706C">
        <w:rPr>
          <w:bCs/>
          <w:sz w:val="24"/>
          <w:szCs w:val="24"/>
          <w:u w:val="single"/>
        </w:rPr>
        <w:t>Immunsuppressiva</w:t>
      </w:r>
    </w:p>
    <w:p w14:paraId="026AF226" w14:textId="5D303471" w:rsidR="00B9706C" w:rsidRPr="00B9706C" w:rsidRDefault="00B9706C" w:rsidP="00B9706C">
      <w:pPr>
        <w:tabs>
          <w:tab w:val="left" w:pos="851"/>
        </w:tabs>
        <w:ind w:left="851"/>
        <w:rPr>
          <w:sz w:val="24"/>
          <w:szCs w:val="24"/>
        </w:rPr>
      </w:pPr>
      <w:r w:rsidRPr="00B9706C">
        <w:rPr>
          <w:sz w:val="24"/>
          <w:szCs w:val="24"/>
        </w:rPr>
        <w:t>Daunorubicins immunsuppressive virkning kan være mere udtalt, når daunorubicin administreres samtidig med andre immunsuppressiva.</w:t>
      </w:r>
    </w:p>
    <w:p w14:paraId="5BD843F7" w14:textId="77777777" w:rsidR="00B9706C" w:rsidRPr="00B9706C" w:rsidRDefault="00B9706C" w:rsidP="00B9706C">
      <w:pPr>
        <w:tabs>
          <w:tab w:val="left" w:pos="851"/>
        </w:tabs>
        <w:ind w:left="851"/>
        <w:rPr>
          <w:sz w:val="24"/>
          <w:szCs w:val="24"/>
        </w:rPr>
      </w:pPr>
    </w:p>
    <w:p w14:paraId="12B4425D" w14:textId="77777777" w:rsidR="00B9706C" w:rsidRPr="00B9706C" w:rsidRDefault="00B9706C" w:rsidP="00B9706C">
      <w:pPr>
        <w:tabs>
          <w:tab w:val="left" w:pos="851"/>
        </w:tabs>
        <w:ind w:left="851"/>
        <w:rPr>
          <w:sz w:val="24"/>
          <w:szCs w:val="24"/>
        </w:rPr>
      </w:pPr>
      <w:r w:rsidRPr="00B9706C">
        <w:rPr>
          <w:sz w:val="24"/>
          <w:szCs w:val="24"/>
        </w:rPr>
        <w:t>Daunorubicin metaboliseres primært i leveren. Samtidig brug af lægemidler, der påvirker leverfunktionen, kan også påvirke daunorubicins metabolisme eller farmakokinetik og dermed dets virkning og/eller toksicitet. Kombinationen af daunorubicin med potentielt hepatotoksiske lægemidler (f.eks. methotrexat) kan resultere i forøget toksicitet af daunorubicin, hvis metaboliseringen af daunorubicin i leveren og/eller udskillelsen af daunorubicin via galden er nedsat. Dette kan medføre potensering af bivirkninger. Kombinationen af daunorubicin med phenytoin (og ved ekstrapolering fosphenytoin) kan medføre en risiko for krampeanfald, da daunorubicin nedsætter den gastrointestinale absorption af phenytoin, eller en risiko for forøget toksicitet eller nedsat virkning af daunorubicin, da både phenytoin og fosphenytoin øger metabolismen i leveren (se pkt. 4.4). Samtidig administration af andre cytostatika øger risikoen for forekomst af gastrointestinale bivirkninger. Lægemidler, der medfører forsinket udskillelse af urinsyre (f.eks. sulfonamider, visse diuretika), kan forårsage sværere hyperurikæmi, når de anvendes samtidig med daunorubicin.</w:t>
      </w:r>
    </w:p>
    <w:p w14:paraId="286295EB" w14:textId="77777777" w:rsidR="00B9706C" w:rsidRPr="00B9706C" w:rsidRDefault="00B9706C" w:rsidP="00B9706C">
      <w:pPr>
        <w:tabs>
          <w:tab w:val="left" w:pos="851"/>
        </w:tabs>
        <w:ind w:left="851"/>
        <w:rPr>
          <w:sz w:val="24"/>
          <w:szCs w:val="24"/>
        </w:rPr>
      </w:pPr>
    </w:p>
    <w:p w14:paraId="691E31AF" w14:textId="77777777" w:rsidR="00B9706C" w:rsidRPr="00B9706C" w:rsidRDefault="00B9706C" w:rsidP="00B9706C">
      <w:pPr>
        <w:tabs>
          <w:tab w:val="left" w:pos="851"/>
        </w:tabs>
        <w:ind w:left="851"/>
        <w:rPr>
          <w:sz w:val="24"/>
          <w:szCs w:val="24"/>
        </w:rPr>
      </w:pPr>
      <w:r w:rsidRPr="00B9706C">
        <w:rPr>
          <w:sz w:val="24"/>
          <w:szCs w:val="24"/>
        </w:rPr>
        <w:t>Det skal generelt tages i betragtning, at indtagelse og absorption af andre ledsagende orale lægemidler, kan blive betydeligt påvirket af oral og gastrointestinal mucositis, som ofte opstår under intensiv behandling med kemoterapi, som indeholder daunorubicin.</w:t>
      </w:r>
    </w:p>
    <w:p w14:paraId="4664F432" w14:textId="77777777" w:rsidR="00B9706C" w:rsidRPr="00B9706C" w:rsidRDefault="00B9706C" w:rsidP="00B9706C">
      <w:pPr>
        <w:tabs>
          <w:tab w:val="left" w:pos="851"/>
        </w:tabs>
        <w:ind w:left="851"/>
        <w:rPr>
          <w:sz w:val="24"/>
          <w:szCs w:val="24"/>
        </w:rPr>
      </w:pPr>
    </w:p>
    <w:p w14:paraId="29F8F20A" w14:textId="77777777" w:rsidR="00B9706C" w:rsidRPr="00B9706C" w:rsidRDefault="00B9706C" w:rsidP="00B9706C">
      <w:pPr>
        <w:tabs>
          <w:tab w:val="left" w:pos="851"/>
        </w:tabs>
        <w:ind w:left="851"/>
        <w:rPr>
          <w:sz w:val="24"/>
          <w:szCs w:val="24"/>
        </w:rPr>
      </w:pPr>
      <w:r w:rsidRPr="00B9706C">
        <w:rPr>
          <w:sz w:val="24"/>
          <w:szCs w:val="24"/>
        </w:rPr>
        <w:t>Yderligere øget blødningstendens bør tages i betragtning ved samtidig indtagelse af trombocytaggregationshæmmere (f.eks. acetylsalicylsyre) hos trombocytopeniske patienter.</w:t>
      </w:r>
    </w:p>
    <w:p w14:paraId="4E6A353C" w14:textId="77777777" w:rsidR="00B9706C" w:rsidRPr="00B9706C" w:rsidRDefault="00B9706C" w:rsidP="00B9706C">
      <w:pPr>
        <w:tabs>
          <w:tab w:val="left" w:pos="851"/>
        </w:tabs>
        <w:ind w:left="851"/>
        <w:rPr>
          <w:sz w:val="24"/>
          <w:szCs w:val="24"/>
        </w:rPr>
      </w:pPr>
    </w:p>
    <w:p w14:paraId="5B892333" w14:textId="77777777" w:rsidR="00B9706C" w:rsidRPr="00B9706C" w:rsidRDefault="00B9706C" w:rsidP="00B9706C">
      <w:pPr>
        <w:tabs>
          <w:tab w:val="left" w:pos="851"/>
        </w:tabs>
        <w:ind w:left="851"/>
        <w:rPr>
          <w:sz w:val="24"/>
          <w:szCs w:val="24"/>
        </w:rPr>
      </w:pPr>
      <w:r w:rsidRPr="00B9706C">
        <w:rPr>
          <w:sz w:val="24"/>
          <w:szCs w:val="24"/>
        </w:rPr>
        <w:t>Der bør ikke udføres vaccinationer med levende patogener under behandling med daunorubicin. Vaccination mod gul feber frarådes under behandling med daunorubicin på grund af risikoen for dødelig systemisk vaccinesygdom (se pkt. 4.4).</w:t>
      </w:r>
    </w:p>
    <w:p w14:paraId="3300EB72" w14:textId="77777777" w:rsidR="009260DE" w:rsidRPr="00C84483" w:rsidRDefault="009260DE" w:rsidP="009260DE">
      <w:pPr>
        <w:tabs>
          <w:tab w:val="left" w:pos="851"/>
        </w:tabs>
        <w:ind w:left="851"/>
        <w:rPr>
          <w:sz w:val="24"/>
          <w:szCs w:val="24"/>
        </w:rPr>
      </w:pPr>
    </w:p>
    <w:p w14:paraId="4555433D" w14:textId="77777777" w:rsidR="009260DE" w:rsidRPr="00C84483" w:rsidRDefault="009260DE" w:rsidP="009260DE">
      <w:pPr>
        <w:tabs>
          <w:tab w:val="left" w:pos="851"/>
        </w:tabs>
        <w:ind w:left="851" w:hanging="851"/>
        <w:rPr>
          <w:b/>
          <w:sz w:val="24"/>
          <w:szCs w:val="24"/>
        </w:rPr>
      </w:pPr>
      <w:r w:rsidRPr="00C84483">
        <w:rPr>
          <w:b/>
          <w:sz w:val="24"/>
          <w:szCs w:val="24"/>
        </w:rPr>
        <w:t>4.6</w:t>
      </w:r>
      <w:r w:rsidRPr="00C84483">
        <w:rPr>
          <w:b/>
          <w:sz w:val="24"/>
          <w:szCs w:val="24"/>
        </w:rPr>
        <w:tab/>
      </w:r>
      <w:r w:rsidR="0071241E">
        <w:rPr>
          <w:b/>
          <w:sz w:val="24"/>
          <w:szCs w:val="24"/>
        </w:rPr>
        <w:t>Fertilitet, g</w:t>
      </w:r>
      <w:r w:rsidRPr="00C84483">
        <w:rPr>
          <w:b/>
          <w:sz w:val="24"/>
          <w:szCs w:val="24"/>
        </w:rPr>
        <w:t>raviditet og amning</w:t>
      </w:r>
    </w:p>
    <w:p w14:paraId="1782F58F" w14:textId="77777777" w:rsidR="00785DD7" w:rsidRDefault="00785DD7" w:rsidP="00785DD7">
      <w:pPr>
        <w:tabs>
          <w:tab w:val="left" w:pos="851"/>
        </w:tabs>
        <w:ind w:left="851"/>
        <w:rPr>
          <w:sz w:val="24"/>
          <w:szCs w:val="24"/>
          <w:u w:val="single"/>
        </w:rPr>
      </w:pPr>
    </w:p>
    <w:p w14:paraId="20E7278D" w14:textId="02B5E79C" w:rsidR="00785DD7" w:rsidRPr="00785DD7" w:rsidRDefault="00785DD7" w:rsidP="00785DD7">
      <w:pPr>
        <w:tabs>
          <w:tab w:val="left" w:pos="851"/>
        </w:tabs>
        <w:ind w:left="851"/>
        <w:rPr>
          <w:sz w:val="24"/>
          <w:szCs w:val="24"/>
          <w:u w:val="single"/>
        </w:rPr>
      </w:pPr>
      <w:r w:rsidRPr="00785DD7">
        <w:rPr>
          <w:sz w:val="24"/>
          <w:szCs w:val="24"/>
          <w:u w:val="single"/>
        </w:rPr>
        <w:t>Kvinder i den fertile alder/kontraception til mænd og kvinder</w:t>
      </w:r>
    </w:p>
    <w:p w14:paraId="5EE51D38" w14:textId="77777777" w:rsidR="00785DD7" w:rsidRPr="00785DD7" w:rsidRDefault="00785DD7" w:rsidP="00785DD7">
      <w:pPr>
        <w:tabs>
          <w:tab w:val="left" w:pos="851"/>
        </w:tabs>
        <w:ind w:left="851"/>
        <w:rPr>
          <w:sz w:val="24"/>
          <w:szCs w:val="24"/>
        </w:rPr>
      </w:pPr>
      <w:r w:rsidRPr="00785DD7">
        <w:rPr>
          <w:sz w:val="24"/>
          <w:szCs w:val="24"/>
        </w:rPr>
        <w:t>Kvinder i den fertile alder bør rådes til at undgå graviditet, mens de tager daunorubicin, og de bør informeres om den potentielle fare for fosteret. Kvinder i den fertile alder skal have foretaget en graviditetstest, før behandlingen med daunorubicin påbegyndes.</w:t>
      </w:r>
    </w:p>
    <w:p w14:paraId="169ED4BF" w14:textId="77777777" w:rsidR="00785DD7" w:rsidRPr="00785DD7" w:rsidRDefault="00785DD7" w:rsidP="00785DD7">
      <w:pPr>
        <w:tabs>
          <w:tab w:val="left" w:pos="851"/>
        </w:tabs>
        <w:ind w:left="851"/>
        <w:rPr>
          <w:sz w:val="24"/>
          <w:szCs w:val="24"/>
        </w:rPr>
      </w:pPr>
      <w:r w:rsidRPr="00785DD7">
        <w:rPr>
          <w:sz w:val="24"/>
          <w:szCs w:val="24"/>
        </w:rPr>
        <w:t>Mænd med seksualpartnere i den fertile alder skal anvende sikker kontraception under behandlingen og i 4 måneder efter den sidste dosis af daunorubicin.</w:t>
      </w:r>
    </w:p>
    <w:p w14:paraId="66547056" w14:textId="77777777" w:rsidR="00785DD7" w:rsidRPr="00785DD7" w:rsidRDefault="00785DD7" w:rsidP="00785DD7">
      <w:pPr>
        <w:tabs>
          <w:tab w:val="left" w:pos="851"/>
        </w:tabs>
        <w:ind w:left="851"/>
        <w:rPr>
          <w:sz w:val="24"/>
          <w:szCs w:val="24"/>
        </w:rPr>
      </w:pPr>
      <w:r w:rsidRPr="00785DD7">
        <w:rPr>
          <w:sz w:val="24"/>
          <w:szCs w:val="24"/>
        </w:rPr>
        <w:t>Kvindes skal anvende sikker kontraception under behandlingen og i 7 måneder efter den sidste dosis af daunorubicin.</w:t>
      </w:r>
    </w:p>
    <w:p w14:paraId="506681FC" w14:textId="77777777" w:rsidR="00785DD7" w:rsidRPr="00785DD7" w:rsidRDefault="00785DD7" w:rsidP="00785DD7">
      <w:pPr>
        <w:tabs>
          <w:tab w:val="left" w:pos="851"/>
        </w:tabs>
        <w:ind w:left="851"/>
        <w:rPr>
          <w:sz w:val="24"/>
          <w:szCs w:val="24"/>
        </w:rPr>
      </w:pPr>
    </w:p>
    <w:p w14:paraId="07958C39" w14:textId="77777777" w:rsidR="00785DD7" w:rsidRPr="00785DD7" w:rsidRDefault="00785DD7" w:rsidP="00785DD7">
      <w:pPr>
        <w:tabs>
          <w:tab w:val="left" w:pos="851"/>
        </w:tabs>
        <w:ind w:left="851"/>
        <w:rPr>
          <w:sz w:val="24"/>
          <w:szCs w:val="24"/>
          <w:u w:val="single"/>
        </w:rPr>
      </w:pPr>
      <w:r w:rsidRPr="00785DD7">
        <w:rPr>
          <w:sz w:val="24"/>
          <w:szCs w:val="24"/>
          <w:u w:val="single"/>
        </w:rPr>
        <w:t>Graviditet</w:t>
      </w:r>
    </w:p>
    <w:p w14:paraId="0F311ADC" w14:textId="77777777" w:rsidR="00785DD7" w:rsidRPr="00785DD7" w:rsidRDefault="00785DD7" w:rsidP="00785DD7">
      <w:pPr>
        <w:tabs>
          <w:tab w:val="left" w:pos="851"/>
        </w:tabs>
        <w:ind w:left="851"/>
        <w:rPr>
          <w:sz w:val="24"/>
          <w:szCs w:val="24"/>
        </w:rPr>
      </w:pPr>
      <w:r w:rsidRPr="00785DD7">
        <w:rPr>
          <w:sz w:val="24"/>
          <w:szCs w:val="24"/>
        </w:rPr>
        <w:t>Der er ingen data fra anvendelse af daunorubicin til gravide kvinder. Baseret på resultater fra dyrestudier og på baggrund af daunorubicins virkningsmekanisme frarådes anvendelse af daunorubicin under graviditet, medmindre kvindens kliniske tilstand kræver behandling, og det retfærdiggør den potentielle risiko for fosteret (se pkt. 5.3).</w:t>
      </w:r>
    </w:p>
    <w:p w14:paraId="69E02D94" w14:textId="77777777" w:rsidR="00785DD7" w:rsidRPr="00785DD7" w:rsidRDefault="00785DD7" w:rsidP="00785DD7">
      <w:pPr>
        <w:tabs>
          <w:tab w:val="left" w:pos="851"/>
        </w:tabs>
        <w:ind w:left="851"/>
        <w:rPr>
          <w:sz w:val="24"/>
          <w:szCs w:val="24"/>
        </w:rPr>
      </w:pPr>
      <w:r w:rsidRPr="00785DD7">
        <w:rPr>
          <w:sz w:val="24"/>
          <w:szCs w:val="24"/>
        </w:rPr>
        <w:t>Hvis lægemidlet anvendes under graviditet, eller hvis patienten bliver gravid under behandlingen, skal hun informeres om den potentielle risiko for fosteret. Under alle omstændigheder anbefales kardiologisk undersøgelse og blodtælling hos fostre og nyfødte af mødre, der har fået behandling med daunorubicin under graviditeten.</w:t>
      </w:r>
    </w:p>
    <w:p w14:paraId="584187CA" w14:textId="77777777" w:rsidR="00785DD7" w:rsidRPr="00785DD7" w:rsidRDefault="00785DD7" w:rsidP="00785DD7">
      <w:pPr>
        <w:tabs>
          <w:tab w:val="left" w:pos="851"/>
        </w:tabs>
        <w:ind w:left="851"/>
        <w:rPr>
          <w:sz w:val="24"/>
          <w:szCs w:val="24"/>
        </w:rPr>
      </w:pPr>
    </w:p>
    <w:p w14:paraId="65034857" w14:textId="77777777" w:rsidR="00785DD7" w:rsidRPr="00785DD7" w:rsidRDefault="00785DD7" w:rsidP="00785DD7">
      <w:pPr>
        <w:tabs>
          <w:tab w:val="left" w:pos="851"/>
        </w:tabs>
        <w:ind w:left="851"/>
        <w:rPr>
          <w:sz w:val="24"/>
          <w:szCs w:val="24"/>
          <w:u w:val="single"/>
        </w:rPr>
      </w:pPr>
      <w:r w:rsidRPr="00785DD7">
        <w:rPr>
          <w:sz w:val="24"/>
          <w:szCs w:val="24"/>
          <w:u w:val="single"/>
        </w:rPr>
        <w:t>Amning</w:t>
      </w:r>
    </w:p>
    <w:p w14:paraId="49FB2A64" w14:textId="77777777" w:rsidR="00785DD7" w:rsidRPr="00785DD7" w:rsidRDefault="00785DD7" w:rsidP="00785DD7">
      <w:pPr>
        <w:tabs>
          <w:tab w:val="left" w:pos="851"/>
        </w:tabs>
        <w:ind w:left="851"/>
        <w:rPr>
          <w:sz w:val="24"/>
          <w:szCs w:val="24"/>
        </w:rPr>
      </w:pPr>
      <w:r w:rsidRPr="00785DD7">
        <w:rPr>
          <w:sz w:val="24"/>
          <w:szCs w:val="24"/>
        </w:rPr>
        <w:t>Det er ukendt, om daunorubicin udskilles i human mælk. På grund af risikoen for alvorlige bivirkninger hos ammede børn, er amning kontraindiceret under behandling med daunorubicin (se pkt. 4.3).</w:t>
      </w:r>
    </w:p>
    <w:p w14:paraId="439610AD" w14:textId="77777777" w:rsidR="00785DD7" w:rsidRPr="00785DD7" w:rsidRDefault="00785DD7" w:rsidP="00785DD7">
      <w:pPr>
        <w:tabs>
          <w:tab w:val="left" w:pos="851"/>
        </w:tabs>
        <w:ind w:left="851"/>
        <w:rPr>
          <w:sz w:val="24"/>
          <w:szCs w:val="24"/>
        </w:rPr>
      </w:pPr>
    </w:p>
    <w:p w14:paraId="6F0A8839" w14:textId="77777777" w:rsidR="00785DD7" w:rsidRPr="00785DD7" w:rsidRDefault="00785DD7" w:rsidP="00785DD7">
      <w:pPr>
        <w:tabs>
          <w:tab w:val="left" w:pos="851"/>
        </w:tabs>
        <w:ind w:left="851"/>
        <w:rPr>
          <w:sz w:val="24"/>
          <w:szCs w:val="24"/>
          <w:u w:val="single"/>
        </w:rPr>
      </w:pPr>
      <w:r w:rsidRPr="00785DD7">
        <w:rPr>
          <w:sz w:val="24"/>
          <w:szCs w:val="24"/>
          <w:u w:val="single"/>
        </w:rPr>
        <w:t>Fertilitet</w:t>
      </w:r>
    </w:p>
    <w:p w14:paraId="0218E893" w14:textId="77777777" w:rsidR="00785DD7" w:rsidRPr="00785DD7" w:rsidRDefault="00785DD7" w:rsidP="00785DD7">
      <w:pPr>
        <w:tabs>
          <w:tab w:val="left" w:pos="851"/>
        </w:tabs>
        <w:ind w:left="851"/>
        <w:rPr>
          <w:sz w:val="24"/>
          <w:szCs w:val="24"/>
        </w:rPr>
      </w:pPr>
      <w:r w:rsidRPr="00785DD7">
        <w:rPr>
          <w:sz w:val="24"/>
          <w:szCs w:val="24"/>
        </w:rPr>
        <w:t>Daunorubicin kan forårsage kromosomal ødelæggelse i humane spermatozoer. Der anbefales genetisk rådgivning hos mandlige og kvindelig patienter, der har til hensigt at få et barn, efter behandlingen er afsluttet. Mandlige patienter bør informeres om muligheden for opbevaring af sæd, før behandling med daunorubicin påbegyndes, på grund af risikoen for irreversibel infertilitet.</w:t>
      </w:r>
    </w:p>
    <w:p w14:paraId="15A52CFC" w14:textId="77777777" w:rsidR="009260DE" w:rsidRPr="00C84483" w:rsidRDefault="009260DE" w:rsidP="009260DE">
      <w:pPr>
        <w:tabs>
          <w:tab w:val="left" w:pos="851"/>
        </w:tabs>
        <w:ind w:left="851"/>
        <w:rPr>
          <w:sz w:val="24"/>
          <w:szCs w:val="24"/>
        </w:rPr>
      </w:pPr>
    </w:p>
    <w:p w14:paraId="7CBB7D36" w14:textId="77777777" w:rsidR="009260DE" w:rsidRPr="00C84483" w:rsidRDefault="009260DE" w:rsidP="009260DE">
      <w:pPr>
        <w:tabs>
          <w:tab w:val="left" w:pos="851"/>
        </w:tabs>
        <w:ind w:left="851" w:hanging="851"/>
        <w:rPr>
          <w:b/>
          <w:sz w:val="24"/>
          <w:szCs w:val="24"/>
        </w:rPr>
      </w:pPr>
      <w:r w:rsidRPr="00C84483">
        <w:rPr>
          <w:b/>
          <w:sz w:val="24"/>
          <w:szCs w:val="24"/>
        </w:rPr>
        <w:t>4.7</w:t>
      </w:r>
      <w:r w:rsidRPr="00C84483">
        <w:rPr>
          <w:b/>
          <w:sz w:val="24"/>
          <w:szCs w:val="24"/>
        </w:rPr>
        <w:tab/>
        <w:t xml:space="preserve">Virkning på evnen til at føre motorkøretøj </w:t>
      </w:r>
      <w:r w:rsidR="0071241E">
        <w:rPr>
          <w:b/>
          <w:sz w:val="24"/>
          <w:szCs w:val="24"/>
        </w:rPr>
        <w:t>og</w:t>
      </w:r>
      <w:r w:rsidRPr="00C84483">
        <w:rPr>
          <w:b/>
          <w:sz w:val="24"/>
          <w:szCs w:val="24"/>
        </w:rPr>
        <w:t xml:space="preserve"> betjene maskiner</w:t>
      </w:r>
    </w:p>
    <w:p w14:paraId="1D8D8C4C" w14:textId="77777777" w:rsidR="00785DD7" w:rsidRDefault="00785DD7" w:rsidP="00785DD7">
      <w:pPr>
        <w:tabs>
          <w:tab w:val="left" w:pos="851"/>
        </w:tabs>
        <w:ind w:left="851"/>
        <w:rPr>
          <w:sz w:val="24"/>
          <w:szCs w:val="24"/>
        </w:rPr>
      </w:pPr>
      <w:r>
        <w:rPr>
          <w:sz w:val="24"/>
          <w:szCs w:val="24"/>
        </w:rPr>
        <w:t>Ikke mærkning.</w:t>
      </w:r>
    </w:p>
    <w:p w14:paraId="60F05B82" w14:textId="704837B2" w:rsidR="00785DD7" w:rsidRPr="00785DD7" w:rsidRDefault="00785DD7" w:rsidP="00785DD7">
      <w:pPr>
        <w:tabs>
          <w:tab w:val="left" w:pos="851"/>
        </w:tabs>
        <w:ind w:left="851"/>
        <w:rPr>
          <w:sz w:val="24"/>
          <w:szCs w:val="24"/>
        </w:rPr>
      </w:pPr>
      <w:r w:rsidRPr="00785DD7">
        <w:rPr>
          <w:sz w:val="24"/>
          <w:szCs w:val="24"/>
        </w:rPr>
        <w:t>Der er ikke udført studier af evnen til at føre motorkøretøj eller betjene maskiner. Der er imidlertid observeret konfusion, krampeanfald og synsforstyrrelser hos patienter, der fik kombinationsbehandling med daunorubicin (se pkt. 4.4). Derudover forårsager daunorubicin episoder med kvalme og opkastning, hvilket i nogle tilfælde kan påvirke evnen til at føre motorkøretøj eller betjene maskiner.</w:t>
      </w:r>
    </w:p>
    <w:p w14:paraId="7FF373DF" w14:textId="77777777" w:rsidR="00785DD7" w:rsidRPr="00785DD7" w:rsidRDefault="00785DD7" w:rsidP="00785DD7">
      <w:pPr>
        <w:tabs>
          <w:tab w:val="left" w:pos="851"/>
        </w:tabs>
        <w:ind w:left="851"/>
        <w:rPr>
          <w:sz w:val="24"/>
          <w:szCs w:val="24"/>
        </w:rPr>
      </w:pPr>
      <w:r w:rsidRPr="00785DD7">
        <w:rPr>
          <w:sz w:val="24"/>
          <w:szCs w:val="24"/>
        </w:rPr>
        <w:t>Patienterne bør advares om den potentielle indvirkning af bivirkningerne på deres evne til at føre motorkøretøj eller betjene maskiner, og de frarådes at føre motorkøretøj eller betjene maskiner, hvis de oplever disse bivirkninger under behandlingen.</w:t>
      </w:r>
    </w:p>
    <w:p w14:paraId="2DCF8BDE" w14:textId="77777777" w:rsidR="009260DE" w:rsidRPr="00C84483" w:rsidRDefault="009260DE" w:rsidP="009260DE">
      <w:pPr>
        <w:tabs>
          <w:tab w:val="left" w:pos="851"/>
        </w:tabs>
        <w:ind w:left="851"/>
        <w:rPr>
          <w:sz w:val="24"/>
          <w:szCs w:val="24"/>
        </w:rPr>
      </w:pPr>
    </w:p>
    <w:p w14:paraId="0E35860A" w14:textId="77777777" w:rsidR="009260DE" w:rsidRPr="00C84483" w:rsidRDefault="009260DE" w:rsidP="009260DE">
      <w:pPr>
        <w:tabs>
          <w:tab w:val="left" w:pos="851"/>
        </w:tabs>
        <w:ind w:left="851" w:hanging="851"/>
        <w:rPr>
          <w:b/>
          <w:sz w:val="24"/>
          <w:szCs w:val="24"/>
        </w:rPr>
      </w:pPr>
      <w:r w:rsidRPr="00C84483">
        <w:rPr>
          <w:b/>
          <w:sz w:val="24"/>
          <w:szCs w:val="24"/>
        </w:rPr>
        <w:t>4.8</w:t>
      </w:r>
      <w:r w:rsidRPr="00C84483">
        <w:rPr>
          <w:b/>
          <w:sz w:val="24"/>
          <w:szCs w:val="24"/>
        </w:rPr>
        <w:tab/>
        <w:t>Bivirkninger</w:t>
      </w:r>
    </w:p>
    <w:p w14:paraId="458913D1" w14:textId="77777777" w:rsidR="00E37C56" w:rsidRPr="00E37C56" w:rsidRDefault="00E37C56" w:rsidP="00E37C56">
      <w:pPr>
        <w:tabs>
          <w:tab w:val="left" w:pos="851"/>
        </w:tabs>
        <w:ind w:left="851"/>
        <w:rPr>
          <w:sz w:val="24"/>
          <w:szCs w:val="24"/>
        </w:rPr>
      </w:pPr>
      <w:r w:rsidRPr="00E37C56">
        <w:rPr>
          <w:sz w:val="24"/>
          <w:szCs w:val="24"/>
        </w:rPr>
        <w:t>Bivirkninger relateret til daunorubicin fra kliniske studier og efter markedsføring er anført i tabellen nedenfor.</w:t>
      </w:r>
    </w:p>
    <w:p w14:paraId="36CA14CA" w14:textId="3B081CE6" w:rsidR="00E37C56" w:rsidRPr="00E37C56" w:rsidRDefault="00E37C56" w:rsidP="00E37C56">
      <w:pPr>
        <w:tabs>
          <w:tab w:val="left" w:pos="851"/>
        </w:tabs>
        <w:ind w:left="851"/>
        <w:rPr>
          <w:sz w:val="24"/>
          <w:szCs w:val="24"/>
        </w:rPr>
      </w:pPr>
      <w:r w:rsidRPr="00E37C56">
        <w:rPr>
          <w:sz w:val="24"/>
          <w:szCs w:val="24"/>
        </w:rPr>
        <w:t xml:space="preserve">Bivirkningerne er anført efter systemorganklasse og kan forekomme med følgende hyppigheder: </w:t>
      </w:r>
      <w:r>
        <w:rPr>
          <w:sz w:val="24"/>
          <w:szCs w:val="24"/>
        </w:rPr>
        <w:t>M</w:t>
      </w:r>
      <w:r w:rsidRPr="00E37C56">
        <w:rPr>
          <w:sz w:val="24"/>
          <w:szCs w:val="24"/>
        </w:rPr>
        <w:t>eget almindelig (≥ 1/10), almindelig (≥ 1/100 til &lt; 1/10), ikke almindelig (≥ 1/1.000 til &lt; 1/100), sjælden (≥ 1/10.000 til &lt; 1/1.000), meget sjælden (&lt; 1/10.000) og ikke kendt (kan ikke estimeres ud fra forhåndenværende data).</w:t>
      </w:r>
    </w:p>
    <w:p w14:paraId="018C5763" w14:textId="77777777" w:rsidR="00E37C56" w:rsidRPr="00E37C56" w:rsidRDefault="00E37C56" w:rsidP="00E37C56">
      <w:pPr>
        <w:tabs>
          <w:tab w:val="left" w:pos="851"/>
        </w:tabs>
        <w:ind w:left="851"/>
        <w:rPr>
          <w:sz w:val="24"/>
          <w:szCs w:val="24"/>
        </w:rPr>
      </w:pPr>
      <w:r w:rsidRPr="00E37C56">
        <w:rPr>
          <w:sz w:val="24"/>
          <w:szCs w:val="24"/>
        </w:rPr>
        <w:t>Inden for hver enkelt hyppighedsgruppe er bivirkningerne opstillet efter, hvor alvorlige de er. De alvorligste bivirkninger er anført først.</w:t>
      </w:r>
    </w:p>
    <w:p w14:paraId="000127D1" w14:textId="77777777" w:rsidR="00E37C56" w:rsidRPr="00E37C56" w:rsidRDefault="00E37C56" w:rsidP="00E37C56">
      <w:pPr>
        <w:tabs>
          <w:tab w:val="left" w:pos="851"/>
        </w:tabs>
        <w:ind w:left="851"/>
        <w:rPr>
          <w:sz w:val="24"/>
          <w:szCs w:val="24"/>
        </w:rPr>
      </w:pPr>
    </w:p>
    <w:p w14:paraId="47612EE7" w14:textId="5C1099DB" w:rsidR="00E37C56" w:rsidRDefault="00E37C56" w:rsidP="00E37C56">
      <w:pPr>
        <w:tabs>
          <w:tab w:val="left" w:pos="851"/>
        </w:tabs>
        <w:ind w:left="851"/>
        <w:rPr>
          <w:sz w:val="24"/>
          <w:szCs w:val="24"/>
        </w:rPr>
      </w:pPr>
      <w:r w:rsidRPr="00E37C56">
        <w:rPr>
          <w:sz w:val="24"/>
          <w:szCs w:val="24"/>
        </w:rPr>
        <w:t>Tabel 1: Bivirkninger</w:t>
      </w:r>
    </w:p>
    <w:p w14:paraId="03EB5E99" w14:textId="77777777" w:rsidR="00E37C56" w:rsidRPr="00E37C56" w:rsidRDefault="00E37C56" w:rsidP="00E37C56">
      <w:pPr>
        <w:tabs>
          <w:tab w:val="left" w:pos="851"/>
        </w:tabs>
        <w:ind w:left="851"/>
        <w:rPr>
          <w:sz w:val="24"/>
          <w:szCs w:val="24"/>
        </w:rPr>
      </w:pPr>
    </w:p>
    <w:tbl>
      <w:tblPr>
        <w:tblStyle w:val="Tabel-Gitter"/>
        <w:tblW w:w="9055" w:type="dxa"/>
        <w:tblInd w:w="846" w:type="dxa"/>
        <w:tblLook w:val="04A0" w:firstRow="1" w:lastRow="0" w:firstColumn="1" w:lastColumn="0" w:noHBand="0" w:noVBand="1"/>
      </w:tblPr>
      <w:tblGrid>
        <w:gridCol w:w="3679"/>
        <w:gridCol w:w="5376"/>
      </w:tblGrid>
      <w:tr w:rsidR="00E37C56" w:rsidRPr="00E37C56" w14:paraId="3BF2F37A" w14:textId="77777777" w:rsidTr="00E37C56">
        <w:trPr>
          <w:trHeight w:val="368"/>
        </w:trPr>
        <w:tc>
          <w:tcPr>
            <w:tcW w:w="3679" w:type="dxa"/>
            <w:tcBorders>
              <w:top w:val="single" w:sz="4" w:space="0" w:color="auto"/>
              <w:left w:val="single" w:sz="4" w:space="0" w:color="auto"/>
              <w:bottom w:val="single" w:sz="4" w:space="0" w:color="auto"/>
              <w:right w:val="single" w:sz="4" w:space="0" w:color="auto"/>
            </w:tcBorders>
            <w:hideMark/>
          </w:tcPr>
          <w:p w14:paraId="76513F2C" w14:textId="77777777" w:rsidR="00E37C56" w:rsidRPr="00E37C56" w:rsidRDefault="00E37C56" w:rsidP="00E37C56">
            <w:pPr>
              <w:ind w:left="32"/>
              <w:rPr>
                <w:b/>
                <w:bCs/>
                <w:sz w:val="24"/>
                <w:szCs w:val="24"/>
                <w:u w:val="single"/>
              </w:rPr>
            </w:pPr>
            <w:r w:rsidRPr="00E37C56">
              <w:rPr>
                <w:b/>
                <w:bCs/>
                <w:sz w:val="24"/>
                <w:szCs w:val="24"/>
                <w:u w:val="single"/>
              </w:rPr>
              <w:t>Systemorganklasse</w:t>
            </w:r>
          </w:p>
        </w:tc>
        <w:tc>
          <w:tcPr>
            <w:tcW w:w="5376" w:type="dxa"/>
            <w:tcBorders>
              <w:top w:val="single" w:sz="4" w:space="0" w:color="auto"/>
              <w:left w:val="single" w:sz="4" w:space="0" w:color="auto"/>
              <w:bottom w:val="single" w:sz="4" w:space="0" w:color="auto"/>
              <w:right w:val="single" w:sz="4" w:space="0" w:color="auto"/>
            </w:tcBorders>
            <w:hideMark/>
          </w:tcPr>
          <w:p w14:paraId="25F17A70" w14:textId="77777777" w:rsidR="00E37C56" w:rsidRPr="00E37C56" w:rsidRDefault="00E37C56" w:rsidP="00E37C56">
            <w:pPr>
              <w:ind w:left="38"/>
              <w:rPr>
                <w:b/>
                <w:bCs/>
                <w:sz w:val="24"/>
                <w:szCs w:val="24"/>
                <w:u w:val="single"/>
              </w:rPr>
            </w:pPr>
            <w:r w:rsidRPr="00E37C56">
              <w:rPr>
                <w:b/>
                <w:bCs/>
                <w:sz w:val="24"/>
                <w:szCs w:val="24"/>
                <w:u w:val="single"/>
              </w:rPr>
              <w:t>Bivirkning</w:t>
            </w:r>
          </w:p>
        </w:tc>
      </w:tr>
      <w:tr w:rsidR="00E37C56" w:rsidRPr="00E37C56" w14:paraId="020E177A" w14:textId="77777777" w:rsidTr="00E37C56">
        <w:tc>
          <w:tcPr>
            <w:tcW w:w="3679" w:type="dxa"/>
            <w:tcBorders>
              <w:top w:val="single" w:sz="4" w:space="0" w:color="auto"/>
              <w:left w:val="single" w:sz="4" w:space="0" w:color="auto"/>
              <w:bottom w:val="single" w:sz="4" w:space="0" w:color="auto"/>
              <w:right w:val="single" w:sz="4" w:space="0" w:color="auto"/>
            </w:tcBorders>
            <w:hideMark/>
          </w:tcPr>
          <w:p w14:paraId="72737286" w14:textId="77777777" w:rsidR="00E37C56" w:rsidRPr="00E37C56" w:rsidRDefault="00E37C56" w:rsidP="00E37C56">
            <w:pPr>
              <w:ind w:left="32"/>
              <w:rPr>
                <w:b/>
                <w:bCs/>
                <w:sz w:val="24"/>
                <w:szCs w:val="24"/>
              </w:rPr>
            </w:pPr>
            <w:r w:rsidRPr="00E37C56">
              <w:rPr>
                <w:b/>
                <w:bCs/>
                <w:sz w:val="24"/>
                <w:szCs w:val="24"/>
              </w:rPr>
              <w:t>Infektioner og parasitære sygdomme</w:t>
            </w:r>
          </w:p>
        </w:tc>
        <w:tc>
          <w:tcPr>
            <w:tcW w:w="5376" w:type="dxa"/>
            <w:tcBorders>
              <w:top w:val="single" w:sz="4" w:space="0" w:color="auto"/>
              <w:left w:val="single" w:sz="4" w:space="0" w:color="auto"/>
              <w:bottom w:val="single" w:sz="4" w:space="0" w:color="auto"/>
              <w:right w:val="single" w:sz="4" w:space="0" w:color="auto"/>
            </w:tcBorders>
            <w:hideMark/>
          </w:tcPr>
          <w:p w14:paraId="51FD6B66" w14:textId="77777777" w:rsidR="00E37C56" w:rsidRPr="00E37C56" w:rsidRDefault="00E37C56" w:rsidP="00E37C56">
            <w:pPr>
              <w:ind w:left="38"/>
              <w:rPr>
                <w:sz w:val="24"/>
                <w:szCs w:val="24"/>
              </w:rPr>
            </w:pPr>
            <w:r w:rsidRPr="00E37C56">
              <w:rPr>
                <w:b/>
                <w:bCs/>
                <w:sz w:val="24"/>
                <w:szCs w:val="24"/>
              </w:rPr>
              <w:t>Meget almindelig:</w:t>
            </w:r>
            <w:r w:rsidRPr="00E37C56">
              <w:rPr>
                <w:sz w:val="24"/>
                <w:szCs w:val="24"/>
              </w:rPr>
              <w:t xml:space="preserve"> infektioner</w:t>
            </w:r>
            <w:r w:rsidRPr="00E37C56">
              <w:rPr>
                <w:sz w:val="24"/>
                <w:szCs w:val="24"/>
                <w:vertAlign w:val="superscript"/>
              </w:rPr>
              <w:t>a</w:t>
            </w:r>
          </w:p>
        </w:tc>
      </w:tr>
      <w:tr w:rsidR="00E37C56" w:rsidRPr="00E37C56" w14:paraId="53877E79" w14:textId="77777777" w:rsidTr="00E37C56">
        <w:tc>
          <w:tcPr>
            <w:tcW w:w="3679" w:type="dxa"/>
            <w:tcBorders>
              <w:top w:val="single" w:sz="4" w:space="0" w:color="auto"/>
              <w:left w:val="single" w:sz="4" w:space="0" w:color="auto"/>
              <w:bottom w:val="single" w:sz="4" w:space="0" w:color="auto"/>
              <w:right w:val="single" w:sz="4" w:space="0" w:color="auto"/>
            </w:tcBorders>
            <w:hideMark/>
          </w:tcPr>
          <w:p w14:paraId="71A75A9D" w14:textId="77777777" w:rsidR="00E37C56" w:rsidRPr="00E37C56" w:rsidRDefault="00E37C56" w:rsidP="00E37C56">
            <w:pPr>
              <w:ind w:left="32"/>
              <w:rPr>
                <w:b/>
                <w:bCs/>
                <w:sz w:val="24"/>
                <w:szCs w:val="24"/>
                <w:lang w:val="da-DK"/>
              </w:rPr>
            </w:pPr>
            <w:r w:rsidRPr="00E37C56">
              <w:rPr>
                <w:b/>
                <w:bCs/>
                <w:sz w:val="24"/>
                <w:szCs w:val="24"/>
                <w:lang w:val="da-DK"/>
              </w:rPr>
              <w:lastRenderedPageBreak/>
              <w:t>Benigne, maligne og uspecificerede tumorer (inkl. cyster og polypper)</w:t>
            </w:r>
          </w:p>
        </w:tc>
        <w:tc>
          <w:tcPr>
            <w:tcW w:w="5376" w:type="dxa"/>
            <w:tcBorders>
              <w:top w:val="single" w:sz="4" w:space="0" w:color="auto"/>
              <w:left w:val="single" w:sz="4" w:space="0" w:color="auto"/>
              <w:bottom w:val="single" w:sz="4" w:space="0" w:color="auto"/>
              <w:right w:val="single" w:sz="4" w:space="0" w:color="auto"/>
            </w:tcBorders>
            <w:hideMark/>
          </w:tcPr>
          <w:p w14:paraId="3C4C3B30" w14:textId="77777777" w:rsidR="00E37C56" w:rsidRPr="00E37C56" w:rsidRDefault="00E37C56" w:rsidP="00E37C56">
            <w:pPr>
              <w:ind w:left="38"/>
              <w:rPr>
                <w:sz w:val="24"/>
                <w:szCs w:val="24"/>
                <w:lang w:val="da-DK"/>
              </w:rPr>
            </w:pPr>
            <w:r w:rsidRPr="00E37C56">
              <w:rPr>
                <w:b/>
                <w:bCs/>
                <w:sz w:val="24"/>
                <w:szCs w:val="24"/>
                <w:lang w:val="da-DK"/>
              </w:rPr>
              <w:t>Ikke kendt:</w:t>
            </w:r>
            <w:r w:rsidRPr="00E37C56">
              <w:rPr>
                <w:sz w:val="24"/>
                <w:szCs w:val="24"/>
                <w:lang w:val="da-DK"/>
              </w:rPr>
              <w:t xml:space="preserve"> leukæmi</w:t>
            </w:r>
            <w:r w:rsidRPr="00E37C56">
              <w:rPr>
                <w:sz w:val="24"/>
                <w:szCs w:val="24"/>
                <w:vertAlign w:val="superscript"/>
                <w:lang w:val="da-DK"/>
              </w:rPr>
              <w:t>b,c</w:t>
            </w:r>
            <w:r w:rsidRPr="00E37C56">
              <w:rPr>
                <w:sz w:val="24"/>
                <w:szCs w:val="24"/>
                <w:lang w:val="da-DK"/>
              </w:rPr>
              <w:t>, myelodysplastisk syndrom</w:t>
            </w:r>
          </w:p>
        </w:tc>
      </w:tr>
      <w:tr w:rsidR="00E37C56" w:rsidRPr="00E37C56" w14:paraId="2490A258" w14:textId="77777777" w:rsidTr="00E37C56">
        <w:tc>
          <w:tcPr>
            <w:tcW w:w="3679" w:type="dxa"/>
            <w:tcBorders>
              <w:top w:val="single" w:sz="4" w:space="0" w:color="auto"/>
              <w:left w:val="single" w:sz="4" w:space="0" w:color="auto"/>
              <w:bottom w:val="single" w:sz="4" w:space="0" w:color="auto"/>
              <w:right w:val="single" w:sz="4" w:space="0" w:color="auto"/>
            </w:tcBorders>
            <w:hideMark/>
          </w:tcPr>
          <w:p w14:paraId="100BC03A" w14:textId="77777777" w:rsidR="00E37C56" w:rsidRPr="00E37C56" w:rsidRDefault="00E37C56" w:rsidP="00E37C56">
            <w:pPr>
              <w:ind w:left="32"/>
              <w:rPr>
                <w:b/>
                <w:bCs/>
                <w:sz w:val="24"/>
                <w:szCs w:val="24"/>
              </w:rPr>
            </w:pPr>
            <w:r w:rsidRPr="00E37C56">
              <w:rPr>
                <w:b/>
                <w:bCs/>
                <w:sz w:val="24"/>
                <w:szCs w:val="24"/>
              </w:rPr>
              <w:t>Immunsystemet</w:t>
            </w:r>
          </w:p>
        </w:tc>
        <w:tc>
          <w:tcPr>
            <w:tcW w:w="5376" w:type="dxa"/>
            <w:tcBorders>
              <w:top w:val="single" w:sz="4" w:space="0" w:color="auto"/>
              <w:left w:val="single" w:sz="4" w:space="0" w:color="auto"/>
              <w:bottom w:val="single" w:sz="4" w:space="0" w:color="auto"/>
              <w:right w:val="single" w:sz="4" w:space="0" w:color="auto"/>
            </w:tcBorders>
            <w:hideMark/>
          </w:tcPr>
          <w:p w14:paraId="2DDA2380" w14:textId="77777777" w:rsidR="00E37C56" w:rsidRPr="00E37C56" w:rsidRDefault="00E37C56" w:rsidP="00E37C56">
            <w:pPr>
              <w:ind w:left="38"/>
              <w:rPr>
                <w:sz w:val="24"/>
                <w:szCs w:val="24"/>
                <w:lang w:val="da-DK"/>
              </w:rPr>
            </w:pPr>
            <w:r w:rsidRPr="00E37C56">
              <w:rPr>
                <w:b/>
                <w:bCs/>
                <w:sz w:val="24"/>
                <w:szCs w:val="24"/>
                <w:lang w:val="da-DK"/>
              </w:rPr>
              <w:t>Ikke kendt:</w:t>
            </w:r>
            <w:r w:rsidRPr="00E37C56">
              <w:rPr>
                <w:sz w:val="24"/>
                <w:szCs w:val="24"/>
                <w:lang w:val="da-DK"/>
              </w:rPr>
              <w:t xml:space="preserve"> anafylaktisk reaktion/anafylaktoid reaktion</w:t>
            </w:r>
          </w:p>
        </w:tc>
      </w:tr>
      <w:tr w:rsidR="00E37C56" w:rsidRPr="00E37C56" w14:paraId="6ED4B1D4" w14:textId="77777777" w:rsidTr="00E37C56">
        <w:tc>
          <w:tcPr>
            <w:tcW w:w="3679" w:type="dxa"/>
            <w:tcBorders>
              <w:top w:val="single" w:sz="4" w:space="0" w:color="auto"/>
              <w:left w:val="single" w:sz="4" w:space="0" w:color="auto"/>
              <w:bottom w:val="single" w:sz="4" w:space="0" w:color="auto"/>
              <w:right w:val="single" w:sz="4" w:space="0" w:color="auto"/>
            </w:tcBorders>
            <w:hideMark/>
          </w:tcPr>
          <w:p w14:paraId="5BB0D053" w14:textId="77777777" w:rsidR="00E37C56" w:rsidRPr="00E37C56" w:rsidRDefault="00E37C56" w:rsidP="00E37C56">
            <w:pPr>
              <w:ind w:left="32"/>
              <w:rPr>
                <w:b/>
                <w:bCs/>
                <w:sz w:val="24"/>
                <w:szCs w:val="24"/>
              </w:rPr>
            </w:pPr>
            <w:r w:rsidRPr="00E37C56">
              <w:rPr>
                <w:b/>
                <w:bCs/>
                <w:sz w:val="24"/>
                <w:szCs w:val="24"/>
              </w:rPr>
              <w:t>Metabolisme og ernæring</w:t>
            </w:r>
          </w:p>
        </w:tc>
        <w:tc>
          <w:tcPr>
            <w:tcW w:w="5376" w:type="dxa"/>
            <w:tcBorders>
              <w:top w:val="single" w:sz="4" w:space="0" w:color="auto"/>
              <w:left w:val="single" w:sz="4" w:space="0" w:color="auto"/>
              <w:bottom w:val="single" w:sz="4" w:space="0" w:color="auto"/>
              <w:right w:val="single" w:sz="4" w:space="0" w:color="auto"/>
            </w:tcBorders>
            <w:hideMark/>
          </w:tcPr>
          <w:p w14:paraId="2934EF7F" w14:textId="77777777" w:rsidR="00E37C56" w:rsidRPr="00E37C56" w:rsidRDefault="00E37C56" w:rsidP="00E37C56">
            <w:pPr>
              <w:ind w:left="38"/>
              <w:rPr>
                <w:sz w:val="24"/>
                <w:szCs w:val="24"/>
                <w:lang w:val="da-DK"/>
              </w:rPr>
            </w:pPr>
            <w:r w:rsidRPr="00E37C56">
              <w:rPr>
                <w:b/>
                <w:bCs/>
                <w:sz w:val="24"/>
                <w:szCs w:val="24"/>
                <w:lang w:val="da-DK"/>
              </w:rPr>
              <w:t>Ikke kendt:</w:t>
            </w:r>
            <w:r w:rsidRPr="00E37C56">
              <w:rPr>
                <w:sz w:val="24"/>
                <w:szCs w:val="24"/>
                <w:lang w:val="da-DK"/>
              </w:rPr>
              <w:t xml:space="preserve"> tumorlysesyndrom</w:t>
            </w:r>
            <w:r w:rsidRPr="00E37C56">
              <w:rPr>
                <w:sz w:val="24"/>
                <w:szCs w:val="24"/>
                <w:vertAlign w:val="superscript"/>
                <w:lang w:val="da-DK"/>
              </w:rPr>
              <w:t>c</w:t>
            </w:r>
            <w:r w:rsidRPr="00E37C56">
              <w:rPr>
                <w:sz w:val="24"/>
                <w:szCs w:val="24"/>
                <w:lang w:val="da-DK"/>
              </w:rPr>
              <w:t>, hyperurikæmi, dehydrering</w:t>
            </w:r>
          </w:p>
        </w:tc>
      </w:tr>
      <w:tr w:rsidR="00E37C56" w:rsidRPr="00E37C56" w14:paraId="0540EC0C" w14:textId="77777777" w:rsidTr="00E37C56">
        <w:tc>
          <w:tcPr>
            <w:tcW w:w="3679" w:type="dxa"/>
            <w:tcBorders>
              <w:top w:val="single" w:sz="4" w:space="0" w:color="auto"/>
              <w:left w:val="single" w:sz="4" w:space="0" w:color="auto"/>
              <w:bottom w:val="single" w:sz="4" w:space="0" w:color="auto"/>
              <w:right w:val="single" w:sz="4" w:space="0" w:color="auto"/>
            </w:tcBorders>
            <w:hideMark/>
          </w:tcPr>
          <w:p w14:paraId="70B6F1EC" w14:textId="77777777" w:rsidR="00E37C56" w:rsidRPr="00E37C56" w:rsidRDefault="00E37C56" w:rsidP="00E37C56">
            <w:pPr>
              <w:ind w:left="32"/>
              <w:rPr>
                <w:b/>
                <w:bCs/>
                <w:sz w:val="24"/>
                <w:szCs w:val="24"/>
              </w:rPr>
            </w:pPr>
            <w:r w:rsidRPr="00E37C56">
              <w:rPr>
                <w:b/>
                <w:bCs/>
                <w:sz w:val="24"/>
                <w:szCs w:val="24"/>
              </w:rPr>
              <w:t>Nervesystemet</w:t>
            </w:r>
          </w:p>
        </w:tc>
        <w:tc>
          <w:tcPr>
            <w:tcW w:w="5376" w:type="dxa"/>
            <w:tcBorders>
              <w:top w:val="single" w:sz="4" w:space="0" w:color="auto"/>
              <w:left w:val="single" w:sz="4" w:space="0" w:color="auto"/>
              <w:bottom w:val="single" w:sz="4" w:space="0" w:color="auto"/>
              <w:right w:val="single" w:sz="4" w:space="0" w:color="auto"/>
            </w:tcBorders>
            <w:hideMark/>
          </w:tcPr>
          <w:p w14:paraId="356BD7C2" w14:textId="77777777" w:rsidR="00E37C56" w:rsidRPr="00E37C56" w:rsidRDefault="00E37C56" w:rsidP="00E37C56">
            <w:pPr>
              <w:ind w:left="38"/>
              <w:rPr>
                <w:sz w:val="24"/>
                <w:szCs w:val="24"/>
                <w:lang w:val="da-DK"/>
              </w:rPr>
            </w:pPr>
            <w:r w:rsidRPr="00E37C56">
              <w:rPr>
                <w:b/>
                <w:bCs/>
                <w:sz w:val="24"/>
                <w:szCs w:val="24"/>
                <w:lang w:val="da-DK"/>
              </w:rPr>
              <w:t>Ikke kendt:</w:t>
            </w:r>
            <w:r w:rsidRPr="00E37C56">
              <w:rPr>
                <w:sz w:val="24"/>
                <w:szCs w:val="24"/>
                <w:lang w:val="da-DK"/>
              </w:rPr>
              <w:t xml:space="preserve"> posterior reversibel encefalopatisyndrom</w:t>
            </w:r>
            <w:r w:rsidRPr="00E37C56">
              <w:rPr>
                <w:sz w:val="24"/>
                <w:szCs w:val="24"/>
                <w:vertAlign w:val="superscript"/>
                <w:lang w:val="da-DK"/>
              </w:rPr>
              <w:t>c, d</w:t>
            </w:r>
          </w:p>
        </w:tc>
      </w:tr>
      <w:tr w:rsidR="00E37C56" w:rsidRPr="00E37C56" w14:paraId="524AA483" w14:textId="77777777" w:rsidTr="00E37C56">
        <w:tc>
          <w:tcPr>
            <w:tcW w:w="3679" w:type="dxa"/>
            <w:tcBorders>
              <w:top w:val="single" w:sz="4" w:space="0" w:color="auto"/>
              <w:left w:val="single" w:sz="4" w:space="0" w:color="auto"/>
              <w:bottom w:val="single" w:sz="4" w:space="0" w:color="auto"/>
              <w:right w:val="single" w:sz="4" w:space="0" w:color="auto"/>
            </w:tcBorders>
            <w:hideMark/>
          </w:tcPr>
          <w:p w14:paraId="26AC2F2D" w14:textId="77777777" w:rsidR="00E37C56" w:rsidRPr="00E37C56" w:rsidRDefault="00E37C56" w:rsidP="00E37C56">
            <w:pPr>
              <w:ind w:left="32"/>
              <w:rPr>
                <w:b/>
                <w:bCs/>
                <w:sz w:val="24"/>
                <w:szCs w:val="24"/>
              </w:rPr>
            </w:pPr>
            <w:r w:rsidRPr="00E37C56">
              <w:rPr>
                <w:b/>
                <w:bCs/>
                <w:sz w:val="24"/>
                <w:szCs w:val="24"/>
              </w:rPr>
              <w:t>Blod og lymfesystem</w:t>
            </w:r>
            <w:r w:rsidRPr="00E37C56">
              <w:rPr>
                <w:b/>
                <w:bCs/>
                <w:sz w:val="24"/>
                <w:szCs w:val="24"/>
                <w:vertAlign w:val="superscript"/>
              </w:rPr>
              <w:t>c</w:t>
            </w:r>
          </w:p>
        </w:tc>
        <w:tc>
          <w:tcPr>
            <w:tcW w:w="5376" w:type="dxa"/>
            <w:tcBorders>
              <w:top w:val="single" w:sz="4" w:space="0" w:color="auto"/>
              <w:left w:val="single" w:sz="4" w:space="0" w:color="auto"/>
              <w:bottom w:val="single" w:sz="4" w:space="0" w:color="auto"/>
              <w:right w:val="single" w:sz="4" w:space="0" w:color="auto"/>
            </w:tcBorders>
            <w:hideMark/>
          </w:tcPr>
          <w:p w14:paraId="369A8845" w14:textId="77777777" w:rsidR="00E37C56" w:rsidRPr="00E37C56" w:rsidRDefault="00E37C56" w:rsidP="00E37C56">
            <w:pPr>
              <w:ind w:left="38"/>
              <w:rPr>
                <w:sz w:val="24"/>
                <w:szCs w:val="24"/>
              </w:rPr>
            </w:pPr>
            <w:r w:rsidRPr="00E37C56">
              <w:rPr>
                <w:b/>
                <w:bCs/>
                <w:sz w:val="24"/>
                <w:szCs w:val="24"/>
              </w:rPr>
              <w:t>Meget almindelig:</w:t>
            </w:r>
            <w:r w:rsidRPr="00E37C56">
              <w:rPr>
                <w:sz w:val="24"/>
                <w:szCs w:val="24"/>
              </w:rPr>
              <w:t xml:space="preserve"> knoglemarvssvigt, myelosuppression</w:t>
            </w:r>
            <w:r w:rsidRPr="00E37C56">
              <w:rPr>
                <w:sz w:val="24"/>
                <w:szCs w:val="24"/>
                <w:vertAlign w:val="superscript"/>
              </w:rPr>
              <w:t>c</w:t>
            </w:r>
            <w:r w:rsidRPr="00E37C56">
              <w:rPr>
                <w:sz w:val="24"/>
                <w:szCs w:val="24"/>
              </w:rPr>
              <w:t>, trombocytopeni, neutropeni, leukopeni, anæmi</w:t>
            </w:r>
          </w:p>
          <w:p w14:paraId="616A9E60" w14:textId="77777777" w:rsidR="00E37C56" w:rsidRPr="00E37C56" w:rsidRDefault="00E37C56" w:rsidP="00E37C56">
            <w:pPr>
              <w:ind w:left="38"/>
              <w:rPr>
                <w:sz w:val="24"/>
                <w:szCs w:val="24"/>
              </w:rPr>
            </w:pPr>
            <w:r w:rsidRPr="00E37C56">
              <w:rPr>
                <w:b/>
                <w:bCs/>
                <w:sz w:val="24"/>
                <w:szCs w:val="24"/>
              </w:rPr>
              <w:t>Ikke kendt:</w:t>
            </w:r>
            <w:r w:rsidRPr="00E37C56">
              <w:rPr>
                <w:sz w:val="24"/>
                <w:szCs w:val="24"/>
              </w:rPr>
              <w:t xml:space="preserve"> febril neutropeni</w:t>
            </w:r>
            <w:r w:rsidRPr="00E37C56">
              <w:rPr>
                <w:sz w:val="24"/>
                <w:szCs w:val="24"/>
                <w:vertAlign w:val="superscript"/>
              </w:rPr>
              <w:t>d</w:t>
            </w:r>
          </w:p>
        </w:tc>
      </w:tr>
      <w:tr w:rsidR="00E37C56" w:rsidRPr="00E37C56" w14:paraId="34EB422E" w14:textId="77777777" w:rsidTr="00E37C56">
        <w:tc>
          <w:tcPr>
            <w:tcW w:w="3679" w:type="dxa"/>
            <w:tcBorders>
              <w:top w:val="single" w:sz="4" w:space="0" w:color="auto"/>
              <w:left w:val="single" w:sz="4" w:space="0" w:color="auto"/>
              <w:bottom w:val="single" w:sz="4" w:space="0" w:color="auto"/>
              <w:right w:val="single" w:sz="4" w:space="0" w:color="auto"/>
            </w:tcBorders>
            <w:hideMark/>
          </w:tcPr>
          <w:p w14:paraId="1496150D" w14:textId="77777777" w:rsidR="00E37C56" w:rsidRPr="00E37C56" w:rsidRDefault="00E37C56" w:rsidP="00E37C56">
            <w:pPr>
              <w:ind w:left="32"/>
              <w:rPr>
                <w:b/>
                <w:bCs/>
                <w:sz w:val="24"/>
                <w:szCs w:val="24"/>
              </w:rPr>
            </w:pPr>
            <w:r w:rsidRPr="00E37C56">
              <w:rPr>
                <w:b/>
                <w:bCs/>
                <w:sz w:val="24"/>
                <w:szCs w:val="24"/>
              </w:rPr>
              <w:t>Hjerte</w:t>
            </w:r>
          </w:p>
        </w:tc>
        <w:tc>
          <w:tcPr>
            <w:tcW w:w="5376" w:type="dxa"/>
            <w:tcBorders>
              <w:top w:val="single" w:sz="4" w:space="0" w:color="auto"/>
              <w:left w:val="single" w:sz="4" w:space="0" w:color="auto"/>
              <w:bottom w:val="single" w:sz="4" w:space="0" w:color="auto"/>
              <w:right w:val="single" w:sz="4" w:space="0" w:color="auto"/>
            </w:tcBorders>
            <w:hideMark/>
          </w:tcPr>
          <w:p w14:paraId="5CB256EF" w14:textId="77777777" w:rsidR="00E37C56" w:rsidRPr="00E37C56" w:rsidRDefault="00E37C56" w:rsidP="00E37C56">
            <w:pPr>
              <w:ind w:left="38"/>
              <w:rPr>
                <w:sz w:val="24"/>
                <w:szCs w:val="24"/>
                <w:lang w:val="da-DK"/>
              </w:rPr>
            </w:pPr>
            <w:r w:rsidRPr="00E37C56">
              <w:rPr>
                <w:b/>
                <w:bCs/>
                <w:sz w:val="24"/>
                <w:szCs w:val="24"/>
                <w:lang w:val="da-DK"/>
              </w:rPr>
              <w:t>Almindelig:</w:t>
            </w:r>
            <w:r w:rsidRPr="00E37C56">
              <w:rPr>
                <w:sz w:val="24"/>
                <w:szCs w:val="24"/>
                <w:lang w:val="da-DK"/>
              </w:rPr>
              <w:t xml:space="preserve"> kongestiv hjertesvigt, kardiotoksicitet</w:t>
            </w:r>
          </w:p>
          <w:p w14:paraId="40BDE60B" w14:textId="77777777" w:rsidR="00E37C56" w:rsidRPr="00E37C56" w:rsidRDefault="00E37C56" w:rsidP="00E37C56">
            <w:pPr>
              <w:ind w:left="38"/>
              <w:rPr>
                <w:sz w:val="24"/>
                <w:szCs w:val="24"/>
                <w:lang w:val="da-DK"/>
              </w:rPr>
            </w:pPr>
            <w:r w:rsidRPr="00E37C56">
              <w:rPr>
                <w:b/>
                <w:bCs/>
                <w:sz w:val="24"/>
                <w:szCs w:val="24"/>
                <w:lang w:val="da-DK"/>
              </w:rPr>
              <w:t>Sjælden:</w:t>
            </w:r>
            <w:r w:rsidRPr="00E37C56">
              <w:rPr>
                <w:sz w:val="24"/>
                <w:szCs w:val="24"/>
                <w:lang w:val="da-DK"/>
              </w:rPr>
              <w:t xml:space="preserve"> kardiomyopati</w:t>
            </w:r>
          </w:p>
          <w:p w14:paraId="502EF7F5" w14:textId="77777777" w:rsidR="00E37C56" w:rsidRPr="00E37C56" w:rsidRDefault="00E37C56" w:rsidP="00E37C56">
            <w:pPr>
              <w:ind w:left="38"/>
              <w:rPr>
                <w:sz w:val="24"/>
                <w:szCs w:val="24"/>
                <w:lang w:val="da-DK"/>
              </w:rPr>
            </w:pPr>
            <w:r w:rsidRPr="00E37C56">
              <w:rPr>
                <w:b/>
                <w:bCs/>
                <w:sz w:val="24"/>
                <w:szCs w:val="24"/>
                <w:lang w:val="da-DK"/>
              </w:rPr>
              <w:t>Ikke kendt:</w:t>
            </w:r>
            <w:r w:rsidRPr="00E37C56">
              <w:rPr>
                <w:sz w:val="24"/>
                <w:szCs w:val="24"/>
                <w:lang w:val="da-DK"/>
              </w:rPr>
              <w:t xml:space="preserve"> restriktiv kardiomyopati, myokardieinfarkt, supraventrikulær takykardi</w:t>
            </w:r>
            <w:r w:rsidRPr="00E37C56">
              <w:rPr>
                <w:sz w:val="24"/>
                <w:szCs w:val="24"/>
                <w:vertAlign w:val="superscript"/>
                <w:lang w:val="da-DK"/>
              </w:rPr>
              <w:t>e</w:t>
            </w:r>
            <w:r w:rsidRPr="00E37C56">
              <w:rPr>
                <w:sz w:val="24"/>
                <w:szCs w:val="24"/>
                <w:lang w:val="da-DK"/>
              </w:rPr>
              <w:t>, myokardieiskæmi, myokarditis/perikarditis</w:t>
            </w:r>
          </w:p>
        </w:tc>
      </w:tr>
      <w:tr w:rsidR="00E37C56" w:rsidRPr="00E37C56" w14:paraId="2B9A0CAA" w14:textId="77777777" w:rsidTr="00E37C56">
        <w:tc>
          <w:tcPr>
            <w:tcW w:w="3679" w:type="dxa"/>
            <w:tcBorders>
              <w:top w:val="single" w:sz="4" w:space="0" w:color="auto"/>
              <w:left w:val="single" w:sz="4" w:space="0" w:color="auto"/>
              <w:bottom w:val="single" w:sz="4" w:space="0" w:color="auto"/>
              <w:right w:val="single" w:sz="4" w:space="0" w:color="auto"/>
            </w:tcBorders>
            <w:hideMark/>
          </w:tcPr>
          <w:p w14:paraId="40569FD3" w14:textId="77777777" w:rsidR="00E37C56" w:rsidRPr="00E37C56" w:rsidRDefault="00E37C56" w:rsidP="00E37C56">
            <w:pPr>
              <w:ind w:left="32"/>
              <w:rPr>
                <w:b/>
                <w:bCs/>
                <w:sz w:val="24"/>
                <w:szCs w:val="24"/>
              </w:rPr>
            </w:pPr>
            <w:r w:rsidRPr="00E37C56">
              <w:rPr>
                <w:b/>
                <w:bCs/>
                <w:sz w:val="24"/>
                <w:szCs w:val="24"/>
              </w:rPr>
              <w:t>Vaskulære sygdomme</w:t>
            </w:r>
          </w:p>
        </w:tc>
        <w:tc>
          <w:tcPr>
            <w:tcW w:w="5376" w:type="dxa"/>
            <w:tcBorders>
              <w:top w:val="single" w:sz="4" w:space="0" w:color="auto"/>
              <w:left w:val="single" w:sz="4" w:space="0" w:color="auto"/>
              <w:bottom w:val="single" w:sz="4" w:space="0" w:color="auto"/>
              <w:right w:val="single" w:sz="4" w:space="0" w:color="auto"/>
            </w:tcBorders>
            <w:hideMark/>
          </w:tcPr>
          <w:p w14:paraId="563E3592" w14:textId="77777777" w:rsidR="00E37C56" w:rsidRPr="00E37C56" w:rsidRDefault="00E37C56" w:rsidP="00E37C56">
            <w:pPr>
              <w:ind w:left="38"/>
              <w:rPr>
                <w:sz w:val="24"/>
                <w:szCs w:val="24"/>
                <w:lang w:val="da-DK"/>
              </w:rPr>
            </w:pPr>
            <w:r w:rsidRPr="00E37C56">
              <w:rPr>
                <w:b/>
                <w:bCs/>
                <w:sz w:val="24"/>
                <w:szCs w:val="24"/>
                <w:lang w:val="da-DK"/>
              </w:rPr>
              <w:t>Ikke kendt:</w:t>
            </w:r>
            <w:r w:rsidRPr="00E37C56">
              <w:rPr>
                <w:sz w:val="24"/>
                <w:szCs w:val="24"/>
                <w:lang w:val="da-DK"/>
              </w:rPr>
              <w:t xml:space="preserve"> shock, blødning, flebosklerose, tromboflebitis, hedeture</w:t>
            </w:r>
          </w:p>
        </w:tc>
      </w:tr>
      <w:tr w:rsidR="00E37C56" w:rsidRPr="00E37C56" w14:paraId="06301C6B" w14:textId="77777777" w:rsidTr="00E37C56">
        <w:tc>
          <w:tcPr>
            <w:tcW w:w="3679" w:type="dxa"/>
            <w:tcBorders>
              <w:top w:val="single" w:sz="4" w:space="0" w:color="auto"/>
              <w:left w:val="single" w:sz="4" w:space="0" w:color="auto"/>
              <w:bottom w:val="single" w:sz="4" w:space="0" w:color="auto"/>
              <w:right w:val="single" w:sz="4" w:space="0" w:color="auto"/>
            </w:tcBorders>
            <w:hideMark/>
          </w:tcPr>
          <w:p w14:paraId="4FE49B71" w14:textId="77777777" w:rsidR="00E37C56" w:rsidRPr="00E37C56" w:rsidRDefault="00E37C56" w:rsidP="00E37C56">
            <w:pPr>
              <w:ind w:left="32"/>
              <w:rPr>
                <w:b/>
                <w:bCs/>
                <w:sz w:val="24"/>
                <w:szCs w:val="24"/>
              </w:rPr>
            </w:pPr>
            <w:r w:rsidRPr="00E37C56">
              <w:rPr>
                <w:b/>
                <w:bCs/>
                <w:sz w:val="24"/>
                <w:szCs w:val="24"/>
              </w:rPr>
              <w:t>Luftveje, thorax og mediastinum</w:t>
            </w:r>
          </w:p>
        </w:tc>
        <w:tc>
          <w:tcPr>
            <w:tcW w:w="5376" w:type="dxa"/>
            <w:tcBorders>
              <w:top w:val="single" w:sz="4" w:space="0" w:color="auto"/>
              <w:left w:val="single" w:sz="4" w:space="0" w:color="auto"/>
              <w:bottom w:val="single" w:sz="4" w:space="0" w:color="auto"/>
              <w:right w:val="single" w:sz="4" w:space="0" w:color="auto"/>
            </w:tcBorders>
            <w:hideMark/>
          </w:tcPr>
          <w:p w14:paraId="102C150C" w14:textId="77777777" w:rsidR="00E37C56" w:rsidRPr="00E37C56" w:rsidRDefault="00E37C56" w:rsidP="00E37C56">
            <w:pPr>
              <w:ind w:left="38"/>
              <w:rPr>
                <w:sz w:val="24"/>
                <w:szCs w:val="24"/>
                <w:lang w:val="da-DK"/>
              </w:rPr>
            </w:pPr>
            <w:r w:rsidRPr="00E37C56">
              <w:rPr>
                <w:b/>
                <w:bCs/>
                <w:sz w:val="24"/>
                <w:szCs w:val="24"/>
                <w:lang w:val="da-DK"/>
              </w:rPr>
              <w:t>Ikke kendt:</w:t>
            </w:r>
            <w:r w:rsidRPr="00E37C56">
              <w:rPr>
                <w:sz w:val="24"/>
                <w:szCs w:val="24"/>
                <w:lang w:val="da-DK"/>
              </w:rPr>
              <w:t xml:space="preserve"> hypoksi, pulmonal toksicitet</w:t>
            </w:r>
          </w:p>
        </w:tc>
      </w:tr>
      <w:tr w:rsidR="00E37C56" w:rsidRPr="00E37C56" w14:paraId="4479CB4B" w14:textId="77777777" w:rsidTr="00E37C56">
        <w:tc>
          <w:tcPr>
            <w:tcW w:w="3679" w:type="dxa"/>
            <w:tcBorders>
              <w:top w:val="single" w:sz="4" w:space="0" w:color="auto"/>
              <w:left w:val="single" w:sz="4" w:space="0" w:color="auto"/>
              <w:bottom w:val="single" w:sz="4" w:space="0" w:color="auto"/>
              <w:right w:val="single" w:sz="4" w:space="0" w:color="auto"/>
            </w:tcBorders>
            <w:hideMark/>
          </w:tcPr>
          <w:p w14:paraId="7EBEEB0A" w14:textId="77777777" w:rsidR="00E37C56" w:rsidRPr="00E37C56" w:rsidRDefault="00E37C56" w:rsidP="00E37C56">
            <w:pPr>
              <w:ind w:left="32"/>
              <w:rPr>
                <w:b/>
                <w:bCs/>
                <w:sz w:val="24"/>
                <w:szCs w:val="24"/>
              </w:rPr>
            </w:pPr>
            <w:r w:rsidRPr="00E37C56">
              <w:rPr>
                <w:b/>
                <w:bCs/>
                <w:sz w:val="24"/>
                <w:szCs w:val="24"/>
              </w:rPr>
              <w:t>Mave-tarm-kanalen</w:t>
            </w:r>
          </w:p>
        </w:tc>
        <w:tc>
          <w:tcPr>
            <w:tcW w:w="5376" w:type="dxa"/>
            <w:tcBorders>
              <w:top w:val="single" w:sz="4" w:space="0" w:color="auto"/>
              <w:left w:val="single" w:sz="4" w:space="0" w:color="auto"/>
              <w:bottom w:val="single" w:sz="4" w:space="0" w:color="auto"/>
              <w:right w:val="single" w:sz="4" w:space="0" w:color="auto"/>
            </w:tcBorders>
            <w:hideMark/>
          </w:tcPr>
          <w:p w14:paraId="7D4BEB58" w14:textId="77777777" w:rsidR="00E37C56" w:rsidRPr="00E37C56" w:rsidRDefault="00E37C56" w:rsidP="00E37C56">
            <w:pPr>
              <w:ind w:left="38"/>
              <w:rPr>
                <w:sz w:val="24"/>
                <w:szCs w:val="24"/>
                <w:lang w:val="da-DK"/>
              </w:rPr>
            </w:pPr>
            <w:r w:rsidRPr="00E37C56">
              <w:rPr>
                <w:b/>
                <w:bCs/>
                <w:sz w:val="24"/>
                <w:szCs w:val="24"/>
                <w:lang w:val="da-DK"/>
              </w:rPr>
              <w:t>Almindelig:</w:t>
            </w:r>
            <w:r w:rsidRPr="00E37C56">
              <w:rPr>
                <w:sz w:val="24"/>
                <w:szCs w:val="24"/>
                <w:lang w:val="da-DK"/>
              </w:rPr>
              <w:t xml:space="preserve"> mavesmerter, inflammation i slimhinden, diarré, opkastning, kvalme</w:t>
            </w:r>
          </w:p>
          <w:p w14:paraId="649093F7" w14:textId="77777777" w:rsidR="00E37C56" w:rsidRPr="00E37C56" w:rsidRDefault="00E37C56" w:rsidP="00E37C56">
            <w:pPr>
              <w:ind w:left="38"/>
              <w:rPr>
                <w:sz w:val="24"/>
                <w:szCs w:val="24"/>
                <w:lang w:val="da-DK"/>
              </w:rPr>
            </w:pPr>
            <w:r w:rsidRPr="00E37C56">
              <w:rPr>
                <w:b/>
                <w:bCs/>
                <w:sz w:val="24"/>
                <w:szCs w:val="24"/>
                <w:lang w:val="da-DK"/>
              </w:rPr>
              <w:t>Ikke almindelig:</w:t>
            </w:r>
            <w:r w:rsidRPr="00E37C56">
              <w:rPr>
                <w:sz w:val="24"/>
                <w:szCs w:val="24"/>
                <w:lang w:val="da-DK"/>
              </w:rPr>
              <w:t xml:space="preserve"> enterocolitis, stomatitis</w:t>
            </w:r>
          </w:p>
          <w:p w14:paraId="19895475" w14:textId="77777777" w:rsidR="00E37C56" w:rsidRPr="00E37C56" w:rsidRDefault="00E37C56" w:rsidP="00E37C56">
            <w:pPr>
              <w:ind w:left="38"/>
              <w:rPr>
                <w:sz w:val="24"/>
                <w:szCs w:val="24"/>
                <w:lang w:val="da-DK"/>
              </w:rPr>
            </w:pPr>
            <w:r w:rsidRPr="00E37C56">
              <w:rPr>
                <w:b/>
                <w:bCs/>
                <w:sz w:val="24"/>
                <w:szCs w:val="24"/>
                <w:lang w:val="da-DK"/>
              </w:rPr>
              <w:t>Ikke kendt:</w:t>
            </w:r>
            <w:r w:rsidRPr="00E37C56">
              <w:rPr>
                <w:sz w:val="24"/>
                <w:szCs w:val="24"/>
                <w:lang w:val="da-DK"/>
              </w:rPr>
              <w:t xml:space="preserve"> neutropenisk colitis, colitis, øsofagitis, mundsår, glossitis</w:t>
            </w:r>
          </w:p>
        </w:tc>
      </w:tr>
      <w:tr w:rsidR="00E37C56" w:rsidRPr="00E37C56" w14:paraId="16FA7B40" w14:textId="77777777" w:rsidTr="00E37C56">
        <w:tc>
          <w:tcPr>
            <w:tcW w:w="3679" w:type="dxa"/>
            <w:tcBorders>
              <w:top w:val="single" w:sz="4" w:space="0" w:color="auto"/>
              <w:left w:val="single" w:sz="4" w:space="0" w:color="auto"/>
              <w:bottom w:val="single" w:sz="4" w:space="0" w:color="auto"/>
              <w:right w:val="single" w:sz="4" w:space="0" w:color="auto"/>
            </w:tcBorders>
            <w:hideMark/>
          </w:tcPr>
          <w:p w14:paraId="0F78DE55" w14:textId="77777777" w:rsidR="00E37C56" w:rsidRPr="00E37C56" w:rsidRDefault="00E37C56" w:rsidP="00E37C56">
            <w:pPr>
              <w:ind w:left="32"/>
              <w:rPr>
                <w:b/>
                <w:bCs/>
                <w:sz w:val="24"/>
                <w:szCs w:val="24"/>
              </w:rPr>
            </w:pPr>
            <w:r w:rsidRPr="00E37C56">
              <w:rPr>
                <w:b/>
                <w:bCs/>
                <w:sz w:val="24"/>
                <w:szCs w:val="24"/>
              </w:rPr>
              <w:t>Hud og subkutane væv</w:t>
            </w:r>
            <w:r w:rsidRPr="00E37C56">
              <w:rPr>
                <w:b/>
                <w:bCs/>
                <w:sz w:val="24"/>
                <w:szCs w:val="24"/>
                <w:vertAlign w:val="superscript"/>
              </w:rPr>
              <w:t>d</w:t>
            </w:r>
          </w:p>
        </w:tc>
        <w:tc>
          <w:tcPr>
            <w:tcW w:w="5376" w:type="dxa"/>
            <w:tcBorders>
              <w:top w:val="single" w:sz="4" w:space="0" w:color="auto"/>
              <w:left w:val="single" w:sz="4" w:space="0" w:color="auto"/>
              <w:bottom w:val="single" w:sz="4" w:space="0" w:color="auto"/>
              <w:right w:val="single" w:sz="4" w:space="0" w:color="auto"/>
            </w:tcBorders>
            <w:hideMark/>
          </w:tcPr>
          <w:p w14:paraId="2AF60D71" w14:textId="77777777" w:rsidR="00E37C56" w:rsidRPr="00E37C56" w:rsidRDefault="00E37C56" w:rsidP="00E37C56">
            <w:pPr>
              <w:ind w:left="38"/>
              <w:rPr>
                <w:sz w:val="24"/>
                <w:szCs w:val="24"/>
                <w:lang w:val="da-DK"/>
              </w:rPr>
            </w:pPr>
            <w:r w:rsidRPr="00E37C56">
              <w:rPr>
                <w:b/>
                <w:bCs/>
                <w:sz w:val="24"/>
                <w:szCs w:val="24"/>
                <w:lang w:val="da-DK"/>
              </w:rPr>
              <w:t>Almindelig:</w:t>
            </w:r>
            <w:r w:rsidRPr="00E37C56">
              <w:rPr>
                <w:sz w:val="24"/>
                <w:szCs w:val="24"/>
                <w:lang w:val="da-DK"/>
              </w:rPr>
              <w:t xml:space="preserve"> alopeci</w:t>
            </w:r>
          </w:p>
          <w:p w14:paraId="3C6E621F" w14:textId="77777777" w:rsidR="00E37C56" w:rsidRPr="00E37C56" w:rsidRDefault="00E37C56" w:rsidP="00E37C56">
            <w:pPr>
              <w:ind w:left="38"/>
              <w:rPr>
                <w:sz w:val="24"/>
                <w:szCs w:val="24"/>
                <w:lang w:val="da-DK"/>
              </w:rPr>
            </w:pPr>
            <w:r w:rsidRPr="00E37C56">
              <w:rPr>
                <w:b/>
                <w:bCs/>
                <w:sz w:val="24"/>
                <w:szCs w:val="24"/>
                <w:lang w:val="da-DK"/>
              </w:rPr>
              <w:t>Ikke almindelig:</w:t>
            </w:r>
            <w:r w:rsidRPr="00E37C56">
              <w:rPr>
                <w:sz w:val="24"/>
                <w:szCs w:val="24"/>
                <w:lang w:val="da-DK"/>
              </w:rPr>
              <w:t xml:space="preserve"> urticaria, udslæt</w:t>
            </w:r>
          </w:p>
          <w:p w14:paraId="71B71055" w14:textId="77777777" w:rsidR="00E37C56" w:rsidRPr="00E37C56" w:rsidRDefault="00E37C56" w:rsidP="00E37C56">
            <w:pPr>
              <w:ind w:left="38"/>
              <w:rPr>
                <w:sz w:val="24"/>
                <w:szCs w:val="24"/>
                <w:lang w:val="da-DK"/>
              </w:rPr>
            </w:pPr>
            <w:r w:rsidRPr="00E37C56">
              <w:rPr>
                <w:b/>
                <w:bCs/>
                <w:sz w:val="24"/>
                <w:szCs w:val="24"/>
                <w:lang w:val="da-DK"/>
              </w:rPr>
              <w:t>Ikke kendt:</w:t>
            </w:r>
            <w:r w:rsidRPr="00E37C56">
              <w:rPr>
                <w:sz w:val="24"/>
                <w:szCs w:val="24"/>
                <w:lang w:val="da-DK"/>
              </w:rPr>
              <w:t xml:space="preserve"> angioneurotisk ødem, tilbagevendende reaktioner (</w:t>
            </w:r>
            <w:r w:rsidRPr="00E37C56">
              <w:rPr>
                <w:i/>
                <w:iCs/>
                <w:sz w:val="24"/>
                <w:szCs w:val="24"/>
                <w:lang w:val="da-DK"/>
              </w:rPr>
              <w:t>recall</w:t>
            </w:r>
            <w:r w:rsidRPr="00E37C56">
              <w:rPr>
                <w:sz w:val="24"/>
                <w:szCs w:val="24"/>
                <w:lang w:val="da-DK"/>
              </w:rPr>
              <w:t>-fænomen), neglepigmentering, hyperpigmentering af huden, kontaktdermatitis, erytem, pruritus</w:t>
            </w:r>
          </w:p>
        </w:tc>
      </w:tr>
      <w:tr w:rsidR="00E37C56" w:rsidRPr="00E37C56" w14:paraId="28ED3EA5" w14:textId="77777777" w:rsidTr="00E37C56">
        <w:tc>
          <w:tcPr>
            <w:tcW w:w="3679" w:type="dxa"/>
            <w:tcBorders>
              <w:top w:val="single" w:sz="4" w:space="0" w:color="auto"/>
              <w:left w:val="single" w:sz="4" w:space="0" w:color="auto"/>
              <w:bottom w:val="single" w:sz="4" w:space="0" w:color="auto"/>
              <w:right w:val="single" w:sz="4" w:space="0" w:color="auto"/>
            </w:tcBorders>
            <w:hideMark/>
          </w:tcPr>
          <w:p w14:paraId="22570F28" w14:textId="77777777" w:rsidR="00E37C56" w:rsidRPr="00E37C56" w:rsidRDefault="00E37C56" w:rsidP="00E37C56">
            <w:pPr>
              <w:ind w:left="32"/>
              <w:rPr>
                <w:b/>
                <w:bCs/>
                <w:sz w:val="24"/>
                <w:szCs w:val="24"/>
              </w:rPr>
            </w:pPr>
            <w:r w:rsidRPr="00E37C56">
              <w:rPr>
                <w:b/>
                <w:bCs/>
                <w:sz w:val="24"/>
                <w:szCs w:val="24"/>
              </w:rPr>
              <w:t>Nyrer og urinveje</w:t>
            </w:r>
          </w:p>
        </w:tc>
        <w:tc>
          <w:tcPr>
            <w:tcW w:w="5376" w:type="dxa"/>
            <w:tcBorders>
              <w:top w:val="single" w:sz="4" w:space="0" w:color="auto"/>
              <w:left w:val="single" w:sz="4" w:space="0" w:color="auto"/>
              <w:bottom w:val="single" w:sz="4" w:space="0" w:color="auto"/>
              <w:right w:val="single" w:sz="4" w:space="0" w:color="auto"/>
            </w:tcBorders>
            <w:hideMark/>
          </w:tcPr>
          <w:p w14:paraId="00ED4142" w14:textId="77777777" w:rsidR="00E37C56" w:rsidRPr="00E37C56" w:rsidRDefault="00E37C56" w:rsidP="00E37C56">
            <w:pPr>
              <w:ind w:left="38"/>
              <w:rPr>
                <w:sz w:val="24"/>
                <w:szCs w:val="24"/>
                <w:lang w:val="da-DK"/>
              </w:rPr>
            </w:pPr>
            <w:r w:rsidRPr="00E37C56">
              <w:rPr>
                <w:b/>
                <w:bCs/>
                <w:sz w:val="24"/>
                <w:szCs w:val="24"/>
                <w:lang w:val="da-DK"/>
              </w:rPr>
              <w:t>Ikke kendt:</w:t>
            </w:r>
            <w:r w:rsidRPr="00E37C56">
              <w:rPr>
                <w:sz w:val="24"/>
                <w:szCs w:val="24"/>
                <w:lang w:val="da-DK"/>
              </w:rPr>
              <w:t xml:space="preserve"> nefrotisk syndrom</w:t>
            </w:r>
            <w:r w:rsidRPr="00E37C56">
              <w:rPr>
                <w:sz w:val="24"/>
                <w:szCs w:val="24"/>
                <w:vertAlign w:val="superscript"/>
                <w:lang w:val="da-DK"/>
              </w:rPr>
              <w:t>c</w:t>
            </w:r>
            <w:r w:rsidRPr="00E37C56">
              <w:rPr>
                <w:sz w:val="24"/>
                <w:szCs w:val="24"/>
                <w:lang w:val="da-DK"/>
              </w:rPr>
              <w:t>, urinsyre-nefropati</w:t>
            </w:r>
            <w:r w:rsidRPr="00E37C56">
              <w:rPr>
                <w:sz w:val="24"/>
                <w:szCs w:val="24"/>
                <w:vertAlign w:val="superscript"/>
                <w:lang w:val="da-DK"/>
              </w:rPr>
              <w:t>c</w:t>
            </w:r>
            <w:r w:rsidRPr="00E37C56">
              <w:rPr>
                <w:sz w:val="24"/>
                <w:szCs w:val="24"/>
                <w:lang w:val="da-DK"/>
              </w:rPr>
              <w:t>, kromaturi</w:t>
            </w:r>
            <w:r w:rsidRPr="00E37C56">
              <w:rPr>
                <w:sz w:val="24"/>
                <w:szCs w:val="24"/>
                <w:vertAlign w:val="superscript"/>
                <w:lang w:val="da-DK"/>
              </w:rPr>
              <w:t>c, f</w:t>
            </w:r>
          </w:p>
        </w:tc>
      </w:tr>
      <w:tr w:rsidR="00E37C56" w:rsidRPr="00E37C56" w14:paraId="61A9B997" w14:textId="77777777" w:rsidTr="00E37C56">
        <w:tc>
          <w:tcPr>
            <w:tcW w:w="3679" w:type="dxa"/>
            <w:tcBorders>
              <w:top w:val="single" w:sz="4" w:space="0" w:color="auto"/>
              <w:left w:val="single" w:sz="4" w:space="0" w:color="auto"/>
              <w:bottom w:val="single" w:sz="4" w:space="0" w:color="auto"/>
              <w:right w:val="single" w:sz="4" w:space="0" w:color="auto"/>
            </w:tcBorders>
            <w:hideMark/>
          </w:tcPr>
          <w:p w14:paraId="3089063A" w14:textId="77777777" w:rsidR="00E37C56" w:rsidRPr="00E37C56" w:rsidRDefault="00E37C56" w:rsidP="00E37C56">
            <w:pPr>
              <w:ind w:left="32"/>
              <w:rPr>
                <w:b/>
                <w:bCs/>
                <w:sz w:val="24"/>
                <w:szCs w:val="24"/>
                <w:lang w:val="da-DK"/>
              </w:rPr>
            </w:pPr>
            <w:r w:rsidRPr="00E37C56">
              <w:rPr>
                <w:b/>
                <w:bCs/>
                <w:sz w:val="24"/>
                <w:szCs w:val="24"/>
                <w:lang w:val="da-DK"/>
              </w:rPr>
              <w:t>Det reproduktive system og mammae</w:t>
            </w:r>
          </w:p>
        </w:tc>
        <w:tc>
          <w:tcPr>
            <w:tcW w:w="5376" w:type="dxa"/>
            <w:tcBorders>
              <w:top w:val="single" w:sz="4" w:space="0" w:color="auto"/>
              <w:left w:val="single" w:sz="4" w:space="0" w:color="auto"/>
              <w:bottom w:val="single" w:sz="4" w:space="0" w:color="auto"/>
              <w:right w:val="single" w:sz="4" w:space="0" w:color="auto"/>
            </w:tcBorders>
            <w:hideMark/>
          </w:tcPr>
          <w:p w14:paraId="13C0AC96" w14:textId="77777777" w:rsidR="00E37C56" w:rsidRPr="00E37C56" w:rsidRDefault="00E37C56" w:rsidP="00E37C56">
            <w:pPr>
              <w:ind w:left="38"/>
              <w:rPr>
                <w:sz w:val="24"/>
                <w:szCs w:val="24"/>
                <w:lang w:val="da-DK"/>
              </w:rPr>
            </w:pPr>
            <w:r w:rsidRPr="00E37C56">
              <w:rPr>
                <w:b/>
                <w:bCs/>
                <w:sz w:val="24"/>
                <w:szCs w:val="24"/>
                <w:lang w:val="da-DK"/>
              </w:rPr>
              <w:t>Ikke kendt:</w:t>
            </w:r>
            <w:r w:rsidRPr="00E37C56">
              <w:rPr>
                <w:sz w:val="24"/>
                <w:szCs w:val="24"/>
                <w:lang w:val="da-DK"/>
              </w:rPr>
              <w:t xml:space="preserve"> infertilitet</w:t>
            </w:r>
            <w:r w:rsidRPr="00E37C56">
              <w:rPr>
                <w:sz w:val="24"/>
                <w:szCs w:val="24"/>
                <w:vertAlign w:val="superscript"/>
                <w:lang w:val="da-DK"/>
              </w:rPr>
              <w:t>c</w:t>
            </w:r>
            <w:r w:rsidRPr="00E37C56">
              <w:rPr>
                <w:sz w:val="24"/>
                <w:szCs w:val="24"/>
                <w:lang w:val="da-DK"/>
              </w:rPr>
              <w:t>, azoospermi, amenoré, oligospermi</w:t>
            </w:r>
          </w:p>
        </w:tc>
      </w:tr>
      <w:tr w:rsidR="00E37C56" w:rsidRPr="00E37C56" w14:paraId="72580FA7" w14:textId="77777777" w:rsidTr="00E37C56">
        <w:tc>
          <w:tcPr>
            <w:tcW w:w="3679" w:type="dxa"/>
            <w:tcBorders>
              <w:top w:val="single" w:sz="4" w:space="0" w:color="auto"/>
              <w:left w:val="single" w:sz="4" w:space="0" w:color="auto"/>
              <w:bottom w:val="single" w:sz="4" w:space="0" w:color="auto"/>
              <w:right w:val="single" w:sz="4" w:space="0" w:color="auto"/>
            </w:tcBorders>
            <w:hideMark/>
          </w:tcPr>
          <w:p w14:paraId="4741B5CD" w14:textId="77777777" w:rsidR="00E37C56" w:rsidRPr="00E37C56" w:rsidRDefault="00E37C56" w:rsidP="00E37C56">
            <w:pPr>
              <w:ind w:left="32"/>
              <w:rPr>
                <w:b/>
                <w:bCs/>
                <w:sz w:val="24"/>
                <w:szCs w:val="24"/>
                <w:lang w:val="da-DK"/>
              </w:rPr>
            </w:pPr>
            <w:r w:rsidRPr="00E37C56">
              <w:rPr>
                <w:b/>
                <w:bCs/>
                <w:sz w:val="24"/>
                <w:szCs w:val="24"/>
                <w:lang w:val="da-DK"/>
              </w:rPr>
              <w:t>Medfødte, familiære og genetiske sygdomme</w:t>
            </w:r>
          </w:p>
        </w:tc>
        <w:tc>
          <w:tcPr>
            <w:tcW w:w="5376" w:type="dxa"/>
            <w:tcBorders>
              <w:top w:val="single" w:sz="4" w:space="0" w:color="auto"/>
              <w:left w:val="single" w:sz="4" w:space="0" w:color="auto"/>
              <w:bottom w:val="single" w:sz="4" w:space="0" w:color="auto"/>
              <w:right w:val="single" w:sz="4" w:space="0" w:color="auto"/>
            </w:tcBorders>
            <w:hideMark/>
          </w:tcPr>
          <w:p w14:paraId="3EE856D5" w14:textId="77777777" w:rsidR="00E37C56" w:rsidRPr="00E37C56" w:rsidRDefault="00E37C56" w:rsidP="00E37C56">
            <w:pPr>
              <w:ind w:left="38"/>
              <w:rPr>
                <w:sz w:val="24"/>
                <w:szCs w:val="24"/>
              </w:rPr>
            </w:pPr>
            <w:r w:rsidRPr="00E37C56">
              <w:rPr>
                <w:b/>
                <w:bCs/>
                <w:sz w:val="24"/>
                <w:szCs w:val="24"/>
              </w:rPr>
              <w:t>Ikke kendt:</w:t>
            </w:r>
            <w:r w:rsidRPr="00E37C56">
              <w:rPr>
                <w:sz w:val="24"/>
                <w:szCs w:val="24"/>
              </w:rPr>
              <w:t xml:space="preserve"> aplasi</w:t>
            </w:r>
          </w:p>
        </w:tc>
      </w:tr>
      <w:tr w:rsidR="00E37C56" w:rsidRPr="00E37C56" w14:paraId="7495725A" w14:textId="77777777" w:rsidTr="00E37C56">
        <w:tc>
          <w:tcPr>
            <w:tcW w:w="3679" w:type="dxa"/>
            <w:tcBorders>
              <w:top w:val="single" w:sz="4" w:space="0" w:color="auto"/>
              <w:left w:val="single" w:sz="4" w:space="0" w:color="auto"/>
              <w:bottom w:val="single" w:sz="4" w:space="0" w:color="auto"/>
              <w:right w:val="single" w:sz="4" w:space="0" w:color="auto"/>
            </w:tcBorders>
            <w:hideMark/>
          </w:tcPr>
          <w:p w14:paraId="375D778C" w14:textId="77777777" w:rsidR="00E37C56" w:rsidRPr="00E37C56" w:rsidRDefault="00E37C56" w:rsidP="00E37C56">
            <w:pPr>
              <w:ind w:left="32"/>
              <w:rPr>
                <w:b/>
                <w:bCs/>
                <w:sz w:val="24"/>
                <w:szCs w:val="24"/>
                <w:lang w:val="da-DK"/>
              </w:rPr>
            </w:pPr>
            <w:r w:rsidRPr="00E37C56">
              <w:rPr>
                <w:b/>
                <w:bCs/>
                <w:sz w:val="24"/>
                <w:szCs w:val="24"/>
                <w:lang w:val="da-DK"/>
              </w:rPr>
              <w:t>Almene symptomer og reaktioner på administrationsstedet</w:t>
            </w:r>
          </w:p>
        </w:tc>
        <w:tc>
          <w:tcPr>
            <w:tcW w:w="5376" w:type="dxa"/>
            <w:tcBorders>
              <w:top w:val="single" w:sz="4" w:space="0" w:color="auto"/>
              <w:left w:val="single" w:sz="4" w:space="0" w:color="auto"/>
              <w:bottom w:val="single" w:sz="4" w:space="0" w:color="auto"/>
              <w:right w:val="single" w:sz="4" w:space="0" w:color="auto"/>
            </w:tcBorders>
            <w:hideMark/>
          </w:tcPr>
          <w:p w14:paraId="17C015B2" w14:textId="77777777" w:rsidR="00E37C56" w:rsidRPr="00E37C56" w:rsidRDefault="00E37C56" w:rsidP="00E37C56">
            <w:pPr>
              <w:ind w:left="38"/>
              <w:rPr>
                <w:sz w:val="24"/>
                <w:szCs w:val="24"/>
                <w:lang w:val="da-DK"/>
              </w:rPr>
            </w:pPr>
            <w:r w:rsidRPr="00E37C56">
              <w:rPr>
                <w:b/>
                <w:bCs/>
                <w:sz w:val="24"/>
                <w:szCs w:val="24"/>
                <w:lang w:val="da-DK"/>
              </w:rPr>
              <w:t>Almindelig:</w:t>
            </w:r>
            <w:r w:rsidRPr="00E37C56">
              <w:rPr>
                <w:sz w:val="24"/>
                <w:szCs w:val="24"/>
                <w:lang w:val="da-DK"/>
              </w:rPr>
              <w:t xml:space="preserve"> pyreksi</w:t>
            </w:r>
            <w:r w:rsidRPr="00E37C56">
              <w:rPr>
                <w:sz w:val="24"/>
                <w:szCs w:val="24"/>
                <w:vertAlign w:val="superscript"/>
                <w:lang w:val="da-DK"/>
              </w:rPr>
              <w:t>c</w:t>
            </w:r>
          </w:p>
          <w:p w14:paraId="3F0D0D5A" w14:textId="77777777" w:rsidR="00E37C56" w:rsidRPr="00E37C56" w:rsidRDefault="00E37C56" w:rsidP="00E37C56">
            <w:pPr>
              <w:ind w:left="38"/>
              <w:rPr>
                <w:sz w:val="24"/>
                <w:szCs w:val="24"/>
                <w:lang w:val="da-DK"/>
              </w:rPr>
            </w:pPr>
            <w:r w:rsidRPr="00E37C56">
              <w:rPr>
                <w:b/>
                <w:bCs/>
                <w:sz w:val="24"/>
                <w:szCs w:val="24"/>
                <w:lang w:val="da-DK"/>
              </w:rPr>
              <w:t>Ikke almindelig:</w:t>
            </w:r>
            <w:r w:rsidRPr="00E37C56">
              <w:rPr>
                <w:sz w:val="24"/>
                <w:szCs w:val="24"/>
                <w:lang w:val="da-DK"/>
              </w:rPr>
              <w:t xml:space="preserve"> ekstravasation</w:t>
            </w:r>
            <w:r w:rsidRPr="00E37C56">
              <w:rPr>
                <w:sz w:val="24"/>
                <w:szCs w:val="24"/>
                <w:vertAlign w:val="superscript"/>
                <w:lang w:val="da-DK"/>
              </w:rPr>
              <w:t>g</w:t>
            </w:r>
          </w:p>
          <w:p w14:paraId="72C61EAB" w14:textId="77777777" w:rsidR="00E37C56" w:rsidRPr="00E37C56" w:rsidRDefault="00E37C56" w:rsidP="00E37C56">
            <w:pPr>
              <w:ind w:left="38"/>
              <w:rPr>
                <w:sz w:val="24"/>
                <w:szCs w:val="24"/>
                <w:lang w:val="da-DK"/>
              </w:rPr>
            </w:pPr>
            <w:r w:rsidRPr="00E37C56">
              <w:rPr>
                <w:b/>
                <w:bCs/>
                <w:sz w:val="24"/>
                <w:szCs w:val="24"/>
                <w:lang w:val="da-DK"/>
              </w:rPr>
              <w:t>Sjælden:</w:t>
            </w:r>
            <w:r w:rsidRPr="00E37C56">
              <w:rPr>
                <w:sz w:val="24"/>
                <w:szCs w:val="24"/>
                <w:lang w:val="da-DK"/>
              </w:rPr>
              <w:t xml:space="preserve"> nekrose på administrationsstedet</w:t>
            </w:r>
          </w:p>
          <w:p w14:paraId="35937252" w14:textId="77777777" w:rsidR="00E37C56" w:rsidRPr="00E37C56" w:rsidRDefault="00E37C56" w:rsidP="00E37C56">
            <w:pPr>
              <w:ind w:left="38"/>
              <w:rPr>
                <w:sz w:val="24"/>
                <w:szCs w:val="24"/>
                <w:lang w:val="da-DK"/>
              </w:rPr>
            </w:pPr>
            <w:r w:rsidRPr="00E37C56">
              <w:rPr>
                <w:b/>
                <w:bCs/>
                <w:sz w:val="24"/>
                <w:szCs w:val="24"/>
                <w:lang w:val="da-DK"/>
              </w:rPr>
              <w:t>Ikke kendt:</w:t>
            </w:r>
            <w:r w:rsidRPr="00E37C56">
              <w:rPr>
                <w:sz w:val="24"/>
                <w:szCs w:val="24"/>
                <w:lang w:val="da-DK"/>
              </w:rPr>
              <w:t xml:space="preserve"> død, smerte, flebitis på infusionsstedet</w:t>
            </w:r>
            <w:r w:rsidRPr="00E37C56">
              <w:rPr>
                <w:sz w:val="24"/>
                <w:szCs w:val="24"/>
                <w:vertAlign w:val="superscript"/>
                <w:lang w:val="da-DK"/>
              </w:rPr>
              <w:t>c</w:t>
            </w:r>
            <w:r w:rsidRPr="00E37C56">
              <w:rPr>
                <w:sz w:val="24"/>
                <w:szCs w:val="24"/>
                <w:lang w:val="da-DK"/>
              </w:rPr>
              <w:t>, kulderystelser</w:t>
            </w:r>
          </w:p>
        </w:tc>
      </w:tr>
      <w:tr w:rsidR="00E37C56" w:rsidRPr="00E37C56" w14:paraId="06E34F9C" w14:textId="77777777" w:rsidTr="00E37C56">
        <w:tc>
          <w:tcPr>
            <w:tcW w:w="3679" w:type="dxa"/>
            <w:tcBorders>
              <w:top w:val="single" w:sz="4" w:space="0" w:color="auto"/>
              <w:left w:val="single" w:sz="4" w:space="0" w:color="auto"/>
              <w:bottom w:val="single" w:sz="4" w:space="0" w:color="auto"/>
              <w:right w:val="single" w:sz="4" w:space="0" w:color="auto"/>
            </w:tcBorders>
            <w:hideMark/>
          </w:tcPr>
          <w:p w14:paraId="2450DA3D" w14:textId="77777777" w:rsidR="00E37C56" w:rsidRPr="00E37C56" w:rsidRDefault="00E37C56" w:rsidP="00E37C56">
            <w:pPr>
              <w:ind w:left="32"/>
              <w:rPr>
                <w:b/>
                <w:bCs/>
                <w:sz w:val="24"/>
                <w:szCs w:val="24"/>
              </w:rPr>
            </w:pPr>
            <w:r w:rsidRPr="00E37C56">
              <w:rPr>
                <w:b/>
                <w:bCs/>
                <w:sz w:val="24"/>
                <w:szCs w:val="24"/>
              </w:rPr>
              <w:t>Undersøgelser</w:t>
            </w:r>
          </w:p>
        </w:tc>
        <w:tc>
          <w:tcPr>
            <w:tcW w:w="5376" w:type="dxa"/>
            <w:tcBorders>
              <w:top w:val="single" w:sz="4" w:space="0" w:color="auto"/>
              <w:left w:val="single" w:sz="4" w:space="0" w:color="auto"/>
              <w:bottom w:val="single" w:sz="4" w:space="0" w:color="auto"/>
              <w:right w:val="single" w:sz="4" w:space="0" w:color="auto"/>
            </w:tcBorders>
            <w:hideMark/>
          </w:tcPr>
          <w:p w14:paraId="4CD10D3B" w14:textId="77777777" w:rsidR="00E37C56" w:rsidRPr="00E37C56" w:rsidRDefault="00E37C56" w:rsidP="00E37C56">
            <w:pPr>
              <w:ind w:left="38"/>
              <w:rPr>
                <w:sz w:val="24"/>
                <w:szCs w:val="24"/>
                <w:lang w:val="da-DK"/>
              </w:rPr>
            </w:pPr>
            <w:r w:rsidRPr="00E37C56">
              <w:rPr>
                <w:b/>
                <w:bCs/>
                <w:sz w:val="24"/>
                <w:szCs w:val="24"/>
                <w:lang w:val="da-DK"/>
              </w:rPr>
              <w:t>Ikke almindelig:</w:t>
            </w:r>
            <w:r w:rsidRPr="00E37C56">
              <w:rPr>
                <w:sz w:val="24"/>
                <w:szCs w:val="24"/>
                <w:lang w:val="da-DK"/>
              </w:rPr>
              <w:t xml:space="preserve"> </w:t>
            </w:r>
            <w:bookmarkStart w:id="1" w:name="_Hlk137747383"/>
            <w:r w:rsidRPr="00E37C56">
              <w:rPr>
                <w:sz w:val="24"/>
                <w:szCs w:val="24"/>
                <w:lang w:val="da-DK"/>
              </w:rPr>
              <w:t>unormalt elektrokardiogram</w:t>
            </w:r>
            <w:bookmarkEnd w:id="1"/>
            <w:r w:rsidRPr="00E37C56">
              <w:rPr>
                <w:sz w:val="24"/>
                <w:szCs w:val="24"/>
                <w:vertAlign w:val="superscript"/>
                <w:lang w:val="da-DK"/>
              </w:rPr>
              <w:t>h</w:t>
            </w:r>
          </w:p>
          <w:p w14:paraId="0AF57DAF" w14:textId="77777777" w:rsidR="00E37C56" w:rsidRPr="00E37C56" w:rsidRDefault="00E37C56" w:rsidP="00E37C56">
            <w:pPr>
              <w:ind w:left="38"/>
              <w:rPr>
                <w:sz w:val="24"/>
                <w:szCs w:val="24"/>
                <w:lang w:val="da-DK"/>
              </w:rPr>
            </w:pPr>
            <w:r w:rsidRPr="00E37C56">
              <w:rPr>
                <w:b/>
                <w:bCs/>
                <w:sz w:val="24"/>
                <w:szCs w:val="24"/>
                <w:lang w:val="da-DK"/>
              </w:rPr>
              <w:t>Ikke kendt:</w:t>
            </w:r>
            <w:r w:rsidRPr="00E37C56">
              <w:rPr>
                <w:sz w:val="24"/>
                <w:szCs w:val="24"/>
                <w:lang w:val="da-DK"/>
              </w:rPr>
              <w:t xml:space="preserve"> QT</w:t>
            </w:r>
            <w:r w:rsidRPr="00E37C56">
              <w:rPr>
                <w:sz w:val="24"/>
                <w:szCs w:val="24"/>
                <w:lang w:val="da-DK"/>
              </w:rPr>
              <w:noBreakHyphen/>
              <w:t>forlængelse på elektrokardiogram, forhøjede leverenzymer (herunder bilirubin i blodet, aspartataminotransferase, alkalisk fosfatase i blodet)</w:t>
            </w:r>
          </w:p>
        </w:tc>
      </w:tr>
    </w:tbl>
    <w:p w14:paraId="5971CD84" w14:textId="77777777" w:rsidR="00E37C56" w:rsidRPr="00E37C56" w:rsidRDefault="00E37C56" w:rsidP="00E37C56">
      <w:pPr>
        <w:tabs>
          <w:tab w:val="left" w:pos="851"/>
        </w:tabs>
        <w:ind w:left="851"/>
        <w:rPr>
          <w:sz w:val="20"/>
        </w:rPr>
      </w:pPr>
      <w:r w:rsidRPr="00E37C56">
        <w:rPr>
          <w:sz w:val="20"/>
        </w:rPr>
        <w:t>a) Omfatter alvorlige infektioner (herunder septisk shock, sepsis/septikæmi og pneumoni), der undertiden kan være dødelige.</w:t>
      </w:r>
    </w:p>
    <w:p w14:paraId="7DE6237B" w14:textId="77777777" w:rsidR="00E37C56" w:rsidRPr="00E37C56" w:rsidRDefault="00E37C56" w:rsidP="00E37C56">
      <w:pPr>
        <w:tabs>
          <w:tab w:val="left" w:pos="851"/>
        </w:tabs>
        <w:ind w:left="851"/>
        <w:rPr>
          <w:sz w:val="20"/>
        </w:rPr>
      </w:pPr>
      <w:r w:rsidRPr="00E37C56">
        <w:rPr>
          <w:sz w:val="20"/>
        </w:rPr>
        <w:t>b) Der er blevet rapporteret sekundære maligniteter, herunder akut myeloid leukæmi, i forbindelse med daunorubicin, når det blev anvendt i kombination med andre antineoplastiske behandlinger, der vides at være forbundet med sekundære maligniteter.</w:t>
      </w:r>
    </w:p>
    <w:p w14:paraId="00EC206C" w14:textId="77777777" w:rsidR="00E37C56" w:rsidRPr="00E37C56" w:rsidRDefault="00E37C56" w:rsidP="00E37C56">
      <w:pPr>
        <w:tabs>
          <w:tab w:val="left" w:pos="851"/>
        </w:tabs>
        <w:ind w:left="851"/>
        <w:rPr>
          <w:sz w:val="20"/>
        </w:rPr>
      </w:pPr>
      <w:r w:rsidRPr="00E37C56">
        <w:rPr>
          <w:sz w:val="20"/>
        </w:rPr>
        <w:lastRenderedPageBreak/>
        <w:t>c) Se pkt. 4.4 Særlige advarsler og forsigtighedsregler vedrørende brugen.</w:t>
      </w:r>
    </w:p>
    <w:p w14:paraId="7DA470B9" w14:textId="77777777" w:rsidR="00E37C56" w:rsidRPr="00E37C56" w:rsidRDefault="00E37C56" w:rsidP="00E37C56">
      <w:pPr>
        <w:tabs>
          <w:tab w:val="left" w:pos="851"/>
        </w:tabs>
        <w:ind w:left="851"/>
        <w:rPr>
          <w:sz w:val="20"/>
        </w:rPr>
      </w:pPr>
      <w:r w:rsidRPr="00E37C56">
        <w:rPr>
          <w:sz w:val="20"/>
        </w:rPr>
        <w:t>d) Der er blevet rapporteret dødsfald.</w:t>
      </w:r>
    </w:p>
    <w:p w14:paraId="288570D5" w14:textId="77777777" w:rsidR="00E37C56" w:rsidRPr="00E37C56" w:rsidRDefault="00E37C56" w:rsidP="00E37C56">
      <w:pPr>
        <w:tabs>
          <w:tab w:val="left" w:pos="851"/>
        </w:tabs>
        <w:ind w:left="851"/>
        <w:rPr>
          <w:sz w:val="20"/>
        </w:rPr>
      </w:pPr>
      <w:r w:rsidRPr="00E37C56">
        <w:rPr>
          <w:sz w:val="20"/>
        </w:rPr>
        <w:t>e) Såsom sinustakykardi, for tidlige ventrikulære kontraktioner, hjerteblok.</w:t>
      </w:r>
    </w:p>
    <w:p w14:paraId="2246518E" w14:textId="77777777" w:rsidR="00E37C56" w:rsidRPr="00E37C56" w:rsidRDefault="00E37C56" w:rsidP="00E37C56">
      <w:pPr>
        <w:tabs>
          <w:tab w:val="left" w:pos="851"/>
        </w:tabs>
        <w:ind w:left="851"/>
        <w:rPr>
          <w:sz w:val="20"/>
        </w:rPr>
      </w:pPr>
      <w:r w:rsidRPr="00E37C56">
        <w:rPr>
          <w:sz w:val="20"/>
        </w:rPr>
        <w:t>f) Urinen kan være farvet rød i flere dage efter administration.</w:t>
      </w:r>
    </w:p>
    <w:p w14:paraId="7EB37492" w14:textId="77777777" w:rsidR="00E37C56" w:rsidRPr="00E37C56" w:rsidRDefault="00E37C56" w:rsidP="00E37C56">
      <w:pPr>
        <w:tabs>
          <w:tab w:val="left" w:pos="851"/>
        </w:tabs>
        <w:ind w:left="851"/>
        <w:rPr>
          <w:sz w:val="20"/>
        </w:rPr>
      </w:pPr>
      <w:r w:rsidRPr="00E37C56">
        <w:rPr>
          <w:sz w:val="20"/>
        </w:rPr>
        <w:t>g) Øjeblikkelig lokal smerte/brændende fornemmelse, svær cellulitis, smertefuld ulceration.</w:t>
      </w:r>
    </w:p>
    <w:p w14:paraId="458C09E3" w14:textId="77777777" w:rsidR="00E37C56" w:rsidRPr="00E37C56" w:rsidRDefault="00E37C56" w:rsidP="00E37C56">
      <w:pPr>
        <w:tabs>
          <w:tab w:val="left" w:pos="851"/>
        </w:tabs>
        <w:ind w:left="851"/>
        <w:rPr>
          <w:sz w:val="20"/>
        </w:rPr>
      </w:pPr>
      <w:r w:rsidRPr="00E37C56">
        <w:rPr>
          <w:sz w:val="20"/>
        </w:rPr>
        <w:t>h) Såsom uspecifikke ST</w:t>
      </w:r>
      <w:r w:rsidRPr="00E37C56">
        <w:rPr>
          <w:sz w:val="20"/>
        </w:rPr>
        <w:noBreakHyphen/>
        <w:t>T</w:t>
      </w:r>
      <w:r w:rsidRPr="00E37C56">
        <w:rPr>
          <w:sz w:val="20"/>
        </w:rPr>
        <w:noBreakHyphen/>
        <w:t>bølge-ændringer, lavvolts QRS</w:t>
      </w:r>
      <w:r w:rsidRPr="00E37C56">
        <w:rPr>
          <w:sz w:val="20"/>
        </w:rPr>
        <w:noBreakHyphen/>
        <w:t>kompleks, T</w:t>
      </w:r>
      <w:r w:rsidRPr="00E37C56">
        <w:rPr>
          <w:sz w:val="20"/>
        </w:rPr>
        <w:noBreakHyphen/>
        <w:t>bølger.</w:t>
      </w:r>
    </w:p>
    <w:p w14:paraId="28642541" w14:textId="77777777" w:rsidR="00E37C56" w:rsidRPr="00E37C56" w:rsidRDefault="00E37C56" w:rsidP="00E37C56">
      <w:pPr>
        <w:tabs>
          <w:tab w:val="left" w:pos="851"/>
        </w:tabs>
        <w:ind w:left="851"/>
        <w:rPr>
          <w:iCs/>
          <w:sz w:val="24"/>
          <w:szCs w:val="24"/>
        </w:rPr>
      </w:pPr>
    </w:p>
    <w:p w14:paraId="24F5F5A6" w14:textId="77777777" w:rsidR="00E37C56" w:rsidRPr="00E37C56" w:rsidRDefault="00E37C56" w:rsidP="00E37C56">
      <w:pPr>
        <w:tabs>
          <w:tab w:val="left" w:pos="851"/>
        </w:tabs>
        <w:ind w:left="851"/>
        <w:rPr>
          <w:b/>
          <w:bCs/>
          <w:iCs/>
          <w:sz w:val="24"/>
          <w:szCs w:val="24"/>
        </w:rPr>
      </w:pPr>
      <w:r w:rsidRPr="00E37C56">
        <w:rPr>
          <w:b/>
          <w:bCs/>
          <w:iCs/>
          <w:sz w:val="24"/>
          <w:szCs w:val="24"/>
        </w:rPr>
        <w:t>Beskrivelse af udvalgte bivirkninger</w:t>
      </w:r>
    </w:p>
    <w:p w14:paraId="0ADD9C47" w14:textId="77777777" w:rsidR="00E37C56" w:rsidRPr="00E37C56" w:rsidRDefault="00E37C56" w:rsidP="00E37C56">
      <w:pPr>
        <w:tabs>
          <w:tab w:val="left" w:pos="851"/>
        </w:tabs>
        <w:ind w:left="851"/>
        <w:rPr>
          <w:iCs/>
          <w:sz w:val="24"/>
          <w:szCs w:val="24"/>
        </w:rPr>
      </w:pPr>
    </w:p>
    <w:p w14:paraId="72C10165" w14:textId="77777777" w:rsidR="00E37C56" w:rsidRPr="00E37C56" w:rsidRDefault="00E37C56" w:rsidP="00E37C56">
      <w:pPr>
        <w:tabs>
          <w:tab w:val="left" w:pos="851"/>
        </w:tabs>
        <w:ind w:left="851"/>
        <w:rPr>
          <w:iCs/>
          <w:sz w:val="24"/>
          <w:szCs w:val="24"/>
          <w:u w:val="single"/>
        </w:rPr>
      </w:pPr>
      <w:r w:rsidRPr="00E37C56">
        <w:rPr>
          <w:iCs/>
          <w:sz w:val="24"/>
          <w:szCs w:val="24"/>
          <w:u w:val="single"/>
        </w:rPr>
        <w:t>Knoglemarvssuppression</w:t>
      </w:r>
    </w:p>
    <w:p w14:paraId="715F62F8" w14:textId="77777777" w:rsidR="00E37C56" w:rsidRPr="00E37C56" w:rsidRDefault="00E37C56" w:rsidP="00E37C56">
      <w:pPr>
        <w:tabs>
          <w:tab w:val="left" w:pos="851"/>
        </w:tabs>
        <w:ind w:left="851"/>
        <w:rPr>
          <w:iCs/>
          <w:sz w:val="24"/>
          <w:szCs w:val="24"/>
        </w:rPr>
      </w:pPr>
      <w:r w:rsidRPr="00E37C56">
        <w:rPr>
          <w:iCs/>
          <w:sz w:val="24"/>
          <w:szCs w:val="24"/>
        </w:rPr>
        <w:t>Efter administration af en terapeutisk dosis forekommer der markant suppression af knoglemarvsaktiviteten hos alle patienter (leukopeni, neutropeni, trombocytopeni; mere sjældent forekommer anæmi), og i mange tilfælde kan der udvikles svær aplasi med mulige komplikationer af svære infektioner, opportunistiske infektioner og blødning (se pkt. 4.4).</w:t>
      </w:r>
    </w:p>
    <w:p w14:paraId="7364B7DB" w14:textId="77777777" w:rsidR="00E37C56" w:rsidRPr="00E37C56" w:rsidRDefault="00E37C56" w:rsidP="00E37C56">
      <w:pPr>
        <w:tabs>
          <w:tab w:val="left" w:pos="851"/>
        </w:tabs>
        <w:ind w:left="851"/>
        <w:rPr>
          <w:iCs/>
          <w:sz w:val="24"/>
          <w:szCs w:val="24"/>
        </w:rPr>
      </w:pPr>
    </w:p>
    <w:p w14:paraId="79EE3ED2" w14:textId="77777777" w:rsidR="00E37C56" w:rsidRPr="00E37C56" w:rsidRDefault="00E37C56" w:rsidP="00E37C56">
      <w:pPr>
        <w:tabs>
          <w:tab w:val="left" w:pos="851"/>
        </w:tabs>
        <w:ind w:left="851"/>
        <w:rPr>
          <w:iCs/>
          <w:sz w:val="24"/>
          <w:szCs w:val="24"/>
        </w:rPr>
      </w:pPr>
      <w:r w:rsidRPr="00E37C56">
        <w:rPr>
          <w:iCs/>
          <w:sz w:val="24"/>
          <w:szCs w:val="24"/>
        </w:rPr>
        <w:t>Leukopeni og trombocytopeni er mest evidente mellem dag 10 og 14 efter påbegyndelse af behandlingen. 3 uger efter den sidste administration er knoglemarvssuppression genoprettet i de fleste tilfælde, men knoglemarvssuppression kan undertiden være forsinket, langvarig og kumulativ.</w:t>
      </w:r>
    </w:p>
    <w:p w14:paraId="43ECFEA4" w14:textId="77777777" w:rsidR="00E37C56" w:rsidRPr="00E37C56" w:rsidRDefault="00E37C56" w:rsidP="00E37C56">
      <w:pPr>
        <w:tabs>
          <w:tab w:val="left" w:pos="851"/>
        </w:tabs>
        <w:ind w:left="851"/>
        <w:rPr>
          <w:iCs/>
          <w:sz w:val="24"/>
          <w:szCs w:val="24"/>
        </w:rPr>
      </w:pPr>
    </w:p>
    <w:p w14:paraId="75F1B942" w14:textId="77777777" w:rsidR="00E37C56" w:rsidRPr="00E37C56" w:rsidRDefault="00E37C56" w:rsidP="00E37C56">
      <w:pPr>
        <w:tabs>
          <w:tab w:val="left" w:pos="851"/>
        </w:tabs>
        <w:ind w:left="851"/>
        <w:rPr>
          <w:iCs/>
          <w:sz w:val="24"/>
          <w:szCs w:val="24"/>
          <w:u w:val="single"/>
        </w:rPr>
      </w:pPr>
      <w:r w:rsidRPr="00E37C56">
        <w:rPr>
          <w:iCs/>
          <w:sz w:val="24"/>
          <w:szCs w:val="24"/>
          <w:u w:val="single"/>
        </w:rPr>
        <w:t>Hjerte</w:t>
      </w:r>
    </w:p>
    <w:p w14:paraId="555D1774" w14:textId="77777777" w:rsidR="00E37C56" w:rsidRPr="00E37C56" w:rsidRDefault="00E37C56" w:rsidP="00E37C56">
      <w:pPr>
        <w:tabs>
          <w:tab w:val="left" w:pos="851"/>
        </w:tabs>
        <w:ind w:left="851"/>
        <w:rPr>
          <w:iCs/>
          <w:sz w:val="24"/>
          <w:szCs w:val="24"/>
        </w:rPr>
      </w:pPr>
      <w:r w:rsidRPr="00E37C56">
        <w:rPr>
          <w:iCs/>
          <w:sz w:val="24"/>
          <w:szCs w:val="24"/>
        </w:rPr>
        <w:t>Den kumulative dosisbegrænsende bivirkning er kardiotoksicitet (se pkt. 4.4). Spektret af kardiotoksicitet spænder fra tidlige, forbigående ekg</w:t>
      </w:r>
      <w:r w:rsidRPr="00E37C56">
        <w:rPr>
          <w:iCs/>
          <w:sz w:val="24"/>
          <w:szCs w:val="24"/>
        </w:rPr>
        <w:noBreakHyphen/>
        <w:t>ændringer til sen, dosisrelateret, ofte ubemærket kardiomyopati. Det manifesterer sig klinisk i form af dyspnø, cyanose, perifert ødem, hepatomegali, ascites, pleuraeffusion og hjertesvigt, hvilket i nogle tilfælde medfører døden som følge af akut hjertesvigt. Sværhedsgraden og hyppigheden af disse bivirkninger afhænger af den kumulative dosis af daunorubicin.</w:t>
      </w:r>
    </w:p>
    <w:p w14:paraId="6F59AE5B" w14:textId="77777777" w:rsidR="00E37C56" w:rsidRPr="00E37C56" w:rsidRDefault="00E37C56" w:rsidP="00E37C56">
      <w:pPr>
        <w:tabs>
          <w:tab w:val="left" w:pos="851"/>
        </w:tabs>
        <w:ind w:left="851"/>
        <w:rPr>
          <w:iCs/>
          <w:sz w:val="24"/>
          <w:szCs w:val="24"/>
        </w:rPr>
      </w:pPr>
    </w:p>
    <w:p w14:paraId="5E82C481" w14:textId="77777777" w:rsidR="00E37C56" w:rsidRPr="00E37C56" w:rsidRDefault="00E37C56" w:rsidP="00E37C56">
      <w:pPr>
        <w:tabs>
          <w:tab w:val="left" w:pos="851"/>
        </w:tabs>
        <w:ind w:left="851"/>
        <w:rPr>
          <w:iCs/>
          <w:sz w:val="24"/>
          <w:szCs w:val="24"/>
        </w:rPr>
      </w:pPr>
      <w:r w:rsidRPr="00E37C56">
        <w:rPr>
          <w:iCs/>
          <w:sz w:val="24"/>
          <w:szCs w:val="24"/>
        </w:rPr>
        <w:t>Toksisk skade på myokardiet forårsaget af daunorubicin kan antage to former.</w:t>
      </w:r>
    </w:p>
    <w:p w14:paraId="59B974FC" w14:textId="77777777" w:rsidR="00E37C56" w:rsidRPr="00E37C56" w:rsidRDefault="00E37C56" w:rsidP="00E37C56">
      <w:pPr>
        <w:tabs>
          <w:tab w:val="left" w:pos="851"/>
        </w:tabs>
        <w:ind w:left="851"/>
        <w:rPr>
          <w:iCs/>
          <w:sz w:val="24"/>
          <w:szCs w:val="24"/>
        </w:rPr>
      </w:pPr>
      <w:r w:rsidRPr="00E37C56">
        <w:rPr>
          <w:iCs/>
          <w:sz w:val="24"/>
          <w:szCs w:val="24"/>
        </w:rPr>
        <w:t>Tidlige påvirkninger omfatter: supraventrikulære arytmier (sinustakykardi, for tidlige ventrikulære kontraktioner, AV</w:t>
      </w:r>
      <w:r w:rsidRPr="00E37C56">
        <w:rPr>
          <w:iCs/>
          <w:sz w:val="24"/>
          <w:szCs w:val="24"/>
        </w:rPr>
        <w:noBreakHyphen/>
        <w:t>blok), uspecifikke ST</w:t>
      </w:r>
      <w:r w:rsidRPr="00E37C56">
        <w:rPr>
          <w:iCs/>
          <w:sz w:val="24"/>
          <w:szCs w:val="24"/>
        </w:rPr>
        <w:noBreakHyphen/>
        <w:t>T</w:t>
      </w:r>
      <w:r w:rsidRPr="00E37C56">
        <w:rPr>
          <w:iCs/>
          <w:sz w:val="24"/>
          <w:szCs w:val="24"/>
        </w:rPr>
        <w:noBreakHyphen/>
        <w:t>bølge-abnormaliteter, lavspændings</w:t>
      </w:r>
      <w:r w:rsidRPr="00E37C56">
        <w:rPr>
          <w:iCs/>
          <w:sz w:val="24"/>
          <w:szCs w:val="24"/>
        </w:rPr>
        <w:noBreakHyphen/>
        <w:t>QRS</w:t>
      </w:r>
      <w:r w:rsidRPr="00E37C56">
        <w:rPr>
          <w:iCs/>
          <w:sz w:val="24"/>
          <w:szCs w:val="24"/>
        </w:rPr>
        <w:noBreakHyphen/>
        <w:t>kompleks, nogle gange ventrikulær takykardi. Der er blevet beskrevet akut myokarditis med perikarditis efter en enkelt dosis og det er karakteriseret ved pludseligt indsættende hjertesvigt.</w:t>
      </w:r>
    </w:p>
    <w:p w14:paraId="3AC9C582" w14:textId="77777777" w:rsidR="00E37C56" w:rsidRPr="00E37C56" w:rsidRDefault="00E37C56" w:rsidP="00E37C56">
      <w:pPr>
        <w:tabs>
          <w:tab w:val="left" w:pos="851"/>
        </w:tabs>
        <w:ind w:left="851"/>
        <w:rPr>
          <w:iCs/>
          <w:sz w:val="24"/>
          <w:szCs w:val="24"/>
        </w:rPr>
      </w:pPr>
      <w:r w:rsidRPr="00E37C56">
        <w:rPr>
          <w:iCs/>
          <w:sz w:val="24"/>
          <w:szCs w:val="24"/>
        </w:rPr>
        <w:t>Sene påvirkninger: Risikoen for kardiotoksicitet øges med stigende daunorubicin-dosis. Ved doser, der er lavere end 550 mg daunorubicin/m</w:t>
      </w:r>
      <w:r w:rsidRPr="00E37C56">
        <w:rPr>
          <w:iCs/>
          <w:sz w:val="24"/>
          <w:szCs w:val="24"/>
          <w:vertAlign w:val="superscript"/>
        </w:rPr>
        <w:t>2</w:t>
      </w:r>
      <w:r w:rsidRPr="00E37C56">
        <w:rPr>
          <w:iCs/>
          <w:sz w:val="24"/>
          <w:szCs w:val="24"/>
        </w:rPr>
        <w:t>, er risikoen for kardiotoksicitet lav (ca. 4 %). Risikoen for kardiotoksicitet er højere hos børn under 15 år og hos patienter over 70 år. Kardiovaskulære bivirkninger kan komme til udtryk måneder til år efter seponering af behandlingen.</w:t>
      </w:r>
    </w:p>
    <w:p w14:paraId="69AADD86" w14:textId="77777777" w:rsidR="00E37C56" w:rsidRPr="00E37C56" w:rsidRDefault="00E37C56" w:rsidP="00E37C56">
      <w:pPr>
        <w:tabs>
          <w:tab w:val="left" w:pos="851"/>
        </w:tabs>
        <w:ind w:left="851"/>
        <w:rPr>
          <w:iCs/>
          <w:sz w:val="24"/>
          <w:szCs w:val="24"/>
        </w:rPr>
      </w:pPr>
    </w:p>
    <w:p w14:paraId="5B013A97" w14:textId="77777777" w:rsidR="00E37C56" w:rsidRPr="00E37C56" w:rsidRDefault="00E37C56" w:rsidP="00E37C56">
      <w:pPr>
        <w:tabs>
          <w:tab w:val="left" w:pos="851"/>
        </w:tabs>
        <w:ind w:left="851"/>
        <w:rPr>
          <w:iCs/>
          <w:sz w:val="24"/>
          <w:szCs w:val="24"/>
          <w:u w:val="single"/>
        </w:rPr>
      </w:pPr>
      <w:r w:rsidRPr="00E37C56">
        <w:rPr>
          <w:iCs/>
          <w:sz w:val="24"/>
          <w:szCs w:val="24"/>
          <w:u w:val="single"/>
        </w:rPr>
        <w:t>Vaskulære sygdomme</w:t>
      </w:r>
    </w:p>
    <w:p w14:paraId="593195AF" w14:textId="77777777" w:rsidR="00E37C56" w:rsidRPr="00E37C56" w:rsidRDefault="00E37C56" w:rsidP="00E37C56">
      <w:pPr>
        <w:tabs>
          <w:tab w:val="left" w:pos="851"/>
        </w:tabs>
        <w:ind w:left="851"/>
        <w:rPr>
          <w:iCs/>
          <w:sz w:val="24"/>
          <w:szCs w:val="24"/>
        </w:rPr>
      </w:pPr>
      <w:r w:rsidRPr="00E37C56">
        <w:rPr>
          <w:iCs/>
          <w:sz w:val="24"/>
          <w:szCs w:val="24"/>
        </w:rPr>
        <w:t>Hvad angår lokal tolerance er der risiko for vaskulær endotelskade og perivenøs vævsbeskadigelse på grund af præparatets ætsende egenskaber. Perivenøs infiltration af blødt væv med daunorubicin forårsager cellulitis og vævsnekrose. Ekstravasation ledsages af en brændende fornemmelse, efterfulgt af langsom nekrose af huden, der kulminerer i smertefulde dybe sår (se pkt. 4.4).</w:t>
      </w:r>
    </w:p>
    <w:p w14:paraId="5E484AD1" w14:textId="77777777" w:rsidR="00E37C56" w:rsidRPr="00E37C56" w:rsidRDefault="00E37C56" w:rsidP="00E37C56">
      <w:pPr>
        <w:tabs>
          <w:tab w:val="left" w:pos="851"/>
        </w:tabs>
        <w:ind w:left="851"/>
        <w:rPr>
          <w:iCs/>
          <w:sz w:val="24"/>
          <w:szCs w:val="24"/>
        </w:rPr>
      </w:pPr>
    </w:p>
    <w:p w14:paraId="166B1184" w14:textId="77777777" w:rsidR="00E37C56" w:rsidRPr="00E37C56" w:rsidRDefault="00E37C56" w:rsidP="00E37C56">
      <w:pPr>
        <w:tabs>
          <w:tab w:val="left" w:pos="851"/>
        </w:tabs>
        <w:ind w:left="851"/>
        <w:rPr>
          <w:iCs/>
          <w:sz w:val="24"/>
          <w:szCs w:val="24"/>
          <w:u w:val="single"/>
        </w:rPr>
      </w:pPr>
      <w:r w:rsidRPr="00E37C56">
        <w:rPr>
          <w:iCs/>
          <w:sz w:val="24"/>
          <w:szCs w:val="24"/>
          <w:u w:val="single"/>
        </w:rPr>
        <w:t>Mave-tarm-kanalen</w:t>
      </w:r>
    </w:p>
    <w:p w14:paraId="248BA369" w14:textId="77777777" w:rsidR="00E37C56" w:rsidRPr="00E37C56" w:rsidRDefault="00E37C56" w:rsidP="00E37C56">
      <w:pPr>
        <w:tabs>
          <w:tab w:val="left" w:pos="851"/>
        </w:tabs>
        <w:ind w:left="851"/>
        <w:rPr>
          <w:iCs/>
          <w:sz w:val="24"/>
          <w:szCs w:val="24"/>
        </w:rPr>
      </w:pPr>
      <w:r w:rsidRPr="00E37C56">
        <w:rPr>
          <w:iCs/>
          <w:sz w:val="24"/>
          <w:szCs w:val="24"/>
        </w:rPr>
        <w:t>Der kan forekomme kvalme og opkastning meget kort tid efter administration, og det kan vare ved i 24</w:t>
      </w:r>
      <w:r w:rsidRPr="00E37C56">
        <w:rPr>
          <w:iCs/>
          <w:sz w:val="24"/>
          <w:szCs w:val="24"/>
        </w:rPr>
        <w:noBreakHyphen/>
        <w:t>48 timer. Af og til forekommer der mavesmerter og diarré. Slimhindeskader i fordøjelseskanalen kan manifestere sig som stomatitis, glossitis, øsofagitis og sår. Normalt opstår der mucositis/stomatitis på dag 5</w:t>
      </w:r>
      <w:r w:rsidRPr="00E37C56">
        <w:rPr>
          <w:iCs/>
          <w:sz w:val="24"/>
          <w:szCs w:val="24"/>
        </w:rPr>
        <w:noBreakHyphen/>
        <w:t xml:space="preserve">7 efter administrationen. De første symptomer er </w:t>
      </w:r>
      <w:r w:rsidRPr="00E37C56">
        <w:rPr>
          <w:iCs/>
          <w:sz w:val="24"/>
          <w:szCs w:val="24"/>
        </w:rPr>
        <w:lastRenderedPageBreak/>
        <w:t>smerter eller en brændende fornemmelse og rødme i mundslimhinden, efterfulgt af erytem, erosive sår i mundslimhinden, blødning og infektioner efter 2</w:t>
      </w:r>
      <w:r w:rsidRPr="00E37C56">
        <w:rPr>
          <w:iCs/>
          <w:sz w:val="24"/>
          <w:szCs w:val="24"/>
        </w:rPr>
        <w:noBreakHyphen/>
        <w:t>3 dage (se pkt. 4.4).</w:t>
      </w:r>
    </w:p>
    <w:p w14:paraId="1C08BE4D" w14:textId="77777777" w:rsidR="00E37C56" w:rsidRPr="00E37C56" w:rsidRDefault="00E37C56" w:rsidP="00E37C56">
      <w:pPr>
        <w:tabs>
          <w:tab w:val="left" w:pos="851"/>
        </w:tabs>
        <w:ind w:left="851"/>
        <w:rPr>
          <w:iCs/>
          <w:sz w:val="24"/>
          <w:szCs w:val="24"/>
        </w:rPr>
      </w:pPr>
    </w:p>
    <w:p w14:paraId="16794A92" w14:textId="77777777" w:rsidR="00E37C56" w:rsidRPr="00E37C56" w:rsidRDefault="00E37C56" w:rsidP="00E37C56">
      <w:pPr>
        <w:tabs>
          <w:tab w:val="left" w:pos="851"/>
        </w:tabs>
        <w:ind w:left="851"/>
        <w:rPr>
          <w:iCs/>
          <w:sz w:val="24"/>
          <w:szCs w:val="24"/>
          <w:u w:val="single"/>
        </w:rPr>
      </w:pPr>
      <w:r w:rsidRPr="00E37C56">
        <w:rPr>
          <w:iCs/>
          <w:sz w:val="24"/>
          <w:szCs w:val="24"/>
          <w:u w:val="single"/>
        </w:rPr>
        <w:t>Hud og subkutane væv</w:t>
      </w:r>
    </w:p>
    <w:p w14:paraId="462E782A" w14:textId="77777777" w:rsidR="00E37C56" w:rsidRPr="00E37C56" w:rsidRDefault="00E37C56" w:rsidP="00E37C56">
      <w:pPr>
        <w:tabs>
          <w:tab w:val="left" w:pos="851"/>
        </w:tabs>
        <w:ind w:left="851"/>
        <w:rPr>
          <w:iCs/>
          <w:sz w:val="24"/>
          <w:szCs w:val="24"/>
        </w:rPr>
      </w:pPr>
      <w:r w:rsidRPr="00E37C56">
        <w:rPr>
          <w:iCs/>
          <w:sz w:val="24"/>
          <w:szCs w:val="24"/>
        </w:rPr>
        <w:t>Alopeci (sædvanligvis reversibel)</w:t>
      </w:r>
    </w:p>
    <w:p w14:paraId="7FC4B4C7" w14:textId="77777777" w:rsidR="00E37C56" w:rsidRPr="00E37C56" w:rsidRDefault="00E37C56" w:rsidP="00E37C56">
      <w:pPr>
        <w:tabs>
          <w:tab w:val="left" w:pos="851"/>
        </w:tabs>
        <w:ind w:left="851"/>
        <w:rPr>
          <w:iCs/>
          <w:sz w:val="24"/>
          <w:szCs w:val="24"/>
        </w:rPr>
      </w:pPr>
      <w:r w:rsidRPr="00E37C56">
        <w:rPr>
          <w:iCs/>
          <w:sz w:val="24"/>
          <w:szCs w:val="24"/>
        </w:rPr>
        <w:t>Ca. 5 uger efter</w:t>
      </w:r>
      <w:r w:rsidRPr="00E37C56">
        <w:rPr>
          <w:sz w:val="24"/>
          <w:szCs w:val="24"/>
        </w:rPr>
        <w:t xml:space="preserve"> </w:t>
      </w:r>
      <w:r w:rsidRPr="00E37C56">
        <w:rPr>
          <w:iCs/>
          <w:sz w:val="24"/>
          <w:szCs w:val="24"/>
        </w:rPr>
        <w:t>behandlingsophør genoprettes hårvæksten.</w:t>
      </w:r>
    </w:p>
    <w:p w14:paraId="3858281C" w14:textId="77777777" w:rsidR="00E37C56" w:rsidRPr="00E37C56" w:rsidRDefault="00E37C56" w:rsidP="00E37C56">
      <w:pPr>
        <w:tabs>
          <w:tab w:val="left" w:pos="851"/>
        </w:tabs>
        <w:ind w:left="851"/>
        <w:rPr>
          <w:iCs/>
          <w:sz w:val="24"/>
          <w:szCs w:val="24"/>
        </w:rPr>
      </w:pPr>
      <w:r w:rsidRPr="00E37C56">
        <w:rPr>
          <w:iCs/>
          <w:sz w:val="24"/>
          <w:szCs w:val="24"/>
        </w:rPr>
        <w:t>Daunorubicin kan potensere reaktioner forårsaget af bestråling. Der kan ses tilbagevende reaktioner (</w:t>
      </w:r>
      <w:r w:rsidRPr="00E37C56">
        <w:rPr>
          <w:i/>
          <w:sz w:val="24"/>
          <w:szCs w:val="24"/>
        </w:rPr>
        <w:t>recall</w:t>
      </w:r>
      <w:r w:rsidRPr="00E37C56">
        <w:rPr>
          <w:iCs/>
          <w:sz w:val="24"/>
          <w:szCs w:val="24"/>
        </w:rPr>
        <w:noBreakHyphen/>
        <w:t>fænomen), når daunorubicin administreres et godt stykke tid efter bestråling.</w:t>
      </w:r>
    </w:p>
    <w:p w14:paraId="290790B7" w14:textId="77777777" w:rsidR="00E37C56" w:rsidRPr="00E37C56" w:rsidRDefault="00E37C56" w:rsidP="00E37C56">
      <w:pPr>
        <w:tabs>
          <w:tab w:val="left" w:pos="851"/>
        </w:tabs>
        <w:ind w:left="851"/>
        <w:rPr>
          <w:iCs/>
          <w:sz w:val="24"/>
          <w:szCs w:val="24"/>
        </w:rPr>
      </w:pPr>
      <w:r w:rsidRPr="00E37C56">
        <w:rPr>
          <w:iCs/>
          <w:sz w:val="24"/>
          <w:szCs w:val="24"/>
        </w:rPr>
        <w:t>Patienter med mørkere hudfarve kan have en højere risiko for at få hyperpigmentering.</w:t>
      </w:r>
    </w:p>
    <w:p w14:paraId="22478E74" w14:textId="77777777" w:rsidR="00E37C56" w:rsidRPr="00E37C56" w:rsidRDefault="00E37C56" w:rsidP="00E37C56">
      <w:pPr>
        <w:tabs>
          <w:tab w:val="left" w:pos="851"/>
        </w:tabs>
        <w:ind w:left="851"/>
        <w:rPr>
          <w:sz w:val="24"/>
          <w:szCs w:val="24"/>
        </w:rPr>
      </w:pPr>
    </w:p>
    <w:p w14:paraId="2E30C70B" w14:textId="77777777" w:rsidR="00E37C56" w:rsidRPr="00E37C56" w:rsidRDefault="00E37C56" w:rsidP="00E37C56">
      <w:pPr>
        <w:tabs>
          <w:tab w:val="left" w:pos="851"/>
        </w:tabs>
        <w:ind w:left="851"/>
        <w:rPr>
          <w:iCs/>
          <w:sz w:val="24"/>
          <w:szCs w:val="24"/>
          <w:u w:val="single"/>
        </w:rPr>
      </w:pPr>
      <w:r w:rsidRPr="00E37C56">
        <w:rPr>
          <w:iCs/>
          <w:sz w:val="24"/>
          <w:szCs w:val="24"/>
          <w:u w:val="single"/>
        </w:rPr>
        <w:t>Pædiatrisk population</w:t>
      </w:r>
    </w:p>
    <w:p w14:paraId="2050AEBD" w14:textId="77777777" w:rsidR="00E37C56" w:rsidRPr="00E37C56" w:rsidRDefault="00E37C56" w:rsidP="00E37C56">
      <w:pPr>
        <w:tabs>
          <w:tab w:val="left" w:pos="851"/>
        </w:tabs>
        <w:ind w:left="851"/>
        <w:rPr>
          <w:iCs/>
          <w:sz w:val="24"/>
          <w:szCs w:val="24"/>
        </w:rPr>
      </w:pPr>
      <w:r w:rsidRPr="00E37C56">
        <w:rPr>
          <w:iCs/>
          <w:sz w:val="24"/>
          <w:szCs w:val="24"/>
        </w:rPr>
        <w:t>Risikoen for kongestiv hjertesvigt øges betydeligt, når den totale kumulative dosis overstiger 300 mg/m</w:t>
      </w:r>
      <w:r w:rsidRPr="00E37C56">
        <w:rPr>
          <w:iCs/>
          <w:sz w:val="24"/>
          <w:szCs w:val="24"/>
          <w:vertAlign w:val="superscript"/>
        </w:rPr>
        <w:t>2</w:t>
      </w:r>
      <w:r w:rsidRPr="00E37C56">
        <w:rPr>
          <w:iCs/>
          <w:sz w:val="24"/>
          <w:szCs w:val="24"/>
        </w:rPr>
        <w:t xml:space="preserve"> hos børn over 2 år eller 10 mg/kg legemsvægt hos børn under 2 år. Kardiotoksicitet kan være mere almindeligt hos børn (se pkt. 4.4).</w:t>
      </w:r>
    </w:p>
    <w:p w14:paraId="524C55E9" w14:textId="77777777" w:rsidR="00E37C56" w:rsidRPr="00E37C56" w:rsidRDefault="00E37C56" w:rsidP="00E37C56">
      <w:pPr>
        <w:tabs>
          <w:tab w:val="left" w:pos="851"/>
        </w:tabs>
        <w:ind w:left="851"/>
        <w:rPr>
          <w:iCs/>
          <w:sz w:val="24"/>
          <w:szCs w:val="24"/>
        </w:rPr>
      </w:pPr>
    </w:p>
    <w:p w14:paraId="5588AFE6" w14:textId="77777777" w:rsidR="00E37C56" w:rsidRPr="00E37C56" w:rsidRDefault="00E37C56" w:rsidP="00E37C56">
      <w:pPr>
        <w:tabs>
          <w:tab w:val="left" w:pos="851"/>
        </w:tabs>
        <w:ind w:left="851"/>
        <w:rPr>
          <w:sz w:val="24"/>
          <w:szCs w:val="24"/>
          <w:u w:val="single"/>
        </w:rPr>
      </w:pPr>
      <w:r w:rsidRPr="00E37C56">
        <w:rPr>
          <w:sz w:val="24"/>
          <w:szCs w:val="24"/>
          <w:u w:val="single"/>
        </w:rPr>
        <w:t>Indberetning af formodede bivirkninger</w:t>
      </w:r>
    </w:p>
    <w:p w14:paraId="77D0E5BD" w14:textId="77777777" w:rsidR="00E37C56" w:rsidRPr="00E37C56" w:rsidRDefault="00E37C56" w:rsidP="00E37C56">
      <w:pPr>
        <w:tabs>
          <w:tab w:val="left" w:pos="851"/>
        </w:tabs>
        <w:ind w:left="851"/>
        <w:rPr>
          <w:sz w:val="24"/>
          <w:szCs w:val="24"/>
        </w:rPr>
      </w:pPr>
      <w:r w:rsidRPr="00E37C56">
        <w:rPr>
          <w:sz w:val="24"/>
          <w:szCs w:val="24"/>
        </w:rPr>
        <w:t>Når lægemidlet er godkendt, er indberetning af formodede bivirkninger vigtig. Det muliggør løbende overvågning af benefit/risk-forholdet for lægemidlet. Sundhedspersoner anmodes om at indberette alle formodede bivirkninger via:</w:t>
      </w:r>
    </w:p>
    <w:p w14:paraId="240A860A" w14:textId="77777777" w:rsidR="00E37C56" w:rsidRPr="00E37C56" w:rsidRDefault="00E37C56" w:rsidP="00E37C56">
      <w:pPr>
        <w:tabs>
          <w:tab w:val="left" w:pos="851"/>
        </w:tabs>
        <w:ind w:left="851"/>
        <w:rPr>
          <w:sz w:val="24"/>
          <w:szCs w:val="24"/>
        </w:rPr>
      </w:pPr>
    </w:p>
    <w:p w14:paraId="42C4E335" w14:textId="77777777" w:rsidR="00E37C56" w:rsidRPr="00E37C56" w:rsidRDefault="00E37C56" w:rsidP="00E37C56">
      <w:pPr>
        <w:tabs>
          <w:tab w:val="left" w:pos="851"/>
        </w:tabs>
        <w:ind w:left="851"/>
        <w:rPr>
          <w:sz w:val="24"/>
          <w:szCs w:val="24"/>
        </w:rPr>
      </w:pPr>
      <w:r w:rsidRPr="00E37C56">
        <w:rPr>
          <w:sz w:val="24"/>
          <w:szCs w:val="24"/>
        </w:rPr>
        <w:t>Lægemiddelstyrelsen</w:t>
      </w:r>
    </w:p>
    <w:p w14:paraId="164D3D3A" w14:textId="77777777" w:rsidR="00E37C56" w:rsidRPr="00E37C56" w:rsidRDefault="00E37C56" w:rsidP="00E37C56">
      <w:pPr>
        <w:tabs>
          <w:tab w:val="left" w:pos="851"/>
        </w:tabs>
        <w:ind w:left="851"/>
        <w:rPr>
          <w:sz w:val="24"/>
          <w:szCs w:val="24"/>
        </w:rPr>
      </w:pPr>
      <w:r w:rsidRPr="00E37C56">
        <w:rPr>
          <w:sz w:val="24"/>
          <w:szCs w:val="24"/>
        </w:rPr>
        <w:t>Axel Heides Gade 1</w:t>
      </w:r>
    </w:p>
    <w:p w14:paraId="2C328CCC" w14:textId="77777777" w:rsidR="00E37C56" w:rsidRPr="00E37C56" w:rsidRDefault="00E37C56" w:rsidP="00E37C56">
      <w:pPr>
        <w:tabs>
          <w:tab w:val="left" w:pos="851"/>
        </w:tabs>
        <w:ind w:left="851"/>
        <w:rPr>
          <w:sz w:val="24"/>
          <w:szCs w:val="24"/>
        </w:rPr>
      </w:pPr>
      <w:r w:rsidRPr="00E37C56">
        <w:rPr>
          <w:sz w:val="24"/>
          <w:szCs w:val="24"/>
        </w:rPr>
        <w:t>DK-2300 København S</w:t>
      </w:r>
    </w:p>
    <w:p w14:paraId="2A5046D3" w14:textId="0D8EB16F" w:rsidR="00E37C56" w:rsidRPr="00E37C56" w:rsidRDefault="00E37C56" w:rsidP="00E37C56">
      <w:pPr>
        <w:tabs>
          <w:tab w:val="left" w:pos="851"/>
        </w:tabs>
        <w:ind w:left="851"/>
        <w:rPr>
          <w:sz w:val="24"/>
          <w:szCs w:val="24"/>
        </w:rPr>
      </w:pPr>
      <w:r w:rsidRPr="00E37C56">
        <w:rPr>
          <w:sz w:val="24"/>
          <w:szCs w:val="24"/>
        </w:rPr>
        <w:t>Websted: www.meldenbivirkning.dk</w:t>
      </w:r>
    </w:p>
    <w:p w14:paraId="305E053E" w14:textId="77777777" w:rsidR="009260DE" w:rsidRPr="00A10294" w:rsidRDefault="009260DE" w:rsidP="00A10294">
      <w:pPr>
        <w:tabs>
          <w:tab w:val="left" w:pos="851"/>
        </w:tabs>
        <w:ind w:left="851"/>
        <w:rPr>
          <w:sz w:val="24"/>
          <w:szCs w:val="24"/>
        </w:rPr>
      </w:pPr>
    </w:p>
    <w:p w14:paraId="21FBE794" w14:textId="77777777" w:rsidR="009260DE" w:rsidRPr="00C84483" w:rsidRDefault="009260DE" w:rsidP="009260DE">
      <w:pPr>
        <w:tabs>
          <w:tab w:val="left" w:pos="851"/>
        </w:tabs>
        <w:ind w:left="851" w:hanging="851"/>
        <w:rPr>
          <w:b/>
          <w:sz w:val="24"/>
          <w:szCs w:val="24"/>
        </w:rPr>
      </w:pPr>
      <w:r w:rsidRPr="00C84483">
        <w:rPr>
          <w:b/>
          <w:sz w:val="24"/>
          <w:szCs w:val="24"/>
        </w:rPr>
        <w:t>4.9</w:t>
      </w:r>
      <w:r w:rsidRPr="00C84483">
        <w:rPr>
          <w:b/>
          <w:sz w:val="24"/>
          <w:szCs w:val="24"/>
        </w:rPr>
        <w:tab/>
        <w:t>Overdosering</w:t>
      </w:r>
    </w:p>
    <w:p w14:paraId="5BE826FD" w14:textId="77777777" w:rsidR="00E37C56" w:rsidRDefault="00E37C56" w:rsidP="00E37C56">
      <w:pPr>
        <w:tabs>
          <w:tab w:val="left" w:pos="851"/>
        </w:tabs>
        <w:ind w:left="851"/>
        <w:rPr>
          <w:sz w:val="24"/>
          <w:szCs w:val="24"/>
          <w:u w:val="single"/>
        </w:rPr>
      </w:pPr>
    </w:p>
    <w:p w14:paraId="5E4F709B" w14:textId="3639A127" w:rsidR="00E37C56" w:rsidRPr="00E37C56" w:rsidRDefault="00E37C56" w:rsidP="00E37C56">
      <w:pPr>
        <w:tabs>
          <w:tab w:val="left" w:pos="851"/>
        </w:tabs>
        <w:ind w:left="851"/>
        <w:rPr>
          <w:sz w:val="24"/>
          <w:szCs w:val="24"/>
          <w:u w:val="single"/>
        </w:rPr>
      </w:pPr>
      <w:r w:rsidRPr="00E37C56">
        <w:rPr>
          <w:sz w:val="24"/>
          <w:szCs w:val="24"/>
          <w:u w:val="single"/>
        </w:rPr>
        <w:t>Overdosering og forgiftning</w:t>
      </w:r>
    </w:p>
    <w:p w14:paraId="289FD60F" w14:textId="77777777" w:rsidR="00E37C56" w:rsidRPr="00E37C56" w:rsidRDefault="00E37C56" w:rsidP="00E37C56">
      <w:pPr>
        <w:tabs>
          <w:tab w:val="left" w:pos="851"/>
        </w:tabs>
        <w:ind w:left="851"/>
        <w:rPr>
          <w:sz w:val="24"/>
          <w:szCs w:val="24"/>
        </w:rPr>
      </w:pPr>
      <w:r w:rsidRPr="00E37C56">
        <w:rPr>
          <w:sz w:val="24"/>
          <w:szCs w:val="24"/>
        </w:rPr>
        <w:t>I tilfælde af overdosering kan alle bivirkninger forværres.</w:t>
      </w:r>
    </w:p>
    <w:p w14:paraId="16E3B892" w14:textId="77777777" w:rsidR="00E37C56" w:rsidRPr="00E37C56" w:rsidRDefault="00E37C56" w:rsidP="00E37C56">
      <w:pPr>
        <w:tabs>
          <w:tab w:val="left" w:pos="851"/>
        </w:tabs>
        <w:ind w:left="851"/>
        <w:rPr>
          <w:sz w:val="24"/>
          <w:szCs w:val="24"/>
        </w:rPr>
      </w:pPr>
      <w:r w:rsidRPr="00E37C56">
        <w:rPr>
          <w:sz w:val="24"/>
          <w:szCs w:val="24"/>
        </w:rPr>
        <w:t>Meget høje enkeltdoser af daunorubicin kan forårsage akut myokardiedegeneration inden for 24 timer og svær myelosuppression inden for 10</w:t>
      </w:r>
      <w:r w:rsidRPr="00E37C56">
        <w:rPr>
          <w:sz w:val="24"/>
          <w:szCs w:val="24"/>
        </w:rPr>
        <w:noBreakHyphen/>
        <w:t>14 dage.</w:t>
      </w:r>
    </w:p>
    <w:p w14:paraId="392C7894" w14:textId="77777777" w:rsidR="00E37C56" w:rsidRPr="00E37C56" w:rsidRDefault="00E37C56" w:rsidP="00E37C56">
      <w:pPr>
        <w:tabs>
          <w:tab w:val="left" w:pos="851"/>
        </w:tabs>
        <w:ind w:left="851"/>
        <w:rPr>
          <w:sz w:val="24"/>
          <w:szCs w:val="24"/>
        </w:rPr>
      </w:pPr>
      <w:r w:rsidRPr="00E37C56">
        <w:rPr>
          <w:sz w:val="24"/>
          <w:szCs w:val="24"/>
        </w:rPr>
        <w:t>Forekomst af hjerteskade er blevet rapporteret op til flere måneder efter en overdosering med antracykliner.</w:t>
      </w:r>
    </w:p>
    <w:p w14:paraId="7A1AA0CD" w14:textId="77777777" w:rsidR="00E37C56" w:rsidRPr="00E37C56" w:rsidRDefault="00E37C56" w:rsidP="00E37C56">
      <w:pPr>
        <w:tabs>
          <w:tab w:val="left" w:pos="851"/>
        </w:tabs>
        <w:ind w:left="851"/>
        <w:rPr>
          <w:sz w:val="24"/>
          <w:szCs w:val="24"/>
        </w:rPr>
      </w:pPr>
    </w:p>
    <w:p w14:paraId="6A97CCE9" w14:textId="77777777" w:rsidR="00E37C56" w:rsidRPr="00E37C56" w:rsidRDefault="00E37C56" w:rsidP="00E37C56">
      <w:pPr>
        <w:tabs>
          <w:tab w:val="left" w:pos="851"/>
        </w:tabs>
        <w:ind w:left="851"/>
        <w:rPr>
          <w:sz w:val="24"/>
          <w:szCs w:val="24"/>
          <w:u w:val="single"/>
        </w:rPr>
      </w:pPr>
      <w:r w:rsidRPr="00E37C56">
        <w:rPr>
          <w:sz w:val="24"/>
          <w:szCs w:val="24"/>
          <w:u w:val="single"/>
        </w:rPr>
        <w:t>Behandling af forgiftning</w:t>
      </w:r>
    </w:p>
    <w:p w14:paraId="5C9CEAF9" w14:textId="77777777" w:rsidR="00E37C56" w:rsidRPr="00E37C56" w:rsidRDefault="00E37C56" w:rsidP="00E37C56">
      <w:pPr>
        <w:tabs>
          <w:tab w:val="left" w:pos="851"/>
        </w:tabs>
        <w:ind w:left="851"/>
        <w:rPr>
          <w:sz w:val="24"/>
          <w:szCs w:val="24"/>
        </w:rPr>
      </w:pPr>
      <w:r w:rsidRPr="00E37C56">
        <w:rPr>
          <w:sz w:val="24"/>
          <w:szCs w:val="24"/>
        </w:rPr>
        <w:t>Der skal udføres regelmæssige blodtællinger og knoglemarvsprøver, hjerteundersøgelser, røntgen og ultralyd til at bistå med symptomatisk behandling, hvis det er nødvendigt.</w:t>
      </w:r>
    </w:p>
    <w:p w14:paraId="0AEF349E" w14:textId="77777777" w:rsidR="00E37C56" w:rsidRPr="00E37C56" w:rsidRDefault="00E37C56" w:rsidP="00E37C56">
      <w:pPr>
        <w:tabs>
          <w:tab w:val="left" w:pos="851"/>
        </w:tabs>
        <w:ind w:left="851"/>
        <w:rPr>
          <w:sz w:val="24"/>
          <w:szCs w:val="24"/>
        </w:rPr>
      </w:pPr>
      <w:r w:rsidRPr="00E37C56">
        <w:rPr>
          <w:sz w:val="24"/>
          <w:szCs w:val="24"/>
        </w:rPr>
        <w:t>Der er ingen kendt specifik antidot mod daunorubicin. En kardiolog bør konsulteres i tilfælde af myokardiesvaghed, og behandlingen med daunorubicin skal seponeres. I tilfælde af udtalt myelosuppression bør der iværksættes passende understøttende behandling afhængigt af hvilke dele af det myelopoietiske system, der er mest påvirket, f.eks. overførsel af patienten til et aseptisk rum eller transfusion af de manglende cellulære komponenter.</w:t>
      </w:r>
    </w:p>
    <w:p w14:paraId="2794C003" w14:textId="77777777" w:rsidR="009260DE" w:rsidRPr="00C84483" w:rsidRDefault="009260DE" w:rsidP="009260DE">
      <w:pPr>
        <w:tabs>
          <w:tab w:val="left" w:pos="851"/>
        </w:tabs>
        <w:ind w:left="851"/>
        <w:rPr>
          <w:sz w:val="24"/>
          <w:szCs w:val="24"/>
        </w:rPr>
      </w:pPr>
    </w:p>
    <w:p w14:paraId="1097091C" w14:textId="77777777" w:rsidR="009260DE" w:rsidRPr="00C84483" w:rsidRDefault="009260DE" w:rsidP="009260DE">
      <w:pPr>
        <w:tabs>
          <w:tab w:val="left" w:pos="851"/>
        </w:tabs>
        <w:ind w:left="851" w:hanging="851"/>
        <w:rPr>
          <w:b/>
          <w:sz w:val="24"/>
          <w:szCs w:val="24"/>
        </w:rPr>
      </w:pPr>
      <w:r w:rsidRPr="00C84483">
        <w:rPr>
          <w:b/>
          <w:sz w:val="24"/>
          <w:szCs w:val="24"/>
        </w:rPr>
        <w:t>4.10</w:t>
      </w:r>
      <w:r w:rsidRPr="00C84483">
        <w:rPr>
          <w:b/>
          <w:sz w:val="24"/>
          <w:szCs w:val="24"/>
        </w:rPr>
        <w:tab/>
        <w:t>Udlevering</w:t>
      </w:r>
    </w:p>
    <w:p w14:paraId="0D453EBB" w14:textId="6EE5AD24" w:rsidR="009260DE" w:rsidRPr="00C84483" w:rsidRDefault="00E37C56" w:rsidP="009260DE">
      <w:pPr>
        <w:tabs>
          <w:tab w:val="left" w:pos="851"/>
        </w:tabs>
        <w:ind w:left="851"/>
        <w:rPr>
          <w:sz w:val="24"/>
          <w:szCs w:val="24"/>
        </w:rPr>
      </w:pPr>
      <w:r>
        <w:rPr>
          <w:sz w:val="24"/>
          <w:szCs w:val="24"/>
        </w:rPr>
        <w:t>A</w:t>
      </w:r>
    </w:p>
    <w:p w14:paraId="34845151" w14:textId="77777777" w:rsidR="009260DE" w:rsidRPr="00C84483" w:rsidRDefault="009260DE" w:rsidP="009260DE">
      <w:pPr>
        <w:tabs>
          <w:tab w:val="left" w:pos="851"/>
        </w:tabs>
        <w:ind w:left="851"/>
        <w:rPr>
          <w:sz w:val="24"/>
          <w:szCs w:val="24"/>
        </w:rPr>
      </w:pPr>
    </w:p>
    <w:p w14:paraId="533071E8" w14:textId="7C303117" w:rsidR="00E37C56" w:rsidRDefault="00E37C56">
      <w:pPr>
        <w:rPr>
          <w:sz w:val="24"/>
          <w:szCs w:val="24"/>
        </w:rPr>
      </w:pPr>
      <w:r>
        <w:rPr>
          <w:sz w:val="24"/>
          <w:szCs w:val="24"/>
        </w:rPr>
        <w:br w:type="page"/>
      </w:r>
    </w:p>
    <w:p w14:paraId="5FD838AA" w14:textId="77777777" w:rsidR="009260DE" w:rsidRPr="00C84483" w:rsidRDefault="009260DE" w:rsidP="009260DE">
      <w:pPr>
        <w:tabs>
          <w:tab w:val="left" w:pos="851"/>
        </w:tabs>
        <w:ind w:left="851"/>
        <w:rPr>
          <w:sz w:val="24"/>
          <w:szCs w:val="24"/>
        </w:rPr>
      </w:pPr>
    </w:p>
    <w:p w14:paraId="048EB730" w14:textId="77777777" w:rsidR="009260DE" w:rsidRPr="00C84483" w:rsidRDefault="009260DE" w:rsidP="009260DE">
      <w:pPr>
        <w:tabs>
          <w:tab w:val="left" w:pos="851"/>
        </w:tabs>
        <w:ind w:left="851" w:hanging="851"/>
        <w:rPr>
          <w:b/>
          <w:sz w:val="24"/>
          <w:szCs w:val="24"/>
        </w:rPr>
      </w:pPr>
      <w:r w:rsidRPr="00C84483">
        <w:rPr>
          <w:b/>
          <w:sz w:val="24"/>
          <w:szCs w:val="24"/>
        </w:rPr>
        <w:t>5.</w:t>
      </w:r>
      <w:r w:rsidRPr="00C84483">
        <w:rPr>
          <w:b/>
          <w:sz w:val="24"/>
          <w:szCs w:val="24"/>
        </w:rPr>
        <w:tab/>
        <w:t>FARMAKOLOGISKE EGENSKABER</w:t>
      </w:r>
    </w:p>
    <w:p w14:paraId="7216611C" w14:textId="77777777" w:rsidR="009260DE" w:rsidRPr="00C84483" w:rsidRDefault="009260DE" w:rsidP="009260DE">
      <w:pPr>
        <w:tabs>
          <w:tab w:val="left" w:pos="851"/>
        </w:tabs>
        <w:ind w:left="851"/>
        <w:rPr>
          <w:sz w:val="24"/>
          <w:szCs w:val="24"/>
        </w:rPr>
      </w:pPr>
    </w:p>
    <w:p w14:paraId="5F98639C" w14:textId="77777777" w:rsidR="009260DE" w:rsidRPr="00C84483" w:rsidRDefault="009260DE" w:rsidP="009260DE">
      <w:pPr>
        <w:tabs>
          <w:tab w:val="num" w:pos="851"/>
        </w:tabs>
        <w:ind w:left="851" w:hanging="851"/>
        <w:rPr>
          <w:b/>
          <w:sz w:val="24"/>
          <w:szCs w:val="24"/>
        </w:rPr>
      </w:pPr>
      <w:r w:rsidRPr="00C84483">
        <w:rPr>
          <w:b/>
          <w:sz w:val="24"/>
          <w:szCs w:val="24"/>
        </w:rPr>
        <w:t>5.1</w:t>
      </w:r>
      <w:r w:rsidRPr="00C84483">
        <w:rPr>
          <w:b/>
          <w:sz w:val="24"/>
          <w:szCs w:val="24"/>
        </w:rPr>
        <w:tab/>
        <w:t>Farmakodynamiske egenskaber</w:t>
      </w:r>
    </w:p>
    <w:p w14:paraId="56195EA6" w14:textId="27B8F582" w:rsidR="004D41D1" w:rsidRPr="004D41D1" w:rsidRDefault="004D41D1" w:rsidP="004D41D1">
      <w:pPr>
        <w:tabs>
          <w:tab w:val="left" w:pos="851"/>
        </w:tabs>
        <w:ind w:left="851"/>
        <w:rPr>
          <w:sz w:val="24"/>
          <w:szCs w:val="24"/>
        </w:rPr>
      </w:pPr>
      <w:r w:rsidRPr="004D41D1">
        <w:rPr>
          <w:sz w:val="24"/>
          <w:szCs w:val="24"/>
        </w:rPr>
        <w:t>Farmakoterapeutisk klassifikation: Antineoplastiske og immunmodulerende stoffer, anthracycliner og beslægtede stoffer</w:t>
      </w:r>
      <w:r>
        <w:rPr>
          <w:sz w:val="24"/>
          <w:szCs w:val="24"/>
        </w:rPr>
        <w:t xml:space="preserve">, </w:t>
      </w:r>
      <w:r w:rsidRPr="004D41D1">
        <w:rPr>
          <w:sz w:val="24"/>
          <w:szCs w:val="24"/>
        </w:rPr>
        <w:t>ATC</w:t>
      </w:r>
      <w:r w:rsidRPr="004D41D1">
        <w:rPr>
          <w:sz w:val="24"/>
          <w:szCs w:val="24"/>
        </w:rPr>
        <w:noBreakHyphen/>
        <w:t>kode: L01DB02</w:t>
      </w:r>
      <w:r>
        <w:rPr>
          <w:sz w:val="24"/>
          <w:szCs w:val="24"/>
        </w:rPr>
        <w:t>.</w:t>
      </w:r>
    </w:p>
    <w:p w14:paraId="2650DEF2" w14:textId="77777777" w:rsidR="004D41D1" w:rsidRPr="004D41D1" w:rsidRDefault="004D41D1" w:rsidP="004D41D1">
      <w:pPr>
        <w:tabs>
          <w:tab w:val="left" w:pos="851"/>
        </w:tabs>
        <w:ind w:left="851"/>
        <w:rPr>
          <w:sz w:val="24"/>
          <w:szCs w:val="24"/>
        </w:rPr>
      </w:pPr>
    </w:p>
    <w:p w14:paraId="0785BF30" w14:textId="77777777" w:rsidR="004D41D1" w:rsidRPr="004D41D1" w:rsidRDefault="004D41D1" w:rsidP="004D41D1">
      <w:pPr>
        <w:tabs>
          <w:tab w:val="left" w:pos="851"/>
        </w:tabs>
        <w:ind w:left="851"/>
        <w:rPr>
          <w:sz w:val="24"/>
          <w:szCs w:val="24"/>
        </w:rPr>
      </w:pPr>
      <w:r w:rsidRPr="004D41D1">
        <w:rPr>
          <w:sz w:val="24"/>
          <w:szCs w:val="24"/>
        </w:rPr>
        <w:t xml:space="preserve">Daunorubicin er et antineoplastisk antibiotikum, der tilhører gruppen af antracykliner, og som er isoleret fra dyrkningsmediet af </w:t>
      </w:r>
      <w:r w:rsidRPr="004D41D1">
        <w:rPr>
          <w:i/>
          <w:iCs/>
          <w:sz w:val="24"/>
          <w:szCs w:val="24"/>
        </w:rPr>
        <w:t>Streptomyces coeruleorubidus</w:t>
      </w:r>
      <w:r w:rsidRPr="004D41D1">
        <w:rPr>
          <w:sz w:val="24"/>
          <w:szCs w:val="24"/>
        </w:rPr>
        <w:t xml:space="preserve"> eller </w:t>
      </w:r>
      <w:r w:rsidRPr="004D41D1">
        <w:rPr>
          <w:i/>
          <w:iCs/>
          <w:sz w:val="24"/>
          <w:szCs w:val="24"/>
        </w:rPr>
        <w:t>Streptomyces peuceticus</w:t>
      </w:r>
      <w:r w:rsidRPr="004D41D1">
        <w:rPr>
          <w:sz w:val="24"/>
          <w:szCs w:val="24"/>
        </w:rPr>
        <w:t>.</w:t>
      </w:r>
    </w:p>
    <w:p w14:paraId="31043CAD" w14:textId="77777777" w:rsidR="004D41D1" w:rsidRPr="004D41D1" w:rsidRDefault="004D41D1" w:rsidP="004D41D1">
      <w:pPr>
        <w:tabs>
          <w:tab w:val="left" w:pos="851"/>
        </w:tabs>
        <w:ind w:left="851"/>
        <w:rPr>
          <w:sz w:val="24"/>
          <w:szCs w:val="24"/>
        </w:rPr>
      </w:pPr>
    </w:p>
    <w:p w14:paraId="0A988115" w14:textId="77777777" w:rsidR="004D41D1" w:rsidRPr="004D41D1" w:rsidRDefault="004D41D1" w:rsidP="004D41D1">
      <w:pPr>
        <w:tabs>
          <w:tab w:val="left" w:pos="851"/>
        </w:tabs>
        <w:ind w:left="851"/>
        <w:rPr>
          <w:sz w:val="24"/>
          <w:szCs w:val="24"/>
          <w:u w:val="single"/>
        </w:rPr>
      </w:pPr>
      <w:r w:rsidRPr="004D41D1">
        <w:rPr>
          <w:sz w:val="24"/>
          <w:szCs w:val="24"/>
          <w:u w:val="single"/>
        </w:rPr>
        <w:t>Virkningsmekanisme</w:t>
      </w:r>
    </w:p>
    <w:p w14:paraId="179CBA01" w14:textId="77777777" w:rsidR="004D41D1" w:rsidRPr="004D41D1" w:rsidRDefault="004D41D1" w:rsidP="004D41D1">
      <w:pPr>
        <w:tabs>
          <w:tab w:val="left" w:pos="851"/>
        </w:tabs>
        <w:ind w:left="851"/>
        <w:rPr>
          <w:sz w:val="24"/>
          <w:szCs w:val="24"/>
        </w:rPr>
      </w:pPr>
      <w:r w:rsidRPr="004D41D1">
        <w:rPr>
          <w:sz w:val="24"/>
          <w:szCs w:val="24"/>
        </w:rPr>
        <w:t>Daunorubicins virkningsmekanisme minder meget om doxorubicins. Daunorubicin danner et stabilt kompleks med dna og interfererer med syntesen af nukleinsyrer. Daunorubicin er ikke et cellecyklusspecifikt stof, men dets toksiske virkninger er mest udtalte i S</w:t>
      </w:r>
      <w:r w:rsidRPr="004D41D1">
        <w:rPr>
          <w:sz w:val="24"/>
          <w:szCs w:val="24"/>
        </w:rPr>
        <w:noBreakHyphen/>
        <w:t>fasen. Daunorubicin har også antibakterielle og immunsuppressive egenskaber.</w:t>
      </w:r>
    </w:p>
    <w:p w14:paraId="729874C1" w14:textId="77777777" w:rsidR="004D41D1" w:rsidRPr="004D41D1" w:rsidRDefault="004D41D1" w:rsidP="004D41D1">
      <w:pPr>
        <w:tabs>
          <w:tab w:val="left" w:pos="851"/>
        </w:tabs>
        <w:ind w:left="851"/>
        <w:rPr>
          <w:sz w:val="24"/>
          <w:szCs w:val="24"/>
        </w:rPr>
      </w:pPr>
    </w:p>
    <w:p w14:paraId="5DC3F963" w14:textId="77777777" w:rsidR="004D41D1" w:rsidRPr="004D41D1" w:rsidRDefault="004D41D1" w:rsidP="004D41D1">
      <w:pPr>
        <w:tabs>
          <w:tab w:val="left" w:pos="851"/>
        </w:tabs>
        <w:ind w:left="851"/>
        <w:rPr>
          <w:sz w:val="24"/>
          <w:szCs w:val="24"/>
          <w:u w:val="single"/>
        </w:rPr>
      </w:pPr>
      <w:r w:rsidRPr="004D41D1">
        <w:rPr>
          <w:sz w:val="24"/>
          <w:szCs w:val="24"/>
          <w:u w:val="single"/>
        </w:rPr>
        <w:t>Pædiatrisk population</w:t>
      </w:r>
    </w:p>
    <w:p w14:paraId="42432CBF" w14:textId="77777777" w:rsidR="004D41D1" w:rsidRPr="004D41D1" w:rsidRDefault="004D41D1" w:rsidP="004D41D1">
      <w:pPr>
        <w:tabs>
          <w:tab w:val="left" w:pos="851"/>
        </w:tabs>
        <w:ind w:left="851"/>
        <w:rPr>
          <w:sz w:val="24"/>
          <w:szCs w:val="24"/>
        </w:rPr>
      </w:pPr>
      <w:r w:rsidRPr="004D41D1">
        <w:rPr>
          <w:sz w:val="24"/>
          <w:szCs w:val="24"/>
        </w:rPr>
        <w:t>Der er ikke udført kontrollerede pædiatriske studier.</w:t>
      </w:r>
    </w:p>
    <w:p w14:paraId="261876CD" w14:textId="77777777" w:rsidR="004D41D1" w:rsidRPr="004D41D1" w:rsidRDefault="004D41D1" w:rsidP="004D41D1">
      <w:pPr>
        <w:tabs>
          <w:tab w:val="left" w:pos="851"/>
        </w:tabs>
        <w:ind w:left="851"/>
        <w:rPr>
          <w:sz w:val="24"/>
          <w:szCs w:val="24"/>
        </w:rPr>
      </w:pPr>
      <w:r w:rsidRPr="004D41D1">
        <w:rPr>
          <w:sz w:val="24"/>
          <w:szCs w:val="24"/>
        </w:rPr>
        <w:t>Brugen af daunorubicin er nævnt i litteraturen i behandlingsregimer til patienter med ALL og AML, herunder pædiatriske patientgrupper. Som følge af den pågående søgen efter en balance mellem at opnå og opretholde virkning og reducere toksicitet har brugen af daunorubicin i behandlingen af pædiatriske patienter med ALL og AML imidlertid svinget i klinisk praksis, hovedsageligt afhængigt af risikostratificering og specifikke undergrupper.</w:t>
      </w:r>
    </w:p>
    <w:p w14:paraId="13926108" w14:textId="77777777" w:rsidR="004D41D1" w:rsidRPr="004D41D1" w:rsidRDefault="004D41D1" w:rsidP="004D41D1">
      <w:pPr>
        <w:tabs>
          <w:tab w:val="left" w:pos="851"/>
        </w:tabs>
        <w:ind w:left="851"/>
        <w:rPr>
          <w:sz w:val="24"/>
          <w:szCs w:val="24"/>
        </w:rPr>
      </w:pPr>
      <w:r w:rsidRPr="004D41D1">
        <w:rPr>
          <w:sz w:val="24"/>
          <w:szCs w:val="24"/>
        </w:rPr>
        <w:t>Publicerede studier tyder på, at der ikke er forskelle i sikkerhedsprofilen for pædiatriske patienter og voksne.</w:t>
      </w:r>
    </w:p>
    <w:p w14:paraId="4634AE28" w14:textId="77777777" w:rsidR="009260DE" w:rsidRPr="00C84483" w:rsidRDefault="009260DE" w:rsidP="009260DE">
      <w:pPr>
        <w:tabs>
          <w:tab w:val="left" w:pos="851"/>
        </w:tabs>
        <w:ind w:left="851"/>
        <w:rPr>
          <w:sz w:val="24"/>
          <w:szCs w:val="24"/>
        </w:rPr>
      </w:pPr>
    </w:p>
    <w:p w14:paraId="6E0A0C92" w14:textId="77777777" w:rsidR="009260DE" w:rsidRPr="00C84483" w:rsidRDefault="009260DE" w:rsidP="009260DE">
      <w:pPr>
        <w:tabs>
          <w:tab w:val="left" w:pos="851"/>
        </w:tabs>
        <w:ind w:left="851" w:hanging="851"/>
        <w:rPr>
          <w:b/>
          <w:sz w:val="24"/>
          <w:szCs w:val="24"/>
        </w:rPr>
      </w:pPr>
      <w:r w:rsidRPr="00C84483">
        <w:rPr>
          <w:b/>
          <w:sz w:val="24"/>
          <w:szCs w:val="24"/>
        </w:rPr>
        <w:t>5.2</w:t>
      </w:r>
      <w:r w:rsidRPr="00C84483">
        <w:rPr>
          <w:b/>
          <w:sz w:val="24"/>
          <w:szCs w:val="24"/>
        </w:rPr>
        <w:tab/>
        <w:t>Farmakokinetiske egenskaber</w:t>
      </w:r>
    </w:p>
    <w:p w14:paraId="78B0E4B1" w14:textId="77777777" w:rsidR="004D41D1" w:rsidRDefault="004D41D1" w:rsidP="004D41D1">
      <w:pPr>
        <w:tabs>
          <w:tab w:val="left" w:pos="851"/>
        </w:tabs>
        <w:ind w:left="851"/>
        <w:rPr>
          <w:sz w:val="24"/>
          <w:szCs w:val="24"/>
          <w:u w:val="single"/>
        </w:rPr>
      </w:pPr>
    </w:p>
    <w:p w14:paraId="6BBC7ACC" w14:textId="4AD2165E" w:rsidR="004D41D1" w:rsidRPr="004D41D1" w:rsidRDefault="004D41D1" w:rsidP="004D41D1">
      <w:pPr>
        <w:tabs>
          <w:tab w:val="left" w:pos="851"/>
        </w:tabs>
        <w:ind w:left="851"/>
        <w:rPr>
          <w:sz w:val="24"/>
          <w:szCs w:val="24"/>
          <w:u w:val="single"/>
        </w:rPr>
      </w:pPr>
      <w:r w:rsidRPr="004D41D1">
        <w:rPr>
          <w:sz w:val="24"/>
          <w:szCs w:val="24"/>
          <w:u w:val="single"/>
        </w:rPr>
        <w:t>Fordeling</w:t>
      </w:r>
    </w:p>
    <w:p w14:paraId="38BFC60B" w14:textId="77777777" w:rsidR="004D41D1" w:rsidRPr="004D41D1" w:rsidRDefault="004D41D1" w:rsidP="004D41D1">
      <w:pPr>
        <w:tabs>
          <w:tab w:val="left" w:pos="851"/>
        </w:tabs>
        <w:ind w:left="851"/>
        <w:rPr>
          <w:sz w:val="24"/>
          <w:szCs w:val="24"/>
        </w:rPr>
      </w:pPr>
      <w:r w:rsidRPr="004D41D1">
        <w:rPr>
          <w:sz w:val="24"/>
          <w:szCs w:val="24"/>
        </w:rPr>
        <w:t>Daunorubicin er ca. 63 % bundet til plasmaproteiner. Efter intravenøs administration fordeles daunorubicin hurtigt i vævene, især leveren, lungerne, nyrerne, milten og hjertet. Et cellulært farmakokinetisk studie har vist, at koncentrationen af daunorubicin i leukæmiceller i plasma eller knoglemarv er signifikant højere end plasmakoncentrationen. 24 timer efter administration viste forholdet mellem den intracellulær koncentration og plasmakoncentration sig at være omkring 700. Daunorubicin krydser ikke blod-hjerne-barrieren, men det krydser placenta.</w:t>
      </w:r>
    </w:p>
    <w:p w14:paraId="301D570F" w14:textId="77777777" w:rsidR="004D41D1" w:rsidRPr="004D41D1" w:rsidRDefault="004D41D1" w:rsidP="004D41D1">
      <w:pPr>
        <w:tabs>
          <w:tab w:val="left" w:pos="851"/>
        </w:tabs>
        <w:ind w:left="851"/>
        <w:rPr>
          <w:sz w:val="24"/>
          <w:szCs w:val="24"/>
        </w:rPr>
      </w:pPr>
      <w:r w:rsidRPr="004D41D1">
        <w:rPr>
          <w:sz w:val="24"/>
          <w:szCs w:val="24"/>
        </w:rPr>
        <w:t>Daunorubicin absorberes ikke efter oral administration.</w:t>
      </w:r>
    </w:p>
    <w:p w14:paraId="70A1A3BA" w14:textId="77777777" w:rsidR="004D41D1" w:rsidRPr="004D41D1" w:rsidRDefault="004D41D1" w:rsidP="004D41D1">
      <w:pPr>
        <w:tabs>
          <w:tab w:val="left" w:pos="851"/>
        </w:tabs>
        <w:ind w:left="851"/>
        <w:rPr>
          <w:sz w:val="24"/>
          <w:szCs w:val="24"/>
        </w:rPr>
      </w:pPr>
    </w:p>
    <w:p w14:paraId="04130924" w14:textId="77777777" w:rsidR="004D41D1" w:rsidRPr="004D41D1" w:rsidRDefault="004D41D1" w:rsidP="004D41D1">
      <w:pPr>
        <w:tabs>
          <w:tab w:val="left" w:pos="851"/>
        </w:tabs>
        <w:ind w:left="851"/>
        <w:rPr>
          <w:sz w:val="24"/>
          <w:szCs w:val="24"/>
          <w:u w:val="single"/>
        </w:rPr>
      </w:pPr>
      <w:r w:rsidRPr="004D41D1">
        <w:rPr>
          <w:sz w:val="24"/>
          <w:szCs w:val="24"/>
          <w:u w:val="single"/>
        </w:rPr>
        <w:t>Metabolisme</w:t>
      </w:r>
    </w:p>
    <w:p w14:paraId="69525336" w14:textId="77777777" w:rsidR="004D41D1" w:rsidRPr="004D41D1" w:rsidRDefault="004D41D1" w:rsidP="004D41D1">
      <w:pPr>
        <w:tabs>
          <w:tab w:val="left" w:pos="851"/>
        </w:tabs>
        <w:ind w:left="851"/>
        <w:rPr>
          <w:sz w:val="24"/>
          <w:szCs w:val="24"/>
        </w:rPr>
      </w:pPr>
      <w:r w:rsidRPr="004D41D1">
        <w:rPr>
          <w:sz w:val="24"/>
          <w:szCs w:val="24"/>
        </w:rPr>
        <w:t>Daunorubicin metaboliseres hovedsageligt i leveren. Hovedmetabolitten, daunorubicinol, har antineoplastisk aktivitet.</w:t>
      </w:r>
    </w:p>
    <w:p w14:paraId="164F341C" w14:textId="77777777" w:rsidR="004D41D1" w:rsidRPr="004D41D1" w:rsidRDefault="004D41D1" w:rsidP="004D41D1">
      <w:pPr>
        <w:tabs>
          <w:tab w:val="left" w:pos="851"/>
        </w:tabs>
        <w:ind w:left="851"/>
        <w:rPr>
          <w:sz w:val="24"/>
          <w:szCs w:val="24"/>
        </w:rPr>
      </w:pPr>
    </w:p>
    <w:p w14:paraId="778EC274" w14:textId="77777777" w:rsidR="004D41D1" w:rsidRPr="004D41D1" w:rsidRDefault="004D41D1" w:rsidP="004D41D1">
      <w:pPr>
        <w:tabs>
          <w:tab w:val="left" w:pos="851"/>
        </w:tabs>
        <w:ind w:left="851"/>
        <w:rPr>
          <w:sz w:val="24"/>
          <w:szCs w:val="24"/>
          <w:u w:val="single"/>
        </w:rPr>
      </w:pPr>
      <w:r w:rsidRPr="004D41D1">
        <w:rPr>
          <w:sz w:val="24"/>
          <w:szCs w:val="24"/>
          <w:u w:val="single"/>
        </w:rPr>
        <w:t>Elimination</w:t>
      </w:r>
    </w:p>
    <w:p w14:paraId="3AC6C364" w14:textId="77777777" w:rsidR="004D41D1" w:rsidRPr="004D41D1" w:rsidRDefault="004D41D1" w:rsidP="004D41D1">
      <w:pPr>
        <w:tabs>
          <w:tab w:val="left" w:pos="851"/>
        </w:tabs>
        <w:ind w:left="851"/>
        <w:rPr>
          <w:sz w:val="24"/>
          <w:szCs w:val="24"/>
        </w:rPr>
      </w:pPr>
      <w:r w:rsidRPr="004D41D1">
        <w:rPr>
          <w:sz w:val="24"/>
          <w:szCs w:val="24"/>
        </w:rPr>
        <w:t>Efter intravenøs administration falder plasmakoncentrationen af daunorubicin trieksponentielt med en meget hurtig initialfase og en langsom terminalfase. Eliminationshalveringstiden for daunorubicin og daunorubicinol i terminalfasen er henholdsvis 18,5 og 26,7 timer.</w:t>
      </w:r>
    </w:p>
    <w:p w14:paraId="7642B8DA" w14:textId="77777777" w:rsidR="004D41D1" w:rsidRPr="004D41D1" w:rsidRDefault="004D41D1" w:rsidP="004D41D1">
      <w:pPr>
        <w:tabs>
          <w:tab w:val="left" w:pos="851"/>
        </w:tabs>
        <w:ind w:left="851"/>
        <w:rPr>
          <w:sz w:val="24"/>
          <w:szCs w:val="24"/>
        </w:rPr>
      </w:pPr>
      <w:r w:rsidRPr="004D41D1">
        <w:rPr>
          <w:sz w:val="24"/>
          <w:szCs w:val="24"/>
        </w:rPr>
        <w:lastRenderedPageBreak/>
        <w:t>Daunorubicin og dets metabolitter udskilles i galde og urin. Op til 25 % af den administrerede dosis udskilles i urinen i en aktiv form i løbet af 5 dage. Ca. 40 % udskilles i galden.</w:t>
      </w:r>
    </w:p>
    <w:p w14:paraId="659D0B3C" w14:textId="77777777" w:rsidR="009260DE" w:rsidRPr="00C84483" w:rsidRDefault="009260DE" w:rsidP="009260DE">
      <w:pPr>
        <w:tabs>
          <w:tab w:val="left" w:pos="851"/>
        </w:tabs>
        <w:ind w:left="851"/>
        <w:rPr>
          <w:sz w:val="24"/>
          <w:szCs w:val="24"/>
        </w:rPr>
      </w:pPr>
    </w:p>
    <w:p w14:paraId="54C4F654" w14:textId="77777777" w:rsidR="009260DE" w:rsidRPr="00C84483" w:rsidRDefault="009260DE" w:rsidP="009260DE">
      <w:pPr>
        <w:tabs>
          <w:tab w:val="left" w:pos="851"/>
        </w:tabs>
        <w:ind w:left="851" w:hanging="851"/>
        <w:rPr>
          <w:b/>
          <w:sz w:val="24"/>
          <w:szCs w:val="24"/>
        </w:rPr>
      </w:pPr>
      <w:r w:rsidRPr="00C84483">
        <w:rPr>
          <w:b/>
          <w:sz w:val="24"/>
          <w:szCs w:val="24"/>
        </w:rPr>
        <w:t>5.3</w:t>
      </w:r>
      <w:r w:rsidRPr="00C84483">
        <w:rPr>
          <w:b/>
          <w:sz w:val="24"/>
          <w:szCs w:val="24"/>
        </w:rPr>
        <w:tab/>
      </w:r>
      <w:r w:rsidR="00BD7931">
        <w:rPr>
          <w:b/>
          <w:sz w:val="24"/>
          <w:szCs w:val="24"/>
        </w:rPr>
        <w:t>Non-</w:t>
      </w:r>
      <w:r w:rsidRPr="00C84483">
        <w:rPr>
          <w:b/>
          <w:sz w:val="24"/>
          <w:szCs w:val="24"/>
        </w:rPr>
        <w:t>kliniske sikkerhedsdata</w:t>
      </w:r>
    </w:p>
    <w:p w14:paraId="448D3A86" w14:textId="77777777" w:rsidR="004D41D1" w:rsidRPr="004D41D1" w:rsidRDefault="004D41D1" w:rsidP="004D41D1">
      <w:pPr>
        <w:tabs>
          <w:tab w:val="left" w:pos="851"/>
        </w:tabs>
        <w:ind w:left="851"/>
        <w:rPr>
          <w:sz w:val="24"/>
          <w:szCs w:val="24"/>
        </w:rPr>
      </w:pPr>
      <w:r w:rsidRPr="004D41D1">
        <w:rPr>
          <w:sz w:val="24"/>
          <w:szCs w:val="24"/>
        </w:rPr>
        <w:t xml:space="preserve">Daunorubicin er genotoksisk og karcinogent hos rotter og mus. Det er blevet påvist, at daunorubicin forårsager kromosomskader i </w:t>
      </w:r>
      <w:r w:rsidRPr="004D41D1">
        <w:rPr>
          <w:i/>
          <w:iCs/>
          <w:sz w:val="24"/>
          <w:szCs w:val="24"/>
        </w:rPr>
        <w:t>in vitro</w:t>
      </w:r>
      <w:r w:rsidRPr="004D41D1">
        <w:rPr>
          <w:sz w:val="24"/>
          <w:szCs w:val="24"/>
        </w:rPr>
        <w:t xml:space="preserve"> kromosomafvigelsestesten på humane lymfocytter og </w:t>
      </w:r>
      <w:r w:rsidRPr="004D41D1">
        <w:rPr>
          <w:i/>
          <w:iCs/>
          <w:sz w:val="24"/>
          <w:szCs w:val="24"/>
        </w:rPr>
        <w:t>in vivo</w:t>
      </w:r>
      <w:r w:rsidRPr="004D41D1">
        <w:rPr>
          <w:sz w:val="24"/>
          <w:szCs w:val="24"/>
        </w:rPr>
        <w:t xml:space="preserve"> på humane lymfocytter samt på humane knoglemarvsceller og knoglemarvsceller fra rotter. Daunorubicin inducerede mutagenicitet i Ames (</w:t>
      </w:r>
      <w:r w:rsidRPr="004D41D1">
        <w:rPr>
          <w:i/>
          <w:iCs/>
          <w:sz w:val="24"/>
          <w:szCs w:val="24"/>
        </w:rPr>
        <w:t>bacterial reverse mutation</w:t>
      </w:r>
      <w:r w:rsidRPr="004D41D1">
        <w:rPr>
          <w:sz w:val="24"/>
          <w:szCs w:val="24"/>
        </w:rPr>
        <w:t>) test.</w:t>
      </w:r>
    </w:p>
    <w:p w14:paraId="790AF953" w14:textId="77777777" w:rsidR="004D41D1" w:rsidRPr="004D41D1" w:rsidRDefault="004D41D1" w:rsidP="004D41D1">
      <w:pPr>
        <w:tabs>
          <w:tab w:val="left" w:pos="851"/>
        </w:tabs>
        <w:ind w:left="851"/>
        <w:rPr>
          <w:sz w:val="24"/>
          <w:szCs w:val="24"/>
        </w:rPr>
      </w:pPr>
      <w:r w:rsidRPr="004D41D1">
        <w:rPr>
          <w:sz w:val="24"/>
          <w:szCs w:val="24"/>
        </w:rPr>
        <w:t>Der er blevet påvist teratogene og embryotoksiske virkninger af daunorubicin i dyrestudier. Derudover forårsagede daunorubicin testikelatrofi og total aplasi af spermatocytter hos hunde.</w:t>
      </w:r>
    </w:p>
    <w:p w14:paraId="3FCD619B" w14:textId="77777777" w:rsidR="009260DE" w:rsidRPr="00C84483" w:rsidRDefault="009260DE" w:rsidP="009260DE">
      <w:pPr>
        <w:tabs>
          <w:tab w:val="left" w:pos="851"/>
        </w:tabs>
        <w:ind w:left="851"/>
        <w:rPr>
          <w:sz w:val="24"/>
          <w:szCs w:val="24"/>
        </w:rPr>
      </w:pPr>
    </w:p>
    <w:p w14:paraId="45264A8E" w14:textId="77777777" w:rsidR="009260DE" w:rsidRPr="00C84483" w:rsidRDefault="009260DE" w:rsidP="009260DE">
      <w:pPr>
        <w:tabs>
          <w:tab w:val="left" w:pos="851"/>
        </w:tabs>
        <w:ind w:left="851"/>
        <w:rPr>
          <w:sz w:val="24"/>
          <w:szCs w:val="24"/>
        </w:rPr>
      </w:pPr>
    </w:p>
    <w:p w14:paraId="6906FBDB" w14:textId="77777777" w:rsidR="009260DE" w:rsidRPr="00C84483" w:rsidRDefault="009260DE" w:rsidP="009260DE">
      <w:pPr>
        <w:tabs>
          <w:tab w:val="left" w:pos="851"/>
        </w:tabs>
        <w:ind w:left="851" w:hanging="851"/>
        <w:rPr>
          <w:b/>
          <w:sz w:val="24"/>
          <w:szCs w:val="24"/>
        </w:rPr>
      </w:pPr>
      <w:r w:rsidRPr="00C84483">
        <w:rPr>
          <w:b/>
          <w:sz w:val="24"/>
          <w:szCs w:val="24"/>
        </w:rPr>
        <w:t>6.</w:t>
      </w:r>
      <w:r w:rsidRPr="00C84483">
        <w:rPr>
          <w:b/>
          <w:sz w:val="24"/>
          <w:szCs w:val="24"/>
        </w:rPr>
        <w:tab/>
        <w:t>FARMACEUTISKE OPLYSNINGER</w:t>
      </w:r>
    </w:p>
    <w:p w14:paraId="4BF8EB55" w14:textId="77777777" w:rsidR="009260DE" w:rsidRPr="00BA09F1" w:rsidRDefault="009260DE" w:rsidP="009260DE">
      <w:pPr>
        <w:tabs>
          <w:tab w:val="left" w:pos="851"/>
        </w:tabs>
        <w:ind w:left="851"/>
        <w:rPr>
          <w:sz w:val="24"/>
          <w:szCs w:val="24"/>
        </w:rPr>
      </w:pPr>
    </w:p>
    <w:p w14:paraId="2768EF80" w14:textId="77777777" w:rsidR="009260DE" w:rsidRPr="00C84483" w:rsidRDefault="009260DE" w:rsidP="009260DE">
      <w:pPr>
        <w:tabs>
          <w:tab w:val="left" w:pos="851"/>
        </w:tabs>
        <w:ind w:left="851" w:hanging="851"/>
        <w:rPr>
          <w:b/>
          <w:sz w:val="24"/>
          <w:szCs w:val="24"/>
        </w:rPr>
      </w:pPr>
      <w:r w:rsidRPr="00C84483">
        <w:rPr>
          <w:b/>
          <w:sz w:val="24"/>
          <w:szCs w:val="24"/>
        </w:rPr>
        <w:t>6.1</w:t>
      </w:r>
      <w:r w:rsidRPr="00C84483">
        <w:rPr>
          <w:b/>
          <w:sz w:val="24"/>
          <w:szCs w:val="24"/>
        </w:rPr>
        <w:tab/>
        <w:t>Hjælpestoffer</w:t>
      </w:r>
    </w:p>
    <w:p w14:paraId="438E11D0" w14:textId="77777777" w:rsidR="009214E4" w:rsidRPr="009214E4" w:rsidRDefault="009214E4" w:rsidP="009214E4">
      <w:pPr>
        <w:tabs>
          <w:tab w:val="left" w:pos="851"/>
        </w:tabs>
        <w:ind w:left="851"/>
        <w:rPr>
          <w:sz w:val="24"/>
          <w:szCs w:val="24"/>
        </w:rPr>
      </w:pPr>
      <w:r w:rsidRPr="009214E4">
        <w:rPr>
          <w:sz w:val="24"/>
          <w:szCs w:val="24"/>
        </w:rPr>
        <w:t>Vand til injektionsvæsker</w:t>
      </w:r>
    </w:p>
    <w:p w14:paraId="3C4E231E" w14:textId="77777777" w:rsidR="009214E4" w:rsidRPr="009214E4" w:rsidRDefault="009214E4" w:rsidP="009214E4">
      <w:pPr>
        <w:tabs>
          <w:tab w:val="left" w:pos="851"/>
        </w:tabs>
        <w:ind w:left="851"/>
        <w:rPr>
          <w:sz w:val="24"/>
          <w:szCs w:val="24"/>
        </w:rPr>
      </w:pPr>
      <w:r w:rsidRPr="009214E4">
        <w:rPr>
          <w:sz w:val="24"/>
          <w:szCs w:val="24"/>
        </w:rPr>
        <w:t>Natriumchlorid</w:t>
      </w:r>
    </w:p>
    <w:p w14:paraId="1CA6057A" w14:textId="77777777" w:rsidR="009214E4" w:rsidRPr="009214E4" w:rsidRDefault="009214E4" w:rsidP="009214E4">
      <w:pPr>
        <w:tabs>
          <w:tab w:val="left" w:pos="851"/>
        </w:tabs>
        <w:ind w:left="851"/>
        <w:rPr>
          <w:sz w:val="24"/>
          <w:szCs w:val="24"/>
        </w:rPr>
      </w:pPr>
      <w:r w:rsidRPr="009214E4">
        <w:rPr>
          <w:sz w:val="24"/>
          <w:szCs w:val="24"/>
        </w:rPr>
        <w:t>Saltsyre (til pH-justering)</w:t>
      </w:r>
    </w:p>
    <w:p w14:paraId="282CC90D" w14:textId="77777777" w:rsidR="009214E4" w:rsidRPr="009214E4" w:rsidRDefault="009214E4" w:rsidP="009214E4">
      <w:pPr>
        <w:tabs>
          <w:tab w:val="left" w:pos="851"/>
        </w:tabs>
        <w:ind w:left="851"/>
        <w:rPr>
          <w:sz w:val="24"/>
          <w:szCs w:val="24"/>
        </w:rPr>
      </w:pPr>
      <w:r w:rsidRPr="009214E4">
        <w:rPr>
          <w:sz w:val="24"/>
          <w:szCs w:val="24"/>
        </w:rPr>
        <w:t>Natriumhydroxid (E524) (til pH-justering)</w:t>
      </w:r>
    </w:p>
    <w:p w14:paraId="5929C63F" w14:textId="77777777" w:rsidR="009214E4" w:rsidRPr="009214E4" w:rsidRDefault="009214E4" w:rsidP="009214E4">
      <w:pPr>
        <w:tabs>
          <w:tab w:val="left" w:pos="851"/>
        </w:tabs>
        <w:ind w:left="851"/>
        <w:rPr>
          <w:sz w:val="24"/>
          <w:szCs w:val="24"/>
        </w:rPr>
      </w:pPr>
    </w:p>
    <w:p w14:paraId="301BC784" w14:textId="77777777" w:rsidR="009260DE" w:rsidRPr="00C84483" w:rsidRDefault="009260DE" w:rsidP="009260DE">
      <w:pPr>
        <w:tabs>
          <w:tab w:val="left" w:pos="851"/>
        </w:tabs>
        <w:ind w:left="851" w:hanging="851"/>
        <w:rPr>
          <w:b/>
          <w:sz w:val="24"/>
          <w:szCs w:val="24"/>
        </w:rPr>
      </w:pPr>
      <w:r w:rsidRPr="00C84483">
        <w:rPr>
          <w:b/>
          <w:sz w:val="24"/>
          <w:szCs w:val="24"/>
        </w:rPr>
        <w:t>6.2</w:t>
      </w:r>
      <w:r w:rsidRPr="00C84483">
        <w:rPr>
          <w:b/>
          <w:sz w:val="24"/>
          <w:szCs w:val="24"/>
        </w:rPr>
        <w:tab/>
        <w:t>Uforligeligheder</w:t>
      </w:r>
    </w:p>
    <w:p w14:paraId="47A09745" w14:textId="77777777" w:rsidR="009214E4" w:rsidRPr="009214E4" w:rsidRDefault="009214E4" w:rsidP="009214E4">
      <w:pPr>
        <w:tabs>
          <w:tab w:val="left" w:pos="851"/>
        </w:tabs>
        <w:ind w:left="851"/>
        <w:rPr>
          <w:sz w:val="24"/>
          <w:szCs w:val="24"/>
        </w:rPr>
      </w:pPr>
      <w:r w:rsidRPr="009214E4">
        <w:rPr>
          <w:sz w:val="24"/>
          <w:szCs w:val="24"/>
        </w:rPr>
        <w:t>Dette lægemiddel må ikke blandes med andre lægemidler end dem, der er anført under pkt. 6.6.</w:t>
      </w:r>
    </w:p>
    <w:p w14:paraId="76D811AC" w14:textId="77777777" w:rsidR="009214E4" w:rsidRPr="009214E4" w:rsidRDefault="009214E4" w:rsidP="009214E4">
      <w:pPr>
        <w:tabs>
          <w:tab w:val="left" w:pos="851"/>
        </w:tabs>
        <w:ind w:left="851"/>
        <w:rPr>
          <w:sz w:val="24"/>
          <w:szCs w:val="24"/>
        </w:rPr>
      </w:pPr>
      <w:r w:rsidRPr="009214E4">
        <w:rPr>
          <w:sz w:val="24"/>
          <w:szCs w:val="24"/>
        </w:rPr>
        <w:t>Daunorubicinhydrochlorid er uforligelig med heparin og dexamethasonnatriumphosphat-opløsninger, da der kan dannes bundfald. Daunorubicin-opløsning er uforligelig med aluminium, f.eks. i injektionskanyler. Der kan dannes sorte pletter på aluminiumoverfladen.</w:t>
      </w:r>
    </w:p>
    <w:p w14:paraId="0C7292C5" w14:textId="77777777" w:rsidR="009260DE" w:rsidRPr="00C84483" w:rsidRDefault="009260DE" w:rsidP="009260DE">
      <w:pPr>
        <w:tabs>
          <w:tab w:val="left" w:pos="851"/>
        </w:tabs>
        <w:ind w:left="851"/>
        <w:rPr>
          <w:sz w:val="24"/>
          <w:szCs w:val="24"/>
        </w:rPr>
      </w:pPr>
    </w:p>
    <w:p w14:paraId="227544B1" w14:textId="77777777" w:rsidR="009260DE" w:rsidRPr="00C84483" w:rsidRDefault="009260DE" w:rsidP="009260DE">
      <w:pPr>
        <w:tabs>
          <w:tab w:val="left" w:pos="851"/>
        </w:tabs>
        <w:ind w:left="851" w:hanging="851"/>
        <w:rPr>
          <w:b/>
          <w:sz w:val="24"/>
          <w:szCs w:val="24"/>
        </w:rPr>
      </w:pPr>
      <w:r w:rsidRPr="00C84483">
        <w:rPr>
          <w:b/>
          <w:sz w:val="24"/>
          <w:szCs w:val="24"/>
        </w:rPr>
        <w:t>6.3</w:t>
      </w:r>
      <w:r w:rsidRPr="00C84483">
        <w:rPr>
          <w:b/>
          <w:sz w:val="24"/>
          <w:szCs w:val="24"/>
        </w:rPr>
        <w:tab/>
        <w:t>Opbevaringstid</w:t>
      </w:r>
    </w:p>
    <w:p w14:paraId="4451C63E" w14:textId="3EB639D7" w:rsidR="009214E4" w:rsidRPr="009214E4" w:rsidRDefault="009214E4" w:rsidP="009214E4">
      <w:pPr>
        <w:tabs>
          <w:tab w:val="left" w:pos="851"/>
        </w:tabs>
        <w:ind w:left="851"/>
        <w:rPr>
          <w:sz w:val="24"/>
          <w:szCs w:val="24"/>
        </w:rPr>
      </w:pPr>
      <w:r w:rsidRPr="009214E4">
        <w:rPr>
          <w:sz w:val="24"/>
          <w:szCs w:val="24"/>
        </w:rPr>
        <w:t>2 år</w:t>
      </w:r>
      <w:r>
        <w:rPr>
          <w:sz w:val="24"/>
          <w:szCs w:val="24"/>
        </w:rPr>
        <w:t>.</w:t>
      </w:r>
    </w:p>
    <w:p w14:paraId="102F17B0" w14:textId="77777777" w:rsidR="009214E4" w:rsidRPr="009214E4" w:rsidRDefault="009214E4" w:rsidP="009214E4">
      <w:pPr>
        <w:tabs>
          <w:tab w:val="left" w:pos="851"/>
        </w:tabs>
        <w:ind w:left="851"/>
        <w:rPr>
          <w:sz w:val="24"/>
          <w:szCs w:val="24"/>
        </w:rPr>
      </w:pPr>
    </w:p>
    <w:p w14:paraId="79AC6246" w14:textId="6FD5C96A" w:rsidR="009214E4" w:rsidRPr="009214E4" w:rsidRDefault="009214E4" w:rsidP="009214E4">
      <w:pPr>
        <w:tabs>
          <w:tab w:val="left" w:pos="851"/>
        </w:tabs>
        <w:ind w:left="851"/>
        <w:rPr>
          <w:sz w:val="24"/>
          <w:szCs w:val="24"/>
          <w:u w:val="single"/>
        </w:rPr>
      </w:pPr>
      <w:r w:rsidRPr="009214E4">
        <w:rPr>
          <w:sz w:val="24"/>
          <w:szCs w:val="24"/>
          <w:u w:val="single"/>
        </w:rPr>
        <w:t>Efter første åbning</w:t>
      </w:r>
    </w:p>
    <w:p w14:paraId="64AC028C" w14:textId="77777777" w:rsidR="009214E4" w:rsidRDefault="009214E4" w:rsidP="009214E4">
      <w:pPr>
        <w:tabs>
          <w:tab w:val="left" w:pos="851"/>
        </w:tabs>
        <w:ind w:left="851"/>
        <w:rPr>
          <w:sz w:val="24"/>
          <w:szCs w:val="24"/>
        </w:rPr>
      </w:pPr>
      <w:r w:rsidRPr="009214E4">
        <w:rPr>
          <w:sz w:val="24"/>
          <w:szCs w:val="24"/>
        </w:rPr>
        <w:t>Der er påvist kemisk og fysisk stabilitet under brug i 28 dage ved temperaturer på</w:t>
      </w:r>
    </w:p>
    <w:p w14:paraId="6542FF21" w14:textId="559C350C" w:rsidR="009214E4" w:rsidRPr="009214E4" w:rsidRDefault="009214E4" w:rsidP="009214E4">
      <w:pPr>
        <w:tabs>
          <w:tab w:val="left" w:pos="851"/>
        </w:tabs>
        <w:ind w:left="851"/>
        <w:rPr>
          <w:sz w:val="24"/>
          <w:szCs w:val="24"/>
        </w:rPr>
      </w:pPr>
      <w:r w:rsidRPr="009214E4">
        <w:rPr>
          <w:sz w:val="24"/>
          <w:szCs w:val="24"/>
        </w:rPr>
        <w:t xml:space="preserve"> 2 °C</w:t>
      </w:r>
      <w:r>
        <w:rPr>
          <w:sz w:val="24"/>
          <w:szCs w:val="24"/>
        </w:rPr>
        <w:t>-</w:t>
      </w:r>
      <w:r w:rsidRPr="009214E4">
        <w:rPr>
          <w:sz w:val="24"/>
          <w:szCs w:val="24"/>
        </w:rPr>
        <w:t>8 °C og beskyttet mod lys, samt i 28 dage ved stuetemperatur og udsat for lys.</w:t>
      </w:r>
    </w:p>
    <w:p w14:paraId="56427DD0" w14:textId="77777777" w:rsidR="009214E4" w:rsidRPr="009214E4" w:rsidRDefault="009214E4" w:rsidP="009214E4">
      <w:pPr>
        <w:tabs>
          <w:tab w:val="left" w:pos="851"/>
        </w:tabs>
        <w:ind w:left="851"/>
        <w:rPr>
          <w:sz w:val="24"/>
          <w:szCs w:val="24"/>
        </w:rPr>
      </w:pPr>
      <w:r w:rsidRPr="009214E4">
        <w:rPr>
          <w:sz w:val="24"/>
          <w:szCs w:val="24"/>
        </w:rPr>
        <w:t xml:space="preserve">Ud fra et mikrobiologisk synspunkt skal præparatet bruges med det samme, medmindre åbningsmetoden udelukker risikoen for mikrobiel kontaminering. Hvis det ikke anvendes straks, er opbevaringstider og </w:t>
      </w:r>
      <w:r w:rsidRPr="009214E4">
        <w:rPr>
          <w:sz w:val="24"/>
          <w:szCs w:val="24"/>
        </w:rPr>
        <w:noBreakHyphen/>
        <w:t>betingelser brugerens eget ansvar.</w:t>
      </w:r>
    </w:p>
    <w:p w14:paraId="2CA7691B" w14:textId="77777777" w:rsidR="009260DE" w:rsidRPr="00C84483" w:rsidRDefault="009260DE" w:rsidP="009260DE">
      <w:pPr>
        <w:tabs>
          <w:tab w:val="left" w:pos="851"/>
        </w:tabs>
        <w:ind w:left="851"/>
        <w:rPr>
          <w:sz w:val="24"/>
          <w:szCs w:val="24"/>
        </w:rPr>
      </w:pPr>
    </w:p>
    <w:p w14:paraId="2D780747" w14:textId="77777777" w:rsidR="009260DE" w:rsidRPr="00C84483" w:rsidRDefault="009260DE" w:rsidP="009260DE">
      <w:pPr>
        <w:tabs>
          <w:tab w:val="left" w:pos="851"/>
        </w:tabs>
        <w:ind w:left="851" w:hanging="851"/>
        <w:rPr>
          <w:b/>
          <w:sz w:val="24"/>
          <w:szCs w:val="24"/>
        </w:rPr>
      </w:pPr>
      <w:r w:rsidRPr="00C84483">
        <w:rPr>
          <w:b/>
          <w:sz w:val="24"/>
          <w:szCs w:val="24"/>
        </w:rPr>
        <w:t>6.4</w:t>
      </w:r>
      <w:r w:rsidRPr="00C84483">
        <w:rPr>
          <w:b/>
          <w:sz w:val="24"/>
          <w:szCs w:val="24"/>
        </w:rPr>
        <w:tab/>
        <w:t>Særlige opbevaringsforhold</w:t>
      </w:r>
    </w:p>
    <w:p w14:paraId="1219EB1D" w14:textId="6DB1DCC9" w:rsidR="009214E4" w:rsidRPr="009214E4" w:rsidRDefault="009214E4" w:rsidP="009214E4">
      <w:pPr>
        <w:tabs>
          <w:tab w:val="left" w:pos="851"/>
        </w:tabs>
        <w:ind w:left="851"/>
        <w:rPr>
          <w:sz w:val="24"/>
          <w:szCs w:val="24"/>
        </w:rPr>
      </w:pPr>
      <w:r w:rsidRPr="009214E4">
        <w:rPr>
          <w:sz w:val="24"/>
          <w:szCs w:val="24"/>
        </w:rPr>
        <w:t>Opbevares i køleskab (2 °C</w:t>
      </w:r>
      <w:r>
        <w:rPr>
          <w:sz w:val="24"/>
          <w:szCs w:val="24"/>
        </w:rPr>
        <w:t>-</w:t>
      </w:r>
      <w:r w:rsidRPr="009214E4">
        <w:rPr>
          <w:sz w:val="24"/>
          <w:szCs w:val="24"/>
        </w:rPr>
        <w:t>8 °C).</w:t>
      </w:r>
    </w:p>
    <w:p w14:paraId="075D68C4" w14:textId="77777777" w:rsidR="009214E4" w:rsidRPr="009214E4" w:rsidRDefault="009214E4" w:rsidP="009214E4">
      <w:pPr>
        <w:tabs>
          <w:tab w:val="left" w:pos="851"/>
        </w:tabs>
        <w:ind w:left="851"/>
        <w:rPr>
          <w:sz w:val="24"/>
          <w:szCs w:val="24"/>
        </w:rPr>
      </w:pPr>
      <w:r w:rsidRPr="009214E4">
        <w:rPr>
          <w:sz w:val="24"/>
          <w:szCs w:val="24"/>
        </w:rPr>
        <w:t>Opbevar hætteglasset i den ydre karton for at beskytte mod lys.</w:t>
      </w:r>
    </w:p>
    <w:p w14:paraId="2588E7A5" w14:textId="77777777" w:rsidR="009214E4" w:rsidRPr="009214E4" w:rsidRDefault="009214E4" w:rsidP="009214E4">
      <w:pPr>
        <w:tabs>
          <w:tab w:val="left" w:pos="851"/>
        </w:tabs>
        <w:ind w:left="851"/>
        <w:rPr>
          <w:sz w:val="24"/>
          <w:szCs w:val="24"/>
        </w:rPr>
      </w:pPr>
    </w:p>
    <w:p w14:paraId="102B6083" w14:textId="4FA40E6D" w:rsidR="009214E4" w:rsidRPr="009214E4" w:rsidRDefault="009214E4" w:rsidP="009214E4">
      <w:pPr>
        <w:tabs>
          <w:tab w:val="left" w:pos="851"/>
        </w:tabs>
        <w:ind w:left="851"/>
        <w:rPr>
          <w:sz w:val="24"/>
          <w:szCs w:val="24"/>
        </w:rPr>
      </w:pPr>
      <w:r w:rsidRPr="009214E4">
        <w:rPr>
          <w:sz w:val="24"/>
          <w:szCs w:val="24"/>
        </w:rPr>
        <w:t>Opbevaringsforhold og stabilitet af lægemidlet efter første åbning</w:t>
      </w:r>
      <w:r>
        <w:rPr>
          <w:sz w:val="24"/>
          <w:szCs w:val="24"/>
        </w:rPr>
        <w:t>: S</w:t>
      </w:r>
      <w:r w:rsidRPr="009214E4">
        <w:rPr>
          <w:sz w:val="24"/>
          <w:szCs w:val="24"/>
        </w:rPr>
        <w:t>e pkt. 6.3.</w:t>
      </w:r>
    </w:p>
    <w:p w14:paraId="766ADA20" w14:textId="78A60B41" w:rsidR="009214E4" w:rsidRDefault="009214E4">
      <w:pPr>
        <w:rPr>
          <w:sz w:val="24"/>
          <w:szCs w:val="24"/>
        </w:rPr>
      </w:pPr>
      <w:r>
        <w:rPr>
          <w:sz w:val="24"/>
          <w:szCs w:val="24"/>
        </w:rPr>
        <w:br w:type="page"/>
      </w:r>
    </w:p>
    <w:p w14:paraId="150AC2F6" w14:textId="77777777" w:rsidR="009260DE" w:rsidRPr="00C84483" w:rsidRDefault="009260DE" w:rsidP="009260DE">
      <w:pPr>
        <w:tabs>
          <w:tab w:val="left" w:pos="851"/>
        </w:tabs>
        <w:ind w:left="851"/>
        <w:rPr>
          <w:sz w:val="24"/>
          <w:szCs w:val="24"/>
        </w:rPr>
      </w:pPr>
    </w:p>
    <w:p w14:paraId="7C3F07B7" w14:textId="77777777" w:rsidR="009260DE" w:rsidRPr="00C84483" w:rsidRDefault="009260DE" w:rsidP="009260DE">
      <w:pPr>
        <w:tabs>
          <w:tab w:val="left" w:pos="851"/>
        </w:tabs>
        <w:ind w:left="851" w:hanging="851"/>
        <w:rPr>
          <w:b/>
          <w:sz w:val="24"/>
          <w:szCs w:val="24"/>
        </w:rPr>
      </w:pPr>
      <w:r w:rsidRPr="00C84483">
        <w:rPr>
          <w:b/>
          <w:sz w:val="24"/>
          <w:szCs w:val="24"/>
        </w:rPr>
        <w:t>6.5</w:t>
      </w:r>
      <w:r w:rsidRPr="00C84483">
        <w:rPr>
          <w:b/>
          <w:sz w:val="24"/>
          <w:szCs w:val="24"/>
        </w:rPr>
        <w:tab/>
        <w:t>Emballagetype og pakningsstørrelser</w:t>
      </w:r>
    </w:p>
    <w:p w14:paraId="00409850" w14:textId="188A8973" w:rsidR="009214E4" w:rsidRPr="009214E4" w:rsidRDefault="009214E4" w:rsidP="009214E4">
      <w:pPr>
        <w:tabs>
          <w:tab w:val="left" w:pos="851"/>
        </w:tabs>
        <w:ind w:left="851"/>
        <w:rPr>
          <w:sz w:val="24"/>
          <w:szCs w:val="24"/>
        </w:rPr>
      </w:pPr>
      <w:r w:rsidRPr="009214E4">
        <w:rPr>
          <w:sz w:val="24"/>
          <w:szCs w:val="24"/>
        </w:rPr>
        <w:t>Klar</w:t>
      </w:r>
      <w:r>
        <w:rPr>
          <w:sz w:val="24"/>
          <w:szCs w:val="24"/>
        </w:rPr>
        <w:t>t</w:t>
      </w:r>
      <w:r w:rsidRPr="009214E4">
        <w:rPr>
          <w:sz w:val="24"/>
          <w:szCs w:val="24"/>
        </w:rPr>
        <w:t xml:space="preserve"> type 1-hætteglas af glas lukket med en chlorobutyl-gummiprop og en </w:t>
      </w:r>
      <w:r w:rsidRPr="009214E4">
        <w:rPr>
          <w:i/>
          <w:iCs/>
          <w:sz w:val="24"/>
          <w:szCs w:val="24"/>
        </w:rPr>
        <w:t>flip-off</w:t>
      </w:r>
      <w:r w:rsidRPr="009214E4">
        <w:rPr>
          <w:sz w:val="24"/>
          <w:szCs w:val="24"/>
        </w:rPr>
        <w:t>-hætte.</w:t>
      </w:r>
    </w:p>
    <w:p w14:paraId="491FF80C" w14:textId="77777777" w:rsidR="009214E4" w:rsidRPr="009214E4" w:rsidRDefault="009214E4" w:rsidP="009214E4">
      <w:pPr>
        <w:tabs>
          <w:tab w:val="left" w:pos="851"/>
        </w:tabs>
        <w:ind w:left="851"/>
        <w:rPr>
          <w:sz w:val="24"/>
          <w:szCs w:val="24"/>
        </w:rPr>
      </w:pPr>
    </w:p>
    <w:p w14:paraId="6A7BCD09" w14:textId="2F9B6CB4" w:rsidR="009214E4" w:rsidRPr="009214E4" w:rsidRDefault="009214E4" w:rsidP="009214E4">
      <w:pPr>
        <w:tabs>
          <w:tab w:val="left" w:pos="851"/>
        </w:tabs>
        <w:ind w:left="851"/>
        <w:rPr>
          <w:sz w:val="24"/>
          <w:szCs w:val="24"/>
        </w:rPr>
      </w:pPr>
      <w:r>
        <w:rPr>
          <w:sz w:val="24"/>
          <w:szCs w:val="24"/>
        </w:rPr>
        <w:t>Pakningsstørrelser:</w:t>
      </w:r>
      <w:r w:rsidRPr="009214E4">
        <w:rPr>
          <w:sz w:val="24"/>
          <w:szCs w:val="24"/>
        </w:rPr>
        <w:t xml:space="preserve"> 1 hætteglas (4 ml) og 10 hætteglas (hver</w:t>
      </w:r>
      <w:r>
        <w:rPr>
          <w:sz w:val="24"/>
          <w:szCs w:val="24"/>
        </w:rPr>
        <w:t>t</w:t>
      </w:r>
      <w:r w:rsidRPr="009214E4">
        <w:rPr>
          <w:sz w:val="24"/>
          <w:szCs w:val="24"/>
        </w:rPr>
        <w:t xml:space="preserve"> med 4 ml).</w:t>
      </w:r>
    </w:p>
    <w:p w14:paraId="2A75B0FB" w14:textId="77777777" w:rsidR="009214E4" w:rsidRPr="009214E4" w:rsidRDefault="009214E4" w:rsidP="009214E4">
      <w:pPr>
        <w:tabs>
          <w:tab w:val="left" w:pos="851"/>
        </w:tabs>
        <w:ind w:left="851"/>
        <w:rPr>
          <w:sz w:val="24"/>
          <w:szCs w:val="24"/>
        </w:rPr>
      </w:pPr>
    </w:p>
    <w:p w14:paraId="00135771" w14:textId="77777777" w:rsidR="009214E4" w:rsidRPr="009214E4" w:rsidRDefault="009214E4" w:rsidP="009214E4">
      <w:pPr>
        <w:tabs>
          <w:tab w:val="left" w:pos="851"/>
        </w:tabs>
        <w:ind w:left="851"/>
        <w:rPr>
          <w:sz w:val="24"/>
          <w:szCs w:val="24"/>
        </w:rPr>
      </w:pPr>
      <w:r w:rsidRPr="009214E4">
        <w:rPr>
          <w:sz w:val="24"/>
          <w:szCs w:val="24"/>
        </w:rPr>
        <w:t>Ikke alle pakningsstørrelser er nødvendigvis markedsført.</w:t>
      </w:r>
    </w:p>
    <w:p w14:paraId="462CD5D7" w14:textId="77777777" w:rsidR="009260DE" w:rsidRPr="00C84483" w:rsidRDefault="009260DE" w:rsidP="009260DE">
      <w:pPr>
        <w:tabs>
          <w:tab w:val="left" w:pos="851"/>
        </w:tabs>
        <w:ind w:left="851"/>
        <w:rPr>
          <w:sz w:val="24"/>
          <w:szCs w:val="24"/>
        </w:rPr>
      </w:pPr>
    </w:p>
    <w:p w14:paraId="41147544" w14:textId="77777777" w:rsidR="009260DE" w:rsidRPr="00C84483" w:rsidRDefault="009260DE" w:rsidP="009260DE">
      <w:pPr>
        <w:tabs>
          <w:tab w:val="left" w:pos="851"/>
        </w:tabs>
        <w:ind w:left="851" w:hanging="851"/>
        <w:rPr>
          <w:b/>
          <w:sz w:val="24"/>
          <w:szCs w:val="24"/>
        </w:rPr>
      </w:pPr>
      <w:r w:rsidRPr="00C84483">
        <w:rPr>
          <w:b/>
          <w:sz w:val="24"/>
          <w:szCs w:val="24"/>
        </w:rPr>
        <w:t>6.6</w:t>
      </w:r>
      <w:r w:rsidRPr="00C84483">
        <w:rPr>
          <w:b/>
          <w:sz w:val="24"/>
          <w:szCs w:val="24"/>
        </w:rPr>
        <w:tab/>
        <w:t xml:space="preserve">Regler for </w:t>
      </w:r>
      <w:r w:rsidR="00BD7931">
        <w:rPr>
          <w:b/>
          <w:sz w:val="24"/>
          <w:szCs w:val="24"/>
        </w:rPr>
        <w:t>bortskaffelse</w:t>
      </w:r>
      <w:r w:rsidRPr="00C84483">
        <w:rPr>
          <w:b/>
          <w:sz w:val="24"/>
          <w:szCs w:val="24"/>
        </w:rPr>
        <w:t xml:space="preserve"> og anden håndtering</w:t>
      </w:r>
    </w:p>
    <w:p w14:paraId="01242D67" w14:textId="36B6FAA7" w:rsidR="009214E4" w:rsidRPr="009214E4" w:rsidRDefault="009214E4" w:rsidP="009214E4">
      <w:pPr>
        <w:tabs>
          <w:tab w:val="left" w:pos="851"/>
        </w:tabs>
        <w:ind w:left="851"/>
        <w:rPr>
          <w:sz w:val="24"/>
          <w:szCs w:val="24"/>
        </w:rPr>
      </w:pPr>
      <w:r w:rsidRPr="009214E4">
        <w:rPr>
          <w:sz w:val="24"/>
          <w:szCs w:val="24"/>
        </w:rPr>
        <w:t xml:space="preserve">Daunorubicin </w:t>
      </w:r>
      <w:r w:rsidR="008D6864">
        <w:rPr>
          <w:sz w:val="24"/>
          <w:szCs w:val="24"/>
        </w:rPr>
        <w:t>"</w:t>
      </w:r>
      <w:r w:rsidRPr="009214E4">
        <w:rPr>
          <w:sz w:val="24"/>
          <w:szCs w:val="24"/>
        </w:rPr>
        <w:t>Hikma</w:t>
      </w:r>
      <w:r w:rsidR="008D6864">
        <w:rPr>
          <w:sz w:val="24"/>
          <w:szCs w:val="24"/>
        </w:rPr>
        <w:t>"</w:t>
      </w:r>
      <w:r w:rsidRPr="009214E4">
        <w:rPr>
          <w:sz w:val="24"/>
          <w:szCs w:val="24"/>
        </w:rPr>
        <w:t xml:space="preserve"> er et cytotoksisk lægemiddel. Særlige gældende procedurer og retningslinjer for håndtering og bortskaffelse skal følges.</w:t>
      </w:r>
    </w:p>
    <w:p w14:paraId="63EE7C1E" w14:textId="77777777" w:rsidR="009214E4" w:rsidRPr="009214E4" w:rsidRDefault="009214E4" w:rsidP="009214E4">
      <w:pPr>
        <w:tabs>
          <w:tab w:val="left" w:pos="851"/>
        </w:tabs>
        <w:ind w:left="851"/>
        <w:rPr>
          <w:sz w:val="24"/>
          <w:szCs w:val="24"/>
        </w:rPr>
      </w:pPr>
    </w:p>
    <w:p w14:paraId="4F1C717A" w14:textId="77777777" w:rsidR="009214E4" w:rsidRPr="009214E4" w:rsidRDefault="009214E4" w:rsidP="009214E4">
      <w:pPr>
        <w:tabs>
          <w:tab w:val="left" w:pos="851"/>
        </w:tabs>
        <w:ind w:left="851"/>
        <w:rPr>
          <w:sz w:val="24"/>
          <w:szCs w:val="24"/>
        </w:rPr>
      </w:pPr>
      <w:r w:rsidRPr="009214E4">
        <w:rPr>
          <w:sz w:val="24"/>
          <w:szCs w:val="24"/>
        </w:rPr>
        <w:t>Lægemidlet skal administreres langsomt intravenøst (ca. 5 minutter) ved brug af en hurtigløbende intravenøs infusion med 9 mg/ml natriumchloridopløsning eller 50 mg/ml (5 %) glucoseopløsning.</w:t>
      </w:r>
    </w:p>
    <w:p w14:paraId="113A2DD0" w14:textId="77777777" w:rsidR="009214E4" w:rsidRPr="009214E4" w:rsidRDefault="009214E4" w:rsidP="009214E4">
      <w:pPr>
        <w:tabs>
          <w:tab w:val="left" w:pos="851"/>
        </w:tabs>
        <w:ind w:left="851"/>
        <w:rPr>
          <w:sz w:val="24"/>
          <w:szCs w:val="24"/>
        </w:rPr>
      </w:pPr>
    </w:p>
    <w:p w14:paraId="7FFC4BE4" w14:textId="77777777" w:rsidR="009214E4" w:rsidRPr="009214E4" w:rsidRDefault="009214E4" w:rsidP="009214E4">
      <w:pPr>
        <w:tabs>
          <w:tab w:val="left" w:pos="851"/>
        </w:tabs>
        <w:ind w:left="851"/>
        <w:rPr>
          <w:sz w:val="24"/>
          <w:szCs w:val="24"/>
        </w:rPr>
      </w:pPr>
      <w:r w:rsidRPr="009214E4">
        <w:rPr>
          <w:sz w:val="24"/>
          <w:szCs w:val="24"/>
        </w:rPr>
        <w:t>Ikke anvendt lægemiddel samt affald heraf skal bortskaffes i henhold til lokale retningslinjer.</w:t>
      </w:r>
    </w:p>
    <w:p w14:paraId="5ED4497E" w14:textId="77777777" w:rsidR="009260DE" w:rsidRPr="00C84483" w:rsidRDefault="009260DE" w:rsidP="000730CA">
      <w:pPr>
        <w:tabs>
          <w:tab w:val="left" w:pos="851"/>
        </w:tabs>
        <w:ind w:left="851"/>
        <w:rPr>
          <w:sz w:val="24"/>
          <w:szCs w:val="24"/>
        </w:rPr>
      </w:pPr>
    </w:p>
    <w:p w14:paraId="1114409E" w14:textId="77777777" w:rsidR="009260DE" w:rsidRPr="00C84483" w:rsidRDefault="009260DE" w:rsidP="009260DE">
      <w:pPr>
        <w:tabs>
          <w:tab w:val="left" w:pos="851"/>
        </w:tabs>
        <w:ind w:left="851" w:hanging="851"/>
        <w:rPr>
          <w:b/>
          <w:sz w:val="24"/>
          <w:szCs w:val="24"/>
        </w:rPr>
      </w:pPr>
      <w:r w:rsidRPr="00C84483">
        <w:rPr>
          <w:b/>
          <w:sz w:val="24"/>
          <w:szCs w:val="24"/>
        </w:rPr>
        <w:t>7.</w:t>
      </w:r>
      <w:r w:rsidRPr="00C84483">
        <w:rPr>
          <w:b/>
          <w:sz w:val="24"/>
          <w:szCs w:val="24"/>
        </w:rPr>
        <w:tab/>
        <w:t>INDEHAVER AF MARKEDSFØRINGSTILLADELSEN</w:t>
      </w:r>
    </w:p>
    <w:p w14:paraId="5949E5A7" w14:textId="77777777" w:rsidR="009214E4" w:rsidRPr="00D9251E" w:rsidRDefault="009214E4" w:rsidP="009214E4">
      <w:pPr>
        <w:tabs>
          <w:tab w:val="left" w:pos="851"/>
        </w:tabs>
        <w:ind w:left="851"/>
        <w:rPr>
          <w:sz w:val="24"/>
          <w:szCs w:val="24"/>
        </w:rPr>
      </w:pPr>
      <w:r w:rsidRPr="00D9251E">
        <w:rPr>
          <w:sz w:val="24"/>
          <w:szCs w:val="24"/>
        </w:rPr>
        <w:t>Hikma Farmacêutica (Portugal), S.A.</w:t>
      </w:r>
    </w:p>
    <w:p w14:paraId="02FC164E" w14:textId="77777777" w:rsidR="009214E4" w:rsidRPr="009214E4" w:rsidRDefault="009214E4" w:rsidP="009214E4">
      <w:pPr>
        <w:tabs>
          <w:tab w:val="left" w:pos="851"/>
        </w:tabs>
        <w:ind w:left="851"/>
        <w:rPr>
          <w:sz w:val="24"/>
          <w:szCs w:val="24"/>
          <w:lang w:val="en-US"/>
        </w:rPr>
      </w:pPr>
      <w:r w:rsidRPr="009214E4">
        <w:rPr>
          <w:sz w:val="24"/>
          <w:szCs w:val="24"/>
          <w:lang w:val="en-US"/>
        </w:rPr>
        <w:t>Estrada do Rio da Mó, 8, 8A e 8B</w:t>
      </w:r>
    </w:p>
    <w:p w14:paraId="1BF071A0" w14:textId="77777777" w:rsidR="009214E4" w:rsidRPr="009214E4" w:rsidRDefault="009214E4" w:rsidP="009214E4">
      <w:pPr>
        <w:tabs>
          <w:tab w:val="left" w:pos="851"/>
        </w:tabs>
        <w:ind w:left="851"/>
        <w:rPr>
          <w:sz w:val="24"/>
          <w:szCs w:val="24"/>
        </w:rPr>
      </w:pPr>
      <w:r w:rsidRPr="009214E4">
        <w:rPr>
          <w:sz w:val="24"/>
          <w:szCs w:val="24"/>
        </w:rPr>
        <w:t>Fervença</w:t>
      </w:r>
    </w:p>
    <w:p w14:paraId="7243BEF2" w14:textId="77777777" w:rsidR="009214E4" w:rsidRPr="009214E4" w:rsidRDefault="009214E4" w:rsidP="009214E4">
      <w:pPr>
        <w:tabs>
          <w:tab w:val="left" w:pos="851"/>
        </w:tabs>
        <w:ind w:left="851"/>
        <w:rPr>
          <w:sz w:val="24"/>
          <w:szCs w:val="24"/>
        </w:rPr>
      </w:pPr>
      <w:r w:rsidRPr="009214E4">
        <w:rPr>
          <w:sz w:val="24"/>
          <w:szCs w:val="24"/>
        </w:rPr>
        <w:t>2705-906 Terrugem Sintra</w:t>
      </w:r>
    </w:p>
    <w:p w14:paraId="2C01471F" w14:textId="77777777" w:rsidR="009214E4" w:rsidRPr="009214E4" w:rsidRDefault="009214E4" w:rsidP="009214E4">
      <w:pPr>
        <w:tabs>
          <w:tab w:val="left" w:pos="851"/>
        </w:tabs>
        <w:ind w:left="851"/>
        <w:rPr>
          <w:sz w:val="24"/>
          <w:szCs w:val="24"/>
        </w:rPr>
      </w:pPr>
      <w:r w:rsidRPr="009214E4">
        <w:rPr>
          <w:sz w:val="24"/>
          <w:szCs w:val="24"/>
        </w:rPr>
        <w:t>Portugal</w:t>
      </w:r>
    </w:p>
    <w:p w14:paraId="78923124" w14:textId="77777777" w:rsidR="009260DE" w:rsidRDefault="009260DE" w:rsidP="009260DE">
      <w:pPr>
        <w:tabs>
          <w:tab w:val="left" w:pos="851"/>
        </w:tabs>
        <w:ind w:left="851"/>
        <w:rPr>
          <w:sz w:val="24"/>
          <w:szCs w:val="24"/>
        </w:rPr>
      </w:pPr>
    </w:p>
    <w:p w14:paraId="78DDE793" w14:textId="77777777" w:rsidR="009260DE" w:rsidRPr="00C84483" w:rsidRDefault="009260DE" w:rsidP="009260DE">
      <w:pPr>
        <w:tabs>
          <w:tab w:val="left" w:pos="851"/>
        </w:tabs>
        <w:ind w:left="851" w:hanging="851"/>
        <w:rPr>
          <w:b/>
          <w:sz w:val="24"/>
          <w:szCs w:val="24"/>
        </w:rPr>
      </w:pPr>
      <w:r w:rsidRPr="00C84483">
        <w:rPr>
          <w:b/>
          <w:sz w:val="24"/>
          <w:szCs w:val="24"/>
        </w:rPr>
        <w:t>8.</w:t>
      </w:r>
      <w:r w:rsidRPr="00C84483">
        <w:rPr>
          <w:b/>
          <w:sz w:val="24"/>
          <w:szCs w:val="24"/>
        </w:rPr>
        <w:tab/>
        <w:t>MARKEDSFØRINGSTILLADELSESNUMMER (</w:t>
      </w:r>
      <w:r w:rsidR="00BF6243">
        <w:rPr>
          <w:b/>
          <w:sz w:val="24"/>
          <w:szCs w:val="24"/>
        </w:rPr>
        <w:t>-</w:t>
      </w:r>
      <w:r w:rsidRPr="00C84483">
        <w:rPr>
          <w:b/>
          <w:sz w:val="24"/>
          <w:szCs w:val="24"/>
        </w:rPr>
        <w:t>NUMRE)</w:t>
      </w:r>
    </w:p>
    <w:p w14:paraId="7409ED48" w14:textId="7B33D400" w:rsidR="009260DE" w:rsidRPr="00C84483" w:rsidRDefault="00FE28F6" w:rsidP="009260DE">
      <w:pPr>
        <w:tabs>
          <w:tab w:val="left" w:pos="851"/>
        </w:tabs>
        <w:ind w:left="851"/>
        <w:rPr>
          <w:sz w:val="24"/>
          <w:szCs w:val="24"/>
        </w:rPr>
      </w:pPr>
      <w:r>
        <w:rPr>
          <w:sz w:val="24"/>
          <w:szCs w:val="24"/>
        </w:rPr>
        <w:t>69033</w:t>
      </w:r>
    </w:p>
    <w:p w14:paraId="3BE0DF2A" w14:textId="77777777" w:rsidR="009260DE" w:rsidRPr="00C84483" w:rsidRDefault="009260DE" w:rsidP="009260DE">
      <w:pPr>
        <w:tabs>
          <w:tab w:val="left" w:pos="851"/>
        </w:tabs>
        <w:ind w:left="851"/>
        <w:jc w:val="both"/>
        <w:rPr>
          <w:sz w:val="24"/>
          <w:szCs w:val="24"/>
        </w:rPr>
      </w:pPr>
    </w:p>
    <w:p w14:paraId="3CDE1969" w14:textId="77777777" w:rsidR="009260DE" w:rsidRPr="00C84483" w:rsidRDefault="009260DE" w:rsidP="009260DE">
      <w:pPr>
        <w:tabs>
          <w:tab w:val="left" w:pos="851"/>
        </w:tabs>
        <w:ind w:left="851" w:hanging="851"/>
        <w:rPr>
          <w:b/>
          <w:sz w:val="24"/>
          <w:szCs w:val="24"/>
        </w:rPr>
      </w:pPr>
      <w:r w:rsidRPr="00C84483">
        <w:rPr>
          <w:b/>
          <w:sz w:val="24"/>
          <w:szCs w:val="24"/>
        </w:rPr>
        <w:t>9.</w:t>
      </w:r>
      <w:r w:rsidRPr="00C84483">
        <w:rPr>
          <w:b/>
          <w:sz w:val="24"/>
          <w:szCs w:val="24"/>
        </w:rPr>
        <w:tab/>
        <w:t>DATO FOR FØRSTE MARKEDSFØRINGSTILLADELSE</w:t>
      </w:r>
    </w:p>
    <w:p w14:paraId="2F81B21A" w14:textId="4E6FAD14" w:rsidR="009260DE" w:rsidRPr="00C84483" w:rsidRDefault="00D9251E" w:rsidP="009260DE">
      <w:pPr>
        <w:tabs>
          <w:tab w:val="left" w:pos="851"/>
        </w:tabs>
        <w:ind w:left="851"/>
        <w:rPr>
          <w:sz w:val="24"/>
          <w:szCs w:val="24"/>
        </w:rPr>
      </w:pPr>
      <w:r>
        <w:rPr>
          <w:sz w:val="24"/>
          <w:szCs w:val="24"/>
        </w:rPr>
        <w:t>21. august 2025</w:t>
      </w:r>
    </w:p>
    <w:p w14:paraId="1D9A6AEF" w14:textId="77777777" w:rsidR="009260DE" w:rsidRPr="00C84483" w:rsidRDefault="009260DE" w:rsidP="009260DE">
      <w:pPr>
        <w:tabs>
          <w:tab w:val="left" w:pos="851"/>
        </w:tabs>
        <w:ind w:left="851"/>
        <w:rPr>
          <w:sz w:val="24"/>
          <w:szCs w:val="24"/>
        </w:rPr>
      </w:pPr>
    </w:p>
    <w:p w14:paraId="48052459" w14:textId="77777777" w:rsidR="009260DE" w:rsidRPr="00C84483" w:rsidRDefault="009260DE" w:rsidP="009260DE">
      <w:pPr>
        <w:tabs>
          <w:tab w:val="left" w:pos="851"/>
        </w:tabs>
        <w:ind w:left="851" w:hanging="851"/>
        <w:rPr>
          <w:b/>
          <w:sz w:val="24"/>
          <w:szCs w:val="24"/>
        </w:rPr>
      </w:pPr>
      <w:r w:rsidRPr="00C84483">
        <w:rPr>
          <w:b/>
          <w:sz w:val="24"/>
          <w:szCs w:val="24"/>
        </w:rPr>
        <w:t>10.</w:t>
      </w:r>
      <w:r w:rsidRPr="00C84483">
        <w:rPr>
          <w:b/>
          <w:sz w:val="24"/>
          <w:szCs w:val="24"/>
        </w:rPr>
        <w:tab/>
        <w:t>DATO FOR ÆNDRING AF TEKSTEN</w:t>
      </w:r>
    </w:p>
    <w:p w14:paraId="085035CA" w14:textId="7510A1CE" w:rsidR="009260DE" w:rsidRPr="00C84483" w:rsidRDefault="00FE28F6" w:rsidP="009260DE">
      <w:pPr>
        <w:tabs>
          <w:tab w:val="left" w:pos="851"/>
        </w:tabs>
        <w:ind w:left="851"/>
        <w:rPr>
          <w:sz w:val="24"/>
          <w:szCs w:val="24"/>
        </w:rPr>
      </w:pPr>
      <w:r>
        <w:rPr>
          <w:sz w:val="24"/>
          <w:szCs w:val="24"/>
        </w:rPr>
        <w:t>-</w:t>
      </w:r>
    </w:p>
    <w:sectPr w:rsidR="009260DE" w:rsidRPr="00C84483" w:rsidSect="000259B9">
      <w:footerReference w:type="default" r:id="rId8"/>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8A059E" w14:textId="77777777" w:rsidR="00EF5A69" w:rsidRDefault="00EF5A69">
      <w:r>
        <w:separator/>
      </w:r>
    </w:p>
  </w:endnote>
  <w:endnote w:type="continuationSeparator" w:id="0">
    <w:p w14:paraId="226025C2" w14:textId="77777777" w:rsidR="00EF5A69" w:rsidRDefault="00EF5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DA748" w14:textId="77777777" w:rsidR="000259B9" w:rsidRDefault="000259B9">
    <w:pPr>
      <w:pStyle w:val="Sidefod"/>
      <w:pBdr>
        <w:bottom w:val="single" w:sz="6" w:space="1" w:color="auto"/>
      </w:pBdr>
    </w:pPr>
  </w:p>
  <w:p w14:paraId="34E7403C" w14:textId="77777777" w:rsidR="000259B9" w:rsidRDefault="000259B9" w:rsidP="00C42586">
    <w:pPr>
      <w:pStyle w:val="Sidefod"/>
      <w:tabs>
        <w:tab w:val="clear" w:pos="4819"/>
        <w:tab w:val="left" w:pos="8505"/>
      </w:tabs>
      <w:rPr>
        <w:i/>
        <w:sz w:val="18"/>
        <w:szCs w:val="18"/>
      </w:rPr>
    </w:pPr>
  </w:p>
  <w:p w14:paraId="269817CA" w14:textId="7BD4DF52"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136633">
      <w:rPr>
        <w:i/>
        <w:noProof/>
        <w:sz w:val="18"/>
        <w:szCs w:val="18"/>
      </w:rPr>
      <w:t>Daunorubicin Hikma, infusionsvæske, opløsning 5 mg-ml</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E95DFB" w14:textId="77777777" w:rsidR="00EF5A69" w:rsidRDefault="00EF5A69">
      <w:r>
        <w:separator/>
      </w:r>
    </w:p>
  </w:footnote>
  <w:footnote w:type="continuationSeparator" w:id="0">
    <w:p w14:paraId="08B6A5F4" w14:textId="77777777" w:rsidR="00EF5A69" w:rsidRDefault="00EF5A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2BCE2734"/>
    <w:multiLevelType w:val="hybridMultilevel"/>
    <w:tmpl w:val="7AD6E3CA"/>
    <w:lvl w:ilvl="0" w:tplc="FFFFFFFF">
      <w:start w:val="1"/>
      <w:numFmt w:val="bullet"/>
      <w:lvlText w:val="-"/>
      <w:lvlJc w:val="left"/>
      <w:pPr>
        <w:ind w:left="720" w:hanging="360"/>
      </w:p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4"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5" w15:restartNumberingAfterBreak="0">
    <w:nsid w:val="4A153F38"/>
    <w:multiLevelType w:val="hybridMultilevel"/>
    <w:tmpl w:val="0642796C"/>
    <w:lvl w:ilvl="0" w:tplc="FFFFFFFF">
      <w:start w:val="1"/>
      <w:numFmt w:val="bullet"/>
      <w:lvlText w:val="-"/>
      <w:lvlJc w:val="left"/>
      <w:pPr>
        <w:ind w:left="360" w:hanging="360"/>
      </w:p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6"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A69"/>
    <w:rsid w:val="000259B9"/>
    <w:rsid w:val="00041491"/>
    <w:rsid w:val="00050D16"/>
    <w:rsid w:val="000730CA"/>
    <w:rsid w:val="00074F2A"/>
    <w:rsid w:val="000A1CA8"/>
    <w:rsid w:val="000A466B"/>
    <w:rsid w:val="000B058C"/>
    <w:rsid w:val="000D68B0"/>
    <w:rsid w:val="000E4EE6"/>
    <w:rsid w:val="00126A5E"/>
    <w:rsid w:val="00136633"/>
    <w:rsid w:val="001454E2"/>
    <w:rsid w:val="00206CE8"/>
    <w:rsid w:val="0021526C"/>
    <w:rsid w:val="00283A2B"/>
    <w:rsid w:val="002B30AD"/>
    <w:rsid w:val="002C1EC0"/>
    <w:rsid w:val="002C2C01"/>
    <w:rsid w:val="003A29AE"/>
    <w:rsid w:val="003A32D7"/>
    <w:rsid w:val="003B4074"/>
    <w:rsid w:val="003C769A"/>
    <w:rsid w:val="003D3A90"/>
    <w:rsid w:val="003F1838"/>
    <w:rsid w:val="004251C1"/>
    <w:rsid w:val="0045746C"/>
    <w:rsid w:val="0049104B"/>
    <w:rsid w:val="004D41D1"/>
    <w:rsid w:val="004E3B12"/>
    <w:rsid w:val="00532310"/>
    <w:rsid w:val="00565F0F"/>
    <w:rsid w:val="00594A86"/>
    <w:rsid w:val="00596D86"/>
    <w:rsid w:val="00637F5A"/>
    <w:rsid w:val="00641C65"/>
    <w:rsid w:val="006560B1"/>
    <w:rsid w:val="006756DD"/>
    <w:rsid w:val="0071241E"/>
    <w:rsid w:val="00737275"/>
    <w:rsid w:val="00740EEC"/>
    <w:rsid w:val="0078011A"/>
    <w:rsid w:val="00782AF4"/>
    <w:rsid w:val="00785DD7"/>
    <w:rsid w:val="00790EE7"/>
    <w:rsid w:val="007B6649"/>
    <w:rsid w:val="0082576E"/>
    <w:rsid w:val="0089346F"/>
    <w:rsid w:val="008D6864"/>
    <w:rsid w:val="00907F75"/>
    <w:rsid w:val="009214E4"/>
    <w:rsid w:val="009260DE"/>
    <w:rsid w:val="0093258A"/>
    <w:rsid w:val="009C7BA3"/>
    <w:rsid w:val="009D1F5A"/>
    <w:rsid w:val="00A10294"/>
    <w:rsid w:val="00B003BF"/>
    <w:rsid w:val="00B373D7"/>
    <w:rsid w:val="00B55271"/>
    <w:rsid w:val="00B9706C"/>
    <w:rsid w:val="00BD7931"/>
    <w:rsid w:val="00BF6243"/>
    <w:rsid w:val="00C36276"/>
    <w:rsid w:val="00C42586"/>
    <w:rsid w:val="00C45F6B"/>
    <w:rsid w:val="00C60CCD"/>
    <w:rsid w:val="00C84483"/>
    <w:rsid w:val="00C95551"/>
    <w:rsid w:val="00CB20D7"/>
    <w:rsid w:val="00CB63B3"/>
    <w:rsid w:val="00D020B0"/>
    <w:rsid w:val="00D11748"/>
    <w:rsid w:val="00D237F6"/>
    <w:rsid w:val="00D34D98"/>
    <w:rsid w:val="00D366CF"/>
    <w:rsid w:val="00D9251E"/>
    <w:rsid w:val="00D93992"/>
    <w:rsid w:val="00E108AA"/>
    <w:rsid w:val="00E3749A"/>
    <w:rsid w:val="00E37C56"/>
    <w:rsid w:val="00E7437F"/>
    <w:rsid w:val="00E865B8"/>
    <w:rsid w:val="00EC0B9B"/>
    <w:rsid w:val="00ED5E9F"/>
    <w:rsid w:val="00EF5A69"/>
    <w:rsid w:val="00F66D4F"/>
    <w:rsid w:val="00FB6D01"/>
    <w:rsid w:val="00FE28F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07F588"/>
  <w15:chartTrackingRefBased/>
  <w15:docId w15:val="{C7D823BF-AA32-4889-95ED-D88A2B8E6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table" w:styleId="Tabel-Gitter">
    <w:name w:val="Table Grid"/>
    <w:basedOn w:val="Tabel-Normal"/>
    <w:rsid w:val="00E37C56"/>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E37C56"/>
    <w:rPr>
      <w:color w:val="0563C1" w:themeColor="hyperlink"/>
      <w:u w:val="single"/>
    </w:rPr>
  </w:style>
  <w:style w:type="character" w:styleId="Ulstomtale">
    <w:name w:val="Unresolved Mention"/>
    <w:basedOn w:val="Standardskrifttypeiafsnit"/>
    <w:uiPriority w:val="99"/>
    <w:semiHidden/>
    <w:unhideWhenUsed/>
    <w:rsid w:val="00E37C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876862">
      <w:bodyDiv w:val="1"/>
      <w:marLeft w:val="0"/>
      <w:marRight w:val="0"/>
      <w:marTop w:val="0"/>
      <w:marBottom w:val="0"/>
      <w:divBdr>
        <w:top w:val="none" w:sz="0" w:space="0" w:color="auto"/>
        <w:left w:val="none" w:sz="0" w:space="0" w:color="auto"/>
        <w:bottom w:val="none" w:sz="0" w:space="0" w:color="auto"/>
        <w:right w:val="none" w:sz="0" w:space="0" w:color="auto"/>
      </w:divBdr>
    </w:div>
    <w:div w:id="120458688">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199318914">
      <w:bodyDiv w:val="1"/>
      <w:marLeft w:val="0"/>
      <w:marRight w:val="0"/>
      <w:marTop w:val="0"/>
      <w:marBottom w:val="0"/>
      <w:divBdr>
        <w:top w:val="none" w:sz="0" w:space="0" w:color="auto"/>
        <w:left w:val="none" w:sz="0" w:space="0" w:color="auto"/>
        <w:bottom w:val="none" w:sz="0" w:space="0" w:color="auto"/>
        <w:right w:val="none" w:sz="0" w:space="0" w:color="auto"/>
      </w:divBdr>
    </w:div>
    <w:div w:id="346979508">
      <w:bodyDiv w:val="1"/>
      <w:marLeft w:val="0"/>
      <w:marRight w:val="0"/>
      <w:marTop w:val="0"/>
      <w:marBottom w:val="0"/>
      <w:divBdr>
        <w:top w:val="none" w:sz="0" w:space="0" w:color="auto"/>
        <w:left w:val="none" w:sz="0" w:space="0" w:color="auto"/>
        <w:bottom w:val="none" w:sz="0" w:space="0" w:color="auto"/>
        <w:right w:val="none" w:sz="0" w:space="0" w:color="auto"/>
      </w:divBdr>
    </w:div>
    <w:div w:id="464197448">
      <w:bodyDiv w:val="1"/>
      <w:marLeft w:val="0"/>
      <w:marRight w:val="0"/>
      <w:marTop w:val="0"/>
      <w:marBottom w:val="0"/>
      <w:divBdr>
        <w:top w:val="none" w:sz="0" w:space="0" w:color="auto"/>
        <w:left w:val="none" w:sz="0" w:space="0" w:color="auto"/>
        <w:bottom w:val="none" w:sz="0" w:space="0" w:color="auto"/>
        <w:right w:val="none" w:sz="0" w:space="0" w:color="auto"/>
      </w:divBdr>
    </w:div>
    <w:div w:id="538206467">
      <w:bodyDiv w:val="1"/>
      <w:marLeft w:val="0"/>
      <w:marRight w:val="0"/>
      <w:marTop w:val="0"/>
      <w:marBottom w:val="0"/>
      <w:divBdr>
        <w:top w:val="none" w:sz="0" w:space="0" w:color="auto"/>
        <w:left w:val="none" w:sz="0" w:space="0" w:color="auto"/>
        <w:bottom w:val="none" w:sz="0" w:space="0" w:color="auto"/>
        <w:right w:val="none" w:sz="0" w:space="0" w:color="auto"/>
      </w:divBdr>
    </w:div>
    <w:div w:id="578903788">
      <w:bodyDiv w:val="1"/>
      <w:marLeft w:val="0"/>
      <w:marRight w:val="0"/>
      <w:marTop w:val="0"/>
      <w:marBottom w:val="0"/>
      <w:divBdr>
        <w:top w:val="none" w:sz="0" w:space="0" w:color="auto"/>
        <w:left w:val="none" w:sz="0" w:space="0" w:color="auto"/>
        <w:bottom w:val="none" w:sz="0" w:space="0" w:color="auto"/>
        <w:right w:val="none" w:sz="0" w:space="0" w:color="auto"/>
      </w:divBdr>
    </w:div>
    <w:div w:id="586232070">
      <w:bodyDiv w:val="1"/>
      <w:marLeft w:val="0"/>
      <w:marRight w:val="0"/>
      <w:marTop w:val="0"/>
      <w:marBottom w:val="0"/>
      <w:divBdr>
        <w:top w:val="none" w:sz="0" w:space="0" w:color="auto"/>
        <w:left w:val="none" w:sz="0" w:space="0" w:color="auto"/>
        <w:bottom w:val="none" w:sz="0" w:space="0" w:color="auto"/>
        <w:right w:val="none" w:sz="0" w:space="0" w:color="auto"/>
      </w:divBdr>
    </w:div>
    <w:div w:id="586614705">
      <w:bodyDiv w:val="1"/>
      <w:marLeft w:val="0"/>
      <w:marRight w:val="0"/>
      <w:marTop w:val="0"/>
      <w:marBottom w:val="0"/>
      <w:divBdr>
        <w:top w:val="none" w:sz="0" w:space="0" w:color="auto"/>
        <w:left w:val="none" w:sz="0" w:space="0" w:color="auto"/>
        <w:bottom w:val="none" w:sz="0" w:space="0" w:color="auto"/>
        <w:right w:val="none" w:sz="0" w:space="0" w:color="auto"/>
      </w:divBdr>
    </w:div>
    <w:div w:id="610479657">
      <w:bodyDiv w:val="1"/>
      <w:marLeft w:val="0"/>
      <w:marRight w:val="0"/>
      <w:marTop w:val="0"/>
      <w:marBottom w:val="0"/>
      <w:divBdr>
        <w:top w:val="none" w:sz="0" w:space="0" w:color="auto"/>
        <w:left w:val="none" w:sz="0" w:space="0" w:color="auto"/>
        <w:bottom w:val="none" w:sz="0" w:space="0" w:color="auto"/>
        <w:right w:val="none" w:sz="0" w:space="0" w:color="auto"/>
      </w:divBdr>
    </w:div>
    <w:div w:id="678772212">
      <w:bodyDiv w:val="1"/>
      <w:marLeft w:val="0"/>
      <w:marRight w:val="0"/>
      <w:marTop w:val="0"/>
      <w:marBottom w:val="0"/>
      <w:divBdr>
        <w:top w:val="none" w:sz="0" w:space="0" w:color="auto"/>
        <w:left w:val="none" w:sz="0" w:space="0" w:color="auto"/>
        <w:bottom w:val="none" w:sz="0" w:space="0" w:color="auto"/>
        <w:right w:val="none" w:sz="0" w:space="0" w:color="auto"/>
      </w:divBdr>
    </w:div>
    <w:div w:id="701978537">
      <w:bodyDiv w:val="1"/>
      <w:marLeft w:val="0"/>
      <w:marRight w:val="0"/>
      <w:marTop w:val="0"/>
      <w:marBottom w:val="0"/>
      <w:divBdr>
        <w:top w:val="none" w:sz="0" w:space="0" w:color="auto"/>
        <w:left w:val="none" w:sz="0" w:space="0" w:color="auto"/>
        <w:bottom w:val="none" w:sz="0" w:space="0" w:color="auto"/>
        <w:right w:val="none" w:sz="0" w:space="0" w:color="auto"/>
      </w:divBdr>
    </w:div>
    <w:div w:id="793673604">
      <w:bodyDiv w:val="1"/>
      <w:marLeft w:val="0"/>
      <w:marRight w:val="0"/>
      <w:marTop w:val="0"/>
      <w:marBottom w:val="0"/>
      <w:divBdr>
        <w:top w:val="none" w:sz="0" w:space="0" w:color="auto"/>
        <w:left w:val="none" w:sz="0" w:space="0" w:color="auto"/>
        <w:bottom w:val="none" w:sz="0" w:space="0" w:color="auto"/>
        <w:right w:val="none" w:sz="0" w:space="0" w:color="auto"/>
      </w:divBdr>
    </w:div>
    <w:div w:id="797794977">
      <w:bodyDiv w:val="1"/>
      <w:marLeft w:val="0"/>
      <w:marRight w:val="0"/>
      <w:marTop w:val="0"/>
      <w:marBottom w:val="0"/>
      <w:divBdr>
        <w:top w:val="none" w:sz="0" w:space="0" w:color="auto"/>
        <w:left w:val="none" w:sz="0" w:space="0" w:color="auto"/>
        <w:bottom w:val="none" w:sz="0" w:space="0" w:color="auto"/>
        <w:right w:val="none" w:sz="0" w:space="0" w:color="auto"/>
      </w:divBdr>
    </w:div>
    <w:div w:id="801340050">
      <w:bodyDiv w:val="1"/>
      <w:marLeft w:val="0"/>
      <w:marRight w:val="0"/>
      <w:marTop w:val="0"/>
      <w:marBottom w:val="0"/>
      <w:divBdr>
        <w:top w:val="none" w:sz="0" w:space="0" w:color="auto"/>
        <w:left w:val="none" w:sz="0" w:space="0" w:color="auto"/>
        <w:bottom w:val="none" w:sz="0" w:space="0" w:color="auto"/>
        <w:right w:val="none" w:sz="0" w:space="0" w:color="auto"/>
      </w:divBdr>
    </w:div>
    <w:div w:id="802238195">
      <w:bodyDiv w:val="1"/>
      <w:marLeft w:val="0"/>
      <w:marRight w:val="0"/>
      <w:marTop w:val="0"/>
      <w:marBottom w:val="0"/>
      <w:divBdr>
        <w:top w:val="none" w:sz="0" w:space="0" w:color="auto"/>
        <w:left w:val="none" w:sz="0" w:space="0" w:color="auto"/>
        <w:bottom w:val="none" w:sz="0" w:space="0" w:color="auto"/>
        <w:right w:val="none" w:sz="0" w:space="0" w:color="auto"/>
      </w:divBdr>
    </w:div>
    <w:div w:id="812648379">
      <w:bodyDiv w:val="1"/>
      <w:marLeft w:val="0"/>
      <w:marRight w:val="0"/>
      <w:marTop w:val="0"/>
      <w:marBottom w:val="0"/>
      <w:divBdr>
        <w:top w:val="none" w:sz="0" w:space="0" w:color="auto"/>
        <w:left w:val="none" w:sz="0" w:space="0" w:color="auto"/>
        <w:bottom w:val="none" w:sz="0" w:space="0" w:color="auto"/>
        <w:right w:val="none" w:sz="0" w:space="0" w:color="auto"/>
      </w:divBdr>
    </w:div>
    <w:div w:id="824005639">
      <w:bodyDiv w:val="1"/>
      <w:marLeft w:val="0"/>
      <w:marRight w:val="0"/>
      <w:marTop w:val="0"/>
      <w:marBottom w:val="0"/>
      <w:divBdr>
        <w:top w:val="none" w:sz="0" w:space="0" w:color="auto"/>
        <w:left w:val="none" w:sz="0" w:space="0" w:color="auto"/>
        <w:bottom w:val="none" w:sz="0" w:space="0" w:color="auto"/>
        <w:right w:val="none" w:sz="0" w:space="0" w:color="auto"/>
      </w:divBdr>
    </w:div>
    <w:div w:id="843784669">
      <w:bodyDiv w:val="1"/>
      <w:marLeft w:val="0"/>
      <w:marRight w:val="0"/>
      <w:marTop w:val="0"/>
      <w:marBottom w:val="0"/>
      <w:divBdr>
        <w:top w:val="none" w:sz="0" w:space="0" w:color="auto"/>
        <w:left w:val="none" w:sz="0" w:space="0" w:color="auto"/>
        <w:bottom w:val="none" w:sz="0" w:space="0" w:color="auto"/>
        <w:right w:val="none" w:sz="0" w:space="0" w:color="auto"/>
      </w:divBdr>
    </w:div>
    <w:div w:id="928276445">
      <w:bodyDiv w:val="1"/>
      <w:marLeft w:val="0"/>
      <w:marRight w:val="0"/>
      <w:marTop w:val="0"/>
      <w:marBottom w:val="0"/>
      <w:divBdr>
        <w:top w:val="none" w:sz="0" w:space="0" w:color="auto"/>
        <w:left w:val="none" w:sz="0" w:space="0" w:color="auto"/>
        <w:bottom w:val="none" w:sz="0" w:space="0" w:color="auto"/>
        <w:right w:val="none" w:sz="0" w:space="0" w:color="auto"/>
      </w:divBdr>
    </w:div>
    <w:div w:id="1037004674">
      <w:bodyDiv w:val="1"/>
      <w:marLeft w:val="0"/>
      <w:marRight w:val="0"/>
      <w:marTop w:val="0"/>
      <w:marBottom w:val="0"/>
      <w:divBdr>
        <w:top w:val="none" w:sz="0" w:space="0" w:color="auto"/>
        <w:left w:val="none" w:sz="0" w:space="0" w:color="auto"/>
        <w:bottom w:val="none" w:sz="0" w:space="0" w:color="auto"/>
        <w:right w:val="none" w:sz="0" w:space="0" w:color="auto"/>
      </w:divBdr>
    </w:div>
    <w:div w:id="1058673184">
      <w:bodyDiv w:val="1"/>
      <w:marLeft w:val="0"/>
      <w:marRight w:val="0"/>
      <w:marTop w:val="0"/>
      <w:marBottom w:val="0"/>
      <w:divBdr>
        <w:top w:val="none" w:sz="0" w:space="0" w:color="auto"/>
        <w:left w:val="none" w:sz="0" w:space="0" w:color="auto"/>
        <w:bottom w:val="none" w:sz="0" w:space="0" w:color="auto"/>
        <w:right w:val="none" w:sz="0" w:space="0" w:color="auto"/>
      </w:divBdr>
    </w:div>
    <w:div w:id="1084763532">
      <w:bodyDiv w:val="1"/>
      <w:marLeft w:val="0"/>
      <w:marRight w:val="0"/>
      <w:marTop w:val="0"/>
      <w:marBottom w:val="0"/>
      <w:divBdr>
        <w:top w:val="none" w:sz="0" w:space="0" w:color="auto"/>
        <w:left w:val="none" w:sz="0" w:space="0" w:color="auto"/>
        <w:bottom w:val="none" w:sz="0" w:space="0" w:color="auto"/>
        <w:right w:val="none" w:sz="0" w:space="0" w:color="auto"/>
      </w:divBdr>
    </w:div>
    <w:div w:id="1090467301">
      <w:bodyDiv w:val="1"/>
      <w:marLeft w:val="0"/>
      <w:marRight w:val="0"/>
      <w:marTop w:val="0"/>
      <w:marBottom w:val="0"/>
      <w:divBdr>
        <w:top w:val="none" w:sz="0" w:space="0" w:color="auto"/>
        <w:left w:val="none" w:sz="0" w:space="0" w:color="auto"/>
        <w:bottom w:val="none" w:sz="0" w:space="0" w:color="auto"/>
        <w:right w:val="none" w:sz="0" w:space="0" w:color="auto"/>
      </w:divBdr>
    </w:div>
    <w:div w:id="1256548842">
      <w:bodyDiv w:val="1"/>
      <w:marLeft w:val="0"/>
      <w:marRight w:val="0"/>
      <w:marTop w:val="0"/>
      <w:marBottom w:val="0"/>
      <w:divBdr>
        <w:top w:val="none" w:sz="0" w:space="0" w:color="auto"/>
        <w:left w:val="none" w:sz="0" w:space="0" w:color="auto"/>
        <w:bottom w:val="none" w:sz="0" w:space="0" w:color="auto"/>
        <w:right w:val="none" w:sz="0" w:space="0" w:color="auto"/>
      </w:divBdr>
    </w:div>
    <w:div w:id="1362439681">
      <w:bodyDiv w:val="1"/>
      <w:marLeft w:val="0"/>
      <w:marRight w:val="0"/>
      <w:marTop w:val="0"/>
      <w:marBottom w:val="0"/>
      <w:divBdr>
        <w:top w:val="none" w:sz="0" w:space="0" w:color="auto"/>
        <w:left w:val="none" w:sz="0" w:space="0" w:color="auto"/>
        <w:bottom w:val="none" w:sz="0" w:space="0" w:color="auto"/>
        <w:right w:val="none" w:sz="0" w:space="0" w:color="auto"/>
      </w:divBdr>
    </w:div>
    <w:div w:id="1445229899">
      <w:bodyDiv w:val="1"/>
      <w:marLeft w:val="0"/>
      <w:marRight w:val="0"/>
      <w:marTop w:val="0"/>
      <w:marBottom w:val="0"/>
      <w:divBdr>
        <w:top w:val="none" w:sz="0" w:space="0" w:color="auto"/>
        <w:left w:val="none" w:sz="0" w:space="0" w:color="auto"/>
        <w:bottom w:val="none" w:sz="0" w:space="0" w:color="auto"/>
        <w:right w:val="none" w:sz="0" w:space="0" w:color="auto"/>
      </w:divBdr>
    </w:div>
    <w:div w:id="1508444228">
      <w:bodyDiv w:val="1"/>
      <w:marLeft w:val="0"/>
      <w:marRight w:val="0"/>
      <w:marTop w:val="0"/>
      <w:marBottom w:val="0"/>
      <w:divBdr>
        <w:top w:val="none" w:sz="0" w:space="0" w:color="auto"/>
        <w:left w:val="none" w:sz="0" w:space="0" w:color="auto"/>
        <w:bottom w:val="none" w:sz="0" w:space="0" w:color="auto"/>
        <w:right w:val="none" w:sz="0" w:space="0" w:color="auto"/>
      </w:divBdr>
    </w:div>
    <w:div w:id="1544706603">
      <w:bodyDiv w:val="1"/>
      <w:marLeft w:val="0"/>
      <w:marRight w:val="0"/>
      <w:marTop w:val="0"/>
      <w:marBottom w:val="0"/>
      <w:divBdr>
        <w:top w:val="none" w:sz="0" w:space="0" w:color="auto"/>
        <w:left w:val="none" w:sz="0" w:space="0" w:color="auto"/>
        <w:bottom w:val="none" w:sz="0" w:space="0" w:color="auto"/>
        <w:right w:val="none" w:sz="0" w:space="0" w:color="auto"/>
      </w:divBdr>
    </w:div>
    <w:div w:id="1547638899">
      <w:bodyDiv w:val="1"/>
      <w:marLeft w:val="0"/>
      <w:marRight w:val="0"/>
      <w:marTop w:val="0"/>
      <w:marBottom w:val="0"/>
      <w:divBdr>
        <w:top w:val="none" w:sz="0" w:space="0" w:color="auto"/>
        <w:left w:val="none" w:sz="0" w:space="0" w:color="auto"/>
        <w:bottom w:val="none" w:sz="0" w:space="0" w:color="auto"/>
        <w:right w:val="none" w:sz="0" w:space="0" w:color="auto"/>
      </w:divBdr>
    </w:div>
    <w:div w:id="1601182440">
      <w:bodyDiv w:val="1"/>
      <w:marLeft w:val="0"/>
      <w:marRight w:val="0"/>
      <w:marTop w:val="0"/>
      <w:marBottom w:val="0"/>
      <w:divBdr>
        <w:top w:val="none" w:sz="0" w:space="0" w:color="auto"/>
        <w:left w:val="none" w:sz="0" w:space="0" w:color="auto"/>
        <w:bottom w:val="none" w:sz="0" w:space="0" w:color="auto"/>
        <w:right w:val="none" w:sz="0" w:space="0" w:color="auto"/>
      </w:divBdr>
    </w:div>
    <w:div w:id="1679116342">
      <w:bodyDiv w:val="1"/>
      <w:marLeft w:val="0"/>
      <w:marRight w:val="0"/>
      <w:marTop w:val="0"/>
      <w:marBottom w:val="0"/>
      <w:divBdr>
        <w:top w:val="none" w:sz="0" w:space="0" w:color="auto"/>
        <w:left w:val="none" w:sz="0" w:space="0" w:color="auto"/>
        <w:bottom w:val="none" w:sz="0" w:space="0" w:color="auto"/>
        <w:right w:val="none" w:sz="0" w:space="0" w:color="auto"/>
      </w:divBdr>
    </w:div>
    <w:div w:id="1707023157">
      <w:bodyDiv w:val="1"/>
      <w:marLeft w:val="0"/>
      <w:marRight w:val="0"/>
      <w:marTop w:val="0"/>
      <w:marBottom w:val="0"/>
      <w:divBdr>
        <w:top w:val="none" w:sz="0" w:space="0" w:color="auto"/>
        <w:left w:val="none" w:sz="0" w:space="0" w:color="auto"/>
        <w:bottom w:val="none" w:sz="0" w:space="0" w:color="auto"/>
        <w:right w:val="none" w:sz="0" w:space="0" w:color="auto"/>
      </w:divBdr>
    </w:div>
    <w:div w:id="1723557008">
      <w:bodyDiv w:val="1"/>
      <w:marLeft w:val="0"/>
      <w:marRight w:val="0"/>
      <w:marTop w:val="0"/>
      <w:marBottom w:val="0"/>
      <w:divBdr>
        <w:top w:val="none" w:sz="0" w:space="0" w:color="auto"/>
        <w:left w:val="none" w:sz="0" w:space="0" w:color="auto"/>
        <w:bottom w:val="none" w:sz="0" w:space="0" w:color="auto"/>
        <w:right w:val="none" w:sz="0" w:space="0" w:color="auto"/>
      </w:divBdr>
    </w:div>
    <w:div w:id="1726485176">
      <w:bodyDiv w:val="1"/>
      <w:marLeft w:val="0"/>
      <w:marRight w:val="0"/>
      <w:marTop w:val="0"/>
      <w:marBottom w:val="0"/>
      <w:divBdr>
        <w:top w:val="none" w:sz="0" w:space="0" w:color="auto"/>
        <w:left w:val="none" w:sz="0" w:space="0" w:color="auto"/>
        <w:bottom w:val="none" w:sz="0" w:space="0" w:color="auto"/>
        <w:right w:val="none" w:sz="0" w:space="0" w:color="auto"/>
      </w:divBdr>
    </w:div>
    <w:div w:id="1817912806">
      <w:bodyDiv w:val="1"/>
      <w:marLeft w:val="0"/>
      <w:marRight w:val="0"/>
      <w:marTop w:val="0"/>
      <w:marBottom w:val="0"/>
      <w:divBdr>
        <w:top w:val="none" w:sz="0" w:space="0" w:color="auto"/>
        <w:left w:val="none" w:sz="0" w:space="0" w:color="auto"/>
        <w:bottom w:val="none" w:sz="0" w:space="0" w:color="auto"/>
        <w:right w:val="none" w:sz="0" w:space="0" w:color="auto"/>
      </w:divBdr>
    </w:div>
    <w:div w:id="1843272987">
      <w:bodyDiv w:val="1"/>
      <w:marLeft w:val="0"/>
      <w:marRight w:val="0"/>
      <w:marTop w:val="0"/>
      <w:marBottom w:val="0"/>
      <w:divBdr>
        <w:top w:val="none" w:sz="0" w:space="0" w:color="auto"/>
        <w:left w:val="none" w:sz="0" w:space="0" w:color="auto"/>
        <w:bottom w:val="none" w:sz="0" w:space="0" w:color="auto"/>
        <w:right w:val="none" w:sz="0" w:space="0" w:color="auto"/>
      </w:divBdr>
    </w:div>
    <w:div w:id="1984187939">
      <w:bodyDiv w:val="1"/>
      <w:marLeft w:val="0"/>
      <w:marRight w:val="0"/>
      <w:marTop w:val="0"/>
      <w:marBottom w:val="0"/>
      <w:divBdr>
        <w:top w:val="none" w:sz="0" w:space="0" w:color="auto"/>
        <w:left w:val="none" w:sz="0" w:space="0" w:color="auto"/>
        <w:bottom w:val="none" w:sz="0" w:space="0" w:color="auto"/>
        <w:right w:val="none" w:sz="0" w:space="0" w:color="auto"/>
      </w:divBdr>
    </w:div>
    <w:div w:id="2020233703">
      <w:bodyDiv w:val="1"/>
      <w:marLeft w:val="0"/>
      <w:marRight w:val="0"/>
      <w:marTop w:val="0"/>
      <w:marBottom w:val="0"/>
      <w:divBdr>
        <w:top w:val="none" w:sz="0" w:space="0" w:color="auto"/>
        <w:left w:val="none" w:sz="0" w:space="0" w:color="auto"/>
        <w:bottom w:val="none" w:sz="0" w:space="0" w:color="auto"/>
        <w:right w:val="none" w:sz="0" w:space="0" w:color="auto"/>
      </w:divBdr>
    </w:div>
    <w:div w:id="2091807309">
      <w:bodyDiv w:val="1"/>
      <w:marLeft w:val="0"/>
      <w:marRight w:val="0"/>
      <w:marTop w:val="0"/>
      <w:marBottom w:val="0"/>
      <w:divBdr>
        <w:top w:val="none" w:sz="0" w:space="0" w:color="auto"/>
        <w:left w:val="none" w:sz="0" w:space="0" w:color="auto"/>
        <w:bottom w:val="none" w:sz="0" w:space="0" w:color="auto"/>
        <w:right w:val="none" w:sz="0" w:space="0" w:color="auto"/>
      </w:divBdr>
    </w:div>
    <w:div w:id="2094617381">
      <w:bodyDiv w:val="1"/>
      <w:marLeft w:val="0"/>
      <w:marRight w:val="0"/>
      <w:marTop w:val="0"/>
      <w:marBottom w:val="0"/>
      <w:divBdr>
        <w:top w:val="none" w:sz="0" w:space="0" w:color="auto"/>
        <w:left w:val="none" w:sz="0" w:space="0" w:color="auto"/>
        <w:bottom w:val="none" w:sz="0" w:space="0" w:color="auto"/>
        <w:right w:val="none" w:sz="0" w:space="0" w:color="auto"/>
      </w:divBdr>
    </w:div>
    <w:div w:id="2098670575">
      <w:bodyDiv w:val="1"/>
      <w:marLeft w:val="0"/>
      <w:marRight w:val="0"/>
      <w:marTop w:val="0"/>
      <w:marBottom w:val="0"/>
      <w:divBdr>
        <w:top w:val="none" w:sz="0" w:space="0" w:color="auto"/>
        <w:left w:val="none" w:sz="0" w:space="0" w:color="auto"/>
        <w:bottom w:val="none" w:sz="0" w:space="0" w:color="auto"/>
        <w:right w:val="none" w:sz="0" w:space="0" w:color="auto"/>
      </w:divBdr>
    </w:div>
    <w:div w:id="211185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Template>
  <TotalTime>19</TotalTime>
  <Pages>16</Pages>
  <Words>5537</Words>
  <Characters>37581</Characters>
  <Application>Microsoft Office Word</Application>
  <DocSecurity>0</DocSecurity>
  <Lines>313</Lines>
  <Paragraphs>86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Thy Iversen</dc:creator>
  <cp:keywords/>
  <dc:description>2023011648 mt</dc:description>
  <cp:lastModifiedBy>Hanne Thy Iversen</cp:lastModifiedBy>
  <cp:revision>12</cp:revision>
  <cp:lastPrinted>2012-08-22T08:53:00Z</cp:lastPrinted>
  <dcterms:created xsi:type="dcterms:W3CDTF">2025-08-20T11:07:00Z</dcterms:created>
  <dcterms:modified xsi:type="dcterms:W3CDTF">2025-08-21T07:19:00Z</dcterms:modified>
</cp:coreProperties>
</file>