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83D1D" w14:textId="77777777" w:rsidR="009260DE" w:rsidRPr="00AD3AB8" w:rsidRDefault="0021526C" w:rsidP="009260DE">
      <w:pPr>
        <w:rPr>
          <w:sz w:val="24"/>
          <w:szCs w:val="24"/>
        </w:rPr>
      </w:pPr>
      <w:bookmarkStart w:id="0" w:name="_GoBack"/>
      <w:bookmarkEnd w:id="0"/>
      <w:r w:rsidRPr="00AD3AB8">
        <w:rPr>
          <w:noProof/>
          <w:sz w:val="24"/>
          <w:szCs w:val="24"/>
          <w:lang w:eastAsia="da-DK"/>
        </w:rPr>
        <w:drawing>
          <wp:anchor distT="0" distB="0" distL="114300" distR="114300" simplePos="0" relativeHeight="251658240" behindDoc="0" locked="0" layoutInCell="1" allowOverlap="1" wp14:anchorId="51B18737" wp14:editId="229D315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AD3AB8">
        <w:rPr>
          <w:sz w:val="24"/>
          <w:szCs w:val="24"/>
        </w:rPr>
        <w:br w:type="textWrapping" w:clear="all"/>
      </w:r>
    </w:p>
    <w:p w14:paraId="5500A601" w14:textId="7FF7EE3A" w:rsidR="009260DE" w:rsidRPr="00AD3AB8" w:rsidRDefault="009260DE" w:rsidP="009260DE">
      <w:pPr>
        <w:pStyle w:val="Titel"/>
        <w:tabs>
          <w:tab w:val="right" w:pos="9356"/>
        </w:tabs>
        <w:jc w:val="left"/>
        <w:rPr>
          <w:b w:val="0"/>
          <w:szCs w:val="24"/>
          <w:lang w:eastAsia="en-US"/>
        </w:rPr>
      </w:pPr>
      <w:r w:rsidRPr="00AD3AB8">
        <w:rPr>
          <w:b w:val="0"/>
          <w:szCs w:val="24"/>
          <w:lang w:eastAsia="en-US"/>
        </w:rPr>
        <w:tab/>
      </w:r>
      <w:r w:rsidR="00F417BB">
        <w:rPr>
          <w:szCs w:val="24"/>
        </w:rPr>
        <w:t>3. marts 2026</w:t>
      </w:r>
    </w:p>
    <w:p w14:paraId="14ED4F54" w14:textId="77777777" w:rsidR="009260DE" w:rsidRPr="00AD3AB8" w:rsidRDefault="009260DE" w:rsidP="009260DE">
      <w:pPr>
        <w:pStyle w:val="Titel"/>
        <w:tabs>
          <w:tab w:val="left" w:pos="8222"/>
        </w:tabs>
        <w:jc w:val="left"/>
        <w:rPr>
          <w:b w:val="0"/>
          <w:szCs w:val="24"/>
        </w:rPr>
      </w:pPr>
    </w:p>
    <w:p w14:paraId="6F09109F" w14:textId="77777777" w:rsidR="009260DE" w:rsidRPr="00AD3AB8" w:rsidRDefault="009260DE" w:rsidP="009260DE">
      <w:pPr>
        <w:pStyle w:val="Titel"/>
        <w:jc w:val="left"/>
        <w:rPr>
          <w:b w:val="0"/>
          <w:szCs w:val="24"/>
        </w:rPr>
      </w:pPr>
    </w:p>
    <w:p w14:paraId="49CF8C10" w14:textId="77777777" w:rsidR="009260DE" w:rsidRPr="00AD3AB8" w:rsidRDefault="009260DE" w:rsidP="009260DE">
      <w:pPr>
        <w:pStyle w:val="Titel"/>
        <w:jc w:val="left"/>
        <w:rPr>
          <w:b w:val="0"/>
          <w:szCs w:val="24"/>
        </w:rPr>
      </w:pPr>
    </w:p>
    <w:p w14:paraId="3A3D15A8" w14:textId="77777777" w:rsidR="009260DE" w:rsidRPr="00AD3AB8" w:rsidRDefault="009260DE" w:rsidP="009260DE">
      <w:pPr>
        <w:jc w:val="center"/>
        <w:rPr>
          <w:b/>
          <w:sz w:val="24"/>
          <w:szCs w:val="24"/>
        </w:rPr>
      </w:pPr>
      <w:r w:rsidRPr="00AD3AB8">
        <w:rPr>
          <w:b/>
          <w:sz w:val="24"/>
          <w:szCs w:val="24"/>
        </w:rPr>
        <w:t>PRODUKTRESUMÉ</w:t>
      </w:r>
    </w:p>
    <w:p w14:paraId="5474B1AF" w14:textId="77777777" w:rsidR="009260DE" w:rsidRPr="00AD3AB8" w:rsidRDefault="009260DE" w:rsidP="009260DE">
      <w:pPr>
        <w:jc w:val="center"/>
        <w:rPr>
          <w:b/>
          <w:sz w:val="24"/>
          <w:szCs w:val="24"/>
        </w:rPr>
      </w:pPr>
    </w:p>
    <w:p w14:paraId="1BD176BF" w14:textId="77777777" w:rsidR="009260DE" w:rsidRPr="00AD3AB8" w:rsidRDefault="009260DE" w:rsidP="009260DE">
      <w:pPr>
        <w:jc w:val="center"/>
        <w:rPr>
          <w:b/>
          <w:sz w:val="24"/>
          <w:szCs w:val="24"/>
        </w:rPr>
      </w:pPr>
      <w:r w:rsidRPr="00AD3AB8">
        <w:rPr>
          <w:b/>
          <w:sz w:val="24"/>
          <w:szCs w:val="24"/>
        </w:rPr>
        <w:t>for</w:t>
      </w:r>
    </w:p>
    <w:p w14:paraId="4DC52DA4" w14:textId="77777777" w:rsidR="000B058C" w:rsidRPr="00AD3AB8" w:rsidRDefault="000B058C" w:rsidP="009260DE">
      <w:pPr>
        <w:jc w:val="center"/>
        <w:rPr>
          <w:b/>
          <w:sz w:val="24"/>
          <w:szCs w:val="24"/>
        </w:rPr>
      </w:pPr>
    </w:p>
    <w:p w14:paraId="2074C585" w14:textId="27E23166" w:rsidR="009260DE" w:rsidRPr="00AD3AB8" w:rsidRDefault="003D061D" w:rsidP="009260DE">
      <w:pPr>
        <w:jc w:val="center"/>
        <w:rPr>
          <w:b/>
          <w:sz w:val="24"/>
          <w:szCs w:val="24"/>
        </w:rPr>
      </w:pPr>
      <w:proofErr w:type="spellStart"/>
      <w:r w:rsidRPr="00AD3AB8">
        <w:rPr>
          <w:b/>
          <w:sz w:val="24"/>
          <w:szCs w:val="24"/>
        </w:rPr>
        <w:t>Decitabine</w:t>
      </w:r>
      <w:proofErr w:type="spellEnd"/>
      <w:r w:rsidRPr="00AD3AB8">
        <w:rPr>
          <w:b/>
          <w:sz w:val="24"/>
          <w:szCs w:val="24"/>
        </w:rPr>
        <w:t xml:space="preserve"> "Ever Pharma", pulver til koncentrat til infusionsvæske</w:t>
      </w:r>
      <w:r w:rsidR="00AD397D">
        <w:rPr>
          <w:b/>
          <w:sz w:val="24"/>
          <w:szCs w:val="24"/>
        </w:rPr>
        <w:t>, opløsning</w:t>
      </w:r>
    </w:p>
    <w:p w14:paraId="3ACA4A18" w14:textId="77777777" w:rsidR="009260DE" w:rsidRPr="00AD3AB8" w:rsidRDefault="009260DE" w:rsidP="009260DE">
      <w:pPr>
        <w:jc w:val="both"/>
        <w:rPr>
          <w:sz w:val="24"/>
          <w:szCs w:val="24"/>
        </w:rPr>
      </w:pPr>
    </w:p>
    <w:p w14:paraId="7D895F32" w14:textId="77777777" w:rsidR="009260DE" w:rsidRPr="00AD3AB8" w:rsidRDefault="009260DE" w:rsidP="009260DE">
      <w:pPr>
        <w:jc w:val="both"/>
        <w:rPr>
          <w:sz w:val="24"/>
          <w:szCs w:val="24"/>
        </w:rPr>
      </w:pPr>
    </w:p>
    <w:p w14:paraId="1A15F142" w14:textId="77777777" w:rsidR="009260DE" w:rsidRPr="00AD3AB8" w:rsidRDefault="009260DE" w:rsidP="009260DE">
      <w:pPr>
        <w:tabs>
          <w:tab w:val="left" w:pos="851"/>
        </w:tabs>
        <w:ind w:left="851" w:hanging="851"/>
        <w:rPr>
          <w:b/>
          <w:sz w:val="24"/>
          <w:szCs w:val="24"/>
        </w:rPr>
      </w:pPr>
      <w:r w:rsidRPr="00AD3AB8">
        <w:rPr>
          <w:b/>
          <w:sz w:val="24"/>
          <w:szCs w:val="24"/>
        </w:rPr>
        <w:t>0.</w:t>
      </w:r>
      <w:r w:rsidRPr="00AD3AB8">
        <w:rPr>
          <w:b/>
          <w:sz w:val="24"/>
          <w:szCs w:val="24"/>
        </w:rPr>
        <w:tab/>
        <w:t>D.SP.NR.</w:t>
      </w:r>
    </w:p>
    <w:p w14:paraId="56D540A0" w14:textId="45DEFB1A" w:rsidR="009260DE" w:rsidRPr="00AD3AB8" w:rsidRDefault="003D061D" w:rsidP="009260DE">
      <w:pPr>
        <w:tabs>
          <w:tab w:val="left" w:pos="851"/>
        </w:tabs>
        <w:ind w:left="851"/>
        <w:rPr>
          <w:sz w:val="24"/>
          <w:szCs w:val="24"/>
        </w:rPr>
      </w:pPr>
      <w:r w:rsidRPr="00AD3AB8">
        <w:rPr>
          <w:sz w:val="24"/>
          <w:szCs w:val="24"/>
        </w:rPr>
        <w:t>34220</w:t>
      </w:r>
    </w:p>
    <w:p w14:paraId="4E1D172F" w14:textId="77777777" w:rsidR="009260DE" w:rsidRPr="00AD3AB8" w:rsidRDefault="009260DE" w:rsidP="009260DE">
      <w:pPr>
        <w:tabs>
          <w:tab w:val="left" w:pos="851"/>
        </w:tabs>
        <w:ind w:left="851"/>
        <w:rPr>
          <w:sz w:val="24"/>
          <w:szCs w:val="24"/>
        </w:rPr>
      </w:pPr>
    </w:p>
    <w:p w14:paraId="4D0F56D7" w14:textId="77777777" w:rsidR="009260DE" w:rsidRPr="00AD3AB8" w:rsidRDefault="009260DE" w:rsidP="009260DE">
      <w:pPr>
        <w:tabs>
          <w:tab w:val="left" w:pos="851"/>
        </w:tabs>
        <w:ind w:left="851" w:hanging="851"/>
        <w:rPr>
          <w:b/>
          <w:sz w:val="24"/>
          <w:szCs w:val="24"/>
        </w:rPr>
      </w:pPr>
      <w:r w:rsidRPr="00AD3AB8">
        <w:rPr>
          <w:b/>
          <w:sz w:val="24"/>
          <w:szCs w:val="24"/>
        </w:rPr>
        <w:t>1.</w:t>
      </w:r>
      <w:r w:rsidRPr="00AD3AB8">
        <w:rPr>
          <w:b/>
          <w:sz w:val="24"/>
          <w:szCs w:val="24"/>
        </w:rPr>
        <w:tab/>
        <w:t>LÆGEMIDLETS NAVN</w:t>
      </w:r>
    </w:p>
    <w:p w14:paraId="60835E1B" w14:textId="6F30D000" w:rsidR="009260DE" w:rsidRPr="00AD3AB8" w:rsidRDefault="003D061D" w:rsidP="009260DE">
      <w:pPr>
        <w:tabs>
          <w:tab w:val="left" w:pos="851"/>
        </w:tabs>
        <w:ind w:left="851"/>
        <w:rPr>
          <w:sz w:val="24"/>
          <w:szCs w:val="24"/>
        </w:rPr>
      </w:pPr>
      <w:proofErr w:type="spellStart"/>
      <w:r w:rsidRPr="00AD3AB8">
        <w:rPr>
          <w:sz w:val="24"/>
          <w:szCs w:val="24"/>
        </w:rPr>
        <w:t>Decitabine</w:t>
      </w:r>
      <w:proofErr w:type="spellEnd"/>
      <w:r w:rsidRPr="00AD3AB8">
        <w:rPr>
          <w:sz w:val="24"/>
          <w:szCs w:val="24"/>
        </w:rPr>
        <w:t xml:space="preserve"> "Ever Pharma"</w:t>
      </w:r>
    </w:p>
    <w:p w14:paraId="2ABE1025" w14:textId="77777777" w:rsidR="009260DE" w:rsidRPr="00AD3AB8" w:rsidRDefault="009260DE" w:rsidP="009260DE">
      <w:pPr>
        <w:tabs>
          <w:tab w:val="left" w:pos="851"/>
        </w:tabs>
        <w:ind w:left="851"/>
        <w:rPr>
          <w:sz w:val="24"/>
          <w:szCs w:val="24"/>
        </w:rPr>
      </w:pPr>
    </w:p>
    <w:p w14:paraId="587E2937" w14:textId="77777777" w:rsidR="009260DE" w:rsidRPr="00AD3AB8" w:rsidRDefault="009260DE" w:rsidP="009260DE">
      <w:pPr>
        <w:tabs>
          <w:tab w:val="left" w:pos="851"/>
        </w:tabs>
        <w:ind w:left="851" w:hanging="851"/>
        <w:rPr>
          <w:b/>
          <w:sz w:val="24"/>
          <w:szCs w:val="24"/>
        </w:rPr>
      </w:pPr>
      <w:r w:rsidRPr="00AD3AB8">
        <w:rPr>
          <w:b/>
          <w:sz w:val="24"/>
          <w:szCs w:val="24"/>
        </w:rPr>
        <w:t>2.</w:t>
      </w:r>
      <w:r w:rsidRPr="00AD3AB8">
        <w:rPr>
          <w:b/>
          <w:sz w:val="24"/>
          <w:szCs w:val="24"/>
        </w:rPr>
        <w:tab/>
        <w:t>KVALITATIV OG KVANTITATIV SAMMENSÆTNING</w:t>
      </w:r>
    </w:p>
    <w:p w14:paraId="046613EE" w14:textId="77777777" w:rsidR="00EF23AD" w:rsidRPr="00AD3AB8" w:rsidRDefault="00EF23AD" w:rsidP="00A86FDA">
      <w:pPr>
        <w:ind w:left="851"/>
        <w:rPr>
          <w:sz w:val="24"/>
          <w:szCs w:val="24"/>
        </w:rPr>
      </w:pPr>
      <w:r w:rsidRPr="00AD3AB8">
        <w:rPr>
          <w:sz w:val="24"/>
          <w:szCs w:val="24"/>
        </w:rPr>
        <w:t xml:space="preserve">Et hætteglas med pulver til koncentrat til infusionsvæske, opløsning indeholder 50 mg </w:t>
      </w:r>
      <w:proofErr w:type="spellStart"/>
      <w:r w:rsidRPr="00AD3AB8">
        <w:rPr>
          <w:sz w:val="24"/>
          <w:szCs w:val="24"/>
        </w:rPr>
        <w:t>decitabin</w:t>
      </w:r>
      <w:proofErr w:type="spellEnd"/>
      <w:r w:rsidRPr="00AD3AB8">
        <w:rPr>
          <w:sz w:val="24"/>
          <w:szCs w:val="24"/>
        </w:rPr>
        <w:t xml:space="preserve">. </w:t>
      </w:r>
    </w:p>
    <w:p w14:paraId="5B17435D" w14:textId="77777777" w:rsidR="00EF23AD" w:rsidRPr="00AD3AB8" w:rsidRDefault="00EF23AD" w:rsidP="00A86FDA">
      <w:pPr>
        <w:ind w:left="851"/>
        <w:rPr>
          <w:sz w:val="24"/>
          <w:szCs w:val="24"/>
        </w:rPr>
      </w:pPr>
    </w:p>
    <w:p w14:paraId="26801F94" w14:textId="77777777" w:rsidR="00EF23AD" w:rsidRPr="00AD3AB8" w:rsidRDefault="00EF23AD" w:rsidP="00A86FDA">
      <w:pPr>
        <w:ind w:left="851"/>
        <w:rPr>
          <w:sz w:val="24"/>
          <w:szCs w:val="24"/>
        </w:rPr>
      </w:pPr>
      <w:r w:rsidRPr="00AD3AB8">
        <w:rPr>
          <w:sz w:val="24"/>
          <w:szCs w:val="24"/>
        </w:rPr>
        <w:t xml:space="preserve">Efter </w:t>
      </w:r>
      <w:proofErr w:type="spellStart"/>
      <w:r w:rsidRPr="00AD3AB8">
        <w:rPr>
          <w:sz w:val="24"/>
          <w:szCs w:val="24"/>
        </w:rPr>
        <w:t>rekonstitution</w:t>
      </w:r>
      <w:proofErr w:type="spellEnd"/>
      <w:r w:rsidRPr="00AD3AB8">
        <w:rPr>
          <w:sz w:val="24"/>
          <w:szCs w:val="24"/>
        </w:rPr>
        <w:t xml:space="preserve"> med 10 ml vand til injektionsvæsker indeholder 1 ml koncentrat 5 mg </w:t>
      </w:r>
      <w:proofErr w:type="spellStart"/>
      <w:r w:rsidRPr="00AD3AB8">
        <w:rPr>
          <w:sz w:val="24"/>
          <w:szCs w:val="24"/>
        </w:rPr>
        <w:t>decitabin</w:t>
      </w:r>
      <w:proofErr w:type="spellEnd"/>
      <w:r w:rsidRPr="00AD3AB8">
        <w:rPr>
          <w:sz w:val="24"/>
          <w:szCs w:val="24"/>
        </w:rPr>
        <w:t>.</w:t>
      </w:r>
    </w:p>
    <w:p w14:paraId="1C482D9C" w14:textId="77777777" w:rsidR="00EF23AD" w:rsidRPr="00AD3AB8" w:rsidRDefault="00EF23AD" w:rsidP="00A86FDA">
      <w:pPr>
        <w:ind w:left="851"/>
        <w:rPr>
          <w:sz w:val="24"/>
          <w:szCs w:val="24"/>
          <w:u w:val="single"/>
        </w:rPr>
      </w:pPr>
    </w:p>
    <w:p w14:paraId="180A8008" w14:textId="77777777" w:rsidR="00EF23AD" w:rsidRPr="00AD3AB8" w:rsidRDefault="00EF23AD" w:rsidP="00A86FDA">
      <w:pPr>
        <w:ind w:left="851"/>
        <w:rPr>
          <w:sz w:val="24"/>
          <w:szCs w:val="24"/>
        </w:rPr>
      </w:pPr>
      <w:r w:rsidRPr="00AD3AB8">
        <w:rPr>
          <w:sz w:val="24"/>
          <w:szCs w:val="24"/>
          <w:u w:val="single"/>
        </w:rPr>
        <w:t>Hjælpestoffer, som behandleren skal være opmærksom på</w:t>
      </w:r>
      <w:r w:rsidRPr="00AD3AB8">
        <w:rPr>
          <w:sz w:val="24"/>
          <w:szCs w:val="24"/>
        </w:rPr>
        <w:t xml:space="preserve"> </w:t>
      </w:r>
    </w:p>
    <w:p w14:paraId="65DE7BE2" w14:textId="77777777" w:rsidR="00EF23AD" w:rsidRPr="00AD3AB8" w:rsidRDefault="00EF23AD" w:rsidP="00A86FDA">
      <w:pPr>
        <w:ind w:left="851"/>
        <w:rPr>
          <w:sz w:val="24"/>
          <w:szCs w:val="24"/>
        </w:rPr>
      </w:pPr>
      <w:r w:rsidRPr="00AD3AB8">
        <w:rPr>
          <w:sz w:val="24"/>
          <w:szCs w:val="24"/>
        </w:rPr>
        <w:t>Hvert hætteglas indeholder 0,29 mmol natrium (E524).</w:t>
      </w:r>
    </w:p>
    <w:p w14:paraId="23438A29" w14:textId="77777777" w:rsidR="00EF23AD" w:rsidRPr="00AD3AB8" w:rsidRDefault="00EF23AD" w:rsidP="00A86FDA">
      <w:pPr>
        <w:ind w:left="851"/>
        <w:rPr>
          <w:sz w:val="24"/>
          <w:szCs w:val="24"/>
        </w:rPr>
      </w:pPr>
    </w:p>
    <w:p w14:paraId="71180070" w14:textId="77777777" w:rsidR="00EF23AD" w:rsidRPr="00AD3AB8" w:rsidRDefault="00EF23AD" w:rsidP="00A86FDA">
      <w:pPr>
        <w:ind w:left="851"/>
        <w:rPr>
          <w:sz w:val="24"/>
          <w:szCs w:val="24"/>
        </w:rPr>
      </w:pPr>
      <w:r w:rsidRPr="00AD3AB8">
        <w:rPr>
          <w:sz w:val="24"/>
          <w:szCs w:val="24"/>
        </w:rPr>
        <w:t>Alle hjælpestoffer er anført under pkt. 6.1.</w:t>
      </w:r>
    </w:p>
    <w:p w14:paraId="4CB1F202" w14:textId="77777777" w:rsidR="009260DE" w:rsidRPr="00AD3AB8" w:rsidRDefault="009260DE" w:rsidP="009260DE">
      <w:pPr>
        <w:tabs>
          <w:tab w:val="left" w:pos="851"/>
        </w:tabs>
        <w:ind w:left="851"/>
        <w:rPr>
          <w:sz w:val="24"/>
          <w:szCs w:val="24"/>
        </w:rPr>
      </w:pPr>
    </w:p>
    <w:p w14:paraId="619E155C" w14:textId="77777777" w:rsidR="009260DE" w:rsidRPr="00AD3AB8" w:rsidRDefault="009260DE" w:rsidP="009260DE">
      <w:pPr>
        <w:tabs>
          <w:tab w:val="left" w:pos="851"/>
        </w:tabs>
        <w:ind w:left="851" w:hanging="851"/>
        <w:rPr>
          <w:b/>
          <w:sz w:val="24"/>
          <w:szCs w:val="24"/>
        </w:rPr>
      </w:pPr>
      <w:r w:rsidRPr="00AD3AB8">
        <w:rPr>
          <w:b/>
          <w:sz w:val="24"/>
          <w:szCs w:val="24"/>
        </w:rPr>
        <w:t>3.</w:t>
      </w:r>
      <w:r w:rsidRPr="00AD3AB8">
        <w:rPr>
          <w:b/>
          <w:sz w:val="24"/>
          <w:szCs w:val="24"/>
        </w:rPr>
        <w:tab/>
        <w:t>LÆGEMIDDELFORM</w:t>
      </w:r>
    </w:p>
    <w:p w14:paraId="08D2A71D" w14:textId="6CBBBF14" w:rsidR="00EF23AD" w:rsidRPr="00AD3AB8" w:rsidRDefault="00EF23AD" w:rsidP="00A86FDA">
      <w:pPr>
        <w:ind w:left="851"/>
        <w:rPr>
          <w:sz w:val="24"/>
          <w:szCs w:val="24"/>
        </w:rPr>
      </w:pPr>
      <w:r w:rsidRPr="00AD3AB8">
        <w:rPr>
          <w:sz w:val="24"/>
          <w:szCs w:val="24"/>
        </w:rPr>
        <w:t>Pulver til koncentrat til infusionsvæske, opløsning (pulver til infusionsvæske)</w:t>
      </w:r>
    </w:p>
    <w:p w14:paraId="1461B391" w14:textId="77777777" w:rsidR="00EF23AD" w:rsidRPr="00AD3AB8" w:rsidRDefault="00EF23AD" w:rsidP="00A86FDA">
      <w:pPr>
        <w:ind w:left="851"/>
        <w:rPr>
          <w:sz w:val="24"/>
          <w:szCs w:val="24"/>
        </w:rPr>
      </w:pPr>
    </w:p>
    <w:p w14:paraId="033285B7" w14:textId="77777777" w:rsidR="00EF23AD" w:rsidRPr="00AD3AB8" w:rsidRDefault="00EF23AD" w:rsidP="00A86FDA">
      <w:pPr>
        <w:ind w:left="851"/>
        <w:rPr>
          <w:sz w:val="24"/>
          <w:szCs w:val="24"/>
        </w:rPr>
      </w:pPr>
      <w:r w:rsidRPr="00AD3AB8">
        <w:rPr>
          <w:sz w:val="24"/>
          <w:szCs w:val="24"/>
        </w:rPr>
        <w:t xml:space="preserve">Frysetørret hvidt til </w:t>
      </w:r>
      <w:proofErr w:type="spellStart"/>
      <w:r w:rsidRPr="00AD3AB8">
        <w:rPr>
          <w:sz w:val="24"/>
          <w:szCs w:val="24"/>
        </w:rPr>
        <w:t>off-white</w:t>
      </w:r>
      <w:proofErr w:type="spellEnd"/>
      <w:r w:rsidRPr="00AD3AB8">
        <w:rPr>
          <w:sz w:val="24"/>
          <w:szCs w:val="24"/>
        </w:rPr>
        <w:t xml:space="preserve"> pulver, fri for synlige tegn på kontaminering.</w:t>
      </w:r>
    </w:p>
    <w:p w14:paraId="6FF414B9" w14:textId="77777777" w:rsidR="009260DE" w:rsidRPr="00AD3AB8" w:rsidRDefault="009260DE" w:rsidP="009260DE">
      <w:pPr>
        <w:tabs>
          <w:tab w:val="left" w:pos="851"/>
        </w:tabs>
        <w:ind w:left="851"/>
        <w:rPr>
          <w:sz w:val="24"/>
          <w:szCs w:val="24"/>
        </w:rPr>
      </w:pPr>
    </w:p>
    <w:p w14:paraId="01CBE36A" w14:textId="77777777" w:rsidR="009260DE" w:rsidRPr="00AD3AB8" w:rsidRDefault="009260DE" w:rsidP="009260DE">
      <w:pPr>
        <w:tabs>
          <w:tab w:val="left" w:pos="851"/>
        </w:tabs>
        <w:ind w:left="851"/>
        <w:rPr>
          <w:sz w:val="24"/>
          <w:szCs w:val="24"/>
        </w:rPr>
      </w:pPr>
    </w:p>
    <w:p w14:paraId="05E003B2" w14:textId="77777777" w:rsidR="009260DE" w:rsidRPr="00AD3AB8" w:rsidRDefault="009260DE" w:rsidP="009260DE">
      <w:pPr>
        <w:tabs>
          <w:tab w:val="left" w:pos="851"/>
        </w:tabs>
        <w:ind w:left="851" w:hanging="851"/>
        <w:rPr>
          <w:b/>
          <w:sz w:val="24"/>
          <w:szCs w:val="24"/>
        </w:rPr>
      </w:pPr>
      <w:r w:rsidRPr="00AD3AB8">
        <w:rPr>
          <w:b/>
          <w:sz w:val="24"/>
          <w:szCs w:val="24"/>
        </w:rPr>
        <w:t>4.</w:t>
      </w:r>
      <w:r w:rsidRPr="00AD3AB8">
        <w:rPr>
          <w:b/>
          <w:sz w:val="24"/>
          <w:szCs w:val="24"/>
        </w:rPr>
        <w:tab/>
        <w:t>KLINISKE OPLYSNINGER</w:t>
      </w:r>
    </w:p>
    <w:p w14:paraId="7DFA8141" w14:textId="77777777" w:rsidR="009260DE" w:rsidRPr="00AD3AB8" w:rsidRDefault="009260DE" w:rsidP="009260DE">
      <w:pPr>
        <w:tabs>
          <w:tab w:val="left" w:pos="851"/>
        </w:tabs>
        <w:ind w:left="851"/>
        <w:rPr>
          <w:b/>
          <w:sz w:val="24"/>
          <w:szCs w:val="24"/>
        </w:rPr>
      </w:pPr>
    </w:p>
    <w:p w14:paraId="0E3D974A" w14:textId="77777777" w:rsidR="009260DE" w:rsidRPr="00AD3AB8" w:rsidRDefault="009260DE" w:rsidP="009260DE">
      <w:pPr>
        <w:tabs>
          <w:tab w:val="left" w:pos="851"/>
        </w:tabs>
        <w:ind w:left="851" w:hanging="851"/>
        <w:rPr>
          <w:b/>
          <w:sz w:val="24"/>
          <w:szCs w:val="24"/>
          <w:u w:val="single"/>
        </w:rPr>
      </w:pPr>
      <w:r w:rsidRPr="00AD3AB8">
        <w:rPr>
          <w:b/>
          <w:sz w:val="24"/>
          <w:szCs w:val="24"/>
        </w:rPr>
        <w:t>4.1</w:t>
      </w:r>
      <w:r w:rsidRPr="00AD3AB8">
        <w:rPr>
          <w:b/>
          <w:sz w:val="24"/>
          <w:szCs w:val="24"/>
        </w:rPr>
        <w:tab/>
        <w:t>Terapeutiske indikationer</w:t>
      </w:r>
    </w:p>
    <w:p w14:paraId="6EF13E09" w14:textId="77777777" w:rsidR="00EF23AD" w:rsidRPr="00AD3AB8" w:rsidRDefault="00EF23AD" w:rsidP="00A86FDA">
      <w:pPr>
        <w:ind w:left="851"/>
        <w:rPr>
          <w:sz w:val="24"/>
          <w:szCs w:val="24"/>
        </w:rPr>
      </w:pPr>
    </w:p>
    <w:p w14:paraId="6BE19FD0" w14:textId="3690BF4E" w:rsidR="009260DE" w:rsidRPr="00AD3AB8" w:rsidRDefault="00AD397D" w:rsidP="00AD397D">
      <w:pPr>
        <w:ind w:left="851"/>
        <w:rPr>
          <w:sz w:val="24"/>
          <w:szCs w:val="24"/>
        </w:rPr>
      </w:pPr>
      <w:proofErr w:type="spellStart"/>
      <w:r>
        <w:rPr>
          <w:sz w:val="24"/>
          <w:szCs w:val="24"/>
        </w:rPr>
        <w:t>Decitabine</w:t>
      </w:r>
      <w:proofErr w:type="spellEnd"/>
      <w:r>
        <w:rPr>
          <w:sz w:val="24"/>
          <w:szCs w:val="24"/>
        </w:rPr>
        <w:t xml:space="preserve"> "Ever Pharma"</w:t>
      </w:r>
      <w:r w:rsidR="00EF23AD" w:rsidRPr="00AD3AB8">
        <w:rPr>
          <w:sz w:val="24"/>
          <w:szCs w:val="24"/>
        </w:rPr>
        <w:t xml:space="preserve"> er indiceret til behandling af voksne patienter med </w:t>
      </w:r>
      <w:proofErr w:type="spellStart"/>
      <w:r w:rsidR="00EF23AD" w:rsidRPr="00AD3AB8">
        <w:rPr>
          <w:sz w:val="24"/>
          <w:szCs w:val="24"/>
        </w:rPr>
        <w:t>nydiagnosticeret</w:t>
      </w:r>
      <w:proofErr w:type="spellEnd"/>
      <w:r w:rsidR="00EF23AD" w:rsidRPr="00AD3AB8">
        <w:rPr>
          <w:sz w:val="24"/>
          <w:szCs w:val="24"/>
        </w:rPr>
        <w:t xml:space="preserve"> </w:t>
      </w:r>
      <w:r w:rsidR="00EF23AD" w:rsidRPr="00AD3AB8">
        <w:rPr>
          <w:i/>
          <w:iCs/>
          <w:sz w:val="24"/>
          <w:szCs w:val="24"/>
        </w:rPr>
        <w:t xml:space="preserve">de </w:t>
      </w:r>
      <w:proofErr w:type="spellStart"/>
      <w:r w:rsidR="00EF23AD" w:rsidRPr="00AD3AB8">
        <w:rPr>
          <w:i/>
          <w:iCs/>
          <w:sz w:val="24"/>
          <w:szCs w:val="24"/>
        </w:rPr>
        <w:t>novo</w:t>
      </w:r>
      <w:proofErr w:type="spellEnd"/>
      <w:r w:rsidR="00EF23AD" w:rsidRPr="00AD3AB8">
        <w:rPr>
          <w:i/>
          <w:iCs/>
          <w:sz w:val="24"/>
          <w:szCs w:val="24"/>
        </w:rPr>
        <w:t xml:space="preserve"> </w:t>
      </w:r>
      <w:r w:rsidR="00EF23AD" w:rsidRPr="00AD3AB8">
        <w:rPr>
          <w:sz w:val="24"/>
          <w:szCs w:val="24"/>
        </w:rPr>
        <w:t xml:space="preserve">eller sekundær akut </w:t>
      </w:r>
      <w:proofErr w:type="spellStart"/>
      <w:r w:rsidR="00EF23AD" w:rsidRPr="00AD3AB8">
        <w:rPr>
          <w:sz w:val="24"/>
          <w:szCs w:val="24"/>
        </w:rPr>
        <w:t>myeloid</w:t>
      </w:r>
      <w:proofErr w:type="spellEnd"/>
      <w:r w:rsidR="00EF23AD" w:rsidRPr="00AD3AB8">
        <w:rPr>
          <w:sz w:val="24"/>
          <w:szCs w:val="24"/>
        </w:rPr>
        <w:t xml:space="preserve"> leukæmi (AML) i henhold til klassifikationen fra </w:t>
      </w:r>
      <w:r w:rsidR="00EF23AD" w:rsidRPr="00AD3AB8">
        <w:rPr>
          <w:i/>
          <w:iCs/>
          <w:sz w:val="24"/>
          <w:szCs w:val="24"/>
        </w:rPr>
        <w:t xml:space="preserve">World Health Organisation </w:t>
      </w:r>
      <w:r w:rsidR="00EF23AD" w:rsidRPr="00AD3AB8">
        <w:rPr>
          <w:sz w:val="24"/>
          <w:szCs w:val="24"/>
        </w:rPr>
        <w:t>(WHO), som ikke er kandidater til standard-induktionskemoterapi.</w:t>
      </w:r>
    </w:p>
    <w:p w14:paraId="49BCD5AA" w14:textId="31EDA20D" w:rsidR="00E33B9A" w:rsidRDefault="00E33B9A">
      <w:pPr>
        <w:rPr>
          <w:sz w:val="24"/>
          <w:szCs w:val="24"/>
        </w:rPr>
      </w:pPr>
      <w:r>
        <w:rPr>
          <w:sz w:val="24"/>
          <w:szCs w:val="24"/>
        </w:rPr>
        <w:br w:type="page"/>
      </w:r>
    </w:p>
    <w:p w14:paraId="046E9E06" w14:textId="77777777" w:rsidR="009260DE" w:rsidRPr="00AD3AB8" w:rsidRDefault="009260DE" w:rsidP="009260DE">
      <w:pPr>
        <w:tabs>
          <w:tab w:val="left" w:pos="851"/>
        </w:tabs>
        <w:ind w:left="851"/>
        <w:rPr>
          <w:sz w:val="24"/>
          <w:szCs w:val="24"/>
        </w:rPr>
      </w:pPr>
    </w:p>
    <w:p w14:paraId="6C5DB232" w14:textId="77777777" w:rsidR="009260DE" w:rsidRPr="00AD3AB8" w:rsidRDefault="009260DE" w:rsidP="009260DE">
      <w:pPr>
        <w:tabs>
          <w:tab w:val="left" w:pos="851"/>
        </w:tabs>
        <w:ind w:left="851" w:hanging="851"/>
        <w:rPr>
          <w:b/>
          <w:sz w:val="24"/>
          <w:szCs w:val="24"/>
        </w:rPr>
      </w:pPr>
      <w:r w:rsidRPr="00AD3AB8">
        <w:rPr>
          <w:b/>
          <w:sz w:val="24"/>
          <w:szCs w:val="24"/>
        </w:rPr>
        <w:t>4.2</w:t>
      </w:r>
      <w:r w:rsidRPr="00AD3AB8">
        <w:rPr>
          <w:b/>
          <w:sz w:val="24"/>
          <w:szCs w:val="24"/>
        </w:rPr>
        <w:tab/>
        <w:t xml:space="preserve">Dosering og </w:t>
      </w:r>
      <w:r w:rsidR="002C1EC0" w:rsidRPr="00AD3AB8">
        <w:rPr>
          <w:b/>
          <w:sz w:val="24"/>
          <w:szCs w:val="24"/>
        </w:rPr>
        <w:t>administration</w:t>
      </w:r>
    </w:p>
    <w:p w14:paraId="0B9AB472" w14:textId="01717A41" w:rsidR="00EF23AD" w:rsidRPr="00AD3AB8" w:rsidRDefault="00EF23AD" w:rsidP="00A86FDA">
      <w:pPr>
        <w:ind w:left="851"/>
        <w:rPr>
          <w:sz w:val="24"/>
          <w:szCs w:val="24"/>
        </w:rPr>
      </w:pPr>
      <w:r w:rsidRPr="00AD3AB8">
        <w:rPr>
          <w:sz w:val="24"/>
          <w:szCs w:val="24"/>
        </w:rPr>
        <w:t xml:space="preserve">Administration af </w:t>
      </w:r>
      <w:proofErr w:type="spellStart"/>
      <w:r w:rsidR="00AD397D">
        <w:rPr>
          <w:sz w:val="24"/>
          <w:szCs w:val="24"/>
        </w:rPr>
        <w:t>Decitabine</w:t>
      </w:r>
      <w:proofErr w:type="spellEnd"/>
      <w:r w:rsidR="00AD397D">
        <w:rPr>
          <w:sz w:val="24"/>
          <w:szCs w:val="24"/>
        </w:rPr>
        <w:t xml:space="preserve"> "Ever Pharma"</w:t>
      </w:r>
      <w:r w:rsidRPr="00AD3AB8">
        <w:rPr>
          <w:sz w:val="24"/>
          <w:szCs w:val="24"/>
        </w:rPr>
        <w:t xml:space="preserve"> skal initieres under opsyn af en læge der har erfaring i anvendelse af kemoterapeutiske lægemidler.</w:t>
      </w:r>
    </w:p>
    <w:p w14:paraId="49093030" w14:textId="77777777" w:rsidR="00EF23AD" w:rsidRPr="00AD3AB8" w:rsidRDefault="00EF23AD" w:rsidP="00A86FDA">
      <w:pPr>
        <w:ind w:left="851"/>
        <w:rPr>
          <w:sz w:val="24"/>
          <w:szCs w:val="24"/>
        </w:rPr>
      </w:pPr>
    </w:p>
    <w:p w14:paraId="008A72D0" w14:textId="77777777" w:rsidR="00EF23AD" w:rsidRPr="00AD3AB8" w:rsidRDefault="00EF23AD" w:rsidP="00A86FDA">
      <w:pPr>
        <w:ind w:left="851"/>
        <w:rPr>
          <w:sz w:val="24"/>
          <w:szCs w:val="24"/>
          <w:u w:val="single"/>
        </w:rPr>
      </w:pPr>
      <w:r w:rsidRPr="00AD3AB8">
        <w:rPr>
          <w:sz w:val="24"/>
          <w:szCs w:val="24"/>
          <w:u w:val="single"/>
        </w:rPr>
        <w:t>Dosering</w:t>
      </w:r>
    </w:p>
    <w:p w14:paraId="5A635314" w14:textId="351FA6ED" w:rsidR="00EF23AD" w:rsidRPr="00AD3AB8" w:rsidRDefault="00EF23AD" w:rsidP="00A86FDA">
      <w:pPr>
        <w:ind w:left="851"/>
        <w:rPr>
          <w:sz w:val="24"/>
          <w:szCs w:val="24"/>
        </w:rPr>
      </w:pPr>
      <w:r w:rsidRPr="00AD3AB8">
        <w:rPr>
          <w:sz w:val="24"/>
          <w:szCs w:val="24"/>
        </w:rPr>
        <w:t xml:space="preserve">I en behandlingscyklus administreres </w:t>
      </w:r>
      <w:proofErr w:type="spellStart"/>
      <w:r w:rsidR="00AD397D">
        <w:rPr>
          <w:sz w:val="24"/>
          <w:szCs w:val="24"/>
        </w:rPr>
        <w:t>Decitabine</w:t>
      </w:r>
      <w:proofErr w:type="spellEnd"/>
      <w:r w:rsidR="00AD397D">
        <w:rPr>
          <w:sz w:val="24"/>
          <w:szCs w:val="24"/>
        </w:rPr>
        <w:t xml:space="preserve"> "Ever Pharma"</w:t>
      </w:r>
      <w:r w:rsidRPr="00AD3AB8">
        <w:rPr>
          <w:sz w:val="24"/>
          <w:szCs w:val="24"/>
        </w:rPr>
        <w:t xml:space="preserve"> i en dosis på 20 mg/m</w:t>
      </w:r>
      <w:r w:rsidRPr="00AD3AB8">
        <w:rPr>
          <w:sz w:val="24"/>
          <w:szCs w:val="24"/>
          <w:vertAlign w:val="superscript"/>
        </w:rPr>
        <w:t>2</w:t>
      </w:r>
      <w:r w:rsidRPr="00AD3AB8">
        <w:rPr>
          <w:sz w:val="24"/>
          <w:szCs w:val="24"/>
        </w:rPr>
        <w:t xml:space="preserve"> legemsoverflade som intravenøs infusion over 1 time, hvilket gentages dagligt 5 dage i træk (dvs. i alt 5 doser pr. behandlingscyklus). Den totale døgndosis må ikke overstige 20 mg/m</w:t>
      </w:r>
      <w:r w:rsidRPr="00AD3AB8">
        <w:rPr>
          <w:sz w:val="24"/>
          <w:szCs w:val="24"/>
          <w:vertAlign w:val="superscript"/>
        </w:rPr>
        <w:t>2</w:t>
      </w:r>
      <w:r w:rsidRPr="00AD3AB8">
        <w:rPr>
          <w:sz w:val="24"/>
          <w:szCs w:val="24"/>
        </w:rPr>
        <w:t>, og den totale dosis pr. behandlingscyklus må ikke overstige 100 mg/m</w:t>
      </w:r>
      <w:r w:rsidRPr="00AD3AB8">
        <w:rPr>
          <w:sz w:val="24"/>
          <w:szCs w:val="24"/>
          <w:vertAlign w:val="superscript"/>
        </w:rPr>
        <w:t>2</w:t>
      </w:r>
      <w:r w:rsidRPr="00AD3AB8">
        <w:rPr>
          <w:sz w:val="24"/>
          <w:szCs w:val="24"/>
        </w:rPr>
        <w:t>. Hvis en dosis springes over, bør behandlingen genoptages snarest muligt. Denne cyklus bør gentages hver 4. uge afhængigt af patientens kliniske respons og den observerede toksicitet. Det anbefales, at patienterne behandles i mindst 4 cyklusser. Imidlertid kan det tage mere end 4 cyklusser at opnå en komplet eller partiel remission. Behandlingen kan fortsættes, så længe patienten udviser respons eller fortsat har gavn af behandlingen, eller så længe sygdommen er stabiliseret, dvs. ved fravær af åbenlys progression.</w:t>
      </w:r>
    </w:p>
    <w:p w14:paraId="2F7704FA" w14:textId="77777777" w:rsidR="00EF23AD" w:rsidRPr="00AD3AB8" w:rsidRDefault="00EF23AD" w:rsidP="00A86FDA">
      <w:pPr>
        <w:ind w:left="851"/>
        <w:rPr>
          <w:sz w:val="24"/>
          <w:szCs w:val="24"/>
        </w:rPr>
      </w:pPr>
    </w:p>
    <w:p w14:paraId="0406C08B" w14:textId="7BC27C66" w:rsidR="00EF23AD" w:rsidRPr="00AD3AB8" w:rsidRDefault="00EF23AD" w:rsidP="00A86FDA">
      <w:pPr>
        <w:ind w:left="851"/>
        <w:rPr>
          <w:sz w:val="24"/>
          <w:szCs w:val="24"/>
        </w:rPr>
      </w:pPr>
      <w:r w:rsidRPr="00AD3AB8">
        <w:rPr>
          <w:sz w:val="24"/>
          <w:szCs w:val="24"/>
        </w:rPr>
        <w:t>Hvis patientens hæmatologiske værdier (</w:t>
      </w:r>
      <w:r w:rsidR="00E33B9A">
        <w:rPr>
          <w:sz w:val="24"/>
          <w:szCs w:val="24"/>
        </w:rPr>
        <w:t>f.eks.</w:t>
      </w:r>
      <w:r w:rsidRPr="00AD3AB8">
        <w:rPr>
          <w:sz w:val="24"/>
          <w:szCs w:val="24"/>
        </w:rPr>
        <w:t xml:space="preserve"> </w:t>
      </w:r>
      <w:proofErr w:type="spellStart"/>
      <w:r w:rsidRPr="00AD3AB8">
        <w:rPr>
          <w:sz w:val="24"/>
          <w:szCs w:val="24"/>
        </w:rPr>
        <w:t>trombocyttal</w:t>
      </w:r>
      <w:proofErr w:type="spellEnd"/>
      <w:r w:rsidRPr="00AD3AB8">
        <w:rPr>
          <w:sz w:val="24"/>
          <w:szCs w:val="24"/>
        </w:rPr>
        <w:t xml:space="preserve"> eller </w:t>
      </w:r>
      <w:proofErr w:type="spellStart"/>
      <w:r w:rsidRPr="00AD3AB8">
        <w:rPr>
          <w:sz w:val="24"/>
          <w:szCs w:val="24"/>
        </w:rPr>
        <w:t>neutrofile</w:t>
      </w:r>
      <w:proofErr w:type="spellEnd"/>
      <w:r w:rsidRPr="00AD3AB8">
        <w:rPr>
          <w:sz w:val="24"/>
          <w:szCs w:val="24"/>
        </w:rPr>
        <w:t xml:space="preserve">), efter 4 cykler, ikke er faldet til niveauet før behandlingen, eller hvis sygdommen progredierer (stigning i </w:t>
      </w:r>
      <w:proofErr w:type="spellStart"/>
      <w:r w:rsidRPr="00AD3AB8">
        <w:rPr>
          <w:sz w:val="24"/>
          <w:szCs w:val="24"/>
        </w:rPr>
        <w:t>blaster</w:t>
      </w:r>
      <w:proofErr w:type="spellEnd"/>
      <w:r w:rsidRPr="00AD3AB8">
        <w:rPr>
          <w:sz w:val="24"/>
          <w:szCs w:val="24"/>
        </w:rPr>
        <w:t xml:space="preserve"> i perifert blod eller forværring af </w:t>
      </w:r>
      <w:proofErr w:type="spellStart"/>
      <w:r w:rsidRPr="00AD3AB8">
        <w:rPr>
          <w:sz w:val="24"/>
          <w:szCs w:val="24"/>
        </w:rPr>
        <w:t>blaster</w:t>
      </w:r>
      <w:proofErr w:type="spellEnd"/>
      <w:r w:rsidRPr="00AD3AB8">
        <w:rPr>
          <w:sz w:val="24"/>
          <w:szCs w:val="24"/>
        </w:rPr>
        <w:t xml:space="preserve"> i knoglemarv), må patienten anses for at være en ”non-responder”, og andre behandlingsformer end </w:t>
      </w:r>
      <w:proofErr w:type="spellStart"/>
      <w:r w:rsidR="00AD397D">
        <w:rPr>
          <w:sz w:val="24"/>
          <w:szCs w:val="24"/>
        </w:rPr>
        <w:t>Decitabine</w:t>
      </w:r>
      <w:proofErr w:type="spellEnd"/>
      <w:r w:rsidR="00AD397D">
        <w:rPr>
          <w:sz w:val="24"/>
          <w:szCs w:val="24"/>
        </w:rPr>
        <w:t xml:space="preserve"> "Ever Pharma"</w:t>
      </w:r>
      <w:r w:rsidRPr="00AD3AB8">
        <w:rPr>
          <w:sz w:val="24"/>
          <w:szCs w:val="24"/>
        </w:rPr>
        <w:t xml:space="preserve"> bør overvejes.</w:t>
      </w:r>
    </w:p>
    <w:p w14:paraId="1215402F" w14:textId="77777777" w:rsidR="00EF23AD" w:rsidRPr="00AD3AB8" w:rsidRDefault="00EF23AD" w:rsidP="00A86FDA">
      <w:pPr>
        <w:ind w:left="851"/>
        <w:rPr>
          <w:sz w:val="24"/>
          <w:szCs w:val="24"/>
        </w:rPr>
      </w:pPr>
    </w:p>
    <w:p w14:paraId="544BFA94" w14:textId="77777777" w:rsidR="00EF23AD" w:rsidRPr="00AD3AB8" w:rsidRDefault="00EF23AD" w:rsidP="00A86FDA">
      <w:pPr>
        <w:ind w:left="851"/>
        <w:rPr>
          <w:sz w:val="24"/>
          <w:szCs w:val="24"/>
        </w:rPr>
      </w:pPr>
      <w:r w:rsidRPr="00AD3AB8">
        <w:rPr>
          <w:sz w:val="24"/>
          <w:szCs w:val="24"/>
        </w:rPr>
        <w:t>Præmedicinering til forebyggelse af kvalme og opkastning anbefales ikke rutinemæssigt, men kan gives efter behov.</w:t>
      </w:r>
    </w:p>
    <w:p w14:paraId="01D8DFC1" w14:textId="77777777" w:rsidR="00EF23AD" w:rsidRPr="00AD3AB8" w:rsidRDefault="00EF23AD" w:rsidP="00A86FDA">
      <w:pPr>
        <w:ind w:left="851"/>
        <w:rPr>
          <w:i/>
          <w:sz w:val="24"/>
          <w:szCs w:val="24"/>
        </w:rPr>
      </w:pPr>
    </w:p>
    <w:p w14:paraId="780C965F" w14:textId="77777777" w:rsidR="00EF23AD" w:rsidRPr="00AD3AB8" w:rsidRDefault="00EF23AD" w:rsidP="00A86FDA">
      <w:pPr>
        <w:ind w:left="851"/>
        <w:rPr>
          <w:i/>
          <w:iCs/>
          <w:sz w:val="24"/>
          <w:szCs w:val="24"/>
        </w:rPr>
      </w:pPr>
      <w:r w:rsidRPr="00AD3AB8">
        <w:rPr>
          <w:i/>
          <w:iCs/>
          <w:sz w:val="24"/>
          <w:szCs w:val="24"/>
        </w:rPr>
        <w:t xml:space="preserve">Behandling af </w:t>
      </w:r>
      <w:proofErr w:type="spellStart"/>
      <w:r w:rsidRPr="00AD3AB8">
        <w:rPr>
          <w:i/>
          <w:iCs/>
          <w:sz w:val="24"/>
          <w:szCs w:val="24"/>
        </w:rPr>
        <w:t>myelosuppression</w:t>
      </w:r>
      <w:proofErr w:type="spellEnd"/>
      <w:r w:rsidRPr="00AD3AB8">
        <w:rPr>
          <w:i/>
          <w:iCs/>
          <w:sz w:val="24"/>
          <w:szCs w:val="24"/>
        </w:rPr>
        <w:t xml:space="preserve"> og tilstødende komplikationer</w:t>
      </w:r>
    </w:p>
    <w:p w14:paraId="15F1C19D" w14:textId="77777777" w:rsidR="00EF23AD" w:rsidRPr="00AD3AB8" w:rsidRDefault="00EF23AD" w:rsidP="00A86FDA">
      <w:pPr>
        <w:ind w:left="851"/>
        <w:rPr>
          <w:sz w:val="24"/>
          <w:szCs w:val="24"/>
        </w:rPr>
      </w:pPr>
      <w:proofErr w:type="spellStart"/>
      <w:r w:rsidRPr="00AD3AB8">
        <w:rPr>
          <w:sz w:val="24"/>
          <w:szCs w:val="24"/>
        </w:rPr>
        <w:t>Myelosuppression</w:t>
      </w:r>
      <w:proofErr w:type="spellEnd"/>
      <w:r w:rsidRPr="00AD3AB8">
        <w:rPr>
          <w:sz w:val="24"/>
          <w:szCs w:val="24"/>
        </w:rPr>
        <w:t xml:space="preserve"> og bivirkninger relateret til </w:t>
      </w:r>
      <w:proofErr w:type="spellStart"/>
      <w:r w:rsidRPr="00AD3AB8">
        <w:rPr>
          <w:sz w:val="24"/>
          <w:szCs w:val="24"/>
        </w:rPr>
        <w:t>myelosuppression</w:t>
      </w:r>
      <w:proofErr w:type="spellEnd"/>
      <w:r w:rsidRPr="00AD3AB8">
        <w:rPr>
          <w:sz w:val="24"/>
          <w:szCs w:val="24"/>
        </w:rPr>
        <w:t xml:space="preserve"> (</w:t>
      </w:r>
      <w:proofErr w:type="spellStart"/>
      <w:r w:rsidRPr="00AD3AB8">
        <w:rPr>
          <w:sz w:val="24"/>
          <w:szCs w:val="24"/>
        </w:rPr>
        <w:t>trombocytopeni</w:t>
      </w:r>
      <w:proofErr w:type="spellEnd"/>
      <w:r w:rsidRPr="00AD3AB8">
        <w:rPr>
          <w:sz w:val="24"/>
          <w:szCs w:val="24"/>
        </w:rPr>
        <w:t xml:space="preserve">, anæmi, </w:t>
      </w:r>
      <w:proofErr w:type="spellStart"/>
      <w:r w:rsidRPr="00AD3AB8">
        <w:rPr>
          <w:sz w:val="24"/>
          <w:szCs w:val="24"/>
        </w:rPr>
        <w:t>neutropeni</w:t>
      </w:r>
      <w:proofErr w:type="spellEnd"/>
      <w:r w:rsidRPr="00AD3AB8">
        <w:rPr>
          <w:sz w:val="24"/>
          <w:szCs w:val="24"/>
        </w:rPr>
        <w:t xml:space="preserve"> og febril </w:t>
      </w:r>
      <w:proofErr w:type="spellStart"/>
      <w:r w:rsidRPr="00AD3AB8">
        <w:rPr>
          <w:sz w:val="24"/>
          <w:szCs w:val="24"/>
        </w:rPr>
        <w:t>neutropeni</w:t>
      </w:r>
      <w:proofErr w:type="spellEnd"/>
      <w:r w:rsidRPr="00AD3AB8">
        <w:rPr>
          <w:sz w:val="24"/>
          <w:szCs w:val="24"/>
        </w:rPr>
        <w:t xml:space="preserve">) ses hyppigt hos både behandlede og ubehandlede patienter med AML. Komplikationer ved </w:t>
      </w:r>
      <w:proofErr w:type="spellStart"/>
      <w:r w:rsidRPr="00AD3AB8">
        <w:rPr>
          <w:sz w:val="24"/>
          <w:szCs w:val="24"/>
        </w:rPr>
        <w:t>myelosuppression</w:t>
      </w:r>
      <w:proofErr w:type="spellEnd"/>
      <w:r w:rsidRPr="00AD3AB8">
        <w:rPr>
          <w:sz w:val="24"/>
          <w:szCs w:val="24"/>
        </w:rPr>
        <w:t xml:space="preserve"> omfatter infektioner og blødning. Behandlingen kan udsættes efter den behandlende læges skøn, hvis patienten oplever komplikationer af </w:t>
      </w:r>
      <w:proofErr w:type="spellStart"/>
      <w:r w:rsidRPr="00AD3AB8">
        <w:rPr>
          <w:sz w:val="24"/>
          <w:szCs w:val="24"/>
        </w:rPr>
        <w:t>myelosuppression</w:t>
      </w:r>
      <w:proofErr w:type="spellEnd"/>
      <w:r w:rsidRPr="00AD3AB8">
        <w:rPr>
          <w:sz w:val="24"/>
          <w:szCs w:val="24"/>
        </w:rPr>
        <w:t xml:space="preserve"> som beskrevet nedenfor:</w:t>
      </w:r>
    </w:p>
    <w:p w14:paraId="769D5B41" w14:textId="77777777" w:rsidR="00EF23AD" w:rsidRPr="00AD3AB8" w:rsidRDefault="00EF23AD" w:rsidP="00A86FDA">
      <w:pPr>
        <w:ind w:left="851"/>
        <w:rPr>
          <w:sz w:val="24"/>
          <w:szCs w:val="24"/>
        </w:rPr>
      </w:pPr>
    </w:p>
    <w:p w14:paraId="0DC2C7CC" w14:textId="77777777" w:rsidR="00EF23AD" w:rsidRPr="00AD397D" w:rsidRDefault="00EF23AD" w:rsidP="00AD397D">
      <w:pPr>
        <w:pStyle w:val="Listeafsnit"/>
        <w:numPr>
          <w:ilvl w:val="0"/>
          <w:numId w:val="7"/>
        </w:numPr>
        <w:ind w:left="1276" w:hanging="425"/>
        <w:rPr>
          <w:sz w:val="24"/>
          <w:szCs w:val="24"/>
        </w:rPr>
      </w:pPr>
      <w:r w:rsidRPr="00AD397D">
        <w:rPr>
          <w:sz w:val="24"/>
          <w:szCs w:val="24"/>
        </w:rPr>
        <w:t xml:space="preserve">Febril </w:t>
      </w:r>
      <w:proofErr w:type="spellStart"/>
      <w:r w:rsidRPr="00AD397D">
        <w:rPr>
          <w:sz w:val="24"/>
          <w:szCs w:val="24"/>
        </w:rPr>
        <w:t>neutropeni</w:t>
      </w:r>
      <w:proofErr w:type="spellEnd"/>
      <w:r w:rsidRPr="00AD397D">
        <w:rPr>
          <w:sz w:val="24"/>
          <w:szCs w:val="24"/>
        </w:rPr>
        <w:t xml:space="preserve"> (temperatur ≥ 38,5 °C og absolut </w:t>
      </w:r>
      <w:proofErr w:type="spellStart"/>
      <w:r w:rsidRPr="00AD397D">
        <w:rPr>
          <w:sz w:val="24"/>
          <w:szCs w:val="24"/>
        </w:rPr>
        <w:t>neutrofiltal</w:t>
      </w:r>
      <w:proofErr w:type="spellEnd"/>
      <w:r w:rsidRPr="00AD397D">
        <w:rPr>
          <w:sz w:val="24"/>
          <w:szCs w:val="24"/>
        </w:rPr>
        <w:t xml:space="preserve"> &lt; 1.000/µl)</w:t>
      </w:r>
    </w:p>
    <w:p w14:paraId="0477A844" w14:textId="77777777" w:rsidR="00EF23AD" w:rsidRPr="00AD397D" w:rsidRDefault="00EF23AD" w:rsidP="00AD397D">
      <w:pPr>
        <w:pStyle w:val="Listeafsnit"/>
        <w:numPr>
          <w:ilvl w:val="0"/>
          <w:numId w:val="7"/>
        </w:numPr>
        <w:ind w:left="1276" w:hanging="425"/>
        <w:rPr>
          <w:sz w:val="24"/>
          <w:szCs w:val="24"/>
        </w:rPr>
      </w:pPr>
      <w:r w:rsidRPr="00AD397D">
        <w:rPr>
          <w:sz w:val="24"/>
          <w:szCs w:val="24"/>
        </w:rPr>
        <w:t xml:space="preserve">Aktiv viral eller bakteriel infektion eller </w:t>
      </w:r>
      <w:proofErr w:type="spellStart"/>
      <w:r w:rsidRPr="00AD397D">
        <w:rPr>
          <w:sz w:val="24"/>
          <w:szCs w:val="24"/>
        </w:rPr>
        <w:t>mykose</w:t>
      </w:r>
      <w:proofErr w:type="spellEnd"/>
      <w:r w:rsidRPr="00AD397D">
        <w:rPr>
          <w:sz w:val="24"/>
          <w:szCs w:val="24"/>
        </w:rPr>
        <w:t xml:space="preserve"> (med behov for intravenøs behandling af infektionen eller omfattende understøttende pleje)</w:t>
      </w:r>
    </w:p>
    <w:p w14:paraId="7D7EF34B" w14:textId="77777777" w:rsidR="00EF23AD" w:rsidRPr="00AD397D" w:rsidRDefault="00EF23AD" w:rsidP="00AD397D">
      <w:pPr>
        <w:pStyle w:val="Listeafsnit"/>
        <w:numPr>
          <w:ilvl w:val="0"/>
          <w:numId w:val="7"/>
        </w:numPr>
        <w:ind w:left="1276" w:hanging="425"/>
        <w:rPr>
          <w:sz w:val="24"/>
          <w:szCs w:val="24"/>
        </w:rPr>
      </w:pPr>
      <w:r w:rsidRPr="00AD397D">
        <w:rPr>
          <w:sz w:val="24"/>
          <w:szCs w:val="24"/>
        </w:rPr>
        <w:t>Blødning (</w:t>
      </w:r>
      <w:proofErr w:type="spellStart"/>
      <w:r w:rsidRPr="00AD397D">
        <w:rPr>
          <w:sz w:val="24"/>
          <w:szCs w:val="24"/>
        </w:rPr>
        <w:t>gastrointestinal</w:t>
      </w:r>
      <w:proofErr w:type="spellEnd"/>
      <w:r w:rsidRPr="00AD397D">
        <w:rPr>
          <w:sz w:val="24"/>
          <w:szCs w:val="24"/>
        </w:rPr>
        <w:t xml:space="preserve">, urogenital eller </w:t>
      </w:r>
      <w:proofErr w:type="spellStart"/>
      <w:r w:rsidRPr="00AD397D">
        <w:rPr>
          <w:sz w:val="24"/>
          <w:szCs w:val="24"/>
        </w:rPr>
        <w:t>pulmonal</w:t>
      </w:r>
      <w:proofErr w:type="spellEnd"/>
      <w:r w:rsidRPr="00AD397D">
        <w:rPr>
          <w:sz w:val="24"/>
          <w:szCs w:val="24"/>
        </w:rPr>
        <w:t xml:space="preserve"> blødning med </w:t>
      </w:r>
      <w:proofErr w:type="spellStart"/>
      <w:r w:rsidRPr="00AD397D">
        <w:rPr>
          <w:sz w:val="24"/>
          <w:szCs w:val="24"/>
        </w:rPr>
        <w:t>trombocyttal</w:t>
      </w:r>
      <w:proofErr w:type="spellEnd"/>
      <w:r w:rsidRPr="00AD397D">
        <w:rPr>
          <w:sz w:val="24"/>
          <w:szCs w:val="24"/>
        </w:rPr>
        <w:t xml:space="preserve"> &lt; 25.000/µl eller en blødning i centralnervesystemet)</w:t>
      </w:r>
    </w:p>
    <w:p w14:paraId="0A48861A" w14:textId="77777777" w:rsidR="00EF23AD" w:rsidRPr="00AD3AB8" w:rsidRDefault="00EF23AD" w:rsidP="00A86FDA">
      <w:pPr>
        <w:ind w:left="851"/>
        <w:rPr>
          <w:sz w:val="24"/>
          <w:szCs w:val="24"/>
        </w:rPr>
      </w:pPr>
    </w:p>
    <w:p w14:paraId="1B4D3EAE" w14:textId="512EA921" w:rsidR="00EF23AD" w:rsidRPr="00AD3AB8" w:rsidRDefault="00EF23AD" w:rsidP="00A86FDA">
      <w:pPr>
        <w:ind w:left="851"/>
        <w:rPr>
          <w:sz w:val="24"/>
          <w:szCs w:val="24"/>
        </w:rPr>
      </w:pPr>
      <w:r w:rsidRPr="00AD3AB8">
        <w:rPr>
          <w:sz w:val="24"/>
          <w:szCs w:val="24"/>
        </w:rPr>
        <w:t xml:space="preserve">Behandling med </w:t>
      </w:r>
      <w:proofErr w:type="spellStart"/>
      <w:r w:rsidR="00AD397D">
        <w:rPr>
          <w:sz w:val="24"/>
          <w:szCs w:val="24"/>
        </w:rPr>
        <w:t>Decitabine</w:t>
      </w:r>
      <w:proofErr w:type="spellEnd"/>
      <w:r w:rsidR="00AD397D">
        <w:rPr>
          <w:sz w:val="24"/>
          <w:szCs w:val="24"/>
        </w:rPr>
        <w:t xml:space="preserve"> "Ever Pharma"</w:t>
      </w:r>
      <w:r w:rsidRPr="00AD3AB8">
        <w:rPr>
          <w:sz w:val="24"/>
          <w:szCs w:val="24"/>
        </w:rPr>
        <w:t xml:space="preserve"> kan genoptages, når der er opnået bedring af disse tilstande, eller de er stabiliseret med passende behandling (infektionsbekæmpende midler, transfusioner eller vækstfaktorer).</w:t>
      </w:r>
    </w:p>
    <w:p w14:paraId="7D6A6BA1" w14:textId="77777777" w:rsidR="00EF23AD" w:rsidRPr="00AD3AB8" w:rsidRDefault="00EF23AD" w:rsidP="00A86FDA">
      <w:pPr>
        <w:ind w:left="851"/>
        <w:rPr>
          <w:sz w:val="24"/>
          <w:szCs w:val="24"/>
        </w:rPr>
      </w:pPr>
    </w:p>
    <w:p w14:paraId="76AFF832" w14:textId="5F5D61F5" w:rsidR="00EF23AD" w:rsidRPr="00AD3AB8" w:rsidRDefault="00EF23AD" w:rsidP="00A86FDA">
      <w:pPr>
        <w:ind w:left="851"/>
        <w:rPr>
          <w:sz w:val="24"/>
          <w:szCs w:val="24"/>
        </w:rPr>
      </w:pPr>
      <w:r w:rsidRPr="00AD3AB8">
        <w:rPr>
          <w:sz w:val="24"/>
          <w:szCs w:val="24"/>
        </w:rPr>
        <w:t xml:space="preserve">I kliniske studier havde ca. en tredjedel af de patienter, der fik </w:t>
      </w:r>
      <w:proofErr w:type="spellStart"/>
      <w:r w:rsidR="00AD397D">
        <w:rPr>
          <w:sz w:val="24"/>
          <w:szCs w:val="24"/>
        </w:rPr>
        <w:t>Decitabine</w:t>
      </w:r>
      <w:proofErr w:type="spellEnd"/>
      <w:r w:rsidR="00AD397D">
        <w:rPr>
          <w:sz w:val="24"/>
          <w:szCs w:val="24"/>
        </w:rPr>
        <w:t xml:space="preserve"> "Ever Pharma"</w:t>
      </w:r>
      <w:r w:rsidRPr="00AD3AB8">
        <w:rPr>
          <w:sz w:val="24"/>
          <w:szCs w:val="24"/>
        </w:rPr>
        <w:t>, behov for udsættelse af en dosis. Dosisreduktion anbefales ikke.</w:t>
      </w:r>
    </w:p>
    <w:p w14:paraId="57D187FB" w14:textId="77777777" w:rsidR="00EF23AD" w:rsidRPr="00AD3AB8" w:rsidRDefault="00EF23AD" w:rsidP="00A86FDA">
      <w:pPr>
        <w:ind w:left="851"/>
        <w:rPr>
          <w:i/>
          <w:iCs/>
          <w:sz w:val="24"/>
          <w:szCs w:val="24"/>
        </w:rPr>
      </w:pPr>
    </w:p>
    <w:p w14:paraId="1C5A7EBA" w14:textId="77777777" w:rsidR="00EF23AD" w:rsidRPr="00AD3AB8" w:rsidRDefault="00EF23AD" w:rsidP="00A86FDA">
      <w:pPr>
        <w:ind w:left="851"/>
        <w:rPr>
          <w:i/>
          <w:iCs/>
          <w:sz w:val="24"/>
          <w:szCs w:val="24"/>
        </w:rPr>
      </w:pPr>
      <w:r w:rsidRPr="00AD3AB8">
        <w:rPr>
          <w:i/>
          <w:iCs/>
          <w:sz w:val="24"/>
          <w:szCs w:val="24"/>
        </w:rPr>
        <w:t>Pædiatrisk population</w:t>
      </w:r>
    </w:p>
    <w:p w14:paraId="56BC778A" w14:textId="0A3FC954" w:rsidR="00EF23AD" w:rsidRPr="00AD3AB8" w:rsidRDefault="00AD397D" w:rsidP="00A86FDA">
      <w:pPr>
        <w:ind w:left="851"/>
        <w:rPr>
          <w:sz w:val="24"/>
          <w:szCs w:val="24"/>
        </w:rPr>
      </w:pPr>
      <w:proofErr w:type="spellStart"/>
      <w:r>
        <w:rPr>
          <w:sz w:val="24"/>
          <w:szCs w:val="24"/>
        </w:rPr>
        <w:t>Decitabine</w:t>
      </w:r>
      <w:proofErr w:type="spellEnd"/>
      <w:r>
        <w:rPr>
          <w:sz w:val="24"/>
          <w:szCs w:val="24"/>
        </w:rPr>
        <w:t xml:space="preserve"> "Ever Pharma"</w:t>
      </w:r>
      <w:r w:rsidR="00EF23AD" w:rsidRPr="00AD3AB8">
        <w:rPr>
          <w:sz w:val="24"/>
          <w:szCs w:val="24"/>
        </w:rPr>
        <w:t xml:space="preserve"> bør ikke anvendes til børn med AML i alderen &lt; 18 år, da virkningen ikke er klarlagt. De foreliggende data er beskrevet i pkt. 4.8, 5.1 og 5.2.</w:t>
      </w:r>
    </w:p>
    <w:p w14:paraId="1742DE66" w14:textId="3C4E5048" w:rsidR="00E33B9A" w:rsidRDefault="00E33B9A">
      <w:pPr>
        <w:rPr>
          <w:i/>
          <w:iCs/>
          <w:sz w:val="24"/>
          <w:szCs w:val="24"/>
        </w:rPr>
      </w:pPr>
      <w:r>
        <w:rPr>
          <w:i/>
          <w:iCs/>
          <w:sz w:val="24"/>
          <w:szCs w:val="24"/>
        </w:rPr>
        <w:br w:type="page"/>
      </w:r>
    </w:p>
    <w:p w14:paraId="236AAEFA" w14:textId="77777777" w:rsidR="00EF23AD" w:rsidRPr="00AD3AB8" w:rsidRDefault="00EF23AD" w:rsidP="00A86FDA">
      <w:pPr>
        <w:ind w:left="851"/>
        <w:rPr>
          <w:i/>
          <w:iCs/>
          <w:sz w:val="24"/>
          <w:szCs w:val="24"/>
        </w:rPr>
      </w:pPr>
    </w:p>
    <w:p w14:paraId="7B5AACCB" w14:textId="77777777" w:rsidR="00EF23AD" w:rsidRPr="00AD3AB8" w:rsidRDefault="00EF23AD" w:rsidP="00A86FDA">
      <w:pPr>
        <w:ind w:left="851"/>
        <w:rPr>
          <w:i/>
          <w:iCs/>
          <w:sz w:val="24"/>
          <w:szCs w:val="24"/>
        </w:rPr>
      </w:pPr>
      <w:r w:rsidRPr="00AD3AB8">
        <w:rPr>
          <w:i/>
          <w:iCs/>
          <w:sz w:val="24"/>
          <w:szCs w:val="24"/>
        </w:rPr>
        <w:t>Nedsat leverfunktion</w:t>
      </w:r>
    </w:p>
    <w:p w14:paraId="60A3DB5C" w14:textId="77777777" w:rsidR="00EF23AD" w:rsidRPr="00AD3AB8" w:rsidRDefault="00EF23AD" w:rsidP="00A86FDA">
      <w:pPr>
        <w:ind w:left="851"/>
        <w:rPr>
          <w:sz w:val="24"/>
          <w:szCs w:val="24"/>
        </w:rPr>
      </w:pPr>
      <w:r w:rsidRPr="00AD3AB8">
        <w:rPr>
          <w:sz w:val="24"/>
          <w:szCs w:val="24"/>
        </w:rPr>
        <w:t>Der er ikke udført studier af patienter med nedsat leverfunktion. Behovet for dosisjustering hos patienter med nedsat leverfunktion er ikke evalueret. I tilfælde af en forværring af leverfunktionen bør patienterne monitoreres nøje (se pkt. 4.4 og 5.2).</w:t>
      </w:r>
    </w:p>
    <w:p w14:paraId="09233CC1" w14:textId="77777777" w:rsidR="00EF23AD" w:rsidRPr="00AD3AB8" w:rsidRDefault="00EF23AD" w:rsidP="00A86FDA">
      <w:pPr>
        <w:ind w:left="851"/>
        <w:rPr>
          <w:sz w:val="24"/>
          <w:szCs w:val="24"/>
        </w:rPr>
      </w:pPr>
    </w:p>
    <w:p w14:paraId="27DE73E8" w14:textId="77777777" w:rsidR="00EF23AD" w:rsidRPr="00AD3AB8" w:rsidRDefault="00EF23AD" w:rsidP="00A86FDA">
      <w:pPr>
        <w:ind w:left="851"/>
        <w:rPr>
          <w:i/>
          <w:iCs/>
          <w:sz w:val="24"/>
          <w:szCs w:val="24"/>
        </w:rPr>
      </w:pPr>
      <w:r w:rsidRPr="00AD3AB8">
        <w:rPr>
          <w:i/>
          <w:iCs/>
          <w:sz w:val="24"/>
          <w:szCs w:val="24"/>
        </w:rPr>
        <w:t>Nedsat nyrefunktion</w:t>
      </w:r>
    </w:p>
    <w:p w14:paraId="1C11632D" w14:textId="77777777" w:rsidR="00EF23AD" w:rsidRPr="00AD3AB8" w:rsidRDefault="00EF23AD" w:rsidP="00A86FDA">
      <w:pPr>
        <w:ind w:left="851"/>
        <w:rPr>
          <w:sz w:val="24"/>
          <w:szCs w:val="24"/>
        </w:rPr>
      </w:pPr>
      <w:r w:rsidRPr="00AD3AB8">
        <w:rPr>
          <w:sz w:val="24"/>
          <w:szCs w:val="24"/>
        </w:rPr>
        <w:t>Der er ikke udført studier af patienter med nedsat nyrefunktion. Behovet for dosisjustering hos patienter med nedsat nyrefunktion er ikke evalueret (se pkt. 4.4 og 5.2).</w:t>
      </w:r>
    </w:p>
    <w:p w14:paraId="62166B4B" w14:textId="77777777" w:rsidR="00EF23AD" w:rsidRPr="00AD3AB8" w:rsidRDefault="00EF23AD" w:rsidP="00A86FDA">
      <w:pPr>
        <w:ind w:left="851"/>
        <w:rPr>
          <w:sz w:val="24"/>
          <w:szCs w:val="24"/>
        </w:rPr>
      </w:pPr>
    </w:p>
    <w:p w14:paraId="111F140F" w14:textId="77777777" w:rsidR="00EF23AD" w:rsidRPr="00AD3AB8" w:rsidRDefault="00EF23AD" w:rsidP="00A86FDA">
      <w:pPr>
        <w:ind w:left="851"/>
        <w:rPr>
          <w:sz w:val="24"/>
          <w:szCs w:val="24"/>
        </w:rPr>
      </w:pPr>
      <w:r w:rsidRPr="00AD3AB8">
        <w:rPr>
          <w:sz w:val="24"/>
          <w:szCs w:val="24"/>
          <w:u w:val="single"/>
        </w:rPr>
        <w:t>Administration</w:t>
      </w:r>
    </w:p>
    <w:p w14:paraId="705147EE" w14:textId="51EE12B3" w:rsidR="00EF23AD" w:rsidRPr="00AD3AB8" w:rsidRDefault="00AD397D" w:rsidP="00A86FDA">
      <w:pPr>
        <w:ind w:left="851"/>
        <w:rPr>
          <w:sz w:val="24"/>
          <w:szCs w:val="24"/>
        </w:rPr>
      </w:pPr>
      <w:proofErr w:type="spellStart"/>
      <w:r>
        <w:rPr>
          <w:sz w:val="24"/>
          <w:szCs w:val="24"/>
        </w:rPr>
        <w:t>Decitabine</w:t>
      </w:r>
      <w:proofErr w:type="spellEnd"/>
      <w:r>
        <w:rPr>
          <w:sz w:val="24"/>
          <w:szCs w:val="24"/>
        </w:rPr>
        <w:t xml:space="preserve"> "Ever Pharma"</w:t>
      </w:r>
      <w:r w:rsidR="00EF23AD" w:rsidRPr="00AD3AB8">
        <w:rPr>
          <w:sz w:val="24"/>
          <w:szCs w:val="24"/>
        </w:rPr>
        <w:t xml:space="preserve"> administreres som intravenøs infusion. Der er ikke behov for et centralt venekateter. </w:t>
      </w:r>
    </w:p>
    <w:p w14:paraId="79417669" w14:textId="77777777" w:rsidR="00EF23AD" w:rsidRPr="00AD3AB8" w:rsidRDefault="00EF23AD" w:rsidP="00A86FDA">
      <w:pPr>
        <w:ind w:left="851"/>
        <w:rPr>
          <w:sz w:val="24"/>
          <w:szCs w:val="24"/>
        </w:rPr>
      </w:pPr>
    </w:p>
    <w:p w14:paraId="5F688B36" w14:textId="77777777" w:rsidR="00EF23AD" w:rsidRPr="00AD3AB8" w:rsidRDefault="00EF23AD" w:rsidP="00A86FDA">
      <w:pPr>
        <w:ind w:left="851"/>
        <w:rPr>
          <w:sz w:val="24"/>
          <w:szCs w:val="24"/>
        </w:rPr>
      </w:pPr>
      <w:r w:rsidRPr="00AD3AB8">
        <w:rPr>
          <w:sz w:val="24"/>
          <w:szCs w:val="24"/>
        </w:rPr>
        <w:t xml:space="preserve">Efter </w:t>
      </w:r>
      <w:proofErr w:type="spellStart"/>
      <w:r w:rsidRPr="00AD3AB8">
        <w:rPr>
          <w:sz w:val="24"/>
          <w:szCs w:val="24"/>
        </w:rPr>
        <w:t>rekonstitution</w:t>
      </w:r>
      <w:proofErr w:type="spellEnd"/>
      <w:r w:rsidRPr="00AD3AB8">
        <w:rPr>
          <w:sz w:val="24"/>
          <w:szCs w:val="24"/>
        </w:rPr>
        <w:t xml:space="preserve"> er opløsningen en klar til lys opaliserende opløsning. Opløsningen er i det væsentlige fri for fremmede partikler, der kan observeres ved visuel inspektion. For instruktioner om </w:t>
      </w:r>
      <w:proofErr w:type="spellStart"/>
      <w:r w:rsidRPr="00AD3AB8">
        <w:rPr>
          <w:sz w:val="24"/>
          <w:szCs w:val="24"/>
        </w:rPr>
        <w:t>rekonstitution</w:t>
      </w:r>
      <w:proofErr w:type="spellEnd"/>
      <w:r w:rsidRPr="00AD3AB8">
        <w:rPr>
          <w:sz w:val="24"/>
          <w:szCs w:val="24"/>
        </w:rPr>
        <w:t xml:space="preserve"> og fortynding af lægemidlet før administration, se pkt. 6.6.</w:t>
      </w:r>
    </w:p>
    <w:p w14:paraId="0C1611A8" w14:textId="77777777" w:rsidR="009260DE" w:rsidRPr="00AD3AB8" w:rsidRDefault="009260DE" w:rsidP="009260DE">
      <w:pPr>
        <w:tabs>
          <w:tab w:val="left" w:pos="851"/>
        </w:tabs>
        <w:ind w:left="851"/>
        <w:rPr>
          <w:sz w:val="24"/>
          <w:szCs w:val="24"/>
        </w:rPr>
      </w:pPr>
    </w:p>
    <w:p w14:paraId="45B003D7" w14:textId="77777777" w:rsidR="009260DE" w:rsidRPr="00AD3AB8" w:rsidRDefault="009260DE" w:rsidP="009260DE">
      <w:pPr>
        <w:tabs>
          <w:tab w:val="left" w:pos="851"/>
        </w:tabs>
        <w:ind w:left="851" w:hanging="851"/>
        <w:rPr>
          <w:b/>
          <w:sz w:val="24"/>
          <w:szCs w:val="24"/>
        </w:rPr>
      </w:pPr>
      <w:r w:rsidRPr="00AD3AB8">
        <w:rPr>
          <w:b/>
          <w:sz w:val="24"/>
          <w:szCs w:val="24"/>
        </w:rPr>
        <w:t>4.3</w:t>
      </w:r>
      <w:r w:rsidRPr="00AD3AB8">
        <w:rPr>
          <w:b/>
          <w:sz w:val="24"/>
          <w:szCs w:val="24"/>
        </w:rPr>
        <w:tab/>
        <w:t>Kontraindikationer</w:t>
      </w:r>
    </w:p>
    <w:p w14:paraId="423CA593" w14:textId="77777777" w:rsidR="00EF23AD" w:rsidRPr="00AD3AB8" w:rsidRDefault="00EF23AD" w:rsidP="00A86FDA">
      <w:pPr>
        <w:ind w:left="851"/>
        <w:rPr>
          <w:sz w:val="24"/>
          <w:szCs w:val="24"/>
        </w:rPr>
      </w:pPr>
      <w:r w:rsidRPr="00AD3AB8">
        <w:rPr>
          <w:sz w:val="24"/>
          <w:szCs w:val="24"/>
        </w:rPr>
        <w:t xml:space="preserve">Overfølsomhed over for </w:t>
      </w:r>
      <w:proofErr w:type="spellStart"/>
      <w:r w:rsidRPr="00AD3AB8">
        <w:rPr>
          <w:sz w:val="24"/>
          <w:szCs w:val="24"/>
        </w:rPr>
        <w:t>decitabin</w:t>
      </w:r>
      <w:proofErr w:type="spellEnd"/>
      <w:r w:rsidRPr="00AD3AB8">
        <w:rPr>
          <w:sz w:val="24"/>
          <w:szCs w:val="24"/>
        </w:rPr>
        <w:t xml:space="preserve"> eller over for et eller flere af hjælpestofferne anført i pkt. 6.1.</w:t>
      </w:r>
    </w:p>
    <w:p w14:paraId="2BA8DC22" w14:textId="77777777" w:rsidR="00EF23AD" w:rsidRPr="00AD3AB8" w:rsidRDefault="00EF23AD" w:rsidP="00A86FDA">
      <w:pPr>
        <w:ind w:left="851"/>
        <w:rPr>
          <w:sz w:val="24"/>
          <w:szCs w:val="24"/>
        </w:rPr>
      </w:pPr>
    </w:p>
    <w:p w14:paraId="0811D521" w14:textId="77777777" w:rsidR="00EF23AD" w:rsidRPr="00AD3AB8" w:rsidRDefault="00EF23AD" w:rsidP="00A86FDA">
      <w:pPr>
        <w:ind w:left="851"/>
        <w:rPr>
          <w:sz w:val="24"/>
          <w:szCs w:val="24"/>
        </w:rPr>
      </w:pPr>
      <w:r w:rsidRPr="00AD3AB8">
        <w:rPr>
          <w:sz w:val="24"/>
          <w:szCs w:val="24"/>
        </w:rPr>
        <w:t>Amning (se pkt. 4.6).</w:t>
      </w:r>
    </w:p>
    <w:p w14:paraId="138AC60D" w14:textId="77777777" w:rsidR="009260DE" w:rsidRPr="00AD3AB8" w:rsidRDefault="009260DE" w:rsidP="009260DE">
      <w:pPr>
        <w:tabs>
          <w:tab w:val="left" w:pos="851"/>
        </w:tabs>
        <w:ind w:left="851"/>
        <w:rPr>
          <w:sz w:val="24"/>
          <w:szCs w:val="24"/>
        </w:rPr>
      </w:pPr>
    </w:p>
    <w:p w14:paraId="4DDCA4FB" w14:textId="77777777" w:rsidR="009260DE" w:rsidRPr="00AD3AB8" w:rsidRDefault="009260DE" w:rsidP="009260DE">
      <w:pPr>
        <w:tabs>
          <w:tab w:val="left" w:pos="851"/>
        </w:tabs>
        <w:ind w:left="851" w:hanging="851"/>
        <w:rPr>
          <w:b/>
          <w:sz w:val="24"/>
          <w:szCs w:val="24"/>
        </w:rPr>
      </w:pPr>
      <w:r w:rsidRPr="00AD3AB8">
        <w:rPr>
          <w:b/>
          <w:sz w:val="24"/>
          <w:szCs w:val="24"/>
        </w:rPr>
        <w:t>4.4</w:t>
      </w:r>
      <w:r w:rsidRPr="00AD3AB8">
        <w:rPr>
          <w:b/>
          <w:sz w:val="24"/>
          <w:szCs w:val="24"/>
        </w:rPr>
        <w:tab/>
        <w:t>Særlige advarsler og forsigtighedsregler vedrørende brugen</w:t>
      </w:r>
    </w:p>
    <w:p w14:paraId="08EB44D9" w14:textId="77777777" w:rsidR="00AD397D" w:rsidRDefault="00AD397D" w:rsidP="00A86FDA">
      <w:pPr>
        <w:ind w:left="851"/>
        <w:rPr>
          <w:sz w:val="24"/>
          <w:szCs w:val="24"/>
          <w:lang w:eastAsia="en-GB"/>
        </w:rPr>
      </w:pPr>
    </w:p>
    <w:p w14:paraId="44BD641F" w14:textId="206CCC6D" w:rsidR="00EF23AD" w:rsidRPr="00AD397D" w:rsidRDefault="00EF23AD" w:rsidP="00A86FDA">
      <w:pPr>
        <w:ind w:left="851"/>
        <w:rPr>
          <w:sz w:val="24"/>
          <w:szCs w:val="24"/>
          <w:u w:val="single"/>
          <w:lang w:eastAsia="en-GB"/>
        </w:rPr>
      </w:pPr>
      <w:proofErr w:type="spellStart"/>
      <w:r w:rsidRPr="00AD397D">
        <w:rPr>
          <w:sz w:val="24"/>
          <w:szCs w:val="24"/>
          <w:u w:val="single"/>
          <w:lang w:eastAsia="en-GB"/>
        </w:rPr>
        <w:t>Myelosuppression</w:t>
      </w:r>
      <w:proofErr w:type="spellEnd"/>
    </w:p>
    <w:p w14:paraId="30B6DF77" w14:textId="61A070F5" w:rsidR="00EF23AD" w:rsidRPr="00AD3AB8" w:rsidRDefault="00EF23AD" w:rsidP="00A86FDA">
      <w:pPr>
        <w:ind w:left="851"/>
        <w:rPr>
          <w:sz w:val="24"/>
          <w:szCs w:val="24"/>
          <w:lang w:eastAsia="en-GB"/>
        </w:rPr>
      </w:pPr>
      <w:proofErr w:type="spellStart"/>
      <w:r w:rsidRPr="00AD3AB8">
        <w:rPr>
          <w:sz w:val="24"/>
          <w:szCs w:val="24"/>
          <w:lang w:eastAsia="en-GB"/>
        </w:rPr>
        <w:t>Myelosuppression</w:t>
      </w:r>
      <w:proofErr w:type="spellEnd"/>
      <w:r w:rsidRPr="00AD3AB8">
        <w:rPr>
          <w:sz w:val="24"/>
          <w:szCs w:val="24"/>
          <w:lang w:eastAsia="en-GB"/>
        </w:rPr>
        <w:t xml:space="preserve"> og komplikationer af </w:t>
      </w:r>
      <w:proofErr w:type="spellStart"/>
      <w:r w:rsidRPr="00AD3AB8">
        <w:rPr>
          <w:sz w:val="24"/>
          <w:szCs w:val="24"/>
          <w:lang w:eastAsia="en-GB"/>
        </w:rPr>
        <w:t>myelosuppression</w:t>
      </w:r>
      <w:proofErr w:type="spellEnd"/>
      <w:r w:rsidRPr="00AD3AB8">
        <w:rPr>
          <w:sz w:val="24"/>
          <w:szCs w:val="24"/>
          <w:lang w:eastAsia="en-GB"/>
        </w:rPr>
        <w:t xml:space="preserve">, herunder infektioner og blødninger, der forekommer hos patienter med AML, kan forværres ved behandling med </w:t>
      </w:r>
      <w:proofErr w:type="spellStart"/>
      <w:r w:rsidR="00AD397D">
        <w:rPr>
          <w:sz w:val="24"/>
          <w:szCs w:val="24"/>
        </w:rPr>
        <w:t>Decitabine</w:t>
      </w:r>
      <w:proofErr w:type="spellEnd"/>
      <w:r w:rsidR="00AD397D">
        <w:rPr>
          <w:sz w:val="24"/>
          <w:szCs w:val="24"/>
        </w:rPr>
        <w:t xml:space="preserve"> "Ever Pharma"</w:t>
      </w:r>
      <w:r w:rsidRPr="00AD3AB8">
        <w:rPr>
          <w:sz w:val="24"/>
          <w:szCs w:val="24"/>
          <w:lang w:eastAsia="en-GB"/>
        </w:rPr>
        <w:t xml:space="preserve">. Derfor har patienterne en øget risiko for alvorlige infektioner (der skyldes </w:t>
      </w:r>
      <w:proofErr w:type="spellStart"/>
      <w:r w:rsidRPr="00AD3AB8">
        <w:rPr>
          <w:sz w:val="24"/>
          <w:szCs w:val="24"/>
          <w:lang w:eastAsia="en-GB"/>
        </w:rPr>
        <w:t>patogener</w:t>
      </w:r>
      <w:proofErr w:type="spellEnd"/>
      <w:r w:rsidRPr="00AD3AB8">
        <w:rPr>
          <w:sz w:val="24"/>
          <w:szCs w:val="24"/>
          <w:lang w:eastAsia="en-GB"/>
        </w:rPr>
        <w:t xml:space="preserve"> af f.eks. bakteriel, </w:t>
      </w:r>
      <w:proofErr w:type="spellStart"/>
      <w:r w:rsidRPr="00AD3AB8">
        <w:rPr>
          <w:sz w:val="24"/>
          <w:szCs w:val="24"/>
          <w:lang w:eastAsia="en-GB"/>
        </w:rPr>
        <w:t>mykotisk</w:t>
      </w:r>
      <w:proofErr w:type="spellEnd"/>
      <w:r w:rsidRPr="00AD3AB8">
        <w:rPr>
          <w:sz w:val="24"/>
          <w:szCs w:val="24"/>
          <w:lang w:eastAsia="en-GB"/>
        </w:rPr>
        <w:t xml:space="preserve"> eller viral oprindelse), der potentielt kan være fatale (se pkt. 4.8). Patienterne bør monitoreres for symptomer på infektion og i givet fald omgående sættes i behandling.</w:t>
      </w:r>
    </w:p>
    <w:p w14:paraId="72A7A8C7" w14:textId="77777777" w:rsidR="00EF23AD" w:rsidRPr="00AD3AB8" w:rsidRDefault="00EF23AD" w:rsidP="00A86FDA">
      <w:pPr>
        <w:ind w:left="851"/>
        <w:rPr>
          <w:sz w:val="24"/>
          <w:szCs w:val="24"/>
          <w:lang w:eastAsia="en-GB"/>
        </w:rPr>
      </w:pPr>
    </w:p>
    <w:p w14:paraId="2502BE40" w14:textId="2430941A" w:rsidR="00EF23AD" w:rsidRPr="00AD3AB8" w:rsidRDefault="00EF23AD" w:rsidP="00A86FDA">
      <w:pPr>
        <w:ind w:left="851"/>
        <w:rPr>
          <w:sz w:val="24"/>
          <w:szCs w:val="24"/>
          <w:lang w:eastAsia="en-GB"/>
        </w:rPr>
      </w:pPr>
      <w:r w:rsidRPr="00AD3AB8">
        <w:rPr>
          <w:sz w:val="24"/>
          <w:szCs w:val="24"/>
          <w:lang w:eastAsia="en-GB"/>
        </w:rPr>
        <w:t xml:space="preserve">I kliniske studier havde de fleste patienter grad 3/4-myelodepression ved baseline. Ved grad 2-anomalier forekom der forværring af </w:t>
      </w:r>
      <w:proofErr w:type="spellStart"/>
      <w:r w:rsidRPr="00AD3AB8">
        <w:rPr>
          <w:sz w:val="24"/>
          <w:szCs w:val="24"/>
          <w:lang w:eastAsia="en-GB"/>
        </w:rPr>
        <w:t>myelosuppression</w:t>
      </w:r>
      <w:proofErr w:type="spellEnd"/>
      <w:r w:rsidRPr="00AD3AB8">
        <w:rPr>
          <w:sz w:val="24"/>
          <w:szCs w:val="24"/>
          <w:lang w:eastAsia="en-GB"/>
        </w:rPr>
        <w:t xml:space="preserve"> hos de fleste patienter og hyppigere end hos patienter med anomalier af grad 1 eller 0 ved baseline. </w:t>
      </w:r>
      <w:proofErr w:type="spellStart"/>
      <w:r w:rsidRPr="00AD3AB8">
        <w:rPr>
          <w:sz w:val="24"/>
          <w:szCs w:val="24"/>
          <w:lang w:eastAsia="en-GB"/>
        </w:rPr>
        <w:t>Myelosuppression</w:t>
      </w:r>
      <w:proofErr w:type="spellEnd"/>
      <w:r w:rsidRPr="00AD3AB8">
        <w:rPr>
          <w:sz w:val="24"/>
          <w:szCs w:val="24"/>
          <w:lang w:eastAsia="en-GB"/>
        </w:rPr>
        <w:t xml:space="preserve">, der skyldes </w:t>
      </w:r>
      <w:proofErr w:type="spellStart"/>
      <w:r w:rsidR="00AD397D">
        <w:rPr>
          <w:sz w:val="24"/>
          <w:szCs w:val="24"/>
        </w:rPr>
        <w:t>Decitabine</w:t>
      </w:r>
      <w:proofErr w:type="spellEnd"/>
      <w:r w:rsidR="00AD397D">
        <w:rPr>
          <w:sz w:val="24"/>
          <w:szCs w:val="24"/>
        </w:rPr>
        <w:t xml:space="preserve"> "Ever Pharma"</w:t>
      </w:r>
      <w:r w:rsidRPr="00AD3AB8">
        <w:rPr>
          <w:sz w:val="24"/>
          <w:szCs w:val="24"/>
          <w:lang w:eastAsia="en-GB"/>
        </w:rPr>
        <w:t xml:space="preserve">, er reversibel. Fuld blodstatus og </w:t>
      </w:r>
      <w:proofErr w:type="spellStart"/>
      <w:r w:rsidRPr="00AD3AB8">
        <w:rPr>
          <w:sz w:val="24"/>
          <w:szCs w:val="24"/>
          <w:lang w:eastAsia="en-GB"/>
        </w:rPr>
        <w:t>trombocyttal</w:t>
      </w:r>
      <w:proofErr w:type="spellEnd"/>
      <w:r w:rsidRPr="00AD3AB8">
        <w:rPr>
          <w:sz w:val="24"/>
          <w:szCs w:val="24"/>
          <w:lang w:eastAsia="en-GB"/>
        </w:rPr>
        <w:t xml:space="preserve"> bør bestemmes regelmæssigt i henhold til klinisk behov og før hver behandlingscyklus. I tilfælde af </w:t>
      </w:r>
      <w:proofErr w:type="spellStart"/>
      <w:r w:rsidRPr="00AD3AB8">
        <w:rPr>
          <w:sz w:val="24"/>
          <w:szCs w:val="24"/>
          <w:lang w:eastAsia="en-GB"/>
        </w:rPr>
        <w:t>myelosuppression</w:t>
      </w:r>
      <w:proofErr w:type="spellEnd"/>
      <w:r w:rsidRPr="00AD3AB8">
        <w:rPr>
          <w:sz w:val="24"/>
          <w:szCs w:val="24"/>
          <w:lang w:eastAsia="en-GB"/>
        </w:rPr>
        <w:t xml:space="preserve"> eller dets komplikationer kan behandling med </w:t>
      </w:r>
      <w:proofErr w:type="spellStart"/>
      <w:r w:rsidR="00AD397D">
        <w:rPr>
          <w:sz w:val="24"/>
          <w:szCs w:val="24"/>
        </w:rPr>
        <w:t>Decitabine</w:t>
      </w:r>
      <w:proofErr w:type="spellEnd"/>
      <w:r w:rsidR="00AD397D">
        <w:rPr>
          <w:sz w:val="24"/>
          <w:szCs w:val="24"/>
        </w:rPr>
        <w:t xml:space="preserve"> "Ever Pharma"</w:t>
      </w:r>
      <w:r w:rsidRPr="00AD3AB8">
        <w:rPr>
          <w:sz w:val="24"/>
          <w:szCs w:val="24"/>
          <w:lang w:eastAsia="en-GB"/>
        </w:rPr>
        <w:t xml:space="preserve"> afbrydes, og/eller der kan iværksættes understøttende behandling (se pkt. 4.2 og 4.8).</w:t>
      </w:r>
    </w:p>
    <w:p w14:paraId="75495CB6" w14:textId="77777777" w:rsidR="00EF23AD" w:rsidRPr="00AD3AB8" w:rsidRDefault="00EF23AD" w:rsidP="00A86FDA">
      <w:pPr>
        <w:ind w:left="851"/>
        <w:rPr>
          <w:sz w:val="24"/>
          <w:szCs w:val="24"/>
          <w:lang w:eastAsia="en-GB"/>
        </w:rPr>
      </w:pPr>
    </w:p>
    <w:p w14:paraId="1A76AC8D" w14:textId="77777777" w:rsidR="00EF23AD" w:rsidRPr="00AD397D" w:rsidRDefault="00EF23AD" w:rsidP="00A86FDA">
      <w:pPr>
        <w:ind w:left="851"/>
        <w:rPr>
          <w:sz w:val="24"/>
          <w:szCs w:val="24"/>
          <w:u w:val="single"/>
          <w:lang w:eastAsia="en-GB"/>
        </w:rPr>
      </w:pPr>
      <w:r w:rsidRPr="00AD397D">
        <w:rPr>
          <w:sz w:val="24"/>
          <w:szCs w:val="24"/>
          <w:u w:val="single"/>
          <w:lang w:eastAsia="en-GB"/>
        </w:rPr>
        <w:t xml:space="preserve">Lidelser i luftveje, thorax og </w:t>
      </w:r>
      <w:proofErr w:type="spellStart"/>
      <w:r w:rsidRPr="00AD397D">
        <w:rPr>
          <w:sz w:val="24"/>
          <w:szCs w:val="24"/>
          <w:u w:val="single"/>
          <w:lang w:eastAsia="en-GB"/>
        </w:rPr>
        <w:t>mediastinum</w:t>
      </w:r>
      <w:proofErr w:type="spellEnd"/>
    </w:p>
    <w:p w14:paraId="55C66F91" w14:textId="77777777" w:rsidR="00EF23AD" w:rsidRPr="00AD3AB8" w:rsidRDefault="00EF23AD" w:rsidP="00A86FDA">
      <w:pPr>
        <w:ind w:left="851"/>
        <w:rPr>
          <w:sz w:val="24"/>
          <w:szCs w:val="24"/>
          <w:lang w:eastAsia="en-GB"/>
        </w:rPr>
      </w:pPr>
      <w:r w:rsidRPr="00AD3AB8">
        <w:rPr>
          <w:sz w:val="24"/>
          <w:szCs w:val="24"/>
          <w:lang w:eastAsia="en-GB"/>
        </w:rPr>
        <w:t xml:space="preserve">Der er blevet indberettet tilfælde af </w:t>
      </w:r>
      <w:proofErr w:type="spellStart"/>
      <w:r w:rsidRPr="00AD3AB8">
        <w:rPr>
          <w:sz w:val="24"/>
          <w:szCs w:val="24"/>
          <w:lang w:eastAsia="en-GB"/>
        </w:rPr>
        <w:t>interstitiel</w:t>
      </w:r>
      <w:proofErr w:type="spellEnd"/>
      <w:r w:rsidRPr="00AD3AB8">
        <w:rPr>
          <w:sz w:val="24"/>
          <w:szCs w:val="24"/>
          <w:lang w:eastAsia="en-GB"/>
        </w:rPr>
        <w:t xml:space="preserve"> lungesygdom (ILS) (herunder </w:t>
      </w:r>
      <w:proofErr w:type="spellStart"/>
      <w:r w:rsidRPr="00AD3AB8">
        <w:rPr>
          <w:sz w:val="24"/>
          <w:szCs w:val="24"/>
          <w:lang w:eastAsia="en-GB"/>
        </w:rPr>
        <w:t>lungeinfiltrater</w:t>
      </w:r>
      <w:proofErr w:type="spellEnd"/>
      <w:r w:rsidRPr="00AD3AB8">
        <w:rPr>
          <w:sz w:val="24"/>
          <w:szCs w:val="24"/>
          <w:lang w:eastAsia="en-GB"/>
        </w:rPr>
        <w:t xml:space="preserve">, organiserende pneumoni og lungefibrose) uden tegn på infektiøs ætiologi hos patienter, der får </w:t>
      </w:r>
      <w:proofErr w:type="spellStart"/>
      <w:r w:rsidRPr="00AD3AB8">
        <w:rPr>
          <w:sz w:val="24"/>
          <w:szCs w:val="24"/>
          <w:lang w:eastAsia="en-GB"/>
        </w:rPr>
        <w:t>decitabin</w:t>
      </w:r>
      <w:proofErr w:type="spellEnd"/>
      <w:r w:rsidRPr="00AD3AB8">
        <w:rPr>
          <w:sz w:val="24"/>
          <w:szCs w:val="24"/>
          <w:lang w:eastAsia="en-GB"/>
        </w:rPr>
        <w:t xml:space="preserve">. Patienter med akut opståede lungesymptomer eller </w:t>
      </w:r>
      <w:proofErr w:type="spellStart"/>
      <w:r w:rsidRPr="00AD3AB8">
        <w:rPr>
          <w:sz w:val="24"/>
          <w:szCs w:val="24"/>
          <w:lang w:eastAsia="en-GB"/>
        </w:rPr>
        <w:t>uforklaret</w:t>
      </w:r>
      <w:proofErr w:type="spellEnd"/>
      <w:r w:rsidRPr="00AD3AB8">
        <w:rPr>
          <w:sz w:val="24"/>
          <w:szCs w:val="24"/>
          <w:lang w:eastAsia="en-GB"/>
        </w:rPr>
        <w:t xml:space="preserve"> forværring af sådanne skal evalueres nøje med henblik på at udelukke ILS. Hvis ILS bekræftes, skal passende behandling initieres (se pkt. 4.8).</w:t>
      </w:r>
    </w:p>
    <w:p w14:paraId="38B2FF6B" w14:textId="4EC777F9" w:rsidR="00E33B9A" w:rsidRDefault="00E33B9A">
      <w:pPr>
        <w:rPr>
          <w:sz w:val="24"/>
          <w:szCs w:val="24"/>
          <w:lang w:eastAsia="en-GB"/>
        </w:rPr>
      </w:pPr>
      <w:r>
        <w:rPr>
          <w:sz w:val="24"/>
          <w:szCs w:val="24"/>
          <w:lang w:eastAsia="en-GB"/>
        </w:rPr>
        <w:br w:type="page"/>
      </w:r>
    </w:p>
    <w:p w14:paraId="55526C6A" w14:textId="77777777" w:rsidR="00EF23AD" w:rsidRPr="00AD3AB8" w:rsidRDefault="00EF23AD" w:rsidP="00A86FDA">
      <w:pPr>
        <w:ind w:left="851"/>
        <w:rPr>
          <w:sz w:val="24"/>
          <w:szCs w:val="24"/>
          <w:lang w:eastAsia="en-GB"/>
        </w:rPr>
      </w:pPr>
    </w:p>
    <w:p w14:paraId="45FD7B5F" w14:textId="77777777" w:rsidR="00EF23AD" w:rsidRPr="00AD397D" w:rsidRDefault="00EF23AD" w:rsidP="00A86FDA">
      <w:pPr>
        <w:ind w:left="851"/>
        <w:rPr>
          <w:sz w:val="24"/>
          <w:szCs w:val="24"/>
          <w:u w:val="single"/>
          <w:lang w:eastAsia="en-GB"/>
        </w:rPr>
      </w:pPr>
      <w:r w:rsidRPr="00AD397D">
        <w:rPr>
          <w:sz w:val="24"/>
          <w:szCs w:val="24"/>
          <w:u w:val="single"/>
          <w:lang w:eastAsia="en-GB"/>
        </w:rPr>
        <w:t>Nedsat leverfunktion</w:t>
      </w:r>
    </w:p>
    <w:p w14:paraId="2872BAA3" w14:textId="1A7D37EB" w:rsidR="00EF23AD" w:rsidRPr="00AD3AB8" w:rsidRDefault="00EF23AD" w:rsidP="00A86FDA">
      <w:pPr>
        <w:ind w:left="851"/>
        <w:rPr>
          <w:sz w:val="24"/>
          <w:szCs w:val="24"/>
          <w:lang w:eastAsia="en-GB"/>
        </w:rPr>
      </w:pPr>
      <w:r w:rsidRPr="00AD3AB8">
        <w:rPr>
          <w:sz w:val="24"/>
          <w:szCs w:val="24"/>
          <w:lang w:eastAsia="en-GB"/>
        </w:rPr>
        <w:t xml:space="preserve">Anvendelse til patienter med nedsat leverfunktion er ikke klarlagt. Forsigtighed tilrådes ved administration af </w:t>
      </w:r>
      <w:proofErr w:type="spellStart"/>
      <w:r w:rsidR="00AD397D">
        <w:rPr>
          <w:sz w:val="24"/>
          <w:szCs w:val="24"/>
        </w:rPr>
        <w:t>Decitabine</w:t>
      </w:r>
      <w:proofErr w:type="spellEnd"/>
      <w:r w:rsidR="00AD397D">
        <w:rPr>
          <w:sz w:val="24"/>
          <w:szCs w:val="24"/>
        </w:rPr>
        <w:t xml:space="preserve"> "Ever Pharma"</w:t>
      </w:r>
      <w:r w:rsidRPr="00AD3AB8">
        <w:rPr>
          <w:sz w:val="24"/>
          <w:szCs w:val="24"/>
          <w:lang w:eastAsia="en-GB"/>
        </w:rPr>
        <w:t xml:space="preserve"> til patienter med nedsat leverfunktion og til patienter, som udvikler tegn eller symptomer på nedsat leverfunktion. Der skal udføres leverfunktionstest inden påbegyndelse af behandlingen og inden de enkelte behandlingscyklusser samt som klinisk indiceret (se pkt. 4.2 og 5.2).</w:t>
      </w:r>
    </w:p>
    <w:p w14:paraId="546ED1DC" w14:textId="77777777" w:rsidR="00EF23AD" w:rsidRPr="00AD3AB8" w:rsidRDefault="00EF23AD" w:rsidP="00A86FDA">
      <w:pPr>
        <w:ind w:left="851"/>
        <w:rPr>
          <w:sz w:val="24"/>
          <w:szCs w:val="24"/>
          <w:lang w:eastAsia="en-GB"/>
        </w:rPr>
      </w:pPr>
    </w:p>
    <w:p w14:paraId="3A75CC2C" w14:textId="77777777" w:rsidR="00EF23AD" w:rsidRPr="00AD397D" w:rsidRDefault="00EF23AD" w:rsidP="00A86FDA">
      <w:pPr>
        <w:ind w:left="851"/>
        <w:rPr>
          <w:sz w:val="24"/>
          <w:szCs w:val="24"/>
          <w:u w:val="single"/>
          <w:lang w:eastAsia="en-GB"/>
        </w:rPr>
      </w:pPr>
      <w:r w:rsidRPr="00AD397D">
        <w:rPr>
          <w:sz w:val="24"/>
          <w:szCs w:val="24"/>
          <w:u w:val="single"/>
          <w:lang w:eastAsia="en-GB"/>
        </w:rPr>
        <w:t>Nedsat nyrefunktion</w:t>
      </w:r>
    </w:p>
    <w:p w14:paraId="5426995D" w14:textId="5FC0C18E" w:rsidR="00EF23AD" w:rsidRPr="00AD3AB8" w:rsidRDefault="00EF23AD" w:rsidP="00A86FDA">
      <w:pPr>
        <w:ind w:left="851"/>
        <w:rPr>
          <w:sz w:val="24"/>
          <w:szCs w:val="24"/>
          <w:lang w:eastAsia="en-GB"/>
        </w:rPr>
      </w:pPr>
      <w:r w:rsidRPr="00AD3AB8">
        <w:rPr>
          <w:sz w:val="24"/>
          <w:szCs w:val="24"/>
          <w:lang w:eastAsia="en-GB"/>
        </w:rPr>
        <w:t xml:space="preserve">Anvendelse til patienter med svært nedsat nyrefunktion er ikke klarlagt. Forsigtighed tilrådes ved administration af </w:t>
      </w:r>
      <w:proofErr w:type="spellStart"/>
      <w:r w:rsidR="00AD397D">
        <w:rPr>
          <w:sz w:val="24"/>
          <w:szCs w:val="24"/>
        </w:rPr>
        <w:t>Decitabine</w:t>
      </w:r>
      <w:proofErr w:type="spellEnd"/>
      <w:r w:rsidR="00AD397D">
        <w:rPr>
          <w:sz w:val="24"/>
          <w:szCs w:val="24"/>
        </w:rPr>
        <w:t xml:space="preserve"> "Ever Pharma"</w:t>
      </w:r>
      <w:r w:rsidRPr="00AD3AB8">
        <w:rPr>
          <w:sz w:val="24"/>
          <w:szCs w:val="24"/>
          <w:lang w:eastAsia="en-GB"/>
        </w:rPr>
        <w:t xml:space="preserve"> til patienter med svært nedsat nyrefunktion (</w:t>
      </w:r>
      <w:proofErr w:type="spellStart"/>
      <w:r w:rsidRPr="00AD3AB8">
        <w:rPr>
          <w:sz w:val="24"/>
          <w:szCs w:val="24"/>
          <w:lang w:eastAsia="en-GB"/>
        </w:rPr>
        <w:t>kreatininclearance</w:t>
      </w:r>
      <w:proofErr w:type="spellEnd"/>
      <w:r w:rsidRPr="00AD3AB8">
        <w:rPr>
          <w:sz w:val="24"/>
          <w:szCs w:val="24"/>
          <w:lang w:eastAsia="en-GB"/>
        </w:rPr>
        <w:t xml:space="preserve"> [</w:t>
      </w:r>
      <w:proofErr w:type="spellStart"/>
      <w:r w:rsidRPr="00AD3AB8">
        <w:rPr>
          <w:sz w:val="24"/>
          <w:szCs w:val="24"/>
          <w:lang w:eastAsia="en-GB"/>
        </w:rPr>
        <w:t>CrCl</w:t>
      </w:r>
      <w:proofErr w:type="spellEnd"/>
      <w:r w:rsidRPr="00AD3AB8">
        <w:rPr>
          <w:sz w:val="24"/>
          <w:szCs w:val="24"/>
          <w:lang w:eastAsia="en-GB"/>
        </w:rPr>
        <w:t>] &lt; 30 ml/min). Der skal udføres nyrefunktionstest inden påbegyndelse af behandlingen og inden de enkelte behandlingscyklusser samt som klinisk indiceret (se pkt. 4.2).</w:t>
      </w:r>
    </w:p>
    <w:p w14:paraId="67D65568" w14:textId="77777777" w:rsidR="00EF23AD" w:rsidRPr="00AD3AB8" w:rsidRDefault="00EF23AD" w:rsidP="00A86FDA">
      <w:pPr>
        <w:ind w:left="851"/>
        <w:rPr>
          <w:sz w:val="24"/>
          <w:szCs w:val="24"/>
          <w:lang w:eastAsia="en-GB"/>
        </w:rPr>
      </w:pPr>
    </w:p>
    <w:p w14:paraId="249761B5" w14:textId="77777777" w:rsidR="00EF23AD" w:rsidRPr="00AD397D" w:rsidRDefault="00EF23AD" w:rsidP="00A86FDA">
      <w:pPr>
        <w:ind w:left="851"/>
        <w:rPr>
          <w:sz w:val="24"/>
          <w:szCs w:val="24"/>
          <w:u w:val="single"/>
          <w:lang w:eastAsia="en-GB"/>
        </w:rPr>
      </w:pPr>
      <w:r w:rsidRPr="00AD397D">
        <w:rPr>
          <w:sz w:val="24"/>
          <w:szCs w:val="24"/>
          <w:u w:val="single"/>
          <w:lang w:eastAsia="en-GB"/>
        </w:rPr>
        <w:t>Hjertesygdom</w:t>
      </w:r>
    </w:p>
    <w:p w14:paraId="5E8C17F2" w14:textId="0382AA2B" w:rsidR="00EF23AD" w:rsidRPr="00AD3AB8" w:rsidRDefault="00EF23AD" w:rsidP="00A86FDA">
      <w:pPr>
        <w:ind w:left="851"/>
        <w:rPr>
          <w:sz w:val="24"/>
          <w:szCs w:val="24"/>
          <w:lang w:eastAsia="en-GB"/>
        </w:rPr>
      </w:pPr>
      <w:r w:rsidRPr="00AD3AB8">
        <w:rPr>
          <w:sz w:val="24"/>
          <w:szCs w:val="24"/>
          <w:lang w:eastAsia="en-GB"/>
        </w:rPr>
        <w:t xml:space="preserve">Patienter med svært </w:t>
      </w:r>
      <w:proofErr w:type="spellStart"/>
      <w:r w:rsidRPr="00AD3AB8">
        <w:rPr>
          <w:sz w:val="24"/>
          <w:szCs w:val="24"/>
          <w:lang w:eastAsia="en-GB"/>
        </w:rPr>
        <w:t>kongestivt</w:t>
      </w:r>
      <w:proofErr w:type="spellEnd"/>
      <w:r w:rsidRPr="00AD3AB8">
        <w:rPr>
          <w:sz w:val="24"/>
          <w:szCs w:val="24"/>
          <w:lang w:eastAsia="en-GB"/>
        </w:rPr>
        <w:t xml:space="preserve"> hjertesvigt eller klinisk ustabil hjertesygdom i anamnesen blev ekskluderet fra kliniske studier, og </w:t>
      </w:r>
      <w:proofErr w:type="spellStart"/>
      <w:r w:rsidR="00AD397D">
        <w:rPr>
          <w:sz w:val="24"/>
          <w:szCs w:val="24"/>
        </w:rPr>
        <w:t>Decitabine</w:t>
      </w:r>
      <w:proofErr w:type="spellEnd"/>
      <w:r w:rsidR="00AD397D">
        <w:rPr>
          <w:sz w:val="24"/>
          <w:szCs w:val="24"/>
        </w:rPr>
        <w:t xml:space="preserve"> "Ever </w:t>
      </w:r>
      <w:proofErr w:type="spellStart"/>
      <w:r w:rsidR="00AD397D">
        <w:rPr>
          <w:sz w:val="24"/>
          <w:szCs w:val="24"/>
        </w:rPr>
        <w:t>Pharma"</w:t>
      </w:r>
      <w:r w:rsidRPr="00AD3AB8">
        <w:rPr>
          <w:sz w:val="24"/>
          <w:szCs w:val="24"/>
        </w:rPr>
        <w:t>s</w:t>
      </w:r>
      <w:proofErr w:type="spellEnd"/>
      <w:r w:rsidRPr="00AD3AB8">
        <w:rPr>
          <w:sz w:val="24"/>
          <w:szCs w:val="24"/>
          <w:lang w:eastAsia="en-GB"/>
        </w:rPr>
        <w:t xml:space="preserve"> sikkerhed og virkning hos disse patienter er derfor ikke klarlagt. Efter markedsføring er der rapporteret om </w:t>
      </w:r>
      <w:proofErr w:type="spellStart"/>
      <w:r w:rsidRPr="00AD3AB8">
        <w:rPr>
          <w:sz w:val="24"/>
          <w:szCs w:val="24"/>
          <w:lang w:eastAsia="en-GB"/>
        </w:rPr>
        <w:t>kardiomyopati</w:t>
      </w:r>
      <w:proofErr w:type="spellEnd"/>
      <w:r w:rsidRPr="00AD3AB8">
        <w:rPr>
          <w:sz w:val="24"/>
          <w:szCs w:val="24"/>
          <w:lang w:eastAsia="en-GB"/>
        </w:rPr>
        <w:t xml:space="preserve"> med </w:t>
      </w:r>
      <w:proofErr w:type="spellStart"/>
      <w:r w:rsidRPr="00AD3AB8">
        <w:rPr>
          <w:sz w:val="24"/>
          <w:szCs w:val="24"/>
          <w:lang w:eastAsia="en-GB"/>
        </w:rPr>
        <w:t>hjertedekompensation</w:t>
      </w:r>
      <w:proofErr w:type="spellEnd"/>
      <w:r w:rsidRPr="00AD3AB8">
        <w:rPr>
          <w:sz w:val="24"/>
          <w:szCs w:val="24"/>
          <w:lang w:eastAsia="en-GB"/>
        </w:rPr>
        <w:t xml:space="preserve">, som i nogle tilfælde var reversibel efter </w:t>
      </w:r>
      <w:proofErr w:type="spellStart"/>
      <w:r w:rsidRPr="00AD3AB8">
        <w:rPr>
          <w:sz w:val="24"/>
          <w:szCs w:val="24"/>
          <w:lang w:eastAsia="en-GB"/>
        </w:rPr>
        <w:t>seponering</w:t>
      </w:r>
      <w:proofErr w:type="spellEnd"/>
      <w:r w:rsidRPr="00AD3AB8">
        <w:rPr>
          <w:sz w:val="24"/>
          <w:szCs w:val="24"/>
          <w:lang w:eastAsia="en-GB"/>
        </w:rPr>
        <w:t xml:space="preserve"> af behandlingen, reduktion af dosis eller korrigerende behandling. Patienterne, især dem med hjertesygdom i anamnesen, skal overvåges for tegn og symptomer på hjertesvigt.</w:t>
      </w:r>
    </w:p>
    <w:p w14:paraId="3F7F8BC9" w14:textId="77777777" w:rsidR="00EF23AD" w:rsidRPr="00AD3AB8" w:rsidRDefault="00EF23AD" w:rsidP="00A86FDA">
      <w:pPr>
        <w:ind w:left="851"/>
        <w:rPr>
          <w:sz w:val="24"/>
          <w:szCs w:val="24"/>
          <w:lang w:eastAsia="en-GB"/>
        </w:rPr>
      </w:pPr>
    </w:p>
    <w:p w14:paraId="1B2274F0" w14:textId="77777777" w:rsidR="00EF23AD" w:rsidRPr="00AD397D" w:rsidRDefault="00EF23AD" w:rsidP="00A86FDA">
      <w:pPr>
        <w:ind w:left="851"/>
        <w:rPr>
          <w:sz w:val="24"/>
          <w:szCs w:val="24"/>
          <w:u w:val="single"/>
          <w:lang w:eastAsia="en-GB"/>
        </w:rPr>
      </w:pPr>
      <w:r w:rsidRPr="00AD397D">
        <w:rPr>
          <w:sz w:val="24"/>
          <w:szCs w:val="24"/>
          <w:u w:val="single"/>
          <w:lang w:eastAsia="en-GB"/>
        </w:rPr>
        <w:t>Differentieringssyndrom</w:t>
      </w:r>
    </w:p>
    <w:p w14:paraId="13ECE9A4" w14:textId="59F82C17" w:rsidR="00EF23AD" w:rsidRPr="00AD3AB8" w:rsidRDefault="00EF23AD" w:rsidP="00A86FDA">
      <w:pPr>
        <w:ind w:left="851"/>
        <w:rPr>
          <w:sz w:val="24"/>
          <w:szCs w:val="24"/>
          <w:lang w:eastAsia="en-GB"/>
        </w:rPr>
      </w:pPr>
      <w:r w:rsidRPr="00AD3AB8">
        <w:rPr>
          <w:sz w:val="24"/>
          <w:szCs w:val="24"/>
          <w:lang w:eastAsia="en-GB"/>
        </w:rPr>
        <w:t>Der er rapporteret tilfælde af differentieringssyndrom (</w:t>
      </w:r>
      <w:proofErr w:type="spellStart"/>
      <w:r w:rsidRPr="00AD3AB8">
        <w:rPr>
          <w:sz w:val="24"/>
          <w:szCs w:val="24"/>
          <w:lang w:eastAsia="en-GB"/>
        </w:rPr>
        <w:t>retinoinsyresyndrom</w:t>
      </w:r>
      <w:proofErr w:type="spellEnd"/>
      <w:r w:rsidRPr="00AD3AB8">
        <w:rPr>
          <w:sz w:val="24"/>
          <w:szCs w:val="24"/>
          <w:lang w:eastAsia="en-GB"/>
        </w:rPr>
        <w:t xml:space="preserve">) hos patienter, som fik </w:t>
      </w:r>
      <w:proofErr w:type="spellStart"/>
      <w:r w:rsidRPr="00AD3AB8">
        <w:rPr>
          <w:sz w:val="24"/>
          <w:szCs w:val="24"/>
          <w:lang w:eastAsia="en-GB"/>
        </w:rPr>
        <w:t>decitabin</w:t>
      </w:r>
      <w:proofErr w:type="spellEnd"/>
      <w:r w:rsidRPr="00AD3AB8">
        <w:rPr>
          <w:sz w:val="24"/>
          <w:szCs w:val="24"/>
          <w:lang w:eastAsia="en-GB"/>
        </w:rPr>
        <w:t xml:space="preserve">. Differentieringssyndrom kan være dødeligt (se pkt. 4.8). Behandling med høje doser af intravenøse </w:t>
      </w:r>
      <w:proofErr w:type="spellStart"/>
      <w:r w:rsidRPr="00AD3AB8">
        <w:rPr>
          <w:sz w:val="24"/>
          <w:szCs w:val="24"/>
          <w:lang w:eastAsia="en-GB"/>
        </w:rPr>
        <w:t>kortikosteroider</w:t>
      </w:r>
      <w:proofErr w:type="spellEnd"/>
      <w:r w:rsidRPr="00AD3AB8">
        <w:rPr>
          <w:sz w:val="24"/>
          <w:szCs w:val="24"/>
          <w:lang w:eastAsia="en-GB"/>
        </w:rPr>
        <w:t xml:space="preserve"> og </w:t>
      </w:r>
      <w:proofErr w:type="spellStart"/>
      <w:r w:rsidRPr="00AD3AB8">
        <w:rPr>
          <w:sz w:val="24"/>
          <w:szCs w:val="24"/>
          <w:lang w:eastAsia="en-GB"/>
        </w:rPr>
        <w:t>hæmodynamisk</w:t>
      </w:r>
      <w:proofErr w:type="spellEnd"/>
      <w:r w:rsidRPr="00AD3AB8">
        <w:rPr>
          <w:sz w:val="24"/>
          <w:szCs w:val="24"/>
          <w:lang w:eastAsia="en-GB"/>
        </w:rPr>
        <w:t xml:space="preserve"> overvågning skal overvejes ved debut af symptomer eller tegn, der tyder på differentieringssyndrom. Midlertidig </w:t>
      </w:r>
      <w:proofErr w:type="spellStart"/>
      <w:r w:rsidRPr="00AD3AB8">
        <w:rPr>
          <w:sz w:val="24"/>
          <w:szCs w:val="24"/>
          <w:lang w:eastAsia="en-GB"/>
        </w:rPr>
        <w:t>seponering</w:t>
      </w:r>
      <w:proofErr w:type="spellEnd"/>
      <w:r w:rsidRPr="00AD3AB8">
        <w:rPr>
          <w:sz w:val="24"/>
          <w:szCs w:val="24"/>
          <w:lang w:eastAsia="en-GB"/>
        </w:rPr>
        <w:t xml:space="preserve"> af </w:t>
      </w:r>
      <w:proofErr w:type="spellStart"/>
      <w:r w:rsidR="00AD397D">
        <w:rPr>
          <w:sz w:val="24"/>
          <w:szCs w:val="24"/>
        </w:rPr>
        <w:t>Decitabine</w:t>
      </w:r>
      <w:proofErr w:type="spellEnd"/>
      <w:r w:rsidR="00AD397D">
        <w:rPr>
          <w:sz w:val="24"/>
          <w:szCs w:val="24"/>
        </w:rPr>
        <w:t xml:space="preserve"> "Ever Pharma"</w:t>
      </w:r>
      <w:r w:rsidRPr="00AD3AB8">
        <w:rPr>
          <w:sz w:val="24"/>
          <w:szCs w:val="24"/>
          <w:lang w:eastAsia="en-GB"/>
        </w:rPr>
        <w:t xml:space="preserve"> skal overvejes, indtil symptomerne er forsvundet, og forsigtighed tilrådes ved genoptagelse.</w:t>
      </w:r>
    </w:p>
    <w:p w14:paraId="02CBF2E0" w14:textId="77777777" w:rsidR="00EF23AD" w:rsidRPr="00AD3AB8" w:rsidRDefault="00EF23AD" w:rsidP="00A86FDA">
      <w:pPr>
        <w:ind w:left="851"/>
        <w:rPr>
          <w:sz w:val="24"/>
          <w:szCs w:val="24"/>
          <w:lang w:eastAsia="en-GB"/>
        </w:rPr>
      </w:pPr>
    </w:p>
    <w:p w14:paraId="65313AFD" w14:textId="77777777" w:rsidR="00EF23AD" w:rsidRPr="00AD397D" w:rsidRDefault="00EF23AD" w:rsidP="00A86FDA">
      <w:pPr>
        <w:ind w:left="851"/>
        <w:rPr>
          <w:sz w:val="24"/>
          <w:szCs w:val="24"/>
          <w:u w:val="single"/>
          <w:lang w:eastAsia="en-GB"/>
        </w:rPr>
      </w:pPr>
      <w:r w:rsidRPr="00AD397D">
        <w:rPr>
          <w:sz w:val="24"/>
          <w:szCs w:val="24"/>
          <w:u w:val="single"/>
          <w:lang w:eastAsia="en-GB"/>
        </w:rPr>
        <w:t>Hjælpestoffer</w:t>
      </w:r>
    </w:p>
    <w:p w14:paraId="2CB0DDEC" w14:textId="1DA0116F" w:rsidR="00EF23AD" w:rsidRPr="00AD3AB8" w:rsidRDefault="00EF23AD" w:rsidP="00A86FDA">
      <w:pPr>
        <w:ind w:left="851"/>
        <w:rPr>
          <w:sz w:val="24"/>
          <w:szCs w:val="24"/>
          <w:lang w:eastAsia="en-GB"/>
        </w:rPr>
      </w:pPr>
      <w:r w:rsidRPr="00AD3AB8">
        <w:rPr>
          <w:sz w:val="24"/>
          <w:szCs w:val="24"/>
          <w:lang w:eastAsia="en-GB"/>
        </w:rPr>
        <w:t xml:space="preserve">Dette lægemiddel indeholder 0,5 mmol kalium pr. hætteglas. Efter </w:t>
      </w:r>
      <w:proofErr w:type="spellStart"/>
      <w:r w:rsidRPr="00AD3AB8">
        <w:rPr>
          <w:sz w:val="24"/>
          <w:szCs w:val="24"/>
          <w:lang w:eastAsia="en-GB"/>
        </w:rPr>
        <w:t>rekonstitution</w:t>
      </w:r>
      <w:proofErr w:type="spellEnd"/>
      <w:r w:rsidRPr="00AD3AB8">
        <w:rPr>
          <w:sz w:val="24"/>
          <w:szCs w:val="24"/>
          <w:lang w:eastAsia="en-GB"/>
        </w:rPr>
        <w:t xml:space="preserve"> og fortynding af opløsningen til intravenøs infusion indeholder dette lægemiddel mindre end 1</w:t>
      </w:r>
      <w:r w:rsidR="00AD397D">
        <w:rPr>
          <w:sz w:val="24"/>
          <w:szCs w:val="24"/>
          <w:lang w:eastAsia="en-GB"/>
        </w:rPr>
        <w:t> </w:t>
      </w:r>
      <w:r w:rsidRPr="00AD3AB8">
        <w:rPr>
          <w:sz w:val="24"/>
          <w:szCs w:val="24"/>
          <w:lang w:eastAsia="en-GB"/>
        </w:rPr>
        <w:t>mmol (39 mg) kalium pr. dosis, dvs. det kan anses som værende ”kaliumfrit”.</w:t>
      </w:r>
    </w:p>
    <w:p w14:paraId="183E6155" w14:textId="77777777" w:rsidR="00EF23AD" w:rsidRPr="00AD3AB8" w:rsidRDefault="00EF23AD" w:rsidP="00A86FDA">
      <w:pPr>
        <w:ind w:left="851"/>
        <w:rPr>
          <w:sz w:val="24"/>
          <w:szCs w:val="24"/>
          <w:lang w:eastAsia="en-GB"/>
        </w:rPr>
      </w:pPr>
    </w:p>
    <w:p w14:paraId="2C28AF01" w14:textId="100C979D" w:rsidR="00EF23AD" w:rsidRPr="00AD3AB8" w:rsidRDefault="00EF23AD" w:rsidP="00A86FDA">
      <w:pPr>
        <w:ind w:left="851"/>
        <w:rPr>
          <w:sz w:val="24"/>
          <w:szCs w:val="24"/>
          <w:lang w:eastAsia="en-GB"/>
        </w:rPr>
      </w:pPr>
      <w:r w:rsidRPr="00AD3AB8">
        <w:rPr>
          <w:sz w:val="24"/>
          <w:szCs w:val="24"/>
          <w:lang w:eastAsia="en-GB"/>
        </w:rPr>
        <w:t xml:space="preserve">Dette lægemiddel indeholder 0,29 mmol (6,67 mg) natrium pr. hætteglas. Efter </w:t>
      </w:r>
      <w:proofErr w:type="spellStart"/>
      <w:r w:rsidRPr="00AD3AB8">
        <w:rPr>
          <w:sz w:val="24"/>
          <w:szCs w:val="24"/>
          <w:lang w:eastAsia="en-GB"/>
        </w:rPr>
        <w:t>rekonstitution</w:t>
      </w:r>
      <w:proofErr w:type="spellEnd"/>
      <w:r w:rsidRPr="00AD3AB8">
        <w:rPr>
          <w:sz w:val="24"/>
          <w:szCs w:val="24"/>
          <w:lang w:eastAsia="en-GB"/>
        </w:rPr>
        <w:t xml:space="preserve"> og fortynding af opløsningen til intravenøs infusion indeholder dette lægemiddel mellem 13,8 mg og 138 mg (0,6 – 6 mmol) natrium pr. dosis (afhængigt af infusionsvæsken til fortynding), svarende til 0,7-7 % af den WHO anbefalede maksimale daglige indtagelse af 2 g natri</w:t>
      </w:r>
      <w:r w:rsidR="00AD6EB4">
        <w:rPr>
          <w:sz w:val="24"/>
          <w:szCs w:val="24"/>
          <w:lang w:eastAsia="en-GB"/>
        </w:rPr>
        <w:t>u</w:t>
      </w:r>
      <w:r w:rsidRPr="00AD3AB8">
        <w:rPr>
          <w:sz w:val="24"/>
          <w:szCs w:val="24"/>
          <w:lang w:eastAsia="en-GB"/>
        </w:rPr>
        <w:t>m for en voksen.</w:t>
      </w:r>
    </w:p>
    <w:p w14:paraId="6018376C" w14:textId="77777777" w:rsidR="009260DE" w:rsidRPr="00AD3AB8" w:rsidRDefault="009260DE" w:rsidP="009260DE">
      <w:pPr>
        <w:tabs>
          <w:tab w:val="left" w:pos="851"/>
        </w:tabs>
        <w:ind w:left="851"/>
        <w:rPr>
          <w:sz w:val="24"/>
          <w:szCs w:val="24"/>
        </w:rPr>
      </w:pPr>
    </w:p>
    <w:p w14:paraId="1C132605" w14:textId="77777777" w:rsidR="009260DE" w:rsidRPr="00AD3AB8" w:rsidRDefault="009260DE" w:rsidP="009260DE">
      <w:pPr>
        <w:tabs>
          <w:tab w:val="left" w:pos="851"/>
        </w:tabs>
        <w:ind w:left="851" w:hanging="851"/>
        <w:rPr>
          <w:b/>
          <w:sz w:val="24"/>
          <w:szCs w:val="24"/>
        </w:rPr>
      </w:pPr>
      <w:r w:rsidRPr="00AD3AB8">
        <w:rPr>
          <w:b/>
          <w:sz w:val="24"/>
          <w:szCs w:val="24"/>
        </w:rPr>
        <w:t>4.5</w:t>
      </w:r>
      <w:r w:rsidRPr="00AD3AB8">
        <w:rPr>
          <w:b/>
          <w:sz w:val="24"/>
          <w:szCs w:val="24"/>
        </w:rPr>
        <w:tab/>
        <w:t>Interaktion med andre lægemidler og andre former for interaktion</w:t>
      </w:r>
    </w:p>
    <w:p w14:paraId="74E405BE" w14:textId="77777777" w:rsidR="00EF23AD" w:rsidRPr="00AD3AB8" w:rsidRDefault="00EF23AD" w:rsidP="00A86FDA">
      <w:pPr>
        <w:ind w:left="851"/>
        <w:rPr>
          <w:sz w:val="24"/>
          <w:szCs w:val="24"/>
        </w:rPr>
      </w:pPr>
      <w:r w:rsidRPr="00AD3AB8">
        <w:rPr>
          <w:sz w:val="24"/>
          <w:szCs w:val="24"/>
        </w:rPr>
        <w:t xml:space="preserve">Der er ikke udført formelle kliniske interaktionsstudier med </w:t>
      </w:r>
      <w:proofErr w:type="spellStart"/>
      <w:r w:rsidRPr="00AD3AB8">
        <w:rPr>
          <w:sz w:val="24"/>
          <w:szCs w:val="24"/>
        </w:rPr>
        <w:t>decitabin</w:t>
      </w:r>
      <w:proofErr w:type="spellEnd"/>
      <w:r w:rsidRPr="00AD3AB8">
        <w:rPr>
          <w:sz w:val="24"/>
          <w:szCs w:val="24"/>
        </w:rPr>
        <w:t>.</w:t>
      </w:r>
    </w:p>
    <w:p w14:paraId="6ABD4A60" w14:textId="77777777" w:rsidR="00EF23AD" w:rsidRPr="00AD3AB8" w:rsidRDefault="00EF23AD" w:rsidP="00A86FDA">
      <w:pPr>
        <w:ind w:left="851"/>
        <w:rPr>
          <w:sz w:val="24"/>
          <w:szCs w:val="24"/>
        </w:rPr>
      </w:pPr>
      <w:r w:rsidRPr="00AD3AB8">
        <w:rPr>
          <w:sz w:val="24"/>
          <w:szCs w:val="24"/>
        </w:rPr>
        <w:t xml:space="preserve">Der kan potentielt opstå lægemiddelinteraktion med andre lægemidler, der også aktiveres af sekventiel </w:t>
      </w:r>
      <w:proofErr w:type="spellStart"/>
      <w:r w:rsidRPr="00AD3AB8">
        <w:rPr>
          <w:sz w:val="24"/>
          <w:szCs w:val="24"/>
        </w:rPr>
        <w:t>fosforylering</w:t>
      </w:r>
      <w:proofErr w:type="spellEnd"/>
      <w:r w:rsidRPr="00AD3AB8">
        <w:rPr>
          <w:sz w:val="24"/>
          <w:szCs w:val="24"/>
        </w:rPr>
        <w:t xml:space="preserve"> (via intracellulære </w:t>
      </w:r>
      <w:proofErr w:type="spellStart"/>
      <w:r w:rsidRPr="00AD3AB8">
        <w:rPr>
          <w:sz w:val="24"/>
          <w:szCs w:val="24"/>
        </w:rPr>
        <w:t>phosphokinase</w:t>
      </w:r>
      <w:proofErr w:type="spellEnd"/>
      <w:r w:rsidRPr="00AD3AB8">
        <w:rPr>
          <w:sz w:val="24"/>
          <w:szCs w:val="24"/>
        </w:rPr>
        <w:t xml:space="preserve">-aktiviteter) og/eller </w:t>
      </w:r>
      <w:proofErr w:type="spellStart"/>
      <w:r w:rsidRPr="00AD3AB8">
        <w:rPr>
          <w:sz w:val="24"/>
          <w:szCs w:val="24"/>
        </w:rPr>
        <w:t>metaboliseres</w:t>
      </w:r>
      <w:proofErr w:type="spellEnd"/>
      <w:r w:rsidRPr="00AD3AB8">
        <w:rPr>
          <w:sz w:val="24"/>
          <w:szCs w:val="24"/>
        </w:rPr>
        <w:t xml:space="preserve"> af enzymer, der indgår i inaktiveringen af </w:t>
      </w:r>
      <w:proofErr w:type="spellStart"/>
      <w:r w:rsidRPr="00AD3AB8">
        <w:rPr>
          <w:sz w:val="24"/>
          <w:szCs w:val="24"/>
        </w:rPr>
        <w:t>decitabin</w:t>
      </w:r>
      <w:proofErr w:type="spellEnd"/>
      <w:r w:rsidRPr="00AD3AB8">
        <w:rPr>
          <w:sz w:val="24"/>
          <w:szCs w:val="24"/>
        </w:rPr>
        <w:t xml:space="preserve"> (f.eks. </w:t>
      </w:r>
      <w:proofErr w:type="spellStart"/>
      <w:r w:rsidRPr="00AD3AB8">
        <w:rPr>
          <w:sz w:val="24"/>
          <w:szCs w:val="24"/>
        </w:rPr>
        <w:t>cytidindeaminase</w:t>
      </w:r>
      <w:proofErr w:type="spellEnd"/>
      <w:r w:rsidRPr="00AD3AB8">
        <w:rPr>
          <w:sz w:val="24"/>
          <w:szCs w:val="24"/>
        </w:rPr>
        <w:t xml:space="preserve">). Der bør derfor udvises forsigtighed, hvis disse aktive stoffer kombineres med </w:t>
      </w:r>
      <w:proofErr w:type="spellStart"/>
      <w:r w:rsidRPr="00AD3AB8">
        <w:rPr>
          <w:sz w:val="24"/>
          <w:szCs w:val="24"/>
        </w:rPr>
        <w:t>decitabin</w:t>
      </w:r>
      <w:proofErr w:type="spellEnd"/>
      <w:r w:rsidRPr="00AD3AB8">
        <w:rPr>
          <w:sz w:val="24"/>
          <w:szCs w:val="24"/>
        </w:rPr>
        <w:t>.</w:t>
      </w:r>
    </w:p>
    <w:p w14:paraId="7ADB248E" w14:textId="77777777" w:rsidR="00EF23AD" w:rsidRPr="00AD3AB8" w:rsidRDefault="00EF23AD" w:rsidP="00A86FDA">
      <w:pPr>
        <w:ind w:left="851"/>
        <w:rPr>
          <w:sz w:val="24"/>
          <w:szCs w:val="24"/>
        </w:rPr>
      </w:pPr>
    </w:p>
    <w:p w14:paraId="44165A11" w14:textId="77777777" w:rsidR="00EF23AD" w:rsidRPr="00AD3AB8" w:rsidRDefault="00EF23AD" w:rsidP="00A86FDA">
      <w:pPr>
        <w:ind w:left="851"/>
        <w:rPr>
          <w:sz w:val="24"/>
          <w:szCs w:val="24"/>
        </w:rPr>
      </w:pPr>
      <w:r w:rsidRPr="00AD3AB8">
        <w:rPr>
          <w:sz w:val="24"/>
          <w:szCs w:val="24"/>
          <w:u w:val="single"/>
        </w:rPr>
        <w:lastRenderedPageBreak/>
        <w:t xml:space="preserve">Co-administrerede lægemidlers virkning på </w:t>
      </w:r>
      <w:proofErr w:type="spellStart"/>
      <w:r w:rsidRPr="00AD3AB8">
        <w:rPr>
          <w:sz w:val="24"/>
          <w:szCs w:val="24"/>
          <w:u w:val="single"/>
        </w:rPr>
        <w:t>decitabin</w:t>
      </w:r>
      <w:proofErr w:type="spellEnd"/>
    </w:p>
    <w:p w14:paraId="288A0908" w14:textId="77777777" w:rsidR="00EF23AD" w:rsidRPr="00AD3AB8" w:rsidRDefault="00EF23AD" w:rsidP="00A86FDA">
      <w:pPr>
        <w:ind w:left="851"/>
        <w:rPr>
          <w:sz w:val="24"/>
          <w:szCs w:val="24"/>
        </w:rPr>
      </w:pPr>
      <w:proofErr w:type="spellStart"/>
      <w:r w:rsidRPr="00AD3AB8">
        <w:rPr>
          <w:sz w:val="24"/>
          <w:szCs w:val="24"/>
        </w:rPr>
        <w:t>Cytokrom</w:t>
      </w:r>
      <w:proofErr w:type="spellEnd"/>
      <w:r w:rsidRPr="00AD3AB8">
        <w:rPr>
          <w:sz w:val="24"/>
          <w:szCs w:val="24"/>
        </w:rPr>
        <w:t xml:space="preserve"> (CYP) 450-medierede metaboliske interaktioner forventes ikke, da </w:t>
      </w:r>
      <w:proofErr w:type="spellStart"/>
      <w:r w:rsidRPr="00AD3AB8">
        <w:rPr>
          <w:sz w:val="24"/>
          <w:szCs w:val="24"/>
        </w:rPr>
        <w:t>decitabins</w:t>
      </w:r>
      <w:proofErr w:type="spellEnd"/>
      <w:r w:rsidRPr="00AD3AB8">
        <w:rPr>
          <w:sz w:val="24"/>
          <w:szCs w:val="24"/>
        </w:rPr>
        <w:t xml:space="preserve"> metabolisme ikke medieres af dette system men af </w:t>
      </w:r>
      <w:proofErr w:type="spellStart"/>
      <w:r w:rsidRPr="00AD3AB8">
        <w:rPr>
          <w:sz w:val="24"/>
          <w:szCs w:val="24"/>
        </w:rPr>
        <w:t>oxidativ</w:t>
      </w:r>
      <w:proofErr w:type="spellEnd"/>
      <w:r w:rsidRPr="00AD3AB8">
        <w:rPr>
          <w:sz w:val="24"/>
          <w:szCs w:val="24"/>
        </w:rPr>
        <w:t xml:space="preserve"> </w:t>
      </w:r>
      <w:proofErr w:type="spellStart"/>
      <w:r w:rsidRPr="00AD3AB8">
        <w:rPr>
          <w:sz w:val="24"/>
          <w:szCs w:val="24"/>
        </w:rPr>
        <w:t>deaminering</w:t>
      </w:r>
      <w:proofErr w:type="spellEnd"/>
      <w:r w:rsidRPr="00AD3AB8">
        <w:rPr>
          <w:sz w:val="24"/>
          <w:szCs w:val="24"/>
        </w:rPr>
        <w:t>.</w:t>
      </w:r>
    </w:p>
    <w:p w14:paraId="52893CFD" w14:textId="77777777" w:rsidR="00EF23AD" w:rsidRPr="00AD3AB8" w:rsidRDefault="00EF23AD" w:rsidP="00A86FDA">
      <w:pPr>
        <w:ind w:left="851"/>
        <w:rPr>
          <w:sz w:val="24"/>
          <w:szCs w:val="24"/>
        </w:rPr>
      </w:pPr>
    </w:p>
    <w:p w14:paraId="75F5A1E1" w14:textId="77777777" w:rsidR="00EF23AD" w:rsidRPr="00AD3AB8" w:rsidRDefault="00EF23AD" w:rsidP="00A86FDA">
      <w:pPr>
        <w:ind w:left="851"/>
        <w:rPr>
          <w:sz w:val="24"/>
          <w:szCs w:val="24"/>
        </w:rPr>
      </w:pPr>
      <w:proofErr w:type="spellStart"/>
      <w:r w:rsidRPr="00AD3AB8">
        <w:rPr>
          <w:sz w:val="24"/>
          <w:szCs w:val="24"/>
          <w:u w:val="single"/>
        </w:rPr>
        <w:t>Decitabins</w:t>
      </w:r>
      <w:proofErr w:type="spellEnd"/>
      <w:r w:rsidRPr="00AD3AB8">
        <w:rPr>
          <w:sz w:val="24"/>
          <w:szCs w:val="24"/>
          <w:u w:val="single"/>
        </w:rPr>
        <w:t xml:space="preserve"> virkning på co-administrerede lægemidler</w:t>
      </w:r>
    </w:p>
    <w:p w14:paraId="6B502B1F" w14:textId="77777777" w:rsidR="00EF23AD" w:rsidRPr="00AD3AB8" w:rsidRDefault="00EF23AD" w:rsidP="00A86FDA">
      <w:pPr>
        <w:ind w:left="851"/>
        <w:rPr>
          <w:sz w:val="24"/>
          <w:szCs w:val="24"/>
        </w:rPr>
      </w:pPr>
      <w:r w:rsidRPr="00AD3AB8">
        <w:rPr>
          <w:sz w:val="24"/>
          <w:szCs w:val="24"/>
        </w:rPr>
        <w:t xml:space="preserve">På grund af </w:t>
      </w:r>
      <w:proofErr w:type="spellStart"/>
      <w:r w:rsidRPr="00AD3AB8">
        <w:rPr>
          <w:sz w:val="24"/>
          <w:szCs w:val="24"/>
        </w:rPr>
        <w:t>decitabins</w:t>
      </w:r>
      <w:proofErr w:type="spellEnd"/>
      <w:r w:rsidRPr="00AD3AB8">
        <w:rPr>
          <w:sz w:val="24"/>
          <w:szCs w:val="24"/>
        </w:rPr>
        <w:t xml:space="preserve"> lave binding til plasmaproteiner </w:t>
      </w:r>
      <w:r w:rsidRPr="00AD3AB8">
        <w:rPr>
          <w:i/>
          <w:iCs/>
          <w:sz w:val="24"/>
          <w:szCs w:val="24"/>
        </w:rPr>
        <w:t xml:space="preserve">in </w:t>
      </w:r>
      <w:proofErr w:type="spellStart"/>
      <w:r w:rsidRPr="00AD3AB8">
        <w:rPr>
          <w:i/>
          <w:iCs/>
          <w:sz w:val="24"/>
          <w:szCs w:val="24"/>
        </w:rPr>
        <w:t>vitro</w:t>
      </w:r>
      <w:proofErr w:type="spellEnd"/>
      <w:r w:rsidRPr="00AD3AB8">
        <w:rPr>
          <w:i/>
          <w:iCs/>
          <w:sz w:val="24"/>
          <w:szCs w:val="24"/>
        </w:rPr>
        <w:t xml:space="preserve"> </w:t>
      </w:r>
      <w:r w:rsidRPr="00AD3AB8">
        <w:rPr>
          <w:sz w:val="24"/>
          <w:szCs w:val="24"/>
        </w:rPr>
        <w:t xml:space="preserve">(&lt; 1 %) er det usandsynligt, at co-administrerede lægemidler </w:t>
      </w:r>
      <w:proofErr w:type="spellStart"/>
      <w:r w:rsidRPr="00AD3AB8">
        <w:rPr>
          <w:sz w:val="24"/>
          <w:szCs w:val="24"/>
        </w:rPr>
        <w:t>displaceres</w:t>
      </w:r>
      <w:proofErr w:type="spellEnd"/>
      <w:r w:rsidRPr="00AD3AB8">
        <w:rPr>
          <w:sz w:val="24"/>
          <w:szCs w:val="24"/>
        </w:rPr>
        <w:t xml:space="preserve"> fra deres plasmaproteinbindingssted. </w:t>
      </w:r>
      <w:proofErr w:type="spellStart"/>
      <w:r w:rsidRPr="00AD3AB8">
        <w:rPr>
          <w:sz w:val="24"/>
          <w:szCs w:val="24"/>
        </w:rPr>
        <w:t>Decitabin</w:t>
      </w:r>
      <w:proofErr w:type="spellEnd"/>
      <w:r w:rsidRPr="00AD3AB8">
        <w:rPr>
          <w:sz w:val="24"/>
          <w:szCs w:val="24"/>
        </w:rPr>
        <w:t xml:space="preserve"> har vist sig at være en svag hæmmer af P-gp-medieret transport </w:t>
      </w:r>
      <w:r w:rsidRPr="00AD3AB8">
        <w:rPr>
          <w:i/>
          <w:iCs/>
          <w:sz w:val="24"/>
          <w:szCs w:val="24"/>
        </w:rPr>
        <w:t xml:space="preserve">in </w:t>
      </w:r>
      <w:proofErr w:type="spellStart"/>
      <w:r w:rsidRPr="00AD3AB8">
        <w:rPr>
          <w:i/>
          <w:iCs/>
          <w:sz w:val="24"/>
          <w:szCs w:val="24"/>
        </w:rPr>
        <w:t>vitro</w:t>
      </w:r>
      <w:proofErr w:type="spellEnd"/>
      <w:r w:rsidRPr="00AD3AB8">
        <w:rPr>
          <w:i/>
          <w:iCs/>
          <w:sz w:val="24"/>
          <w:szCs w:val="24"/>
        </w:rPr>
        <w:t xml:space="preserve"> </w:t>
      </w:r>
      <w:r w:rsidRPr="00AD3AB8">
        <w:rPr>
          <w:sz w:val="24"/>
          <w:szCs w:val="24"/>
        </w:rPr>
        <w:t>og forventes derfor heller ikke at påvirke P-gp-medieret transport af co administrerede lægemidler (se pkt. 5.2).</w:t>
      </w:r>
    </w:p>
    <w:p w14:paraId="768B2742" w14:textId="77777777" w:rsidR="009260DE" w:rsidRPr="00AD3AB8" w:rsidRDefault="009260DE" w:rsidP="009260DE">
      <w:pPr>
        <w:tabs>
          <w:tab w:val="left" w:pos="851"/>
        </w:tabs>
        <w:ind w:left="851"/>
        <w:rPr>
          <w:sz w:val="24"/>
          <w:szCs w:val="24"/>
        </w:rPr>
      </w:pPr>
    </w:p>
    <w:p w14:paraId="536E13D3" w14:textId="77777777" w:rsidR="009260DE" w:rsidRPr="00AD3AB8" w:rsidRDefault="009260DE" w:rsidP="009260DE">
      <w:pPr>
        <w:tabs>
          <w:tab w:val="left" w:pos="851"/>
        </w:tabs>
        <w:ind w:left="851" w:hanging="851"/>
        <w:rPr>
          <w:b/>
          <w:sz w:val="24"/>
          <w:szCs w:val="24"/>
        </w:rPr>
      </w:pPr>
      <w:r w:rsidRPr="00AD3AB8">
        <w:rPr>
          <w:b/>
          <w:sz w:val="24"/>
          <w:szCs w:val="24"/>
        </w:rPr>
        <w:t>4.6</w:t>
      </w:r>
      <w:r w:rsidRPr="00AD3AB8">
        <w:rPr>
          <w:b/>
          <w:sz w:val="24"/>
          <w:szCs w:val="24"/>
        </w:rPr>
        <w:tab/>
      </w:r>
      <w:r w:rsidR="0071241E" w:rsidRPr="00AD3AB8">
        <w:rPr>
          <w:b/>
          <w:sz w:val="24"/>
          <w:szCs w:val="24"/>
        </w:rPr>
        <w:t>Fertilitet, g</w:t>
      </w:r>
      <w:r w:rsidRPr="00AD3AB8">
        <w:rPr>
          <w:b/>
          <w:sz w:val="24"/>
          <w:szCs w:val="24"/>
        </w:rPr>
        <w:t>raviditet og amning</w:t>
      </w:r>
    </w:p>
    <w:p w14:paraId="727CECA9" w14:textId="77777777" w:rsidR="00AD397D" w:rsidRDefault="00AD397D" w:rsidP="00A86FDA">
      <w:pPr>
        <w:ind w:left="851"/>
        <w:rPr>
          <w:sz w:val="24"/>
          <w:szCs w:val="24"/>
        </w:rPr>
      </w:pPr>
    </w:p>
    <w:p w14:paraId="22791DD9" w14:textId="20C9A2F2" w:rsidR="00EF23AD" w:rsidRPr="00AD397D" w:rsidRDefault="00EF23AD" w:rsidP="00A86FDA">
      <w:pPr>
        <w:ind w:left="851"/>
        <w:rPr>
          <w:sz w:val="24"/>
          <w:szCs w:val="24"/>
          <w:u w:val="single"/>
        </w:rPr>
      </w:pPr>
      <w:r w:rsidRPr="00AD397D">
        <w:rPr>
          <w:sz w:val="24"/>
          <w:szCs w:val="24"/>
          <w:u w:val="single"/>
        </w:rPr>
        <w:t>Kvinder i den fertile alder/</w:t>
      </w:r>
      <w:proofErr w:type="spellStart"/>
      <w:r w:rsidRPr="00AD397D">
        <w:rPr>
          <w:sz w:val="24"/>
          <w:szCs w:val="24"/>
          <w:u w:val="single"/>
        </w:rPr>
        <w:t>kontraception</w:t>
      </w:r>
      <w:proofErr w:type="spellEnd"/>
      <w:r w:rsidRPr="00AD397D">
        <w:rPr>
          <w:sz w:val="24"/>
          <w:szCs w:val="24"/>
          <w:u w:val="single"/>
        </w:rPr>
        <w:t xml:space="preserve"> hos mænd og kvinder</w:t>
      </w:r>
    </w:p>
    <w:p w14:paraId="1B7AC222" w14:textId="17261440" w:rsidR="00EF23AD" w:rsidRPr="00AD3AB8" w:rsidRDefault="00EF23AD" w:rsidP="00A86FDA">
      <w:pPr>
        <w:ind w:left="851"/>
        <w:rPr>
          <w:sz w:val="24"/>
          <w:szCs w:val="24"/>
        </w:rPr>
      </w:pPr>
      <w:r w:rsidRPr="00AD3AB8">
        <w:rPr>
          <w:sz w:val="24"/>
          <w:szCs w:val="24"/>
        </w:rPr>
        <w:t xml:space="preserve">På grund af </w:t>
      </w:r>
      <w:proofErr w:type="spellStart"/>
      <w:r w:rsidRPr="00AD3AB8">
        <w:rPr>
          <w:sz w:val="24"/>
          <w:szCs w:val="24"/>
        </w:rPr>
        <w:t>decitabins</w:t>
      </w:r>
      <w:proofErr w:type="spellEnd"/>
      <w:r w:rsidRPr="00AD3AB8">
        <w:rPr>
          <w:sz w:val="24"/>
          <w:szCs w:val="24"/>
        </w:rPr>
        <w:t xml:space="preserve"> genotoksiske potentiale (se pkt. 5.3) skal kvinder i den fertile alder anvende sikker </w:t>
      </w:r>
      <w:proofErr w:type="spellStart"/>
      <w:r w:rsidRPr="00AD3AB8">
        <w:rPr>
          <w:sz w:val="24"/>
          <w:szCs w:val="24"/>
        </w:rPr>
        <w:t>kontraception</w:t>
      </w:r>
      <w:proofErr w:type="spellEnd"/>
      <w:r w:rsidRPr="00AD3AB8">
        <w:rPr>
          <w:sz w:val="24"/>
          <w:szCs w:val="24"/>
        </w:rPr>
        <w:t xml:space="preserve"> og undgå at blive gravide, mens de er i behandling med </w:t>
      </w:r>
      <w:proofErr w:type="spellStart"/>
      <w:r w:rsidR="00AD397D">
        <w:rPr>
          <w:sz w:val="24"/>
          <w:szCs w:val="24"/>
        </w:rPr>
        <w:t>Decitabine</w:t>
      </w:r>
      <w:proofErr w:type="spellEnd"/>
      <w:r w:rsidR="00AD397D">
        <w:rPr>
          <w:sz w:val="24"/>
          <w:szCs w:val="24"/>
        </w:rPr>
        <w:t xml:space="preserve"> "Ever Pharma"</w:t>
      </w:r>
      <w:r w:rsidRPr="00AD3AB8">
        <w:rPr>
          <w:sz w:val="24"/>
          <w:szCs w:val="24"/>
        </w:rPr>
        <w:t xml:space="preserve">, og i 6 måneder efter at behandlingen er ophørt. Mænd bør anvende sikker </w:t>
      </w:r>
      <w:proofErr w:type="spellStart"/>
      <w:r w:rsidRPr="00AD3AB8">
        <w:rPr>
          <w:sz w:val="24"/>
          <w:szCs w:val="24"/>
        </w:rPr>
        <w:t>kontraception</w:t>
      </w:r>
      <w:proofErr w:type="spellEnd"/>
      <w:r w:rsidRPr="00AD3AB8">
        <w:rPr>
          <w:sz w:val="24"/>
          <w:szCs w:val="24"/>
        </w:rPr>
        <w:t xml:space="preserve">, og de bør rådes til ikke at gøre en kvinde gravid, mens de får </w:t>
      </w:r>
      <w:proofErr w:type="spellStart"/>
      <w:r w:rsidR="00AD397D">
        <w:rPr>
          <w:sz w:val="24"/>
          <w:szCs w:val="24"/>
        </w:rPr>
        <w:t>Decitabine</w:t>
      </w:r>
      <w:proofErr w:type="spellEnd"/>
      <w:r w:rsidR="00AD397D">
        <w:rPr>
          <w:sz w:val="24"/>
          <w:szCs w:val="24"/>
        </w:rPr>
        <w:t xml:space="preserve"> "Ever Pharma"</w:t>
      </w:r>
      <w:r w:rsidRPr="00AD3AB8">
        <w:rPr>
          <w:sz w:val="24"/>
          <w:szCs w:val="24"/>
        </w:rPr>
        <w:t xml:space="preserve"> og i op til 3 måneder efter afsluttet behandling (se pkt. 5.3).</w:t>
      </w:r>
    </w:p>
    <w:p w14:paraId="4F7663F3" w14:textId="77777777" w:rsidR="00EF23AD" w:rsidRPr="00AD3AB8" w:rsidRDefault="00EF23AD" w:rsidP="00A86FDA">
      <w:pPr>
        <w:ind w:left="851"/>
        <w:rPr>
          <w:sz w:val="24"/>
          <w:szCs w:val="24"/>
        </w:rPr>
      </w:pPr>
    </w:p>
    <w:p w14:paraId="0BE533B4" w14:textId="77777777" w:rsidR="00EF23AD" w:rsidRPr="00AD3AB8" w:rsidRDefault="00EF23AD" w:rsidP="00A86FDA">
      <w:pPr>
        <w:ind w:left="851"/>
        <w:rPr>
          <w:sz w:val="24"/>
          <w:szCs w:val="24"/>
        </w:rPr>
      </w:pPr>
      <w:r w:rsidRPr="00AD3AB8">
        <w:rPr>
          <w:sz w:val="24"/>
          <w:szCs w:val="24"/>
        </w:rPr>
        <w:t xml:space="preserve">Anvendelse af </w:t>
      </w:r>
      <w:proofErr w:type="spellStart"/>
      <w:r w:rsidRPr="00AD3AB8">
        <w:rPr>
          <w:sz w:val="24"/>
          <w:szCs w:val="24"/>
        </w:rPr>
        <w:t>decitabin</w:t>
      </w:r>
      <w:proofErr w:type="spellEnd"/>
      <w:r w:rsidRPr="00AD3AB8">
        <w:rPr>
          <w:sz w:val="24"/>
          <w:szCs w:val="24"/>
        </w:rPr>
        <w:t xml:space="preserve"> sammen med hormonal </w:t>
      </w:r>
      <w:proofErr w:type="spellStart"/>
      <w:r w:rsidRPr="00AD3AB8">
        <w:rPr>
          <w:sz w:val="24"/>
          <w:szCs w:val="24"/>
        </w:rPr>
        <w:t>kontraception</w:t>
      </w:r>
      <w:proofErr w:type="spellEnd"/>
      <w:r w:rsidRPr="00AD3AB8">
        <w:rPr>
          <w:sz w:val="24"/>
          <w:szCs w:val="24"/>
        </w:rPr>
        <w:t xml:space="preserve"> er ikke undersøgt.</w:t>
      </w:r>
    </w:p>
    <w:p w14:paraId="72FD2C5F" w14:textId="77777777" w:rsidR="00EF23AD" w:rsidRPr="00AD3AB8" w:rsidRDefault="00EF23AD" w:rsidP="00A86FDA">
      <w:pPr>
        <w:ind w:left="851"/>
        <w:rPr>
          <w:sz w:val="24"/>
          <w:szCs w:val="24"/>
        </w:rPr>
      </w:pPr>
    </w:p>
    <w:p w14:paraId="759C2A40" w14:textId="77777777" w:rsidR="00EF23AD" w:rsidRPr="00AD397D" w:rsidRDefault="00EF23AD" w:rsidP="00A86FDA">
      <w:pPr>
        <w:ind w:left="851"/>
        <w:rPr>
          <w:sz w:val="24"/>
          <w:szCs w:val="24"/>
          <w:u w:val="single"/>
        </w:rPr>
      </w:pPr>
      <w:r w:rsidRPr="00AD397D">
        <w:rPr>
          <w:sz w:val="24"/>
          <w:szCs w:val="24"/>
          <w:u w:val="single"/>
        </w:rPr>
        <w:t>Graviditet</w:t>
      </w:r>
    </w:p>
    <w:p w14:paraId="030DCF44" w14:textId="22647C43" w:rsidR="00EF23AD" w:rsidRPr="00AD3AB8" w:rsidRDefault="00EF23AD" w:rsidP="00A86FDA">
      <w:pPr>
        <w:ind w:left="851"/>
        <w:rPr>
          <w:sz w:val="24"/>
          <w:szCs w:val="24"/>
        </w:rPr>
      </w:pPr>
      <w:r w:rsidRPr="00AD3AB8">
        <w:rPr>
          <w:sz w:val="24"/>
          <w:szCs w:val="24"/>
        </w:rPr>
        <w:t xml:space="preserve">Der er utilstrækkelige data fra anvendelse af </w:t>
      </w:r>
      <w:proofErr w:type="spellStart"/>
      <w:r w:rsidR="00AD397D">
        <w:rPr>
          <w:sz w:val="24"/>
          <w:szCs w:val="24"/>
        </w:rPr>
        <w:t>Decitabine</w:t>
      </w:r>
      <w:proofErr w:type="spellEnd"/>
      <w:r w:rsidR="00AD397D">
        <w:rPr>
          <w:sz w:val="24"/>
          <w:szCs w:val="24"/>
        </w:rPr>
        <w:t xml:space="preserve"> "Ever Pharma"</w:t>
      </w:r>
      <w:r w:rsidRPr="00AD3AB8">
        <w:rPr>
          <w:sz w:val="24"/>
          <w:szCs w:val="24"/>
        </w:rPr>
        <w:t xml:space="preserve"> til gravide kvinder. Studier har påvist, at </w:t>
      </w:r>
      <w:proofErr w:type="spellStart"/>
      <w:r w:rsidRPr="00AD3AB8">
        <w:rPr>
          <w:sz w:val="24"/>
          <w:szCs w:val="24"/>
        </w:rPr>
        <w:t>decitabin</w:t>
      </w:r>
      <w:proofErr w:type="spellEnd"/>
      <w:r w:rsidRPr="00AD3AB8">
        <w:rPr>
          <w:sz w:val="24"/>
          <w:szCs w:val="24"/>
        </w:rPr>
        <w:t xml:space="preserve"> er </w:t>
      </w:r>
      <w:proofErr w:type="spellStart"/>
      <w:r w:rsidRPr="00AD3AB8">
        <w:rPr>
          <w:sz w:val="24"/>
          <w:szCs w:val="24"/>
        </w:rPr>
        <w:t>teratogent</w:t>
      </w:r>
      <w:proofErr w:type="spellEnd"/>
      <w:r w:rsidRPr="00AD3AB8">
        <w:rPr>
          <w:sz w:val="24"/>
          <w:szCs w:val="24"/>
        </w:rPr>
        <w:t xml:space="preserve"> i rotter og mus (se pkt. 5.3). Den potentielle risiko for mennesker kendes ikke. Baseret på resultater af dyrestudier og </w:t>
      </w:r>
      <w:proofErr w:type="spellStart"/>
      <w:r w:rsidRPr="00AD3AB8">
        <w:rPr>
          <w:sz w:val="24"/>
          <w:szCs w:val="24"/>
        </w:rPr>
        <w:t>decitabins</w:t>
      </w:r>
      <w:proofErr w:type="spellEnd"/>
      <w:r w:rsidRPr="00AD3AB8">
        <w:rPr>
          <w:sz w:val="24"/>
          <w:szCs w:val="24"/>
        </w:rPr>
        <w:t xml:space="preserve"> virkningsmekanisme bør </w:t>
      </w:r>
      <w:proofErr w:type="spellStart"/>
      <w:r w:rsidR="00AD397D">
        <w:rPr>
          <w:sz w:val="24"/>
          <w:szCs w:val="24"/>
        </w:rPr>
        <w:t>Decitabine</w:t>
      </w:r>
      <w:proofErr w:type="spellEnd"/>
      <w:r w:rsidR="00AD397D">
        <w:rPr>
          <w:sz w:val="24"/>
          <w:szCs w:val="24"/>
        </w:rPr>
        <w:t xml:space="preserve"> "Ever Pharma"</w:t>
      </w:r>
      <w:r w:rsidRPr="00AD3AB8">
        <w:rPr>
          <w:sz w:val="24"/>
          <w:szCs w:val="24"/>
        </w:rPr>
        <w:t xml:space="preserve"> ikke anvendes under graviditet eller til kvinder i den fertile alder, der ikke anvender sikker </w:t>
      </w:r>
      <w:proofErr w:type="spellStart"/>
      <w:r w:rsidRPr="00AD3AB8">
        <w:rPr>
          <w:sz w:val="24"/>
          <w:szCs w:val="24"/>
        </w:rPr>
        <w:t>kontraception</w:t>
      </w:r>
      <w:proofErr w:type="spellEnd"/>
      <w:r w:rsidRPr="00AD3AB8">
        <w:rPr>
          <w:sz w:val="24"/>
          <w:szCs w:val="24"/>
        </w:rPr>
        <w:t xml:space="preserve">. En graviditetstest bør udføres på alle kvinder i den fertile alder, før behandling initieres. Hvis </w:t>
      </w:r>
      <w:proofErr w:type="spellStart"/>
      <w:r w:rsidR="00AD397D">
        <w:rPr>
          <w:sz w:val="24"/>
          <w:szCs w:val="24"/>
        </w:rPr>
        <w:t>Decitabine</w:t>
      </w:r>
      <w:proofErr w:type="spellEnd"/>
      <w:r w:rsidR="00AD397D">
        <w:rPr>
          <w:sz w:val="24"/>
          <w:szCs w:val="24"/>
        </w:rPr>
        <w:t xml:space="preserve"> "Ever Pharma"</w:t>
      </w:r>
      <w:r w:rsidRPr="00AD3AB8">
        <w:rPr>
          <w:sz w:val="24"/>
          <w:szCs w:val="24"/>
        </w:rPr>
        <w:t xml:space="preserve"> anvendes under graviditet, eller hvis en patient bliver gravid under behandlingen med dette lægemiddel, skal patienten oplyses om den mulige risiko for fosteret.</w:t>
      </w:r>
    </w:p>
    <w:p w14:paraId="43D51A7A" w14:textId="77777777" w:rsidR="00EF23AD" w:rsidRPr="00AD3AB8" w:rsidRDefault="00EF23AD" w:rsidP="00A86FDA">
      <w:pPr>
        <w:ind w:left="851"/>
        <w:rPr>
          <w:sz w:val="24"/>
          <w:szCs w:val="24"/>
        </w:rPr>
      </w:pPr>
    </w:p>
    <w:p w14:paraId="61658BB1" w14:textId="77777777" w:rsidR="00EF23AD" w:rsidRPr="00AD397D" w:rsidRDefault="00EF23AD" w:rsidP="00A86FDA">
      <w:pPr>
        <w:ind w:left="851"/>
        <w:rPr>
          <w:sz w:val="24"/>
          <w:szCs w:val="24"/>
          <w:u w:val="single"/>
        </w:rPr>
      </w:pPr>
      <w:r w:rsidRPr="00AD397D">
        <w:rPr>
          <w:sz w:val="24"/>
          <w:szCs w:val="24"/>
          <w:u w:val="single"/>
        </w:rPr>
        <w:t>Amning</w:t>
      </w:r>
    </w:p>
    <w:p w14:paraId="0FAD0030" w14:textId="0946ED92" w:rsidR="00EF23AD" w:rsidRPr="00AD3AB8" w:rsidRDefault="00EF23AD" w:rsidP="00A86FDA">
      <w:pPr>
        <w:ind w:left="851"/>
        <w:rPr>
          <w:sz w:val="24"/>
          <w:szCs w:val="24"/>
        </w:rPr>
      </w:pPr>
      <w:r w:rsidRPr="00AD3AB8">
        <w:rPr>
          <w:sz w:val="24"/>
          <w:szCs w:val="24"/>
        </w:rPr>
        <w:t xml:space="preserve">Det er ukendt, om </w:t>
      </w:r>
      <w:proofErr w:type="spellStart"/>
      <w:r w:rsidRPr="00AD3AB8">
        <w:rPr>
          <w:sz w:val="24"/>
          <w:szCs w:val="24"/>
        </w:rPr>
        <w:t>decitabin</w:t>
      </w:r>
      <w:proofErr w:type="spellEnd"/>
      <w:r w:rsidRPr="00AD3AB8">
        <w:rPr>
          <w:sz w:val="24"/>
          <w:szCs w:val="24"/>
        </w:rPr>
        <w:t xml:space="preserve"> eller dets metabolitter udskilles i human mælk. </w:t>
      </w:r>
      <w:proofErr w:type="spellStart"/>
      <w:r w:rsidR="00AD397D">
        <w:rPr>
          <w:sz w:val="24"/>
          <w:szCs w:val="24"/>
        </w:rPr>
        <w:t>Decitabine</w:t>
      </w:r>
      <w:proofErr w:type="spellEnd"/>
      <w:r w:rsidR="00AD397D">
        <w:rPr>
          <w:sz w:val="24"/>
          <w:szCs w:val="24"/>
        </w:rPr>
        <w:t xml:space="preserve"> "Ever Pharma"</w:t>
      </w:r>
      <w:r w:rsidRPr="00AD3AB8">
        <w:rPr>
          <w:sz w:val="24"/>
          <w:szCs w:val="24"/>
        </w:rPr>
        <w:t xml:space="preserve"> er kontraindiceret under amning, og hvis behandling med dette lægemiddel skønnes nødvendig, bør amningen ophøre (se pkt. 4.3).</w:t>
      </w:r>
    </w:p>
    <w:p w14:paraId="7AECE0B7" w14:textId="77777777" w:rsidR="00EF23AD" w:rsidRPr="00AD3AB8" w:rsidRDefault="00EF23AD" w:rsidP="00A86FDA">
      <w:pPr>
        <w:ind w:left="851"/>
        <w:rPr>
          <w:sz w:val="24"/>
          <w:szCs w:val="24"/>
        </w:rPr>
      </w:pPr>
    </w:p>
    <w:p w14:paraId="6C75BDEB" w14:textId="77777777" w:rsidR="00EF23AD" w:rsidRPr="00AD397D" w:rsidRDefault="00EF23AD" w:rsidP="00A86FDA">
      <w:pPr>
        <w:ind w:left="851"/>
        <w:rPr>
          <w:sz w:val="24"/>
          <w:szCs w:val="24"/>
          <w:u w:val="single"/>
        </w:rPr>
      </w:pPr>
      <w:r w:rsidRPr="00AD397D">
        <w:rPr>
          <w:sz w:val="24"/>
          <w:szCs w:val="24"/>
          <w:u w:val="single"/>
        </w:rPr>
        <w:t>Fertilitet</w:t>
      </w:r>
    </w:p>
    <w:p w14:paraId="7C03E0DF" w14:textId="1467EF10" w:rsidR="00EF23AD" w:rsidRPr="00AD3AB8" w:rsidRDefault="00EF23AD" w:rsidP="00A86FDA">
      <w:pPr>
        <w:ind w:left="851"/>
        <w:rPr>
          <w:sz w:val="24"/>
          <w:szCs w:val="24"/>
        </w:rPr>
      </w:pPr>
      <w:r w:rsidRPr="00AD3AB8">
        <w:rPr>
          <w:sz w:val="24"/>
          <w:szCs w:val="24"/>
        </w:rPr>
        <w:t xml:space="preserve">Der foreligger ingen humane data for </w:t>
      </w:r>
      <w:proofErr w:type="spellStart"/>
      <w:r w:rsidRPr="00AD3AB8">
        <w:rPr>
          <w:sz w:val="24"/>
          <w:szCs w:val="24"/>
        </w:rPr>
        <w:t>decitabins</w:t>
      </w:r>
      <w:proofErr w:type="spellEnd"/>
      <w:r w:rsidRPr="00AD3AB8">
        <w:rPr>
          <w:sz w:val="24"/>
          <w:szCs w:val="24"/>
        </w:rPr>
        <w:t xml:space="preserve"> virkninger på fertilitet. I non-kliniske dyreforsøg påvirkede </w:t>
      </w:r>
      <w:proofErr w:type="spellStart"/>
      <w:r w:rsidRPr="00AD3AB8">
        <w:rPr>
          <w:sz w:val="24"/>
          <w:szCs w:val="24"/>
        </w:rPr>
        <w:t>decitabin</w:t>
      </w:r>
      <w:proofErr w:type="spellEnd"/>
      <w:r w:rsidRPr="00AD3AB8">
        <w:rPr>
          <w:sz w:val="24"/>
          <w:szCs w:val="24"/>
        </w:rPr>
        <w:t xml:space="preserve"> fertiliteten hos handyr og var mutagent. På grund af potentiel </w:t>
      </w:r>
      <w:proofErr w:type="spellStart"/>
      <w:r w:rsidRPr="00AD3AB8">
        <w:rPr>
          <w:sz w:val="24"/>
          <w:szCs w:val="24"/>
        </w:rPr>
        <w:t>infertilitet</w:t>
      </w:r>
      <w:proofErr w:type="spellEnd"/>
      <w:r w:rsidRPr="00AD3AB8">
        <w:rPr>
          <w:sz w:val="24"/>
          <w:szCs w:val="24"/>
        </w:rPr>
        <w:t xml:space="preserve"> som følge af behandling med </w:t>
      </w:r>
      <w:proofErr w:type="spellStart"/>
      <w:r w:rsidR="00AD397D">
        <w:rPr>
          <w:sz w:val="24"/>
          <w:szCs w:val="24"/>
        </w:rPr>
        <w:t>Decitabine</w:t>
      </w:r>
      <w:proofErr w:type="spellEnd"/>
      <w:r w:rsidR="00AD397D">
        <w:rPr>
          <w:sz w:val="24"/>
          <w:szCs w:val="24"/>
        </w:rPr>
        <w:t xml:space="preserve"> "Ever Pharma"</w:t>
      </w:r>
      <w:r w:rsidRPr="00AD3AB8">
        <w:rPr>
          <w:sz w:val="24"/>
          <w:szCs w:val="24"/>
        </w:rPr>
        <w:t xml:space="preserve"> bør mænd søge rådgivning om nedfrysning af sæd, og fertile kvinder bør søge rådgivning om </w:t>
      </w:r>
      <w:proofErr w:type="spellStart"/>
      <w:r w:rsidRPr="00AD3AB8">
        <w:rPr>
          <w:sz w:val="24"/>
          <w:szCs w:val="24"/>
        </w:rPr>
        <w:t>kryopræservation</w:t>
      </w:r>
      <w:proofErr w:type="spellEnd"/>
      <w:r w:rsidRPr="00AD3AB8">
        <w:rPr>
          <w:sz w:val="24"/>
          <w:szCs w:val="24"/>
        </w:rPr>
        <w:t xml:space="preserve"> af </w:t>
      </w:r>
      <w:proofErr w:type="spellStart"/>
      <w:r w:rsidRPr="00AD3AB8">
        <w:rPr>
          <w:sz w:val="24"/>
          <w:szCs w:val="24"/>
        </w:rPr>
        <w:t>oocytter</w:t>
      </w:r>
      <w:proofErr w:type="spellEnd"/>
      <w:r w:rsidRPr="00AD3AB8">
        <w:rPr>
          <w:sz w:val="24"/>
          <w:szCs w:val="24"/>
        </w:rPr>
        <w:t xml:space="preserve"> før indledning af behandling.</w:t>
      </w:r>
    </w:p>
    <w:p w14:paraId="06D5F316" w14:textId="77777777" w:rsidR="009260DE" w:rsidRPr="00AD3AB8" w:rsidRDefault="009260DE" w:rsidP="009260DE">
      <w:pPr>
        <w:tabs>
          <w:tab w:val="left" w:pos="851"/>
        </w:tabs>
        <w:ind w:left="851"/>
        <w:rPr>
          <w:sz w:val="24"/>
          <w:szCs w:val="24"/>
        </w:rPr>
      </w:pPr>
    </w:p>
    <w:p w14:paraId="58DB4DF6" w14:textId="77777777" w:rsidR="009260DE" w:rsidRPr="00AD3AB8" w:rsidRDefault="009260DE" w:rsidP="009260DE">
      <w:pPr>
        <w:tabs>
          <w:tab w:val="left" w:pos="851"/>
        </w:tabs>
        <w:ind w:left="851" w:hanging="851"/>
        <w:rPr>
          <w:b/>
          <w:sz w:val="24"/>
          <w:szCs w:val="24"/>
        </w:rPr>
      </w:pPr>
      <w:r w:rsidRPr="00AD3AB8">
        <w:rPr>
          <w:b/>
          <w:sz w:val="24"/>
          <w:szCs w:val="24"/>
        </w:rPr>
        <w:t>4.7</w:t>
      </w:r>
      <w:r w:rsidRPr="00AD3AB8">
        <w:rPr>
          <w:b/>
          <w:sz w:val="24"/>
          <w:szCs w:val="24"/>
        </w:rPr>
        <w:tab/>
        <w:t xml:space="preserve">Virkning på evnen til at føre motorkøretøj </w:t>
      </w:r>
      <w:r w:rsidR="0071241E" w:rsidRPr="00AD3AB8">
        <w:rPr>
          <w:b/>
          <w:sz w:val="24"/>
          <w:szCs w:val="24"/>
        </w:rPr>
        <w:t>og</w:t>
      </w:r>
      <w:r w:rsidRPr="00AD3AB8">
        <w:rPr>
          <w:b/>
          <w:sz w:val="24"/>
          <w:szCs w:val="24"/>
        </w:rPr>
        <w:t xml:space="preserve"> betjene maskiner</w:t>
      </w:r>
    </w:p>
    <w:p w14:paraId="146753DB" w14:textId="77777777" w:rsidR="00AD397D" w:rsidRDefault="00AD397D" w:rsidP="00A86FDA">
      <w:pPr>
        <w:ind w:left="851"/>
        <w:rPr>
          <w:sz w:val="24"/>
          <w:szCs w:val="24"/>
        </w:rPr>
      </w:pPr>
      <w:r>
        <w:rPr>
          <w:sz w:val="24"/>
          <w:szCs w:val="24"/>
        </w:rPr>
        <w:t>Ikke mærkning.</w:t>
      </w:r>
    </w:p>
    <w:p w14:paraId="39AA0D4B" w14:textId="14EAF28A" w:rsidR="00EF23AD" w:rsidRPr="00AD3AB8" w:rsidRDefault="00AD397D" w:rsidP="00A86FDA">
      <w:pPr>
        <w:ind w:left="851"/>
        <w:rPr>
          <w:sz w:val="24"/>
          <w:szCs w:val="24"/>
        </w:rPr>
      </w:pPr>
      <w:proofErr w:type="spellStart"/>
      <w:r>
        <w:rPr>
          <w:sz w:val="24"/>
          <w:szCs w:val="24"/>
        </w:rPr>
        <w:t>Decitabine</w:t>
      </w:r>
      <w:proofErr w:type="spellEnd"/>
      <w:r>
        <w:rPr>
          <w:sz w:val="24"/>
          <w:szCs w:val="24"/>
        </w:rPr>
        <w:t xml:space="preserve"> "Ever Pharma"</w:t>
      </w:r>
      <w:r w:rsidR="00EF23AD" w:rsidRPr="00AD3AB8">
        <w:rPr>
          <w:sz w:val="24"/>
          <w:szCs w:val="24"/>
        </w:rPr>
        <w:t xml:space="preserve"> påvirker i moderat grad evnen til at føre motorkøretøj og betjene maskiner. Patienterne bør oplyses om, at de kan få bivirkninger såsom anæmi under behandlingen. De bør derfor udvise forsigtighed, når de fører motorkøretøj eller betjener maskiner.</w:t>
      </w:r>
    </w:p>
    <w:p w14:paraId="7C0ED628" w14:textId="77777777" w:rsidR="009260DE" w:rsidRPr="00AD3AB8" w:rsidRDefault="009260DE" w:rsidP="009260DE">
      <w:pPr>
        <w:tabs>
          <w:tab w:val="left" w:pos="851"/>
        </w:tabs>
        <w:ind w:left="851"/>
        <w:rPr>
          <w:sz w:val="24"/>
          <w:szCs w:val="24"/>
        </w:rPr>
      </w:pPr>
    </w:p>
    <w:p w14:paraId="603AB04B" w14:textId="77777777" w:rsidR="009260DE" w:rsidRPr="00AD3AB8" w:rsidRDefault="009260DE" w:rsidP="009260DE">
      <w:pPr>
        <w:tabs>
          <w:tab w:val="left" w:pos="851"/>
        </w:tabs>
        <w:ind w:left="851" w:hanging="851"/>
        <w:rPr>
          <w:b/>
          <w:sz w:val="24"/>
          <w:szCs w:val="24"/>
        </w:rPr>
      </w:pPr>
      <w:r w:rsidRPr="00AD3AB8">
        <w:rPr>
          <w:b/>
          <w:sz w:val="24"/>
          <w:szCs w:val="24"/>
        </w:rPr>
        <w:lastRenderedPageBreak/>
        <w:t>4.8</w:t>
      </w:r>
      <w:r w:rsidRPr="00AD3AB8">
        <w:rPr>
          <w:b/>
          <w:sz w:val="24"/>
          <w:szCs w:val="24"/>
        </w:rPr>
        <w:tab/>
        <w:t>Bivirkninger</w:t>
      </w:r>
    </w:p>
    <w:p w14:paraId="6EDE6F1F" w14:textId="77777777" w:rsidR="00A112B1" w:rsidRDefault="00A112B1" w:rsidP="00A86FDA">
      <w:pPr>
        <w:ind w:left="851"/>
        <w:rPr>
          <w:sz w:val="24"/>
          <w:szCs w:val="24"/>
        </w:rPr>
      </w:pPr>
    </w:p>
    <w:p w14:paraId="52AFBD87" w14:textId="388203F4" w:rsidR="00EF23AD" w:rsidRPr="00A112B1" w:rsidRDefault="00EF23AD" w:rsidP="00A86FDA">
      <w:pPr>
        <w:ind w:left="851"/>
        <w:rPr>
          <w:sz w:val="24"/>
          <w:szCs w:val="24"/>
          <w:u w:val="single"/>
        </w:rPr>
      </w:pPr>
      <w:r w:rsidRPr="00A112B1">
        <w:rPr>
          <w:sz w:val="24"/>
          <w:szCs w:val="24"/>
          <w:u w:val="single"/>
        </w:rPr>
        <w:t>Resumé af sikkerhedsprofilen</w:t>
      </w:r>
    </w:p>
    <w:p w14:paraId="3B06C6CD" w14:textId="77777777" w:rsidR="00EF23AD" w:rsidRPr="00AD3AB8" w:rsidRDefault="00EF23AD" w:rsidP="00A86FDA">
      <w:pPr>
        <w:ind w:left="851"/>
        <w:rPr>
          <w:sz w:val="24"/>
          <w:szCs w:val="24"/>
        </w:rPr>
      </w:pPr>
      <w:r w:rsidRPr="00AD3AB8">
        <w:rPr>
          <w:sz w:val="24"/>
          <w:szCs w:val="24"/>
        </w:rPr>
        <w:t xml:space="preserve">De mest almindelige bivirkninger (≥ 35 %), som er rapporteret, er </w:t>
      </w:r>
      <w:proofErr w:type="spellStart"/>
      <w:r w:rsidRPr="00AD3AB8">
        <w:rPr>
          <w:sz w:val="24"/>
          <w:szCs w:val="24"/>
        </w:rPr>
        <w:t>pyreksi</w:t>
      </w:r>
      <w:proofErr w:type="spellEnd"/>
      <w:r w:rsidRPr="00AD3AB8">
        <w:rPr>
          <w:sz w:val="24"/>
          <w:szCs w:val="24"/>
        </w:rPr>
        <w:t xml:space="preserve">, anæmi og </w:t>
      </w:r>
      <w:proofErr w:type="spellStart"/>
      <w:r w:rsidRPr="00AD3AB8">
        <w:rPr>
          <w:sz w:val="24"/>
          <w:szCs w:val="24"/>
        </w:rPr>
        <w:t>trombocytopeni</w:t>
      </w:r>
      <w:proofErr w:type="spellEnd"/>
      <w:r w:rsidRPr="00AD3AB8">
        <w:rPr>
          <w:sz w:val="24"/>
          <w:szCs w:val="24"/>
        </w:rPr>
        <w:t>.</w:t>
      </w:r>
    </w:p>
    <w:p w14:paraId="0E056963" w14:textId="77777777" w:rsidR="00EF23AD" w:rsidRPr="00AD3AB8" w:rsidRDefault="00EF23AD" w:rsidP="00A86FDA">
      <w:pPr>
        <w:ind w:left="851"/>
        <w:rPr>
          <w:sz w:val="24"/>
          <w:szCs w:val="24"/>
        </w:rPr>
      </w:pPr>
    </w:p>
    <w:p w14:paraId="00A8B650" w14:textId="77777777" w:rsidR="00EF23AD" w:rsidRPr="00AD3AB8" w:rsidRDefault="00EF23AD" w:rsidP="00A86FDA">
      <w:pPr>
        <w:ind w:left="851"/>
        <w:rPr>
          <w:sz w:val="24"/>
          <w:szCs w:val="24"/>
        </w:rPr>
      </w:pPr>
      <w:r w:rsidRPr="00AD3AB8">
        <w:rPr>
          <w:sz w:val="24"/>
          <w:szCs w:val="24"/>
        </w:rPr>
        <w:t xml:space="preserve">De mest almindelige bivirkninger af grad 3/4 (≥ 20 %) omfattede pneumoni, </w:t>
      </w:r>
      <w:proofErr w:type="spellStart"/>
      <w:r w:rsidRPr="00AD3AB8">
        <w:rPr>
          <w:sz w:val="24"/>
          <w:szCs w:val="24"/>
        </w:rPr>
        <w:t>trombocytopeni</w:t>
      </w:r>
      <w:proofErr w:type="spellEnd"/>
      <w:r w:rsidRPr="00AD3AB8">
        <w:rPr>
          <w:sz w:val="24"/>
          <w:szCs w:val="24"/>
        </w:rPr>
        <w:t xml:space="preserve">, </w:t>
      </w:r>
      <w:proofErr w:type="spellStart"/>
      <w:r w:rsidRPr="00AD3AB8">
        <w:rPr>
          <w:sz w:val="24"/>
          <w:szCs w:val="24"/>
        </w:rPr>
        <w:t>neutropeni</w:t>
      </w:r>
      <w:proofErr w:type="spellEnd"/>
      <w:r w:rsidRPr="00AD3AB8">
        <w:rPr>
          <w:sz w:val="24"/>
          <w:szCs w:val="24"/>
        </w:rPr>
        <w:t xml:space="preserve">, febril </w:t>
      </w:r>
      <w:proofErr w:type="spellStart"/>
      <w:r w:rsidRPr="00AD3AB8">
        <w:rPr>
          <w:sz w:val="24"/>
          <w:szCs w:val="24"/>
        </w:rPr>
        <w:t>neutropeni</w:t>
      </w:r>
      <w:proofErr w:type="spellEnd"/>
      <w:r w:rsidRPr="00AD3AB8">
        <w:rPr>
          <w:sz w:val="24"/>
          <w:szCs w:val="24"/>
        </w:rPr>
        <w:t xml:space="preserve"> og anæmi.</w:t>
      </w:r>
    </w:p>
    <w:p w14:paraId="6366C924" w14:textId="77777777" w:rsidR="00EF23AD" w:rsidRPr="00AD3AB8" w:rsidRDefault="00EF23AD" w:rsidP="00A86FDA">
      <w:pPr>
        <w:ind w:left="851"/>
        <w:rPr>
          <w:sz w:val="24"/>
          <w:szCs w:val="24"/>
        </w:rPr>
      </w:pPr>
      <w:r w:rsidRPr="00AD3AB8">
        <w:rPr>
          <w:sz w:val="24"/>
          <w:szCs w:val="24"/>
        </w:rPr>
        <w:t xml:space="preserve">I kliniske studier fik 30 % af de patienter, der fik </w:t>
      </w:r>
      <w:proofErr w:type="spellStart"/>
      <w:r w:rsidRPr="00AD3AB8">
        <w:rPr>
          <w:sz w:val="24"/>
          <w:szCs w:val="24"/>
        </w:rPr>
        <w:t>decitabin</w:t>
      </w:r>
      <w:proofErr w:type="spellEnd"/>
      <w:r w:rsidRPr="00AD3AB8">
        <w:rPr>
          <w:sz w:val="24"/>
          <w:szCs w:val="24"/>
        </w:rPr>
        <w:t xml:space="preserve">, og 25 % af patienterne i </w:t>
      </w:r>
      <w:proofErr w:type="spellStart"/>
      <w:r w:rsidRPr="00AD3AB8">
        <w:rPr>
          <w:sz w:val="24"/>
          <w:szCs w:val="24"/>
        </w:rPr>
        <w:t>komparator</w:t>
      </w:r>
      <w:proofErr w:type="spellEnd"/>
      <w:r w:rsidRPr="00AD3AB8">
        <w:rPr>
          <w:sz w:val="24"/>
          <w:szCs w:val="24"/>
        </w:rPr>
        <w:t>- gruppen bivirkninger med dødeligt udfald i løbet af behandlingen eller inden for 30 dage efter den sidste dosis studiemedicin.</w:t>
      </w:r>
    </w:p>
    <w:p w14:paraId="793F5F1D" w14:textId="77777777" w:rsidR="00EF23AD" w:rsidRPr="00AD3AB8" w:rsidRDefault="00EF23AD" w:rsidP="00A86FDA">
      <w:pPr>
        <w:ind w:left="851"/>
        <w:rPr>
          <w:sz w:val="24"/>
          <w:szCs w:val="24"/>
        </w:rPr>
      </w:pPr>
      <w:r w:rsidRPr="00AD3AB8">
        <w:rPr>
          <w:sz w:val="24"/>
          <w:szCs w:val="24"/>
        </w:rPr>
        <w:t xml:space="preserve">I gruppen, der blev behandlet med </w:t>
      </w:r>
      <w:proofErr w:type="spellStart"/>
      <w:r w:rsidRPr="00AD3AB8">
        <w:rPr>
          <w:sz w:val="24"/>
          <w:szCs w:val="24"/>
        </w:rPr>
        <w:t>decitabin</w:t>
      </w:r>
      <w:proofErr w:type="spellEnd"/>
      <w:r w:rsidRPr="00AD3AB8">
        <w:rPr>
          <w:sz w:val="24"/>
          <w:szCs w:val="24"/>
        </w:rPr>
        <w:t>, blev behandlingen hyppigere seponeret på grund af bivirkninger hos kvinder end hos mænd (43 % versus 32 %).</w:t>
      </w:r>
    </w:p>
    <w:p w14:paraId="0F30DC91" w14:textId="77777777" w:rsidR="00EF23AD" w:rsidRPr="00AD3AB8" w:rsidRDefault="00EF23AD" w:rsidP="00A86FDA">
      <w:pPr>
        <w:ind w:left="851"/>
        <w:rPr>
          <w:sz w:val="24"/>
          <w:szCs w:val="24"/>
        </w:rPr>
      </w:pPr>
    </w:p>
    <w:p w14:paraId="608A520F" w14:textId="77777777" w:rsidR="00EF23AD" w:rsidRPr="00A112B1" w:rsidRDefault="00EF23AD" w:rsidP="00A86FDA">
      <w:pPr>
        <w:ind w:left="851"/>
        <w:rPr>
          <w:sz w:val="24"/>
          <w:szCs w:val="24"/>
          <w:u w:val="single"/>
        </w:rPr>
      </w:pPr>
      <w:r w:rsidRPr="00A112B1">
        <w:rPr>
          <w:sz w:val="24"/>
          <w:szCs w:val="24"/>
          <w:u w:val="single"/>
        </w:rPr>
        <w:t>Bivirkninger opstillet i tabelform</w:t>
      </w:r>
    </w:p>
    <w:p w14:paraId="357AE9CF" w14:textId="77777777" w:rsidR="00EF23AD" w:rsidRPr="00AD3AB8" w:rsidRDefault="00EF23AD" w:rsidP="00A86FDA">
      <w:pPr>
        <w:ind w:left="851"/>
        <w:rPr>
          <w:sz w:val="24"/>
          <w:szCs w:val="24"/>
        </w:rPr>
      </w:pPr>
      <w:r w:rsidRPr="00AD3AB8">
        <w:rPr>
          <w:sz w:val="24"/>
          <w:szCs w:val="24"/>
        </w:rPr>
        <w:t xml:space="preserve">Tabel 1 viser de bivirkninger, der forekom hos 293 patienter med AML under behandling med </w:t>
      </w:r>
      <w:proofErr w:type="spellStart"/>
      <w:r w:rsidRPr="00AD3AB8">
        <w:rPr>
          <w:sz w:val="24"/>
          <w:szCs w:val="24"/>
        </w:rPr>
        <w:t>decitabin</w:t>
      </w:r>
      <w:proofErr w:type="spellEnd"/>
      <w:r w:rsidRPr="00AD3AB8">
        <w:rPr>
          <w:sz w:val="24"/>
          <w:szCs w:val="24"/>
        </w:rPr>
        <w:t>. Tabellen er baseret på data fra kliniske AML-studier og fra erfaring efter markedsføringen. Bivirkningerne er opstillet efter hyppighed. Hyppighed klassificeres som følger: Meget almindelig (≥ 1/10), almindelig (≥ 1/100 til &lt; 1/10), ikke almindelig (≥ 1/1.000 til &lt; 1/100), sjælden (≥ 1/10.000 til &lt; 1/1.000) og meget sjælden (&lt; 1/10.000), ikke kendt (kan ikke estimeres ud fra forhåndenværende data).</w:t>
      </w:r>
    </w:p>
    <w:p w14:paraId="4768744E" w14:textId="77777777" w:rsidR="00EF23AD" w:rsidRPr="00AD3AB8" w:rsidRDefault="00EF23AD" w:rsidP="00A86FDA">
      <w:pPr>
        <w:ind w:left="851"/>
        <w:rPr>
          <w:sz w:val="24"/>
          <w:szCs w:val="24"/>
        </w:rPr>
      </w:pPr>
    </w:p>
    <w:p w14:paraId="0D42A077" w14:textId="77777777" w:rsidR="00EF23AD" w:rsidRPr="00AD3AB8" w:rsidRDefault="00EF23AD" w:rsidP="00A86FDA">
      <w:pPr>
        <w:ind w:left="851"/>
        <w:rPr>
          <w:sz w:val="24"/>
          <w:szCs w:val="24"/>
        </w:rPr>
      </w:pPr>
      <w:r w:rsidRPr="00AD3AB8">
        <w:rPr>
          <w:sz w:val="24"/>
          <w:szCs w:val="24"/>
        </w:rPr>
        <w:t>Inden for hver enkelt hyppighedsgruppe er bivirkningerne opstillet efter, hvor alvorlige de er. De alvorligste bivirkninger anføres først.</w:t>
      </w:r>
    </w:p>
    <w:p w14:paraId="5012BDAF" w14:textId="77777777" w:rsidR="00EF23AD" w:rsidRPr="00AD3AB8" w:rsidRDefault="00EF23AD" w:rsidP="00A86FDA">
      <w:pPr>
        <w:ind w:left="851"/>
        <w:rPr>
          <w:sz w:val="24"/>
          <w:szCs w:val="24"/>
        </w:rPr>
      </w:pPr>
    </w:p>
    <w:p w14:paraId="7A03D536" w14:textId="24247D29" w:rsidR="00EF23AD" w:rsidRPr="00AD3AB8" w:rsidRDefault="00EF23AD" w:rsidP="00EF23AD">
      <w:pPr>
        <w:rPr>
          <w:b/>
          <w:bCs/>
          <w:sz w:val="24"/>
          <w:szCs w:val="24"/>
        </w:rPr>
      </w:pPr>
      <w:r w:rsidRPr="00AD3AB8">
        <w:rPr>
          <w:b/>
          <w:bCs/>
          <w:sz w:val="24"/>
          <w:szCs w:val="24"/>
        </w:rPr>
        <w:t>Tabel 1:</w:t>
      </w:r>
      <w:r w:rsidR="00E33B9A">
        <w:rPr>
          <w:b/>
          <w:bCs/>
          <w:sz w:val="24"/>
          <w:szCs w:val="24"/>
        </w:rPr>
        <w:t xml:space="preserve"> </w:t>
      </w:r>
      <w:r w:rsidRPr="00AD3AB8">
        <w:rPr>
          <w:b/>
          <w:bCs/>
          <w:sz w:val="24"/>
          <w:szCs w:val="24"/>
        </w:rPr>
        <w:t xml:space="preserve">Bivirkninger påvist med </w:t>
      </w:r>
      <w:proofErr w:type="spellStart"/>
      <w:r w:rsidRPr="00AD3AB8">
        <w:rPr>
          <w:b/>
          <w:bCs/>
          <w:sz w:val="24"/>
          <w:szCs w:val="24"/>
        </w:rPr>
        <w:t>decitabin</w:t>
      </w:r>
      <w:proofErr w:type="spellEnd"/>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899"/>
        <w:gridCol w:w="1689"/>
        <w:gridCol w:w="2701"/>
        <w:gridCol w:w="1156"/>
        <w:gridCol w:w="1173"/>
      </w:tblGrid>
      <w:tr w:rsidR="00EF23AD" w:rsidRPr="00E33B9A" w14:paraId="6175C741" w14:textId="77777777" w:rsidTr="00A112B1">
        <w:trPr>
          <w:trHeight w:val="253"/>
        </w:trPr>
        <w:tc>
          <w:tcPr>
            <w:tcW w:w="1507" w:type="pct"/>
            <w:vMerge w:val="restart"/>
            <w:tcBorders>
              <w:top w:val="single" w:sz="8" w:space="0" w:color="000000"/>
              <w:left w:val="single" w:sz="8" w:space="0" w:color="000000"/>
              <w:bottom w:val="single" w:sz="8" w:space="0" w:color="000000"/>
              <w:right w:val="single" w:sz="8" w:space="0" w:color="000000"/>
            </w:tcBorders>
            <w:vAlign w:val="center"/>
          </w:tcPr>
          <w:p w14:paraId="2A7F4CA9" w14:textId="77777777" w:rsidR="00EF23AD" w:rsidRPr="00E33B9A" w:rsidRDefault="00EF23AD">
            <w:pPr>
              <w:suppressAutoHyphens/>
              <w:jc w:val="center"/>
              <w:rPr>
                <w:b/>
                <w:bCs/>
                <w:sz w:val="24"/>
                <w:szCs w:val="24"/>
              </w:rPr>
            </w:pPr>
            <w:r w:rsidRPr="00E33B9A">
              <w:rPr>
                <w:b/>
                <w:bCs/>
                <w:sz w:val="24"/>
                <w:szCs w:val="24"/>
              </w:rPr>
              <w:t>Systemorganklasse</w:t>
            </w:r>
          </w:p>
        </w:tc>
        <w:tc>
          <w:tcPr>
            <w:tcW w:w="878" w:type="pct"/>
            <w:vMerge w:val="restart"/>
            <w:tcBorders>
              <w:top w:val="single" w:sz="8" w:space="0" w:color="000000"/>
              <w:left w:val="single" w:sz="8" w:space="0" w:color="000000"/>
              <w:bottom w:val="single" w:sz="8" w:space="0" w:color="000000"/>
              <w:right w:val="single" w:sz="8" w:space="0" w:color="000000"/>
            </w:tcBorders>
            <w:vAlign w:val="center"/>
          </w:tcPr>
          <w:p w14:paraId="2CCB35D6" w14:textId="77777777" w:rsidR="00EF23AD" w:rsidRPr="00E33B9A" w:rsidRDefault="00EF23AD">
            <w:pPr>
              <w:suppressAutoHyphens/>
              <w:jc w:val="center"/>
              <w:rPr>
                <w:b/>
                <w:bCs/>
                <w:sz w:val="24"/>
                <w:szCs w:val="24"/>
              </w:rPr>
            </w:pPr>
            <w:r w:rsidRPr="00E33B9A">
              <w:rPr>
                <w:b/>
                <w:bCs/>
                <w:sz w:val="24"/>
                <w:szCs w:val="24"/>
              </w:rPr>
              <w:t>Hyppighed (uanset grad)</w:t>
            </w:r>
          </w:p>
        </w:tc>
        <w:tc>
          <w:tcPr>
            <w:tcW w:w="1404" w:type="pct"/>
            <w:vMerge w:val="restart"/>
            <w:tcBorders>
              <w:top w:val="single" w:sz="8" w:space="0" w:color="000000"/>
              <w:left w:val="single" w:sz="8" w:space="0" w:color="000000"/>
              <w:bottom w:val="single" w:sz="8" w:space="0" w:color="000000"/>
              <w:right w:val="single" w:sz="8" w:space="0" w:color="000000"/>
            </w:tcBorders>
            <w:vAlign w:val="center"/>
          </w:tcPr>
          <w:p w14:paraId="59C2AF7B" w14:textId="77777777" w:rsidR="00EF23AD" w:rsidRPr="00E33B9A" w:rsidRDefault="00EF23AD">
            <w:pPr>
              <w:suppressAutoHyphens/>
              <w:jc w:val="center"/>
              <w:rPr>
                <w:b/>
                <w:bCs/>
                <w:sz w:val="24"/>
                <w:szCs w:val="24"/>
              </w:rPr>
            </w:pPr>
            <w:r w:rsidRPr="00E33B9A">
              <w:rPr>
                <w:b/>
                <w:bCs/>
                <w:sz w:val="24"/>
                <w:szCs w:val="24"/>
              </w:rPr>
              <w:t>Bivirkning</w:t>
            </w:r>
          </w:p>
        </w:tc>
        <w:tc>
          <w:tcPr>
            <w:tcW w:w="1212" w:type="pct"/>
            <w:gridSpan w:val="2"/>
            <w:tcBorders>
              <w:top w:val="single" w:sz="8" w:space="0" w:color="000000"/>
              <w:left w:val="single" w:sz="8" w:space="0" w:color="000000"/>
              <w:bottom w:val="single" w:sz="8" w:space="0" w:color="000000"/>
              <w:right w:val="single" w:sz="8" w:space="0" w:color="000000"/>
            </w:tcBorders>
            <w:hideMark/>
          </w:tcPr>
          <w:p w14:paraId="1CD2E3B1" w14:textId="6659DD0A" w:rsidR="00EF23AD" w:rsidRPr="00E33B9A" w:rsidRDefault="00EF23AD">
            <w:pPr>
              <w:suppressAutoHyphens/>
              <w:jc w:val="center"/>
              <w:rPr>
                <w:b/>
                <w:bCs/>
                <w:sz w:val="24"/>
                <w:szCs w:val="24"/>
              </w:rPr>
            </w:pPr>
            <w:r w:rsidRPr="00E33B9A">
              <w:rPr>
                <w:b/>
                <w:bCs/>
                <w:sz w:val="24"/>
                <w:szCs w:val="24"/>
              </w:rPr>
              <w:t>Hyppighed</w:t>
            </w:r>
          </w:p>
        </w:tc>
      </w:tr>
      <w:tr w:rsidR="00EF23AD" w:rsidRPr="00E33B9A" w14:paraId="7AF37A4A" w14:textId="77777777" w:rsidTr="00AD3AB8">
        <w:trPr>
          <w:trHeight w:val="505"/>
        </w:trPr>
        <w:tc>
          <w:tcPr>
            <w:tcW w:w="1507" w:type="pct"/>
            <w:vMerge/>
            <w:tcBorders>
              <w:top w:val="single" w:sz="8" w:space="0" w:color="000000"/>
              <w:left w:val="single" w:sz="8" w:space="0" w:color="000000"/>
              <w:bottom w:val="single" w:sz="8" w:space="0" w:color="000000"/>
              <w:right w:val="single" w:sz="8" w:space="0" w:color="000000"/>
            </w:tcBorders>
            <w:vAlign w:val="center"/>
            <w:hideMark/>
          </w:tcPr>
          <w:p w14:paraId="7E69ED2A" w14:textId="77777777" w:rsidR="00EF23AD" w:rsidRPr="00E33B9A" w:rsidRDefault="00EF23AD">
            <w:pPr>
              <w:rPr>
                <w:b/>
                <w:bCs/>
                <w:sz w:val="24"/>
                <w:szCs w:val="24"/>
              </w:rPr>
            </w:pPr>
          </w:p>
        </w:tc>
        <w:tc>
          <w:tcPr>
            <w:tcW w:w="878" w:type="pct"/>
            <w:vMerge/>
            <w:tcBorders>
              <w:top w:val="single" w:sz="8" w:space="0" w:color="000000"/>
              <w:left w:val="single" w:sz="8" w:space="0" w:color="000000"/>
              <w:bottom w:val="single" w:sz="8" w:space="0" w:color="000000"/>
              <w:right w:val="single" w:sz="8" w:space="0" w:color="000000"/>
            </w:tcBorders>
            <w:vAlign w:val="center"/>
            <w:hideMark/>
          </w:tcPr>
          <w:p w14:paraId="40BC5B52" w14:textId="77777777" w:rsidR="00EF23AD" w:rsidRPr="00E33B9A" w:rsidRDefault="00EF23AD">
            <w:pPr>
              <w:rPr>
                <w:b/>
                <w:bCs/>
                <w:sz w:val="24"/>
                <w:szCs w:val="24"/>
              </w:rPr>
            </w:pPr>
          </w:p>
        </w:tc>
        <w:tc>
          <w:tcPr>
            <w:tcW w:w="1404" w:type="pct"/>
            <w:vMerge/>
            <w:tcBorders>
              <w:top w:val="single" w:sz="8" w:space="0" w:color="000000"/>
              <w:left w:val="single" w:sz="8" w:space="0" w:color="000000"/>
              <w:bottom w:val="single" w:sz="8" w:space="0" w:color="000000"/>
              <w:right w:val="single" w:sz="8" w:space="0" w:color="000000"/>
            </w:tcBorders>
            <w:vAlign w:val="center"/>
            <w:hideMark/>
          </w:tcPr>
          <w:p w14:paraId="15082465" w14:textId="77777777" w:rsidR="00EF23AD" w:rsidRPr="00E33B9A" w:rsidRDefault="00EF23AD">
            <w:pPr>
              <w:rPr>
                <w:b/>
                <w:bCs/>
                <w:sz w:val="24"/>
                <w:szCs w:val="24"/>
              </w:rPr>
            </w:pPr>
          </w:p>
        </w:tc>
        <w:tc>
          <w:tcPr>
            <w:tcW w:w="601" w:type="pct"/>
            <w:tcBorders>
              <w:top w:val="single" w:sz="8" w:space="0" w:color="000000"/>
              <w:left w:val="single" w:sz="8" w:space="0" w:color="000000"/>
              <w:bottom w:val="single" w:sz="8" w:space="0" w:color="000000"/>
              <w:right w:val="single" w:sz="8" w:space="0" w:color="000000"/>
            </w:tcBorders>
            <w:hideMark/>
          </w:tcPr>
          <w:p w14:paraId="7468F4BB" w14:textId="77777777" w:rsidR="00EF23AD" w:rsidRPr="00E33B9A" w:rsidRDefault="00EF23AD">
            <w:pPr>
              <w:suppressAutoHyphens/>
              <w:jc w:val="center"/>
              <w:rPr>
                <w:b/>
                <w:bCs/>
                <w:sz w:val="24"/>
                <w:szCs w:val="24"/>
              </w:rPr>
            </w:pPr>
            <w:r w:rsidRPr="00E33B9A">
              <w:rPr>
                <w:b/>
                <w:bCs/>
                <w:sz w:val="24"/>
                <w:szCs w:val="24"/>
              </w:rPr>
              <w:t xml:space="preserve">Alle </w:t>
            </w:r>
            <w:proofErr w:type="spellStart"/>
            <w:r w:rsidRPr="00E33B9A">
              <w:rPr>
                <w:b/>
                <w:bCs/>
                <w:sz w:val="24"/>
                <w:szCs w:val="24"/>
              </w:rPr>
              <w:t>grader</w:t>
            </w:r>
            <w:r w:rsidRPr="00E33B9A">
              <w:rPr>
                <w:b/>
                <w:bCs/>
                <w:sz w:val="24"/>
                <w:szCs w:val="24"/>
                <w:vertAlign w:val="superscript"/>
              </w:rPr>
              <w:t>a</w:t>
            </w:r>
            <w:proofErr w:type="spellEnd"/>
            <w:r w:rsidRPr="00E33B9A">
              <w:rPr>
                <w:b/>
                <w:bCs/>
                <w:sz w:val="24"/>
                <w:szCs w:val="24"/>
              </w:rPr>
              <w:t xml:space="preserve"> (%)</w:t>
            </w:r>
          </w:p>
        </w:tc>
        <w:tc>
          <w:tcPr>
            <w:tcW w:w="611" w:type="pct"/>
            <w:tcBorders>
              <w:top w:val="single" w:sz="8" w:space="0" w:color="000000"/>
              <w:left w:val="single" w:sz="8" w:space="0" w:color="000000"/>
              <w:bottom w:val="single" w:sz="8" w:space="0" w:color="000000"/>
              <w:right w:val="single" w:sz="8" w:space="0" w:color="000000"/>
            </w:tcBorders>
            <w:hideMark/>
          </w:tcPr>
          <w:p w14:paraId="7981930E" w14:textId="77777777" w:rsidR="00EF23AD" w:rsidRPr="00E33B9A" w:rsidRDefault="00EF23AD">
            <w:pPr>
              <w:suppressAutoHyphens/>
              <w:jc w:val="center"/>
              <w:rPr>
                <w:b/>
                <w:bCs/>
                <w:sz w:val="24"/>
                <w:szCs w:val="24"/>
              </w:rPr>
            </w:pPr>
            <w:r w:rsidRPr="00E33B9A">
              <w:rPr>
                <w:b/>
                <w:bCs/>
                <w:sz w:val="24"/>
                <w:szCs w:val="24"/>
              </w:rPr>
              <w:t>Grad 3-4</w:t>
            </w:r>
            <w:r w:rsidRPr="00E33B9A">
              <w:rPr>
                <w:b/>
                <w:bCs/>
                <w:sz w:val="24"/>
                <w:szCs w:val="24"/>
                <w:vertAlign w:val="superscript"/>
              </w:rPr>
              <w:t>a</w:t>
            </w:r>
            <w:r w:rsidRPr="00E33B9A">
              <w:rPr>
                <w:b/>
                <w:bCs/>
                <w:sz w:val="24"/>
                <w:szCs w:val="24"/>
              </w:rPr>
              <w:t xml:space="preserve"> (%)</w:t>
            </w:r>
          </w:p>
        </w:tc>
      </w:tr>
      <w:tr w:rsidR="00EF23AD" w:rsidRPr="00E33B9A" w14:paraId="621582B0" w14:textId="77777777" w:rsidTr="00AD3AB8">
        <w:trPr>
          <w:trHeight w:val="246"/>
        </w:trPr>
        <w:tc>
          <w:tcPr>
            <w:tcW w:w="1507" w:type="pct"/>
            <w:vMerge w:val="restart"/>
            <w:tcBorders>
              <w:top w:val="single" w:sz="8" w:space="0" w:color="000000"/>
              <w:left w:val="single" w:sz="8" w:space="0" w:color="000000"/>
              <w:bottom w:val="single" w:sz="8" w:space="0" w:color="000000"/>
              <w:right w:val="single" w:sz="8" w:space="0" w:color="000000"/>
            </w:tcBorders>
            <w:hideMark/>
          </w:tcPr>
          <w:p w14:paraId="69A772F9" w14:textId="77777777" w:rsidR="00EF23AD" w:rsidRPr="00E33B9A" w:rsidRDefault="00EF23AD">
            <w:pPr>
              <w:suppressAutoHyphens/>
              <w:rPr>
                <w:sz w:val="24"/>
                <w:szCs w:val="24"/>
              </w:rPr>
            </w:pPr>
            <w:r w:rsidRPr="00E33B9A">
              <w:rPr>
                <w:sz w:val="24"/>
                <w:szCs w:val="24"/>
              </w:rPr>
              <w:t>Infektioner og parasitære sygdomme</w:t>
            </w:r>
          </w:p>
        </w:tc>
        <w:tc>
          <w:tcPr>
            <w:tcW w:w="878" w:type="pct"/>
            <w:vMerge w:val="restart"/>
            <w:tcBorders>
              <w:top w:val="single" w:sz="8" w:space="0" w:color="000000"/>
              <w:left w:val="single" w:sz="8" w:space="0" w:color="000000"/>
              <w:bottom w:val="single" w:sz="8" w:space="0" w:color="000000"/>
              <w:right w:val="single" w:sz="8" w:space="0" w:color="000000"/>
            </w:tcBorders>
            <w:hideMark/>
          </w:tcPr>
          <w:p w14:paraId="1496C697" w14:textId="354CCD9A" w:rsidR="00EF23AD" w:rsidRPr="00E33B9A" w:rsidRDefault="00EF23AD" w:rsidP="00A112B1">
            <w:pPr>
              <w:suppressAutoHyphens/>
              <w:rPr>
                <w:sz w:val="24"/>
                <w:szCs w:val="24"/>
              </w:rPr>
            </w:pPr>
            <w:r w:rsidRPr="00E33B9A">
              <w:rPr>
                <w:sz w:val="24"/>
                <w:szCs w:val="24"/>
              </w:rPr>
              <w:t>Meget</w:t>
            </w:r>
            <w:r w:rsidR="00A112B1" w:rsidRPr="00E33B9A">
              <w:rPr>
                <w:sz w:val="24"/>
                <w:szCs w:val="24"/>
              </w:rPr>
              <w:t xml:space="preserve"> </w:t>
            </w:r>
            <w:r w:rsidRPr="00E33B9A">
              <w:rPr>
                <w:sz w:val="24"/>
                <w:szCs w:val="24"/>
              </w:rPr>
              <w:t>almindelig</w:t>
            </w:r>
          </w:p>
        </w:tc>
        <w:tc>
          <w:tcPr>
            <w:tcW w:w="1404" w:type="pct"/>
            <w:tcBorders>
              <w:top w:val="single" w:sz="8" w:space="0" w:color="000000"/>
              <w:left w:val="single" w:sz="8" w:space="0" w:color="000000"/>
              <w:bottom w:val="single" w:sz="8" w:space="0" w:color="000000"/>
              <w:right w:val="single" w:sz="8" w:space="0" w:color="000000"/>
            </w:tcBorders>
            <w:hideMark/>
          </w:tcPr>
          <w:p w14:paraId="774D3DAF" w14:textId="77777777" w:rsidR="00EF23AD" w:rsidRPr="00E33B9A" w:rsidRDefault="00EF23AD">
            <w:pPr>
              <w:suppressAutoHyphens/>
              <w:rPr>
                <w:sz w:val="24"/>
                <w:szCs w:val="24"/>
              </w:rPr>
            </w:pPr>
            <w:r w:rsidRPr="00E33B9A">
              <w:rPr>
                <w:sz w:val="24"/>
                <w:szCs w:val="24"/>
              </w:rPr>
              <w:t>pneumoni*</w:t>
            </w:r>
          </w:p>
        </w:tc>
        <w:tc>
          <w:tcPr>
            <w:tcW w:w="601" w:type="pct"/>
            <w:tcBorders>
              <w:top w:val="single" w:sz="8" w:space="0" w:color="000000"/>
              <w:left w:val="single" w:sz="8" w:space="0" w:color="000000"/>
              <w:bottom w:val="single" w:sz="8" w:space="0" w:color="000000"/>
              <w:right w:val="single" w:sz="8" w:space="0" w:color="000000"/>
            </w:tcBorders>
            <w:hideMark/>
          </w:tcPr>
          <w:p w14:paraId="69445091" w14:textId="77777777" w:rsidR="00EF23AD" w:rsidRPr="00E33B9A" w:rsidRDefault="00EF23AD">
            <w:pPr>
              <w:suppressAutoHyphens/>
              <w:jc w:val="center"/>
              <w:rPr>
                <w:sz w:val="24"/>
                <w:szCs w:val="24"/>
              </w:rPr>
            </w:pPr>
            <w:r w:rsidRPr="00E33B9A">
              <w:rPr>
                <w:sz w:val="24"/>
                <w:szCs w:val="24"/>
              </w:rPr>
              <w:t>24</w:t>
            </w:r>
          </w:p>
        </w:tc>
        <w:tc>
          <w:tcPr>
            <w:tcW w:w="611" w:type="pct"/>
            <w:tcBorders>
              <w:top w:val="single" w:sz="8" w:space="0" w:color="000000"/>
              <w:left w:val="single" w:sz="8" w:space="0" w:color="000000"/>
              <w:bottom w:val="single" w:sz="8" w:space="0" w:color="000000"/>
              <w:right w:val="single" w:sz="8" w:space="0" w:color="000000"/>
            </w:tcBorders>
            <w:hideMark/>
          </w:tcPr>
          <w:p w14:paraId="7CD3BD63" w14:textId="77777777" w:rsidR="00EF23AD" w:rsidRPr="00E33B9A" w:rsidRDefault="00EF23AD">
            <w:pPr>
              <w:suppressAutoHyphens/>
              <w:jc w:val="center"/>
              <w:rPr>
                <w:sz w:val="24"/>
                <w:szCs w:val="24"/>
              </w:rPr>
            </w:pPr>
            <w:r w:rsidRPr="00E33B9A">
              <w:rPr>
                <w:sz w:val="24"/>
                <w:szCs w:val="24"/>
              </w:rPr>
              <w:t>20</w:t>
            </w:r>
          </w:p>
        </w:tc>
      </w:tr>
      <w:tr w:rsidR="00EF23AD" w:rsidRPr="00E33B9A" w14:paraId="3CCAD0EC" w14:textId="77777777" w:rsidTr="00AD3AB8">
        <w:trPr>
          <w:trHeight w:val="241"/>
        </w:trPr>
        <w:tc>
          <w:tcPr>
            <w:tcW w:w="1507" w:type="pct"/>
            <w:vMerge/>
            <w:tcBorders>
              <w:top w:val="single" w:sz="8" w:space="0" w:color="000000"/>
              <w:left w:val="single" w:sz="8" w:space="0" w:color="000000"/>
              <w:bottom w:val="single" w:sz="8" w:space="0" w:color="000000"/>
              <w:right w:val="single" w:sz="8" w:space="0" w:color="000000"/>
            </w:tcBorders>
            <w:vAlign w:val="center"/>
            <w:hideMark/>
          </w:tcPr>
          <w:p w14:paraId="6E43805D" w14:textId="77777777" w:rsidR="00EF23AD" w:rsidRPr="00E33B9A" w:rsidRDefault="00EF23AD">
            <w:pPr>
              <w:rPr>
                <w:sz w:val="24"/>
                <w:szCs w:val="24"/>
              </w:rPr>
            </w:pPr>
          </w:p>
        </w:tc>
        <w:tc>
          <w:tcPr>
            <w:tcW w:w="878" w:type="pct"/>
            <w:vMerge/>
            <w:tcBorders>
              <w:top w:val="single" w:sz="8" w:space="0" w:color="000000"/>
              <w:left w:val="single" w:sz="8" w:space="0" w:color="000000"/>
              <w:bottom w:val="single" w:sz="8" w:space="0" w:color="000000"/>
              <w:right w:val="single" w:sz="8" w:space="0" w:color="000000"/>
            </w:tcBorders>
            <w:vAlign w:val="center"/>
            <w:hideMark/>
          </w:tcPr>
          <w:p w14:paraId="2EA0553D" w14:textId="77777777" w:rsidR="00EF23AD" w:rsidRPr="00E33B9A" w:rsidRDefault="00EF23AD">
            <w:pPr>
              <w:rPr>
                <w:sz w:val="24"/>
                <w:szCs w:val="24"/>
              </w:rPr>
            </w:pPr>
          </w:p>
        </w:tc>
        <w:tc>
          <w:tcPr>
            <w:tcW w:w="1404" w:type="pct"/>
            <w:tcBorders>
              <w:top w:val="single" w:sz="8" w:space="0" w:color="000000"/>
              <w:left w:val="single" w:sz="8" w:space="0" w:color="000000"/>
              <w:bottom w:val="single" w:sz="8" w:space="0" w:color="000000"/>
              <w:right w:val="single" w:sz="8" w:space="0" w:color="000000"/>
            </w:tcBorders>
            <w:hideMark/>
          </w:tcPr>
          <w:p w14:paraId="57F2DCE6" w14:textId="77777777" w:rsidR="00EF23AD" w:rsidRPr="00E33B9A" w:rsidRDefault="00EF23AD">
            <w:pPr>
              <w:suppressAutoHyphens/>
              <w:rPr>
                <w:sz w:val="24"/>
                <w:szCs w:val="24"/>
                <w:vertAlign w:val="superscript"/>
              </w:rPr>
            </w:pPr>
            <w:r w:rsidRPr="00E33B9A">
              <w:rPr>
                <w:sz w:val="24"/>
                <w:szCs w:val="24"/>
              </w:rPr>
              <w:t>urinvejsinfektion*</w:t>
            </w:r>
          </w:p>
        </w:tc>
        <w:tc>
          <w:tcPr>
            <w:tcW w:w="601" w:type="pct"/>
            <w:tcBorders>
              <w:top w:val="single" w:sz="8" w:space="0" w:color="000000"/>
              <w:left w:val="single" w:sz="8" w:space="0" w:color="000000"/>
              <w:bottom w:val="single" w:sz="8" w:space="0" w:color="000000"/>
              <w:right w:val="single" w:sz="8" w:space="0" w:color="000000"/>
            </w:tcBorders>
            <w:hideMark/>
          </w:tcPr>
          <w:p w14:paraId="1B11584C" w14:textId="77777777" w:rsidR="00EF23AD" w:rsidRPr="00E33B9A" w:rsidRDefault="00EF23AD">
            <w:pPr>
              <w:suppressAutoHyphens/>
              <w:jc w:val="center"/>
              <w:rPr>
                <w:sz w:val="24"/>
                <w:szCs w:val="24"/>
              </w:rPr>
            </w:pPr>
            <w:r w:rsidRPr="00E33B9A">
              <w:rPr>
                <w:sz w:val="24"/>
                <w:szCs w:val="24"/>
              </w:rPr>
              <w:t>15</w:t>
            </w:r>
          </w:p>
        </w:tc>
        <w:tc>
          <w:tcPr>
            <w:tcW w:w="611" w:type="pct"/>
            <w:tcBorders>
              <w:top w:val="single" w:sz="8" w:space="0" w:color="000000"/>
              <w:left w:val="single" w:sz="8" w:space="0" w:color="000000"/>
              <w:bottom w:val="single" w:sz="8" w:space="0" w:color="000000"/>
              <w:right w:val="single" w:sz="8" w:space="0" w:color="000000"/>
            </w:tcBorders>
            <w:hideMark/>
          </w:tcPr>
          <w:p w14:paraId="03750EF0" w14:textId="77777777" w:rsidR="00EF23AD" w:rsidRPr="00E33B9A" w:rsidRDefault="00EF23AD">
            <w:pPr>
              <w:suppressAutoHyphens/>
              <w:jc w:val="center"/>
              <w:rPr>
                <w:sz w:val="24"/>
                <w:szCs w:val="24"/>
              </w:rPr>
            </w:pPr>
            <w:r w:rsidRPr="00E33B9A">
              <w:rPr>
                <w:sz w:val="24"/>
                <w:szCs w:val="24"/>
              </w:rPr>
              <w:t>7</w:t>
            </w:r>
          </w:p>
        </w:tc>
      </w:tr>
      <w:tr w:rsidR="00EF23AD" w:rsidRPr="00E33B9A" w14:paraId="3D12DA5D" w14:textId="77777777" w:rsidTr="00AD3AB8">
        <w:trPr>
          <w:trHeight w:val="496"/>
        </w:trPr>
        <w:tc>
          <w:tcPr>
            <w:tcW w:w="1507" w:type="pct"/>
            <w:vMerge/>
            <w:tcBorders>
              <w:top w:val="single" w:sz="8" w:space="0" w:color="000000"/>
              <w:left w:val="single" w:sz="8" w:space="0" w:color="000000"/>
              <w:bottom w:val="single" w:sz="8" w:space="0" w:color="000000"/>
              <w:right w:val="single" w:sz="8" w:space="0" w:color="000000"/>
            </w:tcBorders>
            <w:vAlign w:val="center"/>
            <w:hideMark/>
          </w:tcPr>
          <w:p w14:paraId="4BBDCF5E" w14:textId="77777777" w:rsidR="00EF23AD" w:rsidRPr="00E33B9A" w:rsidRDefault="00EF23AD">
            <w:pPr>
              <w:rPr>
                <w:sz w:val="24"/>
                <w:szCs w:val="24"/>
              </w:rPr>
            </w:pPr>
          </w:p>
        </w:tc>
        <w:tc>
          <w:tcPr>
            <w:tcW w:w="878" w:type="pct"/>
            <w:vMerge/>
            <w:tcBorders>
              <w:top w:val="single" w:sz="8" w:space="0" w:color="000000"/>
              <w:left w:val="single" w:sz="8" w:space="0" w:color="000000"/>
              <w:bottom w:val="single" w:sz="8" w:space="0" w:color="000000"/>
              <w:right w:val="single" w:sz="8" w:space="0" w:color="000000"/>
            </w:tcBorders>
            <w:vAlign w:val="center"/>
            <w:hideMark/>
          </w:tcPr>
          <w:p w14:paraId="4BC916A0" w14:textId="77777777" w:rsidR="00EF23AD" w:rsidRPr="00E33B9A" w:rsidRDefault="00EF23AD">
            <w:pPr>
              <w:rPr>
                <w:sz w:val="24"/>
                <w:szCs w:val="24"/>
              </w:rPr>
            </w:pPr>
          </w:p>
        </w:tc>
        <w:tc>
          <w:tcPr>
            <w:tcW w:w="1404" w:type="pct"/>
            <w:tcBorders>
              <w:top w:val="single" w:sz="8" w:space="0" w:color="000000"/>
              <w:left w:val="single" w:sz="8" w:space="0" w:color="000000"/>
              <w:bottom w:val="single" w:sz="8" w:space="0" w:color="000000"/>
              <w:right w:val="single" w:sz="8" w:space="0" w:color="000000"/>
            </w:tcBorders>
            <w:hideMark/>
          </w:tcPr>
          <w:p w14:paraId="7C75CAEB" w14:textId="77777777" w:rsidR="00EF23AD" w:rsidRPr="00E33B9A" w:rsidRDefault="00EF23AD">
            <w:pPr>
              <w:suppressAutoHyphens/>
              <w:rPr>
                <w:sz w:val="24"/>
                <w:szCs w:val="24"/>
              </w:rPr>
            </w:pPr>
            <w:r w:rsidRPr="00E33B9A">
              <w:rPr>
                <w:sz w:val="24"/>
                <w:szCs w:val="24"/>
              </w:rPr>
              <w:t xml:space="preserve">alle andre infektioner (virale, bakterielle, </w:t>
            </w:r>
            <w:proofErr w:type="spellStart"/>
            <w:proofErr w:type="gramStart"/>
            <w:r w:rsidRPr="00E33B9A">
              <w:rPr>
                <w:sz w:val="24"/>
                <w:szCs w:val="24"/>
              </w:rPr>
              <w:t>mykotiske</w:t>
            </w:r>
            <w:proofErr w:type="spellEnd"/>
            <w:r w:rsidRPr="00E33B9A">
              <w:rPr>
                <w:sz w:val="24"/>
                <w:szCs w:val="24"/>
              </w:rPr>
              <w:t>)*</w:t>
            </w:r>
            <w:proofErr w:type="gramEnd"/>
            <w:r w:rsidRPr="00E33B9A">
              <w:rPr>
                <w:sz w:val="24"/>
                <w:szCs w:val="24"/>
                <w:vertAlign w:val="superscript"/>
              </w:rPr>
              <w:t>,</w:t>
            </w:r>
            <w:r w:rsidRPr="00E33B9A">
              <w:rPr>
                <w:sz w:val="24"/>
                <w:szCs w:val="24"/>
              </w:rPr>
              <w:t xml:space="preserve"> </w:t>
            </w:r>
            <w:r w:rsidRPr="00E33B9A">
              <w:rPr>
                <w:sz w:val="24"/>
                <w:szCs w:val="24"/>
                <w:vertAlign w:val="superscript"/>
              </w:rPr>
              <w:t>b,</w:t>
            </w:r>
            <w:r w:rsidRPr="00E33B9A">
              <w:rPr>
                <w:sz w:val="24"/>
                <w:szCs w:val="24"/>
              </w:rPr>
              <w:t xml:space="preserve"> </w:t>
            </w:r>
            <w:r w:rsidRPr="00E33B9A">
              <w:rPr>
                <w:sz w:val="24"/>
                <w:szCs w:val="24"/>
                <w:vertAlign w:val="superscript"/>
              </w:rPr>
              <w:t>c,</w:t>
            </w:r>
            <w:r w:rsidRPr="00E33B9A">
              <w:rPr>
                <w:sz w:val="24"/>
                <w:szCs w:val="24"/>
              </w:rPr>
              <w:t xml:space="preserve"> </w:t>
            </w:r>
            <w:r w:rsidRPr="00E33B9A">
              <w:rPr>
                <w:sz w:val="24"/>
                <w:szCs w:val="24"/>
                <w:vertAlign w:val="superscript"/>
              </w:rPr>
              <w:t>d</w:t>
            </w:r>
          </w:p>
        </w:tc>
        <w:tc>
          <w:tcPr>
            <w:tcW w:w="601" w:type="pct"/>
            <w:tcBorders>
              <w:top w:val="single" w:sz="8" w:space="0" w:color="000000"/>
              <w:left w:val="single" w:sz="8" w:space="0" w:color="000000"/>
              <w:bottom w:val="single" w:sz="8" w:space="0" w:color="000000"/>
              <w:right w:val="single" w:sz="8" w:space="0" w:color="000000"/>
            </w:tcBorders>
            <w:hideMark/>
          </w:tcPr>
          <w:p w14:paraId="4DF68E8F" w14:textId="77777777" w:rsidR="00EF23AD" w:rsidRPr="00E33B9A" w:rsidRDefault="00EF23AD">
            <w:pPr>
              <w:suppressAutoHyphens/>
              <w:jc w:val="center"/>
              <w:rPr>
                <w:sz w:val="24"/>
                <w:szCs w:val="24"/>
              </w:rPr>
            </w:pPr>
            <w:r w:rsidRPr="00E33B9A">
              <w:rPr>
                <w:sz w:val="24"/>
                <w:szCs w:val="24"/>
              </w:rPr>
              <w:t>63</w:t>
            </w:r>
          </w:p>
        </w:tc>
        <w:tc>
          <w:tcPr>
            <w:tcW w:w="611" w:type="pct"/>
            <w:tcBorders>
              <w:top w:val="single" w:sz="8" w:space="0" w:color="000000"/>
              <w:left w:val="single" w:sz="8" w:space="0" w:color="000000"/>
              <w:bottom w:val="single" w:sz="8" w:space="0" w:color="000000"/>
              <w:right w:val="single" w:sz="8" w:space="0" w:color="000000"/>
            </w:tcBorders>
            <w:hideMark/>
          </w:tcPr>
          <w:p w14:paraId="06C7E117" w14:textId="77777777" w:rsidR="00EF23AD" w:rsidRPr="00E33B9A" w:rsidRDefault="00EF23AD">
            <w:pPr>
              <w:suppressAutoHyphens/>
              <w:jc w:val="center"/>
              <w:rPr>
                <w:sz w:val="24"/>
                <w:szCs w:val="24"/>
              </w:rPr>
            </w:pPr>
            <w:r w:rsidRPr="00E33B9A">
              <w:rPr>
                <w:sz w:val="24"/>
                <w:szCs w:val="24"/>
              </w:rPr>
              <w:t>39</w:t>
            </w:r>
          </w:p>
        </w:tc>
      </w:tr>
      <w:tr w:rsidR="00EF23AD" w:rsidRPr="00E33B9A" w14:paraId="29BED77C" w14:textId="77777777" w:rsidTr="00AD3AB8">
        <w:trPr>
          <w:trHeight w:val="243"/>
        </w:trPr>
        <w:tc>
          <w:tcPr>
            <w:tcW w:w="1507" w:type="pct"/>
            <w:vMerge/>
            <w:tcBorders>
              <w:top w:val="single" w:sz="8" w:space="0" w:color="000000"/>
              <w:left w:val="single" w:sz="8" w:space="0" w:color="000000"/>
              <w:bottom w:val="single" w:sz="8" w:space="0" w:color="000000"/>
              <w:right w:val="single" w:sz="8" w:space="0" w:color="000000"/>
            </w:tcBorders>
            <w:vAlign w:val="center"/>
            <w:hideMark/>
          </w:tcPr>
          <w:p w14:paraId="175005AB" w14:textId="77777777" w:rsidR="00EF23AD" w:rsidRPr="00E33B9A" w:rsidRDefault="00EF23AD">
            <w:pPr>
              <w:rPr>
                <w:sz w:val="24"/>
                <w:szCs w:val="24"/>
              </w:rPr>
            </w:pPr>
          </w:p>
        </w:tc>
        <w:tc>
          <w:tcPr>
            <w:tcW w:w="878" w:type="pct"/>
            <w:vMerge w:val="restart"/>
            <w:tcBorders>
              <w:top w:val="single" w:sz="8" w:space="0" w:color="000000"/>
              <w:left w:val="single" w:sz="8" w:space="0" w:color="000000"/>
              <w:bottom w:val="single" w:sz="8" w:space="0" w:color="000000"/>
              <w:right w:val="single" w:sz="8" w:space="0" w:color="000000"/>
            </w:tcBorders>
            <w:hideMark/>
          </w:tcPr>
          <w:p w14:paraId="73F62977" w14:textId="77777777" w:rsidR="00EF23AD" w:rsidRPr="00E33B9A" w:rsidRDefault="00EF23AD">
            <w:pPr>
              <w:suppressAutoHyphens/>
              <w:rPr>
                <w:sz w:val="24"/>
                <w:szCs w:val="24"/>
              </w:rPr>
            </w:pPr>
            <w:r w:rsidRPr="00E33B9A">
              <w:rPr>
                <w:sz w:val="24"/>
                <w:szCs w:val="24"/>
              </w:rPr>
              <w:t>Almindelig</w:t>
            </w:r>
          </w:p>
        </w:tc>
        <w:tc>
          <w:tcPr>
            <w:tcW w:w="1404" w:type="pct"/>
            <w:tcBorders>
              <w:top w:val="single" w:sz="8" w:space="0" w:color="000000"/>
              <w:left w:val="single" w:sz="8" w:space="0" w:color="000000"/>
              <w:bottom w:val="single" w:sz="8" w:space="0" w:color="000000"/>
              <w:right w:val="single" w:sz="8" w:space="0" w:color="000000"/>
            </w:tcBorders>
            <w:hideMark/>
          </w:tcPr>
          <w:p w14:paraId="45A1AAD9" w14:textId="77777777" w:rsidR="00EF23AD" w:rsidRPr="00E33B9A" w:rsidRDefault="00EF23AD">
            <w:pPr>
              <w:suppressAutoHyphens/>
              <w:rPr>
                <w:sz w:val="24"/>
                <w:szCs w:val="24"/>
              </w:rPr>
            </w:pPr>
            <w:r w:rsidRPr="00E33B9A">
              <w:rPr>
                <w:sz w:val="24"/>
                <w:szCs w:val="24"/>
              </w:rPr>
              <w:t>septisk chok*</w:t>
            </w:r>
          </w:p>
        </w:tc>
        <w:tc>
          <w:tcPr>
            <w:tcW w:w="601" w:type="pct"/>
            <w:tcBorders>
              <w:top w:val="single" w:sz="8" w:space="0" w:color="000000"/>
              <w:left w:val="single" w:sz="8" w:space="0" w:color="000000"/>
              <w:bottom w:val="single" w:sz="8" w:space="0" w:color="000000"/>
              <w:right w:val="single" w:sz="8" w:space="0" w:color="000000"/>
            </w:tcBorders>
            <w:hideMark/>
          </w:tcPr>
          <w:p w14:paraId="662420F8" w14:textId="77777777" w:rsidR="00EF23AD" w:rsidRPr="00E33B9A" w:rsidRDefault="00EF23AD">
            <w:pPr>
              <w:suppressAutoHyphens/>
              <w:jc w:val="center"/>
              <w:rPr>
                <w:sz w:val="24"/>
                <w:szCs w:val="24"/>
              </w:rPr>
            </w:pPr>
            <w:r w:rsidRPr="00E33B9A">
              <w:rPr>
                <w:sz w:val="24"/>
                <w:szCs w:val="24"/>
              </w:rPr>
              <w:t>6</w:t>
            </w:r>
          </w:p>
        </w:tc>
        <w:tc>
          <w:tcPr>
            <w:tcW w:w="611" w:type="pct"/>
            <w:tcBorders>
              <w:top w:val="single" w:sz="8" w:space="0" w:color="000000"/>
              <w:left w:val="single" w:sz="8" w:space="0" w:color="000000"/>
              <w:bottom w:val="single" w:sz="8" w:space="0" w:color="000000"/>
              <w:right w:val="single" w:sz="8" w:space="0" w:color="000000"/>
            </w:tcBorders>
            <w:hideMark/>
          </w:tcPr>
          <w:p w14:paraId="1311B7A4" w14:textId="77777777" w:rsidR="00EF23AD" w:rsidRPr="00E33B9A" w:rsidRDefault="00EF23AD">
            <w:pPr>
              <w:suppressAutoHyphens/>
              <w:jc w:val="center"/>
              <w:rPr>
                <w:sz w:val="24"/>
                <w:szCs w:val="24"/>
              </w:rPr>
            </w:pPr>
            <w:r w:rsidRPr="00E33B9A">
              <w:rPr>
                <w:sz w:val="24"/>
                <w:szCs w:val="24"/>
              </w:rPr>
              <w:t>4</w:t>
            </w:r>
          </w:p>
        </w:tc>
      </w:tr>
      <w:tr w:rsidR="00EF23AD" w:rsidRPr="00E33B9A" w14:paraId="3796E7BC" w14:textId="77777777" w:rsidTr="00AD3AB8">
        <w:trPr>
          <w:trHeight w:val="243"/>
        </w:trPr>
        <w:tc>
          <w:tcPr>
            <w:tcW w:w="1507" w:type="pct"/>
            <w:vMerge/>
            <w:tcBorders>
              <w:top w:val="single" w:sz="8" w:space="0" w:color="000000"/>
              <w:left w:val="single" w:sz="8" w:space="0" w:color="000000"/>
              <w:bottom w:val="single" w:sz="8" w:space="0" w:color="000000"/>
              <w:right w:val="single" w:sz="8" w:space="0" w:color="000000"/>
            </w:tcBorders>
            <w:vAlign w:val="center"/>
            <w:hideMark/>
          </w:tcPr>
          <w:p w14:paraId="195D7FC6" w14:textId="77777777" w:rsidR="00EF23AD" w:rsidRPr="00E33B9A" w:rsidRDefault="00EF23AD">
            <w:pPr>
              <w:rPr>
                <w:sz w:val="24"/>
                <w:szCs w:val="24"/>
              </w:rPr>
            </w:pPr>
          </w:p>
        </w:tc>
        <w:tc>
          <w:tcPr>
            <w:tcW w:w="878" w:type="pct"/>
            <w:vMerge/>
            <w:tcBorders>
              <w:top w:val="single" w:sz="8" w:space="0" w:color="000000"/>
              <w:left w:val="single" w:sz="8" w:space="0" w:color="000000"/>
              <w:bottom w:val="single" w:sz="8" w:space="0" w:color="000000"/>
              <w:right w:val="single" w:sz="8" w:space="0" w:color="000000"/>
            </w:tcBorders>
            <w:vAlign w:val="center"/>
            <w:hideMark/>
          </w:tcPr>
          <w:p w14:paraId="32FB8C99" w14:textId="77777777" w:rsidR="00EF23AD" w:rsidRPr="00E33B9A" w:rsidRDefault="00EF23AD">
            <w:pPr>
              <w:rPr>
                <w:sz w:val="24"/>
                <w:szCs w:val="24"/>
              </w:rPr>
            </w:pPr>
          </w:p>
        </w:tc>
        <w:tc>
          <w:tcPr>
            <w:tcW w:w="1404" w:type="pct"/>
            <w:tcBorders>
              <w:top w:val="single" w:sz="8" w:space="0" w:color="000000"/>
              <w:left w:val="single" w:sz="8" w:space="0" w:color="000000"/>
              <w:bottom w:val="single" w:sz="8" w:space="0" w:color="000000"/>
              <w:right w:val="single" w:sz="8" w:space="0" w:color="000000"/>
            </w:tcBorders>
            <w:hideMark/>
          </w:tcPr>
          <w:p w14:paraId="774D8FDD" w14:textId="77777777" w:rsidR="00EF23AD" w:rsidRPr="00E33B9A" w:rsidRDefault="00EF23AD">
            <w:pPr>
              <w:suppressAutoHyphens/>
              <w:rPr>
                <w:sz w:val="24"/>
                <w:szCs w:val="24"/>
              </w:rPr>
            </w:pPr>
            <w:r w:rsidRPr="00E33B9A">
              <w:rPr>
                <w:sz w:val="24"/>
                <w:szCs w:val="24"/>
              </w:rPr>
              <w:t>sepsis*</w:t>
            </w:r>
          </w:p>
        </w:tc>
        <w:tc>
          <w:tcPr>
            <w:tcW w:w="601" w:type="pct"/>
            <w:tcBorders>
              <w:top w:val="single" w:sz="8" w:space="0" w:color="000000"/>
              <w:left w:val="single" w:sz="8" w:space="0" w:color="000000"/>
              <w:bottom w:val="single" w:sz="8" w:space="0" w:color="000000"/>
              <w:right w:val="single" w:sz="8" w:space="0" w:color="000000"/>
            </w:tcBorders>
            <w:hideMark/>
          </w:tcPr>
          <w:p w14:paraId="7594F9A8" w14:textId="77777777" w:rsidR="00EF23AD" w:rsidRPr="00E33B9A" w:rsidRDefault="00EF23AD">
            <w:pPr>
              <w:suppressAutoHyphens/>
              <w:jc w:val="center"/>
              <w:rPr>
                <w:sz w:val="24"/>
                <w:szCs w:val="24"/>
              </w:rPr>
            </w:pPr>
            <w:r w:rsidRPr="00E33B9A">
              <w:rPr>
                <w:sz w:val="24"/>
                <w:szCs w:val="24"/>
              </w:rPr>
              <w:t>9</w:t>
            </w:r>
          </w:p>
        </w:tc>
        <w:tc>
          <w:tcPr>
            <w:tcW w:w="611" w:type="pct"/>
            <w:tcBorders>
              <w:top w:val="single" w:sz="8" w:space="0" w:color="000000"/>
              <w:left w:val="single" w:sz="8" w:space="0" w:color="000000"/>
              <w:bottom w:val="single" w:sz="8" w:space="0" w:color="000000"/>
              <w:right w:val="single" w:sz="8" w:space="0" w:color="000000"/>
            </w:tcBorders>
            <w:hideMark/>
          </w:tcPr>
          <w:p w14:paraId="6F3AA348" w14:textId="77777777" w:rsidR="00EF23AD" w:rsidRPr="00E33B9A" w:rsidRDefault="00EF23AD">
            <w:pPr>
              <w:suppressAutoHyphens/>
              <w:jc w:val="center"/>
              <w:rPr>
                <w:sz w:val="24"/>
                <w:szCs w:val="24"/>
              </w:rPr>
            </w:pPr>
            <w:r w:rsidRPr="00E33B9A">
              <w:rPr>
                <w:sz w:val="24"/>
                <w:szCs w:val="24"/>
              </w:rPr>
              <w:t>8</w:t>
            </w:r>
          </w:p>
        </w:tc>
      </w:tr>
      <w:tr w:rsidR="00EF23AD" w:rsidRPr="00E33B9A" w14:paraId="186CE235" w14:textId="77777777" w:rsidTr="00AD3AB8">
        <w:trPr>
          <w:trHeight w:val="246"/>
        </w:trPr>
        <w:tc>
          <w:tcPr>
            <w:tcW w:w="1507" w:type="pct"/>
            <w:vMerge/>
            <w:tcBorders>
              <w:top w:val="single" w:sz="8" w:space="0" w:color="000000"/>
              <w:left w:val="single" w:sz="8" w:space="0" w:color="000000"/>
              <w:bottom w:val="single" w:sz="8" w:space="0" w:color="000000"/>
              <w:right w:val="single" w:sz="8" w:space="0" w:color="000000"/>
            </w:tcBorders>
            <w:vAlign w:val="center"/>
            <w:hideMark/>
          </w:tcPr>
          <w:p w14:paraId="3344E466" w14:textId="77777777" w:rsidR="00EF23AD" w:rsidRPr="00E33B9A" w:rsidRDefault="00EF23AD">
            <w:pPr>
              <w:rPr>
                <w:sz w:val="24"/>
                <w:szCs w:val="24"/>
              </w:rPr>
            </w:pPr>
          </w:p>
        </w:tc>
        <w:tc>
          <w:tcPr>
            <w:tcW w:w="878" w:type="pct"/>
            <w:vMerge/>
            <w:tcBorders>
              <w:top w:val="single" w:sz="8" w:space="0" w:color="000000"/>
              <w:left w:val="single" w:sz="8" w:space="0" w:color="000000"/>
              <w:bottom w:val="single" w:sz="8" w:space="0" w:color="000000"/>
              <w:right w:val="single" w:sz="8" w:space="0" w:color="000000"/>
            </w:tcBorders>
            <w:vAlign w:val="center"/>
            <w:hideMark/>
          </w:tcPr>
          <w:p w14:paraId="74FAF35F" w14:textId="77777777" w:rsidR="00EF23AD" w:rsidRPr="00E33B9A" w:rsidRDefault="00EF23AD">
            <w:pPr>
              <w:rPr>
                <w:sz w:val="24"/>
                <w:szCs w:val="24"/>
              </w:rPr>
            </w:pPr>
          </w:p>
        </w:tc>
        <w:tc>
          <w:tcPr>
            <w:tcW w:w="1404" w:type="pct"/>
            <w:tcBorders>
              <w:top w:val="single" w:sz="8" w:space="0" w:color="000000"/>
              <w:left w:val="single" w:sz="8" w:space="0" w:color="000000"/>
              <w:bottom w:val="single" w:sz="8" w:space="0" w:color="000000"/>
              <w:right w:val="single" w:sz="8" w:space="0" w:color="000000"/>
            </w:tcBorders>
            <w:hideMark/>
          </w:tcPr>
          <w:p w14:paraId="5A5766F1" w14:textId="77777777" w:rsidR="00EF23AD" w:rsidRPr="00E33B9A" w:rsidRDefault="00EF23AD">
            <w:pPr>
              <w:suppressAutoHyphens/>
              <w:rPr>
                <w:sz w:val="24"/>
                <w:szCs w:val="24"/>
              </w:rPr>
            </w:pPr>
            <w:proofErr w:type="spellStart"/>
            <w:r w:rsidRPr="00E33B9A">
              <w:rPr>
                <w:sz w:val="24"/>
                <w:szCs w:val="24"/>
              </w:rPr>
              <w:t>sinusitis</w:t>
            </w:r>
            <w:proofErr w:type="spellEnd"/>
          </w:p>
        </w:tc>
        <w:tc>
          <w:tcPr>
            <w:tcW w:w="601" w:type="pct"/>
            <w:tcBorders>
              <w:top w:val="single" w:sz="8" w:space="0" w:color="000000"/>
              <w:left w:val="single" w:sz="8" w:space="0" w:color="000000"/>
              <w:bottom w:val="single" w:sz="8" w:space="0" w:color="000000"/>
              <w:right w:val="single" w:sz="8" w:space="0" w:color="000000"/>
            </w:tcBorders>
            <w:hideMark/>
          </w:tcPr>
          <w:p w14:paraId="661506E3" w14:textId="77777777" w:rsidR="00EF23AD" w:rsidRPr="00E33B9A" w:rsidRDefault="00EF23AD">
            <w:pPr>
              <w:suppressAutoHyphens/>
              <w:jc w:val="center"/>
              <w:rPr>
                <w:sz w:val="24"/>
                <w:szCs w:val="24"/>
              </w:rPr>
            </w:pPr>
            <w:r w:rsidRPr="00E33B9A">
              <w:rPr>
                <w:sz w:val="24"/>
                <w:szCs w:val="24"/>
              </w:rPr>
              <w:t>3</w:t>
            </w:r>
          </w:p>
        </w:tc>
        <w:tc>
          <w:tcPr>
            <w:tcW w:w="611" w:type="pct"/>
            <w:tcBorders>
              <w:top w:val="single" w:sz="8" w:space="0" w:color="000000"/>
              <w:left w:val="single" w:sz="8" w:space="0" w:color="000000"/>
              <w:bottom w:val="single" w:sz="8" w:space="0" w:color="000000"/>
              <w:right w:val="single" w:sz="8" w:space="0" w:color="000000"/>
            </w:tcBorders>
            <w:hideMark/>
          </w:tcPr>
          <w:p w14:paraId="4FB61C6A" w14:textId="77777777" w:rsidR="00EF23AD" w:rsidRPr="00E33B9A" w:rsidRDefault="00EF23AD">
            <w:pPr>
              <w:suppressAutoHyphens/>
              <w:jc w:val="center"/>
              <w:rPr>
                <w:sz w:val="24"/>
                <w:szCs w:val="24"/>
              </w:rPr>
            </w:pPr>
            <w:r w:rsidRPr="00E33B9A">
              <w:rPr>
                <w:sz w:val="24"/>
                <w:szCs w:val="24"/>
              </w:rPr>
              <w:t>1</w:t>
            </w:r>
          </w:p>
        </w:tc>
      </w:tr>
      <w:tr w:rsidR="00EF23AD" w:rsidRPr="00E33B9A" w14:paraId="40D57C46" w14:textId="77777777" w:rsidTr="00AD3AB8">
        <w:trPr>
          <w:trHeight w:val="1012"/>
        </w:trPr>
        <w:tc>
          <w:tcPr>
            <w:tcW w:w="1507" w:type="pct"/>
            <w:tcBorders>
              <w:top w:val="single" w:sz="8" w:space="0" w:color="000000"/>
              <w:left w:val="single" w:sz="8" w:space="0" w:color="000000"/>
              <w:bottom w:val="single" w:sz="8" w:space="0" w:color="000000"/>
              <w:right w:val="single" w:sz="8" w:space="0" w:color="000000"/>
            </w:tcBorders>
            <w:hideMark/>
          </w:tcPr>
          <w:p w14:paraId="242EBA9C" w14:textId="2081AE50" w:rsidR="00EF23AD" w:rsidRPr="00E33B9A" w:rsidRDefault="00EF23AD">
            <w:pPr>
              <w:suppressAutoHyphens/>
              <w:rPr>
                <w:sz w:val="24"/>
                <w:szCs w:val="24"/>
              </w:rPr>
            </w:pPr>
            <w:r w:rsidRPr="00E33B9A">
              <w:rPr>
                <w:sz w:val="24"/>
                <w:szCs w:val="24"/>
              </w:rPr>
              <w:t>Benigne, maligne og uspecificerede tumorer (inkl.</w:t>
            </w:r>
            <w:r w:rsidR="00A112B1" w:rsidRPr="00E33B9A">
              <w:rPr>
                <w:sz w:val="24"/>
                <w:szCs w:val="24"/>
              </w:rPr>
              <w:t xml:space="preserve"> </w:t>
            </w:r>
            <w:r w:rsidRPr="00E33B9A">
              <w:rPr>
                <w:sz w:val="24"/>
                <w:szCs w:val="24"/>
              </w:rPr>
              <w:t>cyster og polypper)</w:t>
            </w:r>
          </w:p>
        </w:tc>
        <w:tc>
          <w:tcPr>
            <w:tcW w:w="878" w:type="pct"/>
            <w:tcBorders>
              <w:top w:val="single" w:sz="8" w:space="0" w:color="000000"/>
              <w:left w:val="single" w:sz="8" w:space="0" w:color="000000"/>
              <w:bottom w:val="single" w:sz="8" w:space="0" w:color="000000"/>
              <w:right w:val="single" w:sz="8" w:space="0" w:color="000000"/>
            </w:tcBorders>
            <w:hideMark/>
          </w:tcPr>
          <w:p w14:paraId="2FB9C4B8" w14:textId="77777777" w:rsidR="00EF23AD" w:rsidRPr="00E33B9A" w:rsidRDefault="00EF23AD">
            <w:pPr>
              <w:suppressAutoHyphens/>
              <w:rPr>
                <w:sz w:val="24"/>
                <w:szCs w:val="24"/>
              </w:rPr>
            </w:pPr>
            <w:r w:rsidRPr="00E33B9A">
              <w:rPr>
                <w:sz w:val="24"/>
                <w:szCs w:val="24"/>
              </w:rPr>
              <w:t>Ikke kendt</w:t>
            </w:r>
          </w:p>
        </w:tc>
        <w:tc>
          <w:tcPr>
            <w:tcW w:w="1404" w:type="pct"/>
            <w:tcBorders>
              <w:top w:val="single" w:sz="8" w:space="0" w:color="000000"/>
              <w:left w:val="single" w:sz="8" w:space="0" w:color="000000"/>
              <w:bottom w:val="single" w:sz="8" w:space="0" w:color="000000"/>
              <w:right w:val="single" w:sz="8" w:space="0" w:color="000000"/>
            </w:tcBorders>
            <w:hideMark/>
          </w:tcPr>
          <w:p w14:paraId="04BC9CB7" w14:textId="77777777" w:rsidR="00EF23AD" w:rsidRPr="00E33B9A" w:rsidRDefault="00EF23AD">
            <w:pPr>
              <w:suppressAutoHyphens/>
              <w:rPr>
                <w:sz w:val="24"/>
                <w:szCs w:val="24"/>
              </w:rPr>
            </w:pPr>
            <w:r w:rsidRPr="00E33B9A">
              <w:rPr>
                <w:sz w:val="24"/>
                <w:szCs w:val="24"/>
              </w:rPr>
              <w:t>differentieringssyndrom</w:t>
            </w:r>
          </w:p>
        </w:tc>
        <w:tc>
          <w:tcPr>
            <w:tcW w:w="601" w:type="pct"/>
            <w:tcBorders>
              <w:top w:val="single" w:sz="8" w:space="0" w:color="000000"/>
              <w:left w:val="single" w:sz="8" w:space="0" w:color="000000"/>
              <w:bottom w:val="single" w:sz="8" w:space="0" w:color="000000"/>
              <w:right w:val="single" w:sz="8" w:space="0" w:color="000000"/>
            </w:tcBorders>
            <w:hideMark/>
          </w:tcPr>
          <w:p w14:paraId="52D4D219" w14:textId="77777777" w:rsidR="00EF23AD" w:rsidRPr="00E33B9A" w:rsidRDefault="00EF23AD">
            <w:pPr>
              <w:suppressAutoHyphens/>
              <w:jc w:val="center"/>
              <w:rPr>
                <w:sz w:val="24"/>
                <w:szCs w:val="24"/>
              </w:rPr>
            </w:pPr>
            <w:r w:rsidRPr="00E33B9A">
              <w:rPr>
                <w:sz w:val="24"/>
                <w:szCs w:val="24"/>
              </w:rPr>
              <w:t>Ikke kendt</w:t>
            </w:r>
          </w:p>
        </w:tc>
        <w:tc>
          <w:tcPr>
            <w:tcW w:w="611" w:type="pct"/>
            <w:tcBorders>
              <w:top w:val="single" w:sz="8" w:space="0" w:color="000000"/>
              <w:left w:val="single" w:sz="8" w:space="0" w:color="000000"/>
              <w:bottom w:val="single" w:sz="8" w:space="0" w:color="000000"/>
              <w:right w:val="single" w:sz="8" w:space="0" w:color="000000"/>
            </w:tcBorders>
            <w:hideMark/>
          </w:tcPr>
          <w:p w14:paraId="498CFD12" w14:textId="77777777" w:rsidR="00EF23AD" w:rsidRPr="00E33B9A" w:rsidRDefault="00EF23AD">
            <w:pPr>
              <w:suppressAutoHyphens/>
              <w:jc w:val="center"/>
              <w:rPr>
                <w:sz w:val="24"/>
                <w:szCs w:val="24"/>
              </w:rPr>
            </w:pPr>
            <w:r w:rsidRPr="00E33B9A">
              <w:rPr>
                <w:sz w:val="24"/>
                <w:szCs w:val="24"/>
              </w:rPr>
              <w:t>Ikke kendt</w:t>
            </w:r>
          </w:p>
        </w:tc>
      </w:tr>
      <w:tr w:rsidR="00EF23AD" w:rsidRPr="00E33B9A" w14:paraId="1E6F03D5" w14:textId="77777777" w:rsidTr="00AD3AB8">
        <w:trPr>
          <w:trHeight w:val="248"/>
        </w:trPr>
        <w:tc>
          <w:tcPr>
            <w:tcW w:w="1507" w:type="pct"/>
            <w:vMerge w:val="restart"/>
            <w:tcBorders>
              <w:top w:val="single" w:sz="8" w:space="0" w:color="000000"/>
              <w:left w:val="single" w:sz="8" w:space="0" w:color="000000"/>
              <w:bottom w:val="single" w:sz="8" w:space="0" w:color="000000"/>
              <w:right w:val="single" w:sz="8" w:space="0" w:color="000000"/>
            </w:tcBorders>
            <w:hideMark/>
          </w:tcPr>
          <w:p w14:paraId="590D5003" w14:textId="77777777" w:rsidR="00EF23AD" w:rsidRPr="00E33B9A" w:rsidRDefault="00EF23AD">
            <w:pPr>
              <w:suppressAutoHyphens/>
              <w:rPr>
                <w:sz w:val="24"/>
                <w:szCs w:val="24"/>
              </w:rPr>
            </w:pPr>
            <w:r w:rsidRPr="00E33B9A">
              <w:rPr>
                <w:sz w:val="24"/>
                <w:szCs w:val="24"/>
              </w:rPr>
              <w:t>Blod og lymfesystem</w:t>
            </w:r>
          </w:p>
        </w:tc>
        <w:tc>
          <w:tcPr>
            <w:tcW w:w="878" w:type="pct"/>
            <w:vMerge w:val="restart"/>
            <w:tcBorders>
              <w:top w:val="single" w:sz="8" w:space="0" w:color="000000"/>
              <w:left w:val="single" w:sz="8" w:space="0" w:color="000000"/>
              <w:bottom w:val="single" w:sz="8" w:space="0" w:color="000000"/>
              <w:right w:val="single" w:sz="8" w:space="0" w:color="000000"/>
            </w:tcBorders>
          </w:tcPr>
          <w:p w14:paraId="47408FD6" w14:textId="7F0B863D" w:rsidR="00EF23AD" w:rsidRPr="00E33B9A" w:rsidRDefault="00EF23AD" w:rsidP="00A112B1">
            <w:pPr>
              <w:suppressAutoHyphens/>
              <w:rPr>
                <w:sz w:val="24"/>
                <w:szCs w:val="24"/>
              </w:rPr>
            </w:pPr>
            <w:r w:rsidRPr="00E33B9A">
              <w:rPr>
                <w:sz w:val="24"/>
                <w:szCs w:val="24"/>
              </w:rPr>
              <w:t>Meget</w:t>
            </w:r>
            <w:r w:rsidR="00A112B1" w:rsidRPr="00E33B9A">
              <w:rPr>
                <w:sz w:val="24"/>
                <w:szCs w:val="24"/>
              </w:rPr>
              <w:t xml:space="preserve"> </w:t>
            </w:r>
            <w:r w:rsidRPr="00E33B9A">
              <w:rPr>
                <w:sz w:val="24"/>
                <w:szCs w:val="24"/>
              </w:rPr>
              <w:t>almindelig</w:t>
            </w:r>
          </w:p>
        </w:tc>
        <w:tc>
          <w:tcPr>
            <w:tcW w:w="1404" w:type="pct"/>
            <w:tcBorders>
              <w:top w:val="single" w:sz="8" w:space="0" w:color="000000"/>
              <w:left w:val="single" w:sz="8" w:space="0" w:color="000000"/>
              <w:bottom w:val="single" w:sz="8" w:space="0" w:color="000000"/>
              <w:right w:val="single" w:sz="8" w:space="0" w:color="000000"/>
            </w:tcBorders>
            <w:hideMark/>
          </w:tcPr>
          <w:p w14:paraId="12DAE733" w14:textId="77777777" w:rsidR="00EF23AD" w:rsidRPr="00E33B9A" w:rsidRDefault="00EF23AD">
            <w:pPr>
              <w:suppressAutoHyphens/>
              <w:rPr>
                <w:sz w:val="24"/>
                <w:szCs w:val="24"/>
              </w:rPr>
            </w:pPr>
            <w:r w:rsidRPr="00E33B9A">
              <w:rPr>
                <w:sz w:val="24"/>
                <w:szCs w:val="24"/>
              </w:rPr>
              <w:t xml:space="preserve">febril </w:t>
            </w:r>
            <w:proofErr w:type="spellStart"/>
            <w:r w:rsidRPr="00E33B9A">
              <w:rPr>
                <w:sz w:val="24"/>
                <w:szCs w:val="24"/>
              </w:rPr>
              <w:t>neutropeni</w:t>
            </w:r>
            <w:proofErr w:type="spellEnd"/>
            <w:r w:rsidRPr="00E33B9A">
              <w:rPr>
                <w:sz w:val="24"/>
                <w:szCs w:val="24"/>
              </w:rPr>
              <w:t>*</w:t>
            </w:r>
          </w:p>
        </w:tc>
        <w:tc>
          <w:tcPr>
            <w:tcW w:w="601" w:type="pct"/>
            <w:tcBorders>
              <w:top w:val="single" w:sz="8" w:space="0" w:color="000000"/>
              <w:left w:val="single" w:sz="8" w:space="0" w:color="000000"/>
              <w:bottom w:val="single" w:sz="8" w:space="0" w:color="000000"/>
              <w:right w:val="single" w:sz="8" w:space="0" w:color="000000"/>
            </w:tcBorders>
            <w:hideMark/>
          </w:tcPr>
          <w:p w14:paraId="72E45CED" w14:textId="77777777" w:rsidR="00EF23AD" w:rsidRPr="00E33B9A" w:rsidRDefault="00EF23AD">
            <w:pPr>
              <w:suppressAutoHyphens/>
              <w:jc w:val="center"/>
              <w:rPr>
                <w:sz w:val="24"/>
                <w:szCs w:val="24"/>
              </w:rPr>
            </w:pPr>
            <w:r w:rsidRPr="00E33B9A">
              <w:rPr>
                <w:sz w:val="24"/>
                <w:szCs w:val="24"/>
              </w:rPr>
              <w:t>34</w:t>
            </w:r>
          </w:p>
        </w:tc>
        <w:tc>
          <w:tcPr>
            <w:tcW w:w="611" w:type="pct"/>
            <w:tcBorders>
              <w:top w:val="single" w:sz="8" w:space="0" w:color="000000"/>
              <w:left w:val="single" w:sz="8" w:space="0" w:color="000000"/>
              <w:bottom w:val="single" w:sz="8" w:space="0" w:color="000000"/>
              <w:right w:val="single" w:sz="8" w:space="0" w:color="000000"/>
            </w:tcBorders>
            <w:hideMark/>
          </w:tcPr>
          <w:p w14:paraId="3DCDE24A" w14:textId="77777777" w:rsidR="00EF23AD" w:rsidRPr="00E33B9A" w:rsidRDefault="00EF23AD">
            <w:pPr>
              <w:suppressAutoHyphens/>
              <w:jc w:val="center"/>
              <w:rPr>
                <w:sz w:val="24"/>
                <w:szCs w:val="24"/>
              </w:rPr>
            </w:pPr>
            <w:r w:rsidRPr="00E33B9A">
              <w:rPr>
                <w:sz w:val="24"/>
                <w:szCs w:val="24"/>
              </w:rPr>
              <w:t>32</w:t>
            </w:r>
          </w:p>
        </w:tc>
      </w:tr>
      <w:tr w:rsidR="00EF23AD" w:rsidRPr="00E33B9A" w14:paraId="20096D1B" w14:textId="77777777" w:rsidTr="00AD3AB8">
        <w:trPr>
          <w:trHeight w:val="241"/>
        </w:trPr>
        <w:tc>
          <w:tcPr>
            <w:tcW w:w="1507" w:type="pct"/>
            <w:vMerge/>
            <w:tcBorders>
              <w:top w:val="single" w:sz="8" w:space="0" w:color="000000"/>
              <w:left w:val="single" w:sz="8" w:space="0" w:color="000000"/>
              <w:bottom w:val="single" w:sz="8" w:space="0" w:color="000000"/>
              <w:right w:val="single" w:sz="8" w:space="0" w:color="000000"/>
            </w:tcBorders>
            <w:vAlign w:val="center"/>
            <w:hideMark/>
          </w:tcPr>
          <w:p w14:paraId="23F2B8C7" w14:textId="77777777" w:rsidR="00EF23AD" w:rsidRPr="00E33B9A" w:rsidRDefault="00EF23AD">
            <w:pPr>
              <w:rPr>
                <w:sz w:val="24"/>
                <w:szCs w:val="24"/>
              </w:rPr>
            </w:pPr>
          </w:p>
        </w:tc>
        <w:tc>
          <w:tcPr>
            <w:tcW w:w="878" w:type="pct"/>
            <w:vMerge/>
            <w:tcBorders>
              <w:top w:val="single" w:sz="8" w:space="0" w:color="000000"/>
              <w:left w:val="single" w:sz="8" w:space="0" w:color="000000"/>
              <w:bottom w:val="single" w:sz="8" w:space="0" w:color="000000"/>
              <w:right w:val="single" w:sz="8" w:space="0" w:color="000000"/>
            </w:tcBorders>
            <w:vAlign w:val="center"/>
            <w:hideMark/>
          </w:tcPr>
          <w:p w14:paraId="31A77F30" w14:textId="77777777" w:rsidR="00EF23AD" w:rsidRPr="00E33B9A" w:rsidRDefault="00EF23AD">
            <w:pPr>
              <w:rPr>
                <w:sz w:val="24"/>
                <w:szCs w:val="24"/>
              </w:rPr>
            </w:pPr>
          </w:p>
        </w:tc>
        <w:tc>
          <w:tcPr>
            <w:tcW w:w="1404" w:type="pct"/>
            <w:tcBorders>
              <w:top w:val="single" w:sz="8" w:space="0" w:color="000000"/>
              <w:left w:val="single" w:sz="8" w:space="0" w:color="000000"/>
              <w:bottom w:val="single" w:sz="8" w:space="0" w:color="000000"/>
              <w:right w:val="single" w:sz="8" w:space="0" w:color="000000"/>
            </w:tcBorders>
            <w:hideMark/>
          </w:tcPr>
          <w:p w14:paraId="01C72690" w14:textId="77777777" w:rsidR="00EF23AD" w:rsidRPr="00E33B9A" w:rsidRDefault="00EF23AD">
            <w:pPr>
              <w:suppressAutoHyphens/>
              <w:rPr>
                <w:sz w:val="24"/>
                <w:szCs w:val="24"/>
              </w:rPr>
            </w:pPr>
            <w:proofErr w:type="spellStart"/>
            <w:r w:rsidRPr="00E33B9A">
              <w:rPr>
                <w:sz w:val="24"/>
                <w:szCs w:val="24"/>
              </w:rPr>
              <w:t>neutropeni</w:t>
            </w:r>
            <w:proofErr w:type="spellEnd"/>
            <w:r w:rsidRPr="00E33B9A">
              <w:rPr>
                <w:sz w:val="24"/>
                <w:szCs w:val="24"/>
              </w:rPr>
              <w:t>*</w:t>
            </w:r>
          </w:p>
        </w:tc>
        <w:tc>
          <w:tcPr>
            <w:tcW w:w="601" w:type="pct"/>
            <w:tcBorders>
              <w:top w:val="single" w:sz="8" w:space="0" w:color="000000"/>
              <w:left w:val="single" w:sz="8" w:space="0" w:color="000000"/>
              <w:bottom w:val="single" w:sz="8" w:space="0" w:color="000000"/>
              <w:right w:val="single" w:sz="8" w:space="0" w:color="000000"/>
            </w:tcBorders>
            <w:hideMark/>
          </w:tcPr>
          <w:p w14:paraId="501F18C9" w14:textId="77777777" w:rsidR="00EF23AD" w:rsidRPr="00E33B9A" w:rsidRDefault="00EF23AD">
            <w:pPr>
              <w:suppressAutoHyphens/>
              <w:jc w:val="center"/>
              <w:rPr>
                <w:sz w:val="24"/>
                <w:szCs w:val="24"/>
              </w:rPr>
            </w:pPr>
            <w:r w:rsidRPr="00E33B9A">
              <w:rPr>
                <w:sz w:val="24"/>
                <w:szCs w:val="24"/>
              </w:rPr>
              <w:t>32</w:t>
            </w:r>
          </w:p>
        </w:tc>
        <w:tc>
          <w:tcPr>
            <w:tcW w:w="611" w:type="pct"/>
            <w:tcBorders>
              <w:top w:val="single" w:sz="8" w:space="0" w:color="000000"/>
              <w:left w:val="single" w:sz="8" w:space="0" w:color="000000"/>
              <w:bottom w:val="single" w:sz="8" w:space="0" w:color="000000"/>
              <w:right w:val="single" w:sz="8" w:space="0" w:color="000000"/>
            </w:tcBorders>
            <w:hideMark/>
          </w:tcPr>
          <w:p w14:paraId="5406B2E2" w14:textId="77777777" w:rsidR="00EF23AD" w:rsidRPr="00E33B9A" w:rsidRDefault="00EF23AD">
            <w:pPr>
              <w:suppressAutoHyphens/>
              <w:jc w:val="center"/>
              <w:rPr>
                <w:sz w:val="24"/>
                <w:szCs w:val="24"/>
              </w:rPr>
            </w:pPr>
            <w:r w:rsidRPr="00E33B9A">
              <w:rPr>
                <w:sz w:val="24"/>
                <w:szCs w:val="24"/>
              </w:rPr>
              <w:t>30</w:t>
            </w:r>
          </w:p>
        </w:tc>
      </w:tr>
      <w:tr w:rsidR="00EF23AD" w:rsidRPr="00E33B9A" w14:paraId="7D9A3FCB" w14:textId="77777777" w:rsidTr="00AD3AB8">
        <w:trPr>
          <w:trHeight w:val="243"/>
        </w:trPr>
        <w:tc>
          <w:tcPr>
            <w:tcW w:w="1507" w:type="pct"/>
            <w:vMerge/>
            <w:tcBorders>
              <w:top w:val="single" w:sz="8" w:space="0" w:color="000000"/>
              <w:left w:val="single" w:sz="8" w:space="0" w:color="000000"/>
              <w:bottom w:val="single" w:sz="8" w:space="0" w:color="000000"/>
              <w:right w:val="single" w:sz="8" w:space="0" w:color="000000"/>
            </w:tcBorders>
            <w:vAlign w:val="center"/>
            <w:hideMark/>
          </w:tcPr>
          <w:p w14:paraId="24AB78F4" w14:textId="77777777" w:rsidR="00EF23AD" w:rsidRPr="00E33B9A" w:rsidRDefault="00EF23AD">
            <w:pPr>
              <w:rPr>
                <w:sz w:val="24"/>
                <w:szCs w:val="24"/>
              </w:rPr>
            </w:pPr>
          </w:p>
        </w:tc>
        <w:tc>
          <w:tcPr>
            <w:tcW w:w="878" w:type="pct"/>
            <w:vMerge/>
            <w:tcBorders>
              <w:top w:val="single" w:sz="8" w:space="0" w:color="000000"/>
              <w:left w:val="single" w:sz="8" w:space="0" w:color="000000"/>
              <w:bottom w:val="single" w:sz="8" w:space="0" w:color="000000"/>
              <w:right w:val="single" w:sz="8" w:space="0" w:color="000000"/>
            </w:tcBorders>
            <w:vAlign w:val="center"/>
            <w:hideMark/>
          </w:tcPr>
          <w:p w14:paraId="614C01CE" w14:textId="77777777" w:rsidR="00EF23AD" w:rsidRPr="00E33B9A" w:rsidRDefault="00EF23AD">
            <w:pPr>
              <w:rPr>
                <w:sz w:val="24"/>
                <w:szCs w:val="24"/>
              </w:rPr>
            </w:pPr>
          </w:p>
        </w:tc>
        <w:tc>
          <w:tcPr>
            <w:tcW w:w="1404" w:type="pct"/>
            <w:tcBorders>
              <w:top w:val="single" w:sz="8" w:space="0" w:color="000000"/>
              <w:left w:val="single" w:sz="8" w:space="0" w:color="000000"/>
              <w:bottom w:val="single" w:sz="8" w:space="0" w:color="000000"/>
              <w:right w:val="single" w:sz="8" w:space="0" w:color="000000"/>
            </w:tcBorders>
            <w:hideMark/>
          </w:tcPr>
          <w:p w14:paraId="3BEE1B85" w14:textId="77777777" w:rsidR="00EF23AD" w:rsidRPr="00E33B9A" w:rsidRDefault="00EF23AD">
            <w:pPr>
              <w:suppressAutoHyphens/>
              <w:rPr>
                <w:sz w:val="24"/>
                <w:szCs w:val="24"/>
              </w:rPr>
            </w:pPr>
            <w:proofErr w:type="spellStart"/>
            <w:r w:rsidRPr="00E33B9A">
              <w:rPr>
                <w:sz w:val="24"/>
                <w:szCs w:val="24"/>
              </w:rPr>
              <w:t>trombocytopeni</w:t>
            </w:r>
            <w:proofErr w:type="spellEnd"/>
            <w:r w:rsidRPr="00E33B9A">
              <w:rPr>
                <w:sz w:val="24"/>
                <w:szCs w:val="24"/>
              </w:rPr>
              <w:t>*</w:t>
            </w:r>
            <w:r w:rsidRPr="00E33B9A">
              <w:rPr>
                <w:sz w:val="24"/>
                <w:szCs w:val="24"/>
                <w:vertAlign w:val="superscript"/>
              </w:rPr>
              <w:t>,</w:t>
            </w:r>
            <w:r w:rsidRPr="00E33B9A">
              <w:rPr>
                <w:sz w:val="24"/>
                <w:szCs w:val="24"/>
              </w:rPr>
              <w:t xml:space="preserve"> </w:t>
            </w:r>
            <w:r w:rsidRPr="00E33B9A">
              <w:rPr>
                <w:sz w:val="24"/>
                <w:szCs w:val="24"/>
                <w:vertAlign w:val="superscript"/>
              </w:rPr>
              <w:t>e</w:t>
            </w:r>
          </w:p>
        </w:tc>
        <w:tc>
          <w:tcPr>
            <w:tcW w:w="601" w:type="pct"/>
            <w:tcBorders>
              <w:top w:val="single" w:sz="8" w:space="0" w:color="000000"/>
              <w:left w:val="single" w:sz="8" w:space="0" w:color="000000"/>
              <w:bottom w:val="single" w:sz="8" w:space="0" w:color="000000"/>
              <w:right w:val="single" w:sz="8" w:space="0" w:color="000000"/>
            </w:tcBorders>
            <w:hideMark/>
          </w:tcPr>
          <w:p w14:paraId="38A2956F" w14:textId="77777777" w:rsidR="00EF23AD" w:rsidRPr="00E33B9A" w:rsidRDefault="00EF23AD">
            <w:pPr>
              <w:suppressAutoHyphens/>
              <w:jc w:val="center"/>
              <w:rPr>
                <w:sz w:val="24"/>
                <w:szCs w:val="24"/>
              </w:rPr>
            </w:pPr>
            <w:r w:rsidRPr="00E33B9A">
              <w:rPr>
                <w:sz w:val="24"/>
                <w:szCs w:val="24"/>
              </w:rPr>
              <w:t>41</w:t>
            </w:r>
          </w:p>
        </w:tc>
        <w:tc>
          <w:tcPr>
            <w:tcW w:w="611" w:type="pct"/>
            <w:tcBorders>
              <w:top w:val="single" w:sz="8" w:space="0" w:color="000000"/>
              <w:left w:val="single" w:sz="8" w:space="0" w:color="000000"/>
              <w:bottom w:val="single" w:sz="8" w:space="0" w:color="000000"/>
              <w:right w:val="single" w:sz="8" w:space="0" w:color="000000"/>
            </w:tcBorders>
            <w:hideMark/>
          </w:tcPr>
          <w:p w14:paraId="504B8E2D" w14:textId="77777777" w:rsidR="00EF23AD" w:rsidRPr="00E33B9A" w:rsidRDefault="00EF23AD">
            <w:pPr>
              <w:suppressAutoHyphens/>
              <w:jc w:val="center"/>
              <w:rPr>
                <w:sz w:val="24"/>
                <w:szCs w:val="24"/>
              </w:rPr>
            </w:pPr>
            <w:r w:rsidRPr="00E33B9A">
              <w:rPr>
                <w:sz w:val="24"/>
                <w:szCs w:val="24"/>
              </w:rPr>
              <w:t>38</w:t>
            </w:r>
          </w:p>
        </w:tc>
      </w:tr>
      <w:tr w:rsidR="00EF23AD" w:rsidRPr="00E33B9A" w14:paraId="7705C699" w14:textId="77777777" w:rsidTr="00AD3AB8">
        <w:trPr>
          <w:trHeight w:val="243"/>
        </w:trPr>
        <w:tc>
          <w:tcPr>
            <w:tcW w:w="1507" w:type="pct"/>
            <w:vMerge/>
            <w:tcBorders>
              <w:top w:val="single" w:sz="8" w:space="0" w:color="000000"/>
              <w:left w:val="single" w:sz="8" w:space="0" w:color="000000"/>
              <w:bottom w:val="single" w:sz="8" w:space="0" w:color="000000"/>
              <w:right w:val="single" w:sz="8" w:space="0" w:color="000000"/>
            </w:tcBorders>
            <w:vAlign w:val="center"/>
            <w:hideMark/>
          </w:tcPr>
          <w:p w14:paraId="218E3AB8" w14:textId="77777777" w:rsidR="00EF23AD" w:rsidRPr="00E33B9A" w:rsidRDefault="00EF23AD">
            <w:pPr>
              <w:rPr>
                <w:sz w:val="24"/>
                <w:szCs w:val="24"/>
              </w:rPr>
            </w:pPr>
          </w:p>
        </w:tc>
        <w:tc>
          <w:tcPr>
            <w:tcW w:w="878" w:type="pct"/>
            <w:vMerge/>
            <w:tcBorders>
              <w:top w:val="single" w:sz="8" w:space="0" w:color="000000"/>
              <w:left w:val="single" w:sz="8" w:space="0" w:color="000000"/>
              <w:bottom w:val="single" w:sz="8" w:space="0" w:color="000000"/>
              <w:right w:val="single" w:sz="8" w:space="0" w:color="000000"/>
            </w:tcBorders>
            <w:vAlign w:val="center"/>
            <w:hideMark/>
          </w:tcPr>
          <w:p w14:paraId="686F74F1" w14:textId="77777777" w:rsidR="00EF23AD" w:rsidRPr="00E33B9A" w:rsidRDefault="00EF23AD">
            <w:pPr>
              <w:rPr>
                <w:sz w:val="24"/>
                <w:szCs w:val="24"/>
              </w:rPr>
            </w:pPr>
          </w:p>
        </w:tc>
        <w:tc>
          <w:tcPr>
            <w:tcW w:w="1404" w:type="pct"/>
            <w:tcBorders>
              <w:top w:val="single" w:sz="8" w:space="0" w:color="000000"/>
              <w:left w:val="single" w:sz="8" w:space="0" w:color="000000"/>
              <w:bottom w:val="single" w:sz="8" w:space="0" w:color="000000"/>
              <w:right w:val="single" w:sz="8" w:space="0" w:color="000000"/>
            </w:tcBorders>
            <w:hideMark/>
          </w:tcPr>
          <w:p w14:paraId="16E62210" w14:textId="77777777" w:rsidR="00EF23AD" w:rsidRPr="00E33B9A" w:rsidRDefault="00EF23AD">
            <w:pPr>
              <w:suppressAutoHyphens/>
              <w:rPr>
                <w:sz w:val="24"/>
                <w:szCs w:val="24"/>
              </w:rPr>
            </w:pPr>
            <w:r w:rsidRPr="00E33B9A">
              <w:rPr>
                <w:sz w:val="24"/>
                <w:szCs w:val="24"/>
              </w:rPr>
              <w:t>anæmi</w:t>
            </w:r>
          </w:p>
        </w:tc>
        <w:tc>
          <w:tcPr>
            <w:tcW w:w="601" w:type="pct"/>
            <w:tcBorders>
              <w:top w:val="single" w:sz="8" w:space="0" w:color="000000"/>
              <w:left w:val="single" w:sz="8" w:space="0" w:color="000000"/>
              <w:bottom w:val="single" w:sz="8" w:space="0" w:color="000000"/>
              <w:right w:val="single" w:sz="8" w:space="0" w:color="000000"/>
            </w:tcBorders>
            <w:hideMark/>
          </w:tcPr>
          <w:p w14:paraId="15B5717E" w14:textId="77777777" w:rsidR="00EF23AD" w:rsidRPr="00E33B9A" w:rsidRDefault="00EF23AD">
            <w:pPr>
              <w:suppressAutoHyphens/>
              <w:jc w:val="center"/>
              <w:rPr>
                <w:sz w:val="24"/>
                <w:szCs w:val="24"/>
              </w:rPr>
            </w:pPr>
            <w:r w:rsidRPr="00E33B9A">
              <w:rPr>
                <w:sz w:val="24"/>
                <w:szCs w:val="24"/>
              </w:rPr>
              <w:t>38</w:t>
            </w:r>
          </w:p>
        </w:tc>
        <w:tc>
          <w:tcPr>
            <w:tcW w:w="611" w:type="pct"/>
            <w:tcBorders>
              <w:top w:val="single" w:sz="8" w:space="0" w:color="000000"/>
              <w:left w:val="single" w:sz="8" w:space="0" w:color="000000"/>
              <w:bottom w:val="single" w:sz="8" w:space="0" w:color="000000"/>
              <w:right w:val="single" w:sz="8" w:space="0" w:color="000000"/>
            </w:tcBorders>
            <w:hideMark/>
          </w:tcPr>
          <w:p w14:paraId="6CCFB2A8" w14:textId="77777777" w:rsidR="00EF23AD" w:rsidRPr="00E33B9A" w:rsidRDefault="00EF23AD">
            <w:pPr>
              <w:suppressAutoHyphens/>
              <w:jc w:val="center"/>
              <w:rPr>
                <w:sz w:val="24"/>
                <w:szCs w:val="24"/>
              </w:rPr>
            </w:pPr>
            <w:r w:rsidRPr="00E33B9A">
              <w:rPr>
                <w:sz w:val="24"/>
                <w:szCs w:val="24"/>
              </w:rPr>
              <w:t>31</w:t>
            </w:r>
          </w:p>
        </w:tc>
      </w:tr>
      <w:tr w:rsidR="00EF23AD" w:rsidRPr="00E33B9A" w14:paraId="3F7A5C2B" w14:textId="77777777" w:rsidTr="00AD3AB8">
        <w:trPr>
          <w:trHeight w:val="241"/>
        </w:trPr>
        <w:tc>
          <w:tcPr>
            <w:tcW w:w="1507" w:type="pct"/>
            <w:vMerge/>
            <w:tcBorders>
              <w:top w:val="single" w:sz="8" w:space="0" w:color="000000"/>
              <w:left w:val="single" w:sz="8" w:space="0" w:color="000000"/>
              <w:bottom w:val="single" w:sz="8" w:space="0" w:color="000000"/>
              <w:right w:val="single" w:sz="8" w:space="0" w:color="000000"/>
            </w:tcBorders>
            <w:vAlign w:val="center"/>
            <w:hideMark/>
          </w:tcPr>
          <w:p w14:paraId="33A0C741" w14:textId="77777777" w:rsidR="00EF23AD" w:rsidRPr="00E33B9A" w:rsidRDefault="00EF23AD">
            <w:pPr>
              <w:rPr>
                <w:sz w:val="24"/>
                <w:szCs w:val="24"/>
              </w:rPr>
            </w:pPr>
          </w:p>
        </w:tc>
        <w:tc>
          <w:tcPr>
            <w:tcW w:w="878" w:type="pct"/>
            <w:vMerge/>
            <w:tcBorders>
              <w:top w:val="single" w:sz="8" w:space="0" w:color="000000"/>
              <w:left w:val="single" w:sz="8" w:space="0" w:color="000000"/>
              <w:bottom w:val="single" w:sz="8" w:space="0" w:color="000000"/>
              <w:right w:val="single" w:sz="8" w:space="0" w:color="000000"/>
            </w:tcBorders>
            <w:vAlign w:val="center"/>
            <w:hideMark/>
          </w:tcPr>
          <w:p w14:paraId="3A08E334" w14:textId="77777777" w:rsidR="00EF23AD" w:rsidRPr="00E33B9A" w:rsidRDefault="00EF23AD">
            <w:pPr>
              <w:rPr>
                <w:sz w:val="24"/>
                <w:szCs w:val="24"/>
              </w:rPr>
            </w:pPr>
          </w:p>
        </w:tc>
        <w:tc>
          <w:tcPr>
            <w:tcW w:w="1404" w:type="pct"/>
            <w:tcBorders>
              <w:top w:val="single" w:sz="8" w:space="0" w:color="000000"/>
              <w:left w:val="single" w:sz="8" w:space="0" w:color="000000"/>
              <w:bottom w:val="single" w:sz="8" w:space="0" w:color="000000"/>
              <w:right w:val="single" w:sz="8" w:space="0" w:color="000000"/>
            </w:tcBorders>
            <w:hideMark/>
          </w:tcPr>
          <w:p w14:paraId="02010C86" w14:textId="77777777" w:rsidR="00EF23AD" w:rsidRPr="00E33B9A" w:rsidRDefault="00EF23AD">
            <w:pPr>
              <w:suppressAutoHyphens/>
              <w:rPr>
                <w:sz w:val="24"/>
                <w:szCs w:val="24"/>
              </w:rPr>
            </w:pPr>
            <w:proofErr w:type="spellStart"/>
            <w:r w:rsidRPr="00E33B9A">
              <w:rPr>
                <w:sz w:val="24"/>
                <w:szCs w:val="24"/>
              </w:rPr>
              <w:t>leukopeni</w:t>
            </w:r>
            <w:proofErr w:type="spellEnd"/>
          </w:p>
        </w:tc>
        <w:tc>
          <w:tcPr>
            <w:tcW w:w="601" w:type="pct"/>
            <w:tcBorders>
              <w:top w:val="single" w:sz="8" w:space="0" w:color="000000"/>
              <w:left w:val="single" w:sz="8" w:space="0" w:color="000000"/>
              <w:bottom w:val="single" w:sz="8" w:space="0" w:color="000000"/>
              <w:right w:val="single" w:sz="8" w:space="0" w:color="000000"/>
            </w:tcBorders>
            <w:hideMark/>
          </w:tcPr>
          <w:p w14:paraId="7D4A20DB" w14:textId="77777777" w:rsidR="00EF23AD" w:rsidRPr="00E33B9A" w:rsidRDefault="00EF23AD">
            <w:pPr>
              <w:suppressAutoHyphens/>
              <w:jc w:val="center"/>
              <w:rPr>
                <w:sz w:val="24"/>
                <w:szCs w:val="24"/>
              </w:rPr>
            </w:pPr>
            <w:r w:rsidRPr="00E33B9A">
              <w:rPr>
                <w:sz w:val="24"/>
                <w:szCs w:val="24"/>
              </w:rPr>
              <w:t>20</w:t>
            </w:r>
          </w:p>
        </w:tc>
        <w:tc>
          <w:tcPr>
            <w:tcW w:w="611" w:type="pct"/>
            <w:tcBorders>
              <w:top w:val="single" w:sz="8" w:space="0" w:color="000000"/>
              <w:left w:val="single" w:sz="8" w:space="0" w:color="000000"/>
              <w:bottom w:val="single" w:sz="8" w:space="0" w:color="000000"/>
              <w:right w:val="single" w:sz="8" w:space="0" w:color="000000"/>
            </w:tcBorders>
            <w:hideMark/>
          </w:tcPr>
          <w:p w14:paraId="1FDB69E6" w14:textId="77777777" w:rsidR="00EF23AD" w:rsidRPr="00E33B9A" w:rsidRDefault="00EF23AD">
            <w:pPr>
              <w:suppressAutoHyphens/>
              <w:jc w:val="center"/>
              <w:rPr>
                <w:sz w:val="24"/>
                <w:szCs w:val="24"/>
              </w:rPr>
            </w:pPr>
            <w:r w:rsidRPr="00E33B9A">
              <w:rPr>
                <w:sz w:val="24"/>
                <w:szCs w:val="24"/>
              </w:rPr>
              <w:t>18</w:t>
            </w:r>
          </w:p>
        </w:tc>
      </w:tr>
      <w:tr w:rsidR="00EF23AD" w:rsidRPr="00E33B9A" w14:paraId="1714F20D" w14:textId="77777777" w:rsidTr="00AD3AB8">
        <w:trPr>
          <w:trHeight w:val="258"/>
        </w:trPr>
        <w:tc>
          <w:tcPr>
            <w:tcW w:w="1507" w:type="pct"/>
            <w:vMerge/>
            <w:tcBorders>
              <w:top w:val="single" w:sz="8" w:space="0" w:color="000000"/>
              <w:left w:val="single" w:sz="8" w:space="0" w:color="000000"/>
              <w:bottom w:val="single" w:sz="8" w:space="0" w:color="000000"/>
              <w:right w:val="single" w:sz="8" w:space="0" w:color="000000"/>
            </w:tcBorders>
            <w:vAlign w:val="center"/>
            <w:hideMark/>
          </w:tcPr>
          <w:p w14:paraId="542EBFA0" w14:textId="77777777" w:rsidR="00EF23AD" w:rsidRPr="00E33B9A" w:rsidRDefault="00EF23AD">
            <w:pPr>
              <w:rPr>
                <w:sz w:val="24"/>
                <w:szCs w:val="24"/>
              </w:rPr>
            </w:pPr>
          </w:p>
        </w:tc>
        <w:tc>
          <w:tcPr>
            <w:tcW w:w="878" w:type="pct"/>
            <w:tcBorders>
              <w:top w:val="single" w:sz="8" w:space="0" w:color="000000"/>
              <w:left w:val="single" w:sz="8" w:space="0" w:color="000000"/>
              <w:bottom w:val="single" w:sz="8" w:space="0" w:color="000000"/>
              <w:right w:val="single" w:sz="8" w:space="0" w:color="000000"/>
            </w:tcBorders>
            <w:hideMark/>
          </w:tcPr>
          <w:p w14:paraId="207A4D72" w14:textId="77777777" w:rsidR="00EF23AD" w:rsidRPr="00E33B9A" w:rsidRDefault="00EF23AD">
            <w:pPr>
              <w:suppressAutoHyphens/>
              <w:rPr>
                <w:sz w:val="24"/>
                <w:szCs w:val="24"/>
              </w:rPr>
            </w:pPr>
            <w:r w:rsidRPr="00E33B9A">
              <w:rPr>
                <w:sz w:val="24"/>
                <w:szCs w:val="24"/>
              </w:rPr>
              <w:t>Ikke almindelig</w:t>
            </w:r>
          </w:p>
        </w:tc>
        <w:tc>
          <w:tcPr>
            <w:tcW w:w="1404" w:type="pct"/>
            <w:tcBorders>
              <w:top w:val="single" w:sz="8" w:space="0" w:color="000000"/>
              <w:left w:val="single" w:sz="8" w:space="0" w:color="000000"/>
              <w:bottom w:val="single" w:sz="8" w:space="0" w:color="000000"/>
              <w:right w:val="single" w:sz="8" w:space="0" w:color="000000"/>
            </w:tcBorders>
            <w:hideMark/>
          </w:tcPr>
          <w:p w14:paraId="0EF9CC9C" w14:textId="77777777" w:rsidR="00EF23AD" w:rsidRPr="00E33B9A" w:rsidRDefault="00EF23AD">
            <w:pPr>
              <w:suppressAutoHyphens/>
              <w:rPr>
                <w:sz w:val="24"/>
                <w:szCs w:val="24"/>
              </w:rPr>
            </w:pPr>
            <w:proofErr w:type="spellStart"/>
            <w:r w:rsidRPr="00E33B9A">
              <w:rPr>
                <w:sz w:val="24"/>
                <w:szCs w:val="24"/>
              </w:rPr>
              <w:t>pancytopeni</w:t>
            </w:r>
            <w:proofErr w:type="spellEnd"/>
            <w:r w:rsidRPr="00E33B9A">
              <w:rPr>
                <w:sz w:val="24"/>
                <w:szCs w:val="24"/>
              </w:rPr>
              <w:t>*</w:t>
            </w:r>
          </w:p>
        </w:tc>
        <w:tc>
          <w:tcPr>
            <w:tcW w:w="601" w:type="pct"/>
            <w:tcBorders>
              <w:top w:val="single" w:sz="8" w:space="0" w:color="000000"/>
              <w:left w:val="single" w:sz="8" w:space="0" w:color="000000"/>
              <w:bottom w:val="single" w:sz="8" w:space="0" w:color="000000"/>
              <w:right w:val="single" w:sz="8" w:space="0" w:color="000000"/>
            </w:tcBorders>
            <w:hideMark/>
          </w:tcPr>
          <w:p w14:paraId="202B2702" w14:textId="77777777" w:rsidR="00EF23AD" w:rsidRPr="00E33B9A" w:rsidRDefault="00EF23AD">
            <w:pPr>
              <w:suppressAutoHyphens/>
              <w:jc w:val="center"/>
              <w:rPr>
                <w:sz w:val="24"/>
                <w:szCs w:val="24"/>
              </w:rPr>
            </w:pPr>
            <w:r w:rsidRPr="00E33B9A">
              <w:rPr>
                <w:sz w:val="24"/>
                <w:szCs w:val="24"/>
              </w:rPr>
              <w:t>&lt; 1</w:t>
            </w:r>
          </w:p>
        </w:tc>
        <w:tc>
          <w:tcPr>
            <w:tcW w:w="611" w:type="pct"/>
            <w:tcBorders>
              <w:top w:val="single" w:sz="8" w:space="0" w:color="000000"/>
              <w:left w:val="single" w:sz="8" w:space="0" w:color="000000"/>
              <w:bottom w:val="single" w:sz="8" w:space="0" w:color="000000"/>
              <w:right w:val="single" w:sz="8" w:space="0" w:color="000000"/>
            </w:tcBorders>
            <w:hideMark/>
          </w:tcPr>
          <w:p w14:paraId="32844341" w14:textId="77777777" w:rsidR="00EF23AD" w:rsidRPr="00E33B9A" w:rsidRDefault="00EF23AD">
            <w:pPr>
              <w:suppressAutoHyphens/>
              <w:jc w:val="center"/>
              <w:rPr>
                <w:sz w:val="24"/>
                <w:szCs w:val="24"/>
              </w:rPr>
            </w:pPr>
            <w:r w:rsidRPr="00E33B9A">
              <w:rPr>
                <w:sz w:val="24"/>
                <w:szCs w:val="24"/>
              </w:rPr>
              <w:t>&lt; 1</w:t>
            </w:r>
          </w:p>
        </w:tc>
      </w:tr>
      <w:tr w:rsidR="00EF23AD" w:rsidRPr="00E33B9A" w14:paraId="54C498FD" w14:textId="77777777" w:rsidTr="00AD3AB8">
        <w:trPr>
          <w:trHeight w:val="505"/>
        </w:trPr>
        <w:tc>
          <w:tcPr>
            <w:tcW w:w="1507" w:type="pct"/>
            <w:tcBorders>
              <w:top w:val="single" w:sz="8" w:space="0" w:color="000000"/>
              <w:left w:val="single" w:sz="8" w:space="0" w:color="000000"/>
              <w:bottom w:val="single" w:sz="8" w:space="0" w:color="000000"/>
              <w:right w:val="single" w:sz="8" w:space="0" w:color="000000"/>
            </w:tcBorders>
            <w:hideMark/>
          </w:tcPr>
          <w:p w14:paraId="1996A39C" w14:textId="77777777" w:rsidR="00EF23AD" w:rsidRPr="00E33B9A" w:rsidRDefault="00EF23AD">
            <w:pPr>
              <w:suppressAutoHyphens/>
              <w:rPr>
                <w:sz w:val="24"/>
                <w:szCs w:val="24"/>
              </w:rPr>
            </w:pPr>
            <w:r w:rsidRPr="00E33B9A">
              <w:rPr>
                <w:sz w:val="24"/>
                <w:szCs w:val="24"/>
              </w:rPr>
              <w:lastRenderedPageBreak/>
              <w:t>Immunsystemet</w:t>
            </w:r>
          </w:p>
        </w:tc>
        <w:tc>
          <w:tcPr>
            <w:tcW w:w="878" w:type="pct"/>
            <w:tcBorders>
              <w:top w:val="single" w:sz="8" w:space="0" w:color="000000"/>
              <w:left w:val="single" w:sz="8" w:space="0" w:color="000000"/>
              <w:bottom w:val="single" w:sz="8" w:space="0" w:color="000000"/>
              <w:right w:val="single" w:sz="8" w:space="0" w:color="000000"/>
            </w:tcBorders>
            <w:hideMark/>
          </w:tcPr>
          <w:p w14:paraId="430F44B4" w14:textId="77777777" w:rsidR="00EF23AD" w:rsidRPr="00E33B9A" w:rsidRDefault="00EF23AD">
            <w:pPr>
              <w:suppressAutoHyphens/>
              <w:rPr>
                <w:sz w:val="24"/>
                <w:szCs w:val="24"/>
              </w:rPr>
            </w:pPr>
            <w:r w:rsidRPr="00E33B9A">
              <w:rPr>
                <w:sz w:val="24"/>
                <w:szCs w:val="24"/>
              </w:rPr>
              <w:t>Almindelig</w:t>
            </w:r>
          </w:p>
        </w:tc>
        <w:tc>
          <w:tcPr>
            <w:tcW w:w="1404" w:type="pct"/>
            <w:tcBorders>
              <w:top w:val="single" w:sz="8" w:space="0" w:color="000000"/>
              <w:left w:val="single" w:sz="8" w:space="0" w:color="000000"/>
              <w:bottom w:val="single" w:sz="8" w:space="0" w:color="000000"/>
              <w:right w:val="single" w:sz="8" w:space="0" w:color="000000"/>
            </w:tcBorders>
            <w:hideMark/>
          </w:tcPr>
          <w:p w14:paraId="3BCB8D99" w14:textId="77777777" w:rsidR="00EF23AD" w:rsidRPr="00E33B9A" w:rsidRDefault="00EF23AD">
            <w:pPr>
              <w:suppressAutoHyphens/>
              <w:rPr>
                <w:sz w:val="24"/>
                <w:szCs w:val="24"/>
              </w:rPr>
            </w:pPr>
            <w:r w:rsidRPr="00E33B9A">
              <w:rPr>
                <w:sz w:val="24"/>
                <w:szCs w:val="24"/>
              </w:rPr>
              <w:t>overfølsomhed inklusive</w:t>
            </w:r>
            <w:r w:rsidRPr="00E33B9A">
              <w:rPr>
                <w:sz w:val="24"/>
                <w:szCs w:val="24"/>
                <w:u w:val="single"/>
              </w:rPr>
              <w:t xml:space="preserve"> </w:t>
            </w:r>
            <w:proofErr w:type="spellStart"/>
            <w:r w:rsidRPr="00E33B9A">
              <w:rPr>
                <w:sz w:val="24"/>
                <w:szCs w:val="24"/>
                <w:u w:val="single"/>
              </w:rPr>
              <w:t>anafylaktisk</w:t>
            </w:r>
            <w:proofErr w:type="spellEnd"/>
            <w:r w:rsidRPr="00E33B9A">
              <w:rPr>
                <w:sz w:val="24"/>
                <w:szCs w:val="24"/>
                <w:u w:val="single"/>
              </w:rPr>
              <w:t xml:space="preserve"> </w:t>
            </w:r>
            <w:proofErr w:type="spellStart"/>
            <w:r w:rsidRPr="00E33B9A">
              <w:rPr>
                <w:sz w:val="24"/>
                <w:szCs w:val="24"/>
                <w:u w:val="single"/>
              </w:rPr>
              <w:t>reaktio</w:t>
            </w:r>
            <w:r w:rsidRPr="00E33B9A">
              <w:rPr>
                <w:sz w:val="24"/>
                <w:szCs w:val="24"/>
              </w:rPr>
              <w:t>n</w:t>
            </w:r>
            <w:r w:rsidRPr="00E33B9A">
              <w:rPr>
                <w:sz w:val="24"/>
                <w:szCs w:val="24"/>
                <w:vertAlign w:val="superscript"/>
              </w:rPr>
              <w:t>f</w:t>
            </w:r>
            <w:proofErr w:type="spellEnd"/>
          </w:p>
        </w:tc>
        <w:tc>
          <w:tcPr>
            <w:tcW w:w="601" w:type="pct"/>
            <w:tcBorders>
              <w:top w:val="single" w:sz="8" w:space="0" w:color="000000"/>
              <w:left w:val="single" w:sz="8" w:space="0" w:color="000000"/>
              <w:bottom w:val="single" w:sz="8" w:space="0" w:color="000000"/>
              <w:right w:val="single" w:sz="8" w:space="0" w:color="000000"/>
            </w:tcBorders>
            <w:hideMark/>
          </w:tcPr>
          <w:p w14:paraId="0B04091E" w14:textId="77777777" w:rsidR="00EF23AD" w:rsidRPr="00E33B9A" w:rsidRDefault="00EF23AD">
            <w:pPr>
              <w:suppressAutoHyphens/>
              <w:jc w:val="center"/>
              <w:rPr>
                <w:sz w:val="24"/>
                <w:szCs w:val="24"/>
              </w:rPr>
            </w:pPr>
            <w:r w:rsidRPr="00E33B9A">
              <w:rPr>
                <w:sz w:val="24"/>
                <w:szCs w:val="24"/>
              </w:rPr>
              <w:t>1</w:t>
            </w:r>
          </w:p>
        </w:tc>
        <w:tc>
          <w:tcPr>
            <w:tcW w:w="611" w:type="pct"/>
            <w:tcBorders>
              <w:top w:val="single" w:sz="8" w:space="0" w:color="000000"/>
              <w:left w:val="single" w:sz="8" w:space="0" w:color="000000"/>
              <w:bottom w:val="single" w:sz="8" w:space="0" w:color="000000"/>
              <w:right w:val="single" w:sz="8" w:space="0" w:color="000000"/>
            </w:tcBorders>
            <w:hideMark/>
          </w:tcPr>
          <w:p w14:paraId="34DE71E8" w14:textId="77777777" w:rsidR="00EF23AD" w:rsidRPr="00E33B9A" w:rsidRDefault="00EF23AD">
            <w:pPr>
              <w:suppressAutoHyphens/>
              <w:jc w:val="center"/>
              <w:rPr>
                <w:sz w:val="24"/>
                <w:szCs w:val="24"/>
              </w:rPr>
            </w:pPr>
            <w:r w:rsidRPr="00E33B9A">
              <w:rPr>
                <w:sz w:val="24"/>
                <w:szCs w:val="24"/>
              </w:rPr>
              <w:t>&lt; 1</w:t>
            </w:r>
          </w:p>
        </w:tc>
      </w:tr>
      <w:tr w:rsidR="00EF23AD" w:rsidRPr="00E33B9A" w14:paraId="7F8E48E4" w14:textId="77777777" w:rsidTr="00AD3AB8">
        <w:trPr>
          <w:trHeight w:val="503"/>
        </w:trPr>
        <w:tc>
          <w:tcPr>
            <w:tcW w:w="1507" w:type="pct"/>
            <w:tcBorders>
              <w:top w:val="single" w:sz="8" w:space="0" w:color="000000"/>
              <w:left w:val="single" w:sz="8" w:space="0" w:color="000000"/>
              <w:bottom w:val="single" w:sz="8" w:space="0" w:color="000000"/>
              <w:right w:val="single" w:sz="8" w:space="0" w:color="000000"/>
            </w:tcBorders>
            <w:hideMark/>
          </w:tcPr>
          <w:p w14:paraId="152DF53C" w14:textId="77777777" w:rsidR="00EF23AD" w:rsidRPr="00E33B9A" w:rsidRDefault="00EF23AD">
            <w:pPr>
              <w:suppressAutoHyphens/>
              <w:rPr>
                <w:sz w:val="24"/>
                <w:szCs w:val="24"/>
              </w:rPr>
            </w:pPr>
            <w:r w:rsidRPr="00E33B9A">
              <w:rPr>
                <w:sz w:val="24"/>
                <w:szCs w:val="24"/>
              </w:rPr>
              <w:t>Metabolisme og ernæring</w:t>
            </w:r>
          </w:p>
        </w:tc>
        <w:tc>
          <w:tcPr>
            <w:tcW w:w="878" w:type="pct"/>
            <w:tcBorders>
              <w:top w:val="single" w:sz="8" w:space="0" w:color="000000"/>
              <w:left w:val="single" w:sz="8" w:space="0" w:color="000000"/>
              <w:bottom w:val="single" w:sz="8" w:space="0" w:color="000000"/>
              <w:right w:val="single" w:sz="8" w:space="0" w:color="000000"/>
            </w:tcBorders>
            <w:hideMark/>
          </w:tcPr>
          <w:p w14:paraId="1F25B1AD" w14:textId="77777777" w:rsidR="00EF23AD" w:rsidRPr="00E33B9A" w:rsidRDefault="00EF23AD">
            <w:pPr>
              <w:suppressAutoHyphens/>
              <w:rPr>
                <w:sz w:val="24"/>
                <w:szCs w:val="24"/>
              </w:rPr>
            </w:pPr>
            <w:r w:rsidRPr="00E33B9A">
              <w:rPr>
                <w:sz w:val="24"/>
                <w:szCs w:val="24"/>
              </w:rPr>
              <w:t>Meget almindelig</w:t>
            </w:r>
          </w:p>
        </w:tc>
        <w:tc>
          <w:tcPr>
            <w:tcW w:w="1404" w:type="pct"/>
            <w:tcBorders>
              <w:top w:val="single" w:sz="8" w:space="0" w:color="000000"/>
              <w:left w:val="single" w:sz="8" w:space="0" w:color="000000"/>
              <w:bottom w:val="single" w:sz="8" w:space="0" w:color="000000"/>
              <w:right w:val="single" w:sz="8" w:space="0" w:color="000000"/>
            </w:tcBorders>
            <w:hideMark/>
          </w:tcPr>
          <w:p w14:paraId="041DFA24" w14:textId="77777777" w:rsidR="00EF23AD" w:rsidRPr="00E33B9A" w:rsidRDefault="00EF23AD">
            <w:pPr>
              <w:suppressAutoHyphens/>
              <w:rPr>
                <w:sz w:val="24"/>
                <w:szCs w:val="24"/>
              </w:rPr>
            </w:pPr>
            <w:proofErr w:type="spellStart"/>
            <w:r w:rsidRPr="00E33B9A">
              <w:rPr>
                <w:sz w:val="24"/>
                <w:szCs w:val="24"/>
              </w:rPr>
              <w:t>hyperglykæmi</w:t>
            </w:r>
            <w:proofErr w:type="spellEnd"/>
          </w:p>
        </w:tc>
        <w:tc>
          <w:tcPr>
            <w:tcW w:w="601" w:type="pct"/>
            <w:tcBorders>
              <w:top w:val="single" w:sz="8" w:space="0" w:color="000000"/>
              <w:left w:val="single" w:sz="8" w:space="0" w:color="000000"/>
              <w:bottom w:val="single" w:sz="8" w:space="0" w:color="000000"/>
              <w:right w:val="single" w:sz="8" w:space="0" w:color="000000"/>
            </w:tcBorders>
            <w:hideMark/>
          </w:tcPr>
          <w:p w14:paraId="0D11E4B7" w14:textId="77777777" w:rsidR="00EF23AD" w:rsidRPr="00E33B9A" w:rsidRDefault="00EF23AD">
            <w:pPr>
              <w:suppressAutoHyphens/>
              <w:jc w:val="center"/>
              <w:rPr>
                <w:sz w:val="24"/>
                <w:szCs w:val="24"/>
              </w:rPr>
            </w:pPr>
            <w:r w:rsidRPr="00E33B9A">
              <w:rPr>
                <w:sz w:val="24"/>
                <w:szCs w:val="24"/>
              </w:rPr>
              <w:t>13</w:t>
            </w:r>
          </w:p>
        </w:tc>
        <w:tc>
          <w:tcPr>
            <w:tcW w:w="611" w:type="pct"/>
            <w:tcBorders>
              <w:top w:val="single" w:sz="8" w:space="0" w:color="000000"/>
              <w:left w:val="single" w:sz="8" w:space="0" w:color="000000"/>
              <w:bottom w:val="single" w:sz="8" w:space="0" w:color="000000"/>
              <w:right w:val="single" w:sz="8" w:space="0" w:color="000000"/>
            </w:tcBorders>
            <w:hideMark/>
          </w:tcPr>
          <w:p w14:paraId="027FE559" w14:textId="77777777" w:rsidR="00EF23AD" w:rsidRPr="00E33B9A" w:rsidRDefault="00EF23AD">
            <w:pPr>
              <w:suppressAutoHyphens/>
              <w:jc w:val="center"/>
              <w:rPr>
                <w:sz w:val="24"/>
                <w:szCs w:val="24"/>
              </w:rPr>
            </w:pPr>
            <w:r w:rsidRPr="00E33B9A">
              <w:rPr>
                <w:sz w:val="24"/>
                <w:szCs w:val="24"/>
              </w:rPr>
              <w:t>3</w:t>
            </w:r>
          </w:p>
        </w:tc>
      </w:tr>
      <w:tr w:rsidR="00EF23AD" w:rsidRPr="00E33B9A" w14:paraId="0ECA3127" w14:textId="77777777" w:rsidTr="00AD3AB8">
        <w:trPr>
          <w:trHeight w:val="505"/>
        </w:trPr>
        <w:tc>
          <w:tcPr>
            <w:tcW w:w="1507" w:type="pct"/>
            <w:tcBorders>
              <w:top w:val="single" w:sz="8" w:space="0" w:color="000000"/>
              <w:left w:val="single" w:sz="8" w:space="0" w:color="000000"/>
              <w:bottom w:val="single" w:sz="8" w:space="0" w:color="000000"/>
              <w:right w:val="single" w:sz="8" w:space="0" w:color="000000"/>
            </w:tcBorders>
            <w:hideMark/>
          </w:tcPr>
          <w:p w14:paraId="108F5090" w14:textId="77777777" w:rsidR="00EF23AD" w:rsidRPr="00E33B9A" w:rsidRDefault="00EF23AD">
            <w:pPr>
              <w:suppressAutoHyphens/>
              <w:rPr>
                <w:sz w:val="24"/>
                <w:szCs w:val="24"/>
              </w:rPr>
            </w:pPr>
            <w:r w:rsidRPr="00E33B9A">
              <w:rPr>
                <w:sz w:val="24"/>
                <w:szCs w:val="24"/>
              </w:rPr>
              <w:t>Nervesystemet</w:t>
            </w:r>
          </w:p>
        </w:tc>
        <w:tc>
          <w:tcPr>
            <w:tcW w:w="878" w:type="pct"/>
            <w:tcBorders>
              <w:top w:val="single" w:sz="8" w:space="0" w:color="000000"/>
              <w:left w:val="single" w:sz="8" w:space="0" w:color="000000"/>
              <w:bottom w:val="single" w:sz="8" w:space="0" w:color="000000"/>
              <w:right w:val="single" w:sz="8" w:space="0" w:color="000000"/>
            </w:tcBorders>
            <w:hideMark/>
          </w:tcPr>
          <w:p w14:paraId="651266EC" w14:textId="77777777" w:rsidR="00EF23AD" w:rsidRPr="00E33B9A" w:rsidRDefault="00EF23AD">
            <w:pPr>
              <w:suppressAutoHyphens/>
              <w:rPr>
                <w:sz w:val="24"/>
                <w:szCs w:val="24"/>
              </w:rPr>
            </w:pPr>
            <w:r w:rsidRPr="00E33B9A">
              <w:rPr>
                <w:sz w:val="24"/>
                <w:szCs w:val="24"/>
              </w:rPr>
              <w:t>Meget almindelig</w:t>
            </w:r>
          </w:p>
        </w:tc>
        <w:tc>
          <w:tcPr>
            <w:tcW w:w="1404" w:type="pct"/>
            <w:tcBorders>
              <w:top w:val="single" w:sz="8" w:space="0" w:color="000000"/>
              <w:left w:val="single" w:sz="8" w:space="0" w:color="000000"/>
              <w:bottom w:val="single" w:sz="8" w:space="0" w:color="000000"/>
              <w:right w:val="single" w:sz="8" w:space="0" w:color="000000"/>
            </w:tcBorders>
            <w:hideMark/>
          </w:tcPr>
          <w:p w14:paraId="0E0357EF" w14:textId="77777777" w:rsidR="00EF23AD" w:rsidRPr="00E33B9A" w:rsidRDefault="00EF23AD">
            <w:pPr>
              <w:suppressAutoHyphens/>
              <w:rPr>
                <w:sz w:val="24"/>
                <w:szCs w:val="24"/>
              </w:rPr>
            </w:pPr>
            <w:r w:rsidRPr="00E33B9A">
              <w:rPr>
                <w:sz w:val="24"/>
                <w:szCs w:val="24"/>
              </w:rPr>
              <w:t>hovedpine</w:t>
            </w:r>
          </w:p>
        </w:tc>
        <w:tc>
          <w:tcPr>
            <w:tcW w:w="601" w:type="pct"/>
            <w:tcBorders>
              <w:top w:val="single" w:sz="8" w:space="0" w:color="000000"/>
              <w:left w:val="single" w:sz="8" w:space="0" w:color="000000"/>
              <w:bottom w:val="single" w:sz="8" w:space="0" w:color="000000"/>
              <w:right w:val="single" w:sz="8" w:space="0" w:color="000000"/>
            </w:tcBorders>
            <w:hideMark/>
          </w:tcPr>
          <w:p w14:paraId="31512A64" w14:textId="77777777" w:rsidR="00EF23AD" w:rsidRPr="00E33B9A" w:rsidRDefault="00EF23AD">
            <w:pPr>
              <w:suppressAutoHyphens/>
              <w:jc w:val="center"/>
              <w:rPr>
                <w:sz w:val="24"/>
                <w:szCs w:val="24"/>
              </w:rPr>
            </w:pPr>
            <w:r w:rsidRPr="00E33B9A">
              <w:rPr>
                <w:sz w:val="24"/>
                <w:szCs w:val="24"/>
              </w:rPr>
              <w:t>16</w:t>
            </w:r>
          </w:p>
        </w:tc>
        <w:tc>
          <w:tcPr>
            <w:tcW w:w="611" w:type="pct"/>
            <w:tcBorders>
              <w:top w:val="single" w:sz="8" w:space="0" w:color="000000"/>
              <w:left w:val="single" w:sz="8" w:space="0" w:color="000000"/>
              <w:bottom w:val="single" w:sz="8" w:space="0" w:color="000000"/>
              <w:right w:val="single" w:sz="8" w:space="0" w:color="000000"/>
            </w:tcBorders>
            <w:hideMark/>
          </w:tcPr>
          <w:p w14:paraId="11D40B82" w14:textId="77777777" w:rsidR="00EF23AD" w:rsidRPr="00E33B9A" w:rsidRDefault="00EF23AD">
            <w:pPr>
              <w:suppressAutoHyphens/>
              <w:jc w:val="center"/>
              <w:rPr>
                <w:sz w:val="24"/>
                <w:szCs w:val="24"/>
              </w:rPr>
            </w:pPr>
            <w:r w:rsidRPr="00E33B9A">
              <w:rPr>
                <w:sz w:val="24"/>
                <w:szCs w:val="24"/>
              </w:rPr>
              <w:t>1</w:t>
            </w:r>
          </w:p>
        </w:tc>
      </w:tr>
      <w:tr w:rsidR="00EF23AD" w:rsidRPr="00E33B9A" w14:paraId="323E9622" w14:textId="77777777" w:rsidTr="00AD3AB8">
        <w:trPr>
          <w:trHeight w:val="253"/>
        </w:trPr>
        <w:tc>
          <w:tcPr>
            <w:tcW w:w="1507" w:type="pct"/>
            <w:tcBorders>
              <w:top w:val="single" w:sz="8" w:space="0" w:color="000000"/>
              <w:left w:val="single" w:sz="8" w:space="0" w:color="000000"/>
              <w:bottom w:val="single" w:sz="8" w:space="0" w:color="000000"/>
              <w:right w:val="single" w:sz="8" w:space="0" w:color="000000"/>
            </w:tcBorders>
            <w:hideMark/>
          </w:tcPr>
          <w:p w14:paraId="7DCC5E1C" w14:textId="77777777" w:rsidR="00EF23AD" w:rsidRPr="00E33B9A" w:rsidRDefault="00EF23AD">
            <w:pPr>
              <w:suppressAutoHyphens/>
              <w:rPr>
                <w:sz w:val="24"/>
                <w:szCs w:val="24"/>
              </w:rPr>
            </w:pPr>
            <w:r w:rsidRPr="00E33B9A">
              <w:rPr>
                <w:sz w:val="24"/>
                <w:szCs w:val="24"/>
              </w:rPr>
              <w:t>Hjerte</w:t>
            </w:r>
          </w:p>
        </w:tc>
        <w:tc>
          <w:tcPr>
            <w:tcW w:w="878" w:type="pct"/>
            <w:tcBorders>
              <w:top w:val="single" w:sz="8" w:space="0" w:color="000000"/>
              <w:left w:val="single" w:sz="8" w:space="0" w:color="000000"/>
              <w:bottom w:val="single" w:sz="8" w:space="0" w:color="000000"/>
              <w:right w:val="single" w:sz="8" w:space="0" w:color="000000"/>
            </w:tcBorders>
            <w:hideMark/>
          </w:tcPr>
          <w:p w14:paraId="24435A2D" w14:textId="77777777" w:rsidR="00EF23AD" w:rsidRPr="00E33B9A" w:rsidRDefault="00EF23AD">
            <w:pPr>
              <w:suppressAutoHyphens/>
              <w:rPr>
                <w:sz w:val="24"/>
                <w:szCs w:val="24"/>
              </w:rPr>
            </w:pPr>
            <w:r w:rsidRPr="00E33B9A">
              <w:rPr>
                <w:sz w:val="24"/>
                <w:szCs w:val="24"/>
              </w:rPr>
              <w:t>Ikke almindelig</w:t>
            </w:r>
          </w:p>
        </w:tc>
        <w:tc>
          <w:tcPr>
            <w:tcW w:w="1404" w:type="pct"/>
            <w:tcBorders>
              <w:top w:val="single" w:sz="8" w:space="0" w:color="000000"/>
              <w:left w:val="single" w:sz="8" w:space="0" w:color="000000"/>
              <w:bottom w:val="single" w:sz="8" w:space="0" w:color="000000"/>
              <w:right w:val="single" w:sz="8" w:space="0" w:color="000000"/>
            </w:tcBorders>
            <w:hideMark/>
          </w:tcPr>
          <w:p w14:paraId="46E72985" w14:textId="77777777" w:rsidR="00EF23AD" w:rsidRPr="00E33B9A" w:rsidRDefault="00EF23AD">
            <w:pPr>
              <w:suppressAutoHyphens/>
              <w:rPr>
                <w:sz w:val="24"/>
                <w:szCs w:val="24"/>
              </w:rPr>
            </w:pPr>
            <w:proofErr w:type="spellStart"/>
            <w:r w:rsidRPr="00E33B9A">
              <w:rPr>
                <w:sz w:val="24"/>
                <w:szCs w:val="24"/>
              </w:rPr>
              <w:t>kardiomyopati</w:t>
            </w:r>
            <w:proofErr w:type="spellEnd"/>
          </w:p>
        </w:tc>
        <w:tc>
          <w:tcPr>
            <w:tcW w:w="601" w:type="pct"/>
            <w:tcBorders>
              <w:top w:val="single" w:sz="8" w:space="0" w:color="000000"/>
              <w:left w:val="single" w:sz="8" w:space="0" w:color="000000"/>
              <w:bottom w:val="single" w:sz="8" w:space="0" w:color="000000"/>
              <w:right w:val="single" w:sz="8" w:space="0" w:color="000000"/>
            </w:tcBorders>
            <w:hideMark/>
          </w:tcPr>
          <w:p w14:paraId="2D309D7F" w14:textId="77777777" w:rsidR="00EF23AD" w:rsidRPr="00E33B9A" w:rsidRDefault="00EF23AD">
            <w:pPr>
              <w:suppressAutoHyphens/>
              <w:jc w:val="center"/>
              <w:rPr>
                <w:sz w:val="24"/>
                <w:szCs w:val="24"/>
              </w:rPr>
            </w:pPr>
            <w:r w:rsidRPr="00E33B9A">
              <w:rPr>
                <w:sz w:val="24"/>
                <w:szCs w:val="24"/>
              </w:rPr>
              <w:t>&lt; 1</w:t>
            </w:r>
          </w:p>
        </w:tc>
        <w:tc>
          <w:tcPr>
            <w:tcW w:w="611" w:type="pct"/>
            <w:tcBorders>
              <w:top w:val="single" w:sz="8" w:space="0" w:color="000000"/>
              <w:left w:val="single" w:sz="8" w:space="0" w:color="000000"/>
              <w:bottom w:val="single" w:sz="8" w:space="0" w:color="000000"/>
              <w:right w:val="single" w:sz="8" w:space="0" w:color="000000"/>
            </w:tcBorders>
            <w:hideMark/>
          </w:tcPr>
          <w:p w14:paraId="3D16E43C" w14:textId="77777777" w:rsidR="00EF23AD" w:rsidRPr="00E33B9A" w:rsidRDefault="00EF23AD">
            <w:pPr>
              <w:suppressAutoHyphens/>
              <w:jc w:val="center"/>
              <w:rPr>
                <w:sz w:val="24"/>
                <w:szCs w:val="24"/>
              </w:rPr>
            </w:pPr>
            <w:r w:rsidRPr="00E33B9A">
              <w:rPr>
                <w:sz w:val="24"/>
                <w:szCs w:val="24"/>
              </w:rPr>
              <w:t>&lt; 1</w:t>
            </w:r>
          </w:p>
        </w:tc>
      </w:tr>
      <w:tr w:rsidR="00EF23AD" w:rsidRPr="00E33B9A" w14:paraId="12D1CEEA" w14:textId="77777777" w:rsidTr="00AD3AB8">
        <w:trPr>
          <w:trHeight w:val="253"/>
        </w:trPr>
        <w:tc>
          <w:tcPr>
            <w:tcW w:w="1507" w:type="pct"/>
            <w:vMerge w:val="restart"/>
            <w:tcBorders>
              <w:top w:val="single" w:sz="8" w:space="0" w:color="000000"/>
              <w:left w:val="single" w:sz="8" w:space="0" w:color="000000"/>
              <w:bottom w:val="single" w:sz="8" w:space="0" w:color="000000"/>
              <w:right w:val="single" w:sz="8" w:space="0" w:color="000000"/>
            </w:tcBorders>
            <w:hideMark/>
          </w:tcPr>
          <w:p w14:paraId="26126301" w14:textId="77777777" w:rsidR="00EF23AD" w:rsidRPr="00E33B9A" w:rsidRDefault="00EF23AD">
            <w:pPr>
              <w:suppressAutoHyphens/>
              <w:rPr>
                <w:sz w:val="24"/>
                <w:szCs w:val="24"/>
              </w:rPr>
            </w:pPr>
            <w:r w:rsidRPr="00E33B9A">
              <w:rPr>
                <w:sz w:val="24"/>
                <w:szCs w:val="24"/>
              </w:rPr>
              <w:t xml:space="preserve">Luftveje, thorax og </w:t>
            </w:r>
            <w:proofErr w:type="spellStart"/>
            <w:r w:rsidRPr="00E33B9A">
              <w:rPr>
                <w:sz w:val="24"/>
                <w:szCs w:val="24"/>
              </w:rPr>
              <w:t>mediastinum</w:t>
            </w:r>
            <w:proofErr w:type="spellEnd"/>
          </w:p>
        </w:tc>
        <w:tc>
          <w:tcPr>
            <w:tcW w:w="878" w:type="pct"/>
            <w:tcBorders>
              <w:top w:val="single" w:sz="8" w:space="0" w:color="000000"/>
              <w:left w:val="single" w:sz="8" w:space="0" w:color="000000"/>
              <w:bottom w:val="single" w:sz="8" w:space="0" w:color="000000"/>
              <w:right w:val="single" w:sz="8" w:space="0" w:color="000000"/>
            </w:tcBorders>
            <w:hideMark/>
          </w:tcPr>
          <w:p w14:paraId="2A6CF03C" w14:textId="77777777" w:rsidR="00EF23AD" w:rsidRPr="00E33B9A" w:rsidRDefault="00EF23AD">
            <w:pPr>
              <w:suppressAutoHyphens/>
              <w:rPr>
                <w:sz w:val="24"/>
                <w:szCs w:val="24"/>
              </w:rPr>
            </w:pPr>
            <w:r w:rsidRPr="00E33B9A">
              <w:rPr>
                <w:sz w:val="24"/>
                <w:szCs w:val="24"/>
              </w:rPr>
              <w:t>Meget almindelig</w:t>
            </w:r>
          </w:p>
        </w:tc>
        <w:tc>
          <w:tcPr>
            <w:tcW w:w="1404" w:type="pct"/>
            <w:tcBorders>
              <w:top w:val="single" w:sz="8" w:space="0" w:color="000000"/>
              <w:left w:val="single" w:sz="8" w:space="0" w:color="000000"/>
              <w:bottom w:val="single" w:sz="8" w:space="0" w:color="000000"/>
              <w:right w:val="single" w:sz="8" w:space="0" w:color="000000"/>
            </w:tcBorders>
            <w:hideMark/>
          </w:tcPr>
          <w:p w14:paraId="30490397" w14:textId="77777777" w:rsidR="00EF23AD" w:rsidRPr="00E33B9A" w:rsidRDefault="00EF23AD">
            <w:pPr>
              <w:suppressAutoHyphens/>
              <w:rPr>
                <w:sz w:val="24"/>
                <w:szCs w:val="24"/>
              </w:rPr>
            </w:pPr>
            <w:proofErr w:type="spellStart"/>
            <w:r w:rsidRPr="00E33B9A">
              <w:rPr>
                <w:sz w:val="24"/>
                <w:szCs w:val="24"/>
              </w:rPr>
              <w:t>epistaxis</w:t>
            </w:r>
            <w:proofErr w:type="spellEnd"/>
          </w:p>
        </w:tc>
        <w:tc>
          <w:tcPr>
            <w:tcW w:w="601" w:type="pct"/>
            <w:tcBorders>
              <w:top w:val="single" w:sz="8" w:space="0" w:color="000000"/>
              <w:left w:val="single" w:sz="8" w:space="0" w:color="000000"/>
              <w:bottom w:val="single" w:sz="8" w:space="0" w:color="000000"/>
              <w:right w:val="single" w:sz="8" w:space="0" w:color="000000"/>
            </w:tcBorders>
            <w:hideMark/>
          </w:tcPr>
          <w:p w14:paraId="7C1B90DE" w14:textId="77777777" w:rsidR="00EF23AD" w:rsidRPr="00E33B9A" w:rsidRDefault="00EF23AD">
            <w:pPr>
              <w:suppressAutoHyphens/>
              <w:jc w:val="center"/>
              <w:rPr>
                <w:sz w:val="24"/>
                <w:szCs w:val="24"/>
              </w:rPr>
            </w:pPr>
            <w:r w:rsidRPr="00E33B9A">
              <w:rPr>
                <w:sz w:val="24"/>
                <w:szCs w:val="24"/>
              </w:rPr>
              <w:t>14</w:t>
            </w:r>
          </w:p>
        </w:tc>
        <w:tc>
          <w:tcPr>
            <w:tcW w:w="611" w:type="pct"/>
            <w:tcBorders>
              <w:top w:val="single" w:sz="8" w:space="0" w:color="000000"/>
              <w:left w:val="single" w:sz="8" w:space="0" w:color="000000"/>
              <w:bottom w:val="single" w:sz="8" w:space="0" w:color="000000"/>
              <w:right w:val="single" w:sz="8" w:space="0" w:color="000000"/>
            </w:tcBorders>
            <w:hideMark/>
          </w:tcPr>
          <w:p w14:paraId="48918CC2" w14:textId="77777777" w:rsidR="00EF23AD" w:rsidRPr="00E33B9A" w:rsidRDefault="00EF23AD">
            <w:pPr>
              <w:suppressAutoHyphens/>
              <w:jc w:val="center"/>
              <w:rPr>
                <w:sz w:val="24"/>
                <w:szCs w:val="24"/>
              </w:rPr>
            </w:pPr>
            <w:r w:rsidRPr="00E33B9A">
              <w:rPr>
                <w:sz w:val="24"/>
                <w:szCs w:val="24"/>
              </w:rPr>
              <w:t>2</w:t>
            </w:r>
          </w:p>
        </w:tc>
      </w:tr>
      <w:tr w:rsidR="00EF23AD" w:rsidRPr="00E33B9A" w14:paraId="624875E5" w14:textId="77777777" w:rsidTr="00AD3AB8">
        <w:trPr>
          <w:trHeight w:val="486"/>
        </w:trPr>
        <w:tc>
          <w:tcPr>
            <w:tcW w:w="1507" w:type="pct"/>
            <w:vMerge/>
            <w:tcBorders>
              <w:top w:val="single" w:sz="8" w:space="0" w:color="000000"/>
              <w:left w:val="single" w:sz="8" w:space="0" w:color="000000"/>
              <w:bottom w:val="single" w:sz="8" w:space="0" w:color="000000"/>
              <w:right w:val="single" w:sz="8" w:space="0" w:color="000000"/>
            </w:tcBorders>
            <w:vAlign w:val="center"/>
            <w:hideMark/>
          </w:tcPr>
          <w:p w14:paraId="15FB91B8" w14:textId="77777777" w:rsidR="00EF23AD" w:rsidRPr="00E33B9A" w:rsidRDefault="00EF23AD">
            <w:pPr>
              <w:rPr>
                <w:sz w:val="24"/>
                <w:szCs w:val="24"/>
              </w:rPr>
            </w:pPr>
          </w:p>
        </w:tc>
        <w:tc>
          <w:tcPr>
            <w:tcW w:w="878" w:type="pct"/>
            <w:tcBorders>
              <w:top w:val="single" w:sz="8" w:space="0" w:color="000000"/>
              <w:left w:val="single" w:sz="8" w:space="0" w:color="000000"/>
              <w:bottom w:val="single" w:sz="8" w:space="0" w:color="000000"/>
              <w:right w:val="single" w:sz="8" w:space="0" w:color="000000"/>
            </w:tcBorders>
            <w:hideMark/>
          </w:tcPr>
          <w:p w14:paraId="6F1207D9" w14:textId="77777777" w:rsidR="00EF23AD" w:rsidRPr="00E33B9A" w:rsidRDefault="00EF23AD">
            <w:pPr>
              <w:suppressAutoHyphens/>
              <w:rPr>
                <w:sz w:val="24"/>
                <w:szCs w:val="24"/>
              </w:rPr>
            </w:pPr>
            <w:r w:rsidRPr="00E33B9A">
              <w:rPr>
                <w:sz w:val="24"/>
                <w:szCs w:val="24"/>
              </w:rPr>
              <w:t>Ikke kendt</w:t>
            </w:r>
          </w:p>
        </w:tc>
        <w:tc>
          <w:tcPr>
            <w:tcW w:w="1404" w:type="pct"/>
            <w:tcBorders>
              <w:top w:val="single" w:sz="8" w:space="0" w:color="000000"/>
              <w:left w:val="single" w:sz="8" w:space="0" w:color="000000"/>
              <w:bottom w:val="single" w:sz="8" w:space="0" w:color="000000"/>
              <w:right w:val="single" w:sz="8" w:space="0" w:color="000000"/>
            </w:tcBorders>
            <w:hideMark/>
          </w:tcPr>
          <w:p w14:paraId="21C3FF07" w14:textId="77777777" w:rsidR="00EF23AD" w:rsidRPr="00E33B9A" w:rsidRDefault="00EF23AD">
            <w:pPr>
              <w:suppressAutoHyphens/>
              <w:rPr>
                <w:sz w:val="24"/>
                <w:szCs w:val="24"/>
              </w:rPr>
            </w:pPr>
            <w:proofErr w:type="spellStart"/>
            <w:r w:rsidRPr="00E33B9A">
              <w:rPr>
                <w:sz w:val="24"/>
                <w:szCs w:val="24"/>
              </w:rPr>
              <w:t>interstitiel</w:t>
            </w:r>
            <w:proofErr w:type="spellEnd"/>
            <w:r w:rsidRPr="00E33B9A">
              <w:rPr>
                <w:sz w:val="24"/>
                <w:szCs w:val="24"/>
              </w:rPr>
              <w:t xml:space="preserve"> lungesygdom</w:t>
            </w:r>
          </w:p>
        </w:tc>
        <w:tc>
          <w:tcPr>
            <w:tcW w:w="601" w:type="pct"/>
            <w:tcBorders>
              <w:top w:val="single" w:sz="8" w:space="0" w:color="000000"/>
              <w:left w:val="single" w:sz="8" w:space="0" w:color="000000"/>
              <w:bottom w:val="single" w:sz="8" w:space="0" w:color="000000"/>
              <w:right w:val="single" w:sz="8" w:space="0" w:color="000000"/>
            </w:tcBorders>
            <w:hideMark/>
          </w:tcPr>
          <w:p w14:paraId="771B784C" w14:textId="77777777" w:rsidR="00EF23AD" w:rsidRPr="00E33B9A" w:rsidRDefault="00EF23AD">
            <w:pPr>
              <w:suppressAutoHyphens/>
              <w:jc w:val="center"/>
              <w:rPr>
                <w:sz w:val="24"/>
                <w:szCs w:val="24"/>
              </w:rPr>
            </w:pPr>
            <w:r w:rsidRPr="00E33B9A">
              <w:rPr>
                <w:sz w:val="24"/>
                <w:szCs w:val="24"/>
              </w:rPr>
              <w:t>Ikke kendt</w:t>
            </w:r>
          </w:p>
        </w:tc>
        <w:tc>
          <w:tcPr>
            <w:tcW w:w="611" w:type="pct"/>
            <w:tcBorders>
              <w:top w:val="single" w:sz="8" w:space="0" w:color="000000"/>
              <w:left w:val="single" w:sz="8" w:space="0" w:color="000000"/>
              <w:bottom w:val="single" w:sz="8" w:space="0" w:color="000000"/>
              <w:right w:val="single" w:sz="8" w:space="0" w:color="000000"/>
            </w:tcBorders>
            <w:hideMark/>
          </w:tcPr>
          <w:p w14:paraId="73E2E3C2" w14:textId="77777777" w:rsidR="00EF23AD" w:rsidRPr="00E33B9A" w:rsidRDefault="00EF23AD">
            <w:pPr>
              <w:suppressAutoHyphens/>
              <w:jc w:val="center"/>
              <w:rPr>
                <w:sz w:val="24"/>
                <w:szCs w:val="24"/>
              </w:rPr>
            </w:pPr>
            <w:r w:rsidRPr="00E33B9A">
              <w:rPr>
                <w:sz w:val="24"/>
                <w:szCs w:val="24"/>
              </w:rPr>
              <w:t>Ikke kendt</w:t>
            </w:r>
          </w:p>
        </w:tc>
      </w:tr>
      <w:tr w:rsidR="00EF23AD" w:rsidRPr="00E33B9A" w14:paraId="1796E757" w14:textId="77777777" w:rsidTr="00AD3AB8">
        <w:trPr>
          <w:trHeight w:val="246"/>
        </w:trPr>
        <w:tc>
          <w:tcPr>
            <w:tcW w:w="1507" w:type="pct"/>
            <w:vMerge w:val="restart"/>
            <w:tcBorders>
              <w:top w:val="single" w:sz="8" w:space="0" w:color="000000"/>
              <w:left w:val="single" w:sz="8" w:space="0" w:color="000000"/>
              <w:bottom w:val="single" w:sz="8" w:space="0" w:color="000000"/>
              <w:right w:val="single" w:sz="8" w:space="0" w:color="000000"/>
            </w:tcBorders>
          </w:tcPr>
          <w:p w14:paraId="74A5C939" w14:textId="59265279" w:rsidR="00EF23AD" w:rsidRPr="00E33B9A" w:rsidRDefault="00EF23AD" w:rsidP="00105CC6">
            <w:pPr>
              <w:suppressAutoHyphens/>
              <w:rPr>
                <w:sz w:val="24"/>
                <w:szCs w:val="24"/>
              </w:rPr>
            </w:pPr>
            <w:r w:rsidRPr="00E33B9A">
              <w:rPr>
                <w:sz w:val="24"/>
                <w:szCs w:val="24"/>
              </w:rPr>
              <w:t>Mave-tarm-kanalen</w:t>
            </w:r>
          </w:p>
        </w:tc>
        <w:tc>
          <w:tcPr>
            <w:tcW w:w="878" w:type="pct"/>
            <w:vMerge w:val="restart"/>
            <w:tcBorders>
              <w:top w:val="single" w:sz="8" w:space="0" w:color="000000"/>
              <w:left w:val="single" w:sz="8" w:space="0" w:color="000000"/>
              <w:bottom w:val="single" w:sz="8" w:space="0" w:color="000000"/>
              <w:right w:val="single" w:sz="8" w:space="0" w:color="000000"/>
            </w:tcBorders>
            <w:hideMark/>
          </w:tcPr>
          <w:p w14:paraId="1725905D" w14:textId="77777777" w:rsidR="00EF23AD" w:rsidRPr="00E33B9A" w:rsidRDefault="00EF23AD">
            <w:pPr>
              <w:suppressAutoHyphens/>
              <w:rPr>
                <w:sz w:val="24"/>
                <w:szCs w:val="24"/>
              </w:rPr>
            </w:pPr>
            <w:r w:rsidRPr="00E33B9A">
              <w:rPr>
                <w:sz w:val="24"/>
                <w:szCs w:val="24"/>
              </w:rPr>
              <w:t>Meget almindelig</w:t>
            </w:r>
          </w:p>
        </w:tc>
        <w:tc>
          <w:tcPr>
            <w:tcW w:w="1404" w:type="pct"/>
            <w:tcBorders>
              <w:top w:val="single" w:sz="8" w:space="0" w:color="000000"/>
              <w:left w:val="single" w:sz="8" w:space="0" w:color="000000"/>
              <w:bottom w:val="single" w:sz="8" w:space="0" w:color="000000"/>
              <w:right w:val="single" w:sz="8" w:space="0" w:color="000000"/>
            </w:tcBorders>
            <w:hideMark/>
          </w:tcPr>
          <w:p w14:paraId="171FEE9E" w14:textId="77777777" w:rsidR="00EF23AD" w:rsidRPr="00E33B9A" w:rsidRDefault="00EF23AD">
            <w:pPr>
              <w:suppressAutoHyphens/>
              <w:rPr>
                <w:sz w:val="24"/>
                <w:szCs w:val="24"/>
              </w:rPr>
            </w:pPr>
            <w:r w:rsidRPr="00E33B9A">
              <w:rPr>
                <w:sz w:val="24"/>
                <w:szCs w:val="24"/>
              </w:rPr>
              <w:t>diarré</w:t>
            </w:r>
          </w:p>
        </w:tc>
        <w:tc>
          <w:tcPr>
            <w:tcW w:w="601" w:type="pct"/>
            <w:tcBorders>
              <w:top w:val="single" w:sz="8" w:space="0" w:color="000000"/>
              <w:left w:val="single" w:sz="8" w:space="0" w:color="000000"/>
              <w:bottom w:val="single" w:sz="8" w:space="0" w:color="000000"/>
              <w:right w:val="single" w:sz="8" w:space="0" w:color="000000"/>
            </w:tcBorders>
            <w:hideMark/>
          </w:tcPr>
          <w:p w14:paraId="3F11EB08" w14:textId="77777777" w:rsidR="00EF23AD" w:rsidRPr="00E33B9A" w:rsidRDefault="00EF23AD">
            <w:pPr>
              <w:suppressAutoHyphens/>
              <w:jc w:val="center"/>
              <w:rPr>
                <w:sz w:val="24"/>
                <w:szCs w:val="24"/>
              </w:rPr>
            </w:pPr>
            <w:r w:rsidRPr="00E33B9A">
              <w:rPr>
                <w:sz w:val="24"/>
                <w:szCs w:val="24"/>
              </w:rPr>
              <w:t>31</w:t>
            </w:r>
          </w:p>
        </w:tc>
        <w:tc>
          <w:tcPr>
            <w:tcW w:w="611" w:type="pct"/>
            <w:tcBorders>
              <w:top w:val="single" w:sz="8" w:space="0" w:color="000000"/>
              <w:left w:val="single" w:sz="8" w:space="0" w:color="000000"/>
              <w:bottom w:val="single" w:sz="8" w:space="0" w:color="000000"/>
              <w:right w:val="single" w:sz="8" w:space="0" w:color="000000"/>
            </w:tcBorders>
            <w:hideMark/>
          </w:tcPr>
          <w:p w14:paraId="2D725E42" w14:textId="77777777" w:rsidR="00EF23AD" w:rsidRPr="00E33B9A" w:rsidRDefault="00EF23AD">
            <w:pPr>
              <w:suppressAutoHyphens/>
              <w:jc w:val="center"/>
              <w:rPr>
                <w:sz w:val="24"/>
                <w:szCs w:val="24"/>
              </w:rPr>
            </w:pPr>
            <w:r w:rsidRPr="00E33B9A">
              <w:rPr>
                <w:sz w:val="24"/>
                <w:szCs w:val="24"/>
              </w:rPr>
              <w:t>2</w:t>
            </w:r>
          </w:p>
        </w:tc>
      </w:tr>
      <w:tr w:rsidR="00EF23AD" w:rsidRPr="00E33B9A" w14:paraId="130D5EEB" w14:textId="77777777" w:rsidTr="00AD3AB8">
        <w:trPr>
          <w:trHeight w:val="243"/>
        </w:trPr>
        <w:tc>
          <w:tcPr>
            <w:tcW w:w="1507" w:type="pct"/>
            <w:vMerge/>
            <w:tcBorders>
              <w:top w:val="single" w:sz="8" w:space="0" w:color="000000"/>
              <w:left w:val="single" w:sz="8" w:space="0" w:color="000000"/>
              <w:bottom w:val="single" w:sz="8" w:space="0" w:color="000000"/>
              <w:right w:val="single" w:sz="8" w:space="0" w:color="000000"/>
            </w:tcBorders>
            <w:vAlign w:val="center"/>
            <w:hideMark/>
          </w:tcPr>
          <w:p w14:paraId="1335B486" w14:textId="77777777" w:rsidR="00EF23AD" w:rsidRPr="00E33B9A" w:rsidRDefault="00EF23AD">
            <w:pPr>
              <w:rPr>
                <w:sz w:val="24"/>
                <w:szCs w:val="24"/>
              </w:rPr>
            </w:pPr>
          </w:p>
        </w:tc>
        <w:tc>
          <w:tcPr>
            <w:tcW w:w="878" w:type="pct"/>
            <w:vMerge/>
            <w:tcBorders>
              <w:top w:val="single" w:sz="8" w:space="0" w:color="000000"/>
              <w:left w:val="single" w:sz="8" w:space="0" w:color="000000"/>
              <w:bottom w:val="single" w:sz="8" w:space="0" w:color="000000"/>
              <w:right w:val="single" w:sz="8" w:space="0" w:color="000000"/>
            </w:tcBorders>
            <w:vAlign w:val="center"/>
            <w:hideMark/>
          </w:tcPr>
          <w:p w14:paraId="0E5B29D6" w14:textId="77777777" w:rsidR="00EF23AD" w:rsidRPr="00E33B9A" w:rsidRDefault="00EF23AD">
            <w:pPr>
              <w:rPr>
                <w:sz w:val="24"/>
                <w:szCs w:val="24"/>
              </w:rPr>
            </w:pPr>
          </w:p>
        </w:tc>
        <w:tc>
          <w:tcPr>
            <w:tcW w:w="1404" w:type="pct"/>
            <w:tcBorders>
              <w:top w:val="single" w:sz="8" w:space="0" w:color="000000"/>
              <w:left w:val="single" w:sz="8" w:space="0" w:color="000000"/>
              <w:bottom w:val="single" w:sz="8" w:space="0" w:color="000000"/>
              <w:right w:val="single" w:sz="8" w:space="0" w:color="000000"/>
            </w:tcBorders>
            <w:hideMark/>
          </w:tcPr>
          <w:p w14:paraId="5A60B036" w14:textId="77777777" w:rsidR="00EF23AD" w:rsidRPr="00E33B9A" w:rsidRDefault="00EF23AD">
            <w:pPr>
              <w:suppressAutoHyphens/>
              <w:rPr>
                <w:sz w:val="24"/>
                <w:szCs w:val="24"/>
              </w:rPr>
            </w:pPr>
            <w:r w:rsidRPr="00E33B9A">
              <w:rPr>
                <w:sz w:val="24"/>
                <w:szCs w:val="24"/>
              </w:rPr>
              <w:t>opkastning</w:t>
            </w:r>
          </w:p>
        </w:tc>
        <w:tc>
          <w:tcPr>
            <w:tcW w:w="601" w:type="pct"/>
            <w:tcBorders>
              <w:top w:val="single" w:sz="8" w:space="0" w:color="000000"/>
              <w:left w:val="single" w:sz="8" w:space="0" w:color="000000"/>
              <w:bottom w:val="single" w:sz="8" w:space="0" w:color="000000"/>
              <w:right w:val="single" w:sz="8" w:space="0" w:color="000000"/>
            </w:tcBorders>
            <w:hideMark/>
          </w:tcPr>
          <w:p w14:paraId="4A54EDAB" w14:textId="77777777" w:rsidR="00EF23AD" w:rsidRPr="00E33B9A" w:rsidRDefault="00EF23AD">
            <w:pPr>
              <w:suppressAutoHyphens/>
              <w:jc w:val="center"/>
              <w:rPr>
                <w:sz w:val="24"/>
                <w:szCs w:val="24"/>
              </w:rPr>
            </w:pPr>
            <w:r w:rsidRPr="00E33B9A">
              <w:rPr>
                <w:sz w:val="24"/>
                <w:szCs w:val="24"/>
              </w:rPr>
              <w:t>18</w:t>
            </w:r>
          </w:p>
        </w:tc>
        <w:tc>
          <w:tcPr>
            <w:tcW w:w="611" w:type="pct"/>
            <w:tcBorders>
              <w:top w:val="single" w:sz="8" w:space="0" w:color="000000"/>
              <w:left w:val="single" w:sz="8" w:space="0" w:color="000000"/>
              <w:bottom w:val="single" w:sz="8" w:space="0" w:color="000000"/>
              <w:right w:val="single" w:sz="8" w:space="0" w:color="000000"/>
            </w:tcBorders>
            <w:hideMark/>
          </w:tcPr>
          <w:p w14:paraId="372EA219" w14:textId="77777777" w:rsidR="00EF23AD" w:rsidRPr="00E33B9A" w:rsidRDefault="00EF23AD">
            <w:pPr>
              <w:suppressAutoHyphens/>
              <w:jc w:val="center"/>
              <w:rPr>
                <w:sz w:val="24"/>
                <w:szCs w:val="24"/>
              </w:rPr>
            </w:pPr>
            <w:r w:rsidRPr="00E33B9A">
              <w:rPr>
                <w:sz w:val="24"/>
                <w:szCs w:val="24"/>
              </w:rPr>
              <w:t>1</w:t>
            </w:r>
          </w:p>
        </w:tc>
      </w:tr>
      <w:tr w:rsidR="00EF23AD" w:rsidRPr="00E33B9A" w14:paraId="19EB947D" w14:textId="77777777" w:rsidTr="00AD3AB8">
        <w:trPr>
          <w:trHeight w:val="248"/>
        </w:trPr>
        <w:tc>
          <w:tcPr>
            <w:tcW w:w="1507" w:type="pct"/>
            <w:vMerge/>
            <w:tcBorders>
              <w:top w:val="single" w:sz="8" w:space="0" w:color="000000"/>
              <w:left w:val="single" w:sz="8" w:space="0" w:color="000000"/>
              <w:bottom w:val="single" w:sz="8" w:space="0" w:color="000000"/>
              <w:right w:val="single" w:sz="8" w:space="0" w:color="000000"/>
            </w:tcBorders>
            <w:vAlign w:val="center"/>
            <w:hideMark/>
          </w:tcPr>
          <w:p w14:paraId="02FF1BF1" w14:textId="77777777" w:rsidR="00EF23AD" w:rsidRPr="00E33B9A" w:rsidRDefault="00EF23AD">
            <w:pPr>
              <w:rPr>
                <w:sz w:val="24"/>
                <w:szCs w:val="24"/>
              </w:rPr>
            </w:pPr>
          </w:p>
        </w:tc>
        <w:tc>
          <w:tcPr>
            <w:tcW w:w="878" w:type="pct"/>
            <w:vMerge/>
            <w:tcBorders>
              <w:top w:val="single" w:sz="8" w:space="0" w:color="000000"/>
              <w:left w:val="single" w:sz="8" w:space="0" w:color="000000"/>
              <w:bottom w:val="single" w:sz="8" w:space="0" w:color="000000"/>
              <w:right w:val="single" w:sz="8" w:space="0" w:color="000000"/>
            </w:tcBorders>
            <w:vAlign w:val="center"/>
            <w:hideMark/>
          </w:tcPr>
          <w:p w14:paraId="0FDF935E" w14:textId="77777777" w:rsidR="00EF23AD" w:rsidRPr="00E33B9A" w:rsidRDefault="00EF23AD">
            <w:pPr>
              <w:rPr>
                <w:sz w:val="24"/>
                <w:szCs w:val="24"/>
              </w:rPr>
            </w:pPr>
          </w:p>
        </w:tc>
        <w:tc>
          <w:tcPr>
            <w:tcW w:w="1404" w:type="pct"/>
            <w:tcBorders>
              <w:top w:val="single" w:sz="8" w:space="0" w:color="000000"/>
              <w:left w:val="single" w:sz="8" w:space="0" w:color="000000"/>
              <w:bottom w:val="single" w:sz="8" w:space="0" w:color="000000"/>
              <w:right w:val="single" w:sz="8" w:space="0" w:color="000000"/>
            </w:tcBorders>
            <w:hideMark/>
          </w:tcPr>
          <w:p w14:paraId="0F253414" w14:textId="77777777" w:rsidR="00EF23AD" w:rsidRPr="00E33B9A" w:rsidRDefault="00EF23AD">
            <w:pPr>
              <w:suppressAutoHyphens/>
              <w:rPr>
                <w:sz w:val="24"/>
                <w:szCs w:val="24"/>
              </w:rPr>
            </w:pPr>
            <w:r w:rsidRPr="00E33B9A">
              <w:rPr>
                <w:sz w:val="24"/>
                <w:szCs w:val="24"/>
              </w:rPr>
              <w:t>kvalme</w:t>
            </w:r>
          </w:p>
        </w:tc>
        <w:tc>
          <w:tcPr>
            <w:tcW w:w="601" w:type="pct"/>
            <w:tcBorders>
              <w:top w:val="single" w:sz="8" w:space="0" w:color="000000"/>
              <w:left w:val="single" w:sz="8" w:space="0" w:color="000000"/>
              <w:bottom w:val="single" w:sz="8" w:space="0" w:color="000000"/>
              <w:right w:val="single" w:sz="8" w:space="0" w:color="000000"/>
            </w:tcBorders>
            <w:hideMark/>
          </w:tcPr>
          <w:p w14:paraId="214B8CDA" w14:textId="77777777" w:rsidR="00EF23AD" w:rsidRPr="00E33B9A" w:rsidRDefault="00EF23AD">
            <w:pPr>
              <w:suppressAutoHyphens/>
              <w:jc w:val="center"/>
              <w:rPr>
                <w:sz w:val="24"/>
                <w:szCs w:val="24"/>
              </w:rPr>
            </w:pPr>
            <w:r w:rsidRPr="00E33B9A">
              <w:rPr>
                <w:sz w:val="24"/>
                <w:szCs w:val="24"/>
              </w:rPr>
              <w:t>33</w:t>
            </w:r>
          </w:p>
        </w:tc>
        <w:tc>
          <w:tcPr>
            <w:tcW w:w="611" w:type="pct"/>
            <w:tcBorders>
              <w:top w:val="single" w:sz="8" w:space="0" w:color="000000"/>
              <w:left w:val="single" w:sz="8" w:space="0" w:color="000000"/>
              <w:bottom w:val="single" w:sz="8" w:space="0" w:color="000000"/>
              <w:right w:val="single" w:sz="8" w:space="0" w:color="000000"/>
            </w:tcBorders>
            <w:hideMark/>
          </w:tcPr>
          <w:p w14:paraId="6A6759C4" w14:textId="77777777" w:rsidR="00EF23AD" w:rsidRPr="00E33B9A" w:rsidRDefault="00EF23AD">
            <w:pPr>
              <w:suppressAutoHyphens/>
              <w:jc w:val="center"/>
              <w:rPr>
                <w:sz w:val="24"/>
                <w:szCs w:val="24"/>
              </w:rPr>
            </w:pPr>
            <w:r w:rsidRPr="00E33B9A">
              <w:rPr>
                <w:sz w:val="24"/>
                <w:szCs w:val="24"/>
              </w:rPr>
              <w:t>&lt; 1</w:t>
            </w:r>
          </w:p>
        </w:tc>
      </w:tr>
      <w:tr w:rsidR="00EF23AD" w:rsidRPr="00E33B9A" w14:paraId="0338B4CF" w14:textId="77777777" w:rsidTr="00AD3AB8">
        <w:trPr>
          <w:trHeight w:val="253"/>
        </w:trPr>
        <w:tc>
          <w:tcPr>
            <w:tcW w:w="1507" w:type="pct"/>
            <w:vMerge/>
            <w:tcBorders>
              <w:top w:val="single" w:sz="8" w:space="0" w:color="000000"/>
              <w:left w:val="single" w:sz="8" w:space="0" w:color="000000"/>
              <w:bottom w:val="single" w:sz="8" w:space="0" w:color="000000"/>
              <w:right w:val="single" w:sz="8" w:space="0" w:color="000000"/>
            </w:tcBorders>
            <w:vAlign w:val="center"/>
            <w:hideMark/>
          </w:tcPr>
          <w:p w14:paraId="7DAC428B" w14:textId="77777777" w:rsidR="00EF23AD" w:rsidRPr="00E33B9A" w:rsidRDefault="00EF23AD">
            <w:pPr>
              <w:rPr>
                <w:sz w:val="24"/>
                <w:szCs w:val="24"/>
              </w:rPr>
            </w:pPr>
          </w:p>
        </w:tc>
        <w:tc>
          <w:tcPr>
            <w:tcW w:w="878" w:type="pct"/>
            <w:tcBorders>
              <w:top w:val="single" w:sz="8" w:space="0" w:color="000000"/>
              <w:left w:val="single" w:sz="8" w:space="0" w:color="000000"/>
              <w:bottom w:val="single" w:sz="8" w:space="0" w:color="000000"/>
              <w:right w:val="single" w:sz="8" w:space="0" w:color="000000"/>
            </w:tcBorders>
            <w:hideMark/>
          </w:tcPr>
          <w:p w14:paraId="5481C51B" w14:textId="77777777" w:rsidR="00EF23AD" w:rsidRPr="00E33B9A" w:rsidRDefault="00EF23AD">
            <w:pPr>
              <w:suppressAutoHyphens/>
              <w:rPr>
                <w:sz w:val="24"/>
                <w:szCs w:val="24"/>
              </w:rPr>
            </w:pPr>
            <w:r w:rsidRPr="00E33B9A">
              <w:rPr>
                <w:sz w:val="24"/>
                <w:szCs w:val="24"/>
              </w:rPr>
              <w:t>Almindelig</w:t>
            </w:r>
          </w:p>
        </w:tc>
        <w:tc>
          <w:tcPr>
            <w:tcW w:w="1404" w:type="pct"/>
            <w:tcBorders>
              <w:top w:val="single" w:sz="8" w:space="0" w:color="000000"/>
              <w:left w:val="single" w:sz="8" w:space="0" w:color="000000"/>
              <w:bottom w:val="single" w:sz="8" w:space="0" w:color="000000"/>
              <w:right w:val="single" w:sz="8" w:space="0" w:color="000000"/>
            </w:tcBorders>
            <w:hideMark/>
          </w:tcPr>
          <w:p w14:paraId="11738B55" w14:textId="77777777" w:rsidR="00EF23AD" w:rsidRPr="00E33B9A" w:rsidRDefault="00EF23AD">
            <w:pPr>
              <w:suppressAutoHyphens/>
              <w:rPr>
                <w:sz w:val="24"/>
                <w:szCs w:val="24"/>
              </w:rPr>
            </w:pPr>
            <w:proofErr w:type="spellStart"/>
            <w:r w:rsidRPr="00E33B9A">
              <w:rPr>
                <w:sz w:val="24"/>
                <w:szCs w:val="24"/>
              </w:rPr>
              <w:t>stomatit</w:t>
            </w:r>
            <w:proofErr w:type="spellEnd"/>
          </w:p>
        </w:tc>
        <w:tc>
          <w:tcPr>
            <w:tcW w:w="601" w:type="pct"/>
            <w:tcBorders>
              <w:top w:val="single" w:sz="8" w:space="0" w:color="000000"/>
              <w:left w:val="single" w:sz="8" w:space="0" w:color="000000"/>
              <w:bottom w:val="single" w:sz="8" w:space="0" w:color="000000"/>
              <w:right w:val="single" w:sz="8" w:space="0" w:color="000000"/>
            </w:tcBorders>
            <w:hideMark/>
          </w:tcPr>
          <w:p w14:paraId="18B4EC49" w14:textId="77777777" w:rsidR="00EF23AD" w:rsidRPr="00E33B9A" w:rsidRDefault="00EF23AD">
            <w:pPr>
              <w:suppressAutoHyphens/>
              <w:jc w:val="center"/>
              <w:rPr>
                <w:sz w:val="24"/>
                <w:szCs w:val="24"/>
              </w:rPr>
            </w:pPr>
            <w:r w:rsidRPr="00E33B9A">
              <w:rPr>
                <w:sz w:val="24"/>
                <w:szCs w:val="24"/>
              </w:rPr>
              <w:t>7</w:t>
            </w:r>
          </w:p>
        </w:tc>
        <w:tc>
          <w:tcPr>
            <w:tcW w:w="611" w:type="pct"/>
            <w:tcBorders>
              <w:top w:val="single" w:sz="8" w:space="0" w:color="000000"/>
              <w:left w:val="single" w:sz="8" w:space="0" w:color="000000"/>
              <w:bottom w:val="single" w:sz="8" w:space="0" w:color="000000"/>
              <w:right w:val="single" w:sz="8" w:space="0" w:color="000000"/>
            </w:tcBorders>
            <w:hideMark/>
          </w:tcPr>
          <w:p w14:paraId="6FD96D08" w14:textId="77777777" w:rsidR="00EF23AD" w:rsidRPr="00E33B9A" w:rsidRDefault="00EF23AD">
            <w:pPr>
              <w:suppressAutoHyphens/>
              <w:jc w:val="center"/>
              <w:rPr>
                <w:sz w:val="24"/>
                <w:szCs w:val="24"/>
              </w:rPr>
            </w:pPr>
            <w:r w:rsidRPr="00E33B9A">
              <w:rPr>
                <w:sz w:val="24"/>
                <w:szCs w:val="24"/>
              </w:rPr>
              <w:t>1</w:t>
            </w:r>
          </w:p>
        </w:tc>
      </w:tr>
      <w:tr w:rsidR="00EF23AD" w:rsidRPr="00E33B9A" w14:paraId="6B107531" w14:textId="77777777" w:rsidTr="00AD3AB8">
        <w:trPr>
          <w:trHeight w:val="760"/>
        </w:trPr>
        <w:tc>
          <w:tcPr>
            <w:tcW w:w="1507" w:type="pct"/>
            <w:vMerge/>
            <w:tcBorders>
              <w:top w:val="single" w:sz="8" w:space="0" w:color="000000"/>
              <w:left w:val="single" w:sz="8" w:space="0" w:color="000000"/>
              <w:bottom w:val="single" w:sz="8" w:space="0" w:color="000000"/>
              <w:right w:val="single" w:sz="8" w:space="0" w:color="000000"/>
            </w:tcBorders>
            <w:vAlign w:val="center"/>
            <w:hideMark/>
          </w:tcPr>
          <w:p w14:paraId="317D2811" w14:textId="77777777" w:rsidR="00EF23AD" w:rsidRPr="00E33B9A" w:rsidRDefault="00EF23AD">
            <w:pPr>
              <w:rPr>
                <w:sz w:val="24"/>
                <w:szCs w:val="24"/>
              </w:rPr>
            </w:pPr>
          </w:p>
        </w:tc>
        <w:tc>
          <w:tcPr>
            <w:tcW w:w="878" w:type="pct"/>
            <w:tcBorders>
              <w:top w:val="single" w:sz="8" w:space="0" w:color="000000"/>
              <w:left w:val="single" w:sz="8" w:space="0" w:color="000000"/>
              <w:bottom w:val="single" w:sz="8" w:space="0" w:color="000000"/>
              <w:right w:val="single" w:sz="8" w:space="0" w:color="000000"/>
            </w:tcBorders>
            <w:hideMark/>
          </w:tcPr>
          <w:p w14:paraId="2976D6DE" w14:textId="77777777" w:rsidR="00EF23AD" w:rsidRPr="00E33B9A" w:rsidRDefault="00EF23AD">
            <w:pPr>
              <w:suppressAutoHyphens/>
              <w:rPr>
                <w:sz w:val="24"/>
                <w:szCs w:val="24"/>
              </w:rPr>
            </w:pPr>
            <w:r w:rsidRPr="00E33B9A">
              <w:rPr>
                <w:sz w:val="24"/>
                <w:szCs w:val="24"/>
              </w:rPr>
              <w:t>Ikke kendt</w:t>
            </w:r>
          </w:p>
        </w:tc>
        <w:tc>
          <w:tcPr>
            <w:tcW w:w="1404" w:type="pct"/>
            <w:tcBorders>
              <w:top w:val="single" w:sz="8" w:space="0" w:color="000000"/>
              <w:left w:val="single" w:sz="8" w:space="0" w:color="000000"/>
              <w:bottom w:val="single" w:sz="8" w:space="0" w:color="000000"/>
              <w:right w:val="single" w:sz="8" w:space="0" w:color="000000"/>
            </w:tcBorders>
            <w:hideMark/>
          </w:tcPr>
          <w:p w14:paraId="4F1DC017" w14:textId="77777777" w:rsidR="00EF23AD" w:rsidRPr="00E33B9A" w:rsidRDefault="00EF23AD">
            <w:pPr>
              <w:suppressAutoHyphens/>
              <w:rPr>
                <w:sz w:val="24"/>
                <w:szCs w:val="24"/>
              </w:rPr>
            </w:pPr>
            <w:proofErr w:type="spellStart"/>
            <w:r w:rsidRPr="00E33B9A">
              <w:rPr>
                <w:sz w:val="24"/>
                <w:szCs w:val="24"/>
              </w:rPr>
              <w:t>enterocolitis</w:t>
            </w:r>
            <w:proofErr w:type="spellEnd"/>
            <w:r w:rsidRPr="00E33B9A">
              <w:rPr>
                <w:sz w:val="24"/>
                <w:szCs w:val="24"/>
              </w:rPr>
              <w:t xml:space="preserve">, herunder </w:t>
            </w:r>
            <w:proofErr w:type="spellStart"/>
            <w:r w:rsidRPr="00E33B9A">
              <w:rPr>
                <w:sz w:val="24"/>
                <w:szCs w:val="24"/>
              </w:rPr>
              <w:t>neutropen</w:t>
            </w:r>
            <w:proofErr w:type="spellEnd"/>
            <w:r w:rsidRPr="00E33B9A">
              <w:rPr>
                <w:sz w:val="24"/>
                <w:szCs w:val="24"/>
              </w:rPr>
              <w:t xml:space="preserve"> colitis, </w:t>
            </w:r>
            <w:proofErr w:type="spellStart"/>
            <w:r w:rsidRPr="00E33B9A">
              <w:rPr>
                <w:sz w:val="24"/>
                <w:szCs w:val="24"/>
              </w:rPr>
              <w:t>caecitis</w:t>
            </w:r>
            <w:proofErr w:type="spellEnd"/>
            <w:r w:rsidRPr="00E33B9A">
              <w:rPr>
                <w:sz w:val="24"/>
                <w:szCs w:val="24"/>
              </w:rPr>
              <w:t>*</w:t>
            </w:r>
          </w:p>
        </w:tc>
        <w:tc>
          <w:tcPr>
            <w:tcW w:w="601" w:type="pct"/>
            <w:tcBorders>
              <w:top w:val="single" w:sz="8" w:space="0" w:color="000000"/>
              <w:left w:val="single" w:sz="8" w:space="0" w:color="000000"/>
              <w:bottom w:val="single" w:sz="8" w:space="0" w:color="000000"/>
              <w:right w:val="single" w:sz="8" w:space="0" w:color="000000"/>
            </w:tcBorders>
            <w:hideMark/>
          </w:tcPr>
          <w:p w14:paraId="435F0A19" w14:textId="77777777" w:rsidR="00EF23AD" w:rsidRPr="00E33B9A" w:rsidRDefault="00EF23AD">
            <w:pPr>
              <w:suppressAutoHyphens/>
              <w:jc w:val="center"/>
              <w:rPr>
                <w:sz w:val="24"/>
                <w:szCs w:val="24"/>
              </w:rPr>
            </w:pPr>
            <w:r w:rsidRPr="00E33B9A">
              <w:rPr>
                <w:sz w:val="24"/>
                <w:szCs w:val="24"/>
              </w:rPr>
              <w:t>Ikke kendt</w:t>
            </w:r>
          </w:p>
        </w:tc>
        <w:tc>
          <w:tcPr>
            <w:tcW w:w="611" w:type="pct"/>
            <w:tcBorders>
              <w:top w:val="single" w:sz="8" w:space="0" w:color="000000"/>
              <w:left w:val="single" w:sz="8" w:space="0" w:color="000000"/>
              <w:bottom w:val="single" w:sz="8" w:space="0" w:color="000000"/>
              <w:right w:val="single" w:sz="8" w:space="0" w:color="000000"/>
            </w:tcBorders>
            <w:hideMark/>
          </w:tcPr>
          <w:p w14:paraId="30132F75" w14:textId="77777777" w:rsidR="00EF23AD" w:rsidRPr="00E33B9A" w:rsidRDefault="00EF23AD">
            <w:pPr>
              <w:suppressAutoHyphens/>
              <w:jc w:val="center"/>
              <w:rPr>
                <w:sz w:val="24"/>
                <w:szCs w:val="24"/>
              </w:rPr>
            </w:pPr>
            <w:r w:rsidRPr="00E33B9A">
              <w:rPr>
                <w:sz w:val="24"/>
                <w:szCs w:val="24"/>
              </w:rPr>
              <w:t>Ikke kendt</w:t>
            </w:r>
          </w:p>
        </w:tc>
      </w:tr>
      <w:tr w:rsidR="00EF23AD" w:rsidRPr="00E33B9A" w14:paraId="6E4DC359" w14:textId="77777777" w:rsidTr="00AD3AB8">
        <w:trPr>
          <w:trHeight w:val="253"/>
        </w:trPr>
        <w:tc>
          <w:tcPr>
            <w:tcW w:w="1507" w:type="pct"/>
            <w:vMerge w:val="restart"/>
            <w:tcBorders>
              <w:top w:val="single" w:sz="8" w:space="0" w:color="000000"/>
              <w:left w:val="single" w:sz="8" w:space="0" w:color="000000"/>
              <w:bottom w:val="single" w:sz="8" w:space="0" w:color="000000"/>
              <w:right w:val="single" w:sz="8" w:space="0" w:color="000000"/>
            </w:tcBorders>
          </w:tcPr>
          <w:p w14:paraId="747DD32F" w14:textId="2E36DB4D" w:rsidR="00EF23AD" w:rsidRPr="00E33B9A" w:rsidRDefault="00EF23AD" w:rsidP="00105CC6">
            <w:pPr>
              <w:suppressAutoHyphens/>
              <w:rPr>
                <w:sz w:val="24"/>
                <w:szCs w:val="24"/>
              </w:rPr>
            </w:pPr>
            <w:r w:rsidRPr="00E33B9A">
              <w:rPr>
                <w:sz w:val="24"/>
                <w:szCs w:val="24"/>
              </w:rPr>
              <w:t>Lever og galdeveje</w:t>
            </w:r>
          </w:p>
        </w:tc>
        <w:tc>
          <w:tcPr>
            <w:tcW w:w="878" w:type="pct"/>
            <w:tcBorders>
              <w:top w:val="single" w:sz="8" w:space="0" w:color="000000"/>
              <w:left w:val="single" w:sz="8" w:space="0" w:color="000000"/>
              <w:bottom w:val="single" w:sz="8" w:space="0" w:color="000000"/>
              <w:right w:val="single" w:sz="8" w:space="0" w:color="000000"/>
            </w:tcBorders>
            <w:hideMark/>
          </w:tcPr>
          <w:p w14:paraId="1A1BA5FE" w14:textId="77777777" w:rsidR="00EF23AD" w:rsidRPr="00E33B9A" w:rsidRDefault="00EF23AD">
            <w:pPr>
              <w:suppressAutoHyphens/>
              <w:rPr>
                <w:sz w:val="24"/>
                <w:szCs w:val="24"/>
              </w:rPr>
            </w:pPr>
            <w:r w:rsidRPr="00E33B9A">
              <w:rPr>
                <w:sz w:val="24"/>
                <w:szCs w:val="24"/>
              </w:rPr>
              <w:t>Meget almindelig</w:t>
            </w:r>
          </w:p>
        </w:tc>
        <w:tc>
          <w:tcPr>
            <w:tcW w:w="1404" w:type="pct"/>
            <w:tcBorders>
              <w:top w:val="single" w:sz="8" w:space="0" w:color="000000"/>
              <w:left w:val="single" w:sz="8" w:space="0" w:color="000000"/>
              <w:bottom w:val="single" w:sz="8" w:space="0" w:color="000000"/>
              <w:right w:val="single" w:sz="8" w:space="0" w:color="000000"/>
            </w:tcBorders>
            <w:hideMark/>
          </w:tcPr>
          <w:p w14:paraId="31BBB4C0" w14:textId="77777777" w:rsidR="00EF23AD" w:rsidRPr="00E33B9A" w:rsidRDefault="00EF23AD">
            <w:pPr>
              <w:suppressAutoHyphens/>
              <w:rPr>
                <w:sz w:val="24"/>
                <w:szCs w:val="24"/>
              </w:rPr>
            </w:pPr>
            <w:r w:rsidRPr="00E33B9A">
              <w:rPr>
                <w:sz w:val="24"/>
                <w:szCs w:val="24"/>
              </w:rPr>
              <w:t>unormal leverfunktion</w:t>
            </w:r>
          </w:p>
        </w:tc>
        <w:tc>
          <w:tcPr>
            <w:tcW w:w="601" w:type="pct"/>
            <w:tcBorders>
              <w:top w:val="single" w:sz="8" w:space="0" w:color="000000"/>
              <w:left w:val="single" w:sz="8" w:space="0" w:color="000000"/>
              <w:bottom w:val="single" w:sz="8" w:space="0" w:color="000000"/>
              <w:right w:val="single" w:sz="8" w:space="0" w:color="000000"/>
            </w:tcBorders>
            <w:hideMark/>
          </w:tcPr>
          <w:p w14:paraId="0911FB6D" w14:textId="77777777" w:rsidR="00EF23AD" w:rsidRPr="00E33B9A" w:rsidRDefault="00EF23AD">
            <w:pPr>
              <w:suppressAutoHyphens/>
              <w:jc w:val="center"/>
              <w:rPr>
                <w:sz w:val="24"/>
                <w:szCs w:val="24"/>
              </w:rPr>
            </w:pPr>
            <w:r w:rsidRPr="00E33B9A">
              <w:rPr>
                <w:sz w:val="24"/>
                <w:szCs w:val="24"/>
              </w:rPr>
              <w:t>11</w:t>
            </w:r>
          </w:p>
        </w:tc>
        <w:tc>
          <w:tcPr>
            <w:tcW w:w="611" w:type="pct"/>
            <w:tcBorders>
              <w:top w:val="single" w:sz="8" w:space="0" w:color="000000"/>
              <w:left w:val="single" w:sz="8" w:space="0" w:color="000000"/>
              <w:bottom w:val="single" w:sz="8" w:space="0" w:color="000000"/>
              <w:right w:val="single" w:sz="8" w:space="0" w:color="000000"/>
            </w:tcBorders>
            <w:hideMark/>
          </w:tcPr>
          <w:p w14:paraId="11E737A1" w14:textId="77777777" w:rsidR="00EF23AD" w:rsidRPr="00E33B9A" w:rsidRDefault="00EF23AD">
            <w:pPr>
              <w:suppressAutoHyphens/>
              <w:jc w:val="center"/>
              <w:rPr>
                <w:sz w:val="24"/>
                <w:szCs w:val="24"/>
              </w:rPr>
            </w:pPr>
            <w:r w:rsidRPr="00E33B9A">
              <w:rPr>
                <w:sz w:val="24"/>
                <w:szCs w:val="24"/>
              </w:rPr>
              <w:t>3</w:t>
            </w:r>
          </w:p>
        </w:tc>
      </w:tr>
      <w:tr w:rsidR="00EF23AD" w:rsidRPr="00E33B9A" w14:paraId="04FB4DAB" w14:textId="77777777" w:rsidTr="00AD3AB8">
        <w:trPr>
          <w:trHeight w:val="253"/>
        </w:trPr>
        <w:tc>
          <w:tcPr>
            <w:tcW w:w="1507" w:type="pct"/>
            <w:vMerge/>
            <w:tcBorders>
              <w:top w:val="single" w:sz="8" w:space="0" w:color="000000"/>
              <w:left w:val="single" w:sz="8" w:space="0" w:color="000000"/>
              <w:bottom w:val="single" w:sz="8" w:space="0" w:color="000000"/>
              <w:right w:val="single" w:sz="8" w:space="0" w:color="000000"/>
            </w:tcBorders>
            <w:vAlign w:val="center"/>
            <w:hideMark/>
          </w:tcPr>
          <w:p w14:paraId="384C1F73" w14:textId="77777777" w:rsidR="00EF23AD" w:rsidRPr="00E33B9A" w:rsidRDefault="00EF23AD">
            <w:pPr>
              <w:rPr>
                <w:sz w:val="24"/>
                <w:szCs w:val="24"/>
              </w:rPr>
            </w:pPr>
          </w:p>
        </w:tc>
        <w:tc>
          <w:tcPr>
            <w:tcW w:w="878" w:type="pct"/>
            <w:tcBorders>
              <w:top w:val="single" w:sz="8" w:space="0" w:color="000000"/>
              <w:left w:val="single" w:sz="8" w:space="0" w:color="000000"/>
              <w:bottom w:val="single" w:sz="8" w:space="0" w:color="000000"/>
              <w:right w:val="single" w:sz="8" w:space="0" w:color="000000"/>
            </w:tcBorders>
            <w:hideMark/>
          </w:tcPr>
          <w:p w14:paraId="5B5F4AD4" w14:textId="77777777" w:rsidR="00EF23AD" w:rsidRPr="00E33B9A" w:rsidRDefault="00EF23AD">
            <w:pPr>
              <w:suppressAutoHyphens/>
              <w:rPr>
                <w:sz w:val="24"/>
                <w:szCs w:val="24"/>
              </w:rPr>
            </w:pPr>
            <w:r w:rsidRPr="00E33B9A">
              <w:rPr>
                <w:sz w:val="24"/>
                <w:szCs w:val="24"/>
              </w:rPr>
              <w:t>Almindelig</w:t>
            </w:r>
          </w:p>
        </w:tc>
        <w:tc>
          <w:tcPr>
            <w:tcW w:w="1404" w:type="pct"/>
            <w:tcBorders>
              <w:top w:val="single" w:sz="8" w:space="0" w:color="000000"/>
              <w:left w:val="single" w:sz="8" w:space="0" w:color="000000"/>
              <w:bottom w:val="single" w:sz="8" w:space="0" w:color="000000"/>
              <w:right w:val="single" w:sz="8" w:space="0" w:color="000000"/>
            </w:tcBorders>
            <w:hideMark/>
          </w:tcPr>
          <w:p w14:paraId="71C68EDD" w14:textId="77777777" w:rsidR="00EF23AD" w:rsidRPr="00E33B9A" w:rsidRDefault="00EF23AD">
            <w:pPr>
              <w:suppressAutoHyphens/>
              <w:rPr>
                <w:sz w:val="24"/>
                <w:szCs w:val="24"/>
              </w:rPr>
            </w:pPr>
            <w:proofErr w:type="spellStart"/>
            <w:r w:rsidRPr="00E33B9A">
              <w:rPr>
                <w:sz w:val="24"/>
                <w:szCs w:val="24"/>
              </w:rPr>
              <w:t>hyperbilirubinæmi</w:t>
            </w:r>
            <w:r w:rsidRPr="00E33B9A">
              <w:rPr>
                <w:sz w:val="24"/>
                <w:szCs w:val="24"/>
                <w:vertAlign w:val="superscript"/>
              </w:rPr>
              <w:t>g</w:t>
            </w:r>
            <w:proofErr w:type="spellEnd"/>
          </w:p>
        </w:tc>
        <w:tc>
          <w:tcPr>
            <w:tcW w:w="601" w:type="pct"/>
            <w:tcBorders>
              <w:top w:val="single" w:sz="8" w:space="0" w:color="000000"/>
              <w:left w:val="single" w:sz="8" w:space="0" w:color="000000"/>
              <w:bottom w:val="single" w:sz="8" w:space="0" w:color="000000"/>
              <w:right w:val="single" w:sz="8" w:space="0" w:color="000000"/>
            </w:tcBorders>
            <w:hideMark/>
          </w:tcPr>
          <w:p w14:paraId="6963AB0B" w14:textId="77777777" w:rsidR="00EF23AD" w:rsidRPr="00E33B9A" w:rsidRDefault="00EF23AD">
            <w:pPr>
              <w:suppressAutoHyphens/>
              <w:jc w:val="center"/>
              <w:rPr>
                <w:sz w:val="24"/>
                <w:szCs w:val="24"/>
              </w:rPr>
            </w:pPr>
            <w:r w:rsidRPr="00E33B9A">
              <w:rPr>
                <w:sz w:val="24"/>
                <w:szCs w:val="24"/>
              </w:rPr>
              <w:t>5</w:t>
            </w:r>
          </w:p>
        </w:tc>
        <w:tc>
          <w:tcPr>
            <w:tcW w:w="611" w:type="pct"/>
            <w:tcBorders>
              <w:top w:val="single" w:sz="8" w:space="0" w:color="000000"/>
              <w:left w:val="single" w:sz="8" w:space="0" w:color="000000"/>
              <w:bottom w:val="single" w:sz="8" w:space="0" w:color="000000"/>
              <w:right w:val="single" w:sz="8" w:space="0" w:color="000000"/>
            </w:tcBorders>
            <w:hideMark/>
          </w:tcPr>
          <w:p w14:paraId="2FA5C174" w14:textId="77777777" w:rsidR="00EF23AD" w:rsidRPr="00E33B9A" w:rsidRDefault="00EF23AD">
            <w:pPr>
              <w:suppressAutoHyphens/>
              <w:jc w:val="center"/>
              <w:rPr>
                <w:sz w:val="24"/>
                <w:szCs w:val="24"/>
              </w:rPr>
            </w:pPr>
            <w:r w:rsidRPr="00E33B9A">
              <w:rPr>
                <w:sz w:val="24"/>
                <w:szCs w:val="24"/>
              </w:rPr>
              <w:t>&lt; 1</w:t>
            </w:r>
          </w:p>
        </w:tc>
      </w:tr>
      <w:tr w:rsidR="00EF23AD" w:rsidRPr="00E33B9A" w14:paraId="18A8F6CF" w14:textId="77777777" w:rsidTr="00AD3AB8">
        <w:trPr>
          <w:trHeight w:val="757"/>
        </w:trPr>
        <w:tc>
          <w:tcPr>
            <w:tcW w:w="1507" w:type="pct"/>
            <w:tcBorders>
              <w:top w:val="single" w:sz="8" w:space="0" w:color="000000"/>
              <w:left w:val="single" w:sz="8" w:space="0" w:color="000000"/>
              <w:bottom w:val="single" w:sz="8" w:space="0" w:color="000000"/>
              <w:right w:val="single" w:sz="8" w:space="0" w:color="000000"/>
            </w:tcBorders>
          </w:tcPr>
          <w:p w14:paraId="0E9B4376" w14:textId="0987EFAB" w:rsidR="00EF23AD" w:rsidRPr="00E33B9A" w:rsidRDefault="00EF23AD" w:rsidP="00105CC6">
            <w:pPr>
              <w:suppressAutoHyphens/>
              <w:rPr>
                <w:sz w:val="24"/>
                <w:szCs w:val="24"/>
              </w:rPr>
            </w:pPr>
            <w:r w:rsidRPr="00E33B9A">
              <w:rPr>
                <w:sz w:val="24"/>
                <w:szCs w:val="24"/>
              </w:rPr>
              <w:t>Hud og subkutane væv</w:t>
            </w:r>
          </w:p>
        </w:tc>
        <w:tc>
          <w:tcPr>
            <w:tcW w:w="878" w:type="pct"/>
            <w:tcBorders>
              <w:top w:val="single" w:sz="8" w:space="0" w:color="000000"/>
              <w:left w:val="single" w:sz="8" w:space="0" w:color="000000"/>
              <w:bottom w:val="single" w:sz="8" w:space="0" w:color="000000"/>
              <w:right w:val="single" w:sz="8" w:space="0" w:color="000000"/>
            </w:tcBorders>
            <w:hideMark/>
          </w:tcPr>
          <w:p w14:paraId="7577C1E2" w14:textId="77777777" w:rsidR="00EF23AD" w:rsidRPr="00E33B9A" w:rsidRDefault="00EF23AD">
            <w:pPr>
              <w:suppressAutoHyphens/>
              <w:rPr>
                <w:sz w:val="24"/>
                <w:szCs w:val="24"/>
              </w:rPr>
            </w:pPr>
            <w:r w:rsidRPr="00E33B9A">
              <w:rPr>
                <w:sz w:val="24"/>
                <w:szCs w:val="24"/>
              </w:rPr>
              <w:t>Ikke almindelig</w:t>
            </w:r>
          </w:p>
        </w:tc>
        <w:tc>
          <w:tcPr>
            <w:tcW w:w="1404" w:type="pct"/>
            <w:tcBorders>
              <w:top w:val="single" w:sz="8" w:space="0" w:color="000000"/>
              <w:left w:val="single" w:sz="8" w:space="0" w:color="000000"/>
              <w:bottom w:val="single" w:sz="8" w:space="0" w:color="000000"/>
              <w:right w:val="single" w:sz="8" w:space="0" w:color="000000"/>
            </w:tcBorders>
          </w:tcPr>
          <w:p w14:paraId="10AE3282" w14:textId="517862C7" w:rsidR="00EF23AD" w:rsidRPr="00E33B9A" w:rsidRDefault="00EF23AD" w:rsidP="00105CC6">
            <w:pPr>
              <w:suppressAutoHyphens/>
              <w:rPr>
                <w:sz w:val="24"/>
                <w:szCs w:val="24"/>
              </w:rPr>
            </w:pPr>
            <w:r w:rsidRPr="00E33B9A">
              <w:rPr>
                <w:sz w:val="24"/>
                <w:szCs w:val="24"/>
              </w:rPr>
              <w:t xml:space="preserve">akut febril </w:t>
            </w:r>
            <w:proofErr w:type="spellStart"/>
            <w:r w:rsidRPr="00E33B9A">
              <w:rPr>
                <w:sz w:val="24"/>
                <w:szCs w:val="24"/>
              </w:rPr>
              <w:t>neutrofil</w:t>
            </w:r>
            <w:proofErr w:type="spellEnd"/>
            <w:r w:rsidRPr="00E33B9A">
              <w:rPr>
                <w:sz w:val="24"/>
                <w:szCs w:val="24"/>
              </w:rPr>
              <w:t xml:space="preserve"> </w:t>
            </w:r>
            <w:proofErr w:type="spellStart"/>
            <w:r w:rsidRPr="00E33B9A">
              <w:rPr>
                <w:sz w:val="24"/>
                <w:szCs w:val="24"/>
              </w:rPr>
              <w:t>dermatose</w:t>
            </w:r>
            <w:proofErr w:type="spellEnd"/>
            <w:r w:rsidRPr="00E33B9A">
              <w:rPr>
                <w:sz w:val="24"/>
                <w:szCs w:val="24"/>
              </w:rPr>
              <w:t xml:space="preserve"> (</w:t>
            </w:r>
            <w:proofErr w:type="spellStart"/>
            <w:r w:rsidRPr="00E33B9A">
              <w:rPr>
                <w:sz w:val="24"/>
                <w:szCs w:val="24"/>
              </w:rPr>
              <w:t>Sweets</w:t>
            </w:r>
            <w:proofErr w:type="spellEnd"/>
            <w:r w:rsidRPr="00E33B9A">
              <w:rPr>
                <w:sz w:val="24"/>
                <w:szCs w:val="24"/>
              </w:rPr>
              <w:t xml:space="preserve"> syndrom)</w:t>
            </w:r>
          </w:p>
        </w:tc>
        <w:tc>
          <w:tcPr>
            <w:tcW w:w="601" w:type="pct"/>
            <w:tcBorders>
              <w:top w:val="single" w:sz="8" w:space="0" w:color="000000"/>
              <w:left w:val="single" w:sz="8" w:space="0" w:color="000000"/>
              <w:bottom w:val="single" w:sz="8" w:space="0" w:color="000000"/>
              <w:right w:val="single" w:sz="8" w:space="0" w:color="000000"/>
            </w:tcBorders>
            <w:hideMark/>
          </w:tcPr>
          <w:p w14:paraId="05D45170" w14:textId="77777777" w:rsidR="00EF23AD" w:rsidRPr="00E33B9A" w:rsidRDefault="00EF23AD">
            <w:pPr>
              <w:suppressAutoHyphens/>
              <w:jc w:val="center"/>
              <w:rPr>
                <w:sz w:val="24"/>
                <w:szCs w:val="24"/>
              </w:rPr>
            </w:pPr>
            <w:r w:rsidRPr="00E33B9A">
              <w:rPr>
                <w:sz w:val="24"/>
                <w:szCs w:val="24"/>
              </w:rPr>
              <w:t>&lt; 1</w:t>
            </w:r>
          </w:p>
        </w:tc>
        <w:tc>
          <w:tcPr>
            <w:tcW w:w="611" w:type="pct"/>
            <w:tcBorders>
              <w:top w:val="single" w:sz="8" w:space="0" w:color="000000"/>
              <w:left w:val="single" w:sz="8" w:space="0" w:color="000000"/>
              <w:bottom w:val="single" w:sz="8" w:space="0" w:color="000000"/>
              <w:right w:val="single" w:sz="8" w:space="0" w:color="000000"/>
            </w:tcBorders>
            <w:hideMark/>
          </w:tcPr>
          <w:p w14:paraId="3D44EF9C" w14:textId="77777777" w:rsidR="00EF23AD" w:rsidRPr="00E33B9A" w:rsidRDefault="00EF23AD">
            <w:pPr>
              <w:suppressAutoHyphens/>
              <w:jc w:val="center"/>
              <w:rPr>
                <w:sz w:val="24"/>
                <w:szCs w:val="24"/>
              </w:rPr>
            </w:pPr>
            <w:r w:rsidRPr="00E33B9A">
              <w:rPr>
                <w:sz w:val="24"/>
                <w:szCs w:val="24"/>
              </w:rPr>
              <w:t>NA</w:t>
            </w:r>
          </w:p>
        </w:tc>
      </w:tr>
      <w:tr w:rsidR="00EF23AD" w:rsidRPr="00E33B9A" w14:paraId="6FEC0A73" w14:textId="77777777" w:rsidTr="00AD3AB8">
        <w:trPr>
          <w:trHeight w:val="760"/>
        </w:trPr>
        <w:tc>
          <w:tcPr>
            <w:tcW w:w="1507" w:type="pct"/>
            <w:tcBorders>
              <w:top w:val="single" w:sz="8" w:space="0" w:color="000000"/>
              <w:left w:val="single" w:sz="8" w:space="0" w:color="000000"/>
              <w:bottom w:val="single" w:sz="8" w:space="0" w:color="000000"/>
              <w:right w:val="single" w:sz="8" w:space="0" w:color="000000"/>
            </w:tcBorders>
          </w:tcPr>
          <w:p w14:paraId="1FEF8ADC" w14:textId="3F022CAB" w:rsidR="00EF23AD" w:rsidRPr="00E33B9A" w:rsidRDefault="00EF23AD" w:rsidP="00105CC6">
            <w:pPr>
              <w:suppressAutoHyphens/>
              <w:rPr>
                <w:sz w:val="24"/>
                <w:szCs w:val="24"/>
              </w:rPr>
            </w:pPr>
            <w:r w:rsidRPr="00E33B9A">
              <w:rPr>
                <w:sz w:val="24"/>
                <w:szCs w:val="24"/>
              </w:rPr>
              <w:t>Almene symptomer og reaktioner på administrationsstedet</w:t>
            </w:r>
          </w:p>
        </w:tc>
        <w:tc>
          <w:tcPr>
            <w:tcW w:w="878" w:type="pct"/>
            <w:tcBorders>
              <w:top w:val="single" w:sz="8" w:space="0" w:color="000000"/>
              <w:left w:val="single" w:sz="8" w:space="0" w:color="000000"/>
              <w:bottom w:val="single" w:sz="8" w:space="0" w:color="000000"/>
              <w:right w:val="single" w:sz="8" w:space="0" w:color="000000"/>
            </w:tcBorders>
            <w:hideMark/>
          </w:tcPr>
          <w:p w14:paraId="43AEE9B8" w14:textId="77777777" w:rsidR="00EF23AD" w:rsidRPr="00E33B9A" w:rsidRDefault="00EF23AD">
            <w:pPr>
              <w:suppressAutoHyphens/>
              <w:rPr>
                <w:sz w:val="24"/>
                <w:szCs w:val="24"/>
              </w:rPr>
            </w:pPr>
            <w:r w:rsidRPr="00E33B9A">
              <w:rPr>
                <w:sz w:val="24"/>
                <w:szCs w:val="24"/>
              </w:rPr>
              <w:t>Meget almindelig</w:t>
            </w:r>
          </w:p>
        </w:tc>
        <w:tc>
          <w:tcPr>
            <w:tcW w:w="1404" w:type="pct"/>
            <w:tcBorders>
              <w:top w:val="single" w:sz="8" w:space="0" w:color="000000"/>
              <w:left w:val="single" w:sz="8" w:space="0" w:color="000000"/>
              <w:bottom w:val="single" w:sz="8" w:space="0" w:color="000000"/>
              <w:right w:val="single" w:sz="8" w:space="0" w:color="000000"/>
            </w:tcBorders>
            <w:hideMark/>
          </w:tcPr>
          <w:p w14:paraId="284922D8" w14:textId="77777777" w:rsidR="00EF23AD" w:rsidRPr="00E33B9A" w:rsidRDefault="00EF23AD">
            <w:pPr>
              <w:suppressAutoHyphens/>
              <w:rPr>
                <w:sz w:val="24"/>
                <w:szCs w:val="24"/>
              </w:rPr>
            </w:pPr>
            <w:proofErr w:type="spellStart"/>
            <w:r w:rsidRPr="00E33B9A">
              <w:rPr>
                <w:sz w:val="24"/>
                <w:szCs w:val="24"/>
              </w:rPr>
              <w:t>pyreksi</w:t>
            </w:r>
            <w:proofErr w:type="spellEnd"/>
          </w:p>
        </w:tc>
        <w:tc>
          <w:tcPr>
            <w:tcW w:w="601" w:type="pct"/>
            <w:tcBorders>
              <w:top w:val="single" w:sz="8" w:space="0" w:color="000000"/>
              <w:left w:val="single" w:sz="8" w:space="0" w:color="000000"/>
              <w:bottom w:val="single" w:sz="8" w:space="0" w:color="000000"/>
              <w:right w:val="single" w:sz="8" w:space="0" w:color="000000"/>
            </w:tcBorders>
            <w:hideMark/>
          </w:tcPr>
          <w:p w14:paraId="18CA7AA2" w14:textId="77777777" w:rsidR="00EF23AD" w:rsidRPr="00E33B9A" w:rsidRDefault="00EF23AD">
            <w:pPr>
              <w:suppressAutoHyphens/>
              <w:jc w:val="center"/>
              <w:rPr>
                <w:sz w:val="24"/>
                <w:szCs w:val="24"/>
              </w:rPr>
            </w:pPr>
            <w:r w:rsidRPr="00E33B9A">
              <w:rPr>
                <w:sz w:val="24"/>
                <w:szCs w:val="24"/>
              </w:rPr>
              <w:t>48</w:t>
            </w:r>
          </w:p>
        </w:tc>
        <w:tc>
          <w:tcPr>
            <w:tcW w:w="611" w:type="pct"/>
            <w:tcBorders>
              <w:top w:val="single" w:sz="8" w:space="0" w:color="000000"/>
              <w:left w:val="single" w:sz="8" w:space="0" w:color="000000"/>
              <w:bottom w:val="single" w:sz="8" w:space="0" w:color="000000"/>
              <w:right w:val="single" w:sz="8" w:space="0" w:color="000000"/>
            </w:tcBorders>
            <w:hideMark/>
          </w:tcPr>
          <w:p w14:paraId="2ACF5B3D" w14:textId="77777777" w:rsidR="00EF23AD" w:rsidRPr="00E33B9A" w:rsidRDefault="00EF23AD">
            <w:pPr>
              <w:suppressAutoHyphens/>
              <w:jc w:val="center"/>
              <w:rPr>
                <w:sz w:val="24"/>
                <w:szCs w:val="24"/>
              </w:rPr>
            </w:pPr>
            <w:r w:rsidRPr="00E33B9A">
              <w:rPr>
                <w:sz w:val="24"/>
                <w:szCs w:val="24"/>
              </w:rPr>
              <w:t>9</w:t>
            </w:r>
          </w:p>
        </w:tc>
      </w:tr>
    </w:tbl>
    <w:p w14:paraId="4D59CF12" w14:textId="77777777" w:rsidR="00EF23AD" w:rsidRPr="0020440A" w:rsidRDefault="00EF23AD" w:rsidP="0020440A">
      <w:pPr>
        <w:ind w:left="426" w:hanging="426"/>
        <w:rPr>
          <w:iCs/>
          <w:sz w:val="20"/>
          <w:lang w:val="en-US"/>
        </w:rPr>
      </w:pPr>
      <w:r w:rsidRPr="0020440A">
        <w:rPr>
          <w:iCs/>
          <w:sz w:val="20"/>
          <w:vertAlign w:val="superscript"/>
          <w:lang w:val="en-US"/>
        </w:rPr>
        <w:t>a</w:t>
      </w:r>
      <w:r w:rsidRPr="0020440A">
        <w:rPr>
          <w:iCs/>
          <w:sz w:val="20"/>
          <w:lang w:val="en-US"/>
        </w:rPr>
        <w:tab/>
      </w:r>
      <w:proofErr w:type="spellStart"/>
      <w:r w:rsidRPr="0020440A">
        <w:rPr>
          <w:iCs/>
          <w:sz w:val="20"/>
          <w:lang w:val="en-US"/>
        </w:rPr>
        <w:t>Bivirkningsgrad</w:t>
      </w:r>
      <w:proofErr w:type="spellEnd"/>
      <w:r w:rsidRPr="0020440A">
        <w:rPr>
          <w:iCs/>
          <w:sz w:val="20"/>
          <w:lang w:val="en-US"/>
        </w:rPr>
        <w:t xml:space="preserve"> (Worst National Institute Common Terminology Criteria for Adverse Grade).</w:t>
      </w:r>
    </w:p>
    <w:p w14:paraId="0969B198" w14:textId="77777777" w:rsidR="00EF23AD" w:rsidRPr="0020440A" w:rsidRDefault="00EF23AD" w:rsidP="0020440A">
      <w:pPr>
        <w:ind w:left="426" w:hanging="426"/>
        <w:rPr>
          <w:iCs/>
          <w:sz w:val="20"/>
        </w:rPr>
      </w:pPr>
      <w:r w:rsidRPr="0020440A">
        <w:rPr>
          <w:iCs/>
          <w:sz w:val="20"/>
          <w:vertAlign w:val="superscript"/>
        </w:rPr>
        <w:t>b</w:t>
      </w:r>
      <w:r w:rsidRPr="0020440A">
        <w:rPr>
          <w:iCs/>
          <w:sz w:val="20"/>
        </w:rPr>
        <w:tab/>
        <w:t xml:space="preserve">Undtagen lungebetændelse, urinvejsinfektion, sepsis, septisk chok og </w:t>
      </w:r>
      <w:proofErr w:type="spellStart"/>
      <w:r w:rsidRPr="0020440A">
        <w:rPr>
          <w:iCs/>
          <w:sz w:val="20"/>
        </w:rPr>
        <w:t>sinusitis</w:t>
      </w:r>
      <w:proofErr w:type="spellEnd"/>
      <w:r w:rsidRPr="0020440A">
        <w:rPr>
          <w:iCs/>
          <w:sz w:val="20"/>
        </w:rPr>
        <w:t>.</w:t>
      </w:r>
    </w:p>
    <w:p w14:paraId="36CED5B5" w14:textId="77777777" w:rsidR="00EF23AD" w:rsidRPr="0020440A" w:rsidRDefault="00EF23AD" w:rsidP="0020440A">
      <w:pPr>
        <w:ind w:left="426" w:hanging="426"/>
        <w:rPr>
          <w:iCs/>
          <w:sz w:val="20"/>
        </w:rPr>
      </w:pPr>
      <w:r w:rsidRPr="0020440A">
        <w:rPr>
          <w:iCs/>
          <w:sz w:val="20"/>
          <w:vertAlign w:val="superscript"/>
        </w:rPr>
        <w:t>c</w:t>
      </w:r>
      <w:r w:rsidRPr="0020440A">
        <w:rPr>
          <w:iCs/>
          <w:sz w:val="20"/>
        </w:rPr>
        <w:tab/>
        <w:t xml:space="preserve">De hyppigst indberettede ”andre infektioner” i studiet DACO-016 var: oral herpes, oral </w:t>
      </w:r>
      <w:proofErr w:type="spellStart"/>
      <w:r w:rsidRPr="0020440A">
        <w:rPr>
          <w:iCs/>
          <w:sz w:val="20"/>
        </w:rPr>
        <w:t>candidiasis</w:t>
      </w:r>
      <w:proofErr w:type="spellEnd"/>
      <w:r w:rsidRPr="0020440A">
        <w:rPr>
          <w:iCs/>
          <w:sz w:val="20"/>
        </w:rPr>
        <w:t xml:space="preserve">, </w:t>
      </w:r>
      <w:proofErr w:type="spellStart"/>
      <w:r w:rsidRPr="0020440A">
        <w:rPr>
          <w:iCs/>
          <w:sz w:val="20"/>
        </w:rPr>
        <w:t>faryngitis</w:t>
      </w:r>
      <w:proofErr w:type="spellEnd"/>
      <w:r w:rsidRPr="0020440A">
        <w:rPr>
          <w:iCs/>
          <w:sz w:val="20"/>
        </w:rPr>
        <w:t xml:space="preserve">, øvre luftvejsinfektion, cellulitis, bronkitis, </w:t>
      </w:r>
      <w:proofErr w:type="spellStart"/>
      <w:r w:rsidRPr="0020440A">
        <w:rPr>
          <w:iCs/>
          <w:sz w:val="20"/>
        </w:rPr>
        <w:t>nasofaryngitis</w:t>
      </w:r>
      <w:proofErr w:type="spellEnd"/>
      <w:r w:rsidRPr="0020440A">
        <w:rPr>
          <w:iCs/>
          <w:sz w:val="20"/>
        </w:rPr>
        <w:t>.</w:t>
      </w:r>
    </w:p>
    <w:p w14:paraId="37E95127" w14:textId="77777777" w:rsidR="00EF23AD" w:rsidRPr="0020440A" w:rsidRDefault="00EF23AD" w:rsidP="0020440A">
      <w:pPr>
        <w:ind w:left="426" w:hanging="426"/>
        <w:rPr>
          <w:iCs/>
          <w:sz w:val="20"/>
        </w:rPr>
      </w:pPr>
      <w:r w:rsidRPr="0020440A">
        <w:rPr>
          <w:iCs/>
          <w:sz w:val="20"/>
          <w:vertAlign w:val="superscript"/>
        </w:rPr>
        <w:t>d</w:t>
      </w:r>
      <w:r w:rsidRPr="0020440A">
        <w:rPr>
          <w:iCs/>
          <w:sz w:val="20"/>
        </w:rPr>
        <w:tab/>
        <w:t xml:space="preserve">Inklusive infektiøs </w:t>
      </w:r>
      <w:proofErr w:type="spellStart"/>
      <w:r w:rsidRPr="0020440A">
        <w:rPr>
          <w:iCs/>
          <w:sz w:val="20"/>
        </w:rPr>
        <w:t>enterocolitis</w:t>
      </w:r>
      <w:proofErr w:type="spellEnd"/>
      <w:r w:rsidRPr="0020440A">
        <w:rPr>
          <w:iCs/>
          <w:sz w:val="20"/>
        </w:rPr>
        <w:t>.</w:t>
      </w:r>
    </w:p>
    <w:p w14:paraId="0CDB1B30" w14:textId="77777777" w:rsidR="00EF23AD" w:rsidRPr="0020440A" w:rsidRDefault="00EF23AD" w:rsidP="0020440A">
      <w:pPr>
        <w:ind w:left="426" w:hanging="426"/>
        <w:rPr>
          <w:iCs/>
          <w:sz w:val="20"/>
        </w:rPr>
      </w:pPr>
      <w:r w:rsidRPr="0020440A">
        <w:rPr>
          <w:iCs/>
          <w:sz w:val="20"/>
          <w:vertAlign w:val="superscript"/>
        </w:rPr>
        <w:t>e</w:t>
      </w:r>
      <w:r w:rsidRPr="0020440A">
        <w:rPr>
          <w:iCs/>
          <w:sz w:val="20"/>
        </w:rPr>
        <w:tab/>
        <w:t xml:space="preserve">Inklusive blødning i forbindelse med </w:t>
      </w:r>
      <w:proofErr w:type="spellStart"/>
      <w:r w:rsidRPr="0020440A">
        <w:rPr>
          <w:iCs/>
          <w:sz w:val="20"/>
        </w:rPr>
        <w:t>trombocytopeni</w:t>
      </w:r>
      <w:proofErr w:type="spellEnd"/>
      <w:r w:rsidRPr="0020440A">
        <w:rPr>
          <w:iCs/>
          <w:sz w:val="20"/>
        </w:rPr>
        <w:t>, herunder fatale tilfælde.</w:t>
      </w:r>
    </w:p>
    <w:p w14:paraId="4CAEC7FE" w14:textId="77777777" w:rsidR="00EF23AD" w:rsidRPr="0020440A" w:rsidRDefault="00EF23AD" w:rsidP="0020440A">
      <w:pPr>
        <w:ind w:left="426" w:hanging="426"/>
        <w:rPr>
          <w:iCs/>
          <w:sz w:val="20"/>
        </w:rPr>
      </w:pPr>
      <w:r w:rsidRPr="0020440A">
        <w:rPr>
          <w:iCs/>
          <w:sz w:val="20"/>
          <w:vertAlign w:val="superscript"/>
        </w:rPr>
        <w:t>f</w:t>
      </w:r>
      <w:r w:rsidRPr="0020440A">
        <w:rPr>
          <w:iCs/>
          <w:sz w:val="20"/>
        </w:rPr>
        <w:tab/>
        <w:t xml:space="preserve">Inklusive foretrukne termer for overfølsomhed, lægemiddeloverfølsomhed, </w:t>
      </w:r>
      <w:proofErr w:type="spellStart"/>
      <w:r w:rsidRPr="0020440A">
        <w:rPr>
          <w:iCs/>
          <w:sz w:val="20"/>
        </w:rPr>
        <w:t>anafylaktisk</w:t>
      </w:r>
      <w:proofErr w:type="spellEnd"/>
      <w:r w:rsidRPr="0020440A">
        <w:rPr>
          <w:iCs/>
          <w:sz w:val="20"/>
        </w:rPr>
        <w:t xml:space="preserve"> reaktion, </w:t>
      </w:r>
      <w:proofErr w:type="spellStart"/>
      <w:r w:rsidRPr="0020440A">
        <w:rPr>
          <w:iCs/>
          <w:sz w:val="20"/>
        </w:rPr>
        <w:t>anafylaktisk</w:t>
      </w:r>
      <w:proofErr w:type="spellEnd"/>
      <w:r w:rsidRPr="0020440A">
        <w:rPr>
          <w:iCs/>
          <w:sz w:val="20"/>
        </w:rPr>
        <w:t xml:space="preserve"> chok, </w:t>
      </w:r>
      <w:proofErr w:type="spellStart"/>
      <w:r w:rsidRPr="0020440A">
        <w:rPr>
          <w:iCs/>
          <w:sz w:val="20"/>
        </w:rPr>
        <w:t>anafylaktoid</w:t>
      </w:r>
      <w:proofErr w:type="spellEnd"/>
      <w:r w:rsidRPr="0020440A">
        <w:rPr>
          <w:iCs/>
          <w:sz w:val="20"/>
        </w:rPr>
        <w:t xml:space="preserve"> reaktion, </w:t>
      </w:r>
      <w:proofErr w:type="spellStart"/>
      <w:r w:rsidRPr="0020440A">
        <w:rPr>
          <w:iCs/>
          <w:sz w:val="20"/>
        </w:rPr>
        <w:t>anafylaktoidt</w:t>
      </w:r>
      <w:proofErr w:type="spellEnd"/>
      <w:r w:rsidRPr="0020440A">
        <w:rPr>
          <w:iCs/>
          <w:sz w:val="20"/>
        </w:rPr>
        <w:t xml:space="preserve"> chok.</w:t>
      </w:r>
    </w:p>
    <w:p w14:paraId="683B4705" w14:textId="77777777" w:rsidR="00EF23AD" w:rsidRPr="0020440A" w:rsidRDefault="00EF23AD" w:rsidP="0020440A">
      <w:pPr>
        <w:ind w:left="426" w:hanging="426"/>
        <w:rPr>
          <w:iCs/>
          <w:sz w:val="20"/>
        </w:rPr>
      </w:pPr>
      <w:r w:rsidRPr="0020440A">
        <w:rPr>
          <w:iCs/>
          <w:sz w:val="20"/>
          <w:vertAlign w:val="superscript"/>
        </w:rPr>
        <w:t>g</w:t>
      </w:r>
      <w:r w:rsidRPr="0020440A">
        <w:rPr>
          <w:iCs/>
          <w:sz w:val="20"/>
        </w:rPr>
        <w:tab/>
        <w:t xml:space="preserve">I kliniske studier i AML og </w:t>
      </w:r>
      <w:proofErr w:type="spellStart"/>
      <w:r w:rsidRPr="0020440A">
        <w:rPr>
          <w:iCs/>
          <w:sz w:val="20"/>
        </w:rPr>
        <w:t>myelodysplastisk</w:t>
      </w:r>
      <w:proofErr w:type="spellEnd"/>
      <w:r w:rsidRPr="0020440A">
        <w:rPr>
          <w:iCs/>
          <w:sz w:val="20"/>
        </w:rPr>
        <w:t xml:space="preserve"> syndrom (MDS) var rapporteringshyppigheden for </w:t>
      </w:r>
      <w:proofErr w:type="spellStart"/>
      <w:r w:rsidRPr="0020440A">
        <w:rPr>
          <w:iCs/>
          <w:sz w:val="20"/>
        </w:rPr>
        <w:t>hyperbilirubinæmi</w:t>
      </w:r>
      <w:proofErr w:type="spellEnd"/>
      <w:r w:rsidRPr="0020440A">
        <w:rPr>
          <w:iCs/>
          <w:sz w:val="20"/>
        </w:rPr>
        <w:t xml:space="preserve"> 11 % for alle grader og 2 % for grad 3-4.</w:t>
      </w:r>
    </w:p>
    <w:p w14:paraId="45206C4C" w14:textId="0F438005" w:rsidR="00EF23AD" w:rsidRPr="0020440A" w:rsidRDefault="00EF23AD" w:rsidP="0020440A">
      <w:pPr>
        <w:ind w:left="426" w:hanging="426"/>
        <w:rPr>
          <w:iCs/>
          <w:sz w:val="20"/>
        </w:rPr>
      </w:pPr>
      <w:r w:rsidRPr="0020440A">
        <w:rPr>
          <w:iCs/>
          <w:sz w:val="20"/>
          <w:vertAlign w:val="superscript"/>
        </w:rPr>
        <w:t xml:space="preserve">* </w:t>
      </w:r>
      <w:r w:rsidR="00AD3AB8" w:rsidRPr="0020440A">
        <w:rPr>
          <w:iCs/>
          <w:sz w:val="20"/>
          <w:vertAlign w:val="superscript"/>
        </w:rPr>
        <w:tab/>
      </w:r>
      <w:r w:rsidRPr="0020440A">
        <w:rPr>
          <w:iCs/>
          <w:sz w:val="20"/>
        </w:rPr>
        <w:t xml:space="preserve">Inkluderer hændelser der førte til dødsfald. </w:t>
      </w:r>
    </w:p>
    <w:p w14:paraId="07E78584" w14:textId="77777777" w:rsidR="00EF23AD" w:rsidRPr="0020440A" w:rsidRDefault="00EF23AD" w:rsidP="0020440A">
      <w:pPr>
        <w:rPr>
          <w:iCs/>
          <w:sz w:val="20"/>
        </w:rPr>
      </w:pPr>
      <w:r w:rsidRPr="0020440A">
        <w:rPr>
          <w:iCs/>
          <w:sz w:val="20"/>
        </w:rPr>
        <w:t>NA = ikke relevant</w:t>
      </w:r>
    </w:p>
    <w:p w14:paraId="57F9CDA0" w14:textId="77777777" w:rsidR="00EF23AD" w:rsidRPr="00AD3AB8" w:rsidRDefault="00EF23AD" w:rsidP="00AD3AB8">
      <w:pPr>
        <w:ind w:left="851"/>
        <w:rPr>
          <w:iCs/>
          <w:sz w:val="24"/>
          <w:szCs w:val="24"/>
        </w:rPr>
      </w:pPr>
    </w:p>
    <w:p w14:paraId="25526791" w14:textId="77777777" w:rsidR="00EF23AD" w:rsidRPr="00AD3AB8" w:rsidRDefault="00EF23AD" w:rsidP="00AD3AB8">
      <w:pPr>
        <w:ind w:left="851"/>
        <w:rPr>
          <w:iCs/>
          <w:sz w:val="24"/>
          <w:szCs w:val="24"/>
        </w:rPr>
      </w:pPr>
      <w:r w:rsidRPr="00AD3AB8">
        <w:rPr>
          <w:iCs/>
          <w:sz w:val="24"/>
          <w:szCs w:val="24"/>
          <w:u w:val="single"/>
        </w:rPr>
        <w:t>Beskrivelse af udvalgte bivirkninger</w:t>
      </w:r>
    </w:p>
    <w:p w14:paraId="655BE37D" w14:textId="77777777" w:rsidR="00EF23AD" w:rsidRPr="00AD3AB8" w:rsidRDefault="00EF23AD" w:rsidP="00AD3AB8">
      <w:pPr>
        <w:ind w:left="851"/>
        <w:rPr>
          <w:iCs/>
          <w:sz w:val="24"/>
          <w:szCs w:val="24"/>
        </w:rPr>
      </w:pPr>
    </w:p>
    <w:p w14:paraId="11332CFF" w14:textId="77777777" w:rsidR="00EF23AD" w:rsidRPr="00AD3AB8" w:rsidRDefault="00EF23AD" w:rsidP="00AD3AB8">
      <w:pPr>
        <w:ind w:left="851"/>
        <w:rPr>
          <w:i/>
          <w:iCs/>
          <w:sz w:val="24"/>
          <w:szCs w:val="24"/>
        </w:rPr>
      </w:pPr>
      <w:r w:rsidRPr="00AD3AB8">
        <w:rPr>
          <w:i/>
          <w:iCs/>
          <w:sz w:val="24"/>
          <w:szCs w:val="24"/>
        </w:rPr>
        <w:t>Hæmatologiske bivirkninger</w:t>
      </w:r>
    </w:p>
    <w:p w14:paraId="7351EC67" w14:textId="65BC3580" w:rsidR="00EF23AD" w:rsidRPr="00AD3AB8" w:rsidRDefault="00EF23AD" w:rsidP="00AD3AB8">
      <w:pPr>
        <w:ind w:left="851"/>
        <w:rPr>
          <w:iCs/>
          <w:sz w:val="24"/>
          <w:szCs w:val="24"/>
        </w:rPr>
      </w:pPr>
      <w:r w:rsidRPr="00AD3AB8">
        <w:rPr>
          <w:iCs/>
          <w:sz w:val="24"/>
          <w:szCs w:val="24"/>
        </w:rPr>
        <w:t xml:space="preserve">De hyppigst indberettede hæmatologiske bivirkninger forbundet med </w:t>
      </w:r>
      <w:proofErr w:type="spellStart"/>
      <w:r w:rsidR="00AD397D">
        <w:rPr>
          <w:sz w:val="24"/>
          <w:szCs w:val="24"/>
        </w:rPr>
        <w:t>Decitabine</w:t>
      </w:r>
      <w:proofErr w:type="spellEnd"/>
      <w:r w:rsidR="00AD397D">
        <w:rPr>
          <w:sz w:val="24"/>
          <w:szCs w:val="24"/>
        </w:rPr>
        <w:t xml:space="preserve"> "Ever Pharma"</w:t>
      </w:r>
      <w:r w:rsidRPr="00AD3AB8">
        <w:rPr>
          <w:sz w:val="24"/>
          <w:szCs w:val="24"/>
        </w:rPr>
        <w:t xml:space="preserve"> </w:t>
      </w:r>
      <w:r w:rsidRPr="00AD3AB8">
        <w:rPr>
          <w:iCs/>
          <w:sz w:val="24"/>
          <w:szCs w:val="24"/>
        </w:rPr>
        <w:t xml:space="preserve">-behandling omfattede febril </w:t>
      </w:r>
      <w:proofErr w:type="spellStart"/>
      <w:r w:rsidRPr="00AD3AB8">
        <w:rPr>
          <w:iCs/>
          <w:sz w:val="24"/>
          <w:szCs w:val="24"/>
        </w:rPr>
        <w:t>neutropeni</w:t>
      </w:r>
      <w:proofErr w:type="spellEnd"/>
      <w:r w:rsidRPr="00AD3AB8">
        <w:rPr>
          <w:iCs/>
          <w:sz w:val="24"/>
          <w:szCs w:val="24"/>
        </w:rPr>
        <w:t xml:space="preserve">, </w:t>
      </w:r>
      <w:proofErr w:type="spellStart"/>
      <w:r w:rsidRPr="00AD3AB8">
        <w:rPr>
          <w:iCs/>
          <w:sz w:val="24"/>
          <w:szCs w:val="24"/>
        </w:rPr>
        <w:t>trombocytopeni</w:t>
      </w:r>
      <w:proofErr w:type="spellEnd"/>
      <w:r w:rsidRPr="00AD3AB8">
        <w:rPr>
          <w:iCs/>
          <w:sz w:val="24"/>
          <w:szCs w:val="24"/>
        </w:rPr>
        <w:t xml:space="preserve">, </w:t>
      </w:r>
      <w:proofErr w:type="spellStart"/>
      <w:r w:rsidRPr="00AD3AB8">
        <w:rPr>
          <w:iCs/>
          <w:sz w:val="24"/>
          <w:szCs w:val="24"/>
        </w:rPr>
        <w:t>neutropeni</w:t>
      </w:r>
      <w:proofErr w:type="spellEnd"/>
      <w:r w:rsidRPr="00AD3AB8">
        <w:rPr>
          <w:iCs/>
          <w:sz w:val="24"/>
          <w:szCs w:val="24"/>
        </w:rPr>
        <w:t xml:space="preserve">, anæmi og </w:t>
      </w:r>
      <w:proofErr w:type="spellStart"/>
      <w:r w:rsidRPr="00AD3AB8">
        <w:rPr>
          <w:iCs/>
          <w:sz w:val="24"/>
          <w:szCs w:val="24"/>
        </w:rPr>
        <w:t>leukopeni</w:t>
      </w:r>
      <w:proofErr w:type="spellEnd"/>
      <w:r w:rsidRPr="00AD3AB8">
        <w:rPr>
          <w:iCs/>
          <w:sz w:val="24"/>
          <w:szCs w:val="24"/>
        </w:rPr>
        <w:t>.</w:t>
      </w:r>
    </w:p>
    <w:p w14:paraId="28E72D58" w14:textId="77777777" w:rsidR="00EF23AD" w:rsidRPr="00AD3AB8" w:rsidRDefault="00EF23AD" w:rsidP="00AD3AB8">
      <w:pPr>
        <w:ind w:left="851"/>
        <w:rPr>
          <w:iCs/>
          <w:sz w:val="24"/>
          <w:szCs w:val="24"/>
        </w:rPr>
      </w:pPr>
    </w:p>
    <w:p w14:paraId="47C3619C" w14:textId="77777777" w:rsidR="00EF23AD" w:rsidRPr="00AD3AB8" w:rsidRDefault="00EF23AD" w:rsidP="00AD3AB8">
      <w:pPr>
        <w:ind w:left="851"/>
        <w:rPr>
          <w:iCs/>
          <w:sz w:val="24"/>
          <w:szCs w:val="24"/>
        </w:rPr>
      </w:pPr>
      <w:r w:rsidRPr="00AD3AB8">
        <w:rPr>
          <w:iCs/>
          <w:sz w:val="24"/>
          <w:szCs w:val="24"/>
        </w:rPr>
        <w:t xml:space="preserve">Der blev rapporteret alvorlige blødningsrelaterede bivirkninger, hvoraf nogle havde dødeligt udfald, såsom blødning i centralnervesystemet (CNS) (2 %) og mave-tarm-blødning (GI) (2 %), i forbindelse med svær </w:t>
      </w:r>
      <w:proofErr w:type="spellStart"/>
      <w:r w:rsidRPr="00AD3AB8">
        <w:rPr>
          <w:iCs/>
          <w:sz w:val="24"/>
          <w:szCs w:val="24"/>
        </w:rPr>
        <w:t>trombocytopeni</w:t>
      </w:r>
      <w:proofErr w:type="spellEnd"/>
      <w:r w:rsidRPr="00AD3AB8">
        <w:rPr>
          <w:iCs/>
          <w:sz w:val="24"/>
          <w:szCs w:val="24"/>
        </w:rPr>
        <w:t xml:space="preserve"> hos patienter, der fik </w:t>
      </w:r>
      <w:proofErr w:type="spellStart"/>
      <w:r w:rsidRPr="00AD3AB8">
        <w:rPr>
          <w:iCs/>
          <w:sz w:val="24"/>
          <w:szCs w:val="24"/>
        </w:rPr>
        <w:t>decitabin</w:t>
      </w:r>
      <w:proofErr w:type="spellEnd"/>
      <w:r w:rsidRPr="00AD3AB8">
        <w:rPr>
          <w:iCs/>
          <w:sz w:val="24"/>
          <w:szCs w:val="24"/>
        </w:rPr>
        <w:t>.</w:t>
      </w:r>
    </w:p>
    <w:p w14:paraId="2D8472F1" w14:textId="77777777" w:rsidR="00EF23AD" w:rsidRPr="00AD3AB8" w:rsidRDefault="00EF23AD" w:rsidP="00AD3AB8">
      <w:pPr>
        <w:ind w:left="851"/>
        <w:rPr>
          <w:iCs/>
          <w:sz w:val="24"/>
          <w:szCs w:val="24"/>
        </w:rPr>
      </w:pPr>
    </w:p>
    <w:p w14:paraId="4D3A5626" w14:textId="6A0E5258" w:rsidR="00EF23AD" w:rsidRPr="00AD3AB8" w:rsidRDefault="00EF23AD" w:rsidP="00AD3AB8">
      <w:pPr>
        <w:ind w:left="851"/>
        <w:rPr>
          <w:iCs/>
          <w:sz w:val="24"/>
          <w:szCs w:val="24"/>
        </w:rPr>
      </w:pPr>
      <w:r w:rsidRPr="00AD3AB8">
        <w:rPr>
          <w:iCs/>
          <w:sz w:val="24"/>
          <w:szCs w:val="24"/>
        </w:rPr>
        <w:t>Hæmatologiske bivirkninger bør behandles ved hjælp af rutinemæssig monitorering af fuld blodstatus og tidlig administration af understøttende behandling efter behov. Understøttende behandling omfatter administration af profylaktiske antibiotika og/eller vækstfaktorer (</w:t>
      </w:r>
      <w:r w:rsidR="00E33B9A">
        <w:rPr>
          <w:iCs/>
          <w:sz w:val="24"/>
          <w:szCs w:val="24"/>
        </w:rPr>
        <w:t>f.eks.</w:t>
      </w:r>
      <w:r w:rsidRPr="00AD3AB8">
        <w:rPr>
          <w:iCs/>
          <w:sz w:val="24"/>
          <w:szCs w:val="24"/>
        </w:rPr>
        <w:t xml:space="preserve"> G-CSF) ved </w:t>
      </w:r>
      <w:proofErr w:type="spellStart"/>
      <w:r w:rsidRPr="00AD3AB8">
        <w:rPr>
          <w:iCs/>
          <w:sz w:val="24"/>
          <w:szCs w:val="24"/>
        </w:rPr>
        <w:t>neutropeni</w:t>
      </w:r>
      <w:proofErr w:type="spellEnd"/>
      <w:r w:rsidRPr="00AD3AB8">
        <w:rPr>
          <w:iCs/>
          <w:sz w:val="24"/>
          <w:szCs w:val="24"/>
        </w:rPr>
        <w:t xml:space="preserve"> og transfusioner i tilfælde af anæmi eller </w:t>
      </w:r>
      <w:proofErr w:type="spellStart"/>
      <w:r w:rsidRPr="00AD3AB8">
        <w:rPr>
          <w:iCs/>
          <w:sz w:val="24"/>
          <w:szCs w:val="24"/>
        </w:rPr>
        <w:t>trombocytopeni</w:t>
      </w:r>
      <w:proofErr w:type="spellEnd"/>
      <w:r w:rsidRPr="00AD3AB8">
        <w:rPr>
          <w:iCs/>
          <w:sz w:val="24"/>
          <w:szCs w:val="24"/>
        </w:rPr>
        <w:t xml:space="preserve"> i henhold til institutionens retningslinjer. Vedrørende situationer, hvor administration af </w:t>
      </w:r>
      <w:proofErr w:type="spellStart"/>
      <w:r w:rsidRPr="00AD3AB8">
        <w:rPr>
          <w:iCs/>
          <w:sz w:val="24"/>
          <w:szCs w:val="24"/>
        </w:rPr>
        <w:t>decitabin</w:t>
      </w:r>
      <w:proofErr w:type="spellEnd"/>
      <w:r w:rsidRPr="00AD3AB8">
        <w:rPr>
          <w:iCs/>
          <w:sz w:val="24"/>
          <w:szCs w:val="24"/>
        </w:rPr>
        <w:t xml:space="preserve"> bør udskydes, se pkt. 4.2.</w:t>
      </w:r>
    </w:p>
    <w:p w14:paraId="5207DE66" w14:textId="77777777" w:rsidR="00EF23AD" w:rsidRPr="00AD3AB8" w:rsidRDefault="00EF23AD" w:rsidP="00AD3AB8">
      <w:pPr>
        <w:ind w:left="851"/>
        <w:rPr>
          <w:iCs/>
          <w:sz w:val="24"/>
          <w:szCs w:val="24"/>
        </w:rPr>
      </w:pPr>
    </w:p>
    <w:p w14:paraId="12EBCCCB" w14:textId="77777777" w:rsidR="00EF23AD" w:rsidRPr="00AD3AB8" w:rsidRDefault="00EF23AD" w:rsidP="00AD3AB8">
      <w:pPr>
        <w:ind w:left="851"/>
        <w:rPr>
          <w:i/>
          <w:iCs/>
          <w:sz w:val="24"/>
          <w:szCs w:val="24"/>
        </w:rPr>
      </w:pPr>
      <w:r w:rsidRPr="00AD3AB8">
        <w:rPr>
          <w:i/>
          <w:iCs/>
          <w:sz w:val="24"/>
          <w:szCs w:val="24"/>
        </w:rPr>
        <w:t>Bivirkninger i form af infektioner og parasitære sygdomme</w:t>
      </w:r>
    </w:p>
    <w:p w14:paraId="7B1C4423" w14:textId="77777777" w:rsidR="00EF23AD" w:rsidRPr="00AD3AB8" w:rsidRDefault="00EF23AD" w:rsidP="00AD3AB8">
      <w:pPr>
        <w:ind w:left="851"/>
        <w:rPr>
          <w:iCs/>
          <w:sz w:val="24"/>
          <w:szCs w:val="24"/>
        </w:rPr>
      </w:pPr>
      <w:r w:rsidRPr="00AD3AB8">
        <w:rPr>
          <w:iCs/>
          <w:sz w:val="24"/>
          <w:szCs w:val="24"/>
        </w:rPr>
        <w:t xml:space="preserve">Hos patienter, der fik </w:t>
      </w:r>
      <w:proofErr w:type="spellStart"/>
      <w:r w:rsidRPr="00AD3AB8">
        <w:rPr>
          <w:iCs/>
          <w:sz w:val="24"/>
          <w:szCs w:val="24"/>
        </w:rPr>
        <w:t>decitabin</w:t>
      </w:r>
      <w:proofErr w:type="spellEnd"/>
      <w:r w:rsidRPr="00AD3AB8">
        <w:rPr>
          <w:iCs/>
          <w:sz w:val="24"/>
          <w:szCs w:val="24"/>
        </w:rPr>
        <w:t xml:space="preserve">, er der rapporteret om alvorlige bivirkninger forbundet med infektioner, der potentielt kan være fatale, så som septisk chok, sepsis, pneumoni og andre infektioner (af viral, bakteriel eller </w:t>
      </w:r>
      <w:proofErr w:type="spellStart"/>
      <w:r w:rsidRPr="00AD3AB8">
        <w:rPr>
          <w:iCs/>
          <w:sz w:val="24"/>
          <w:szCs w:val="24"/>
        </w:rPr>
        <w:t>mykotisk</w:t>
      </w:r>
      <w:proofErr w:type="spellEnd"/>
      <w:r w:rsidRPr="00AD3AB8">
        <w:rPr>
          <w:iCs/>
          <w:sz w:val="24"/>
          <w:szCs w:val="24"/>
        </w:rPr>
        <w:t xml:space="preserve"> oprindelse).</w:t>
      </w:r>
    </w:p>
    <w:p w14:paraId="066EDBFE" w14:textId="77777777" w:rsidR="00EF23AD" w:rsidRPr="00AD3AB8" w:rsidRDefault="00EF23AD" w:rsidP="00AD3AB8">
      <w:pPr>
        <w:ind w:left="851"/>
        <w:rPr>
          <w:iCs/>
          <w:sz w:val="24"/>
          <w:szCs w:val="24"/>
        </w:rPr>
      </w:pPr>
    </w:p>
    <w:p w14:paraId="65FA5AB1" w14:textId="77777777" w:rsidR="00EF23AD" w:rsidRPr="00AD3AB8" w:rsidRDefault="00EF23AD" w:rsidP="00AD3AB8">
      <w:pPr>
        <w:ind w:left="851"/>
        <w:rPr>
          <w:i/>
          <w:iCs/>
          <w:sz w:val="24"/>
          <w:szCs w:val="24"/>
        </w:rPr>
      </w:pPr>
      <w:r w:rsidRPr="00AD3AB8">
        <w:rPr>
          <w:i/>
          <w:iCs/>
          <w:sz w:val="24"/>
          <w:szCs w:val="24"/>
        </w:rPr>
        <w:t>Mave-tarmsygdomme</w:t>
      </w:r>
    </w:p>
    <w:p w14:paraId="507613B6" w14:textId="77777777" w:rsidR="00EF23AD" w:rsidRPr="00AD3AB8" w:rsidRDefault="00EF23AD" w:rsidP="00AD3AB8">
      <w:pPr>
        <w:ind w:left="851"/>
        <w:rPr>
          <w:iCs/>
          <w:sz w:val="24"/>
          <w:szCs w:val="24"/>
        </w:rPr>
      </w:pPr>
      <w:r w:rsidRPr="00AD3AB8">
        <w:rPr>
          <w:iCs/>
          <w:sz w:val="24"/>
          <w:szCs w:val="24"/>
        </w:rPr>
        <w:t xml:space="preserve">Forekomster af </w:t>
      </w:r>
      <w:proofErr w:type="spellStart"/>
      <w:r w:rsidRPr="00AD3AB8">
        <w:rPr>
          <w:iCs/>
          <w:sz w:val="24"/>
          <w:szCs w:val="24"/>
        </w:rPr>
        <w:t>enterocolitis</w:t>
      </w:r>
      <w:proofErr w:type="spellEnd"/>
      <w:r w:rsidRPr="00AD3AB8">
        <w:rPr>
          <w:iCs/>
          <w:sz w:val="24"/>
          <w:szCs w:val="24"/>
        </w:rPr>
        <w:t xml:space="preserve">, herunder </w:t>
      </w:r>
      <w:proofErr w:type="spellStart"/>
      <w:r w:rsidRPr="00AD3AB8">
        <w:rPr>
          <w:iCs/>
          <w:sz w:val="24"/>
          <w:szCs w:val="24"/>
        </w:rPr>
        <w:t>neutropen</w:t>
      </w:r>
      <w:proofErr w:type="spellEnd"/>
      <w:r w:rsidRPr="00AD3AB8">
        <w:rPr>
          <w:iCs/>
          <w:sz w:val="24"/>
          <w:szCs w:val="24"/>
        </w:rPr>
        <w:t xml:space="preserve"> colitis, </w:t>
      </w:r>
      <w:proofErr w:type="spellStart"/>
      <w:r w:rsidRPr="00AD3AB8">
        <w:rPr>
          <w:iCs/>
          <w:sz w:val="24"/>
          <w:szCs w:val="24"/>
        </w:rPr>
        <w:t>caecitis</w:t>
      </w:r>
      <w:proofErr w:type="spellEnd"/>
      <w:r w:rsidRPr="00AD3AB8">
        <w:rPr>
          <w:iCs/>
          <w:sz w:val="24"/>
          <w:szCs w:val="24"/>
        </w:rPr>
        <w:t xml:space="preserve">, er blevet rapporteret under behandling med </w:t>
      </w:r>
      <w:proofErr w:type="spellStart"/>
      <w:r w:rsidRPr="00AD3AB8">
        <w:rPr>
          <w:iCs/>
          <w:sz w:val="24"/>
          <w:szCs w:val="24"/>
        </w:rPr>
        <w:t>decitabin</w:t>
      </w:r>
      <w:proofErr w:type="spellEnd"/>
      <w:r w:rsidRPr="00AD3AB8">
        <w:rPr>
          <w:iCs/>
          <w:sz w:val="24"/>
          <w:szCs w:val="24"/>
        </w:rPr>
        <w:t xml:space="preserve">. </w:t>
      </w:r>
      <w:proofErr w:type="spellStart"/>
      <w:r w:rsidRPr="00AD3AB8">
        <w:rPr>
          <w:iCs/>
          <w:sz w:val="24"/>
          <w:szCs w:val="24"/>
        </w:rPr>
        <w:t>Enterocolitis</w:t>
      </w:r>
      <w:proofErr w:type="spellEnd"/>
      <w:r w:rsidRPr="00AD3AB8">
        <w:rPr>
          <w:iCs/>
          <w:sz w:val="24"/>
          <w:szCs w:val="24"/>
        </w:rPr>
        <w:t xml:space="preserve"> kan føre til septiske komplikationer og kan være forbundet med dødelig udgang.</w:t>
      </w:r>
    </w:p>
    <w:p w14:paraId="5CDF1E08" w14:textId="77777777" w:rsidR="00EF23AD" w:rsidRPr="00AD3AB8" w:rsidRDefault="00EF23AD" w:rsidP="00AD3AB8">
      <w:pPr>
        <w:ind w:left="851"/>
        <w:rPr>
          <w:iCs/>
          <w:sz w:val="24"/>
          <w:szCs w:val="24"/>
        </w:rPr>
      </w:pPr>
    </w:p>
    <w:p w14:paraId="76900ED7" w14:textId="77777777" w:rsidR="00EF23AD" w:rsidRPr="00AD3AB8" w:rsidRDefault="00EF23AD" w:rsidP="00AD3AB8">
      <w:pPr>
        <w:ind w:left="851"/>
        <w:rPr>
          <w:i/>
          <w:iCs/>
          <w:sz w:val="24"/>
          <w:szCs w:val="24"/>
        </w:rPr>
      </w:pPr>
      <w:r w:rsidRPr="00AD3AB8">
        <w:rPr>
          <w:i/>
          <w:iCs/>
          <w:sz w:val="24"/>
          <w:szCs w:val="24"/>
        </w:rPr>
        <w:t xml:space="preserve">Lidelser i luftveje, thorax og </w:t>
      </w:r>
      <w:proofErr w:type="spellStart"/>
      <w:r w:rsidRPr="00AD3AB8">
        <w:rPr>
          <w:i/>
          <w:iCs/>
          <w:sz w:val="24"/>
          <w:szCs w:val="24"/>
        </w:rPr>
        <w:t>mediastinum</w:t>
      </w:r>
      <w:proofErr w:type="spellEnd"/>
    </w:p>
    <w:p w14:paraId="0F964A91" w14:textId="77777777" w:rsidR="00EF23AD" w:rsidRPr="00AD3AB8" w:rsidRDefault="00EF23AD" w:rsidP="00AD3AB8">
      <w:pPr>
        <w:ind w:left="851"/>
        <w:rPr>
          <w:iCs/>
          <w:sz w:val="24"/>
          <w:szCs w:val="24"/>
        </w:rPr>
      </w:pPr>
      <w:r w:rsidRPr="00AD3AB8">
        <w:rPr>
          <w:iCs/>
          <w:sz w:val="24"/>
          <w:szCs w:val="24"/>
        </w:rPr>
        <w:t xml:space="preserve">Der er blevet indberettet tilfælde af </w:t>
      </w:r>
      <w:proofErr w:type="spellStart"/>
      <w:r w:rsidRPr="00AD3AB8">
        <w:rPr>
          <w:iCs/>
          <w:sz w:val="24"/>
          <w:szCs w:val="24"/>
        </w:rPr>
        <w:t>interstitiel</w:t>
      </w:r>
      <w:proofErr w:type="spellEnd"/>
      <w:r w:rsidRPr="00AD3AB8">
        <w:rPr>
          <w:iCs/>
          <w:sz w:val="24"/>
          <w:szCs w:val="24"/>
        </w:rPr>
        <w:t xml:space="preserve"> lungesygdom (ILS) (herunder </w:t>
      </w:r>
      <w:proofErr w:type="spellStart"/>
      <w:r w:rsidRPr="00AD3AB8">
        <w:rPr>
          <w:iCs/>
          <w:sz w:val="24"/>
          <w:szCs w:val="24"/>
        </w:rPr>
        <w:t>lungeinfiltrater</w:t>
      </w:r>
      <w:proofErr w:type="spellEnd"/>
      <w:r w:rsidRPr="00AD3AB8">
        <w:rPr>
          <w:iCs/>
          <w:sz w:val="24"/>
          <w:szCs w:val="24"/>
        </w:rPr>
        <w:t xml:space="preserve">, organiserende pneumoni og lungefibrose) uden tegn på infektiøs ætiologi hos patienter, der får </w:t>
      </w:r>
      <w:proofErr w:type="spellStart"/>
      <w:r w:rsidRPr="00AD3AB8">
        <w:rPr>
          <w:iCs/>
          <w:sz w:val="24"/>
          <w:szCs w:val="24"/>
        </w:rPr>
        <w:t>decitabin</w:t>
      </w:r>
      <w:proofErr w:type="spellEnd"/>
      <w:r w:rsidRPr="00AD3AB8">
        <w:rPr>
          <w:iCs/>
          <w:sz w:val="24"/>
          <w:szCs w:val="24"/>
        </w:rPr>
        <w:t>.</w:t>
      </w:r>
    </w:p>
    <w:p w14:paraId="13B744EA" w14:textId="77777777" w:rsidR="00EF23AD" w:rsidRPr="00AD3AB8" w:rsidRDefault="00EF23AD" w:rsidP="00AD3AB8">
      <w:pPr>
        <w:ind w:left="851"/>
        <w:rPr>
          <w:iCs/>
          <w:sz w:val="24"/>
          <w:szCs w:val="24"/>
        </w:rPr>
      </w:pPr>
    </w:p>
    <w:p w14:paraId="78DB8D3C" w14:textId="77777777" w:rsidR="00EF23AD" w:rsidRPr="00AD3AB8" w:rsidRDefault="00EF23AD" w:rsidP="00AD3AB8">
      <w:pPr>
        <w:ind w:left="851"/>
        <w:rPr>
          <w:i/>
          <w:iCs/>
          <w:sz w:val="24"/>
          <w:szCs w:val="24"/>
        </w:rPr>
      </w:pPr>
      <w:r w:rsidRPr="00AD3AB8">
        <w:rPr>
          <w:i/>
          <w:iCs/>
          <w:sz w:val="24"/>
          <w:szCs w:val="24"/>
        </w:rPr>
        <w:t>Differentieringssyndrom</w:t>
      </w:r>
    </w:p>
    <w:p w14:paraId="19C63AE6" w14:textId="77777777" w:rsidR="00EF23AD" w:rsidRPr="00AD3AB8" w:rsidRDefault="00EF23AD" w:rsidP="00AD3AB8">
      <w:pPr>
        <w:ind w:left="851"/>
        <w:rPr>
          <w:iCs/>
          <w:sz w:val="24"/>
          <w:szCs w:val="24"/>
        </w:rPr>
      </w:pPr>
      <w:r w:rsidRPr="00AD3AB8">
        <w:rPr>
          <w:iCs/>
          <w:sz w:val="24"/>
          <w:szCs w:val="24"/>
        </w:rPr>
        <w:t>Der er rapporteret tilfælde af differentieringssyndrom (</w:t>
      </w:r>
      <w:proofErr w:type="spellStart"/>
      <w:r w:rsidRPr="00AD3AB8">
        <w:rPr>
          <w:iCs/>
          <w:sz w:val="24"/>
          <w:szCs w:val="24"/>
        </w:rPr>
        <w:t>retinoinsyresyndrom</w:t>
      </w:r>
      <w:proofErr w:type="spellEnd"/>
      <w:r w:rsidRPr="00AD3AB8">
        <w:rPr>
          <w:iCs/>
          <w:sz w:val="24"/>
          <w:szCs w:val="24"/>
        </w:rPr>
        <w:t xml:space="preserve">) hos patienter, der fik </w:t>
      </w:r>
      <w:proofErr w:type="spellStart"/>
      <w:r w:rsidRPr="00AD3AB8">
        <w:rPr>
          <w:iCs/>
          <w:sz w:val="24"/>
          <w:szCs w:val="24"/>
        </w:rPr>
        <w:t>decitabin</w:t>
      </w:r>
      <w:proofErr w:type="spellEnd"/>
      <w:r w:rsidRPr="00AD3AB8">
        <w:rPr>
          <w:iCs/>
          <w:sz w:val="24"/>
          <w:szCs w:val="24"/>
        </w:rPr>
        <w:t xml:space="preserve">. Differentieringssyndrom kan være dødeligt, og symptomer og kliniske fund omfatter respirationsbesvær, </w:t>
      </w:r>
      <w:proofErr w:type="spellStart"/>
      <w:r w:rsidRPr="00AD3AB8">
        <w:rPr>
          <w:iCs/>
          <w:sz w:val="24"/>
          <w:szCs w:val="24"/>
        </w:rPr>
        <w:t>lungeinfiltrater</w:t>
      </w:r>
      <w:proofErr w:type="spellEnd"/>
      <w:r w:rsidRPr="00AD3AB8">
        <w:rPr>
          <w:iCs/>
          <w:sz w:val="24"/>
          <w:szCs w:val="24"/>
        </w:rPr>
        <w:t xml:space="preserve">, feber, udslæt, lungeødem, perifert ødem, hurtig vægtøgning, </w:t>
      </w:r>
      <w:proofErr w:type="spellStart"/>
      <w:r w:rsidRPr="00AD3AB8">
        <w:rPr>
          <w:iCs/>
          <w:sz w:val="24"/>
          <w:szCs w:val="24"/>
        </w:rPr>
        <w:t>pleuraeffusion</w:t>
      </w:r>
      <w:proofErr w:type="spellEnd"/>
      <w:r w:rsidRPr="00AD3AB8">
        <w:rPr>
          <w:iCs/>
          <w:sz w:val="24"/>
          <w:szCs w:val="24"/>
        </w:rPr>
        <w:t xml:space="preserve">, </w:t>
      </w:r>
      <w:proofErr w:type="spellStart"/>
      <w:r w:rsidRPr="00AD3AB8">
        <w:rPr>
          <w:iCs/>
          <w:sz w:val="24"/>
          <w:szCs w:val="24"/>
        </w:rPr>
        <w:t>perikardieeffusion</w:t>
      </w:r>
      <w:proofErr w:type="spellEnd"/>
      <w:r w:rsidRPr="00AD3AB8">
        <w:rPr>
          <w:iCs/>
          <w:sz w:val="24"/>
          <w:szCs w:val="24"/>
        </w:rPr>
        <w:t xml:space="preserve">, hypotension og nedsat nyrefunktion. Differentieringssyndrom kan forekomme med eller uden samtidig leukocytose. Kapillærlækagesyndrom og </w:t>
      </w:r>
      <w:proofErr w:type="spellStart"/>
      <w:r w:rsidRPr="00AD3AB8">
        <w:rPr>
          <w:iCs/>
          <w:sz w:val="24"/>
          <w:szCs w:val="24"/>
        </w:rPr>
        <w:t>koagulopati</w:t>
      </w:r>
      <w:proofErr w:type="spellEnd"/>
      <w:r w:rsidRPr="00AD3AB8">
        <w:rPr>
          <w:iCs/>
          <w:sz w:val="24"/>
          <w:szCs w:val="24"/>
        </w:rPr>
        <w:t xml:space="preserve"> kan også forekomme (se pkt. 4.4).</w:t>
      </w:r>
    </w:p>
    <w:p w14:paraId="64CE4605" w14:textId="77777777" w:rsidR="00EF23AD" w:rsidRPr="00AD3AB8" w:rsidRDefault="00EF23AD" w:rsidP="00AD3AB8">
      <w:pPr>
        <w:ind w:left="851"/>
        <w:rPr>
          <w:iCs/>
          <w:sz w:val="24"/>
          <w:szCs w:val="24"/>
        </w:rPr>
      </w:pPr>
    </w:p>
    <w:p w14:paraId="58611E0F" w14:textId="77777777" w:rsidR="00EF23AD" w:rsidRPr="00AD3AB8" w:rsidRDefault="00EF23AD" w:rsidP="00AD3AB8">
      <w:pPr>
        <w:ind w:left="851"/>
        <w:rPr>
          <w:i/>
          <w:iCs/>
          <w:sz w:val="24"/>
          <w:szCs w:val="24"/>
        </w:rPr>
      </w:pPr>
      <w:r w:rsidRPr="00AD3AB8">
        <w:rPr>
          <w:i/>
          <w:iCs/>
          <w:sz w:val="24"/>
          <w:szCs w:val="24"/>
        </w:rPr>
        <w:t>Pædiatrisk population</w:t>
      </w:r>
    </w:p>
    <w:p w14:paraId="20CB0309" w14:textId="77777777" w:rsidR="00EF23AD" w:rsidRPr="00AD3AB8" w:rsidRDefault="00EF23AD" w:rsidP="00AD3AB8">
      <w:pPr>
        <w:ind w:left="851"/>
        <w:rPr>
          <w:iCs/>
          <w:sz w:val="24"/>
          <w:szCs w:val="24"/>
        </w:rPr>
      </w:pPr>
      <w:r w:rsidRPr="00AD3AB8">
        <w:rPr>
          <w:iCs/>
          <w:sz w:val="24"/>
          <w:szCs w:val="24"/>
        </w:rPr>
        <w:t xml:space="preserve">Sikkerhedsvurderingen hos pædiatriske patienter er baseret på de begrænsede sikkerhedsdata fra et fase I/II-studie til evaluering af </w:t>
      </w:r>
      <w:proofErr w:type="spellStart"/>
      <w:r w:rsidRPr="00AD3AB8">
        <w:rPr>
          <w:iCs/>
          <w:sz w:val="24"/>
          <w:szCs w:val="24"/>
        </w:rPr>
        <w:t>decitabins</w:t>
      </w:r>
      <w:proofErr w:type="spellEnd"/>
      <w:r w:rsidRPr="00AD3AB8">
        <w:rPr>
          <w:iCs/>
          <w:sz w:val="24"/>
          <w:szCs w:val="24"/>
        </w:rPr>
        <w:t xml:space="preserve"> farmakokinetik, sikkerhed og virkning hos pædiatriske patienter (i alderen 1 til 14 år) med recidiverende eller refraktær AML (n = 17) (se pkt. 5.1). Der blev ikke observeret nogen nye sikkerhedssignaler i dette pædiatriske studie.</w:t>
      </w:r>
    </w:p>
    <w:p w14:paraId="27404517" w14:textId="77777777" w:rsidR="00EF23AD" w:rsidRPr="00AD3AB8" w:rsidRDefault="00EF23AD" w:rsidP="00AD3AB8">
      <w:pPr>
        <w:ind w:left="851"/>
        <w:rPr>
          <w:iCs/>
          <w:sz w:val="24"/>
          <w:szCs w:val="24"/>
        </w:rPr>
      </w:pPr>
    </w:p>
    <w:p w14:paraId="67A74E82" w14:textId="77777777" w:rsidR="00EF23AD" w:rsidRPr="00AD3AB8" w:rsidRDefault="00EF23AD" w:rsidP="00AD3AB8">
      <w:pPr>
        <w:autoSpaceDE w:val="0"/>
        <w:autoSpaceDN w:val="0"/>
        <w:adjustRightInd w:val="0"/>
        <w:ind w:left="851"/>
        <w:rPr>
          <w:sz w:val="24"/>
          <w:szCs w:val="24"/>
          <w:u w:val="single"/>
        </w:rPr>
      </w:pPr>
      <w:r w:rsidRPr="00AD3AB8">
        <w:rPr>
          <w:sz w:val="24"/>
          <w:szCs w:val="24"/>
          <w:u w:val="single"/>
        </w:rPr>
        <w:t>Indberetning af formodede bivirkninger</w:t>
      </w:r>
    </w:p>
    <w:p w14:paraId="187BB230" w14:textId="77777777" w:rsidR="00EF23AD" w:rsidRPr="00AD3AB8" w:rsidRDefault="00EF23AD" w:rsidP="00AD3AB8">
      <w:pPr>
        <w:ind w:left="851"/>
        <w:rPr>
          <w:iCs/>
          <w:sz w:val="24"/>
          <w:szCs w:val="24"/>
        </w:rPr>
      </w:pPr>
      <w:r w:rsidRPr="00AD3AB8">
        <w:rPr>
          <w:sz w:val="24"/>
          <w:szCs w:val="24"/>
        </w:rPr>
        <w:t>Når lægemidlet er godkendt, er indberetning af formodede bivirkninger vigtig. Det muliggør løbende overvågning af benefit/</w:t>
      </w:r>
      <w:proofErr w:type="spellStart"/>
      <w:r w:rsidRPr="00AD3AB8">
        <w:rPr>
          <w:sz w:val="24"/>
          <w:szCs w:val="24"/>
        </w:rPr>
        <w:t>risk</w:t>
      </w:r>
      <w:proofErr w:type="spellEnd"/>
      <w:r w:rsidRPr="00AD3AB8">
        <w:rPr>
          <w:sz w:val="24"/>
          <w:szCs w:val="24"/>
        </w:rPr>
        <w:t xml:space="preserve">-forholdet for lægemidlet. Sundhedspersoner anmodes om at indberette alle </w:t>
      </w:r>
      <w:r w:rsidRPr="00AD3AB8">
        <w:rPr>
          <w:iCs/>
          <w:sz w:val="24"/>
          <w:szCs w:val="24"/>
        </w:rPr>
        <w:t xml:space="preserve">formodede bivirkninger via </w:t>
      </w:r>
    </w:p>
    <w:p w14:paraId="5C6F908F" w14:textId="77777777" w:rsidR="00EF23AD" w:rsidRPr="00AD3AB8" w:rsidRDefault="00EF23AD" w:rsidP="00AD3AB8">
      <w:pPr>
        <w:ind w:left="851"/>
        <w:rPr>
          <w:iCs/>
          <w:sz w:val="24"/>
          <w:szCs w:val="24"/>
        </w:rPr>
      </w:pPr>
    </w:p>
    <w:p w14:paraId="3F09B5D6" w14:textId="77777777" w:rsidR="00EF23AD" w:rsidRPr="00AD3AB8" w:rsidRDefault="00EF23AD" w:rsidP="00AD3AB8">
      <w:pPr>
        <w:ind w:left="851"/>
        <w:rPr>
          <w:iCs/>
          <w:sz w:val="24"/>
          <w:szCs w:val="24"/>
        </w:rPr>
      </w:pPr>
      <w:r w:rsidRPr="00AD3AB8">
        <w:rPr>
          <w:iCs/>
          <w:sz w:val="24"/>
          <w:szCs w:val="24"/>
        </w:rPr>
        <w:t>Lægemiddelstyrelsen</w:t>
      </w:r>
    </w:p>
    <w:p w14:paraId="72919E31" w14:textId="77777777" w:rsidR="00EF23AD" w:rsidRPr="00AD3AB8" w:rsidRDefault="00EF23AD" w:rsidP="00AD3AB8">
      <w:pPr>
        <w:ind w:left="851"/>
        <w:rPr>
          <w:iCs/>
          <w:sz w:val="24"/>
          <w:szCs w:val="24"/>
        </w:rPr>
      </w:pPr>
      <w:r w:rsidRPr="00AD3AB8">
        <w:rPr>
          <w:iCs/>
          <w:sz w:val="24"/>
          <w:szCs w:val="24"/>
        </w:rPr>
        <w:t>Axel Heides Gade 1</w:t>
      </w:r>
    </w:p>
    <w:p w14:paraId="576EBAA1" w14:textId="77777777" w:rsidR="00EF23AD" w:rsidRPr="00AD3AB8" w:rsidRDefault="00EF23AD" w:rsidP="00AD3AB8">
      <w:pPr>
        <w:ind w:left="851"/>
        <w:rPr>
          <w:iCs/>
          <w:sz w:val="24"/>
          <w:szCs w:val="24"/>
        </w:rPr>
      </w:pPr>
      <w:r w:rsidRPr="00AD3AB8">
        <w:rPr>
          <w:iCs/>
          <w:sz w:val="24"/>
          <w:szCs w:val="24"/>
        </w:rPr>
        <w:t>DK-2300 København S</w:t>
      </w:r>
    </w:p>
    <w:p w14:paraId="4DFAA401" w14:textId="77777777" w:rsidR="00EF23AD" w:rsidRPr="00AD3AB8" w:rsidRDefault="00EF23AD" w:rsidP="00AD3AB8">
      <w:pPr>
        <w:ind w:left="851"/>
        <w:rPr>
          <w:iCs/>
          <w:sz w:val="24"/>
          <w:szCs w:val="24"/>
        </w:rPr>
      </w:pPr>
      <w:r w:rsidRPr="00AD3AB8">
        <w:rPr>
          <w:iCs/>
          <w:sz w:val="24"/>
          <w:szCs w:val="24"/>
        </w:rPr>
        <w:t>Websted: www.meldenbivirkning.dk</w:t>
      </w:r>
    </w:p>
    <w:p w14:paraId="3BE7BE81" w14:textId="77777777" w:rsidR="009260DE" w:rsidRPr="00AD3AB8" w:rsidRDefault="009260DE" w:rsidP="00A10294">
      <w:pPr>
        <w:tabs>
          <w:tab w:val="left" w:pos="851"/>
        </w:tabs>
        <w:ind w:left="851"/>
        <w:rPr>
          <w:sz w:val="24"/>
          <w:szCs w:val="24"/>
        </w:rPr>
      </w:pPr>
    </w:p>
    <w:p w14:paraId="44843381" w14:textId="77777777" w:rsidR="009260DE" w:rsidRPr="00AD3AB8" w:rsidRDefault="009260DE" w:rsidP="009260DE">
      <w:pPr>
        <w:tabs>
          <w:tab w:val="left" w:pos="851"/>
        </w:tabs>
        <w:ind w:left="851" w:hanging="851"/>
        <w:rPr>
          <w:b/>
          <w:sz w:val="24"/>
          <w:szCs w:val="24"/>
        </w:rPr>
      </w:pPr>
      <w:r w:rsidRPr="00AD3AB8">
        <w:rPr>
          <w:b/>
          <w:sz w:val="24"/>
          <w:szCs w:val="24"/>
        </w:rPr>
        <w:t>4.9</w:t>
      </w:r>
      <w:r w:rsidRPr="00AD3AB8">
        <w:rPr>
          <w:b/>
          <w:sz w:val="24"/>
          <w:szCs w:val="24"/>
        </w:rPr>
        <w:tab/>
        <w:t>Overdosering</w:t>
      </w:r>
    </w:p>
    <w:p w14:paraId="66E38D5D" w14:textId="67CCE28B" w:rsidR="00EF23AD" w:rsidRPr="00AD3AB8" w:rsidRDefault="00EF23AD" w:rsidP="00AD3AB8">
      <w:pPr>
        <w:ind w:left="851"/>
        <w:rPr>
          <w:sz w:val="24"/>
          <w:szCs w:val="24"/>
        </w:rPr>
      </w:pPr>
      <w:r w:rsidRPr="00AD3AB8">
        <w:rPr>
          <w:sz w:val="24"/>
          <w:szCs w:val="24"/>
        </w:rPr>
        <w:t xml:space="preserve">Der foreligger ingen direkte erfaringer med overdosering hos mennesker, og der findes intet specifikt </w:t>
      </w:r>
      <w:proofErr w:type="spellStart"/>
      <w:r w:rsidRPr="00AD3AB8">
        <w:rPr>
          <w:sz w:val="24"/>
          <w:szCs w:val="24"/>
        </w:rPr>
        <w:t>antidot</w:t>
      </w:r>
      <w:proofErr w:type="spellEnd"/>
      <w:r w:rsidRPr="00AD3AB8">
        <w:rPr>
          <w:sz w:val="24"/>
          <w:szCs w:val="24"/>
        </w:rPr>
        <w:t xml:space="preserve">. Tidlige kliniske studiedata offentliggjort i litteraturen med doser, der </w:t>
      </w:r>
      <w:r w:rsidRPr="00AD3AB8">
        <w:rPr>
          <w:sz w:val="24"/>
          <w:szCs w:val="24"/>
        </w:rPr>
        <w:lastRenderedPageBreak/>
        <w:t xml:space="preserve">var over 20 gange højere end den aktuelle terapeutiske dosis, medførte dog en stigning i </w:t>
      </w:r>
      <w:proofErr w:type="spellStart"/>
      <w:r w:rsidRPr="00AD3AB8">
        <w:rPr>
          <w:sz w:val="24"/>
          <w:szCs w:val="24"/>
        </w:rPr>
        <w:t>myelosuppression</w:t>
      </w:r>
      <w:proofErr w:type="spellEnd"/>
      <w:r w:rsidRPr="00AD3AB8">
        <w:rPr>
          <w:sz w:val="24"/>
          <w:szCs w:val="24"/>
        </w:rPr>
        <w:t xml:space="preserve"> inklusive langvarig </w:t>
      </w:r>
      <w:proofErr w:type="spellStart"/>
      <w:r w:rsidRPr="00AD3AB8">
        <w:rPr>
          <w:sz w:val="24"/>
          <w:szCs w:val="24"/>
        </w:rPr>
        <w:t>neutropeni</w:t>
      </w:r>
      <w:proofErr w:type="spellEnd"/>
      <w:r w:rsidRPr="00AD3AB8">
        <w:rPr>
          <w:sz w:val="24"/>
          <w:szCs w:val="24"/>
        </w:rPr>
        <w:t xml:space="preserve"> og </w:t>
      </w:r>
      <w:proofErr w:type="spellStart"/>
      <w:r w:rsidRPr="00AD3AB8">
        <w:rPr>
          <w:sz w:val="24"/>
          <w:szCs w:val="24"/>
        </w:rPr>
        <w:t>trombocytopeni</w:t>
      </w:r>
      <w:proofErr w:type="spellEnd"/>
      <w:r w:rsidRPr="00AD3AB8">
        <w:rPr>
          <w:sz w:val="24"/>
          <w:szCs w:val="24"/>
        </w:rPr>
        <w:t xml:space="preserve">. Toksicitet vil sandsynligvis manifestere sig som forværring af bivirkninger, primært </w:t>
      </w:r>
      <w:proofErr w:type="spellStart"/>
      <w:r w:rsidRPr="00AD3AB8">
        <w:rPr>
          <w:sz w:val="24"/>
          <w:szCs w:val="24"/>
        </w:rPr>
        <w:t>myelosuppression</w:t>
      </w:r>
      <w:proofErr w:type="spellEnd"/>
      <w:r w:rsidRPr="00AD3AB8">
        <w:rPr>
          <w:sz w:val="24"/>
          <w:szCs w:val="24"/>
        </w:rPr>
        <w:t>. I</w:t>
      </w:r>
      <w:r w:rsidR="00AD6EB4">
        <w:rPr>
          <w:sz w:val="24"/>
          <w:szCs w:val="24"/>
        </w:rPr>
        <w:t> </w:t>
      </w:r>
      <w:r w:rsidRPr="00AD3AB8">
        <w:rPr>
          <w:sz w:val="24"/>
          <w:szCs w:val="24"/>
        </w:rPr>
        <w:t>tilfælde af overdosering bør der gives understøttende behandling.</w:t>
      </w:r>
    </w:p>
    <w:p w14:paraId="2E7033F4" w14:textId="77777777" w:rsidR="009260DE" w:rsidRPr="00AD3AB8" w:rsidRDefault="009260DE" w:rsidP="009260DE">
      <w:pPr>
        <w:tabs>
          <w:tab w:val="left" w:pos="851"/>
        </w:tabs>
        <w:ind w:left="851"/>
        <w:rPr>
          <w:sz w:val="24"/>
          <w:szCs w:val="24"/>
        </w:rPr>
      </w:pPr>
    </w:p>
    <w:p w14:paraId="2185DFE0" w14:textId="77777777" w:rsidR="009260DE" w:rsidRPr="00AD3AB8" w:rsidRDefault="009260DE" w:rsidP="009260DE">
      <w:pPr>
        <w:tabs>
          <w:tab w:val="left" w:pos="851"/>
        </w:tabs>
        <w:ind w:left="851" w:hanging="851"/>
        <w:rPr>
          <w:b/>
          <w:sz w:val="24"/>
          <w:szCs w:val="24"/>
        </w:rPr>
      </w:pPr>
      <w:r w:rsidRPr="00AD3AB8">
        <w:rPr>
          <w:b/>
          <w:sz w:val="24"/>
          <w:szCs w:val="24"/>
        </w:rPr>
        <w:t>4.10</w:t>
      </w:r>
      <w:r w:rsidRPr="00AD3AB8">
        <w:rPr>
          <w:b/>
          <w:sz w:val="24"/>
          <w:szCs w:val="24"/>
        </w:rPr>
        <w:tab/>
        <w:t>Udlevering</w:t>
      </w:r>
    </w:p>
    <w:p w14:paraId="27EA4BC0" w14:textId="6D92F2B9" w:rsidR="009260DE" w:rsidRPr="00AD3AB8" w:rsidRDefault="00707E34" w:rsidP="009260DE">
      <w:pPr>
        <w:tabs>
          <w:tab w:val="left" w:pos="851"/>
        </w:tabs>
        <w:ind w:left="851"/>
        <w:rPr>
          <w:sz w:val="24"/>
          <w:szCs w:val="24"/>
        </w:rPr>
      </w:pPr>
      <w:r w:rsidRPr="00AD3AB8">
        <w:rPr>
          <w:sz w:val="24"/>
          <w:szCs w:val="24"/>
        </w:rPr>
        <w:t>BEGR (kun til sygehuse)</w:t>
      </w:r>
    </w:p>
    <w:p w14:paraId="6268C124" w14:textId="77777777" w:rsidR="009260DE" w:rsidRPr="00AD3AB8" w:rsidRDefault="009260DE" w:rsidP="009260DE">
      <w:pPr>
        <w:tabs>
          <w:tab w:val="left" w:pos="851"/>
        </w:tabs>
        <w:ind w:left="851"/>
        <w:rPr>
          <w:sz w:val="24"/>
          <w:szCs w:val="24"/>
        </w:rPr>
      </w:pPr>
    </w:p>
    <w:p w14:paraId="67C66B5A" w14:textId="77777777" w:rsidR="009260DE" w:rsidRPr="00AD3AB8" w:rsidRDefault="009260DE" w:rsidP="009260DE">
      <w:pPr>
        <w:tabs>
          <w:tab w:val="left" w:pos="851"/>
        </w:tabs>
        <w:ind w:left="851"/>
        <w:rPr>
          <w:sz w:val="24"/>
          <w:szCs w:val="24"/>
        </w:rPr>
      </w:pPr>
    </w:p>
    <w:p w14:paraId="42113D67" w14:textId="77777777" w:rsidR="009260DE" w:rsidRPr="00AD3AB8" w:rsidRDefault="009260DE" w:rsidP="009260DE">
      <w:pPr>
        <w:tabs>
          <w:tab w:val="left" w:pos="851"/>
        </w:tabs>
        <w:ind w:left="851" w:hanging="851"/>
        <w:rPr>
          <w:b/>
          <w:sz w:val="24"/>
          <w:szCs w:val="24"/>
        </w:rPr>
      </w:pPr>
      <w:r w:rsidRPr="00AD3AB8">
        <w:rPr>
          <w:b/>
          <w:sz w:val="24"/>
          <w:szCs w:val="24"/>
        </w:rPr>
        <w:t>5.</w:t>
      </w:r>
      <w:r w:rsidRPr="00AD3AB8">
        <w:rPr>
          <w:b/>
          <w:sz w:val="24"/>
          <w:szCs w:val="24"/>
        </w:rPr>
        <w:tab/>
        <w:t>FARMAKOLOGISKE EGENSKABER</w:t>
      </w:r>
    </w:p>
    <w:p w14:paraId="2A6D6CDD" w14:textId="77777777" w:rsidR="009260DE" w:rsidRPr="00AD3AB8" w:rsidRDefault="009260DE" w:rsidP="009260DE">
      <w:pPr>
        <w:tabs>
          <w:tab w:val="left" w:pos="851"/>
        </w:tabs>
        <w:ind w:left="851"/>
        <w:rPr>
          <w:sz w:val="24"/>
          <w:szCs w:val="24"/>
        </w:rPr>
      </w:pPr>
    </w:p>
    <w:p w14:paraId="42F628F6" w14:textId="77777777" w:rsidR="009260DE" w:rsidRPr="00AD3AB8" w:rsidRDefault="009260DE" w:rsidP="009260DE">
      <w:pPr>
        <w:tabs>
          <w:tab w:val="num" w:pos="851"/>
        </w:tabs>
        <w:ind w:left="851" w:hanging="851"/>
        <w:rPr>
          <w:b/>
          <w:sz w:val="24"/>
          <w:szCs w:val="24"/>
        </w:rPr>
      </w:pPr>
      <w:r w:rsidRPr="00AD3AB8">
        <w:rPr>
          <w:b/>
          <w:sz w:val="24"/>
          <w:szCs w:val="24"/>
        </w:rPr>
        <w:t>5.1</w:t>
      </w:r>
      <w:r w:rsidRPr="00AD3AB8">
        <w:rPr>
          <w:b/>
          <w:sz w:val="24"/>
          <w:szCs w:val="24"/>
        </w:rPr>
        <w:tab/>
      </w:r>
      <w:proofErr w:type="spellStart"/>
      <w:r w:rsidRPr="00AD3AB8">
        <w:rPr>
          <w:b/>
          <w:sz w:val="24"/>
          <w:szCs w:val="24"/>
        </w:rPr>
        <w:t>Farmakodynamiske</w:t>
      </w:r>
      <w:proofErr w:type="spellEnd"/>
      <w:r w:rsidRPr="00AD3AB8">
        <w:rPr>
          <w:b/>
          <w:sz w:val="24"/>
          <w:szCs w:val="24"/>
        </w:rPr>
        <w:t xml:space="preserve"> egenskaber</w:t>
      </w:r>
    </w:p>
    <w:p w14:paraId="56D0D4E7" w14:textId="657B2566" w:rsidR="00EF23AD" w:rsidRDefault="00EF23AD" w:rsidP="00AD3AB8">
      <w:pPr>
        <w:ind w:left="851"/>
        <w:rPr>
          <w:sz w:val="24"/>
          <w:szCs w:val="24"/>
        </w:rPr>
      </w:pPr>
      <w:proofErr w:type="spellStart"/>
      <w:r w:rsidRPr="00AD3AB8">
        <w:rPr>
          <w:sz w:val="24"/>
          <w:szCs w:val="24"/>
        </w:rPr>
        <w:t>Farmakoterapeutisk</w:t>
      </w:r>
      <w:proofErr w:type="spellEnd"/>
      <w:r w:rsidRPr="00AD3AB8">
        <w:rPr>
          <w:sz w:val="24"/>
          <w:szCs w:val="24"/>
        </w:rPr>
        <w:t xml:space="preserve"> klassifikation: </w:t>
      </w:r>
      <w:proofErr w:type="spellStart"/>
      <w:r w:rsidRPr="00AD3AB8">
        <w:rPr>
          <w:sz w:val="24"/>
          <w:szCs w:val="24"/>
        </w:rPr>
        <w:t>Antineoplastiske</w:t>
      </w:r>
      <w:proofErr w:type="spellEnd"/>
      <w:r w:rsidRPr="00AD3AB8">
        <w:rPr>
          <w:sz w:val="24"/>
          <w:szCs w:val="24"/>
        </w:rPr>
        <w:t xml:space="preserve"> stoffer, antimetabolitter, </w:t>
      </w:r>
      <w:proofErr w:type="spellStart"/>
      <w:r w:rsidRPr="00AD3AB8">
        <w:rPr>
          <w:sz w:val="24"/>
          <w:szCs w:val="24"/>
        </w:rPr>
        <w:t>pyrimidin</w:t>
      </w:r>
      <w:r w:rsidR="00F417BB">
        <w:rPr>
          <w:sz w:val="24"/>
          <w:szCs w:val="24"/>
        </w:rPr>
        <w:softHyphen/>
      </w:r>
      <w:r w:rsidRPr="00AD3AB8">
        <w:rPr>
          <w:sz w:val="24"/>
          <w:szCs w:val="24"/>
        </w:rPr>
        <w:t>analoger</w:t>
      </w:r>
      <w:proofErr w:type="spellEnd"/>
      <w:r w:rsidR="0020440A">
        <w:rPr>
          <w:sz w:val="24"/>
          <w:szCs w:val="24"/>
        </w:rPr>
        <w:t>,</w:t>
      </w:r>
      <w:r w:rsidRPr="00AD3AB8">
        <w:rPr>
          <w:sz w:val="24"/>
          <w:szCs w:val="24"/>
        </w:rPr>
        <w:t xml:space="preserve"> ATC-kode: L01BC08</w:t>
      </w:r>
      <w:r w:rsidR="0020440A">
        <w:rPr>
          <w:sz w:val="24"/>
          <w:szCs w:val="24"/>
        </w:rPr>
        <w:t>.</w:t>
      </w:r>
    </w:p>
    <w:p w14:paraId="5D0555B5" w14:textId="77777777" w:rsidR="0020440A" w:rsidRPr="00AD3AB8" w:rsidRDefault="0020440A" w:rsidP="00AD3AB8">
      <w:pPr>
        <w:ind w:left="851"/>
        <w:rPr>
          <w:sz w:val="24"/>
          <w:szCs w:val="24"/>
        </w:rPr>
      </w:pPr>
    </w:p>
    <w:p w14:paraId="24847876" w14:textId="77777777" w:rsidR="00EF23AD" w:rsidRPr="00AD3AB8" w:rsidRDefault="00EF23AD" w:rsidP="00AD3AB8">
      <w:pPr>
        <w:ind w:left="851"/>
        <w:rPr>
          <w:sz w:val="24"/>
          <w:szCs w:val="24"/>
        </w:rPr>
      </w:pPr>
      <w:r w:rsidRPr="00AD3AB8">
        <w:rPr>
          <w:sz w:val="24"/>
          <w:szCs w:val="24"/>
          <w:u w:val="single"/>
        </w:rPr>
        <w:t>Virkningsmekanisme</w:t>
      </w:r>
    </w:p>
    <w:p w14:paraId="090E18D8" w14:textId="77777777" w:rsidR="00EF23AD" w:rsidRPr="00AD3AB8" w:rsidRDefault="00EF23AD" w:rsidP="00AD3AB8">
      <w:pPr>
        <w:ind w:left="851"/>
        <w:rPr>
          <w:sz w:val="24"/>
          <w:szCs w:val="24"/>
        </w:rPr>
      </w:pPr>
      <w:proofErr w:type="spellStart"/>
      <w:r w:rsidRPr="00AD3AB8">
        <w:rPr>
          <w:sz w:val="24"/>
          <w:szCs w:val="24"/>
        </w:rPr>
        <w:t>Decitabin</w:t>
      </w:r>
      <w:proofErr w:type="spellEnd"/>
      <w:r w:rsidRPr="00AD3AB8">
        <w:rPr>
          <w:sz w:val="24"/>
          <w:szCs w:val="24"/>
        </w:rPr>
        <w:t xml:space="preserve"> (5-aza-2´-deoxycytidin) er et </w:t>
      </w:r>
      <w:proofErr w:type="spellStart"/>
      <w:r w:rsidRPr="00AD3AB8">
        <w:rPr>
          <w:sz w:val="24"/>
          <w:szCs w:val="24"/>
        </w:rPr>
        <w:t>cytidindeoxynukleosid</w:t>
      </w:r>
      <w:proofErr w:type="spellEnd"/>
      <w:r w:rsidRPr="00AD3AB8">
        <w:rPr>
          <w:sz w:val="24"/>
          <w:szCs w:val="24"/>
        </w:rPr>
        <w:t>-analog, som i lave doser selektivt hæmmer DNA-</w:t>
      </w:r>
      <w:proofErr w:type="spellStart"/>
      <w:r w:rsidRPr="00AD3AB8">
        <w:rPr>
          <w:sz w:val="24"/>
          <w:szCs w:val="24"/>
        </w:rPr>
        <w:t>methyltransferaser</w:t>
      </w:r>
      <w:proofErr w:type="spellEnd"/>
      <w:r w:rsidRPr="00AD3AB8">
        <w:rPr>
          <w:sz w:val="24"/>
          <w:szCs w:val="24"/>
        </w:rPr>
        <w:t xml:space="preserve">, hvilket resulterer i genaktiverende </w:t>
      </w:r>
      <w:proofErr w:type="spellStart"/>
      <w:r w:rsidRPr="00AD3AB8">
        <w:rPr>
          <w:sz w:val="24"/>
          <w:szCs w:val="24"/>
        </w:rPr>
        <w:t>hypometylering</w:t>
      </w:r>
      <w:proofErr w:type="spellEnd"/>
      <w:r w:rsidRPr="00AD3AB8">
        <w:rPr>
          <w:sz w:val="24"/>
          <w:szCs w:val="24"/>
        </w:rPr>
        <w:t xml:space="preserve">, der kan føre til genaktivering af tumorundertrykkende gener, induktion af celledifferentiering eller fremadskridende aldring af celler efterfulgt af programmeret </w:t>
      </w:r>
      <w:proofErr w:type="spellStart"/>
      <w:r w:rsidRPr="00AD3AB8">
        <w:rPr>
          <w:sz w:val="24"/>
          <w:szCs w:val="24"/>
        </w:rPr>
        <w:t>celledød</w:t>
      </w:r>
      <w:proofErr w:type="spellEnd"/>
      <w:r w:rsidRPr="00AD3AB8">
        <w:rPr>
          <w:sz w:val="24"/>
          <w:szCs w:val="24"/>
        </w:rPr>
        <w:t>.</w:t>
      </w:r>
    </w:p>
    <w:p w14:paraId="7CDBBF00" w14:textId="77777777" w:rsidR="00EF23AD" w:rsidRPr="00AD3AB8" w:rsidRDefault="00EF23AD" w:rsidP="00AD3AB8">
      <w:pPr>
        <w:ind w:left="851"/>
        <w:rPr>
          <w:sz w:val="24"/>
          <w:szCs w:val="24"/>
          <w:u w:val="single"/>
        </w:rPr>
      </w:pPr>
    </w:p>
    <w:p w14:paraId="153B6D78" w14:textId="77777777" w:rsidR="00EF23AD" w:rsidRPr="00AD3AB8" w:rsidRDefault="00EF23AD" w:rsidP="00AD6EB4">
      <w:pPr>
        <w:ind w:left="851"/>
        <w:rPr>
          <w:sz w:val="24"/>
          <w:szCs w:val="24"/>
        </w:rPr>
      </w:pPr>
      <w:r w:rsidRPr="00AD3AB8">
        <w:rPr>
          <w:sz w:val="24"/>
          <w:szCs w:val="24"/>
          <w:u w:val="single"/>
        </w:rPr>
        <w:t>Klinisk erfaring</w:t>
      </w:r>
    </w:p>
    <w:p w14:paraId="23E361D9" w14:textId="77777777" w:rsidR="00EF23AD" w:rsidRPr="00AD3AB8" w:rsidRDefault="00EF23AD" w:rsidP="00AD6EB4">
      <w:pPr>
        <w:ind w:left="851"/>
        <w:rPr>
          <w:sz w:val="24"/>
          <w:szCs w:val="24"/>
        </w:rPr>
      </w:pPr>
      <w:r w:rsidRPr="00AD3AB8">
        <w:rPr>
          <w:sz w:val="24"/>
          <w:szCs w:val="24"/>
        </w:rPr>
        <w:t xml:space="preserve">Anvendelse af </w:t>
      </w:r>
      <w:proofErr w:type="spellStart"/>
      <w:r w:rsidRPr="00AD3AB8">
        <w:rPr>
          <w:sz w:val="24"/>
          <w:szCs w:val="24"/>
        </w:rPr>
        <w:t>decitabin</w:t>
      </w:r>
      <w:proofErr w:type="spellEnd"/>
      <w:r w:rsidRPr="00AD3AB8">
        <w:rPr>
          <w:sz w:val="24"/>
          <w:szCs w:val="24"/>
        </w:rPr>
        <w:t xml:space="preserve"> blev studeret i et åbent, randomiseret fase III-multicenterstudie (DACO-016) hos forsøgspersoner med </w:t>
      </w:r>
      <w:proofErr w:type="spellStart"/>
      <w:r w:rsidRPr="00AD3AB8">
        <w:rPr>
          <w:sz w:val="24"/>
          <w:szCs w:val="24"/>
        </w:rPr>
        <w:t>nydiagnosticeret</w:t>
      </w:r>
      <w:proofErr w:type="spellEnd"/>
      <w:r w:rsidRPr="00AD3AB8">
        <w:rPr>
          <w:sz w:val="24"/>
          <w:szCs w:val="24"/>
        </w:rPr>
        <w:t xml:space="preserve"> de </w:t>
      </w:r>
      <w:proofErr w:type="spellStart"/>
      <w:r w:rsidRPr="00AD3AB8">
        <w:rPr>
          <w:sz w:val="24"/>
          <w:szCs w:val="24"/>
        </w:rPr>
        <w:t>novo</w:t>
      </w:r>
      <w:proofErr w:type="spellEnd"/>
      <w:r w:rsidRPr="00AD3AB8">
        <w:rPr>
          <w:sz w:val="24"/>
          <w:szCs w:val="24"/>
        </w:rPr>
        <w:t xml:space="preserve"> eller sekundær AML i henhold til WHO-klassifikationen. </w:t>
      </w:r>
      <w:proofErr w:type="spellStart"/>
      <w:r w:rsidRPr="00AD3AB8">
        <w:rPr>
          <w:sz w:val="24"/>
          <w:szCs w:val="24"/>
        </w:rPr>
        <w:t>Decitabin</w:t>
      </w:r>
      <w:proofErr w:type="spellEnd"/>
      <w:r w:rsidRPr="00AD3AB8">
        <w:rPr>
          <w:sz w:val="24"/>
          <w:szCs w:val="24"/>
        </w:rPr>
        <w:t xml:space="preserve"> (n = 242) blev sammenlignet med den valgte behandling (TC, n = 243), der bestod af patientens valg i henhold til lægens råd om enten understøttende pleje alene (n = 28, 11,5 %) eller 20 mg/m</w:t>
      </w:r>
      <w:r w:rsidRPr="00AD3AB8">
        <w:rPr>
          <w:sz w:val="24"/>
          <w:szCs w:val="24"/>
          <w:vertAlign w:val="superscript"/>
        </w:rPr>
        <w:t>2</w:t>
      </w:r>
      <w:r w:rsidRPr="00AD3AB8">
        <w:rPr>
          <w:sz w:val="24"/>
          <w:szCs w:val="24"/>
        </w:rPr>
        <w:t xml:space="preserve"> </w:t>
      </w:r>
      <w:proofErr w:type="spellStart"/>
      <w:r w:rsidRPr="00AD3AB8">
        <w:rPr>
          <w:sz w:val="24"/>
          <w:szCs w:val="24"/>
        </w:rPr>
        <w:t>cytarabin</w:t>
      </w:r>
      <w:proofErr w:type="spellEnd"/>
      <w:r w:rsidRPr="00AD3AB8">
        <w:rPr>
          <w:sz w:val="24"/>
          <w:szCs w:val="24"/>
        </w:rPr>
        <w:t xml:space="preserve"> subkutant en gang dagligt 10 dage i træk, hvilket blev gentaget hver 4. uge (n = 215, 88,5 %). </w:t>
      </w:r>
      <w:proofErr w:type="spellStart"/>
      <w:r w:rsidRPr="00AD3AB8">
        <w:rPr>
          <w:sz w:val="24"/>
          <w:szCs w:val="24"/>
        </w:rPr>
        <w:t>Decitabin</w:t>
      </w:r>
      <w:proofErr w:type="spellEnd"/>
      <w:r w:rsidRPr="00AD3AB8">
        <w:rPr>
          <w:sz w:val="24"/>
          <w:szCs w:val="24"/>
        </w:rPr>
        <w:t xml:space="preserve"> blev administreret over 1 time som intravenøs infusion af 20 mg/m</w:t>
      </w:r>
      <w:r w:rsidRPr="00AD3AB8">
        <w:rPr>
          <w:sz w:val="24"/>
          <w:szCs w:val="24"/>
          <w:vertAlign w:val="superscript"/>
        </w:rPr>
        <w:t>2</w:t>
      </w:r>
      <w:r w:rsidRPr="00AD3AB8">
        <w:rPr>
          <w:sz w:val="24"/>
          <w:szCs w:val="24"/>
        </w:rPr>
        <w:t xml:space="preserve"> en gang dagligt 5 dage i træk hver 4. uge.</w:t>
      </w:r>
    </w:p>
    <w:p w14:paraId="652D7FB9" w14:textId="77777777" w:rsidR="00EF23AD" w:rsidRPr="00AD3AB8" w:rsidRDefault="00EF23AD" w:rsidP="00AD6EB4">
      <w:pPr>
        <w:ind w:left="851"/>
        <w:rPr>
          <w:sz w:val="24"/>
          <w:szCs w:val="24"/>
        </w:rPr>
      </w:pPr>
    </w:p>
    <w:p w14:paraId="1D89B766" w14:textId="58186E5A" w:rsidR="00EF23AD" w:rsidRPr="00AD3AB8" w:rsidRDefault="00EF23AD" w:rsidP="00AD3AB8">
      <w:pPr>
        <w:ind w:left="851"/>
        <w:rPr>
          <w:sz w:val="24"/>
          <w:szCs w:val="24"/>
        </w:rPr>
      </w:pPr>
      <w:r w:rsidRPr="00AD3AB8">
        <w:rPr>
          <w:sz w:val="24"/>
          <w:szCs w:val="24"/>
        </w:rPr>
        <w:t>Personer, der ansås for egnede kandidater til standard-induktionskemoterapi, blev ikke inkluderet i studiet, hvilket fremgår af baselineværdierne nedenfor. Median alder for ”intent-to-</w:t>
      </w:r>
      <w:proofErr w:type="spellStart"/>
      <w:r w:rsidRPr="00AD3AB8">
        <w:rPr>
          <w:sz w:val="24"/>
          <w:szCs w:val="24"/>
        </w:rPr>
        <w:t>treat</w:t>
      </w:r>
      <w:proofErr w:type="spellEnd"/>
      <w:r w:rsidRPr="00AD3AB8">
        <w:rPr>
          <w:sz w:val="24"/>
          <w:szCs w:val="24"/>
        </w:rPr>
        <w:t xml:space="preserve">-populationen” (ITT) var 73 år (interval 64 til 91 år). 36 % af forsøgspersonerne havde ugunstig cytogenetik ved baseline. Resten af forsøgspersonerne havde </w:t>
      </w:r>
      <w:proofErr w:type="spellStart"/>
      <w:r w:rsidRPr="00AD3AB8">
        <w:rPr>
          <w:sz w:val="24"/>
          <w:szCs w:val="24"/>
        </w:rPr>
        <w:t>intermediær</w:t>
      </w:r>
      <w:proofErr w:type="spellEnd"/>
      <w:r w:rsidRPr="00AD3AB8">
        <w:rPr>
          <w:sz w:val="24"/>
          <w:szCs w:val="24"/>
        </w:rPr>
        <w:t xml:space="preserve"> cytogenetik. Patienter med gunstig cytogenetik blev ikke inkluderet i studiet. 25 % af forsøgspersonerne havde ECOG performance status ≥ 2. Af forsøgspersonerne havde 88 % signifikant </w:t>
      </w:r>
      <w:proofErr w:type="spellStart"/>
      <w:r w:rsidRPr="00AD3AB8">
        <w:rPr>
          <w:sz w:val="24"/>
          <w:szCs w:val="24"/>
        </w:rPr>
        <w:t>komorbiditet</w:t>
      </w:r>
      <w:proofErr w:type="spellEnd"/>
      <w:r w:rsidRPr="00AD3AB8">
        <w:rPr>
          <w:sz w:val="24"/>
          <w:szCs w:val="24"/>
        </w:rPr>
        <w:t xml:space="preserve"> (</w:t>
      </w:r>
      <w:r w:rsidR="00E33B9A">
        <w:rPr>
          <w:sz w:val="24"/>
          <w:szCs w:val="24"/>
        </w:rPr>
        <w:t>f.eks.</w:t>
      </w:r>
      <w:r w:rsidRPr="00AD3AB8">
        <w:rPr>
          <w:sz w:val="24"/>
          <w:szCs w:val="24"/>
        </w:rPr>
        <w:t xml:space="preserve"> infektion, nedsat hjertefunktion, nedsat lungefunktion). Inddelt efter race fik 209 (86,4 %) hvide patienter og 33 (13,6 %) asiatiske patienter </w:t>
      </w:r>
      <w:proofErr w:type="spellStart"/>
      <w:r w:rsidRPr="00AD3AB8">
        <w:rPr>
          <w:sz w:val="24"/>
          <w:szCs w:val="24"/>
        </w:rPr>
        <w:t>decitabin</w:t>
      </w:r>
      <w:proofErr w:type="spellEnd"/>
      <w:r w:rsidRPr="00AD3AB8">
        <w:rPr>
          <w:sz w:val="24"/>
          <w:szCs w:val="24"/>
        </w:rPr>
        <w:t>.</w:t>
      </w:r>
    </w:p>
    <w:p w14:paraId="474D79B4" w14:textId="77777777" w:rsidR="00EF23AD" w:rsidRPr="00AD3AB8" w:rsidRDefault="00EF23AD" w:rsidP="00AD3AB8">
      <w:pPr>
        <w:ind w:left="851"/>
        <w:rPr>
          <w:sz w:val="24"/>
          <w:szCs w:val="24"/>
        </w:rPr>
      </w:pPr>
    </w:p>
    <w:p w14:paraId="0242CA55" w14:textId="77777777" w:rsidR="00EF23AD" w:rsidRPr="00AD3AB8" w:rsidRDefault="00EF23AD" w:rsidP="00AD3AB8">
      <w:pPr>
        <w:ind w:left="851"/>
        <w:rPr>
          <w:sz w:val="24"/>
          <w:szCs w:val="24"/>
        </w:rPr>
      </w:pPr>
      <w:r w:rsidRPr="00AD3AB8">
        <w:rPr>
          <w:sz w:val="24"/>
          <w:szCs w:val="24"/>
        </w:rPr>
        <w:t>Studiets primære endepunkt var samlet overlevelse. Det sekundære endepunkt var komplet remission, hvilket blev vurderet ved gennemgang af uafhængige eksperter. Progressionsfri overlevelse og hændelsesfri overlevelse udgjorde de tertiære endepunkter.</w:t>
      </w:r>
    </w:p>
    <w:p w14:paraId="5758CD7C" w14:textId="77777777" w:rsidR="00EF23AD" w:rsidRPr="00AD3AB8" w:rsidRDefault="00EF23AD" w:rsidP="00AD3AB8">
      <w:pPr>
        <w:ind w:left="851"/>
        <w:rPr>
          <w:sz w:val="24"/>
          <w:szCs w:val="24"/>
        </w:rPr>
      </w:pPr>
    </w:p>
    <w:p w14:paraId="04CFE725" w14:textId="77777777" w:rsidR="00EF23AD" w:rsidRPr="00AD3AB8" w:rsidRDefault="00EF23AD" w:rsidP="00AD3AB8">
      <w:pPr>
        <w:ind w:left="851"/>
        <w:rPr>
          <w:sz w:val="24"/>
          <w:szCs w:val="24"/>
        </w:rPr>
      </w:pPr>
      <w:r w:rsidRPr="00AD3AB8">
        <w:rPr>
          <w:sz w:val="24"/>
          <w:szCs w:val="24"/>
        </w:rPr>
        <w:t xml:space="preserve">Median samlet overlevelse i ITT-populationen var 7,7 måneder hos forsøgspersoner, der fik </w:t>
      </w:r>
      <w:proofErr w:type="spellStart"/>
      <w:r w:rsidRPr="00AD3AB8">
        <w:rPr>
          <w:sz w:val="24"/>
          <w:szCs w:val="24"/>
        </w:rPr>
        <w:t>decitabin</w:t>
      </w:r>
      <w:proofErr w:type="spellEnd"/>
      <w:r w:rsidRPr="00AD3AB8">
        <w:rPr>
          <w:sz w:val="24"/>
          <w:szCs w:val="24"/>
        </w:rPr>
        <w:t>, sammenlignet med 5,0 måneder hos forsøgspersoner i TC-gruppen (</w:t>
      </w:r>
      <w:proofErr w:type="spellStart"/>
      <w:r w:rsidRPr="00AD3AB8">
        <w:rPr>
          <w:sz w:val="24"/>
          <w:szCs w:val="24"/>
        </w:rPr>
        <w:t>hazard</w:t>
      </w:r>
      <w:proofErr w:type="spellEnd"/>
      <w:r w:rsidRPr="00AD3AB8">
        <w:rPr>
          <w:sz w:val="24"/>
          <w:szCs w:val="24"/>
        </w:rPr>
        <w:t xml:space="preserve"> ratio 0,85; 95 % CI: 0,69, 1,04, p = 0,1079). Forskellen var ikke statistisk signifikant, men der var en tendens til forbedring af overlevelse med 15 % reduktion i risikoen for død hos forsøgspersoner i </w:t>
      </w:r>
      <w:proofErr w:type="spellStart"/>
      <w:r w:rsidRPr="00AD3AB8">
        <w:rPr>
          <w:sz w:val="24"/>
          <w:szCs w:val="24"/>
        </w:rPr>
        <w:t>decitabin</w:t>
      </w:r>
      <w:proofErr w:type="spellEnd"/>
      <w:r w:rsidRPr="00AD3AB8">
        <w:rPr>
          <w:sz w:val="24"/>
          <w:szCs w:val="24"/>
        </w:rPr>
        <w:t xml:space="preserve">-gruppen (figur 1). Efter censurering af potentielt </w:t>
      </w:r>
      <w:r w:rsidRPr="00AD3AB8">
        <w:rPr>
          <w:sz w:val="24"/>
          <w:szCs w:val="24"/>
        </w:rPr>
        <w:lastRenderedPageBreak/>
        <w:t xml:space="preserve">sygdomsmodificerende behandling (dvs. induktionskemoterapi eller </w:t>
      </w:r>
      <w:proofErr w:type="spellStart"/>
      <w:r w:rsidRPr="00AD3AB8">
        <w:rPr>
          <w:sz w:val="24"/>
          <w:szCs w:val="24"/>
        </w:rPr>
        <w:t>hypometylerende</w:t>
      </w:r>
      <w:proofErr w:type="spellEnd"/>
      <w:r w:rsidRPr="00AD3AB8">
        <w:rPr>
          <w:sz w:val="24"/>
          <w:szCs w:val="24"/>
        </w:rPr>
        <w:t xml:space="preserve"> middel) viste analysen for samlet overlevelse 20 % reduktion af risikoen for død hos forsøgspersoner i </w:t>
      </w:r>
      <w:proofErr w:type="spellStart"/>
      <w:r w:rsidRPr="00AD3AB8">
        <w:rPr>
          <w:sz w:val="24"/>
          <w:szCs w:val="24"/>
        </w:rPr>
        <w:t>decitabin</w:t>
      </w:r>
      <w:proofErr w:type="spellEnd"/>
      <w:r w:rsidRPr="00AD3AB8">
        <w:rPr>
          <w:sz w:val="24"/>
          <w:szCs w:val="24"/>
        </w:rPr>
        <w:t xml:space="preserve">-gruppen [HR = 0,80, (95 % CI: 0,64, 0,99, </w:t>
      </w:r>
      <w:proofErr w:type="spellStart"/>
      <w:r w:rsidRPr="00AD3AB8">
        <w:rPr>
          <w:sz w:val="24"/>
          <w:szCs w:val="24"/>
        </w:rPr>
        <w:t>p-værdi</w:t>
      </w:r>
      <w:proofErr w:type="spellEnd"/>
      <w:r w:rsidRPr="00AD3AB8">
        <w:rPr>
          <w:sz w:val="24"/>
          <w:szCs w:val="24"/>
        </w:rPr>
        <w:t xml:space="preserve"> = 0,0437)].</w:t>
      </w:r>
    </w:p>
    <w:p w14:paraId="36E3196F" w14:textId="77777777" w:rsidR="00EF23AD" w:rsidRPr="00AD3AB8" w:rsidRDefault="00EF23AD" w:rsidP="00AD3AB8">
      <w:pPr>
        <w:ind w:left="851"/>
        <w:rPr>
          <w:sz w:val="24"/>
          <w:szCs w:val="24"/>
        </w:rPr>
      </w:pPr>
    </w:p>
    <w:p w14:paraId="41538A7F" w14:textId="505BFB57" w:rsidR="00EF23AD" w:rsidRPr="00AD3AB8" w:rsidRDefault="00EF23AD" w:rsidP="00E33B9A">
      <w:pPr>
        <w:keepNext/>
        <w:ind w:left="851"/>
        <w:rPr>
          <w:b/>
          <w:bCs/>
          <w:sz w:val="24"/>
          <w:szCs w:val="24"/>
        </w:rPr>
      </w:pPr>
      <w:r w:rsidRPr="00AD3AB8">
        <w:rPr>
          <w:b/>
          <w:bCs/>
          <w:sz w:val="24"/>
          <w:szCs w:val="24"/>
        </w:rPr>
        <w:t>Figur 1</w:t>
      </w:r>
      <w:r w:rsidR="00E33B9A">
        <w:rPr>
          <w:b/>
          <w:bCs/>
          <w:sz w:val="24"/>
          <w:szCs w:val="24"/>
        </w:rPr>
        <w:t xml:space="preserve">: </w:t>
      </w:r>
      <w:r w:rsidRPr="00AD3AB8">
        <w:rPr>
          <w:b/>
          <w:bCs/>
          <w:sz w:val="24"/>
          <w:szCs w:val="24"/>
        </w:rPr>
        <w:t>Samlet overlevelse (ITT-populationen)</w:t>
      </w:r>
    </w:p>
    <w:p w14:paraId="3CF4F571" w14:textId="77777777" w:rsidR="00EF23AD" w:rsidRPr="00AD3AB8" w:rsidRDefault="00EF23AD" w:rsidP="0020440A">
      <w:pPr>
        <w:keepNext/>
        <w:rPr>
          <w:sz w:val="24"/>
          <w:szCs w:val="24"/>
        </w:rPr>
      </w:pPr>
    </w:p>
    <w:p w14:paraId="1C78B895" w14:textId="635ABF0C" w:rsidR="00EF23AD" w:rsidRPr="00AD3AB8" w:rsidRDefault="00EF23AD" w:rsidP="0020440A">
      <w:pPr>
        <w:keepNext/>
        <w:rPr>
          <w:sz w:val="24"/>
          <w:szCs w:val="24"/>
        </w:rPr>
      </w:pPr>
      <w:r w:rsidRPr="00AD3AB8">
        <w:rPr>
          <w:noProof/>
          <w:sz w:val="24"/>
          <w:szCs w:val="24"/>
        </w:rPr>
        <w:drawing>
          <wp:inline distT="0" distB="0" distL="0" distR="0" wp14:anchorId="32E03603" wp14:editId="7A53290D">
            <wp:extent cx="5760720" cy="4198620"/>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198620"/>
                    </a:xfrm>
                    <a:prstGeom prst="rect">
                      <a:avLst/>
                    </a:prstGeom>
                    <a:noFill/>
                    <a:ln>
                      <a:noFill/>
                    </a:ln>
                  </pic:spPr>
                </pic:pic>
              </a:graphicData>
            </a:graphic>
          </wp:inline>
        </w:drawing>
      </w:r>
    </w:p>
    <w:p w14:paraId="5E4DFF5F" w14:textId="77777777" w:rsidR="00EF23AD" w:rsidRPr="00AD3AB8" w:rsidRDefault="00EF23AD" w:rsidP="00EF23AD">
      <w:pPr>
        <w:rPr>
          <w:sz w:val="24"/>
          <w:szCs w:val="24"/>
        </w:rPr>
      </w:pPr>
    </w:p>
    <w:p w14:paraId="714AD825" w14:textId="77777777" w:rsidR="00EF23AD" w:rsidRPr="00AD3AB8" w:rsidRDefault="00EF23AD" w:rsidP="00AD3AB8">
      <w:pPr>
        <w:ind w:left="851"/>
        <w:rPr>
          <w:sz w:val="24"/>
          <w:szCs w:val="24"/>
        </w:rPr>
      </w:pPr>
      <w:r w:rsidRPr="00AD3AB8">
        <w:rPr>
          <w:sz w:val="24"/>
          <w:szCs w:val="24"/>
        </w:rPr>
        <w:t xml:space="preserve">I en analyse med yderligere 1 års modne overlevelsesdata viste </w:t>
      </w:r>
      <w:proofErr w:type="spellStart"/>
      <w:r w:rsidRPr="00AD3AB8">
        <w:rPr>
          <w:sz w:val="24"/>
          <w:szCs w:val="24"/>
        </w:rPr>
        <w:t>decitabins</w:t>
      </w:r>
      <w:proofErr w:type="spellEnd"/>
      <w:r w:rsidRPr="00AD3AB8">
        <w:rPr>
          <w:sz w:val="24"/>
          <w:szCs w:val="24"/>
        </w:rPr>
        <w:t xml:space="preserve"> påvirkning af den samlede overlevelse en klinisk forbedring sammenlignet med TC-gruppen (henholdsvis 7,7 måneder vs. 5,0 måneder, </w:t>
      </w:r>
      <w:proofErr w:type="spellStart"/>
      <w:r w:rsidRPr="00AD3AB8">
        <w:rPr>
          <w:sz w:val="24"/>
          <w:szCs w:val="24"/>
        </w:rPr>
        <w:t>hazard</w:t>
      </w:r>
      <w:proofErr w:type="spellEnd"/>
      <w:r w:rsidRPr="00AD3AB8">
        <w:rPr>
          <w:sz w:val="24"/>
          <w:szCs w:val="24"/>
        </w:rPr>
        <w:t xml:space="preserve"> ratio = 0,82, 95 % CI: 0,68, 0,99, nominel </w:t>
      </w:r>
      <w:proofErr w:type="spellStart"/>
      <w:r w:rsidRPr="00AD3AB8">
        <w:rPr>
          <w:sz w:val="24"/>
          <w:szCs w:val="24"/>
        </w:rPr>
        <w:t>p-værdi</w:t>
      </w:r>
      <w:proofErr w:type="spellEnd"/>
      <w:r w:rsidRPr="00AD3AB8">
        <w:rPr>
          <w:sz w:val="24"/>
          <w:szCs w:val="24"/>
        </w:rPr>
        <w:t xml:space="preserve"> = 0,0373, figur 2).</w:t>
      </w:r>
    </w:p>
    <w:p w14:paraId="5F52EE36" w14:textId="77777777" w:rsidR="00EF23AD" w:rsidRPr="00AD3AB8" w:rsidRDefault="00EF23AD" w:rsidP="00AD3AB8">
      <w:pPr>
        <w:ind w:left="851"/>
        <w:rPr>
          <w:sz w:val="24"/>
          <w:szCs w:val="24"/>
        </w:rPr>
      </w:pPr>
    </w:p>
    <w:p w14:paraId="0B8987AE" w14:textId="15344C1D" w:rsidR="00EF23AD" w:rsidRPr="00AD3AB8" w:rsidRDefault="00EF23AD" w:rsidP="00E33B9A">
      <w:pPr>
        <w:keepNext/>
        <w:ind w:left="851"/>
        <w:rPr>
          <w:b/>
          <w:bCs/>
          <w:sz w:val="24"/>
          <w:szCs w:val="24"/>
        </w:rPr>
      </w:pPr>
      <w:r w:rsidRPr="00AD3AB8">
        <w:rPr>
          <w:b/>
          <w:bCs/>
          <w:sz w:val="24"/>
          <w:szCs w:val="24"/>
        </w:rPr>
        <w:lastRenderedPageBreak/>
        <w:t>Figur 2</w:t>
      </w:r>
      <w:r w:rsidR="00E33B9A">
        <w:rPr>
          <w:b/>
          <w:bCs/>
          <w:sz w:val="24"/>
          <w:szCs w:val="24"/>
        </w:rPr>
        <w:t xml:space="preserve">: </w:t>
      </w:r>
      <w:r w:rsidRPr="00AD3AB8">
        <w:rPr>
          <w:b/>
          <w:bCs/>
          <w:sz w:val="24"/>
          <w:szCs w:val="24"/>
        </w:rPr>
        <w:t>Analyse af modne samlede overlevelsesdata (ITT-populationen)</w:t>
      </w:r>
    </w:p>
    <w:p w14:paraId="3626CD91" w14:textId="77777777" w:rsidR="00EF23AD" w:rsidRPr="00AD3AB8" w:rsidRDefault="00EF23AD" w:rsidP="0020440A">
      <w:pPr>
        <w:keepNext/>
        <w:rPr>
          <w:sz w:val="24"/>
          <w:szCs w:val="24"/>
        </w:rPr>
      </w:pPr>
    </w:p>
    <w:p w14:paraId="09A905BA" w14:textId="60C19525" w:rsidR="00EF23AD" w:rsidRPr="00AD3AB8" w:rsidRDefault="00EF23AD" w:rsidP="0020440A">
      <w:pPr>
        <w:keepNext/>
        <w:rPr>
          <w:sz w:val="24"/>
          <w:szCs w:val="24"/>
        </w:rPr>
      </w:pPr>
      <w:r w:rsidRPr="00AD3AB8">
        <w:rPr>
          <w:noProof/>
          <w:sz w:val="24"/>
          <w:szCs w:val="24"/>
        </w:rPr>
        <w:drawing>
          <wp:inline distT="0" distB="0" distL="0" distR="0" wp14:anchorId="5E84D593" wp14:editId="6199B4FF">
            <wp:extent cx="5753100" cy="3939540"/>
            <wp:effectExtent l="0" t="0" r="0" b="381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939540"/>
                    </a:xfrm>
                    <a:prstGeom prst="rect">
                      <a:avLst/>
                    </a:prstGeom>
                    <a:noFill/>
                    <a:ln>
                      <a:noFill/>
                    </a:ln>
                  </pic:spPr>
                </pic:pic>
              </a:graphicData>
            </a:graphic>
          </wp:inline>
        </w:drawing>
      </w:r>
    </w:p>
    <w:p w14:paraId="344D6013" w14:textId="77777777" w:rsidR="00EF23AD" w:rsidRPr="00AD3AB8" w:rsidRDefault="00EF23AD" w:rsidP="00EF23AD">
      <w:pPr>
        <w:rPr>
          <w:sz w:val="24"/>
          <w:szCs w:val="24"/>
        </w:rPr>
      </w:pPr>
    </w:p>
    <w:p w14:paraId="176B98E3" w14:textId="77777777" w:rsidR="00EF23AD" w:rsidRPr="00AD3AB8" w:rsidRDefault="00EF23AD" w:rsidP="00AD3AB8">
      <w:pPr>
        <w:ind w:left="851"/>
        <w:rPr>
          <w:sz w:val="24"/>
          <w:szCs w:val="24"/>
        </w:rPr>
      </w:pPr>
      <w:r w:rsidRPr="00AD3AB8">
        <w:rPr>
          <w:sz w:val="24"/>
          <w:szCs w:val="24"/>
        </w:rPr>
        <w:t xml:space="preserve">Ud fra den indledende analyse af ITT-populationen blev der opnået en statistisk signifikant forskel i komplet remission (CR + </w:t>
      </w:r>
      <w:proofErr w:type="spellStart"/>
      <w:r w:rsidRPr="00AD3AB8">
        <w:rPr>
          <w:sz w:val="24"/>
          <w:szCs w:val="24"/>
        </w:rPr>
        <w:t>CRp</w:t>
      </w:r>
      <w:proofErr w:type="spellEnd"/>
      <w:r w:rsidRPr="00AD3AB8">
        <w:rPr>
          <w:sz w:val="24"/>
          <w:szCs w:val="24"/>
        </w:rPr>
        <w:t xml:space="preserve">) til fordel for forsøgspersonerne i </w:t>
      </w:r>
      <w:proofErr w:type="spellStart"/>
      <w:r w:rsidRPr="00AD3AB8">
        <w:rPr>
          <w:sz w:val="24"/>
          <w:szCs w:val="24"/>
        </w:rPr>
        <w:t>decitabin</w:t>
      </w:r>
      <w:proofErr w:type="spellEnd"/>
      <w:r w:rsidRPr="00AD3AB8">
        <w:rPr>
          <w:sz w:val="24"/>
          <w:szCs w:val="24"/>
        </w:rPr>
        <w:t xml:space="preserve">-gruppen, 17,8 % (43/242) sammenlignet med TC-gruppen, 7,8 % (19/243). Behandlingsforskel 9,9 % (95 % CI: 4,07, 15,83), p = 0,0011. Den </w:t>
      </w:r>
      <w:proofErr w:type="spellStart"/>
      <w:r w:rsidRPr="00AD3AB8">
        <w:rPr>
          <w:sz w:val="24"/>
          <w:szCs w:val="24"/>
        </w:rPr>
        <w:t>mediane</w:t>
      </w:r>
      <w:proofErr w:type="spellEnd"/>
      <w:r w:rsidRPr="00AD3AB8">
        <w:rPr>
          <w:sz w:val="24"/>
          <w:szCs w:val="24"/>
        </w:rPr>
        <w:t xml:space="preserve"> tid til bedste respons og median varighed af bedste respons hos patienter, der opnåede CR eller </w:t>
      </w:r>
      <w:proofErr w:type="spellStart"/>
      <w:r w:rsidRPr="00AD3AB8">
        <w:rPr>
          <w:sz w:val="24"/>
          <w:szCs w:val="24"/>
        </w:rPr>
        <w:t>CRp</w:t>
      </w:r>
      <w:proofErr w:type="spellEnd"/>
      <w:r w:rsidRPr="00AD3AB8">
        <w:rPr>
          <w:sz w:val="24"/>
          <w:szCs w:val="24"/>
        </w:rPr>
        <w:t xml:space="preserve">, var henholdsvis 4,3 måneder og 8,3 måneder. Progressionsfri overlevelse var signifikant længere hos forsøgspersoner i </w:t>
      </w:r>
      <w:proofErr w:type="spellStart"/>
      <w:r w:rsidRPr="00AD3AB8">
        <w:rPr>
          <w:sz w:val="24"/>
          <w:szCs w:val="24"/>
        </w:rPr>
        <w:t>decitabin</w:t>
      </w:r>
      <w:proofErr w:type="spellEnd"/>
      <w:r w:rsidRPr="00AD3AB8">
        <w:rPr>
          <w:sz w:val="24"/>
          <w:szCs w:val="24"/>
        </w:rPr>
        <w:t xml:space="preserve">-gruppen: 3,7 måneder (95 % CI: 2,7; 4.6) sammenlignet med forsøgspersoner i TC-gruppen: 2,1 måneder (95 % CI: 1,9; 3,1); </w:t>
      </w:r>
      <w:proofErr w:type="spellStart"/>
      <w:r w:rsidRPr="00AD3AB8">
        <w:rPr>
          <w:sz w:val="24"/>
          <w:szCs w:val="24"/>
        </w:rPr>
        <w:t>hazard</w:t>
      </w:r>
      <w:proofErr w:type="spellEnd"/>
      <w:r w:rsidRPr="00AD3AB8">
        <w:rPr>
          <w:sz w:val="24"/>
          <w:szCs w:val="24"/>
        </w:rPr>
        <w:t xml:space="preserve"> ratio 0,75 (95 % CI: 0,62, 0,91), p = 0,0031. Disse resultater samt andre endepunkter fremgår af tabel 2.</w:t>
      </w:r>
    </w:p>
    <w:p w14:paraId="15D50A18" w14:textId="77777777" w:rsidR="00EF23AD" w:rsidRPr="00AD3AB8" w:rsidRDefault="00EF23AD" w:rsidP="00AD3AB8">
      <w:pPr>
        <w:ind w:left="851"/>
        <w:rPr>
          <w:sz w:val="24"/>
          <w:szCs w:val="24"/>
        </w:rPr>
      </w:pPr>
    </w:p>
    <w:p w14:paraId="28F0F517" w14:textId="713A69D7" w:rsidR="00EF23AD" w:rsidRPr="00AD3AB8" w:rsidRDefault="00EF23AD" w:rsidP="00EF23AD">
      <w:pPr>
        <w:rPr>
          <w:b/>
          <w:bCs/>
          <w:sz w:val="24"/>
          <w:szCs w:val="24"/>
        </w:rPr>
      </w:pPr>
      <w:r w:rsidRPr="00AD3AB8">
        <w:rPr>
          <w:b/>
          <w:bCs/>
          <w:sz w:val="24"/>
          <w:szCs w:val="24"/>
        </w:rPr>
        <w:t>Tabel 2:</w:t>
      </w:r>
      <w:r w:rsidR="00E33B9A">
        <w:rPr>
          <w:b/>
          <w:bCs/>
          <w:sz w:val="24"/>
          <w:szCs w:val="24"/>
        </w:rPr>
        <w:t xml:space="preserve"> </w:t>
      </w:r>
      <w:r w:rsidRPr="00AD3AB8">
        <w:rPr>
          <w:b/>
          <w:bCs/>
          <w:sz w:val="24"/>
          <w:szCs w:val="24"/>
        </w:rPr>
        <w:t>Andre endepunkter til effektvurdering i studiet DACO-016 (ITT-populationen)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51"/>
        <w:gridCol w:w="2226"/>
        <w:gridCol w:w="2226"/>
        <w:gridCol w:w="2925"/>
      </w:tblGrid>
      <w:tr w:rsidR="00EF23AD" w:rsidRPr="00AD3AB8" w14:paraId="266C6F3C" w14:textId="77777777" w:rsidTr="0020440A">
        <w:trPr>
          <w:trHeight w:val="760"/>
        </w:trPr>
        <w:tc>
          <w:tcPr>
            <w:tcW w:w="1169" w:type="pct"/>
            <w:tcBorders>
              <w:top w:val="single" w:sz="4" w:space="0" w:color="000000"/>
              <w:left w:val="single" w:sz="4" w:space="0" w:color="000000"/>
              <w:bottom w:val="single" w:sz="4" w:space="0" w:color="000000"/>
              <w:right w:val="single" w:sz="4" w:space="0" w:color="000000"/>
            </w:tcBorders>
            <w:vAlign w:val="center"/>
          </w:tcPr>
          <w:p w14:paraId="2D768A13" w14:textId="77777777" w:rsidR="00EF23AD" w:rsidRPr="00AD3AB8" w:rsidRDefault="00EF23AD">
            <w:pPr>
              <w:suppressAutoHyphens/>
              <w:jc w:val="center"/>
              <w:rPr>
                <w:b/>
                <w:sz w:val="24"/>
                <w:szCs w:val="24"/>
                <w:lang w:val="en-GB"/>
              </w:rPr>
            </w:pPr>
            <w:proofErr w:type="spellStart"/>
            <w:r w:rsidRPr="00AD3AB8">
              <w:rPr>
                <w:b/>
                <w:sz w:val="24"/>
                <w:szCs w:val="24"/>
                <w:lang w:val="en-GB"/>
              </w:rPr>
              <w:t>Udfald</w:t>
            </w:r>
            <w:proofErr w:type="spellEnd"/>
          </w:p>
        </w:tc>
        <w:tc>
          <w:tcPr>
            <w:tcW w:w="1156" w:type="pct"/>
            <w:tcBorders>
              <w:top w:val="single" w:sz="4" w:space="0" w:color="000000"/>
              <w:left w:val="single" w:sz="4" w:space="0" w:color="000000"/>
              <w:bottom w:val="single" w:sz="4" w:space="0" w:color="000000"/>
              <w:right w:val="single" w:sz="4" w:space="0" w:color="000000"/>
            </w:tcBorders>
            <w:vAlign w:val="center"/>
            <w:hideMark/>
          </w:tcPr>
          <w:p w14:paraId="379BC53B" w14:textId="77777777" w:rsidR="00EF23AD" w:rsidRPr="00AD3AB8" w:rsidRDefault="00EF23AD">
            <w:pPr>
              <w:suppressAutoHyphens/>
              <w:jc w:val="center"/>
              <w:rPr>
                <w:b/>
                <w:sz w:val="24"/>
                <w:szCs w:val="24"/>
                <w:lang w:val="en-GB"/>
              </w:rPr>
            </w:pPr>
            <w:proofErr w:type="spellStart"/>
            <w:r w:rsidRPr="00AD3AB8">
              <w:rPr>
                <w:b/>
                <w:sz w:val="24"/>
                <w:szCs w:val="24"/>
                <w:lang w:val="en-GB"/>
              </w:rPr>
              <w:t>Decitabin</w:t>
            </w:r>
            <w:proofErr w:type="spellEnd"/>
          </w:p>
          <w:p w14:paraId="6DEA4977" w14:textId="77777777" w:rsidR="00EF23AD" w:rsidRPr="00AD3AB8" w:rsidRDefault="00EF23AD">
            <w:pPr>
              <w:suppressAutoHyphens/>
              <w:jc w:val="center"/>
              <w:rPr>
                <w:b/>
                <w:sz w:val="24"/>
                <w:szCs w:val="24"/>
                <w:lang w:val="en-GB"/>
              </w:rPr>
            </w:pPr>
            <w:r w:rsidRPr="00AD3AB8">
              <w:rPr>
                <w:b/>
                <w:sz w:val="24"/>
                <w:szCs w:val="24"/>
                <w:lang w:val="en-GB"/>
              </w:rPr>
              <w:t>n = 242</w:t>
            </w:r>
          </w:p>
        </w:tc>
        <w:tc>
          <w:tcPr>
            <w:tcW w:w="1156" w:type="pct"/>
            <w:tcBorders>
              <w:top w:val="single" w:sz="4" w:space="0" w:color="000000"/>
              <w:left w:val="single" w:sz="4" w:space="0" w:color="000000"/>
              <w:bottom w:val="single" w:sz="4" w:space="0" w:color="000000"/>
              <w:right w:val="single" w:sz="4" w:space="0" w:color="000000"/>
            </w:tcBorders>
            <w:vAlign w:val="center"/>
            <w:hideMark/>
          </w:tcPr>
          <w:p w14:paraId="50113CB0" w14:textId="77777777" w:rsidR="00EF23AD" w:rsidRPr="00AD3AB8" w:rsidRDefault="00EF23AD">
            <w:pPr>
              <w:suppressAutoHyphens/>
              <w:jc w:val="center"/>
              <w:rPr>
                <w:b/>
                <w:sz w:val="24"/>
                <w:szCs w:val="24"/>
                <w:lang w:val="en-GB"/>
              </w:rPr>
            </w:pPr>
            <w:r w:rsidRPr="00AD3AB8">
              <w:rPr>
                <w:b/>
                <w:sz w:val="24"/>
                <w:szCs w:val="24"/>
                <w:lang w:val="en-GB"/>
              </w:rPr>
              <w:t>TC (</w:t>
            </w:r>
            <w:proofErr w:type="spellStart"/>
            <w:r w:rsidRPr="00AD3AB8">
              <w:rPr>
                <w:b/>
                <w:sz w:val="24"/>
                <w:szCs w:val="24"/>
                <w:lang w:val="en-GB"/>
              </w:rPr>
              <w:t>samlet</w:t>
            </w:r>
            <w:proofErr w:type="spellEnd"/>
            <w:r w:rsidRPr="00AD3AB8">
              <w:rPr>
                <w:b/>
                <w:sz w:val="24"/>
                <w:szCs w:val="24"/>
                <w:lang w:val="en-GB"/>
              </w:rPr>
              <w:t xml:space="preserve"> </w:t>
            </w:r>
            <w:proofErr w:type="spellStart"/>
            <w:r w:rsidRPr="00AD3AB8">
              <w:rPr>
                <w:b/>
                <w:sz w:val="24"/>
                <w:szCs w:val="24"/>
                <w:lang w:val="en-GB"/>
              </w:rPr>
              <w:t>gruppe</w:t>
            </w:r>
            <w:proofErr w:type="spellEnd"/>
            <w:r w:rsidRPr="00AD3AB8">
              <w:rPr>
                <w:b/>
                <w:sz w:val="24"/>
                <w:szCs w:val="24"/>
                <w:lang w:val="en-GB"/>
              </w:rPr>
              <w:t>)</w:t>
            </w:r>
          </w:p>
          <w:p w14:paraId="4051F97D" w14:textId="77777777" w:rsidR="00EF23AD" w:rsidRPr="00AD3AB8" w:rsidRDefault="00EF23AD">
            <w:pPr>
              <w:suppressAutoHyphens/>
              <w:jc w:val="center"/>
              <w:rPr>
                <w:b/>
                <w:sz w:val="24"/>
                <w:szCs w:val="24"/>
                <w:lang w:val="en-GB"/>
              </w:rPr>
            </w:pPr>
            <w:r w:rsidRPr="00AD3AB8">
              <w:rPr>
                <w:b/>
                <w:sz w:val="24"/>
                <w:szCs w:val="24"/>
                <w:lang w:val="en-GB"/>
              </w:rPr>
              <w:t>n = 243</w:t>
            </w:r>
          </w:p>
        </w:tc>
        <w:tc>
          <w:tcPr>
            <w:tcW w:w="1519" w:type="pct"/>
            <w:tcBorders>
              <w:top w:val="single" w:sz="4" w:space="0" w:color="000000"/>
              <w:left w:val="single" w:sz="4" w:space="0" w:color="000000"/>
              <w:bottom w:val="single" w:sz="4" w:space="0" w:color="000000"/>
              <w:right w:val="single" w:sz="4" w:space="0" w:color="000000"/>
            </w:tcBorders>
            <w:vAlign w:val="center"/>
          </w:tcPr>
          <w:p w14:paraId="71DC2B0C" w14:textId="77777777" w:rsidR="00EF23AD" w:rsidRPr="00AD3AB8" w:rsidRDefault="00EF23AD">
            <w:pPr>
              <w:suppressAutoHyphens/>
              <w:jc w:val="center"/>
              <w:rPr>
                <w:b/>
                <w:sz w:val="24"/>
                <w:szCs w:val="24"/>
                <w:lang w:val="en-GB"/>
              </w:rPr>
            </w:pPr>
            <w:r w:rsidRPr="00AD3AB8">
              <w:rPr>
                <w:b/>
                <w:sz w:val="24"/>
                <w:szCs w:val="24"/>
                <w:lang w:val="en-GB"/>
              </w:rPr>
              <w:t>p-</w:t>
            </w:r>
            <w:proofErr w:type="spellStart"/>
            <w:r w:rsidRPr="00AD3AB8">
              <w:rPr>
                <w:b/>
                <w:bCs/>
                <w:sz w:val="24"/>
                <w:szCs w:val="24"/>
                <w:lang w:val="en-US"/>
              </w:rPr>
              <w:t>værdi</w:t>
            </w:r>
            <w:proofErr w:type="spellEnd"/>
          </w:p>
        </w:tc>
      </w:tr>
      <w:tr w:rsidR="00EF23AD" w:rsidRPr="00AD3AB8" w14:paraId="162C17BC" w14:textId="77777777" w:rsidTr="00AD3AB8">
        <w:trPr>
          <w:trHeight w:val="251"/>
        </w:trPr>
        <w:tc>
          <w:tcPr>
            <w:tcW w:w="1169" w:type="pct"/>
            <w:vMerge w:val="restart"/>
            <w:tcBorders>
              <w:top w:val="single" w:sz="4" w:space="0" w:color="000000"/>
              <w:left w:val="single" w:sz="4" w:space="0" w:color="000000"/>
              <w:bottom w:val="single" w:sz="4" w:space="0" w:color="000000"/>
              <w:right w:val="single" w:sz="4" w:space="0" w:color="000000"/>
            </w:tcBorders>
            <w:hideMark/>
          </w:tcPr>
          <w:p w14:paraId="28F41EA6" w14:textId="77777777" w:rsidR="00EF23AD" w:rsidRPr="00AD3AB8" w:rsidRDefault="00EF23AD">
            <w:pPr>
              <w:suppressAutoHyphens/>
              <w:rPr>
                <w:sz w:val="24"/>
                <w:szCs w:val="24"/>
                <w:lang w:val="en-GB"/>
              </w:rPr>
            </w:pPr>
            <w:r w:rsidRPr="00AD3AB8">
              <w:rPr>
                <w:sz w:val="24"/>
                <w:szCs w:val="24"/>
                <w:lang w:val="en-GB"/>
              </w:rPr>
              <w:t xml:space="preserve">CR + </w:t>
            </w:r>
            <w:proofErr w:type="spellStart"/>
            <w:r w:rsidRPr="00AD3AB8">
              <w:rPr>
                <w:sz w:val="24"/>
                <w:szCs w:val="24"/>
                <w:lang w:val="en-GB"/>
              </w:rPr>
              <w:t>CRp</w:t>
            </w:r>
            <w:proofErr w:type="spellEnd"/>
          </w:p>
        </w:tc>
        <w:tc>
          <w:tcPr>
            <w:tcW w:w="1156" w:type="pct"/>
            <w:tcBorders>
              <w:top w:val="single" w:sz="4" w:space="0" w:color="000000"/>
              <w:left w:val="single" w:sz="4" w:space="0" w:color="000000"/>
              <w:bottom w:val="single" w:sz="4" w:space="0" w:color="000000"/>
              <w:right w:val="single" w:sz="4" w:space="0" w:color="000000"/>
            </w:tcBorders>
            <w:hideMark/>
          </w:tcPr>
          <w:p w14:paraId="38489594" w14:textId="77777777" w:rsidR="00EF23AD" w:rsidRPr="00AD3AB8" w:rsidRDefault="00EF23AD">
            <w:pPr>
              <w:suppressAutoHyphens/>
              <w:jc w:val="center"/>
              <w:rPr>
                <w:sz w:val="24"/>
                <w:szCs w:val="24"/>
                <w:lang w:val="en-GB"/>
              </w:rPr>
            </w:pPr>
            <w:r w:rsidRPr="00AD3AB8">
              <w:rPr>
                <w:sz w:val="24"/>
                <w:szCs w:val="24"/>
                <w:lang w:val="en-GB"/>
              </w:rPr>
              <w:t>43 (17,8 %)</w:t>
            </w:r>
          </w:p>
        </w:tc>
        <w:tc>
          <w:tcPr>
            <w:tcW w:w="1156" w:type="pct"/>
            <w:tcBorders>
              <w:top w:val="single" w:sz="4" w:space="0" w:color="000000"/>
              <w:left w:val="single" w:sz="4" w:space="0" w:color="000000"/>
              <w:bottom w:val="single" w:sz="4" w:space="0" w:color="000000"/>
              <w:right w:val="single" w:sz="4" w:space="0" w:color="000000"/>
            </w:tcBorders>
            <w:hideMark/>
          </w:tcPr>
          <w:p w14:paraId="539F2F59" w14:textId="77777777" w:rsidR="00EF23AD" w:rsidRPr="00AD3AB8" w:rsidRDefault="00EF23AD">
            <w:pPr>
              <w:suppressAutoHyphens/>
              <w:jc w:val="center"/>
              <w:rPr>
                <w:sz w:val="24"/>
                <w:szCs w:val="24"/>
                <w:lang w:val="en-GB"/>
              </w:rPr>
            </w:pPr>
            <w:r w:rsidRPr="00AD3AB8">
              <w:rPr>
                <w:sz w:val="24"/>
                <w:szCs w:val="24"/>
                <w:lang w:val="en-GB"/>
              </w:rPr>
              <w:t>19 (7,8 %)</w:t>
            </w:r>
          </w:p>
        </w:tc>
        <w:tc>
          <w:tcPr>
            <w:tcW w:w="1519" w:type="pct"/>
            <w:vMerge w:val="restart"/>
            <w:tcBorders>
              <w:top w:val="single" w:sz="4" w:space="0" w:color="000000"/>
              <w:left w:val="single" w:sz="4" w:space="0" w:color="000000"/>
              <w:bottom w:val="single" w:sz="4" w:space="0" w:color="000000"/>
              <w:right w:val="single" w:sz="4" w:space="0" w:color="000000"/>
            </w:tcBorders>
            <w:hideMark/>
          </w:tcPr>
          <w:p w14:paraId="1CE84858" w14:textId="77777777" w:rsidR="00EF23AD" w:rsidRPr="00AD3AB8" w:rsidRDefault="00EF23AD">
            <w:pPr>
              <w:suppressAutoHyphens/>
              <w:jc w:val="center"/>
              <w:rPr>
                <w:sz w:val="24"/>
                <w:szCs w:val="24"/>
                <w:lang w:val="en-GB"/>
              </w:rPr>
            </w:pPr>
            <w:r w:rsidRPr="00AD3AB8">
              <w:rPr>
                <w:sz w:val="24"/>
                <w:szCs w:val="24"/>
                <w:lang w:val="en-GB"/>
              </w:rPr>
              <w:t>0,0011</w:t>
            </w:r>
          </w:p>
        </w:tc>
      </w:tr>
      <w:tr w:rsidR="00EF23AD" w:rsidRPr="00AD3AB8" w14:paraId="57892233" w14:textId="77777777" w:rsidTr="00AD3AB8">
        <w:trPr>
          <w:trHeight w:val="506"/>
        </w:trPr>
        <w:tc>
          <w:tcPr>
            <w:tcW w:w="1169" w:type="pct"/>
            <w:vMerge/>
            <w:tcBorders>
              <w:top w:val="single" w:sz="4" w:space="0" w:color="000000"/>
              <w:left w:val="single" w:sz="4" w:space="0" w:color="000000"/>
              <w:bottom w:val="single" w:sz="4" w:space="0" w:color="000000"/>
              <w:right w:val="single" w:sz="4" w:space="0" w:color="000000"/>
            </w:tcBorders>
            <w:vAlign w:val="center"/>
            <w:hideMark/>
          </w:tcPr>
          <w:p w14:paraId="349750E1" w14:textId="77777777" w:rsidR="00EF23AD" w:rsidRPr="00AD3AB8" w:rsidRDefault="00EF23AD">
            <w:pPr>
              <w:rPr>
                <w:sz w:val="24"/>
                <w:szCs w:val="24"/>
                <w:lang w:val="en-GB"/>
              </w:rPr>
            </w:pPr>
          </w:p>
        </w:tc>
        <w:tc>
          <w:tcPr>
            <w:tcW w:w="2312" w:type="pct"/>
            <w:gridSpan w:val="2"/>
            <w:tcBorders>
              <w:top w:val="single" w:sz="4" w:space="0" w:color="000000"/>
              <w:left w:val="single" w:sz="4" w:space="0" w:color="000000"/>
              <w:bottom w:val="single" w:sz="4" w:space="0" w:color="000000"/>
              <w:right w:val="single" w:sz="4" w:space="0" w:color="000000"/>
            </w:tcBorders>
            <w:hideMark/>
          </w:tcPr>
          <w:p w14:paraId="2C068974" w14:textId="77777777" w:rsidR="00EF23AD" w:rsidRPr="00AD3AB8" w:rsidRDefault="00EF23AD">
            <w:pPr>
              <w:suppressAutoHyphens/>
              <w:jc w:val="center"/>
              <w:rPr>
                <w:sz w:val="24"/>
                <w:szCs w:val="24"/>
                <w:lang w:val="en-GB"/>
              </w:rPr>
            </w:pPr>
            <w:r w:rsidRPr="00AD3AB8">
              <w:rPr>
                <w:sz w:val="24"/>
                <w:szCs w:val="24"/>
                <w:lang w:val="en-GB"/>
              </w:rPr>
              <w:t>OR = 2.5</w:t>
            </w:r>
          </w:p>
          <w:p w14:paraId="11D3E615" w14:textId="77777777" w:rsidR="00EF23AD" w:rsidRPr="00AD3AB8" w:rsidRDefault="00EF23AD">
            <w:pPr>
              <w:suppressAutoHyphens/>
              <w:jc w:val="center"/>
              <w:rPr>
                <w:sz w:val="24"/>
                <w:szCs w:val="24"/>
                <w:lang w:val="en-GB"/>
              </w:rPr>
            </w:pPr>
            <w:r w:rsidRPr="00AD3AB8">
              <w:rPr>
                <w:sz w:val="24"/>
                <w:szCs w:val="24"/>
                <w:lang w:val="en-GB"/>
              </w:rPr>
              <w:t>(1,40, 4,</w:t>
            </w:r>
            <w:proofErr w:type="gramStart"/>
            <w:r w:rsidRPr="00AD3AB8">
              <w:rPr>
                <w:sz w:val="24"/>
                <w:szCs w:val="24"/>
                <w:lang w:val="en-GB"/>
              </w:rPr>
              <w:t>78)</w:t>
            </w:r>
            <w:r w:rsidRPr="00AD3AB8">
              <w:rPr>
                <w:sz w:val="24"/>
                <w:szCs w:val="24"/>
                <w:vertAlign w:val="superscript"/>
                <w:lang w:val="en-GB"/>
              </w:rPr>
              <w:t>b</w:t>
            </w:r>
            <w:proofErr w:type="gramEnd"/>
          </w:p>
        </w:tc>
        <w:tc>
          <w:tcPr>
            <w:tcW w:w="1519" w:type="pct"/>
            <w:vMerge/>
            <w:tcBorders>
              <w:top w:val="single" w:sz="4" w:space="0" w:color="000000"/>
              <w:left w:val="single" w:sz="4" w:space="0" w:color="000000"/>
              <w:bottom w:val="single" w:sz="4" w:space="0" w:color="000000"/>
              <w:right w:val="single" w:sz="4" w:space="0" w:color="000000"/>
            </w:tcBorders>
            <w:vAlign w:val="center"/>
            <w:hideMark/>
          </w:tcPr>
          <w:p w14:paraId="092E7D49" w14:textId="77777777" w:rsidR="00EF23AD" w:rsidRPr="00AD3AB8" w:rsidRDefault="00EF23AD">
            <w:pPr>
              <w:rPr>
                <w:sz w:val="24"/>
                <w:szCs w:val="24"/>
                <w:lang w:val="en-GB"/>
              </w:rPr>
            </w:pPr>
          </w:p>
        </w:tc>
      </w:tr>
      <w:tr w:rsidR="00EF23AD" w:rsidRPr="00AD3AB8" w14:paraId="2A2637C1" w14:textId="77777777" w:rsidTr="00AD3AB8">
        <w:trPr>
          <w:trHeight w:val="253"/>
        </w:trPr>
        <w:tc>
          <w:tcPr>
            <w:tcW w:w="1169" w:type="pct"/>
            <w:tcBorders>
              <w:top w:val="single" w:sz="4" w:space="0" w:color="000000"/>
              <w:left w:val="single" w:sz="4" w:space="0" w:color="000000"/>
              <w:bottom w:val="single" w:sz="4" w:space="0" w:color="000000"/>
              <w:right w:val="single" w:sz="4" w:space="0" w:color="000000"/>
            </w:tcBorders>
            <w:hideMark/>
          </w:tcPr>
          <w:p w14:paraId="42F1DFB6" w14:textId="77777777" w:rsidR="00EF23AD" w:rsidRPr="00AD3AB8" w:rsidRDefault="00EF23AD">
            <w:pPr>
              <w:suppressAutoHyphens/>
              <w:rPr>
                <w:sz w:val="24"/>
                <w:szCs w:val="24"/>
                <w:lang w:val="en-GB"/>
              </w:rPr>
            </w:pPr>
            <w:r w:rsidRPr="00AD3AB8">
              <w:rPr>
                <w:sz w:val="24"/>
                <w:szCs w:val="24"/>
                <w:lang w:val="en-GB"/>
              </w:rPr>
              <w:t>CR</w:t>
            </w:r>
          </w:p>
        </w:tc>
        <w:tc>
          <w:tcPr>
            <w:tcW w:w="1156" w:type="pct"/>
            <w:tcBorders>
              <w:top w:val="single" w:sz="4" w:space="0" w:color="000000"/>
              <w:left w:val="single" w:sz="4" w:space="0" w:color="000000"/>
              <w:bottom w:val="single" w:sz="4" w:space="0" w:color="000000"/>
              <w:right w:val="single" w:sz="4" w:space="0" w:color="000000"/>
            </w:tcBorders>
            <w:hideMark/>
          </w:tcPr>
          <w:p w14:paraId="54201325" w14:textId="77777777" w:rsidR="00EF23AD" w:rsidRPr="00AD3AB8" w:rsidRDefault="00EF23AD">
            <w:pPr>
              <w:suppressAutoHyphens/>
              <w:jc w:val="center"/>
              <w:rPr>
                <w:sz w:val="24"/>
                <w:szCs w:val="24"/>
                <w:lang w:val="en-GB"/>
              </w:rPr>
            </w:pPr>
            <w:r w:rsidRPr="00AD3AB8">
              <w:rPr>
                <w:sz w:val="24"/>
                <w:szCs w:val="24"/>
                <w:lang w:val="en-GB"/>
              </w:rPr>
              <w:t>38 (15,7 %)</w:t>
            </w:r>
          </w:p>
        </w:tc>
        <w:tc>
          <w:tcPr>
            <w:tcW w:w="1156" w:type="pct"/>
            <w:tcBorders>
              <w:top w:val="single" w:sz="4" w:space="0" w:color="000000"/>
              <w:left w:val="single" w:sz="4" w:space="0" w:color="000000"/>
              <w:bottom w:val="single" w:sz="4" w:space="0" w:color="000000"/>
              <w:right w:val="single" w:sz="4" w:space="0" w:color="000000"/>
            </w:tcBorders>
            <w:hideMark/>
          </w:tcPr>
          <w:p w14:paraId="6D8B5DF6" w14:textId="77777777" w:rsidR="00EF23AD" w:rsidRPr="00AD3AB8" w:rsidRDefault="00EF23AD">
            <w:pPr>
              <w:suppressAutoHyphens/>
              <w:jc w:val="center"/>
              <w:rPr>
                <w:sz w:val="24"/>
                <w:szCs w:val="24"/>
                <w:lang w:val="en-GB"/>
              </w:rPr>
            </w:pPr>
            <w:r w:rsidRPr="00AD3AB8">
              <w:rPr>
                <w:sz w:val="24"/>
                <w:szCs w:val="24"/>
                <w:lang w:val="en-GB"/>
              </w:rPr>
              <w:t>18 (7,4 %)</w:t>
            </w:r>
          </w:p>
        </w:tc>
        <w:tc>
          <w:tcPr>
            <w:tcW w:w="1519" w:type="pct"/>
            <w:tcBorders>
              <w:top w:val="single" w:sz="4" w:space="0" w:color="000000"/>
              <w:left w:val="single" w:sz="4" w:space="0" w:color="000000"/>
              <w:bottom w:val="single" w:sz="4" w:space="0" w:color="000000"/>
              <w:right w:val="single" w:sz="4" w:space="0" w:color="000000"/>
            </w:tcBorders>
            <w:hideMark/>
          </w:tcPr>
          <w:p w14:paraId="16A0994F" w14:textId="77777777" w:rsidR="00EF23AD" w:rsidRPr="00AD3AB8" w:rsidRDefault="00EF23AD">
            <w:pPr>
              <w:suppressAutoHyphens/>
              <w:jc w:val="center"/>
              <w:rPr>
                <w:sz w:val="24"/>
                <w:szCs w:val="24"/>
                <w:lang w:val="en-GB"/>
              </w:rPr>
            </w:pPr>
            <w:r w:rsidRPr="00AD3AB8">
              <w:rPr>
                <w:sz w:val="24"/>
                <w:szCs w:val="24"/>
                <w:lang w:val="en-GB"/>
              </w:rPr>
              <w:t>-</w:t>
            </w:r>
          </w:p>
        </w:tc>
      </w:tr>
      <w:tr w:rsidR="00EF23AD" w:rsidRPr="00AD3AB8" w14:paraId="4EE74AED" w14:textId="77777777" w:rsidTr="00AD3AB8">
        <w:trPr>
          <w:trHeight w:val="506"/>
        </w:trPr>
        <w:tc>
          <w:tcPr>
            <w:tcW w:w="1169" w:type="pct"/>
            <w:vMerge w:val="restart"/>
            <w:tcBorders>
              <w:top w:val="single" w:sz="4" w:space="0" w:color="000000"/>
              <w:left w:val="single" w:sz="4" w:space="0" w:color="000000"/>
              <w:bottom w:val="single" w:sz="4" w:space="0" w:color="000000"/>
              <w:right w:val="single" w:sz="4" w:space="0" w:color="000000"/>
            </w:tcBorders>
            <w:hideMark/>
          </w:tcPr>
          <w:p w14:paraId="1735A89A" w14:textId="77777777" w:rsidR="00EF23AD" w:rsidRPr="00AD3AB8" w:rsidRDefault="00EF23AD">
            <w:pPr>
              <w:suppressAutoHyphens/>
              <w:rPr>
                <w:sz w:val="24"/>
                <w:szCs w:val="24"/>
                <w:lang w:val="en-GB"/>
              </w:rPr>
            </w:pPr>
            <w:proofErr w:type="spellStart"/>
            <w:r w:rsidRPr="00AD3AB8">
              <w:rPr>
                <w:sz w:val="24"/>
                <w:szCs w:val="24"/>
                <w:lang w:val="en-GB"/>
              </w:rPr>
              <w:t>EFS</w:t>
            </w:r>
            <w:r w:rsidRPr="00AD3AB8">
              <w:rPr>
                <w:sz w:val="24"/>
                <w:szCs w:val="24"/>
                <w:vertAlign w:val="superscript"/>
                <w:lang w:val="en-GB"/>
              </w:rPr>
              <w:t>a</w:t>
            </w:r>
            <w:proofErr w:type="spellEnd"/>
          </w:p>
        </w:tc>
        <w:tc>
          <w:tcPr>
            <w:tcW w:w="1156" w:type="pct"/>
            <w:tcBorders>
              <w:top w:val="single" w:sz="4" w:space="0" w:color="000000"/>
              <w:left w:val="single" w:sz="4" w:space="0" w:color="000000"/>
              <w:bottom w:val="single" w:sz="4" w:space="0" w:color="000000"/>
              <w:right w:val="single" w:sz="4" w:space="0" w:color="000000"/>
            </w:tcBorders>
            <w:hideMark/>
          </w:tcPr>
          <w:p w14:paraId="0091EC59" w14:textId="77777777" w:rsidR="00EF23AD" w:rsidRPr="00AD3AB8" w:rsidRDefault="00EF23AD">
            <w:pPr>
              <w:suppressAutoHyphens/>
              <w:jc w:val="center"/>
              <w:rPr>
                <w:sz w:val="24"/>
                <w:szCs w:val="24"/>
                <w:lang w:val="en-GB"/>
              </w:rPr>
            </w:pPr>
            <w:r w:rsidRPr="00AD3AB8">
              <w:rPr>
                <w:sz w:val="24"/>
                <w:szCs w:val="24"/>
                <w:lang w:val="en-GB"/>
              </w:rPr>
              <w:t>3,5</w:t>
            </w:r>
          </w:p>
          <w:p w14:paraId="7924C1FC" w14:textId="77777777" w:rsidR="00EF23AD" w:rsidRPr="00AD3AB8" w:rsidRDefault="00EF23AD">
            <w:pPr>
              <w:suppressAutoHyphens/>
              <w:jc w:val="center"/>
              <w:rPr>
                <w:sz w:val="24"/>
                <w:szCs w:val="24"/>
                <w:lang w:val="en-GB"/>
              </w:rPr>
            </w:pPr>
            <w:r w:rsidRPr="00AD3AB8">
              <w:rPr>
                <w:sz w:val="24"/>
                <w:szCs w:val="24"/>
                <w:lang w:val="en-GB"/>
              </w:rPr>
              <w:t>(2,5, 4,</w:t>
            </w:r>
            <w:proofErr w:type="gramStart"/>
            <w:r w:rsidRPr="00AD3AB8">
              <w:rPr>
                <w:sz w:val="24"/>
                <w:szCs w:val="24"/>
                <w:lang w:val="en-GB"/>
              </w:rPr>
              <w:t>1)</w:t>
            </w:r>
            <w:r w:rsidRPr="00AD3AB8">
              <w:rPr>
                <w:sz w:val="24"/>
                <w:szCs w:val="24"/>
                <w:vertAlign w:val="superscript"/>
                <w:lang w:val="en-GB"/>
              </w:rPr>
              <w:t>b</w:t>
            </w:r>
            <w:proofErr w:type="gramEnd"/>
          </w:p>
        </w:tc>
        <w:tc>
          <w:tcPr>
            <w:tcW w:w="1156" w:type="pct"/>
            <w:tcBorders>
              <w:top w:val="single" w:sz="4" w:space="0" w:color="000000"/>
              <w:left w:val="single" w:sz="4" w:space="0" w:color="000000"/>
              <w:bottom w:val="single" w:sz="4" w:space="0" w:color="000000"/>
              <w:right w:val="single" w:sz="4" w:space="0" w:color="000000"/>
            </w:tcBorders>
            <w:hideMark/>
          </w:tcPr>
          <w:p w14:paraId="1232CE79" w14:textId="77777777" w:rsidR="00EF23AD" w:rsidRPr="00AD3AB8" w:rsidRDefault="00EF23AD">
            <w:pPr>
              <w:suppressAutoHyphens/>
              <w:jc w:val="center"/>
              <w:rPr>
                <w:sz w:val="24"/>
                <w:szCs w:val="24"/>
                <w:lang w:val="en-GB"/>
              </w:rPr>
            </w:pPr>
            <w:r w:rsidRPr="00AD3AB8">
              <w:rPr>
                <w:sz w:val="24"/>
                <w:szCs w:val="24"/>
                <w:lang w:val="en-GB"/>
              </w:rPr>
              <w:t>2,1</w:t>
            </w:r>
          </w:p>
          <w:p w14:paraId="4227A297" w14:textId="77777777" w:rsidR="00EF23AD" w:rsidRPr="00AD3AB8" w:rsidRDefault="00EF23AD">
            <w:pPr>
              <w:suppressAutoHyphens/>
              <w:jc w:val="center"/>
              <w:rPr>
                <w:sz w:val="24"/>
                <w:szCs w:val="24"/>
                <w:lang w:val="en-GB"/>
              </w:rPr>
            </w:pPr>
            <w:r w:rsidRPr="00AD3AB8">
              <w:rPr>
                <w:sz w:val="24"/>
                <w:szCs w:val="24"/>
                <w:lang w:val="en-GB"/>
              </w:rPr>
              <w:t>(1,9, 2,</w:t>
            </w:r>
            <w:proofErr w:type="gramStart"/>
            <w:r w:rsidRPr="00AD3AB8">
              <w:rPr>
                <w:sz w:val="24"/>
                <w:szCs w:val="24"/>
                <w:lang w:val="en-GB"/>
              </w:rPr>
              <w:t>8)</w:t>
            </w:r>
            <w:r w:rsidRPr="00AD3AB8">
              <w:rPr>
                <w:sz w:val="24"/>
                <w:szCs w:val="24"/>
                <w:vertAlign w:val="superscript"/>
                <w:lang w:val="en-GB"/>
              </w:rPr>
              <w:t>b</w:t>
            </w:r>
            <w:proofErr w:type="gramEnd"/>
          </w:p>
        </w:tc>
        <w:tc>
          <w:tcPr>
            <w:tcW w:w="1519" w:type="pct"/>
            <w:vMerge w:val="restart"/>
            <w:tcBorders>
              <w:top w:val="single" w:sz="4" w:space="0" w:color="000000"/>
              <w:left w:val="single" w:sz="4" w:space="0" w:color="000000"/>
              <w:bottom w:val="single" w:sz="4" w:space="0" w:color="000000"/>
              <w:right w:val="single" w:sz="4" w:space="0" w:color="000000"/>
            </w:tcBorders>
            <w:hideMark/>
          </w:tcPr>
          <w:p w14:paraId="05956243" w14:textId="77777777" w:rsidR="00EF23AD" w:rsidRPr="00AD3AB8" w:rsidRDefault="00EF23AD">
            <w:pPr>
              <w:suppressAutoHyphens/>
              <w:jc w:val="center"/>
              <w:rPr>
                <w:sz w:val="24"/>
                <w:szCs w:val="24"/>
                <w:lang w:val="en-GB"/>
              </w:rPr>
            </w:pPr>
            <w:r w:rsidRPr="00AD3AB8">
              <w:rPr>
                <w:sz w:val="24"/>
                <w:szCs w:val="24"/>
                <w:lang w:val="en-GB"/>
              </w:rPr>
              <w:t>0,0025</w:t>
            </w:r>
          </w:p>
        </w:tc>
      </w:tr>
      <w:tr w:rsidR="00EF23AD" w:rsidRPr="00AD3AB8" w14:paraId="6A5EC995" w14:textId="77777777" w:rsidTr="00AD3AB8">
        <w:trPr>
          <w:trHeight w:val="506"/>
        </w:trPr>
        <w:tc>
          <w:tcPr>
            <w:tcW w:w="1169" w:type="pct"/>
            <w:vMerge/>
            <w:tcBorders>
              <w:top w:val="single" w:sz="4" w:space="0" w:color="000000"/>
              <w:left w:val="single" w:sz="4" w:space="0" w:color="000000"/>
              <w:bottom w:val="single" w:sz="4" w:space="0" w:color="000000"/>
              <w:right w:val="single" w:sz="4" w:space="0" w:color="000000"/>
            </w:tcBorders>
            <w:vAlign w:val="center"/>
            <w:hideMark/>
          </w:tcPr>
          <w:p w14:paraId="1A3254D8" w14:textId="77777777" w:rsidR="00EF23AD" w:rsidRPr="00AD3AB8" w:rsidRDefault="00EF23AD">
            <w:pPr>
              <w:rPr>
                <w:sz w:val="24"/>
                <w:szCs w:val="24"/>
                <w:lang w:val="en-GB"/>
              </w:rPr>
            </w:pPr>
          </w:p>
        </w:tc>
        <w:tc>
          <w:tcPr>
            <w:tcW w:w="2312" w:type="pct"/>
            <w:gridSpan w:val="2"/>
            <w:tcBorders>
              <w:top w:val="single" w:sz="4" w:space="0" w:color="000000"/>
              <w:left w:val="single" w:sz="4" w:space="0" w:color="000000"/>
              <w:bottom w:val="single" w:sz="4" w:space="0" w:color="000000"/>
              <w:right w:val="single" w:sz="4" w:space="0" w:color="000000"/>
            </w:tcBorders>
            <w:hideMark/>
          </w:tcPr>
          <w:p w14:paraId="17EDA7C8" w14:textId="77777777" w:rsidR="00EF23AD" w:rsidRPr="00AD3AB8" w:rsidRDefault="00EF23AD">
            <w:pPr>
              <w:suppressAutoHyphens/>
              <w:jc w:val="center"/>
              <w:rPr>
                <w:sz w:val="24"/>
                <w:szCs w:val="24"/>
                <w:lang w:val="en-GB"/>
              </w:rPr>
            </w:pPr>
            <w:r w:rsidRPr="00AD3AB8">
              <w:rPr>
                <w:sz w:val="24"/>
                <w:szCs w:val="24"/>
                <w:lang w:val="en-GB"/>
              </w:rPr>
              <w:t>HR = 0,75</w:t>
            </w:r>
          </w:p>
          <w:p w14:paraId="134A57CF" w14:textId="77777777" w:rsidR="00EF23AD" w:rsidRPr="00AD3AB8" w:rsidRDefault="00EF23AD">
            <w:pPr>
              <w:suppressAutoHyphens/>
              <w:jc w:val="center"/>
              <w:rPr>
                <w:sz w:val="24"/>
                <w:szCs w:val="24"/>
                <w:lang w:val="en-GB"/>
              </w:rPr>
            </w:pPr>
            <w:r w:rsidRPr="00AD3AB8">
              <w:rPr>
                <w:sz w:val="24"/>
                <w:szCs w:val="24"/>
                <w:lang w:val="en-GB"/>
              </w:rPr>
              <w:t>(0,62, 0,</w:t>
            </w:r>
            <w:proofErr w:type="gramStart"/>
            <w:r w:rsidRPr="00AD3AB8">
              <w:rPr>
                <w:sz w:val="24"/>
                <w:szCs w:val="24"/>
                <w:lang w:val="en-GB"/>
              </w:rPr>
              <w:t>90)</w:t>
            </w:r>
            <w:r w:rsidRPr="00AD3AB8">
              <w:rPr>
                <w:sz w:val="24"/>
                <w:szCs w:val="24"/>
                <w:vertAlign w:val="superscript"/>
                <w:lang w:val="en-GB"/>
              </w:rPr>
              <w:t>b</w:t>
            </w:r>
            <w:proofErr w:type="gramEnd"/>
          </w:p>
        </w:tc>
        <w:tc>
          <w:tcPr>
            <w:tcW w:w="1519" w:type="pct"/>
            <w:vMerge/>
            <w:tcBorders>
              <w:top w:val="single" w:sz="4" w:space="0" w:color="000000"/>
              <w:left w:val="single" w:sz="4" w:space="0" w:color="000000"/>
              <w:bottom w:val="single" w:sz="4" w:space="0" w:color="000000"/>
              <w:right w:val="single" w:sz="4" w:space="0" w:color="000000"/>
            </w:tcBorders>
            <w:vAlign w:val="center"/>
            <w:hideMark/>
          </w:tcPr>
          <w:p w14:paraId="261763DD" w14:textId="77777777" w:rsidR="00EF23AD" w:rsidRPr="00AD3AB8" w:rsidRDefault="00EF23AD">
            <w:pPr>
              <w:rPr>
                <w:sz w:val="24"/>
                <w:szCs w:val="24"/>
                <w:lang w:val="en-GB"/>
              </w:rPr>
            </w:pPr>
          </w:p>
        </w:tc>
      </w:tr>
      <w:tr w:rsidR="00EF23AD" w:rsidRPr="00AD3AB8" w14:paraId="29D7408F" w14:textId="77777777" w:rsidTr="00AD3AB8">
        <w:trPr>
          <w:trHeight w:val="506"/>
        </w:trPr>
        <w:tc>
          <w:tcPr>
            <w:tcW w:w="1169" w:type="pct"/>
            <w:vMerge w:val="restart"/>
            <w:tcBorders>
              <w:top w:val="single" w:sz="4" w:space="0" w:color="000000"/>
              <w:left w:val="single" w:sz="4" w:space="0" w:color="000000"/>
              <w:bottom w:val="single" w:sz="4" w:space="0" w:color="000000"/>
              <w:right w:val="single" w:sz="4" w:space="0" w:color="000000"/>
            </w:tcBorders>
            <w:hideMark/>
          </w:tcPr>
          <w:p w14:paraId="51685117" w14:textId="77777777" w:rsidR="00EF23AD" w:rsidRPr="00AD3AB8" w:rsidRDefault="00EF23AD">
            <w:pPr>
              <w:suppressAutoHyphens/>
              <w:rPr>
                <w:sz w:val="24"/>
                <w:szCs w:val="24"/>
                <w:lang w:val="en-GB"/>
              </w:rPr>
            </w:pPr>
            <w:proofErr w:type="spellStart"/>
            <w:r w:rsidRPr="00AD3AB8">
              <w:rPr>
                <w:sz w:val="24"/>
                <w:szCs w:val="24"/>
                <w:lang w:val="en-GB"/>
              </w:rPr>
              <w:t>PFS</w:t>
            </w:r>
            <w:r w:rsidRPr="00AD3AB8">
              <w:rPr>
                <w:sz w:val="24"/>
                <w:szCs w:val="24"/>
                <w:vertAlign w:val="superscript"/>
                <w:lang w:val="en-GB"/>
              </w:rPr>
              <w:t>a</w:t>
            </w:r>
            <w:proofErr w:type="spellEnd"/>
          </w:p>
        </w:tc>
        <w:tc>
          <w:tcPr>
            <w:tcW w:w="1156" w:type="pct"/>
            <w:tcBorders>
              <w:top w:val="single" w:sz="4" w:space="0" w:color="000000"/>
              <w:left w:val="single" w:sz="4" w:space="0" w:color="000000"/>
              <w:bottom w:val="single" w:sz="4" w:space="0" w:color="000000"/>
              <w:right w:val="single" w:sz="4" w:space="0" w:color="000000"/>
            </w:tcBorders>
            <w:hideMark/>
          </w:tcPr>
          <w:p w14:paraId="29FBB1C7" w14:textId="77777777" w:rsidR="00EF23AD" w:rsidRPr="00AD3AB8" w:rsidRDefault="00EF23AD">
            <w:pPr>
              <w:suppressAutoHyphens/>
              <w:jc w:val="center"/>
              <w:rPr>
                <w:sz w:val="24"/>
                <w:szCs w:val="24"/>
                <w:lang w:val="en-GB"/>
              </w:rPr>
            </w:pPr>
            <w:r w:rsidRPr="00AD3AB8">
              <w:rPr>
                <w:sz w:val="24"/>
                <w:szCs w:val="24"/>
                <w:lang w:val="en-GB"/>
              </w:rPr>
              <w:t>3,7</w:t>
            </w:r>
          </w:p>
          <w:p w14:paraId="37DFF1A4" w14:textId="77777777" w:rsidR="00EF23AD" w:rsidRPr="00AD3AB8" w:rsidRDefault="00EF23AD">
            <w:pPr>
              <w:suppressAutoHyphens/>
              <w:jc w:val="center"/>
              <w:rPr>
                <w:sz w:val="24"/>
                <w:szCs w:val="24"/>
                <w:lang w:val="en-GB"/>
              </w:rPr>
            </w:pPr>
            <w:r w:rsidRPr="00AD3AB8">
              <w:rPr>
                <w:sz w:val="24"/>
                <w:szCs w:val="24"/>
                <w:lang w:val="en-GB"/>
              </w:rPr>
              <w:t>(2,7, 4,</w:t>
            </w:r>
            <w:proofErr w:type="gramStart"/>
            <w:r w:rsidRPr="00AD3AB8">
              <w:rPr>
                <w:sz w:val="24"/>
                <w:szCs w:val="24"/>
                <w:lang w:val="en-GB"/>
              </w:rPr>
              <w:t>6)</w:t>
            </w:r>
            <w:r w:rsidRPr="00AD3AB8">
              <w:rPr>
                <w:sz w:val="24"/>
                <w:szCs w:val="24"/>
                <w:vertAlign w:val="superscript"/>
                <w:lang w:val="en-GB"/>
              </w:rPr>
              <w:t>b</w:t>
            </w:r>
            <w:proofErr w:type="gramEnd"/>
          </w:p>
        </w:tc>
        <w:tc>
          <w:tcPr>
            <w:tcW w:w="1156" w:type="pct"/>
            <w:tcBorders>
              <w:top w:val="single" w:sz="4" w:space="0" w:color="000000"/>
              <w:left w:val="single" w:sz="4" w:space="0" w:color="000000"/>
              <w:bottom w:val="single" w:sz="4" w:space="0" w:color="000000"/>
              <w:right w:val="single" w:sz="4" w:space="0" w:color="000000"/>
            </w:tcBorders>
            <w:hideMark/>
          </w:tcPr>
          <w:p w14:paraId="2545EBF5" w14:textId="77777777" w:rsidR="00EF23AD" w:rsidRPr="00AD3AB8" w:rsidRDefault="00EF23AD">
            <w:pPr>
              <w:suppressAutoHyphens/>
              <w:jc w:val="center"/>
              <w:rPr>
                <w:sz w:val="24"/>
                <w:szCs w:val="24"/>
                <w:lang w:val="en-GB"/>
              </w:rPr>
            </w:pPr>
            <w:r w:rsidRPr="00AD3AB8">
              <w:rPr>
                <w:sz w:val="24"/>
                <w:szCs w:val="24"/>
                <w:lang w:val="en-GB"/>
              </w:rPr>
              <w:t>2,1</w:t>
            </w:r>
          </w:p>
          <w:p w14:paraId="0679E582" w14:textId="77777777" w:rsidR="00EF23AD" w:rsidRPr="00AD3AB8" w:rsidRDefault="00EF23AD">
            <w:pPr>
              <w:suppressAutoHyphens/>
              <w:jc w:val="center"/>
              <w:rPr>
                <w:sz w:val="24"/>
                <w:szCs w:val="24"/>
                <w:lang w:val="en-GB"/>
              </w:rPr>
            </w:pPr>
            <w:r w:rsidRPr="00AD3AB8">
              <w:rPr>
                <w:sz w:val="24"/>
                <w:szCs w:val="24"/>
                <w:lang w:val="en-GB"/>
              </w:rPr>
              <w:t>(1,9, 3,</w:t>
            </w:r>
            <w:proofErr w:type="gramStart"/>
            <w:r w:rsidRPr="00AD3AB8">
              <w:rPr>
                <w:sz w:val="24"/>
                <w:szCs w:val="24"/>
                <w:lang w:val="en-GB"/>
              </w:rPr>
              <w:t>1)</w:t>
            </w:r>
            <w:r w:rsidRPr="00AD3AB8">
              <w:rPr>
                <w:sz w:val="24"/>
                <w:szCs w:val="24"/>
                <w:vertAlign w:val="superscript"/>
                <w:lang w:val="en-GB"/>
              </w:rPr>
              <w:t>b</w:t>
            </w:r>
            <w:proofErr w:type="gramEnd"/>
          </w:p>
        </w:tc>
        <w:tc>
          <w:tcPr>
            <w:tcW w:w="1519" w:type="pct"/>
            <w:vMerge w:val="restart"/>
            <w:tcBorders>
              <w:top w:val="single" w:sz="4" w:space="0" w:color="000000"/>
              <w:left w:val="single" w:sz="4" w:space="0" w:color="000000"/>
              <w:bottom w:val="single" w:sz="4" w:space="0" w:color="000000"/>
              <w:right w:val="single" w:sz="4" w:space="0" w:color="000000"/>
            </w:tcBorders>
            <w:hideMark/>
          </w:tcPr>
          <w:p w14:paraId="0D6654FE" w14:textId="77777777" w:rsidR="00EF23AD" w:rsidRPr="00AD3AB8" w:rsidRDefault="00EF23AD">
            <w:pPr>
              <w:suppressAutoHyphens/>
              <w:jc w:val="center"/>
              <w:rPr>
                <w:sz w:val="24"/>
                <w:szCs w:val="24"/>
                <w:lang w:val="en-GB"/>
              </w:rPr>
            </w:pPr>
            <w:r w:rsidRPr="00AD3AB8">
              <w:rPr>
                <w:sz w:val="24"/>
                <w:szCs w:val="24"/>
                <w:lang w:val="en-GB"/>
              </w:rPr>
              <w:t>0,0031</w:t>
            </w:r>
          </w:p>
        </w:tc>
      </w:tr>
      <w:tr w:rsidR="00EF23AD" w:rsidRPr="00AD3AB8" w14:paraId="10814ABD" w14:textId="77777777" w:rsidTr="00AD3AB8">
        <w:trPr>
          <w:trHeight w:val="505"/>
        </w:trPr>
        <w:tc>
          <w:tcPr>
            <w:tcW w:w="1169" w:type="pct"/>
            <w:vMerge/>
            <w:tcBorders>
              <w:top w:val="single" w:sz="4" w:space="0" w:color="000000"/>
              <w:left w:val="single" w:sz="4" w:space="0" w:color="000000"/>
              <w:bottom w:val="single" w:sz="4" w:space="0" w:color="000000"/>
              <w:right w:val="single" w:sz="4" w:space="0" w:color="000000"/>
            </w:tcBorders>
            <w:vAlign w:val="center"/>
            <w:hideMark/>
          </w:tcPr>
          <w:p w14:paraId="41D46ED6" w14:textId="77777777" w:rsidR="00EF23AD" w:rsidRPr="00AD3AB8" w:rsidRDefault="00EF23AD">
            <w:pPr>
              <w:rPr>
                <w:sz w:val="24"/>
                <w:szCs w:val="24"/>
                <w:lang w:val="en-GB"/>
              </w:rPr>
            </w:pPr>
          </w:p>
        </w:tc>
        <w:tc>
          <w:tcPr>
            <w:tcW w:w="2312" w:type="pct"/>
            <w:gridSpan w:val="2"/>
            <w:tcBorders>
              <w:top w:val="single" w:sz="4" w:space="0" w:color="000000"/>
              <w:left w:val="single" w:sz="4" w:space="0" w:color="000000"/>
              <w:bottom w:val="single" w:sz="4" w:space="0" w:color="000000"/>
              <w:right w:val="single" w:sz="4" w:space="0" w:color="000000"/>
            </w:tcBorders>
            <w:hideMark/>
          </w:tcPr>
          <w:p w14:paraId="0DACED20" w14:textId="77777777" w:rsidR="00EF23AD" w:rsidRPr="00AD3AB8" w:rsidRDefault="00EF23AD">
            <w:pPr>
              <w:suppressAutoHyphens/>
              <w:jc w:val="center"/>
              <w:rPr>
                <w:sz w:val="24"/>
                <w:szCs w:val="24"/>
                <w:lang w:val="en-GB"/>
              </w:rPr>
            </w:pPr>
            <w:r w:rsidRPr="00AD3AB8">
              <w:rPr>
                <w:sz w:val="24"/>
                <w:szCs w:val="24"/>
                <w:lang w:val="en-GB"/>
              </w:rPr>
              <w:t>HR = 0,75</w:t>
            </w:r>
          </w:p>
          <w:p w14:paraId="3E118EE3" w14:textId="77777777" w:rsidR="00EF23AD" w:rsidRPr="00AD3AB8" w:rsidRDefault="00EF23AD">
            <w:pPr>
              <w:suppressAutoHyphens/>
              <w:jc w:val="center"/>
              <w:rPr>
                <w:sz w:val="24"/>
                <w:szCs w:val="24"/>
                <w:lang w:val="en-GB"/>
              </w:rPr>
            </w:pPr>
            <w:r w:rsidRPr="00AD3AB8">
              <w:rPr>
                <w:sz w:val="24"/>
                <w:szCs w:val="24"/>
                <w:lang w:val="en-GB"/>
              </w:rPr>
              <w:t>(0,62, 0,</w:t>
            </w:r>
            <w:proofErr w:type="gramStart"/>
            <w:r w:rsidRPr="00AD3AB8">
              <w:rPr>
                <w:sz w:val="24"/>
                <w:szCs w:val="24"/>
                <w:lang w:val="en-GB"/>
              </w:rPr>
              <w:t>91)</w:t>
            </w:r>
            <w:r w:rsidRPr="00AD3AB8">
              <w:rPr>
                <w:sz w:val="24"/>
                <w:szCs w:val="24"/>
                <w:vertAlign w:val="superscript"/>
                <w:lang w:val="en-GB"/>
              </w:rPr>
              <w:t>b</w:t>
            </w:r>
            <w:proofErr w:type="gramEnd"/>
          </w:p>
        </w:tc>
        <w:tc>
          <w:tcPr>
            <w:tcW w:w="1519" w:type="pct"/>
            <w:vMerge/>
            <w:tcBorders>
              <w:top w:val="single" w:sz="4" w:space="0" w:color="000000"/>
              <w:left w:val="single" w:sz="4" w:space="0" w:color="000000"/>
              <w:bottom w:val="single" w:sz="4" w:space="0" w:color="000000"/>
              <w:right w:val="single" w:sz="4" w:space="0" w:color="000000"/>
            </w:tcBorders>
            <w:vAlign w:val="center"/>
            <w:hideMark/>
          </w:tcPr>
          <w:p w14:paraId="42A35F06" w14:textId="77777777" w:rsidR="00EF23AD" w:rsidRPr="00AD3AB8" w:rsidRDefault="00EF23AD">
            <w:pPr>
              <w:rPr>
                <w:sz w:val="24"/>
                <w:szCs w:val="24"/>
                <w:lang w:val="en-GB"/>
              </w:rPr>
            </w:pPr>
          </w:p>
        </w:tc>
      </w:tr>
    </w:tbl>
    <w:p w14:paraId="4B1CFB2B" w14:textId="77777777" w:rsidR="00EF23AD" w:rsidRPr="0020440A" w:rsidRDefault="00EF23AD" w:rsidP="00EF23AD">
      <w:pPr>
        <w:rPr>
          <w:sz w:val="20"/>
        </w:rPr>
      </w:pPr>
      <w:r w:rsidRPr="0020440A">
        <w:rPr>
          <w:sz w:val="20"/>
        </w:rPr>
        <w:t xml:space="preserve">CR = komplet remission; </w:t>
      </w:r>
      <w:proofErr w:type="spellStart"/>
      <w:r w:rsidRPr="0020440A">
        <w:rPr>
          <w:sz w:val="20"/>
        </w:rPr>
        <w:t>CRp</w:t>
      </w:r>
      <w:proofErr w:type="spellEnd"/>
      <w:r w:rsidRPr="0020440A">
        <w:rPr>
          <w:sz w:val="20"/>
        </w:rPr>
        <w:t xml:space="preserve"> = komplet remission med </w:t>
      </w:r>
      <w:proofErr w:type="spellStart"/>
      <w:r w:rsidRPr="0020440A">
        <w:rPr>
          <w:sz w:val="20"/>
        </w:rPr>
        <w:t>inkomplet</w:t>
      </w:r>
      <w:proofErr w:type="spellEnd"/>
      <w:r w:rsidRPr="0020440A">
        <w:rPr>
          <w:sz w:val="20"/>
        </w:rPr>
        <w:t xml:space="preserve"> normalisering af </w:t>
      </w:r>
      <w:proofErr w:type="spellStart"/>
      <w:r w:rsidRPr="0020440A">
        <w:rPr>
          <w:sz w:val="20"/>
        </w:rPr>
        <w:t>trombocyttal</w:t>
      </w:r>
      <w:proofErr w:type="spellEnd"/>
      <w:r w:rsidRPr="0020440A">
        <w:rPr>
          <w:sz w:val="20"/>
        </w:rPr>
        <w:t xml:space="preserve">, EFS = overlevelse uden hændelser, PFS = progressionsfri overlevelse, OR = odds ratio, HR = </w:t>
      </w:r>
      <w:proofErr w:type="spellStart"/>
      <w:r w:rsidRPr="0020440A">
        <w:rPr>
          <w:sz w:val="20"/>
        </w:rPr>
        <w:t>hazard</w:t>
      </w:r>
      <w:proofErr w:type="spellEnd"/>
      <w:r w:rsidRPr="0020440A">
        <w:rPr>
          <w:sz w:val="20"/>
        </w:rPr>
        <w:t xml:space="preserve"> ratio</w:t>
      </w:r>
    </w:p>
    <w:p w14:paraId="31DC778A" w14:textId="77777777" w:rsidR="00EF23AD" w:rsidRPr="0020440A" w:rsidRDefault="00EF23AD" w:rsidP="00EF23AD">
      <w:pPr>
        <w:rPr>
          <w:sz w:val="20"/>
        </w:rPr>
      </w:pPr>
      <w:r w:rsidRPr="0020440A">
        <w:rPr>
          <w:sz w:val="20"/>
        </w:rPr>
        <w:t xml:space="preserve">- = Ikke </w:t>
      </w:r>
      <w:proofErr w:type="spellStart"/>
      <w:r w:rsidRPr="0020440A">
        <w:rPr>
          <w:sz w:val="20"/>
        </w:rPr>
        <w:t>evaluerbar</w:t>
      </w:r>
      <w:proofErr w:type="spellEnd"/>
    </w:p>
    <w:p w14:paraId="71E2B794" w14:textId="77777777" w:rsidR="00EF23AD" w:rsidRPr="0020440A" w:rsidRDefault="00EF23AD" w:rsidP="00AD3AB8">
      <w:pPr>
        <w:ind w:left="426" w:hanging="426"/>
        <w:rPr>
          <w:sz w:val="20"/>
        </w:rPr>
      </w:pPr>
      <w:r w:rsidRPr="0020440A">
        <w:rPr>
          <w:sz w:val="20"/>
          <w:vertAlign w:val="superscript"/>
        </w:rPr>
        <w:t>a</w:t>
      </w:r>
      <w:r w:rsidRPr="0020440A">
        <w:rPr>
          <w:sz w:val="20"/>
        </w:rPr>
        <w:tab/>
        <w:t>Rapporteret som median måneder</w:t>
      </w:r>
    </w:p>
    <w:p w14:paraId="21A9AFCA" w14:textId="77777777" w:rsidR="00EF23AD" w:rsidRPr="0020440A" w:rsidRDefault="00EF23AD" w:rsidP="00AD3AB8">
      <w:pPr>
        <w:ind w:left="426" w:hanging="426"/>
        <w:rPr>
          <w:sz w:val="20"/>
        </w:rPr>
      </w:pPr>
      <w:r w:rsidRPr="0020440A">
        <w:rPr>
          <w:sz w:val="20"/>
          <w:vertAlign w:val="superscript"/>
        </w:rPr>
        <w:t>b</w:t>
      </w:r>
      <w:r w:rsidRPr="0020440A">
        <w:rPr>
          <w:sz w:val="20"/>
        </w:rPr>
        <w:tab/>
        <w:t>95 % konfidensintervaller</w:t>
      </w:r>
    </w:p>
    <w:p w14:paraId="05C99827" w14:textId="77777777" w:rsidR="00EF23AD" w:rsidRPr="00AD3AB8" w:rsidRDefault="00EF23AD" w:rsidP="00EF23AD">
      <w:pPr>
        <w:rPr>
          <w:sz w:val="24"/>
          <w:szCs w:val="24"/>
        </w:rPr>
      </w:pPr>
    </w:p>
    <w:p w14:paraId="21DEB363" w14:textId="77777777" w:rsidR="00EF23AD" w:rsidRPr="00AD3AB8" w:rsidRDefault="00EF23AD" w:rsidP="00AD3AB8">
      <w:pPr>
        <w:ind w:left="851"/>
        <w:rPr>
          <w:sz w:val="24"/>
          <w:szCs w:val="24"/>
        </w:rPr>
      </w:pPr>
      <w:r w:rsidRPr="00AD3AB8">
        <w:rPr>
          <w:sz w:val="24"/>
          <w:szCs w:val="24"/>
        </w:rPr>
        <w:t xml:space="preserve">Samlet overlevelse og komplet remission i præspecificerede sygdomsrelaterede undergrupper (dvs. cytogenetisk risiko, ECOG-score [Eastern </w:t>
      </w:r>
      <w:proofErr w:type="spellStart"/>
      <w:r w:rsidRPr="00AD3AB8">
        <w:rPr>
          <w:sz w:val="24"/>
          <w:szCs w:val="24"/>
        </w:rPr>
        <w:t>Cooperative</w:t>
      </w:r>
      <w:proofErr w:type="spellEnd"/>
      <w:r w:rsidRPr="00AD3AB8">
        <w:rPr>
          <w:sz w:val="24"/>
          <w:szCs w:val="24"/>
        </w:rPr>
        <w:t xml:space="preserve"> </w:t>
      </w:r>
      <w:proofErr w:type="spellStart"/>
      <w:r w:rsidRPr="00AD3AB8">
        <w:rPr>
          <w:sz w:val="24"/>
          <w:szCs w:val="24"/>
        </w:rPr>
        <w:t>Oncology</w:t>
      </w:r>
      <w:proofErr w:type="spellEnd"/>
      <w:r w:rsidRPr="00AD3AB8">
        <w:rPr>
          <w:sz w:val="24"/>
          <w:szCs w:val="24"/>
        </w:rPr>
        <w:t xml:space="preserve"> Group], alder, AML-type og baselineværdier for </w:t>
      </w:r>
      <w:proofErr w:type="spellStart"/>
      <w:r w:rsidRPr="00AD3AB8">
        <w:rPr>
          <w:sz w:val="24"/>
          <w:szCs w:val="24"/>
        </w:rPr>
        <w:t>blaster</w:t>
      </w:r>
      <w:proofErr w:type="spellEnd"/>
      <w:r w:rsidRPr="00AD3AB8">
        <w:rPr>
          <w:sz w:val="24"/>
          <w:szCs w:val="24"/>
        </w:rPr>
        <w:t xml:space="preserve"> i knoglemarv) stemte overens med resultaterne i den samlede studiepopulation.</w:t>
      </w:r>
    </w:p>
    <w:p w14:paraId="77949EAD" w14:textId="77777777" w:rsidR="00EF23AD" w:rsidRPr="00AD3AB8" w:rsidRDefault="00EF23AD" w:rsidP="00AD3AB8">
      <w:pPr>
        <w:ind w:left="851"/>
        <w:rPr>
          <w:sz w:val="24"/>
          <w:szCs w:val="24"/>
        </w:rPr>
      </w:pPr>
    </w:p>
    <w:p w14:paraId="1B983827" w14:textId="77777777" w:rsidR="00EF23AD" w:rsidRPr="00AD3AB8" w:rsidRDefault="00EF23AD" w:rsidP="00AD3AB8">
      <w:pPr>
        <w:ind w:left="851"/>
        <w:rPr>
          <w:sz w:val="24"/>
          <w:szCs w:val="24"/>
        </w:rPr>
      </w:pPr>
      <w:r w:rsidRPr="00AD3AB8">
        <w:rPr>
          <w:sz w:val="24"/>
          <w:szCs w:val="24"/>
        </w:rPr>
        <w:t xml:space="preserve">Anvendelse af </w:t>
      </w:r>
      <w:proofErr w:type="spellStart"/>
      <w:r w:rsidRPr="00AD3AB8">
        <w:rPr>
          <w:sz w:val="24"/>
          <w:szCs w:val="24"/>
        </w:rPr>
        <w:t>decitabin</w:t>
      </w:r>
      <w:proofErr w:type="spellEnd"/>
      <w:r w:rsidRPr="00AD3AB8">
        <w:rPr>
          <w:sz w:val="24"/>
          <w:szCs w:val="24"/>
        </w:rPr>
        <w:t xml:space="preserve"> til initial behandling blev også evalueret i et åbent fase 2-studie med en enkelt gruppe (DACO-017) hos 55 forsøgspersoner &gt; 60 år med AML i henhold til WHO-klassifikationen.</w:t>
      </w:r>
    </w:p>
    <w:p w14:paraId="39AEF9D3" w14:textId="77777777" w:rsidR="00EF23AD" w:rsidRPr="00AD3AB8" w:rsidRDefault="00EF23AD" w:rsidP="00AD3AB8">
      <w:pPr>
        <w:ind w:left="851"/>
        <w:rPr>
          <w:sz w:val="24"/>
          <w:szCs w:val="24"/>
        </w:rPr>
      </w:pPr>
      <w:r w:rsidRPr="00AD3AB8">
        <w:rPr>
          <w:sz w:val="24"/>
          <w:szCs w:val="24"/>
        </w:rPr>
        <w:t xml:space="preserve">Det primære endepunkt var komplet remission (CR), og det blev vurderet af uafhængige eksperter. Studiets sekundære endepunkt var samlet overlevelse. </w:t>
      </w:r>
      <w:proofErr w:type="spellStart"/>
      <w:r w:rsidRPr="00AD3AB8">
        <w:rPr>
          <w:sz w:val="24"/>
          <w:szCs w:val="24"/>
        </w:rPr>
        <w:t>Decitabin</w:t>
      </w:r>
      <w:proofErr w:type="spellEnd"/>
      <w:r w:rsidRPr="00AD3AB8">
        <w:rPr>
          <w:sz w:val="24"/>
          <w:szCs w:val="24"/>
        </w:rPr>
        <w:t xml:space="preserve"> blev administreret over 1 time som intravenøs infusion af 20 mg/m</w:t>
      </w:r>
      <w:r w:rsidRPr="00AD3AB8">
        <w:rPr>
          <w:sz w:val="24"/>
          <w:szCs w:val="24"/>
          <w:vertAlign w:val="superscript"/>
        </w:rPr>
        <w:t>2</w:t>
      </w:r>
      <w:r w:rsidRPr="00AD3AB8">
        <w:rPr>
          <w:sz w:val="24"/>
          <w:szCs w:val="24"/>
        </w:rPr>
        <w:t xml:space="preserve"> en gang dagligt 5 dage i træk hver 4. uge. I ITT-analysen var forekomsten af komplet remission på 23,6 % (95 % CI: 13,2, 37) hos 13/55 forsøgspersoner, der fik </w:t>
      </w:r>
      <w:proofErr w:type="spellStart"/>
      <w:r w:rsidRPr="00AD3AB8">
        <w:rPr>
          <w:sz w:val="24"/>
          <w:szCs w:val="24"/>
        </w:rPr>
        <w:t>decitabin</w:t>
      </w:r>
      <w:proofErr w:type="spellEnd"/>
      <w:r w:rsidRPr="00AD3AB8">
        <w:rPr>
          <w:sz w:val="24"/>
          <w:szCs w:val="24"/>
        </w:rPr>
        <w:t>. Median tid til CR var 4,1 måneder, og median varighed af CR var 18,2 måneder. Median samlet overlevelse i ITT-populationen var 7,6 måneder (95 % CI: 5,7, 11,5).</w:t>
      </w:r>
    </w:p>
    <w:p w14:paraId="08B2DC56" w14:textId="77777777" w:rsidR="00EF23AD" w:rsidRPr="00AD3AB8" w:rsidRDefault="00EF23AD" w:rsidP="00AD3AB8">
      <w:pPr>
        <w:ind w:left="851"/>
        <w:rPr>
          <w:sz w:val="24"/>
          <w:szCs w:val="24"/>
        </w:rPr>
      </w:pPr>
    </w:p>
    <w:p w14:paraId="50BB8A0F" w14:textId="77777777" w:rsidR="00EF23AD" w:rsidRPr="00AD3AB8" w:rsidRDefault="00EF23AD" w:rsidP="00AD3AB8">
      <w:pPr>
        <w:ind w:left="851"/>
        <w:rPr>
          <w:sz w:val="24"/>
          <w:szCs w:val="24"/>
        </w:rPr>
      </w:pPr>
      <w:proofErr w:type="spellStart"/>
      <w:r w:rsidRPr="00AD3AB8">
        <w:rPr>
          <w:sz w:val="24"/>
          <w:szCs w:val="24"/>
        </w:rPr>
        <w:t>Decitabins</w:t>
      </w:r>
      <w:proofErr w:type="spellEnd"/>
      <w:r w:rsidRPr="00AD3AB8">
        <w:rPr>
          <w:sz w:val="24"/>
          <w:szCs w:val="24"/>
        </w:rPr>
        <w:t xml:space="preserve"> sikkerhed og virkning er ikke blevet evalueret hos patienter med akut </w:t>
      </w:r>
      <w:proofErr w:type="spellStart"/>
      <w:r w:rsidRPr="00AD3AB8">
        <w:rPr>
          <w:sz w:val="24"/>
          <w:szCs w:val="24"/>
        </w:rPr>
        <w:t>promyelocytisk</w:t>
      </w:r>
      <w:proofErr w:type="spellEnd"/>
      <w:r w:rsidRPr="00AD3AB8">
        <w:rPr>
          <w:sz w:val="24"/>
          <w:szCs w:val="24"/>
        </w:rPr>
        <w:t xml:space="preserve"> leukæmi eller CNS-leukæmi.</w:t>
      </w:r>
    </w:p>
    <w:p w14:paraId="45AC51D7" w14:textId="77777777" w:rsidR="00EF23AD" w:rsidRPr="00AD3AB8" w:rsidRDefault="00EF23AD" w:rsidP="00AD3AB8">
      <w:pPr>
        <w:ind w:left="851"/>
        <w:rPr>
          <w:sz w:val="24"/>
          <w:szCs w:val="24"/>
          <w:u w:val="single"/>
        </w:rPr>
      </w:pPr>
    </w:p>
    <w:p w14:paraId="7ECC90A0" w14:textId="77777777" w:rsidR="00EF23AD" w:rsidRPr="00AD3AB8" w:rsidRDefault="00EF23AD" w:rsidP="00AD3AB8">
      <w:pPr>
        <w:ind w:left="851"/>
        <w:rPr>
          <w:sz w:val="24"/>
          <w:szCs w:val="24"/>
        </w:rPr>
      </w:pPr>
      <w:r w:rsidRPr="00AD3AB8">
        <w:rPr>
          <w:sz w:val="24"/>
          <w:szCs w:val="24"/>
          <w:u w:val="single"/>
        </w:rPr>
        <w:t>Pædiatrisk population</w:t>
      </w:r>
    </w:p>
    <w:p w14:paraId="08D53D12" w14:textId="0E20727C" w:rsidR="00EF23AD" w:rsidRPr="00AD3AB8" w:rsidRDefault="00EF23AD" w:rsidP="00AD3AB8">
      <w:pPr>
        <w:ind w:left="851"/>
        <w:rPr>
          <w:sz w:val="24"/>
          <w:szCs w:val="24"/>
        </w:rPr>
      </w:pPr>
      <w:r w:rsidRPr="00AD3AB8">
        <w:rPr>
          <w:sz w:val="24"/>
          <w:szCs w:val="24"/>
        </w:rPr>
        <w:t xml:space="preserve">Et fase I/II åbent multicenterstudie evaluerede </w:t>
      </w:r>
      <w:proofErr w:type="spellStart"/>
      <w:r w:rsidRPr="00AD3AB8">
        <w:rPr>
          <w:sz w:val="24"/>
          <w:szCs w:val="24"/>
        </w:rPr>
        <w:t>decitabins</w:t>
      </w:r>
      <w:proofErr w:type="spellEnd"/>
      <w:r w:rsidRPr="00AD3AB8">
        <w:rPr>
          <w:sz w:val="24"/>
          <w:szCs w:val="24"/>
        </w:rPr>
        <w:t xml:space="preserve"> sikkerhed og virkning ved sekventiel administration med </w:t>
      </w:r>
      <w:proofErr w:type="spellStart"/>
      <w:r w:rsidRPr="00AD3AB8">
        <w:rPr>
          <w:sz w:val="24"/>
          <w:szCs w:val="24"/>
        </w:rPr>
        <w:t>cytarabin</w:t>
      </w:r>
      <w:proofErr w:type="spellEnd"/>
      <w:r w:rsidRPr="00AD3AB8">
        <w:rPr>
          <w:sz w:val="24"/>
          <w:szCs w:val="24"/>
        </w:rPr>
        <w:t xml:space="preserve"> hos børn i alderen 1 måned til &lt; 18 år med recidiverende eller refraktær AML. I dette studie blev der sammenlagt inkluderet 17 forsøgspersoner, som fik </w:t>
      </w:r>
      <w:proofErr w:type="spellStart"/>
      <w:r w:rsidRPr="00AD3AB8">
        <w:rPr>
          <w:sz w:val="24"/>
          <w:szCs w:val="24"/>
        </w:rPr>
        <w:t>decitabin</w:t>
      </w:r>
      <w:proofErr w:type="spellEnd"/>
      <w:r w:rsidRPr="00AD3AB8">
        <w:rPr>
          <w:sz w:val="24"/>
          <w:szCs w:val="24"/>
        </w:rPr>
        <w:t xml:space="preserve"> 20 mg/m</w:t>
      </w:r>
      <w:r w:rsidRPr="00AD3AB8">
        <w:rPr>
          <w:sz w:val="24"/>
          <w:szCs w:val="24"/>
          <w:vertAlign w:val="superscript"/>
        </w:rPr>
        <w:t>2</w:t>
      </w:r>
      <w:r w:rsidRPr="00AD3AB8">
        <w:rPr>
          <w:sz w:val="24"/>
          <w:szCs w:val="24"/>
        </w:rPr>
        <w:t xml:space="preserve">, hvoraf 9 forsøgspersoner fik </w:t>
      </w:r>
      <w:proofErr w:type="spellStart"/>
      <w:r w:rsidRPr="00AD3AB8">
        <w:rPr>
          <w:sz w:val="24"/>
          <w:szCs w:val="24"/>
        </w:rPr>
        <w:t>cytarabin</w:t>
      </w:r>
      <w:proofErr w:type="spellEnd"/>
      <w:r w:rsidRPr="00AD3AB8">
        <w:rPr>
          <w:sz w:val="24"/>
          <w:szCs w:val="24"/>
        </w:rPr>
        <w:t xml:space="preserve"> 1 g/m</w:t>
      </w:r>
      <w:r w:rsidRPr="00AD3AB8">
        <w:rPr>
          <w:sz w:val="24"/>
          <w:szCs w:val="24"/>
          <w:vertAlign w:val="superscript"/>
        </w:rPr>
        <w:t>2</w:t>
      </w:r>
      <w:r w:rsidRPr="00AD3AB8">
        <w:rPr>
          <w:sz w:val="24"/>
          <w:szCs w:val="24"/>
        </w:rPr>
        <w:t xml:space="preserve"> og 8 forsøgspersoner fik den maksimalt tolererede dosis på 2 g/m</w:t>
      </w:r>
      <w:r w:rsidRPr="00AD3AB8">
        <w:rPr>
          <w:sz w:val="24"/>
          <w:szCs w:val="24"/>
          <w:vertAlign w:val="superscript"/>
        </w:rPr>
        <w:t>2</w:t>
      </w:r>
      <w:r w:rsidRPr="00AD3AB8">
        <w:rPr>
          <w:sz w:val="24"/>
          <w:szCs w:val="24"/>
        </w:rPr>
        <w:t xml:space="preserve"> </w:t>
      </w:r>
      <w:proofErr w:type="spellStart"/>
      <w:r w:rsidRPr="00AD3AB8">
        <w:rPr>
          <w:sz w:val="24"/>
          <w:szCs w:val="24"/>
        </w:rPr>
        <w:t>cytarabin</w:t>
      </w:r>
      <w:proofErr w:type="spellEnd"/>
      <w:r w:rsidRPr="00AD3AB8">
        <w:rPr>
          <w:sz w:val="24"/>
          <w:szCs w:val="24"/>
        </w:rPr>
        <w:t xml:space="preserve">. Forsøgsbehandlingen blev seponeret hos alle forsøgspersoner. Årsagerne til </w:t>
      </w:r>
      <w:proofErr w:type="spellStart"/>
      <w:r w:rsidRPr="00AD3AB8">
        <w:rPr>
          <w:sz w:val="24"/>
          <w:szCs w:val="24"/>
        </w:rPr>
        <w:t>seponering</w:t>
      </w:r>
      <w:proofErr w:type="spellEnd"/>
      <w:r w:rsidRPr="00AD3AB8">
        <w:rPr>
          <w:sz w:val="24"/>
          <w:szCs w:val="24"/>
        </w:rPr>
        <w:t xml:space="preserve"> af behandlingen omfattede sygdomsprogression (12 [70,6 %] forsøgspersoner), at forsøgspersonerne overgik til transplantation (3 [17,6 %]), </w:t>
      </w:r>
      <w:proofErr w:type="spellStart"/>
      <w:r w:rsidRPr="00AD3AB8">
        <w:rPr>
          <w:sz w:val="24"/>
          <w:szCs w:val="24"/>
        </w:rPr>
        <w:t>investigators</w:t>
      </w:r>
      <w:proofErr w:type="spellEnd"/>
      <w:r w:rsidRPr="00AD3AB8">
        <w:rPr>
          <w:sz w:val="24"/>
          <w:szCs w:val="24"/>
        </w:rPr>
        <w:t xml:space="preserve"> beslutning (1</w:t>
      </w:r>
      <w:r w:rsidR="00E33B9A">
        <w:rPr>
          <w:sz w:val="24"/>
          <w:szCs w:val="24"/>
        </w:rPr>
        <w:t> </w:t>
      </w:r>
      <w:r w:rsidRPr="00AD3AB8">
        <w:rPr>
          <w:sz w:val="24"/>
          <w:szCs w:val="24"/>
        </w:rPr>
        <w:t xml:space="preserve">[5,9 %]) og "andet" (1 [5,9 %]). De rapporterede bivirkninger var i overensstemmelse med </w:t>
      </w:r>
      <w:proofErr w:type="spellStart"/>
      <w:r w:rsidRPr="00AD3AB8">
        <w:rPr>
          <w:sz w:val="24"/>
          <w:szCs w:val="24"/>
        </w:rPr>
        <w:t>decitabins</w:t>
      </w:r>
      <w:proofErr w:type="spellEnd"/>
      <w:r w:rsidRPr="00AD3AB8">
        <w:rPr>
          <w:sz w:val="24"/>
          <w:szCs w:val="24"/>
        </w:rPr>
        <w:t xml:space="preserve"> kendte sikkerhedsprofil hos voksne (se pkt. 4.8). På baggrund af disse negative resultater må </w:t>
      </w:r>
      <w:proofErr w:type="spellStart"/>
      <w:r w:rsidRPr="00AD3AB8">
        <w:rPr>
          <w:sz w:val="24"/>
          <w:szCs w:val="24"/>
        </w:rPr>
        <w:t>decitabin</w:t>
      </w:r>
      <w:proofErr w:type="spellEnd"/>
      <w:r w:rsidRPr="00AD3AB8">
        <w:rPr>
          <w:sz w:val="24"/>
          <w:szCs w:val="24"/>
        </w:rPr>
        <w:t xml:space="preserve"> ikke anvendes til børn med AML i alderen &lt; 18 år, da virkningen ikke er klarlagt (se pkt. 4.2).</w:t>
      </w:r>
    </w:p>
    <w:p w14:paraId="0283784B" w14:textId="77777777" w:rsidR="009260DE" w:rsidRPr="00AD3AB8" w:rsidRDefault="009260DE" w:rsidP="009260DE">
      <w:pPr>
        <w:tabs>
          <w:tab w:val="left" w:pos="851"/>
        </w:tabs>
        <w:ind w:left="851"/>
        <w:rPr>
          <w:sz w:val="24"/>
          <w:szCs w:val="24"/>
        </w:rPr>
      </w:pPr>
    </w:p>
    <w:p w14:paraId="08AA9204" w14:textId="77777777" w:rsidR="009260DE" w:rsidRPr="00AD3AB8" w:rsidRDefault="009260DE" w:rsidP="009260DE">
      <w:pPr>
        <w:tabs>
          <w:tab w:val="left" w:pos="851"/>
        </w:tabs>
        <w:ind w:left="851" w:hanging="851"/>
        <w:rPr>
          <w:b/>
          <w:sz w:val="24"/>
          <w:szCs w:val="24"/>
        </w:rPr>
      </w:pPr>
      <w:r w:rsidRPr="00AD3AB8">
        <w:rPr>
          <w:b/>
          <w:sz w:val="24"/>
          <w:szCs w:val="24"/>
        </w:rPr>
        <w:t>5.2</w:t>
      </w:r>
      <w:r w:rsidRPr="00AD3AB8">
        <w:rPr>
          <w:b/>
          <w:sz w:val="24"/>
          <w:szCs w:val="24"/>
        </w:rPr>
        <w:tab/>
      </w:r>
      <w:proofErr w:type="spellStart"/>
      <w:r w:rsidRPr="00AD3AB8">
        <w:rPr>
          <w:b/>
          <w:sz w:val="24"/>
          <w:szCs w:val="24"/>
        </w:rPr>
        <w:t>Farmakokinetiske</w:t>
      </w:r>
      <w:proofErr w:type="spellEnd"/>
      <w:r w:rsidRPr="00AD3AB8">
        <w:rPr>
          <w:b/>
          <w:sz w:val="24"/>
          <w:szCs w:val="24"/>
        </w:rPr>
        <w:t xml:space="preserve"> egenskaber</w:t>
      </w:r>
    </w:p>
    <w:p w14:paraId="1EA6AD53" w14:textId="77777777" w:rsidR="00EF23AD" w:rsidRPr="00AD3AB8" w:rsidRDefault="00EF23AD" w:rsidP="00AD3AB8">
      <w:pPr>
        <w:ind w:left="851"/>
        <w:rPr>
          <w:sz w:val="24"/>
          <w:szCs w:val="24"/>
        </w:rPr>
      </w:pPr>
      <w:proofErr w:type="spellStart"/>
      <w:r w:rsidRPr="00AD3AB8">
        <w:rPr>
          <w:sz w:val="24"/>
          <w:szCs w:val="24"/>
        </w:rPr>
        <w:t>Decitabins</w:t>
      </w:r>
      <w:proofErr w:type="spellEnd"/>
      <w:r w:rsidRPr="00AD3AB8">
        <w:rPr>
          <w:sz w:val="24"/>
          <w:szCs w:val="24"/>
        </w:rPr>
        <w:t xml:space="preserve"> </w:t>
      </w:r>
      <w:proofErr w:type="spellStart"/>
      <w:r w:rsidRPr="00AD3AB8">
        <w:rPr>
          <w:sz w:val="24"/>
          <w:szCs w:val="24"/>
        </w:rPr>
        <w:t>populationsfarmakokinetiske</w:t>
      </w:r>
      <w:proofErr w:type="spellEnd"/>
      <w:r w:rsidRPr="00AD3AB8">
        <w:rPr>
          <w:sz w:val="24"/>
          <w:szCs w:val="24"/>
        </w:rPr>
        <w:t xml:space="preserve"> (PK) parametre for populationen stammer fra 3 kliniske studier med 45 patienter med AML eller </w:t>
      </w:r>
      <w:proofErr w:type="spellStart"/>
      <w:r w:rsidRPr="00AD3AB8">
        <w:rPr>
          <w:sz w:val="24"/>
          <w:szCs w:val="24"/>
        </w:rPr>
        <w:t>myelodysplastisk</w:t>
      </w:r>
      <w:proofErr w:type="spellEnd"/>
      <w:r w:rsidRPr="00AD3AB8">
        <w:rPr>
          <w:sz w:val="24"/>
          <w:szCs w:val="24"/>
        </w:rPr>
        <w:t xml:space="preserve"> syndrom (MDS), der anvendte et 5-døgns regime. I hvert studie blev </w:t>
      </w:r>
      <w:proofErr w:type="spellStart"/>
      <w:r w:rsidRPr="00AD3AB8">
        <w:rPr>
          <w:sz w:val="24"/>
          <w:szCs w:val="24"/>
        </w:rPr>
        <w:t>decitabins</w:t>
      </w:r>
      <w:proofErr w:type="spellEnd"/>
      <w:r w:rsidRPr="00AD3AB8">
        <w:rPr>
          <w:sz w:val="24"/>
          <w:szCs w:val="24"/>
        </w:rPr>
        <w:t xml:space="preserve"> PK evalueret på femtedagen i den første behandlingscyklus.</w:t>
      </w:r>
    </w:p>
    <w:p w14:paraId="7B5419C6" w14:textId="77777777" w:rsidR="00EF23AD" w:rsidRPr="00AD3AB8" w:rsidRDefault="00EF23AD" w:rsidP="00AD3AB8">
      <w:pPr>
        <w:ind w:left="851"/>
        <w:rPr>
          <w:sz w:val="24"/>
          <w:szCs w:val="24"/>
        </w:rPr>
      </w:pPr>
    </w:p>
    <w:p w14:paraId="646DABDA" w14:textId="77777777" w:rsidR="00EF23AD" w:rsidRPr="00AD3AB8" w:rsidRDefault="00EF23AD" w:rsidP="00AD3AB8">
      <w:pPr>
        <w:ind w:left="851"/>
        <w:rPr>
          <w:sz w:val="24"/>
          <w:szCs w:val="24"/>
        </w:rPr>
      </w:pPr>
      <w:r w:rsidRPr="00AD3AB8">
        <w:rPr>
          <w:sz w:val="24"/>
          <w:szCs w:val="24"/>
          <w:u w:val="single"/>
        </w:rPr>
        <w:t>Fordeling</w:t>
      </w:r>
    </w:p>
    <w:p w14:paraId="5E66ABD3" w14:textId="77777777" w:rsidR="00EF23AD" w:rsidRPr="00AD3AB8" w:rsidRDefault="00EF23AD" w:rsidP="00AD3AB8">
      <w:pPr>
        <w:ind w:left="851"/>
        <w:rPr>
          <w:sz w:val="24"/>
          <w:szCs w:val="24"/>
        </w:rPr>
      </w:pPr>
      <w:proofErr w:type="spellStart"/>
      <w:r w:rsidRPr="00AD3AB8">
        <w:rPr>
          <w:sz w:val="24"/>
          <w:szCs w:val="24"/>
        </w:rPr>
        <w:t>Decitabins</w:t>
      </w:r>
      <w:proofErr w:type="spellEnd"/>
      <w:r w:rsidRPr="00AD3AB8">
        <w:rPr>
          <w:sz w:val="24"/>
          <w:szCs w:val="24"/>
        </w:rPr>
        <w:t xml:space="preserve"> farmakokinetik efter intravenøs administration over 1 time blev beskrevet ved hjælp af en lineær 3-kompartmentmodel kendetegnet ved hurtig elimination fra det centrale </w:t>
      </w:r>
      <w:proofErr w:type="spellStart"/>
      <w:r w:rsidRPr="00AD3AB8">
        <w:rPr>
          <w:sz w:val="24"/>
          <w:szCs w:val="24"/>
        </w:rPr>
        <w:t>kompartment</w:t>
      </w:r>
      <w:proofErr w:type="spellEnd"/>
      <w:r w:rsidRPr="00AD3AB8">
        <w:rPr>
          <w:sz w:val="24"/>
          <w:szCs w:val="24"/>
        </w:rPr>
        <w:t xml:space="preserve"> og ved relativt langsom distribution fra det perifere </w:t>
      </w:r>
      <w:proofErr w:type="spellStart"/>
      <w:r w:rsidRPr="00AD3AB8">
        <w:rPr>
          <w:sz w:val="24"/>
          <w:szCs w:val="24"/>
        </w:rPr>
        <w:t>kompartment</w:t>
      </w:r>
      <w:proofErr w:type="spellEnd"/>
      <w:r w:rsidRPr="00AD3AB8">
        <w:rPr>
          <w:sz w:val="24"/>
          <w:szCs w:val="24"/>
        </w:rPr>
        <w:t xml:space="preserve">. </w:t>
      </w:r>
      <w:proofErr w:type="spellStart"/>
      <w:r w:rsidRPr="00AD3AB8">
        <w:rPr>
          <w:sz w:val="24"/>
          <w:szCs w:val="24"/>
        </w:rPr>
        <w:t>Decitabins</w:t>
      </w:r>
      <w:proofErr w:type="spellEnd"/>
      <w:r w:rsidRPr="00AD3AB8">
        <w:rPr>
          <w:sz w:val="24"/>
          <w:szCs w:val="24"/>
        </w:rPr>
        <w:t xml:space="preserve"> </w:t>
      </w:r>
      <w:proofErr w:type="gramStart"/>
      <w:r w:rsidRPr="00AD3AB8">
        <w:rPr>
          <w:sz w:val="24"/>
          <w:szCs w:val="24"/>
        </w:rPr>
        <w:lastRenderedPageBreak/>
        <w:t>PK parametre</w:t>
      </w:r>
      <w:proofErr w:type="gramEnd"/>
      <w:r w:rsidRPr="00AD3AB8">
        <w:rPr>
          <w:sz w:val="24"/>
          <w:szCs w:val="24"/>
        </w:rPr>
        <w:t xml:space="preserve"> for en typisk patient (vægt 70 kg/legemsoverflade 1,73 m</w:t>
      </w:r>
      <w:r w:rsidRPr="00AD3AB8">
        <w:rPr>
          <w:sz w:val="24"/>
          <w:szCs w:val="24"/>
          <w:vertAlign w:val="superscript"/>
        </w:rPr>
        <w:t>2</w:t>
      </w:r>
      <w:r w:rsidRPr="00AD3AB8">
        <w:rPr>
          <w:sz w:val="24"/>
          <w:szCs w:val="24"/>
        </w:rPr>
        <w:t>) fremgår af tabel 3 nedenfor.</w:t>
      </w:r>
    </w:p>
    <w:p w14:paraId="23DAB17E" w14:textId="77777777" w:rsidR="00EF23AD" w:rsidRPr="00AD3AB8" w:rsidRDefault="00EF23AD" w:rsidP="00AD3AB8">
      <w:pPr>
        <w:ind w:left="851"/>
        <w:rPr>
          <w:sz w:val="24"/>
          <w:szCs w:val="24"/>
        </w:rPr>
      </w:pPr>
    </w:p>
    <w:p w14:paraId="17D80192" w14:textId="623EB76B" w:rsidR="00EF23AD" w:rsidRPr="00AD3AB8" w:rsidRDefault="00EF23AD" w:rsidP="00E33B9A">
      <w:pPr>
        <w:rPr>
          <w:b/>
          <w:bCs/>
          <w:sz w:val="24"/>
          <w:szCs w:val="24"/>
        </w:rPr>
      </w:pPr>
      <w:r w:rsidRPr="00AD3AB8">
        <w:rPr>
          <w:b/>
          <w:bCs/>
          <w:sz w:val="24"/>
          <w:szCs w:val="24"/>
        </w:rPr>
        <w:t>Tabel 3:</w:t>
      </w:r>
      <w:r w:rsidR="00E33B9A">
        <w:rPr>
          <w:b/>
          <w:bCs/>
          <w:sz w:val="24"/>
          <w:szCs w:val="24"/>
        </w:rPr>
        <w:t xml:space="preserve"> </w:t>
      </w:r>
      <w:r w:rsidRPr="00AD3AB8">
        <w:rPr>
          <w:b/>
          <w:bCs/>
          <w:sz w:val="24"/>
          <w:szCs w:val="24"/>
        </w:rPr>
        <w:t xml:space="preserve">Oversigt over </w:t>
      </w:r>
      <w:proofErr w:type="spellStart"/>
      <w:r w:rsidRPr="00AD3AB8">
        <w:rPr>
          <w:b/>
          <w:bCs/>
          <w:sz w:val="24"/>
          <w:szCs w:val="24"/>
        </w:rPr>
        <w:t>populationsfarmakokinetisk</w:t>
      </w:r>
      <w:proofErr w:type="spellEnd"/>
      <w:r w:rsidRPr="00AD3AB8">
        <w:rPr>
          <w:b/>
          <w:bCs/>
          <w:sz w:val="24"/>
          <w:szCs w:val="24"/>
        </w:rPr>
        <w:t xml:space="preserve"> analyse af en typisk patient, der fik en daglig infusion over 1 time af </w:t>
      </w:r>
      <w:proofErr w:type="spellStart"/>
      <w:r w:rsidRPr="00AD3AB8">
        <w:rPr>
          <w:b/>
          <w:bCs/>
          <w:sz w:val="24"/>
          <w:szCs w:val="24"/>
        </w:rPr>
        <w:t>decitabin</w:t>
      </w:r>
      <w:proofErr w:type="spellEnd"/>
      <w:r w:rsidRPr="00AD3AB8">
        <w:rPr>
          <w:b/>
          <w:bCs/>
          <w:sz w:val="24"/>
          <w:szCs w:val="24"/>
        </w:rPr>
        <w:t xml:space="preserve"> 20 mg/m</w:t>
      </w:r>
      <w:r w:rsidRPr="00AD3AB8">
        <w:rPr>
          <w:b/>
          <w:bCs/>
          <w:sz w:val="24"/>
          <w:szCs w:val="24"/>
          <w:vertAlign w:val="superscript"/>
        </w:rPr>
        <w:t>2</w:t>
      </w:r>
      <w:r w:rsidRPr="00AD3AB8">
        <w:rPr>
          <w:b/>
          <w:bCs/>
          <w:sz w:val="24"/>
          <w:szCs w:val="24"/>
        </w:rPr>
        <w:t xml:space="preserve"> i 5 dage hver 4. uge</w:t>
      </w:r>
    </w:p>
    <w:tbl>
      <w:tblPr>
        <w:tblW w:w="5000" w:type="pct"/>
        <w:tblLook w:val="01E0" w:firstRow="1" w:lastRow="1" w:firstColumn="1" w:lastColumn="1" w:noHBand="0" w:noVBand="0"/>
      </w:tblPr>
      <w:tblGrid>
        <w:gridCol w:w="2992"/>
        <w:gridCol w:w="3695"/>
        <w:gridCol w:w="2951"/>
      </w:tblGrid>
      <w:tr w:rsidR="00EF23AD" w:rsidRPr="00AD3AB8" w14:paraId="2E3B6D30" w14:textId="77777777" w:rsidTr="0020440A">
        <w:trPr>
          <w:trHeight w:val="265"/>
        </w:trPr>
        <w:tc>
          <w:tcPr>
            <w:tcW w:w="1552" w:type="pct"/>
            <w:tcBorders>
              <w:top w:val="single" w:sz="8" w:space="0" w:color="000000"/>
              <w:left w:val="nil"/>
              <w:bottom w:val="single" w:sz="8" w:space="0" w:color="000000"/>
              <w:right w:val="nil"/>
            </w:tcBorders>
            <w:hideMark/>
          </w:tcPr>
          <w:p w14:paraId="54C10CDD" w14:textId="77777777" w:rsidR="00EF23AD" w:rsidRPr="00AD3AB8" w:rsidRDefault="00EF23AD">
            <w:pPr>
              <w:suppressAutoHyphens/>
              <w:ind w:left="567" w:hanging="567"/>
              <w:rPr>
                <w:b/>
                <w:sz w:val="24"/>
                <w:szCs w:val="24"/>
                <w:lang w:val="en-GB"/>
              </w:rPr>
            </w:pPr>
            <w:r w:rsidRPr="00AD3AB8">
              <w:rPr>
                <w:b/>
                <w:sz w:val="24"/>
                <w:szCs w:val="24"/>
                <w:lang w:val="en-GB"/>
              </w:rPr>
              <w:t xml:space="preserve">Parameter </w:t>
            </w:r>
            <w:r w:rsidRPr="00AD3AB8">
              <w:rPr>
                <w:b/>
                <w:sz w:val="24"/>
                <w:szCs w:val="24"/>
                <w:vertAlign w:val="superscript"/>
                <w:lang w:val="en-GB"/>
              </w:rPr>
              <w:t>a</w:t>
            </w:r>
          </w:p>
        </w:tc>
        <w:tc>
          <w:tcPr>
            <w:tcW w:w="1917" w:type="pct"/>
            <w:tcBorders>
              <w:top w:val="single" w:sz="8" w:space="0" w:color="000000"/>
              <w:left w:val="nil"/>
              <w:bottom w:val="single" w:sz="8" w:space="0" w:color="000000"/>
              <w:right w:val="nil"/>
            </w:tcBorders>
            <w:hideMark/>
          </w:tcPr>
          <w:p w14:paraId="0D17576D" w14:textId="77777777" w:rsidR="00EF23AD" w:rsidRPr="00AD3AB8" w:rsidRDefault="00EF23AD">
            <w:pPr>
              <w:suppressAutoHyphens/>
              <w:ind w:left="567" w:hanging="567"/>
              <w:jc w:val="center"/>
              <w:rPr>
                <w:b/>
                <w:sz w:val="24"/>
                <w:szCs w:val="24"/>
                <w:lang w:val="en-GB"/>
              </w:rPr>
            </w:pPr>
            <w:proofErr w:type="spellStart"/>
            <w:r w:rsidRPr="00AD3AB8">
              <w:rPr>
                <w:b/>
                <w:bCs/>
                <w:sz w:val="24"/>
                <w:szCs w:val="24"/>
                <w:lang w:val="en-US"/>
              </w:rPr>
              <w:t>Forventet</w:t>
            </w:r>
            <w:proofErr w:type="spellEnd"/>
            <w:r w:rsidRPr="00AD3AB8">
              <w:rPr>
                <w:b/>
                <w:bCs/>
                <w:sz w:val="24"/>
                <w:szCs w:val="24"/>
                <w:lang w:val="en-US"/>
              </w:rPr>
              <w:t xml:space="preserve"> </w:t>
            </w:r>
            <w:proofErr w:type="spellStart"/>
            <w:r w:rsidRPr="00AD3AB8">
              <w:rPr>
                <w:b/>
                <w:bCs/>
                <w:sz w:val="24"/>
                <w:szCs w:val="24"/>
                <w:lang w:val="en-US"/>
              </w:rPr>
              <w:t>værdi</w:t>
            </w:r>
            <w:proofErr w:type="spellEnd"/>
          </w:p>
        </w:tc>
        <w:tc>
          <w:tcPr>
            <w:tcW w:w="1531" w:type="pct"/>
            <w:tcBorders>
              <w:top w:val="single" w:sz="8" w:space="0" w:color="000000"/>
              <w:left w:val="nil"/>
              <w:bottom w:val="single" w:sz="8" w:space="0" w:color="000000"/>
              <w:right w:val="nil"/>
            </w:tcBorders>
            <w:hideMark/>
          </w:tcPr>
          <w:p w14:paraId="53819B9B" w14:textId="77777777" w:rsidR="00EF23AD" w:rsidRPr="00AD3AB8" w:rsidRDefault="00EF23AD">
            <w:pPr>
              <w:suppressAutoHyphens/>
              <w:ind w:left="567" w:hanging="567"/>
              <w:jc w:val="center"/>
              <w:rPr>
                <w:b/>
                <w:sz w:val="24"/>
                <w:szCs w:val="24"/>
                <w:lang w:val="en-GB"/>
              </w:rPr>
            </w:pPr>
            <w:r w:rsidRPr="00AD3AB8">
              <w:rPr>
                <w:b/>
                <w:sz w:val="24"/>
                <w:szCs w:val="24"/>
                <w:lang w:val="en-GB"/>
              </w:rPr>
              <w:t>95 % CI</w:t>
            </w:r>
          </w:p>
        </w:tc>
      </w:tr>
      <w:tr w:rsidR="00EF23AD" w:rsidRPr="00AD3AB8" w14:paraId="43A54651" w14:textId="77777777" w:rsidTr="0020440A">
        <w:trPr>
          <w:trHeight w:val="263"/>
        </w:trPr>
        <w:tc>
          <w:tcPr>
            <w:tcW w:w="1552" w:type="pct"/>
            <w:tcBorders>
              <w:top w:val="single" w:sz="8" w:space="0" w:color="000000"/>
              <w:left w:val="nil"/>
              <w:bottom w:val="nil"/>
              <w:right w:val="nil"/>
            </w:tcBorders>
            <w:hideMark/>
          </w:tcPr>
          <w:p w14:paraId="38D8A926" w14:textId="77777777" w:rsidR="00EF23AD" w:rsidRPr="00AD3AB8" w:rsidRDefault="00EF23AD">
            <w:pPr>
              <w:suppressAutoHyphens/>
              <w:ind w:left="567" w:hanging="567"/>
              <w:rPr>
                <w:sz w:val="24"/>
                <w:szCs w:val="24"/>
                <w:lang w:val="en-GB"/>
              </w:rPr>
            </w:pPr>
            <w:proofErr w:type="spellStart"/>
            <w:r w:rsidRPr="00AD3AB8">
              <w:rPr>
                <w:sz w:val="24"/>
                <w:szCs w:val="24"/>
                <w:lang w:val="en-GB"/>
              </w:rPr>
              <w:t>C</w:t>
            </w:r>
            <w:r w:rsidRPr="00AD3AB8">
              <w:rPr>
                <w:sz w:val="24"/>
                <w:szCs w:val="24"/>
                <w:vertAlign w:val="subscript"/>
                <w:lang w:val="en-GB"/>
              </w:rPr>
              <w:t>max</w:t>
            </w:r>
            <w:proofErr w:type="spellEnd"/>
            <w:r w:rsidRPr="00AD3AB8">
              <w:rPr>
                <w:sz w:val="24"/>
                <w:szCs w:val="24"/>
                <w:lang w:val="en-GB"/>
              </w:rPr>
              <w:t xml:space="preserve"> (ng/ml)</w:t>
            </w:r>
          </w:p>
        </w:tc>
        <w:tc>
          <w:tcPr>
            <w:tcW w:w="1917" w:type="pct"/>
            <w:tcBorders>
              <w:top w:val="single" w:sz="8" w:space="0" w:color="000000"/>
              <w:left w:val="nil"/>
              <w:bottom w:val="nil"/>
              <w:right w:val="nil"/>
            </w:tcBorders>
            <w:hideMark/>
          </w:tcPr>
          <w:p w14:paraId="6ADDE10E" w14:textId="77777777" w:rsidR="00EF23AD" w:rsidRPr="00AD3AB8" w:rsidRDefault="00EF23AD">
            <w:pPr>
              <w:suppressAutoHyphens/>
              <w:ind w:left="567" w:hanging="567"/>
              <w:jc w:val="center"/>
              <w:rPr>
                <w:sz w:val="24"/>
                <w:szCs w:val="24"/>
                <w:lang w:val="en-GB"/>
              </w:rPr>
            </w:pPr>
            <w:r w:rsidRPr="00AD3AB8">
              <w:rPr>
                <w:sz w:val="24"/>
                <w:szCs w:val="24"/>
                <w:lang w:val="en-GB"/>
              </w:rPr>
              <w:t>107</w:t>
            </w:r>
          </w:p>
        </w:tc>
        <w:tc>
          <w:tcPr>
            <w:tcW w:w="1531" w:type="pct"/>
            <w:tcBorders>
              <w:top w:val="single" w:sz="8" w:space="0" w:color="000000"/>
              <w:left w:val="nil"/>
              <w:bottom w:val="nil"/>
              <w:right w:val="nil"/>
            </w:tcBorders>
            <w:hideMark/>
          </w:tcPr>
          <w:p w14:paraId="5D0FD683" w14:textId="77777777" w:rsidR="00EF23AD" w:rsidRPr="00AD3AB8" w:rsidRDefault="00EF23AD">
            <w:pPr>
              <w:suppressAutoHyphens/>
              <w:ind w:left="567" w:hanging="567"/>
              <w:jc w:val="center"/>
              <w:rPr>
                <w:sz w:val="24"/>
                <w:szCs w:val="24"/>
                <w:lang w:val="en-GB"/>
              </w:rPr>
            </w:pPr>
            <w:r w:rsidRPr="00AD3AB8">
              <w:rPr>
                <w:sz w:val="24"/>
                <w:szCs w:val="24"/>
                <w:lang w:val="en-GB"/>
              </w:rPr>
              <w:t>88,5–129</w:t>
            </w:r>
          </w:p>
        </w:tc>
      </w:tr>
      <w:tr w:rsidR="00EF23AD" w:rsidRPr="00AD3AB8" w14:paraId="7D2426F7" w14:textId="77777777" w:rsidTr="0020440A">
        <w:trPr>
          <w:trHeight w:val="266"/>
        </w:trPr>
        <w:tc>
          <w:tcPr>
            <w:tcW w:w="1552" w:type="pct"/>
            <w:hideMark/>
          </w:tcPr>
          <w:p w14:paraId="36876C64" w14:textId="77777777" w:rsidR="00EF23AD" w:rsidRPr="00AD3AB8" w:rsidRDefault="00EF23AD">
            <w:pPr>
              <w:suppressAutoHyphens/>
              <w:ind w:left="567" w:hanging="567"/>
              <w:rPr>
                <w:sz w:val="24"/>
                <w:szCs w:val="24"/>
                <w:lang w:val="en-GB"/>
              </w:rPr>
            </w:pPr>
            <w:proofErr w:type="spellStart"/>
            <w:r w:rsidRPr="00AD3AB8">
              <w:rPr>
                <w:sz w:val="24"/>
                <w:szCs w:val="24"/>
                <w:lang w:val="en-GB"/>
              </w:rPr>
              <w:t>AUC</w:t>
            </w:r>
            <w:r w:rsidRPr="00AD3AB8">
              <w:rPr>
                <w:sz w:val="24"/>
                <w:szCs w:val="24"/>
                <w:vertAlign w:val="subscript"/>
                <w:lang w:val="en-GB"/>
              </w:rPr>
              <w:t>cum</w:t>
            </w:r>
            <w:proofErr w:type="spellEnd"/>
            <w:r w:rsidRPr="00AD3AB8">
              <w:rPr>
                <w:sz w:val="24"/>
                <w:szCs w:val="24"/>
                <w:lang w:val="en-GB"/>
              </w:rPr>
              <w:t xml:space="preserve"> (</w:t>
            </w:r>
            <w:proofErr w:type="spellStart"/>
            <w:r w:rsidRPr="00AD3AB8">
              <w:rPr>
                <w:sz w:val="24"/>
                <w:szCs w:val="24"/>
                <w:lang w:val="en-GB"/>
              </w:rPr>
              <w:t>ng.h</w:t>
            </w:r>
            <w:proofErr w:type="spellEnd"/>
            <w:r w:rsidRPr="00AD3AB8">
              <w:rPr>
                <w:sz w:val="24"/>
                <w:szCs w:val="24"/>
                <w:lang w:val="en-GB"/>
              </w:rPr>
              <w:t>/ml)</w:t>
            </w:r>
          </w:p>
        </w:tc>
        <w:tc>
          <w:tcPr>
            <w:tcW w:w="1917" w:type="pct"/>
            <w:hideMark/>
          </w:tcPr>
          <w:p w14:paraId="0455FF70" w14:textId="77777777" w:rsidR="00EF23AD" w:rsidRPr="00AD3AB8" w:rsidRDefault="00EF23AD">
            <w:pPr>
              <w:suppressAutoHyphens/>
              <w:ind w:left="567" w:hanging="567"/>
              <w:jc w:val="center"/>
              <w:rPr>
                <w:sz w:val="24"/>
                <w:szCs w:val="24"/>
                <w:lang w:val="en-GB"/>
              </w:rPr>
            </w:pPr>
            <w:r w:rsidRPr="00AD3AB8">
              <w:rPr>
                <w:sz w:val="24"/>
                <w:szCs w:val="24"/>
                <w:lang w:val="en-GB"/>
              </w:rPr>
              <w:t>580</w:t>
            </w:r>
          </w:p>
        </w:tc>
        <w:tc>
          <w:tcPr>
            <w:tcW w:w="1531" w:type="pct"/>
            <w:hideMark/>
          </w:tcPr>
          <w:p w14:paraId="72352D9F" w14:textId="77777777" w:rsidR="00EF23AD" w:rsidRPr="00AD3AB8" w:rsidRDefault="00EF23AD">
            <w:pPr>
              <w:suppressAutoHyphens/>
              <w:ind w:left="567" w:hanging="567"/>
              <w:jc w:val="center"/>
              <w:rPr>
                <w:sz w:val="24"/>
                <w:szCs w:val="24"/>
                <w:lang w:val="en-GB"/>
              </w:rPr>
            </w:pPr>
            <w:r w:rsidRPr="00AD3AB8">
              <w:rPr>
                <w:sz w:val="24"/>
                <w:szCs w:val="24"/>
                <w:lang w:val="en-GB"/>
              </w:rPr>
              <w:t>480–695</w:t>
            </w:r>
          </w:p>
        </w:tc>
      </w:tr>
      <w:tr w:rsidR="00EF23AD" w:rsidRPr="00AD3AB8" w14:paraId="7AA6B1CB" w14:textId="77777777" w:rsidTr="0020440A">
        <w:trPr>
          <w:trHeight w:val="266"/>
        </w:trPr>
        <w:tc>
          <w:tcPr>
            <w:tcW w:w="1552" w:type="pct"/>
            <w:hideMark/>
          </w:tcPr>
          <w:p w14:paraId="6EF7DBD2" w14:textId="77777777" w:rsidR="00EF23AD" w:rsidRPr="00AD3AB8" w:rsidRDefault="00EF23AD">
            <w:pPr>
              <w:suppressAutoHyphens/>
              <w:ind w:left="567" w:hanging="567"/>
              <w:rPr>
                <w:sz w:val="24"/>
                <w:szCs w:val="24"/>
                <w:lang w:val="en-GB"/>
              </w:rPr>
            </w:pPr>
            <w:r w:rsidRPr="00AD3AB8">
              <w:rPr>
                <w:sz w:val="24"/>
                <w:szCs w:val="24"/>
                <w:lang w:val="en-GB"/>
              </w:rPr>
              <w:t>t</w:t>
            </w:r>
            <w:r w:rsidRPr="00AD3AB8">
              <w:rPr>
                <w:sz w:val="24"/>
                <w:szCs w:val="24"/>
                <w:vertAlign w:val="subscript"/>
                <w:lang w:val="en-GB"/>
              </w:rPr>
              <w:t xml:space="preserve">1/2 </w:t>
            </w:r>
            <w:r w:rsidRPr="00AD3AB8">
              <w:rPr>
                <w:sz w:val="24"/>
                <w:szCs w:val="24"/>
                <w:lang w:val="en-GB"/>
              </w:rPr>
              <w:t>(min)</w:t>
            </w:r>
          </w:p>
        </w:tc>
        <w:tc>
          <w:tcPr>
            <w:tcW w:w="1917" w:type="pct"/>
            <w:hideMark/>
          </w:tcPr>
          <w:p w14:paraId="35B8FE80" w14:textId="77777777" w:rsidR="00EF23AD" w:rsidRPr="00AD3AB8" w:rsidRDefault="00EF23AD">
            <w:pPr>
              <w:suppressAutoHyphens/>
              <w:ind w:left="567" w:hanging="567"/>
              <w:jc w:val="center"/>
              <w:rPr>
                <w:sz w:val="24"/>
                <w:szCs w:val="24"/>
                <w:lang w:val="en-GB"/>
              </w:rPr>
            </w:pPr>
            <w:r w:rsidRPr="00AD3AB8">
              <w:rPr>
                <w:sz w:val="24"/>
                <w:szCs w:val="24"/>
                <w:lang w:val="en-GB"/>
              </w:rPr>
              <w:t>68,2</w:t>
            </w:r>
          </w:p>
        </w:tc>
        <w:tc>
          <w:tcPr>
            <w:tcW w:w="1531" w:type="pct"/>
            <w:hideMark/>
          </w:tcPr>
          <w:p w14:paraId="15084E0B" w14:textId="77777777" w:rsidR="00EF23AD" w:rsidRPr="00AD3AB8" w:rsidRDefault="00EF23AD">
            <w:pPr>
              <w:suppressAutoHyphens/>
              <w:ind w:left="567" w:hanging="567"/>
              <w:jc w:val="center"/>
              <w:rPr>
                <w:sz w:val="24"/>
                <w:szCs w:val="24"/>
                <w:lang w:val="en-GB"/>
              </w:rPr>
            </w:pPr>
            <w:r w:rsidRPr="00AD3AB8">
              <w:rPr>
                <w:sz w:val="24"/>
                <w:szCs w:val="24"/>
                <w:lang w:val="en-GB"/>
              </w:rPr>
              <w:t>54,2–79,6</w:t>
            </w:r>
          </w:p>
        </w:tc>
      </w:tr>
      <w:tr w:rsidR="00EF23AD" w:rsidRPr="00AD3AB8" w14:paraId="1263BDD1" w14:textId="77777777" w:rsidTr="0020440A">
        <w:trPr>
          <w:trHeight w:val="265"/>
        </w:trPr>
        <w:tc>
          <w:tcPr>
            <w:tcW w:w="1552" w:type="pct"/>
            <w:hideMark/>
          </w:tcPr>
          <w:p w14:paraId="67FFA29E" w14:textId="77777777" w:rsidR="00EF23AD" w:rsidRPr="00AD3AB8" w:rsidRDefault="00EF23AD">
            <w:pPr>
              <w:suppressAutoHyphens/>
              <w:ind w:left="567" w:hanging="567"/>
              <w:rPr>
                <w:sz w:val="24"/>
                <w:szCs w:val="24"/>
                <w:lang w:val="en-GB"/>
              </w:rPr>
            </w:pPr>
            <w:proofErr w:type="spellStart"/>
            <w:r w:rsidRPr="00AD3AB8">
              <w:rPr>
                <w:sz w:val="24"/>
                <w:szCs w:val="24"/>
                <w:lang w:val="en-GB"/>
              </w:rPr>
              <w:t>Vd</w:t>
            </w:r>
            <w:r w:rsidRPr="00AD3AB8">
              <w:rPr>
                <w:sz w:val="24"/>
                <w:szCs w:val="24"/>
                <w:vertAlign w:val="subscript"/>
                <w:lang w:val="en-GB"/>
              </w:rPr>
              <w:t>ss</w:t>
            </w:r>
            <w:proofErr w:type="spellEnd"/>
            <w:r w:rsidRPr="00AD3AB8">
              <w:rPr>
                <w:sz w:val="24"/>
                <w:szCs w:val="24"/>
                <w:lang w:val="en-GB"/>
              </w:rPr>
              <w:t xml:space="preserve"> (l)</w:t>
            </w:r>
          </w:p>
        </w:tc>
        <w:tc>
          <w:tcPr>
            <w:tcW w:w="1917" w:type="pct"/>
            <w:hideMark/>
          </w:tcPr>
          <w:p w14:paraId="550E7A90" w14:textId="77777777" w:rsidR="00EF23AD" w:rsidRPr="00AD3AB8" w:rsidRDefault="00EF23AD">
            <w:pPr>
              <w:suppressAutoHyphens/>
              <w:ind w:left="567" w:hanging="567"/>
              <w:jc w:val="center"/>
              <w:rPr>
                <w:sz w:val="24"/>
                <w:szCs w:val="24"/>
                <w:lang w:val="en-GB"/>
              </w:rPr>
            </w:pPr>
            <w:r w:rsidRPr="00AD3AB8">
              <w:rPr>
                <w:sz w:val="24"/>
                <w:szCs w:val="24"/>
                <w:lang w:val="en-GB"/>
              </w:rPr>
              <w:t>116</w:t>
            </w:r>
          </w:p>
        </w:tc>
        <w:tc>
          <w:tcPr>
            <w:tcW w:w="1531" w:type="pct"/>
            <w:hideMark/>
          </w:tcPr>
          <w:p w14:paraId="2780C71F" w14:textId="77777777" w:rsidR="00EF23AD" w:rsidRPr="00AD3AB8" w:rsidRDefault="00EF23AD">
            <w:pPr>
              <w:suppressAutoHyphens/>
              <w:ind w:left="567" w:hanging="567"/>
              <w:jc w:val="center"/>
              <w:rPr>
                <w:sz w:val="24"/>
                <w:szCs w:val="24"/>
                <w:lang w:val="en-GB"/>
              </w:rPr>
            </w:pPr>
            <w:r w:rsidRPr="00AD3AB8">
              <w:rPr>
                <w:sz w:val="24"/>
                <w:szCs w:val="24"/>
                <w:lang w:val="en-GB"/>
              </w:rPr>
              <w:t>84,1–153</w:t>
            </w:r>
          </w:p>
        </w:tc>
      </w:tr>
      <w:tr w:rsidR="00EF23AD" w:rsidRPr="00AD3AB8" w14:paraId="4B52CB69" w14:textId="77777777" w:rsidTr="0020440A">
        <w:trPr>
          <w:trHeight w:val="255"/>
        </w:trPr>
        <w:tc>
          <w:tcPr>
            <w:tcW w:w="1552" w:type="pct"/>
            <w:tcBorders>
              <w:top w:val="nil"/>
              <w:left w:val="nil"/>
              <w:bottom w:val="single" w:sz="8" w:space="0" w:color="000000"/>
              <w:right w:val="nil"/>
            </w:tcBorders>
            <w:hideMark/>
          </w:tcPr>
          <w:p w14:paraId="1775AE54" w14:textId="77777777" w:rsidR="00EF23AD" w:rsidRPr="00AD3AB8" w:rsidRDefault="00EF23AD">
            <w:pPr>
              <w:suppressAutoHyphens/>
              <w:ind w:left="567" w:hanging="567"/>
              <w:rPr>
                <w:sz w:val="24"/>
                <w:szCs w:val="24"/>
                <w:lang w:val="en-GB"/>
              </w:rPr>
            </w:pPr>
            <w:r w:rsidRPr="00AD3AB8">
              <w:rPr>
                <w:sz w:val="24"/>
                <w:szCs w:val="24"/>
                <w:lang w:val="en-GB"/>
              </w:rPr>
              <w:t>CL (l/h)</w:t>
            </w:r>
          </w:p>
        </w:tc>
        <w:tc>
          <w:tcPr>
            <w:tcW w:w="1917" w:type="pct"/>
            <w:tcBorders>
              <w:top w:val="nil"/>
              <w:left w:val="nil"/>
              <w:bottom w:val="single" w:sz="8" w:space="0" w:color="000000"/>
              <w:right w:val="nil"/>
            </w:tcBorders>
            <w:hideMark/>
          </w:tcPr>
          <w:p w14:paraId="18AD9739" w14:textId="77777777" w:rsidR="00EF23AD" w:rsidRPr="00AD3AB8" w:rsidRDefault="00EF23AD">
            <w:pPr>
              <w:suppressAutoHyphens/>
              <w:ind w:left="567" w:hanging="567"/>
              <w:jc w:val="center"/>
              <w:rPr>
                <w:sz w:val="24"/>
                <w:szCs w:val="24"/>
                <w:lang w:val="en-GB"/>
              </w:rPr>
            </w:pPr>
            <w:r w:rsidRPr="00AD3AB8">
              <w:rPr>
                <w:sz w:val="24"/>
                <w:szCs w:val="24"/>
                <w:lang w:val="en-GB"/>
              </w:rPr>
              <w:t>298</w:t>
            </w:r>
          </w:p>
        </w:tc>
        <w:tc>
          <w:tcPr>
            <w:tcW w:w="1531" w:type="pct"/>
            <w:tcBorders>
              <w:top w:val="nil"/>
              <w:left w:val="nil"/>
              <w:bottom w:val="single" w:sz="8" w:space="0" w:color="000000"/>
              <w:right w:val="nil"/>
            </w:tcBorders>
            <w:hideMark/>
          </w:tcPr>
          <w:p w14:paraId="568F1CDA" w14:textId="77777777" w:rsidR="00EF23AD" w:rsidRPr="00AD3AB8" w:rsidRDefault="00EF23AD">
            <w:pPr>
              <w:suppressAutoHyphens/>
              <w:ind w:left="567" w:hanging="567"/>
              <w:jc w:val="center"/>
              <w:rPr>
                <w:sz w:val="24"/>
                <w:szCs w:val="24"/>
                <w:lang w:val="en-GB"/>
              </w:rPr>
            </w:pPr>
            <w:r w:rsidRPr="00AD3AB8">
              <w:rPr>
                <w:sz w:val="24"/>
                <w:szCs w:val="24"/>
                <w:lang w:val="en-GB"/>
              </w:rPr>
              <w:t>249–359</w:t>
            </w:r>
          </w:p>
        </w:tc>
      </w:tr>
    </w:tbl>
    <w:p w14:paraId="42524A6B" w14:textId="77777777" w:rsidR="00EF23AD" w:rsidRPr="0020440A" w:rsidRDefault="00EF23AD" w:rsidP="00F417BB">
      <w:pPr>
        <w:ind w:left="284" w:hanging="284"/>
        <w:rPr>
          <w:sz w:val="20"/>
        </w:rPr>
      </w:pPr>
      <w:r w:rsidRPr="0020440A">
        <w:rPr>
          <w:sz w:val="20"/>
          <w:vertAlign w:val="superscript"/>
        </w:rPr>
        <w:t>a</w:t>
      </w:r>
      <w:r w:rsidRPr="0020440A">
        <w:rPr>
          <w:sz w:val="20"/>
        </w:rPr>
        <w:tab/>
        <w:t>Den samlede dosis pr. cyklus var 100 mg/m</w:t>
      </w:r>
      <w:r w:rsidRPr="0020440A">
        <w:rPr>
          <w:sz w:val="20"/>
          <w:vertAlign w:val="superscript"/>
        </w:rPr>
        <w:t>2</w:t>
      </w:r>
    </w:p>
    <w:p w14:paraId="69FDCB74" w14:textId="77777777" w:rsidR="00EF23AD" w:rsidRPr="00AD3AB8" w:rsidRDefault="00EF23AD" w:rsidP="00EF23AD">
      <w:pPr>
        <w:rPr>
          <w:sz w:val="24"/>
          <w:szCs w:val="24"/>
        </w:rPr>
      </w:pPr>
    </w:p>
    <w:p w14:paraId="48730026" w14:textId="77777777" w:rsidR="00EF23AD" w:rsidRPr="00AD3AB8" w:rsidRDefault="00EF23AD" w:rsidP="00AD3AB8">
      <w:pPr>
        <w:ind w:left="851"/>
        <w:rPr>
          <w:sz w:val="24"/>
          <w:szCs w:val="24"/>
        </w:rPr>
      </w:pPr>
      <w:proofErr w:type="spellStart"/>
      <w:r w:rsidRPr="00AD3AB8">
        <w:rPr>
          <w:sz w:val="24"/>
          <w:szCs w:val="24"/>
        </w:rPr>
        <w:t>Decitabin</w:t>
      </w:r>
      <w:proofErr w:type="spellEnd"/>
      <w:r w:rsidRPr="00AD3AB8">
        <w:rPr>
          <w:sz w:val="24"/>
          <w:szCs w:val="24"/>
        </w:rPr>
        <w:t xml:space="preserve"> udviser lineær PK og når </w:t>
      </w:r>
      <w:proofErr w:type="spellStart"/>
      <w:r w:rsidRPr="00AD3AB8">
        <w:rPr>
          <w:sz w:val="24"/>
          <w:szCs w:val="24"/>
        </w:rPr>
        <w:t>steady</w:t>
      </w:r>
      <w:proofErr w:type="spellEnd"/>
      <w:r w:rsidRPr="00AD3AB8">
        <w:rPr>
          <w:sz w:val="24"/>
          <w:szCs w:val="24"/>
        </w:rPr>
        <w:t xml:space="preserve"> state-koncentrationer i løbet af ½ time efter den intravenøse infusion. Baseret på modelsimulering var PK parametrene uafhængige af tid (dvs. de ændrede sig ikke fra den ene cyklus til den næste), og der forekom ingen akkumulation med dette behandlingsregime.</w:t>
      </w:r>
    </w:p>
    <w:p w14:paraId="7ED997EE" w14:textId="77777777" w:rsidR="00EF23AD" w:rsidRPr="00AD3AB8" w:rsidRDefault="00EF23AD" w:rsidP="00AD3AB8">
      <w:pPr>
        <w:ind w:left="851"/>
        <w:rPr>
          <w:sz w:val="24"/>
          <w:szCs w:val="24"/>
        </w:rPr>
      </w:pPr>
      <w:proofErr w:type="spellStart"/>
      <w:r w:rsidRPr="00AD3AB8">
        <w:rPr>
          <w:sz w:val="24"/>
          <w:szCs w:val="24"/>
        </w:rPr>
        <w:t>Decitabins</w:t>
      </w:r>
      <w:proofErr w:type="spellEnd"/>
      <w:r w:rsidRPr="00AD3AB8">
        <w:rPr>
          <w:sz w:val="24"/>
          <w:szCs w:val="24"/>
        </w:rPr>
        <w:t xml:space="preserve"> binding til plasmaprotein er ubetydelig (&lt; 1 %). </w:t>
      </w:r>
      <w:proofErr w:type="spellStart"/>
      <w:r w:rsidRPr="00AD3AB8">
        <w:rPr>
          <w:sz w:val="24"/>
          <w:szCs w:val="24"/>
        </w:rPr>
        <w:t>Decitabins</w:t>
      </w:r>
      <w:proofErr w:type="spellEnd"/>
      <w:r w:rsidRPr="00AD3AB8">
        <w:rPr>
          <w:sz w:val="24"/>
          <w:szCs w:val="24"/>
        </w:rPr>
        <w:t xml:space="preserve"> </w:t>
      </w:r>
      <w:proofErr w:type="spellStart"/>
      <w:r w:rsidRPr="00AD3AB8">
        <w:rPr>
          <w:sz w:val="24"/>
          <w:szCs w:val="24"/>
        </w:rPr>
        <w:t>Vd</w:t>
      </w:r>
      <w:r w:rsidRPr="00AD3AB8">
        <w:rPr>
          <w:sz w:val="24"/>
          <w:szCs w:val="24"/>
          <w:vertAlign w:val="subscript"/>
        </w:rPr>
        <w:t>ss</w:t>
      </w:r>
      <w:proofErr w:type="spellEnd"/>
      <w:r w:rsidRPr="00AD3AB8">
        <w:rPr>
          <w:sz w:val="24"/>
          <w:szCs w:val="24"/>
        </w:rPr>
        <w:t xml:space="preserve"> hos cancerpatienter er høj, hvilket indikerer fordeling til perifere væv. Der er ikke påvist afhængighed af alder, </w:t>
      </w:r>
      <w:proofErr w:type="spellStart"/>
      <w:r w:rsidRPr="00AD3AB8">
        <w:rPr>
          <w:sz w:val="24"/>
          <w:szCs w:val="24"/>
        </w:rPr>
        <w:t>kreatininclearance</w:t>
      </w:r>
      <w:proofErr w:type="spellEnd"/>
      <w:r w:rsidRPr="00AD3AB8">
        <w:rPr>
          <w:sz w:val="24"/>
          <w:szCs w:val="24"/>
        </w:rPr>
        <w:t>, total bilirubin eller sygdom.</w:t>
      </w:r>
    </w:p>
    <w:p w14:paraId="7CA67567" w14:textId="77777777" w:rsidR="00EF23AD" w:rsidRPr="00AD3AB8" w:rsidRDefault="00EF23AD" w:rsidP="00AD3AB8">
      <w:pPr>
        <w:ind w:left="851"/>
        <w:rPr>
          <w:sz w:val="24"/>
          <w:szCs w:val="24"/>
        </w:rPr>
      </w:pPr>
    </w:p>
    <w:p w14:paraId="18F2D8A5" w14:textId="77777777" w:rsidR="00EF23AD" w:rsidRPr="00AD3AB8" w:rsidRDefault="00EF23AD" w:rsidP="00AD3AB8">
      <w:pPr>
        <w:ind w:left="851"/>
        <w:rPr>
          <w:sz w:val="24"/>
          <w:szCs w:val="24"/>
        </w:rPr>
      </w:pPr>
      <w:r w:rsidRPr="00AD3AB8">
        <w:rPr>
          <w:sz w:val="24"/>
          <w:szCs w:val="24"/>
          <w:u w:val="single"/>
        </w:rPr>
        <w:t>Biotransformation</w:t>
      </w:r>
    </w:p>
    <w:p w14:paraId="376DFEE5" w14:textId="77777777" w:rsidR="00EF23AD" w:rsidRPr="00AD3AB8" w:rsidRDefault="00EF23AD" w:rsidP="00AD3AB8">
      <w:pPr>
        <w:ind w:left="851"/>
        <w:rPr>
          <w:sz w:val="24"/>
          <w:szCs w:val="24"/>
        </w:rPr>
      </w:pPr>
      <w:r w:rsidRPr="00AD3AB8">
        <w:rPr>
          <w:sz w:val="24"/>
          <w:szCs w:val="24"/>
        </w:rPr>
        <w:t xml:space="preserve">Intracellulært aktiveres </w:t>
      </w:r>
      <w:proofErr w:type="spellStart"/>
      <w:r w:rsidRPr="00AD3AB8">
        <w:rPr>
          <w:sz w:val="24"/>
          <w:szCs w:val="24"/>
        </w:rPr>
        <w:t>decitabin</w:t>
      </w:r>
      <w:proofErr w:type="spellEnd"/>
      <w:r w:rsidRPr="00AD3AB8">
        <w:rPr>
          <w:sz w:val="24"/>
          <w:szCs w:val="24"/>
        </w:rPr>
        <w:t xml:space="preserve"> gennem sekventiel </w:t>
      </w:r>
      <w:proofErr w:type="spellStart"/>
      <w:r w:rsidRPr="00AD3AB8">
        <w:rPr>
          <w:sz w:val="24"/>
          <w:szCs w:val="24"/>
        </w:rPr>
        <w:t>phosphorylering</w:t>
      </w:r>
      <w:proofErr w:type="spellEnd"/>
      <w:r w:rsidRPr="00AD3AB8">
        <w:rPr>
          <w:sz w:val="24"/>
          <w:szCs w:val="24"/>
        </w:rPr>
        <w:t xml:space="preserve"> via </w:t>
      </w:r>
      <w:proofErr w:type="spellStart"/>
      <w:r w:rsidRPr="00AD3AB8">
        <w:rPr>
          <w:sz w:val="24"/>
          <w:szCs w:val="24"/>
        </w:rPr>
        <w:t>phosphokinase</w:t>
      </w:r>
      <w:proofErr w:type="spellEnd"/>
      <w:r w:rsidRPr="00AD3AB8">
        <w:rPr>
          <w:sz w:val="24"/>
          <w:szCs w:val="24"/>
        </w:rPr>
        <w:t xml:space="preserve"> til det tilsvarende </w:t>
      </w:r>
      <w:proofErr w:type="spellStart"/>
      <w:r w:rsidRPr="00AD3AB8">
        <w:rPr>
          <w:sz w:val="24"/>
          <w:szCs w:val="24"/>
        </w:rPr>
        <w:t>triphosphat</w:t>
      </w:r>
      <w:proofErr w:type="spellEnd"/>
      <w:r w:rsidRPr="00AD3AB8">
        <w:rPr>
          <w:sz w:val="24"/>
          <w:szCs w:val="24"/>
        </w:rPr>
        <w:t xml:space="preserve">, som så inkorporeres af DNA-polymerase. </w:t>
      </w:r>
      <w:r w:rsidRPr="00AD3AB8">
        <w:rPr>
          <w:i/>
          <w:iCs/>
          <w:sz w:val="24"/>
          <w:szCs w:val="24"/>
        </w:rPr>
        <w:t xml:space="preserve">In </w:t>
      </w:r>
      <w:proofErr w:type="spellStart"/>
      <w:r w:rsidRPr="00AD3AB8">
        <w:rPr>
          <w:i/>
          <w:iCs/>
          <w:sz w:val="24"/>
          <w:szCs w:val="24"/>
        </w:rPr>
        <w:t>vitro</w:t>
      </w:r>
      <w:proofErr w:type="spellEnd"/>
      <w:r w:rsidRPr="00AD3AB8">
        <w:rPr>
          <w:sz w:val="24"/>
          <w:szCs w:val="24"/>
        </w:rPr>
        <w:t xml:space="preserve">-data vedrørende metabolisme og resultaterne af et studie af den totale omsætning hos mennesker indikerer, at </w:t>
      </w:r>
      <w:proofErr w:type="spellStart"/>
      <w:r w:rsidRPr="00AD3AB8">
        <w:rPr>
          <w:sz w:val="24"/>
          <w:szCs w:val="24"/>
        </w:rPr>
        <w:t>cytokrom</w:t>
      </w:r>
      <w:proofErr w:type="spellEnd"/>
      <w:r w:rsidRPr="00AD3AB8">
        <w:rPr>
          <w:sz w:val="24"/>
          <w:szCs w:val="24"/>
        </w:rPr>
        <w:t xml:space="preserve"> P450-systemet ikke er involveret i </w:t>
      </w:r>
      <w:proofErr w:type="spellStart"/>
      <w:r w:rsidRPr="00AD3AB8">
        <w:rPr>
          <w:sz w:val="24"/>
          <w:szCs w:val="24"/>
        </w:rPr>
        <w:t>decitabins</w:t>
      </w:r>
      <w:proofErr w:type="spellEnd"/>
      <w:r w:rsidRPr="00AD3AB8">
        <w:rPr>
          <w:sz w:val="24"/>
          <w:szCs w:val="24"/>
        </w:rPr>
        <w:t xml:space="preserve"> metabolisme. </w:t>
      </w:r>
      <w:proofErr w:type="spellStart"/>
      <w:r w:rsidRPr="00AD3AB8">
        <w:rPr>
          <w:sz w:val="24"/>
          <w:szCs w:val="24"/>
        </w:rPr>
        <w:t>Decitabin</w:t>
      </w:r>
      <w:proofErr w:type="spellEnd"/>
      <w:r w:rsidRPr="00AD3AB8">
        <w:rPr>
          <w:sz w:val="24"/>
          <w:szCs w:val="24"/>
        </w:rPr>
        <w:t xml:space="preserve"> omdannes formentlig primært gennem </w:t>
      </w:r>
      <w:proofErr w:type="spellStart"/>
      <w:r w:rsidRPr="00AD3AB8">
        <w:rPr>
          <w:sz w:val="24"/>
          <w:szCs w:val="24"/>
        </w:rPr>
        <w:t>deaminering</w:t>
      </w:r>
      <w:proofErr w:type="spellEnd"/>
      <w:r w:rsidRPr="00AD3AB8">
        <w:rPr>
          <w:sz w:val="24"/>
          <w:szCs w:val="24"/>
        </w:rPr>
        <w:t xml:space="preserve"> ved </w:t>
      </w:r>
      <w:proofErr w:type="spellStart"/>
      <w:r w:rsidRPr="00AD3AB8">
        <w:rPr>
          <w:sz w:val="24"/>
          <w:szCs w:val="24"/>
        </w:rPr>
        <w:t>cytidindeaminase</w:t>
      </w:r>
      <w:proofErr w:type="spellEnd"/>
      <w:r w:rsidRPr="00AD3AB8">
        <w:rPr>
          <w:sz w:val="24"/>
          <w:szCs w:val="24"/>
        </w:rPr>
        <w:t xml:space="preserve"> i lever, nyrer, tarmepitel og blod. Resultaterne af studiet af total omsætning hos mennesker viste, at </w:t>
      </w:r>
      <w:proofErr w:type="spellStart"/>
      <w:r w:rsidRPr="00AD3AB8">
        <w:rPr>
          <w:sz w:val="24"/>
          <w:szCs w:val="24"/>
        </w:rPr>
        <w:t>uomdannet</w:t>
      </w:r>
      <w:proofErr w:type="spellEnd"/>
      <w:r w:rsidRPr="00AD3AB8">
        <w:rPr>
          <w:sz w:val="24"/>
          <w:szCs w:val="24"/>
        </w:rPr>
        <w:t xml:space="preserve"> </w:t>
      </w:r>
      <w:proofErr w:type="spellStart"/>
      <w:r w:rsidRPr="00AD3AB8">
        <w:rPr>
          <w:sz w:val="24"/>
          <w:szCs w:val="24"/>
        </w:rPr>
        <w:t>decitabin</w:t>
      </w:r>
      <w:proofErr w:type="spellEnd"/>
      <w:r w:rsidRPr="00AD3AB8">
        <w:rPr>
          <w:sz w:val="24"/>
          <w:szCs w:val="24"/>
        </w:rPr>
        <w:t xml:space="preserve"> udgjorde ca. 2,4 % af den totale radioaktivitet i plasma. De væsentligste metabolitter i blodcirkulationen formodes ikke at være farmakologisk aktive. Forekomst af disse metabolitter i urinen sammen med en høj total </w:t>
      </w:r>
      <w:proofErr w:type="spellStart"/>
      <w:r w:rsidRPr="00AD3AB8">
        <w:rPr>
          <w:sz w:val="24"/>
          <w:szCs w:val="24"/>
        </w:rPr>
        <w:t>clearance</w:t>
      </w:r>
      <w:proofErr w:type="spellEnd"/>
      <w:r w:rsidRPr="00AD3AB8">
        <w:rPr>
          <w:sz w:val="24"/>
          <w:szCs w:val="24"/>
        </w:rPr>
        <w:t xml:space="preserve"> fra organismen og lav udskillelse med urinen af </w:t>
      </w:r>
      <w:proofErr w:type="spellStart"/>
      <w:r w:rsidRPr="00AD3AB8">
        <w:rPr>
          <w:sz w:val="24"/>
          <w:szCs w:val="24"/>
        </w:rPr>
        <w:t>uomdannet</w:t>
      </w:r>
      <w:proofErr w:type="spellEnd"/>
      <w:r w:rsidRPr="00AD3AB8">
        <w:rPr>
          <w:sz w:val="24"/>
          <w:szCs w:val="24"/>
        </w:rPr>
        <w:t xml:space="preserve"> </w:t>
      </w:r>
      <w:proofErr w:type="spellStart"/>
      <w:r w:rsidRPr="00AD3AB8">
        <w:rPr>
          <w:sz w:val="24"/>
          <w:szCs w:val="24"/>
        </w:rPr>
        <w:t>decitabin</w:t>
      </w:r>
      <w:proofErr w:type="spellEnd"/>
      <w:r w:rsidRPr="00AD3AB8">
        <w:rPr>
          <w:sz w:val="24"/>
          <w:szCs w:val="24"/>
        </w:rPr>
        <w:t xml:space="preserve"> (~4 % af dosis) indikerer, at </w:t>
      </w:r>
      <w:proofErr w:type="spellStart"/>
      <w:r w:rsidRPr="00AD3AB8">
        <w:rPr>
          <w:sz w:val="24"/>
          <w:szCs w:val="24"/>
        </w:rPr>
        <w:t>decitabin</w:t>
      </w:r>
      <w:proofErr w:type="spellEnd"/>
      <w:r w:rsidRPr="00AD3AB8">
        <w:rPr>
          <w:sz w:val="24"/>
          <w:szCs w:val="24"/>
        </w:rPr>
        <w:t xml:space="preserve"> i væsentlig grad omdannes </w:t>
      </w:r>
      <w:r w:rsidRPr="00AD3AB8">
        <w:rPr>
          <w:i/>
          <w:iCs/>
          <w:sz w:val="24"/>
          <w:szCs w:val="24"/>
        </w:rPr>
        <w:t xml:space="preserve">in </w:t>
      </w:r>
      <w:proofErr w:type="spellStart"/>
      <w:r w:rsidRPr="00AD3AB8">
        <w:rPr>
          <w:i/>
          <w:iCs/>
          <w:sz w:val="24"/>
          <w:szCs w:val="24"/>
        </w:rPr>
        <w:t>vivo</w:t>
      </w:r>
      <w:proofErr w:type="spellEnd"/>
      <w:r w:rsidRPr="00AD3AB8">
        <w:rPr>
          <w:sz w:val="24"/>
          <w:szCs w:val="24"/>
        </w:rPr>
        <w:t xml:space="preserve">. </w:t>
      </w:r>
      <w:r w:rsidRPr="00AD3AB8">
        <w:rPr>
          <w:i/>
          <w:iCs/>
          <w:sz w:val="24"/>
          <w:szCs w:val="24"/>
        </w:rPr>
        <w:t xml:space="preserve">In </w:t>
      </w:r>
      <w:proofErr w:type="spellStart"/>
      <w:r w:rsidRPr="00AD3AB8">
        <w:rPr>
          <w:i/>
          <w:iCs/>
          <w:sz w:val="24"/>
          <w:szCs w:val="24"/>
        </w:rPr>
        <w:t>vitro</w:t>
      </w:r>
      <w:proofErr w:type="spellEnd"/>
      <w:r w:rsidRPr="00AD3AB8">
        <w:rPr>
          <w:sz w:val="24"/>
          <w:szCs w:val="24"/>
        </w:rPr>
        <w:t xml:space="preserve">-studier viser, at </w:t>
      </w:r>
      <w:proofErr w:type="spellStart"/>
      <w:r w:rsidRPr="00AD3AB8">
        <w:rPr>
          <w:sz w:val="24"/>
          <w:szCs w:val="24"/>
        </w:rPr>
        <w:t>decitabin</w:t>
      </w:r>
      <w:proofErr w:type="spellEnd"/>
      <w:r w:rsidRPr="00AD3AB8">
        <w:rPr>
          <w:sz w:val="24"/>
          <w:szCs w:val="24"/>
        </w:rPr>
        <w:t xml:space="preserve"> ikke hæmmer eller inducerer CYP450-enzymer i et omfang, der overstiger 20 gange den maksimale observerede plasmakoncentration (</w:t>
      </w:r>
      <w:proofErr w:type="spellStart"/>
      <w:r w:rsidRPr="00AD3AB8">
        <w:rPr>
          <w:sz w:val="24"/>
          <w:szCs w:val="24"/>
        </w:rPr>
        <w:t>C</w:t>
      </w:r>
      <w:r w:rsidRPr="00F417BB">
        <w:rPr>
          <w:sz w:val="24"/>
          <w:szCs w:val="24"/>
          <w:vertAlign w:val="subscript"/>
        </w:rPr>
        <w:t>max</w:t>
      </w:r>
      <w:proofErr w:type="spellEnd"/>
      <w:r w:rsidRPr="00AD3AB8">
        <w:rPr>
          <w:sz w:val="24"/>
          <w:szCs w:val="24"/>
        </w:rPr>
        <w:t xml:space="preserve">). CYP-medierede lægemiddelinteraktioner forventes derfor ikke, og det er usandsynligt, at der vil forekomme interaktion mellem </w:t>
      </w:r>
      <w:proofErr w:type="spellStart"/>
      <w:r w:rsidRPr="00AD3AB8">
        <w:rPr>
          <w:sz w:val="24"/>
          <w:szCs w:val="24"/>
        </w:rPr>
        <w:t>decitabin</w:t>
      </w:r>
      <w:proofErr w:type="spellEnd"/>
      <w:r w:rsidRPr="00AD3AB8">
        <w:rPr>
          <w:sz w:val="24"/>
          <w:szCs w:val="24"/>
        </w:rPr>
        <w:t xml:space="preserve"> og lægemidler, der omdannes via dette system. Desuden viser </w:t>
      </w:r>
      <w:r w:rsidRPr="00AD3AB8">
        <w:rPr>
          <w:i/>
          <w:iCs/>
          <w:sz w:val="24"/>
          <w:szCs w:val="24"/>
        </w:rPr>
        <w:t xml:space="preserve">in </w:t>
      </w:r>
      <w:proofErr w:type="spellStart"/>
      <w:r w:rsidRPr="00AD3AB8">
        <w:rPr>
          <w:i/>
          <w:iCs/>
          <w:sz w:val="24"/>
          <w:szCs w:val="24"/>
        </w:rPr>
        <w:t>vitro</w:t>
      </w:r>
      <w:proofErr w:type="spellEnd"/>
      <w:r w:rsidRPr="00AD3AB8">
        <w:rPr>
          <w:sz w:val="24"/>
          <w:szCs w:val="24"/>
        </w:rPr>
        <w:t xml:space="preserve">-data, at </w:t>
      </w:r>
      <w:proofErr w:type="spellStart"/>
      <w:r w:rsidRPr="00AD3AB8">
        <w:rPr>
          <w:sz w:val="24"/>
          <w:szCs w:val="24"/>
        </w:rPr>
        <w:t>decitabin</w:t>
      </w:r>
      <w:proofErr w:type="spellEnd"/>
      <w:r w:rsidRPr="00AD3AB8">
        <w:rPr>
          <w:sz w:val="24"/>
          <w:szCs w:val="24"/>
        </w:rPr>
        <w:t xml:space="preserve"> er et dårligt substrat for P-gp.</w:t>
      </w:r>
    </w:p>
    <w:p w14:paraId="11D85F93" w14:textId="77777777" w:rsidR="00EF23AD" w:rsidRPr="00AD3AB8" w:rsidRDefault="00EF23AD" w:rsidP="00AD3AB8">
      <w:pPr>
        <w:ind w:left="851"/>
        <w:rPr>
          <w:sz w:val="24"/>
          <w:szCs w:val="24"/>
          <w:u w:val="single"/>
        </w:rPr>
      </w:pPr>
    </w:p>
    <w:p w14:paraId="34D74FB6" w14:textId="77777777" w:rsidR="00EF23AD" w:rsidRPr="00AD3AB8" w:rsidRDefault="00EF23AD" w:rsidP="00AD3AB8">
      <w:pPr>
        <w:ind w:left="851"/>
        <w:rPr>
          <w:sz w:val="24"/>
          <w:szCs w:val="24"/>
        </w:rPr>
      </w:pPr>
      <w:r w:rsidRPr="00AD3AB8">
        <w:rPr>
          <w:sz w:val="24"/>
          <w:szCs w:val="24"/>
          <w:u w:val="single"/>
        </w:rPr>
        <w:t>Elimination</w:t>
      </w:r>
    </w:p>
    <w:p w14:paraId="4319D3A1" w14:textId="77777777" w:rsidR="00EF23AD" w:rsidRPr="00AD3AB8" w:rsidRDefault="00EF23AD" w:rsidP="00AD3AB8">
      <w:pPr>
        <w:ind w:left="851"/>
        <w:rPr>
          <w:sz w:val="24"/>
          <w:szCs w:val="24"/>
        </w:rPr>
      </w:pPr>
      <w:r w:rsidRPr="00AD3AB8">
        <w:rPr>
          <w:sz w:val="24"/>
          <w:szCs w:val="24"/>
        </w:rPr>
        <w:t xml:space="preserve">Middeltallet for </w:t>
      </w:r>
      <w:proofErr w:type="spellStart"/>
      <w:r w:rsidRPr="00AD3AB8">
        <w:rPr>
          <w:sz w:val="24"/>
          <w:szCs w:val="24"/>
        </w:rPr>
        <w:t>plasmaclearance</w:t>
      </w:r>
      <w:proofErr w:type="spellEnd"/>
      <w:r w:rsidRPr="00AD3AB8">
        <w:rPr>
          <w:sz w:val="24"/>
          <w:szCs w:val="24"/>
        </w:rPr>
        <w:t xml:space="preserve"> efter intravenøs administration hos forsøgspersoner med cancer var &gt; 200 l/time med moderate </w:t>
      </w:r>
      <w:proofErr w:type="spellStart"/>
      <w:r w:rsidRPr="00AD3AB8">
        <w:rPr>
          <w:sz w:val="24"/>
          <w:szCs w:val="24"/>
        </w:rPr>
        <w:t>interindividuelle</w:t>
      </w:r>
      <w:proofErr w:type="spellEnd"/>
      <w:r w:rsidRPr="00AD3AB8">
        <w:rPr>
          <w:sz w:val="24"/>
          <w:szCs w:val="24"/>
        </w:rPr>
        <w:t xml:space="preserve"> variationer (variationskoefficient [CV] ca. 50 %). Udskillelse af </w:t>
      </w:r>
      <w:proofErr w:type="spellStart"/>
      <w:r w:rsidRPr="00AD3AB8">
        <w:rPr>
          <w:sz w:val="24"/>
          <w:szCs w:val="24"/>
        </w:rPr>
        <w:t>uomdannet</w:t>
      </w:r>
      <w:proofErr w:type="spellEnd"/>
      <w:r w:rsidRPr="00AD3AB8">
        <w:rPr>
          <w:sz w:val="24"/>
          <w:szCs w:val="24"/>
        </w:rPr>
        <w:t xml:space="preserve"> lægemiddelstof synes kun at spille en mindre rolle i eliminationen af </w:t>
      </w:r>
      <w:proofErr w:type="spellStart"/>
      <w:r w:rsidRPr="00AD3AB8">
        <w:rPr>
          <w:sz w:val="24"/>
          <w:szCs w:val="24"/>
        </w:rPr>
        <w:t>decitabin</w:t>
      </w:r>
      <w:proofErr w:type="spellEnd"/>
      <w:r w:rsidRPr="00AD3AB8">
        <w:rPr>
          <w:sz w:val="24"/>
          <w:szCs w:val="24"/>
        </w:rPr>
        <w:t>.</w:t>
      </w:r>
    </w:p>
    <w:p w14:paraId="50D8B183" w14:textId="77777777" w:rsidR="00EF23AD" w:rsidRPr="00AD3AB8" w:rsidRDefault="00EF23AD" w:rsidP="00AD3AB8">
      <w:pPr>
        <w:ind w:left="851"/>
        <w:rPr>
          <w:sz w:val="24"/>
          <w:szCs w:val="24"/>
        </w:rPr>
      </w:pPr>
    </w:p>
    <w:p w14:paraId="241EC941" w14:textId="77777777" w:rsidR="00EF23AD" w:rsidRPr="00AD3AB8" w:rsidRDefault="00EF23AD" w:rsidP="00AD3AB8">
      <w:pPr>
        <w:ind w:left="851"/>
        <w:rPr>
          <w:sz w:val="24"/>
          <w:szCs w:val="24"/>
        </w:rPr>
      </w:pPr>
      <w:r w:rsidRPr="00AD3AB8">
        <w:rPr>
          <w:sz w:val="24"/>
          <w:szCs w:val="24"/>
        </w:rPr>
        <w:t xml:space="preserve">Resultaterne af et studie af den totale omsætning af radioaktivt </w:t>
      </w:r>
      <w:r w:rsidRPr="00AD3AB8">
        <w:rPr>
          <w:sz w:val="24"/>
          <w:szCs w:val="24"/>
          <w:vertAlign w:val="superscript"/>
        </w:rPr>
        <w:t>14</w:t>
      </w:r>
      <w:r w:rsidRPr="00AD3AB8">
        <w:rPr>
          <w:sz w:val="24"/>
          <w:szCs w:val="24"/>
        </w:rPr>
        <w:t xml:space="preserve">C-decitabin hos cancerpatienter viste, at 90 % af den administrerede dosis </w:t>
      </w:r>
      <w:proofErr w:type="spellStart"/>
      <w:r w:rsidRPr="00AD3AB8">
        <w:rPr>
          <w:sz w:val="24"/>
          <w:szCs w:val="24"/>
        </w:rPr>
        <w:t>decitabin</w:t>
      </w:r>
      <w:proofErr w:type="spellEnd"/>
      <w:r w:rsidRPr="00AD3AB8">
        <w:rPr>
          <w:sz w:val="24"/>
          <w:szCs w:val="24"/>
        </w:rPr>
        <w:t xml:space="preserve"> (4 % </w:t>
      </w:r>
      <w:proofErr w:type="spellStart"/>
      <w:r w:rsidRPr="00AD3AB8">
        <w:rPr>
          <w:sz w:val="24"/>
          <w:szCs w:val="24"/>
        </w:rPr>
        <w:t>uomdannet</w:t>
      </w:r>
      <w:proofErr w:type="spellEnd"/>
      <w:r w:rsidRPr="00AD3AB8">
        <w:rPr>
          <w:sz w:val="24"/>
          <w:szCs w:val="24"/>
        </w:rPr>
        <w:t xml:space="preserve"> stof) udskilles i urinen.</w:t>
      </w:r>
    </w:p>
    <w:p w14:paraId="4C1B9436" w14:textId="1B0F6235" w:rsidR="00E33B9A" w:rsidRDefault="00E33B9A">
      <w:pPr>
        <w:rPr>
          <w:sz w:val="24"/>
          <w:szCs w:val="24"/>
          <w:u w:val="single"/>
        </w:rPr>
      </w:pPr>
      <w:r>
        <w:rPr>
          <w:sz w:val="24"/>
          <w:szCs w:val="24"/>
          <w:u w:val="single"/>
        </w:rPr>
        <w:br w:type="page"/>
      </w:r>
    </w:p>
    <w:p w14:paraId="38375908" w14:textId="77777777" w:rsidR="00EF23AD" w:rsidRPr="00AD3AB8" w:rsidRDefault="00EF23AD" w:rsidP="00AD3AB8">
      <w:pPr>
        <w:ind w:left="851"/>
        <w:rPr>
          <w:sz w:val="24"/>
          <w:szCs w:val="24"/>
          <w:u w:val="single"/>
        </w:rPr>
      </w:pPr>
    </w:p>
    <w:p w14:paraId="5911AE09" w14:textId="77777777" w:rsidR="00EF23AD" w:rsidRPr="00AD3AB8" w:rsidRDefault="00EF23AD" w:rsidP="00AD3AB8">
      <w:pPr>
        <w:ind w:left="851"/>
        <w:rPr>
          <w:sz w:val="24"/>
          <w:szCs w:val="24"/>
        </w:rPr>
      </w:pPr>
      <w:r w:rsidRPr="00AD3AB8">
        <w:rPr>
          <w:sz w:val="24"/>
          <w:szCs w:val="24"/>
          <w:u w:val="single"/>
        </w:rPr>
        <w:t>Yderligere oplysninger om særlige populationer</w:t>
      </w:r>
    </w:p>
    <w:p w14:paraId="164E87FB" w14:textId="77777777" w:rsidR="00EF23AD" w:rsidRPr="00AD3AB8" w:rsidRDefault="00EF23AD" w:rsidP="00AD3AB8">
      <w:pPr>
        <w:ind w:left="851"/>
        <w:rPr>
          <w:sz w:val="24"/>
          <w:szCs w:val="24"/>
        </w:rPr>
      </w:pPr>
      <w:r w:rsidRPr="00AD3AB8">
        <w:rPr>
          <w:sz w:val="24"/>
          <w:szCs w:val="24"/>
        </w:rPr>
        <w:t xml:space="preserve">Virkningerne af nedsat nyre- eller leverfunktion, køn, alder eller race på </w:t>
      </w:r>
      <w:proofErr w:type="spellStart"/>
      <w:r w:rsidRPr="00AD3AB8">
        <w:rPr>
          <w:sz w:val="24"/>
          <w:szCs w:val="24"/>
        </w:rPr>
        <w:t>decitabins</w:t>
      </w:r>
      <w:proofErr w:type="spellEnd"/>
      <w:r w:rsidRPr="00AD3AB8">
        <w:rPr>
          <w:sz w:val="24"/>
          <w:szCs w:val="24"/>
        </w:rPr>
        <w:t xml:space="preserve"> farmakokinetik er ikke undersøgt formelt. Oplysninger om særlige populationer stammede fra </w:t>
      </w:r>
      <w:proofErr w:type="spellStart"/>
      <w:r w:rsidRPr="00AD3AB8">
        <w:rPr>
          <w:sz w:val="24"/>
          <w:szCs w:val="24"/>
        </w:rPr>
        <w:t>farmakokinetiske</w:t>
      </w:r>
      <w:proofErr w:type="spellEnd"/>
      <w:r w:rsidRPr="00AD3AB8">
        <w:rPr>
          <w:sz w:val="24"/>
          <w:szCs w:val="24"/>
        </w:rPr>
        <w:t xml:space="preserve"> data fra de 3 studier angivet ovenfor og fra et fase 1-studie med forsøgspersoner med MDS (N = 14; 15 mg/m</w:t>
      </w:r>
      <w:r w:rsidRPr="00AD3AB8">
        <w:rPr>
          <w:sz w:val="24"/>
          <w:szCs w:val="24"/>
          <w:vertAlign w:val="superscript"/>
        </w:rPr>
        <w:t>2</w:t>
      </w:r>
      <w:r w:rsidRPr="00AD3AB8">
        <w:rPr>
          <w:sz w:val="24"/>
          <w:szCs w:val="24"/>
        </w:rPr>
        <w:t xml:space="preserve"> over 3 timer hver 8. time i 3 dage).</w:t>
      </w:r>
    </w:p>
    <w:p w14:paraId="5DC3738F" w14:textId="77777777" w:rsidR="00EF23AD" w:rsidRPr="00AD3AB8" w:rsidRDefault="00EF23AD" w:rsidP="00AD3AB8">
      <w:pPr>
        <w:ind w:left="851"/>
        <w:rPr>
          <w:i/>
          <w:iCs/>
          <w:sz w:val="24"/>
          <w:szCs w:val="24"/>
        </w:rPr>
      </w:pPr>
    </w:p>
    <w:p w14:paraId="2E352AD0" w14:textId="77777777" w:rsidR="00EF23AD" w:rsidRPr="00AD3AB8" w:rsidRDefault="00EF23AD" w:rsidP="00AD3AB8">
      <w:pPr>
        <w:ind w:left="851"/>
        <w:rPr>
          <w:i/>
          <w:iCs/>
          <w:sz w:val="24"/>
          <w:szCs w:val="24"/>
        </w:rPr>
      </w:pPr>
      <w:r w:rsidRPr="00AD3AB8">
        <w:rPr>
          <w:i/>
          <w:iCs/>
          <w:sz w:val="24"/>
          <w:szCs w:val="24"/>
        </w:rPr>
        <w:t>Ældre</w:t>
      </w:r>
    </w:p>
    <w:p w14:paraId="48B83CB0" w14:textId="77777777" w:rsidR="00EF23AD" w:rsidRPr="00AD3AB8" w:rsidRDefault="00EF23AD" w:rsidP="00AD3AB8">
      <w:pPr>
        <w:ind w:left="851"/>
        <w:rPr>
          <w:sz w:val="24"/>
          <w:szCs w:val="24"/>
        </w:rPr>
      </w:pPr>
      <w:proofErr w:type="spellStart"/>
      <w:r w:rsidRPr="00AD3AB8">
        <w:rPr>
          <w:sz w:val="24"/>
          <w:szCs w:val="24"/>
        </w:rPr>
        <w:t>Populationsfarmakokinetiske</w:t>
      </w:r>
      <w:proofErr w:type="spellEnd"/>
      <w:r w:rsidRPr="00AD3AB8">
        <w:rPr>
          <w:sz w:val="24"/>
          <w:szCs w:val="24"/>
        </w:rPr>
        <w:t xml:space="preserve"> analyser har vist, at </w:t>
      </w:r>
      <w:proofErr w:type="spellStart"/>
      <w:r w:rsidRPr="00AD3AB8">
        <w:rPr>
          <w:sz w:val="24"/>
          <w:szCs w:val="24"/>
        </w:rPr>
        <w:t>decitabins</w:t>
      </w:r>
      <w:proofErr w:type="spellEnd"/>
      <w:r w:rsidRPr="00AD3AB8">
        <w:rPr>
          <w:sz w:val="24"/>
          <w:szCs w:val="24"/>
        </w:rPr>
        <w:t xml:space="preserve"> farmakokinetik ikke er afhængig af alder (det undersøgte interval er 40 til 87 år; median 70 år).</w:t>
      </w:r>
    </w:p>
    <w:p w14:paraId="5EFCFE95" w14:textId="77777777" w:rsidR="00EF23AD" w:rsidRPr="00AD3AB8" w:rsidRDefault="00EF23AD" w:rsidP="00AD3AB8">
      <w:pPr>
        <w:ind w:left="851"/>
        <w:rPr>
          <w:sz w:val="24"/>
          <w:szCs w:val="24"/>
        </w:rPr>
      </w:pPr>
    </w:p>
    <w:p w14:paraId="2ABF8162" w14:textId="77777777" w:rsidR="00EF23AD" w:rsidRPr="00AD3AB8" w:rsidRDefault="00EF23AD" w:rsidP="00AD3AB8">
      <w:pPr>
        <w:ind w:left="851"/>
        <w:rPr>
          <w:i/>
          <w:iCs/>
          <w:sz w:val="24"/>
          <w:szCs w:val="24"/>
        </w:rPr>
      </w:pPr>
      <w:r w:rsidRPr="00AD3AB8">
        <w:rPr>
          <w:i/>
          <w:iCs/>
          <w:sz w:val="24"/>
          <w:szCs w:val="24"/>
        </w:rPr>
        <w:t>Pædiatrisk population</w:t>
      </w:r>
    </w:p>
    <w:p w14:paraId="0FD34B9F" w14:textId="77777777" w:rsidR="00EF23AD" w:rsidRPr="00AD3AB8" w:rsidRDefault="00EF23AD" w:rsidP="00AD3AB8">
      <w:pPr>
        <w:ind w:left="851"/>
        <w:rPr>
          <w:sz w:val="24"/>
          <w:szCs w:val="24"/>
        </w:rPr>
      </w:pPr>
      <w:proofErr w:type="spellStart"/>
      <w:r w:rsidRPr="00AD3AB8">
        <w:rPr>
          <w:sz w:val="24"/>
          <w:szCs w:val="24"/>
        </w:rPr>
        <w:t>Populationsfarmakokinetisk</w:t>
      </w:r>
      <w:proofErr w:type="spellEnd"/>
      <w:r w:rsidRPr="00AD3AB8">
        <w:rPr>
          <w:sz w:val="24"/>
          <w:szCs w:val="24"/>
        </w:rPr>
        <w:t xml:space="preserve"> analyse af </w:t>
      </w:r>
      <w:proofErr w:type="spellStart"/>
      <w:r w:rsidRPr="00AD3AB8">
        <w:rPr>
          <w:sz w:val="24"/>
          <w:szCs w:val="24"/>
        </w:rPr>
        <w:t>decitabin</w:t>
      </w:r>
      <w:proofErr w:type="spellEnd"/>
      <w:r w:rsidRPr="00AD3AB8">
        <w:rPr>
          <w:sz w:val="24"/>
          <w:szCs w:val="24"/>
        </w:rPr>
        <w:t xml:space="preserve"> påviste, at der ikke er nogen forskelle i </w:t>
      </w:r>
      <w:proofErr w:type="spellStart"/>
      <w:r w:rsidRPr="00AD3AB8">
        <w:rPr>
          <w:sz w:val="24"/>
          <w:szCs w:val="24"/>
        </w:rPr>
        <w:t>decitabins</w:t>
      </w:r>
      <w:proofErr w:type="spellEnd"/>
      <w:r w:rsidRPr="00AD3AB8">
        <w:rPr>
          <w:sz w:val="24"/>
          <w:szCs w:val="24"/>
        </w:rPr>
        <w:t xml:space="preserve"> </w:t>
      </w:r>
      <w:proofErr w:type="spellStart"/>
      <w:r w:rsidRPr="00AD3AB8">
        <w:rPr>
          <w:sz w:val="24"/>
          <w:szCs w:val="24"/>
        </w:rPr>
        <w:t>farmakokinetiske</w:t>
      </w:r>
      <w:proofErr w:type="spellEnd"/>
      <w:r w:rsidRPr="00AD3AB8">
        <w:rPr>
          <w:sz w:val="24"/>
          <w:szCs w:val="24"/>
        </w:rPr>
        <w:t xml:space="preserve"> parametre for pædiatriske patienter med AML kontra voksne med AML eller MDS, når der er taget højde for legemsstørrelse.</w:t>
      </w:r>
    </w:p>
    <w:p w14:paraId="3808BD06" w14:textId="77777777" w:rsidR="00EF23AD" w:rsidRPr="00AD3AB8" w:rsidRDefault="00EF23AD" w:rsidP="00AD3AB8">
      <w:pPr>
        <w:ind w:left="851"/>
        <w:rPr>
          <w:sz w:val="24"/>
          <w:szCs w:val="24"/>
        </w:rPr>
      </w:pPr>
    </w:p>
    <w:p w14:paraId="424853BD" w14:textId="77777777" w:rsidR="00EF23AD" w:rsidRPr="00AD3AB8" w:rsidRDefault="00EF23AD" w:rsidP="00AD3AB8">
      <w:pPr>
        <w:ind w:left="851"/>
        <w:rPr>
          <w:i/>
          <w:iCs/>
          <w:sz w:val="24"/>
          <w:szCs w:val="24"/>
        </w:rPr>
      </w:pPr>
      <w:r w:rsidRPr="00AD3AB8">
        <w:rPr>
          <w:i/>
          <w:iCs/>
          <w:sz w:val="24"/>
          <w:szCs w:val="24"/>
        </w:rPr>
        <w:t>Køn</w:t>
      </w:r>
    </w:p>
    <w:p w14:paraId="6BC15B37" w14:textId="77777777" w:rsidR="00EF23AD" w:rsidRPr="00AD3AB8" w:rsidRDefault="00EF23AD" w:rsidP="00AD3AB8">
      <w:pPr>
        <w:ind w:left="851"/>
        <w:rPr>
          <w:sz w:val="24"/>
          <w:szCs w:val="24"/>
        </w:rPr>
      </w:pPr>
      <w:proofErr w:type="spellStart"/>
      <w:r w:rsidRPr="00AD3AB8">
        <w:rPr>
          <w:sz w:val="24"/>
          <w:szCs w:val="24"/>
        </w:rPr>
        <w:t>Populationsfarmakokinetisk</w:t>
      </w:r>
      <w:proofErr w:type="spellEnd"/>
      <w:r w:rsidRPr="00AD3AB8">
        <w:rPr>
          <w:sz w:val="24"/>
          <w:szCs w:val="24"/>
        </w:rPr>
        <w:t xml:space="preserve"> analyse af </w:t>
      </w:r>
      <w:proofErr w:type="spellStart"/>
      <w:r w:rsidRPr="00AD3AB8">
        <w:rPr>
          <w:sz w:val="24"/>
          <w:szCs w:val="24"/>
        </w:rPr>
        <w:t>decitabin</w:t>
      </w:r>
      <w:proofErr w:type="spellEnd"/>
      <w:r w:rsidRPr="00AD3AB8">
        <w:rPr>
          <w:sz w:val="24"/>
          <w:szCs w:val="24"/>
        </w:rPr>
        <w:t xml:space="preserve"> har ikke påvist kliniske relevante forskelle mellem mænd og kvinder.</w:t>
      </w:r>
    </w:p>
    <w:p w14:paraId="73D539D9" w14:textId="77777777" w:rsidR="00EF23AD" w:rsidRPr="00AD3AB8" w:rsidRDefault="00EF23AD" w:rsidP="00AD3AB8">
      <w:pPr>
        <w:ind w:left="851"/>
        <w:rPr>
          <w:sz w:val="24"/>
          <w:szCs w:val="24"/>
        </w:rPr>
      </w:pPr>
    </w:p>
    <w:p w14:paraId="56193730" w14:textId="77777777" w:rsidR="00EF23AD" w:rsidRPr="00AD3AB8" w:rsidRDefault="00EF23AD" w:rsidP="00AD3AB8">
      <w:pPr>
        <w:ind w:left="851"/>
        <w:rPr>
          <w:i/>
          <w:iCs/>
          <w:sz w:val="24"/>
          <w:szCs w:val="24"/>
        </w:rPr>
      </w:pPr>
      <w:r w:rsidRPr="00AD3AB8">
        <w:rPr>
          <w:i/>
          <w:iCs/>
          <w:sz w:val="24"/>
          <w:szCs w:val="24"/>
        </w:rPr>
        <w:t>Race</w:t>
      </w:r>
    </w:p>
    <w:p w14:paraId="206701EF" w14:textId="77777777" w:rsidR="00EF23AD" w:rsidRPr="00AD3AB8" w:rsidRDefault="00EF23AD" w:rsidP="00AD3AB8">
      <w:pPr>
        <w:ind w:left="851"/>
        <w:rPr>
          <w:sz w:val="24"/>
          <w:szCs w:val="24"/>
        </w:rPr>
      </w:pPr>
      <w:r w:rsidRPr="00AD3AB8">
        <w:rPr>
          <w:sz w:val="24"/>
          <w:szCs w:val="24"/>
        </w:rPr>
        <w:t xml:space="preserve">De fleste patienter i analyserne var </w:t>
      </w:r>
      <w:proofErr w:type="spellStart"/>
      <w:r w:rsidRPr="00AD3AB8">
        <w:rPr>
          <w:sz w:val="24"/>
          <w:szCs w:val="24"/>
        </w:rPr>
        <w:t>kaukasere</w:t>
      </w:r>
      <w:proofErr w:type="spellEnd"/>
      <w:r w:rsidRPr="00AD3AB8">
        <w:rPr>
          <w:sz w:val="24"/>
          <w:szCs w:val="24"/>
        </w:rPr>
        <w:t xml:space="preserve">. De </w:t>
      </w:r>
      <w:proofErr w:type="spellStart"/>
      <w:r w:rsidRPr="00AD3AB8">
        <w:rPr>
          <w:sz w:val="24"/>
          <w:szCs w:val="24"/>
        </w:rPr>
        <w:t>populationsfarmakokinetiske</w:t>
      </w:r>
      <w:proofErr w:type="spellEnd"/>
      <w:r w:rsidRPr="00AD3AB8">
        <w:rPr>
          <w:sz w:val="24"/>
          <w:szCs w:val="24"/>
        </w:rPr>
        <w:t xml:space="preserve"> analyser af </w:t>
      </w:r>
      <w:proofErr w:type="spellStart"/>
      <w:r w:rsidRPr="00AD3AB8">
        <w:rPr>
          <w:sz w:val="24"/>
          <w:szCs w:val="24"/>
        </w:rPr>
        <w:t>decitabin</w:t>
      </w:r>
      <w:proofErr w:type="spellEnd"/>
      <w:r w:rsidRPr="00AD3AB8">
        <w:rPr>
          <w:sz w:val="24"/>
          <w:szCs w:val="24"/>
        </w:rPr>
        <w:t xml:space="preserve"> indikerede, at race tilsyneladende ikke påvirker eksponeringen for </w:t>
      </w:r>
      <w:proofErr w:type="spellStart"/>
      <w:r w:rsidRPr="00AD3AB8">
        <w:rPr>
          <w:sz w:val="24"/>
          <w:szCs w:val="24"/>
        </w:rPr>
        <w:t>decitabin</w:t>
      </w:r>
      <w:proofErr w:type="spellEnd"/>
      <w:r w:rsidRPr="00AD3AB8">
        <w:rPr>
          <w:sz w:val="24"/>
          <w:szCs w:val="24"/>
        </w:rPr>
        <w:t>.</w:t>
      </w:r>
    </w:p>
    <w:p w14:paraId="2AC1EAF8" w14:textId="77777777" w:rsidR="00EF23AD" w:rsidRPr="00AD3AB8" w:rsidRDefault="00EF23AD" w:rsidP="00AD3AB8">
      <w:pPr>
        <w:ind w:left="851"/>
        <w:rPr>
          <w:i/>
          <w:iCs/>
          <w:sz w:val="24"/>
          <w:szCs w:val="24"/>
        </w:rPr>
      </w:pPr>
    </w:p>
    <w:p w14:paraId="6C5FE7F6" w14:textId="77777777" w:rsidR="00EF23AD" w:rsidRPr="00AD3AB8" w:rsidRDefault="00EF23AD" w:rsidP="00AD3AB8">
      <w:pPr>
        <w:ind w:left="851"/>
        <w:rPr>
          <w:i/>
          <w:iCs/>
          <w:sz w:val="24"/>
          <w:szCs w:val="24"/>
        </w:rPr>
      </w:pPr>
      <w:r w:rsidRPr="00AD3AB8">
        <w:rPr>
          <w:i/>
          <w:iCs/>
          <w:sz w:val="24"/>
          <w:szCs w:val="24"/>
        </w:rPr>
        <w:t>Nedsat leverfunktion</w:t>
      </w:r>
    </w:p>
    <w:p w14:paraId="3652A73A" w14:textId="77777777" w:rsidR="00EF23AD" w:rsidRPr="00AD3AB8" w:rsidRDefault="00EF23AD" w:rsidP="00AD3AB8">
      <w:pPr>
        <w:ind w:left="851"/>
        <w:rPr>
          <w:sz w:val="24"/>
          <w:szCs w:val="24"/>
        </w:rPr>
      </w:pPr>
      <w:proofErr w:type="spellStart"/>
      <w:r w:rsidRPr="00AD3AB8">
        <w:rPr>
          <w:sz w:val="24"/>
          <w:szCs w:val="24"/>
        </w:rPr>
        <w:t>Decitabins</w:t>
      </w:r>
      <w:proofErr w:type="spellEnd"/>
      <w:r w:rsidRPr="00AD3AB8">
        <w:rPr>
          <w:sz w:val="24"/>
          <w:szCs w:val="24"/>
        </w:rPr>
        <w:t xml:space="preserve"> PK er ikke formelt undersøgt hos patienter med nedsat leverfunktion. Resultaterne af et studie af total omsætning hos mennesker og de ovennævnte </w:t>
      </w:r>
      <w:r w:rsidRPr="00AD3AB8">
        <w:rPr>
          <w:i/>
          <w:iCs/>
          <w:sz w:val="24"/>
          <w:szCs w:val="24"/>
        </w:rPr>
        <w:t xml:space="preserve">in </w:t>
      </w:r>
      <w:proofErr w:type="spellStart"/>
      <w:r w:rsidRPr="00AD3AB8">
        <w:rPr>
          <w:i/>
          <w:iCs/>
          <w:sz w:val="24"/>
          <w:szCs w:val="24"/>
        </w:rPr>
        <w:t>vitro</w:t>
      </w:r>
      <w:proofErr w:type="spellEnd"/>
      <w:r w:rsidRPr="00AD3AB8">
        <w:rPr>
          <w:sz w:val="24"/>
          <w:szCs w:val="24"/>
        </w:rPr>
        <w:t xml:space="preserve">-forsøg indikerede, at CYP-enzymer sandsynligvis ikke indgår i metabolismen af </w:t>
      </w:r>
      <w:proofErr w:type="spellStart"/>
      <w:r w:rsidRPr="00AD3AB8">
        <w:rPr>
          <w:sz w:val="24"/>
          <w:szCs w:val="24"/>
        </w:rPr>
        <w:t>decitabin</w:t>
      </w:r>
      <w:proofErr w:type="spellEnd"/>
      <w:r w:rsidRPr="00AD3AB8">
        <w:rPr>
          <w:sz w:val="24"/>
          <w:szCs w:val="24"/>
        </w:rPr>
        <w:t xml:space="preserve">. Desuden indikerede de begrænsede data fra de </w:t>
      </w:r>
      <w:proofErr w:type="spellStart"/>
      <w:r w:rsidRPr="00AD3AB8">
        <w:rPr>
          <w:sz w:val="24"/>
          <w:szCs w:val="24"/>
        </w:rPr>
        <w:t>populationsfarmakokinetiske</w:t>
      </w:r>
      <w:proofErr w:type="spellEnd"/>
      <w:r w:rsidRPr="00AD3AB8">
        <w:rPr>
          <w:sz w:val="24"/>
          <w:szCs w:val="24"/>
        </w:rPr>
        <w:t xml:space="preserve"> analyser, at de PK-parametre ikke i væsentlig grad afhang af den totale bilirubinkoncentration, til trods for de meget varierede værdier for total bilirubin. Eksponeringen for </w:t>
      </w:r>
      <w:proofErr w:type="spellStart"/>
      <w:r w:rsidRPr="00AD3AB8">
        <w:rPr>
          <w:sz w:val="24"/>
          <w:szCs w:val="24"/>
        </w:rPr>
        <w:t>decitabin</w:t>
      </w:r>
      <w:proofErr w:type="spellEnd"/>
      <w:r w:rsidRPr="00AD3AB8">
        <w:rPr>
          <w:sz w:val="24"/>
          <w:szCs w:val="24"/>
        </w:rPr>
        <w:t xml:space="preserve"> vil således næppe være påvirket hos patienter med nedsat leverfunktion.</w:t>
      </w:r>
    </w:p>
    <w:p w14:paraId="1BE6346A" w14:textId="77777777" w:rsidR="00EF23AD" w:rsidRPr="00AD3AB8" w:rsidRDefault="00EF23AD" w:rsidP="00AD3AB8">
      <w:pPr>
        <w:ind w:left="851"/>
        <w:rPr>
          <w:i/>
          <w:iCs/>
          <w:sz w:val="24"/>
          <w:szCs w:val="24"/>
        </w:rPr>
      </w:pPr>
    </w:p>
    <w:p w14:paraId="69757FE7" w14:textId="77777777" w:rsidR="00EF23AD" w:rsidRPr="00AD3AB8" w:rsidRDefault="00EF23AD" w:rsidP="00AD3AB8">
      <w:pPr>
        <w:ind w:left="851"/>
        <w:rPr>
          <w:i/>
          <w:iCs/>
          <w:sz w:val="24"/>
          <w:szCs w:val="24"/>
        </w:rPr>
      </w:pPr>
      <w:r w:rsidRPr="00AD3AB8">
        <w:rPr>
          <w:i/>
          <w:iCs/>
          <w:sz w:val="24"/>
          <w:szCs w:val="24"/>
        </w:rPr>
        <w:t>Nedsat nyrefunktion</w:t>
      </w:r>
    </w:p>
    <w:p w14:paraId="5BB8A000" w14:textId="77777777" w:rsidR="00EF23AD" w:rsidRPr="00AD3AB8" w:rsidRDefault="00EF23AD" w:rsidP="00AD3AB8">
      <w:pPr>
        <w:ind w:left="851"/>
        <w:rPr>
          <w:sz w:val="24"/>
          <w:szCs w:val="24"/>
        </w:rPr>
      </w:pPr>
      <w:proofErr w:type="spellStart"/>
      <w:r w:rsidRPr="00AD3AB8">
        <w:rPr>
          <w:sz w:val="24"/>
          <w:szCs w:val="24"/>
        </w:rPr>
        <w:t>Decitabins</w:t>
      </w:r>
      <w:proofErr w:type="spellEnd"/>
      <w:r w:rsidRPr="00AD3AB8">
        <w:rPr>
          <w:sz w:val="24"/>
          <w:szCs w:val="24"/>
        </w:rPr>
        <w:t xml:space="preserve"> PK er ikke formelt undersøgt hos patienter med nedsat nyrefunktion. Den populations PK-analyse af de begrænsede </w:t>
      </w:r>
      <w:proofErr w:type="spellStart"/>
      <w:r w:rsidRPr="00AD3AB8">
        <w:rPr>
          <w:sz w:val="24"/>
          <w:szCs w:val="24"/>
        </w:rPr>
        <w:t>decitabindata</w:t>
      </w:r>
      <w:proofErr w:type="spellEnd"/>
      <w:r w:rsidRPr="00AD3AB8">
        <w:rPr>
          <w:sz w:val="24"/>
          <w:szCs w:val="24"/>
        </w:rPr>
        <w:t xml:space="preserve"> indikerede, at ingen PK-parametre var signifikant afhængige af normaliseret </w:t>
      </w:r>
      <w:proofErr w:type="spellStart"/>
      <w:r w:rsidRPr="00AD3AB8">
        <w:rPr>
          <w:sz w:val="24"/>
          <w:szCs w:val="24"/>
        </w:rPr>
        <w:t>kreatininclearance</w:t>
      </w:r>
      <w:proofErr w:type="spellEnd"/>
      <w:r w:rsidRPr="00AD3AB8">
        <w:rPr>
          <w:sz w:val="24"/>
          <w:szCs w:val="24"/>
        </w:rPr>
        <w:t xml:space="preserve">, som er en indikator for nyrefunktionen. Eksponeringen for </w:t>
      </w:r>
      <w:proofErr w:type="spellStart"/>
      <w:r w:rsidRPr="00AD3AB8">
        <w:rPr>
          <w:sz w:val="24"/>
          <w:szCs w:val="24"/>
        </w:rPr>
        <w:t>decitabin</w:t>
      </w:r>
      <w:proofErr w:type="spellEnd"/>
      <w:r w:rsidRPr="00AD3AB8">
        <w:rPr>
          <w:sz w:val="24"/>
          <w:szCs w:val="24"/>
        </w:rPr>
        <w:t xml:space="preserve"> vil således næppe være påvirket hos patienter med nedsat nyrefunktion.</w:t>
      </w:r>
    </w:p>
    <w:p w14:paraId="13CCDC91" w14:textId="77777777" w:rsidR="009260DE" w:rsidRPr="00AD3AB8" w:rsidRDefault="009260DE" w:rsidP="009260DE">
      <w:pPr>
        <w:tabs>
          <w:tab w:val="left" w:pos="851"/>
        </w:tabs>
        <w:ind w:left="851"/>
        <w:rPr>
          <w:sz w:val="24"/>
          <w:szCs w:val="24"/>
        </w:rPr>
      </w:pPr>
    </w:p>
    <w:p w14:paraId="353664AE" w14:textId="77777777" w:rsidR="009260DE" w:rsidRPr="00AD3AB8" w:rsidRDefault="009260DE" w:rsidP="009260DE">
      <w:pPr>
        <w:tabs>
          <w:tab w:val="left" w:pos="851"/>
        </w:tabs>
        <w:ind w:left="851" w:hanging="851"/>
        <w:rPr>
          <w:b/>
          <w:sz w:val="24"/>
          <w:szCs w:val="24"/>
        </w:rPr>
      </w:pPr>
      <w:r w:rsidRPr="00AD3AB8">
        <w:rPr>
          <w:b/>
          <w:sz w:val="24"/>
          <w:szCs w:val="24"/>
        </w:rPr>
        <w:t>5.3</w:t>
      </w:r>
      <w:r w:rsidRPr="00AD3AB8">
        <w:rPr>
          <w:b/>
          <w:sz w:val="24"/>
          <w:szCs w:val="24"/>
        </w:rPr>
        <w:tab/>
      </w:r>
      <w:r w:rsidR="00BD7931" w:rsidRPr="00AD3AB8">
        <w:rPr>
          <w:b/>
          <w:sz w:val="24"/>
          <w:szCs w:val="24"/>
        </w:rPr>
        <w:t>Non-</w:t>
      </w:r>
      <w:r w:rsidRPr="00AD3AB8">
        <w:rPr>
          <w:b/>
          <w:sz w:val="24"/>
          <w:szCs w:val="24"/>
        </w:rPr>
        <w:t>kliniske sikkerhedsdata</w:t>
      </w:r>
    </w:p>
    <w:p w14:paraId="6E3E2EA3" w14:textId="69950C52" w:rsidR="00EF23AD" w:rsidRPr="00AD3AB8" w:rsidRDefault="00EF23AD" w:rsidP="00AD3AB8">
      <w:pPr>
        <w:ind w:left="851"/>
        <w:rPr>
          <w:sz w:val="24"/>
          <w:szCs w:val="24"/>
        </w:rPr>
      </w:pPr>
      <w:r w:rsidRPr="00AD3AB8">
        <w:rPr>
          <w:sz w:val="24"/>
          <w:szCs w:val="24"/>
        </w:rPr>
        <w:t xml:space="preserve">Der er ikke udført formelle </w:t>
      </w:r>
      <w:proofErr w:type="spellStart"/>
      <w:r w:rsidRPr="00AD3AB8">
        <w:rPr>
          <w:sz w:val="24"/>
          <w:szCs w:val="24"/>
        </w:rPr>
        <w:t>karcinogenicitetsstudier</w:t>
      </w:r>
      <w:proofErr w:type="spellEnd"/>
      <w:r w:rsidRPr="00AD3AB8">
        <w:rPr>
          <w:sz w:val="24"/>
          <w:szCs w:val="24"/>
        </w:rPr>
        <w:t xml:space="preserve"> med </w:t>
      </w:r>
      <w:proofErr w:type="spellStart"/>
      <w:r w:rsidRPr="00AD3AB8">
        <w:rPr>
          <w:sz w:val="24"/>
          <w:szCs w:val="24"/>
        </w:rPr>
        <w:t>decitabin</w:t>
      </w:r>
      <w:proofErr w:type="spellEnd"/>
      <w:r w:rsidRPr="00AD3AB8">
        <w:rPr>
          <w:sz w:val="24"/>
          <w:szCs w:val="24"/>
        </w:rPr>
        <w:t xml:space="preserve">. Det er påvist i litteraturen, at </w:t>
      </w:r>
      <w:proofErr w:type="spellStart"/>
      <w:r w:rsidRPr="00AD3AB8">
        <w:rPr>
          <w:sz w:val="24"/>
          <w:szCs w:val="24"/>
        </w:rPr>
        <w:t>decitabin</w:t>
      </w:r>
      <w:proofErr w:type="spellEnd"/>
      <w:r w:rsidRPr="00AD3AB8">
        <w:rPr>
          <w:sz w:val="24"/>
          <w:szCs w:val="24"/>
        </w:rPr>
        <w:t xml:space="preserve"> potentielt kan være </w:t>
      </w:r>
      <w:proofErr w:type="spellStart"/>
      <w:r w:rsidRPr="00AD3AB8">
        <w:rPr>
          <w:sz w:val="24"/>
          <w:szCs w:val="24"/>
        </w:rPr>
        <w:t>karcinogent</w:t>
      </w:r>
      <w:proofErr w:type="spellEnd"/>
      <w:r w:rsidRPr="00AD3AB8">
        <w:rPr>
          <w:sz w:val="24"/>
          <w:szCs w:val="24"/>
        </w:rPr>
        <w:t xml:space="preserve">. De foreliggende data fra </w:t>
      </w:r>
      <w:r w:rsidRPr="00AD3AB8">
        <w:rPr>
          <w:i/>
          <w:iCs/>
          <w:sz w:val="24"/>
          <w:szCs w:val="24"/>
        </w:rPr>
        <w:t xml:space="preserve">in </w:t>
      </w:r>
      <w:proofErr w:type="spellStart"/>
      <w:r w:rsidRPr="00AD3AB8">
        <w:rPr>
          <w:i/>
          <w:iCs/>
          <w:sz w:val="24"/>
          <w:szCs w:val="24"/>
        </w:rPr>
        <w:t>vitro</w:t>
      </w:r>
      <w:proofErr w:type="spellEnd"/>
      <w:r w:rsidRPr="00AD3AB8">
        <w:rPr>
          <w:sz w:val="24"/>
          <w:szCs w:val="24"/>
        </w:rPr>
        <w:t xml:space="preserve">- og </w:t>
      </w:r>
      <w:r w:rsidRPr="00AD3AB8">
        <w:rPr>
          <w:i/>
          <w:iCs/>
          <w:sz w:val="24"/>
          <w:szCs w:val="24"/>
        </w:rPr>
        <w:t xml:space="preserve">in </w:t>
      </w:r>
      <w:proofErr w:type="spellStart"/>
      <w:r w:rsidRPr="00AD3AB8">
        <w:rPr>
          <w:i/>
          <w:iCs/>
          <w:sz w:val="24"/>
          <w:szCs w:val="24"/>
        </w:rPr>
        <w:t>vivo</w:t>
      </w:r>
      <w:proofErr w:type="spellEnd"/>
      <w:r w:rsidRPr="00AD3AB8">
        <w:rPr>
          <w:sz w:val="24"/>
          <w:szCs w:val="24"/>
        </w:rPr>
        <w:t xml:space="preserve">-studier udgør tilstrækkelig dokumentation for, at </w:t>
      </w:r>
      <w:proofErr w:type="spellStart"/>
      <w:r w:rsidRPr="00AD3AB8">
        <w:rPr>
          <w:sz w:val="24"/>
          <w:szCs w:val="24"/>
        </w:rPr>
        <w:t>decitabin</w:t>
      </w:r>
      <w:proofErr w:type="spellEnd"/>
      <w:r w:rsidRPr="00AD3AB8">
        <w:rPr>
          <w:sz w:val="24"/>
          <w:szCs w:val="24"/>
        </w:rPr>
        <w:t xml:space="preserve"> har genotoksisk potentiale. Data fra litteraturen indikerer desuden, at </w:t>
      </w:r>
      <w:proofErr w:type="spellStart"/>
      <w:r w:rsidRPr="00AD3AB8">
        <w:rPr>
          <w:sz w:val="24"/>
          <w:szCs w:val="24"/>
        </w:rPr>
        <w:t>decitabin</w:t>
      </w:r>
      <w:proofErr w:type="spellEnd"/>
      <w:r w:rsidRPr="00AD3AB8">
        <w:rPr>
          <w:sz w:val="24"/>
          <w:szCs w:val="24"/>
        </w:rPr>
        <w:t xml:space="preserve"> har bivirkninger på alle aspekter af reproduktionscyklen, herunder fertilitet, </w:t>
      </w:r>
      <w:proofErr w:type="spellStart"/>
      <w:r w:rsidRPr="00AD3AB8">
        <w:rPr>
          <w:sz w:val="24"/>
          <w:szCs w:val="24"/>
        </w:rPr>
        <w:t>embryoføtal</w:t>
      </w:r>
      <w:proofErr w:type="spellEnd"/>
      <w:r w:rsidRPr="00AD3AB8">
        <w:rPr>
          <w:sz w:val="24"/>
          <w:szCs w:val="24"/>
        </w:rPr>
        <w:t xml:space="preserve"> udvikling og </w:t>
      </w:r>
      <w:proofErr w:type="spellStart"/>
      <w:r w:rsidRPr="00AD3AB8">
        <w:rPr>
          <w:sz w:val="24"/>
          <w:szCs w:val="24"/>
        </w:rPr>
        <w:t>postnatal</w:t>
      </w:r>
      <w:proofErr w:type="spellEnd"/>
      <w:r w:rsidRPr="00AD3AB8">
        <w:rPr>
          <w:sz w:val="24"/>
          <w:szCs w:val="24"/>
        </w:rPr>
        <w:t xml:space="preserve"> udvikling. Toksicitetsstudier med gentagne doser over flere cyklusser til rotter og kaniner har indikeret, at den primære toksicitet var </w:t>
      </w:r>
      <w:proofErr w:type="spellStart"/>
      <w:r w:rsidRPr="00AD3AB8">
        <w:rPr>
          <w:sz w:val="24"/>
          <w:szCs w:val="24"/>
        </w:rPr>
        <w:t>myelosuppression</w:t>
      </w:r>
      <w:proofErr w:type="spellEnd"/>
      <w:r w:rsidRPr="00AD3AB8">
        <w:rPr>
          <w:sz w:val="24"/>
          <w:szCs w:val="24"/>
        </w:rPr>
        <w:t xml:space="preserve">, hvilket omfatter påvirkning af knoglemarven, som var reversibel efter indstilling af behandlingen. </w:t>
      </w:r>
      <w:proofErr w:type="spellStart"/>
      <w:r w:rsidRPr="00AD3AB8">
        <w:rPr>
          <w:sz w:val="24"/>
          <w:szCs w:val="24"/>
        </w:rPr>
        <w:t>Gastrointestinal</w:t>
      </w:r>
      <w:proofErr w:type="spellEnd"/>
      <w:r w:rsidRPr="00AD3AB8">
        <w:rPr>
          <w:sz w:val="24"/>
          <w:szCs w:val="24"/>
        </w:rPr>
        <w:t xml:space="preserve"> toksicitet forekom også, og hos handyr sås </w:t>
      </w:r>
      <w:proofErr w:type="spellStart"/>
      <w:r w:rsidRPr="00AD3AB8">
        <w:rPr>
          <w:sz w:val="24"/>
          <w:szCs w:val="24"/>
        </w:rPr>
        <w:t>testikulær</w:t>
      </w:r>
      <w:proofErr w:type="spellEnd"/>
      <w:r w:rsidRPr="00AD3AB8">
        <w:rPr>
          <w:sz w:val="24"/>
          <w:szCs w:val="24"/>
        </w:rPr>
        <w:t xml:space="preserve"> atrofi, som ikke blev normaliseret i løbet af den tid, der var fastsat til bedring. Generel toksicitet efter administration af </w:t>
      </w:r>
      <w:proofErr w:type="spellStart"/>
      <w:r w:rsidRPr="00AD3AB8">
        <w:rPr>
          <w:sz w:val="24"/>
          <w:szCs w:val="24"/>
        </w:rPr>
        <w:lastRenderedPageBreak/>
        <w:t>decitabin</w:t>
      </w:r>
      <w:proofErr w:type="spellEnd"/>
      <w:r w:rsidRPr="00AD3AB8">
        <w:rPr>
          <w:sz w:val="24"/>
          <w:szCs w:val="24"/>
        </w:rPr>
        <w:t xml:space="preserve"> var sammenlignelig hos neonatale/juvenile rotter og ældre rotter. </w:t>
      </w:r>
      <w:proofErr w:type="spellStart"/>
      <w:r w:rsidRPr="00AD3AB8">
        <w:rPr>
          <w:sz w:val="24"/>
          <w:szCs w:val="24"/>
        </w:rPr>
        <w:t>Neuroadfærdsmæssig</w:t>
      </w:r>
      <w:proofErr w:type="spellEnd"/>
      <w:r w:rsidRPr="00AD3AB8">
        <w:rPr>
          <w:sz w:val="24"/>
          <w:szCs w:val="24"/>
        </w:rPr>
        <w:t xml:space="preserve"> udvikling og reproduktionsevne blev ikke påvirket, når neonatale/juvenile rotter blev behandlet ved dosisniveauer, der inducerede </w:t>
      </w:r>
      <w:proofErr w:type="spellStart"/>
      <w:r w:rsidRPr="00AD3AB8">
        <w:rPr>
          <w:sz w:val="24"/>
          <w:szCs w:val="24"/>
        </w:rPr>
        <w:t>myelosuppression</w:t>
      </w:r>
      <w:proofErr w:type="spellEnd"/>
      <w:r w:rsidRPr="00AD3AB8">
        <w:rPr>
          <w:sz w:val="24"/>
          <w:szCs w:val="24"/>
        </w:rPr>
        <w:t>. Se pkt. 4.2 for oplysninger om pædiatrisk</w:t>
      </w:r>
      <w:r w:rsidR="00E33B9A">
        <w:rPr>
          <w:sz w:val="24"/>
          <w:szCs w:val="24"/>
        </w:rPr>
        <w:t xml:space="preserve"> </w:t>
      </w:r>
      <w:r w:rsidRPr="00AD3AB8">
        <w:rPr>
          <w:sz w:val="24"/>
          <w:szCs w:val="24"/>
        </w:rPr>
        <w:t>anvendelse.</w:t>
      </w:r>
    </w:p>
    <w:p w14:paraId="49CE3E22" w14:textId="77777777" w:rsidR="009260DE" w:rsidRPr="00AD3AB8" w:rsidRDefault="009260DE" w:rsidP="009260DE">
      <w:pPr>
        <w:tabs>
          <w:tab w:val="left" w:pos="851"/>
        </w:tabs>
        <w:ind w:left="851"/>
        <w:rPr>
          <w:sz w:val="24"/>
          <w:szCs w:val="24"/>
        </w:rPr>
      </w:pPr>
    </w:p>
    <w:p w14:paraId="08327ADB" w14:textId="77777777" w:rsidR="009260DE" w:rsidRPr="00AD3AB8" w:rsidRDefault="009260DE" w:rsidP="009260DE">
      <w:pPr>
        <w:tabs>
          <w:tab w:val="left" w:pos="851"/>
        </w:tabs>
        <w:ind w:left="851"/>
        <w:rPr>
          <w:sz w:val="24"/>
          <w:szCs w:val="24"/>
        </w:rPr>
      </w:pPr>
    </w:p>
    <w:p w14:paraId="139FE3DA" w14:textId="77777777" w:rsidR="009260DE" w:rsidRPr="00AD3AB8" w:rsidRDefault="009260DE" w:rsidP="009260DE">
      <w:pPr>
        <w:tabs>
          <w:tab w:val="left" w:pos="851"/>
        </w:tabs>
        <w:ind w:left="851" w:hanging="851"/>
        <w:rPr>
          <w:b/>
          <w:sz w:val="24"/>
          <w:szCs w:val="24"/>
        </w:rPr>
      </w:pPr>
      <w:r w:rsidRPr="00AD3AB8">
        <w:rPr>
          <w:b/>
          <w:sz w:val="24"/>
          <w:szCs w:val="24"/>
        </w:rPr>
        <w:t>6.</w:t>
      </w:r>
      <w:r w:rsidRPr="00AD3AB8">
        <w:rPr>
          <w:b/>
          <w:sz w:val="24"/>
          <w:szCs w:val="24"/>
        </w:rPr>
        <w:tab/>
        <w:t>FARMACEUTISKE OPLYSNINGER</w:t>
      </w:r>
    </w:p>
    <w:p w14:paraId="77F4CFD3" w14:textId="77777777" w:rsidR="009260DE" w:rsidRPr="00AD3AB8" w:rsidRDefault="009260DE" w:rsidP="009260DE">
      <w:pPr>
        <w:tabs>
          <w:tab w:val="left" w:pos="851"/>
        </w:tabs>
        <w:ind w:left="851"/>
        <w:rPr>
          <w:sz w:val="24"/>
          <w:szCs w:val="24"/>
        </w:rPr>
      </w:pPr>
    </w:p>
    <w:p w14:paraId="05D5C33F" w14:textId="77777777" w:rsidR="009260DE" w:rsidRPr="00AD3AB8" w:rsidRDefault="009260DE" w:rsidP="009260DE">
      <w:pPr>
        <w:tabs>
          <w:tab w:val="left" w:pos="851"/>
        </w:tabs>
        <w:ind w:left="851" w:hanging="851"/>
        <w:rPr>
          <w:b/>
          <w:sz w:val="24"/>
          <w:szCs w:val="24"/>
        </w:rPr>
      </w:pPr>
      <w:r w:rsidRPr="00AD3AB8">
        <w:rPr>
          <w:b/>
          <w:sz w:val="24"/>
          <w:szCs w:val="24"/>
        </w:rPr>
        <w:t>6.1</w:t>
      </w:r>
      <w:r w:rsidRPr="00AD3AB8">
        <w:rPr>
          <w:b/>
          <w:sz w:val="24"/>
          <w:szCs w:val="24"/>
        </w:rPr>
        <w:tab/>
        <w:t>Hjælpestoffer</w:t>
      </w:r>
    </w:p>
    <w:p w14:paraId="21C0C005" w14:textId="77777777" w:rsidR="00EF23AD" w:rsidRPr="00AD3AB8" w:rsidRDefault="00EF23AD" w:rsidP="00AD3AB8">
      <w:pPr>
        <w:ind w:left="851"/>
        <w:rPr>
          <w:sz w:val="24"/>
          <w:szCs w:val="24"/>
        </w:rPr>
      </w:pPr>
      <w:proofErr w:type="spellStart"/>
      <w:r w:rsidRPr="00AD3AB8">
        <w:rPr>
          <w:sz w:val="24"/>
          <w:szCs w:val="24"/>
        </w:rPr>
        <w:t>Kaliumdihydrogenphosphat</w:t>
      </w:r>
      <w:proofErr w:type="spellEnd"/>
      <w:r w:rsidRPr="00AD3AB8">
        <w:rPr>
          <w:sz w:val="24"/>
          <w:szCs w:val="24"/>
        </w:rPr>
        <w:t xml:space="preserve"> (E340)</w:t>
      </w:r>
    </w:p>
    <w:p w14:paraId="7A934F9D" w14:textId="77777777" w:rsidR="00EF23AD" w:rsidRPr="00AD3AB8" w:rsidRDefault="00EF23AD" w:rsidP="00AD3AB8">
      <w:pPr>
        <w:ind w:left="851"/>
        <w:rPr>
          <w:sz w:val="24"/>
          <w:szCs w:val="24"/>
        </w:rPr>
      </w:pPr>
      <w:r w:rsidRPr="00AD3AB8">
        <w:rPr>
          <w:sz w:val="24"/>
          <w:szCs w:val="24"/>
        </w:rPr>
        <w:t>Natriumhydroxid (E524)</w:t>
      </w:r>
    </w:p>
    <w:p w14:paraId="0062308A" w14:textId="77777777" w:rsidR="00EF23AD" w:rsidRPr="00AD3AB8" w:rsidRDefault="00EF23AD" w:rsidP="00AD3AB8">
      <w:pPr>
        <w:ind w:left="851"/>
        <w:rPr>
          <w:sz w:val="24"/>
          <w:szCs w:val="24"/>
        </w:rPr>
      </w:pPr>
      <w:r w:rsidRPr="00AD3AB8">
        <w:rPr>
          <w:sz w:val="24"/>
          <w:szCs w:val="24"/>
        </w:rPr>
        <w:t>Saltsyre (til justering af pH)</w:t>
      </w:r>
    </w:p>
    <w:p w14:paraId="20675825" w14:textId="77777777" w:rsidR="009260DE" w:rsidRPr="00AD3AB8" w:rsidRDefault="009260DE" w:rsidP="009260DE">
      <w:pPr>
        <w:tabs>
          <w:tab w:val="left" w:pos="851"/>
        </w:tabs>
        <w:ind w:left="851"/>
        <w:rPr>
          <w:sz w:val="24"/>
          <w:szCs w:val="24"/>
        </w:rPr>
      </w:pPr>
    </w:p>
    <w:p w14:paraId="37AD557D" w14:textId="77777777" w:rsidR="009260DE" w:rsidRPr="00AD3AB8" w:rsidRDefault="009260DE" w:rsidP="009260DE">
      <w:pPr>
        <w:tabs>
          <w:tab w:val="left" w:pos="851"/>
        </w:tabs>
        <w:ind w:left="851" w:hanging="851"/>
        <w:rPr>
          <w:b/>
          <w:sz w:val="24"/>
          <w:szCs w:val="24"/>
        </w:rPr>
      </w:pPr>
      <w:r w:rsidRPr="00AD3AB8">
        <w:rPr>
          <w:b/>
          <w:sz w:val="24"/>
          <w:szCs w:val="24"/>
        </w:rPr>
        <w:t>6.2</w:t>
      </w:r>
      <w:r w:rsidRPr="00AD3AB8">
        <w:rPr>
          <w:b/>
          <w:sz w:val="24"/>
          <w:szCs w:val="24"/>
        </w:rPr>
        <w:tab/>
        <w:t>Uforligeligheder</w:t>
      </w:r>
    </w:p>
    <w:p w14:paraId="7CAC0C5B" w14:textId="77777777" w:rsidR="00EF23AD" w:rsidRPr="00AD3AB8" w:rsidRDefault="00EF23AD" w:rsidP="00AD3AB8">
      <w:pPr>
        <w:ind w:left="851"/>
        <w:rPr>
          <w:sz w:val="24"/>
          <w:szCs w:val="24"/>
        </w:rPr>
      </w:pPr>
      <w:r w:rsidRPr="00AD3AB8">
        <w:rPr>
          <w:sz w:val="24"/>
          <w:szCs w:val="24"/>
        </w:rPr>
        <w:t>Dette lægemiddel må ikke blandes med andre lægemidler end dem, der er anført under pkt. 6.6.</w:t>
      </w:r>
    </w:p>
    <w:p w14:paraId="3EEDEDC7" w14:textId="77777777" w:rsidR="009260DE" w:rsidRPr="00AD3AB8" w:rsidRDefault="009260DE" w:rsidP="009260DE">
      <w:pPr>
        <w:tabs>
          <w:tab w:val="left" w:pos="851"/>
        </w:tabs>
        <w:ind w:left="851"/>
        <w:rPr>
          <w:sz w:val="24"/>
          <w:szCs w:val="24"/>
        </w:rPr>
      </w:pPr>
    </w:p>
    <w:p w14:paraId="48C7B8EB" w14:textId="77777777" w:rsidR="009260DE" w:rsidRPr="00AD3AB8" w:rsidRDefault="009260DE" w:rsidP="009260DE">
      <w:pPr>
        <w:tabs>
          <w:tab w:val="left" w:pos="851"/>
        </w:tabs>
        <w:ind w:left="851" w:hanging="851"/>
        <w:rPr>
          <w:b/>
          <w:sz w:val="24"/>
          <w:szCs w:val="24"/>
        </w:rPr>
      </w:pPr>
      <w:r w:rsidRPr="00AD3AB8">
        <w:rPr>
          <w:b/>
          <w:sz w:val="24"/>
          <w:szCs w:val="24"/>
        </w:rPr>
        <w:t>6.3</w:t>
      </w:r>
      <w:r w:rsidRPr="00AD3AB8">
        <w:rPr>
          <w:b/>
          <w:sz w:val="24"/>
          <w:szCs w:val="24"/>
        </w:rPr>
        <w:tab/>
        <w:t>Opbevaringstid</w:t>
      </w:r>
    </w:p>
    <w:p w14:paraId="5CC42478" w14:textId="77777777" w:rsidR="0020440A" w:rsidRDefault="0020440A" w:rsidP="00AD3AB8">
      <w:pPr>
        <w:ind w:left="851"/>
        <w:rPr>
          <w:sz w:val="24"/>
          <w:szCs w:val="24"/>
        </w:rPr>
      </w:pPr>
    </w:p>
    <w:p w14:paraId="7249FAF6" w14:textId="6BB7E9E1" w:rsidR="00EF23AD" w:rsidRPr="0020440A" w:rsidRDefault="00EF23AD" w:rsidP="00AD3AB8">
      <w:pPr>
        <w:ind w:left="851"/>
        <w:rPr>
          <w:sz w:val="24"/>
          <w:szCs w:val="24"/>
          <w:u w:val="single"/>
        </w:rPr>
      </w:pPr>
      <w:r w:rsidRPr="0020440A">
        <w:rPr>
          <w:sz w:val="24"/>
          <w:szCs w:val="24"/>
          <w:u w:val="single"/>
        </w:rPr>
        <w:t>Uåbnet hætteglas</w:t>
      </w:r>
    </w:p>
    <w:p w14:paraId="1B2D9319" w14:textId="77777777" w:rsidR="00EF23AD" w:rsidRPr="00AD3AB8" w:rsidRDefault="00EF23AD" w:rsidP="00AD3AB8">
      <w:pPr>
        <w:ind w:left="851"/>
        <w:rPr>
          <w:sz w:val="24"/>
          <w:szCs w:val="24"/>
        </w:rPr>
      </w:pPr>
      <w:r w:rsidRPr="00AD3AB8">
        <w:rPr>
          <w:sz w:val="24"/>
          <w:szCs w:val="24"/>
        </w:rPr>
        <w:t>2 år.</w:t>
      </w:r>
    </w:p>
    <w:p w14:paraId="3E70F6EE" w14:textId="77777777" w:rsidR="00EF23AD" w:rsidRPr="00AD3AB8" w:rsidRDefault="00EF23AD" w:rsidP="00AD3AB8">
      <w:pPr>
        <w:ind w:left="851"/>
        <w:rPr>
          <w:sz w:val="24"/>
          <w:szCs w:val="24"/>
        </w:rPr>
      </w:pPr>
    </w:p>
    <w:p w14:paraId="0EBDE1EE" w14:textId="77777777" w:rsidR="00EF23AD" w:rsidRPr="0020440A" w:rsidRDefault="00EF23AD" w:rsidP="00AD3AB8">
      <w:pPr>
        <w:ind w:left="851"/>
        <w:rPr>
          <w:sz w:val="24"/>
          <w:szCs w:val="24"/>
          <w:u w:val="single"/>
        </w:rPr>
      </w:pPr>
      <w:proofErr w:type="spellStart"/>
      <w:r w:rsidRPr="0020440A">
        <w:rPr>
          <w:sz w:val="24"/>
          <w:szCs w:val="24"/>
          <w:u w:val="single"/>
        </w:rPr>
        <w:t>Rekonstitueret</w:t>
      </w:r>
      <w:proofErr w:type="spellEnd"/>
      <w:r w:rsidRPr="0020440A">
        <w:rPr>
          <w:sz w:val="24"/>
          <w:szCs w:val="24"/>
          <w:u w:val="single"/>
        </w:rPr>
        <w:t xml:space="preserve"> og fortyndet opløsning</w:t>
      </w:r>
    </w:p>
    <w:p w14:paraId="2591164B" w14:textId="77777777" w:rsidR="00EF23AD" w:rsidRPr="00AD3AB8" w:rsidRDefault="00EF23AD" w:rsidP="00AD3AB8">
      <w:pPr>
        <w:ind w:left="851"/>
        <w:rPr>
          <w:sz w:val="24"/>
          <w:szCs w:val="24"/>
        </w:rPr>
      </w:pPr>
      <w:r w:rsidRPr="00AD3AB8">
        <w:rPr>
          <w:sz w:val="24"/>
          <w:szCs w:val="24"/>
        </w:rPr>
        <w:t xml:space="preserve">Inden for 15 minutter efter </w:t>
      </w:r>
      <w:proofErr w:type="spellStart"/>
      <w:r w:rsidRPr="00AD3AB8">
        <w:rPr>
          <w:sz w:val="24"/>
          <w:szCs w:val="24"/>
        </w:rPr>
        <w:t>rekonstitution</w:t>
      </w:r>
      <w:proofErr w:type="spellEnd"/>
      <w:r w:rsidRPr="00AD3AB8">
        <w:rPr>
          <w:sz w:val="24"/>
          <w:szCs w:val="24"/>
        </w:rPr>
        <w:t xml:space="preserve"> (i 10 ml steril vand til injektionsvæsker) skal koncentratet fortyndes yderligere med kold (2 °C – 8 °C) infusionsvæske. Den tilberedte og fortyndede opløsning til intravenøs infusion kan maksimalt opbevares i 7 timer ved 2 °C – 8 °C efterfulgt af op til 3 timer ved stuetemperatur (20 °C – 25 °C) før administration.</w:t>
      </w:r>
    </w:p>
    <w:p w14:paraId="4A1102E1" w14:textId="77777777" w:rsidR="00EF23AD" w:rsidRPr="00AD3AB8" w:rsidRDefault="00EF23AD" w:rsidP="00AD3AB8">
      <w:pPr>
        <w:ind w:left="851"/>
        <w:rPr>
          <w:sz w:val="24"/>
          <w:szCs w:val="24"/>
        </w:rPr>
      </w:pPr>
    </w:p>
    <w:p w14:paraId="09A83E18" w14:textId="77777777" w:rsidR="00EF23AD" w:rsidRPr="00AD3AB8" w:rsidRDefault="00EF23AD" w:rsidP="00AD3AB8">
      <w:pPr>
        <w:ind w:left="851"/>
        <w:rPr>
          <w:sz w:val="24"/>
          <w:szCs w:val="24"/>
        </w:rPr>
      </w:pPr>
      <w:r w:rsidRPr="00AD3AB8">
        <w:rPr>
          <w:sz w:val="24"/>
          <w:szCs w:val="24"/>
        </w:rPr>
        <w:t>Ud fra et mikrobiologisk synspunkt skal præparatet anvendes med det samme, medmindre den metode, der er anvendt ved åbning/</w:t>
      </w:r>
      <w:proofErr w:type="spellStart"/>
      <w:r w:rsidRPr="00AD3AB8">
        <w:rPr>
          <w:sz w:val="24"/>
          <w:szCs w:val="24"/>
        </w:rPr>
        <w:t>rekonstitution</w:t>
      </w:r>
      <w:proofErr w:type="spellEnd"/>
      <w:r w:rsidRPr="00AD3AB8">
        <w:rPr>
          <w:sz w:val="24"/>
          <w:szCs w:val="24"/>
        </w:rPr>
        <w:t>/fortynding, udelukker risiko for mikrobiel kontaminering. Hvis produktet ikke anvendes med det samme, er opbevaringstider og opbevaringsbetingelser under brug brugerens ansvar.</w:t>
      </w:r>
    </w:p>
    <w:p w14:paraId="7EC10263" w14:textId="77777777" w:rsidR="009260DE" w:rsidRPr="00AD3AB8" w:rsidRDefault="009260DE" w:rsidP="009260DE">
      <w:pPr>
        <w:tabs>
          <w:tab w:val="left" w:pos="851"/>
        </w:tabs>
        <w:ind w:left="851"/>
        <w:rPr>
          <w:sz w:val="24"/>
          <w:szCs w:val="24"/>
        </w:rPr>
      </w:pPr>
    </w:p>
    <w:p w14:paraId="4D859436" w14:textId="77777777" w:rsidR="009260DE" w:rsidRPr="00AD3AB8" w:rsidRDefault="009260DE" w:rsidP="009260DE">
      <w:pPr>
        <w:tabs>
          <w:tab w:val="left" w:pos="851"/>
        </w:tabs>
        <w:ind w:left="851" w:hanging="851"/>
        <w:rPr>
          <w:b/>
          <w:sz w:val="24"/>
          <w:szCs w:val="24"/>
        </w:rPr>
      </w:pPr>
      <w:r w:rsidRPr="00AD3AB8">
        <w:rPr>
          <w:b/>
          <w:sz w:val="24"/>
          <w:szCs w:val="24"/>
        </w:rPr>
        <w:t>6.4</w:t>
      </w:r>
      <w:r w:rsidRPr="00AD3AB8">
        <w:rPr>
          <w:b/>
          <w:sz w:val="24"/>
          <w:szCs w:val="24"/>
        </w:rPr>
        <w:tab/>
        <w:t>Særlige opbevaringsforhold</w:t>
      </w:r>
    </w:p>
    <w:p w14:paraId="1F24BD87" w14:textId="77777777" w:rsidR="00EF23AD" w:rsidRPr="00AD3AB8" w:rsidRDefault="00EF23AD" w:rsidP="00AD3AB8">
      <w:pPr>
        <w:ind w:left="851"/>
        <w:rPr>
          <w:sz w:val="24"/>
          <w:szCs w:val="24"/>
        </w:rPr>
      </w:pPr>
      <w:r w:rsidRPr="00AD3AB8">
        <w:rPr>
          <w:sz w:val="24"/>
          <w:szCs w:val="24"/>
        </w:rPr>
        <w:t>Må ikke opbevares ved temperaturer over 30 °C.</w:t>
      </w:r>
    </w:p>
    <w:p w14:paraId="5F87AB4C" w14:textId="77777777" w:rsidR="00EF23AD" w:rsidRPr="00AD3AB8" w:rsidRDefault="00EF23AD" w:rsidP="00AD3AB8">
      <w:pPr>
        <w:ind w:left="851"/>
        <w:rPr>
          <w:sz w:val="24"/>
          <w:szCs w:val="24"/>
        </w:rPr>
      </w:pPr>
    </w:p>
    <w:p w14:paraId="72C378D8" w14:textId="77777777" w:rsidR="00EF23AD" w:rsidRPr="00AD3AB8" w:rsidRDefault="00EF23AD" w:rsidP="00AD3AB8">
      <w:pPr>
        <w:ind w:left="851"/>
        <w:rPr>
          <w:sz w:val="24"/>
          <w:szCs w:val="24"/>
        </w:rPr>
      </w:pPr>
      <w:r w:rsidRPr="00AD3AB8">
        <w:rPr>
          <w:sz w:val="24"/>
          <w:szCs w:val="24"/>
        </w:rPr>
        <w:t xml:space="preserve">Opbevaringsforhold efter </w:t>
      </w:r>
      <w:proofErr w:type="spellStart"/>
      <w:r w:rsidRPr="00AD3AB8">
        <w:rPr>
          <w:sz w:val="24"/>
          <w:szCs w:val="24"/>
        </w:rPr>
        <w:t>rekonstitution</w:t>
      </w:r>
      <w:proofErr w:type="spellEnd"/>
      <w:r w:rsidRPr="00AD3AB8">
        <w:rPr>
          <w:sz w:val="24"/>
          <w:szCs w:val="24"/>
        </w:rPr>
        <w:t xml:space="preserve"> og fortynding af lægemidlet, se pkt. 6.3.</w:t>
      </w:r>
    </w:p>
    <w:p w14:paraId="7914B399" w14:textId="77777777" w:rsidR="009260DE" w:rsidRPr="00AD3AB8" w:rsidRDefault="009260DE" w:rsidP="009260DE">
      <w:pPr>
        <w:tabs>
          <w:tab w:val="left" w:pos="851"/>
        </w:tabs>
        <w:ind w:left="851"/>
        <w:rPr>
          <w:sz w:val="24"/>
          <w:szCs w:val="24"/>
        </w:rPr>
      </w:pPr>
    </w:p>
    <w:p w14:paraId="2A3AF948" w14:textId="77777777" w:rsidR="009260DE" w:rsidRPr="00AD3AB8" w:rsidRDefault="009260DE" w:rsidP="009260DE">
      <w:pPr>
        <w:tabs>
          <w:tab w:val="left" w:pos="851"/>
        </w:tabs>
        <w:ind w:left="851" w:hanging="851"/>
        <w:rPr>
          <w:b/>
          <w:sz w:val="24"/>
          <w:szCs w:val="24"/>
        </w:rPr>
      </w:pPr>
      <w:r w:rsidRPr="00AD3AB8">
        <w:rPr>
          <w:b/>
          <w:sz w:val="24"/>
          <w:szCs w:val="24"/>
        </w:rPr>
        <w:t>6.5</w:t>
      </w:r>
      <w:r w:rsidRPr="00AD3AB8">
        <w:rPr>
          <w:b/>
          <w:sz w:val="24"/>
          <w:szCs w:val="24"/>
        </w:rPr>
        <w:tab/>
        <w:t>Emballagetype og pakningsstørrelser</w:t>
      </w:r>
    </w:p>
    <w:p w14:paraId="1A2F0A22" w14:textId="77777777" w:rsidR="00EF23AD" w:rsidRPr="00AD3AB8" w:rsidRDefault="00EF23AD" w:rsidP="00AD3AB8">
      <w:pPr>
        <w:ind w:left="851"/>
        <w:rPr>
          <w:sz w:val="24"/>
          <w:szCs w:val="24"/>
        </w:rPr>
      </w:pPr>
      <w:r w:rsidRPr="00AD3AB8">
        <w:rPr>
          <w:sz w:val="24"/>
          <w:szCs w:val="24"/>
        </w:rPr>
        <w:t xml:space="preserve">Klart, farveløst, 20 ml hætteglas af type I-glas, forseglet med en grå </w:t>
      </w:r>
      <w:proofErr w:type="spellStart"/>
      <w:r w:rsidRPr="00AD3AB8">
        <w:rPr>
          <w:sz w:val="24"/>
          <w:szCs w:val="24"/>
        </w:rPr>
        <w:t>chlorbutylgummiprop</w:t>
      </w:r>
      <w:proofErr w:type="spellEnd"/>
      <w:r w:rsidRPr="00AD3AB8">
        <w:rPr>
          <w:sz w:val="24"/>
          <w:szCs w:val="24"/>
        </w:rPr>
        <w:t xml:space="preserve"> og en aluminiumsforsegling med en rød flip-</w:t>
      </w:r>
      <w:proofErr w:type="spellStart"/>
      <w:r w:rsidRPr="00AD3AB8">
        <w:rPr>
          <w:sz w:val="24"/>
          <w:szCs w:val="24"/>
        </w:rPr>
        <w:t>off</w:t>
      </w:r>
      <w:proofErr w:type="spellEnd"/>
      <w:r w:rsidRPr="00AD3AB8">
        <w:rPr>
          <w:sz w:val="24"/>
          <w:szCs w:val="24"/>
        </w:rPr>
        <w:t xml:space="preserve"> hætte, der indeholder 50 mg </w:t>
      </w:r>
      <w:proofErr w:type="spellStart"/>
      <w:r w:rsidRPr="00AD3AB8">
        <w:rPr>
          <w:sz w:val="24"/>
          <w:szCs w:val="24"/>
        </w:rPr>
        <w:t>decitabin</w:t>
      </w:r>
      <w:proofErr w:type="spellEnd"/>
      <w:r w:rsidRPr="00AD3AB8">
        <w:rPr>
          <w:sz w:val="24"/>
          <w:szCs w:val="24"/>
        </w:rPr>
        <w:t>. Hætteglassene kan eventuelt være beklædt med et beskyttende omslag.</w:t>
      </w:r>
    </w:p>
    <w:p w14:paraId="19A478B2" w14:textId="77777777" w:rsidR="00EF23AD" w:rsidRPr="00AD3AB8" w:rsidRDefault="00EF23AD" w:rsidP="00AD3AB8">
      <w:pPr>
        <w:ind w:left="851"/>
        <w:rPr>
          <w:sz w:val="24"/>
          <w:szCs w:val="24"/>
        </w:rPr>
      </w:pPr>
    </w:p>
    <w:p w14:paraId="55B713F0" w14:textId="77777777" w:rsidR="00EF23AD" w:rsidRPr="00AD3AB8" w:rsidRDefault="00EF23AD" w:rsidP="00AD3AB8">
      <w:pPr>
        <w:ind w:left="851"/>
        <w:rPr>
          <w:sz w:val="24"/>
          <w:szCs w:val="24"/>
        </w:rPr>
      </w:pPr>
      <w:r w:rsidRPr="00AD3AB8">
        <w:rPr>
          <w:sz w:val="24"/>
          <w:szCs w:val="24"/>
        </w:rPr>
        <w:t>Pakningsstørrelse: 1 hætteglas.</w:t>
      </w:r>
    </w:p>
    <w:p w14:paraId="6C51D500" w14:textId="77777777" w:rsidR="009260DE" w:rsidRPr="00AD3AB8" w:rsidRDefault="009260DE" w:rsidP="009260DE">
      <w:pPr>
        <w:tabs>
          <w:tab w:val="left" w:pos="851"/>
        </w:tabs>
        <w:ind w:left="851"/>
        <w:rPr>
          <w:sz w:val="24"/>
          <w:szCs w:val="24"/>
        </w:rPr>
      </w:pPr>
    </w:p>
    <w:p w14:paraId="1A654196" w14:textId="77777777" w:rsidR="009260DE" w:rsidRPr="00AD3AB8" w:rsidRDefault="009260DE" w:rsidP="009260DE">
      <w:pPr>
        <w:tabs>
          <w:tab w:val="left" w:pos="851"/>
        </w:tabs>
        <w:ind w:left="851" w:hanging="851"/>
        <w:rPr>
          <w:b/>
          <w:sz w:val="24"/>
          <w:szCs w:val="24"/>
        </w:rPr>
      </w:pPr>
      <w:r w:rsidRPr="00AD3AB8">
        <w:rPr>
          <w:b/>
          <w:sz w:val="24"/>
          <w:szCs w:val="24"/>
        </w:rPr>
        <w:t>6.6</w:t>
      </w:r>
      <w:r w:rsidRPr="00AD3AB8">
        <w:rPr>
          <w:b/>
          <w:sz w:val="24"/>
          <w:szCs w:val="24"/>
        </w:rPr>
        <w:tab/>
        <w:t xml:space="preserve">Regler for </w:t>
      </w:r>
      <w:r w:rsidR="00BD7931" w:rsidRPr="00AD3AB8">
        <w:rPr>
          <w:b/>
          <w:sz w:val="24"/>
          <w:szCs w:val="24"/>
        </w:rPr>
        <w:t>bortskaffelse</w:t>
      </w:r>
      <w:r w:rsidRPr="00AD3AB8">
        <w:rPr>
          <w:b/>
          <w:sz w:val="24"/>
          <w:szCs w:val="24"/>
        </w:rPr>
        <w:t xml:space="preserve"> og anden håndtering</w:t>
      </w:r>
    </w:p>
    <w:p w14:paraId="1B09435F" w14:textId="77777777" w:rsidR="0020440A" w:rsidRDefault="0020440A" w:rsidP="00AD3AB8">
      <w:pPr>
        <w:ind w:left="851"/>
        <w:rPr>
          <w:sz w:val="24"/>
          <w:szCs w:val="24"/>
        </w:rPr>
      </w:pPr>
    </w:p>
    <w:p w14:paraId="29859C82" w14:textId="09945839" w:rsidR="00EF23AD" w:rsidRPr="0020440A" w:rsidRDefault="00EF23AD" w:rsidP="00AD3AB8">
      <w:pPr>
        <w:ind w:left="851"/>
        <w:rPr>
          <w:sz w:val="24"/>
          <w:szCs w:val="24"/>
          <w:u w:val="single"/>
        </w:rPr>
      </w:pPr>
      <w:r w:rsidRPr="0020440A">
        <w:rPr>
          <w:sz w:val="24"/>
          <w:szCs w:val="24"/>
          <w:u w:val="single"/>
        </w:rPr>
        <w:t>Anbefalet fremgangsmåde for sikker håndtering</w:t>
      </w:r>
    </w:p>
    <w:p w14:paraId="05D1EFC3" w14:textId="77777777" w:rsidR="00EF23AD" w:rsidRPr="00AD3AB8" w:rsidRDefault="00EF23AD" w:rsidP="00AD3AB8">
      <w:pPr>
        <w:ind w:left="851"/>
        <w:rPr>
          <w:sz w:val="24"/>
          <w:szCs w:val="24"/>
        </w:rPr>
      </w:pPr>
      <w:r w:rsidRPr="00AD3AB8">
        <w:rPr>
          <w:sz w:val="24"/>
          <w:szCs w:val="24"/>
        </w:rPr>
        <w:t xml:space="preserve">Undgå, at huden kommer i kontakt med opløsningen - anvend beskyttelseshandsker. Standardprocedurer for håndtering af </w:t>
      </w:r>
      <w:proofErr w:type="spellStart"/>
      <w:r w:rsidRPr="00AD3AB8">
        <w:rPr>
          <w:sz w:val="24"/>
          <w:szCs w:val="24"/>
        </w:rPr>
        <w:t>cytostatika</w:t>
      </w:r>
      <w:proofErr w:type="spellEnd"/>
      <w:r w:rsidRPr="00AD3AB8">
        <w:rPr>
          <w:sz w:val="24"/>
          <w:szCs w:val="24"/>
        </w:rPr>
        <w:t xml:space="preserve"> skal følges.</w:t>
      </w:r>
    </w:p>
    <w:p w14:paraId="61E7B8B8" w14:textId="77777777" w:rsidR="00EF23AD" w:rsidRPr="00AD3AB8" w:rsidRDefault="00EF23AD" w:rsidP="00AD3AB8">
      <w:pPr>
        <w:ind w:left="851"/>
        <w:rPr>
          <w:sz w:val="24"/>
          <w:szCs w:val="24"/>
        </w:rPr>
      </w:pPr>
    </w:p>
    <w:p w14:paraId="11A6637B" w14:textId="77777777" w:rsidR="00EF23AD" w:rsidRPr="0020440A" w:rsidRDefault="00EF23AD" w:rsidP="00AD3AB8">
      <w:pPr>
        <w:ind w:left="851"/>
        <w:rPr>
          <w:sz w:val="24"/>
          <w:szCs w:val="24"/>
          <w:u w:val="single"/>
        </w:rPr>
      </w:pPr>
      <w:proofErr w:type="spellStart"/>
      <w:r w:rsidRPr="0020440A">
        <w:rPr>
          <w:sz w:val="24"/>
          <w:szCs w:val="24"/>
          <w:u w:val="single"/>
        </w:rPr>
        <w:t>Rekonstitutionsmetode</w:t>
      </w:r>
      <w:proofErr w:type="spellEnd"/>
    </w:p>
    <w:p w14:paraId="37432A18" w14:textId="77777777" w:rsidR="00EF23AD" w:rsidRPr="00AD3AB8" w:rsidRDefault="00EF23AD" w:rsidP="00AD3AB8">
      <w:pPr>
        <w:ind w:left="851"/>
        <w:rPr>
          <w:sz w:val="24"/>
          <w:szCs w:val="24"/>
        </w:rPr>
      </w:pPr>
      <w:r w:rsidRPr="00AD3AB8">
        <w:rPr>
          <w:sz w:val="24"/>
          <w:szCs w:val="24"/>
        </w:rPr>
        <w:t xml:space="preserve">Pulveret bør </w:t>
      </w:r>
      <w:proofErr w:type="spellStart"/>
      <w:r w:rsidRPr="00AD3AB8">
        <w:rPr>
          <w:sz w:val="24"/>
          <w:szCs w:val="24"/>
        </w:rPr>
        <w:t>rekonstitueres</w:t>
      </w:r>
      <w:proofErr w:type="spellEnd"/>
      <w:r w:rsidRPr="00AD3AB8">
        <w:rPr>
          <w:sz w:val="24"/>
          <w:szCs w:val="24"/>
        </w:rPr>
        <w:t xml:space="preserve"> under aseptiske betingelser med 10 ml vand til injektionsvæsker. Efter </w:t>
      </w:r>
      <w:proofErr w:type="spellStart"/>
      <w:r w:rsidRPr="00AD3AB8">
        <w:rPr>
          <w:sz w:val="24"/>
          <w:szCs w:val="24"/>
        </w:rPr>
        <w:t>rekonstitution</w:t>
      </w:r>
      <w:proofErr w:type="spellEnd"/>
      <w:r w:rsidRPr="00AD3AB8">
        <w:rPr>
          <w:sz w:val="24"/>
          <w:szCs w:val="24"/>
        </w:rPr>
        <w:t xml:space="preserve"> indeholder 1 ml ca. 5 mg </w:t>
      </w:r>
      <w:proofErr w:type="spellStart"/>
      <w:r w:rsidRPr="00AD3AB8">
        <w:rPr>
          <w:sz w:val="24"/>
          <w:szCs w:val="24"/>
        </w:rPr>
        <w:t>decitabin</w:t>
      </w:r>
      <w:proofErr w:type="spellEnd"/>
      <w:r w:rsidRPr="00AD3AB8">
        <w:rPr>
          <w:sz w:val="24"/>
          <w:szCs w:val="24"/>
        </w:rPr>
        <w:t xml:space="preserve"> med pH 6,7 til 7,3. Inden for 15 minutter efter </w:t>
      </w:r>
      <w:proofErr w:type="spellStart"/>
      <w:r w:rsidRPr="00AD3AB8">
        <w:rPr>
          <w:sz w:val="24"/>
          <w:szCs w:val="24"/>
        </w:rPr>
        <w:t>rekonstitution</w:t>
      </w:r>
      <w:proofErr w:type="spellEnd"/>
      <w:r w:rsidRPr="00AD3AB8">
        <w:rPr>
          <w:sz w:val="24"/>
          <w:szCs w:val="24"/>
        </w:rPr>
        <w:t xml:space="preserve"> skal opløsningen fortyndes yderligere med kold infusionsvæske (9 mg/ml [0,9 %] </w:t>
      </w:r>
      <w:proofErr w:type="spellStart"/>
      <w:r w:rsidRPr="00AD3AB8">
        <w:rPr>
          <w:sz w:val="24"/>
          <w:szCs w:val="24"/>
        </w:rPr>
        <w:t>natriumchlorid</w:t>
      </w:r>
      <w:proofErr w:type="spellEnd"/>
      <w:r w:rsidRPr="00AD3AB8">
        <w:rPr>
          <w:sz w:val="24"/>
          <w:szCs w:val="24"/>
        </w:rPr>
        <w:t xml:space="preserve"> injektionsvæske eller 5 % glukoseopløsning til injektion) til en endelig koncentration på 0,15 til 1,0 mg/ml. Opbevaringsforhold efter </w:t>
      </w:r>
      <w:proofErr w:type="spellStart"/>
      <w:r w:rsidRPr="00AD3AB8">
        <w:rPr>
          <w:sz w:val="24"/>
          <w:szCs w:val="24"/>
        </w:rPr>
        <w:t>rekonstitution</w:t>
      </w:r>
      <w:proofErr w:type="spellEnd"/>
      <w:r w:rsidRPr="00AD3AB8">
        <w:rPr>
          <w:sz w:val="24"/>
          <w:szCs w:val="24"/>
        </w:rPr>
        <w:t>, se pkt. 6.3.</w:t>
      </w:r>
    </w:p>
    <w:p w14:paraId="26B2AE57" w14:textId="77777777" w:rsidR="00EF23AD" w:rsidRPr="00AD3AB8" w:rsidRDefault="00EF23AD" w:rsidP="00AD3AB8">
      <w:pPr>
        <w:ind w:left="851"/>
        <w:rPr>
          <w:sz w:val="24"/>
          <w:szCs w:val="24"/>
        </w:rPr>
      </w:pPr>
      <w:r w:rsidRPr="00AD3AB8">
        <w:rPr>
          <w:sz w:val="24"/>
          <w:szCs w:val="24"/>
        </w:rPr>
        <w:t xml:space="preserve">Efter </w:t>
      </w:r>
      <w:proofErr w:type="spellStart"/>
      <w:r w:rsidRPr="00AD3AB8">
        <w:rPr>
          <w:sz w:val="24"/>
          <w:szCs w:val="24"/>
        </w:rPr>
        <w:t>rekonstitution</w:t>
      </w:r>
      <w:proofErr w:type="spellEnd"/>
      <w:r w:rsidRPr="00AD3AB8">
        <w:rPr>
          <w:sz w:val="24"/>
          <w:szCs w:val="24"/>
        </w:rPr>
        <w:t xml:space="preserve"> er opløsningen en klar til lys opaliserende opløsning. Opløsningen er i det væsentlige fri for fremmede partikler, der kan observeres ved visuel inspektion.</w:t>
      </w:r>
    </w:p>
    <w:p w14:paraId="2FD70E5B" w14:textId="77777777" w:rsidR="00EF23AD" w:rsidRPr="00AD3AB8" w:rsidRDefault="00EF23AD" w:rsidP="00AD3AB8">
      <w:pPr>
        <w:ind w:left="851"/>
        <w:rPr>
          <w:sz w:val="24"/>
          <w:szCs w:val="24"/>
        </w:rPr>
      </w:pPr>
    </w:p>
    <w:p w14:paraId="684E8F39" w14:textId="18688289" w:rsidR="00EF23AD" w:rsidRPr="00AD3AB8" w:rsidRDefault="00AD397D" w:rsidP="00AD3AB8">
      <w:pPr>
        <w:ind w:left="851"/>
        <w:rPr>
          <w:sz w:val="24"/>
          <w:szCs w:val="24"/>
        </w:rPr>
      </w:pPr>
      <w:proofErr w:type="spellStart"/>
      <w:r>
        <w:rPr>
          <w:sz w:val="24"/>
          <w:szCs w:val="24"/>
        </w:rPr>
        <w:t>Decitabine</w:t>
      </w:r>
      <w:proofErr w:type="spellEnd"/>
      <w:r>
        <w:rPr>
          <w:sz w:val="24"/>
          <w:szCs w:val="24"/>
        </w:rPr>
        <w:t xml:space="preserve"> "Ever Pharma"</w:t>
      </w:r>
      <w:r w:rsidR="00EF23AD" w:rsidRPr="00AD3AB8">
        <w:rPr>
          <w:sz w:val="24"/>
          <w:szCs w:val="24"/>
        </w:rPr>
        <w:t xml:space="preserve"> må ikke gives som infusion gennem samme intravenøse drop som andre lægemidler. </w:t>
      </w:r>
    </w:p>
    <w:p w14:paraId="28D97991" w14:textId="77777777" w:rsidR="00EF23AD" w:rsidRPr="00AD3AB8" w:rsidRDefault="00EF23AD" w:rsidP="00AD3AB8">
      <w:pPr>
        <w:ind w:left="851"/>
        <w:rPr>
          <w:sz w:val="24"/>
          <w:szCs w:val="24"/>
        </w:rPr>
      </w:pPr>
    </w:p>
    <w:p w14:paraId="3A196CD1" w14:textId="77777777" w:rsidR="00EF23AD" w:rsidRPr="0020440A" w:rsidRDefault="00EF23AD" w:rsidP="00AD3AB8">
      <w:pPr>
        <w:ind w:left="851"/>
        <w:rPr>
          <w:sz w:val="24"/>
          <w:szCs w:val="24"/>
          <w:u w:val="single"/>
        </w:rPr>
      </w:pPr>
      <w:r w:rsidRPr="0020440A">
        <w:rPr>
          <w:sz w:val="24"/>
          <w:szCs w:val="24"/>
          <w:u w:val="single"/>
        </w:rPr>
        <w:t>Bortskaffelse</w:t>
      </w:r>
    </w:p>
    <w:p w14:paraId="7C707027" w14:textId="77777777" w:rsidR="00EF23AD" w:rsidRPr="00AD3AB8" w:rsidRDefault="00EF23AD" w:rsidP="00AD3AB8">
      <w:pPr>
        <w:ind w:left="851"/>
        <w:rPr>
          <w:sz w:val="24"/>
          <w:szCs w:val="24"/>
        </w:rPr>
      </w:pPr>
      <w:r w:rsidRPr="00AD3AB8">
        <w:rPr>
          <w:sz w:val="24"/>
          <w:szCs w:val="24"/>
        </w:rPr>
        <w:t>Dette lægemiddel er kun til engangsbrug. Ikke anvendt lægemiddel samt affald heraf skal bortskaffes i henhold til lokale retningslinjer.</w:t>
      </w:r>
    </w:p>
    <w:p w14:paraId="29ED94B7" w14:textId="77777777" w:rsidR="009260DE" w:rsidRPr="00AD3AB8" w:rsidRDefault="009260DE" w:rsidP="000730CA">
      <w:pPr>
        <w:tabs>
          <w:tab w:val="left" w:pos="851"/>
        </w:tabs>
        <w:ind w:left="851"/>
        <w:rPr>
          <w:sz w:val="24"/>
          <w:szCs w:val="24"/>
        </w:rPr>
      </w:pPr>
    </w:p>
    <w:p w14:paraId="1A6EF5F1" w14:textId="77777777" w:rsidR="009260DE" w:rsidRPr="00AD3AB8" w:rsidRDefault="009260DE" w:rsidP="009260DE">
      <w:pPr>
        <w:tabs>
          <w:tab w:val="left" w:pos="851"/>
        </w:tabs>
        <w:ind w:left="851" w:hanging="851"/>
        <w:rPr>
          <w:b/>
          <w:sz w:val="24"/>
          <w:szCs w:val="24"/>
        </w:rPr>
      </w:pPr>
      <w:r w:rsidRPr="00AD3AB8">
        <w:rPr>
          <w:b/>
          <w:sz w:val="24"/>
          <w:szCs w:val="24"/>
        </w:rPr>
        <w:t>7.</w:t>
      </w:r>
      <w:r w:rsidRPr="00AD3AB8">
        <w:rPr>
          <w:b/>
          <w:sz w:val="24"/>
          <w:szCs w:val="24"/>
        </w:rPr>
        <w:tab/>
        <w:t>INDEHAVER AF MARKEDSFØRINGSTILLADELSEN</w:t>
      </w:r>
    </w:p>
    <w:p w14:paraId="505881FD" w14:textId="77777777" w:rsidR="00EF23AD" w:rsidRPr="00AD3AB8" w:rsidRDefault="00EF23AD" w:rsidP="00AD3AB8">
      <w:pPr>
        <w:ind w:left="851"/>
        <w:rPr>
          <w:sz w:val="24"/>
          <w:szCs w:val="24"/>
        </w:rPr>
      </w:pPr>
      <w:r w:rsidRPr="00AD3AB8">
        <w:rPr>
          <w:sz w:val="24"/>
          <w:szCs w:val="24"/>
        </w:rPr>
        <w:t xml:space="preserve">EVER </w:t>
      </w:r>
      <w:proofErr w:type="spellStart"/>
      <w:r w:rsidRPr="00AD3AB8">
        <w:rPr>
          <w:sz w:val="24"/>
          <w:szCs w:val="24"/>
        </w:rPr>
        <w:t>Valinject</w:t>
      </w:r>
      <w:proofErr w:type="spellEnd"/>
      <w:r w:rsidRPr="00AD3AB8">
        <w:rPr>
          <w:sz w:val="24"/>
          <w:szCs w:val="24"/>
        </w:rPr>
        <w:t xml:space="preserve"> GmbH</w:t>
      </w:r>
    </w:p>
    <w:p w14:paraId="6E7FA22C" w14:textId="77777777" w:rsidR="00EF23AD" w:rsidRPr="00AD3AB8" w:rsidRDefault="00EF23AD" w:rsidP="00AD3AB8">
      <w:pPr>
        <w:ind w:left="851"/>
        <w:rPr>
          <w:sz w:val="24"/>
          <w:szCs w:val="24"/>
          <w:lang w:val="en-US"/>
        </w:rPr>
      </w:pPr>
      <w:proofErr w:type="spellStart"/>
      <w:r w:rsidRPr="00AD3AB8">
        <w:rPr>
          <w:sz w:val="24"/>
          <w:szCs w:val="24"/>
          <w:lang w:val="en-US"/>
        </w:rPr>
        <w:t>Oberburgau</w:t>
      </w:r>
      <w:proofErr w:type="spellEnd"/>
      <w:r w:rsidRPr="00AD3AB8">
        <w:rPr>
          <w:sz w:val="24"/>
          <w:szCs w:val="24"/>
          <w:lang w:val="en-US"/>
        </w:rPr>
        <w:t xml:space="preserve"> 3</w:t>
      </w:r>
    </w:p>
    <w:p w14:paraId="317D6BF8" w14:textId="77777777" w:rsidR="00EF23AD" w:rsidRPr="00AD3AB8" w:rsidRDefault="00EF23AD" w:rsidP="00AD3AB8">
      <w:pPr>
        <w:ind w:left="851"/>
        <w:rPr>
          <w:sz w:val="24"/>
          <w:szCs w:val="24"/>
          <w:lang w:val="en-US"/>
        </w:rPr>
      </w:pPr>
      <w:r w:rsidRPr="00AD3AB8">
        <w:rPr>
          <w:sz w:val="24"/>
          <w:szCs w:val="24"/>
          <w:lang w:val="en-US"/>
        </w:rPr>
        <w:t xml:space="preserve">4866 </w:t>
      </w:r>
      <w:proofErr w:type="spellStart"/>
      <w:r w:rsidRPr="00AD3AB8">
        <w:rPr>
          <w:sz w:val="24"/>
          <w:szCs w:val="24"/>
          <w:lang w:val="en-US"/>
        </w:rPr>
        <w:t>Unterach</w:t>
      </w:r>
      <w:proofErr w:type="spellEnd"/>
      <w:r w:rsidRPr="00AD3AB8">
        <w:rPr>
          <w:sz w:val="24"/>
          <w:szCs w:val="24"/>
          <w:lang w:val="en-US"/>
        </w:rPr>
        <w:t xml:space="preserve"> am </w:t>
      </w:r>
      <w:proofErr w:type="spellStart"/>
      <w:r w:rsidRPr="00AD3AB8">
        <w:rPr>
          <w:sz w:val="24"/>
          <w:szCs w:val="24"/>
          <w:lang w:val="en-US"/>
        </w:rPr>
        <w:t>Attersee</w:t>
      </w:r>
      <w:proofErr w:type="spellEnd"/>
    </w:p>
    <w:p w14:paraId="33A3D7D8" w14:textId="77777777" w:rsidR="00EF23AD" w:rsidRPr="00AD3AB8" w:rsidRDefault="00EF23AD" w:rsidP="00AD3AB8">
      <w:pPr>
        <w:ind w:left="851"/>
        <w:rPr>
          <w:sz w:val="24"/>
          <w:szCs w:val="24"/>
          <w:lang w:val="en-US"/>
        </w:rPr>
      </w:pPr>
      <w:proofErr w:type="spellStart"/>
      <w:r w:rsidRPr="00AD3AB8">
        <w:rPr>
          <w:sz w:val="24"/>
          <w:szCs w:val="24"/>
          <w:lang w:val="en-US"/>
        </w:rPr>
        <w:t>Østrig</w:t>
      </w:r>
      <w:proofErr w:type="spellEnd"/>
    </w:p>
    <w:p w14:paraId="33FFAEFF" w14:textId="77777777" w:rsidR="009260DE" w:rsidRPr="00AD3AB8" w:rsidRDefault="009260DE" w:rsidP="00AD3AB8">
      <w:pPr>
        <w:ind w:left="851"/>
        <w:rPr>
          <w:sz w:val="24"/>
          <w:szCs w:val="24"/>
          <w:lang w:val="en-US"/>
        </w:rPr>
      </w:pPr>
    </w:p>
    <w:p w14:paraId="679E602F" w14:textId="77777777" w:rsidR="009260DE" w:rsidRPr="00AD3AB8" w:rsidRDefault="009260DE" w:rsidP="009260DE">
      <w:pPr>
        <w:tabs>
          <w:tab w:val="left" w:pos="851"/>
        </w:tabs>
        <w:ind w:left="851" w:hanging="851"/>
        <w:rPr>
          <w:b/>
          <w:sz w:val="24"/>
          <w:szCs w:val="24"/>
        </w:rPr>
      </w:pPr>
      <w:r w:rsidRPr="00AD3AB8">
        <w:rPr>
          <w:b/>
          <w:sz w:val="24"/>
          <w:szCs w:val="24"/>
        </w:rPr>
        <w:t>8.</w:t>
      </w:r>
      <w:r w:rsidRPr="00AD3AB8">
        <w:rPr>
          <w:b/>
          <w:sz w:val="24"/>
          <w:szCs w:val="24"/>
        </w:rPr>
        <w:tab/>
        <w:t>MARKEDSFØRINGSTILLADELSESNUMMER (</w:t>
      </w:r>
      <w:r w:rsidR="00BF6243" w:rsidRPr="00AD3AB8">
        <w:rPr>
          <w:b/>
          <w:sz w:val="24"/>
          <w:szCs w:val="24"/>
        </w:rPr>
        <w:t>-</w:t>
      </w:r>
      <w:r w:rsidRPr="00AD3AB8">
        <w:rPr>
          <w:b/>
          <w:sz w:val="24"/>
          <w:szCs w:val="24"/>
        </w:rPr>
        <w:t>NUMRE)</w:t>
      </w:r>
    </w:p>
    <w:p w14:paraId="41DCE2CF" w14:textId="011C9CCD" w:rsidR="009260DE" w:rsidRPr="00AD3AB8" w:rsidRDefault="00EF23AD" w:rsidP="009260DE">
      <w:pPr>
        <w:tabs>
          <w:tab w:val="left" w:pos="851"/>
        </w:tabs>
        <w:ind w:left="851"/>
        <w:rPr>
          <w:sz w:val="24"/>
          <w:szCs w:val="24"/>
        </w:rPr>
      </w:pPr>
      <w:r w:rsidRPr="00AD3AB8">
        <w:rPr>
          <w:sz w:val="24"/>
          <w:szCs w:val="24"/>
        </w:rPr>
        <w:t>72534</w:t>
      </w:r>
    </w:p>
    <w:p w14:paraId="51F60314" w14:textId="77777777" w:rsidR="009260DE" w:rsidRPr="00AD3AB8" w:rsidRDefault="009260DE" w:rsidP="009260DE">
      <w:pPr>
        <w:tabs>
          <w:tab w:val="left" w:pos="851"/>
        </w:tabs>
        <w:ind w:left="851"/>
        <w:jc w:val="both"/>
        <w:rPr>
          <w:sz w:val="24"/>
          <w:szCs w:val="24"/>
        </w:rPr>
      </w:pPr>
    </w:p>
    <w:p w14:paraId="65E0F4F9" w14:textId="77777777" w:rsidR="009260DE" w:rsidRPr="00AD3AB8" w:rsidRDefault="009260DE" w:rsidP="009260DE">
      <w:pPr>
        <w:tabs>
          <w:tab w:val="left" w:pos="851"/>
        </w:tabs>
        <w:ind w:left="851" w:hanging="851"/>
        <w:rPr>
          <w:b/>
          <w:sz w:val="24"/>
          <w:szCs w:val="24"/>
        </w:rPr>
      </w:pPr>
      <w:r w:rsidRPr="00AD3AB8">
        <w:rPr>
          <w:b/>
          <w:sz w:val="24"/>
          <w:szCs w:val="24"/>
        </w:rPr>
        <w:t>9.</w:t>
      </w:r>
      <w:r w:rsidRPr="00AD3AB8">
        <w:rPr>
          <w:b/>
          <w:sz w:val="24"/>
          <w:szCs w:val="24"/>
        </w:rPr>
        <w:tab/>
        <w:t>DATO FOR FØRSTE MARKEDSFØRINGSTILLADELSE</w:t>
      </w:r>
    </w:p>
    <w:p w14:paraId="0222E514" w14:textId="2E855C8A" w:rsidR="009260DE" w:rsidRPr="00AD3AB8" w:rsidRDefault="00F417BB" w:rsidP="009260DE">
      <w:pPr>
        <w:tabs>
          <w:tab w:val="left" w:pos="851"/>
        </w:tabs>
        <w:ind w:left="851"/>
        <w:rPr>
          <w:sz w:val="24"/>
          <w:szCs w:val="24"/>
        </w:rPr>
      </w:pPr>
      <w:r>
        <w:rPr>
          <w:sz w:val="24"/>
          <w:szCs w:val="24"/>
        </w:rPr>
        <w:t>3. marts 2026</w:t>
      </w:r>
    </w:p>
    <w:p w14:paraId="0FBAE3F8" w14:textId="77777777" w:rsidR="009260DE" w:rsidRPr="00AD3AB8" w:rsidRDefault="009260DE" w:rsidP="009260DE">
      <w:pPr>
        <w:tabs>
          <w:tab w:val="left" w:pos="851"/>
        </w:tabs>
        <w:ind w:left="851"/>
        <w:rPr>
          <w:sz w:val="24"/>
          <w:szCs w:val="24"/>
        </w:rPr>
      </w:pPr>
    </w:p>
    <w:p w14:paraId="0FC86150" w14:textId="77777777" w:rsidR="009260DE" w:rsidRPr="00AD3AB8" w:rsidRDefault="009260DE" w:rsidP="009260DE">
      <w:pPr>
        <w:tabs>
          <w:tab w:val="left" w:pos="851"/>
        </w:tabs>
        <w:ind w:left="851" w:hanging="851"/>
        <w:rPr>
          <w:b/>
          <w:sz w:val="24"/>
          <w:szCs w:val="24"/>
        </w:rPr>
      </w:pPr>
      <w:r w:rsidRPr="00AD3AB8">
        <w:rPr>
          <w:b/>
          <w:sz w:val="24"/>
          <w:szCs w:val="24"/>
        </w:rPr>
        <w:t>10.</w:t>
      </w:r>
      <w:r w:rsidRPr="00AD3AB8">
        <w:rPr>
          <w:b/>
          <w:sz w:val="24"/>
          <w:szCs w:val="24"/>
        </w:rPr>
        <w:tab/>
        <w:t>DATO FOR ÆNDRING AF TEKSTEN</w:t>
      </w:r>
    </w:p>
    <w:p w14:paraId="1549F7BB" w14:textId="0EEECD01" w:rsidR="009260DE" w:rsidRPr="00AD3AB8" w:rsidRDefault="00EF23AD" w:rsidP="009260DE">
      <w:pPr>
        <w:tabs>
          <w:tab w:val="left" w:pos="851"/>
        </w:tabs>
        <w:ind w:left="851"/>
        <w:rPr>
          <w:sz w:val="24"/>
          <w:szCs w:val="24"/>
        </w:rPr>
      </w:pPr>
      <w:r w:rsidRPr="00AD3AB8">
        <w:rPr>
          <w:sz w:val="24"/>
          <w:szCs w:val="24"/>
        </w:rPr>
        <w:t>-</w:t>
      </w:r>
    </w:p>
    <w:sectPr w:rsidR="009260DE" w:rsidRPr="00AD3AB8"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B2354" w14:textId="77777777" w:rsidR="00A112B1" w:rsidRDefault="00A112B1">
      <w:r>
        <w:separator/>
      </w:r>
    </w:p>
  </w:endnote>
  <w:endnote w:type="continuationSeparator" w:id="0">
    <w:p w14:paraId="7284436C" w14:textId="77777777" w:rsidR="00A112B1" w:rsidRDefault="00A1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AA07D" w14:textId="77777777" w:rsidR="00A112B1" w:rsidRDefault="00A112B1">
    <w:pPr>
      <w:pStyle w:val="Sidefod"/>
      <w:pBdr>
        <w:bottom w:val="single" w:sz="6" w:space="1" w:color="auto"/>
      </w:pBdr>
    </w:pPr>
  </w:p>
  <w:p w14:paraId="6B1BBB04" w14:textId="77777777" w:rsidR="00A112B1" w:rsidRDefault="00A112B1" w:rsidP="00C42586">
    <w:pPr>
      <w:pStyle w:val="Sidefod"/>
      <w:tabs>
        <w:tab w:val="clear" w:pos="4819"/>
        <w:tab w:val="left" w:pos="8505"/>
      </w:tabs>
      <w:rPr>
        <w:i/>
        <w:sz w:val="18"/>
        <w:szCs w:val="18"/>
      </w:rPr>
    </w:pPr>
  </w:p>
  <w:p w14:paraId="21E27FF7" w14:textId="3B07BDB9" w:rsidR="00A112B1" w:rsidRPr="00B373D7" w:rsidRDefault="00A112B1"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AD6EB4">
      <w:rPr>
        <w:i/>
        <w:noProof/>
        <w:sz w:val="18"/>
        <w:szCs w:val="18"/>
      </w:rPr>
      <w:t>Decitabine Ever Pharma, pulver til koncentrat til infusionsvæske, opøsning 50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A6FF6C" w14:textId="77777777" w:rsidR="00A112B1" w:rsidRDefault="00A112B1">
      <w:r>
        <w:separator/>
      </w:r>
    </w:p>
  </w:footnote>
  <w:footnote w:type="continuationSeparator" w:id="0">
    <w:p w14:paraId="134A2FF2" w14:textId="77777777" w:rsidR="00A112B1" w:rsidRDefault="00A11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FFFFFFFF"/>
    <w:lvl w:ilvl="0">
      <w:numFmt w:val="bullet"/>
      <w:lvlText w:val=""/>
      <w:lvlJc w:val="left"/>
      <w:pPr>
        <w:ind w:left="567" w:hanging="567"/>
      </w:pPr>
      <w:rPr>
        <w:rFonts w:ascii="Symbol" w:hAnsi="Symbol" w:cs="Symbol"/>
        <w:b w:val="0"/>
        <w:bCs w:val="0"/>
        <w:i w:val="0"/>
        <w:iCs w:val="0"/>
        <w:spacing w:val="0"/>
        <w:w w:val="100"/>
        <w:sz w:val="22"/>
        <w:szCs w:val="22"/>
      </w:rPr>
    </w:lvl>
    <w:lvl w:ilvl="1">
      <w:numFmt w:val="bullet"/>
      <w:lvlText w:val="•"/>
      <w:lvlJc w:val="left"/>
      <w:pPr>
        <w:ind w:left="1411" w:hanging="567"/>
      </w:pPr>
    </w:lvl>
    <w:lvl w:ilvl="2">
      <w:numFmt w:val="bullet"/>
      <w:lvlText w:val="•"/>
      <w:lvlJc w:val="left"/>
      <w:pPr>
        <w:ind w:left="2262" w:hanging="567"/>
      </w:pPr>
    </w:lvl>
    <w:lvl w:ilvl="3">
      <w:numFmt w:val="bullet"/>
      <w:lvlText w:val="•"/>
      <w:lvlJc w:val="left"/>
      <w:pPr>
        <w:ind w:left="3113" w:hanging="567"/>
      </w:pPr>
    </w:lvl>
    <w:lvl w:ilvl="4">
      <w:numFmt w:val="bullet"/>
      <w:lvlText w:val="•"/>
      <w:lvlJc w:val="left"/>
      <w:pPr>
        <w:ind w:left="3964" w:hanging="567"/>
      </w:pPr>
    </w:lvl>
    <w:lvl w:ilvl="5">
      <w:numFmt w:val="bullet"/>
      <w:lvlText w:val="•"/>
      <w:lvlJc w:val="left"/>
      <w:pPr>
        <w:ind w:left="4815" w:hanging="567"/>
      </w:pPr>
    </w:lvl>
    <w:lvl w:ilvl="6">
      <w:numFmt w:val="bullet"/>
      <w:lvlText w:val="•"/>
      <w:lvlJc w:val="left"/>
      <w:pPr>
        <w:ind w:left="5666" w:hanging="567"/>
      </w:pPr>
    </w:lvl>
    <w:lvl w:ilvl="7">
      <w:numFmt w:val="bullet"/>
      <w:lvlText w:val="•"/>
      <w:lvlJc w:val="left"/>
      <w:pPr>
        <w:ind w:left="6518" w:hanging="567"/>
      </w:pPr>
    </w:lvl>
    <w:lvl w:ilvl="8">
      <w:numFmt w:val="bullet"/>
      <w:lvlText w:val="•"/>
      <w:lvlJc w:val="left"/>
      <w:pPr>
        <w:ind w:left="7369" w:hanging="567"/>
      </w:pPr>
    </w:lvl>
  </w:abstractNum>
  <w:abstractNum w:abstractNumId="1" w15:restartNumberingAfterBreak="0">
    <w:nsid w:val="07950618"/>
    <w:multiLevelType w:val="hybridMultilevel"/>
    <w:tmpl w:val="FC2824A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0BD"/>
    <w:rsid w:val="000259B9"/>
    <w:rsid w:val="00041491"/>
    <w:rsid w:val="00050D16"/>
    <w:rsid w:val="000730CA"/>
    <w:rsid w:val="00074F2A"/>
    <w:rsid w:val="000A1CA8"/>
    <w:rsid w:val="000A466B"/>
    <w:rsid w:val="000B058C"/>
    <w:rsid w:val="000D68B0"/>
    <w:rsid w:val="000E4EE6"/>
    <w:rsid w:val="00105CC6"/>
    <w:rsid w:val="001454E2"/>
    <w:rsid w:val="0020440A"/>
    <w:rsid w:val="00206CE8"/>
    <w:rsid w:val="0021526C"/>
    <w:rsid w:val="00283A2B"/>
    <w:rsid w:val="002B30AD"/>
    <w:rsid w:val="002C1EC0"/>
    <w:rsid w:val="002C2C01"/>
    <w:rsid w:val="003A29AE"/>
    <w:rsid w:val="003A32D7"/>
    <w:rsid w:val="003B4074"/>
    <w:rsid w:val="003C769A"/>
    <w:rsid w:val="003D061D"/>
    <w:rsid w:val="003D3A90"/>
    <w:rsid w:val="003F1838"/>
    <w:rsid w:val="004251C1"/>
    <w:rsid w:val="0045746C"/>
    <w:rsid w:val="0049104B"/>
    <w:rsid w:val="004E3B12"/>
    <w:rsid w:val="00532310"/>
    <w:rsid w:val="00565F0F"/>
    <w:rsid w:val="00594A86"/>
    <w:rsid w:val="00596D86"/>
    <w:rsid w:val="005B1DB3"/>
    <w:rsid w:val="00637F5A"/>
    <w:rsid w:val="00641C65"/>
    <w:rsid w:val="006560B1"/>
    <w:rsid w:val="006756DD"/>
    <w:rsid w:val="00707E34"/>
    <w:rsid w:val="0071241E"/>
    <w:rsid w:val="00737275"/>
    <w:rsid w:val="00740EEC"/>
    <w:rsid w:val="0078011A"/>
    <w:rsid w:val="00782AF4"/>
    <w:rsid w:val="00790EE7"/>
    <w:rsid w:val="007B6649"/>
    <w:rsid w:val="0082576E"/>
    <w:rsid w:val="0089346F"/>
    <w:rsid w:val="00907F75"/>
    <w:rsid w:val="009260DE"/>
    <w:rsid w:val="0093258A"/>
    <w:rsid w:val="009C7BA3"/>
    <w:rsid w:val="009D1F5A"/>
    <w:rsid w:val="00A10294"/>
    <w:rsid w:val="00A112B1"/>
    <w:rsid w:val="00A15F3A"/>
    <w:rsid w:val="00A61878"/>
    <w:rsid w:val="00A86FDA"/>
    <w:rsid w:val="00AD397D"/>
    <w:rsid w:val="00AD3AB8"/>
    <w:rsid w:val="00AD6EB4"/>
    <w:rsid w:val="00B003BF"/>
    <w:rsid w:val="00B373D7"/>
    <w:rsid w:val="00B55271"/>
    <w:rsid w:val="00BD7931"/>
    <w:rsid w:val="00BE67F5"/>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3B9A"/>
    <w:rsid w:val="00E3749A"/>
    <w:rsid w:val="00E7437F"/>
    <w:rsid w:val="00E865B8"/>
    <w:rsid w:val="00EB50BD"/>
    <w:rsid w:val="00EC0B9B"/>
    <w:rsid w:val="00ED5E9F"/>
    <w:rsid w:val="00EF23AD"/>
    <w:rsid w:val="00F417BB"/>
    <w:rsid w:val="00F66D4F"/>
    <w:rsid w:val="00F774DE"/>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C3155"/>
  <w15:chartTrackingRefBased/>
  <w15:docId w15:val="{F4C5FDD3-2A61-425B-9DBD-5A34B5B9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AD3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6146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542862364">
      <w:bodyDiv w:val="1"/>
      <w:marLeft w:val="0"/>
      <w:marRight w:val="0"/>
      <w:marTop w:val="0"/>
      <w:marBottom w:val="0"/>
      <w:divBdr>
        <w:top w:val="none" w:sz="0" w:space="0" w:color="auto"/>
        <w:left w:val="none" w:sz="0" w:space="0" w:color="auto"/>
        <w:bottom w:val="none" w:sz="0" w:space="0" w:color="auto"/>
        <w:right w:val="none" w:sz="0" w:space="0" w:color="auto"/>
      </w:divBdr>
    </w:div>
    <w:div w:id="659890593">
      <w:bodyDiv w:val="1"/>
      <w:marLeft w:val="0"/>
      <w:marRight w:val="0"/>
      <w:marTop w:val="0"/>
      <w:marBottom w:val="0"/>
      <w:divBdr>
        <w:top w:val="none" w:sz="0" w:space="0" w:color="auto"/>
        <w:left w:val="none" w:sz="0" w:space="0" w:color="auto"/>
        <w:bottom w:val="none" w:sz="0" w:space="0" w:color="auto"/>
        <w:right w:val="none" w:sz="0" w:space="0" w:color="auto"/>
      </w:divBdr>
    </w:div>
    <w:div w:id="747270235">
      <w:bodyDiv w:val="1"/>
      <w:marLeft w:val="0"/>
      <w:marRight w:val="0"/>
      <w:marTop w:val="0"/>
      <w:marBottom w:val="0"/>
      <w:divBdr>
        <w:top w:val="none" w:sz="0" w:space="0" w:color="auto"/>
        <w:left w:val="none" w:sz="0" w:space="0" w:color="auto"/>
        <w:bottom w:val="none" w:sz="0" w:space="0" w:color="auto"/>
        <w:right w:val="none" w:sz="0" w:space="0" w:color="auto"/>
      </w:divBdr>
    </w:div>
    <w:div w:id="852912634">
      <w:bodyDiv w:val="1"/>
      <w:marLeft w:val="0"/>
      <w:marRight w:val="0"/>
      <w:marTop w:val="0"/>
      <w:marBottom w:val="0"/>
      <w:divBdr>
        <w:top w:val="none" w:sz="0" w:space="0" w:color="auto"/>
        <w:left w:val="none" w:sz="0" w:space="0" w:color="auto"/>
        <w:bottom w:val="none" w:sz="0" w:space="0" w:color="auto"/>
        <w:right w:val="none" w:sz="0" w:space="0" w:color="auto"/>
      </w:divBdr>
    </w:div>
    <w:div w:id="866603845">
      <w:bodyDiv w:val="1"/>
      <w:marLeft w:val="0"/>
      <w:marRight w:val="0"/>
      <w:marTop w:val="0"/>
      <w:marBottom w:val="0"/>
      <w:divBdr>
        <w:top w:val="none" w:sz="0" w:space="0" w:color="auto"/>
        <w:left w:val="none" w:sz="0" w:space="0" w:color="auto"/>
        <w:bottom w:val="none" w:sz="0" w:space="0" w:color="auto"/>
        <w:right w:val="none" w:sz="0" w:space="0" w:color="auto"/>
      </w:divBdr>
    </w:div>
    <w:div w:id="921453784">
      <w:bodyDiv w:val="1"/>
      <w:marLeft w:val="0"/>
      <w:marRight w:val="0"/>
      <w:marTop w:val="0"/>
      <w:marBottom w:val="0"/>
      <w:divBdr>
        <w:top w:val="none" w:sz="0" w:space="0" w:color="auto"/>
        <w:left w:val="none" w:sz="0" w:space="0" w:color="auto"/>
        <w:bottom w:val="none" w:sz="0" w:space="0" w:color="auto"/>
        <w:right w:val="none" w:sz="0" w:space="0" w:color="auto"/>
      </w:divBdr>
    </w:div>
    <w:div w:id="948511186">
      <w:bodyDiv w:val="1"/>
      <w:marLeft w:val="0"/>
      <w:marRight w:val="0"/>
      <w:marTop w:val="0"/>
      <w:marBottom w:val="0"/>
      <w:divBdr>
        <w:top w:val="none" w:sz="0" w:space="0" w:color="auto"/>
        <w:left w:val="none" w:sz="0" w:space="0" w:color="auto"/>
        <w:bottom w:val="none" w:sz="0" w:space="0" w:color="auto"/>
        <w:right w:val="none" w:sz="0" w:space="0" w:color="auto"/>
      </w:divBdr>
    </w:div>
    <w:div w:id="977883128">
      <w:bodyDiv w:val="1"/>
      <w:marLeft w:val="0"/>
      <w:marRight w:val="0"/>
      <w:marTop w:val="0"/>
      <w:marBottom w:val="0"/>
      <w:divBdr>
        <w:top w:val="none" w:sz="0" w:space="0" w:color="auto"/>
        <w:left w:val="none" w:sz="0" w:space="0" w:color="auto"/>
        <w:bottom w:val="none" w:sz="0" w:space="0" w:color="auto"/>
        <w:right w:val="none" w:sz="0" w:space="0" w:color="auto"/>
      </w:divBdr>
    </w:div>
    <w:div w:id="1112940240">
      <w:bodyDiv w:val="1"/>
      <w:marLeft w:val="0"/>
      <w:marRight w:val="0"/>
      <w:marTop w:val="0"/>
      <w:marBottom w:val="0"/>
      <w:divBdr>
        <w:top w:val="none" w:sz="0" w:space="0" w:color="auto"/>
        <w:left w:val="none" w:sz="0" w:space="0" w:color="auto"/>
        <w:bottom w:val="none" w:sz="0" w:space="0" w:color="auto"/>
        <w:right w:val="none" w:sz="0" w:space="0" w:color="auto"/>
      </w:divBdr>
    </w:div>
    <w:div w:id="1135294811">
      <w:bodyDiv w:val="1"/>
      <w:marLeft w:val="0"/>
      <w:marRight w:val="0"/>
      <w:marTop w:val="0"/>
      <w:marBottom w:val="0"/>
      <w:divBdr>
        <w:top w:val="none" w:sz="0" w:space="0" w:color="auto"/>
        <w:left w:val="none" w:sz="0" w:space="0" w:color="auto"/>
        <w:bottom w:val="none" w:sz="0" w:space="0" w:color="auto"/>
        <w:right w:val="none" w:sz="0" w:space="0" w:color="auto"/>
      </w:divBdr>
    </w:div>
    <w:div w:id="1196233741">
      <w:bodyDiv w:val="1"/>
      <w:marLeft w:val="0"/>
      <w:marRight w:val="0"/>
      <w:marTop w:val="0"/>
      <w:marBottom w:val="0"/>
      <w:divBdr>
        <w:top w:val="none" w:sz="0" w:space="0" w:color="auto"/>
        <w:left w:val="none" w:sz="0" w:space="0" w:color="auto"/>
        <w:bottom w:val="none" w:sz="0" w:space="0" w:color="auto"/>
        <w:right w:val="none" w:sz="0" w:space="0" w:color="auto"/>
      </w:divBdr>
    </w:div>
    <w:div w:id="1210072302">
      <w:bodyDiv w:val="1"/>
      <w:marLeft w:val="0"/>
      <w:marRight w:val="0"/>
      <w:marTop w:val="0"/>
      <w:marBottom w:val="0"/>
      <w:divBdr>
        <w:top w:val="none" w:sz="0" w:space="0" w:color="auto"/>
        <w:left w:val="none" w:sz="0" w:space="0" w:color="auto"/>
        <w:bottom w:val="none" w:sz="0" w:space="0" w:color="auto"/>
        <w:right w:val="none" w:sz="0" w:space="0" w:color="auto"/>
      </w:divBdr>
    </w:div>
    <w:div w:id="1399667691">
      <w:bodyDiv w:val="1"/>
      <w:marLeft w:val="0"/>
      <w:marRight w:val="0"/>
      <w:marTop w:val="0"/>
      <w:marBottom w:val="0"/>
      <w:divBdr>
        <w:top w:val="none" w:sz="0" w:space="0" w:color="auto"/>
        <w:left w:val="none" w:sz="0" w:space="0" w:color="auto"/>
        <w:bottom w:val="none" w:sz="0" w:space="0" w:color="auto"/>
        <w:right w:val="none" w:sz="0" w:space="0" w:color="auto"/>
      </w:divBdr>
    </w:div>
    <w:div w:id="1454521016">
      <w:bodyDiv w:val="1"/>
      <w:marLeft w:val="0"/>
      <w:marRight w:val="0"/>
      <w:marTop w:val="0"/>
      <w:marBottom w:val="0"/>
      <w:divBdr>
        <w:top w:val="none" w:sz="0" w:space="0" w:color="auto"/>
        <w:left w:val="none" w:sz="0" w:space="0" w:color="auto"/>
        <w:bottom w:val="none" w:sz="0" w:space="0" w:color="auto"/>
        <w:right w:val="none" w:sz="0" w:space="0" w:color="auto"/>
      </w:divBdr>
    </w:div>
    <w:div w:id="1532960944">
      <w:bodyDiv w:val="1"/>
      <w:marLeft w:val="0"/>
      <w:marRight w:val="0"/>
      <w:marTop w:val="0"/>
      <w:marBottom w:val="0"/>
      <w:divBdr>
        <w:top w:val="none" w:sz="0" w:space="0" w:color="auto"/>
        <w:left w:val="none" w:sz="0" w:space="0" w:color="auto"/>
        <w:bottom w:val="none" w:sz="0" w:space="0" w:color="auto"/>
        <w:right w:val="none" w:sz="0" w:space="0" w:color="auto"/>
      </w:divBdr>
    </w:div>
    <w:div w:id="1671787044">
      <w:bodyDiv w:val="1"/>
      <w:marLeft w:val="0"/>
      <w:marRight w:val="0"/>
      <w:marTop w:val="0"/>
      <w:marBottom w:val="0"/>
      <w:divBdr>
        <w:top w:val="none" w:sz="0" w:space="0" w:color="auto"/>
        <w:left w:val="none" w:sz="0" w:space="0" w:color="auto"/>
        <w:bottom w:val="none" w:sz="0" w:space="0" w:color="auto"/>
        <w:right w:val="none" w:sz="0" w:space="0" w:color="auto"/>
      </w:divBdr>
    </w:div>
    <w:div w:id="1750883255">
      <w:bodyDiv w:val="1"/>
      <w:marLeft w:val="0"/>
      <w:marRight w:val="0"/>
      <w:marTop w:val="0"/>
      <w:marBottom w:val="0"/>
      <w:divBdr>
        <w:top w:val="none" w:sz="0" w:space="0" w:color="auto"/>
        <w:left w:val="none" w:sz="0" w:space="0" w:color="auto"/>
        <w:bottom w:val="none" w:sz="0" w:space="0" w:color="auto"/>
        <w:right w:val="none" w:sz="0" w:space="0" w:color="auto"/>
      </w:divBdr>
    </w:div>
    <w:div w:id="1866669543">
      <w:bodyDiv w:val="1"/>
      <w:marLeft w:val="0"/>
      <w:marRight w:val="0"/>
      <w:marTop w:val="0"/>
      <w:marBottom w:val="0"/>
      <w:divBdr>
        <w:top w:val="none" w:sz="0" w:space="0" w:color="auto"/>
        <w:left w:val="none" w:sz="0" w:space="0" w:color="auto"/>
        <w:bottom w:val="none" w:sz="0" w:space="0" w:color="auto"/>
        <w:right w:val="none" w:sz="0" w:space="0" w:color="auto"/>
      </w:divBdr>
    </w:div>
    <w:div w:id="1910458915">
      <w:bodyDiv w:val="1"/>
      <w:marLeft w:val="0"/>
      <w:marRight w:val="0"/>
      <w:marTop w:val="0"/>
      <w:marBottom w:val="0"/>
      <w:divBdr>
        <w:top w:val="none" w:sz="0" w:space="0" w:color="auto"/>
        <w:left w:val="none" w:sz="0" w:space="0" w:color="auto"/>
        <w:bottom w:val="none" w:sz="0" w:space="0" w:color="auto"/>
        <w:right w:val="none" w:sz="0" w:space="0" w:color="auto"/>
      </w:divBdr>
    </w:div>
    <w:div w:id="2105804268">
      <w:bodyDiv w:val="1"/>
      <w:marLeft w:val="0"/>
      <w:marRight w:val="0"/>
      <w:marTop w:val="0"/>
      <w:marBottom w:val="0"/>
      <w:divBdr>
        <w:top w:val="none" w:sz="0" w:space="0" w:color="auto"/>
        <w:left w:val="none" w:sz="0" w:space="0" w:color="auto"/>
        <w:bottom w:val="none" w:sz="0" w:space="0" w:color="auto"/>
        <w:right w:val="none" w:sz="0" w:space="0" w:color="auto"/>
      </w:divBdr>
    </w:div>
    <w:div w:id="211355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52</TotalTime>
  <Pages>16</Pages>
  <Words>4982</Words>
  <Characters>31713</Characters>
  <Application>Microsoft Office Word</Application>
  <DocSecurity>0</DocSecurity>
  <Lines>264</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2024093705, MT</dc:description>
  <cp:lastModifiedBy>Gitte Jørgensen</cp:lastModifiedBy>
  <cp:revision>16</cp:revision>
  <cp:lastPrinted>2012-08-22T08:53:00Z</cp:lastPrinted>
  <dcterms:created xsi:type="dcterms:W3CDTF">2026-02-27T11:57:00Z</dcterms:created>
  <dcterms:modified xsi:type="dcterms:W3CDTF">2026-03-03T11:37:00Z</dcterms:modified>
</cp:coreProperties>
</file>