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2AC90" w14:textId="1DD48E80" w:rsidR="009260DE" w:rsidRPr="002A3A17" w:rsidRDefault="0021526C" w:rsidP="002A3A17">
      <w:pPr>
        <w:rPr>
          <w:b/>
          <w:sz w:val="24"/>
          <w:szCs w:val="24"/>
        </w:rPr>
      </w:pPr>
      <w:r w:rsidRPr="002A3A17">
        <w:rPr>
          <w:noProof/>
          <w:sz w:val="24"/>
          <w:szCs w:val="24"/>
          <w:lang w:eastAsia="da-DK"/>
        </w:rPr>
        <w:drawing>
          <wp:anchor distT="0" distB="0" distL="114300" distR="114300" simplePos="0" relativeHeight="251658240" behindDoc="0" locked="0" layoutInCell="1" allowOverlap="1" wp14:anchorId="431D7A4C" wp14:editId="5CE99C1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2A3A17">
        <w:rPr>
          <w:sz w:val="24"/>
          <w:szCs w:val="24"/>
        </w:rPr>
        <w:br w:type="textWrapping" w:clear="all"/>
      </w:r>
    </w:p>
    <w:p w14:paraId="74F31036" w14:textId="6ED48702" w:rsidR="009260DE" w:rsidRPr="002A3A17" w:rsidRDefault="009260DE" w:rsidP="009260DE">
      <w:pPr>
        <w:pStyle w:val="Titel"/>
        <w:tabs>
          <w:tab w:val="right" w:pos="9356"/>
        </w:tabs>
        <w:jc w:val="left"/>
        <w:rPr>
          <w:b w:val="0"/>
          <w:szCs w:val="24"/>
          <w:lang w:eastAsia="en-US"/>
        </w:rPr>
      </w:pPr>
      <w:r w:rsidRPr="002A3A17">
        <w:rPr>
          <w:b w:val="0"/>
          <w:szCs w:val="24"/>
          <w:lang w:eastAsia="en-US"/>
        </w:rPr>
        <w:tab/>
      </w:r>
      <w:r w:rsidR="00DE3C89">
        <w:rPr>
          <w:szCs w:val="24"/>
        </w:rPr>
        <w:t>27. juni 2024</w:t>
      </w:r>
    </w:p>
    <w:p w14:paraId="2BC1EA38" w14:textId="77777777" w:rsidR="009260DE" w:rsidRPr="002A3A17" w:rsidRDefault="009260DE" w:rsidP="009260DE">
      <w:pPr>
        <w:pStyle w:val="Titel"/>
        <w:tabs>
          <w:tab w:val="left" w:pos="8222"/>
        </w:tabs>
        <w:jc w:val="left"/>
        <w:rPr>
          <w:b w:val="0"/>
          <w:szCs w:val="24"/>
        </w:rPr>
      </w:pPr>
    </w:p>
    <w:p w14:paraId="494330E6" w14:textId="77777777" w:rsidR="009260DE" w:rsidRPr="002A3A17" w:rsidRDefault="009260DE" w:rsidP="009260DE">
      <w:pPr>
        <w:pStyle w:val="Titel"/>
        <w:jc w:val="left"/>
        <w:rPr>
          <w:b w:val="0"/>
          <w:szCs w:val="24"/>
        </w:rPr>
      </w:pPr>
    </w:p>
    <w:p w14:paraId="31B7B721" w14:textId="77777777" w:rsidR="009260DE" w:rsidRPr="002A3A17" w:rsidRDefault="009260DE" w:rsidP="009260DE">
      <w:pPr>
        <w:pStyle w:val="Titel"/>
        <w:jc w:val="left"/>
        <w:rPr>
          <w:b w:val="0"/>
          <w:szCs w:val="24"/>
        </w:rPr>
      </w:pPr>
    </w:p>
    <w:p w14:paraId="6FF94314" w14:textId="77777777" w:rsidR="009260DE" w:rsidRPr="002A3A17" w:rsidRDefault="009260DE" w:rsidP="009260DE">
      <w:pPr>
        <w:jc w:val="center"/>
        <w:rPr>
          <w:b/>
          <w:sz w:val="24"/>
          <w:szCs w:val="24"/>
        </w:rPr>
      </w:pPr>
      <w:r w:rsidRPr="002A3A17">
        <w:rPr>
          <w:b/>
          <w:sz w:val="24"/>
          <w:szCs w:val="24"/>
        </w:rPr>
        <w:t>PRODUKTRESUMÉ</w:t>
      </w:r>
    </w:p>
    <w:p w14:paraId="488F4B27" w14:textId="77777777" w:rsidR="009260DE" w:rsidRPr="002A3A17" w:rsidRDefault="009260DE" w:rsidP="009260DE">
      <w:pPr>
        <w:jc w:val="center"/>
        <w:rPr>
          <w:b/>
          <w:sz w:val="24"/>
          <w:szCs w:val="24"/>
        </w:rPr>
      </w:pPr>
    </w:p>
    <w:p w14:paraId="3C42FECB" w14:textId="77777777" w:rsidR="009260DE" w:rsidRPr="002A3A17" w:rsidRDefault="009260DE" w:rsidP="009260DE">
      <w:pPr>
        <w:jc w:val="center"/>
        <w:rPr>
          <w:b/>
          <w:sz w:val="24"/>
          <w:szCs w:val="24"/>
        </w:rPr>
      </w:pPr>
      <w:r w:rsidRPr="002A3A17">
        <w:rPr>
          <w:b/>
          <w:sz w:val="24"/>
          <w:szCs w:val="24"/>
        </w:rPr>
        <w:t>for</w:t>
      </w:r>
    </w:p>
    <w:p w14:paraId="7135939A" w14:textId="77777777" w:rsidR="000B058C" w:rsidRPr="002A3A17" w:rsidRDefault="000B058C" w:rsidP="009260DE">
      <w:pPr>
        <w:jc w:val="center"/>
        <w:rPr>
          <w:b/>
          <w:sz w:val="24"/>
          <w:szCs w:val="24"/>
        </w:rPr>
      </w:pPr>
    </w:p>
    <w:p w14:paraId="2F6C5D54" w14:textId="3946CED6" w:rsidR="009260DE" w:rsidRPr="002A3A17" w:rsidRDefault="008E0796" w:rsidP="009260DE">
      <w:pPr>
        <w:jc w:val="center"/>
        <w:rPr>
          <w:b/>
          <w:sz w:val="24"/>
          <w:szCs w:val="24"/>
        </w:rPr>
      </w:pPr>
      <w:proofErr w:type="spellStart"/>
      <w:r w:rsidRPr="002A3A17">
        <w:rPr>
          <w:b/>
          <w:sz w:val="24"/>
          <w:szCs w:val="24"/>
        </w:rPr>
        <w:t>Decurol</w:t>
      </w:r>
      <w:proofErr w:type="spellEnd"/>
      <w:r w:rsidRPr="002A3A17">
        <w:rPr>
          <w:b/>
          <w:sz w:val="24"/>
          <w:szCs w:val="24"/>
        </w:rPr>
        <w:t>, hårde kapsler</w:t>
      </w:r>
    </w:p>
    <w:p w14:paraId="6B452605" w14:textId="77777777" w:rsidR="009260DE" w:rsidRPr="002A3A17" w:rsidRDefault="009260DE" w:rsidP="009260DE">
      <w:pPr>
        <w:jc w:val="both"/>
        <w:rPr>
          <w:sz w:val="24"/>
          <w:szCs w:val="24"/>
        </w:rPr>
      </w:pPr>
    </w:p>
    <w:p w14:paraId="56D08B18" w14:textId="77777777" w:rsidR="009260DE" w:rsidRPr="002A3A17" w:rsidRDefault="009260DE" w:rsidP="009260DE">
      <w:pPr>
        <w:jc w:val="both"/>
        <w:rPr>
          <w:sz w:val="24"/>
          <w:szCs w:val="24"/>
        </w:rPr>
      </w:pPr>
    </w:p>
    <w:p w14:paraId="19750C89" w14:textId="77777777" w:rsidR="009260DE" w:rsidRPr="002A3A17" w:rsidRDefault="009260DE" w:rsidP="009260DE">
      <w:pPr>
        <w:tabs>
          <w:tab w:val="left" w:pos="851"/>
        </w:tabs>
        <w:ind w:left="851" w:hanging="851"/>
        <w:rPr>
          <w:b/>
          <w:sz w:val="24"/>
          <w:szCs w:val="24"/>
        </w:rPr>
      </w:pPr>
      <w:r w:rsidRPr="002A3A17">
        <w:rPr>
          <w:b/>
          <w:sz w:val="24"/>
          <w:szCs w:val="24"/>
        </w:rPr>
        <w:t>0.</w:t>
      </w:r>
      <w:r w:rsidRPr="002A3A17">
        <w:rPr>
          <w:b/>
          <w:sz w:val="24"/>
          <w:szCs w:val="24"/>
        </w:rPr>
        <w:tab/>
        <w:t>D.SP.NR.</w:t>
      </w:r>
    </w:p>
    <w:p w14:paraId="3A6E9E10" w14:textId="4C8C269A" w:rsidR="009260DE" w:rsidRPr="002A3A17" w:rsidRDefault="008E0796" w:rsidP="009260DE">
      <w:pPr>
        <w:tabs>
          <w:tab w:val="left" w:pos="851"/>
        </w:tabs>
        <w:ind w:left="851"/>
        <w:rPr>
          <w:sz w:val="24"/>
          <w:szCs w:val="24"/>
        </w:rPr>
      </w:pPr>
      <w:r w:rsidRPr="002A3A17">
        <w:rPr>
          <w:sz w:val="24"/>
          <w:szCs w:val="24"/>
        </w:rPr>
        <w:t>32382</w:t>
      </w:r>
    </w:p>
    <w:p w14:paraId="40B2B1CA" w14:textId="77777777" w:rsidR="009260DE" w:rsidRPr="002A3A17" w:rsidRDefault="009260DE" w:rsidP="009260DE">
      <w:pPr>
        <w:tabs>
          <w:tab w:val="left" w:pos="851"/>
        </w:tabs>
        <w:ind w:left="851"/>
        <w:rPr>
          <w:sz w:val="24"/>
          <w:szCs w:val="24"/>
        </w:rPr>
      </w:pPr>
    </w:p>
    <w:p w14:paraId="225B7464" w14:textId="77777777" w:rsidR="009260DE" w:rsidRPr="002A3A17" w:rsidRDefault="009260DE" w:rsidP="009260DE">
      <w:pPr>
        <w:tabs>
          <w:tab w:val="left" w:pos="851"/>
        </w:tabs>
        <w:ind w:left="851" w:hanging="851"/>
        <w:rPr>
          <w:b/>
          <w:sz w:val="24"/>
          <w:szCs w:val="24"/>
        </w:rPr>
      </w:pPr>
      <w:r w:rsidRPr="002A3A17">
        <w:rPr>
          <w:b/>
          <w:sz w:val="24"/>
          <w:szCs w:val="24"/>
        </w:rPr>
        <w:t>1.</w:t>
      </w:r>
      <w:r w:rsidRPr="002A3A17">
        <w:rPr>
          <w:b/>
          <w:sz w:val="24"/>
          <w:szCs w:val="24"/>
        </w:rPr>
        <w:tab/>
        <w:t>LÆGEMIDLETS NAVN</w:t>
      </w:r>
    </w:p>
    <w:p w14:paraId="298CEA49" w14:textId="3FA2723F" w:rsidR="009260DE" w:rsidRPr="002A3A17" w:rsidRDefault="008E0796" w:rsidP="009260DE">
      <w:pPr>
        <w:tabs>
          <w:tab w:val="left" w:pos="851"/>
        </w:tabs>
        <w:ind w:left="851"/>
        <w:rPr>
          <w:sz w:val="24"/>
          <w:szCs w:val="24"/>
        </w:rPr>
      </w:pPr>
      <w:proofErr w:type="spellStart"/>
      <w:r w:rsidRPr="002A3A17">
        <w:rPr>
          <w:sz w:val="24"/>
          <w:szCs w:val="24"/>
        </w:rPr>
        <w:t>Decurol</w:t>
      </w:r>
      <w:proofErr w:type="spellEnd"/>
    </w:p>
    <w:p w14:paraId="1E04B0B6" w14:textId="77777777" w:rsidR="009260DE" w:rsidRPr="002A3A17" w:rsidRDefault="009260DE" w:rsidP="009260DE">
      <w:pPr>
        <w:tabs>
          <w:tab w:val="left" w:pos="851"/>
        </w:tabs>
        <w:ind w:left="851"/>
        <w:rPr>
          <w:sz w:val="24"/>
          <w:szCs w:val="24"/>
        </w:rPr>
      </w:pPr>
    </w:p>
    <w:p w14:paraId="34FC06D1" w14:textId="77777777" w:rsidR="009260DE" w:rsidRPr="002A3A17" w:rsidRDefault="009260DE" w:rsidP="009260DE">
      <w:pPr>
        <w:tabs>
          <w:tab w:val="left" w:pos="851"/>
        </w:tabs>
        <w:ind w:left="851" w:hanging="851"/>
        <w:rPr>
          <w:b/>
          <w:sz w:val="24"/>
          <w:szCs w:val="24"/>
        </w:rPr>
      </w:pPr>
      <w:r w:rsidRPr="002A3A17">
        <w:rPr>
          <w:b/>
          <w:sz w:val="24"/>
          <w:szCs w:val="24"/>
        </w:rPr>
        <w:t>2.</w:t>
      </w:r>
      <w:r w:rsidRPr="002A3A17">
        <w:rPr>
          <w:b/>
          <w:sz w:val="24"/>
          <w:szCs w:val="24"/>
        </w:rPr>
        <w:tab/>
        <w:t>KVALITATIV OG KVANTITATIV SAMMENSÆTNING</w:t>
      </w:r>
    </w:p>
    <w:p w14:paraId="59ABE2B5" w14:textId="45C7E314" w:rsidR="00445389" w:rsidRPr="002A3A17" w:rsidRDefault="00513E45" w:rsidP="00513E45">
      <w:pPr>
        <w:ind w:left="851"/>
        <w:rPr>
          <w:sz w:val="24"/>
          <w:szCs w:val="24"/>
        </w:rPr>
      </w:pPr>
      <w:proofErr w:type="spellStart"/>
      <w:r w:rsidRPr="002A3A17">
        <w:rPr>
          <w:sz w:val="24"/>
          <w:szCs w:val="24"/>
        </w:rPr>
        <w:t>Decurol</w:t>
      </w:r>
      <w:proofErr w:type="spellEnd"/>
      <w:r w:rsidR="00445389" w:rsidRPr="002A3A17">
        <w:rPr>
          <w:sz w:val="24"/>
          <w:szCs w:val="24"/>
        </w:rPr>
        <w:t xml:space="preserve"> 5.600 IE:</w:t>
      </w:r>
    </w:p>
    <w:p w14:paraId="3225237B" w14:textId="77777777" w:rsidR="00445389" w:rsidRPr="002A3A17" w:rsidRDefault="00445389" w:rsidP="00513E45">
      <w:pPr>
        <w:ind w:left="851"/>
        <w:rPr>
          <w:sz w:val="24"/>
          <w:szCs w:val="24"/>
        </w:rPr>
      </w:pPr>
      <w:r w:rsidRPr="002A3A17">
        <w:rPr>
          <w:sz w:val="24"/>
          <w:szCs w:val="24"/>
        </w:rPr>
        <w:t xml:space="preserve">1 kapsel indeholder 140 mikrogram </w:t>
      </w:r>
      <w:proofErr w:type="spellStart"/>
      <w:r w:rsidRPr="002A3A17">
        <w:rPr>
          <w:sz w:val="24"/>
          <w:szCs w:val="24"/>
        </w:rPr>
        <w:t>cholecalciferol</w:t>
      </w:r>
      <w:proofErr w:type="spellEnd"/>
      <w:r w:rsidRPr="002A3A17">
        <w:rPr>
          <w:sz w:val="24"/>
          <w:szCs w:val="24"/>
        </w:rPr>
        <w:t>, svarende til 5.600 IE D</w:t>
      </w:r>
      <w:r w:rsidRPr="002A3A17">
        <w:rPr>
          <w:sz w:val="24"/>
          <w:szCs w:val="24"/>
          <w:vertAlign w:val="subscript"/>
        </w:rPr>
        <w:t>3</w:t>
      </w:r>
      <w:r w:rsidRPr="002A3A17">
        <w:rPr>
          <w:sz w:val="24"/>
          <w:szCs w:val="24"/>
        </w:rPr>
        <w:t>-vitamin.</w:t>
      </w:r>
    </w:p>
    <w:p w14:paraId="55CEE479" w14:textId="16107717" w:rsidR="00445389" w:rsidRPr="002A3A17" w:rsidRDefault="00513E45" w:rsidP="00513E45">
      <w:pPr>
        <w:ind w:left="851"/>
        <w:rPr>
          <w:sz w:val="24"/>
          <w:szCs w:val="24"/>
        </w:rPr>
      </w:pPr>
      <w:proofErr w:type="spellStart"/>
      <w:r w:rsidRPr="002A3A17">
        <w:rPr>
          <w:sz w:val="24"/>
          <w:szCs w:val="24"/>
        </w:rPr>
        <w:t>Decurol</w:t>
      </w:r>
      <w:proofErr w:type="spellEnd"/>
      <w:r w:rsidR="00445389" w:rsidRPr="002A3A17">
        <w:rPr>
          <w:sz w:val="24"/>
          <w:szCs w:val="24"/>
        </w:rPr>
        <w:t xml:space="preserve"> 12.500 IE:</w:t>
      </w:r>
    </w:p>
    <w:p w14:paraId="7D1FD809" w14:textId="77777777" w:rsidR="00445389" w:rsidRPr="002A3A17" w:rsidRDefault="00445389" w:rsidP="00513E45">
      <w:pPr>
        <w:ind w:left="851"/>
        <w:rPr>
          <w:sz w:val="24"/>
          <w:szCs w:val="24"/>
        </w:rPr>
      </w:pPr>
      <w:r w:rsidRPr="002A3A17">
        <w:rPr>
          <w:sz w:val="24"/>
          <w:szCs w:val="24"/>
        </w:rPr>
        <w:t xml:space="preserve">1 kapsel indeholder 312,5 mikrogram </w:t>
      </w:r>
      <w:proofErr w:type="spellStart"/>
      <w:r w:rsidRPr="002A3A17">
        <w:rPr>
          <w:sz w:val="24"/>
          <w:szCs w:val="24"/>
        </w:rPr>
        <w:t>cholecalciferol</w:t>
      </w:r>
      <w:proofErr w:type="spellEnd"/>
      <w:r w:rsidRPr="002A3A17">
        <w:rPr>
          <w:sz w:val="24"/>
          <w:szCs w:val="24"/>
        </w:rPr>
        <w:t>, svarende til 12.500 IE D</w:t>
      </w:r>
      <w:r w:rsidRPr="002A3A17">
        <w:rPr>
          <w:sz w:val="24"/>
          <w:szCs w:val="24"/>
          <w:vertAlign w:val="subscript"/>
        </w:rPr>
        <w:t>3</w:t>
      </w:r>
      <w:r w:rsidRPr="002A3A17">
        <w:rPr>
          <w:sz w:val="24"/>
          <w:szCs w:val="24"/>
        </w:rPr>
        <w:t>-vitamin.</w:t>
      </w:r>
    </w:p>
    <w:p w14:paraId="49AFC88E" w14:textId="1C24FC77" w:rsidR="00445389" w:rsidRPr="002A3A17" w:rsidRDefault="00513E45" w:rsidP="00513E45">
      <w:pPr>
        <w:ind w:left="851"/>
        <w:rPr>
          <w:sz w:val="24"/>
          <w:szCs w:val="24"/>
        </w:rPr>
      </w:pPr>
      <w:proofErr w:type="spellStart"/>
      <w:r w:rsidRPr="002A3A17">
        <w:rPr>
          <w:sz w:val="24"/>
          <w:szCs w:val="24"/>
        </w:rPr>
        <w:t>Decurol</w:t>
      </w:r>
      <w:proofErr w:type="spellEnd"/>
      <w:r w:rsidR="00445389" w:rsidRPr="002A3A17">
        <w:rPr>
          <w:sz w:val="24"/>
          <w:szCs w:val="24"/>
        </w:rPr>
        <w:t xml:space="preserve"> 25.000 IE:</w:t>
      </w:r>
    </w:p>
    <w:p w14:paraId="77ADD004" w14:textId="77777777" w:rsidR="00445389" w:rsidRPr="002A3A17" w:rsidRDefault="00445389" w:rsidP="00513E45">
      <w:pPr>
        <w:ind w:left="851"/>
        <w:rPr>
          <w:sz w:val="24"/>
          <w:szCs w:val="24"/>
        </w:rPr>
      </w:pPr>
      <w:r w:rsidRPr="002A3A17">
        <w:rPr>
          <w:sz w:val="24"/>
          <w:szCs w:val="24"/>
        </w:rPr>
        <w:t xml:space="preserve">1 kapsel indeholder 625 mikrogram </w:t>
      </w:r>
      <w:proofErr w:type="spellStart"/>
      <w:r w:rsidRPr="002A3A17">
        <w:rPr>
          <w:sz w:val="24"/>
          <w:szCs w:val="24"/>
        </w:rPr>
        <w:t>cholecalciferol</w:t>
      </w:r>
      <w:proofErr w:type="spellEnd"/>
      <w:r w:rsidRPr="002A3A17">
        <w:rPr>
          <w:sz w:val="24"/>
          <w:szCs w:val="24"/>
        </w:rPr>
        <w:t>, svarende til 25.000 IE D</w:t>
      </w:r>
      <w:r w:rsidRPr="002A3A17">
        <w:rPr>
          <w:sz w:val="24"/>
          <w:szCs w:val="24"/>
          <w:vertAlign w:val="subscript"/>
        </w:rPr>
        <w:t>3</w:t>
      </w:r>
      <w:r w:rsidRPr="002A3A17">
        <w:rPr>
          <w:sz w:val="24"/>
          <w:szCs w:val="24"/>
        </w:rPr>
        <w:t>-vitamin.</w:t>
      </w:r>
    </w:p>
    <w:p w14:paraId="621220E3" w14:textId="77777777" w:rsidR="00445389" w:rsidRPr="002A3A17" w:rsidRDefault="00445389" w:rsidP="00513E45">
      <w:pPr>
        <w:ind w:left="851"/>
        <w:rPr>
          <w:sz w:val="24"/>
          <w:szCs w:val="24"/>
        </w:rPr>
      </w:pPr>
    </w:p>
    <w:p w14:paraId="6C8492FB" w14:textId="77777777" w:rsidR="00445389" w:rsidRPr="002A3A17" w:rsidRDefault="00445389" w:rsidP="00513E45">
      <w:pPr>
        <w:ind w:left="851"/>
        <w:rPr>
          <w:sz w:val="24"/>
          <w:szCs w:val="24"/>
        </w:rPr>
      </w:pPr>
      <w:r w:rsidRPr="002A3A17">
        <w:rPr>
          <w:sz w:val="24"/>
          <w:szCs w:val="24"/>
        </w:rPr>
        <w:t>Alle hjælpestoffer er anført under pkt. 6.1.</w:t>
      </w:r>
    </w:p>
    <w:p w14:paraId="2AC17E94" w14:textId="77777777" w:rsidR="009260DE" w:rsidRPr="002A3A17" w:rsidRDefault="009260DE" w:rsidP="009260DE">
      <w:pPr>
        <w:tabs>
          <w:tab w:val="left" w:pos="851"/>
        </w:tabs>
        <w:ind w:left="851"/>
        <w:rPr>
          <w:sz w:val="24"/>
          <w:szCs w:val="24"/>
        </w:rPr>
      </w:pPr>
    </w:p>
    <w:p w14:paraId="5C21BAA5" w14:textId="77777777" w:rsidR="009260DE" w:rsidRPr="002A3A17" w:rsidRDefault="009260DE" w:rsidP="009260DE">
      <w:pPr>
        <w:tabs>
          <w:tab w:val="left" w:pos="851"/>
        </w:tabs>
        <w:ind w:left="851" w:hanging="851"/>
        <w:rPr>
          <w:b/>
          <w:sz w:val="24"/>
          <w:szCs w:val="24"/>
        </w:rPr>
      </w:pPr>
      <w:r w:rsidRPr="002A3A17">
        <w:rPr>
          <w:b/>
          <w:sz w:val="24"/>
          <w:szCs w:val="24"/>
        </w:rPr>
        <w:t>3.</w:t>
      </w:r>
      <w:r w:rsidRPr="002A3A17">
        <w:rPr>
          <w:b/>
          <w:sz w:val="24"/>
          <w:szCs w:val="24"/>
        </w:rPr>
        <w:tab/>
        <w:t>LÆGEMIDDELFORM</w:t>
      </w:r>
    </w:p>
    <w:p w14:paraId="0AA94AB3" w14:textId="7FF9F48B" w:rsidR="00445389" w:rsidRDefault="00445389" w:rsidP="00513E45">
      <w:pPr>
        <w:ind w:left="851"/>
        <w:rPr>
          <w:sz w:val="24"/>
          <w:szCs w:val="24"/>
        </w:rPr>
      </w:pPr>
      <w:r w:rsidRPr="002A3A17">
        <w:rPr>
          <w:sz w:val="24"/>
          <w:szCs w:val="24"/>
        </w:rPr>
        <w:t>Hårde kapsler</w:t>
      </w:r>
    </w:p>
    <w:p w14:paraId="3327788D" w14:textId="77777777" w:rsidR="002A3A17" w:rsidRPr="002A3A17" w:rsidRDefault="002A3A17" w:rsidP="00513E45">
      <w:pPr>
        <w:ind w:left="851"/>
        <w:rPr>
          <w:sz w:val="24"/>
          <w:szCs w:val="24"/>
        </w:rPr>
      </w:pPr>
    </w:p>
    <w:p w14:paraId="1C552742" w14:textId="77777777" w:rsidR="00EA7E2A" w:rsidRDefault="00513E45" w:rsidP="00513E45">
      <w:pPr>
        <w:ind w:left="851"/>
        <w:rPr>
          <w:sz w:val="24"/>
          <w:szCs w:val="24"/>
        </w:rPr>
      </w:pPr>
      <w:proofErr w:type="spellStart"/>
      <w:r w:rsidRPr="002A3A17">
        <w:rPr>
          <w:sz w:val="24"/>
          <w:szCs w:val="24"/>
        </w:rPr>
        <w:t>Decurol</w:t>
      </w:r>
      <w:proofErr w:type="spellEnd"/>
      <w:r w:rsidR="00445389" w:rsidRPr="002A3A17">
        <w:rPr>
          <w:sz w:val="24"/>
          <w:szCs w:val="24"/>
        </w:rPr>
        <w:t xml:space="preserve"> 5.600 IE: </w:t>
      </w:r>
    </w:p>
    <w:p w14:paraId="1BA36AFA" w14:textId="0E16D0CE" w:rsidR="00445389" w:rsidRPr="002A3A17" w:rsidRDefault="00445389" w:rsidP="00513E45">
      <w:pPr>
        <w:ind w:left="851"/>
        <w:rPr>
          <w:sz w:val="24"/>
          <w:szCs w:val="24"/>
        </w:rPr>
      </w:pPr>
      <w:r w:rsidRPr="002A3A17">
        <w:rPr>
          <w:sz w:val="24"/>
          <w:szCs w:val="24"/>
        </w:rPr>
        <w:t>Gennemsigtig, hård gelatinekapsel med klar, let gullig olie, mærket med D5600 (længde: 18 mm).</w:t>
      </w:r>
    </w:p>
    <w:p w14:paraId="06D8DA79" w14:textId="77777777" w:rsidR="00EA7E2A" w:rsidRDefault="00513E45" w:rsidP="00513E45">
      <w:pPr>
        <w:ind w:left="851"/>
        <w:rPr>
          <w:sz w:val="24"/>
          <w:szCs w:val="24"/>
        </w:rPr>
      </w:pPr>
      <w:proofErr w:type="spellStart"/>
      <w:r w:rsidRPr="002A3A17">
        <w:rPr>
          <w:sz w:val="24"/>
          <w:szCs w:val="24"/>
        </w:rPr>
        <w:t>Decurol</w:t>
      </w:r>
      <w:proofErr w:type="spellEnd"/>
      <w:r w:rsidR="00445389" w:rsidRPr="002A3A17">
        <w:rPr>
          <w:sz w:val="24"/>
          <w:szCs w:val="24"/>
        </w:rPr>
        <w:t xml:space="preserve"> 12.500 IE: </w:t>
      </w:r>
    </w:p>
    <w:p w14:paraId="674BCA44" w14:textId="09CFE034" w:rsidR="00445389" w:rsidRPr="002A3A17" w:rsidRDefault="00445389" w:rsidP="00513E45">
      <w:pPr>
        <w:ind w:left="851"/>
        <w:rPr>
          <w:sz w:val="24"/>
          <w:szCs w:val="24"/>
        </w:rPr>
      </w:pPr>
      <w:r w:rsidRPr="002A3A17">
        <w:rPr>
          <w:sz w:val="24"/>
          <w:szCs w:val="24"/>
        </w:rPr>
        <w:t>Gennemsigtig, hård gelatinekapsel med klar, lidt gullig olie, mærket med D12500 (længde: 18 mm).</w:t>
      </w:r>
    </w:p>
    <w:p w14:paraId="2A1B085E" w14:textId="77777777" w:rsidR="00EA7E2A" w:rsidRDefault="00513E45" w:rsidP="00513E45">
      <w:pPr>
        <w:ind w:left="851"/>
        <w:rPr>
          <w:sz w:val="24"/>
          <w:szCs w:val="24"/>
        </w:rPr>
      </w:pPr>
      <w:proofErr w:type="spellStart"/>
      <w:r w:rsidRPr="002A3A17">
        <w:rPr>
          <w:sz w:val="24"/>
          <w:szCs w:val="24"/>
        </w:rPr>
        <w:t>Decurol</w:t>
      </w:r>
      <w:proofErr w:type="spellEnd"/>
      <w:r w:rsidR="00445389" w:rsidRPr="002A3A17">
        <w:rPr>
          <w:sz w:val="24"/>
          <w:szCs w:val="24"/>
        </w:rPr>
        <w:t xml:space="preserve"> 25.000 IE: </w:t>
      </w:r>
    </w:p>
    <w:p w14:paraId="619B7D8D" w14:textId="4842148C" w:rsidR="00445389" w:rsidRPr="002A3A17" w:rsidRDefault="00445389" w:rsidP="00513E45">
      <w:pPr>
        <w:ind w:left="851"/>
        <w:rPr>
          <w:sz w:val="24"/>
          <w:szCs w:val="24"/>
        </w:rPr>
      </w:pPr>
      <w:r w:rsidRPr="002A3A17">
        <w:rPr>
          <w:sz w:val="24"/>
          <w:szCs w:val="24"/>
        </w:rPr>
        <w:t>Gennemsigtig, hård gelatinekapsel med klar, let gullig olie (længde: 18</w:t>
      </w:r>
      <w:r w:rsidR="00EA7E2A">
        <w:rPr>
          <w:sz w:val="24"/>
          <w:szCs w:val="24"/>
        </w:rPr>
        <w:t> </w:t>
      </w:r>
      <w:r w:rsidRPr="002A3A17">
        <w:rPr>
          <w:sz w:val="24"/>
          <w:szCs w:val="24"/>
        </w:rPr>
        <w:t>mm).</w:t>
      </w:r>
    </w:p>
    <w:p w14:paraId="1338C43D" w14:textId="77777777" w:rsidR="009260DE" w:rsidRPr="002A3A17" w:rsidRDefault="009260DE" w:rsidP="009260DE">
      <w:pPr>
        <w:tabs>
          <w:tab w:val="left" w:pos="851"/>
        </w:tabs>
        <w:ind w:left="851"/>
        <w:rPr>
          <w:sz w:val="24"/>
          <w:szCs w:val="24"/>
        </w:rPr>
      </w:pPr>
    </w:p>
    <w:p w14:paraId="03CD1455" w14:textId="77777777" w:rsidR="009260DE" w:rsidRPr="002A3A17" w:rsidRDefault="009260DE" w:rsidP="009260DE">
      <w:pPr>
        <w:tabs>
          <w:tab w:val="left" w:pos="851"/>
        </w:tabs>
        <w:ind w:left="851"/>
        <w:rPr>
          <w:sz w:val="24"/>
          <w:szCs w:val="24"/>
        </w:rPr>
      </w:pPr>
    </w:p>
    <w:p w14:paraId="6D91AEE2" w14:textId="77777777" w:rsidR="009260DE" w:rsidRPr="002A3A17" w:rsidRDefault="009260DE" w:rsidP="009260DE">
      <w:pPr>
        <w:tabs>
          <w:tab w:val="left" w:pos="851"/>
        </w:tabs>
        <w:ind w:left="851" w:hanging="851"/>
        <w:rPr>
          <w:b/>
          <w:sz w:val="24"/>
          <w:szCs w:val="24"/>
        </w:rPr>
      </w:pPr>
      <w:r w:rsidRPr="002A3A17">
        <w:rPr>
          <w:b/>
          <w:sz w:val="24"/>
          <w:szCs w:val="24"/>
        </w:rPr>
        <w:t>4.</w:t>
      </w:r>
      <w:r w:rsidRPr="002A3A17">
        <w:rPr>
          <w:b/>
          <w:sz w:val="24"/>
          <w:szCs w:val="24"/>
        </w:rPr>
        <w:tab/>
        <w:t>KLINISKE OPLYSNINGER</w:t>
      </w:r>
    </w:p>
    <w:p w14:paraId="08EF022D" w14:textId="77777777" w:rsidR="009260DE" w:rsidRPr="002A3A17" w:rsidRDefault="009260DE" w:rsidP="009260DE">
      <w:pPr>
        <w:tabs>
          <w:tab w:val="left" w:pos="851"/>
        </w:tabs>
        <w:ind w:left="851"/>
        <w:rPr>
          <w:b/>
          <w:sz w:val="24"/>
          <w:szCs w:val="24"/>
        </w:rPr>
      </w:pPr>
    </w:p>
    <w:p w14:paraId="54332561" w14:textId="77777777" w:rsidR="009260DE" w:rsidRPr="002A3A17" w:rsidRDefault="009260DE" w:rsidP="009260DE">
      <w:pPr>
        <w:tabs>
          <w:tab w:val="left" w:pos="851"/>
        </w:tabs>
        <w:ind w:left="851" w:hanging="851"/>
        <w:rPr>
          <w:b/>
          <w:sz w:val="24"/>
          <w:szCs w:val="24"/>
          <w:u w:val="single"/>
        </w:rPr>
      </w:pPr>
      <w:r w:rsidRPr="002A3A17">
        <w:rPr>
          <w:b/>
          <w:sz w:val="24"/>
          <w:szCs w:val="24"/>
        </w:rPr>
        <w:t>4.1</w:t>
      </w:r>
      <w:r w:rsidRPr="002A3A17">
        <w:rPr>
          <w:b/>
          <w:sz w:val="24"/>
          <w:szCs w:val="24"/>
        </w:rPr>
        <w:tab/>
        <w:t>Terapeutiske indikationer</w:t>
      </w:r>
    </w:p>
    <w:p w14:paraId="7F7AAD3D" w14:textId="77777777" w:rsidR="00445389" w:rsidRPr="002A3A17" w:rsidRDefault="00445389" w:rsidP="00513E45">
      <w:pPr>
        <w:ind w:left="851"/>
        <w:rPr>
          <w:sz w:val="24"/>
          <w:szCs w:val="24"/>
        </w:rPr>
      </w:pPr>
      <w:r w:rsidRPr="002A3A17">
        <w:rPr>
          <w:sz w:val="24"/>
          <w:szCs w:val="24"/>
        </w:rPr>
        <w:t>Profylakse og behandling af D-vitaminmangel hos voksne og unge.</w:t>
      </w:r>
    </w:p>
    <w:p w14:paraId="2054FF76" w14:textId="77777777" w:rsidR="00445389" w:rsidRPr="002A3A17" w:rsidRDefault="00445389" w:rsidP="00513E45">
      <w:pPr>
        <w:ind w:left="851"/>
        <w:rPr>
          <w:sz w:val="24"/>
          <w:szCs w:val="24"/>
        </w:rPr>
      </w:pPr>
    </w:p>
    <w:p w14:paraId="77D926E8" w14:textId="77777777" w:rsidR="00445389" w:rsidRPr="002A3A17" w:rsidRDefault="00445389" w:rsidP="00513E45">
      <w:pPr>
        <w:ind w:left="851"/>
        <w:rPr>
          <w:sz w:val="24"/>
          <w:szCs w:val="24"/>
        </w:rPr>
      </w:pPr>
      <w:r w:rsidRPr="002A3A17">
        <w:rPr>
          <w:sz w:val="24"/>
          <w:szCs w:val="24"/>
        </w:rPr>
        <w:lastRenderedPageBreak/>
        <w:t>Som supplement til særlig osteoporosebehandling af patienter, der er i risiko for D-vitaminmangel.</w:t>
      </w:r>
    </w:p>
    <w:p w14:paraId="7F2229F1" w14:textId="77777777" w:rsidR="009260DE" w:rsidRPr="002A3A17" w:rsidRDefault="009260DE" w:rsidP="009260DE">
      <w:pPr>
        <w:tabs>
          <w:tab w:val="left" w:pos="851"/>
        </w:tabs>
        <w:ind w:left="851"/>
        <w:rPr>
          <w:sz w:val="24"/>
          <w:szCs w:val="24"/>
        </w:rPr>
      </w:pPr>
    </w:p>
    <w:p w14:paraId="5CAFFD48" w14:textId="77777777" w:rsidR="009260DE" w:rsidRPr="002A3A17" w:rsidRDefault="009260DE" w:rsidP="009260DE">
      <w:pPr>
        <w:tabs>
          <w:tab w:val="left" w:pos="851"/>
        </w:tabs>
        <w:ind w:left="851" w:hanging="851"/>
        <w:rPr>
          <w:b/>
          <w:sz w:val="24"/>
          <w:szCs w:val="24"/>
        </w:rPr>
      </w:pPr>
      <w:r w:rsidRPr="002A3A17">
        <w:rPr>
          <w:b/>
          <w:sz w:val="24"/>
          <w:szCs w:val="24"/>
        </w:rPr>
        <w:t>4.2</w:t>
      </w:r>
      <w:r w:rsidRPr="002A3A17">
        <w:rPr>
          <w:b/>
          <w:sz w:val="24"/>
          <w:szCs w:val="24"/>
        </w:rPr>
        <w:tab/>
        <w:t xml:space="preserve">Dosering og </w:t>
      </w:r>
      <w:r w:rsidR="002C1EC0" w:rsidRPr="002A3A17">
        <w:rPr>
          <w:b/>
          <w:sz w:val="24"/>
          <w:szCs w:val="24"/>
        </w:rPr>
        <w:t>administration</w:t>
      </w:r>
    </w:p>
    <w:p w14:paraId="53F18481" w14:textId="77777777" w:rsidR="002A3A17" w:rsidRDefault="002A3A17" w:rsidP="00513E45">
      <w:pPr>
        <w:ind w:left="851"/>
        <w:rPr>
          <w:sz w:val="24"/>
          <w:szCs w:val="24"/>
          <w:u w:val="single"/>
        </w:rPr>
      </w:pPr>
    </w:p>
    <w:p w14:paraId="223B6044" w14:textId="0C487D09" w:rsidR="00445389" w:rsidRPr="002A3A17" w:rsidRDefault="00445389" w:rsidP="00513E45">
      <w:pPr>
        <w:ind w:left="851"/>
        <w:rPr>
          <w:sz w:val="24"/>
          <w:szCs w:val="24"/>
          <w:u w:val="single"/>
        </w:rPr>
      </w:pPr>
      <w:r w:rsidRPr="002A3A17">
        <w:rPr>
          <w:sz w:val="24"/>
          <w:szCs w:val="24"/>
          <w:u w:val="single"/>
        </w:rPr>
        <w:t>Dosering</w:t>
      </w:r>
    </w:p>
    <w:p w14:paraId="5AE8D868" w14:textId="77777777" w:rsidR="00445389" w:rsidRPr="002A3A17" w:rsidRDefault="00445389" w:rsidP="00513E45">
      <w:pPr>
        <w:ind w:left="851"/>
        <w:rPr>
          <w:sz w:val="24"/>
          <w:szCs w:val="24"/>
          <w:u w:val="single"/>
        </w:rPr>
      </w:pPr>
    </w:p>
    <w:p w14:paraId="31C30777" w14:textId="77777777" w:rsidR="00445389" w:rsidRPr="002A3A17" w:rsidRDefault="00445389" w:rsidP="00513E45">
      <w:pPr>
        <w:ind w:left="851"/>
        <w:rPr>
          <w:i/>
          <w:sz w:val="24"/>
          <w:szCs w:val="24"/>
        </w:rPr>
      </w:pPr>
      <w:r w:rsidRPr="002A3A17">
        <w:rPr>
          <w:i/>
          <w:sz w:val="24"/>
          <w:szCs w:val="24"/>
        </w:rPr>
        <w:t>Profylakse – Supplement til specifik osteoporosebehandling:</w:t>
      </w:r>
    </w:p>
    <w:p w14:paraId="22023979" w14:textId="01CA1931" w:rsidR="00445389" w:rsidRPr="002A3A17" w:rsidRDefault="00445389" w:rsidP="00513E45">
      <w:pPr>
        <w:ind w:left="851"/>
        <w:rPr>
          <w:sz w:val="24"/>
          <w:szCs w:val="24"/>
        </w:rPr>
      </w:pPr>
      <w:r w:rsidRPr="002A3A17">
        <w:rPr>
          <w:sz w:val="24"/>
          <w:szCs w:val="24"/>
        </w:rPr>
        <w:t xml:space="preserve">Anbefalet dosis: 5.600 IE om ugen (svarende til én kapsel </w:t>
      </w:r>
      <w:proofErr w:type="spellStart"/>
      <w:r w:rsidR="00513E45" w:rsidRPr="002A3A17">
        <w:rPr>
          <w:sz w:val="24"/>
          <w:szCs w:val="24"/>
        </w:rPr>
        <w:t>Decurol</w:t>
      </w:r>
      <w:proofErr w:type="spellEnd"/>
      <w:r w:rsidRPr="002A3A17">
        <w:rPr>
          <w:sz w:val="24"/>
          <w:szCs w:val="24"/>
        </w:rPr>
        <w:t xml:space="preserve"> 5.600 IE om ugen eller én kapsel </w:t>
      </w:r>
      <w:proofErr w:type="spellStart"/>
      <w:r w:rsidR="00513E45" w:rsidRPr="002A3A17">
        <w:rPr>
          <w:sz w:val="24"/>
          <w:szCs w:val="24"/>
        </w:rPr>
        <w:t>Decurol</w:t>
      </w:r>
      <w:proofErr w:type="spellEnd"/>
      <w:r w:rsidRPr="002A3A17">
        <w:rPr>
          <w:sz w:val="24"/>
          <w:szCs w:val="24"/>
        </w:rPr>
        <w:t xml:space="preserve"> 12.500 IE hver 2. uge eller én kapsel </w:t>
      </w:r>
      <w:proofErr w:type="spellStart"/>
      <w:r w:rsidR="00513E45" w:rsidRPr="002A3A17">
        <w:rPr>
          <w:sz w:val="24"/>
          <w:szCs w:val="24"/>
        </w:rPr>
        <w:t>Decurol</w:t>
      </w:r>
      <w:proofErr w:type="spellEnd"/>
      <w:r w:rsidRPr="002A3A17">
        <w:rPr>
          <w:sz w:val="24"/>
          <w:szCs w:val="24"/>
        </w:rPr>
        <w:t xml:space="preserve"> 25.000 IE om måneden).</w:t>
      </w:r>
    </w:p>
    <w:p w14:paraId="4A63973F" w14:textId="49AE39C8" w:rsidR="00445389" w:rsidRPr="002A3A17" w:rsidRDefault="00445389" w:rsidP="00513E45">
      <w:pPr>
        <w:ind w:left="851"/>
        <w:rPr>
          <w:sz w:val="24"/>
          <w:szCs w:val="24"/>
        </w:rPr>
      </w:pPr>
      <w:r w:rsidRPr="002A3A17">
        <w:rPr>
          <w:sz w:val="24"/>
          <w:szCs w:val="24"/>
        </w:rPr>
        <w:t xml:space="preserve">I en population med høj risiko for vitamin D-mangel kan dosis øges til 1 kapsel </w:t>
      </w:r>
      <w:proofErr w:type="spellStart"/>
      <w:r w:rsidR="00513E45" w:rsidRPr="002A3A17">
        <w:rPr>
          <w:sz w:val="24"/>
          <w:szCs w:val="24"/>
        </w:rPr>
        <w:t>Decurol</w:t>
      </w:r>
      <w:proofErr w:type="spellEnd"/>
      <w:r w:rsidRPr="002A3A17">
        <w:rPr>
          <w:sz w:val="24"/>
          <w:szCs w:val="24"/>
        </w:rPr>
        <w:t xml:space="preserve"> 12.500 IE om ugen eller 2 kapsler </w:t>
      </w:r>
      <w:proofErr w:type="spellStart"/>
      <w:r w:rsidR="00513E45" w:rsidRPr="002A3A17">
        <w:rPr>
          <w:sz w:val="24"/>
          <w:szCs w:val="24"/>
        </w:rPr>
        <w:t>Decurol</w:t>
      </w:r>
      <w:proofErr w:type="spellEnd"/>
      <w:r w:rsidRPr="002A3A17">
        <w:rPr>
          <w:sz w:val="24"/>
          <w:szCs w:val="24"/>
        </w:rPr>
        <w:t xml:space="preserve"> 25.000 IE om måneden.</w:t>
      </w:r>
    </w:p>
    <w:p w14:paraId="69AE1FE1" w14:textId="77777777" w:rsidR="00445389" w:rsidRPr="002A3A17" w:rsidRDefault="00445389" w:rsidP="00513E45">
      <w:pPr>
        <w:ind w:left="851"/>
        <w:rPr>
          <w:sz w:val="24"/>
          <w:szCs w:val="24"/>
        </w:rPr>
      </w:pPr>
    </w:p>
    <w:p w14:paraId="5809EC54" w14:textId="77777777" w:rsidR="00445389" w:rsidRPr="002A3A17" w:rsidRDefault="00445389" w:rsidP="00513E45">
      <w:pPr>
        <w:ind w:left="851"/>
        <w:rPr>
          <w:sz w:val="24"/>
          <w:szCs w:val="24"/>
        </w:rPr>
      </w:pPr>
      <w:r w:rsidRPr="002A3A17">
        <w:rPr>
          <w:i/>
          <w:sz w:val="24"/>
          <w:szCs w:val="24"/>
        </w:rPr>
        <w:t xml:space="preserve">Behandling: </w:t>
      </w:r>
    </w:p>
    <w:p w14:paraId="0FBC3A72" w14:textId="673DBDFB" w:rsidR="00445389" w:rsidRPr="002A3A17" w:rsidRDefault="00445389" w:rsidP="00513E45">
      <w:pPr>
        <w:ind w:left="851"/>
        <w:rPr>
          <w:sz w:val="24"/>
          <w:szCs w:val="24"/>
        </w:rPr>
      </w:pPr>
      <w:r w:rsidRPr="002A3A17">
        <w:rPr>
          <w:sz w:val="24"/>
          <w:szCs w:val="24"/>
        </w:rPr>
        <w:t xml:space="preserve">Anbefalet dosis: mellem 11.200 IE og 25.000 IE afhængig af ønskede serumniveauer af 25-hydroxycolecalciferol (25(OH)D), sygdommens sværhedsgrad og patientens respons på behandlingen. Denne dosis kan ordineres som følger: 2-4 kapsler </w:t>
      </w:r>
      <w:proofErr w:type="spellStart"/>
      <w:r w:rsidR="00513E45" w:rsidRPr="002A3A17">
        <w:rPr>
          <w:sz w:val="24"/>
          <w:szCs w:val="24"/>
        </w:rPr>
        <w:t>Decurol</w:t>
      </w:r>
      <w:proofErr w:type="spellEnd"/>
      <w:r w:rsidRPr="002A3A17">
        <w:rPr>
          <w:sz w:val="24"/>
          <w:szCs w:val="24"/>
        </w:rPr>
        <w:t xml:space="preserve"> 5.600 IE om ugen, eller 1-2 kapsler </w:t>
      </w:r>
      <w:proofErr w:type="spellStart"/>
      <w:r w:rsidR="00513E45" w:rsidRPr="002A3A17">
        <w:rPr>
          <w:sz w:val="24"/>
          <w:szCs w:val="24"/>
        </w:rPr>
        <w:t>Decurol</w:t>
      </w:r>
      <w:proofErr w:type="spellEnd"/>
      <w:r w:rsidRPr="002A3A17">
        <w:rPr>
          <w:sz w:val="24"/>
          <w:szCs w:val="24"/>
        </w:rPr>
        <w:t xml:space="preserve"> 12.500 IE om ugen, eller 1 kapsel </w:t>
      </w:r>
      <w:proofErr w:type="spellStart"/>
      <w:r w:rsidR="00513E45" w:rsidRPr="002A3A17">
        <w:rPr>
          <w:sz w:val="24"/>
          <w:szCs w:val="24"/>
        </w:rPr>
        <w:t>Decurol</w:t>
      </w:r>
      <w:proofErr w:type="spellEnd"/>
      <w:r w:rsidRPr="002A3A17">
        <w:rPr>
          <w:sz w:val="24"/>
          <w:szCs w:val="24"/>
        </w:rPr>
        <w:t xml:space="preserve"> 25.000 IE om ugen. </w:t>
      </w:r>
    </w:p>
    <w:p w14:paraId="431AD86B" w14:textId="77777777" w:rsidR="00445389" w:rsidRPr="002A3A17" w:rsidRDefault="00445389" w:rsidP="00513E45">
      <w:pPr>
        <w:ind w:left="851"/>
        <w:rPr>
          <w:sz w:val="24"/>
          <w:szCs w:val="24"/>
        </w:rPr>
      </w:pPr>
      <w:r w:rsidRPr="002A3A17">
        <w:rPr>
          <w:sz w:val="24"/>
          <w:szCs w:val="24"/>
        </w:rPr>
        <w:t>Efter den første måned kan lavere doser overvejes. Alternativt kan de nationale doseringsanbefalinger ved behandling af D-vitaminmangel følges.</w:t>
      </w:r>
    </w:p>
    <w:p w14:paraId="77ED52C4" w14:textId="77777777" w:rsidR="00445389" w:rsidRPr="002A3A17" w:rsidRDefault="00445389" w:rsidP="00513E45">
      <w:pPr>
        <w:ind w:left="851"/>
        <w:rPr>
          <w:sz w:val="24"/>
          <w:szCs w:val="24"/>
          <w:u w:val="single"/>
        </w:rPr>
      </w:pPr>
    </w:p>
    <w:p w14:paraId="668D177F" w14:textId="77777777" w:rsidR="00445389" w:rsidRPr="002A3A17" w:rsidRDefault="00445389" w:rsidP="00513E45">
      <w:pPr>
        <w:ind w:left="851"/>
        <w:rPr>
          <w:sz w:val="24"/>
          <w:szCs w:val="24"/>
          <w:u w:val="single"/>
        </w:rPr>
      </w:pPr>
      <w:r w:rsidRPr="002A3A17">
        <w:rPr>
          <w:sz w:val="24"/>
          <w:szCs w:val="24"/>
          <w:u w:val="single"/>
        </w:rPr>
        <w:t>Særlige populationer</w:t>
      </w:r>
    </w:p>
    <w:p w14:paraId="4DCB4B5D" w14:textId="77777777" w:rsidR="00445389" w:rsidRPr="002A3A17" w:rsidRDefault="00445389" w:rsidP="00513E45">
      <w:pPr>
        <w:ind w:left="851"/>
        <w:rPr>
          <w:sz w:val="24"/>
          <w:szCs w:val="24"/>
        </w:rPr>
      </w:pPr>
    </w:p>
    <w:p w14:paraId="0B16FBAA" w14:textId="77777777" w:rsidR="00445389" w:rsidRPr="002A3A17" w:rsidRDefault="00445389" w:rsidP="00513E45">
      <w:pPr>
        <w:ind w:left="851"/>
        <w:rPr>
          <w:i/>
          <w:sz w:val="24"/>
          <w:szCs w:val="24"/>
        </w:rPr>
      </w:pPr>
      <w:r w:rsidRPr="002A3A17">
        <w:rPr>
          <w:i/>
          <w:sz w:val="24"/>
          <w:szCs w:val="24"/>
        </w:rPr>
        <w:t>Pædiatrisk population:</w:t>
      </w:r>
    </w:p>
    <w:p w14:paraId="0BC16A2C" w14:textId="23A770FB" w:rsidR="00445389" w:rsidRPr="002A3A17" w:rsidRDefault="00513E45" w:rsidP="00513E45">
      <w:pPr>
        <w:ind w:left="851"/>
        <w:rPr>
          <w:sz w:val="24"/>
          <w:szCs w:val="24"/>
        </w:rPr>
      </w:pPr>
      <w:proofErr w:type="spellStart"/>
      <w:r w:rsidRPr="002A3A17">
        <w:rPr>
          <w:sz w:val="24"/>
          <w:szCs w:val="24"/>
        </w:rPr>
        <w:t>Decurol</w:t>
      </w:r>
      <w:proofErr w:type="spellEnd"/>
      <w:r w:rsidR="00445389" w:rsidRPr="002A3A17">
        <w:rPr>
          <w:sz w:val="24"/>
          <w:szCs w:val="24"/>
        </w:rPr>
        <w:t xml:space="preserve"> 5.600 IE, 12.500 IE og 25.000 IE bør ikke anvendes til børn under 12 år.</w:t>
      </w:r>
    </w:p>
    <w:p w14:paraId="1612E36B" w14:textId="77777777" w:rsidR="00445389" w:rsidRPr="002A3A17" w:rsidRDefault="00445389" w:rsidP="00513E45">
      <w:pPr>
        <w:ind w:left="851"/>
        <w:rPr>
          <w:sz w:val="24"/>
          <w:szCs w:val="24"/>
          <w:u w:val="single"/>
        </w:rPr>
      </w:pPr>
    </w:p>
    <w:p w14:paraId="6DAB33A5" w14:textId="77777777" w:rsidR="00445389" w:rsidRPr="002A3A17" w:rsidRDefault="00445389" w:rsidP="00513E45">
      <w:pPr>
        <w:ind w:left="851"/>
        <w:rPr>
          <w:i/>
          <w:sz w:val="24"/>
          <w:szCs w:val="24"/>
        </w:rPr>
      </w:pPr>
      <w:r w:rsidRPr="002A3A17">
        <w:rPr>
          <w:i/>
          <w:sz w:val="24"/>
          <w:szCs w:val="24"/>
        </w:rPr>
        <w:t>Patienter med nedsat nyrefunktion</w:t>
      </w:r>
    </w:p>
    <w:p w14:paraId="5BE92E7C" w14:textId="25D7E6FE" w:rsidR="00445389" w:rsidRPr="002A3A17" w:rsidRDefault="00513E45" w:rsidP="00513E45">
      <w:pPr>
        <w:ind w:left="851"/>
        <w:rPr>
          <w:sz w:val="24"/>
          <w:szCs w:val="24"/>
        </w:rPr>
      </w:pPr>
      <w:proofErr w:type="spellStart"/>
      <w:r w:rsidRPr="002A3A17">
        <w:rPr>
          <w:sz w:val="24"/>
          <w:szCs w:val="24"/>
        </w:rPr>
        <w:t>Decurol</w:t>
      </w:r>
      <w:proofErr w:type="spellEnd"/>
      <w:r w:rsidR="00445389" w:rsidRPr="002A3A17">
        <w:rPr>
          <w:sz w:val="24"/>
          <w:szCs w:val="24"/>
        </w:rPr>
        <w:t xml:space="preserve"> skal anvendes med forsigtighed til patienter med let til moderat nyreinsufficiens. Virkningen på calcium- og fosfatmetabolismen bør overvåges (se pkt. 4.4).</w:t>
      </w:r>
    </w:p>
    <w:p w14:paraId="1BA93A78" w14:textId="3D50A83B" w:rsidR="00445389" w:rsidRPr="002A3A17" w:rsidRDefault="00513E45" w:rsidP="00513E45">
      <w:pPr>
        <w:ind w:left="851"/>
        <w:rPr>
          <w:sz w:val="24"/>
          <w:szCs w:val="24"/>
        </w:rPr>
      </w:pPr>
      <w:proofErr w:type="spellStart"/>
      <w:r w:rsidRPr="002A3A17">
        <w:rPr>
          <w:sz w:val="24"/>
          <w:szCs w:val="24"/>
        </w:rPr>
        <w:t>Decurol</w:t>
      </w:r>
      <w:proofErr w:type="spellEnd"/>
      <w:r w:rsidR="00445389" w:rsidRPr="002A3A17">
        <w:rPr>
          <w:sz w:val="24"/>
          <w:szCs w:val="24"/>
        </w:rPr>
        <w:t xml:space="preserve"> må ikke anvendes til patienter med svær nedsat nyrefunktion (se pkt. 4.3).</w:t>
      </w:r>
    </w:p>
    <w:p w14:paraId="4634C4E4" w14:textId="77777777" w:rsidR="00445389" w:rsidRPr="002A3A17" w:rsidRDefault="00445389" w:rsidP="00513E45">
      <w:pPr>
        <w:ind w:left="851"/>
        <w:rPr>
          <w:i/>
          <w:sz w:val="24"/>
          <w:szCs w:val="24"/>
        </w:rPr>
      </w:pPr>
    </w:p>
    <w:p w14:paraId="71723A9D" w14:textId="77777777" w:rsidR="00445389" w:rsidRPr="002A3A17" w:rsidRDefault="00445389" w:rsidP="00513E45">
      <w:pPr>
        <w:ind w:left="851"/>
        <w:rPr>
          <w:sz w:val="24"/>
          <w:szCs w:val="24"/>
        </w:rPr>
      </w:pPr>
      <w:r w:rsidRPr="002A3A17">
        <w:rPr>
          <w:i/>
          <w:sz w:val="24"/>
          <w:szCs w:val="24"/>
        </w:rPr>
        <w:t>Dosering ved nedsat leverfunktion</w:t>
      </w:r>
    </w:p>
    <w:p w14:paraId="463F866E" w14:textId="77777777" w:rsidR="00445389" w:rsidRPr="002A3A17" w:rsidRDefault="00445389" w:rsidP="00513E45">
      <w:pPr>
        <w:ind w:left="851"/>
        <w:rPr>
          <w:sz w:val="24"/>
          <w:szCs w:val="24"/>
        </w:rPr>
      </w:pPr>
      <w:r w:rsidRPr="002A3A17">
        <w:rPr>
          <w:sz w:val="24"/>
          <w:szCs w:val="24"/>
        </w:rPr>
        <w:t>Dosisjustering er ikke nødvendig.</w:t>
      </w:r>
    </w:p>
    <w:p w14:paraId="0E150B4C" w14:textId="77777777" w:rsidR="00445389" w:rsidRPr="002A3A17" w:rsidRDefault="00445389" w:rsidP="00513E45">
      <w:pPr>
        <w:ind w:left="851"/>
        <w:rPr>
          <w:sz w:val="24"/>
          <w:szCs w:val="24"/>
          <w:u w:val="single"/>
        </w:rPr>
      </w:pPr>
    </w:p>
    <w:p w14:paraId="585F1436" w14:textId="77777777" w:rsidR="00445389" w:rsidRPr="002A3A17" w:rsidRDefault="00445389" w:rsidP="00513E45">
      <w:pPr>
        <w:ind w:left="851"/>
        <w:rPr>
          <w:sz w:val="24"/>
          <w:szCs w:val="24"/>
        </w:rPr>
      </w:pPr>
      <w:r w:rsidRPr="002A3A17">
        <w:rPr>
          <w:sz w:val="24"/>
          <w:szCs w:val="24"/>
          <w:u w:val="single"/>
        </w:rPr>
        <w:t xml:space="preserve">Administration </w:t>
      </w:r>
    </w:p>
    <w:p w14:paraId="52973EE5" w14:textId="77777777" w:rsidR="00445389" w:rsidRPr="002A3A17" w:rsidRDefault="00445389" w:rsidP="00513E45">
      <w:pPr>
        <w:ind w:left="851"/>
        <w:rPr>
          <w:sz w:val="24"/>
          <w:szCs w:val="24"/>
        </w:rPr>
      </w:pPr>
      <w:r w:rsidRPr="002A3A17">
        <w:rPr>
          <w:sz w:val="24"/>
          <w:szCs w:val="24"/>
        </w:rPr>
        <w:t>Dette lægemiddel tages oralt.</w:t>
      </w:r>
    </w:p>
    <w:p w14:paraId="0F54CAE2" w14:textId="77777777" w:rsidR="00445389" w:rsidRPr="002A3A17" w:rsidRDefault="00445389" w:rsidP="00513E45">
      <w:pPr>
        <w:ind w:left="851"/>
        <w:rPr>
          <w:sz w:val="24"/>
          <w:szCs w:val="24"/>
        </w:rPr>
      </w:pPr>
      <w:r w:rsidRPr="002A3A17">
        <w:rPr>
          <w:sz w:val="24"/>
          <w:szCs w:val="24"/>
        </w:rPr>
        <w:t>Kapslen skal synkes hel med vand, helst til dagens hovedmåltid.</w:t>
      </w:r>
    </w:p>
    <w:p w14:paraId="6EFFC121" w14:textId="77777777" w:rsidR="009260DE" w:rsidRPr="002A3A17" w:rsidRDefault="009260DE" w:rsidP="009260DE">
      <w:pPr>
        <w:tabs>
          <w:tab w:val="left" w:pos="851"/>
        </w:tabs>
        <w:ind w:left="851"/>
        <w:rPr>
          <w:sz w:val="24"/>
          <w:szCs w:val="24"/>
        </w:rPr>
      </w:pPr>
    </w:p>
    <w:p w14:paraId="64A10659" w14:textId="77777777" w:rsidR="009260DE" w:rsidRPr="002A3A17" w:rsidRDefault="009260DE" w:rsidP="009260DE">
      <w:pPr>
        <w:tabs>
          <w:tab w:val="left" w:pos="851"/>
        </w:tabs>
        <w:ind w:left="851" w:hanging="851"/>
        <w:rPr>
          <w:b/>
          <w:sz w:val="24"/>
          <w:szCs w:val="24"/>
        </w:rPr>
      </w:pPr>
      <w:r w:rsidRPr="002A3A17">
        <w:rPr>
          <w:b/>
          <w:sz w:val="24"/>
          <w:szCs w:val="24"/>
        </w:rPr>
        <w:t>4.3</w:t>
      </w:r>
      <w:r w:rsidRPr="002A3A17">
        <w:rPr>
          <w:b/>
          <w:sz w:val="24"/>
          <w:szCs w:val="24"/>
        </w:rPr>
        <w:tab/>
        <w:t>Kontraindikationer</w:t>
      </w:r>
    </w:p>
    <w:p w14:paraId="284AE667" w14:textId="77777777" w:rsidR="00445389" w:rsidRPr="002A3A17" w:rsidRDefault="00445389" w:rsidP="00513E45">
      <w:pPr>
        <w:pStyle w:val="Listeafsnit"/>
        <w:numPr>
          <w:ilvl w:val="0"/>
          <w:numId w:val="6"/>
        </w:numPr>
        <w:ind w:left="1276" w:hanging="425"/>
        <w:rPr>
          <w:rFonts w:eastAsia="Times New Roman" w:cs="Times New Roman"/>
          <w:sz w:val="24"/>
          <w:szCs w:val="24"/>
        </w:rPr>
      </w:pPr>
      <w:r w:rsidRPr="002A3A17">
        <w:rPr>
          <w:rFonts w:cs="Times New Roman"/>
          <w:sz w:val="24"/>
          <w:szCs w:val="24"/>
        </w:rPr>
        <w:t>Overfølsomhed over for det aktive stof eller over for et eller flere af hjælpestofferne anført i pkt. 6.1.</w:t>
      </w:r>
    </w:p>
    <w:p w14:paraId="5C75C100" w14:textId="77777777" w:rsidR="00445389" w:rsidRPr="002A3A17" w:rsidRDefault="00445389" w:rsidP="00513E45">
      <w:pPr>
        <w:pStyle w:val="Listeafsnit"/>
        <w:numPr>
          <w:ilvl w:val="0"/>
          <w:numId w:val="6"/>
        </w:numPr>
        <w:ind w:left="1276" w:hanging="425"/>
        <w:rPr>
          <w:rFonts w:eastAsia="Times New Roman" w:cs="Times New Roman"/>
          <w:sz w:val="24"/>
          <w:szCs w:val="24"/>
        </w:rPr>
      </w:pPr>
      <w:proofErr w:type="spellStart"/>
      <w:r w:rsidRPr="002A3A17">
        <w:rPr>
          <w:rFonts w:cs="Times New Roman"/>
          <w:sz w:val="24"/>
          <w:szCs w:val="24"/>
        </w:rPr>
        <w:t>Hypercalcæmi</w:t>
      </w:r>
      <w:proofErr w:type="spellEnd"/>
      <w:r w:rsidRPr="002A3A17">
        <w:rPr>
          <w:rFonts w:cs="Times New Roman"/>
          <w:sz w:val="24"/>
          <w:szCs w:val="24"/>
        </w:rPr>
        <w:t xml:space="preserve"> og/eller </w:t>
      </w:r>
      <w:proofErr w:type="spellStart"/>
      <w:r w:rsidRPr="002A3A17">
        <w:rPr>
          <w:rFonts w:cs="Times New Roman"/>
          <w:sz w:val="24"/>
          <w:szCs w:val="24"/>
        </w:rPr>
        <w:t>hypercalciuri</w:t>
      </w:r>
      <w:proofErr w:type="spellEnd"/>
      <w:r w:rsidRPr="002A3A17">
        <w:rPr>
          <w:rFonts w:cs="Times New Roman"/>
          <w:sz w:val="24"/>
          <w:szCs w:val="24"/>
        </w:rPr>
        <w:t>.</w:t>
      </w:r>
    </w:p>
    <w:p w14:paraId="2C7A170F" w14:textId="77777777" w:rsidR="00445389" w:rsidRPr="002A3A17" w:rsidRDefault="00445389" w:rsidP="00513E45">
      <w:pPr>
        <w:pStyle w:val="Listeafsnit"/>
        <w:numPr>
          <w:ilvl w:val="0"/>
          <w:numId w:val="6"/>
        </w:numPr>
        <w:ind w:left="1276" w:hanging="425"/>
        <w:rPr>
          <w:rFonts w:eastAsia="Times New Roman" w:cs="Times New Roman"/>
          <w:sz w:val="24"/>
          <w:szCs w:val="24"/>
        </w:rPr>
      </w:pPr>
      <w:proofErr w:type="spellStart"/>
      <w:r w:rsidRPr="002A3A17">
        <w:rPr>
          <w:rFonts w:cs="Times New Roman"/>
          <w:sz w:val="24"/>
          <w:szCs w:val="24"/>
        </w:rPr>
        <w:t>Nefrolitiasis</w:t>
      </w:r>
      <w:proofErr w:type="spellEnd"/>
      <w:r w:rsidRPr="002A3A17">
        <w:rPr>
          <w:rFonts w:cs="Times New Roman"/>
          <w:sz w:val="24"/>
          <w:szCs w:val="24"/>
        </w:rPr>
        <w:t xml:space="preserve">, </w:t>
      </w:r>
      <w:proofErr w:type="spellStart"/>
      <w:r w:rsidRPr="002A3A17">
        <w:rPr>
          <w:rFonts w:cs="Times New Roman"/>
          <w:sz w:val="24"/>
          <w:szCs w:val="24"/>
        </w:rPr>
        <w:t>nefrokalcinose</w:t>
      </w:r>
      <w:proofErr w:type="spellEnd"/>
    </w:p>
    <w:p w14:paraId="62D3702A" w14:textId="77777777" w:rsidR="00445389" w:rsidRPr="002A3A17" w:rsidRDefault="00445389" w:rsidP="00513E45">
      <w:pPr>
        <w:pStyle w:val="Listeafsnit"/>
        <w:numPr>
          <w:ilvl w:val="0"/>
          <w:numId w:val="6"/>
        </w:numPr>
        <w:ind w:left="1276" w:hanging="425"/>
        <w:rPr>
          <w:rFonts w:eastAsia="Times New Roman" w:cs="Times New Roman"/>
          <w:sz w:val="24"/>
          <w:szCs w:val="24"/>
        </w:rPr>
      </w:pPr>
      <w:r w:rsidRPr="002A3A17">
        <w:rPr>
          <w:rFonts w:cs="Times New Roman"/>
          <w:sz w:val="24"/>
          <w:szCs w:val="24"/>
        </w:rPr>
        <w:t>Svær nedsat nyrefunktion</w:t>
      </w:r>
    </w:p>
    <w:p w14:paraId="6482F3AA" w14:textId="77777777" w:rsidR="00445389" w:rsidRPr="002A3A17" w:rsidRDefault="00445389" w:rsidP="00513E45">
      <w:pPr>
        <w:pStyle w:val="Listeafsnit"/>
        <w:numPr>
          <w:ilvl w:val="0"/>
          <w:numId w:val="6"/>
        </w:numPr>
        <w:ind w:left="1276" w:hanging="425"/>
        <w:rPr>
          <w:rFonts w:eastAsia="Times New Roman" w:cs="Times New Roman"/>
          <w:sz w:val="24"/>
          <w:szCs w:val="24"/>
        </w:rPr>
      </w:pPr>
      <w:proofErr w:type="spellStart"/>
      <w:r w:rsidRPr="002A3A17">
        <w:rPr>
          <w:rFonts w:cs="Times New Roman"/>
          <w:sz w:val="24"/>
          <w:szCs w:val="24"/>
        </w:rPr>
        <w:t>Hypervitaminose</w:t>
      </w:r>
      <w:proofErr w:type="spellEnd"/>
      <w:r w:rsidRPr="002A3A17">
        <w:rPr>
          <w:rFonts w:cs="Times New Roman"/>
          <w:sz w:val="24"/>
          <w:szCs w:val="24"/>
        </w:rPr>
        <w:t xml:space="preserve"> D</w:t>
      </w:r>
    </w:p>
    <w:p w14:paraId="0ECABCFE" w14:textId="77777777" w:rsidR="00445389" w:rsidRPr="002A3A17" w:rsidRDefault="00445389" w:rsidP="00513E45">
      <w:pPr>
        <w:pStyle w:val="Listeafsnit"/>
        <w:numPr>
          <w:ilvl w:val="0"/>
          <w:numId w:val="6"/>
        </w:numPr>
        <w:ind w:left="1276" w:hanging="425"/>
        <w:rPr>
          <w:rFonts w:eastAsia="Times New Roman" w:cs="Times New Roman"/>
          <w:sz w:val="24"/>
          <w:szCs w:val="24"/>
        </w:rPr>
      </w:pPr>
      <w:proofErr w:type="spellStart"/>
      <w:r w:rsidRPr="002A3A17">
        <w:rPr>
          <w:rFonts w:cs="Times New Roman"/>
          <w:sz w:val="24"/>
          <w:szCs w:val="24"/>
        </w:rPr>
        <w:t>Pseudohypoparathyroidisme</w:t>
      </w:r>
      <w:proofErr w:type="spellEnd"/>
      <w:r w:rsidRPr="002A3A17">
        <w:rPr>
          <w:rFonts w:cs="Times New Roman"/>
          <w:sz w:val="24"/>
          <w:szCs w:val="24"/>
        </w:rPr>
        <w:t>, da D-vitaminbehovet kan være reduceret på grund af faser med normal D-vitaminfølsomhed, hvilket indebærer risiko for langvarig overdosis. Der findes bedre regulérbare D-vitaminderivater til dette brug.</w:t>
      </w:r>
    </w:p>
    <w:p w14:paraId="369DB81F" w14:textId="6A1CB8E4" w:rsidR="00EA7E2A" w:rsidRDefault="00EA7E2A">
      <w:pPr>
        <w:rPr>
          <w:sz w:val="24"/>
          <w:szCs w:val="24"/>
        </w:rPr>
      </w:pPr>
      <w:r>
        <w:rPr>
          <w:sz w:val="24"/>
          <w:szCs w:val="24"/>
        </w:rPr>
        <w:br w:type="page"/>
      </w:r>
    </w:p>
    <w:p w14:paraId="6AEDEC40" w14:textId="77777777" w:rsidR="009260DE" w:rsidRPr="002A3A17" w:rsidRDefault="009260DE" w:rsidP="009260DE">
      <w:pPr>
        <w:tabs>
          <w:tab w:val="left" w:pos="851"/>
        </w:tabs>
        <w:ind w:left="851"/>
        <w:rPr>
          <w:sz w:val="24"/>
          <w:szCs w:val="24"/>
        </w:rPr>
      </w:pPr>
    </w:p>
    <w:p w14:paraId="5BAD4185" w14:textId="77777777" w:rsidR="009260DE" w:rsidRPr="002A3A17" w:rsidRDefault="009260DE" w:rsidP="009260DE">
      <w:pPr>
        <w:tabs>
          <w:tab w:val="left" w:pos="851"/>
        </w:tabs>
        <w:ind w:left="851" w:hanging="851"/>
        <w:rPr>
          <w:b/>
          <w:sz w:val="24"/>
          <w:szCs w:val="24"/>
        </w:rPr>
      </w:pPr>
      <w:r w:rsidRPr="002A3A17">
        <w:rPr>
          <w:b/>
          <w:sz w:val="24"/>
          <w:szCs w:val="24"/>
        </w:rPr>
        <w:t>4.4</w:t>
      </w:r>
      <w:r w:rsidRPr="002A3A17">
        <w:rPr>
          <w:b/>
          <w:sz w:val="24"/>
          <w:szCs w:val="24"/>
        </w:rPr>
        <w:tab/>
        <w:t>Særlige advarsler og forsigtighedsregler vedrørende brugen</w:t>
      </w:r>
    </w:p>
    <w:p w14:paraId="302E523F" w14:textId="77777777" w:rsidR="00445389" w:rsidRPr="002A3A17" w:rsidRDefault="00445389" w:rsidP="00513E45">
      <w:pPr>
        <w:ind w:left="851"/>
        <w:rPr>
          <w:sz w:val="24"/>
          <w:szCs w:val="24"/>
        </w:rPr>
      </w:pPr>
      <w:r w:rsidRPr="002A3A17">
        <w:rPr>
          <w:sz w:val="24"/>
          <w:szCs w:val="24"/>
        </w:rPr>
        <w:t>Højkoncentrerede D</w:t>
      </w:r>
      <w:r w:rsidRPr="002A3A17">
        <w:rPr>
          <w:sz w:val="24"/>
          <w:szCs w:val="24"/>
          <w:vertAlign w:val="subscript"/>
        </w:rPr>
        <w:t>3</w:t>
      </w:r>
      <w:r w:rsidRPr="002A3A17">
        <w:rPr>
          <w:sz w:val="24"/>
          <w:szCs w:val="24"/>
        </w:rPr>
        <w:t xml:space="preserve">-vitaminopløsninger kan let forårsage D-vitaminforgiftning, når der laves doseringsfejl. Som følge heraf er der indberettet alvorlige tilfælde af </w:t>
      </w:r>
      <w:proofErr w:type="spellStart"/>
      <w:r w:rsidRPr="002A3A17">
        <w:rPr>
          <w:sz w:val="24"/>
          <w:szCs w:val="24"/>
        </w:rPr>
        <w:t>hypercalcæmi</w:t>
      </w:r>
      <w:proofErr w:type="spellEnd"/>
      <w:r w:rsidRPr="002A3A17">
        <w:rPr>
          <w:sz w:val="24"/>
          <w:szCs w:val="24"/>
        </w:rPr>
        <w:t xml:space="preserve"> efter høj belastningsdosis med D-vitamin. </w:t>
      </w:r>
    </w:p>
    <w:p w14:paraId="7C16121A" w14:textId="77777777" w:rsidR="00445389" w:rsidRPr="002A3A17" w:rsidRDefault="00445389" w:rsidP="00513E45">
      <w:pPr>
        <w:ind w:left="851"/>
        <w:rPr>
          <w:sz w:val="24"/>
          <w:szCs w:val="24"/>
        </w:rPr>
      </w:pPr>
    </w:p>
    <w:p w14:paraId="75C159C4" w14:textId="77777777" w:rsidR="00445389" w:rsidRPr="002A3A17" w:rsidRDefault="00445389" w:rsidP="00513E45">
      <w:pPr>
        <w:ind w:left="851"/>
        <w:rPr>
          <w:sz w:val="24"/>
          <w:szCs w:val="24"/>
        </w:rPr>
      </w:pPr>
      <w:r w:rsidRPr="002A3A17">
        <w:rPr>
          <w:sz w:val="24"/>
          <w:szCs w:val="24"/>
        </w:rPr>
        <w:t xml:space="preserve">Hos patienter med idiopatisk infantil </w:t>
      </w:r>
      <w:proofErr w:type="spellStart"/>
      <w:r w:rsidRPr="002A3A17">
        <w:rPr>
          <w:sz w:val="24"/>
          <w:szCs w:val="24"/>
        </w:rPr>
        <w:t>hypercalcæmi</w:t>
      </w:r>
      <w:proofErr w:type="spellEnd"/>
      <w:r w:rsidRPr="002A3A17">
        <w:rPr>
          <w:sz w:val="24"/>
          <w:szCs w:val="24"/>
        </w:rPr>
        <w:t xml:space="preserve"> (CYP24A1- eller SLC34A1-mutation) er risikoen for </w:t>
      </w:r>
      <w:proofErr w:type="spellStart"/>
      <w:r w:rsidRPr="002A3A17">
        <w:rPr>
          <w:sz w:val="24"/>
          <w:szCs w:val="24"/>
        </w:rPr>
        <w:t>hypercalcæmi</w:t>
      </w:r>
      <w:proofErr w:type="spellEnd"/>
      <w:r w:rsidRPr="002A3A17">
        <w:rPr>
          <w:sz w:val="24"/>
          <w:szCs w:val="24"/>
        </w:rPr>
        <w:t xml:space="preserve"> og sekundære virkninger (f.eks. </w:t>
      </w:r>
      <w:proofErr w:type="spellStart"/>
      <w:r w:rsidRPr="002A3A17">
        <w:rPr>
          <w:sz w:val="24"/>
          <w:szCs w:val="24"/>
        </w:rPr>
        <w:t>hypercalciuri</w:t>
      </w:r>
      <w:proofErr w:type="spellEnd"/>
      <w:r w:rsidRPr="002A3A17">
        <w:rPr>
          <w:sz w:val="24"/>
          <w:szCs w:val="24"/>
        </w:rPr>
        <w:t xml:space="preserve">, </w:t>
      </w:r>
      <w:proofErr w:type="spellStart"/>
      <w:r w:rsidRPr="002A3A17">
        <w:rPr>
          <w:sz w:val="24"/>
          <w:szCs w:val="24"/>
        </w:rPr>
        <w:t>nefrocalcinose</w:t>
      </w:r>
      <w:proofErr w:type="spellEnd"/>
      <w:r w:rsidRPr="002A3A17">
        <w:rPr>
          <w:sz w:val="24"/>
          <w:szCs w:val="24"/>
        </w:rPr>
        <w:t xml:space="preserve">, </w:t>
      </w:r>
      <w:proofErr w:type="spellStart"/>
      <w:r w:rsidRPr="002A3A17">
        <w:rPr>
          <w:sz w:val="24"/>
          <w:szCs w:val="24"/>
        </w:rPr>
        <w:t>nefrolithiasis</w:t>
      </w:r>
      <w:proofErr w:type="spellEnd"/>
      <w:r w:rsidRPr="002A3A17">
        <w:rPr>
          <w:sz w:val="24"/>
          <w:szCs w:val="24"/>
        </w:rPr>
        <w:t xml:space="preserve">) øget på grund af akkumulering af aktivt D-vitamin. Idiopatisk infantil </w:t>
      </w:r>
      <w:proofErr w:type="spellStart"/>
      <w:r w:rsidRPr="002A3A17">
        <w:rPr>
          <w:sz w:val="24"/>
          <w:szCs w:val="24"/>
        </w:rPr>
        <w:t>hypercalcæmi</w:t>
      </w:r>
      <w:proofErr w:type="spellEnd"/>
      <w:r w:rsidRPr="002A3A17">
        <w:rPr>
          <w:sz w:val="24"/>
          <w:szCs w:val="24"/>
        </w:rPr>
        <w:t xml:space="preserve"> kan være asymptomatisk og </w:t>
      </w:r>
      <w:proofErr w:type="spellStart"/>
      <w:r w:rsidRPr="002A3A17">
        <w:rPr>
          <w:sz w:val="24"/>
          <w:szCs w:val="24"/>
        </w:rPr>
        <w:t>udiagnosticeret</w:t>
      </w:r>
      <w:proofErr w:type="spellEnd"/>
      <w:r w:rsidRPr="002A3A17">
        <w:rPr>
          <w:sz w:val="24"/>
          <w:szCs w:val="24"/>
        </w:rPr>
        <w:t xml:space="preserve"> i begyndelsen af D-vitaminbehandling og kan blive afsløret og blive klinisk synlig efter D-vitamintilskud.</w:t>
      </w:r>
    </w:p>
    <w:p w14:paraId="159DAAD1" w14:textId="77777777" w:rsidR="00445389" w:rsidRPr="002A3A17" w:rsidRDefault="00445389" w:rsidP="00513E45">
      <w:pPr>
        <w:ind w:left="851"/>
        <w:rPr>
          <w:sz w:val="24"/>
          <w:szCs w:val="24"/>
        </w:rPr>
      </w:pPr>
    </w:p>
    <w:p w14:paraId="5CAEDC15" w14:textId="3022208E" w:rsidR="00445389" w:rsidRPr="002A3A17" w:rsidRDefault="00445389" w:rsidP="00513E45">
      <w:pPr>
        <w:ind w:left="851"/>
        <w:rPr>
          <w:sz w:val="24"/>
          <w:szCs w:val="24"/>
        </w:rPr>
      </w:pPr>
      <w:r w:rsidRPr="002A3A17">
        <w:rPr>
          <w:sz w:val="24"/>
          <w:szCs w:val="24"/>
        </w:rPr>
        <w:t xml:space="preserve">Under behandling med </w:t>
      </w:r>
      <w:proofErr w:type="spellStart"/>
      <w:r w:rsidR="00513E45" w:rsidRPr="002A3A17">
        <w:rPr>
          <w:sz w:val="24"/>
          <w:szCs w:val="24"/>
        </w:rPr>
        <w:t>Decurol</w:t>
      </w:r>
      <w:proofErr w:type="spellEnd"/>
      <w:r w:rsidRPr="002A3A17">
        <w:rPr>
          <w:sz w:val="24"/>
          <w:szCs w:val="24"/>
        </w:rPr>
        <w:t xml:space="preserve"> skal serumcalciumniveauerne og calciumudskillelsen i urin overvåges, og nyrefunktionen skal kontrolleres ved måling af </w:t>
      </w:r>
      <w:proofErr w:type="spellStart"/>
      <w:r w:rsidRPr="002A3A17">
        <w:rPr>
          <w:sz w:val="24"/>
          <w:szCs w:val="24"/>
        </w:rPr>
        <w:t>serumkreatinin</w:t>
      </w:r>
      <w:proofErr w:type="spellEnd"/>
      <w:r w:rsidRPr="002A3A17">
        <w:rPr>
          <w:sz w:val="24"/>
          <w:szCs w:val="24"/>
        </w:rPr>
        <w:t xml:space="preserve">. Disse kontroller er især vigtige hos ældre patienter og ved samtidig behandling med hjerteglykosider eller </w:t>
      </w:r>
      <w:proofErr w:type="spellStart"/>
      <w:r w:rsidRPr="002A3A17">
        <w:rPr>
          <w:sz w:val="24"/>
          <w:szCs w:val="24"/>
        </w:rPr>
        <w:t>diuretika</w:t>
      </w:r>
      <w:proofErr w:type="spellEnd"/>
      <w:r w:rsidRPr="002A3A17">
        <w:rPr>
          <w:sz w:val="24"/>
          <w:szCs w:val="24"/>
        </w:rPr>
        <w:t xml:space="preserve">. Ved </w:t>
      </w:r>
      <w:proofErr w:type="spellStart"/>
      <w:r w:rsidRPr="002A3A17">
        <w:rPr>
          <w:sz w:val="24"/>
          <w:szCs w:val="24"/>
        </w:rPr>
        <w:t>hypercalcæmi</w:t>
      </w:r>
      <w:proofErr w:type="spellEnd"/>
      <w:r w:rsidRPr="002A3A17">
        <w:rPr>
          <w:sz w:val="24"/>
          <w:szCs w:val="24"/>
        </w:rPr>
        <w:t xml:space="preserve"> skal behandlingen seponeres. Hvis der opstår tegn på nedsat nyrefunktion, anbefales det at justere dosis i henhold til serumcalciumniveauer (se pkt. 4.2 og 4.3).</w:t>
      </w:r>
    </w:p>
    <w:p w14:paraId="3B3DE866" w14:textId="77777777" w:rsidR="00445389" w:rsidRPr="002A3A17" w:rsidRDefault="00445389" w:rsidP="00513E45">
      <w:pPr>
        <w:ind w:left="851"/>
        <w:rPr>
          <w:sz w:val="24"/>
          <w:szCs w:val="24"/>
        </w:rPr>
      </w:pPr>
    </w:p>
    <w:p w14:paraId="51095191" w14:textId="61A69D5B" w:rsidR="00445389" w:rsidRPr="002A3A17" w:rsidRDefault="00513E45" w:rsidP="00513E45">
      <w:pPr>
        <w:ind w:left="851"/>
        <w:rPr>
          <w:sz w:val="24"/>
          <w:szCs w:val="24"/>
        </w:rPr>
      </w:pPr>
      <w:proofErr w:type="spellStart"/>
      <w:r w:rsidRPr="002A3A17">
        <w:rPr>
          <w:sz w:val="24"/>
          <w:szCs w:val="24"/>
        </w:rPr>
        <w:t>Decurol</w:t>
      </w:r>
      <w:proofErr w:type="spellEnd"/>
      <w:r w:rsidR="00445389" w:rsidRPr="002A3A17">
        <w:rPr>
          <w:sz w:val="24"/>
          <w:szCs w:val="24"/>
        </w:rPr>
        <w:t xml:space="preserve"> skal anvendes med særlig forsigtighed hos patienter med forstyrret urinudskillelse af calcium og fosfat, ved behandling med </w:t>
      </w:r>
      <w:proofErr w:type="spellStart"/>
      <w:r w:rsidR="00445389" w:rsidRPr="002A3A17">
        <w:rPr>
          <w:sz w:val="24"/>
          <w:szCs w:val="24"/>
        </w:rPr>
        <w:t>benzothiadiazinderivater</w:t>
      </w:r>
      <w:proofErr w:type="spellEnd"/>
      <w:r w:rsidR="00445389" w:rsidRPr="002A3A17">
        <w:rPr>
          <w:sz w:val="24"/>
          <w:szCs w:val="24"/>
        </w:rPr>
        <w:t xml:space="preserve"> og hos immobiliserede patienter (risiko for </w:t>
      </w:r>
      <w:proofErr w:type="spellStart"/>
      <w:r w:rsidR="00445389" w:rsidRPr="002A3A17">
        <w:rPr>
          <w:sz w:val="24"/>
          <w:szCs w:val="24"/>
        </w:rPr>
        <w:t>hypercalcæmi</w:t>
      </w:r>
      <w:proofErr w:type="spellEnd"/>
      <w:r w:rsidR="00445389" w:rsidRPr="002A3A17">
        <w:rPr>
          <w:sz w:val="24"/>
          <w:szCs w:val="24"/>
        </w:rPr>
        <w:t xml:space="preserve"> og </w:t>
      </w:r>
      <w:proofErr w:type="spellStart"/>
      <w:r w:rsidR="00445389" w:rsidRPr="002A3A17">
        <w:rPr>
          <w:sz w:val="24"/>
          <w:szCs w:val="24"/>
        </w:rPr>
        <w:t>hypercalciuri</w:t>
      </w:r>
      <w:proofErr w:type="spellEnd"/>
      <w:r w:rsidR="00445389" w:rsidRPr="002A3A17">
        <w:rPr>
          <w:sz w:val="24"/>
          <w:szCs w:val="24"/>
        </w:rPr>
        <w:t>). Plasmaniveau og calciumudskillelsen i urin skal overvåges hos disse patienter.</w:t>
      </w:r>
    </w:p>
    <w:p w14:paraId="6D8B1093" w14:textId="77777777" w:rsidR="00445389" w:rsidRPr="002A3A17" w:rsidRDefault="00445389" w:rsidP="00513E45">
      <w:pPr>
        <w:ind w:left="851"/>
        <w:rPr>
          <w:sz w:val="24"/>
          <w:szCs w:val="24"/>
        </w:rPr>
      </w:pPr>
    </w:p>
    <w:p w14:paraId="0B07BCA2" w14:textId="37B36365" w:rsidR="00445389" w:rsidRPr="002A3A17" w:rsidRDefault="00513E45" w:rsidP="00513E45">
      <w:pPr>
        <w:ind w:left="851"/>
        <w:rPr>
          <w:sz w:val="24"/>
          <w:szCs w:val="24"/>
        </w:rPr>
      </w:pPr>
      <w:proofErr w:type="spellStart"/>
      <w:r w:rsidRPr="002A3A17">
        <w:rPr>
          <w:sz w:val="24"/>
          <w:szCs w:val="24"/>
        </w:rPr>
        <w:t>Decurol</w:t>
      </w:r>
      <w:proofErr w:type="spellEnd"/>
      <w:r w:rsidR="00445389" w:rsidRPr="002A3A17">
        <w:rPr>
          <w:sz w:val="24"/>
          <w:szCs w:val="24"/>
        </w:rPr>
        <w:t xml:space="preserve"> bør ordineres med forsigtighed til patienter, der lider af </w:t>
      </w:r>
      <w:proofErr w:type="spellStart"/>
      <w:r w:rsidR="00445389" w:rsidRPr="002A3A17">
        <w:rPr>
          <w:sz w:val="24"/>
          <w:szCs w:val="24"/>
        </w:rPr>
        <w:t>sarkoidose</w:t>
      </w:r>
      <w:proofErr w:type="spellEnd"/>
      <w:r w:rsidR="00445389" w:rsidRPr="002A3A17">
        <w:rPr>
          <w:sz w:val="24"/>
          <w:szCs w:val="24"/>
        </w:rPr>
        <w:t>, da der er risiko for øget omdannelse af D-vitamin til dets aktive metabolit. Serumcalciumniveauerne og calciumudskillelsen i urin skal overvåges hos disse patienter.</w:t>
      </w:r>
    </w:p>
    <w:p w14:paraId="42DC559D" w14:textId="77777777" w:rsidR="00445389" w:rsidRPr="002A3A17" w:rsidRDefault="00445389" w:rsidP="00513E45">
      <w:pPr>
        <w:ind w:left="851"/>
        <w:rPr>
          <w:sz w:val="24"/>
          <w:szCs w:val="24"/>
        </w:rPr>
      </w:pPr>
    </w:p>
    <w:p w14:paraId="19CD3BCF" w14:textId="216D5F11" w:rsidR="00445389" w:rsidRPr="002A3A17" w:rsidRDefault="00445389" w:rsidP="00513E45">
      <w:pPr>
        <w:ind w:left="851"/>
        <w:rPr>
          <w:sz w:val="24"/>
          <w:szCs w:val="24"/>
        </w:rPr>
      </w:pPr>
      <w:r w:rsidRPr="002A3A17">
        <w:rPr>
          <w:sz w:val="24"/>
          <w:szCs w:val="24"/>
        </w:rPr>
        <w:t xml:space="preserve">Hos patienter med mild til moderat nyreinsufficiens, som behandles med </w:t>
      </w:r>
      <w:proofErr w:type="spellStart"/>
      <w:r w:rsidR="00513E45" w:rsidRPr="002A3A17">
        <w:rPr>
          <w:sz w:val="24"/>
          <w:szCs w:val="24"/>
        </w:rPr>
        <w:t>Decurol</w:t>
      </w:r>
      <w:proofErr w:type="spellEnd"/>
      <w:r w:rsidRPr="002A3A17">
        <w:rPr>
          <w:sz w:val="24"/>
          <w:szCs w:val="24"/>
        </w:rPr>
        <w:t>, skal calcium- og fosfatmetabolismens virkning overvåges.</w:t>
      </w:r>
    </w:p>
    <w:p w14:paraId="717C2A85" w14:textId="1622A345" w:rsidR="00445389" w:rsidRPr="002A3A17" w:rsidRDefault="00513E45" w:rsidP="00513E45">
      <w:pPr>
        <w:ind w:left="851"/>
        <w:rPr>
          <w:sz w:val="24"/>
          <w:szCs w:val="24"/>
        </w:rPr>
      </w:pPr>
      <w:proofErr w:type="spellStart"/>
      <w:r w:rsidRPr="002A3A17">
        <w:rPr>
          <w:sz w:val="24"/>
          <w:szCs w:val="24"/>
        </w:rPr>
        <w:t>Decurol</w:t>
      </w:r>
      <w:proofErr w:type="spellEnd"/>
      <w:r w:rsidR="00445389" w:rsidRPr="002A3A17">
        <w:rPr>
          <w:sz w:val="24"/>
          <w:szCs w:val="24"/>
        </w:rPr>
        <w:t xml:space="preserve"> må ikke tages af patienter, der er særligt udsat for dannelse af nyresten, der indeholder calcium.</w:t>
      </w:r>
    </w:p>
    <w:p w14:paraId="4378249B" w14:textId="77777777" w:rsidR="00445389" w:rsidRPr="002A3A17" w:rsidRDefault="00445389" w:rsidP="00513E45">
      <w:pPr>
        <w:ind w:left="851"/>
        <w:rPr>
          <w:sz w:val="24"/>
          <w:szCs w:val="24"/>
        </w:rPr>
      </w:pPr>
    </w:p>
    <w:p w14:paraId="7321248C" w14:textId="448D42E5" w:rsidR="00445389" w:rsidRPr="002A3A17" w:rsidRDefault="00445389" w:rsidP="00513E45">
      <w:pPr>
        <w:ind w:left="851"/>
        <w:rPr>
          <w:sz w:val="24"/>
          <w:szCs w:val="24"/>
        </w:rPr>
      </w:pPr>
      <w:r w:rsidRPr="002A3A17">
        <w:rPr>
          <w:sz w:val="24"/>
          <w:szCs w:val="24"/>
        </w:rPr>
        <w:t xml:space="preserve">For at undgå overdosering af D-vitamin skal alle potentielle kilder til D-vitamin, såsom andre D-vitaminholdige lægemidler, mad, fødevarer beriget med D-vitamin, kosttilskud osv. tages i betragtning ved ordination af </w:t>
      </w:r>
      <w:proofErr w:type="spellStart"/>
      <w:r w:rsidR="00513E45" w:rsidRPr="002A3A17">
        <w:rPr>
          <w:sz w:val="24"/>
          <w:szCs w:val="24"/>
        </w:rPr>
        <w:t>Decurol</w:t>
      </w:r>
      <w:proofErr w:type="spellEnd"/>
      <w:r w:rsidRPr="002A3A17">
        <w:rPr>
          <w:sz w:val="24"/>
          <w:szCs w:val="24"/>
        </w:rPr>
        <w:t>. Yderligere administration af D-vitamin eller calcium må kun ske under lægeligt tilsyn. I sådanne tilfælde skal serumcalciumniveauerne og calciumudskillelsen i urin kontrolleres hyppigt (se ovenstående).</w:t>
      </w:r>
    </w:p>
    <w:p w14:paraId="598411AF" w14:textId="77777777" w:rsidR="00445389" w:rsidRPr="002A3A17" w:rsidRDefault="00445389" w:rsidP="00513E45">
      <w:pPr>
        <w:ind w:left="851"/>
        <w:rPr>
          <w:sz w:val="24"/>
          <w:szCs w:val="24"/>
        </w:rPr>
      </w:pPr>
    </w:p>
    <w:p w14:paraId="3AA7461C" w14:textId="77777777" w:rsidR="00445389" w:rsidRPr="002A3A17" w:rsidRDefault="00445389" w:rsidP="00513E45">
      <w:pPr>
        <w:ind w:left="851"/>
        <w:rPr>
          <w:sz w:val="24"/>
          <w:szCs w:val="24"/>
        </w:rPr>
      </w:pPr>
      <w:r w:rsidRPr="002A3A17">
        <w:rPr>
          <w:sz w:val="24"/>
          <w:szCs w:val="24"/>
        </w:rPr>
        <w:t xml:space="preserve">Oral administration af højdosis D-vitamin (500.000 IE ved en enkelt årlig </w:t>
      </w:r>
      <w:proofErr w:type="spellStart"/>
      <w:r w:rsidRPr="002A3A17">
        <w:rPr>
          <w:sz w:val="24"/>
          <w:szCs w:val="24"/>
        </w:rPr>
        <w:t>bolus</w:t>
      </w:r>
      <w:proofErr w:type="spellEnd"/>
      <w:r w:rsidRPr="002A3A17">
        <w:rPr>
          <w:sz w:val="24"/>
          <w:szCs w:val="24"/>
        </w:rPr>
        <w:t>) blev indberettet at resultere i en øget risiko for frakturer hos ældre forsøgspersoner, hvor den største stigning fandt sted i løbet af de første 3 måneder efter dosering.</w:t>
      </w:r>
    </w:p>
    <w:p w14:paraId="396B01C7" w14:textId="77777777" w:rsidR="009260DE" w:rsidRPr="002A3A17" w:rsidRDefault="009260DE" w:rsidP="009260DE">
      <w:pPr>
        <w:tabs>
          <w:tab w:val="left" w:pos="851"/>
        </w:tabs>
        <w:ind w:left="851"/>
        <w:rPr>
          <w:sz w:val="24"/>
          <w:szCs w:val="24"/>
        </w:rPr>
      </w:pPr>
    </w:p>
    <w:p w14:paraId="593004B6" w14:textId="77777777" w:rsidR="009260DE" w:rsidRPr="002A3A17" w:rsidRDefault="009260DE" w:rsidP="009260DE">
      <w:pPr>
        <w:tabs>
          <w:tab w:val="left" w:pos="851"/>
        </w:tabs>
        <w:ind w:left="851" w:hanging="851"/>
        <w:rPr>
          <w:b/>
          <w:sz w:val="24"/>
          <w:szCs w:val="24"/>
        </w:rPr>
      </w:pPr>
      <w:r w:rsidRPr="002A3A17">
        <w:rPr>
          <w:b/>
          <w:sz w:val="24"/>
          <w:szCs w:val="24"/>
        </w:rPr>
        <w:t>4.5</w:t>
      </w:r>
      <w:r w:rsidRPr="002A3A17">
        <w:rPr>
          <w:b/>
          <w:sz w:val="24"/>
          <w:szCs w:val="24"/>
        </w:rPr>
        <w:tab/>
        <w:t>Interaktion med andre lægemidler og andre former for interaktion</w:t>
      </w:r>
    </w:p>
    <w:p w14:paraId="7AC16868" w14:textId="77777777" w:rsidR="00445389" w:rsidRPr="002A3A17" w:rsidRDefault="00445389" w:rsidP="00513E45">
      <w:pPr>
        <w:ind w:left="851"/>
        <w:rPr>
          <w:sz w:val="24"/>
          <w:szCs w:val="24"/>
        </w:rPr>
      </w:pPr>
      <w:r w:rsidRPr="002A3A17">
        <w:rPr>
          <w:sz w:val="24"/>
          <w:szCs w:val="24"/>
        </w:rPr>
        <w:t xml:space="preserve">Hydrering, </w:t>
      </w:r>
      <w:proofErr w:type="spellStart"/>
      <w:r w:rsidRPr="002A3A17">
        <w:rPr>
          <w:sz w:val="24"/>
          <w:szCs w:val="24"/>
        </w:rPr>
        <w:t>fenytoin</w:t>
      </w:r>
      <w:proofErr w:type="spellEnd"/>
      <w:r w:rsidRPr="002A3A17">
        <w:rPr>
          <w:sz w:val="24"/>
          <w:szCs w:val="24"/>
        </w:rPr>
        <w:t xml:space="preserve">, barbiturater og </w:t>
      </w:r>
      <w:proofErr w:type="spellStart"/>
      <w:r w:rsidRPr="002A3A17">
        <w:rPr>
          <w:sz w:val="24"/>
          <w:szCs w:val="24"/>
        </w:rPr>
        <w:t>primidon</w:t>
      </w:r>
      <w:proofErr w:type="spellEnd"/>
      <w:r w:rsidRPr="002A3A17">
        <w:rPr>
          <w:sz w:val="24"/>
          <w:szCs w:val="24"/>
        </w:rPr>
        <w:t xml:space="preserve"> kan reducere virkningen af D-vitamin på grund af aktivering af det </w:t>
      </w:r>
      <w:proofErr w:type="spellStart"/>
      <w:r w:rsidRPr="002A3A17">
        <w:rPr>
          <w:sz w:val="24"/>
          <w:szCs w:val="24"/>
        </w:rPr>
        <w:t>mikrosomale</w:t>
      </w:r>
      <w:proofErr w:type="spellEnd"/>
      <w:r w:rsidRPr="002A3A17">
        <w:rPr>
          <w:sz w:val="24"/>
          <w:szCs w:val="24"/>
        </w:rPr>
        <w:t xml:space="preserve"> enzymsystem.</w:t>
      </w:r>
    </w:p>
    <w:p w14:paraId="68CF5238" w14:textId="77777777" w:rsidR="00445389" w:rsidRPr="002A3A17" w:rsidRDefault="00445389" w:rsidP="00513E45">
      <w:pPr>
        <w:ind w:left="851"/>
        <w:rPr>
          <w:sz w:val="24"/>
          <w:szCs w:val="24"/>
        </w:rPr>
      </w:pPr>
    </w:p>
    <w:p w14:paraId="74922999" w14:textId="77777777" w:rsidR="00445389" w:rsidRPr="002A3A17" w:rsidRDefault="00445389" w:rsidP="00513E45">
      <w:pPr>
        <w:ind w:left="851"/>
        <w:rPr>
          <w:sz w:val="24"/>
          <w:szCs w:val="24"/>
        </w:rPr>
      </w:pPr>
      <w:proofErr w:type="spellStart"/>
      <w:r w:rsidRPr="002A3A17">
        <w:rPr>
          <w:sz w:val="24"/>
          <w:szCs w:val="24"/>
        </w:rPr>
        <w:t>Thiaziddiuretika</w:t>
      </w:r>
      <w:proofErr w:type="spellEnd"/>
      <w:r w:rsidRPr="002A3A17">
        <w:rPr>
          <w:sz w:val="24"/>
          <w:szCs w:val="24"/>
        </w:rPr>
        <w:t xml:space="preserve"> kan medføre </w:t>
      </w:r>
      <w:proofErr w:type="spellStart"/>
      <w:r w:rsidRPr="002A3A17">
        <w:rPr>
          <w:sz w:val="24"/>
          <w:szCs w:val="24"/>
        </w:rPr>
        <w:t>hypercalcæmi</w:t>
      </w:r>
      <w:proofErr w:type="spellEnd"/>
      <w:r w:rsidRPr="002A3A17">
        <w:rPr>
          <w:sz w:val="24"/>
          <w:szCs w:val="24"/>
        </w:rPr>
        <w:t xml:space="preserve"> på grund af reduceret calciumudskillelse via nyrerne. Plasmaniveau og calciumudskillelsen i urin skal derfor monitoreres under langtidsbehandling.</w:t>
      </w:r>
    </w:p>
    <w:p w14:paraId="2652CB12" w14:textId="77777777" w:rsidR="00445389" w:rsidRPr="002A3A17" w:rsidRDefault="00445389" w:rsidP="00513E45">
      <w:pPr>
        <w:ind w:left="851"/>
        <w:rPr>
          <w:sz w:val="24"/>
          <w:szCs w:val="24"/>
        </w:rPr>
      </w:pPr>
    </w:p>
    <w:p w14:paraId="51452803" w14:textId="77777777" w:rsidR="00445389" w:rsidRPr="002A3A17" w:rsidRDefault="00445389" w:rsidP="00513E45">
      <w:pPr>
        <w:ind w:left="851"/>
        <w:rPr>
          <w:sz w:val="24"/>
          <w:szCs w:val="24"/>
        </w:rPr>
      </w:pPr>
      <w:r w:rsidRPr="002A3A17">
        <w:rPr>
          <w:sz w:val="24"/>
          <w:szCs w:val="24"/>
        </w:rPr>
        <w:t xml:space="preserve">Samtidig administration af </w:t>
      </w:r>
      <w:proofErr w:type="spellStart"/>
      <w:r w:rsidRPr="002A3A17">
        <w:rPr>
          <w:sz w:val="24"/>
          <w:szCs w:val="24"/>
        </w:rPr>
        <w:t>glukokortikoider</w:t>
      </w:r>
      <w:proofErr w:type="spellEnd"/>
      <w:r w:rsidRPr="002A3A17">
        <w:rPr>
          <w:sz w:val="24"/>
          <w:szCs w:val="24"/>
        </w:rPr>
        <w:t xml:space="preserve"> kan forringe virkningen af D-vitamin på grund af hæmning af optagelsen af calcium.</w:t>
      </w:r>
    </w:p>
    <w:p w14:paraId="651CD6F3" w14:textId="77777777" w:rsidR="00445389" w:rsidRPr="002A3A17" w:rsidRDefault="00445389" w:rsidP="00513E45">
      <w:pPr>
        <w:ind w:left="851"/>
        <w:rPr>
          <w:sz w:val="24"/>
          <w:szCs w:val="24"/>
        </w:rPr>
      </w:pPr>
    </w:p>
    <w:p w14:paraId="1E6F1CA5" w14:textId="77777777" w:rsidR="00445389" w:rsidRPr="002A3A17" w:rsidRDefault="00445389" w:rsidP="00513E45">
      <w:pPr>
        <w:ind w:left="851"/>
        <w:rPr>
          <w:sz w:val="24"/>
          <w:szCs w:val="24"/>
        </w:rPr>
      </w:pPr>
      <w:r w:rsidRPr="002A3A17">
        <w:rPr>
          <w:sz w:val="24"/>
          <w:szCs w:val="24"/>
        </w:rPr>
        <w:t xml:space="preserve">Hjerteglykosiders toksicitet kan øges under behandling med D-vitamin på grund af øgede calciumniveauer (risiko for </w:t>
      </w:r>
      <w:proofErr w:type="spellStart"/>
      <w:r w:rsidRPr="002A3A17">
        <w:rPr>
          <w:sz w:val="24"/>
          <w:szCs w:val="24"/>
        </w:rPr>
        <w:t>hjertearytmier</w:t>
      </w:r>
      <w:proofErr w:type="spellEnd"/>
      <w:r w:rsidRPr="002A3A17">
        <w:rPr>
          <w:sz w:val="24"/>
          <w:szCs w:val="24"/>
        </w:rPr>
        <w:t>). EKG samt plasmaniveau og calciumudskillelsen i urin skal monitoreres hos sådanne patienter.</w:t>
      </w:r>
    </w:p>
    <w:p w14:paraId="27AA9CCA" w14:textId="77777777" w:rsidR="00445389" w:rsidRPr="002A3A17" w:rsidRDefault="00445389" w:rsidP="00513E45">
      <w:pPr>
        <w:ind w:left="851"/>
        <w:rPr>
          <w:sz w:val="24"/>
          <w:szCs w:val="24"/>
        </w:rPr>
      </w:pPr>
    </w:p>
    <w:p w14:paraId="574DC9B9" w14:textId="77777777" w:rsidR="00445389" w:rsidRPr="002A3A17" w:rsidRDefault="00445389" w:rsidP="00513E45">
      <w:pPr>
        <w:ind w:left="851"/>
        <w:rPr>
          <w:sz w:val="24"/>
          <w:szCs w:val="24"/>
        </w:rPr>
      </w:pPr>
      <w:r w:rsidRPr="002A3A17">
        <w:rPr>
          <w:sz w:val="24"/>
          <w:szCs w:val="24"/>
        </w:rPr>
        <w:t>Samtidig behandling med ionbytter-</w:t>
      </w:r>
      <w:proofErr w:type="spellStart"/>
      <w:r w:rsidRPr="002A3A17">
        <w:rPr>
          <w:sz w:val="24"/>
          <w:szCs w:val="24"/>
        </w:rPr>
        <w:t>resiner</w:t>
      </w:r>
      <w:proofErr w:type="spellEnd"/>
      <w:r w:rsidRPr="002A3A17">
        <w:rPr>
          <w:sz w:val="24"/>
          <w:szCs w:val="24"/>
        </w:rPr>
        <w:t xml:space="preserve"> såsom </w:t>
      </w:r>
      <w:proofErr w:type="spellStart"/>
      <w:r w:rsidRPr="002A3A17">
        <w:rPr>
          <w:sz w:val="24"/>
          <w:szCs w:val="24"/>
        </w:rPr>
        <w:t>cholestyramin</w:t>
      </w:r>
      <w:proofErr w:type="spellEnd"/>
      <w:r w:rsidRPr="002A3A17">
        <w:rPr>
          <w:sz w:val="24"/>
          <w:szCs w:val="24"/>
        </w:rPr>
        <w:t xml:space="preserve">, </w:t>
      </w:r>
      <w:proofErr w:type="spellStart"/>
      <w:r w:rsidRPr="002A3A17">
        <w:rPr>
          <w:sz w:val="24"/>
          <w:szCs w:val="24"/>
        </w:rPr>
        <w:t>laksantia</w:t>
      </w:r>
      <w:proofErr w:type="spellEnd"/>
      <w:r w:rsidRPr="002A3A17">
        <w:rPr>
          <w:sz w:val="24"/>
          <w:szCs w:val="24"/>
        </w:rPr>
        <w:t xml:space="preserve"> såsom paraffinolie, eller </w:t>
      </w:r>
      <w:proofErr w:type="spellStart"/>
      <w:r w:rsidRPr="002A3A17">
        <w:rPr>
          <w:sz w:val="24"/>
          <w:szCs w:val="24"/>
        </w:rPr>
        <w:t>lipasehæmmere</w:t>
      </w:r>
      <w:proofErr w:type="spellEnd"/>
      <w:r w:rsidRPr="002A3A17">
        <w:rPr>
          <w:sz w:val="24"/>
          <w:szCs w:val="24"/>
        </w:rPr>
        <w:t xml:space="preserve"> såsom </w:t>
      </w:r>
      <w:proofErr w:type="spellStart"/>
      <w:r w:rsidRPr="002A3A17">
        <w:rPr>
          <w:sz w:val="24"/>
          <w:szCs w:val="24"/>
        </w:rPr>
        <w:t>orlistat</w:t>
      </w:r>
      <w:proofErr w:type="spellEnd"/>
      <w:r w:rsidRPr="002A3A17">
        <w:rPr>
          <w:sz w:val="24"/>
          <w:szCs w:val="24"/>
        </w:rPr>
        <w:t xml:space="preserve"> kan reducere den </w:t>
      </w:r>
      <w:proofErr w:type="spellStart"/>
      <w:r w:rsidRPr="002A3A17">
        <w:rPr>
          <w:sz w:val="24"/>
          <w:szCs w:val="24"/>
        </w:rPr>
        <w:t>gastrointestinale</w:t>
      </w:r>
      <w:proofErr w:type="spellEnd"/>
      <w:r w:rsidRPr="002A3A17">
        <w:rPr>
          <w:sz w:val="24"/>
          <w:szCs w:val="24"/>
        </w:rPr>
        <w:t xml:space="preserve"> absorption af D-vitamin.</w:t>
      </w:r>
    </w:p>
    <w:p w14:paraId="5E409DF7" w14:textId="77777777" w:rsidR="00445389" w:rsidRPr="002A3A17" w:rsidRDefault="00445389" w:rsidP="00513E45">
      <w:pPr>
        <w:ind w:left="851"/>
        <w:rPr>
          <w:sz w:val="24"/>
          <w:szCs w:val="24"/>
        </w:rPr>
      </w:pPr>
      <w:r w:rsidRPr="002A3A17">
        <w:rPr>
          <w:sz w:val="24"/>
          <w:szCs w:val="24"/>
        </w:rPr>
        <w:t>Patienter bør tage D-vitamin mindst en time før eller 4-6 timer efter for at minimere mulig interferens med deres absorption.</w:t>
      </w:r>
    </w:p>
    <w:p w14:paraId="6FF8EBD0" w14:textId="77777777" w:rsidR="00445389" w:rsidRPr="002A3A17" w:rsidRDefault="00445389" w:rsidP="00513E45">
      <w:pPr>
        <w:ind w:left="851"/>
        <w:rPr>
          <w:sz w:val="24"/>
          <w:szCs w:val="24"/>
        </w:rPr>
      </w:pPr>
    </w:p>
    <w:p w14:paraId="3B7B77A9" w14:textId="77777777" w:rsidR="00445389" w:rsidRPr="002A3A17" w:rsidRDefault="00445389" w:rsidP="00513E45">
      <w:pPr>
        <w:ind w:left="851"/>
        <w:rPr>
          <w:sz w:val="24"/>
          <w:szCs w:val="24"/>
        </w:rPr>
      </w:pPr>
      <w:r w:rsidRPr="002A3A17">
        <w:rPr>
          <w:sz w:val="24"/>
          <w:szCs w:val="24"/>
        </w:rPr>
        <w:t xml:space="preserve">Det </w:t>
      </w:r>
      <w:proofErr w:type="spellStart"/>
      <w:r w:rsidRPr="002A3A17">
        <w:rPr>
          <w:sz w:val="24"/>
          <w:szCs w:val="24"/>
        </w:rPr>
        <w:t>cytotoksiske</w:t>
      </w:r>
      <w:proofErr w:type="spellEnd"/>
      <w:r w:rsidRPr="002A3A17">
        <w:rPr>
          <w:sz w:val="24"/>
          <w:szCs w:val="24"/>
        </w:rPr>
        <w:t xml:space="preserve"> middel </w:t>
      </w:r>
      <w:proofErr w:type="spellStart"/>
      <w:r w:rsidRPr="002A3A17">
        <w:rPr>
          <w:sz w:val="24"/>
          <w:szCs w:val="24"/>
        </w:rPr>
        <w:t>actinomycin</w:t>
      </w:r>
      <w:proofErr w:type="spellEnd"/>
      <w:r w:rsidRPr="002A3A17">
        <w:rPr>
          <w:sz w:val="24"/>
          <w:szCs w:val="24"/>
        </w:rPr>
        <w:t xml:space="preserve"> og fungicider af </w:t>
      </w:r>
      <w:proofErr w:type="spellStart"/>
      <w:r w:rsidRPr="002A3A17">
        <w:rPr>
          <w:sz w:val="24"/>
          <w:szCs w:val="24"/>
        </w:rPr>
        <w:t>imidazoltypen</w:t>
      </w:r>
      <w:proofErr w:type="spellEnd"/>
      <w:r w:rsidRPr="002A3A17">
        <w:rPr>
          <w:sz w:val="24"/>
          <w:szCs w:val="24"/>
        </w:rPr>
        <w:t xml:space="preserve"> interferer med aktiviteten af vitamin D via hæmning af omdannelsen af 25-hydroxyvitamin D til 1,25-dihydroxyvvitamin D via nyreenzymet 25-hydroxyvittamin D-1-hydroxylase.</w:t>
      </w:r>
    </w:p>
    <w:p w14:paraId="0AAA53DB" w14:textId="77777777" w:rsidR="00445389" w:rsidRPr="002A3A17" w:rsidRDefault="00445389" w:rsidP="00513E45">
      <w:pPr>
        <w:ind w:left="851"/>
        <w:rPr>
          <w:sz w:val="24"/>
          <w:szCs w:val="24"/>
        </w:rPr>
      </w:pPr>
    </w:p>
    <w:p w14:paraId="435FBAA5" w14:textId="77777777" w:rsidR="00445389" w:rsidRPr="002A3A17" w:rsidRDefault="00445389" w:rsidP="00513E45">
      <w:pPr>
        <w:ind w:left="851"/>
        <w:rPr>
          <w:sz w:val="24"/>
          <w:szCs w:val="24"/>
        </w:rPr>
      </w:pPr>
      <w:proofErr w:type="spellStart"/>
      <w:r w:rsidRPr="002A3A17">
        <w:rPr>
          <w:sz w:val="24"/>
          <w:szCs w:val="24"/>
        </w:rPr>
        <w:t>Rifampicin</w:t>
      </w:r>
      <w:proofErr w:type="spellEnd"/>
      <w:r w:rsidRPr="002A3A17">
        <w:rPr>
          <w:sz w:val="24"/>
          <w:szCs w:val="24"/>
        </w:rPr>
        <w:t xml:space="preserve"> kan reducere effektiviteten af </w:t>
      </w:r>
      <w:proofErr w:type="spellStart"/>
      <w:r w:rsidRPr="002A3A17">
        <w:rPr>
          <w:sz w:val="24"/>
          <w:szCs w:val="24"/>
        </w:rPr>
        <w:t>cholecalciferol</w:t>
      </w:r>
      <w:proofErr w:type="spellEnd"/>
      <w:r w:rsidRPr="002A3A17">
        <w:rPr>
          <w:sz w:val="24"/>
          <w:szCs w:val="24"/>
        </w:rPr>
        <w:t xml:space="preserve"> på grund af leverenzyminduktion.</w:t>
      </w:r>
    </w:p>
    <w:p w14:paraId="4A882DB9" w14:textId="77777777" w:rsidR="00445389" w:rsidRPr="002A3A17" w:rsidRDefault="00445389" w:rsidP="00513E45">
      <w:pPr>
        <w:ind w:left="851"/>
        <w:rPr>
          <w:sz w:val="24"/>
          <w:szCs w:val="24"/>
        </w:rPr>
      </w:pPr>
    </w:p>
    <w:p w14:paraId="654EED9E" w14:textId="77777777" w:rsidR="00445389" w:rsidRPr="002A3A17" w:rsidRDefault="00445389" w:rsidP="00513E45">
      <w:pPr>
        <w:ind w:left="851"/>
        <w:rPr>
          <w:sz w:val="24"/>
          <w:szCs w:val="24"/>
        </w:rPr>
      </w:pPr>
      <w:proofErr w:type="spellStart"/>
      <w:r w:rsidRPr="002A3A17">
        <w:rPr>
          <w:sz w:val="24"/>
          <w:szCs w:val="24"/>
        </w:rPr>
        <w:t>Isoniazid</w:t>
      </w:r>
      <w:proofErr w:type="spellEnd"/>
      <w:r w:rsidRPr="002A3A17">
        <w:rPr>
          <w:sz w:val="24"/>
          <w:szCs w:val="24"/>
        </w:rPr>
        <w:t xml:space="preserve"> kan reducere effektiviteten af </w:t>
      </w:r>
      <w:proofErr w:type="spellStart"/>
      <w:r w:rsidRPr="002A3A17">
        <w:rPr>
          <w:sz w:val="24"/>
          <w:szCs w:val="24"/>
        </w:rPr>
        <w:t>cholecalciferol</w:t>
      </w:r>
      <w:proofErr w:type="spellEnd"/>
      <w:r w:rsidRPr="002A3A17">
        <w:rPr>
          <w:sz w:val="24"/>
          <w:szCs w:val="24"/>
        </w:rPr>
        <w:t xml:space="preserve"> på grund af hæmning af den metaboliske aktivering af D-vitamin.</w:t>
      </w:r>
    </w:p>
    <w:p w14:paraId="1FFEB751" w14:textId="77777777" w:rsidR="00445389" w:rsidRPr="002A3A17" w:rsidRDefault="00445389" w:rsidP="00513E45">
      <w:pPr>
        <w:ind w:left="851"/>
        <w:rPr>
          <w:sz w:val="24"/>
          <w:szCs w:val="24"/>
        </w:rPr>
      </w:pPr>
    </w:p>
    <w:p w14:paraId="09CB6E01" w14:textId="77777777" w:rsidR="00445389" w:rsidRPr="002A3A17" w:rsidRDefault="00445389" w:rsidP="00513E45">
      <w:pPr>
        <w:ind w:left="851"/>
        <w:rPr>
          <w:sz w:val="24"/>
          <w:szCs w:val="24"/>
        </w:rPr>
      </w:pPr>
      <w:r w:rsidRPr="002A3A17">
        <w:rPr>
          <w:sz w:val="24"/>
          <w:szCs w:val="24"/>
        </w:rPr>
        <w:t xml:space="preserve">Samtidig brug med calciumholdige produkter indgivet i store doser kan øge risikoen for </w:t>
      </w:r>
      <w:proofErr w:type="spellStart"/>
      <w:r w:rsidRPr="002A3A17">
        <w:rPr>
          <w:sz w:val="24"/>
          <w:szCs w:val="24"/>
        </w:rPr>
        <w:t>hypercalcæmi</w:t>
      </w:r>
      <w:proofErr w:type="spellEnd"/>
      <w:r w:rsidRPr="002A3A17">
        <w:rPr>
          <w:sz w:val="24"/>
          <w:szCs w:val="24"/>
        </w:rPr>
        <w:t>. Plasmaniveau og calciumudskillelsen i urin skal derfor monitoreres regelmæssigt.</w:t>
      </w:r>
    </w:p>
    <w:p w14:paraId="5C47CC17" w14:textId="77777777" w:rsidR="00445389" w:rsidRPr="002A3A17" w:rsidRDefault="00445389" w:rsidP="00513E45">
      <w:pPr>
        <w:ind w:left="851"/>
        <w:rPr>
          <w:sz w:val="24"/>
          <w:szCs w:val="24"/>
        </w:rPr>
      </w:pPr>
    </w:p>
    <w:p w14:paraId="496D833E" w14:textId="77777777" w:rsidR="00445389" w:rsidRPr="002A3A17" w:rsidRDefault="00445389" w:rsidP="00513E45">
      <w:pPr>
        <w:ind w:left="851"/>
        <w:rPr>
          <w:sz w:val="24"/>
          <w:szCs w:val="24"/>
        </w:rPr>
      </w:pPr>
      <w:r w:rsidRPr="002A3A17">
        <w:rPr>
          <w:sz w:val="24"/>
          <w:szCs w:val="24"/>
        </w:rPr>
        <w:t xml:space="preserve">Magnesiumholdige præparater (såsom </w:t>
      </w:r>
      <w:proofErr w:type="spellStart"/>
      <w:r w:rsidRPr="002A3A17">
        <w:rPr>
          <w:sz w:val="24"/>
          <w:szCs w:val="24"/>
        </w:rPr>
        <w:t>antacida</w:t>
      </w:r>
      <w:proofErr w:type="spellEnd"/>
      <w:r w:rsidRPr="002A3A17">
        <w:rPr>
          <w:sz w:val="24"/>
          <w:szCs w:val="24"/>
        </w:rPr>
        <w:t xml:space="preserve">) må ikke tages under behandling med vitamin D på grund af risikoen for </w:t>
      </w:r>
      <w:proofErr w:type="spellStart"/>
      <w:r w:rsidRPr="002A3A17">
        <w:rPr>
          <w:sz w:val="24"/>
          <w:szCs w:val="24"/>
        </w:rPr>
        <w:t>hypermagnesiæmi</w:t>
      </w:r>
      <w:proofErr w:type="spellEnd"/>
      <w:r w:rsidRPr="002A3A17">
        <w:rPr>
          <w:sz w:val="24"/>
          <w:szCs w:val="24"/>
        </w:rPr>
        <w:t>.</w:t>
      </w:r>
    </w:p>
    <w:p w14:paraId="0950C927" w14:textId="77777777" w:rsidR="00445389" w:rsidRPr="002A3A17" w:rsidRDefault="00445389" w:rsidP="00513E45">
      <w:pPr>
        <w:ind w:left="851"/>
        <w:rPr>
          <w:sz w:val="24"/>
          <w:szCs w:val="24"/>
        </w:rPr>
      </w:pPr>
    </w:p>
    <w:p w14:paraId="7B4198A8" w14:textId="77777777" w:rsidR="00445389" w:rsidRPr="002A3A17" w:rsidRDefault="00445389" w:rsidP="00513E45">
      <w:pPr>
        <w:ind w:left="851"/>
        <w:rPr>
          <w:sz w:val="24"/>
          <w:szCs w:val="24"/>
        </w:rPr>
      </w:pPr>
      <w:r w:rsidRPr="002A3A17">
        <w:rPr>
          <w:sz w:val="24"/>
          <w:szCs w:val="24"/>
        </w:rPr>
        <w:t xml:space="preserve">Samtidigt indgivne fosforholdige præparater, der anvendes i store doser, kan øge risikoen for </w:t>
      </w:r>
      <w:proofErr w:type="spellStart"/>
      <w:r w:rsidRPr="002A3A17">
        <w:rPr>
          <w:sz w:val="24"/>
          <w:szCs w:val="24"/>
        </w:rPr>
        <w:t>hyperfosfatæmi</w:t>
      </w:r>
      <w:proofErr w:type="spellEnd"/>
      <w:r w:rsidRPr="002A3A17">
        <w:rPr>
          <w:sz w:val="24"/>
          <w:szCs w:val="24"/>
        </w:rPr>
        <w:t>.</w:t>
      </w:r>
    </w:p>
    <w:p w14:paraId="1E8A6DC7" w14:textId="77777777" w:rsidR="00445389" w:rsidRPr="002A3A17" w:rsidRDefault="00445389" w:rsidP="00513E45">
      <w:pPr>
        <w:ind w:left="851"/>
        <w:rPr>
          <w:sz w:val="24"/>
          <w:szCs w:val="24"/>
        </w:rPr>
      </w:pPr>
    </w:p>
    <w:p w14:paraId="3FA231CD" w14:textId="77777777" w:rsidR="00445389" w:rsidRPr="002A3A17" w:rsidRDefault="00445389" w:rsidP="00513E45">
      <w:pPr>
        <w:ind w:left="851"/>
        <w:rPr>
          <w:sz w:val="24"/>
          <w:szCs w:val="24"/>
        </w:rPr>
      </w:pPr>
      <w:r w:rsidRPr="002A3A17">
        <w:rPr>
          <w:sz w:val="24"/>
          <w:szCs w:val="24"/>
        </w:rPr>
        <w:t xml:space="preserve">Samtidig brug af </w:t>
      </w:r>
      <w:proofErr w:type="spellStart"/>
      <w:r w:rsidRPr="002A3A17">
        <w:rPr>
          <w:sz w:val="24"/>
          <w:szCs w:val="24"/>
        </w:rPr>
        <w:t>calcitonin</w:t>
      </w:r>
      <w:proofErr w:type="spellEnd"/>
      <w:r w:rsidRPr="002A3A17">
        <w:rPr>
          <w:sz w:val="24"/>
          <w:szCs w:val="24"/>
        </w:rPr>
        <w:t xml:space="preserve">, galliumnitrat, </w:t>
      </w:r>
      <w:proofErr w:type="spellStart"/>
      <w:r w:rsidRPr="002A3A17">
        <w:rPr>
          <w:sz w:val="24"/>
          <w:szCs w:val="24"/>
        </w:rPr>
        <w:t>pamidronat</w:t>
      </w:r>
      <w:proofErr w:type="spellEnd"/>
      <w:r w:rsidRPr="002A3A17">
        <w:rPr>
          <w:sz w:val="24"/>
          <w:szCs w:val="24"/>
        </w:rPr>
        <w:t xml:space="preserve">, </w:t>
      </w:r>
      <w:proofErr w:type="spellStart"/>
      <w:r w:rsidRPr="002A3A17">
        <w:rPr>
          <w:sz w:val="24"/>
          <w:szCs w:val="24"/>
        </w:rPr>
        <w:t>bisfosfonater</w:t>
      </w:r>
      <w:proofErr w:type="spellEnd"/>
      <w:r w:rsidRPr="002A3A17">
        <w:rPr>
          <w:sz w:val="24"/>
          <w:szCs w:val="24"/>
        </w:rPr>
        <w:t xml:space="preserve"> eller </w:t>
      </w:r>
      <w:proofErr w:type="spellStart"/>
      <w:r w:rsidRPr="002A3A17">
        <w:rPr>
          <w:sz w:val="24"/>
          <w:szCs w:val="24"/>
        </w:rPr>
        <w:t>plicamycin</w:t>
      </w:r>
      <w:proofErr w:type="spellEnd"/>
      <w:r w:rsidRPr="002A3A17">
        <w:rPr>
          <w:sz w:val="24"/>
          <w:szCs w:val="24"/>
        </w:rPr>
        <w:t xml:space="preserve"> med D-vitamin kan </w:t>
      </w:r>
      <w:proofErr w:type="spellStart"/>
      <w:r w:rsidRPr="002A3A17">
        <w:rPr>
          <w:sz w:val="24"/>
          <w:szCs w:val="24"/>
        </w:rPr>
        <w:t>antagonisere</w:t>
      </w:r>
      <w:proofErr w:type="spellEnd"/>
      <w:r w:rsidRPr="002A3A17">
        <w:rPr>
          <w:sz w:val="24"/>
          <w:szCs w:val="24"/>
        </w:rPr>
        <w:t xml:space="preserve"> disse præparaters virkning ved behandling af </w:t>
      </w:r>
      <w:proofErr w:type="spellStart"/>
      <w:r w:rsidRPr="002A3A17">
        <w:rPr>
          <w:sz w:val="24"/>
          <w:szCs w:val="24"/>
        </w:rPr>
        <w:t>hypercalcæmi</w:t>
      </w:r>
      <w:proofErr w:type="spellEnd"/>
      <w:r w:rsidRPr="002A3A17">
        <w:rPr>
          <w:sz w:val="24"/>
          <w:szCs w:val="24"/>
        </w:rPr>
        <w:t>.</w:t>
      </w:r>
    </w:p>
    <w:p w14:paraId="4C5D5C64" w14:textId="77777777" w:rsidR="00445389" w:rsidRPr="002A3A17" w:rsidRDefault="00445389" w:rsidP="00513E45">
      <w:pPr>
        <w:ind w:left="851"/>
        <w:rPr>
          <w:sz w:val="24"/>
          <w:szCs w:val="24"/>
        </w:rPr>
      </w:pPr>
    </w:p>
    <w:p w14:paraId="34AE36C7" w14:textId="77777777" w:rsidR="00445389" w:rsidRPr="002A3A17" w:rsidRDefault="00445389" w:rsidP="00513E45">
      <w:pPr>
        <w:ind w:left="851"/>
        <w:rPr>
          <w:sz w:val="24"/>
          <w:szCs w:val="24"/>
        </w:rPr>
      </w:pPr>
      <w:r w:rsidRPr="002A3A17">
        <w:rPr>
          <w:sz w:val="24"/>
          <w:szCs w:val="24"/>
        </w:rPr>
        <w:t xml:space="preserve">D-vitamin kan øge tarmens absorption af aluminium og dermed øge aluminiumserumniveauet. Langvarig eller overdreven brug af aluminiumholdig </w:t>
      </w:r>
      <w:proofErr w:type="spellStart"/>
      <w:r w:rsidRPr="002A3A17">
        <w:rPr>
          <w:sz w:val="24"/>
          <w:szCs w:val="24"/>
        </w:rPr>
        <w:t>antacida</w:t>
      </w:r>
      <w:proofErr w:type="spellEnd"/>
      <w:r w:rsidRPr="002A3A17">
        <w:rPr>
          <w:sz w:val="24"/>
          <w:szCs w:val="24"/>
        </w:rPr>
        <w:t xml:space="preserve"> skal undgås.</w:t>
      </w:r>
    </w:p>
    <w:p w14:paraId="1A7850F4" w14:textId="77777777" w:rsidR="00445389" w:rsidRPr="002A3A17" w:rsidRDefault="00445389" w:rsidP="00513E45">
      <w:pPr>
        <w:ind w:left="851"/>
        <w:rPr>
          <w:sz w:val="24"/>
          <w:szCs w:val="24"/>
        </w:rPr>
      </w:pPr>
    </w:p>
    <w:p w14:paraId="14C66042" w14:textId="3B989009" w:rsidR="00445389" w:rsidRPr="002A3A17" w:rsidRDefault="00445389" w:rsidP="00513E45">
      <w:pPr>
        <w:ind w:left="851"/>
        <w:rPr>
          <w:sz w:val="24"/>
          <w:szCs w:val="24"/>
        </w:rPr>
      </w:pPr>
      <w:r w:rsidRPr="002A3A17">
        <w:rPr>
          <w:sz w:val="24"/>
          <w:szCs w:val="24"/>
        </w:rPr>
        <w:t xml:space="preserve">Kombination af </w:t>
      </w:r>
      <w:proofErr w:type="spellStart"/>
      <w:r w:rsidR="00513E45" w:rsidRPr="002A3A17">
        <w:rPr>
          <w:sz w:val="24"/>
          <w:szCs w:val="24"/>
        </w:rPr>
        <w:t>Decurol</w:t>
      </w:r>
      <w:proofErr w:type="spellEnd"/>
      <w:r w:rsidRPr="002A3A17">
        <w:rPr>
          <w:sz w:val="24"/>
          <w:szCs w:val="24"/>
        </w:rPr>
        <w:t xml:space="preserve"> med metabolitter eller D-vitamin-</w:t>
      </w:r>
      <w:proofErr w:type="spellStart"/>
      <w:r w:rsidRPr="002A3A17">
        <w:rPr>
          <w:sz w:val="24"/>
          <w:szCs w:val="24"/>
        </w:rPr>
        <w:t>analoger</w:t>
      </w:r>
      <w:proofErr w:type="spellEnd"/>
      <w:r w:rsidRPr="002A3A17">
        <w:rPr>
          <w:sz w:val="24"/>
          <w:szCs w:val="24"/>
        </w:rPr>
        <w:t xml:space="preserve"> skal undgås.</w:t>
      </w:r>
    </w:p>
    <w:p w14:paraId="636D6B05" w14:textId="77777777" w:rsidR="009260DE" w:rsidRPr="002A3A17" w:rsidRDefault="009260DE" w:rsidP="009260DE">
      <w:pPr>
        <w:tabs>
          <w:tab w:val="left" w:pos="851"/>
        </w:tabs>
        <w:ind w:left="851"/>
        <w:rPr>
          <w:sz w:val="24"/>
          <w:szCs w:val="24"/>
        </w:rPr>
      </w:pPr>
    </w:p>
    <w:p w14:paraId="77AF7D4C" w14:textId="77777777" w:rsidR="009260DE" w:rsidRPr="002A3A17" w:rsidRDefault="009260DE" w:rsidP="009260DE">
      <w:pPr>
        <w:tabs>
          <w:tab w:val="left" w:pos="851"/>
        </w:tabs>
        <w:ind w:left="851" w:hanging="851"/>
        <w:rPr>
          <w:b/>
          <w:sz w:val="24"/>
          <w:szCs w:val="24"/>
        </w:rPr>
      </w:pPr>
      <w:r w:rsidRPr="002A3A17">
        <w:rPr>
          <w:b/>
          <w:sz w:val="24"/>
          <w:szCs w:val="24"/>
        </w:rPr>
        <w:t>4.6</w:t>
      </w:r>
      <w:r w:rsidRPr="002A3A17">
        <w:rPr>
          <w:b/>
          <w:sz w:val="24"/>
          <w:szCs w:val="24"/>
        </w:rPr>
        <w:tab/>
      </w:r>
      <w:r w:rsidR="0071241E" w:rsidRPr="002A3A17">
        <w:rPr>
          <w:b/>
          <w:sz w:val="24"/>
          <w:szCs w:val="24"/>
        </w:rPr>
        <w:t>Fertilitet, g</w:t>
      </w:r>
      <w:r w:rsidRPr="002A3A17">
        <w:rPr>
          <w:b/>
          <w:sz w:val="24"/>
          <w:szCs w:val="24"/>
        </w:rPr>
        <w:t>raviditet og amning</w:t>
      </w:r>
    </w:p>
    <w:p w14:paraId="52D4B9D0" w14:textId="77777777" w:rsidR="00445389" w:rsidRPr="002A3A17" w:rsidRDefault="00445389" w:rsidP="00513E45">
      <w:pPr>
        <w:ind w:left="851"/>
        <w:rPr>
          <w:sz w:val="24"/>
          <w:szCs w:val="24"/>
        </w:rPr>
      </w:pPr>
      <w:r w:rsidRPr="002A3A17">
        <w:rPr>
          <w:sz w:val="24"/>
          <w:szCs w:val="24"/>
        </w:rPr>
        <w:t>Under graviditet og amning er det nødvendigt at indtage tilstrækkeligt D-vitamin. Det anbefalede daglige indtag af D-vitamin under graviditet og amning skal følge nationale retningslinjer.</w:t>
      </w:r>
    </w:p>
    <w:p w14:paraId="45E9395A" w14:textId="77777777" w:rsidR="00445389" w:rsidRPr="002A3A17" w:rsidRDefault="00445389" w:rsidP="00513E45">
      <w:pPr>
        <w:ind w:left="851"/>
        <w:rPr>
          <w:sz w:val="24"/>
          <w:szCs w:val="24"/>
        </w:rPr>
      </w:pPr>
    </w:p>
    <w:p w14:paraId="1F4A14E7" w14:textId="77777777" w:rsidR="00445389" w:rsidRPr="002A3A17" w:rsidRDefault="00445389" w:rsidP="00513E45">
      <w:pPr>
        <w:ind w:left="851"/>
        <w:rPr>
          <w:sz w:val="24"/>
          <w:szCs w:val="24"/>
        </w:rPr>
      </w:pPr>
      <w:r w:rsidRPr="002A3A17">
        <w:rPr>
          <w:sz w:val="24"/>
          <w:szCs w:val="24"/>
          <w:u w:val="single" w:color="000000"/>
        </w:rPr>
        <w:t>Graviditet</w:t>
      </w:r>
    </w:p>
    <w:p w14:paraId="7810A846" w14:textId="77777777" w:rsidR="00445389" w:rsidRPr="002A3A17" w:rsidRDefault="00445389" w:rsidP="00513E45">
      <w:pPr>
        <w:ind w:left="851"/>
        <w:rPr>
          <w:sz w:val="24"/>
          <w:szCs w:val="24"/>
        </w:rPr>
      </w:pPr>
      <w:r w:rsidRPr="002A3A17">
        <w:rPr>
          <w:sz w:val="24"/>
          <w:szCs w:val="24"/>
        </w:rPr>
        <w:t xml:space="preserve">Overdosering af vitamin D skal undgås under graviditeten, idet langvarig </w:t>
      </w:r>
      <w:proofErr w:type="spellStart"/>
      <w:r w:rsidRPr="002A3A17">
        <w:rPr>
          <w:sz w:val="24"/>
          <w:szCs w:val="24"/>
        </w:rPr>
        <w:t>hypercalcæmi</w:t>
      </w:r>
      <w:proofErr w:type="spellEnd"/>
      <w:r w:rsidRPr="002A3A17">
        <w:rPr>
          <w:sz w:val="24"/>
          <w:szCs w:val="24"/>
        </w:rPr>
        <w:t xml:space="preserve"> kan føre til hæmmet fysisk og mental udvikling, </w:t>
      </w:r>
      <w:proofErr w:type="spellStart"/>
      <w:r w:rsidRPr="002A3A17">
        <w:rPr>
          <w:sz w:val="24"/>
          <w:szCs w:val="24"/>
        </w:rPr>
        <w:t>supravalvulær</w:t>
      </w:r>
      <w:proofErr w:type="spellEnd"/>
      <w:r w:rsidRPr="002A3A17">
        <w:rPr>
          <w:sz w:val="24"/>
          <w:szCs w:val="24"/>
        </w:rPr>
        <w:t xml:space="preserve"> aortastenose og </w:t>
      </w:r>
      <w:proofErr w:type="spellStart"/>
      <w:r w:rsidRPr="002A3A17">
        <w:rPr>
          <w:sz w:val="24"/>
          <w:szCs w:val="24"/>
        </w:rPr>
        <w:t>retinopati</w:t>
      </w:r>
      <w:proofErr w:type="spellEnd"/>
      <w:r w:rsidRPr="002A3A17">
        <w:rPr>
          <w:sz w:val="24"/>
          <w:szCs w:val="24"/>
        </w:rPr>
        <w:t xml:space="preserve"> hos barnet.</w:t>
      </w:r>
    </w:p>
    <w:p w14:paraId="321474C6" w14:textId="77777777" w:rsidR="00445389" w:rsidRPr="002A3A17" w:rsidRDefault="00445389" w:rsidP="00513E45">
      <w:pPr>
        <w:ind w:left="851"/>
        <w:rPr>
          <w:sz w:val="24"/>
          <w:szCs w:val="24"/>
        </w:rPr>
      </w:pPr>
      <w:r w:rsidRPr="002A3A17">
        <w:rPr>
          <w:sz w:val="24"/>
          <w:szCs w:val="24"/>
        </w:rPr>
        <w:t xml:space="preserve">Under graviditeten må det daglige indtag ikke overstige 4.000 </w:t>
      </w:r>
      <w:proofErr w:type="gramStart"/>
      <w:r w:rsidRPr="002A3A17">
        <w:rPr>
          <w:sz w:val="24"/>
          <w:szCs w:val="24"/>
        </w:rPr>
        <w:t>IE D-vitamin</w:t>
      </w:r>
      <w:proofErr w:type="gramEnd"/>
      <w:r w:rsidRPr="002A3A17">
        <w:rPr>
          <w:sz w:val="24"/>
          <w:szCs w:val="24"/>
        </w:rPr>
        <w:t xml:space="preserve">. Dyreforsøg har vist reproduktionstoksicitet af høje doser D-vitamin (se pkt. 5.3). Ugentlige doser af </w:t>
      </w:r>
      <w:proofErr w:type="spellStart"/>
      <w:r w:rsidRPr="002A3A17">
        <w:rPr>
          <w:sz w:val="24"/>
          <w:szCs w:val="24"/>
        </w:rPr>
        <w:t>cholecalciferol</w:t>
      </w:r>
      <w:proofErr w:type="spellEnd"/>
      <w:r w:rsidRPr="002A3A17">
        <w:rPr>
          <w:sz w:val="24"/>
          <w:szCs w:val="24"/>
        </w:rPr>
        <w:t xml:space="preserve"> er ikke tilladt.</w:t>
      </w:r>
    </w:p>
    <w:p w14:paraId="55D0A6C5" w14:textId="77777777" w:rsidR="00445389" w:rsidRPr="002A3A17" w:rsidRDefault="00445389" w:rsidP="00513E45">
      <w:pPr>
        <w:ind w:left="851"/>
        <w:rPr>
          <w:sz w:val="24"/>
          <w:szCs w:val="24"/>
        </w:rPr>
      </w:pPr>
    </w:p>
    <w:p w14:paraId="409AC169" w14:textId="77777777" w:rsidR="00445389" w:rsidRPr="002A3A17" w:rsidRDefault="00445389" w:rsidP="00513E45">
      <w:pPr>
        <w:ind w:left="851"/>
        <w:rPr>
          <w:sz w:val="24"/>
          <w:szCs w:val="24"/>
          <w:u w:val="single"/>
        </w:rPr>
      </w:pPr>
      <w:r w:rsidRPr="002A3A17">
        <w:rPr>
          <w:sz w:val="24"/>
          <w:szCs w:val="24"/>
          <w:u w:val="single"/>
        </w:rPr>
        <w:t>Amning</w:t>
      </w:r>
    </w:p>
    <w:p w14:paraId="0BFABDED" w14:textId="67A27DD1" w:rsidR="00445389" w:rsidRPr="002A3A17" w:rsidRDefault="00445389" w:rsidP="00513E45">
      <w:pPr>
        <w:ind w:left="851"/>
        <w:rPr>
          <w:sz w:val="24"/>
          <w:szCs w:val="24"/>
        </w:rPr>
      </w:pPr>
      <w:r w:rsidRPr="002A3A17">
        <w:rPr>
          <w:sz w:val="24"/>
          <w:szCs w:val="24"/>
        </w:rPr>
        <w:t xml:space="preserve">Højdosis D-vitamin må ikke anvendes under amning. D-vitamin og dets metabolitter går over i modermælken. Hvis behandling med </w:t>
      </w:r>
      <w:proofErr w:type="spellStart"/>
      <w:r w:rsidR="00513E45" w:rsidRPr="002A3A17">
        <w:rPr>
          <w:sz w:val="24"/>
          <w:szCs w:val="24"/>
        </w:rPr>
        <w:t>Decurol</w:t>
      </w:r>
      <w:proofErr w:type="spellEnd"/>
      <w:r w:rsidRPr="002A3A17">
        <w:rPr>
          <w:sz w:val="24"/>
          <w:szCs w:val="24"/>
        </w:rPr>
        <w:t xml:space="preserve"> er klinisk indiceret under amning, skal dette overvejes, når barnet gives yderligere D-vitamin.</w:t>
      </w:r>
    </w:p>
    <w:p w14:paraId="2D54EC57" w14:textId="77777777" w:rsidR="00445389" w:rsidRPr="002A3A17" w:rsidRDefault="00445389" w:rsidP="00513E45">
      <w:pPr>
        <w:ind w:left="851"/>
        <w:rPr>
          <w:sz w:val="24"/>
          <w:szCs w:val="24"/>
        </w:rPr>
      </w:pPr>
    </w:p>
    <w:p w14:paraId="2DFB84C5" w14:textId="77777777" w:rsidR="00445389" w:rsidRPr="002A3A17" w:rsidRDefault="00445389" w:rsidP="00513E45">
      <w:pPr>
        <w:ind w:left="851"/>
        <w:rPr>
          <w:sz w:val="24"/>
          <w:szCs w:val="24"/>
          <w:u w:val="single"/>
        </w:rPr>
      </w:pPr>
      <w:r w:rsidRPr="002A3A17">
        <w:rPr>
          <w:sz w:val="24"/>
          <w:szCs w:val="24"/>
          <w:u w:val="single"/>
        </w:rPr>
        <w:t>Fertilitet</w:t>
      </w:r>
    </w:p>
    <w:p w14:paraId="25215821" w14:textId="77777777" w:rsidR="00445389" w:rsidRPr="002A3A17" w:rsidRDefault="00445389" w:rsidP="00513E45">
      <w:pPr>
        <w:ind w:left="851"/>
        <w:rPr>
          <w:sz w:val="24"/>
          <w:szCs w:val="24"/>
        </w:rPr>
      </w:pPr>
      <w:r w:rsidRPr="002A3A17">
        <w:rPr>
          <w:sz w:val="24"/>
          <w:szCs w:val="24"/>
        </w:rPr>
        <w:t>Normale endogene niveauer af D-vitamin forventes ikke at have nogen negativ indvirkning på fertiliteten.</w:t>
      </w:r>
    </w:p>
    <w:p w14:paraId="0B3EA64F" w14:textId="77777777" w:rsidR="00445389" w:rsidRPr="002A3A17" w:rsidRDefault="00445389" w:rsidP="00513E45">
      <w:pPr>
        <w:ind w:left="851"/>
        <w:rPr>
          <w:sz w:val="24"/>
          <w:szCs w:val="24"/>
        </w:rPr>
      </w:pPr>
      <w:r w:rsidRPr="002A3A17">
        <w:rPr>
          <w:sz w:val="24"/>
          <w:szCs w:val="24"/>
        </w:rPr>
        <w:t>Virkningen af høje doser D-vitamin på fertiliteten er ukendt.</w:t>
      </w:r>
    </w:p>
    <w:p w14:paraId="5D13F600" w14:textId="77777777" w:rsidR="009260DE" w:rsidRPr="002A3A17" w:rsidRDefault="009260DE" w:rsidP="009260DE">
      <w:pPr>
        <w:tabs>
          <w:tab w:val="left" w:pos="851"/>
        </w:tabs>
        <w:ind w:left="851"/>
        <w:rPr>
          <w:sz w:val="24"/>
          <w:szCs w:val="24"/>
        </w:rPr>
      </w:pPr>
    </w:p>
    <w:p w14:paraId="61D14373" w14:textId="77777777" w:rsidR="009260DE" w:rsidRPr="002A3A17" w:rsidRDefault="009260DE" w:rsidP="009260DE">
      <w:pPr>
        <w:tabs>
          <w:tab w:val="left" w:pos="851"/>
        </w:tabs>
        <w:ind w:left="851" w:hanging="851"/>
        <w:rPr>
          <w:b/>
          <w:sz w:val="24"/>
          <w:szCs w:val="24"/>
        </w:rPr>
      </w:pPr>
      <w:r w:rsidRPr="002A3A17">
        <w:rPr>
          <w:b/>
          <w:sz w:val="24"/>
          <w:szCs w:val="24"/>
        </w:rPr>
        <w:t>4.7</w:t>
      </w:r>
      <w:r w:rsidRPr="002A3A17">
        <w:rPr>
          <w:b/>
          <w:sz w:val="24"/>
          <w:szCs w:val="24"/>
        </w:rPr>
        <w:tab/>
        <w:t xml:space="preserve">Virkning på evnen til at føre motorkøretøj </w:t>
      </w:r>
      <w:r w:rsidR="0071241E" w:rsidRPr="002A3A17">
        <w:rPr>
          <w:b/>
          <w:sz w:val="24"/>
          <w:szCs w:val="24"/>
        </w:rPr>
        <w:t>og</w:t>
      </w:r>
      <w:r w:rsidRPr="002A3A17">
        <w:rPr>
          <w:b/>
          <w:sz w:val="24"/>
          <w:szCs w:val="24"/>
        </w:rPr>
        <w:t xml:space="preserve"> betjene maskiner</w:t>
      </w:r>
    </w:p>
    <w:p w14:paraId="7FDF6350" w14:textId="77777777" w:rsidR="00445389" w:rsidRPr="002A3A17" w:rsidRDefault="00445389" w:rsidP="00513E45">
      <w:pPr>
        <w:ind w:left="851"/>
        <w:rPr>
          <w:sz w:val="24"/>
          <w:szCs w:val="24"/>
        </w:rPr>
      </w:pPr>
      <w:r w:rsidRPr="002A3A17">
        <w:rPr>
          <w:sz w:val="24"/>
          <w:szCs w:val="24"/>
        </w:rPr>
        <w:t>Ikke mærkning.</w:t>
      </w:r>
    </w:p>
    <w:p w14:paraId="37F1E00A" w14:textId="2318767C" w:rsidR="00445389" w:rsidRPr="002A3A17" w:rsidRDefault="00445389" w:rsidP="00513E45">
      <w:pPr>
        <w:ind w:left="851"/>
        <w:rPr>
          <w:sz w:val="24"/>
          <w:szCs w:val="24"/>
        </w:rPr>
      </w:pPr>
      <w:r w:rsidRPr="002A3A17">
        <w:rPr>
          <w:sz w:val="24"/>
          <w:szCs w:val="24"/>
        </w:rPr>
        <w:t xml:space="preserve">Der foreligger ingen data vedrørende </w:t>
      </w:r>
      <w:proofErr w:type="spellStart"/>
      <w:r w:rsidR="00513E45" w:rsidRPr="002A3A17">
        <w:rPr>
          <w:sz w:val="24"/>
          <w:szCs w:val="24"/>
        </w:rPr>
        <w:t>Decurol</w:t>
      </w:r>
      <w:r w:rsidRPr="002A3A17">
        <w:rPr>
          <w:sz w:val="24"/>
          <w:szCs w:val="24"/>
        </w:rPr>
        <w:t>s</w:t>
      </w:r>
      <w:proofErr w:type="spellEnd"/>
      <w:r w:rsidRPr="002A3A17">
        <w:rPr>
          <w:sz w:val="24"/>
          <w:szCs w:val="24"/>
        </w:rPr>
        <w:t xml:space="preserve"> indvirkning på evnen til at føre motorkøretøj og betjene maskiner. Det er dog usandsynligt, at det vil påvirke denne evne.</w:t>
      </w:r>
    </w:p>
    <w:p w14:paraId="3A5E3CBC" w14:textId="77777777" w:rsidR="009260DE" w:rsidRPr="002A3A17" w:rsidRDefault="009260DE" w:rsidP="009260DE">
      <w:pPr>
        <w:tabs>
          <w:tab w:val="left" w:pos="851"/>
        </w:tabs>
        <w:ind w:left="851"/>
        <w:rPr>
          <w:sz w:val="24"/>
          <w:szCs w:val="24"/>
        </w:rPr>
      </w:pPr>
    </w:p>
    <w:p w14:paraId="4C4CDA3A" w14:textId="77777777" w:rsidR="009260DE" w:rsidRPr="002A3A17" w:rsidRDefault="009260DE" w:rsidP="009260DE">
      <w:pPr>
        <w:tabs>
          <w:tab w:val="left" w:pos="851"/>
        </w:tabs>
        <w:ind w:left="851" w:hanging="851"/>
        <w:rPr>
          <w:b/>
          <w:sz w:val="24"/>
          <w:szCs w:val="24"/>
        </w:rPr>
      </w:pPr>
      <w:r w:rsidRPr="002A3A17">
        <w:rPr>
          <w:b/>
          <w:sz w:val="24"/>
          <w:szCs w:val="24"/>
        </w:rPr>
        <w:t>4.8</w:t>
      </w:r>
      <w:r w:rsidRPr="002A3A17">
        <w:rPr>
          <w:b/>
          <w:sz w:val="24"/>
          <w:szCs w:val="24"/>
        </w:rPr>
        <w:tab/>
        <w:t>Bivirkninger</w:t>
      </w:r>
    </w:p>
    <w:p w14:paraId="6C20EEFB" w14:textId="77777777" w:rsidR="00445389" w:rsidRPr="002A3A17" w:rsidRDefault="00445389" w:rsidP="00513E45">
      <w:pPr>
        <w:ind w:left="851"/>
        <w:rPr>
          <w:sz w:val="24"/>
          <w:szCs w:val="24"/>
        </w:rPr>
      </w:pPr>
      <w:proofErr w:type="spellStart"/>
      <w:r w:rsidRPr="002A3A17">
        <w:rPr>
          <w:sz w:val="24"/>
          <w:szCs w:val="24"/>
        </w:rPr>
        <w:t>Cholecalciferol</w:t>
      </w:r>
      <w:proofErr w:type="spellEnd"/>
      <w:r w:rsidRPr="002A3A17">
        <w:rPr>
          <w:sz w:val="24"/>
          <w:szCs w:val="24"/>
        </w:rPr>
        <w:t xml:space="preserve"> kan forårsage følgende bivirkninger, især ved overdosering:</w:t>
      </w:r>
    </w:p>
    <w:p w14:paraId="467CFC62" w14:textId="77777777" w:rsidR="00445389" w:rsidRPr="002A3A17" w:rsidRDefault="00445389" w:rsidP="00513E45">
      <w:pPr>
        <w:ind w:left="851"/>
        <w:rPr>
          <w:sz w:val="24"/>
          <w:szCs w:val="24"/>
        </w:rPr>
      </w:pPr>
    </w:p>
    <w:p w14:paraId="43EB1657" w14:textId="77777777" w:rsidR="00445389" w:rsidRPr="002A3A17" w:rsidRDefault="00445389" w:rsidP="00513E45">
      <w:pPr>
        <w:ind w:left="851"/>
        <w:rPr>
          <w:sz w:val="24"/>
          <w:szCs w:val="24"/>
        </w:rPr>
      </w:pPr>
      <w:r w:rsidRPr="002A3A17">
        <w:rPr>
          <w:sz w:val="24"/>
          <w:szCs w:val="24"/>
        </w:rPr>
        <w:t>Bivirkninger er rangeret efter hyppighed og systemorganklasser. Hyppighedskategorier er defineret ved brug af følgende konvention: Meget almindelig (≥1/10), almindelig (≥1/100 til &lt;1/10), ikke almindelig (≥1/1.000 til &lt;1/100), sjælden (≥1/10.000 til &lt;1/1.000), meget sjælden (&lt;1/10.000), ikke kendt (kan ikke estimeres ud fra forhåndenværende data).</w:t>
      </w:r>
    </w:p>
    <w:p w14:paraId="2CC4E02C" w14:textId="77777777" w:rsidR="00445389" w:rsidRPr="002A3A17" w:rsidRDefault="00445389" w:rsidP="00513E45">
      <w:pPr>
        <w:ind w:left="851"/>
        <w:rPr>
          <w:sz w:val="24"/>
          <w:szCs w:val="24"/>
        </w:rPr>
      </w:pPr>
    </w:p>
    <w:p w14:paraId="17D8C64A" w14:textId="77777777" w:rsidR="00445389" w:rsidRPr="002A3A17" w:rsidRDefault="00445389" w:rsidP="00513E45">
      <w:pPr>
        <w:ind w:left="851"/>
        <w:rPr>
          <w:sz w:val="24"/>
          <w:szCs w:val="24"/>
        </w:rPr>
      </w:pPr>
      <w:r w:rsidRPr="002A3A17">
        <w:rPr>
          <w:sz w:val="24"/>
          <w:szCs w:val="24"/>
        </w:rPr>
        <w:t>Bivirkningshyppigheder kendes ikke, da der ikke er udført større kliniske forsøg, som ville tillade estimering af hyppighed. Der er indberettet følgende bivirkninger:</w:t>
      </w:r>
    </w:p>
    <w:p w14:paraId="723BB13D" w14:textId="77777777" w:rsidR="00445389" w:rsidRPr="002A3A17" w:rsidRDefault="00445389" w:rsidP="00513E45">
      <w:pPr>
        <w:ind w:left="851"/>
        <w:rPr>
          <w:sz w:val="24"/>
          <w:szCs w:val="24"/>
        </w:rPr>
      </w:pPr>
    </w:p>
    <w:p w14:paraId="770B5F60" w14:textId="77777777" w:rsidR="00445389" w:rsidRPr="002A3A17" w:rsidRDefault="00445389" w:rsidP="00513E45">
      <w:pPr>
        <w:ind w:left="851"/>
        <w:rPr>
          <w:sz w:val="24"/>
          <w:szCs w:val="24"/>
        </w:rPr>
      </w:pPr>
      <w:r w:rsidRPr="002A3A17">
        <w:rPr>
          <w:i/>
          <w:sz w:val="24"/>
          <w:szCs w:val="24"/>
        </w:rPr>
        <w:t>Immunsystemet</w:t>
      </w:r>
    </w:p>
    <w:p w14:paraId="0A56ED93" w14:textId="77777777" w:rsidR="00445389" w:rsidRPr="002A3A17" w:rsidRDefault="00445389" w:rsidP="00513E45">
      <w:pPr>
        <w:ind w:left="851"/>
        <w:rPr>
          <w:sz w:val="24"/>
          <w:szCs w:val="24"/>
        </w:rPr>
      </w:pPr>
      <w:r w:rsidRPr="002A3A17">
        <w:rPr>
          <w:sz w:val="24"/>
          <w:szCs w:val="24"/>
        </w:rPr>
        <w:t xml:space="preserve">Ikke kendt (kan ikke estimeres ud fra forhåndenværende data): overfølsomhedsreaktioner såsom </w:t>
      </w:r>
      <w:proofErr w:type="spellStart"/>
      <w:r w:rsidRPr="002A3A17">
        <w:rPr>
          <w:sz w:val="24"/>
          <w:szCs w:val="24"/>
        </w:rPr>
        <w:t>angioødem</w:t>
      </w:r>
      <w:proofErr w:type="spellEnd"/>
      <w:r w:rsidRPr="002A3A17">
        <w:rPr>
          <w:sz w:val="24"/>
          <w:szCs w:val="24"/>
        </w:rPr>
        <w:t xml:space="preserve"> eller </w:t>
      </w:r>
      <w:proofErr w:type="spellStart"/>
      <w:r w:rsidRPr="002A3A17">
        <w:rPr>
          <w:sz w:val="24"/>
          <w:szCs w:val="24"/>
        </w:rPr>
        <w:t>laryngealt</w:t>
      </w:r>
      <w:proofErr w:type="spellEnd"/>
      <w:r w:rsidRPr="002A3A17">
        <w:rPr>
          <w:sz w:val="24"/>
          <w:szCs w:val="24"/>
        </w:rPr>
        <w:t xml:space="preserve"> ødem.</w:t>
      </w:r>
    </w:p>
    <w:p w14:paraId="43E4D214" w14:textId="77777777" w:rsidR="00445389" w:rsidRPr="002A3A17" w:rsidRDefault="00445389" w:rsidP="00513E45">
      <w:pPr>
        <w:ind w:left="851"/>
        <w:rPr>
          <w:sz w:val="24"/>
          <w:szCs w:val="24"/>
        </w:rPr>
      </w:pPr>
    </w:p>
    <w:p w14:paraId="3C5C3384" w14:textId="77777777" w:rsidR="00445389" w:rsidRPr="002A3A17" w:rsidRDefault="00445389" w:rsidP="00513E45">
      <w:pPr>
        <w:ind w:left="851"/>
        <w:rPr>
          <w:sz w:val="24"/>
          <w:szCs w:val="24"/>
        </w:rPr>
      </w:pPr>
      <w:r w:rsidRPr="002A3A17">
        <w:rPr>
          <w:i/>
          <w:sz w:val="24"/>
          <w:szCs w:val="24"/>
        </w:rPr>
        <w:t>Metabolisme og ernæring:</w:t>
      </w:r>
    </w:p>
    <w:p w14:paraId="38311829" w14:textId="77777777" w:rsidR="00445389" w:rsidRPr="002A3A17" w:rsidRDefault="00445389" w:rsidP="00513E45">
      <w:pPr>
        <w:ind w:left="851"/>
        <w:rPr>
          <w:sz w:val="24"/>
          <w:szCs w:val="24"/>
        </w:rPr>
      </w:pPr>
      <w:r w:rsidRPr="002A3A17">
        <w:rPr>
          <w:sz w:val="24"/>
          <w:szCs w:val="24"/>
        </w:rPr>
        <w:t xml:space="preserve">Ikke kendt (kan ikke estimeres ud fra forhåndenværende data): </w:t>
      </w:r>
      <w:proofErr w:type="spellStart"/>
      <w:r w:rsidRPr="002A3A17">
        <w:rPr>
          <w:sz w:val="24"/>
          <w:szCs w:val="24"/>
        </w:rPr>
        <w:t>hypercalcæmi</w:t>
      </w:r>
      <w:proofErr w:type="spellEnd"/>
      <w:r w:rsidRPr="002A3A17">
        <w:rPr>
          <w:sz w:val="24"/>
          <w:szCs w:val="24"/>
        </w:rPr>
        <w:t xml:space="preserve"> og </w:t>
      </w:r>
      <w:proofErr w:type="spellStart"/>
      <w:r w:rsidRPr="002A3A17">
        <w:rPr>
          <w:sz w:val="24"/>
          <w:szCs w:val="24"/>
        </w:rPr>
        <w:t>hypercalciuri</w:t>
      </w:r>
      <w:proofErr w:type="spellEnd"/>
      <w:r w:rsidRPr="002A3A17">
        <w:rPr>
          <w:sz w:val="24"/>
          <w:szCs w:val="24"/>
        </w:rPr>
        <w:t>.</w:t>
      </w:r>
    </w:p>
    <w:p w14:paraId="4E78A221" w14:textId="77777777" w:rsidR="00445389" w:rsidRPr="002A3A17" w:rsidRDefault="00445389" w:rsidP="00513E45">
      <w:pPr>
        <w:ind w:left="851"/>
        <w:rPr>
          <w:sz w:val="24"/>
          <w:szCs w:val="24"/>
        </w:rPr>
      </w:pPr>
    </w:p>
    <w:p w14:paraId="04F09F8A" w14:textId="73753894" w:rsidR="00445389" w:rsidRPr="002A3A17" w:rsidRDefault="00445389" w:rsidP="00513E45">
      <w:pPr>
        <w:ind w:left="851"/>
        <w:rPr>
          <w:sz w:val="24"/>
          <w:szCs w:val="24"/>
        </w:rPr>
      </w:pPr>
      <w:r w:rsidRPr="002A3A17">
        <w:rPr>
          <w:i/>
          <w:sz w:val="24"/>
          <w:szCs w:val="24"/>
        </w:rPr>
        <w:t>Mave-tarm</w:t>
      </w:r>
      <w:r w:rsidR="002A3A17">
        <w:rPr>
          <w:i/>
          <w:sz w:val="24"/>
          <w:szCs w:val="24"/>
        </w:rPr>
        <w:t>-</w:t>
      </w:r>
      <w:r w:rsidRPr="002A3A17">
        <w:rPr>
          <w:i/>
          <w:sz w:val="24"/>
          <w:szCs w:val="24"/>
        </w:rPr>
        <w:t>kanalen:</w:t>
      </w:r>
    </w:p>
    <w:p w14:paraId="1E25128E" w14:textId="77777777" w:rsidR="00445389" w:rsidRPr="002A3A17" w:rsidRDefault="00445389" w:rsidP="00513E45">
      <w:pPr>
        <w:ind w:left="851"/>
        <w:rPr>
          <w:sz w:val="24"/>
          <w:szCs w:val="24"/>
        </w:rPr>
      </w:pPr>
      <w:r w:rsidRPr="002A3A17">
        <w:rPr>
          <w:sz w:val="24"/>
          <w:szCs w:val="24"/>
        </w:rPr>
        <w:t xml:space="preserve">Ikke kendt (kan ikke estimeres ud fra de tilgængelige data): forstoppelse, </w:t>
      </w:r>
      <w:proofErr w:type="spellStart"/>
      <w:r w:rsidRPr="002A3A17">
        <w:rPr>
          <w:sz w:val="24"/>
          <w:szCs w:val="24"/>
        </w:rPr>
        <w:t>flatulens</w:t>
      </w:r>
      <w:proofErr w:type="spellEnd"/>
      <w:r w:rsidRPr="002A3A17">
        <w:rPr>
          <w:sz w:val="24"/>
          <w:szCs w:val="24"/>
        </w:rPr>
        <w:t>, kvalme, mavesmerter, diarré.</w:t>
      </w:r>
    </w:p>
    <w:p w14:paraId="0F458584" w14:textId="77777777" w:rsidR="00445389" w:rsidRPr="002A3A17" w:rsidRDefault="00445389" w:rsidP="00513E45">
      <w:pPr>
        <w:ind w:left="851"/>
        <w:rPr>
          <w:sz w:val="24"/>
          <w:szCs w:val="24"/>
        </w:rPr>
      </w:pPr>
    </w:p>
    <w:p w14:paraId="791FC7B5" w14:textId="77777777" w:rsidR="00445389" w:rsidRPr="002A3A17" w:rsidRDefault="00445389" w:rsidP="00513E45">
      <w:pPr>
        <w:ind w:left="851"/>
        <w:rPr>
          <w:sz w:val="24"/>
          <w:szCs w:val="24"/>
        </w:rPr>
      </w:pPr>
      <w:r w:rsidRPr="002A3A17">
        <w:rPr>
          <w:i/>
          <w:sz w:val="24"/>
          <w:szCs w:val="24"/>
        </w:rPr>
        <w:t>Hud og subkutane væv:</w:t>
      </w:r>
    </w:p>
    <w:p w14:paraId="533D51C8" w14:textId="77777777" w:rsidR="00445389" w:rsidRPr="002A3A17" w:rsidRDefault="00445389" w:rsidP="00513E45">
      <w:pPr>
        <w:ind w:left="851"/>
        <w:rPr>
          <w:sz w:val="24"/>
          <w:szCs w:val="24"/>
        </w:rPr>
      </w:pPr>
      <w:r w:rsidRPr="002A3A17">
        <w:rPr>
          <w:sz w:val="24"/>
          <w:szCs w:val="24"/>
        </w:rPr>
        <w:t>Ikke kendt (kan ikke estimeres ud fra de forhåndenværende data): overfølsomhedsreaktioner såsom kløe, udslæt, nældefeber.</w:t>
      </w:r>
    </w:p>
    <w:p w14:paraId="72773634" w14:textId="77777777" w:rsidR="00445389" w:rsidRPr="002A3A17" w:rsidRDefault="00445389" w:rsidP="00513E45">
      <w:pPr>
        <w:ind w:left="851"/>
        <w:rPr>
          <w:sz w:val="24"/>
          <w:szCs w:val="24"/>
        </w:rPr>
      </w:pPr>
    </w:p>
    <w:p w14:paraId="62674CD8" w14:textId="77777777" w:rsidR="00445389" w:rsidRPr="002A3A17" w:rsidRDefault="00445389" w:rsidP="00513E45">
      <w:pPr>
        <w:ind w:left="851"/>
        <w:rPr>
          <w:sz w:val="24"/>
          <w:szCs w:val="24"/>
          <w:u w:val="single"/>
        </w:rPr>
      </w:pPr>
      <w:r w:rsidRPr="002A3A17">
        <w:rPr>
          <w:sz w:val="24"/>
          <w:szCs w:val="24"/>
          <w:u w:val="single"/>
        </w:rPr>
        <w:t>Indberetning af formodede bivirkninger</w:t>
      </w:r>
    </w:p>
    <w:p w14:paraId="2FFBE04C" w14:textId="77777777" w:rsidR="00445389" w:rsidRPr="002A3A17" w:rsidRDefault="00445389" w:rsidP="00513E45">
      <w:pPr>
        <w:ind w:left="851"/>
        <w:rPr>
          <w:sz w:val="24"/>
          <w:szCs w:val="24"/>
        </w:rPr>
      </w:pPr>
      <w:r w:rsidRPr="002A3A17">
        <w:rPr>
          <w:sz w:val="24"/>
          <w:szCs w:val="24"/>
        </w:rPr>
        <w:t>Når lægemidlet er godkendt, er indberetning af formodede bivirkninger vigtig. Det muliggør løbende overvågning af benefit/</w:t>
      </w:r>
      <w:proofErr w:type="spellStart"/>
      <w:r w:rsidRPr="002A3A17">
        <w:rPr>
          <w:sz w:val="24"/>
          <w:szCs w:val="24"/>
        </w:rPr>
        <w:t>risk</w:t>
      </w:r>
      <w:proofErr w:type="spellEnd"/>
      <w:r w:rsidRPr="002A3A17">
        <w:rPr>
          <w:sz w:val="24"/>
          <w:szCs w:val="24"/>
        </w:rPr>
        <w:t xml:space="preserve">-forholdet for lægemidlet. Sundhedspersoner anmodes om at indberette alle formodede bivirkninger via </w:t>
      </w:r>
    </w:p>
    <w:p w14:paraId="6CD897AD" w14:textId="77777777" w:rsidR="00445389" w:rsidRPr="002A3A17" w:rsidRDefault="00445389" w:rsidP="00513E45">
      <w:pPr>
        <w:ind w:left="851"/>
        <w:rPr>
          <w:sz w:val="24"/>
          <w:szCs w:val="24"/>
        </w:rPr>
      </w:pPr>
    </w:p>
    <w:p w14:paraId="4C3FC068" w14:textId="77777777" w:rsidR="00445389" w:rsidRPr="002A3A17" w:rsidRDefault="00445389" w:rsidP="00513E45">
      <w:pPr>
        <w:ind w:left="851"/>
        <w:rPr>
          <w:sz w:val="24"/>
          <w:szCs w:val="24"/>
        </w:rPr>
      </w:pPr>
      <w:r w:rsidRPr="002A3A17">
        <w:rPr>
          <w:sz w:val="24"/>
          <w:szCs w:val="24"/>
        </w:rPr>
        <w:t>Lægemiddelstyrelsen</w:t>
      </w:r>
    </w:p>
    <w:p w14:paraId="44C539A9" w14:textId="77777777" w:rsidR="00445389" w:rsidRPr="002A3A17" w:rsidRDefault="00445389" w:rsidP="00513E45">
      <w:pPr>
        <w:ind w:left="851"/>
        <w:rPr>
          <w:sz w:val="24"/>
          <w:szCs w:val="24"/>
        </w:rPr>
      </w:pPr>
      <w:r w:rsidRPr="002A3A17">
        <w:rPr>
          <w:sz w:val="24"/>
          <w:szCs w:val="24"/>
        </w:rPr>
        <w:t>Axel Heides Gade 1</w:t>
      </w:r>
    </w:p>
    <w:p w14:paraId="5D41E71A" w14:textId="77777777" w:rsidR="00445389" w:rsidRPr="002A3A17" w:rsidRDefault="00445389" w:rsidP="00513E45">
      <w:pPr>
        <w:ind w:left="851"/>
        <w:rPr>
          <w:sz w:val="24"/>
          <w:szCs w:val="24"/>
        </w:rPr>
      </w:pPr>
      <w:r w:rsidRPr="002A3A17">
        <w:rPr>
          <w:sz w:val="24"/>
          <w:szCs w:val="24"/>
        </w:rPr>
        <w:t>DK-2300 København S</w:t>
      </w:r>
    </w:p>
    <w:p w14:paraId="444BC110" w14:textId="77777777" w:rsidR="00445389" w:rsidRPr="002A3A17" w:rsidRDefault="00445389" w:rsidP="00513E45">
      <w:pPr>
        <w:ind w:left="851"/>
        <w:rPr>
          <w:sz w:val="24"/>
          <w:szCs w:val="24"/>
        </w:rPr>
      </w:pPr>
      <w:r w:rsidRPr="002A3A17">
        <w:rPr>
          <w:sz w:val="24"/>
          <w:szCs w:val="24"/>
        </w:rPr>
        <w:t>Websted: www.meldenbivirkning.dk</w:t>
      </w:r>
    </w:p>
    <w:p w14:paraId="721B0D8B" w14:textId="77777777" w:rsidR="009260DE" w:rsidRPr="002A3A17" w:rsidRDefault="009260DE" w:rsidP="00A10294">
      <w:pPr>
        <w:tabs>
          <w:tab w:val="left" w:pos="851"/>
        </w:tabs>
        <w:ind w:left="851"/>
        <w:rPr>
          <w:sz w:val="24"/>
          <w:szCs w:val="24"/>
        </w:rPr>
      </w:pPr>
    </w:p>
    <w:p w14:paraId="12E38430" w14:textId="77777777" w:rsidR="009260DE" w:rsidRPr="002A3A17" w:rsidRDefault="009260DE" w:rsidP="009260DE">
      <w:pPr>
        <w:tabs>
          <w:tab w:val="left" w:pos="851"/>
        </w:tabs>
        <w:ind w:left="851" w:hanging="851"/>
        <w:rPr>
          <w:b/>
          <w:sz w:val="24"/>
          <w:szCs w:val="24"/>
        </w:rPr>
      </w:pPr>
      <w:r w:rsidRPr="002A3A17">
        <w:rPr>
          <w:b/>
          <w:sz w:val="24"/>
          <w:szCs w:val="24"/>
        </w:rPr>
        <w:t>4.9</w:t>
      </w:r>
      <w:r w:rsidRPr="002A3A17">
        <w:rPr>
          <w:b/>
          <w:sz w:val="24"/>
          <w:szCs w:val="24"/>
        </w:rPr>
        <w:tab/>
        <w:t>Overdosering</w:t>
      </w:r>
    </w:p>
    <w:p w14:paraId="22216846" w14:textId="2808786D" w:rsidR="00445389" w:rsidRPr="002A3A17" w:rsidRDefault="00445389" w:rsidP="00513E45">
      <w:pPr>
        <w:autoSpaceDE w:val="0"/>
        <w:autoSpaceDN w:val="0"/>
        <w:ind w:left="851"/>
        <w:rPr>
          <w:rFonts w:eastAsia="SimSun"/>
          <w:sz w:val="24"/>
          <w:szCs w:val="24"/>
        </w:rPr>
      </w:pPr>
      <w:r w:rsidRPr="002A3A17">
        <w:rPr>
          <w:sz w:val="24"/>
          <w:szCs w:val="24"/>
        </w:rPr>
        <w:t>Ifølge tilgængelige videnskabelige data er forgiftning meget sjælden, og dosis samt behandlingsvarighed, hvor den kan forekomme, varierer fra person til person. Det er dog anerkendt, at forgiftning kan forekomme hos patienter med serum 25(OH)D over 150</w:t>
      </w:r>
      <w:r w:rsidR="002A3A17">
        <w:rPr>
          <w:sz w:val="24"/>
          <w:szCs w:val="24"/>
        </w:rPr>
        <w:t> </w:t>
      </w:r>
      <w:proofErr w:type="spellStart"/>
      <w:r w:rsidRPr="002A3A17">
        <w:rPr>
          <w:sz w:val="24"/>
          <w:szCs w:val="24"/>
        </w:rPr>
        <w:t>ng</w:t>
      </w:r>
      <w:proofErr w:type="spellEnd"/>
      <w:r w:rsidRPr="002A3A17">
        <w:rPr>
          <w:sz w:val="24"/>
          <w:szCs w:val="24"/>
        </w:rPr>
        <w:t xml:space="preserve">/ml. </w:t>
      </w:r>
    </w:p>
    <w:p w14:paraId="76AA1CCB" w14:textId="77777777" w:rsidR="00445389" w:rsidRPr="002A3A17" w:rsidRDefault="00445389" w:rsidP="00513E45">
      <w:pPr>
        <w:ind w:left="851"/>
        <w:rPr>
          <w:sz w:val="24"/>
          <w:szCs w:val="24"/>
        </w:rPr>
      </w:pPr>
      <w:r w:rsidRPr="002A3A17">
        <w:rPr>
          <w:sz w:val="24"/>
          <w:szCs w:val="24"/>
        </w:rPr>
        <w:t>Derfor advares mod indtagelse af D-vitamin uden lægeligt tilsyn.</w:t>
      </w:r>
    </w:p>
    <w:p w14:paraId="771F9001" w14:textId="77777777" w:rsidR="00445389" w:rsidRPr="002A3A17" w:rsidRDefault="00445389" w:rsidP="00513E45">
      <w:pPr>
        <w:ind w:left="851"/>
        <w:rPr>
          <w:sz w:val="24"/>
          <w:szCs w:val="24"/>
        </w:rPr>
      </w:pPr>
    </w:p>
    <w:p w14:paraId="10E464BC" w14:textId="77777777" w:rsidR="00445389" w:rsidRPr="002A3A17" w:rsidRDefault="00445389" w:rsidP="00513E45">
      <w:pPr>
        <w:ind w:left="851"/>
        <w:rPr>
          <w:sz w:val="24"/>
          <w:szCs w:val="24"/>
        </w:rPr>
      </w:pPr>
      <w:r w:rsidRPr="002A3A17">
        <w:rPr>
          <w:sz w:val="24"/>
          <w:szCs w:val="24"/>
          <w:u w:val="single" w:color="000000"/>
        </w:rPr>
        <w:t>Symptomer på overdosering</w:t>
      </w:r>
    </w:p>
    <w:p w14:paraId="24F94934" w14:textId="77777777" w:rsidR="00445389" w:rsidRPr="002A3A17" w:rsidRDefault="00445389" w:rsidP="00513E45">
      <w:pPr>
        <w:ind w:left="851"/>
        <w:rPr>
          <w:sz w:val="24"/>
          <w:szCs w:val="24"/>
        </w:rPr>
      </w:pPr>
      <w:r w:rsidRPr="002A3A17">
        <w:rPr>
          <w:sz w:val="24"/>
          <w:szCs w:val="24"/>
        </w:rPr>
        <w:t xml:space="preserve">Overdosering fører til øgede serum- og urinfosforniveauer samt </w:t>
      </w:r>
      <w:proofErr w:type="spellStart"/>
      <w:r w:rsidRPr="002A3A17">
        <w:rPr>
          <w:sz w:val="24"/>
          <w:szCs w:val="24"/>
        </w:rPr>
        <w:t>hypercalcæmisk</w:t>
      </w:r>
      <w:proofErr w:type="spellEnd"/>
      <w:r w:rsidRPr="002A3A17">
        <w:rPr>
          <w:sz w:val="24"/>
          <w:szCs w:val="24"/>
        </w:rPr>
        <w:t xml:space="preserve"> syndrom og følgelig kalkaflejringer i vævene og frem for alt i nyrerne (</w:t>
      </w:r>
      <w:proofErr w:type="spellStart"/>
      <w:r w:rsidRPr="002A3A17">
        <w:rPr>
          <w:sz w:val="24"/>
          <w:szCs w:val="24"/>
        </w:rPr>
        <w:t>nefroliatiasis</w:t>
      </w:r>
      <w:proofErr w:type="spellEnd"/>
      <w:r w:rsidRPr="002A3A17">
        <w:rPr>
          <w:sz w:val="24"/>
          <w:szCs w:val="24"/>
        </w:rPr>
        <w:t xml:space="preserve">, </w:t>
      </w:r>
      <w:proofErr w:type="spellStart"/>
      <w:r w:rsidRPr="002A3A17">
        <w:rPr>
          <w:sz w:val="24"/>
          <w:szCs w:val="24"/>
        </w:rPr>
        <w:t>nefrocalcinose</w:t>
      </w:r>
      <w:proofErr w:type="spellEnd"/>
      <w:r w:rsidRPr="002A3A17">
        <w:rPr>
          <w:sz w:val="24"/>
          <w:szCs w:val="24"/>
        </w:rPr>
        <w:t>) og karrene.</w:t>
      </w:r>
    </w:p>
    <w:p w14:paraId="0A7A1F9E" w14:textId="77777777" w:rsidR="00445389" w:rsidRPr="002A3A17" w:rsidRDefault="00445389" w:rsidP="00513E45">
      <w:pPr>
        <w:ind w:left="851"/>
        <w:rPr>
          <w:sz w:val="24"/>
          <w:szCs w:val="24"/>
        </w:rPr>
      </w:pPr>
    </w:p>
    <w:p w14:paraId="0A1BAE11" w14:textId="77777777" w:rsidR="00445389" w:rsidRPr="002A3A17" w:rsidRDefault="00445389" w:rsidP="00513E45">
      <w:pPr>
        <w:ind w:left="851"/>
        <w:rPr>
          <w:sz w:val="24"/>
          <w:szCs w:val="24"/>
        </w:rPr>
      </w:pPr>
      <w:r w:rsidRPr="002A3A17">
        <w:rPr>
          <w:sz w:val="24"/>
          <w:szCs w:val="24"/>
        </w:rPr>
        <w:t xml:space="preserve">Symptomerne på forgiftning er ikke specifikke og manifesterer sig som kvalme, opkastning, diarré, forstoppelse, manglende appetit, vægttab, træthed, hovedpine, muskelsvaghed, hypertension, </w:t>
      </w:r>
      <w:proofErr w:type="spellStart"/>
      <w:r w:rsidRPr="002A3A17">
        <w:rPr>
          <w:sz w:val="24"/>
          <w:szCs w:val="24"/>
        </w:rPr>
        <w:t>somnolens</w:t>
      </w:r>
      <w:proofErr w:type="spellEnd"/>
      <w:r w:rsidRPr="002A3A17">
        <w:rPr>
          <w:sz w:val="24"/>
          <w:szCs w:val="24"/>
        </w:rPr>
        <w:t xml:space="preserve">, svimmelhed, polydipsi, </w:t>
      </w:r>
      <w:proofErr w:type="spellStart"/>
      <w:r w:rsidRPr="002A3A17">
        <w:rPr>
          <w:sz w:val="24"/>
          <w:szCs w:val="24"/>
        </w:rPr>
        <w:t>polyuri</w:t>
      </w:r>
      <w:proofErr w:type="spellEnd"/>
      <w:r w:rsidRPr="002A3A17">
        <w:rPr>
          <w:sz w:val="24"/>
          <w:szCs w:val="24"/>
        </w:rPr>
        <w:t xml:space="preserve">, </w:t>
      </w:r>
      <w:proofErr w:type="spellStart"/>
      <w:r w:rsidRPr="002A3A17">
        <w:rPr>
          <w:sz w:val="24"/>
          <w:szCs w:val="24"/>
        </w:rPr>
        <w:t>nocturi</w:t>
      </w:r>
      <w:proofErr w:type="spellEnd"/>
      <w:r w:rsidRPr="002A3A17">
        <w:rPr>
          <w:sz w:val="24"/>
          <w:szCs w:val="24"/>
        </w:rPr>
        <w:t xml:space="preserve">, dehydrering, </w:t>
      </w:r>
      <w:proofErr w:type="spellStart"/>
      <w:r w:rsidRPr="002A3A17">
        <w:rPr>
          <w:sz w:val="24"/>
          <w:szCs w:val="24"/>
        </w:rPr>
        <w:t>hidrose</w:t>
      </w:r>
      <w:proofErr w:type="spellEnd"/>
      <w:r w:rsidRPr="002A3A17">
        <w:rPr>
          <w:sz w:val="24"/>
          <w:szCs w:val="24"/>
        </w:rPr>
        <w:t xml:space="preserve">, rastløshed, irritabilitet og feber. Der kan dannes </w:t>
      </w:r>
      <w:proofErr w:type="spellStart"/>
      <w:r w:rsidRPr="002A3A17">
        <w:rPr>
          <w:sz w:val="24"/>
          <w:szCs w:val="24"/>
        </w:rPr>
        <w:t>nefroliatiasis</w:t>
      </w:r>
      <w:proofErr w:type="spellEnd"/>
      <w:r w:rsidRPr="002A3A17">
        <w:rPr>
          <w:sz w:val="24"/>
          <w:szCs w:val="24"/>
        </w:rPr>
        <w:t xml:space="preserve">, og der kan også forekomme forkalkning af blødt væv, hvilket medfører skader på nyrer, blodkar og hjerte. Alvorlig forgiftning kan medføre uregelmæssig hjerterytme, mens ekstrem </w:t>
      </w:r>
      <w:proofErr w:type="spellStart"/>
      <w:r w:rsidRPr="002A3A17">
        <w:rPr>
          <w:sz w:val="24"/>
          <w:szCs w:val="24"/>
        </w:rPr>
        <w:t>hypercalcæmi</w:t>
      </w:r>
      <w:proofErr w:type="spellEnd"/>
      <w:r w:rsidRPr="002A3A17">
        <w:rPr>
          <w:sz w:val="24"/>
          <w:szCs w:val="24"/>
        </w:rPr>
        <w:t xml:space="preserve"> kan forårsage koma eller endda død. Typiske biokemiske fund omfatter </w:t>
      </w:r>
      <w:proofErr w:type="spellStart"/>
      <w:r w:rsidRPr="002A3A17">
        <w:rPr>
          <w:sz w:val="24"/>
          <w:szCs w:val="24"/>
        </w:rPr>
        <w:t>hypercalcæmi</w:t>
      </w:r>
      <w:proofErr w:type="spellEnd"/>
      <w:r w:rsidRPr="002A3A17">
        <w:rPr>
          <w:sz w:val="24"/>
          <w:szCs w:val="24"/>
        </w:rPr>
        <w:t xml:space="preserve">, </w:t>
      </w:r>
      <w:proofErr w:type="spellStart"/>
      <w:r w:rsidRPr="002A3A17">
        <w:rPr>
          <w:sz w:val="24"/>
          <w:szCs w:val="24"/>
        </w:rPr>
        <w:t>hypercalciuri</w:t>
      </w:r>
      <w:proofErr w:type="spellEnd"/>
      <w:r w:rsidRPr="002A3A17">
        <w:rPr>
          <w:sz w:val="24"/>
          <w:szCs w:val="24"/>
        </w:rPr>
        <w:t xml:space="preserve"> samt øget koncentration af serum-25-hydroxycholecalciferol.</w:t>
      </w:r>
    </w:p>
    <w:p w14:paraId="62F18875" w14:textId="77777777" w:rsidR="00445389" w:rsidRPr="002A3A17" w:rsidRDefault="00445389" w:rsidP="00513E45">
      <w:pPr>
        <w:ind w:left="851"/>
        <w:rPr>
          <w:sz w:val="24"/>
          <w:szCs w:val="24"/>
        </w:rPr>
      </w:pPr>
    </w:p>
    <w:p w14:paraId="670CD8E1" w14:textId="77777777" w:rsidR="00445389" w:rsidRPr="002A3A17" w:rsidRDefault="00445389" w:rsidP="00513E45">
      <w:pPr>
        <w:ind w:left="851"/>
        <w:rPr>
          <w:sz w:val="24"/>
          <w:szCs w:val="24"/>
        </w:rPr>
      </w:pPr>
      <w:r w:rsidRPr="002A3A17">
        <w:rPr>
          <w:sz w:val="24"/>
          <w:szCs w:val="24"/>
          <w:u w:val="single" w:color="000000"/>
        </w:rPr>
        <w:t>Behandling af overdosis</w:t>
      </w:r>
    </w:p>
    <w:p w14:paraId="72E90A8C" w14:textId="77777777" w:rsidR="00445389" w:rsidRPr="002A3A17" w:rsidRDefault="00445389" w:rsidP="00513E45">
      <w:pPr>
        <w:ind w:left="851"/>
        <w:rPr>
          <w:sz w:val="24"/>
          <w:szCs w:val="24"/>
        </w:rPr>
      </w:pPr>
      <w:r w:rsidRPr="002A3A17">
        <w:rPr>
          <w:sz w:val="24"/>
          <w:szCs w:val="24"/>
        </w:rPr>
        <w:t xml:space="preserve">Behandling af kronisk overdosering af D-vitamin kan kræve tvungen diurese samt administration af </w:t>
      </w:r>
      <w:proofErr w:type="spellStart"/>
      <w:r w:rsidRPr="002A3A17">
        <w:rPr>
          <w:sz w:val="24"/>
          <w:szCs w:val="24"/>
        </w:rPr>
        <w:t>glukokortikoider</w:t>
      </w:r>
      <w:proofErr w:type="spellEnd"/>
      <w:r w:rsidRPr="002A3A17">
        <w:rPr>
          <w:sz w:val="24"/>
          <w:szCs w:val="24"/>
        </w:rPr>
        <w:t xml:space="preserve"> eller </w:t>
      </w:r>
      <w:proofErr w:type="spellStart"/>
      <w:r w:rsidRPr="002A3A17">
        <w:rPr>
          <w:sz w:val="24"/>
          <w:szCs w:val="24"/>
        </w:rPr>
        <w:t>calcitonin</w:t>
      </w:r>
      <w:proofErr w:type="spellEnd"/>
      <w:r w:rsidRPr="002A3A17">
        <w:rPr>
          <w:sz w:val="24"/>
          <w:szCs w:val="24"/>
        </w:rPr>
        <w:t>.</w:t>
      </w:r>
    </w:p>
    <w:p w14:paraId="7146A2C1" w14:textId="77777777" w:rsidR="00445389" w:rsidRPr="002A3A17" w:rsidRDefault="00445389" w:rsidP="00513E45">
      <w:pPr>
        <w:ind w:left="851"/>
        <w:rPr>
          <w:sz w:val="24"/>
          <w:szCs w:val="24"/>
        </w:rPr>
      </w:pPr>
    </w:p>
    <w:p w14:paraId="3DDEB6BB" w14:textId="77777777" w:rsidR="00445389" w:rsidRPr="002A3A17" w:rsidRDefault="00445389" w:rsidP="00513E45">
      <w:pPr>
        <w:ind w:left="851"/>
        <w:rPr>
          <w:sz w:val="24"/>
          <w:szCs w:val="24"/>
        </w:rPr>
      </w:pPr>
      <w:r w:rsidRPr="002A3A17">
        <w:rPr>
          <w:sz w:val="24"/>
          <w:szCs w:val="24"/>
        </w:rPr>
        <w:t xml:space="preserve">Overdosering kræver foranstaltninger til behandling af den – ofte vedvarende og under visse omstændigheder livstruende – </w:t>
      </w:r>
      <w:proofErr w:type="spellStart"/>
      <w:r w:rsidRPr="002A3A17">
        <w:rPr>
          <w:sz w:val="24"/>
          <w:szCs w:val="24"/>
        </w:rPr>
        <w:t>hypercalcæmi</w:t>
      </w:r>
      <w:proofErr w:type="spellEnd"/>
      <w:r w:rsidRPr="002A3A17">
        <w:rPr>
          <w:sz w:val="24"/>
          <w:szCs w:val="24"/>
        </w:rPr>
        <w:t>.</w:t>
      </w:r>
    </w:p>
    <w:p w14:paraId="2414FE13" w14:textId="77777777" w:rsidR="00445389" w:rsidRPr="002A3A17" w:rsidRDefault="00445389" w:rsidP="00513E45">
      <w:pPr>
        <w:ind w:left="851"/>
        <w:rPr>
          <w:sz w:val="24"/>
          <w:szCs w:val="24"/>
        </w:rPr>
      </w:pPr>
    </w:p>
    <w:p w14:paraId="5463E615" w14:textId="77777777" w:rsidR="00445389" w:rsidRPr="002A3A17" w:rsidRDefault="00445389" w:rsidP="00513E45">
      <w:pPr>
        <w:ind w:left="851"/>
        <w:rPr>
          <w:sz w:val="24"/>
          <w:szCs w:val="24"/>
        </w:rPr>
      </w:pPr>
      <w:r w:rsidRPr="002A3A17">
        <w:rPr>
          <w:sz w:val="24"/>
          <w:szCs w:val="24"/>
        </w:rPr>
        <w:t xml:space="preserve">Den første foranstaltning er at seponere D-vitaminpræparatet. Det tager flere uger at normalisere </w:t>
      </w:r>
      <w:proofErr w:type="spellStart"/>
      <w:r w:rsidRPr="002A3A17">
        <w:rPr>
          <w:sz w:val="24"/>
          <w:szCs w:val="24"/>
        </w:rPr>
        <w:t>hypercalcæmi</w:t>
      </w:r>
      <w:proofErr w:type="spellEnd"/>
      <w:r w:rsidRPr="002A3A17">
        <w:rPr>
          <w:sz w:val="24"/>
          <w:szCs w:val="24"/>
        </w:rPr>
        <w:t xml:space="preserve"> forårsaget af D-vitaminforgiftning. Det anbefales også at overvåge serumelektrolytter, nyrefunktion og diurese. I svære tilfælde kan det også være nødvendigt at overvåge puls og EKG.</w:t>
      </w:r>
    </w:p>
    <w:p w14:paraId="177EA2E6" w14:textId="77777777" w:rsidR="00445389" w:rsidRPr="002A3A17" w:rsidRDefault="00445389" w:rsidP="00513E45">
      <w:pPr>
        <w:ind w:left="851"/>
        <w:rPr>
          <w:sz w:val="24"/>
          <w:szCs w:val="24"/>
        </w:rPr>
      </w:pPr>
    </w:p>
    <w:p w14:paraId="703C2147" w14:textId="77777777" w:rsidR="00445389" w:rsidRPr="002A3A17" w:rsidRDefault="00445389" w:rsidP="00513E45">
      <w:pPr>
        <w:ind w:left="851"/>
        <w:rPr>
          <w:sz w:val="24"/>
          <w:szCs w:val="24"/>
        </w:rPr>
      </w:pPr>
      <w:r w:rsidRPr="002A3A17">
        <w:rPr>
          <w:sz w:val="24"/>
          <w:szCs w:val="24"/>
        </w:rPr>
        <w:t xml:space="preserve">Afhængigt af graden af </w:t>
      </w:r>
      <w:proofErr w:type="spellStart"/>
      <w:r w:rsidRPr="002A3A17">
        <w:rPr>
          <w:sz w:val="24"/>
          <w:szCs w:val="24"/>
        </w:rPr>
        <w:t>hypercalcæmi</w:t>
      </w:r>
      <w:proofErr w:type="spellEnd"/>
      <w:r w:rsidRPr="002A3A17">
        <w:rPr>
          <w:sz w:val="24"/>
          <w:szCs w:val="24"/>
        </w:rPr>
        <w:t xml:space="preserve"> omfatter foranstaltninger en diæt, der er lav i calcium eller fri for calcium, rigeligt væskeindtag, øget urinudskillelse ved hjælp af lægemidlet </w:t>
      </w:r>
      <w:proofErr w:type="spellStart"/>
      <w:r w:rsidRPr="002A3A17">
        <w:rPr>
          <w:sz w:val="24"/>
          <w:szCs w:val="24"/>
        </w:rPr>
        <w:t>furosemid</w:t>
      </w:r>
      <w:proofErr w:type="spellEnd"/>
      <w:r w:rsidRPr="002A3A17">
        <w:rPr>
          <w:sz w:val="24"/>
          <w:szCs w:val="24"/>
        </w:rPr>
        <w:t xml:space="preserve"> samt administration af </w:t>
      </w:r>
      <w:proofErr w:type="spellStart"/>
      <w:r w:rsidRPr="002A3A17">
        <w:rPr>
          <w:sz w:val="24"/>
          <w:szCs w:val="24"/>
        </w:rPr>
        <w:t>glukokortikoider</w:t>
      </w:r>
      <w:proofErr w:type="spellEnd"/>
      <w:r w:rsidRPr="002A3A17">
        <w:rPr>
          <w:sz w:val="24"/>
          <w:szCs w:val="24"/>
        </w:rPr>
        <w:t xml:space="preserve"> og </w:t>
      </w:r>
      <w:proofErr w:type="spellStart"/>
      <w:r w:rsidRPr="002A3A17">
        <w:rPr>
          <w:sz w:val="24"/>
          <w:szCs w:val="24"/>
        </w:rPr>
        <w:t>calcitonin</w:t>
      </w:r>
      <w:proofErr w:type="spellEnd"/>
      <w:r w:rsidRPr="002A3A17">
        <w:rPr>
          <w:sz w:val="24"/>
          <w:szCs w:val="24"/>
        </w:rPr>
        <w:t>.</w:t>
      </w:r>
    </w:p>
    <w:p w14:paraId="4DD584D2" w14:textId="77777777" w:rsidR="00445389" w:rsidRPr="002A3A17" w:rsidRDefault="00445389" w:rsidP="00513E45">
      <w:pPr>
        <w:ind w:left="851"/>
        <w:rPr>
          <w:sz w:val="24"/>
          <w:szCs w:val="24"/>
        </w:rPr>
      </w:pPr>
    </w:p>
    <w:p w14:paraId="13555903" w14:textId="77777777" w:rsidR="00445389" w:rsidRPr="002A3A17" w:rsidRDefault="00445389" w:rsidP="00513E45">
      <w:pPr>
        <w:ind w:left="851"/>
        <w:rPr>
          <w:sz w:val="24"/>
          <w:szCs w:val="24"/>
        </w:rPr>
      </w:pPr>
      <w:r w:rsidRPr="002A3A17">
        <w:rPr>
          <w:sz w:val="24"/>
          <w:szCs w:val="24"/>
        </w:rPr>
        <w:t xml:space="preserve">Hvis nyrefunktionen er tilstrækkelig, kan calciumniveauet sænkes pålideligt ved infusioner af isotonisk </w:t>
      </w:r>
      <w:proofErr w:type="spellStart"/>
      <w:r w:rsidRPr="002A3A17">
        <w:rPr>
          <w:sz w:val="24"/>
          <w:szCs w:val="24"/>
        </w:rPr>
        <w:t>natriumchloridopløsning</w:t>
      </w:r>
      <w:proofErr w:type="spellEnd"/>
      <w:r w:rsidRPr="002A3A17">
        <w:rPr>
          <w:sz w:val="24"/>
          <w:szCs w:val="24"/>
        </w:rPr>
        <w:t xml:space="preserve"> (3-6 liter på 24 timer) med tilsætning af </w:t>
      </w:r>
      <w:proofErr w:type="spellStart"/>
      <w:r w:rsidRPr="002A3A17">
        <w:rPr>
          <w:sz w:val="24"/>
          <w:szCs w:val="24"/>
        </w:rPr>
        <w:t>furosemid</w:t>
      </w:r>
      <w:proofErr w:type="spellEnd"/>
      <w:r w:rsidRPr="002A3A17">
        <w:rPr>
          <w:sz w:val="24"/>
          <w:szCs w:val="24"/>
        </w:rPr>
        <w:t xml:space="preserve"> og i nogle tilfælde også 15 mg/kg kropsvægt/time </w:t>
      </w:r>
      <w:proofErr w:type="spellStart"/>
      <w:r w:rsidRPr="002A3A17">
        <w:rPr>
          <w:sz w:val="24"/>
          <w:szCs w:val="24"/>
        </w:rPr>
        <w:t>natriumedetat</w:t>
      </w:r>
      <w:proofErr w:type="spellEnd"/>
      <w:r w:rsidRPr="002A3A17">
        <w:rPr>
          <w:sz w:val="24"/>
          <w:szCs w:val="24"/>
        </w:rPr>
        <w:t xml:space="preserve"> ledsaget af kontinuerlig kalk samt EKG-monitorering. Ved </w:t>
      </w:r>
      <w:proofErr w:type="spellStart"/>
      <w:r w:rsidRPr="002A3A17">
        <w:rPr>
          <w:sz w:val="24"/>
          <w:szCs w:val="24"/>
        </w:rPr>
        <w:t>oligoanuri</w:t>
      </w:r>
      <w:proofErr w:type="spellEnd"/>
      <w:r w:rsidRPr="002A3A17">
        <w:rPr>
          <w:sz w:val="24"/>
          <w:szCs w:val="24"/>
        </w:rPr>
        <w:t xml:space="preserve"> er hæmodialyse (calciumfrit </w:t>
      </w:r>
      <w:proofErr w:type="spellStart"/>
      <w:r w:rsidRPr="002A3A17">
        <w:rPr>
          <w:sz w:val="24"/>
          <w:szCs w:val="24"/>
        </w:rPr>
        <w:t>dialysat</w:t>
      </w:r>
      <w:proofErr w:type="spellEnd"/>
      <w:r w:rsidRPr="002A3A17">
        <w:rPr>
          <w:sz w:val="24"/>
          <w:szCs w:val="24"/>
        </w:rPr>
        <w:t>) derimod nødvendigt.</w:t>
      </w:r>
    </w:p>
    <w:p w14:paraId="4C449112" w14:textId="77777777" w:rsidR="00445389" w:rsidRPr="002A3A17" w:rsidRDefault="00445389" w:rsidP="00513E45">
      <w:pPr>
        <w:ind w:left="851"/>
        <w:rPr>
          <w:sz w:val="24"/>
          <w:szCs w:val="24"/>
        </w:rPr>
      </w:pPr>
    </w:p>
    <w:p w14:paraId="7D7E363A" w14:textId="77777777" w:rsidR="00445389" w:rsidRPr="002A3A17" w:rsidRDefault="00445389" w:rsidP="00513E45">
      <w:pPr>
        <w:ind w:left="851"/>
        <w:rPr>
          <w:sz w:val="24"/>
          <w:szCs w:val="24"/>
        </w:rPr>
      </w:pPr>
      <w:r w:rsidRPr="002A3A17">
        <w:rPr>
          <w:sz w:val="24"/>
          <w:szCs w:val="24"/>
        </w:rPr>
        <w:t>Der findes ingen særlig modgift.</w:t>
      </w:r>
    </w:p>
    <w:p w14:paraId="6DF35557" w14:textId="77777777" w:rsidR="00445389" w:rsidRPr="002A3A17" w:rsidRDefault="00445389" w:rsidP="00513E45">
      <w:pPr>
        <w:ind w:left="851"/>
        <w:rPr>
          <w:sz w:val="24"/>
          <w:szCs w:val="24"/>
        </w:rPr>
      </w:pPr>
    </w:p>
    <w:p w14:paraId="2B1DD7A1" w14:textId="77777777" w:rsidR="00445389" w:rsidRPr="002A3A17" w:rsidRDefault="00445389" w:rsidP="00513E45">
      <w:pPr>
        <w:ind w:left="851"/>
        <w:rPr>
          <w:sz w:val="24"/>
          <w:szCs w:val="24"/>
        </w:rPr>
      </w:pPr>
      <w:r w:rsidRPr="002A3A17">
        <w:rPr>
          <w:sz w:val="24"/>
          <w:szCs w:val="24"/>
        </w:rPr>
        <w:t xml:space="preserve">Det anbefales at påpege symptomerne på potentiel overdosis til patienter, der er i kronisk behandling med højere doser D-vitamin. </w:t>
      </w:r>
    </w:p>
    <w:p w14:paraId="2CBA6D4E" w14:textId="77777777" w:rsidR="009260DE" w:rsidRPr="002A3A17" w:rsidRDefault="009260DE" w:rsidP="009260DE">
      <w:pPr>
        <w:tabs>
          <w:tab w:val="left" w:pos="851"/>
        </w:tabs>
        <w:ind w:left="851"/>
        <w:rPr>
          <w:sz w:val="24"/>
          <w:szCs w:val="24"/>
        </w:rPr>
      </w:pPr>
    </w:p>
    <w:p w14:paraId="07000E59" w14:textId="77777777" w:rsidR="009260DE" w:rsidRPr="002A3A17" w:rsidRDefault="009260DE" w:rsidP="009260DE">
      <w:pPr>
        <w:tabs>
          <w:tab w:val="left" w:pos="851"/>
        </w:tabs>
        <w:ind w:left="851" w:hanging="851"/>
        <w:rPr>
          <w:b/>
          <w:sz w:val="24"/>
          <w:szCs w:val="24"/>
        </w:rPr>
      </w:pPr>
      <w:r w:rsidRPr="002A3A17">
        <w:rPr>
          <w:b/>
          <w:sz w:val="24"/>
          <w:szCs w:val="24"/>
        </w:rPr>
        <w:t>4.10</w:t>
      </w:r>
      <w:r w:rsidRPr="002A3A17">
        <w:rPr>
          <w:b/>
          <w:sz w:val="24"/>
          <w:szCs w:val="24"/>
        </w:rPr>
        <w:tab/>
        <w:t>Udlevering</w:t>
      </w:r>
    </w:p>
    <w:p w14:paraId="28332AF9" w14:textId="00716B0E" w:rsidR="009260DE" w:rsidRPr="002A3A17" w:rsidRDefault="002A3A17" w:rsidP="009260DE">
      <w:pPr>
        <w:tabs>
          <w:tab w:val="left" w:pos="851"/>
        </w:tabs>
        <w:ind w:left="851"/>
        <w:rPr>
          <w:sz w:val="24"/>
          <w:szCs w:val="24"/>
        </w:rPr>
      </w:pPr>
      <w:r>
        <w:rPr>
          <w:sz w:val="24"/>
          <w:szCs w:val="24"/>
        </w:rPr>
        <w:t>B</w:t>
      </w:r>
    </w:p>
    <w:p w14:paraId="4E04669A" w14:textId="77777777" w:rsidR="009260DE" w:rsidRPr="002A3A17" w:rsidRDefault="009260DE" w:rsidP="009260DE">
      <w:pPr>
        <w:tabs>
          <w:tab w:val="left" w:pos="851"/>
        </w:tabs>
        <w:ind w:left="851"/>
        <w:rPr>
          <w:sz w:val="24"/>
          <w:szCs w:val="24"/>
        </w:rPr>
      </w:pPr>
    </w:p>
    <w:p w14:paraId="19E0FB1D" w14:textId="77777777" w:rsidR="009260DE" w:rsidRPr="002A3A17" w:rsidRDefault="009260DE" w:rsidP="009260DE">
      <w:pPr>
        <w:tabs>
          <w:tab w:val="left" w:pos="851"/>
        </w:tabs>
        <w:ind w:left="851"/>
        <w:rPr>
          <w:sz w:val="24"/>
          <w:szCs w:val="24"/>
        </w:rPr>
      </w:pPr>
    </w:p>
    <w:p w14:paraId="670E40DA" w14:textId="77777777" w:rsidR="009260DE" w:rsidRPr="002A3A17" w:rsidRDefault="009260DE" w:rsidP="009260DE">
      <w:pPr>
        <w:tabs>
          <w:tab w:val="left" w:pos="851"/>
        </w:tabs>
        <w:ind w:left="851" w:hanging="851"/>
        <w:rPr>
          <w:b/>
          <w:sz w:val="24"/>
          <w:szCs w:val="24"/>
        </w:rPr>
      </w:pPr>
      <w:r w:rsidRPr="002A3A17">
        <w:rPr>
          <w:b/>
          <w:sz w:val="24"/>
          <w:szCs w:val="24"/>
        </w:rPr>
        <w:t>5.</w:t>
      </w:r>
      <w:r w:rsidRPr="002A3A17">
        <w:rPr>
          <w:b/>
          <w:sz w:val="24"/>
          <w:szCs w:val="24"/>
        </w:rPr>
        <w:tab/>
        <w:t>FARMAKOLOGISKE EGENSKABER</w:t>
      </w:r>
    </w:p>
    <w:p w14:paraId="28DAE9AD" w14:textId="77777777" w:rsidR="009260DE" w:rsidRPr="002A3A17" w:rsidRDefault="009260DE" w:rsidP="009260DE">
      <w:pPr>
        <w:tabs>
          <w:tab w:val="left" w:pos="851"/>
        </w:tabs>
        <w:ind w:left="851"/>
        <w:rPr>
          <w:sz w:val="24"/>
          <w:szCs w:val="24"/>
        </w:rPr>
      </w:pPr>
    </w:p>
    <w:p w14:paraId="71435CB3" w14:textId="77777777" w:rsidR="009260DE" w:rsidRPr="002A3A17" w:rsidRDefault="009260DE" w:rsidP="009260DE">
      <w:pPr>
        <w:tabs>
          <w:tab w:val="num" w:pos="851"/>
        </w:tabs>
        <w:ind w:left="851" w:hanging="851"/>
        <w:rPr>
          <w:b/>
          <w:sz w:val="24"/>
          <w:szCs w:val="24"/>
        </w:rPr>
      </w:pPr>
      <w:r w:rsidRPr="002A3A17">
        <w:rPr>
          <w:b/>
          <w:sz w:val="24"/>
          <w:szCs w:val="24"/>
        </w:rPr>
        <w:t>5.1</w:t>
      </w:r>
      <w:r w:rsidRPr="002A3A17">
        <w:rPr>
          <w:b/>
          <w:sz w:val="24"/>
          <w:szCs w:val="24"/>
        </w:rPr>
        <w:tab/>
      </w:r>
      <w:proofErr w:type="spellStart"/>
      <w:r w:rsidRPr="002A3A17">
        <w:rPr>
          <w:b/>
          <w:sz w:val="24"/>
          <w:szCs w:val="24"/>
        </w:rPr>
        <w:t>Farmakodynamiske</w:t>
      </w:r>
      <w:proofErr w:type="spellEnd"/>
      <w:r w:rsidRPr="002A3A17">
        <w:rPr>
          <w:b/>
          <w:sz w:val="24"/>
          <w:szCs w:val="24"/>
        </w:rPr>
        <w:t xml:space="preserve"> egenskaber</w:t>
      </w:r>
    </w:p>
    <w:p w14:paraId="18C2253B" w14:textId="3F207BDF" w:rsidR="00445389" w:rsidRDefault="002A3A17" w:rsidP="002A3A17">
      <w:pPr>
        <w:ind w:left="851"/>
        <w:rPr>
          <w:bCs/>
          <w:sz w:val="24"/>
          <w:szCs w:val="24"/>
        </w:rPr>
      </w:pPr>
      <w:proofErr w:type="spellStart"/>
      <w:r>
        <w:rPr>
          <w:bCs/>
          <w:sz w:val="24"/>
          <w:szCs w:val="24"/>
        </w:rPr>
        <w:t>Farmakoterapeutisk</w:t>
      </w:r>
      <w:proofErr w:type="spellEnd"/>
      <w:r>
        <w:rPr>
          <w:bCs/>
          <w:sz w:val="24"/>
          <w:szCs w:val="24"/>
        </w:rPr>
        <w:t xml:space="preserve"> klassifikation: </w:t>
      </w:r>
      <w:r w:rsidR="00445389" w:rsidRPr="002A3A17">
        <w:rPr>
          <w:bCs/>
          <w:sz w:val="24"/>
          <w:szCs w:val="24"/>
        </w:rPr>
        <w:t xml:space="preserve">Vitamin D og </w:t>
      </w:r>
      <w:proofErr w:type="spellStart"/>
      <w:r w:rsidR="00445389" w:rsidRPr="002A3A17">
        <w:rPr>
          <w:bCs/>
          <w:sz w:val="24"/>
          <w:szCs w:val="24"/>
        </w:rPr>
        <w:t>analoger</w:t>
      </w:r>
      <w:proofErr w:type="spellEnd"/>
      <w:r w:rsidR="00445389" w:rsidRPr="002A3A17">
        <w:rPr>
          <w:bCs/>
          <w:sz w:val="24"/>
          <w:szCs w:val="24"/>
        </w:rPr>
        <w:t xml:space="preserve">, </w:t>
      </w:r>
      <w:proofErr w:type="spellStart"/>
      <w:r w:rsidR="00445389" w:rsidRPr="002A3A17">
        <w:rPr>
          <w:bCs/>
          <w:sz w:val="24"/>
          <w:szCs w:val="24"/>
        </w:rPr>
        <w:t>cholecalciferol</w:t>
      </w:r>
      <w:proofErr w:type="spellEnd"/>
      <w:r>
        <w:rPr>
          <w:bCs/>
          <w:sz w:val="24"/>
          <w:szCs w:val="24"/>
        </w:rPr>
        <w:t xml:space="preserve">, </w:t>
      </w:r>
      <w:r w:rsidRPr="002A3A17">
        <w:rPr>
          <w:bCs/>
          <w:sz w:val="24"/>
          <w:szCs w:val="24"/>
        </w:rPr>
        <w:t>ATC-kode: A11CC05.</w:t>
      </w:r>
    </w:p>
    <w:p w14:paraId="5C3CF5DF" w14:textId="77777777" w:rsidR="002A3A17" w:rsidRPr="002A3A17" w:rsidRDefault="002A3A17" w:rsidP="002A3A17">
      <w:pPr>
        <w:ind w:left="851"/>
        <w:rPr>
          <w:bCs/>
          <w:sz w:val="24"/>
          <w:szCs w:val="24"/>
        </w:rPr>
      </w:pPr>
    </w:p>
    <w:p w14:paraId="7FF21F30" w14:textId="29B16061" w:rsidR="00445389" w:rsidRPr="002A3A17" w:rsidRDefault="00445389" w:rsidP="00513E45">
      <w:pPr>
        <w:ind w:left="851"/>
        <w:rPr>
          <w:sz w:val="24"/>
          <w:szCs w:val="24"/>
        </w:rPr>
      </w:pPr>
      <w:proofErr w:type="spellStart"/>
      <w:r w:rsidRPr="002A3A17">
        <w:rPr>
          <w:sz w:val="24"/>
          <w:szCs w:val="24"/>
        </w:rPr>
        <w:t>Cholecalciferol</w:t>
      </w:r>
      <w:proofErr w:type="spellEnd"/>
      <w:r w:rsidRPr="002A3A17">
        <w:rPr>
          <w:sz w:val="24"/>
          <w:szCs w:val="24"/>
        </w:rPr>
        <w:t xml:space="preserve"> (D</w:t>
      </w:r>
      <w:r w:rsidRPr="002A3A17">
        <w:rPr>
          <w:sz w:val="24"/>
          <w:szCs w:val="24"/>
          <w:vertAlign w:val="subscript"/>
        </w:rPr>
        <w:t>3</w:t>
      </w:r>
      <w:r w:rsidRPr="002A3A17">
        <w:rPr>
          <w:sz w:val="24"/>
          <w:szCs w:val="24"/>
        </w:rPr>
        <w:t xml:space="preserve">-vitamin) dannes i huden ved eksponering for UV-lys og omdannes til dets biologisk aktive form, 1,25-dihydroxycholecalciferol, i to </w:t>
      </w:r>
      <w:proofErr w:type="spellStart"/>
      <w:r w:rsidRPr="002A3A17">
        <w:rPr>
          <w:sz w:val="24"/>
          <w:szCs w:val="24"/>
        </w:rPr>
        <w:t>hydroxyleringstrin</w:t>
      </w:r>
      <w:proofErr w:type="spellEnd"/>
      <w:r w:rsidRPr="002A3A17">
        <w:rPr>
          <w:sz w:val="24"/>
          <w:szCs w:val="24"/>
        </w:rPr>
        <w:t xml:space="preserve">, først i leveren (position 25) og dernæst i nyrevævet (position 1). Sammen med </w:t>
      </w:r>
      <w:proofErr w:type="spellStart"/>
      <w:r w:rsidRPr="002A3A17">
        <w:rPr>
          <w:sz w:val="24"/>
          <w:szCs w:val="24"/>
        </w:rPr>
        <w:t>parathyroidea</w:t>
      </w:r>
      <w:r w:rsidR="002A3A17">
        <w:rPr>
          <w:sz w:val="24"/>
          <w:szCs w:val="24"/>
        </w:rPr>
        <w:softHyphen/>
      </w:r>
      <w:r w:rsidRPr="002A3A17">
        <w:rPr>
          <w:sz w:val="24"/>
          <w:szCs w:val="24"/>
        </w:rPr>
        <w:t>hormon</w:t>
      </w:r>
      <w:proofErr w:type="spellEnd"/>
      <w:r w:rsidRPr="002A3A17">
        <w:rPr>
          <w:sz w:val="24"/>
          <w:szCs w:val="24"/>
        </w:rPr>
        <w:t xml:space="preserve"> og </w:t>
      </w:r>
      <w:proofErr w:type="spellStart"/>
      <w:r w:rsidRPr="002A3A17">
        <w:rPr>
          <w:sz w:val="24"/>
          <w:szCs w:val="24"/>
        </w:rPr>
        <w:t>calcitonin</w:t>
      </w:r>
      <w:proofErr w:type="spellEnd"/>
      <w:r w:rsidRPr="002A3A17">
        <w:rPr>
          <w:sz w:val="24"/>
          <w:szCs w:val="24"/>
        </w:rPr>
        <w:t xml:space="preserve"> har 1,25-dihydroxycholecalciferol en betydelig indflydelse på reguleringen af calcium- og fosfatmetabolismen. Ved mangel på D-vitamin forkalker skelettet ikke (hvilket medfører engelsk syge/rakitis), eller der sker afkalkning af knogler (som medfører </w:t>
      </w:r>
      <w:proofErr w:type="spellStart"/>
      <w:r w:rsidRPr="002A3A17">
        <w:rPr>
          <w:sz w:val="24"/>
          <w:szCs w:val="24"/>
        </w:rPr>
        <w:t>osteomalaci</w:t>
      </w:r>
      <w:proofErr w:type="spellEnd"/>
      <w:r w:rsidRPr="002A3A17">
        <w:rPr>
          <w:sz w:val="24"/>
          <w:szCs w:val="24"/>
        </w:rPr>
        <w:t>).</w:t>
      </w:r>
    </w:p>
    <w:p w14:paraId="06A365BC" w14:textId="77777777" w:rsidR="00445389" w:rsidRPr="002A3A17" w:rsidRDefault="00445389" w:rsidP="00513E45">
      <w:pPr>
        <w:ind w:left="851"/>
        <w:rPr>
          <w:sz w:val="24"/>
          <w:szCs w:val="24"/>
        </w:rPr>
      </w:pPr>
    </w:p>
    <w:p w14:paraId="458282FC" w14:textId="77777777" w:rsidR="00445389" w:rsidRPr="002A3A17" w:rsidRDefault="00445389" w:rsidP="00513E45">
      <w:pPr>
        <w:ind w:left="851"/>
        <w:rPr>
          <w:sz w:val="24"/>
          <w:szCs w:val="24"/>
        </w:rPr>
      </w:pPr>
      <w:r w:rsidRPr="002A3A17">
        <w:rPr>
          <w:sz w:val="24"/>
          <w:szCs w:val="24"/>
        </w:rPr>
        <w:t>I henhold til produktion, fysiologisk regulering og virkningsmekanisme er D</w:t>
      </w:r>
      <w:r w:rsidRPr="002A3A17">
        <w:rPr>
          <w:sz w:val="24"/>
          <w:szCs w:val="24"/>
          <w:vertAlign w:val="subscript"/>
        </w:rPr>
        <w:t>3</w:t>
      </w:r>
      <w:r w:rsidRPr="002A3A17">
        <w:rPr>
          <w:sz w:val="24"/>
          <w:szCs w:val="24"/>
        </w:rPr>
        <w:t xml:space="preserve">-vitamin at betragte som forløber for et steroidhormon. Ud over fysiologisk produktion i huden kan </w:t>
      </w:r>
      <w:proofErr w:type="spellStart"/>
      <w:r w:rsidRPr="002A3A17">
        <w:rPr>
          <w:sz w:val="24"/>
          <w:szCs w:val="24"/>
        </w:rPr>
        <w:t>cholecalciferol</w:t>
      </w:r>
      <w:proofErr w:type="spellEnd"/>
      <w:r w:rsidRPr="002A3A17">
        <w:rPr>
          <w:sz w:val="24"/>
          <w:szCs w:val="24"/>
        </w:rPr>
        <w:t xml:space="preserve"> tilføres via kosten eller i form af et lægemiddel. Da produkthæmningen af </w:t>
      </w:r>
      <w:proofErr w:type="spellStart"/>
      <w:r w:rsidRPr="002A3A17">
        <w:rPr>
          <w:sz w:val="24"/>
          <w:szCs w:val="24"/>
        </w:rPr>
        <w:t>kutan</w:t>
      </w:r>
      <w:proofErr w:type="spellEnd"/>
      <w:r w:rsidRPr="002A3A17">
        <w:rPr>
          <w:sz w:val="24"/>
          <w:szCs w:val="24"/>
        </w:rPr>
        <w:t xml:space="preserve"> D-vitaminsyntese i sidstnævnte tilfælde omgås, kan der forekomme overdosering og forgiftninger. </w:t>
      </w:r>
    </w:p>
    <w:p w14:paraId="2B925015" w14:textId="77777777" w:rsidR="009260DE" w:rsidRPr="002A3A17" w:rsidRDefault="009260DE" w:rsidP="009260DE">
      <w:pPr>
        <w:tabs>
          <w:tab w:val="left" w:pos="851"/>
        </w:tabs>
        <w:ind w:left="851"/>
        <w:rPr>
          <w:sz w:val="24"/>
          <w:szCs w:val="24"/>
        </w:rPr>
      </w:pPr>
    </w:p>
    <w:p w14:paraId="2716ED3A" w14:textId="77777777" w:rsidR="009260DE" w:rsidRPr="002A3A17" w:rsidRDefault="009260DE" w:rsidP="009260DE">
      <w:pPr>
        <w:tabs>
          <w:tab w:val="left" w:pos="851"/>
        </w:tabs>
        <w:ind w:left="851" w:hanging="851"/>
        <w:rPr>
          <w:b/>
          <w:sz w:val="24"/>
          <w:szCs w:val="24"/>
        </w:rPr>
      </w:pPr>
      <w:r w:rsidRPr="002A3A17">
        <w:rPr>
          <w:b/>
          <w:sz w:val="24"/>
          <w:szCs w:val="24"/>
        </w:rPr>
        <w:t>5.2</w:t>
      </w:r>
      <w:r w:rsidRPr="002A3A17">
        <w:rPr>
          <w:b/>
          <w:sz w:val="24"/>
          <w:szCs w:val="24"/>
        </w:rPr>
        <w:tab/>
      </w:r>
      <w:proofErr w:type="spellStart"/>
      <w:r w:rsidRPr="002A3A17">
        <w:rPr>
          <w:b/>
          <w:sz w:val="24"/>
          <w:szCs w:val="24"/>
        </w:rPr>
        <w:t>Farmakokinetiske</w:t>
      </w:r>
      <w:proofErr w:type="spellEnd"/>
      <w:r w:rsidRPr="002A3A17">
        <w:rPr>
          <w:b/>
          <w:sz w:val="24"/>
          <w:szCs w:val="24"/>
        </w:rPr>
        <w:t xml:space="preserve"> egenskaber</w:t>
      </w:r>
    </w:p>
    <w:p w14:paraId="5C8C5FBE" w14:textId="77777777" w:rsidR="00445389" w:rsidRPr="002A3A17" w:rsidRDefault="00445389" w:rsidP="00513E45">
      <w:pPr>
        <w:ind w:left="851"/>
        <w:rPr>
          <w:sz w:val="24"/>
          <w:szCs w:val="24"/>
        </w:rPr>
      </w:pPr>
      <w:r w:rsidRPr="002A3A17">
        <w:rPr>
          <w:sz w:val="24"/>
          <w:szCs w:val="24"/>
        </w:rPr>
        <w:t xml:space="preserve">I næringsdoser absorberes D-vitamin næsten fuldstændigt fra maden sammen med fordøjelseslipider. Højere doser absorberes i et forhold på ca. 2:3. Hud udsat for UV-lys syntetiserer D-vitamin fra 7-dehydrocholesterol. D-vitamin overføres til leveren via et særligt transportprotein. I leveren </w:t>
      </w:r>
      <w:proofErr w:type="spellStart"/>
      <w:r w:rsidRPr="002A3A17">
        <w:rPr>
          <w:sz w:val="24"/>
          <w:szCs w:val="24"/>
        </w:rPr>
        <w:t>metaboliseres</w:t>
      </w:r>
      <w:proofErr w:type="spellEnd"/>
      <w:r w:rsidRPr="002A3A17">
        <w:rPr>
          <w:sz w:val="24"/>
          <w:szCs w:val="24"/>
        </w:rPr>
        <w:t xml:space="preserve"> det af en </w:t>
      </w:r>
      <w:proofErr w:type="spellStart"/>
      <w:r w:rsidRPr="002A3A17">
        <w:rPr>
          <w:sz w:val="24"/>
          <w:szCs w:val="24"/>
        </w:rPr>
        <w:t>mikrosomal</w:t>
      </w:r>
      <w:proofErr w:type="spellEnd"/>
      <w:r w:rsidRPr="002A3A17">
        <w:rPr>
          <w:sz w:val="24"/>
          <w:szCs w:val="24"/>
        </w:rPr>
        <w:t xml:space="preserve"> hydroxylase til 25-hydroxycholecalciferol. D-vitamin og dets metabolitter udskilles med galde og fæces.</w:t>
      </w:r>
    </w:p>
    <w:p w14:paraId="1041F0EA" w14:textId="77777777" w:rsidR="00445389" w:rsidRPr="002A3A17" w:rsidRDefault="00445389" w:rsidP="00513E45">
      <w:pPr>
        <w:ind w:left="851"/>
        <w:rPr>
          <w:sz w:val="24"/>
          <w:szCs w:val="24"/>
        </w:rPr>
      </w:pPr>
    </w:p>
    <w:p w14:paraId="4CC40245" w14:textId="77777777" w:rsidR="00445389" w:rsidRPr="002A3A17" w:rsidRDefault="00445389" w:rsidP="00513E45">
      <w:pPr>
        <w:ind w:left="851"/>
        <w:rPr>
          <w:sz w:val="24"/>
          <w:szCs w:val="24"/>
        </w:rPr>
      </w:pPr>
      <w:r w:rsidRPr="002A3A17">
        <w:rPr>
          <w:sz w:val="24"/>
          <w:szCs w:val="24"/>
        </w:rPr>
        <w:t xml:space="preserve">D-vitamin lagres i fedtvævet og har derfor en lang biologisk halveringstid. Efter høje D-vitamindoser kan koncentrationen af 25-hydroxyvitamin D i serum øges i flere måneder. </w:t>
      </w:r>
      <w:proofErr w:type="spellStart"/>
      <w:r w:rsidRPr="002A3A17">
        <w:rPr>
          <w:sz w:val="24"/>
          <w:szCs w:val="24"/>
        </w:rPr>
        <w:t>Hypercalcæmi</w:t>
      </w:r>
      <w:proofErr w:type="spellEnd"/>
      <w:r w:rsidRPr="002A3A17">
        <w:rPr>
          <w:sz w:val="24"/>
          <w:szCs w:val="24"/>
        </w:rPr>
        <w:t xml:space="preserve"> på grund af overdosering kan vare i flere uger (se pkt. 4.9 'Overdosering').</w:t>
      </w:r>
    </w:p>
    <w:p w14:paraId="14304210" w14:textId="77777777" w:rsidR="009260DE" w:rsidRPr="002A3A17" w:rsidRDefault="009260DE" w:rsidP="009260DE">
      <w:pPr>
        <w:tabs>
          <w:tab w:val="left" w:pos="851"/>
        </w:tabs>
        <w:ind w:left="851"/>
        <w:rPr>
          <w:sz w:val="24"/>
          <w:szCs w:val="24"/>
        </w:rPr>
      </w:pPr>
    </w:p>
    <w:p w14:paraId="1A631C48" w14:textId="77777777" w:rsidR="009260DE" w:rsidRPr="002A3A17" w:rsidRDefault="009260DE" w:rsidP="009260DE">
      <w:pPr>
        <w:tabs>
          <w:tab w:val="left" w:pos="851"/>
        </w:tabs>
        <w:ind w:left="851" w:hanging="851"/>
        <w:rPr>
          <w:b/>
          <w:sz w:val="24"/>
          <w:szCs w:val="24"/>
        </w:rPr>
      </w:pPr>
      <w:r w:rsidRPr="002A3A17">
        <w:rPr>
          <w:b/>
          <w:sz w:val="24"/>
          <w:szCs w:val="24"/>
        </w:rPr>
        <w:t>5.3</w:t>
      </w:r>
      <w:r w:rsidRPr="002A3A17">
        <w:rPr>
          <w:b/>
          <w:sz w:val="24"/>
          <w:szCs w:val="24"/>
        </w:rPr>
        <w:tab/>
      </w:r>
      <w:r w:rsidR="00BD7931" w:rsidRPr="002A3A17">
        <w:rPr>
          <w:b/>
          <w:sz w:val="24"/>
          <w:szCs w:val="24"/>
        </w:rPr>
        <w:t>Non-</w:t>
      </w:r>
      <w:r w:rsidRPr="002A3A17">
        <w:rPr>
          <w:b/>
          <w:sz w:val="24"/>
          <w:szCs w:val="24"/>
        </w:rPr>
        <w:t>kliniske sikkerhedsdata</w:t>
      </w:r>
    </w:p>
    <w:p w14:paraId="211C3BD5" w14:textId="77777777" w:rsidR="00445389" w:rsidRPr="002A3A17" w:rsidRDefault="00445389" w:rsidP="00513E45">
      <w:pPr>
        <w:ind w:left="851"/>
        <w:rPr>
          <w:sz w:val="24"/>
          <w:szCs w:val="24"/>
        </w:rPr>
      </w:pPr>
      <w:r w:rsidRPr="002A3A17">
        <w:rPr>
          <w:sz w:val="24"/>
          <w:szCs w:val="24"/>
        </w:rPr>
        <w:t>Der er kun observeret toksiske virkninger ved eksponering for høje orale doser i et akut toksicitetsstudie med mus (1 mg/kg eller 8 gange en 25.000 IE human dosis) og i et kronisk toksicitetsstudie med rotter (125 µg/kg/dag eller 2 gange en 25.000 IE human dosis).</w:t>
      </w:r>
    </w:p>
    <w:p w14:paraId="53301CC4" w14:textId="77777777" w:rsidR="00445389" w:rsidRPr="002A3A17" w:rsidRDefault="00445389" w:rsidP="00513E45">
      <w:pPr>
        <w:ind w:left="851"/>
        <w:rPr>
          <w:sz w:val="24"/>
          <w:szCs w:val="24"/>
        </w:rPr>
      </w:pPr>
      <w:r w:rsidRPr="002A3A17">
        <w:rPr>
          <w:sz w:val="24"/>
          <w:szCs w:val="24"/>
        </w:rPr>
        <w:t xml:space="preserve">Der blev observeret </w:t>
      </w:r>
      <w:proofErr w:type="spellStart"/>
      <w:r w:rsidRPr="002A3A17">
        <w:rPr>
          <w:sz w:val="24"/>
          <w:szCs w:val="24"/>
        </w:rPr>
        <w:t>teratogenicitet</w:t>
      </w:r>
      <w:proofErr w:type="spellEnd"/>
      <w:r w:rsidRPr="002A3A17">
        <w:rPr>
          <w:sz w:val="24"/>
          <w:szCs w:val="24"/>
        </w:rPr>
        <w:t xml:space="preserve"> efter administration af </w:t>
      </w:r>
      <w:proofErr w:type="spellStart"/>
      <w:r w:rsidRPr="002A3A17">
        <w:rPr>
          <w:sz w:val="24"/>
          <w:szCs w:val="24"/>
        </w:rPr>
        <w:t>ergocalciferol</w:t>
      </w:r>
      <w:proofErr w:type="spellEnd"/>
      <w:r w:rsidRPr="002A3A17">
        <w:rPr>
          <w:sz w:val="24"/>
          <w:szCs w:val="24"/>
        </w:rPr>
        <w:t xml:space="preserve"> (D</w:t>
      </w:r>
      <w:r w:rsidRPr="002A3A17">
        <w:rPr>
          <w:sz w:val="24"/>
          <w:szCs w:val="24"/>
          <w:vertAlign w:val="subscript"/>
        </w:rPr>
        <w:t>2</w:t>
      </w:r>
      <w:r w:rsidRPr="002A3A17">
        <w:rPr>
          <w:sz w:val="24"/>
          <w:szCs w:val="24"/>
        </w:rPr>
        <w:t xml:space="preserve">-vitamin) i meget høje doser hos kaniner (10.000 IE hver anden dag eller 2 gange en 25.000 IE human dosis) og hos rotter (40.000 IE/dag eller 64 gange en 25.000 IE human dosis). </w:t>
      </w:r>
    </w:p>
    <w:p w14:paraId="77CC627E" w14:textId="77777777" w:rsidR="00445389" w:rsidRPr="002A3A17" w:rsidRDefault="00445389" w:rsidP="00513E45">
      <w:pPr>
        <w:ind w:left="851"/>
        <w:rPr>
          <w:sz w:val="24"/>
          <w:szCs w:val="24"/>
        </w:rPr>
      </w:pPr>
      <w:r w:rsidRPr="002A3A17">
        <w:rPr>
          <w:sz w:val="24"/>
          <w:szCs w:val="24"/>
        </w:rPr>
        <w:t xml:space="preserve">Normale endogene niveauer af </w:t>
      </w:r>
      <w:proofErr w:type="spellStart"/>
      <w:r w:rsidRPr="002A3A17">
        <w:rPr>
          <w:sz w:val="24"/>
          <w:szCs w:val="24"/>
        </w:rPr>
        <w:t>cholecalciferol</w:t>
      </w:r>
      <w:proofErr w:type="spellEnd"/>
      <w:r w:rsidRPr="002A3A17">
        <w:rPr>
          <w:sz w:val="24"/>
          <w:szCs w:val="24"/>
        </w:rPr>
        <w:t xml:space="preserve"> viste ingen potentiel mutagen aktivitet i et </w:t>
      </w:r>
      <w:proofErr w:type="gramStart"/>
      <w:r w:rsidRPr="002A3A17">
        <w:rPr>
          <w:sz w:val="24"/>
          <w:szCs w:val="24"/>
        </w:rPr>
        <w:t>standard testbatteri</w:t>
      </w:r>
      <w:proofErr w:type="gramEnd"/>
      <w:r w:rsidRPr="002A3A17">
        <w:rPr>
          <w:sz w:val="24"/>
          <w:szCs w:val="24"/>
        </w:rPr>
        <w:t xml:space="preserve"> og ingen karcinogen aktivitet.</w:t>
      </w:r>
    </w:p>
    <w:p w14:paraId="76EB6D10" w14:textId="77777777" w:rsidR="00445389" w:rsidRPr="002A3A17" w:rsidRDefault="00445389" w:rsidP="00513E45">
      <w:pPr>
        <w:ind w:left="851"/>
        <w:rPr>
          <w:sz w:val="24"/>
          <w:szCs w:val="24"/>
        </w:rPr>
      </w:pPr>
      <w:r w:rsidRPr="002A3A17">
        <w:rPr>
          <w:sz w:val="24"/>
          <w:szCs w:val="24"/>
        </w:rPr>
        <w:t>Der er endvidere ingen oplysninger af relevans for sikkerhedsvurderingen ud over det, der er anført i andre dele af produktresuméet.</w:t>
      </w:r>
    </w:p>
    <w:p w14:paraId="3A13F6DB" w14:textId="77777777" w:rsidR="009260DE" w:rsidRPr="002A3A17" w:rsidRDefault="009260DE" w:rsidP="009260DE">
      <w:pPr>
        <w:tabs>
          <w:tab w:val="left" w:pos="851"/>
        </w:tabs>
        <w:ind w:left="851"/>
        <w:rPr>
          <w:sz w:val="24"/>
          <w:szCs w:val="24"/>
        </w:rPr>
      </w:pPr>
    </w:p>
    <w:p w14:paraId="2AF20461" w14:textId="77777777" w:rsidR="009260DE" w:rsidRPr="002A3A17" w:rsidRDefault="009260DE" w:rsidP="009260DE">
      <w:pPr>
        <w:tabs>
          <w:tab w:val="left" w:pos="851"/>
        </w:tabs>
        <w:ind w:left="851"/>
        <w:rPr>
          <w:sz w:val="24"/>
          <w:szCs w:val="24"/>
        </w:rPr>
      </w:pPr>
    </w:p>
    <w:p w14:paraId="219EC865" w14:textId="77777777" w:rsidR="009260DE" w:rsidRPr="002A3A17" w:rsidRDefault="009260DE" w:rsidP="009260DE">
      <w:pPr>
        <w:tabs>
          <w:tab w:val="left" w:pos="851"/>
        </w:tabs>
        <w:ind w:left="851" w:hanging="851"/>
        <w:rPr>
          <w:b/>
          <w:sz w:val="24"/>
          <w:szCs w:val="24"/>
        </w:rPr>
      </w:pPr>
      <w:r w:rsidRPr="002A3A17">
        <w:rPr>
          <w:b/>
          <w:sz w:val="24"/>
          <w:szCs w:val="24"/>
        </w:rPr>
        <w:t>6.</w:t>
      </w:r>
      <w:r w:rsidRPr="002A3A17">
        <w:rPr>
          <w:b/>
          <w:sz w:val="24"/>
          <w:szCs w:val="24"/>
        </w:rPr>
        <w:tab/>
        <w:t>FARMACEUTISKE OPLYSNINGER</w:t>
      </w:r>
    </w:p>
    <w:p w14:paraId="637A8549" w14:textId="77777777" w:rsidR="009260DE" w:rsidRPr="002A3A17" w:rsidRDefault="009260DE" w:rsidP="009260DE">
      <w:pPr>
        <w:tabs>
          <w:tab w:val="left" w:pos="851"/>
        </w:tabs>
        <w:ind w:left="851"/>
        <w:rPr>
          <w:sz w:val="24"/>
          <w:szCs w:val="24"/>
        </w:rPr>
      </w:pPr>
    </w:p>
    <w:p w14:paraId="6E581D01" w14:textId="77777777" w:rsidR="009260DE" w:rsidRPr="002A3A17" w:rsidRDefault="009260DE" w:rsidP="009260DE">
      <w:pPr>
        <w:tabs>
          <w:tab w:val="left" w:pos="851"/>
        </w:tabs>
        <w:ind w:left="851" w:hanging="851"/>
        <w:rPr>
          <w:b/>
          <w:sz w:val="24"/>
          <w:szCs w:val="24"/>
        </w:rPr>
      </w:pPr>
      <w:r w:rsidRPr="002A3A17">
        <w:rPr>
          <w:b/>
          <w:sz w:val="24"/>
          <w:szCs w:val="24"/>
        </w:rPr>
        <w:t>6.1</w:t>
      </w:r>
      <w:r w:rsidRPr="002A3A17">
        <w:rPr>
          <w:b/>
          <w:sz w:val="24"/>
          <w:szCs w:val="24"/>
        </w:rPr>
        <w:tab/>
        <w:t>Hjælpestoffer</w:t>
      </w:r>
    </w:p>
    <w:p w14:paraId="629083B0" w14:textId="77777777" w:rsidR="00445389" w:rsidRPr="002A3A17" w:rsidRDefault="00445389" w:rsidP="00513E45">
      <w:pPr>
        <w:ind w:left="851"/>
        <w:rPr>
          <w:sz w:val="24"/>
          <w:szCs w:val="24"/>
        </w:rPr>
      </w:pPr>
      <w:r w:rsidRPr="002A3A17">
        <w:rPr>
          <w:sz w:val="24"/>
          <w:szCs w:val="24"/>
        </w:rPr>
        <w:t>all-rac-α-</w:t>
      </w:r>
      <w:proofErr w:type="spellStart"/>
      <w:r w:rsidRPr="002A3A17">
        <w:rPr>
          <w:sz w:val="24"/>
          <w:szCs w:val="24"/>
        </w:rPr>
        <w:t>tocopherylacetat</w:t>
      </w:r>
      <w:proofErr w:type="spellEnd"/>
    </w:p>
    <w:p w14:paraId="5D18EAA0" w14:textId="77777777" w:rsidR="00445389" w:rsidRPr="002A3A17" w:rsidRDefault="00445389" w:rsidP="00513E45">
      <w:pPr>
        <w:ind w:left="851"/>
        <w:rPr>
          <w:sz w:val="24"/>
          <w:szCs w:val="24"/>
        </w:rPr>
      </w:pPr>
      <w:r w:rsidRPr="002A3A17">
        <w:rPr>
          <w:sz w:val="24"/>
          <w:szCs w:val="24"/>
        </w:rPr>
        <w:t>Olivenolie, renset,</w:t>
      </w:r>
    </w:p>
    <w:p w14:paraId="1FEDE75A" w14:textId="77777777" w:rsidR="00445389" w:rsidRPr="002A3A17" w:rsidRDefault="00445389" w:rsidP="00513E45">
      <w:pPr>
        <w:ind w:left="851"/>
        <w:rPr>
          <w:sz w:val="24"/>
          <w:szCs w:val="24"/>
        </w:rPr>
      </w:pPr>
      <w:r w:rsidRPr="002A3A17">
        <w:rPr>
          <w:sz w:val="24"/>
          <w:szCs w:val="24"/>
        </w:rPr>
        <w:t>Gelatine</w:t>
      </w:r>
    </w:p>
    <w:p w14:paraId="04D11867" w14:textId="77777777" w:rsidR="00445389" w:rsidRPr="002A3A17" w:rsidRDefault="00445389" w:rsidP="00513E45">
      <w:pPr>
        <w:ind w:left="851"/>
        <w:rPr>
          <w:sz w:val="24"/>
          <w:szCs w:val="24"/>
        </w:rPr>
      </w:pPr>
    </w:p>
    <w:p w14:paraId="64A1DD70" w14:textId="77777777" w:rsidR="00445389" w:rsidRPr="002A3A17" w:rsidRDefault="00445389" w:rsidP="00513E45">
      <w:pPr>
        <w:ind w:left="851"/>
        <w:rPr>
          <w:i/>
          <w:sz w:val="24"/>
          <w:szCs w:val="24"/>
        </w:rPr>
      </w:pPr>
      <w:r w:rsidRPr="002A3A17">
        <w:rPr>
          <w:i/>
          <w:sz w:val="24"/>
          <w:szCs w:val="24"/>
        </w:rPr>
        <w:t>Blæk brugt til styrkerne 5.600 IE og 12.500 IE:</w:t>
      </w:r>
    </w:p>
    <w:p w14:paraId="30B91078" w14:textId="77777777" w:rsidR="00445389" w:rsidRPr="002A3A17" w:rsidRDefault="00445389" w:rsidP="00513E45">
      <w:pPr>
        <w:ind w:left="851"/>
        <w:rPr>
          <w:sz w:val="24"/>
          <w:szCs w:val="24"/>
          <w:lang w:val="en-US"/>
        </w:rPr>
      </w:pPr>
      <w:r w:rsidRPr="002A3A17">
        <w:rPr>
          <w:sz w:val="24"/>
          <w:szCs w:val="24"/>
          <w:lang w:val="en-US"/>
        </w:rPr>
        <w:t>Shellac (E904)</w:t>
      </w:r>
    </w:p>
    <w:p w14:paraId="46B98BF5" w14:textId="77777777" w:rsidR="00445389" w:rsidRPr="002A3A17" w:rsidRDefault="00445389" w:rsidP="00513E45">
      <w:pPr>
        <w:ind w:left="851"/>
        <w:rPr>
          <w:sz w:val="24"/>
          <w:szCs w:val="24"/>
          <w:lang w:val="en-US"/>
        </w:rPr>
      </w:pPr>
      <w:r w:rsidRPr="002A3A17">
        <w:rPr>
          <w:sz w:val="24"/>
          <w:szCs w:val="24"/>
          <w:lang w:val="en-US"/>
        </w:rPr>
        <w:t xml:space="preserve">Sort </w:t>
      </w:r>
      <w:proofErr w:type="spellStart"/>
      <w:r w:rsidRPr="002A3A17">
        <w:rPr>
          <w:sz w:val="24"/>
          <w:szCs w:val="24"/>
          <w:lang w:val="en-US"/>
        </w:rPr>
        <w:t>jernoxid</w:t>
      </w:r>
      <w:proofErr w:type="spellEnd"/>
      <w:r w:rsidRPr="002A3A17">
        <w:rPr>
          <w:sz w:val="24"/>
          <w:szCs w:val="24"/>
          <w:lang w:val="en-US"/>
        </w:rPr>
        <w:t xml:space="preserve"> (E172)</w:t>
      </w:r>
    </w:p>
    <w:p w14:paraId="573B10F7" w14:textId="77777777" w:rsidR="00445389" w:rsidRPr="002A3A17" w:rsidRDefault="00445389" w:rsidP="00513E45">
      <w:pPr>
        <w:ind w:left="851"/>
        <w:rPr>
          <w:sz w:val="24"/>
          <w:szCs w:val="24"/>
          <w:lang w:val="en-US"/>
        </w:rPr>
      </w:pPr>
      <w:proofErr w:type="spellStart"/>
      <w:r w:rsidRPr="002A3A17">
        <w:rPr>
          <w:sz w:val="24"/>
          <w:szCs w:val="24"/>
          <w:lang w:val="en-US"/>
        </w:rPr>
        <w:t>Propylenglycol</w:t>
      </w:r>
      <w:proofErr w:type="spellEnd"/>
      <w:r w:rsidRPr="002A3A17">
        <w:rPr>
          <w:sz w:val="24"/>
          <w:szCs w:val="24"/>
          <w:lang w:val="en-US"/>
        </w:rPr>
        <w:t xml:space="preserve"> (E1520)</w:t>
      </w:r>
    </w:p>
    <w:p w14:paraId="1006C134" w14:textId="77777777" w:rsidR="00445389" w:rsidRPr="002A3A17" w:rsidRDefault="00445389" w:rsidP="00513E45">
      <w:pPr>
        <w:ind w:left="851"/>
        <w:rPr>
          <w:sz w:val="24"/>
          <w:szCs w:val="24"/>
        </w:rPr>
      </w:pPr>
      <w:r w:rsidRPr="002A3A17">
        <w:rPr>
          <w:sz w:val="24"/>
          <w:szCs w:val="24"/>
        </w:rPr>
        <w:t>Stærk ammoniakopløsning (E527)</w:t>
      </w:r>
    </w:p>
    <w:p w14:paraId="6E2EA9D3" w14:textId="77777777" w:rsidR="00445389" w:rsidRPr="002A3A17" w:rsidRDefault="00445389" w:rsidP="00513E45">
      <w:pPr>
        <w:ind w:left="851"/>
        <w:rPr>
          <w:sz w:val="24"/>
          <w:szCs w:val="24"/>
        </w:rPr>
      </w:pPr>
      <w:r w:rsidRPr="002A3A17">
        <w:rPr>
          <w:sz w:val="24"/>
          <w:szCs w:val="24"/>
        </w:rPr>
        <w:t>Kaliumhydroxid (E525)</w:t>
      </w:r>
    </w:p>
    <w:p w14:paraId="34E60DB4" w14:textId="77777777" w:rsidR="009260DE" w:rsidRPr="002A3A17" w:rsidRDefault="009260DE" w:rsidP="009260DE">
      <w:pPr>
        <w:tabs>
          <w:tab w:val="left" w:pos="851"/>
        </w:tabs>
        <w:ind w:left="851"/>
        <w:rPr>
          <w:sz w:val="24"/>
          <w:szCs w:val="24"/>
        </w:rPr>
      </w:pPr>
    </w:p>
    <w:p w14:paraId="78A888DB" w14:textId="77777777" w:rsidR="009260DE" w:rsidRPr="002A3A17" w:rsidRDefault="009260DE" w:rsidP="009260DE">
      <w:pPr>
        <w:tabs>
          <w:tab w:val="left" w:pos="851"/>
        </w:tabs>
        <w:ind w:left="851" w:hanging="851"/>
        <w:rPr>
          <w:b/>
          <w:sz w:val="24"/>
          <w:szCs w:val="24"/>
        </w:rPr>
      </w:pPr>
      <w:r w:rsidRPr="002A3A17">
        <w:rPr>
          <w:b/>
          <w:sz w:val="24"/>
          <w:szCs w:val="24"/>
        </w:rPr>
        <w:t>6.2</w:t>
      </w:r>
      <w:r w:rsidRPr="002A3A17">
        <w:rPr>
          <w:b/>
          <w:sz w:val="24"/>
          <w:szCs w:val="24"/>
        </w:rPr>
        <w:tab/>
        <w:t>Uforligeligheder</w:t>
      </w:r>
    </w:p>
    <w:p w14:paraId="61EC8F2E" w14:textId="77777777" w:rsidR="00445389" w:rsidRPr="002A3A17" w:rsidRDefault="00445389" w:rsidP="00513E45">
      <w:pPr>
        <w:ind w:left="851"/>
        <w:rPr>
          <w:sz w:val="24"/>
          <w:szCs w:val="24"/>
        </w:rPr>
      </w:pPr>
      <w:r w:rsidRPr="002A3A17">
        <w:rPr>
          <w:sz w:val="24"/>
          <w:szCs w:val="24"/>
        </w:rPr>
        <w:t>Ikke relevant.</w:t>
      </w:r>
    </w:p>
    <w:p w14:paraId="66569931" w14:textId="77777777" w:rsidR="009260DE" w:rsidRPr="002A3A17" w:rsidRDefault="009260DE" w:rsidP="009260DE">
      <w:pPr>
        <w:tabs>
          <w:tab w:val="left" w:pos="851"/>
        </w:tabs>
        <w:ind w:left="851"/>
        <w:rPr>
          <w:sz w:val="24"/>
          <w:szCs w:val="24"/>
        </w:rPr>
      </w:pPr>
    </w:p>
    <w:p w14:paraId="233FD793" w14:textId="77777777" w:rsidR="009260DE" w:rsidRPr="002A3A17" w:rsidRDefault="009260DE" w:rsidP="009260DE">
      <w:pPr>
        <w:tabs>
          <w:tab w:val="left" w:pos="851"/>
        </w:tabs>
        <w:ind w:left="851" w:hanging="851"/>
        <w:rPr>
          <w:b/>
          <w:sz w:val="24"/>
          <w:szCs w:val="24"/>
        </w:rPr>
      </w:pPr>
      <w:r w:rsidRPr="002A3A17">
        <w:rPr>
          <w:b/>
          <w:sz w:val="24"/>
          <w:szCs w:val="24"/>
        </w:rPr>
        <w:t>6.3</w:t>
      </w:r>
      <w:r w:rsidRPr="002A3A17">
        <w:rPr>
          <w:b/>
          <w:sz w:val="24"/>
          <w:szCs w:val="24"/>
        </w:rPr>
        <w:tab/>
        <w:t>Opbevaringstid</w:t>
      </w:r>
    </w:p>
    <w:p w14:paraId="3F847100" w14:textId="77777777" w:rsidR="00445389" w:rsidRPr="002A3A17" w:rsidRDefault="00445389" w:rsidP="00513E45">
      <w:pPr>
        <w:ind w:left="851"/>
        <w:rPr>
          <w:sz w:val="24"/>
          <w:szCs w:val="24"/>
        </w:rPr>
      </w:pPr>
      <w:r w:rsidRPr="002A3A17">
        <w:rPr>
          <w:sz w:val="24"/>
          <w:szCs w:val="24"/>
        </w:rPr>
        <w:t>2 år</w:t>
      </w:r>
    </w:p>
    <w:p w14:paraId="5B1412EE" w14:textId="77777777" w:rsidR="009260DE" w:rsidRPr="002A3A17" w:rsidRDefault="009260DE" w:rsidP="009260DE">
      <w:pPr>
        <w:tabs>
          <w:tab w:val="left" w:pos="851"/>
        </w:tabs>
        <w:ind w:left="851"/>
        <w:rPr>
          <w:sz w:val="24"/>
          <w:szCs w:val="24"/>
        </w:rPr>
      </w:pPr>
    </w:p>
    <w:p w14:paraId="2C270AA1" w14:textId="77777777" w:rsidR="009260DE" w:rsidRPr="002A3A17" w:rsidRDefault="009260DE" w:rsidP="009260DE">
      <w:pPr>
        <w:tabs>
          <w:tab w:val="left" w:pos="851"/>
        </w:tabs>
        <w:ind w:left="851" w:hanging="851"/>
        <w:rPr>
          <w:b/>
          <w:sz w:val="24"/>
          <w:szCs w:val="24"/>
        </w:rPr>
      </w:pPr>
      <w:r w:rsidRPr="002A3A17">
        <w:rPr>
          <w:b/>
          <w:sz w:val="24"/>
          <w:szCs w:val="24"/>
        </w:rPr>
        <w:t>6.4</w:t>
      </w:r>
      <w:r w:rsidRPr="002A3A17">
        <w:rPr>
          <w:b/>
          <w:sz w:val="24"/>
          <w:szCs w:val="24"/>
        </w:rPr>
        <w:tab/>
        <w:t>Særlige opbevaringsforhold</w:t>
      </w:r>
    </w:p>
    <w:p w14:paraId="2C847E0C" w14:textId="77777777" w:rsidR="00445389" w:rsidRPr="002A3A17" w:rsidRDefault="00445389" w:rsidP="00513E45">
      <w:pPr>
        <w:ind w:left="851"/>
        <w:rPr>
          <w:sz w:val="24"/>
          <w:szCs w:val="24"/>
        </w:rPr>
      </w:pPr>
      <w:r w:rsidRPr="002A3A17">
        <w:rPr>
          <w:sz w:val="24"/>
          <w:szCs w:val="24"/>
        </w:rPr>
        <w:t>Opbevares i originalemballagen for at beskytte mod lys.</w:t>
      </w:r>
    </w:p>
    <w:p w14:paraId="71E45FFB" w14:textId="77777777" w:rsidR="00445389" w:rsidRPr="002A3A17" w:rsidRDefault="00445389" w:rsidP="00513E45">
      <w:pPr>
        <w:ind w:left="851"/>
        <w:rPr>
          <w:sz w:val="24"/>
          <w:szCs w:val="24"/>
        </w:rPr>
      </w:pPr>
      <w:r w:rsidRPr="002A3A17">
        <w:rPr>
          <w:sz w:val="24"/>
          <w:szCs w:val="24"/>
        </w:rPr>
        <w:t>Dette lægemiddel kræver ingen særlige forholdsregler vedrørende opbevaringen.</w:t>
      </w:r>
    </w:p>
    <w:p w14:paraId="67065BB0" w14:textId="77777777" w:rsidR="009260DE" w:rsidRPr="002A3A17" w:rsidRDefault="009260DE" w:rsidP="009260DE">
      <w:pPr>
        <w:tabs>
          <w:tab w:val="left" w:pos="851"/>
        </w:tabs>
        <w:ind w:left="851"/>
        <w:rPr>
          <w:sz w:val="24"/>
          <w:szCs w:val="24"/>
        </w:rPr>
      </w:pPr>
    </w:p>
    <w:p w14:paraId="79F8512A" w14:textId="77777777" w:rsidR="009260DE" w:rsidRPr="002A3A17" w:rsidRDefault="009260DE" w:rsidP="009260DE">
      <w:pPr>
        <w:tabs>
          <w:tab w:val="left" w:pos="851"/>
        </w:tabs>
        <w:ind w:left="851" w:hanging="851"/>
        <w:rPr>
          <w:b/>
          <w:sz w:val="24"/>
          <w:szCs w:val="24"/>
        </w:rPr>
      </w:pPr>
      <w:r w:rsidRPr="002A3A17">
        <w:rPr>
          <w:b/>
          <w:sz w:val="24"/>
          <w:szCs w:val="24"/>
        </w:rPr>
        <w:t>6.5</w:t>
      </w:r>
      <w:r w:rsidRPr="002A3A17">
        <w:rPr>
          <w:b/>
          <w:sz w:val="24"/>
          <w:szCs w:val="24"/>
        </w:rPr>
        <w:tab/>
        <w:t>Emballagetype og pakningsstørrelser</w:t>
      </w:r>
    </w:p>
    <w:p w14:paraId="2E1615A3" w14:textId="77777777" w:rsidR="00445389" w:rsidRPr="002A3A17" w:rsidRDefault="00445389" w:rsidP="00513E45">
      <w:pPr>
        <w:ind w:left="851"/>
        <w:rPr>
          <w:sz w:val="24"/>
          <w:szCs w:val="24"/>
        </w:rPr>
      </w:pPr>
      <w:r w:rsidRPr="002A3A17">
        <w:rPr>
          <w:sz w:val="24"/>
          <w:szCs w:val="24"/>
        </w:rPr>
        <w:t xml:space="preserve">Blisterpakninger af </w:t>
      </w:r>
      <w:proofErr w:type="spellStart"/>
      <w:r w:rsidRPr="002A3A17">
        <w:rPr>
          <w:sz w:val="24"/>
          <w:szCs w:val="24"/>
        </w:rPr>
        <w:t>PVdC</w:t>
      </w:r>
      <w:proofErr w:type="spellEnd"/>
      <w:r w:rsidRPr="002A3A17">
        <w:rPr>
          <w:sz w:val="24"/>
          <w:szCs w:val="24"/>
        </w:rPr>
        <w:t>/PE/PVC/aluminium med 1, 2, 3, 4, 8, 12, 24 og 48 hårde kapsler.</w:t>
      </w:r>
    </w:p>
    <w:p w14:paraId="2048E9C8" w14:textId="14CB2017" w:rsidR="00445389" w:rsidRPr="002A3A17" w:rsidRDefault="00445389" w:rsidP="00513E45">
      <w:pPr>
        <w:ind w:left="851"/>
        <w:rPr>
          <w:sz w:val="24"/>
          <w:szCs w:val="24"/>
        </w:rPr>
      </w:pPr>
    </w:p>
    <w:p w14:paraId="283D4FC9" w14:textId="77777777" w:rsidR="00445389" w:rsidRPr="002A3A17" w:rsidRDefault="00445389" w:rsidP="00513E45">
      <w:pPr>
        <w:ind w:left="851"/>
        <w:rPr>
          <w:sz w:val="24"/>
          <w:szCs w:val="24"/>
        </w:rPr>
      </w:pPr>
      <w:r w:rsidRPr="002A3A17">
        <w:rPr>
          <w:sz w:val="24"/>
          <w:szCs w:val="24"/>
        </w:rPr>
        <w:t>Ikke alle pakningsstørrelser er nødvendigvis markedsført.</w:t>
      </w:r>
    </w:p>
    <w:p w14:paraId="55C7F006" w14:textId="77777777" w:rsidR="009260DE" w:rsidRPr="002A3A17" w:rsidRDefault="009260DE" w:rsidP="009260DE">
      <w:pPr>
        <w:tabs>
          <w:tab w:val="left" w:pos="851"/>
        </w:tabs>
        <w:ind w:left="851"/>
        <w:rPr>
          <w:sz w:val="24"/>
          <w:szCs w:val="24"/>
        </w:rPr>
      </w:pPr>
    </w:p>
    <w:p w14:paraId="724FF5EF" w14:textId="77777777" w:rsidR="009260DE" w:rsidRPr="002A3A17" w:rsidRDefault="009260DE" w:rsidP="009260DE">
      <w:pPr>
        <w:tabs>
          <w:tab w:val="left" w:pos="851"/>
        </w:tabs>
        <w:ind w:left="851" w:hanging="851"/>
        <w:rPr>
          <w:b/>
          <w:sz w:val="24"/>
          <w:szCs w:val="24"/>
        </w:rPr>
      </w:pPr>
      <w:r w:rsidRPr="002A3A17">
        <w:rPr>
          <w:b/>
          <w:sz w:val="24"/>
          <w:szCs w:val="24"/>
        </w:rPr>
        <w:t>6.6</w:t>
      </w:r>
      <w:r w:rsidRPr="002A3A17">
        <w:rPr>
          <w:b/>
          <w:sz w:val="24"/>
          <w:szCs w:val="24"/>
        </w:rPr>
        <w:tab/>
        <w:t xml:space="preserve">Regler for </w:t>
      </w:r>
      <w:r w:rsidR="00BD7931" w:rsidRPr="002A3A17">
        <w:rPr>
          <w:b/>
          <w:sz w:val="24"/>
          <w:szCs w:val="24"/>
        </w:rPr>
        <w:t>bortskaffelse</w:t>
      </w:r>
      <w:r w:rsidRPr="002A3A17">
        <w:rPr>
          <w:b/>
          <w:sz w:val="24"/>
          <w:szCs w:val="24"/>
        </w:rPr>
        <w:t xml:space="preserve"> og anden håndtering</w:t>
      </w:r>
    </w:p>
    <w:p w14:paraId="15595274" w14:textId="77777777" w:rsidR="00445389" w:rsidRPr="002A3A17" w:rsidRDefault="00445389" w:rsidP="00513E45">
      <w:pPr>
        <w:ind w:left="851"/>
        <w:rPr>
          <w:sz w:val="24"/>
          <w:szCs w:val="24"/>
        </w:rPr>
      </w:pPr>
      <w:r w:rsidRPr="002A3A17">
        <w:rPr>
          <w:sz w:val="24"/>
          <w:szCs w:val="24"/>
        </w:rPr>
        <w:t>Ingen særlige forholdsregler</w:t>
      </w:r>
    </w:p>
    <w:p w14:paraId="1EBCD8BA" w14:textId="77777777" w:rsidR="00445389" w:rsidRPr="002A3A17" w:rsidRDefault="00445389" w:rsidP="00513E45">
      <w:pPr>
        <w:ind w:left="851"/>
        <w:rPr>
          <w:sz w:val="24"/>
          <w:szCs w:val="24"/>
        </w:rPr>
      </w:pPr>
      <w:r w:rsidRPr="002A3A17">
        <w:rPr>
          <w:sz w:val="24"/>
          <w:szCs w:val="24"/>
        </w:rPr>
        <w:t>Ikke anvendt lægemiddel samt affald heraf skal bortskaffes i henhold til lokale retningslinjer.</w:t>
      </w:r>
    </w:p>
    <w:p w14:paraId="4F415F3C" w14:textId="77777777" w:rsidR="009260DE" w:rsidRPr="002A3A17" w:rsidRDefault="009260DE" w:rsidP="000730CA">
      <w:pPr>
        <w:tabs>
          <w:tab w:val="left" w:pos="851"/>
        </w:tabs>
        <w:ind w:left="851"/>
        <w:rPr>
          <w:sz w:val="24"/>
          <w:szCs w:val="24"/>
        </w:rPr>
      </w:pPr>
    </w:p>
    <w:p w14:paraId="19EF7397" w14:textId="77777777" w:rsidR="009260DE" w:rsidRPr="002A3A17" w:rsidRDefault="009260DE" w:rsidP="009260DE">
      <w:pPr>
        <w:tabs>
          <w:tab w:val="left" w:pos="851"/>
        </w:tabs>
        <w:ind w:left="851" w:hanging="851"/>
        <w:rPr>
          <w:b/>
          <w:sz w:val="24"/>
          <w:szCs w:val="24"/>
        </w:rPr>
      </w:pPr>
      <w:r w:rsidRPr="002A3A17">
        <w:rPr>
          <w:b/>
          <w:sz w:val="24"/>
          <w:szCs w:val="24"/>
        </w:rPr>
        <w:t>7.</w:t>
      </w:r>
      <w:r w:rsidRPr="002A3A17">
        <w:rPr>
          <w:b/>
          <w:sz w:val="24"/>
          <w:szCs w:val="24"/>
        </w:rPr>
        <w:tab/>
        <w:t>INDEHAVER AF MARKEDSFØRINGSTILLADELSEN</w:t>
      </w:r>
    </w:p>
    <w:p w14:paraId="61BA0013" w14:textId="77777777" w:rsidR="00445389" w:rsidRPr="002A3A17" w:rsidRDefault="00445389" w:rsidP="00513E45">
      <w:pPr>
        <w:ind w:left="851"/>
        <w:rPr>
          <w:sz w:val="24"/>
          <w:szCs w:val="24"/>
        </w:rPr>
      </w:pPr>
      <w:proofErr w:type="spellStart"/>
      <w:r w:rsidRPr="002A3A17">
        <w:rPr>
          <w:sz w:val="24"/>
          <w:szCs w:val="24"/>
        </w:rPr>
        <w:t>Laboratoires</w:t>
      </w:r>
      <w:proofErr w:type="spellEnd"/>
      <w:r w:rsidRPr="002A3A17">
        <w:rPr>
          <w:sz w:val="24"/>
          <w:szCs w:val="24"/>
        </w:rPr>
        <w:t xml:space="preserve"> S.M.B. S.A.</w:t>
      </w:r>
    </w:p>
    <w:p w14:paraId="37A1C613" w14:textId="7F6AD0A2" w:rsidR="00445389" w:rsidRDefault="00445389" w:rsidP="00513E45">
      <w:pPr>
        <w:ind w:left="851"/>
        <w:rPr>
          <w:sz w:val="24"/>
          <w:szCs w:val="24"/>
        </w:rPr>
      </w:pPr>
      <w:r w:rsidRPr="002A3A17">
        <w:rPr>
          <w:sz w:val="24"/>
          <w:szCs w:val="24"/>
        </w:rPr>
        <w:t>Rue de la Pastorale 26-28</w:t>
      </w:r>
    </w:p>
    <w:p w14:paraId="54389354" w14:textId="680D2E5E" w:rsidR="00445389" w:rsidRPr="002A3A17" w:rsidRDefault="00445389" w:rsidP="002A3A17">
      <w:pPr>
        <w:ind w:left="851"/>
        <w:rPr>
          <w:sz w:val="24"/>
          <w:szCs w:val="24"/>
        </w:rPr>
      </w:pPr>
      <w:r w:rsidRPr="002A3A17">
        <w:rPr>
          <w:sz w:val="24"/>
          <w:szCs w:val="24"/>
        </w:rPr>
        <w:t xml:space="preserve">1080 </w:t>
      </w:r>
      <w:r w:rsidR="002A3A17" w:rsidRPr="002A3A17">
        <w:rPr>
          <w:sz w:val="24"/>
          <w:szCs w:val="24"/>
        </w:rPr>
        <w:t>Sint-Jans-</w:t>
      </w:r>
      <w:proofErr w:type="spellStart"/>
      <w:r w:rsidR="002A3A17" w:rsidRPr="002A3A17">
        <w:rPr>
          <w:sz w:val="24"/>
          <w:szCs w:val="24"/>
        </w:rPr>
        <w:t>Molenbeek</w:t>
      </w:r>
      <w:proofErr w:type="spellEnd"/>
      <w:r w:rsidR="002A3A17">
        <w:rPr>
          <w:sz w:val="24"/>
          <w:szCs w:val="24"/>
        </w:rPr>
        <w:t xml:space="preserve">, </w:t>
      </w:r>
      <w:r w:rsidRPr="002A3A17">
        <w:rPr>
          <w:sz w:val="24"/>
          <w:szCs w:val="24"/>
        </w:rPr>
        <w:t>Bruxelles</w:t>
      </w:r>
    </w:p>
    <w:p w14:paraId="1978E1D9" w14:textId="08617E1C" w:rsidR="00445389" w:rsidRPr="002A3A17" w:rsidRDefault="00445389" w:rsidP="00513E45">
      <w:pPr>
        <w:ind w:left="851"/>
        <w:rPr>
          <w:sz w:val="24"/>
          <w:szCs w:val="24"/>
        </w:rPr>
      </w:pPr>
      <w:r w:rsidRPr="002A3A17">
        <w:rPr>
          <w:sz w:val="24"/>
          <w:szCs w:val="24"/>
        </w:rPr>
        <w:t>Belgien</w:t>
      </w:r>
    </w:p>
    <w:p w14:paraId="1232314A" w14:textId="7269D915" w:rsidR="009260DE" w:rsidRPr="002A3A17" w:rsidRDefault="009260DE" w:rsidP="009260DE">
      <w:pPr>
        <w:tabs>
          <w:tab w:val="left" w:pos="851"/>
        </w:tabs>
        <w:ind w:left="851"/>
        <w:rPr>
          <w:sz w:val="24"/>
          <w:szCs w:val="24"/>
        </w:rPr>
      </w:pPr>
    </w:p>
    <w:p w14:paraId="07A24249" w14:textId="77777777" w:rsidR="009260DE" w:rsidRPr="002A3A17" w:rsidRDefault="009260DE" w:rsidP="009260DE">
      <w:pPr>
        <w:tabs>
          <w:tab w:val="left" w:pos="851"/>
        </w:tabs>
        <w:ind w:left="851" w:hanging="851"/>
        <w:rPr>
          <w:b/>
          <w:sz w:val="24"/>
          <w:szCs w:val="24"/>
        </w:rPr>
      </w:pPr>
      <w:r w:rsidRPr="002A3A17">
        <w:rPr>
          <w:b/>
          <w:sz w:val="24"/>
          <w:szCs w:val="24"/>
        </w:rPr>
        <w:t>8.</w:t>
      </w:r>
      <w:r w:rsidRPr="002A3A17">
        <w:rPr>
          <w:b/>
          <w:sz w:val="24"/>
          <w:szCs w:val="24"/>
        </w:rPr>
        <w:tab/>
        <w:t>MARKEDSFØRINGSTILLADELSESNUMMER (</w:t>
      </w:r>
      <w:r w:rsidR="00BF6243" w:rsidRPr="002A3A17">
        <w:rPr>
          <w:b/>
          <w:sz w:val="24"/>
          <w:szCs w:val="24"/>
        </w:rPr>
        <w:t>-</w:t>
      </w:r>
      <w:r w:rsidRPr="002A3A17">
        <w:rPr>
          <w:b/>
          <w:sz w:val="24"/>
          <w:szCs w:val="24"/>
        </w:rPr>
        <w:t>NUMRE)</w:t>
      </w:r>
    </w:p>
    <w:p w14:paraId="15A6D188" w14:textId="4EF5D9E0" w:rsidR="00445389" w:rsidRPr="002A3A17" w:rsidRDefault="00445389" w:rsidP="002A3A17">
      <w:pPr>
        <w:tabs>
          <w:tab w:val="left" w:pos="2835"/>
        </w:tabs>
        <w:ind w:left="851"/>
        <w:rPr>
          <w:sz w:val="24"/>
          <w:szCs w:val="24"/>
          <w:lang w:eastAsia="da-DK"/>
        </w:rPr>
      </w:pPr>
      <w:r w:rsidRPr="002A3A17">
        <w:rPr>
          <w:sz w:val="24"/>
          <w:szCs w:val="24"/>
        </w:rPr>
        <w:t>140 mikrogram</w:t>
      </w:r>
      <w:r w:rsidR="002A3A17">
        <w:rPr>
          <w:sz w:val="24"/>
          <w:szCs w:val="24"/>
        </w:rPr>
        <w:t xml:space="preserve">: </w:t>
      </w:r>
      <w:r w:rsidR="002A3A17">
        <w:rPr>
          <w:sz w:val="24"/>
          <w:szCs w:val="24"/>
        </w:rPr>
        <w:tab/>
        <w:t>65691</w:t>
      </w:r>
    </w:p>
    <w:p w14:paraId="3BC0F8E4" w14:textId="078F1C87" w:rsidR="00445389" w:rsidRPr="002A3A17" w:rsidRDefault="00445389" w:rsidP="002A3A17">
      <w:pPr>
        <w:tabs>
          <w:tab w:val="left" w:pos="2835"/>
        </w:tabs>
        <w:ind w:left="851"/>
        <w:rPr>
          <w:sz w:val="24"/>
          <w:szCs w:val="24"/>
        </w:rPr>
      </w:pPr>
      <w:r w:rsidRPr="002A3A17">
        <w:rPr>
          <w:sz w:val="24"/>
          <w:szCs w:val="24"/>
        </w:rPr>
        <w:t>312,5 mikrogram</w:t>
      </w:r>
      <w:r w:rsidR="002A3A17">
        <w:rPr>
          <w:sz w:val="24"/>
          <w:szCs w:val="24"/>
        </w:rPr>
        <w:t xml:space="preserve">: </w:t>
      </w:r>
      <w:r w:rsidR="002A3A17">
        <w:rPr>
          <w:sz w:val="24"/>
          <w:szCs w:val="24"/>
        </w:rPr>
        <w:tab/>
        <w:t>65693</w:t>
      </w:r>
    </w:p>
    <w:p w14:paraId="7EEC90D8" w14:textId="3EDDF01B" w:rsidR="009260DE" w:rsidRDefault="00445389" w:rsidP="002A3A17">
      <w:pPr>
        <w:tabs>
          <w:tab w:val="left" w:pos="2835"/>
        </w:tabs>
        <w:ind w:left="851"/>
        <w:rPr>
          <w:sz w:val="24"/>
          <w:szCs w:val="24"/>
        </w:rPr>
      </w:pPr>
      <w:r w:rsidRPr="002A3A17">
        <w:rPr>
          <w:sz w:val="24"/>
          <w:szCs w:val="24"/>
        </w:rPr>
        <w:t>625 mikrogram</w:t>
      </w:r>
      <w:r w:rsidR="002A3A17">
        <w:rPr>
          <w:sz w:val="24"/>
          <w:szCs w:val="24"/>
        </w:rPr>
        <w:t xml:space="preserve">: </w:t>
      </w:r>
      <w:r w:rsidR="002A3A17">
        <w:rPr>
          <w:sz w:val="24"/>
          <w:szCs w:val="24"/>
        </w:rPr>
        <w:tab/>
        <w:t>65694</w:t>
      </w:r>
    </w:p>
    <w:p w14:paraId="635114F9" w14:textId="77777777" w:rsidR="002A3A17" w:rsidRPr="002A3A17" w:rsidRDefault="002A3A17" w:rsidP="002A3A17">
      <w:pPr>
        <w:ind w:left="851"/>
        <w:rPr>
          <w:sz w:val="24"/>
          <w:szCs w:val="24"/>
        </w:rPr>
      </w:pPr>
    </w:p>
    <w:p w14:paraId="547DAFB8" w14:textId="77777777" w:rsidR="009260DE" w:rsidRPr="002A3A17" w:rsidRDefault="009260DE" w:rsidP="009260DE">
      <w:pPr>
        <w:tabs>
          <w:tab w:val="left" w:pos="851"/>
        </w:tabs>
        <w:ind w:left="851" w:hanging="851"/>
        <w:rPr>
          <w:b/>
          <w:sz w:val="24"/>
          <w:szCs w:val="24"/>
        </w:rPr>
      </w:pPr>
      <w:r w:rsidRPr="002A3A17">
        <w:rPr>
          <w:b/>
          <w:sz w:val="24"/>
          <w:szCs w:val="24"/>
        </w:rPr>
        <w:t>9.</w:t>
      </w:r>
      <w:r w:rsidRPr="002A3A17">
        <w:rPr>
          <w:b/>
          <w:sz w:val="24"/>
          <w:szCs w:val="24"/>
        </w:rPr>
        <w:tab/>
        <w:t>DATO FOR FØRSTE MARKEDSFØRINGSTILLADELSE</w:t>
      </w:r>
    </w:p>
    <w:p w14:paraId="74CB0C6B" w14:textId="6114852D" w:rsidR="009260DE" w:rsidRPr="002A3A17" w:rsidRDefault="00DE3C89" w:rsidP="009260DE">
      <w:pPr>
        <w:tabs>
          <w:tab w:val="left" w:pos="851"/>
        </w:tabs>
        <w:ind w:left="851"/>
        <w:rPr>
          <w:sz w:val="24"/>
          <w:szCs w:val="24"/>
        </w:rPr>
      </w:pPr>
      <w:r>
        <w:rPr>
          <w:sz w:val="24"/>
          <w:szCs w:val="24"/>
        </w:rPr>
        <w:t>27. juni 2024</w:t>
      </w:r>
      <w:bookmarkStart w:id="0" w:name="_GoBack"/>
      <w:bookmarkEnd w:id="0"/>
    </w:p>
    <w:p w14:paraId="2CA85843" w14:textId="7A4C178A" w:rsidR="00EA7E2A" w:rsidRDefault="00EA7E2A">
      <w:pPr>
        <w:rPr>
          <w:sz w:val="24"/>
          <w:szCs w:val="24"/>
        </w:rPr>
      </w:pPr>
      <w:r>
        <w:rPr>
          <w:sz w:val="24"/>
          <w:szCs w:val="24"/>
        </w:rPr>
        <w:br w:type="page"/>
      </w:r>
    </w:p>
    <w:p w14:paraId="54300CDB" w14:textId="77777777" w:rsidR="009260DE" w:rsidRPr="002A3A17" w:rsidRDefault="009260DE" w:rsidP="009260DE">
      <w:pPr>
        <w:tabs>
          <w:tab w:val="left" w:pos="851"/>
        </w:tabs>
        <w:ind w:left="851"/>
        <w:rPr>
          <w:sz w:val="24"/>
          <w:szCs w:val="24"/>
        </w:rPr>
      </w:pPr>
    </w:p>
    <w:p w14:paraId="514ED1B0" w14:textId="77777777" w:rsidR="009260DE" w:rsidRPr="002A3A17" w:rsidRDefault="009260DE" w:rsidP="009260DE">
      <w:pPr>
        <w:tabs>
          <w:tab w:val="left" w:pos="851"/>
        </w:tabs>
        <w:ind w:left="851" w:hanging="851"/>
        <w:rPr>
          <w:b/>
          <w:sz w:val="24"/>
          <w:szCs w:val="24"/>
        </w:rPr>
      </w:pPr>
      <w:r w:rsidRPr="002A3A17">
        <w:rPr>
          <w:b/>
          <w:sz w:val="24"/>
          <w:szCs w:val="24"/>
        </w:rPr>
        <w:t>10.</w:t>
      </w:r>
      <w:r w:rsidRPr="002A3A17">
        <w:rPr>
          <w:b/>
          <w:sz w:val="24"/>
          <w:szCs w:val="24"/>
        </w:rPr>
        <w:tab/>
        <w:t>DATO FOR ÆNDRING AF TEKSTEN</w:t>
      </w:r>
    </w:p>
    <w:p w14:paraId="57CF347D" w14:textId="2AC48AB8" w:rsidR="009260DE" w:rsidRPr="002A3A17" w:rsidRDefault="00445389" w:rsidP="009260DE">
      <w:pPr>
        <w:tabs>
          <w:tab w:val="left" w:pos="851"/>
        </w:tabs>
        <w:ind w:left="851"/>
        <w:rPr>
          <w:sz w:val="24"/>
          <w:szCs w:val="24"/>
        </w:rPr>
      </w:pPr>
      <w:r w:rsidRPr="002A3A17">
        <w:rPr>
          <w:sz w:val="24"/>
          <w:szCs w:val="24"/>
        </w:rPr>
        <w:t>-</w:t>
      </w:r>
    </w:p>
    <w:sectPr w:rsidR="009260DE" w:rsidRPr="002A3A17"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712D6" w14:textId="77777777" w:rsidR="00963DC6" w:rsidRDefault="00963DC6">
      <w:r>
        <w:separator/>
      </w:r>
    </w:p>
  </w:endnote>
  <w:endnote w:type="continuationSeparator" w:id="0">
    <w:p w14:paraId="604288BD" w14:textId="77777777" w:rsidR="00963DC6" w:rsidRDefault="00963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45379" w14:textId="77777777" w:rsidR="000259B9" w:rsidRDefault="000259B9">
    <w:pPr>
      <w:pStyle w:val="Sidefod"/>
      <w:pBdr>
        <w:bottom w:val="single" w:sz="6" w:space="1" w:color="auto"/>
      </w:pBdr>
    </w:pPr>
  </w:p>
  <w:p w14:paraId="77F31A1A" w14:textId="77777777" w:rsidR="000259B9" w:rsidRDefault="000259B9" w:rsidP="00C42586">
    <w:pPr>
      <w:pStyle w:val="Sidefod"/>
      <w:tabs>
        <w:tab w:val="clear" w:pos="4819"/>
        <w:tab w:val="left" w:pos="8505"/>
      </w:tabs>
      <w:rPr>
        <w:i/>
        <w:sz w:val="18"/>
        <w:szCs w:val="18"/>
      </w:rPr>
    </w:pPr>
  </w:p>
  <w:p w14:paraId="443D4CC8" w14:textId="0E20D3D9"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E3C89">
      <w:rPr>
        <w:i/>
        <w:noProof/>
        <w:sz w:val="18"/>
        <w:szCs w:val="18"/>
      </w:rPr>
      <w:t>Decurol, hårde kapsler 140 mikrogram, 312,5 mikrogram og 625 mikrogram.docx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5B7A8" w14:textId="77777777" w:rsidR="00963DC6" w:rsidRDefault="00963DC6">
      <w:r>
        <w:separator/>
      </w:r>
    </w:p>
  </w:footnote>
  <w:footnote w:type="continuationSeparator" w:id="0">
    <w:p w14:paraId="5C0D75EF" w14:textId="77777777" w:rsidR="00963DC6" w:rsidRDefault="00963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6B96FC0"/>
    <w:multiLevelType w:val="hybridMultilevel"/>
    <w:tmpl w:val="EFC6046E"/>
    <w:lvl w:ilvl="0" w:tplc="FFFFFFFF">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DC6"/>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A3A17"/>
    <w:rsid w:val="002B30AD"/>
    <w:rsid w:val="002C1EC0"/>
    <w:rsid w:val="002C2C01"/>
    <w:rsid w:val="003A29AE"/>
    <w:rsid w:val="003A32D7"/>
    <w:rsid w:val="003B4074"/>
    <w:rsid w:val="003C769A"/>
    <w:rsid w:val="003D3A90"/>
    <w:rsid w:val="003F1838"/>
    <w:rsid w:val="004251C1"/>
    <w:rsid w:val="00445389"/>
    <w:rsid w:val="0045746C"/>
    <w:rsid w:val="0049104B"/>
    <w:rsid w:val="004E3B12"/>
    <w:rsid w:val="00513E45"/>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9346F"/>
    <w:rsid w:val="008E0796"/>
    <w:rsid w:val="00907F75"/>
    <w:rsid w:val="009260DE"/>
    <w:rsid w:val="0093258A"/>
    <w:rsid w:val="00963DC6"/>
    <w:rsid w:val="009C7BA3"/>
    <w:rsid w:val="009D1F5A"/>
    <w:rsid w:val="00A10294"/>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DE3C89"/>
    <w:rsid w:val="00E108AA"/>
    <w:rsid w:val="00E3749A"/>
    <w:rsid w:val="00E41D9C"/>
    <w:rsid w:val="00E7437F"/>
    <w:rsid w:val="00E865B8"/>
    <w:rsid w:val="00EA7E2A"/>
    <w:rsid w:val="00EC0B9B"/>
    <w:rsid w:val="00ED5E9F"/>
    <w:rsid w:val="00F61112"/>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10ADE"/>
  <w15:chartTrackingRefBased/>
  <w15:docId w15:val="{9FF6BB6D-9B78-4E35-86F3-7DA62F82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445389"/>
    <w:pPr>
      <w:widowControl w:val="0"/>
      <w:ind w:left="720"/>
      <w:contextualSpacing/>
    </w:pPr>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50162">
      <w:bodyDiv w:val="1"/>
      <w:marLeft w:val="0"/>
      <w:marRight w:val="0"/>
      <w:marTop w:val="0"/>
      <w:marBottom w:val="0"/>
      <w:divBdr>
        <w:top w:val="none" w:sz="0" w:space="0" w:color="auto"/>
        <w:left w:val="none" w:sz="0" w:space="0" w:color="auto"/>
        <w:bottom w:val="none" w:sz="0" w:space="0" w:color="auto"/>
        <w:right w:val="none" w:sz="0" w:space="0" w:color="auto"/>
      </w:divBdr>
    </w:div>
    <w:div w:id="15442285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01077710">
      <w:bodyDiv w:val="1"/>
      <w:marLeft w:val="0"/>
      <w:marRight w:val="0"/>
      <w:marTop w:val="0"/>
      <w:marBottom w:val="0"/>
      <w:divBdr>
        <w:top w:val="none" w:sz="0" w:space="0" w:color="auto"/>
        <w:left w:val="none" w:sz="0" w:space="0" w:color="auto"/>
        <w:bottom w:val="none" w:sz="0" w:space="0" w:color="auto"/>
        <w:right w:val="none" w:sz="0" w:space="0" w:color="auto"/>
      </w:divBdr>
    </w:div>
    <w:div w:id="301203794">
      <w:bodyDiv w:val="1"/>
      <w:marLeft w:val="0"/>
      <w:marRight w:val="0"/>
      <w:marTop w:val="0"/>
      <w:marBottom w:val="0"/>
      <w:divBdr>
        <w:top w:val="none" w:sz="0" w:space="0" w:color="auto"/>
        <w:left w:val="none" w:sz="0" w:space="0" w:color="auto"/>
        <w:bottom w:val="none" w:sz="0" w:space="0" w:color="auto"/>
        <w:right w:val="none" w:sz="0" w:space="0" w:color="auto"/>
      </w:divBdr>
    </w:div>
    <w:div w:id="306059363">
      <w:bodyDiv w:val="1"/>
      <w:marLeft w:val="0"/>
      <w:marRight w:val="0"/>
      <w:marTop w:val="0"/>
      <w:marBottom w:val="0"/>
      <w:divBdr>
        <w:top w:val="none" w:sz="0" w:space="0" w:color="auto"/>
        <w:left w:val="none" w:sz="0" w:space="0" w:color="auto"/>
        <w:bottom w:val="none" w:sz="0" w:space="0" w:color="auto"/>
        <w:right w:val="none" w:sz="0" w:space="0" w:color="auto"/>
      </w:divBdr>
    </w:div>
    <w:div w:id="687103523">
      <w:bodyDiv w:val="1"/>
      <w:marLeft w:val="0"/>
      <w:marRight w:val="0"/>
      <w:marTop w:val="0"/>
      <w:marBottom w:val="0"/>
      <w:divBdr>
        <w:top w:val="none" w:sz="0" w:space="0" w:color="auto"/>
        <w:left w:val="none" w:sz="0" w:space="0" w:color="auto"/>
        <w:bottom w:val="none" w:sz="0" w:space="0" w:color="auto"/>
        <w:right w:val="none" w:sz="0" w:space="0" w:color="auto"/>
      </w:divBdr>
    </w:div>
    <w:div w:id="810564769">
      <w:bodyDiv w:val="1"/>
      <w:marLeft w:val="0"/>
      <w:marRight w:val="0"/>
      <w:marTop w:val="0"/>
      <w:marBottom w:val="0"/>
      <w:divBdr>
        <w:top w:val="none" w:sz="0" w:space="0" w:color="auto"/>
        <w:left w:val="none" w:sz="0" w:space="0" w:color="auto"/>
        <w:bottom w:val="none" w:sz="0" w:space="0" w:color="auto"/>
        <w:right w:val="none" w:sz="0" w:space="0" w:color="auto"/>
      </w:divBdr>
    </w:div>
    <w:div w:id="1018963845">
      <w:bodyDiv w:val="1"/>
      <w:marLeft w:val="0"/>
      <w:marRight w:val="0"/>
      <w:marTop w:val="0"/>
      <w:marBottom w:val="0"/>
      <w:divBdr>
        <w:top w:val="none" w:sz="0" w:space="0" w:color="auto"/>
        <w:left w:val="none" w:sz="0" w:space="0" w:color="auto"/>
        <w:bottom w:val="none" w:sz="0" w:space="0" w:color="auto"/>
        <w:right w:val="none" w:sz="0" w:space="0" w:color="auto"/>
      </w:divBdr>
    </w:div>
    <w:div w:id="1114248185">
      <w:bodyDiv w:val="1"/>
      <w:marLeft w:val="0"/>
      <w:marRight w:val="0"/>
      <w:marTop w:val="0"/>
      <w:marBottom w:val="0"/>
      <w:divBdr>
        <w:top w:val="none" w:sz="0" w:space="0" w:color="auto"/>
        <w:left w:val="none" w:sz="0" w:space="0" w:color="auto"/>
        <w:bottom w:val="none" w:sz="0" w:space="0" w:color="auto"/>
        <w:right w:val="none" w:sz="0" w:space="0" w:color="auto"/>
      </w:divBdr>
    </w:div>
    <w:div w:id="1177885729">
      <w:bodyDiv w:val="1"/>
      <w:marLeft w:val="0"/>
      <w:marRight w:val="0"/>
      <w:marTop w:val="0"/>
      <w:marBottom w:val="0"/>
      <w:divBdr>
        <w:top w:val="none" w:sz="0" w:space="0" w:color="auto"/>
        <w:left w:val="none" w:sz="0" w:space="0" w:color="auto"/>
        <w:bottom w:val="none" w:sz="0" w:space="0" w:color="auto"/>
        <w:right w:val="none" w:sz="0" w:space="0" w:color="auto"/>
      </w:divBdr>
    </w:div>
    <w:div w:id="1208371718">
      <w:bodyDiv w:val="1"/>
      <w:marLeft w:val="0"/>
      <w:marRight w:val="0"/>
      <w:marTop w:val="0"/>
      <w:marBottom w:val="0"/>
      <w:divBdr>
        <w:top w:val="none" w:sz="0" w:space="0" w:color="auto"/>
        <w:left w:val="none" w:sz="0" w:space="0" w:color="auto"/>
        <w:bottom w:val="none" w:sz="0" w:space="0" w:color="auto"/>
        <w:right w:val="none" w:sz="0" w:space="0" w:color="auto"/>
      </w:divBdr>
    </w:div>
    <w:div w:id="1422264345">
      <w:bodyDiv w:val="1"/>
      <w:marLeft w:val="0"/>
      <w:marRight w:val="0"/>
      <w:marTop w:val="0"/>
      <w:marBottom w:val="0"/>
      <w:divBdr>
        <w:top w:val="none" w:sz="0" w:space="0" w:color="auto"/>
        <w:left w:val="none" w:sz="0" w:space="0" w:color="auto"/>
        <w:bottom w:val="none" w:sz="0" w:space="0" w:color="auto"/>
        <w:right w:val="none" w:sz="0" w:space="0" w:color="auto"/>
      </w:divBdr>
    </w:div>
    <w:div w:id="1454204048">
      <w:bodyDiv w:val="1"/>
      <w:marLeft w:val="0"/>
      <w:marRight w:val="0"/>
      <w:marTop w:val="0"/>
      <w:marBottom w:val="0"/>
      <w:divBdr>
        <w:top w:val="none" w:sz="0" w:space="0" w:color="auto"/>
        <w:left w:val="none" w:sz="0" w:space="0" w:color="auto"/>
        <w:bottom w:val="none" w:sz="0" w:space="0" w:color="auto"/>
        <w:right w:val="none" w:sz="0" w:space="0" w:color="auto"/>
      </w:divBdr>
    </w:div>
    <w:div w:id="1492142467">
      <w:bodyDiv w:val="1"/>
      <w:marLeft w:val="0"/>
      <w:marRight w:val="0"/>
      <w:marTop w:val="0"/>
      <w:marBottom w:val="0"/>
      <w:divBdr>
        <w:top w:val="none" w:sz="0" w:space="0" w:color="auto"/>
        <w:left w:val="none" w:sz="0" w:space="0" w:color="auto"/>
        <w:bottom w:val="none" w:sz="0" w:space="0" w:color="auto"/>
        <w:right w:val="none" w:sz="0" w:space="0" w:color="auto"/>
      </w:divBdr>
    </w:div>
    <w:div w:id="1501310253">
      <w:bodyDiv w:val="1"/>
      <w:marLeft w:val="0"/>
      <w:marRight w:val="0"/>
      <w:marTop w:val="0"/>
      <w:marBottom w:val="0"/>
      <w:divBdr>
        <w:top w:val="none" w:sz="0" w:space="0" w:color="auto"/>
        <w:left w:val="none" w:sz="0" w:space="0" w:color="auto"/>
        <w:bottom w:val="none" w:sz="0" w:space="0" w:color="auto"/>
        <w:right w:val="none" w:sz="0" w:space="0" w:color="auto"/>
      </w:divBdr>
    </w:div>
    <w:div w:id="1538007124">
      <w:bodyDiv w:val="1"/>
      <w:marLeft w:val="0"/>
      <w:marRight w:val="0"/>
      <w:marTop w:val="0"/>
      <w:marBottom w:val="0"/>
      <w:divBdr>
        <w:top w:val="none" w:sz="0" w:space="0" w:color="auto"/>
        <w:left w:val="none" w:sz="0" w:space="0" w:color="auto"/>
        <w:bottom w:val="none" w:sz="0" w:space="0" w:color="auto"/>
        <w:right w:val="none" w:sz="0" w:space="0" w:color="auto"/>
      </w:divBdr>
    </w:div>
    <w:div w:id="1589272809">
      <w:bodyDiv w:val="1"/>
      <w:marLeft w:val="0"/>
      <w:marRight w:val="0"/>
      <w:marTop w:val="0"/>
      <w:marBottom w:val="0"/>
      <w:divBdr>
        <w:top w:val="none" w:sz="0" w:space="0" w:color="auto"/>
        <w:left w:val="none" w:sz="0" w:space="0" w:color="auto"/>
        <w:bottom w:val="none" w:sz="0" w:space="0" w:color="auto"/>
        <w:right w:val="none" w:sz="0" w:space="0" w:color="auto"/>
      </w:divBdr>
    </w:div>
    <w:div w:id="1662851660">
      <w:bodyDiv w:val="1"/>
      <w:marLeft w:val="0"/>
      <w:marRight w:val="0"/>
      <w:marTop w:val="0"/>
      <w:marBottom w:val="0"/>
      <w:divBdr>
        <w:top w:val="none" w:sz="0" w:space="0" w:color="auto"/>
        <w:left w:val="none" w:sz="0" w:space="0" w:color="auto"/>
        <w:bottom w:val="none" w:sz="0" w:space="0" w:color="auto"/>
        <w:right w:val="none" w:sz="0" w:space="0" w:color="auto"/>
      </w:divBdr>
    </w:div>
    <w:div w:id="1753357862">
      <w:bodyDiv w:val="1"/>
      <w:marLeft w:val="0"/>
      <w:marRight w:val="0"/>
      <w:marTop w:val="0"/>
      <w:marBottom w:val="0"/>
      <w:divBdr>
        <w:top w:val="none" w:sz="0" w:space="0" w:color="auto"/>
        <w:left w:val="none" w:sz="0" w:space="0" w:color="auto"/>
        <w:bottom w:val="none" w:sz="0" w:space="0" w:color="auto"/>
        <w:right w:val="none" w:sz="0" w:space="0" w:color="auto"/>
      </w:divBdr>
    </w:div>
    <w:div w:id="1808165135">
      <w:bodyDiv w:val="1"/>
      <w:marLeft w:val="0"/>
      <w:marRight w:val="0"/>
      <w:marTop w:val="0"/>
      <w:marBottom w:val="0"/>
      <w:divBdr>
        <w:top w:val="none" w:sz="0" w:space="0" w:color="auto"/>
        <w:left w:val="none" w:sz="0" w:space="0" w:color="auto"/>
        <w:bottom w:val="none" w:sz="0" w:space="0" w:color="auto"/>
        <w:right w:val="none" w:sz="0" w:space="0" w:color="auto"/>
      </w:divBdr>
    </w:div>
    <w:div w:id="1990089176">
      <w:bodyDiv w:val="1"/>
      <w:marLeft w:val="0"/>
      <w:marRight w:val="0"/>
      <w:marTop w:val="0"/>
      <w:marBottom w:val="0"/>
      <w:divBdr>
        <w:top w:val="none" w:sz="0" w:space="0" w:color="auto"/>
        <w:left w:val="none" w:sz="0" w:space="0" w:color="auto"/>
        <w:bottom w:val="none" w:sz="0" w:space="0" w:color="auto"/>
        <w:right w:val="none" w:sz="0" w:space="0" w:color="auto"/>
      </w:divBdr>
    </w:div>
    <w:div w:id="2009673192">
      <w:bodyDiv w:val="1"/>
      <w:marLeft w:val="0"/>
      <w:marRight w:val="0"/>
      <w:marTop w:val="0"/>
      <w:marBottom w:val="0"/>
      <w:divBdr>
        <w:top w:val="none" w:sz="0" w:space="0" w:color="auto"/>
        <w:left w:val="none" w:sz="0" w:space="0" w:color="auto"/>
        <w:bottom w:val="none" w:sz="0" w:space="0" w:color="auto"/>
        <w:right w:val="none" w:sz="0" w:space="0" w:color="auto"/>
      </w:divBdr>
    </w:div>
    <w:div w:id="209080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83</TotalTime>
  <Pages>9</Pages>
  <Words>2269</Words>
  <Characters>15152</Characters>
  <Application>Microsoft Office Word</Application>
  <DocSecurity>0</DocSecurity>
  <Lines>126</Lines>
  <Paragraphs>34</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17387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2021020148, MT</dc:description>
  <cp:lastModifiedBy>Gitte Jørgensen</cp:lastModifiedBy>
  <cp:revision>9</cp:revision>
  <cp:lastPrinted>2012-08-22T08:53:00Z</cp:lastPrinted>
  <dcterms:created xsi:type="dcterms:W3CDTF">2024-06-26T07:14:00Z</dcterms:created>
  <dcterms:modified xsi:type="dcterms:W3CDTF">2024-06-27T11:53:00Z</dcterms:modified>
</cp:coreProperties>
</file>