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95AF2">
        <w:rPr>
          <w:szCs w:val="24"/>
        </w:rPr>
        <w:t>21. december 2023</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C8417A" w:rsidP="009260DE">
      <w:pPr>
        <w:jc w:val="center"/>
        <w:rPr>
          <w:b/>
          <w:sz w:val="24"/>
          <w:szCs w:val="24"/>
        </w:rPr>
      </w:pPr>
      <w:r>
        <w:rPr>
          <w:b/>
          <w:sz w:val="24"/>
          <w:szCs w:val="24"/>
        </w:rPr>
        <w:t xml:space="preserve">Deferasirox </w:t>
      </w:r>
      <w:r w:rsidR="00EA6B70">
        <w:rPr>
          <w:b/>
          <w:sz w:val="24"/>
          <w:szCs w:val="24"/>
        </w:rPr>
        <w:t>"</w:t>
      </w:r>
      <w:r>
        <w:rPr>
          <w:b/>
          <w:sz w:val="24"/>
          <w:szCs w:val="24"/>
        </w:rPr>
        <w:t>Orifarm</w:t>
      </w:r>
      <w:r w:rsidR="00EA6B70">
        <w:rPr>
          <w:b/>
          <w:sz w:val="24"/>
          <w:szCs w:val="24"/>
        </w:rPr>
        <w:t>"</w:t>
      </w:r>
      <w:r>
        <w:rPr>
          <w:b/>
          <w:sz w:val="24"/>
          <w:szCs w:val="24"/>
        </w:rPr>
        <w:t>,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E31F56" w:rsidP="009260DE">
      <w:pPr>
        <w:tabs>
          <w:tab w:val="left" w:pos="851"/>
        </w:tabs>
        <w:ind w:left="851"/>
        <w:rPr>
          <w:sz w:val="24"/>
          <w:szCs w:val="24"/>
        </w:rPr>
      </w:pPr>
      <w:r>
        <w:rPr>
          <w:sz w:val="24"/>
          <w:szCs w:val="24"/>
        </w:rPr>
        <w:t>31909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E31F56" w:rsidP="009260DE">
      <w:pPr>
        <w:tabs>
          <w:tab w:val="left" w:pos="851"/>
        </w:tabs>
        <w:ind w:left="851"/>
        <w:rPr>
          <w:sz w:val="24"/>
          <w:szCs w:val="24"/>
        </w:rPr>
      </w:pPr>
      <w:r>
        <w:rPr>
          <w:sz w:val="24"/>
          <w:szCs w:val="24"/>
        </w:rPr>
        <w:t xml:space="preserve">Deferasirox </w:t>
      </w:r>
      <w:r w:rsidR="00EA6B70">
        <w:rPr>
          <w:sz w:val="24"/>
          <w:szCs w:val="24"/>
        </w:rPr>
        <w:t>"</w:t>
      </w:r>
      <w:r>
        <w:rPr>
          <w:sz w:val="24"/>
          <w:szCs w:val="24"/>
        </w:rPr>
        <w:t>Orifarm</w:t>
      </w:r>
      <w:r w:rsidR="00EA6B70">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E3B69" w:rsidRDefault="001E3B69" w:rsidP="001E3B69">
      <w:pPr>
        <w:tabs>
          <w:tab w:val="left" w:pos="851"/>
        </w:tabs>
        <w:ind w:left="851"/>
        <w:rPr>
          <w:sz w:val="24"/>
          <w:szCs w:val="24"/>
          <w:u w:val="single"/>
          <w:lang w:val="nb-NO"/>
        </w:rPr>
      </w:pPr>
    </w:p>
    <w:p w:rsidR="001E3B69" w:rsidRPr="001E3B69" w:rsidRDefault="001E3B69" w:rsidP="001E3B69">
      <w:pPr>
        <w:tabs>
          <w:tab w:val="left" w:pos="851"/>
        </w:tabs>
        <w:ind w:left="851"/>
        <w:rPr>
          <w:sz w:val="24"/>
          <w:szCs w:val="24"/>
          <w:u w:val="single"/>
          <w:lang w:val="nb-NO"/>
        </w:rPr>
      </w:pPr>
      <w:r>
        <w:rPr>
          <w:sz w:val="24"/>
          <w:szCs w:val="24"/>
          <w:u w:val="single"/>
          <w:lang w:val="nb-NO"/>
        </w:rPr>
        <w:t>90 mg</w:t>
      </w:r>
    </w:p>
    <w:p w:rsidR="001E3B69" w:rsidRPr="001E3B69" w:rsidRDefault="001E3B69" w:rsidP="001E3B69">
      <w:pPr>
        <w:tabs>
          <w:tab w:val="left" w:pos="851"/>
        </w:tabs>
        <w:ind w:left="851"/>
        <w:rPr>
          <w:sz w:val="24"/>
          <w:szCs w:val="24"/>
          <w:lang w:val="nb-NO"/>
        </w:rPr>
      </w:pPr>
      <w:r w:rsidRPr="001E3B69">
        <w:rPr>
          <w:sz w:val="24"/>
          <w:szCs w:val="24"/>
          <w:lang w:val="nb-NO"/>
        </w:rPr>
        <w:t xml:space="preserve">Hver tablet indeholder 90 mg deferasirox. </w:t>
      </w:r>
    </w:p>
    <w:p w:rsidR="001E3B69" w:rsidRPr="001E3B69" w:rsidRDefault="001E3B69" w:rsidP="001E3B69">
      <w:pPr>
        <w:tabs>
          <w:tab w:val="left" w:pos="851"/>
        </w:tabs>
        <w:ind w:left="851"/>
        <w:rPr>
          <w:sz w:val="24"/>
          <w:szCs w:val="24"/>
          <w:lang w:val="nb-NO"/>
        </w:rPr>
      </w:pPr>
    </w:p>
    <w:p w:rsidR="001E3B69" w:rsidRPr="001E3B69" w:rsidRDefault="001E3B69" w:rsidP="001E3B69">
      <w:pPr>
        <w:tabs>
          <w:tab w:val="left" w:pos="851"/>
        </w:tabs>
        <w:ind w:left="851"/>
        <w:rPr>
          <w:sz w:val="24"/>
          <w:szCs w:val="24"/>
          <w:u w:val="single"/>
          <w:lang w:val="nb-NO"/>
        </w:rPr>
      </w:pPr>
      <w:r>
        <w:rPr>
          <w:sz w:val="24"/>
          <w:szCs w:val="24"/>
          <w:u w:val="single"/>
          <w:lang w:val="nb-NO"/>
        </w:rPr>
        <w:t>180 mg</w:t>
      </w:r>
    </w:p>
    <w:p w:rsidR="001E3B69" w:rsidRPr="001E3B69" w:rsidRDefault="001E3B69" w:rsidP="001E3B69">
      <w:pPr>
        <w:tabs>
          <w:tab w:val="left" w:pos="851"/>
        </w:tabs>
        <w:ind w:left="851"/>
        <w:rPr>
          <w:sz w:val="24"/>
          <w:szCs w:val="24"/>
          <w:lang w:val="nb-NO"/>
        </w:rPr>
      </w:pPr>
      <w:r w:rsidRPr="001E3B69">
        <w:rPr>
          <w:sz w:val="24"/>
          <w:szCs w:val="24"/>
          <w:lang w:val="nb-NO"/>
        </w:rPr>
        <w:t xml:space="preserve">Hver tablet indeholder 180 mg deferasirox. </w:t>
      </w:r>
    </w:p>
    <w:p w:rsidR="001E3B69" w:rsidRPr="001E3B69" w:rsidRDefault="001E3B69" w:rsidP="001E3B69">
      <w:pPr>
        <w:tabs>
          <w:tab w:val="left" w:pos="851"/>
        </w:tabs>
        <w:ind w:left="851"/>
        <w:rPr>
          <w:sz w:val="24"/>
          <w:szCs w:val="24"/>
          <w:lang w:val="nb-NO"/>
        </w:rPr>
      </w:pPr>
    </w:p>
    <w:p w:rsidR="001E3B69" w:rsidRPr="001E3B69" w:rsidRDefault="001E3B69" w:rsidP="001E3B69">
      <w:pPr>
        <w:tabs>
          <w:tab w:val="left" w:pos="851"/>
        </w:tabs>
        <w:ind w:left="851"/>
        <w:rPr>
          <w:sz w:val="24"/>
          <w:szCs w:val="24"/>
          <w:u w:val="single"/>
          <w:lang w:val="nb-NO"/>
        </w:rPr>
      </w:pPr>
      <w:r>
        <w:rPr>
          <w:sz w:val="24"/>
          <w:szCs w:val="24"/>
          <w:u w:val="single"/>
          <w:lang w:val="nb-NO"/>
        </w:rPr>
        <w:t>360 mg</w:t>
      </w:r>
    </w:p>
    <w:p w:rsidR="001E3B69" w:rsidRPr="001E3B69" w:rsidRDefault="001E3B69" w:rsidP="001E3B69">
      <w:pPr>
        <w:tabs>
          <w:tab w:val="left" w:pos="851"/>
        </w:tabs>
        <w:ind w:left="851"/>
        <w:rPr>
          <w:sz w:val="24"/>
          <w:szCs w:val="24"/>
          <w:lang w:val="nb-NO"/>
        </w:rPr>
      </w:pPr>
      <w:r w:rsidRPr="001E3B69">
        <w:rPr>
          <w:sz w:val="24"/>
          <w:szCs w:val="24"/>
          <w:lang w:val="nb-NO"/>
        </w:rPr>
        <w:t>Hver tablet indeholder 360 mg deferasirox.</w:t>
      </w:r>
      <w:r w:rsidRPr="001E3B69">
        <w:rPr>
          <w:sz w:val="24"/>
          <w:szCs w:val="24"/>
          <w:lang w:val="nb-NO"/>
        </w:rPr>
        <w:br/>
      </w:r>
    </w:p>
    <w:p w:rsidR="001E3B69" w:rsidRPr="001E3B69" w:rsidRDefault="001E3B69" w:rsidP="001E3B69">
      <w:pPr>
        <w:tabs>
          <w:tab w:val="left" w:pos="851"/>
        </w:tabs>
        <w:ind w:left="851"/>
        <w:rPr>
          <w:sz w:val="24"/>
          <w:szCs w:val="24"/>
          <w:lang w:val="nb-NO"/>
        </w:rPr>
      </w:pPr>
      <w:r w:rsidRPr="001E3B69">
        <w:rPr>
          <w:sz w:val="24"/>
          <w:szCs w:val="24"/>
          <w:lang w:val="nb-NO"/>
        </w:rPr>
        <w:t>Alle hjælpestoffer er anført under pkt. 6.1.</w:t>
      </w:r>
    </w:p>
    <w:p w:rsidR="001E3B69" w:rsidRPr="001E3B69" w:rsidRDefault="001E3B69" w:rsidP="001E3B69">
      <w:pPr>
        <w:tabs>
          <w:tab w:val="left" w:pos="851"/>
        </w:tabs>
        <w:ind w:left="851"/>
        <w:rPr>
          <w:sz w:val="24"/>
          <w:szCs w:val="24"/>
          <w:lang w:val="nb-NO"/>
        </w:rPr>
      </w:pPr>
    </w:p>
    <w:p w:rsidR="009260DE" w:rsidRPr="001E3B69" w:rsidRDefault="009260DE" w:rsidP="009260DE">
      <w:pPr>
        <w:tabs>
          <w:tab w:val="left" w:pos="851"/>
        </w:tabs>
        <w:ind w:left="851"/>
        <w:rPr>
          <w:sz w:val="24"/>
          <w:szCs w:val="24"/>
          <w:lang w:val="nb-NO"/>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1E3B69" w:rsidRPr="001E3B69" w:rsidRDefault="001E3B69" w:rsidP="001E3B69">
      <w:pPr>
        <w:tabs>
          <w:tab w:val="left" w:pos="851"/>
        </w:tabs>
        <w:ind w:left="851"/>
        <w:rPr>
          <w:sz w:val="24"/>
          <w:szCs w:val="24"/>
          <w:lang w:val="nb-NO"/>
        </w:rPr>
      </w:pPr>
      <w:r w:rsidRPr="001E3B69">
        <w:rPr>
          <w:sz w:val="24"/>
          <w:szCs w:val="24"/>
          <w:lang w:val="nb-NO"/>
        </w:rPr>
        <w:t>Filmovertruk</w:t>
      </w:r>
      <w:r w:rsidR="009E2EAC">
        <w:rPr>
          <w:sz w:val="24"/>
          <w:szCs w:val="24"/>
          <w:lang w:val="nb-NO"/>
        </w:rPr>
        <w:t>ne</w:t>
      </w:r>
      <w:r w:rsidRPr="001E3B69">
        <w:rPr>
          <w:sz w:val="24"/>
          <w:szCs w:val="24"/>
          <w:lang w:val="nb-NO"/>
        </w:rPr>
        <w:t xml:space="preserve"> tablet</w:t>
      </w:r>
      <w:r w:rsidR="009E2EAC">
        <w:rPr>
          <w:sz w:val="24"/>
          <w:szCs w:val="24"/>
          <w:lang w:val="nb-NO"/>
        </w:rPr>
        <w:t>ter</w:t>
      </w:r>
      <w:r w:rsidRPr="001E3B69">
        <w:rPr>
          <w:sz w:val="24"/>
          <w:szCs w:val="24"/>
          <w:lang w:val="nb-NO"/>
        </w:rPr>
        <w:t xml:space="preserve"> (tablet</w:t>
      </w:r>
      <w:r w:rsidR="009E2EAC">
        <w:rPr>
          <w:sz w:val="24"/>
          <w:szCs w:val="24"/>
          <w:lang w:val="nb-NO"/>
        </w:rPr>
        <w:t>ter</w:t>
      </w:r>
      <w:r w:rsidRPr="001E3B69">
        <w:rPr>
          <w:sz w:val="24"/>
          <w:szCs w:val="24"/>
          <w:lang w:val="nb-NO"/>
        </w:rPr>
        <w:t>)</w:t>
      </w:r>
    </w:p>
    <w:p w:rsidR="001E3B69" w:rsidRPr="001E3B69" w:rsidRDefault="001E3B69" w:rsidP="001E3B69">
      <w:pPr>
        <w:tabs>
          <w:tab w:val="left" w:pos="851"/>
        </w:tabs>
        <w:ind w:left="851"/>
        <w:rPr>
          <w:sz w:val="24"/>
          <w:szCs w:val="24"/>
          <w:lang w:val="nb-NO"/>
        </w:rPr>
      </w:pPr>
    </w:p>
    <w:p w:rsidR="001E3B69" w:rsidRPr="001E3B69" w:rsidRDefault="009E2EAC" w:rsidP="001E3B69">
      <w:pPr>
        <w:tabs>
          <w:tab w:val="left" w:pos="851"/>
        </w:tabs>
        <w:ind w:left="851"/>
        <w:rPr>
          <w:sz w:val="24"/>
          <w:szCs w:val="24"/>
          <w:u w:val="single"/>
          <w:lang w:val="nb-NO"/>
        </w:rPr>
      </w:pPr>
      <w:r>
        <w:rPr>
          <w:sz w:val="24"/>
          <w:szCs w:val="24"/>
          <w:u w:val="single"/>
          <w:lang w:val="nb-NO"/>
        </w:rPr>
        <w:t>90 mg</w:t>
      </w:r>
    </w:p>
    <w:p w:rsidR="001E3B69" w:rsidRPr="001E3B69" w:rsidRDefault="001E3B69" w:rsidP="001E3B69">
      <w:pPr>
        <w:tabs>
          <w:tab w:val="left" w:pos="851"/>
        </w:tabs>
        <w:ind w:left="851"/>
        <w:rPr>
          <w:sz w:val="24"/>
          <w:szCs w:val="24"/>
          <w:lang w:val="nb-NO"/>
        </w:rPr>
      </w:pPr>
      <w:bookmarkStart w:id="1" w:name="_Hlk62457281"/>
      <w:r w:rsidRPr="001E3B69">
        <w:rPr>
          <w:sz w:val="24"/>
          <w:szCs w:val="24"/>
          <w:lang w:val="nb-NO"/>
        </w:rPr>
        <w:t xml:space="preserve">Lyseblå, oval, bikonveks, filmovertrukket tablet med skrå kanter, præget med </w:t>
      </w:r>
      <w:r w:rsidR="00EA6B70">
        <w:rPr>
          <w:sz w:val="24"/>
          <w:szCs w:val="24"/>
          <w:lang w:val="nb-NO"/>
        </w:rPr>
        <w:t>"</w:t>
      </w:r>
      <w:r w:rsidRPr="001E3B69">
        <w:rPr>
          <w:sz w:val="24"/>
          <w:szCs w:val="24"/>
          <w:lang w:val="nb-NO"/>
        </w:rPr>
        <w:t>L</w:t>
      </w:r>
      <w:r w:rsidR="00EA6B70">
        <w:rPr>
          <w:sz w:val="24"/>
          <w:szCs w:val="24"/>
          <w:lang w:val="nb-NO"/>
        </w:rPr>
        <w:t>"</w:t>
      </w:r>
      <w:r w:rsidRPr="001E3B69">
        <w:rPr>
          <w:sz w:val="24"/>
          <w:szCs w:val="24"/>
          <w:lang w:val="nb-NO"/>
        </w:rPr>
        <w:t xml:space="preserve"> på den ene side og </w:t>
      </w:r>
      <w:r w:rsidR="00EA6B70">
        <w:rPr>
          <w:sz w:val="24"/>
          <w:szCs w:val="24"/>
          <w:lang w:val="nb-NO"/>
        </w:rPr>
        <w:t>"</w:t>
      </w:r>
      <w:r w:rsidRPr="001E3B69">
        <w:rPr>
          <w:sz w:val="24"/>
          <w:szCs w:val="24"/>
          <w:lang w:val="nb-NO"/>
        </w:rPr>
        <w:t>663</w:t>
      </w:r>
      <w:r w:rsidR="00EA6B70">
        <w:rPr>
          <w:sz w:val="24"/>
          <w:szCs w:val="24"/>
          <w:lang w:val="nb-NO"/>
        </w:rPr>
        <w:t>"</w:t>
      </w:r>
      <w:r w:rsidRPr="001E3B69">
        <w:rPr>
          <w:sz w:val="24"/>
          <w:szCs w:val="24"/>
          <w:lang w:val="nb-NO"/>
        </w:rPr>
        <w:t xml:space="preserve"> på den anden side. Omtrentlige tabletdimensioner 10</w:t>
      </w:r>
      <w:r w:rsidR="00EA6B70">
        <w:rPr>
          <w:sz w:val="24"/>
          <w:szCs w:val="24"/>
          <w:lang w:val="nb-NO"/>
        </w:rPr>
        <w:t>×</w:t>
      </w:r>
      <w:r w:rsidRPr="001E3B69">
        <w:rPr>
          <w:sz w:val="24"/>
          <w:szCs w:val="24"/>
          <w:lang w:val="nb-NO"/>
        </w:rPr>
        <w:t xml:space="preserve">4 mm. </w:t>
      </w:r>
    </w:p>
    <w:bookmarkEnd w:id="1"/>
    <w:p w:rsidR="001E3B69" w:rsidRPr="001E3B69" w:rsidRDefault="001E3B69" w:rsidP="001E3B69">
      <w:pPr>
        <w:tabs>
          <w:tab w:val="left" w:pos="851"/>
        </w:tabs>
        <w:ind w:left="851"/>
        <w:rPr>
          <w:sz w:val="24"/>
          <w:szCs w:val="24"/>
          <w:lang w:val="nb-NO"/>
        </w:rPr>
      </w:pPr>
    </w:p>
    <w:p w:rsidR="001E3B69" w:rsidRPr="001E3B69" w:rsidRDefault="009E2EAC" w:rsidP="001E3B69">
      <w:pPr>
        <w:tabs>
          <w:tab w:val="left" w:pos="851"/>
        </w:tabs>
        <w:ind w:left="851"/>
        <w:rPr>
          <w:sz w:val="24"/>
          <w:szCs w:val="24"/>
          <w:u w:val="single"/>
          <w:lang w:val="nb-NO"/>
        </w:rPr>
      </w:pPr>
      <w:r>
        <w:rPr>
          <w:sz w:val="24"/>
          <w:szCs w:val="24"/>
          <w:u w:val="single"/>
          <w:lang w:val="nb-NO"/>
        </w:rPr>
        <w:t>180 mg</w:t>
      </w:r>
    </w:p>
    <w:p w:rsidR="001E3B69" w:rsidRPr="001E3B69" w:rsidRDefault="001E3B69" w:rsidP="001E3B69">
      <w:pPr>
        <w:tabs>
          <w:tab w:val="left" w:pos="851"/>
        </w:tabs>
        <w:ind w:left="851"/>
        <w:rPr>
          <w:sz w:val="24"/>
          <w:szCs w:val="24"/>
          <w:lang w:val="nb-NO"/>
        </w:rPr>
      </w:pPr>
      <w:bookmarkStart w:id="2" w:name="_Hlk62457322"/>
      <w:r w:rsidRPr="001E3B69">
        <w:rPr>
          <w:sz w:val="24"/>
          <w:szCs w:val="24"/>
          <w:lang w:val="nb-NO"/>
        </w:rPr>
        <w:t xml:space="preserve">Mellemblå, oval, bikonveks, filmovertrukket tablet med skrå kanter, præget med </w:t>
      </w:r>
      <w:r w:rsidR="00EA6B70">
        <w:rPr>
          <w:sz w:val="24"/>
          <w:szCs w:val="24"/>
          <w:lang w:val="nb-NO"/>
        </w:rPr>
        <w:t>"</w:t>
      </w:r>
      <w:r w:rsidRPr="001E3B69">
        <w:rPr>
          <w:sz w:val="24"/>
          <w:szCs w:val="24"/>
          <w:lang w:val="nb-NO"/>
        </w:rPr>
        <w:t>L</w:t>
      </w:r>
      <w:r w:rsidR="00EA6B70">
        <w:rPr>
          <w:sz w:val="24"/>
          <w:szCs w:val="24"/>
          <w:lang w:val="nb-NO"/>
        </w:rPr>
        <w:t>"</w:t>
      </w:r>
      <w:r w:rsidRPr="001E3B69">
        <w:rPr>
          <w:sz w:val="24"/>
          <w:szCs w:val="24"/>
          <w:lang w:val="nb-NO"/>
        </w:rPr>
        <w:t xml:space="preserve"> på den ene side og </w:t>
      </w:r>
      <w:r w:rsidR="00EA6B70">
        <w:rPr>
          <w:sz w:val="24"/>
          <w:szCs w:val="24"/>
          <w:lang w:val="nb-NO"/>
        </w:rPr>
        <w:t>"</w:t>
      </w:r>
      <w:r w:rsidRPr="001E3B69">
        <w:rPr>
          <w:sz w:val="24"/>
          <w:szCs w:val="24"/>
          <w:lang w:val="nb-NO"/>
        </w:rPr>
        <w:t>664</w:t>
      </w:r>
      <w:r w:rsidR="00EA6B70">
        <w:rPr>
          <w:sz w:val="24"/>
          <w:szCs w:val="24"/>
          <w:lang w:val="nb-NO"/>
        </w:rPr>
        <w:t>"</w:t>
      </w:r>
      <w:r w:rsidRPr="001E3B69">
        <w:rPr>
          <w:sz w:val="24"/>
          <w:szCs w:val="24"/>
          <w:lang w:val="nb-NO"/>
        </w:rPr>
        <w:t xml:space="preserve"> på den anden side. Omtrentlige tabletdimensioner 13</w:t>
      </w:r>
      <w:r w:rsidR="00EA6B70">
        <w:rPr>
          <w:sz w:val="24"/>
          <w:szCs w:val="24"/>
          <w:lang w:val="nb-NO"/>
        </w:rPr>
        <w:t>×</w:t>
      </w:r>
      <w:r w:rsidRPr="001E3B69">
        <w:rPr>
          <w:sz w:val="24"/>
          <w:szCs w:val="24"/>
          <w:lang w:val="nb-NO"/>
        </w:rPr>
        <w:t xml:space="preserve">5 mm. </w:t>
      </w:r>
    </w:p>
    <w:bookmarkEnd w:id="2"/>
    <w:p w:rsidR="001E3B69" w:rsidRPr="001E3B69" w:rsidRDefault="001E3B69" w:rsidP="001E3B69">
      <w:pPr>
        <w:tabs>
          <w:tab w:val="left" w:pos="851"/>
        </w:tabs>
        <w:ind w:left="851"/>
        <w:rPr>
          <w:sz w:val="24"/>
          <w:szCs w:val="24"/>
          <w:lang w:val="nb-NO"/>
        </w:rPr>
      </w:pPr>
    </w:p>
    <w:p w:rsidR="001E3B69" w:rsidRPr="001E3B69" w:rsidRDefault="009E2EAC" w:rsidP="001E3B69">
      <w:pPr>
        <w:tabs>
          <w:tab w:val="left" w:pos="851"/>
        </w:tabs>
        <w:ind w:left="851"/>
        <w:rPr>
          <w:sz w:val="24"/>
          <w:szCs w:val="24"/>
          <w:u w:val="single"/>
          <w:lang w:val="nb-NO"/>
        </w:rPr>
      </w:pPr>
      <w:r>
        <w:rPr>
          <w:sz w:val="24"/>
          <w:szCs w:val="24"/>
          <w:u w:val="single"/>
          <w:lang w:val="nb-NO"/>
        </w:rPr>
        <w:t>360 mg</w:t>
      </w:r>
    </w:p>
    <w:p w:rsidR="001E3B69" w:rsidRPr="001E3B69" w:rsidRDefault="001E3B69" w:rsidP="001E3B69">
      <w:pPr>
        <w:tabs>
          <w:tab w:val="left" w:pos="851"/>
        </w:tabs>
        <w:ind w:left="851"/>
        <w:rPr>
          <w:sz w:val="24"/>
          <w:szCs w:val="24"/>
        </w:rPr>
      </w:pPr>
      <w:bookmarkStart w:id="3" w:name="_Hlk62457333"/>
      <w:r w:rsidRPr="001E3B69">
        <w:rPr>
          <w:sz w:val="24"/>
          <w:szCs w:val="24"/>
          <w:lang w:val="nb-NO"/>
        </w:rPr>
        <w:t xml:space="preserve">Mørkeblå, oval, bikonveks, filmovertrukket tablet med skrå kanter, præget med </w:t>
      </w:r>
      <w:r w:rsidR="00EA6B70">
        <w:rPr>
          <w:sz w:val="24"/>
          <w:szCs w:val="24"/>
          <w:lang w:val="nb-NO"/>
        </w:rPr>
        <w:t>"</w:t>
      </w:r>
      <w:r w:rsidRPr="001E3B69">
        <w:rPr>
          <w:sz w:val="24"/>
          <w:szCs w:val="24"/>
          <w:lang w:val="nb-NO"/>
        </w:rPr>
        <w:t>L</w:t>
      </w:r>
      <w:r w:rsidR="00EA6B70">
        <w:rPr>
          <w:sz w:val="24"/>
          <w:szCs w:val="24"/>
          <w:lang w:val="nb-NO"/>
        </w:rPr>
        <w:t>"</w:t>
      </w:r>
      <w:r w:rsidRPr="001E3B69">
        <w:rPr>
          <w:sz w:val="24"/>
          <w:szCs w:val="24"/>
          <w:lang w:val="nb-NO"/>
        </w:rPr>
        <w:t xml:space="preserve"> på den ene side og </w:t>
      </w:r>
      <w:r w:rsidR="00EA6B70">
        <w:rPr>
          <w:sz w:val="24"/>
          <w:szCs w:val="24"/>
          <w:lang w:val="nb-NO"/>
        </w:rPr>
        <w:t>"</w:t>
      </w:r>
      <w:r w:rsidRPr="001E3B69">
        <w:rPr>
          <w:sz w:val="24"/>
          <w:szCs w:val="24"/>
          <w:lang w:val="nb-NO"/>
        </w:rPr>
        <w:t>665</w:t>
      </w:r>
      <w:r w:rsidR="00EA6B70">
        <w:rPr>
          <w:sz w:val="24"/>
          <w:szCs w:val="24"/>
          <w:lang w:val="nb-NO"/>
        </w:rPr>
        <w:t>"</w:t>
      </w:r>
      <w:r w:rsidRPr="001E3B69">
        <w:rPr>
          <w:sz w:val="24"/>
          <w:szCs w:val="24"/>
          <w:lang w:val="nb-NO"/>
        </w:rPr>
        <w:t xml:space="preserve"> på den anden side.</w:t>
      </w:r>
      <w:r w:rsidR="00D40514">
        <w:rPr>
          <w:sz w:val="24"/>
          <w:szCs w:val="24"/>
          <w:lang w:val="nb-NO"/>
        </w:rPr>
        <w:t xml:space="preserve"> </w:t>
      </w:r>
      <w:r w:rsidRPr="001E3B69">
        <w:rPr>
          <w:sz w:val="24"/>
          <w:szCs w:val="24"/>
        </w:rPr>
        <w:t>Omtrentlige tabletdimensioner 17</w:t>
      </w:r>
      <w:r w:rsidR="00EA6B70">
        <w:rPr>
          <w:sz w:val="24"/>
          <w:szCs w:val="24"/>
        </w:rPr>
        <w:t>×</w:t>
      </w:r>
      <w:r w:rsidRPr="001E3B69">
        <w:rPr>
          <w:sz w:val="24"/>
          <w:szCs w:val="24"/>
        </w:rPr>
        <w:t>7 mm.</w:t>
      </w:r>
      <w:bookmarkEnd w:id="3"/>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E37F0" w:rsidRPr="00CE37F0" w:rsidRDefault="00CE37F0" w:rsidP="00CE37F0">
      <w:pPr>
        <w:tabs>
          <w:tab w:val="left" w:pos="851"/>
        </w:tabs>
        <w:ind w:left="851"/>
        <w:rPr>
          <w:sz w:val="24"/>
          <w:szCs w:val="24"/>
        </w:rPr>
      </w:pPr>
      <w:r w:rsidRPr="00CE37F0">
        <w:rPr>
          <w:sz w:val="24"/>
          <w:szCs w:val="24"/>
        </w:rPr>
        <w:t xml:space="preserve">Deferasirox "Orifarm" er indiceret til behandling af kronisk jernophobning forårsaget af hyppige blodtransfusioner (≥ 7 ml/kg/måned pakkede røde blodceller) hos patienter i alderen 6 år og ældre, der har beta-talassæmi major. </w:t>
      </w:r>
    </w:p>
    <w:p w:rsidR="00CE37F0" w:rsidRPr="00CE37F0" w:rsidRDefault="00CE37F0" w:rsidP="00CE37F0">
      <w:pPr>
        <w:tabs>
          <w:tab w:val="left" w:pos="851"/>
        </w:tabs>
        <w:ind w:left="851"/>
        <w:rPr>
          <w:sz w:val="24"/>
          <w:szCs w:val="24"/>
        </w:rPr>
      </w:pPr>
    </w:p>
    <w:p w:rsidR="00CE37F0" w:rsidRPr="00CE37F0" w:rsidRDefault="00CE37F0" w:rsidP="00CE37F0">
      <w:pPr>
        <w:tabs>
          <w:tab w:val="left" w:pos="851"/>
        </w:tabs>
        <w:ind w:left="851"/>
        <w:rPr>
          <w:sz w:val="24"/>
          <w:szCs w:val="24"/>
        </w:rPr>
      </w:pPr>
      <w:r w:rsidRPr="00CE37F0">
        <w:rPr>
          <w:sz w:val="24"/>
          <w:szCs w:val="24"/>
        </w:rPr>
        <w:t xml:space="preserve">Deferasirox "Orifarm" er yderligere indiceret til behandling af kronisk jernophobning, forårsaget af blodtransfusioner, i de tilfælde hvor deferoxamin-behandling er kontraindiceret eller utilstrækkelig. Indikationen gælder for de følgende patientgrupper: </w:t>
      </w:r>
    </w:p>
    <w:p w:rsidR="00CE37F0" w:rsidRPr="00CE37F0" w:rsidRDefault="00CE37F0" w:rsidP="00CE37F0">
      <w:pPr>
        <w:numPr>
          <w:ilvl w:val="0"/>
          <w:numId w:val="6"/>
        </w:numPr>
        <w:tabs>
          <w:tab w:val="left" w:pos="851"/>
        </w:tabs>
        <w:rPr>
          <w:sz w:val="24"/>
          <w:szCs w:val="24"/>
        </w:rPr>
      </w:pPr>
      <w:r w:rsidRPr="00CE37F0">
        <w:rPr>
          <w:sz w:val="24"/>
          <w:szCs w:val="24"/>
        </w:rPr>
        <w:t xml:space="preserve">pædiatriske patienter med beta-talassæmi major med jernophobning forårsaget af regelmæssige blodtransfusioner (≥ 7 ml/kg/måned af pakkede røde blodceller) i alderen 2 til 5 år, </w:t>
      </w:r>
    </w:p>
    <w:p w:rsidR="00CE37F0" w:rsidRPr="00CE37F0" w:rsidRDefault="00CE37F0" w:rsidP="00CE37F0">
      <w:pPr>
        <w:numPr>
          <w:ilvl w:val="0"/>
          <w:numId w:val="6"/>
        </w:numPr>
        <w:tabs>
          <w:tab w:val="left" w:pos="851"/>
        </w:tabs>
        <w:rPr>
          <w:sz w:val="24"/>
          <w:szCs w:val="24"/>
        </w:rPr>
      </w:pPr>
      <w:r w:rsidRPr="00CE37F0">
        <w:rPr>
          <w:sz w:val="24"/>
          <w:szCs w:val="24"/>
        </w:rPr>
        <w:t xml:space="preserve">voksne og pædiatriske patienter med beta-talassæmi major med jernophobning forårsaget af sjældne blodtransfusioner (&lt; 7 ml/kg/måned pakkede røde blodceller) i alderen 2 år og derover, </w:t>
      </w:r>
    </w:p>
    <w:p w:rsidR="00CE37F0" w:rsidRPr="00CE37F0" w:rsidRDefault="00CE37F0" w:rsidP="00CE37F0">
      <w:pPr>
        <w:numPr>
          <w:ilvl w:val="0"/>
          <w:numId w:val="6"/>
        </w:numPr>
        <w:tabs>
          <w:tab w:val="left" w:pos="851"/>
        </w:tabs>
        <w:rPr>
          <w:sz w:val="24"/>
          <w:szCs w:val="24"/>
        </w:rPr>
      </w:pPr>
      <w:r w:rsidRPr="00CE37F0">
        <w:rPr>
          <w:sz w:val="24"/>
          <w:szCs w:val="24"/>
        </w:rPr>
        <w:t xml:space="preserve">voksne og pædiatriske patienter med andre anæmier i alderen 2 år og derover. </w:t>
      </w:r>
    </w:p>
    <w:p w:rsidR="00CE37F0" w:rsidRPr="00CE37F0" w:rsidRDefault="00CE37F0" w:rsidP="00CE37F0">
      <w:pPr>
        <w:tabs>
          <w:tab w:val="left" w:pos="851"/>
        </w:tabs>
        <w:ind w:left="851"/>
        <w:rPr>
          <w:sz w:val="24"/>
          <w:szCs w:val="24"/>
        </w:rPr>
      </w:pPr>
    </w:p>
    <w:p w:rsidR="00CE37F0" w:rsidRPr="00CE37F0" w:rsidRDefault="00CE37F0" w:rsidP="00CE37F0">
      <w:pPr>
        <w:tabs>
          <w:tab w:val="left" w:pos="851"/>
        </w:tabs>
        <w:ind w:left="851"/>
        <w:rPr>
          <w:sz w:val="24"/>
          <w:szCs w:val="24"/>
        </w:rPr>
      </w:pPr>
      <w:r w:rsidRPr="00CE37F0">
        <w:rPr>
          <w:sz w:val="24"/>
          <w:szCs w:val="24"/>
        </w:rPr>
        <w:t>Hos patienter i alderen 10 år og derover med ikke-transfusionsafhængige talassæmi-syndromer er Deferasirox "Orifarm" indiceret til behandling af kronisk jernophobning, der kræver kelatbehandling, når deferoxamin-behandling er kontraindiceret eller utilstrækkelig.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D40514">
        <w:rPr>
          <w:b/>
          <w:sz w:val="24"/>
          <w:szCs w:val="24"/>
        </w:rPr>
        <w:t>administration</w:t>
      </w:r>
    </w:p>
    <w:p w:rsidR="00173256" w:rsidRPr="00173256" w:rsidRDefault="00173256" w:rsidP="00173256">
      <w:pPr>
        <w:tabs>
          <w:tab w:val="left" w:pos="851"/>
        </w:tabs>
        <w:ind w:left="851"/>
        <w:rPr>
          <w:sz w:val="24"/>
          <w:szCs w:val="24"/>
        </w:rPr>
      </w:pPr>
      <w:r w:rsidRPr="00173256">
        <w:rPr>
          <w:sz w:val="24"/>
          <w:szCs w:val="24"/>
        </w:rPr>
        <w:t>Behandling med Deferasirox "Orifarm" skal påbegyndes og vedligeholdes af læger med erfaring i behandling af kronisk jernophobning.</w:t>
      </w:r>
    </w:p>
    <w:p w:rsidR="00173256" w:rsidRPr="00173256" w:rsidRDefault="00173256" w:rsidP="00173256">
      <w:pPr>
        <w:tabs>
          <w:tab w:val="left" w:pos="851"/>
        </w:tabs>
        <w:ind w:left="851"/>
        <w:rPr>
          <w:sz w:val="24"/>
          <w:szCs w:val="24"/>
        </w:rPr>
      </w:pPr>
    </w:p>
    <w:p w:rsidR="00173256" w:rsidRPr="00180858" w:rsidRDefault="00173256" w:rsidP="00173256">
      <w:pPr>
        <w:tabs>
          <w:tab w:val="left" w:pos="851"/>
        </w:tabs>
        <w:ind w:left="851"/>
        <w:rPr>
          <w:b/>
          <w:sz w:val="24"/>
          <w:szCs w:val="24"/>
        </w:rPr>
      </w:pPr>
      <w:r w:rsidRPr="00180858">
        <w:rPr>
          <w:b/>
          <w:sz w:val="24"/>
          <w:szCs w:val="24"/>
        </w:rPr>
        <w:t>Dosering</w:t>
      </w:r>
    </w:p>
    <w:p w:rsidR="00173256" w:rsidRPr="00173256" w:rsidRDefault="00173256" w:rsidP="00173256">
      <w:pPr>
        <w:tabs>
          <w:tab w:val="left" w:pos="851"/>
        </w:tabs>
        <w:ind w:left="851"/>
        <w:rPr>
          <w:sz w:val="24"/>
          <w:szCs w:val="24"/>
          <w:u w:val="single"/>
        </w:rPr>
      </w:pPr>
    </w:p>
    <w:p w:rsidR="00173256" w:rsidRPr="00180858" w:rsidRDefault="00173256" w:rsidP="00173256">
      <w:pPr>
        <w:pStyle w:val="Default"/>
        <w:ind w:firstLine="851"/>
        <w:rPr>
          <w:iCs/>
          <w:u w:val="single"/>
        </w:rPr>
      </w:pPr>
      <w:r w:rsidRPr="00180858">
        <w:rPr>
          <w:iCs/>
          <w:u w:val="single"/>
        </w:rPr>
        <w:t xml:space="preserve">Transfusionsbetinget jernophobning </w:t>
      </w:r>
    </w:p>
    <w:p w:rsidR="00173256" w:rsidRPr="00173256" w:rsidRDefault="00173256" w:rsidP="00173256">
      <w:pPr>
        <w:pStyle w:val="Default"/>
        <w:ind w:left="851"/>
      </w:pPr>
      <w:r w:rsidRPr="00173256">
        <w:t xml:space="preserve">Det anbefales, at behandlingen påbegyndes efter transfusion af omkring 20 enheder (cirka 100 ml/kg) pakkede røde blodceller (PRBC), eller når klinisk monitorering afdækker tegn på, at kronisk jernophobning er til stede (fx serum-ferritin &gt; 1.000 μg/l). Doser (i mg/kg) skal beregnes og afrundes til nærmeste hele tabletstørrelse. </w:t>
      </w:r>
    </w:p>
    <w:p w:rsidR="00173256" w:rsidRPr="00173256" w:rsidRDefault="00173256" w:rsidP="00173256">
      <w:pPr>
        <w:pStyle w:val="Default"/>
        <w:ind w:left="851"/>
      </w:pPr>
    </w:p>
    <w:p w:rsidR="00173256" w:rsidRPr="00173256" w:rsidRDefault="00173256" w:rsidP="00173256">
      <w:pPr>
        <w:pStyle w:val="Default"/>
        <w:ind w:left="851"/>
      </w:pPr>
      <w:r w:rsidRPr="00173256">
        <w:t xml:space="preserve">Målene med kelatbehandling er at fjerne mængden af jern, der administreres i transfusioner og, om nødvendigt, at reducere den eksisterende jernbelastning. </w:t>
      </w:r>
    </w:p>
    <w:p w:rsidR="00173256" w:rsidRPr="00173256" w:rsidRDefault="00173256" w:rsidP="00173256">
      <w:pPr>
        <w:pStyle w:val="Default"/>
        <w:ind w:left="851"/>
      </w:pPr>
    </w:p>
    <w:p w:rsidR="00173256" w:rsidRPr="00173256" w:rsidRDefault="00173256" w:rsidP="00C21FB5">
      <w:pPr>
        <w:pStyle w:val="Default"/>
        <w:ind w:left="851"/>
      </w:pPr>
      <w:r w:rsidRPr="00173256">
        <w:t xml:space="preserve">Der skal udvises forsigtighed hos alle patienter under kelatbehandling for at minimere risikoen for overkelering (se pkt. 4.4). </w:t>
      </w:r>
    </w:p>
    <w:p w:rsidR="00173256" w:rsidRPr="00173256" w:rsidRDefault="00173256" w:rsidP="00C21FB5">
      <w:pPr>
        <w:pStyle w:val="Default"/>
        <w:ind w:left="851"/>
      </w:pPr>
    </w:p>
    <w:p w:rsidR="00180858" w:rsidRDefault="00C21FB5" w:rsidP="00C21FB5">
      <w:pPr>
        <w:ind w:left="851"/>
        <w:rPr>
          <w:sz w:val="24"/>
          <w:szCs w:val="24"/>
        </w:rPr>
      </w:pPr>
      <w:r w:rsidRPr="00C21FB5">
        <w:rPr>
          <w:sz w:val="24"/>
          <w:szCs w:val="24"/>
        </w:rPr>
        <w:t>I EU fås lægemidler, der indeholder deferasirox som filmovertrukne tabletter og dispergible tabletter. Disse markedsføres under forskellige handelsnavne. På grund af forskellige farmakokinetiske profiler, er en 30 % lavere dosis af filmovertrukne deferasiroxtabletter nødvendig sammenlignet med den anbefalede dosis for dispergible deferasiroxtabletter (se pkt. 5.1).</w:t>
      </w:r>
    </w:p>
    <w:p w:rsidR="006D24BC" w:rsidRDefault="006D24BC">
      <w:pPr>
        <w:rPr>
          <w:sz w:val="24"/>
          <w:szCs w:val="24"/>
        </w:rPr>
      </w:pPr>
      <w:r>
        <w:rPr>
          <w:sz w:val="24"/>
          <w:szCs w:val="24"/>
        </w:rPr>
        <w:br w:type="page"/>
      </w:r>
    </w:p>
    <w:p w:rsidR="00173256" w:rsidRPr="00173256" w:rsidRDefault="00173256" w:rsidP="00173256">
      <w:pPr>
        <w:tabs>
          <w:tab w:val="left" w:pos="851"/>
        </w:tabs>
        <w:ind w:left="851"/>
        <w:rPr>
          <w:sz w:val="24"/>
          <w:szCs w:val="24"/>
        </w:rPr>
      </w:pPr>
    </w:p>
    <w:p w:rsidR="00173256" w:rsidRPr="00173256" w:rsidRDefault="00173256" w:rsidP="00173256">
      <w:pPr>
        <w:tabs>
          <w:tab w:val="left" w:pos="851"/>
        </w:tabs>
        <w:ind w:left="851"/>
        <w:rPr>
          <w:sz w:val="24"/>
          <w:szCs w:val="24"/>
        </w:rPr>
      </w:pPr>
      <w:r w:rsidRPr="00173256">
        <w:rPr>
          <w:sz w:val="24"/>
          <w:szCs w:val="24"/>
          <w:u w:val="single"/>
        </w:rPr>
        <w:t>Tabel 1</w:t>
      </w:r>
      <w:r w:rsidRPr="00173256">
        <w:rPr>
          <w:sz w:val="24"/>
          <w:szCs w:val="24"/>
        </w:rPr>
        <w:t xml:space="preserve"> </w:t>
      </w:r>
      <w:r w:rsidRPr="00173256">
        <w:rPr>
          <w:sz w:val="24"/>
          <w:szCs w:val="24"/>
        </w:rPr>
        <w:tab/>
        <w:t>Anbefalet dosis til jernophobning grundet transfusioner</w:t>
      </w:r>
    </w:p>
    <w:p w:rsidR="00173256" w:rsidRDefault="00173256" w:rsidP="00173256">
      <w:pPr>
        <w:rPr>
          <w:sz w:val="22"/>
          <w:szCs w:val="22"/>
        </w:rPr>
      </w:pPr>
    </w:p>
    <w:tbl>
      <w:tblPr>
        <w:tblStyle w:val="Almindeligtabel2"/>
        <w:tblW w:w="8361" w:type="dxa"/>
        <w:tblInd w:w="851" w:type="dxa"/>
        <w:tblLook w:val="04A0" w:firstRow="1" w:lastRow="0" w:firstColumn="1" w:lastColumn="0" w:noHBand="0" w:noVBand="1"/>
      </w:tblPr>
      <w:tblGrid>
        <w:gridCol w:w="1488"/>
        <w:gridCol w:w="1841"/>
        <w:gridCol w:w="2847"/>
        <w:gridCol w:w="804"/>
        <w:gridCol w:w="1381"/>
      </w:tblGrid>
      <w:tr w:rsidR="006D24BC" w:rsidTr="005F52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8" w:type="dxa"/>
            <w:tcBorders>
              <w:top w:val="single" w:sz="4" w:space="0" w:color="7F7F7F" w:themeColor="text1" w:themeTint="80"/>
              <w:left w:val="nil"/>
              <w:right w:val="nil"/>
            </w:tcBorders>
          </w:tcPr>
          <w:p w:rsidR="006D24BC" w:rsidRPr="00173256" w:rsidRDefault="006D24BC">
            <w:pPr>
              <w:rPr>
                <w:sz w:val="22"/>
                <w:szCs w:val="22"/>
                <w:lang w:val="da-DK"/>
              </w:rPr>
            </w:pPr>
          </w:p>
        </w:tc>
        <w:tc>
          <w:tcPr>
            <w:tcW w:w="1841" w:type="dxa"/>
            <w:tcBorders>
              <w:top w:val="single" w:sz="4" w:space="0" w:color="7F7F7F" w:themeColor="text1" w:themeTint="80"/>
              <w:left w:val="nil"/>
              <w:right w:val="nil"/>
            </w:tcBorders>
            <w:hideMark/>
          </w:tcPr>
          <w:p w:rsidR="006D24BC" w:rsidRDefault="006D24BC">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Filmovertrukne tabletter</w:t>
            </w:r>
          </w:p>
        </w:tc>
        <w:tc>
          <w:tcPr>
            <w:tcW w:w="2847" w:type="dxa"/>
            <w:tcBorders>
              <w:top w:val="single" w:sz="4" w:space="0" w:color="7F7F7F" w:themeColor="text1" w:themeTint="80"/>
              <w:left w:val="nil"/>
              <w:right w:val="nil"/>
            </w:tcBorders>
            <w:hideMark/>
          </w:tcPr>
          <w:p w:rsidR="006D24BC" w:rsidRDefault="006D24BC">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Transfusioner</w:t>
            </w:r>
          </w:p>
        </w:tc>
        <w:tc>
          <w:tcPr>
            <w:tcW w:w="804" w:type="dxa"/>
            <w:tcBorders>
              <w:top w:val="single" w:sz="4" w:space="0" w:color="7F7F7F" w:themeColor="text1" w:themeTint="80"/>
              <w:left w:val="nil"/>
              <w:right w:val="nil"/>
            </w:tcBorders>
          </w:tcPr>
          <w:p w:rsidR="006D24BC" w:rsidRDefault="006D24BC">
            <w:pPr>
              <w:cnfStyle w:val="100000000000" w:firstRow="1" w:lastRow="0" w:firstColumn="0" w:lastColumn="0" w:oddVBand="0" w:evenVBand="0" w:oddHBand="0" w:evenHBand="0" w:firstRowFirstColumn="0" w:firstRowLastColumn="0" w:lastRowFirstColumn="0" w:lastRowLastColumn="0"/>
              <w:rPr>
                <w:sz w:val="22"/>
                <w:szCs w:val="22"/>
              </w:rPr>
            </w:pPr>
          </w:p>
        </w:tc>
        <w:tc>
          <w:tcPr>
            <w:tcW w:w="1381" w:type="dxa"/>
            <w:tcBorders>
              <w:top w:val="single" w:sz="4" w:space="0" w:color="7F7F7F" w:themeColor="text1" w:themeTint="80"/>
              <w:left w:val="nil"/>
              <w:right w:val="nil"/>
            </w:tcBorders>
            <w:hideMark/>
          </w:tcPr>
          <w:p w:rsidR="006D24BC" w:rsidRDefault="006D24BC">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Serum-ferritin</w:t>
            </w:r>
          </w:p>
        </w:tc>
      </w:tr>
      <w:tr w:rsidR="006D24BC" w:rsidTr="005F52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8" w:type="dxa"/>
            <w:tcBorders>
              <w:left w:val="nil"/>
              <w:right w:val="nil"/>
            </w:tcBorders>
          </w:tcPr>
          <w:p w:rsidR="006D24BC" w:rsidRPr="00173256" w:rsidRDefault="006D24BC">
            <w:pPr>
              <w:rPr>
                <w:b w:val="0"/>
                <w:bCs w:val="0"/>
                <w:sz w:val="22"/>
                <w:szCs w:val="22"/>
                <w:lang w:val="da-DK"/>
              </w:rPr>
            </w:pPr>
            <w:r w:rsidRPr="00173256">
              <w:rPr>
                <w:sz w:val="22"/>
                <w:szCs w:val="22"/>
                <w:lang w:val="da-DK"/>
              </w:rPr>
              <w:t>Startdosis</w:t>
            </w:r>
          </w:p>
          <w:p w:rsidR="006D24BC" w:rsidRPr="00173256" w:rsidRDefault="006D24BC">
            <w:pPr>
              <w:rPr>
                <w:b w:val="0"/>
                <w:bCs w:val="0"/>
                <w:sz w:val="22"/>
                <w:szCs w:val="22"/>
                <w:lang w:val="da-DK"/>
              </w:rPr>
            </w:pPr>
          </w:p>
          <w:p w:rsidR="006D24BC" w:rsidRPr="00173256" w:rsidRDefault="006D24BC">
            <w:pPr>
              <w:rPr>
                <w:b w:val="0"/>
                <w:bCs w:val="0"/>
                <w:sz w:val="22"/>
                <w:szCs w:val="22"/>
                <w:lang w:val="da-DK"/>
              </w:rPr>
            </w:pPr>
          </w:p>
          <w:p w:rsidR="006D24BC" w:rsidRPr="00173256" w:rsidRDefault="006D24BC">
            <w:pPr>
              <w:rPr>
                <w:b w:val="0"/>
                <w:bCs w:val="0"/>
                <w:sz w:val="22"/>
                <w:szCs w:val="22"/>
                <w:lang w:val="da-DK"/>
              </w:rPr>
            </w:pPr>
            <w:r w:rsidRPr="00173256">
              <w:rPr>
                <w:sz w:val="22"/>
                <w:szCs w:val="22"/>
                <w:lang w:val="da-DK"/>
              </w:rPr>
              <w:t>Alternativ startdosis</w:t>
            </w:r>
          </w:p>
          <w:p w:rsidR="006D24BC" w:rsidRPr="00173256" w:rsidRDefault="006D24BC">
            <w:pPr>
              <w:rPr>
                <w:b w:val="0"/>
                <w:bCs w:val="0"/>
                <w:sz w:val="22"/>
                <w:szCs w:val="22"/>
                <w:lang w:val="da-DK"/>
              </w:rPr>
            </w:pPr>
          </w:p>
          <w:p w:rsidR="006D24BC" w:rsidRPr="00173256" w:rsidRDefault="006D24BC">
            <w:pPr>
              <w:rPr>
                <w:b w:val="0"/>
                <w:bCs w:val="0"/>
                <w:sz w:val="22"/>
                <w:szCs w:val="22"/>
                <w:lang w:val="da-DK"/>
              </w:rPr>
            </w:pPr>
          </w:p>
          <w:p w:rsidR="006D24BC" w:rsidRPr="00173256" w:rsidRDefault="006D24BC">
            <w:pPr>
              <w:rPr>
                <w:b w:val="0"/>
                <w:bCs w:val="0"/>
                <w:sz w:val="22"/>
                <w:szCs w:val="22"/>
                <w:lang w:val="da-DK"/>
              </w:rPr>
            </w:pPr>
          </w:p>
          <w:p w:rsidR="006D24BC" w:rsidRPr="00173256" w:rsidRDefault="006D24BC">
            <w:pPr>
              <w:rPr>
                <w:b w:val="0"/>
                <w:bCs w:val="0"/>
                <w:sz w:val="22"/>
                <w:szCs w:val="22"/>
                <w:lang w:val="da-DK"/>
              </w:rPr>
            </w:pPr>
          </w:p>
          <w:p w:rsidR="006D24BC" w:rsidRPr="00173256" w:rsidRDefault="006D24BC">
            <w:pPr>
              <w:rPr>
                <w:sz w:val="22"/>
                <w:szCs w:val="22"/>
                <w:lang w:val="da-DK"/>
              </w:rPr>
            </w:pPr>
          </w:p>
          <w:p w:rsidR="006D24BC" w:rsidRPr="00173256" w:rsidRDefault="006D24BC">
            <w:pPr>
              <w:rPr>
                <w:sz w:val="22"/>
                <w:szCs w:val="22"/>
                <w:lang w:val="da-DK"/>
              </w:rPr>
            </w:pPr>
          </w:p>
          <w:p w:rsidR="006D24BC" w:rsidRPr="00173256" w:rsidRDefault="006D24BC">
            <w:pPr>
              <w:pStyle w:val="Default"/>
              <w:rPr>
                <w:b w:val="0"/>
                <w:bCs w:val="0"/>
                <w:sz w:val="22"/>
                <w:szCs w:val="22"/>
                <w:lang w:val="da-DK"/>
              </w:rPr>
            </w:pPr>
            <w:r w:rsidRPr="00173256">
              <w:rPr>
                <w:b w:val="0"/>
                <w:bCs w:val="0"/>
                <w:sz w:val="22"/>
                <w:szCs w:val="22"/>
                <w:lang w:val="da-DK"/>
              </w:rPr>
              <w:t xml:space="preserve">Til velbehandlede deferoxamin-patienter </w:t>
            </w:r>
          </w:p>
        </w:tc>
        <w:tc>
          <w:tcPr>
            <w:tcW w:w="1841" w:type="dxa"/>
            <w:tcBorders>
              <w:left w:val="nil"/>
              <w:right w:val="nil"/>
            </w:tcBorders>
          </w:tcPr>
          <w:p w:rsidR="006D24BC" w:rsidRPr="00173256" w:rsidRDefault="006D24BC">
            <w:pPr>
              <w:cnfStyle w:val="000000100000" w:firstRow="0" w:lastRow="0" w:firstColumn="0" w:lastColumn="0" w:oddVBand="0" w:evenVBand="0" w:oddHBand="1" w:evenHBand="0" w:firstRowFirstColumn="0" w:firstRowLastColumn="0" w:lastRowFirstColumn="0" w:lastRowLastColumn="0"/>
              <w:rPr>
                <w:b/>
                <w:sz w:val="22"/>
                <w:szCs w:val="22"/>
                <w:lang w:val="da-DK"/>
              </w:rPr>
            </w:pPr>
            <w:r w:rsidRPr="00173256">
              <w:rPr>
                <w:b/>
                <w:sz w:val="22"/>
                <w:szCs w:val="22"/>
                <w:lang w:val="da-DK"/>
              </w:rPr>
              <w:t>14 mg/kg/dag</w:t>
            </w:r>
          </w:p>
          <w:p w:rsidR="006D24BC" w:rsidRPr="00173256" w:rsidRDefault="006D24BC">
            <w:pPr>
              <w:cnfStyle w:val="000000100000" w:firstRow="0" w:lastRow="0" w:firstColumn="0" w:lastColumn="0" w:oddVBand="0" w:evenVBand="0" w:oddHBand="1" w:evenHBand="0" w:firstRowFirstColumn="0" w:firstRowLastColumn="0" w:lastRowFirstColumn="0" w:lastRowLastColumn="0"/>
              <w:rPr>
                <w:b/>
                <w:sz w:val="22"/>
                <w:szCs w:val="22"/>
                <w:lang w:val="da-DK"/>
              </w:rPr>
            </w:pPr>
          </w:p>
          <w:p w:rsidR="006D24BC" w:rsidRPr="00173256" w:rsidRDefault="006D24BC">
            <w:pPr>
              <w:cnfStyle w:val="000000100000" w:firstRow="0" w:lastRow="0" w:firstColumn="0" w:lastColumn="0" w:oddVBand="0" w:evenVBand="0" w:oddHBand="1" w:evenHBand="0" w:firstRowFirstColumn="0" w:firstRowLastColumn="0" w:lastRowFirstColumn="0" w:lastRowLastColumn="0"/>
              <w:rPr>
                <w:sz w:val="22"/>
                <w:szCs w:val="22"/>
                <w:lang w:val="da-DK"/>
              </w:rPr>
            </w:pPr>
          </w:p>
          <w:p w:rsidR="006D24BC" w:rsidRPr="00173256" w:rsidRDefault="006D24BC">
            <w:pPr>
              <w:cnfStyle w:val="000000100000" w:firstRow="0" w:lastRow="0" w:firstColumn="0" w:lastColumn="0" w:oddVBand="0" w:evenVBand="0" w:oddHBand="1" w:evenHBand="0" w:firstRowFirstColumn="0" w:firstRowLastColumn="0" w:lastRowFirstColumn="0" w:lastRowLastColumn="0"/>
              <w:rPr>
                <w:sz w:val="22"/>
                <w:szCs w:val="22"/>
                <w:lang w:val="da-DK"/>
              </w:rPr>
            </w:pPr>
            <w:r w:rsidRPr="00173256">
              <w:rPr>
                <w:sz w:val="22"/>
                <w:szCs w:val="22"/>
                <w:lang w:val="da-DK"/>
              </w:rPr>
              <w:t>21 mg/kg/dag</w:t>
            </w:r>
          </w:p>
          <w:p w:rsidR="006D24BC" w:rsidRPr="00173256" w:rsidRDefault="006D24BC">
            <w:pPr>
              <w:cnfStyle w:val="000000100000" w:firstRow="0" w:lastRow="0" w:firstColumn="0" w:lastColumn="0" w:oddVBand="0" w:evenVBand="0" w:oddHBand="1" w:evenHBand="0" w:firstRowFirstColumn="0" w:firstRowLastColumn="0" w:lastRowFirstColumn="0" w:lastRowLastColumn="0"/>
              <w:rPr>
                <w:sz w:val="22"/>
                <w:szCs w:val="22"/>
                <w:lang w:val="da-DK"/>
              </w:rPr>
            </w:pPr>
          </w:p>
          <w:p w:rsidR="006D24BC" w:rsidRPr="00173256" w:rsidRDefault="006D24BC">
            <w:pPr>
              <w:cnfStyle w:val="000000100000" w:firstRow="0" w:lastRow="0" w:firstColumn="0" w:lastColumn="0" w:oddVBand="0" w:evenVBand="0" w:oddHBand="1" w:evenHBand="0" w:firstRowFirstColumn="0" w:firstRowLastColumn="0" w:lastRowFirstColumn="0" w:lastRowLastColumn="0"/>
              <w:rPr>
                <w:sz w:val="22"/>
                <w:szCs w:val="22"/>
                <w:lang w:val="da-DK"/>
              </w:rPr>
            </w:pPr>
          </w:p>
          <w:p w:rsidR="006D24BC" w:rsidRPr="00173256" w:rsidRDefault="006D24BC">
            <w:pPr>
              <w:cnfStyle w:val="000000100000" w:firstRow="0" w:lastRow="0" w:firstColumn="0" w:lastColumn="0" w:oddVBand="0" w:evenVBand="0" w:oddHBand="1" w:evenHBand="0" w:firstRowFirstColumn="0" w:firstRowLastColumn="0" w:lastRowFirstColumn="0" w:lastRowLastColumn="0"/>
              <w:rPr>
                <w:sz w:val="22"/>
                <w:szCs w:val="22"/>
                <w:lang w:val="da-DK"/>
              </w:rPr>
            </w:pPr>
          </w:p>
          <w:p w:rsidR="006D24BC" w:rsidRPr="00173256" w:rsidRDefault="006D24BC">
            <w:pPr>
              <w:cnfStyle w:val="000000100000" w:firstRow="0" w:lastRow="0" w:firstColumn="0" w:lastColumn="0" w:oddVBand="0" w:evenVBand="0" w:oddHBand="1" w:evenHBand="0" w:firstRowFirstColumn="0" w:firstRowLastColumn="0" w:lastRowFirstColumn="0" w:lastRowLastColumn="0"/>
              <w:rPr>
                <w:sz w:val="22"/>
                <w:szCs w:val="22"/>
                <w:lang w:val="da-DK"/>
              </w:rPr>
            </w:pPr>
            <w:r w:rsidRPr="00173256">
              <w:rPr>
                <w:sz w:val="22"/>
                <w:szCs w:val="22"/>
                <w:lang w:val="da-DK"/>
              </w:rPr>
              <w:t>7 mg/kg/dag</w:t>
            </w:r>
          </w:p>
          <w:p w:rsidR="006D24BC" w:rsidRPr="00173256" w:rsidRDefault="006D24BC">
            <w:pPr>
              <w:cnfStyle w:val="000000100000" w:firstRow="0" w:lastRow="0" w:firstColumn="0" w:lastColumn="0" w:oddVBand="0" w:evenVBand="0" w:oddHBand="1" w:evenHBand="0" w:firstRowFirstColumn="0" w:firstRowLastColumn="0" w:lastRowFirstColumn="0" w:lastRowLastColumn="0"/>
              <w:rPr>
                <w:sz w:val="22"/>
                <w:szCs w:val="22"/>
                <w:lang w:val="da-DK"/>
              </w:rPr>
            </w:pPr>
          </w:p>
          <w:p w:rsidR="006D24BC" w:rsidRPr="00173256" w:rsidRDefault="006D24BC">
            <w:pPr>
              <w:cnfStyle w:val="000000100000" w:firstRow="0" w:lastRow="0" w:firstColumn="0" w:lastColumn="0" w:oddVBand="0" w:evenVBand="0" w:oddHBand="1" w:evenHBand="0" w:firstRowFirstColumn="0" w:firstRowLastColumn="0" w:lastRowFirstColumn="0" w:lastRowLastColumn="0"/>
              <w:rPr>
                <w:sz w:val="22"/>
                <w:szCs w:val="22"/>
                <w:lang w:val="da-DK"/>
              </w:rPr>
            </w:pPr>
          </w:p>
          <w:p w:rsidR="006D24BC" w:rsidRPr="00173256" w:rsidRDefault="006D24BC">
            <w:pPr>
              <w:cnfStyle w:val="000000100000" w:firstRow="0" w:lastRow="0" w:firstColumn="0" w:lastColumn="0" w:oddVBand="0" w:evenVBand="0" w:oddHBand="1" w:evenHBand="0" w:firstRowFirstColumn="0" w:firstRowLastColumn="0" w:lastRowFirstColumn="0" w:lastRowLastColumn="0"/>
              <w:rPr>
                <w:sz w:val="22"/>
                <w:szCs w:val="22"/>
                <w:lang w:val="da-DK"/>
              </w:rPr>
            </w:pPr>
          </w:p>
          <w:p w:rsidR="006D24BC" w:rsidRPr="00173256" w:rsidRDefault="006D24BC">
            <w:pPr>
              <w:pStyle w:val="Default"/>
              <w:cnfStyle w:val="000000100000" w:firstRow="0" w:lastRow="0" w:firstColumn="0" w:lastColumn="0" w:oddVBand="0" w:evenVBand="0" w:oddHBand="1" w:evenHBand="0" w:firstRowFirstColumn="0" w:firstRowLastColumn="0" w:lastRowFirstColumn="0" w:lastRowLastColumn="0"/>
              <w:rPr>
                <w:sz w:val="22"/>
                <w:szCs w:val="22"/>
                <w:lang w:val="da-DK"/>
              </w:rPr>
            </w:pPr>
            <w:r w:rsidRPr="00173256">
              <w:rPr>
                <w:sz w:val="22"/>
                <w:szCs w:val="22"/>
                <w:lang w:val="da-DK"/>
              </w:rPr>
              <w:t xml:space="preserve">En tredjedel af deferoxamindosis </w:t>
            </w:r>
          </w:p>
          <w:p w:rsidR="006D24BC" w:rsidRPr="00173256" w:rsidRDefault="006D24BC">
            <w:pPr>
              <w:cnfStyle w:val="000000100000" w:firstRow="0" w:lastRow="0" w:firstColumn="0" w:lastColumn="0" w:oddVBand="0" w:evenVBand="0" w:oddHBand="1" w:evenHBand="0" w:firstRowFirstColumn="0" w:firstRowLastColumn="0" w:lastRowFirstColumn="0" w:lastRowLastColumn="0"/>
              <w:rPr>
                <w:sz w:val="22"/>
                <w:szCs w:val="22"/>
                <w:lang w:val="da-DK"/>
              </w:rPr>
            </w:pPr>
          </w:p>
        </w:tc>
        <w:tc>
          <w:tcPr>
            <w:tcW w:w="2847" w:type="dxa"/>
            <w:tcBorders>
              <w:left w:val="nil"/>
              <w:right w:val="nil"/>
            </w:tcBorders>
          </w:tcPr>
          <w:p w:rsidR="006D24BC" w:rsidRPr="00173256" w:rsidRDefault="006D24BC">
            <w:pPr>
              <w:pStyle w:val="Default"/>
              <w:cnfStyle w:val="000000100000" w:firstRow="0" w:lastRow="0" w:firstColumn="0" w:lastColumn="0" w:oddVBand="0" w:evenVBand="0" w:oddHBand="1" w:evenHBand="0" w:firstRowFirstColumn="0" w:firstRowLastColumn="0" w:lastRowFirstColumn="0" w:lastRowLastColumn="0"/>
              <w:rPr>
                <w:sz w:val="22"/>
                <w:szCs w:val="22"/>
                <w:lang w:val="da-DK"/>
              </w:rPr>
            </w:pPr>
            <w:r w:rsidRPr="00173256">
              <w:rPr>
                <w:sz w:val="22"/>
                <w:szCs w:val="22"/>
                <w:lang w:val="da-DK"/>
              </w:rPr>
              <w:t xml:space="preserve">Efter 20 enheder (ca. 100 ml/kg) af PRBC </w:t>
            </w:r>
          </w:p>
          <w:p w:rsidR="009D7A86" w:rsidRDefault="009D7A86">
            <w:pPr>
              <w:pStyle w:val="Default"/>
              <w:cnfStyle w:val="000000100000" w:firstRow="0" w:lastRow="0" w:firstColumn="0" w:lastColumn="0" w:oddVBand="0" w:evenVBand="0" w:oddHBand="1" w:evenHBand="0" w:firstRowFirstColumn="0" w:firstRowLastColumn="0" w:lastRowFirstColumn="0" w:lastRowLastColumn="0"/>
              <w:rPr>
                <w:sz w:val="22"/>
                <w:szCs w:val="22"/>
                <w:lang w:val="da-DK"/>
              </w:rPr>
            </w:pPr>
          </w:p>
          <w:p w:rsidR="009D7A86" w:rsidRDefault="006D24BC">
            <w:pPr>
              <w:pStyle w:val="Default"/>
              <w:cnfStyle w:val="000000100000" w:firstRow="0" w:lastRow="0" w:firstColumn="0" w:lastColumn="0" w:oddVBand="0" w:evenVBand="0" w:oddHBand="1" w:evenHBand="0" w:firstRowFirstColumn="0" w:firstRowLastColumn="0" w:lastRowFirstColumn="0" w:lastRowLastColumn="0"/>
              <w:rPr>
                <w:sz w:val="22"/>
                <w:szCs w:val="22"/>
                <w:lang w:val="da-DK"/>
              </w:rPr>
            </w:pPr>
            <w:r w:rsidRPr="00173256">
              <w:rPr>
                <w:sz w:val="22"/>
                <w:szCs w:val="22"/>
                <w:lang w:val="da-DK"/>
              </w:rPr>
              <w:t xml:space="preserve">&gt;14 ml/kg/måned af PRBC (ca. &gt;4 enheder/måned for en voksen) </w:t>
            </w:r>
            <w:r w:rsidRPr="00173256">
              <w:rPr>
                <w:sz w:val="22"/>
                <w:szCs w:val="22"/>
                <w:lang w:val="da-DK"/>
              </w:rPr>
              <w:br/>
            </w:r>
          </w:p>
          <w:p w:rsidR="006D24BC" w:rsidRPr="009D7A86" w:rsidRDefault="006D24BC">
            <w:pPr>
              <w:pStyle w:val="Default"/>
              <w:cnfStyle w:val="000000100000" w:firstRow="0" w:lastRow="0" w:firstColumn="0" w:lastColumn="0" w:oddVBand="0" w:evenVBand="0" w:oddHBand="1" w:evenHBand="0" w:firstRowFirstColumn="0" w:firstRowLastColumn="0" w:lastRowFirstColumn="0" w:lastRowLastColumn="0"/>
              <w:rPr>
                <w:sz w:val="22"/>
                <w:szCs w:val="22"/>
                <w:lang w:val="da-DK"/>
              </w:rPr>
            </w:pPr>
            <w:r w:rsidRPr="00173256">
              <w:rPr>
                <w:sz w:val="22"/>
                <w:szCs w:val="22"/>
                <w:lang w:val="da-DK"/>
              </w:rPr>
              <w:t xml:space="preserve">&lt;7 ml/kg/måned af PRBC (ca. </w:t>
            </w:r>
            <w:r w:rsidRPr="009D7A86">
              <w:rPr>
                <w:sz w:val="22"/>
                <w:szCs w:val="22"/>
                <w:lang w:val="da-DK"/>
              </w:rPr>
              <w:t xml:space="preserve">&lt;2 enheder/måned for en voksen) </w:t>
            </w:r>
          </w:p>
          <w:p w:rsidR="006D24BC" w:rsidRPr="009D7A86" w:rsidRDefault="006D24BC">
            <w:pPr>
              <w:pStyle w:val="Default"/>
              <w:cnfStyle w:val="000000100000" w:firstRow="0" w:lastRow="0" w:firstColumn="0" w:lastColumn="0" w:oddVBand="0" w:evenVBand="0" w:oddHBand="1" w:evenHBand="0" w:firstRowFirstColumn="0" w:firstRowLastColumn="0" w:lastRowFirstColumn="0" w:lastRowLastColumn="0"/>
              <w:rPr>
                <w:sz w:val="22"/>
                <w:szCs w:val="22"/>
                <w:lang w:val="da-DK"/>
              </w:rPr>
            </w:pPr>
          </w:p>
        </w:tc>
        <w:tc>
          <w:tcPr>
            <w:tcW w:w="804" w:type="dxa"/>
            <w:tcBorders>
              <w:left w:val="nil"/>
              <w:right w:val="nil"/>
            </w:tcBorders>
            <w:hideMark/>
          </w:tcPr>
          <w:p w:rsidR="006D24BC" w:rsidRDefault="006D24B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eller</w:t>
            </w:r>
          </w:p>
        </w:tc>
        <w:tc>
          <w:tcPr>
            <w:tcW w:w="1381" w:type="dxa"/>
            <w:tcBorders>
              <w:left w:val="nil"/>
              <w:right w:val="nil"/>
            </w:tcBorders>
            <w:hideMark/>
          </w:tcPr>
          <w:p w:rsidR="006D24BC" w:rsidRDefault="006D24BC">
            <w:pPr>
              <w:cnfStyle w:val="000000100000" w:firstRow="0" w:lastRow="0" w:firstColumn="0" w:lastColumn="0" w:oddVBand="0" w:evenVBand="0" w:oddHBand="1" w:evenHBand="0" w:firstRowFirstColumn="0" w:firstRowLastColumn="0" w:lastRowFirstColumn="0" w:lastRowLastColumn="0"/>
              <w:rPr>
                <w:sz w:val="22"/>
                <w:szCs w:val="22"/>
              </w:rPr>
            </w:pPr>
            <w:r>
              <w:rPr>
                <w:sz w:val="20"/>
                <w:szCs w:val="22"/>
              </w:rPr>
              <w:t>&gt;</w:t>
            </w:r>
            <w:r>
              <w:rPr>
                <w:sz w:val="22"/>
                <w:szCs w:val="22"/>
              </w:rPr>
              <w:t>1.000 µg/l</w:t>
            </w:r>
          </w:p>
        </w:tc>
      </w:tr>
      <w:tr w:rsidR="006D24BC" w:rsidTr="005F52D3">
        <w:trPr>
          <w:trHeight w:val="283"/>
        </w:trPr>
        <w:tc>
          <w:tcPr>
            <w:cnfStyle w:val="001000000000" w:firstRow="0" w:lastRow="0" w:firstColumn="1" w:lastColumn="0" w:oddVBand="0" w:evenVBand="0" w:oddHBand="0" w:evenHBand="0" w:firstRowFirstColumn="0" w:firstRowLastColumn="0" w:lastRowFirstColumn="0" w:lastRowLastColumn="0"/>
            <w:tcW w:w="1488" w:type="dxa"/>
            <w:tcBorders>
              <w:top w:val="nil"/>
              <w:left w:val="nil"/>
              <w:bottom w:val="nil"/>
              <w:right w:val="nil"/>
            </w:tcBorders>
            <w:hideMark/>
          </w:tcPr>
          <w:p w:rsidR="006D24BC" w:rsidRDefault="006D24BC">
            <w:pPr>
              <w:rPr>
                <w:sz w:val="22"/>
                <w:szCs w:val="22"/>
              </w:rPr>
            </w:pPr>
            <w:r>
              <w:rPr>
                <w:sz w:val="22"/>
                <w:szCs w:val="22"/>
              </w:rPr>
              <w:t>Monitorering</w:t>
            </w:r>
          </w:p>
        </w:tc>
        <w:tc>
          <w:tcPr>
            <w:tcW w:w="1841" w:type="dxa"/>
            <w:tcBorders>
              <w:top w:val="nil"/>
              <w:left w:val="nil"/>
              <w:bottom w:val="nil"/>
              <w:right w:val="nil"/>
            </w:tcBorders>
          </w:tcPr>
          <w:p w:rsidR="006D24BC" w:rsidRDefault="006D24BC">
            <w:pPr>
              <w:cnfStyle w:val="000000000000" w:firstRow="0" w:lastRow="0" w:firstColumn="0" w:lastColumn="0" w:oddVBand="0" w:evenVBand="0" w:oddHBand="0" w:evenHBand="0" w:firstRowFirstColumn="0" w:firstRowLastColumn="0" w:lastRowFirstColumn="0" w:lastRowLastColumn="0"/>
              <w:rPr>
                <w:sz w:val="22"/>
                <w:szCs w:val="22"/>
              </w:rPr>
            </w:pPr>
          </w:p>
        </w:tc>
        <w:tc>
          <w:tcPr>
            <w:tcW w:w="2847" w:type="dxa"/>
            <w:tcBorders>
              <w:top w:val="nil"/>
              <w:left w:val="nil"/>
              <w:bottom w:val="nil"/>
              <w:right w:val="nil"/>
            </w:tcBorders>
          </w:tcPr>
          <w:p w:rsidR="006D24BC" w:rsidRDefault="006D24BC">
            <w:pPr>
              <w:cnfStyle w:val="000000000000" w:firstRow="0" w:lastRow="0" w:firstColumn="0" w:lastColumn="0" w:oddVBand="0" w:evenVBand="0" w:oddHBand="0" w:evenHBand="0" w:firstRowFirstColumn="0" w:firstRowLastColumn="0" w:lastRowFirstColumn="0" w:lastRowLastColumn="0"/>
              <w:rPr>
                <w:sz w:val="22"/>
                <w:szCs w:val="22"/>
              </w:rPr>
            </w:pPr>
          </w:p>
        </w:tc>
        <w:tc>
          <w:tcPr>
            <w:tcW w:w="804" w:type="dxa"/>
            <w:tcBorders>
              <w:top w:val="nil"/>
              <w:left w:val="nil"/>
              <w:bottom w:val="nil"/>
              <w:right w:val="nil"/>
            </w:tcBorders>
          </w:tcPr>
          <w:p w:rsidR="006D24BC" w:rsidRDefault="006D24BC">
            <w:pPr>
              <w:cnfStyle w:val="000000000000" w:firstRow="0" w:lastRow="0" w:firstColumn="0" w:lastColumn="0" w:oddVBand="0" w:evenVBand="0" w:oddHBand="0" w:evenHBand="0" w:firstRowFirstColumn="0" w:firstRowLastColumn="0" w:lastRowFirstColumn="0" w:lastRowLastColumn="0"/>
              <w:rPr>
                <w:b/>
                <w:sz w:val="22"/>
                <w:szCs w:val="22"/>
              </w:rPr>
            </w:pPr>
          </w:p>
        </w:tc>
        <w:tc>
          <w:tcPr>
            <w:tcW w:w="1381" w:type="dxa"/>
            <w:tcBorders>
              <w:top w:val="nil"/>
              <w:left w:val="nil"/>
              <w:bottom w:val="nil"/>
              <w:right w:val="nil"/>
            </w:tcBorders>
            <w:hideMark/>
          </w:tcPr>
          <w:p w:rsidR="006D24BC" w:rsidRDefault="006D24BC">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Månedlig</w:t>
            </w:r>
          </w:p>
        </w:tc>
      </w:tr>
      <w:tr w:rsidR="006D24BC" w:rsidTr="005F52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8" w:type="dxa"/>
            <w:tcBorders>
              <w:left w:val="nil"/>
              <w:right w:val="nil"/>
            </w:tcBorders>
            <w:hideMark/>
          </w:tcPr>
          <w:p w:rsidR="006D24BC" w:rsidRDefault="006D24BC">
            <w:pPr>
              <w:rPr>
                <w:sz w:val="22"/>
                <w:szCs w:val="22"/>
              </w:rPr>
            </w:pPr>
            <w:r>
              <w:rPr>
                <w:sz w:val="22"/>
                <w:szCs w:val="22"/>
              </w:rPr>
              <w:t>Målinterval</w:t>
            </w:r>
          </w:p>
        </w:tc>
        <w:tc>
          <w:tcPr>
            <w:tcW w:w="1841" w:type="dxa"/>
            <w:tcBorders>
              <w:left w:val="nil"/>
              <w:right w:val="nil"/>
            </w:tcBorders>
          </w:tcPr>
          <w:p w:rsidR="006D24BC" w:rsidRDefault="006D24BC">
            <w:pPr>
              <w:cnfStyle w:val="000000100000" w:firstRow="0" w:lastRow="0" w:firstColumn="0" w:lastColumn="0" w:oddVBand="0" w:evenVBand="0" w:oddHBand="1" w:evenHBand="0" w:firstRowFirstColumn="0" w:firstRowLastColumn="0" w:lastRowFirstColumn="0" w:lastRowLastColumn="0"/>
              <w:rPr>
                <w:sz w:val="22"/>
                <w:szCs w:val="22"/>
              </w:rPr>
            </w:pPr>
          </w:p>
        </w:tc>
        <w:tc>
          <w:tcPr>
            <w:tcW w:w="2847" w:type="dxa"/>
            <w:tcBorders>
              <w:left w:val="nil"/>
              <w:right w:val="nil"/>
            </w:tcBorders>
          </w:tcPr>
          <w:p w:rsidR="006D24BC" w:rsidRDefault="006D24BC">
            <w:pPr>
              <w:cnfStyle w:val="000000100000" w:firstRow="0" w:lastRow="0" w:firstColumn="0" w:lastColumn="0" w:oddVBand="0" w:evenVBand="0" w:oddHBand="1" w:evenHBand="0" w:firstRowFirstColumn="0" w:firstRowLastColumn="0" w:lastRowFirstColumn="0" w:lastRowLastColumn="0"/>
              <w:rPr>
                <w:sz w:val="22"/>
                <w:szCs w:val="22"/>
              </w:rPr>
            </w:pPr>
          </w:p>
        </w:tc>
        <w:tc>
          <w:tcPr>
            <w:tcW w:w="804" w:type="dxa"/>
            <w:tcBorders>
              <w:left w:val="nil"/>
              <w:right w:val="nil"/>
            </w:tcBorders>
          </w:tcPr>
          <w:p w:rsidR="006D24BC" w:rsidRDefault="006D24BC">
            <w:pPr>
              <w:cnfStyle w:val="000000100000" w:firstRow="0" w:lastRow="0" w:firstColumn="0" w:lastColumn="0" w:oddVBand="0" w:evenVBand="0" w:oddHBand="1" w:evenHBand="0" w:firstRowFirstColumn="0" w:firstRowLastColumn="0" w:lastRowFirstColumn="0" w:lastRowLastColumn="0"/>
              <w:rPr>
                <w:b/>
                <w:sz w:val="22"/>
                <w:szCs w:val="22"/>
              </w:rPr>
            </w:pPr>
          </w:p>
        </w:tc>
        <w:tc>
          <w:tcPr>
            <w:tcW w:w="1381" w:type="dxa"/>
            <w:tcBorders>
              <w:left w:val="nil"/>
              <w:right w:val="nil"/>
            </w:tcBorders>
            <w:hideMark/>
          </w:tcPr>
          <w:p w:rsidR="006D24BC" w:rsidRDefault="006D24BC">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500-1.000 µg/l</w:t>
            </w:r>
          </w:p>
        </w:tc>
      </w:tr>
      <w:tr w:rsidR="006D24BC" w:rsidTr="005F52D3">
        <w:trPr>
          <w:trHeight w:val="283"/>
        </w:trPr>
        <w:tc>
          <w:tcPr>
            <w:cnfStyle w:val="001000000000" w:firstRow="0" w:lastRow="0" w:firstColumn="1" w:lastColumn="0" w:oddVBand="0" w:evenVBand="0" w:oddHBand="0" w:evenHBand="0" w:firstRowFirstColumn="0" w:firstRowLastColumn="0" w:lastRowFirstColumn="0" w:lastRowLastColumn="0"/>
            <w:tcW w:w="1488" w:type="dxa"/>
            <w:tcBorders>
              <w:top w:val="nil"/>
              <w:left w:val="nil"/>
              <w:bottom w:val="nil"/>
              <w:right w:val="nil"/>
            </w:tcBorders>
          </w:tcPr>
          <w:p w:rsidR="006D24BC" w:rsidRDefault="006D24BC">
            <w:pPr>
              <w:rPr>
                <w:b w:val="0"/>
                <w:sz w:val="22"/>
                <w:szCs w:val="22"/>
              </w:rPr>
            </w:pPr>
          </w:p>
        </w:tc>
        <w:tc>
          <w:tcPr>
            <w:tcW w:w="1841" w:type="dxa"/>
            <w:tcBorders>
              <w:top w:val="nil"/>
              <w:left w:val="nil"/>
              <w:bottom w:val="nil"/>
              <w:right w:val="nil"/>
            </w:tcBorders>
          </w:tcPr>
          <w:p w:rsidR="006D24BC" w:rsidRDefault="006D24BC">
            <w:pPr>
              <w:cnfStyle w:val="000000000000" w:firstRow="0" w:lastRow="0" w:firstColumn="0" w:lastColumn="0" w:oddVBand="0" w:evenVBand="0" w:oddHBand="0" w:evenHBand="0" w:firstRowFirstColumn="0" w:firstRowLastColumn="0" w:lastRowFirstColumn="0" w:lastRowLastColumn="0"/>
              <w:rPr>
                <w:sz w:val="22"/>
                <w:szCs w:val="22"/>
              </w:rPr>
            </w:pPr>
          </w:p>
        </w:tc>
        <w:tc>
          <w:tcPr>
            <w:tcW w:w="2847" w:type="dxa"/>
            <w:tcBorders>
              <w:top w:val="nil"/>
              <w:left w:val="nil"/>
              <w:bottom w:val="nil"/>
              <w:right w:val="nil"/>
            </w:tcBorders>
          </w:tcPr>
          <w:p w:rsidR="006D24BC" w:rsidRDefault="006D24BC">
            <w:pPr>
              <w:cnfStyle w:val="000000000000" w:firstRow="0" w:lastRow="0" w:firstColumn="0" w:lastColumn="0" w:oddVBand="0" w:evenVBand="0" w:oddHBand="0" w:evenHBand="0" w:firstRowFirstColumn="0" w:firstRowLastColumn="0" w:lastRowFirstColumn="0" w:lastRowLastColumn="0"/>
              <w:rPr>
                <w:sz w:val="22"/>
                <w:szCs w:val="22"/>
              </w:rPr>
            </w:pPr>
          </w:p>
        </w:tc>
        <w:tc>
          <w:tcPr>
            <w:tcW w:w="804" w:type="dxa"/>
            <w:tcBorders>
              <w:top w:val="nil"/>
              <w:left w:val="nil"/>
              <w:bottom w:val="nil"/>
              <w:right w:val="nil"/>
            </w:tcBorders>
          </w:tcPr>
          <w:p w:rsidR="006D24BC" w:rsidRDefault="006D24BC">
            <w:pPr>
              <w:cnfStyle w:val="000000000000" w:firstRow="0" w:lastRow="0" w:firstColumn="0" w:lastColumn="0" w:oddVBand="0" w:evenVBand="0" w:oddHBand="0" w:evenHBand="0" w:firstRowFirstColumn="0" w:firstRowLastColumn="0" w:lastRowFirstColumn="0" w:lastRowLastColumn="0"/>
              <w:rPr>
                <w:sz w:val="22"/>
                <w:szCs w:val="22"/>
              </w:rPr>
            </w:pPr>
          </w:p>
        </w:tc>
        <w:tc>
          <w:tcPr>
            <w:tcW w:w="1381" w:type="dxa"/>
            <w:tcBorders>
              <w:top w:val="nil"/>
              <w:left w:val="nil"/>
              <w:bottom w:val="nil"/>
              <w:right w:val="nil"/>
            </w:tcBorders>
          </w:tcPr>
          <w:p w:rsidR="006D24BC" w:rsidRDefault="006D24BC">
            <w:pPr>
              <w:cnfStyle w:val="000000000000" w:firstRow="0" w:lastRow="0" w:firstColumn="0" w:lastColumn="0" w:oddVBand="0" w:evenVBand="0" w:oddHBand="0" w:evenHBand="0" w:firstRowFirstColumn="0" w:firstRowLastColumn="0" w:lastRowFirstColumn="0" w:lastRowLastColumn="0"/>
              <w:rPr>
                <w:sz w:val="22"/>
                <w:szCs w:val="22"/>
              </w:rPr>
            </w:pPr>
          </w:p>
        </w:tc>
      </w:tr>
      <w:tr w:rsidR="005F52D3" w:rsidTr="0035618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8" w:type="dxa"/>
            <w:vMerge w:val="restart"/>
            <w:tcBorders>
              <w:left w:val="nil"/>
              <w:bottom w:val="nil"/>
              <w:right w:val="nil"/>
            </w:tcBorders>
            <w:hideMark/>
          </w:tcPr>
          <w:p w:rsidR="005F52D3" w:rsidRDefault="005F52D3">
            <w:pPr>
              <w:pStyle w:val="Default"/>
              <w:rPr>
                <w:sz w:val="22"/>
                <w:szCs w:val="22"/>
              </w:rPr>
            </w:pPr>
            <w:r>
              <w:rPr>
                <w:sz w:val="22"/>
                <w:szCs w:val="22"/>
              </w:rPr>
              <w:t xml:space="preserve">Korrektions-trin </w:t>
            </w:r>
          </w:p>
          <w:p w:rsidR="005F52D3" w:rsidRDefault="005F52D3">
            <w:pPr>
              <w:rPr>
                <w:b w:val="0"/>
                <w:bCs w:val="0"/>
                <w:sz w:val="22"/>
                <w:szCs w:val="22"/>
              </w:rPr>
            </w:pPr>
            <w:r>
              <w:rPr>
                <w:b w:val="0"/>
                <w:bCs w:val="0"/>
                <w:sz w:val="22"/>
                <w:szCs w:val="22"/>
              </w:rPr>
              <w:t xml:space="preserve">(hver 3.-6. måned) </w:t>
            </w:r>
          </w:p>
        </w:tc>
        <w:tc>
          <w:tcPr>
            <w:tcW w:w="6873" w:type="dxa"/>
            <w:gridSpan w:val="4"/>
            <w:tcBorders>
              <w:left w:val="nil"/>
              <w:right w:val="nil"/>
            </w:tcBorders>
          </w:tcPr>
          <w:p w:rsidR="005F52D3" w:rsidRDefault="005F52D3">
            <w:pPr>
              <w:cnfStyle w:val="000000100000" w:firstRow="0" w:lastRow="0" w:firstColumn="0" w:lastColumn="0" w:oddVBand="0" w:evenVBand="0" w:oddHBand="1" w:evenHBand="0" w:firstRowFirstColumn="0" w:firstRowLastColumn="0" w:lastRowFirstColumn="0" w:lastRowLastColumn="0"/>
              <w:rPr>
                <w:sz w:val="22"/>
                <w:szCs w:val="22"/>
              </w:rPr>
            </w:pPr>
            <w:r w:rsidRPr="002574F1">
              <w:rPr>
                <w:b/>
                <w:sz w:val="22"/>
                <w:szCs w:val="22"/>
              </w:rPr>
              <w:t>Øget dosis</w:t>
            </w:r>
          </w:p>
        </w:tc>
      </w:tr>
      <w:tr w:rsidR="006D24BC" w:rsidTr="005F52D3">
        <w:trPr>
          <w:trHeight w:val="28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F7F7F" w:themeColor="text1" w:themeTint="80"/>
              <w:left w:val="nil"/>
              <w:bottom w:val="nil"/>
              <w:right w:val="nil"/>
            </w:tcBorders>
            <w:vAlign w:val="center"/>
            <w:hideMark/>
          </w:tcPr>
          <w:p w:rsidR="006D24BC" w:rsidRDefault="006D24BC">
            <w:pPr>
              <w:rPr>
                <w:sz w:val="22"/>
                <w:szCs w:val="22"/>
              </w:rPr>
            </w:pPr>
          </w:p>
        </w:tc>
        <w:tc>
          <w:tcPr>
            <w:tcW w:w="1841" w:type="dxa"/>
            <w:tcBorders>
              <w:top w:val="nil"/>
              <w:left w:val="nil"/>
              <w:bottom w:val="nil"/>
              <w:right w:val="nil"/>
            </w:tcBorders>
            <w:hideMark/>
          </w:tcPr>
          <w:p w:rsidR="006D24BC" w:rsidRPr="00173256" w:rsidRDefault="006D24BC">
            <w:pPr>
              <w:cnfStyle w:val="000000000000" w:firstRow="0" w:lastRow="0" w:firstColumn="0" w:lastColumn="0" w:oddVBand="0" w:evenVBand="0" w:oddHBand="0" w:evenHBand="0" w:firstRowFirstColumn="0" w:firstRowLastColumn="0" w:lastRowFirstColumn="0" w:lastRowLastColumn="0"/>
              <w:rPr>
                <w:sz w:val="22"/>
                <w:szCs w:val="22"/>
                <w:lang w:val="da-DK"/>
              </w:rPr>
            </w:pPr>
            <w:r w:rsidRPr="00173256">
              <w:rPr>
                <w:sz w:val="22"/>
                <w:szCs w:val="22"/>
                <w:lang w:val="da-DK"/>
              </w:rPr>
              <w:t>3,5-7 mg/kg/dag</w:t>
            </w:r>
            <w:r w:rsidRPr="00173256">
              <w:rPr>
                <w:sz w:val="22"/>
                <w:szCs w:val="22"/>
                <w:lang w:val="da-DK"/>
              </w:rPr>
              <w:br/>
              <w:t>Op til 28 mg/kg/dag</w:t>
            </w:r>
          </w:p>
        </w:tc>
        <w:tc>
          <w:tcPr>
            <w:tcW w:w="2847" w:type="dxa"/>
            <w:tcBorders>
              <w:top w:val="nil"/>
              <w:left w:val="nil"/>
              <w:bottom w:val="nil"/>
              <w:right w:val="nil"/>
            </w:tcBorders>
          </w:tcPr>
          <w:p w:rsidR="006D24BC" w:rsidRPr="00173256" w:rsidRDefault="006D24BC">
            <w:pPr>
              <w:cnfStyle w:val="000000000000" w:firstRow="0" w:lastRow="0" w:firstColumn="0" w:lastColumn="0" w:oddVBand="0" w:evenVBand="0" w:oddHBand="0" w:evenHBand="0" w:firstRowFirstColumn="0" w:firstRowLastColumn="0" w:lastRowFirstColumn="0" w:lastRowLastColumn="0"/>
              <w:rPr>
                <w:sz w:val="22"/>
                <w:szCs w:val="22"/>
                <w:lang w:val="da-DK"/>
              </w:rPr>
            </w:pPr>
          </w:p>
        </w:tc>
        <w:tc>
          <w:tcPr>
            <w:tcW w:w="804" w:type="dxa"/>
            <w:tcBorders>
              <w:top w:val="nil"/>
              <w:left w:val="nil"/>
              <w:bottom w:val="nil"/>
              <w:right w:val="nil"/>
            </w:tcBorders>
          </w:tcPr>
          <w:p w:rsidR="006D24BC" w:rsidRPr="00173256" w:rsidRDefault="006D24BC">
            <w:pPr>
              <w:cnfStyle w:val="000000000000" w:firstRow="0" w:lastRow="0" w:firstColumn="0" w:lastColumn="0" w:oddVBand="0" w:evenVBand="0" w:oddHBand="0" w:evenHBand="0" w:firstRowFirstColumn="0" w:firstRowLastColumn="0" w:lastRowFirstColumn="0" w:lastRowLastColumn="0"/>
              <w:rPr>
                <w:sz w:val="22"/>
                <w:szCs w:val="22"/>
                <w:lang w:val="da-DK"/>
              </w:rPr>
            </w:pPr>
          </w:p>
        </w:tc>
        <w:tc>
          <w:tcPr>
            <w:tcW w:w="1381" w:type="dxa"/>
            <w:tcBorders>
              <w:top w:val="nil"/>
              <w:left w:val="nil"/>
              <w:bottom w:val="nil"/>
              <w:right w:val="nil"/>
            </w:tcBorders>
            <w:hideMark/>
          </w:tcPr>
          <w:p w:rsidR="006D24BC" w:rsidRDefault="006D24BC">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&gt;2.500 µg/l</w:t>
            </w:r>
          </w:p>
        </w:tc>
      </w:tr>
      <w:tr w:rsidR="005F52D3" w:rsidTr="003A2C5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vMerge/>
            <w:tcBorders>
              <w:left w:val="nil"/>
              <w:bottom w:val="nil"/>
              <w:right w:val="nil"/>
            </w:tcBorders>
            <w:vAlign w:val="center"/>
            <w:hideMark/>
          </w:tcPr>
          <w:p w:rsidR="005F52D3" w:rsidRDefault="005F52D3">
            <w:pPr>
              <w:rPr>
                <w:sz w:val="22"/>
                <w:szCs w:val="22"/>
              </w:rPr>
            </w:pPr>
          </w:p>
        </w:tc>
        <w:tc>
          <w:tcPr>
            <w:tcW w:w="6873" w:type="dxa"/>
            <w:gridSpan w:val="4"/>
            <w:tcBorders>
              <w:left w:val="nil"/>
              <w:right w:val="nil"/>
            </w:tcBorders>
          </w:tcPr>
          <w:p w:rsidR="005F52D3" w:rsidRPr="005F52D3" w:rsidRDefault="005F52D3">
            <w:pPr>
              <w:cnfStyle w:val="000000100000" w:firstRow="0" w:lastRow="0" w:firstColumn="0" w:lastColumn="0" w:oddVBand="0" w:evenVBand="0" w:oddHBand="1" w:evenHBand="0" w:firstRowFirstColumn="0" w:firstRowLastColumn="0" w:lastRowFirstColumn="0" w:lastRowLastColumn="0"/>
              <w:rPr>
                <w:b/>
                <w:sz w:val="22"/>
                <w:szCs w:val="22"/>
              </w:rPr>
            </w:pPr>
            <w:r w:rsidRPr="005F52D3">
              <w:rPr>
                <w:b/>
                <w:sz w:val="22"/>
                <w:szCs w:val="22"/>
              </w:rPr>
              <w:t>Nedsat dosis</w:t>
            </w:r>
          </w:p>
        </w:tc>
      </w:tr>
      <w:tr w:rsidR="006D24BC" w:rsidTr="005F52D3">
        <w:trPr>
          <w:trHeight w:val="28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F7F7F" w:themeColor="text1" w:themeTint="80"/>
              <w:left w:val="nil"/>
              <w:bottom w:val="nil"/>
              <w:right w:val="nil"/>
            </w:tcBorders>
            <w:vAlign w:val="center"/>
            <w:hideMark/>
          </w:tcPr>
          <w:p w:rsidR="006D24BC" w:rsidRDefault="006D24BC">
            <w:pPr>
              <w:rPr>
                <w:sz w:val="22"/>
                <w:szCs w:val="22"/>
              </w:rPr>
            </w:pPr>
          </w:p>
        </w:tc>
        <w:tc>
          <w:tcPr>
            <w:tcW w:w="1841" w:type="dxa"/>
            <w:tcBorders>
              <w:top w:val="nil"/>
              <w:left w:val="nil"/>
              <w:bottom w:val="nil"/>
              <w:right w:val="nil"/>
            </w:tcBorders>
            <w:hideMark/>
          </w:tcPr>
          <w:p w:rsidR="006D24BC" w:rsidRPr="00173256" w:rsidRDefault="006D24BC">
            <w:pPr>
              <w:cnfStyle w:val="000000000000" w:firstRow="0" w:lastRow="0" w:firstColumn="0" w:lastColumn="0" w:oddVBand="0" w:evenVBand="0" w:oddHBand="0" w:evenHBand="0" w:firstRowFirstColumn="0" w:firstRowLastColumn="0" w:lastRowFirstColumn="0" w:lastRowLastColumn="0"/>
              <w:rPr>
                <w:sz w:val="22"/>
                <w:szCs w:val="22"/>
                <w:lang w:val="da-DK"/>
              </w:rPr>
            </w:pPr>
            <w:r w:rsidRPr="00173256">
              <w:rPr>
                <w:sz w:val="22"/>
                <w:szCs w:val="22"/>
                <w:lang w:val="da-DK"/>
              </w:rPr>
              <w:t>3,5-7 mg/kg/dag</w:t>
            </w:r>
            <w:r w:rsidRPr="00173256">
              <w:rPr>
                <w:sz w:val="22"/>
                <w:szCs w:val="22"/>
                <w:lang w:val="da-DK"/>
              </w:rPr>
              <w:br/>
              <w:t>Til patienter behandlet med doser &gt;21 mg/kg/dag</w:t>
            </w:r>
          </w:p>
        </w:tc>
        <w:tc>
          <w:tcPr>
            <w:tcW w:w="2847" w:type="dxa"/>
            <w:tcBorders>
              <w:top w:val="nil"/>
              <w:left w:val="nil"/>
              <w:bottom w:val="nil"/>
              <w:right w:val="nil"/>
            </w:tcBorders>
          </w:tcPr>
          <w:p w:rsidR="006D24BC" w:rsidRPr="00173256" w:rsidRDefault="006D24BC">
            <w:pPr>
              <w:cnfStyle w:val="000000000000" w:firstRow="0" w:lastRow="0" w:firstColumn="0" w:lastColumn="0" w:oddVBand="0" w:evenVBand="0" w:oddHBand="0" w:evenHBand="0" w:firstRowFirstColumn="0" w:firstRowLastColumn="0" w:lastRowFirstColumn="0" w:lastRowLastColumn="0"/>
              <w:rPr>
                <w:sz w:val="22"/>
                <w:szCs w:val="22"/>
                <w:lang w:val="da-DK"/>
              </w:rPr>
            </w:pPr>
          </w:p>
        </w:tc>
        <w:tc>
          <w:tcPr>
            <w:tcW w:w="804" w:type="dxa"/>
            <w:tcBorders>
              <w:top w:val="nil"/>
              <w:left w:val="nil"/>
              <w:bottom w:val="nil"/>
              <w:right w:val="nil"/>
            </w:tcBorders>
          </w:tcPr>
          <w:p w:rsidR="006D24BC" w:rsidRPr="00173256" w:rsidRDefault="006D24BC">
            <w:pPr>
              <w:cnfStyle w:val="000000000000" w:firstRow="0" w:lastRow="0" w:firstColumn="0" w:lastColumn="0" w:oddVBand="0" w:evenVBand="0" w:oddHBand="0" w:evenHBand="0" w:firstRowFirstColumn="0" w:firstRowLastColumn="0" w:lastRowFirstColumn="0" w:lastRowLastColumn="0"/>
              <w:rPr>
                <w:sz w:val="22"/>
                <w:szCs w:val="22"/>
                <w:lang w:val="da-DK"/>
              </w:rPr>
            </w:pPr>
          </w:p>
        </w:tc>
        <w:tc>
          <w:tcPr>
            <w:tcW w:w="1381" w:type="dxa"/>
            <w:tcBorders>
              <w:top w:val="nil"/>
              <w:left w:val="nil"/>
              <w:bottom w:val="nil"/>
              <w:right w:val="nil"/>
            </w:tcBorders>
          </w:tcPr>
          <w:p w:rsidR="006D24BC" w:rsidRDefault="006D24BC">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&lt;2.500 µg/l</w:t>
            </w:r>
          </w:p>
          <w:p w:rsidR="006D24BC" w:rsidRDefault="006D24BC">
            <w:pPr>
              <w:cnfStyle w:val="000000000000" w:firstRow="0" w:lastRow="0" w:firstColumn="0" w:lastColumn="0" w:oddVBand="0" w:evenVBand="0" w:oddHBand="0" w:evenHBand="0" w:firstRowFirstColumn="0" w:firstRowLastColumn="0" w:lastRowFirstColumn="0" w:lastRowLastColumn="0"/>
              <w:rPr>
                <w:sz w:val="22"/>
                <w:szCs w:val="22"/>
              </w:rPr>
            </w:pPr>
          </w:p>
          <w:p w:rsidR="006D24BC" w:rsidRDefault="006D24BC">
            <w:pPr>
              <w:cnfStyle w:val="000000000000" w:firstRow="0" w:lastRow="0" w:firstColumn="0" w:lastColumn="0" w:oddVBand="0" w:evenVBand="0" w:oddHBand="0" w:evenHBand="0" w:firstRowFirstColumn="0" w:firstRowLastColumn="0" w:lastRowFirstColumn="0" w:lastRowLastColumn="0"/>
              <w:rPr>
                <w:sz w:val="22"/>
                <w:szCs w:val="22"/>
              </w:rPr>
            </w:pPr>
          </w:p>
          <w:p w:rsidR="006D24BC" w:rsidRDefault="006D24BC">
            <w:pPr>
              <w:cnfStyle w:val="000000000000" w:firstRow="0" w:lastRow="0" w:firstColumn="0" w:lastColumn="0" w:oddVBand="0" w:evenVBand="0" w:oddHBand="0" w:evenHBand="0" w:firstRowFirstColumn="0" w:firstRowLastColumn="0" w:lastRowFirstColumn="0" w:lastRowLastColumn="0"/>
              <w:rPr>
                <w:sz w:val="22"/>
                <w:szCs w:val="22"/>
              </w:rPr>
            </w:pPr>
          </w:p>
        </w:tc>
      </w:tr>
      <w:tr w:rsidR="00407E6D" w:rsidTr="00DC12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8" w:type="dxa"/>
            <w:tcBorders>
              <w:top w:val="nil"/>
              <w:left w:val="nil"/>
              <w:right w:val="nil"/>
            </w:tcBorders>
          </w:tcPr>
          <w:p w:rsidR="00407E6D" w:rsidRDefault="00407E6D">
            <w:pPr>
              <w:rPr>
                <w:sz w:val="22"/>
                <w:szCs w:val="22"/>
              </w:rPr>
            </w:pPr>
          </w:p>
        </w:tc>
        <w:tc>
          <w:tcPr>
            <w:tcW w:w="6873" w:type="dxa"/>
            <w:gridSpan w:val="4"/>
            <w:tcBorders>
              <w:top w:val="nil"/>
              <w:left w:val="nil"/>
              <w:right w:val="nil"/>
            </w:tcBorders>
          </w:tcPr>
          <w:p w:rsidR="00554F72" w:rsidRDefault="00407E6D" w:rsidP="00407E6D">
            <w:pPr>
              <w:tabs>
                <w:tab w:val="left" w:pos="5488"/>
              </w:tabs>
              <w:cnfStyle w:val="000000100000" w:firstRow="0" w:lastRow="0" w:firstColumn="0" w:lastColumn="0" w:oddVBand="0" w:evenVBand="0" w:oddHBand="1" w:evenHBand="0" w:firstRowFirstColumn="0" w:firstRowLastColumn="0" w:lastRowFirstColumn="0" w:lastRowLastColumn="0"/>
              <w:rPr>
                <w:sz w:val="22"/>
                <w:szCs w:val="22"/>
                <w:lang w:val="da-DK"/>
              </w:rPr>
            </w:pPr>
            <w:r w:rsidRPr="00407E6D">
              <w:rPr>
                <w:sz w:val="22"/>
                <w:szCs w:val="22"/>
                <w:lang w:val="da-DK"/>
              </w:rPr>
              <w:t>- Når målet er nået</w:t>
            </w:r>
            <w:r w:rsidRPr="00407E6D">
              <w:rPr>
                <w:sz w:val="22"/>
                <w:szCs w:val="22"/>
                <w:lang w:val="da-DK"/>
              </w:rPr>
              <w:tab/>
              <w:t>500-1.000</w:t>
            </w:r>
          </w:p>
          <w:p w:rsidR="00407E6D" w:rsidRPr="00407E6D" w:rsidRDefault="00554F72" w:rsidP="00407E6D">
            <w:pPr>
              <w:tabs>
                <w:tab w:val="left" w:pos="5488"/>
              </w:tabs>
              <w:cnfStyle w:val="000000100000" w:firstRow="0" w:lastRow="0" w:firstColumn="0" w:lastColumn="0" w:oddVBand="0" w:evenVBand="0" w:oddHBand="1" w:evenHBand="0" w:firstRowFirstColumn="0" w:firstRowLastColumn="0" w:lastRowFirstColumn="0" w:lastRowLastColumn="0"/>
              <w:rPr>
                <w:sz w:val="22"/>
                <w:szCs w:val="22"/>
                <w:lang w:val="da-DK"/>
              </w:rPr>
            </w:pPr>
            <w:r>
              <w:rPr>
                <w:sz w:val="22"/>
                <w:szCs w:val="22"/>
                <w:lang w:val="da-DK"/>
              </w:rPr>
              <w:tab/>
            </w:r>
            <w:r w:rsidR="00407E6D" w:rsidRPr="00407E6D">
              <w:rPr>
                <w:sz w:val="22"/>
                <w:szCs w:val="22"/>
                <w:lang w:val="da-DK"/>
              </w:rPr>
              <w:t>µg/l</w:t>
            </w:r>
          </w:p>
        </w:tc>
      </w:tr>
      <w:tr w:rsidR="006D24BC" w:rsidTr="005F52D3">
        <w:trPr>
          <w:trHeight w:val="283"/>
        </w:trPr>
        <w:tc>
          <w:tcPr>
            <w:cnfStyle w:val="001000000000" w:firstRow="0" w:lastRow="0" w:firstColumn="1" w:lastColumn="0" w:oddVBand="0" w:evenVBand="0" w:oddHBand="0" w:evenHBand="0" w:firstRowFirstColumn="0" w:firstRowLastColumn="0" w:lastRowFirstColumn="0" w:lastRowLastColumn="0"/>
            <w:tcW w:w="1488" w:type="dxa"/>
            <w:tcBorders>
              <w:top w:val="nil"/>
              <w:left w:val="nil"/>
              <w:bottom w:val="nil"/>
              <w:right w:val="nil"/>
            </w:tcBorders>
            <w:hideMark/>
          </w:tcPr>
          <w:p w:rsidR="006D24BC" w:rsidRDefault="006D24BC">
            <w:pPr>
              <w:rPr>
                <w:sz w:val="22"/>
                <w:szCs w:val="22"/>
              </w:rPr>
            </w:pPr>
            <w:r>
              <w:rPr>
                <w:sz w:val="22"/>
                <w:szCs w:val="22"/>
              </w:rPr>
              <w:t>Maksimal dosis</w:t>
            </w:r>
          </w:p>
        </w:tc>
        <w:tc>
          <w:tcPr>
            <w:tcW w:w="1841" w:type="dxa"/>
            <w:tcBorders>
              <w:top w:val="nil"/>
              <w:left w:val="nil"/>
              <w:bottom w:val="nil"/>
              <w:right w:val="nil"/>
            </w:tcBorders>
            <w:hideMark/>
          </w:tcPr>
          <w:p w:rsidR="006D24BC" w:rsidRDefault="006D24BC">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28 mg/kg/dag</w:t>
            </w:r>
          </w:p>
        </w:tc>
        <w:tc>
          <w:tcPr>
            <w:tcW w:w="2847" w:type="dxa"/>
            <w:tcBorders>
              <w:top w:val="nil"/>
              <w:left w:val="nil"/>
              <w:bottom w:val="nil"/>
              <w:right w:val="nil"/>
            </w:tcBorders>
          </w:tcPr>
          <w:p w:rsidR="006D24BC" w:rsidRDefault="006D24BC">
            <w:pPr>
              <w:cnfStyle w:val="000000000000" w:firstRow="0" w:lastRow="0" w:firstColumn="0" w:lastColumn="0" w:oddVBand="0" w:evenVBand="0" w:oddHBand="0" w:evenHBand="0" w:firstRowFirstColumn="0" w:firstRowLastColumn="0" w:lastRowFirstColumn="0" w:lastRowLastColumn="0"/>
              <w:rPr>
                <w:sz w:val="22"/>
                <w:szCs w:val="22"/>
              </w:rPr>
            </w:pPr>
          </w:p>
        </w:tc>
        <w:tc>
          <w:tcPr>
            <w:tcW w:w="804" w:type="dxa"/>
            <w:tcBorders>
              <w:top w:val="nil"/>
              <w:left w:val="nil"/>
              <w:bottom w:val="nil"/>
              <w:right w:val="nil"/>
            </w:tcBorders>
          </w:tcPr>
          <w:p w:rsidR="006D24BC" w:rsidRDefault="006D24BC">
            <w:pPr>
              <w:cnfStyle w:val="000000000000" w:firstRow="0" w:lastRow="0" w:firstColumn="0" w:lastColumn="0" w:oddVBand="0" w:evenVBand="0" w:oddHBand="0" w:evenHBand="0" w:firstRowFirstColumn="0" w:firstRowLastColumn="0" w:lastRowFirstColumn="0" w:lastRowLastColumn="0"/>
              <w:rPr>
                <w:sz w:val="22"/>
                <w:szCs w:val="22"/>
              </w:rPr>
            </w:pPr>
          </w:p>
        </w:tc>
        <w:tc>
          <w:tcPr>
            <w:tcW w:w="1381" w:type="dxa"/>
            <w:tcBorders>
              <w:top w:val="nil"/>
              <w:left w:val="nil"/>
              <w:bottom w:val="nil"/>
              <w:right w:val="nil"/>
            </w:tcBorders>
          </w:tcPr>
          <w:p w:rsidR="006D24BC" w:rsidRDefault="006D24BC">
            <w:pPr>
              <w:cnfStyle w:val="000000000000" w:firstRow="0" w:lastRow="0" w:firstColumn="0" w:lastColumn="0" w:oddVBand="0" w:evenVBand="0" w:oddHBand="0" w:evenHBand="0" w:firstRowFirstColumn="0" w:firstRowLastColumn="0" w:lastRowFirstColumn="0" w:lastRowLastColumn="0"/>
              <w:rPr>
                <w:sz w:val="22"/>
                <w:szCs w:val="22"/>
              </w:rPr>
            </w:pPr>
          </w:p>
        </w:tc>
      </w:tr>
      <w:tr w:rsidR="006D24BC" w:rsidTr="005F52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8" w:type="dxa"/>
            <w:tcBorders>
              <w:left w:val="nil"/>
              <w:right w:val="nil"/>
            </w:tcBorders>
            <w:hideMark/>
          </w:tcPr>
          <w:p w:rsidR="006D24BC" w:rsidRDefault="006D24BC">
            <w:pPr>
              <w:rPr>
                <w:sz w:val="22"/>
                <w:szCs w:val="22"/>
              </w:rPr>
            </w:pPr>
            <w:r>
              <w:rPr>
                <w:sz w:val="22"/>
                <w:szCs w:val="22"/>
              </w:rPr>
              <w:t>Overvej afbrydelse</w:t>
            </w:r>
          </w:p>
        </w:tc>
        <w:tc>
          <w:tcPr>
            <w:tcW w:w="1841" w:type="dxa"/>
            <w:tcBorders>
              <w:left w:val="nil"/>
              <w:right w:val="nil"/>
            </w:tcBorders>
          </w:tcPr>
          <w:p w:rsidR="006D24BC" w:rsidRDefault="006D24BC">
            <w:pPr>
              <w:cnfStyle w:val="000000100000" w:firstRow="0" w:lastRow="0" w:firstColumn="0" w:lastColumn="0" w:oddVBand="0" w:evenVBand="0" w:oddHBand="1" w:evenHBand="0" w:firstRowFirstColumn="0" w:firstRowLastColumn="0" w:lastRowFirstColumn="0" w:lastRowLastColumn="0"/>
              <w:rPr>
                <w:sz w:val="22"/>
                <w:szCs w:val="22"/>
              </w:rPr>
            </w:pPr>
          </w:p>
        </w:tc>
        <w:tc>
          <w:tcPr>
            <w:tcW w:w="2847" w:type="dxa"/>
            <w:tcBorders>
              <w:left w:val="nil"/>
              <w:right w:val="nil"/>
            </w:tcBorders>
          </w:tcPr>
          <w:p w:rsidR="006D24BC" w:rsidRDefault="006D24BC">
            <w:pPr>
              <w:cnfStyle w:val="000000100000" w:firstRow="0" w:lastRow="0" w:firstColumn="0" w:lastColumn="0" w:oddVBand="0" w:evenVBand="0" w:oddHBand="1" w:evenHBand="0" w:firstRowFirstColumn="0" w:firstRowLastColumn="0" w:lastRowFirstColumn="0" w:lastRowLastColumn="0"/>
              <w:rPr>
                <w:sz w:val="22"/>
                <w:szCs w:val="22"/>
              </w:rPr>
            </w:pPr>
          </w:p>
        </w:tc>
        <w:tc>
          <w:tcPr>
            <w:tcW w:w="804" w:type="dxa"/>
            <w:tcBorders>
              <w:left w:val="nil"/>
              <w:right w:val="nil"/>
            </w:tcBorders>
          </w:tcPr>
          <w:p w:rsidR="006D24BC" w:rsidRDefault="006D24BC">
            <w:pPr>
              <w:cnfStyle w:val="000000100000" w:firstRow="0" w:lastRow="0" w:firstColumn="0" w:lastColumn="0" w:oddVBand="0" w:evenVBand="0" w:oddHBand="1" w:evenHBand="0" w:firstRowFirstColumn="0" w:firstRowLastColumn="0" w:lastRowFirstColumn="0" w:lastRowLastColumn="0"/>
              <w:rPr>
                <w:b/>
                <w:sz w:val="22"/>
                <w:szCs w:val="22"/>
              </w:rPr>
            </w:pPr>
          </w:p>
        </w:tc>
        <w:tc>
          <w:tcPr>
            <w:tcW w:w="1381" w:type="dxa"/>
            <w:tcBorders>
              <w:left w:val="nil"/>
              <w:right w:val="nil"/>
            </w:tcBorders>
            <w:hideMark/>
          </w:tcPr>
          <w:p w:rsidR="006D24BC" w:rsidRDefault="006D24BC">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&lt;500 µg/l</w:t>
            </w:r>
          </w:p>
        </w:tc>
      </w:tr>
    </w:tbl>
    <w:p w:rsidR="00173256" w:rsidRPr="00173256" w:rsidRDefault="00173256" w:rsidP="00173256">
      <w:pPr>
        <w:tabs>
          <w:tab w:val="left" w:pos="851"/>
        </w:tabs>
        <w:ind w:left="851"/>
        <w:rPr>
          <w:sz w:val="24"/>
          <w:szCs w:val="24"/>
        </w:rPr>
      </w:pPr>
    </w:p>
    <w:p w:rsidR="00173256" w:rsidRPr="00173256" w:rsidRDefault="00173256" w:rsidP="00173256">
      <w:pPr>
        <w:tabs>
          <w:tab w:val="left" w:pos="851"/>
        </w:tabs>
        <w:ind w:left="851"/>
        <w:rPr>
          <w:i/>
          <w:sz w:val="24"/>
          <w:szCs w:val="24"/>
        </w:rPr>
      </w:pPr>
      <w:r w:rsidRPr="00173256">
        <w:rPr>
          <w:i/>
          <w:sz w:val="24"/>
          <w:szCs w:val="24"/>
        </w:rPr>
        <w:t xml:space="preserve">Startdosis </w:t>
      </w:r>
    </w:p>
    <w:p w:rsidR="00173256" w:rsidRPr="00173256" w:rsidRDefault="00173256" w:rsidP="00173256">
      <w:pPr>
        <w:tabs>
          <w:tab w:val="left" w:pos="851"/>
        </w:tabs>
        <w:ind w:left="851"/>
        <w:rPr>
          <w:sz w:val="24"/>
          <w:szCs w:val="24"/>
        </w:rPr>
      </w:pPr>
      <w:r w:rsidRPr="00173256">
        <w:rPr>
          <w:sz w:val="24"/>
          <w:szCs w:val="24"/>
        </w:rPr>
        <w:t xml:space="preserve">Anbefalet startdosis for Deferasirox "Orifarm" er 14 mg/kg kropsvægt. </w:t>
      </w:r>
    </w:p>
    <w:p w:rsidR="00173256" w:rsidRPr="00173256" w:rsidRDefault="00173256" w:rsidP="00173256">
      <w:pPr>
        <w:tabs>
          <w:tab w:val="left" w:pos="851"/>
        </w:tabs>
        <w:ind w:left="851"/>
        <w:rPr>
          <w:sz w:val="24"/>
          <w:szCs w:val="24"/>
        </w:rPr>
      </w:pPr>
    </w:p>
    <w:p w:rsidR="00173256" w:rsidRPr="00173256" w:rsidRDefault="00173256" w:rsidP="00173256">
      <w:pPr>
        <w:tabs>
          <w:tab w:val="left" w:pos="851"/>
        </w:tabs>
        <w:ind w:left="851"/>
        <w:rPr>
          <w:sz w:val="24"/>
          <w:szCs w:val="24"/>
        </w:rPr>
      </w:pPr>
      <w:r w:rsidRPr="00173256">
        <w:rPr>
          <w:sz w:val="24"/>
          <w:szCs w:val="24"/>
        </w:rPr>
        <w:t xml:space="preserve">En startdosis på 21 mg/kg </w:t>
      </w:r>
      <w:r w:rsidR="00554F72">
        <w:rPr>
          <w:sz w:val="24"/>
          <w:szCs w:val="24"/>
        </w:rPr>
        <w:t xml:space="preserve">for </w:t>
      </w:r>
      <w:r w:rsidR="00554F72" w:rsidRPr="00DC7ECF">
        <w:rPr>
          <w:sz w:val="24"/>
          <w:szCs w:val="24"/>
        </w:rPr>
        <w:t xml:space="preserve">Deferasirox "Orifarm" </w:t>
      </w:r>
      <w:r w:rsidRPr="00173256">
        <w:rPr>
          <w:sz w:val="24"/>
          <w:szCs w:val="24"/>
        </w:rPr>
        <w:t xml:space="preserve">kan tages i betragtning for patienter, der har brug for reduktion af forhøjede jern-niveauer, og som også modtager mere end 14 ml/kg/måned pakkede røde blodceller (omkring &gt; 4 enheder/måned for en voksen). </w:t>
      </w:r>
    </w:p>
    <w:p w:rsidR="00173256" w:rsidRPr="00173256" w:rsidRDefault="00173256" w:rsidP="00173256">
      <w:pPr>
        <w:tabs>
          <w:tab w:val="left" w:pos="851"/>
        </w:tabs>
        <w:ind w:left="851"/>
        <w:rPr>
          <w:sz w:val="24"/>
          <w:szCs w:val="24"/>
        </w:rPr>
      </w:pPr>
    </w:p>
    <w:p w:rsidR="00173256" w:rsidRPr="00173256" w:rsidRDefault="00173256" w:rsidP="00173256">
      <w:pPr>
        <w:tabs>
          <w:tab w:val="left" w:pos="851"/>
        </w:tabs>
        <w:ind w:left="851"/>
        <w:rPr>
          <w:sz w:val="24"/>
          <w:szCs w:val="24"/>
        </w:rPr>
      </w:pPr>
      <w:r w:rsidRPr="00173256">
        <w:rPr>
          <w:sz w:val="24"/>
          <w:szCs w:val="24"/>
        </w:rPr>
        <w:t xml:space="preserve">En startdosis på 7 mg/kg </w:t>
      </w:r>
      <w:r w:rsidR="00554F72">
        <w:rPr>
          <w:sz w:val="24"/>
          <w:szCs w:val="24"/>
        </w:rPr>
        <w:t xml:space="preserve">for </w:t>
      </w:r>
      <w:r w:rsidR="00554F72" w:rsidRPr="00DC7ECF">
        <w:rPr>
          <w:sz w:val="24"/>
          <w:szCs w:val="24"/>
        </w:rPr>
        <w:t xml:space="preserve">Deferasirox "Orifarm" </w:t>
      </w:r>
      <w:r w:rsidRPr="00173256">
        <w:rPr>
          <w:sz w:val="24"/>
          <w:szCs w:val="24"/>
        </w:rPr>
        <w:t xml:space="preserve">kan tages i betragtning for patienter, der ikke har brug for reduktion af jern-niveauer i kroppen, og som også modtager mindre end 7 mg/kg/måned pakkede røde blodceller (omkring &lt; 2 enheder/måned for en voksen). Patientens respons skal monitoreres, og dosisøgninger bør overvejes, hvis der ikke opnås tilstrækkelig virkning (se pkt. 5.1). </w:t>
      </w:r>
    </w:p>
    <w:p w:rsidR="00173256" w:rsidRPr="00173256" w:rsidRDefault="00173256" w:rsidP="00173256">
      <w:pPr>
        <w:tabs>
          <w:tab w:val="left" w:pos="851"/>
        </w:tabs>
        <w:ind w:left="851"/>
        <w:rPr>
          <w:sz w:val="24"/>
          <w:szCs w:val="24"/>
        </w:rPr>
      </w:pPr>
    </w:p>
    <w:p w:rsidR="00173256" w:rsidRPr="00173256" w:rsidRDefault="00173256" w:rsidP="00173256">
      <w:pPr>
        <w:tabs>
          <w:tab w:val="left" w:pos="851"/>
        </w:tabs>
        <w:ind w:left="851"/>
        <w:rPr>
          <w:sz w:val="24"/>
          <w:szCs w:val="24"/>
        </w:rPr>
      </w:pPr>
      <w:r w:rsidRPr="00173256">
        <w:rPr>
          <w:sz w:val="24"/>
          <w:szCs w:val="24"/>
        </w:rPr>
        <w:t>For patienter, der allerede er i tilfredsstillende behandling med deferoxamin, kan en startdosis for Deferasirox "Orifarm", der numerisk er en tredjedel af deferoxamindosis, overvejes. Eksempelvis kan en patient, der modtager 40 mg/kg/dag af deferoxamin 5 dage om ugen (eller tilsvarende), overføres til en daglig startdosis på 14 mg/kg/dag af Deferasirox "Orifarm". Når dette resulterer i en daglig dosis, der er mindre end 14 mg/kg kropsvægt, skal patientens respons monitoreres. Hvis der ikke opnås tilstrækkelig virkning, skal en dosisøgning overvejes (se pkt. 5.1).</w:t>
      </w:r>
    </w:p>
    <w:p w:rsidR="00173256" w:rsidRPr="00173256" w:rsidRDefault="00173256" w:rsidP="00173256">
      <w:pPr>
        <w:tabs>
          <w:tab w:val="left" w:pos="851"/>
        </w:tabs>
        <w:ind w:left="851"/>
        <w:rPr>
          <w:sz w:val="24"/>
          <w:szCs w:val="24"/>
        </w:rPr>
      </w:pPr>
    </w:p>
    <w:p w:rsidR="00173256" w:rsidRPr="00173256" w:rsidRDefault="00173256" w:rsidP="00173256">
      <w:pPr>
        <w:pStyle w:val="Default"/>
        <w:ind w:firstLine="851"/>
      </w:pPr>
      <w:r w:rsidRPr="00173256">
        <w:rPr>
          <w:i/>
          <w:iCs/>
        </w:rPr>
        <w:t xml:space="preserve">Dosisjustering </w:t>
      </w:r>
    </w:p>
    <w:p w:rsidR="00173256" w:rsidRPr="00173256" w:rsidRDefault="00173256" w:rsidP="00173256">
      <w:pPr>
        <w:pStyle w:val="Default"/>
        <w:ind w:left="851"/>
      </w:pPr>
      <w:r w:rsidRPr="00173256">
        <w:t xml:space="preserve">Det anbefales, at serum-ferritin monitoreres hver måned, og at dosis af Deferasirox "Orifarm" justeres, hvis nødvendigt, hver 3. til 6. måned, ud fra udviklingen i serum-ferritin. Dosisjusteringer kan gøres i trin af 3,5 til 7 mg/kg, og skal skræddersys til den enkelte patients respons og terapeutiske mål (vedligeholdelse eller reduktion af jernophobning). Hos patienter, der ikke er tilstrækkeligt kontrolleret ved doser på 21 mg/kg (fx serum-ferritinniveauer vedvarende over 2.500 μg/l uden at vise en aftagende udvikling over tid), bør doser op til 28 mg/kg overvejes. Der er på nuværende tidspunkt begrænsede langtidseffekt- og sikkerhedsdata fra udførte kliniske forsøg for deferasirox dispergible tabletter anvendt ved doser over 30 mg/kg (264 patienter fulgt i gennemsnitlig 1 år efter dosisoptrapning). Hvis der kun er opnået meget dårlig kontrol med hæmosiderosen ved </w:t>
      </w:r>
      <w:r w:rsidR="00536EA5" w:rsidRPr="00DC7ECF">
        <w:rPr>
          <w:color w:val="auto"/>
        </w:rPr>
        <w:t>doser på op til 21 mg/</w:t>
      </w:r>
      <w:r w:rsidR="00536EA5" w:rsidRPr="00365B29">
        <w:rPr>
          <w:color w:val="auto"/>
        </w:rPr>
        <w:t xml:space="preserve">kg </w:t>
      </w:r>
      <w:r w:rsidR="00536EA5" w:rsidRPr="00365B29">
        <w:t>(filmovertrukket tablet er dosisækvivalent med 30 mg/ml dispergible tabletter)</w:t>
      </w:r>
      <w:r w:rsidR="00536EA5" w:rsidRPr="00DC7ECF">
        <w:rPr>
          <w:color w:val="auto"/>
        </w:rPr>
        <w:t xml:space="preserve">, er det ikke sikkert, </w:t>
      </w:r>
      <w:r w:rsidRPr="00173256">
        <w:t xml:space="preserve">at tilfredsstillende kontrol kan opnås med en yderligere øgning af dosis (til et maksimum på 28 mg/kg), og alternative behandlingsmuligheder bør overvejes. Hvis der ikke opnås tilfredsstillende kontrol ved doser over 21 mg/kg, bør behandlingen ikke opretholdes, og når det er muligt, bør alternativ behandling overvejes. Doser over 28 mg/kg anbefales ikke, da der kun er begrænset erfaring med doser over dette niveau (se pkt. 5.1). </w:t>
      </w:r>
    </w:p>
    <w:p w:rsidR="00173256" w:rsidRPr="00173256" w:rsidRDefault="00173256" w:rsidP="00173256">
      <w:pPr>
        <w:pStyle w:val="Default"/>
        <w:ind w:left="851"/>
      </w:pPr>
    </w:p>
    <w:p w:rsidR="00173256" w:rsidRPr="00173256" w:rsidRDefault="00173256" w:rsidP="00173256">
      <w:pPr>
        <w:tabs>
          <w:tab w:val="left" w:pos="851"/>
        </w:tabs>
        <w:ind w:left="851"/>
        <w:rPr>
          <w:sz w:val="24"/>
          <w:szCs w:val="24"/>
        </w:rPr>
      </w:pPr>
      <w:r w:rsidRPr="00173256">
        <w:rPr>
          <w:sz w:val="24"/>
          <w:szCs w:val="24"/>
        </w:rPr>
        <w:t xml:space="preserve">Hos patienter behandlet med doser over 21 mg/kg bør dosisreduktion i trin på 3,5 til 7 mg/kg overvejes, når der er opnået kontrol (fx serum-ferritinniveauer permanent </w:t>
      </w:r>
      <w:r w:rsidR="0059771D">
        <w:rPr>
          <w:sz w:val="24"/>
          <w:szCs w:val="24"/>
        </w:rPr>
        <w:t xml:space="preserve">≤ </w:t>
      </w:r>
      <w:r w:rsidRPr="00173256">
        <w:rPr>
          <w:sz w:val="24"/>
          <w:szCs w:val="24"/>
        </w:rPr>
        <w:t>2.500 μg/l og med en faldende tendens over tid). Hos patienter, hvis serum-ferritinniveauer har nået målet (som regel mellem 500 og 1.000 μg/l), bør det overvejes at foretage dosisreduktion i trin på 3,5 til 7 mg/kg for at vedligeholde serum-ferritinniveauer inden for det terapeutiske interval, og for at minimere risikoen for overkelering. Afbrydelse af behandlingen skal overvejes, hvis serum-ferritin falder konsekvent under 500 μg/l (se pkt. 4.4).</w:t>
      </w:r>
    </w:p>
    <w:p w:rsidR="00173256" w:rsidRPr="00173256" w:rsidRDefault="00173256" w:rsidP="00173256">
      <w:pPr>
        <w:tabs>
          <w:tab w:val="left" w:pos="851"/>
        </w:tabs>
        <w:ind w:left="851"/>
        <w:rPr>
          <w:sz w:val="24"/>
          <w:szCs w:val="24"/>
        </w:rPr>
      </w:pPr>
    </w:p>
    <w:p w:rsidR="00173256" w:rsidRPr="00180858" w:rsidRDefault="00173256" w:rsidP="00173256">
      <w:pPr>
        <w:pStyle w:val="Default"/>
        <w:ind w:firstLine="851"/>
        <w:rPr>
          <w:iCs/>
          <w:u w:val="single"/>
        </w:rPr>
      </w:pPr>
      <w:r w:rsidRPr="00180858">
        <w:rPr>
          <w:iCs/>
          <w:u w:val="single"/>
        </w:rPr>
        <w:t xml:space="preserve">Ikke-transfusionsafhængige talassæmi-syndromer </w:t>
      </w:r>
    </w:p>
    <w:p w:rsidR="00173256" w:rsidRPr="00173256" w:rsidRDefault="00173256" w:rsidP="00173256">
      <w:pPr>
        <w:pStyle w:val="Default"/>
        <w:ind w:left="851"/>
      </w:pPr>
      <w:r w:rsidRPr="00173256">
        <w:t xml:space="preserve">Kelatbehandling må kun initieres, når der er påviseligt jernoverskud (jernkoncentration i leveren [LIC] ≥ 5 mg Fe/g tørvægt eller serum-ferritin konsekvent &gt; 800 μg/l). LIC er den foretrukne metode til bestemmelse af jernoverskud og bør anvendes, når den er tilgængelig. Der skal udvises forsigtighed hos alle patienter under kelatbehandling for at minimere risikoen for overkelering (se pkt. 4.4). </w:t>
      </w:r>
    </w:p>
    <w:p w:rsidR="00173256" w:rsidRPr="00173256" w:rsidRDefault="00173256" w:rsidP="00173256">
      <w:pPr>
        <w:pStyle w:val="Default"/>
        <w:ind w:left="851"/>
      </w:pPr>
    </w:p>
    <w:p w:rsidR="00496D4F" w:rsidRPr="00DC7ECF" w:rsidRDefault="00496D4F" w:rsidP="00496D4F">
      <w:pPr>
        <w:pStyle w:val="Default"/>
        <w:ind w:left="851"/>
        <w:rPr>
          <w:color w:val="auto"/>
        </w:rPr>
      </w:pPr>
      <w:r w:rsidRPr="00DC7ECF">
        <w:rPr>
          <w:color w:val="auto"/>
        </w:rPr>
        <w:t>I EU fås lægemidler, der indeholder deferasirox som filmovertrukne tabletter og dispergible tabletter. Disse markedsføres under forskellige handelsnavne. På grund af forskellige farmakokinetiske profiler, er en 30</w:t>
      </w:r>
      <w:r>
        <w:rPr>
          <w:color w:val="auto"/>
        </w:rPr>
        <w:t> </w:t>
      </w:r>
      <w:r w:rsidRPr="00DC7ECF">
        <w:rPr>
          <w:color w:val="auto"/>
        </w:rPr>
        <w:t>% lavere dosis af filmovertrukne deferasiroxtabletter nødvendig sammenlignet med den anbefalede dosis for dispergible deferasiroxtabletter (se pkt.</w:t>
      </w:r>
      <w:r>
        <w:rPr>
          <w:color w:val="auto"/>
        </w:rPr>
        <w:t> </w:t>
      </w:r>
      <w:r w:rsidRPr="00DC7ECF">
        <w:rPr>
          <w:color w:val="auto"/>
        </w:rPr>
        <w:t>5.1).</w:t>
      </w:r>
    </w:p>
    <w:p w:rsidR="00FC3CD5" w:rsidRDefault="00FC3CD5">
      <w:pPr>
        <w:rPr>
          <w:sz w:val="24"/>
          <w:szCs w:val="24"/>
        </w:rPr>
      </w:pPr>
      <w:r>
        <w:rPr>
          <w:sz w:val="24"/>
          <w:szCs w:val="24"/>
        </w:rPr>
        <w:br w:type="page"/>
      </w:r>
    </w:p>
    <w:p w:rsidR="00173256" w:rsidRPr="00173256" w:rsidRDefault="00173256" w:rsidP="00173256">
      <w:pPr>
        <w:tabs>
          <w:tab w:val="left" w:pos="851"/>
        </w:tabs>
        <w:ind w:left="851"/>
        <w:rPr>
          <w:sz w:val="24"/>
          <w:szCs w:val="24"/>
        </w:rPr>
      </w:pPr>
    </w:p>
    <w:p w:rsidR="00173256" w:rsidRPr="00173256" w:rsidRDefault="00173256" w:rsidP="00173256">
      <w:pPr>
        <w:ind w:firstLine="851"/>
        <w:rPr>
          <w:sz w:val="24"/>
          <w:szCs w:val="24"/>
        </w:rPr>
      </w:pPr>
      <w:r w:rsidRPr="00173256">
        <w:rPr>
          <w:sz w:val="24"/>
          <w:szCs w:val="24"/>
          <w:u w:val="single"/>
        </w:rPr>
        <w:t>Tabel 2</w:t>
      </w:r>
      <w:r w:rsidRPr="00173256">
        <w:rPr>
          <w:sz w:val="24"/>
          <w:szCs w:val="24"/>
        </w:rPr>
        <w:tab/>
        <w:t>Anbefalet dosis til ikke-transfusionsafhængige talassæmi-syndromer</w:t>
      </w:r>
    </w:p>
    <w:p w:rsidR="00173256" w:rsidRDefault="00173256" w:rsidP="00173256">
      <w:pPr>
        <w:rPr>
          <w:sz w:val="22"/>
          <w:szCs w:val="22"/>
        </w:rPr>
      </w:pPr>
    </w:p>
    <w:tbl>
      <w:tblPr>
        <w:tblStyle w:val="Almindeligtabel2"/>
        <w:tblW w:w="0" w:type="auto"/>
        <w:tblInd w:w="851" w:type="dxa"/>
        <w:tblLayout w:type="fixed"/>
        <w:tblLook w:val="04A0" w:firstRow="1" w:lastRow="0" w:firstColumn="1" w:lastColumn="0" w:noHBand="0" w:noVBand="1"/>
      </w:tblPr>
      <w:tblGrid>
        <w:gridCol w:w="1487"/>
        <w:gridCol w:w="1773"/>
        <w:gridCol w:w="1461"/>
        <w:gridCol w:w="875"/>
        <w:gridCol w:w="1348"/>
      </w:tblGrid>
      <w:tr w:rsidR="00AC3567" w:rsidTr="00AC356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7" w:type="dxa"/>
            <w:tcBorders>
              <w:top w:val="single" w:sz="4" w:space="0" w:color="7F7F7F" w:themeColor="text1" w:themeTint="80"/>
              <w:left w:val="nil"/>
              <w:right w:val="nil"/>
            </w:tcBorders>
          </w:tcPr>
          <w:p w:rsidR="00AC3567" w:rsidRPr="00173256" w:rsidRDefault="00AC3567">
            <w:pPr>
              <w:rPr>
                <w:sz w:val="22"/>
                <w:szCs w:val="22"/>
                <w:lang w:val="da-DK"/>
              </w:rPr>
            </w:pPr>
          </w:p>
        </w:tc>
        <w:tc>
          <w:tcPr>
            <w:tcW w:w="1773" w:type="dxa"/>
            <w:tcBorders>
              <w:top w:val="single" w:sz="4" w:space="0" w:color="7F7F7F" w:themeColor="text1" w:themeTint="80"/>
              <w:left w:val="nil"/>
              <w:right w:val="nil"/>
            </w:tcBorders>
            <w:hideMark/>
          </w:tcPr>
          <w:p w:rsidR="00AC3567" w:rsidRDefault="00AC3567">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Filmovertrukne tabletter</w:t>
            </w:r>
          </w:p>
        </w:tc>
        <w:tc>
          <w:tcPr>
            <w:tcW w:w="1461" w:type="dxa"/>
            <w:tcBorders>
              <w:top w:val="single" w:sz="4" w:space="0" w:color="7F7F7F" w:themeColor="text1" w:themeTint="80"/>
              <w:left w:val="nil"/>
              <w:right w:val="nil"/>
            </w:tcBorders>
            <w:hideMark/>
          </w:tcPr>
          <w:p w:rsidR="00AC3567" w:rsidRPr="00173256" w:rsidRDefault="00AC3567">
            <w:pPr>
              <w:cnfStyle w:val="100000000000" w:firstRow="1" w:lastRow="0" w:firstColumn="0" w:lastColumn="0" w:oddVBand="0" w:evenVBand="0" w:oddHBand="0" w:evenHBand="0" w:firstRowFirstColumn="0" w:firstRowLastColumn="0" w:lastRowFirstColumn="0" w:lastRowLastColumn="0"/>
              <w:rPr>
                <w:sz w:val="22"/>
                <w:szCs w:val="22"/>
                <w:lang w:val="da-DK"/>
              </w:rPr>
            </w:pPr>
            <w:r w:rsidRPr="00173256">
              <w:rPr>
                <w:sz w:val="22"/>
                <w:szCs w:val="22"/>
                <w:lang w:val="da-DK"/>
              </w:rPr>
              <w:t>Jernkoncen-tration i lever (LIC)*</w:t>
            </w:r>
          </w:p>
        </w:tc>
        <w:tc>
          <w:tcPr>
            <w:tcW w:w="875" w:type="dxa"/>
            <w:tcBorders>
              <w:top w:val="single" w:sz="4" w:space="0" w:color="7F7F7F" w:themeColor="text1" w:themeTint="80"/>
              <w:left w:val="nil"/>
              <w:right w:val="nil"/>
            </w:tcBorders>
          </w:tcPr>
          <w:p w:rsidR="00AC3567" w:rsidRPr="00173256" w:rsidRDefault="00AC3567">
            <w:pPr>
              <w:cnfStyle w:val="100000000000" w:firstRow="1" w:lastRow="0" w:firstColumn="0" w:lastColumn="0" w:oddVBand="0" w:evenVBand="0" w:oddHBand="0" w:evenHBand="0" w:firstRowFirstColumn="0" w:firstRowLastColumn="0" w:lastRowFirstColumn="0" w:lastRowLastColumn="0"/>
              <w:rPr>
                <w:sz w:val="22"/>
                <w:szCs w:val="22"/>
                <w:lang w:val="da-DK"/>
              </w:rPr>
            </w:pPr>
          </w:p>
        </w:tc>
        <w:tc>
          <w:tcPr>
            <w:tcW w:w="1348" w:type="dxa"/>
            <w:tcBorders>
              <w:top w:val="single" w:sz="4" w:space="0" w:color="7F7F7F" w:themeColor="text1" w:themeTint="80"/>
              <w:left w:val="nil"/>
              <w:right w:val="nil"/>
            </w:tcBorders>
            <w:hideMark/>
          </w:tcPr>
          <w:p w:rsidR="00AC3567" w:rsidRDefault="00AC3567">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Serum- ferritin</w:t>
            </w:r>
          </w:p>
        </w:tc>
      </w:tr>
      <w:tr w:rsidR="00AC3567" w:rsidTr="00AC356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7" w:type="dxa"/>
            <w:tcBorders>
              <w:left w:val="nil"/>
              <w:right w:val="nil"/>
            </w:tcBorders>
            <w:hideMark/>
          </w:tcPr>
          <w:p w:rsidR="00AC3567" w:rsidRDefault="00AC3567">
            <w:pPr>
              <w:rPr>
                <w:sz w:val="22"/>
                <w:szCs w:val="22"/>
              </w:rPr>
            </w:pPr>
            <w:r>
              <w:rPr>
                <w:sz w:val="22"/>
                <w:szCs w:val="22"/>
              </w:rPr>
              <w:t>Startdosis</w:t>
            </w:r>
          </w:p>
        </w:tc>
        <w:tc>
          <w:tcPr>
            <w:tcW w:w="1773" w:type="dxa"/>
            <w:tcBorders>
              <w:left w:val="nil"/>
              <w:right w:val="nil"/>
            </w:tcBorders>
            <w:hideMark/>
          </w:tcPr>
          <w:p w:rsidR="00AC3567" w:rsidRDefault="00AC3567">
            <w:pPr>
              <w:pStyle w:val="Default"/>
              <w:cnfStyle w:val="000000100000" w:firstRow="0" w:lastRow="0" w:firstColumn="0" w:lastColumn="0" w:oddVBand="0" w:evenVBand="0" w:oddHBand="1" w:evenHBand="0" w:firstRowFirstColumn="0" w:firstRowLastColumn="0" w:lastRowFirstColumn="0" w:lastRowLastColumn="0"/>
              <w:rPr>
                <w:sz w:val="22"/>
                <w:szCs w:val="22"/>
              </w:rPr>
            </w:pPr>
            <w:r>
              <w:rPr>
                <w:b/>
                <w:bCs/>
                <w:sz w:val="22"/>
                <w:szCs w:val="22"/>
              </w:rPr>
              <w:t xml:space="preserve">7 mg/kg/dag </w:t>
            </w:r>
          </w:p>
        </w:tc>
        <w:tc>
          <w:tcPr>
            <w:tcW w:w="1461" w:type="dxa"/>
            <w:tcBorders>
              <w:left w:val="nil"/>
              <w:right w:val="nil"/>
            </w:tcBorders>
            <w:hideMark/>
          </w:tcPr>
          <w:p w:rsidR="00AC3567" w:rsidRDefault="00AC3567">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≥5 mg Fe/g tørvægt </w:t>
            </w:r>
          </w:p>
        </w:tc>
        <w:tc>
          <w:tcPr>
            <w:tcW w:w="875" w:type="dxa"/>
            <w:tcBorders>
              <w:left w:val="nil"/>
              <w:right w:val="nil"/>
            </w:tcBorders>
            <w:hideMark/>
          </w:tcPr>
          <w:p w:rsidR="00AC3567" w:rsidRDefault="00AC3567">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eller</w:t>
            </w:r>
          </w:p>
        </w:tc>
        <w:tc>
          <w:tcPr>
            <w:tcW w:w="1348" w:type="dxa"/>
            <w:tcBorders>
              <w:left w:val="nil"/>
              <w:right w:val="nil"/>
            </w:tcBorders>
            <w:hideMark/>
          </w:tcPr>
          <w:p w:rsidR="00AC3567" w:rsidRDefault="00AC3567">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&gt;800 μg/l </w:t>
            </w:r>
          </w:p>
        </w:tc>
      </w:tr>
      <w:tr w:rsidR="00AC3567" w:rsidTr="00AC3567">
        <w:trPr>
          <w:trHeight w:val="283"/>
        </w:trPr>
        <w:tc>
          <w:tcPr>
            <w:cnfStyle w:val="001000000000" w:firstRow="0" w:lastRow="0" w:firstColumn="1" w:lastColumn="0" w:oddVBand="0" w:evenVBand="0" w:oddHBand="0" w:evenHBand="0" w:firstRowFirstColumn="0" w:firstRowLastColumn="0" w:lastRowFirstColumn="0" w:lastRowLastColumn="0"/>
            <w:tcW w:w="1487" w:type="dxa"/>
            <w:tcBorders>
              <w:top w:val="nil"/>
              <w:left w:val="nil"/>
              <w:bottom w:val="nil"/>
              <w:right w:val="nil"/>
            </w:tcBorders>
            <w:hideMark/>
          </w:tcPr>
          <w:p w:rsidR="00AC3567" w:rsidRDefault="00AC3567">
            <w:pPr>
              <w:rPr>
                <w:sz w:val="22"/>
                <w:szCs w:val="22"/>
              </w:rPr>
            </w:pPr>
            <w:r>
              <w:rPr>
                <w:sz w:val="22"/>
                <w:szCs w:val="22"/>
              </w:rPr>
              <w:t>Monitorering</w:t>
            </w:r>
          </w:p>
        </w:tc>
        <w:tc>
          <w:tcPr>
            <w:tcW w:w="1773" w:type="dxa"/>
            <w:tcBorders>
              <w:top w:val="nil"/>
              <w:left w:val="nil"/>
              <w:bottom w:val="nil"/>
              <w:right w:val="nil"/>
            </w:tcBorders>
          </w:tcPr>
          <w:p w:rsidR="00AC3567" w:rsidRDefault="00AC3567">
            <w:pPr>
              <w:cnfStyle w:val="000000000000" w:firstRow="0" w:lastRow="0" w:firstColumn="0" w:lastColumn="0" w:oddVBand="0" w:evenVBand="0" w:oddHBand="0" w:evenHBand="0" w:firstRowFirstColumn="0" w:firstRowLastColumn="0" w:lastRowFirstColumn="0" w:lastRowLastColumn="0"/>
              <w:rPr>
                <w:sz w:val="22"/>
                <w:szCs w:val="22"/>
              </w:rPr>
            </w:pPr>
          </w:p>
        </w:tc>
        <w:tc>
          <w:tcPr>
            <w:tcW w:w="1461" w:type="dxa"/>
            <w:tcBorders>
              <w:top w:val="nil"/>
              <w:left w:val="nil"/>
              <w:bottom w:val="nil"/>
              <w:right w:val="nil"/>
            </w:tcBorders>
          </w:tcPr>
          <w:p w:rsidR="00AC3567" w:rsidRDefault="00AC3567">
            <w:pPr>
              <w:cnfStyle w:val="000000000000" w:firstRow="0" w:lastRow="0" w:firstColumn="0" w:lastColumn="0" w:oddVBand="0" w:evenVBand="0" w:oddHBand="0" w:evenHBand="0" w:firstRowFirstColumn="0" w:firstRowLastColumn="0" w:lastRowFirstColumn="0" w:lastRowLastColumn="0"/>
              <w:rPr>
                <w:sz w:val="22"/>
                <w:szCs w:val="22"/>
              </w:rPr>
            </w:pPr>
          </w:p>
        </w:tc>
        <w:tc>
          <w:tcPr>
            <w:tcW w:w="875" w:type="dxa"/>
            <w:tcBorders>
              <w:top w:val="nil"/>
              <w:left w:val="nil"/>
              <w:bottom w:val="nil"/>
              <w:right w:val="nil"/>
            </w:tcBorders>
          </w:tcPr>
          <w:p w:rsidR="00AC3567" w:rsidRDefault="00AC3567">
            <w:pPr>
              <w:cnfStyle w:val="000000000000" w:firstRow="0" w:lastRow="0" w:firstColumn="0" w:lastColumn="0" w:oddVBand="0" w:evenVBand="0" w:oddHBand="0" w:evenHBand="0" w:firstRowFirstColumn="0" w:firstRowLastColumn="0" w:lastRowFirstColumn="0" w:lastRowLastColumn="0"/>
              <w:rPr>
                <w:sz w:val="22"/>
                <w:szCs w:val="22"/>
              </w:rPr>
            </w:pPr>
          </w:p>
        </w:tc>
        <w:tc>
          <w:tcPr>
            <w:tcW w:w="1348" w:type="dxa"/>
            <w:tcBorders>
              <w:top w:val="nil"/>
              <w:left w:val="nil"/>
              <w:bottom w:val="nil"/>
              <w:right w:val="nil"/>
            </w:tcBorders>
            <w:hideMark/>
          </w:tcPr>
          <w:p w:rsidR="00AC3567" w:rsidRDefault="00AC3567">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Månedlig</w:t>
            </w:r>
          </w:p>
        </w:tc>
      </w:tr>
      <w:tr w:rsidR="00AC3567" w:rsidTr="00AC356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7" w:type="dxa"/>
            <w:vMerge w:val="restart"/>
            <w:tcBorders>
              <w:left w:val="nil"/>
              <w:bottom w:val="nil"/>
              <w:right w:val="nil"/>
            </w:tcBorders>
            <w:hideMark/>
          </w:tcPr>
          <w:p w:rsidR="00AC3567" w:rsidRDefault="00AC3567">
            <w:pPr>
              <w:rPr>
                <w:sz w:val="22"/>
                <w:szCs w:val="22"/>
              </w:rPr>
            </w:pPr>
            <w:r>
              <w:rPr>
                <w:sz w:val="22"/>
                <w:szCs w:val="22"/>
              </w:rPr>
              <w:t>Korrektions-trin</w:t>
            </w:r>
          </w:p>
          <w:p w:rsidR="00AC3567" w:rsidRDefault="00AC3567">
            <w:pPr>
              <w:rPr>
                <w:b w:val="0"/>
                <w:bCs w:val="0"/>
                <w:sz w:val="22"/>
                <w:szCs w:val="22"/>
              </w:rPr>
            </w:pPr>
            <w:r>
              <w:rPr>
                <w:b w:val="0"/>
                <w:bCs w:val="0"/>
                <w:sz w:val="22"/>
                <w:szCs w:val="22"/>
              </w:rPr>
              <w:t>(hver 3.-6. måned)</w:t>
            </w:r>
          </w:p>
        </w:tc>
        <w:tc>
          <w:tcPr>
            <w:tcW w:w="1773" w:type="dxa"/>
            <w:tcBorders>
              <w:left w:val="nil"/>
              <w:right w:val="nil"/>
            </w:tcBorders>
            <w:hideMark/>
          </w:tcPr>
          <w:p w:rsidR="00AC3567" w:rsidRDefault="00AC3567" w:rsidP="00186C93">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Øget dosis</w:t>
            </w:r>
          </w:p>
        </w:tc>
        <w:tc>
          <w:tcPr>
            <w:tcW w:w="1461" w:type="dxa"/>
            <w:tcBorders>
              <w:left w:val="nil"/>
              <w:right w:val="nil"/>
            </w:tcBorders>
          </w:tcPr>
          <w:p w:rsidR="00AC3567" w:rsidRDefault="00AC3567">
            <w:pPr>
              <w:cnfStyle w:val="000000100000" w:firstRow="0" w:lastRow="0" w:firstColumn="0" w:lastColumn="0" w:oddVBand="0" w:evenVBand="0" w:oddHBand="1" w:evenHBand="0" w:firstRowFirstColumn="0" w:firstRowLastColumn="0" w:lastRowFirstColumn="0" w:lastRowLastColumn="0"/>
              <w:rPr>
                <w:sz w:val="22"/>
                <w:szCs w:val="22"/>
              </w:rPr>
            </w:pPr>
          </w:p>
        </w:tc>
        <w:tc>
          <w:tcPr>
            <w:tcW w:w="875" w:type="dxa"/>
            <w:tcBorders>
              <w:left w:val="nil"/>
              <w:right w:val="nil"/>
            </w:tcBorders>
          </w:tcPr>
          <w:p w:rsidR="00AC3567" w:rsidRDefault="00AC3567">
            <w:pPr>
              <w:cnfStyle w:val="000000100000" w:firstRow="0" w:lastRow="0" w:firstColumn="0" w:lastColumn="0" w:oddVBand="0" w:evenVBand="0" w:oddHBand="1" w:evenHBand="0" w:firstRowFirstColumn="0" w:firstRowLastColumn="0" w:lastRowFirstColumn="0" w:lastRowLastColumn="0"/>
              <w:rPr>
                <w:sz w:val="22"/>
                <w:szCs w:val="22"/>
              </w:rPr>
            </w:pPr>
          </w:p>
        </w:tc>
        <w:tc>
          <w:tcPr>
            <w:tcW w:w="1348" w:type="dxa"/>
            <w:tcBorders>
              <w:left w:val="nil"/>
              <w:right w:val="nil"/>
            </w:tcBorders>
          </w:tcPr>
          <w:p w:rsidR="00AC3567" w:rsidRDefault="00AC3567">
            <w:pPr>
              <w:cnfStyle w:val="000000100000" w:firstRow="0" w:lastRow="0" w:firstColumn="0" w:lastColumn="0" w:oddVBand="0" w:evenVBand="0" w:oddHBand="1" w:evenHBand="0" w:firstRowFirstColumn="0" w:firstRowLastColumn="0" w:lastRowFirstColumn="0" w:lastRowLastColumn="0"/>
              <w:rPr>
                <w:sz w:val="22"/>
                <w:szCs w:val="22"/>
              </w:rPr>
            </w:pPr>
          </w:p>
        </w:tc>
      </w:tr>
      <w:tr w:rsidR="00AC3567" w:rsidTr="00AC3567">
        <w:trPr>
          <w:trHeight w:val="283"/>
        </w:trPr>
        <w:tc>
          <w:tcPr>
            <w:cnfStyle w:val="001000000000" w:firstRow="0" w:lastRow="0" w:firstColumn="1" w:lastColumn="0" w:oddVBand="0" w:evenVBand="0" w:oddHBand="0" w:evenHBand="0" w:firstRowFirstColumn="0" w:firstRowLastColumn="0" w:lastRowFirstColumn="0" w:lastRowLastColumn="0"/>
            <w:tcW w:w="1487" w:type="dxa"/>
            <w:vMerge/>
            <w:tcBorders>
              <w:top w:val="single" w:sz="4" w:space="0" w:color="7F7F7F" w:themeColor="text1" w:themeTint="80"/>
              <w:left w:val="nil"/>
              <w:bottom w:val="nil"/>
              <w:right w:val="nil"/>
            </w:tcBorders>
            <w:vAlign w:val="center"/>
            <w:hideMark/>
          </w:tcPr>
          <w:p w:rsidR="00AC3567" w:rsidRDefault="00AC3567">
            <w:pPr>
              <w:rPr>
                <w:sz w:val="22"/>
                <w:szCs w:val="22"/>
              </w:rPr>
            </w:pPr>
          </w:p>
        </w:tc>
        <w:tc>
          <w:tcPr>
            <w:tcW w:w="1773" w:type="dxa"/>
            <w:tcBorders>
              <w:top w:val="nil"/>
              <w:left w:val="nil"/>
              <w:bottom w:val="nil"/>
              <w:right w:val="nil"/>
            </w:tcBorders>
            <w:hideMark/>
          </w:tcPr>
          <w:p w:rsidR="00AC3567" w:rsidRDefault="00AC3567">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3,5-7 mg/kg/dag</w:t>
            </w:r>
          </w:p>
        </w:tc>
        <w:tc>
          <w:tcPr>
            <w:tcW w:w="1461" w:type="dxa"/>
            <w:tcBorders>
              <w:top w:val="nil"/>
              <w:left w:val="nil"/>
              <w:bottom w:val="nil"/>
              <w:right w:val="nil"/>
            </w:tcBorders>
            <w:hideMark/>
          </w:tcPr>
          <w:tbl>
            <w:tblPr>
              <w:tblW w:w="0" w:type="auto"/>
              <w:tblLayout w:type="fixed"/>
              <w:tblLook w:val="04A0" w:firstRow="1" w:lastRow="0" w:firstColumn="1" w:lastColumn="0" w:noHBand="0" w:noVBand="1"/>
            </w:tblPr>
            <w:tblGrid>
              <w:gridCol w:w="1526"/>
            </w:tblGrid>
            <w:tr w:rsidR="00AC3567">
              <w:trPr>
                <w:trHeight w:val="100"/>
              </w:trPr>
              <w:tc>
                <w:tcPr>
                  <w:tcW w:w="1526" w:type="dxa"/>
                  <w:tcBorders>
                    <w:top w:val="nil"/>
                    <w:left w:val="nil"/>
                    <w:bottom w:val="nil"/>
                    <w:right w:val="nil"/>
                  </w:tcBorders>
                  <w:hideMark/>
                </w:tcPr>
                <w:p w:rsidR="00AC3567" w:rsidRDefault="00AC3567">
                  <w:pPr>
                    <w:autoSpaceDE w:val="0"/>
                    <w:autoSpaceDN w:val="0"/>
                    <w:adjustRightInd w:val="0"/>
                    <w:rPr>
                      <w:color w:val="000000"/>
                      <w:sz w:val="22"/>
                      <w:szCs w:val="22"/>
                    </w:rPr>
                  </w:pPr>
                  <w:r>
                    <w:rPr>
                      <w:color w:val="000000"/>
                      <w:sz w:val="22"/>
                      <w:szCs w:val="22"/>
                    </w:rPr>
                    <w:t xml:space="preserve">≥7 mg Fe/g tørvægt </w:t>
                  </w:r>
                </w:p>
              </w:tc>
            </w:tr>
          </w:tbl>
          <w:p w:rsidR="00AC3567" w:rsidRDefault="00AC3567">
            <w:pPr>
              <w:cnfStyle w:val="000000000000" w:firstRow="0" w:lastRow="0" w:firstColumn="0" w:lastColumn="0" w:oddVBand="0" w:evenVBand="0" w:oddHBand="0" w:evenHBand="0" w:firstRowFirstColumn="0" w:firstRowLastColumn="0" w:lastRowFirstColumn="0" w:lastRowLastColumn="0"/>
              <w:rPr>
                <w:sz w:val="22"/>
                <w:szCs w:val="22"/>
              </w:rPr>
            </w:pPr>
          </w:p>
        </w:tc>
        <w:tc>
          <w:tcPr>
            <w:tcW w:w="875" w:type="dxa"/>
            <w:tcBorders>
              <w:top w:val="nil"/>
              <w:left w:val="nil"/>
              <w:bottom w:val="nil"/>
              <w:right w:val="nil"/>
            </w:tcBorders>
            <w:hideMark/>
          </w:tcPr>
          <w:p w:rsidR="00AC3567" w:rsidRDefault="00AC3567">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eller</w:t>
            </w:r>
          </w:p>
        </w:tc>
        <w:tc>
          <w:tcPr>
            <w:tcW w:w="1348" w:type="dxa"/>
            <w:tcBorders>
              <w:top w:val="nil"/>
              <w:left w:val="nil"/>
              <w:bottom w:val="nil"/>
              <w:right w:val="nil"/>
            </w:tcBorders>
            <w:hideMark/>
          </w:tcPr>
          <w:p w:rsidR="00AC3567" w:rsidRDefault="00AC3567">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&gt;2.000 μg/l </w:t>
            </w:r>
          </w:p>
        </w:tc>
      </w:tr>
      <w:tr w:rsidR="00AC3567" w:rsidTr="00AC356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7" w:type="dxa"/>
            <w:vMerge/>
            <w:tcBorders>
              <w:left w:val="nil"/>
              <w:bottom w:val="nil"/>
              <w:right w:val="nil"/>
            </w:tcBorders>
            <w:vAlign w:val="center"/>
            <w:hideMark/>
          </w:tcPr>
          <w:p w:rsidR="00AC3567" w:rsidRDefault="00AC3567">
            <w:pPr>
              <w:rPr>
                <w:sz w:val="22"/>
                <w:szCs w:val="22"/>
              </w:rPr>
            </w:pPr>
          </w:p>
        </w:tc>
        <w:tc>
          <w:tcPr>
            <w:tcW w:w="1773" w:type="dxa"/>
            <w:tcBorders>
              <w:left w:val="nil"/>
              <w:right w:val="nil"/>
            </w:tcBorders>
            <w:hideMark/>
          </w:tcPr>
          <w:p w:rsidR="00AC3567" w:rsidRDefault="00AC3567" w:rsidP="00186C93">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Nedsat dosis</w:t>
            </w:r>
          </w:p>
        </w:tc>
        <w:tc>
          <w:tcPr>
            <w:tcW w:w="1461" w:type="dxa"/>
            <w:tcBorders>
              <w:left w:val="nil"/>
              <w:right w:val="nil"/>
            </w:tcBorders>
          </w:tcPr>
          <w:p w:rsidR="00AC3567" w:rsidRDefault="00AC3567">
            <w:pPr>
              <w:cnfStyle w:val="000000100000" w:firstRow="0" w:lastRow="0" w:firstColumn="0" w:lastColumn="0" w:oddVBand="0" w:evenVBand="0" w:oddHBand="1" w:evenHBand="0" w:firstRowFirstColumn="0" w:firstRowLastColumn="0" w:lastRowFirstColumn="0" w:lastRowLastColumn="0"/>
              <w:rPr>
                <w:sz w:val="22"/>
                <w:szCs w:val="22"/>
              </w:rPr>
            </w:pPr>
          </w:p>
        </w:tc>
        <w:tc>
          <w:tcPr>
            <w:tcW w:w="875" w:type="dxa"/>
            <w:tcBorders>
              <w:left w:val="nil"/>
              <w:right w:val="nil"/>
            </w:tcBorders>
          </w:tcPr>
          <w:p w:rsidR="00AC3567" w:rsidRDefault="00AC3567">
            <w:pPr>
              <w:cnfStyle w:val="000000100000" w:firstRow="0" w:lastRow="0" w:firstColumn="0" w:lastColumn="0" w:oddVBand="0" w:evenVBand="0" w:oddHBand="1" w:evenHBand="0" w:firstRowFirstColumn="0" w:firstRowLastColumn="0" w:lastRowFirstColumn="0" w:lastRowLastColumn="0"/>
              <w:rPr>
                <w:sz w:val="22"/>
                <w:szCs w:val="22"/>
              </w:rPr>
            </w:pPr>
          </w:p>
        </w:tc>
        <w:tc>
          <w:tcPr>
            <w:tcW w:w="1348" w:type="dxa"/>
            <w:tcBorders>
              <w:left w:val="nil"/>
              <w:right w:val="nil"/>
            </w:tcBorders>
          </w:tcPr>
          <w:p w:rsidR="00AC3567" w:rsidRDefault="00AC3567">
            <w:pPr>
              <w:cnfStyle w:val="000000100000" w:firstRow="0" w:lastRow="0" w:firstColumn="0" w:lastColumn="0" w:oddVBand="0" w:evenVBand="0" w:oddHBand="1" w:evenHBand="0" w:firstRowFirstColumn="0" w:firstRowLastColumn="0" w:lastRowFirstColumn="0" w:lastRowLastColumn="0"/>
              <w:rPr>
                <w:sz w:val="22"/>
                <w:szCs w:val="22"/>
              </w:rPr>
            </w:pPr>
          </w:p>
        </w:tc>
      </w:tr>
      <w:tr w:rsidR="00AC3567" w:rsidTr="00AC3567">
        <w:trPr>
          <w:trHeight w:val="283"/>
        </w:trPr>
        <w:tc>
          <w:tcPr>
            <w:cnfStyle w:val="001000000000" w:firstRow="0" w:lastRow="0" w:firstColumn="1" w:lastColumn="0" w:oddVBand="0" w:evenVBand="0" w:oddHBand="0" w:evenHBand="0" w:firstRowFirstColumn="0" w:firstRowLastColumn="0" w:lastRowFirstColumn="0" w:lastRowLastColumn="0"/>
            <w:tcW w:w="1487" w:type="dxa"/>
            <w:vMerge/>
            <w:tcBorders>
              <w:top w:val="single" w:sz="4" w:space="0" w:color="7F7F7F" w:themeColor="text1" w:themeTint="80"/>
              <w:left w:val="nil"/>
              <w:bottom w:val="nil"/>
              <w:right w:val="nil"/>
            </w:tcBorders>
            <w:vAlign w:val="center"/>
            <w:hideMark/>
          </w:tcPr>
          <w:p w:rsidR="00AC3567" w:rsidRDefault="00AC3567">
            <w:pPr>
              <w:rPr>
                <w:sz w:val="22"/>
                <w:szCs w:val="22"/>
              </w:rPr>
            </w:pPr>
          </w:p>
        </w:tc>
        <w:tc>
          <w:tcPr>
            <w:tcW w:w="1773" w:type="dxa"/>
            <w:tcBorders>
              <w:top w:val="nil"/>
              <w:left w:val="nil"/>
              <w:bottom w:val="nil"/>
              <w:right w:val="nil"/>
            </w:tcBorders>
            <w:hideMark/>
          </w:tcPr>
          <w:p w:rsidR="00AC3567" w:rsidRDefault="00AC3567">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3,5-7 mg/kg/dag</w:t>
            </w:r>
          </w:p>
        </w:tc>
        <w:tc>
          <w:tcPr>
            <w:tcW w:w="1461" w:type="dxa"/>
            <w:tcBorders>
              <w:top w:val="nil"/>
              <w:left w:val="nil"/>
              <w:bottom w:val="nil"/>
              <w:right w:val="nil"/>
            </w:tcBorders>
            <w:hideMark/>
          </w:tcPr>
          <w:p w:rsidR="00AC3567" w:rsidRDefault="00AC3567">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&lt;7 mg Fe/g tørvægt </w:t>
            </w:r>
          </w:p>
        </w:tc>
        <w:tc>
          <w:tcPr>
            <w:tcW w:w="875" w:type="dxa"/>
            <w:tcBorders>
              <w:top w:val="nil"/>
              <w:left w:val="nil"/>
              <w:bottom w:val="nil"/>
              <w:right w:val="nil"/>
            </w:tcBorders>
            <w:hideMark/>
          </w:tcPr>
          <w:p w:rsidR="00AC3567" w:rsidRDefault="00AC3567">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eller</w:t>
            </w:r>
          </w:p>
        </w:tc>
        <w:tc>
          <w:tcPr>
            <w:tcW w:w="1348" w:type="dxa"/>
            <w:tcBorders>
              <w:top w:val="nil"/>
              <w:left w:val="nil"/>
              <w:bottom w:val="nil"/>
              <w:right w:val="nil"/>
            </w:tcBorders>
            <w:hideMark/>
          </w:tcPr>
          <w:p w:rsidR="00AC3567" w:rsidRDefault="00AC3567">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≤2.000 μg/l </w:t>
            </w:r>
          </w:p>
        </w:tc>
      </w:tr>
      <w:tr w:rsidR="00AC3567" w:rsidTr="00AC356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7" w:type="dxa"/>
            <w:vMerge w:val="restart"/>
            <w:tcBorders>
              <w:left w:val="nil"/>
              <w:right w:val="nil"/>
            </w:tcBorders>
          </w:tcPr>
          <w:p w:rsidR="00AC3567" w:rsidRDefault="00AC3567">
            <w:pPr>
              <w:pStyle w:val="Default"/>
              <w:rPr>
                <w:sz w:val="22"/>
                <w:szCs w:val="22"/>
              </w:rPr>
            </w:pPr>
            <w:r>
              <w:rPr>
                <w:sz w:val="22"/>
                <w:szCs w:val="22"/>
              </w:rPr>
              <w:t xml:space="preserve">Maksimal dosis </w:t>
            </w:r>
          </w:p>
          <w:p w:rsidR="00AC3567" w:rsidRDefault="00AC3567">
            <w:pPr>
              <w:rPr>
                <w:sz w:val="22"/>
                <w:szCs w:val="22"/>
              </w:rPr>
            </w:pPr>
          </w:p>
        </w:tc>
        <w:tc>
          <w:tcPr>
            <w:tcW w:w="1773" w:type="dxa"/>
            <w:tcBorders>
              <w:left w:val="nil"/>
              <w:right w:val="nil"/>
            </w:tcBorders>
            <w:hideMark/>
          </w:tcPr>
          <w:p w:rsidR="00AC3567" w:rsidRDefault="00AC3567">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14 mg/kg/dag</w:t>
            </w:r>
          </w:p>
          <w:p w:rsidR="00AC3567" w:rsidRPr="007567F0" w:rsidRDefault="00AC3567">
            <w:pPr>
              <w:cnfStyle w:val="000000100000" w:firstRow="0" w:lastRow="0" w:firstColumn="0" w:lastColumn="0" w:oddVBand="0" w:evenVBand="0" w:oddHBand="1" w:evenHBand="0" w:firstRowFirstColumn="0" w:firstRowLastColumn="0" w:lastRowFirstColumn="0" w:lastRowLastColumn="0"/>
              <w:rPr>
                <w:sz w:val="22"/>
                <w:szCs w:val="22"/>
              </w:rPr>
            </w:pPr>
            <w:r w:rsidRPr="007567F0">
              <w:rPr>
                <w:sz w:val="22"/>
                <w:szCs w:val="22"/>
              </w:rPr>
              <w:t>Til voksne patienter</w:t>
            </w:r>
          </w:p>
        </w:tc>
        <w:tc>
          <w:tcPr>
            <w:tcW w:w="1461" w:type="dxa"/>
            <w:tcBorders>
              <w:left w:val="nil"/>
              <w:right w:val="nil"/>
            </w:tcBorders>
          </w:tcPr>
          <w:p w:rsidR="00AC3567" w:rsidRDefault="00AC3567">
            <w:pPr>
              <w:cnfStyle w:val="000000100000" w:firstRow="0" w:lastRow="0" w:firstColumn="0" w:lastColumn="0" w:oddVBand="0" w:evenVBand="0" w:oddHBand="1" w:evenHBand="0" w:firstRowFirstColumn="0" w:firstRowLastColumn="0" w:lastRowFirstColumn="0" w:lastRowLastColumn="0"/>
              <w:rPr>
                <w:sz w:val="22"/>
                <w:szCs w:val="22"/>
              </w:rPr>
            </w:pPr>
          </w:p>
        </w:tc>
        <w:tc>
          <w:tcPr>
            <w:tcW w:w="875" w:type="dxa"/>
            <w:tcBorders>
              <w:left w:val="nil"/>
              <w:right w:val="nil"/>
            </w:tcBorders>
          </w:tcPr>
          <w:p w:rsidR="00AC3567" w:rsidRDefault="00AC3567">
            <w:pPr>
              <w:cnfStyle w:val="000000100000" w:firstRow="0" w:lastRow="0" w:firstColumn="0" w:lastColumn="0" w:oddVBand="0" w:evenVBand="0" w:oddHBand="1" w:evenHBand="0" w:firstRowFirstColumn="0" w:firstRowLastColumn="0" w:lastRowFirstColumn="0" w:lastRowLastColumn="0"/>
              <w:rPr>
                <w:sz w:val="22"/>
                <w:szCs w:val="22"/>
              </w:rPr>
            </w:pPr>
          </w:p>
        </w:tc>
        <w:tc>
          <w:tcPr>
            <w:tcW w:w="1348" w:type="dxa"/>
            <w:tcBorders>
              <w:left w:val="nil"/>
              <w:right w:val="nil"/>
            </w:tcBorders>
          </w:tcPr>
          <w:p w:rsidR="00AC3567" w:rsidRDefault="00AC3567">
            <w:pPr>
              <w:cnfStyle w:val="000000100000" w:firstRow="0" w:lastRow="0" w:firstColumn="0" w:lastColumn="0" w:oddVBand="0" w:evenVBand="0" w:oddHBand="1" w:evenHBand="0" w:firstRowFirstColumn="0" w:firstRowLastColumn="0" w:lastRowFirstColumn="0" w:lastRowLastColumn="0"/>
              <w:rPr>
                <w:sz w:val="22"/>
                <w:szCs w:val="22"/>
              </w:rPr>
            </w:pPr>
          </w:p>
        </w:tc>
      </w:tr>
      <w:tr w:rsidR="00AC3567" w:rsidTr="00AC3567">
        <w:trPr>
          <w:trHeight w:val="283"/>
        </w:trPr>
        <w:tc>
          <w:tcPr>
            <w:cnfStyle w:val="001000000000" w:firstRow="0" w:lastRow="0" w:firstColumn="1" w:lastColumn="0" w:oddVBand="0" w:evenVBand="0" w:oddHBand="0" w:evenHBand="0" w:firstRowFirstColumn="0" w:firstRowLastColumn="0" w:lastRowFirstColumn="0" w:lastRowLastColumn="0"/>
            <w:tcW w:w="1487" w:type="dxa"/>
            <w:vMerge/>
            <w:tcBorders>
              <w:top w:val="single" w:sz="4" w:space="0" w:color="7F7F7F" w:themeColor="text1" w:themeTint="80"/>
              <w:left w:val="nil"/>
              <w:bottom w:val="single" w:sz="4" w:space="0" w:color="7F7F7F" w:themeColor="text1" w:themeTint="80"/>
              <w:right w:val="nil"/>
            </w:tcBorders>
            <w:vAlign w:val="center"/>
            <w:hideMark/>
          </w:tcPr>
          <w:p w:rsidR="00AC3567" w:rsidRDefault="00AC3567">
            <w:pPr>
              <w:rPr>
                <w:sz w:val="22"/>
                <w:szCs w:val="22"/>
              </w:rPr>
            </w:pPr>
          </w:p>
        </w:tc>
        <w:tc>
          <w:tcPr>
            <w:tcW w:w="1773" w:type="dxa"/>
            <w:tcBorders>
              <w:top w:val="nil"/>
              <w:left w:val="nil"/>
              <w:bottom w:val="nil"/>
              <w:right w:val="nil"/>
            </w:tcBorders>
            <w:hideMark/>
          </w:tcPr>
          <w:p w:rsidR="00AC3567" w:rsidRDefault="00AC3567">
            <w:pPr>
              <w:pStyle w:val="Default"/>
              <w:cnfStyle w:val="000000000000" w:firstRow="0" w:lastRow="0" w:firstColumn="0" w:lastColumn="0" w:oddVBand="0" w:evenVBand="0" w:oddHBand="0" w:evenHBand="0" w:firstRowFirstColumn="0" w:firstRowLastColumn="0" w:lastRowFirstColumn="0" w:lastRowLastColumn="0"/>
              <w:rPr>
                <w:bCs/>
                <w:sz w:val="22"/>
                <w:szCs w:val="22"/>
              </w:rPr>
            </w:pPr>
            <w:r>
              <w:rPr>
                <w:b/>
                <w:bCs/>
                <w:sz w:val="22"/>
                <w:szCs w:val="22"/>
              </w:rPr>
              <w:t xml:space="preserve">7 mg/kg/dag </w:t>
            </w:r>
          </w:p>
          <w:p w:rsidR="00AC3567" w:rsidRPr="007567F0" w:rsidRDefault="00AC3567">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Til pædiatriske patienter</w:t>
            </w:r>
          </w:p>
        </w:tc>
        <w:tc>
          <w:tcPr>
            <w:tcW w:w="1461" w:type="dxa"/>
            <w:tcBorders>
              <w:top w:val="nil"/>
              <w:left w:val="nil"/>
              <w:bottom w:val="nil"/>
              <w:right w:val="nil"/>
            </w:tcBorders>
          </w:tcPr>
          <w:p w:rsidR="00AC3567" w:rsidRDefault="00AC3567">
            <w:pPr>
              <w:cnfStyle w:val="000000000000" w:firstRow="0" w:lastRow="0" w:firstColumn="0" w:lastColumn="0" w:oddVBand="0" w:evenVBand="0" w:oddHBand="0" w:evenHBand="0" w:firstRowFirstColumn="0" w:firstRowLastColumn="0" w:lastRowFirstColumn="0" w:lastRowLastColumn="0"/>
              <w:rPr>
                <w:sz w:val="22"/>
                <w:szCs w:val="22"/>
              </w:rPr>
            </w:pPr>
          </w:p>
        </w:tc>
        <w:tc>
          <w:tcPr>
            <w:tcW w:w="875" w:type="dxa"/>
            <w:tcBorders>
              <w:top w:val="nil"/>
              <w:left w:val="nil"/>
              <w:bottom w:val="nil"/>
              <w:right w:val="nil"/>
            </w:tcBorders>
          </w:tcPr>
          <w:p w:rsidR="00AC3567" w:rsidRDefault="00AC3567">
            <w:pPr>
              <w:cnfStyle w:val="000000000000" w:firstRow="0" w:lastRow="0" w:firstColumn="0" w:lastColumn="0" w:oddVBand="0" w:evenVBand="0" w:oddHBand="0" w:evenHBand="0" w:firstRowFirstColumn="0" w:firstRowLastColumn="0" w:lastRowFirstColumn="0" w:lastRowLastColumn="0"/>
              <w:rPr>
                <w:sz w:val="22"/>
                <w:szCs w:val="22"/>
              </w:rPr>
            </w:pPr>
          </w:p>
        </w:tc>
        <w:tc>
          <w:tcPr>
            <w:tcW w:w="1348" w:type="dxa"/>
            <w:tcBorders>
              <w:top w:val="nil"/>
              <w:left w:val="nil"/>
              <w:bottom w:val="nil"/>
              <w:right w:val="nil"/>
            </w:tcBorders>
          </w:tcPr>
          <w:p w:rsidR="00AC3567" w:rsidRDefault="00AC3567">
            <w:pPr>
              <w:cnfStyle w:val="000000000000" w:firstRow="0" w:lastRow="0" w:firstColumn="0" w:lastColumn="0" w:oddVBand="0" w:evenVBand="0" w:oddHBand="0" w:evenHBand="0" w:firstRowFirstColumn="0" w:firstRowLastColumn="0" w:lastRowFirstColumn="0" w:lastRowLastColumn="0"/>
              <w:rPr>
                <w:sz w:val="22"/>
                <w:szCs w:val="22"/>
              </w:rPr>
            </w:pPr>
          </w:p>
        </w:tc>
      </w:tr>
      <w:tr w:rsidR="00AC3567" w:rsidTr="00AC356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7" w:type="dxa"/>
            <w:vMerge/>
            <w:tcBorders>
              <w:left w:val="nil"/>
              <w:right w:val="nil"/>
            </w:tcBorders>
            <w:vAlign w:val="center"/>
            <w:hideMark/>
          </w:tcPr>
          <w:p w:rsidR="00AC3567" w:rsidRDefault="00AC3567">
            <w:pPr>
              <w:rPr>
                <w:sz w:val="22"/>
                <w:szCs w:val="22"/>
              </w:rPr>
            </w:pPr>
          </w:p>
        </w:tc>
        <w:tc>
          <w:tcPr>
            <w:tcW w:w="1773" w:type="dxa"/>
            <w:tcBorders>
              <w:left w:val="nil"/>
              <w:right w:val="nil"/>
            </w:tcBorders>
            <w:hideMark/>
          </w:tcPr>
          <w:p w:rsidR="00AC3567" w:rsidRDefault="00AC3567" w:rsidP="004904E0">
            <w:pPr>
              <w:cnfStyle w:val="000000100000" w:firstRow="0" w:lastRow="0" w:firstColumn="0" w:lastColumn="0" w:oddVBand="0" w:evenVBand="0" w:oddHBand="1" w:evenHBand="0" w:firstRowFirstColumn="0" w:firstRowLastColumn="0" w:lastRowFirstColumn="0" w:lastRowLastColumn="0"/>
              <w:rPr>
                <w:sz w:val="22"/>
                <w:szCs w:val="22"/>
                <w:lang w:val="da-DK"/>
              </w:rPr>
            </w:pPr>
            <w:r>
              <w:rPr>
                <w:b/>
                <w:sz w:val="22"/>
                <w:szCs w:val="22"/>
                <w:lang w:val="da-DK"/>
              </w:rPr>
              <w:t>7 mg/kg</w:t>
            </w:r>
            <w:r w:rsidRPr="004904E0">
              <w:rPr>
                <w:b/>
                <w:sz w:val="22"/>
                <w:szCs w:val="22"/>
                <w:lang w:val="da-DK"/>
              </w:rPr>
              <w:t>/dag</w:t>
            </w:r>
          </w:p>
          <w:p w:rsidR="00AC3567" w:rsidRDefault="00AC3567" w:rsidP="00186C93">
            <w:pPr>
              <w:cnfStyle w:val="000000100000" w:firstRow="0" w:lastRow="0" w:firstColumn="0" w:lastColumn="0" w:oddVBand="0" w:evenVBand="0" w:oddHBand="1" w:evenHBand="0" w:firstRowFirstColumn="0" w:firstRowLastColumn="0" w:lastRowFirstColumn="0" w:lastRowLastColumn="0"/>
              <w:rPr>
                <w:sz w:val="22"/>
                <w:szCs w:val="22"/>
                <w:lang w:val="da-DK"/>
              </w:rPr>
            </w:pPr>
            <w:r w:rsidRPr="004904E0">
              <w:rPr>
                <w:sz w:val="22"/>
                <w:szCs w:val="22"/>
                <w:lang w:val="da-DK"/>
              </w:rPr>
              <w:t>Til</w:t>
            </w:r>
            <w:r>
              <w:rPr>
                <w:sz w:val="22"/>
                <w:szCs w:val="22"/>
                <w:lang w:val="da-DK"/>
              </w:rPr>
              <w:t xml:space="preserve"> både </w:t>
            </w:r>
            <w:r w:rsidRPr="00173256">
              <w:rPr>
                <w:sz w:val="22"/>
                <w:szCs w:val="22"/>
                <w:lang w:val="da-DK"/>
              </w:rPr>
              <w:t>voksne</w:t>
            </w:r>
            <w:r>
              <w:rPr>
                <w:sz w:val="22"/>
                <w:szCs w:val="22"/>
                <w:lang w:val="da-DK"/>
              </w:rPr>
              <w:t xml:space="preserve"> og </w:t>
            </w:r>
            <w:r w:rsidRPr="00173256">
              <w:rPr>
                <w:sz w:val="22"/>
                <w:szCs w:val="22"/>
                <w:lang w:val="da-DK"/>
              </w:rPr>
              <w:t>pædiatriske</w:t>
            </w:r>
          </w:p>
          <w:p w:rsidR="00AC3567" w:rsidRPr="00186C93" w:rsidRDefault="00AC3567" w:rsidP="00186C93">
            <w:pPr>
              <w:cnfStyle w:val="000000100000" w:firstRow="0" w:lastRow="0" w:firstColumn="0" w:lastColumn="0" w:oddVBand="0" w:evenVBand="0" w:oddHBand="1" w:evenHBand="0" w:firstRowFirstColumn="0" w:firstRowLastColumn="0" w:lastRowFirstColumn="0" w:lastRowLastColumn="0"/>
              <w:rPr>
                <w:sz w:val="22"/>
                <w:szCs w:val="22"/>
                <w:lang w:val="da-DK"/>
              </w:rPr>
            </w:pPr>
            <w:r w:rsidRPr="00173256">
              <w:rPr>
                <w:sz w:val="22"/>
                <w:szCs w:val="22"/>
                <w:lang w:val="da-DK"/>
              </w:rPr>
              <w:t>patienter</w:t>
            </w:r>
          </w:p>
        </w:tc>
        <w:tc>
          <w:tcPr>
            <w:tcW w:w="1461" w:type="dxa"/>
            <w:tcBorders>
              <w:left w:val="nil"/>
              <w:right w:val="nil"/>
            </w:tcBorders>
            <w:hideMark/>
          </w:tcPr>
          <w:p w:rsidR="00AC3567" w:rsidRDefault="00AC3567">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ikke vurderet </w:t>
            </w:r>
          </w:p>
        </w:tc>
        <w:tc>
          <w:tcPr>
            <w:tcW w:w="875" w:type="dxa"/>
            <w:tcBorders>
              <w:left w:val="nil"/>
              <w:right w:val="nil"/>
            </w:tcBorders>
            <w:hideMark/>
          </w:tcPr>
          <w:p w:rsidR="00AC3567" w:rsidRDefault="00AC3567">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og </w:t>
            </w:r>
          </w:p>
        </w:tc>
        <w:tc>
          <w:tcPr>
            <w:tcW w:w="1348" w:type="dxa"/>
            <w:tcBorders>
              <w:left w:val="nil"/>
              <w:right w:val="nil"/>
            </w:tcBorders>
            <w:hideMark/>
          </w:tcPr>
          <w:p w:rsidR="00AC3567" w:rsidRDefault="00AC3567">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≤2,000 μg/l </w:t>
            </w:r>
          </w:p>
        </w:tc>
      </w:tr>
      <w:tr w:rsidR="00AC3567" w:rsidTr="00AC3567">
        <w:trPr>
          <w:trHeight w:val="283"/>
        </w:trPr>
        <w:tc>
          <w:tcPr>
            <w:cnfStyle w:val="001000000000" w:firstRow="0" w:lastRow="0" w:firstColumn="1" w:lastColumn="0" w:oddVBand="0" w:evenVBand="0" w:oddHBand="0" w:evenHBand="0" w:firstRowFirstColumn="0" w:firstRowLastColumn="0" w:lastRowFirstColumn="0" w:lastRowLastColumn="0"/>
            <w:tcW w:w="1487" w:type="dxa"/>
            <w:tcBorders>
              <w:top w:val="nil"/>
              <w:left w:val="nil"/>
              <w:bottom w:val="nil"/>
              <w:right w:val="nil"/>
            </w:tcBorders>
            <w:hideMark/>
          </w:tcPr>
          <w:p w:rsidR="00AC3567" w:rsidRDefault="00AC3567">
            <w:pPr>
              <w:pStyle w:val="Default"/>
              <w:rPr>
                <w:sz w:val="22"/>
                <w:szCs w:val="22"/>
              </w:rPr>
            </w:pPr>
            <w:r>
              <w:rPr>
                <w:bCs w:val="0"/>
                <w:sz w:val="22"/>
                <w:szCs w:val="22"/>
              </w:rPr>
              <w:t xml:space="preserve">Afbrydelse </w:t>
            </w:r>
          </w:p>
        </w:tc>
        <w:tc>
          <w:tcPr>
            <w:tcW w:w="1773" w:type="dxa"/>
            <w:tcBorders>
              <w:top w:val="nil"/>
              <w:left w:val="nil"/>
              <w:bottom w:val="nil"/>
              <w:right w:val="nil"/>
            </w:tcBorders>
          </w:tcPr>
          <w:p w:rsidR="00AC3567" w:rsidRDefault="00AC3567">
            <w:pPr>
              <w:pStyle w:val="Default"/>
              <w:cnfStyle w:val="000000000000" w:firstRow="0" w:lastRow="0" w:firstColumn="0" w:lastColumn="0" w:oddVBand="0" w:evenVBand="0" w:oddHBand="0" w:evenHBand="0" w:firstRowFirstColumn="0" w:firstRowLastColumn="0" w:lastRowFirstColumn="0" w:lastRowLastColumn="0"/>
              <w:rPr>
                <w:sz w:val="22"/>
                <w:szCs w:val="22"/>
              </w:rPr>
            </w:pPr>
          </w:p>
        </w:tc>
        <w:tc>
          <w:tcPr>
            <w:tcW w:w="1461" w:type="dxa"/>
            <w:tcBorders>
              <w:top w:val="nil"/>
              <w:left w:val="nil"/>
              <w:bottom w:val="nil"/>
              <w:right w:val="nil"/>
            </w:tcBorders>
            <w:hideMark/>
          </w:tcPr>
          <w:p w:rsidR="00AC3567" w:rsidRDefault="00AC3567">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&lt;</w:t>
            </w:r>
            <w:r>
              <w:rPr>
                <w:b/>
                <w:bCs/>
                <w:sz w:val="22"/>
                <w:szCs w:val="22"/>
              </w:rPr>
              <w:t>3 mg Fe/g tørvægt</w:t>
            </w:r>
          </w:p>
        </w:tc>
        <w:tc>
          <w:tcPr>
            <w:tcW w:w="875" w:type="dxa"/>
            <w:tcBorders>
              <w:top w:val="nil"/>
              <w:left w:val="nil"/>
              <w:bottom w:val="nil"/>
              <w:right w:val="nil"/>
            </w:tcBorders>
            <w:hideMark/>
          </w:tcPr>
          <w:p w:rsidR="00AC3567" w:rsidRDefault="00AC3567">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eller</w:t>
            </w:r>
          </w:p>
        </w:tc>
        <w:tc>
          <w:tcPr>
            <w:tcW w:w="1348" w:type="dxa"/>
            <w:tcBorders>
              <w:top w:val="nil"/>
              <w:left w:val="nil"/>
              <w:bottom w:val="nil"/>
              <w:right w:val="nil"/>
            </w:tcBorders>
            <w:hideMark/>
          </w:tcPr>
          <w:p w:rsidR="00AC3567" w:rsidRDefault="00AC3567">
            <w:pPr>
              <w:pStyle w:val="Default"/>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&lt;300 µg/l</w:t>
            </w:r>
          </w:p>
        </w:tc>
      </w:tr>
      <w:tr w:rsidR="00AC3567" w:rsidTr="00AC356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7" w:type="dxa"/>
            <w:tcBorders>
              <w:left w:val="nil"/>
              <w:right w:val="nil"/>
            </w:tcBorders>
            <w:hideMark/>
          </w:tcPr>
          <w:p w:rsidR="00AC3567" w:rsidRDefault="00AC3567">
            <w:pPr>
              <w:pStyle w:val="Default"/>
              <w:rPr>
                <w:b w:val="0"/>
                <w:sz w:val="22"/>
                <w:szCs w:val="22"/>
              </w:rPr>
            </w:pPr>
            <w:r>
              <w:rPr>
                <w:bCs w:val="0"/>
                <w:sz w:val="22"/>
                <w:szCs w:val="22"/>
              </w:rPr>
              <w:t>Genbehand-ling</w:t>
            </w:r>
          </w:p>
        </w:tc>
        <w:tc>
          <w:tcPr>
            <w:tcW w:w="1773" w:type="dxa"/>
            <w:tcBorders>
              <w:left w:val="nil"/>
              <w:right w:val="nil"/>
            </w:tcBorders>
          </w:tcPr>
          <w:p w:rsidR="00AC3567" w:rsidRDefault="00AC3567">
            <w:pPr>
              <w:pStyle w:val="Default"/>
              <w:cnfStyle w:val="000000100000" w:firstRow="0" w:lastRow="0" w:firstColumn="0" w:lastColumn="0" w:oddVBand="0" w:evenVBand="0" w:oddHBand="1" w:evenHBand="0" w:firstRowFirstColumn="0" w:firstRowLastColumn="0" w:lastRowFirstColumn="0" w:lastRowLastColumn="0"/>
              <w:rPr>
                <w:sz w:val="22"/>
                <w:szCs w:val="22"/>
              </w:rPr>
            </w:pPr>
          </w:p>
        </w:tc>
        <w:tc>
          <w:tcPr>
            <w:tcW w:w="3684" w:type="dxa"/>
            <w:gridSpan w:val="3"/>
            <w:tcBorders>
              <w:left w:val="nil"/>
              <w:right w:val="nil"/>
            </w:tcBorders>
            <w:hideMark/>
          </w:tcPr>
          <w:p w:rsidR="00AC3567" w:rsidRDefault="00AC3567">
            <w:pPr>
              <w:pStyle w:val="Default"/>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Anbefales ikke</w:t>
            </w:r>
          </w:p>
        </w:tc>
      </w:tr>
    </w:tbl>
    <w:p w:rsidR="00173256" w:rsidRDefault="00173256" w:rsidP="00173256">
      <w:pPr>
        <w:ind w:firstLine="851"/>
        <w:rPr>
          <w:sz w:val="22"/>
          <w:szCs w:val="22"/>
        </w:rPr>
      </w:pPr>
      <w:r>
        <w:rPr>
          <w:sz w:val="22"/>
          <w:szCs w:val="22"/>
        </w:rPr>
        <w:t>* LIC er den foretrukne metode til bestemmelse af jernophobning.</w:t>
      </w:r>
    </w:p>
    <w:p w:rsidR="00173256" w:rsidRPr="00173256" w:rsidRDefault="00173256" w:rsidP="00173256">
      <w:pPr>
        <w:tabs>
          <w:tab w:val="left" w:pos="851"/>
        </w:tabs>
        <w:ind w:left="851"/>
        <w:rPr>
          <w:sz w:val="24"/>
          <w:szCs w:val="24"/>
        </w:rPr>
      </w:pPr>
    </w:p>
    <w:p w:rsidR="00173256" w:rsidRPr="00173256" w:rsidRDefault="00173256" w:rsidP="00173256">
      <w:pPr>
        <w:pStyle w:val="Default"/>
        <w:ind w:firstLine="851"/>
      </w:pPr>
      <w:r w:rsidRPr="00173256">
        <w:rPr>
          <w:i/>
          <w:iCs/>
        </w:rPr>
        <w:t xml:space="preserve">Startdosis </w:t>
      </w:r>
    </w:p>
    <w:p w:rsidR="00173256" w:rsidRPr="00173256" w:rsidRDefault="00173256" w:rsidP="00173256">
      <w:pPr>
        <w:pStyle w:val="Default"/>
        <w:ind w:left="851"/>
      </w:pPr>
      <w:r w:rsidRPr="00173256">
        <w:t xml:space="preserve">Den anbefalede daglige initialdosis af Deferasirox "Orifarm" hos patienter med ikke-transfusionsafhængige talassæmi-syndromer er 7 mg/kg kropsvægt. </w:t>
      </w:r>
    </w:p>
    <w:p w:rsidR="00173256" w:rsidRPr="00173256" w:rsidRDefault="00173256" w:rsidP="00173256">
      <w:pPr>
        <w:pStyle w:val="Default"/>
        <w:ind w:left="851"/>
      </w:pPr>
    </w:p>
    <w:p w:rsidR="00173256" w:rsidRPr="00173256" w:rsidRDefault="00173256" w:rsidP="00173256">
      <w:pPr>
        <w:pStyle w:val="Default"/>
        <w:ind w:firstLine="851"/>
      </w:pPr>
      <w:r w:rsidRPr="00173256">
        <w:rPr>
          <w:i/>
          <w:iCs/>
        </w:rPr>
        <w:t xml:space="preserve">Dosisjustering </w:t>
      </w:r>
    </w:p>
    <w:p w:rsidR="00173256" w:rsidRPr="00173256" w:rsidRDefault="00173256" w:rsidP="00173256">
      <w:pPr>
        <w:pStyle w:val="Default"/>
        <w:ind w:left="851"/>
      </w:pPr>
      <w:r w:rsidRPr="00173256">
        <w:t xml:space="preserve">Det anbefales, at serumferritin monitoreres hver måned for at kunne vurdere patientens repons på behandlingen, og for at minimere risikoen for overkelering (se pkt. 4.4). Hver 3 til 6 måned bør det overvejes at øge dosis med 3,5-7 mg/kg, hvis patientens LIC er ≥ 7 mg Fe/g tørvægt, eller hvis serumferritin konsekvent er &gt; 2.000 μg/l og ikke viser en nedadgående tendens, og hvis lægemidlet er veltolereret. </w:t>
      </w:r>
      <w:r w:rsidR="00F16076" w:rsidRPr="00DC7ECF">
        <w:rPr>
          <w:color w:val="auto"/>
        </w:rPr>
        <w:t xml:space="preserve">Doser </w:t>
      </w:r>
      <w:r w:rsidR="00F16076">
        <w:rPr>
          <w:color w:val="auto"/>
        </w:rPr>
        <w:t xml:space="preserve">af </w:t>
      </w:r>
      <w:r w:rsidR="00F16076" w:rsidRPr="00DC7ECF">
        <w:rPr>
          <w:color w:val="auto"/>
        </w:rPr>
        <w:t xml:space="preserve">Deferasirox "Orifarm" </w:t>
      </w:r>
      <w:r w:rsidRPr="00173256">
        <w:t xml:space="preserve">over 14 mg/kg anbefales ikke, da der ikke er nogen erfaring med doser over dette niveau hos patienter med ikke-transfusionsafhængige talassæmi-syndromer. </w:t>
      </w:r>
    </w:p>
    <w:p w:rsidR="00173256" w:rsidRPr="00173256" w:rsidRDefault="00173256" w:rsidP="00173256">
      <w:pPr>
        <w:pStyle w:val="Default"/>
        <w:ind w:left="851"/>
      </w:pPr>
    </w:p>
    <w:p w:rsidR="00173256" w:rsidRPr="00173256" w:rsidRDefault="00173256" w:rsidP="00173256">
      <w:pPr>
        <w:pStyle w:val="Default"/>
        <w:ind w:left="851"/>
      </w:pPr>
      <w:r w:rsidRPr="00173256">
        <w:t xml:space="preserve">Dosis </w:t>
      </w:r>
      <w:r w:rsidR="00F16076">
        <w:rPr>
          <w:color w:val="auto"/>
        </w:rPr>
        <w:t xml:space="preserve">af </w:t>
      </w:r>
      <w:r w:rsidR="00F16076" w:rsidRPr="00DC7ECF">
        <w:rPr>
          <w:color w:val="auto"/>
        </w:rPr>
        <w:t xml:space="preserve">Deferasirox "Orifarm" </w:t>
      </w:r>
      <w:r w:rsidRPr="00173256">
        <w:t xml:space="preserve">må ikke overstige 7 mg/kg </w:t>
      </w:r>
      <w:r w:rsidR="007A0C3F" w:rsidRPr="00DC7ECF">
        <w:rPr>
          <w:color w:val="auto"/>
        </w:rPr>
        <w:t xml:space="preserve">hos </w:t>
      </w:r>
      <w:r w:rsidR="007A0C3F">
        <w:rPr>
          <w:color w:val="auto"/>
        </w:rPr>
        <w:t>båd</w:t>
      </w:r>
      <w:r w:rsidR="007A0C3F">
        <w:t xml:space="preserve">e pædiatriske og voksne </w:t>
      </w:r>
      <w:r w:rsidRPr="00173256">
        <w:t xml:space="preserve">patienter, hvor LIC ikke blev bestemt, og serumferritin er ≤ 2.000 μg/l. </w:t>
      </w:r>
    </w:p>
    <w:p w:rsidR="00173256" w:rsidRPr="00173256" w:rsidRDefault="00173256" w:rsidP="00173256">
      <w:pPr>
        <w:pStyle w:val="Default"/>
        <w:ind w:left="851"/>
      </w:pPr>
    </w:p>
    <w:p w:rsidR="00173256" w:rsidRPr="00173256" w:rsidRDefault="00173256" w:rsidP="00173256">
      <w:pPr>
        <w:pStyle w:val="Default"/>
        <w:ind w:left="851"/>
      </w:pPr>
      <w:r w:rsidRPr="00173256">
        <w:t xml:space="preserve">Hos patienter, hvor dosis er øget til &gt; 7 mg/kg, anbefales det at reducere dosis til 7 mg/kg eller derunder, når LIC er &lt; 7 mg Fe/g tørvægt eller serumferritin er ≤ 2.000 μg/l. </w:t>
      </w:r>
    </w:p>
    <w:p w:rsidR="00173256" w:rsidRPr="00173256" w:rsidRDefault="00173256" w:rsidP="00173256">
      <w:pPr>
        <w:pStyle w:val="Default"/>
        <w:ind w:left="851"/>
      </w:pPr>
    </w:p>
    <w:p w:rsidR="00173256" w:rsidRPr="008D1B2C" w:rsidRDefault="00173256" w:rsidP="00173256">
      <w:pPr>
        <w:pStyle w:val="Default"/>
        <w:ind w:firstLine="851"/>
        <w:rPr>
          <w:u w:val="single"/>
        </w:rPr>
      </w:pPr>
      <w:r w:rsidRPr="008D1B2C">
        <w:rPr>
          <w:iCs/>
          <w:u w:val="single"/>
        </w:rPr>
        <w:t xml:space="preserve">Behandlingsophør </w:t>
      </w:r>
    </w:p>
    <w:p w:rsidR="00173256" w:rsidRPr="00173256" w:rsidRDefault="00173256" w:rsidP="00173256">
      <w:pPr>
        <w:tabs>
          <w:tab w:val="left" w:pos="851"/>
        </w:tabs>
        <w:ind w:left="851"/>
        <w:rPr>
          <w:sz w:val="24"/>
          <w:szCs w:val="24"/>
        </w:rPr>
      </w:pPr>
      <w:r w:rsidRPr="00173256">
        <w:rPr>
          <w:sz w:val="24"/>
          <w:szCs w:val="24"/>
        </w:rPr>
        <w:t>Behandlingen skal ophøre, når der er opnået et tilfredsstillende jernniveau i kroppen (LIC &lt; 3 mg Fe/g tørvægt eller serumferritin &lt; 300 μg/l). Der er ingen tilgængelige data for genoptagelse af behandlingen hos patienter, der genophober jern efter at have opnået et tilfredsstillende jernniveau i kroppen, og derfor kan det ikke anbefales at genoptage behandlingen.</w:t>
      </w:r>
    </w:p>
    <w:p w:rsidR="00173256" w:rsidRPr="00173256" w:rsidRDefault="00173256" w:rsidP="00173256">
      <w:pPr>
        <w:tabs>
          <w:tab w:val="left" w:pos="851"/>
        </w:tabs>
        <w:ind w:left="851"/>
        <w:rPr>
          <w:sz w:val="24"/>
          <w:szCs w:val="24"/>
        </w:rPr>
      </w:pPr>
    </w:p>
    <w:p w:rsidR="00173256" w:rsidRPr="008D1B2C" w:rsidRDefault="00173256" w:rsidP="00173256">
      <w:pPr>
        <w:pStyle w:val="Default"/>
        <w:ind w:firstLine="851"/>
        <w:rPr>
          <w:u w:val="single"/>
        </w:rPr>
      </w:pPr>
      <w:r w:rsidRPr="008D1B2C">
        <w:rPr>
          <w:iCs/>
          <w:u w:val="single"/>
        </w:rPr>
        <w:t xml:space="preserve">Specielle populationer </w:t>
      </w:r>
    </w:p>
    <w:p w:rsidR="00173256" w:rsidRPr="00173256" w:rsidRDefault="00173256" w:rsidP="00173256">
      <w:pPr>
        <w:pStyle w:val="Default"/>
        <w:ind w:firstLine="851"/>
        <w:rPr>
          <w:i/>
          <w:iCs/>
        </w:rPr>
      </w:pPr>
    </w:p>
    <w:p w:rsidR="00173256" w:rsidRPr="00173256" w:rsidRDefault="00173256" w:rsidP="00173256">
      <w:pPr>
        <w:pStyle w:val="Default"/>
        <w:ind w:firstLine="851"/>
      </w:pPr>
      <w:r w:rsidRPr="00173256">
        <w:rPr>
          <w:i/>
          <w:iCs/>
        </w:rPr>
        <w:t xml:space="preserve">Ældre patienter (≥ 65 år) </w:t>
      </w:r>
    </w:p>
    <w:p w:rsidR="00173256" w:rsidRPr="00173256" w:rsidRDefault="00173256" w:rsidP="00173256">
      <w:pPr>
        <w:tabs>
          <w:tab w:val="left" w:pos="851"/>
        </w:tabs>
        <w:ind w:left="851"/>
        <w:rPr>
          <w:sz w:val="24"/>
          <w:szCs w:val="24"/>
        </w:rPr>
      </w:pPr>
      <w:r w:rsidRPr="00173256">
        <w:rPr>
          <w:sz w:val="24"/>
          <w:szCs w:val="24"/>
        </w:rPr>
        <w:t>Dosisrekommendationer for ældre patienter er de samme som ovenfor. I kliniske studier har ældre patienter oplevet en højere frekvens af bivirkninger end yngre patienter (specielt diarré) og bør monitoreres tæt for bivirkninger, der kan kræve dosisjustering.</w:t>
      </w:r>
    </w:p>
    <w:p w:rsidR="00173256" w:rsidRPr="00173256" w:rsidRDefault="00173256" w:rsidP="00173256">
      <w:pPr>
        <w:tabs>
          <w:tab w:val="left" w:pos="851"/>
        </w:tabs>
        <w:ind w:left="851"/>
        <w:rPr>
          <w:sz w:val="24"/>
          <w:szCs w:val="24"/>
        </w:rPr>
      </w:pPr>
    </w:p>
    <w:p w:rsidR="00173256" w:rsidRPr="00173256" w:rsidRDefault="00173256" w:rsidP="00173256">
      <w:pPr>
        <w:pStyle w:val="Default"/>
        <w:ind w:firstLine="851"/>
      </w:pPr>
      <w:r w:rsidRPr="00173256">
        <w:rPr>
          <w:i/>
          <w:iCs/>
        </w:rPr>
        <w:t xml:space="preserve">Pædiatrisk population </w:t>
      </w:r>
    </w:p>
    <w:p w:rsidR="008D1B2C" w:rsidRDefault="008D1B2C" w:rsidP="00173256">
      <w:pPr>
        <w:pStyle w:val="Default"/>
        <w:ind w:firstLine="851"/>
      </w:pPr>
    </w:p>
    <w:p w:rsidR="00173256" w:rsidRPr="00173256" w:rsidRDefault="008D1B2C" w:rsidP="00173256">
      <w:pPr>
        <w:pStyle w:val="Default"/>
        <w:ind w:firstLine="851"/>
      </w:pPr>
      <w:r>
        <w:t xml:space="preserve">- </w:t>
      </w:r>
      <w:r w:rsidR="00173256" w:rsidRPr="00173256">
        <w:t xml:space="preserve">Transfusionsbetinget jernophobning: </w:t>
      </w:r>
    </w:p>
    <w:p w:rsidR="00173256" w:rsidRPr="00173256" w:rsidRDefault="00173256" w:rsidP="00173256">
      <w:pPr>
        <w:pStyle w:val="Default"/>
        <w:ind w:left="851"/>
      </w:pPr>
      <w:r w:rsidRPr="00173256">
        <w:t xml:space="preserve">Dosisrekommendationer for pædiatriske patienter i alderen 2 til 17 år med transfusionsbetinget jernophobning er de samme som for ældre patienter (se pkt. 4.2). Det anbefales, at serum-ferritin monitoreres hver måned for at kunne vurdere patientens repons på behandlingen, og for at minimere risikoen for overkelering (se pkt. 4.4). Ved beregning af dosis skal ændringer i vægten for pædiatriske patienter over tid tages i betragtning. </w:t>
      </w:r>
    </w:p>
    <w:p w:rsidR="00173256" w:rsidRPr="00173256" w:rsidRDefault="00173256" w:rsidP="00173256">
      <w:pPr>
        <w:pStyle w:val="Default"/>
        <w:ind w:left="851"/>
      </w:pPr>
    </w:p>
    <w:p w:rsidR="00173256" w:rsidRPr="00173256" w:rsidRDefault="00173256" w:rsidP="00173256">
      <w:pPr>
        <w:pStyle w:val="Default"/>
        <w:ind w:left="851"/>
      </w:pPr>
      <w:r w:rsidRPr="00173256">
        <w:t xml:space="preserve">Hos børn med transfusionsbetinget jernophobning mellem 2 og 5 år er eksponeringen mindre end hos voksne (se pkt. 5.2). Denne aldersgruppe kan derfor behøve højere doser, end hvad der er nødvendigt hos voksne. Imidlertid bør startdosis være den samme som hos voksne, efterfulgt af individuel titrering. </w:t>
      </w:r>
    </w:p>
    <w:p w:rsidR="00173256" w:rsidRPr="00173256" w:rsidRDefault="00173256" w:rsidP="00173256">
      <w:pPr>
        <w:pStyle w:val="Default"/>
        <w:ind w:left="851"/>
      </w:pPr>
    </w:p>
    <w:p w:rsidR="00173256" w:rsidRPr="00173256" w:rsidRDefault="008D1B2C" w:rsidP="00173256">
      <w:pPr>
        <w:pStyle w:val="Default"/>
        <w:ind w:firstLine="851"/>
      </w:pPr>
      <w:r>
        <w:t xml:space="preserve">- </w:t>
      </w:r>
      <w:r w:rsidR="00173256" w:rsidRPr="00173256">
        <w:t xml:space="preserve">Ikke-transfusionsafhængige talassæmi-syndromer: </w:t>
      </w:r>
    </w:p>
    <w:p w:rsidR="00173256" w:rsidRPr="00173256" w:rsidRDefault="00173256" w:rsidP="00173256">
      <w:pPr>
        <w:pStyle w:val="Default"/>
        <w:ind w:left="851"/>
      </w:pPr>
      <w:r w:rsidRPr="00173256">
        <w:t xml:space="preserve">Hos pædiatriske patienter med ikke-transfusionsafhængige talassæmi-syndromer bør dosis </w:t>
      </w:r>
      <w:r w:rsidR="007A0C3F">
        <w:rPr>
          <w:color w:val="auto"/>
        </w:rPr>
        <w:t xml:space="preserve">af </w:t>
      </w:r>
      <w:r w:rsidR="007A0C3F" w:rsidRPr="00152336">
        <w:t xml:space="preserve">Deferasirox "Orifarm" </w:t>
      </w:r>
      <w:r w:rsidRPr="00173256">
        <w:t xml:space="preserve">ikke overstige 7 mg/kg. Det er vigtigt at udføre en omhyggelig monitorering af LIC og serum-ferritin hos disse patienter for at undgå overkelering (se pkt. 4.4). I tillæg til månedlige serum-ferritin-målinger skal LIC monitoreres hver 3. måned, når serum-ferritin er ≤ 800 μg/l. </w:t>
      </w:r>
    </w:p>
    <w:p w:rsidR="00173256" w:rsidRPr="00173256" w:rsidRDefault="00173256" w:rsidP="00173256">
      <w:pPr>
        <w:pStyle w:val="Default"/>
        <w:ind w:left="851"/>
      </w:pPr>
    </w:p>
    <w:p w:rsidR="00173256" w:rsidRPr="00173256" w:rsidRDefault="008D1B2C" w:rsidP="00173256">
      <w:pPr>
        <w:pStyle w:val="Default"/>
        <w:ind w:firstLine="851"/>
      </w:pPr>
      <w:r>
        <w:t xml:space="preserve">- </w:t>
      </w:r>
      <w:r w:rsidR="00173256" w:rsidRPr="00173256">
        <w:t xml:space="preserve">Børn fra fødsel til 23 måneder: </w:t>
      </w:r>
    </w:p>
    <w:p w:rsidR="00173256" w:rsidRPr="00173256" w:rsidRDefault="00173256" w:rsidP="00173256">
      <w:pPr>
        <w:tabs>
          <w:tab w:val="left" w:pos="851"/>
        </w:tabs>
        <w:ind w:left="851"/>
        <w:rPr>
          <w:sz w:val="24"/>
          <w:szCs w:val="24"/>
        </w:rPr>
      </w:pPr>
      <w:r w:rsidRPr="00173256">
        <w:rPr>
          <w:sz w:val="24"/>
          <w:szCs w:val="24"/>
        </w:rPr>
        <w:t>Deferasirox</w:t>
      </w:r>
      <w:r w:rsidR="009E2B1C">
        <w:rPr>
          <w:sz w:val="24"/>
          <w:szCs w:val="24"/>
        </w:rPr>
        <w:t>'</w:t>
      </w:r>
      <w:r w:rsidRPr="00173256">
        <w:rPr>
          <w:sz w:val="24"/>
          <w:szCs w:val="24"/>
        </w:rPr>
        <w:t xml:space="preserve"> sikkerhed og virkning hos børn i alderen fra fødsel til 23 måneder er ikke klarlagt. Der foreligger ingen data.</w:t>
      </w:r>
    </w:p>
    <w:p w:rsidR="00173256" w:rsidRPr="00173256" w:rsidRDefault="00173256" w:rsidP="00173256">
      <w:pPr>
        <w:tabs>
          <w:tab w:val="left" w:pos="851"/>
        </w:tabs>
        <w:ind w:left="851"/>
        <w:rPr>
          <w:sz w:val="24"/>
          <w:szCs w:val="24"/>
        </w:rPr>
      </w:pPr>
    </w:p>
    <w:p w:rsidR="00173256" w:rsidRPr="00173256" w:rsidRDefault="00173256" w:rsidP="00173256">
      <w:pPr>
        <w:pStyle w:val="Default"/>
        <w:ind w:firstLine="851"/>
      </w:pPr>
      <w:r w:rsidRPr="00173256">
        <w:rPr>
          <w:i/>
          <w:iCs/>
        </w:rPr>
        <w:t xml:space="preserve">Patienter med nedsat nyrefunktion </w:t>
      </w:r>
    </w:p>
    <w:p w:rsidR="00173256" w:rsidRPr="00173256" w:rsidRDefault="00173256" w:rsidP="00173256">
      <w:pPr>
        <w:pStyle w:val="Default"/>
        <w:ind w:left="851"/>
      </w:pPr>
      <w:r w:rsidRPr="00173256">
        <w:t xml:space="preserve">Deferasirox har ikke været undersøgt hos patienter med nedsat nyrefunktion og er kontraindiceret hos patienter med estimeret kreatinin-clearance &lt; 60 ml/min (se pkt. 4.3 og 4.4). </w:t>
      </w:r>
    </w:p>
    <w:p w:rsidR="00173256" w:rsidRPr="00173256" w:rsidRDefault="00173256" w:rsidP="00173256">
      <w:pPr>
        <w:pStyle w:val="Default"/>
        <w:ind w:left="851"/>
      </w:pPr>
    </w:p>
    <w:p w:rsidR="00173256" w:rsidRPr="00173256" w:rsidRDefault="00173256" w:rsidP="00173256">
      <w:pPr>
        <w:pStyle w:val="Default"/>
        <w:ind w:firstLine="851"/>
      </w:pPr>
      <w:r w:rsidRPr="00173256">
        <w:rPr>
          <w:i/>
          <w:iCs/>
        </w:rPr>
        <w:t xml:space="preserve">Patienter med nedsat leverfunktion </w:t>
      </w:r>
    </w:p>
    <w:p w:rsidR="00173256" w:rsidRPr="00173256" w:rsidRDefault="00173256" w:rsidP="00173256">
      <w:pPr>
        <w:tabs>
          <w:tab w:val="left" w:pos="851"/>
        </w:tabs>
        <w:ind w:left="851"/>
        <w:rPr>
          <w:sz w:val="24"/>
          <w:szCs w:val="24"/>
        </w:rPr>
      </w:pPr>
      <w:r w:rsidRPr="00173256">
        <w:rPr>
          <w:sz w:val="24"/>
          <w:szCs w:val="24"/>
        </w:rPr>
        <w:t xml:space="preserve">Deferasirox anbefales ikke til patienter med svært nedsat leverfunktion (Child-Pugh Class C). Hos patienter med moderat nedsat leverfunktion (Child-Pugh Class B) bør dosis reduceres betydeligt efterfulgt af gradvis dosisøgning op til en grænse på </w:t>
      </w:r>
      <w:r w:rsidR="00944E16" w:rsidRPr="00944E16">
        <w:rPr>
          <w:sz w:val="24"/>
          <w:szCs w:val="24"/>
        </w:rPr>
        <w:t xml:space="preserve">50 % af anbefalet dosis til patienter med normal leverfunktion (se pkt. 4.4 og 5.2), og </w:t>
      </w:r>
      <w:r w:rsidRPr="00173256">
        <w:rPr>
          <w:sz w:val="24"/>
          <w:szCs w:val="24"/>
        </w:rPr>
        <w:t>deferasirox skal anvendes med forsigtighed hos disse patienter. Leverfunktionen bør monitoreres hos alle patienter før behandling, hver 2. uge i løbet af den første måned og derefter hver måned (se pkt. 4.4).</w:t>
      </w:r>
    </w:p>
    <w:p w:rsidR="00944E16" w:rsidRDefault="00944E16">
      <w:pPr>
        <w:rPr>
          <w:sz w:val="24"/>
          <w:szCs w:val="24"/>
        </w:rPr>
      </w:pPr>
      <w:r>
        <w:rPr>
          <w:sz w:val="24"/>
          <w:szCs w:val="24"/>
        </w:rPr>
        <w:br w:type="page"/>
      </w:r>
    </w:p>
    <w:p w:rsidR="00173256" w:rsidRPr="00173256" w:rsidRDefault="00173256" w:rsidP="00173256">
      <w:pPr>
        <w:tabs>
          <w:tab w:val="left" w:pos="851"/>
        </w:tabs>
        <w:ind w:left="851"/>
        <w:rPr>
          <w:sz w:val="24"/>
          <w:szCs w:val="24"/>
        </w:rPr>
      </w:pPr>
    </w:p>
    <w:p w:rsidR="00173256" w:rsidRPr="008D1B2C" w:rsidRDefault="00173256" w:rsidP="00173256">
      <w:pPr>
        <w:pStyle w:val="Default"/>
        <w:ind w:firstLine="851"/>
        <w:rPr>
          <w:b/>
        </w:rPr>
      </w:pPr>
      <w:r w:rsidRPr="008D1B2C">
        <w:rPr>
          <w:b/>
        </w:rPr>
        <w:t xml:space="preserve">Administration </w:t>
      </w:r>
    </w:p>
    <w:p w:rsidR="00173256" w:rsidRPr="00173256" w:rsidRDefault="00173256" w:rsidP="00173256">
      <w:pPr>
        <w:pStyle w:val="Default"/>
        <w:ind w:firstLine="851"/>
      </w:pPr>
      <w:r w:rsidRPr="00173256">
        <w:t xml:space="preserve">Til oral anvendelse. </w:t>
      </w:r>
    </w:p>
    <w:p w:rsidR="00173256" w:rsidRPr="00173256" w:rsidRDefault="00173256" w:rsidP="00173256">
      <w:pPr>
        <w:pStyle w:val="Default"/>
        <w:ind w:firstLine="851"/>
      </w:pPr>
    </w:p>
    <w:p w:rsidR="00173256" w:rsidRPr="00173256" w:rsidRDefault="00173256" w:rsidP="00173256">
      <w:pPr>
        <w:pStyle w:val="Default"/>
        <w:ind w:left="851"/>
      </w:pPr>
      <w:r w:rsidRPr="00173256">
        <w:t xml:space="preserve">Tabletterne bør sluges hele med lidt vand. For patienter, som ikke er i stand til at sluge hele tabletter, kan tabletterne knuses og indtages ved at drysse hele dosen ud over blød mad, som fx yoghurt eller æblemos. Dosen bør indtages med det samme og fuldstændigt og bør ikke gemmes til senere brug. </w:t>
      </w:r>
    </w:p>
    <w:p w:rsidR="00173256" w:rsidRPr="00173256" w:rsidRDefault="00173256" w:rsidP="00173256">
      <w:pPr>
        <w:pStyle w:val="Default"/>
        <w:ind w:left="851"/>
      </w:pPr>
    </w:p>
    <w:p w:rsidR="00173256" w:rsidRPr="00173256" w:rsidRDefault="00173256" w:rsidP="00173256">
      <w:pPr>
        <w:tabs>
          <w:tab w:val="left" w:pos="851"/>
        </w:tabs>
        <w:ind w:left="851"/>
        <w:rPr>
          <w:sz w:val="24"/>
          <w:szCs w:val="24"/>
        </w:rPr>
      </w:pPr>
      <w:r w:rsidRPr="00173256">
        <w:rPr>
          <w:sz w:val="24"/>
          <w:szCs w:val="24"/>
        </w:rPr>
        <w:t xml:space="preserve">Tabletterne skal tages én gang </w:t>
      </w:r>
      <w:r w:rsidR="00296BF5">
        <w:rPr>
          <w:sz w:val="24"/>
          <w:szCs w:val="24"/>
        </w:rPr>
        <w:t>daglig</w:t>
      </w:r>
      <w:r w:rsidRPr="00173256">
        <w:rPr>
          <w:sz w:val="24"/>
          <w:szCs w:val="24"/>
        </w:rPr>
        <w:t>, helst på samme tidspunkt hver dag, og kan indtages på tom mave eller sammen med et let måltid (se pkt. 4.5 og 5.2).</w:t>
      </w:r>
    </w:p>
    <w:p w:rsidR="009260DE" w:rsidRPr="00173256"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3F529D" w:rsidRPr="003F529D" w:rsidRDefault="003F529D" w:rsidP="003F529D">
      <w:pPr>
        <w:tabs>
          <w:tab w:val="left" w:pos="851"/>
        </w:tabs>
        <w:ind w:left="851"/>
        <w:rPr>
          <w:sz w:val="24"/>
          <w:szCs w:val="24"/>
        </w:rPr>
      </w:pPr>
      <w:r w:rsidRPr="003F529D">
        <w:rPr>
          <w:sz w:val="24"/>
          <w:szCs w:val="24"/>
        </w:rPr>
        <w:t xml:space="preserve">Overfølsomhed over for det aktive stof eller over for et eller flere af hjælpestofferne anført i pkt. 6.1. </w:t>
      </w:r>
    </w:p>
    <w:p w:rsidR="003F529D" w:rsidRPr="003F529D" w:rsidRDefault="003F529D" w:rsidP="003F529D">
      <w:pPr>
        <w:tabs>
          <w:tab w:val="left" w:pos="851"/>
        </w:tabs>
        <w:ind w:left="851"/>
        <w:rPr>
          <w:sz w:val="24"/>
          <w:szCs w:val="24"/>
        </w:rPr>
      </w:pPr>
    </w:p>
    <w:p w:rsidR="003F529D" w:rsidRPr="003F529D" w:rsidRDefault="003F529D" w:rsidP="003F529D">
      <w:pPr>
        <w:tabs>
          <w:tab w:val="left" w:pos="851"/>
        </w:tabs>
        <w:ind w:left="851"/>
        <w:rPr>
          <w:sz w:val="24"/>
          <w:szCs w:val="24"/>
        </w:rPr>
      </w:pPr>
      <w:r w:rsidRPr="003F529D">
        <w:rPr>
          <w:sz w:val="24"/>
          <w:szCs w:val="24"/>
        </w:rPr>
        <w:t xml:space="preserve">Kombination med andre jernkelator-behandlinger da sikkerheden af sådanne kombinationer ikke er klarlagt (se pkt. 4.5). </w:t>
      </w:r>
    </w:p>
    <w:p w:rsidR="003F529D" w:rsidRPr="003F529D" w:rsidRDefault="003F529D" w:rsidP="003F529D">
      <w:pPr>
        <w:tabs>
          <w:tab w:val="left" w:pos="851"/>
        </w:tabs>
        <w:ind w:left="851"/>
        <w:rPr>
          <w:sz w:val="24"/>
          <w:szCs w:val="24"/>
        </w:rPr>
      </w:pPr>
    </w:p>
    <w:p w:rsidR="003F529D" w:rsidRPr="003F529D" w:rsidRDefault="003F529D" w:rsidP="003F529D">
      <w:pPr>
        <w:tabs>
          <w:tab w:val="left" w:pos="851"/>
        </w:tabs>
        <w:ind w:left="851"/>
        <w:rPr>
          <w:sz w:val="24"/>
          <w:szCs w:val="24"/>
        </w:rPr>
      </w:pPr>
      <w:r w:rsidRPr="003F529D">
        <w:rPr>
          <w:sz w:val="24"/>
          <w:szCs w:val="24"/>
        </w:rPr>
        <w:t>Patienter med estimeret kreatinin-clearance &lt; 60 ml/min.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F529D" w:rsidRDefault="003F529D" w:rsidP="003F529D">
      <w:pPr>
        <w:ind w:left="851" w:hanging="851"/>
        <w:rPr>
          <w:b/>
          <w:sz w:val="22"/>
          <w:szCs w:val="18"/>
          <w:lang w:eastAsia="da-DK"/>
        </w:rPr>
      </w:pPr>
      <w:r>
        <w:rPr>
          <w:b/>
          <w:sz w:val="22"/>
          <w:szCs w:val="18"/>
        </w:rPr>
        <w:tab/>
      </w:r>
    </w:p>
    <w:tbl>
      <w:tblPr>
        <w:tblStyle w:val="Tabel-Gitter"/>
        <w:tblW w:w="0" w:type="auto"/>
        <w:tblInd w:w="846" w:type="dxa"/>
        <w:tblLook w:val="04A0" w:firstRow="1" w:lastRow="0" w:firstColumn="1" w:lastColumn="0" w:noHBand="0" w:noVBand="1"/>
      </w:tblPr>
      <w:tblGrid>
        <w:gridCol w:w="8782"/>
      </w:tblGrid>
      <w:tr w:rsidR="003F529D" w:rsidRPr="00933BFD" w:rsidTr="003F529D">
        <w:tc>
          <w:tcPr>
            <w:tcW w:w="8782" w:type="dxa"/>
            <w:tcBorders>
              <w:top w:val="single" w:sz="4" w:space="0" w:color="auto"/>
              <w:left w:val="single" w:sz="4" w:space="0" w:color="auto"/>
              <w:bottom w:val="single" w:sz="4" w:space="0" w:color="auto"/>
              <w:right w:val="single" w:sz="4" w:space="0" w:color="auto"/>
            </w:tcBorders>
          </w:tcPr>
          <w:p w:rsidR="003F529D" w:rsidRPr="00933BFD" w:rsidRDefault="003F529D">
            <w:pPr>
              <w:autoSpaceDE w:val="0"/>
              <w:autoSpaceDN w:val="0"/>
              <w:adjustRightInd w:val="0"/>
              <w:rPr>
                <w:color w:val="000000"/>
                <w:sz w:val="24"/>
                <w:szCs w:val="24"/>
                <w:u w:val="single"/>
                <w:lang w:val="da-DK"/>
              </w:rPr>
            </w:pPr>
            <w:r w:rsidRPr="00933BFD">
              <w:rPr>
                <w:color w:val="000000"/>
                <w:sz w:val="24"/>
                <w:szCs w:val="24"/>
                <w:u w:val="single"/>
                <w:lang w:val="da-DK"/>
              </w:rPr>
              <w:t xml:space="preserve">Nyrefunktion </w:t>
            </w:r>
          </w:p>
          <w:p w:rsidR="003F529D" w:rsidRPr="00933BFD" w:rsidRDefault="003F529D">
            <w:pPr>
              <w:autoSpaceDE w:val="0"/>
              <w:autoSpaceDN w:val="0"/>
              <w:adjustRightInd w:val="0"/>
              <w:rPr>
                <w:sz w:val="24"/>
                <w:szCs w:val="24"/>
                <w:lang w:val="da-DK"/>
              </w:rPr>
            </w:pPr>
            <w:r w:rsidRPr="00933BFD">
              <w:rPr>
                <w:sz w:val="24"/>
                <w:szCs w:val="24"/>
                <w:lang w:val="da-DK"/>
              </w:rPr>
              <w:t>Deferasirox har kun været undersøgt hos patienter med baseline</w:t>
            </w:r>
            <w:r w:rsidRPr="00933BFD">
              <w:rPr>
                <w:i/>
                <w:iCs/>
                <w:sz w:val="24"/>
                <w:szCs w:val="24"/>
                <w:lang w:val="da-DK"/>
              </w:rPr>
              <w:t xml:space="preserve"> </w:t>
            </w:r>
            <w:r w:rsidRPr="00933BFD">
              <w:rPr>
                <w:sz w:val="24"/>
                <w:szCs w:val="24"/>
                <w:lang w:val="da-DK"/>
              </w:rPr>
              <w:t xml:space="preserve">serum-kreatinin inden for det aldersbestemte normalområde. </w:t>
            </w:r>
          </w:p>
          <w:p w:rsidR="003F529D" w:rsidRPr="00933BFD" w:rsidRDefault="003F529D">
            <w:pPr>
              <w:autoSpaceDE w:val="0"/>
              <w:autoSpaceDN w:val="0"/>
              <w:adjustRightInd w:val="0"/>
              <w:rPr>
                <w:color w:val="000000"/>
                <w:sz w:val="24"/>
                <w:szCs w:val="24"/>
                <w:lang w:val="da-DK"/>
              </w:rPr>
            </w:pPr>
          </w:p>
          <w:p w:rsidR="003F529D" w:rsidRPr="00933BFD" w:rsidRDefault="003F529D">
            <w:pPr>
              <w:autoSpaceDE w:val="0"/>
              <w:autoSpaceDN w:val="0"/>
              <w:adjustRightInd w:val="0"/>
              <w:rPr>
                <w:sz w:val="24"/>
                <w:szCs w:val="24"/>
                <w:lang w:val="da-DK"/>
              </w:rPr>
            </w:pPr>
            <w:r w:rsidRPr="00933BFD">
              <w:rPr>
                <w:sz w:val="24"/>
                <w:szCs w:val="24"/>
                <w:lang w:val="da-DK"/>
              </w:rPr>
              <w:t>I kliniske studier forekom stigninger i serum-kreatinin hos omkring 36</w:t>
            </w:r>
            <w:r w:rsidR="007815B8">
              <w:rPr>
                <w:sz w:val="24"/>
                <w:szCs w:val="24"/>
                <w:lang w:val="da-DK"/>
              </w:rPr>
              <w:t xml:space="preserve"> %</w:t>
            </w:r>
            <w:r w:rsidRPr="00933BFD">
              <w:rPr>
                <w:sz w:val="24"/>
                <w:szCs w:val="24"/>
                <w:lang w:val="da-DK"/>
              </w:rPr>
              <w:t xml:space="preserve"> af patienterne. Forhøjelserne var på &gt; 33</w:t>
            </w:r>
            <w:r w:rsidR="007815B8">
              <w:rPr>
                <w:sz w:val="24"/>
                <w:szCs w:val="24"/>
                <w:lang w:val="da-DK"/>
              </w:rPr>
              <w:t xml:space="preserve"> %</w:t>
            </w:r>
            <w:r w:rsidRPr="00933BFD">
              <w:rPr>
                <w:sz w:val="24"/>
                <w:szCs w:val="24"/>
                <w:lang w:val="da-DK"/>
              </w:rPr>
              <w:t xml:space="preserve"> i ≥ 2 på hinanden følgende tilfælde, og nogle gange over den øvre grænse af normalområdet. Disse var dosisafhængige. Omkring to tredjedele af patienterne med forøget serum-kreatinin vendte tilbage til niveauet under 33</w:t>
            </w:r>
            <w:r w:rsidR="007815B8">
              <w:rPr>
                <w:sz w:val="24"/>
                <w:szCs w:val="24"/>
                <w:lang w:val="da-DK"/>
              </w:rPr>
              <w:t xml:space="preserve"> %</w:t>
            </w:r>
            <w:r w:rsidRPr="00933BFD">
              <w:rPr>
                <w:sz w:val="24"/>
                <w:szCs w:val="24"/>
                <w:lang w:val="da-DK"/>
              </w:rPr>
              <w:t xml:space="preserve"> uden dosisjustering. Hos den sidste tredjedel reagerede forøgelsen af serum-kreatinin ikke altid på en dosisreduktion eller dosisafbrydelse. I nogle tilfælde sås kun en stabilisering af serum-kreatinin niveauet efter dosisreduktion. Der er efter markedsføringen rapporteret tilfælde af akut nyresvigt ved brug af deferasirox (se pkt. 4.8). Der er efter markedsføringen set tilfælde, hvor forværring af nyrefunktionen har ført til nyresvigt, som har krævet midlertidig eller permanent dialyse. </w:t>
            </w:r>
          </w:p>
          <w:p w:rsidR="003F529D" w:rsidRPr="00933BFD" w:rsidRDefault="003F529D">
            <w:pPr>
              <w:autoSpaceDE w:val="0"/>
              <w:autoSpaceDN w:val="0"/>
              <w:adjustRightInd w:val="0"/>
              <w:rPr>
                <w:color w:val="000000"/>
                <w:sz w:val="24"/>
                <w:szCs w:val="24"/>
                <w:lang w:val="da-DK"/>
              </w:rPr>
            </w:pPr>
          </w:p>
          <w:p w:rsidR="003F529D" w:rsidRPr="00933BFD" w:rsidRDefault="003F529D">
            <w:pPr>
              <w:autoSpaceDE w:val="0"/>
              <w:autoSpaceDN w:val="0"/>
              <w:adjustRightInd w:val="0"/>
              <w:rPr>
                <w:sz w:val="24"/>
                <w:szCs w:val="24"/>
                <w:lang w:val="da-DK"/>
              </w:rPr>
            </w:pPr>
            <w:r w:rsidRPr="00933BFD">
              <w:rPr>
                <w:sz w:val="24"/>
                <w:szCs w:val="24"/>
                <w:lang w:val="da-DK"/>
              </w:rPr>
              <w:t xml:space="preserve">Årsagerne til stigningerne i serum-kreatinin er ikke blevet klarlagt. Speciel opmærksomhed bør derfor rettes mod monitorering af serum-kreatinin hos patienter, der samtidig får lægemidler, der undertrykker nyrefunktionen, og hos patienter, der får høje doser af deferasirox og/eller lav hyppighed af transfusioner (&lt; 7 ml/kg/måned pakkede røde blodceller eller &lt; 2 enheder/måned for en voksen). Selvom der ikke blev observeret en stigning af bivirkninger i nyrerne efter dosisoptrapning af deferasirox dispergible tabletter til doser over 30 mg/kg i kliniske studier, kan det ikke udelukkes, at der er en øget risiko for bivirkninger i nyrerne ved filmovertrukne tablet-doser over 21 mg/kg. </w:t>
            </w:r>
          </w:p>
          <w:p w:rsidR="003F529D" w:rsidRPr="00933BFD" w:rsidRDefault="003F529D">
            <w:pPr>
              <w:autoSpaceDE w:val="0"/>
              <w:autoSpaceDN w:val="0"/>
              <w:adjustRightInd w:val="0"/>
              <w:rPr>
                <w:color w:val="000000"/>
                <w:sz w:val="24"/>
                <w:szCs w:val="24"/>
                <w:lang w:val="da-DK"/>
              </w:rPr>
            </w:pPr>
          </w:p>
          <w:p w:rsidR="003F529D" w:rsidRPr="00933BFD" w:rsidRDefault="003F529D">
            <w:pPr>
              <w:rPr>
                <w:sz w:val="24"/>
                <w:szCs w:val="24"/>
                <w:lang w:val="da-DK"/>
              </w:rPr>
            </w:pPr>
            <w:r w:rsidRPr="00933BFD">
              <w:rPr>
                <w:sz w:val="24"/>
                <w:szCs w:val="24"/>
                <w:lang w:val="da-DK"/>
              </w:rPr>
              <w:t xml:space="preserve">Det anbefales, at serum-kreatinin dobbeltbestemmes før påbegyndelse af behandling. </w:t>
            </w:r>
            <w:r w:rsidRPr="00933BFD">
              <w:rPr>
                <w:b/>
                <w:bCs/>
                <w:sz w:val="24"/>
                <w:szCs w:val="24"/>
                <w:lang w:val="da-DK"/>
              </w:rPr>
              <w:t xml:space="preserve">Serum-kreatinin, kreatinin-clearance </w:t>
            </w:r>
            <w:r w:rsidRPr="00933BFD">
              <w:rPr>
                <w:sz w:val="24"/>
                <w:szCs w:val="24"/>
                <w:lang w:val="da-DK"/>
              </w:rPr>
              <w:t xml:space="preserve">(estimeret med Cockcroft-Gault eller MDRD-formlen hos voksne og med Schwartz-formlen for børn) og/eller plasma-cystatin C </w:t>
            </w:r>
            <w:r w:rsidRPr="00933BFD">
              <w:rPr>
                <w:b/>
                <w:bCs/>
                <w:sz w:val="24"/>
                <w:szCs w:val="24"/>
                <w:lang w:val="da-DK"/>
              </w:rPr>
              <w:t xml:space="preserve">bør monitoreres inden behandlingsstart, </w:t>
            </w:r>
            <w:r w:rsidR="00296BF5">
              <w:rPr>
                <w:b/>
                <w:bCs/>
                <w:sz w:val="24"/>
                <w:szCs w:val="24"/>
                <w:lang w:val="da-DK"/>
              </w:rPr>
              <w:t>ugentlig</w:t>
            </w:r>
            <w:r w:rsidRPr="00933BFD">
              <w:rPr>
                <w:b/>
                <w:bCs/>
                <w:sz w:val="24"/>
                <w:szCs w:val="24"/>
                <w:lang w:val="da-DK"/>
              </w:rPr>
              <w:t xml:space="preserve"> den første måned efter påbegyndelse eller ændring af behandling med </w:t>
            </w:r>
            <w:r w:rsidR="00C42FD3">
              <w:rPr>
                <w:b/>
                <w:bCs/>
                <w:color w:val="000000"/>
                <w:sz w:val="24"/>
                <w:szCs w:val="24"/>
                <w:lang w:val="da-DK"/>
              </w:rPr>
              <w:t>Deferasirox "Orifarm"</w:t>
            </w:r>
            <w:r w:rsidRPr="00933BFD">
              <w:rPr>
                <w:b/>
                <w:bCs/>
                <w:sz w:val="24"/>
                <w:szCs w:val="24"/>
                <w:lang w:val="da-DK"/>
              </w:rPr>
              <w:t xml:space="preserve"> (inklusive skift til anden formulering). Efterfølgende bør monitorering finde sted </w:t>
            </w:r>
            <w:r w:rsidR="00296BF5">
              <w:rPr>
                <w:b/>
                <w:bCs/>
                <w:sz w:val="24"/>
                <w:szCs w:val="24"/>
                <w:lang w:val="da-DK"/>
              </w:rPr>
              <w:t>månedlig</w:t>
            </w:r>
            <w:r w:rsidRPr="00933BFD">
              <w:rPr>
                <w:sz w:val="24"/>
                <w:szCs w:val="24"/>
                <w:lang w:val="da-DK"/>
              </w:rPr>
              <w:t xml:space="preserve">. Patienter med forud bestående nyresygdom eller patienter, som får lægemidler, der nedsætter nyrefunktionen, kan have en større risiko for komplikationer. Der bør udvises opmærksomhed omkring opretholdelse af passende hydrering af patienter, som udvikler diarré eller opkastning. </w:t>
            </w:r>
          </w:p>
          <w:p w:rsidR="003F529D" w:rsidRPr="00933BFD" w:rsidRDefault="003F529D">
            <w:pPr>
              <w:rPr>
                <w:sz w:val="24"/>
                <w:szCs w:val="24"/>
                <w:lang w:val="da-DK"/>
              </w:rPr>
            </w:pPr>
          </w:p>
          <w:p w:rsidR="003F529D" w:rsidRPr="00933BFD" w:rsidRDefault="003F529D">
            <w:pPr>
              <w:autoSpaceDE w:val="0"/>
              <w:autoSpaceDN w:val="0"/>
              <w:adjustRightInd w:val="0"/>
              <w:rPr>
                <w:sz w:val="24"/>
                <w:szCs w:val="24"/>
                <w:lang w:val="da-DK"/>
              </w:rPr>
            </w:pPr>
            <w:r w:rsidRPr="00933BFD">
              <w:rPr>
                <w:sz w:val="24"/>
                <w:szCs w:val="24"/>
                <w:lang w:val="da-DK"/>
              </w:rPr>
              <w:t xml:space="preserve">Der er efter markedsføring rapporteret om metabolisk acidose opstået under behandling med deferasirox. Hovedparten af disse patienter havde nedsat nyrefunktion, renal tubulopati (Fanconis syndrom), eller diarré, eller forhold, hvor syre-base ubalance er en kendt komplikation. Syre-base-balance, bør overvåges som klinisk indiceret i disse populationer. Afbrydelse af behandling med </w:t>
            </w:r>
            <w:r w:rsidR="00C42FD3">
              <w:rPr>
                <w:sz w:val="24"/>
                <w:szCs w:val="24"/>
                <w:lang w:val="da-DK"/>
              </w:rPr>
              <w:t>Deferasirox "Orifarm"</w:t>
            </w:r>
            <w:r w:rsidRPr="00933BFD">
              <w:rPr>
                <w:sz w:val="24"/>
                <w:szCs w:val="24"/>
                <w:lang w:val="da-DK"/>
              </w:rPr>
              <w:t xml:space="preserve"> bør overvejes hos patienter, der udvikler metabolisk acidose. </w:t>
            </w:r>
          </w:p>
          <w:p w:rsidR="003F529D" w:rsidRPr="00933BFD" w:rsidRDefault="003F529D">
            <w:pPr>
              <w:autoSpaceDE w:val="0"/>
              <w:autoSpaceDN w:val="0"/>
              <w:adjustRightInd w:val="0"/>
              <w:rPr>
                <w:color w:val="000000"/>
                <w:sz w:val="24"/>
                <w:szCs w:val="24"/>
                <w:lang w:val="da-DK"/>
              </w:rPr>
            </w:pPr>
          </w:p>
          <w:p w:rsidR="003F529D" w:rsidRPr="00933BFD" w:rsidRDefault="003F529D">
            <w:pPr>
              <w:rPr>
                <w:sz w:val="24"/>
                <w:szCs w:val="24"/>
                <w:lang w:val="da-DK"/>
              </w:rPr>
            </w:pPr>
            <w:r w:rsidRPr="00933BFD">
              <w:rPr>
                <w:sz w:val="24"/>
                <w:szCs w:val="24"/>
                <w:lang w:val="da-DK"/>
              </w:rPr>
              <w:t xml:space="preserve">Der er efter markedsføring rapporteret om svære tilfælde af tubulopati (fx Fanconis syndrom) og nyresvigt forbundet med ændringer i bevidstheden i sammenhæng med hyperammoniæmisk encefalopati hos patienter behandlet med deferasirox, hovedsageligt hos børn. Det anbefales at hyperammoniæmisk encefalopati skal overvejes og ammoniakniveauet måles hos patienter, som udvikler uforklarlige ændringer i mental status under behandling med </w:t>
            </w:r>
            <w:r w:rsidR="00C42FD3">
              <w:rPr>
                <w:sz w:val="24"/>
                <w:szCs w:val="24"/>
                <w:lang w:val="da-DK"/>
              </w:rPr>
              <w:t>Deferasirox "Orifarm"</w:t>
            </w:r>
            <w:r w:rsidRPr="00933BFD">
              <w:rPr>
                <w:sz w:val="24"/>
                <w:szCs w:val="24"/>
                <w:lang w:val="da-DK"/>
              </w:rPr>
              <w:t xml:space="preserve">. </w:t>
            </w:r>
          </w:p>
          <w:p w:rsidR="003F529D" w:rsidRPr="00933BFD" w:rsidRDefault="003F529D">
            <w:pPr>
              <w:rPr>
                <w:color w:val="000000"/>
                <w:sz w:val="24"/>
                <w:szCs w:val="24"/>
                <w:lang w:val="da-DK"/>
              </w:rPr>
            </w:pPr>
          </w:p>
          <w:p w:rsidR="003F529D" w:rsidRPr="00933BFD" w:rsidRDefault="003F529D">
            <w:pPr>
              <w:ind w:left="567" w:hanging="567"/>
              <w:rPr>
                <w:sz w:val="22"/>
                <w:szCs w:val="22"/>
                <w:lang w:val="da-DK"/>
              </w:rPr>
            </w:pPr>
            <w:r w:rsidRPr="00933BFD">
              <w:rPr>
                <w:sz w:val="22"/>
                <w:szCs w:val="22"/>
                <w:u w:val="single"/>
                <w:lang w:val="da-DK"/>
              </w:rPr>
              <w:t>Tabel 3</w:t>
            </w:r>
            <w:r w:rsidRPr="00933BFD">
              <w:rPr>
                <w:sz w:val="22"/>
                <w:szCs w:val="22"/>
                <w:lang w:val="da-DK"/>
              </w:rPr>
              <w:tab/>
              <w:t>Dosisiustering og afbrydelse af behandling ved monitorering af nyrefunktionen</w:t>
            </w:r>
          </w:p>
          <w:p w:rsidR="003F529D" w:rsidRPr="00933BFD" w:rsidRDefault="003F529D">
            <w:pPr>
              <w:ind w:left="567" w:hanging="567"/>
              <w:rPr>
                <w:sz w:val="24"/>
                <w:szCs w:val="24"/>
                <w:lang w:val="da-DK"/>
              </w:rPr>
            </w:pPr>
          </w:p>
          <w:tbl>
            <w:tblPr>
              <w:tblStyle w:val="Tabel-Gitter"/>
              <w:tblW w:w="0" w:type="auto"/>
              <w:jc w:val="center"/>
              <w:tblInd w:w="0" w:type="dxa"/>
              <w:tblLook w:val="04A0" w:firstRow="1" w:lastRow="0" w:firstColumn="1" w:lastColumn="0" w:noHBand="0" w:noVBand="1"/>
            </w:tblPr>
            <w:tblGrid>
              <w:gridCol w:w="2154"/>
              <w:gridCol w:w="2103"/>
              <w:gridCol w:w="1722"/>
              <w:gridCol w:w="2290"/>
            </w:tblGrid>
            <w:tr w:rsidR="003F529D" w:rsidRPr="00933BFD">
              <w:trPr>
                <w:jc w:val="center"/>
              </w:trPr>
              <w:tc>
                <w:tcPr>
                  <w:tcW w:w="2154" w:type="dxa"/>
                  <w:tcBorders>
                    <w:top w:val="single" w:sz="4" w:space="0" w:color="auto"/>
                    <w:left w:val="single" w:sz="4" w:space="0" w:color="auto"/>
                    <w:bottom w:val="single" w:sz="4" w:space="0" w:color="auto"/>
                    <w:right w:val="single" w:sz="4" w:space="0" w:color="auto"/>
                  </w:tcBorders>
                </w:tcPr>
                <w:p w:rsidR="003F529D" w:rsidRPr="00933BFD" w:rsidRDefault="003F529D">
                  <w:pPr>
                    <w:rPr>
                      <w:sz w:val="22"/>
                      <w:szCs w:val="22"/>
                      <w:lang w:val="da-DK"/>
                    </w:rPr>
                  </w:pPr>
                </w:p>
              </w:tc>
              <w:tc>
                <w:tcPr>
                  <w:tcW w:w="2103" w:type="dxa"/>
                  <w:tcBorders>
                    <w:top w:val="single" w:sz="4" w:space="0" w:color="auto"/>
                    <w:left w:val="single" w:sz="4" w:space="0" w:color="auto"/>
                    <w:bottom w:val="single" w:sz="4" w:space="0" w:color="auto"/>
                    <w:right w:val="single" w:sz="4" w:space="0" w:color="auto"/>
                  </w:tcBorders>
                  <w:hideMark/>
                </w:tcPr>
                <w:p w:rsidR="003F529D" w:rsidRPr="00933BFD" w:rsidRDefault="003F529D">
                  <w:pPr>
                    <w:pStyle w:val="Default"/>
                    <w:rPr>
                      <w:sz w:val="22"/>
                      <w:szCs w:val="22"/>
                    </w:rPr>
                  </w:pPr>
                  <w:r w:rsidRPr="00933BFD">
                    <w:rPr>
                      <w:b/>
                      <w:bCs/>
                      <w:sz w:val="22"/>
                      <w:szCs w:val="22"/>
                    </w:rPr>
                    <w:t xml:space="preserve">Serum-kreatinin </w:t>
                  </w:r>
                </w:p>
              </w:tc>
              <w:tc>
                <w:tcPr>
                  <w:tcW w:w="1722" w:type="dxa"/>
                  <w:tcBorders>
                    <w:top w:val="single" w:sz="4" w:space="0" w:color="auto"/>
                    <w:left w:val="single" w:sz="4" w:space="0" w:color="auto"/>
                    <w:bottom w:val="single" w:sz="4" w:space="0" w:color="auto"/>
                    <w:right w:val="single" w:sz="4" w:space="0" w:color="auto"/>
                  </w:tcBorders>
                </w:tcPr>
                <w:p w:rsidR="003F529D" w:rsidRPr="00933BFD" w:rsidRDefault="003F529D">
                  <w:pPr>
                    <w:rPr>
                      <w:sz w:val="22"/>
                      <w:szCs w:val="22"/>
                    </w:rPr>
                  </w:pPr>
                </w:p>
              </w:tc>
              <w:tc>
                <w:tcPr>
                  <w:tcW w:w="2290" w:type="dxa"/>
                  <w:tcBorders>
                    <w:top w:val="single" w:sz="4" w:space="0" w:color="auto"/>
                    <w:left w:val="single" w:sz="4" w:space="0" w:color="auto"/>
                    <w:bottom w:val="single" w:sz="4" w:space="0" w:color="auto"/>
                    <w:right w:val="single" w:sz="4" w:space="0" w:color="auto"/>
                  </w:tcBorders>
                  <w:hideMark/>
                </w:tcPr>
                <w:p w:rsidR="003F529D" w:rsidRPr="00933BFD" w:rsidRDefault="003F529D">
                  <w:pPr>
                    <w:pStyle w:val="Default"/>
                    <w:rPr>
                      <w:sz w:val="22"/>
                      <w:szCs w:val="22"/>
                    </w:rPr>
                  </w:pPr>
                  <w:r w:rsidRPr="00933BFD">
                    <w:rPr>
                      <w:b/>
                      <w:bCs/>
                      <w:sz w:val="22"/>
                      <w:szCs w:val="22"/>
                    </w:rPr>
                    <w:t xml:space="preserve">Kreatinin-clearance </w:t>
                  </w:r>
                </w:p>
              </w:tc>
            </w:tr>
            <w:tr w:rsidR="003F529D" w:rsidRPr="00933BFD">
              <w:trPr>
                <w:jc w:val="center"/>
              </w:trPr>
              <w:tc>
                <w:tcPr>
                  <w:tcW w:w="2154" w:type="dxa"/>
                  <w:tcBorders>
                    <w:top w:val="single" w:sz="4" w:space="0" w:color="auto"/>
                    <w:left w:val="single" w:sz="4" w:space="0" w:color="auto"/>
                    <w:bottom w:val="single" w:sz="4" w:space="0" w:color="auto"/>
                    <w:right w:val="single" w:sz="4" w:space="0" w:color="auto"/>
                  </w:tcBorders>
                  <w:hideMark/>
                </w:tcPr>
                <w:p w:rsidR="003F529D" w:rsidRPr="00933BFD" w:rsidRDefault="003F529D">
                  <w:pPr>
                    <w:pStyle w:val="Default"/>
                    <w:rPr>
                      <w:sz w:val="22"/>
                      <w:szCs w:val="22"/>
                    </w:rPr>
                  </w:pPr>
                  <w:r w:rsidRPr="00933BFD">
                    <w:rPr>
                      <w:b/>
                      <w:bCs/>
                      <w:sz w:val="22"/>
                      <w:szCs w:val="22"/>
                    </w:rPr>
                    <w:t xml:space="preserve">Inden behandlingsstart </w:t>
                  </w:r>
                </w:p>
              </w:tc>
              <w:tc>
                <w:tcPr>
                  <w:tcW w:w="2103" w:type="dxa"/>
                  <w:tcBorders>
                    <w:top w:val="single" w:sz="4" w:space="0" w:color="auto"/>
                    <w:left w:val="single" w:sz="4" w:space="0" w:color="auto"/>
                    <w:bottom w:val="single" w:sz="4" w:space="0" w:color="auto"/>
                    <w:right w:val="single" w:sz="4" w:space="0" w:color="auto"/>
                  </w:tcBorders>
                </w:tcPr>
                <w:p w:rsidR="003F529D" w:rsidRPr="00933BFD" w:rsidRDefault="003F529D">
                  <w:pPr>
                    <w:pStyle w:val="Default"/>
                    <w:rPr>
                      <w:sz w:val="22"/>
                      <w:szCs w:val="22"/>
                    </w:rPr>
                  </w:pPr>
                  <w:r w:rsidRPr="00933BFD">
                    <w:rPr>
                      <w:sz w:val="22"/>
                      <w:szCs w:val="22"/>
                    </w:rPr>
                    <w:t>To gange (2</w:t>
                  </w:r>
                  <w:r w:rsidR="00296BF5">
                    <w:rPr>
                      <w:sz w:val="22"/>
                      <w:szCs w:val="22"/>
                    </w:rPr>
                    <w:t>×</w:t>
                  </w:r>
                  <w:r w:rsidRPr="00933BFD">
                    <w:rPr>
                      <w:sz w:val="22"/>
                      <w:szCs w:val="22"/>
                    </w:rPr>
                    <w:t xml:space="preserve">) </w:t>
                  </w:r>
                </w:p>
                <w:p w:rsidR="003F529D" w:rsidRPr="00933BFD" w:rsidRDefault="003F529D">
                  <w:pPr>
                    <w:pStyle w:val="Default"/>
                    <w:rPr>
                      <w:sz w:val="22"/>
                      <w:szCs w:val="22"/>
                    </w:rPr>
                  </w:pPr>
                </w:p>
              </w:tc>
              <w:tc>
                <w:tcPr>
                  <w:tcW w:w="1722" w:type="dxa"/>
                  <w:tcBorders>
                    <w:top w:val="single" w:sz="4" w:space="0" w:color="auto"/>
                    <w:left w:val="single" w:sz="4" w:space="0" w:color="auto"/>
                    <w:bottom w:val="single" w:sz="4" w:space="0" w:color="auto"/>
                    <w:right w:val="single" w:sz="4" w:space="0" w:color="auto"/>
                  </w:tcBorders>
                  <w:hideMark/>
                </w:tcPr>
                <w:p w:rsidR="003F529D" w:rsidRPr="00933BFD" w:rsidRDefault="003F529D">
                  <w:pPr>
                    <w:pStyle w:val="Default"/>
                    <w:rPr>
                      <w:sz w:val="22"/>
                      <w:szCs w:val="22"/>
                    </w:rPr>
                  </w:pPr>
                  <w:r w:rsidRPr="00933BFD">
                    <w:rPr>
                      <w:sz w:val="22"/>
                      <w:szCs w:val="22"/>
                    </w:rPr>
                    <w:t>og</w:t>
                  </w:r>
                </w:p>
              </w:tc>
              <w:tc>
                <w:tcPr>
                  <w:tcW w:w="2290" w:type="dxa"/>
                  <w:tcBorders>
                    <w:top w:val="single" w:sz="4" w:space="0" w:color="auto"/>
                    <w:left w:val="single" w:sz="4" w:space="0" w:color="auto"/>
                    <w:bottom w:val="single" w:sz="4" w:space="0" w:color="auto"/>
                    <w:right w:val="single" w:sz="4" w:space="0" w:color="auto"/>
                  </w:tcBorders>
                </w:tcPr>
                <w:p w:rsidR="003F529D" w:rsidRPr="00933BFD" w:rsidRDefault="003F529D">
                  <w:pPr>
                    <w:pStyle w:val="Default"/>
                    <w:rPr>
                      <w:sz w:val="22"/>
                      <w:szCs w:val="22"/>
                    </w:rPr>
                  </w:pPr>
                  <w:r w:rsidRPr="00933BFD">
                    <w:rPr>
                      <w:sz w:val="22"/>
                      <w:szCs w:val="22"/>
                    </w:rPr>
                    <w:t>En gang (1</w:t>
                  </w:r>
                  <w:r w:rsidR="00296BF5">
                    <w:rPr>
                      <w:sz w:val="22"/>
                      <w:szCs w:val="22"/>
                    </w:rPr>
                    <w:t>×</w:t>
                  </w:r>
                  <w:r w:rsidRPr="00933BFD">
                    <w:rPr>
                      <w:sz w:val="22"/>
                      <w:szCs w:val="22"/>
                    </w:rPr>
                    <w:t xml:space="preserve">) </w:t>
                  </w:r>
                </w:p>
                <w:p w:rsidR="003F529D" w:rsidRPr="00933BFD" w:rsidRDefault="003F529D">
                  <w:pPr>
                    <w:pStyle w:val="Default"/>
                    <w:rPr>
                      <w:sz w:val="22"/>
                      <w:szCs w:val="22"/>
                    </w:rPr>
                  </w:pPr>
                </w:p>
              </w:tc>
            </w:tr>
            <w:tr w:rsidR="003F529D" w:rsidRPr="00933BFD">
              <w:trPr>
                <w:jc w:val="center"/>
              </w:trPr>
              <w:tc>
                <w:tcPr>
                  <w:tcW w:w="2154" w:type="dxa"/>
                  <w:tcBorders>
                    <w:top w:val="single" w:sz="4" w:space="0" w:color="auto"/>
                    <w:left w:val="single" w:sz="4" w:space="0" w:color="auto"/>
                    <w:bottom w:val="single" w:sz="4" w:space="0" w:color="auto"/>
                    <w:right w:val="single" w:sz="4" w:space="0" w:color="auto"/>
                  </w:tcBorders>
                  <w:hideMark/>
                </w:tcPr>
                <w:p w:rsidR="003F529D" w:rsidRPr="00933BFD" w:rsidRDefault="003F529D">
                  <w:pPr>
                    <w:pStyle w:val="Default"/>
                    <w:rPr>
                      <w:sz w:val="22"/>
                      <w:szCs w:val="22"/>
                    </w:rPr>
                  </w:pPr>
                  <w:r w:rsidRPr="00933BFD">
                    <w:rPr>
                      <w:b/>
                      <w:bCs/>
                      <w:sz w:val="22"/>
                      <w:szCs w:val="22"/>
                    </w:rPr>
                    <w:t>Kontraindiceret</w:t>
                  </w:r>
                  <w:r w:rsidR="00D40514">
                    <w:rPr>
                      <w:b/>
                      <w:bCs/>
                      <w:sz w:val="22"/>
                      <w:szCs w:val="22"/>
                    </w:rPr>
                    <w:t xml:space="preserve"> </w:t>
                  </w:r>
                </w:p>
              </w:tc>
              <w:tc>
                <w:tcPr>
                  <w:tcW w:w="2103" w:type="dxa"/>
                  <w:tcBorders>
                    <w:top w:val="single" w:sz="4" w:space="0" w:color="auto"/>
                    <w:left w:val="single" w:sz="4" w:space="0" w:color="auto"/>
                    <w:bottom w:val="single" w:sz="4" w:space="0" w:color="auto"/>
                    <w:right w:val="single" w:sz="4" w:space="0" w:color="auto"/>
                  </w:tcBorders>
                </w:tcPr>
                <w:p w:rsidR="003F529D" w:rsidRPr="00933BFD" w:rsidRDefault="003F529D">
                  <w:pPr>
                    <w:pStyle w:val="Default"/>
                    <w:rPr>
                      <w:sz w:val="22"/>
                      <w:szCs w:val="22"/>
                    </w:rPr>
                  </w:pPr>
                </w:p>
              </w:tc>
              <w:tc>
                <w:tcPr>
                  <w:tcW w:w="1722" w:type="dxa"/>
                  <w:tcBorders>
                    <w:top w:val="single" w:sz="4" w:space="0" w:color="auto"/>
                    <w:left w:val="single" w:sz="4" w:space="0" w:color="auto"/>
                    <w:bottom w:val="single" w:sz="4" w:space="0" w:color="auto"/>
                    <w:right w:val="single" w:sz="4" w:space="0" w:color="auto"/>
                  </w:tcBorders>
                </w:tcPr>
                <w:p w:rsidR="003F529D" w:rsidRPr="00933BFD" w:rsidRDefault="003F529D">
                  <w:pPr>
                    <w:pStyle w:val="Default"/>
                    <w:rPr>
                      <w:sz w:val="22"/>
                      <w:szCs w:val="22"/>
                    </w:rPr>
                  </w:pPr>
                </w:p>
              </w:tc>
              <w:tc>
                <w:tcPr>
                  <w:tcW w:w="2290" w:type="dxa"/>
                  <w:tcBorders>
                    <w:top w:val="single" w:sz="4" w:space="0" w:color="auto"/>
                    <w:left w:val="single" w:sz="4" w:space="0" w:color="auto"/>
                    <w:bottom w:val="single" w:sz="4" w:space="0" w:color="auto"/>
                    <w:right w:val="single" w:sz="4" w:space="0" w:color="auto"/>
                  </w:tcBorders>
                  <w:hideMark/>
                </w:tcPr>
                <w:p w:rsidR="003F529D" w:rsidRPr="00933BFD" w:rsidRDefault="003F529D">
                  <w:pPr>
                    <w:pStyle w:val="Default"/>
                    <w:rPr>
                      <w:sz w:val="22"/>
                      <w:szCs w:val="22"/>
                    </w:rPr>
                  </w:pPr>
                  <w:r w:rsidRPr="00933BFD">
                    <w:rPr>
                      <w:b/>
                      <w:bCs/>
                      <w:sz w:val="22"/>
                      <w:szCs w:val="22"/>
                    </w:rPr>
                    <w:t xml:space="preserve">&lt;60 ml/min </w:t>
                  </w:r>
                </w:p>
              </w:tc>
            </w:tr>
            <w:tr w:rsidR="003F529D" w:rsidRPr="00933BFD">
              <w:trPr>
                <w:jc w:val="center"/>
              </w:trPr>
              <w:tc>
                <w:tcPr>
                  <w:tcW w:w="2154" w:type="dxa"/>
                  <w:tcBorders>
                    <w:top w:val="single" w:sz="4" w:space="0" w:color="auto"/>
                    <w:left w:val="single" w:sz="4" w:space="0" w:color="auto"/>
                    <w:bottom w:val="single" w:sz="4" w:space="0" w:color="auto"/>
                    <w:right w:val="single" w:sz="4" w:space="0" w:color="auto"/>
                  </w:tcBorders>
                  <w:hideMark/>
                </w:tcPr>
                <w:p w:rsidR="003F529D" w:rsidRPr="00933BFD" w:rsidRDefault="003F529D">
                  <w:pPr>
                    <w:pStyle w:val="Default"/>
                    <w:rPr>
                      <w:b/>
                      <w:sz w:val="22"/>
                      <w:szCs w:val="22"/>
                      <w:lang w:val="da-DK"/>
                    </w:rPr>
                  </w:pPr>
                  <w:r w:rsidRPr="00933BFD">
                    <w:rPr>
                      <w:b/>
                      <w:sz w:val="22"/>
                      <w:szCs w:val="22"/>
                      <w:lang w:val="da-DK"/>
                    </w:rPr>
                    <w:t>Monitorering</w:t>
                  </w:r>
                </w:p>
                <w:p w:rsidR="003F529D" w:rsidRPr="00933BFD" w:rsidRDefault="003F529D">
                  <w:pPr>
                    <w:pStyle w:val="Default"/>
                    <w:rPr>
                      <w:bCs/>
                      <w:sz w:val="22"/>
                      <w:szCs w:val="22"/>
                      <w:lang w:val="da-DK"/>
                    </w:rPr>
                  </w:pPr>
                  <w:r w:rsidRPr="00933BFD">
                    <w:rPr>
                      <w:bCs/>
                      <w:sz w:val="22"/>
                      <w:szCs w:val="22"/>
                      <w:lang w:val="da-DK"/>
                    </w:rPr>
                    <w:t xml:space="preserve">- Første måned efter behandlingsstart eller dosisjustering (inklusive skift til anden formulering) </w:t>
                  </w:r>
                </w:p>
                <w:p w:rsidR="003F529D" w:rsidRPr="00933BFD" w:rsidRDefault="003F529D">
                  <w:pPr>
                    <w:pStyle w:val="Default"/>
                    <w:rPr>
                      <w:bCs/>
                      <w:sz w:val="22"/>
                      <w:szCs w:val="22"/>
                    </w:rPr>
                  </w:pPr>
                  <w:r w:rsidRPr="00933BFD">
                    <w:rPr>
                      <w:bCs/>
                      <w:sz w:val="22"/>
                      <w:szCs w:val="22"/>
                    </w:rPr>
                    <w:t>- Herefter</w:t>
                  </w:r>
                </w:p>
              </w:tc>
              <w:tc>
                <w:tcPr>
                  <w:tcW w:w="2103" w:type="dxa"/>
                  <w:tcBorders>
                    <w:top w:val="single" w:sz="4" w:space="0" w:color="auto"/>
                    <w:left w:val="single" w:sz="4" w:space="0" w:color="auto"/>
                    <w:bottom w:val="single" w:sz="4" w:space="0" w:color="auto"/>
                    <w:right w:val="single" w:sz="4" w:space="0" w:color="auto"/>
                  </w:tcBorders>
                </w:tcPr>
                <w:p w:rsidR="003F529D" w:rsidRPr="00933BFD" w:rsidRDefault="003F529D">
                  <w:pPr>
                    <w:rPr>
                      <w:sz w:val="22"/>
                      <w:szCs w:val="22"/>
                    </w:rPr>
                  </w:pPr>
                </w:p>
                <w:p w:rsidR="003F529D" w:rsidRPr="00933BFD" w:rsidRDefault="00296BF5">
                  <w:pPr>
                    <w:rPr>
                      <w:sz w:val="22"/>
                      <w:szCs w:val="22"/>
                    </w:rPr>
                  </w:pPr>
                  <w:r>
                    <w:rPr>
                      <w:sz w:val="22"/>
                      <w:szCs w:val="22"/>
                    </w:rPr>
                    <w:t>Ugentlig</w:t>
                  </w:r>
                </w:p>
                <w:p w:rsidR="003F529D" w:rsidRPr="00933BFD" w:rsidRDefault="003F529D">
                  <w:pPr>
                    <w:rPr>
                      <w:sz w:val="22"/>
                      <w:szCs w:val="22"/>
                    </w:rPr>
                  </w:pPr>
                </w:p>
                <w:p w:rsidR="003F529D" w:rsidRPr="00933BFD" w:rsidRDefault="003F529D">
                  <w:pPr>
                    <w:rPr>
                      <w:sz w:val="22"/>
                      <w:szCs w:val="22"/>
                    </w:rPr>
                  </w:pPr>
                </w:p>
                <w:p w:rsidR="003F529D" w:rsidRPr="00933BFD" w:rsidRDefault="003F529D">
                  <w:pPr>
                    <w:rPr>
                      <w:sz w:val="22"/>
                      <w:szCs w:val="22"/>
                    </w:rPr>
                  </w:pPr>
                </w:p>
                <w:p w:rsidR="003F529D" w:rsidRPr="00933BFD" w:rsidRDefault="003F529D">
                  <w:pPr>
                    <w:rPr>
                      <w:sz w:val="22"/>
                      <w:szCs w:val="22"/>
                    </w:rPr>
                  </w:pPr>
                </w:p>
                <w:p w:rsidR="003F529D" w:rsidRPr="00933BFD" w:rsidRDefault="00296BF5">
                  <w:pPr>
                    <w:rPr>
                      <w:sz w:val="22"/>
                      <w:szCs w:val="22"/>
                    </w:rPr>
                  </w:pPr>
                  <w:r>
                    <w:rPr>
                      <w:sz w:val="22"/>
                      <w:szCs w:val="22"/>
                    </w:rPr>
                    <w:t>Månedlig</w:t>
                  </w:r>
                </w:p>
              </w:tc>
              <w:tc>
                <w:tcPr>
                  <w:tcW w:w="1722" w:type="dxa"/>
                  <w:tcBorders>
                    <w:top w:val="single" w:sz="4" w:space="0" w:color="auto"/>
                    <w:left w:val="single" w:sz="4" w:space="0" w:color="auto"/>
                    <w:bottom w:val="single" w:sz="4" w:space="0" w:color="auto"/>
                    <w:right w:val="single" w:sz="4" w:space="0" w:color="auto"/>
                  </w:tcBorders>
                </w:tcPr>
                <w:p w:rsidR="003F529D" w:rsidRPr="00933BFD" w:rsidRDefault="003F529D">
                  <w:pPr>
                    <w:rPr>
                      <w:sz w:val="22"/>
                      <w:szCs w:val="22"/>
                    </w:rPr>
                  </w:pPr>
                </w:p>
                <w:p w:rsidR="003F529D" w:rsidRPr="00933BFD" w:rsidRDefault="003F529D">
                  <w:pPr>
                    <w:rPr>
                      <w:sz w:val="22"/>
                      <w:szCs w:val="22"/>
                    </w:rPr>
                  </w:pPr>
                  <w:r w:rsidRPr="00933BFD">
                    <w:rPr>
                      <w:sz w:val="22"/>
                      <w:szCs w:val="22"/>
                    </w:rPr>
                    <w:t>og</w:t>
                  </w:r>
                </w:p>
                <w:p w:rsidR="003F529D" w:rsidRPr="00933BFD" w:rsidRDefault="003F529D">
                  <w:pPr>
                    <w:rPr>
                      <w:sz w:val="22"/>
                      <w:szCs w:val="22"/>
                    </w:rPr>
                  </w:pPr>
                </w:p>
                <w:p w:rsidR="003F529D" w:rsidRPr="00933BFD" w:rsidRDefault="003F529D">
                  <w:pPr>
                    <w:rPr>
                      <w:sz w:val="22"/>
                      <w:szCs w:val="22"/>
                    </w:rPr>
                  </w:pPr>
                </w:p>
                <w:p w:rsidR="003F529D" w:rsidRPr="00933BFD" w:rsidRDefault="003F529D">
                  <w:pPr>
                    <w:rPr>
                      <w:sz w:val="22"/>
                      <w:szCs w:val="22"/>
                    </w:rPr>
                  </w:pPr>
                </w:p>
                <w:p w:rsidR="003F529D" w:rsidRPr="00933BFD" w:rsidRDefault="003F529D">
                  <w:pPr>
                    <w:rPr>
                      <w:sz w:val="22"/>
                      <w:szCs w:val="22"/>
                    </w:rPr>
                  </w:pPr>
                </w:p>
                <w:p w:rsidR="003F529D" w:rsidRPr="00933BFD" w:rsidRDefault="003F529D">
                  <w:pPr>
                    <w:rPr>
                      <w:sz w:val="22"/>
                      <w:szCs w:val="22"/>
                    </w:rPr>
                  </w:pPr>
                  <w:r w:rsidRPr="00933BFD">
                    <w:rPr>
                      <w:sz w:val="22"/>
                      <w:szCs w:val="22"/>
                    </w:rPr>
                    <w:t>og</w:t>
                  </w:r>
                </w:p>
              </w:tc>
              <w:tc>
                <w:tcPr>
                  <w:tcW w:w="2290" w:type="dxa"/>
                  <w:tcBorders>
                    <w:top w:val="single" w:sz="4" w:space="0" w:color="auto"/>
                    <w:left w:val="single" w:sz="4" w:space="0" w:color="auto"/>
                    <w:bottom w:val="single" w:sz="4" w:space="0" w:color="auto"/>
                    <w:right w:val="single" w:sz="4" w:space="0" w:color="auto"/>
                  </w:tcBorders>
                </w:tcPr>
                <w:p w:rsidR="003F529D" w:rsidRPr="00933BFD" w:rsidRDefault="003F529D">
                  <w:pPr>
                    <w:rPr>
                      <w:sz w:val="22"/>
                      <w:szCs w:val="22"/>
                    </w:rPr>
                  </w:pPr>
                </w:p>
                <w:p w:rsidR="003F529D" w:rsidRPr="00933BFD" w:rsidRDefault="00296BF5">
                  <w:pPr>
                    <w:rPr>
                      <w:sz w:val="22"/>
                      <w:szCs w:val="22"/>
                    </w:rPr>
                  </w:pPr>
                  <w:r>
                    <w:rPr>
                      <w:sz w:val="22"/>
                      <w:szCs w:val="22"/>
                    </w:rPr>
                    <w:t>Ugentlig</w:t>
                  </w:r>
                </w:p>
                <w:p w:rsidR="003F529D" w:rsidRPr="00933BFD" w:rsidRDefault="003F529D">
                  <w:pPr>
                    <w:rPr>
                      <w:sz w:val="22"/>
                      <w:szCs w:val="22"/>
                    </w:rPr>
                  </w:pPr>
                </w:p>
                <w:p w:rsidR="003F529D" w:rsidRPr="00933BFD" w:rsidRDefault="003F529D">
                  <w:pPr>
                    <w:rPr>
                      <w:sz w:val="22"/>
                      <w:szCs w:val="22"/>
                    </w:rPr>
                  </w:pPr>
                </w:p>
                <w:p w:rsidR="003F529D" w:rsidRPr="00933BFD" w:rsidRDefault="003F529D">
                  <w:pPr>
                    <w:rPr>
                      <w:sz w:val="22"/>
                      <w:szCs w:val="22"/>
                    </w:rPr>
                  </w:pPr>
                </w:p>
                <w:p w:rsidR="003F529D" w:rsidRPr="00933BFD" w:rsidRDefault="003F529D">
                  <w:pPr>
                    <w:rPr>
                      <w:sz w:val="22"/>
                      <w:szCs w:val="22"/>
                    </w:rPr>
                  </w:pPr>
                </w:p>
                <w:p w:rsidR="003F529D" w:rsidRPr="00933BFD" w:rsidRDefault="00296BF5">
                  <w:pPr>
                    <w:rPr>
                      <w:sz w:val="22"/>
                      <w:szCs w:val="22"/>
                    </w:rPr>
                  </w:pPr>
                  <w:r>
                    <w:rPr>
                      <w:sz w:val="22"/>
                      <w:szCs w:val="22"/>
                    </w:rPr>
                    <w:t>Månedlig</w:t>
                  </w:r>
                </w:p>
              </w:tc>
            </w:tr>
            <w:tr w:rsidR="003F529D" w:rsidRPr="00933BFD">
              <w:trPr>
                <w:jc w:val="center"/>
              </w:trPr>
              <w:tc>
                <w:tcPr>
                  <w:tcW w:w="8269" w:type="dxa"/>
                  <w:gridSpan w:val="4"/>
                  <w:tcBorders>
                    <w:top w:val="single" w:sz="4" w:space="0" w:color="auto"/>
                    <w:left w:val="single" w:sz="4" w:space="0" w:color="auto"/>
                    <w:bottom w:val="single" w:sz="4" w:space="0" w:color="auto"/>
                    <w:right w:val="single" w:sz="4" w:space="0" w:color="auto"/>
                  </w:tcBorders>
                  <w:hideMark/>
                </w:tcPr>
                <w:p w:rsidR="003F529D" w:rsidRPr="00933BFD" w:rsidRDefault="003F529D">
                  <w:pPr>
                    <w:pStyle w:val="Default"/>
                    <w:rPr>
                      <w:sz w:val="22"/>
                      <w:szCs w:val="22"/>
                      <w:lang w:val="da-DK"/>
                    </w:rPr>
                  </w:pPr>
                  <w:r w:rsidRPr="00933BFD">
                    <w:rPr>
                      <w:b/>
                      <w:bCs/>
                      <w:sz w:val="22"/>
                      <w:szCs w:val="22"/>
                      <w:lang w:val="da-DK"/>
                    </w:rPr>
                    <w:t xml:space="preserve">Reduktion af daglig dosis med 7 mg/kg/dag </w:t>
                  </w:r>
                  <w:r w:rsidRPr="00933BFD">
                    <w:rPr>
                      <w:sz w:val="22"/>
                      <w:szCs w:val="22"/>
                      <w:lang w:val="da-DK"/>
                    </w:rPr>
                    <w:t xml:space="preserve">(filmovertrukken tablet), </w:t>
                  </w:r>
                </w:p>
                <w:p w:rsidR="003F529D" w:rsidRPr="00933BFD" w:rsidRDefault="003F529D">
                  <w:pPr>
                    <w:rPr>
                      <w:i/>
                      <w:sz w:val="22"/>
                      <w:szCs w:val="22"/>
                      <w:lang w:val="da-DK"/>
                    </w:rPr>
                  </w:pPr>
                  <w:r w:rsidRPr="00933BFD">
                    <w:rPr>
                      <w:i/>
                      <w:iCs/>
                      <w:sz w:val="22"/>
                      <w:szCs w:val="22"/>
                      <w:lang w:val="da-DK"/>
                    </w:rPr>
                    <w:t xml:space="preserve">hvis følgende renale parametre er set ved </w:t>
                  </w:r>
                  <w:r w:rsidRPr="00933BFD">
                    <w:rPr>
                      <w:b/>
                      <w:bCs/>
                      <w:i/>
                      <w:iCs/>
                      <w:sz w:val="22"/>
                      <w:szCs w:val="22"/>
                      <w:lang w:val="da-DK"/>
                    </w:rPr>
                    <w:t xml:space="preserve">to </w:t>
                  </w:r>
                  <w:r w:rsidRPr="00933BFD">
                    <w:rPr>
                      <w:i/>
                      <w:iCs/>
                      <w:sz w:val="22"/>
                      <w:szCs w:val="22"/>
                      <w:lang w:val="da-DK"/>
                    </w:rPr>
                    <w:t xml:space="preserve">på hinanden følgende kontrolbesøg og ikke kan forklares af andre årsager </w:t>
                  </w:r>
                </w:p>
              </w:tc>
            </w:tr>
            <w:tr w:rsidR="003F529D" w:rsidRPr="00933BFD">
              <w:trPr>
                <w:jc w:val="center"/>
              </w:trPr>
              <w:tc>
                <w:tcPr>
                  <w:tcW w:w="2154" w:type="dxa"/>
                  <w:tcBorders>
                    <w:top w:val="single" w:sz="4" w:space="0" w:color="auto"/>
                    <w:left w:val="single" w:sz="4" w:space="0" w:color="auto"/>
                    <w:bottom w:val="single" w:sz="4" w:space="0" w:color="auto"/>
                    <w:right w:val="single" w:sz="4" w:space="0" w:color="auto"/>
                  </w:tcBorders>
                </w:tcPr>
                <w:p w:rsidR="003F529D" w:rsidRPr="00933BFD" w:rsidRDefault="003F529D">
                  <w:pPr>
                    <w:pStyle w:val="Default"/>
                    <w:rPr>
                      <w:sz w:val="22"/>
                      <w:szCs w:val="22"/>
                    </w:rPr>
                  </w:pPr>
                  <w:r w:rsidRPr="00933BFD">
                    <w:rPr>
                      <w:sz w:val="22"/>
                      <w:szCs w:val="22"/>
                    </w:rPr>
                    <w:t xml:space="preserve">Voksne patienter </w:t>
                  </w:r>
                </w:p>
                <w:p w:rsidR="003F529D" w:rsidRPr="00933BFD" w:rsidRDefault="003F529D">
                  <w:pPr>
                    <w:rPr>
                      <w:sz w:val="22"/>
                      <w:szCs w:val="22"/>
                    </w:rPr>
                  </w:pPr>
                </w:p>
                <w:p w:rsidR="003F529D" w:rsidRPr="00933BFD" w:rsidRDefault="003F529D">
                  <w:pPr>
                    <w:rPr>
                      <w:sz w:val="22"/>
                      <w:szCs w:val="22"/>
                    </w:rPr>
                  </w:pPr>
                </w:p>
                <w:p w:rsidR="003F529D" w:rsidRPr="00933BFD" w:rsidRDefault="003F529D">
                  <w:pPr>
                    <w:pStyle w:val="Default"/>
                    <w:rPr>
                      <w:sz w:val="22"/>
                      <w:szCs w:val="22"/>
                    </w:rPr>
                  </w:pPr>
                  <w:r w:rsidRPr="00933BFD">
                    <w:rPr>
                      <w:sz w:val="22"/>
                      <w:szCs w:val="22"/>
                    </w:rPr>
                    <w:t xml:space="preserve">Pædiatriske patienter </w:t>
                  </w:r>
                </w:p>
                <w:p w:rsidR="003F529D" w:rsidRPr="00933BFD" w:rsidRDefault="003F529D">
                  <w:pPr>
                    <w:rPr>
                      <w:sz w:val="22"/>
                      <w:szCs w:val="22"/>
                    </w:rPr>
                  </w:pPr>
                </w:p>
              </w:tc>
              <w:tc>
                <w:tcPr>
                  <w:tcW w:w="2103" w:type="dxa"/>
                  <w:tcBorders>
                    <w:top w:val="single" w:sz="4" w:space="0" w:color="auto"/>
                    <w:left w:val="single" w:sz="4" w:space="0" w:color="auto"/>
                    <w:bottom w:val="single" w:sz="4" w:space="0" w:color="auto"/>
                    <w:right w:val="single" w:sz="4" w:space="0" w:color="auto"/>
                  </w:tcBorders>
                </w:tcPr>
                <w:p w:rsidR="003F529D" w:rsidRPr="00933BFD" w:rsidRDefault="003F529D">
                  <w:pPr>
                    <w:pStyle w:val="Default"/>
                    <w:rPr>
                      <w:sz w:val="22"/>
                      <w:szCs w:val="22"/>
                      <w:lang w:val="da-DK"/>
                    </w:rPr>
                  </w:pPr>
                  <w:r w:rsidRPr="00933BFD">
                    <w:rPr>
                      <w:sz w:val="22"/>
                      <w:szCs w:val="22"/>
                      <w:lang w:val="da-DK"/>
                    </w:rPr>
                    <w:t>&gt;33</w:t>
                  </w:r>
                  <w:r w:rsidR="007815B8">
                    <w:rPr>
                      <w:sz w:val="22"/>
                      <w:szCs w:val="22"/>
                      <w:lang w:val="da-DK"/>
                    </w:rPr>
                    <w:t xml:space="preserve"> %</w:t>
                  </w:r>
                  <w:r w:rsidRPr="00933BFD">
                    <w:rPr>
                      <w:sz w:val="22"/>
                      <w:szCs w:val="22"/>
                      <w:lang w:val="da-DK"/>
                    </w:rPr>
                    <w:t xml:space="preserve"> over gennemsnittet fra før behandling </w:t>
                  </w:r>
                </w:p>
                <w:p w:rsidR="003F529D" w:rsidRPr="00933BFD" w:rsidRDefault="003F529D">
                  <w:pPr>
                    <w:pStyle w:val="Default"/>
                    <w:rPr>
                      <w:sz w:val="22"/>
                      <w:szCs w:val="22"/>
                      <w:lang w:val="da-DK"/>
                    </w:rPr>
                  </w:pPr>
                  <w:r w:rsidRPr="00933BFD">
                    <w:rPr>
                      <w:sz w:val="22"/>
                      <w:szCs w:val="22"/>
                      <w:lang w:val="da-DK"/>
                    </w:rPr>
                    <w:t xml:space="preserve">&gt;aldersrelateret ULN** </w:t>
                  </w:r>
                </w:p>
                <w:p w:rsidR="003F529D" w:rsidRPr="00933BFD" w:rsidRDefault="003F529D">
                  <w:pPr>
                    <w:rPr>
                      <w:sz w:val="22"/>
                      <w:szCs w:val="22"/>
                      <w:lang w:val="da-DK"/>
                    </w:rPr>
                  </w:pPr>
                </w:p>
              </w:tc>
              <w:tc>
                <w:tcPr>
                  <w:tcW w:w="1722" w:type="dxa"/>
                  <w:tcBorders>
                    <w:top w:val="single" w:sz="4" w:space="0" w:color="auto"/>
                    <w:left w:val="single" w:sz="4" w:space="0" w:color="auto"/>
                    <w:bottom w:val="single" w:sz="4" w:space="0" w:color="auto"/>
                    <w:right w:val="single" w:sz="4" w:space="0" w:color="auto"/>
                  </w:tcBorders>
                </w:tcPr>
                <w:p w:rsidR="003F529D" w:rsidRPr="00933BFD" w:rsidRDefault="003F529D">
                  <w:pPr>
                    <w:rPr>
                      <w:sz w:val="22"/>
                      <w:szCs w:val="22"/>
                    </w:rPr>
                  </w:pPr>
                  <w:r w:rsidRPr="00933BFD">
                    <w:rPr>
                      <w:sz w:val="22"/>
                      <w:szCs w:val="22"/>
                    </w:rPr>
                    <w:t>og</w:t>
                  </w:r>
                </w:p>
                <w:p w:rsidR="003F529D" w:rsidRPr="00933BFD" w:rsidRDefault="003F529D">
                  <w:pPr>
                    <w:rPr>
                      <w:sz w:val="22"/>
                      <w:szCs w:val="22"/>
                    </w:rPr>
                  </w:pPr>
                </w:p>
                <w:p w:rsidR="003F529D" w:rsidRPr="00933BFD" w:rsidRDefault="003F529D">
                  <w:pPr>
                    <w:rPr>
                      <w:sz w:val="22"/>
                      <w:szCs w:val="22"/>
                    </w:rPr>
                  </w:pPr>
                </w:p>
                <w:p w:rsidR="003F529D" w:rsidRPr="00933BFD" w:rsidRDefault="003F529D">
                  <w:pPr>
                    <w:rPr>
                      <w:sz w:val="22"/>
                      <w:szCs w:val="22"/>
                    </w:rPr>
                  </w:pPr>
                  <w:r w:rsidRPr="00933BFD">
                    <w:rPr>
                      <w:sz w:val="22"/>
                      <w:szCs w:val="22"/>
                    </w:rPr>
                    <w:t>og/eller</w:t>
                  </w:r>
                </w:p>
              </w:tc>
              <w:tc>
                <w:tcPr>
                  <w:tcW w:w="2290" w:type="dxa"/>
                  <w:tcBorders>
                    <w:top w:val="single" w:sz="4" w:space="0" w:color="auto"/>
                    <w:left w:val="single" w:sz="4" w:space="0" w:color="auto"/>
                    <w:bottom w:val="single" w:sz="4" w:space="0" w:color="auto"/>
                    <w:right w:val="single" w:sz="4" w:space="0" w:color="auto"/>
                  </w:tcBorders>
                </w:tcPr>
                <w:p w:rsidR="003F529D" w:rsidRPr="00933BFD" w:rsidRDefault="003F529D">
                  <w:pPr>
                    <w:pStyle w:val="Default"/>
                    <w:rPr>
                      <w:sz w:val="22"/>
                      <w:szCs w:val="22"/>
                      <w:lang w:val="da-DK"/>
                    </w:rPr>
                  </w:pPr>
                  <w:r w:rsidRPr="00933BFD">
                    <w:rPr>
                      <w:sz w:val="22"/>
                      <w:szCs w:val="22"/>
                      <w:lang w:val="da-DK"/>
                    </w:rPr>
                    <w:t xml:space="preserve">Faldende &lt;LLN* (&lt;90 ml/min) </w:t>
                  </w:r>
                </w:p>
                <w:p w:rsidR="003F529D" w:rsidRPr="00933BFD" w:rsidRDefault="003F529D">
                  <w:pPr>
                    <w:rPr>
                      <w:sz w:val="22"/>
                      <w:szCs w:val="22"/>
                      <w:lang w:val="da-DK"/>
                    </w:rPr>
                  </w:pPr>
                </w:p>
                <w:p w:rsidR="003F529D" w:rsidRPr="00933BFD" w:rsidRDefault="003F529D">
                  <w:pPr>
                    <w:pStyle w:val="Default"/>
                    <w:rPr>
                      <w:sz w:val="22"/>
                      <w:szCs w:val="22"/>
                      <w:lang w:val="da-DK"/>
                    </w:rPr>
                  </w:pPr>
                  <w:r w:rsidRPr="00933BFD">
                    <w:rPr>
                      <w:sz w:val="22"/>
                      <w:szCs w:val="22"/>
                      <w:lang w:val="da-DK"/>
                    </w:rPr>
                    <w:t xml:space="preserve">Faldende &lt;LLN* (&lt;90 ml/min) </w:t>
                  </w:r>
                </w:p>
                <w:p w:rsidR="003F529D" w:rsidRPr="00933BFD" w:rsidRDefault="003F529D">
                  <w:pPr>
                    <w:rPr>
                      <w:sz w:val="22"/>
                      <w:szCs w:val="22"/>
                      <w:lang w:val="da-DK"/>
                    </w:rPr>
                  </w:pPr>
                </w:p>
              </w:tc>
            </w:tr>
            <w:tr w:rsidR="003F529D" w:rsidRPr="00933BFD">
              <w:trPr>
                <w:jc w:val="center"/>
              </w:trPr>
              <w:tc>
                <w:tcPr>
                  <w:tcW w:w="8269" w:type="dxa"/>
                  <w:gridSpan w:val="4"/>
                  <w:tcBorders>
                    <w:top w:val="single" w:sz="4" w:space="0" w:color="auto"/>
                    <w:left w:val="single" w:sz="4" w:space="0" w:color="auto"/>
                    <w:bottom w:val="single" w:sz="4" w:space="0" w:color="auto"/>
                    <w:right w:val="single" w:sz="4" w:space="0" w:color="auto"/>
                  </w:tcBorders>
                  <w:hideMark/>
                </w:tcPr>
                <w:p w:rsidR="003F529D" w:rsidRPr="00933BFD" w:rsidRDefault="003F529D">
                  <w:pPr>
                    <w:pStyle w:val="Default"/>
                    <w:rPr>
                      <w:sz w:val="22"/>
                      <w:szCs w:val="22"/>
                    </w:rPr>
                  </w:pPr>
                  <w:r w:rsidRPr="00933BFD">
                    <w:rPr>
                      <w:b/>
                      <w:bCs/>
                      <w:sz w:val="22"/>
                      <w:szCs w:val="22"/>
                    </w:rPr>
                    <w:t xml:space="preserve">Efter dosisreduktion, behandlingsafbrydelse, hvis </w:t>
                  </w:r>
                </w:p>
              </w:tc>
            </w:tr>
            <w:tr w:rsidR="003F529D" w:rsidRPr="00933BFD">
              <w:trPr>
                <w:jc w:val="center"/>
              </w:trPr>
              <w:tc>
                <w:tcPr>
                  <w:tcW w:w="2154" w:type="dxa"/>
                  <w:tcBorders>
                    <w:top w:val="single" w:sz="4" w:space="0" w:color="auto"/>
                    <w:left w:val="single" w:sz="4" w:space="0" w:color="auto"/>
                    <w:bottom w:val="single" w:sz="4" w:space="0" w:color="auto"/>
                    <w:right w:val="single" w:sz="4" w:space="0" w:color="auto"/>
                  </w:tcBorders>
                </w:tcPr>
                <w:p w:rsidR="003F529D" w:rsidRPr="00933BFD" w:rsidRDefault="003F529D">
                  <w:pPr>
                    <w:pStyle w:val="Default"/>
                    <w:rPr>
                      <w:sz w:val="22"/>
                      <w:szCs w:val="22"/>
                    </w:rPr>
                  </w:pPr>
                  <w:r w:rsidRPr="00933BFD">
                    <w:rPr>
                      <w:sz w:val="22"/>
                      <w:szCs w:val="22"/>
                    </w:rPr>
                    <w:t xml:space="preserve">Voksne og børn </w:t>
                  </w:r>
                </w:p>
                <w:p w:rsidR="003F529D" w:rsidRPr="00933BFD" w:rsidRDefault="003F529D">
                  <w:pPr>
                    <w:pStyle w:val="Default"/>
                    <w:rPr>
                      <w:sz w:val="22"/>
                      <w:szCs w:val="22"/>
                    </w:rPr>
                  </w:pPr>
                </w:p>
              </w:tc>
              <w:tc>
                <w:tcPr>
                  <w:tcW w:w="2103" w:type="dxa"/>
                  <w:tcBorders>
                    <w:top w:val="single" w:sz="4" w:space="0" w:color="auto"/>
                    <w:left w:val="single" w:sz="4" w:space="0" w:color="auto"/>
                    <w:bottom w:val="single" w:sz="4" w:space="0" w:color="auto"/>
                    <w:right w:val="single" w:sz="4" w:space="0" w:color="auto"/>
                  </w:tcBorders>
                  <w:hideMark/>
                </w:tcPr>
                <w:p w:rsidR="003F529D" w:rsidRPr="00933BFD" w:rsidRDefault="003F529D">
                  <w:pPr>
                    <w:pStyle w:val="Default"/>
                    <w:rPr>
                      <w:sz w:val="22"/>
                      <w:szCs w:val="22"/>
                      <w:lang w:val="da-DK"/>
                    </w:rPr>
                  </w:pPr>
                  <w:r w:rsidRPr="00933BFD">
                    <w:rPr>
                      <w:sz w:val="22"/>
                      <w:szCs w:val="22"/>
                      <w:lang w:val="da-DK"/>
                    </w:rPr>
                    <w:t>Forbliver &gt;33</w:t>
                  </w:r>
                  <w:r w:rsidR="007815B8">
                    <w:rPr>
                      <w:sz w:val="22"/>
                      <w:szCs w:val="22"/>
                      <w:lang w:val="da-DK"/>
                    </w:rPr>
                    <w:t xml:space="preserve"> %</w:t>
                  </w:r>
                  <w:r w:rsidRPr="00933BFD">
                    <w:rPr>
                      <w:sz w:val="22"/>
                      <w:szCs w:val="22"/>
                      <w:lang w:val="da-DK"/>
                    </w:rPr>
                    <w:t xml:space="preserve"> over gennemsnittet fra før behandling </w:t>
                  </w:r>
                </w:p>
              </w:tc>
              <w:tc>
                <w:tcPr>
                  <w:tcW w:w="1722" w:type="dxa"/>
                  <w:tcBorders>
                    <w:top w:val="single" w:sz="4" w:space="0" w:color="auto"/>
                    <w:left w:val="single" w:sz="4" w:space="0" w:color="auto"/>
                    <w:bottom w:val="single" w:sz="4" w:space="0" w:color="auto"/>
                    <w:right w:val="single" w:sz="4" w:space="0" w:color="auto"/>
                  </w:tcBorders>
                  <w:hideMark/>
                </w:tcPr>
                <w:p w:rsidR="003F529D" w:rsidRPr="00933BFD" w:rsidRDefault="003F529D">
                  <w:pPr>
                    <w:pStyle w:val="Default"/>
                    <w:rPr>
                      <w:sz w:val="22"/>
                      <w:szCs w:val="22"/>
                    </w:rPr>
                  </w:pPr>
                  <w:r w:rsidRPr="00933BFD">
                    <w:rPr>
                      <w:sz w:val="22"/>
                      <w:szCs w:val="22"/>
                    </w:rPr>
                    <w:t>og/eller</w:t>
                  </w:r>
                </w:p>
              </w:tc>
              <w:tc>
                <w:tcPr>
                  <w:tcW w:w="2290" w:type="dxa"/>
                  <w:tcBorders>
                    <w:top w:val="single" w:sz="4" w:space="0" w:color="auto"/>
                    <w:left w:val="single" w:sz="4" w:space="0" w:color="auto"/>
                    <w:bottom w:val="single" w:sz="4" w:space="0" w:color="auto"/>
                    <w:right w:val="single" w:sz="4" w:space="0" w:color="auto"/>
                  </w:tcBorders>
                  <w:hideMark/>
                </w:tcPr>
                <w:p w:rsidR="003F529D" w:rsidRPr="00933BFD" w:rsidRDefault="003F529D">
                  <w:pPr>
                    <w:pStyle w:val="Default"/>
                    <w:rPr>
                      <w:sz w:val="22"/>
                      <w:szCs w:val="22"/>
                    </w:rPr>
                  </w:pPr>
                  <w:r w:rsidRPr="00933BFD">
                    <w:rPr>
                      <w:sz w:val="22"/>
                      <w:szCs w:val="22"/>
                    </w:rPr>
                    <w:t xml:space="preserve">Faldende &lt;LLN* (&lt;90 ml/min) </w:t>
                  </w:r>
                </w:p>
              </w:tc>
            </w:tr>
            <w:tr w:rsidR="003F529D" w:rsidRPr="00933BFD">
              <w:trPr>
                <w:jc w:val="center"/>
              </w:trPr>
              <w:tc>
                <w:tcPr>
                  <w:tcW w:w="8269" w:type="dxa"/>
                  <w:gridSpan w:val="4"/>
                  <w:tcBorders>
                    <w:top w:val="single" w:sz="4" w:space="0" w:color="auto"/>
                    <w:left w:val="single" w:sz="4" w:space="0" w:color="auto"/>
                    <w:bottom w:val="single" w:sz="4" w:space="0" w:color="auto"/>
                    <w:right w:val="single" w:sz="4" w:space="0" w:color="auto"/>
                  </w:tcBorders>
                  <w:hideMark/>
                </w:tcPr>
                <w:p w:rsidR="003F529D" w:rsidRPr="00933BFD" w:rsidRDefault="003F529D">
                  <w:pPr>
                    <w:pStyle w:val="Default"/>
                    <w:rPr>
                      <w:sz w:val="22"/>
                      <w:szCs w:val="22"/>
                      <w:lang w:val="da-DK"/>
                    </w:rPr>
                  </w:pPr>
                  <w:r w:rsidRPr="00933BFD">
                    <w:rPr>
                      <w:sz w:val="22"/>
                      <w:szCs w:val="22"/>
                      <w:lang w:val="da-DK"/>
                    </w:rPr>
                    <w:t xml:space="preserve">*LLN: nedre grænse af normalområdet </w:t>
                  </w:r>
                </w:p>
                <w:p w:rsidR="003F529D" w:rsidRPr="00933BFD" w:rsidRDefault="003F529D">
                  <w:pPr>
                    <w:pStyle w:val="Default"/>
                    <w:rPr>
                      <w:sz w:val="22"/>
                      <w:szCs w:val="22"/>
                      <w:lang w:val="da-DK"/>
                    </w:rPr>
                  </w:pPr>
                  <w:r w:rsidRPr="00933BFD">
                    <w:rPr>
                      <w:sz w:val="22"/>
                      <w:szCs w:val="22"/>
                      <w:lang w:val="da-DK"/>
                    </w:rPr>
                    <w:t xml:space="preserve">**ULN: øvre grænse af normalområdet </w:t>
                  </w:r>
                </w:p>
              </w:tc>
            </w:tr>
          </w:tbl>
          <w:p w:rsidR="003F529D" w:rsidRPr="00933BFD" w:rsidRDefault="003F529D">
            <w:pPr>
              <w:rPr>
                <w:color w:val="000000"/>
                <w:sz w:val="24"/>
                <w:szCs w:val="24"/>
                <w:lang w:val="da-DK"/>
              </w:rPr>
            </w:pPr>
          </w:p>
          <w:p w:rsidR="003F529D" w:rsidRPr="00933BFD" w:rsidRDefault="003F529D">
            <w:pPr>
              <w:autoSpaceDE w:val="0"/>
              <w:autoSpaceDN w:val="0"/>
              <w:adjustRightInd w:val="0"/>
              <w:rPr>
                <w:sz w:val="24"/>
                <w:szCs w:val="24"/>
                <w:lang w:val="da-DK"/>
              </w:rPr>
            </w:pPr>
            <w:r w:rsidRPr="00933BFD">
              <w:rPr>
                <w:sz w:val="24"/>
                <w:szCs w:val="24"/>
                <w:lang w:val="da-DK"/>
              </w:rPr>
              <w:t xml:space="preserve">Behandling kan, afhængigt af den enkelte patients omstændigheder, gernoptages. </w:t>
            </w:r>
          </w:p>
          <w:p w:rsidR="003F529D" w:rsidRPr="00933BFD" w:rsidRDefault="003F529D">
            <w:pPr>
              <w:autoSpaceDE w:val="0"/>
              <w:autoSpaceDN w:val="0"/>
              <w:adjustRightInd w:val="0"/>
              <w:rPr>
                <w:color w:val="000000"/>
                <w:sz w:val="24"/>
                <w:szCs w:val="24"/>
                <w:lang w:val="da-DK"/>
              </w:rPr>
            </w:pPr>
          </w:p>
          <w:p w:rsidR="003F529D" w:rsidRPr="00933BFD" w:rsidRDefault="003F529D">
            <w:pPr>
              <w:pStyle w:val="Default"/>
              <w:rPr>
                <w:lang w:val="da-DK"/>
              </w:rPr>
            </w:pPr>
            <w:r w:rsidRPr="00933BFD">
              <w:rPr>
                <w:lang w:val="da-DK"/>
              </w:rPr>
              <w:t xml:space="preserve">Dosisreduktion eller afbrydelse kan også overvejes, hvis uregelmæssigheder opstår i niveauer for markører af nyretubulær funktion og/eller som klinisk indiceret: </w:t>
            </w:r>
          </w:p>
          <w:p w:rsidR="003F529D" w:rsidRPr="00933BFD" w:rsidRDefault="003F529D" w:rsidP="005A1801">
            <w:pPr>
              <w:pStyle w:val="Default"/>
              <w:numPr>
                <w:ilvl w:val="0"/>
                <w:numId w:val="7"/>
              </w:numPr>
              <w:ind w:left="316" w:hanging="283"/>
              <w:rPr>
                <w:lang w:val="da-DK"/>
              </w:rPr>
            </w:pPr>
            <w:r w:rsidRPr="00933BFD">
              <w:rPr>
                <w:lang w:val="da-DK"/>
              </w:rPr>
              <w:t xml:space="preserve">Proteinuria (test bør foretages inden behandlingsstart, og efterfølgende </w:t>
            </w:r>
            <w:r w:rsidR="00296BF5">
              <w:rPr>
                <w:lang w:val="da-DK"/>
              </w:rPr>
              <w:t>månedlig</w:t>
            </w:r>
            <w:r w:rsidRPr="00933BFD">
              <w:rPr>
                <w:lang w:val="da-DK"/>
              </w:rPr>
              <w:t xml:space="preserve">) </w:t>
            </w:r>
          </w:p>
          <w:p w:rsidR="003F529D" w:rsidRPr="00933BFD" w:rsidRDefault="003F529D" w:rsidP="005A1801">
            <w:pPr>
              <w:pStyle w:val="Default"/>
              <w:numPr>
                <w:ilvl w:val="0"/>
                <w:numId w:val="7"/>
              </w:numPr>
              <w:ind w:left="316" w:hanging="283"/>
              <w:rPr>
                <w:lang w:val="da-DK"/>
              </w:rPr>
            </w:pPr>
            <w:r w:rsidRPr="00933BFD">
              <w:rPr>
                <w:lang w:val="da-DK"/>
              </w:rPr>
              <w:t xml:space="preserve">Glukosuria hos ikke-diabetiske patienter og lave serumkoncentrationer af kalcium, fosfat, magnesium eller urat, fosfaturi, aminoaciduri (monitoreres efter behov) </w:t>
            </w:r>
          </w:p>
          <w:p w:rsidR="003F529D" w:rsidRPr="00933BFD" w:rsidRDefault="003F529D">
            <w:pPr>
              <w:autoSpaceDE w:val="0"/>
              <w:autoSpaceDN w:val="0"/>
              <w:adjustRightInd w:val="0"/>
              <w:rPr>
                <w:sz w:val="24"/>
                <w:szCs w:val="24"/>
                <w:lang w:val="da-DK"/>
              </w:rPr>
            </w:pPr>
            <w:r w:rsidRPr="00933BFD">
              <w:rPr>
                <w:sz w:val="24"/>
                <w:szCs w:val="24"/>
                <w:lang w:val="da-DK"/>
              </w:rPr>
              <w:t xml:space="preserve">Renal tubulopati er hovedsageligt set hos børn og unge med beta-talassæmi og som blev behandlet med deferasirox. </w:t>
            </w:r>
          </w:p>
          <w:p w:rsidR="003F529D" w:rsidRPr="00933BFD" w:rsidRDefault="003F529D">
            <w:pPr>
              <w:autoSpaceDE w:val="0"/>
              <w:autoSpaceDN w:val="0"/>
              <w:adjustRightInd w:val="0"/>
              <w:rPr>
                <w:color w:val="000000"/>
                <w:sz w:val="24"/>
                <w:szCs w:val="24"/>
                <w:lang w:val="da-DK"/>
              </w:rPr>
            </w:pPr>
          </w:p>
          <w:p w:rsidR="003F529D" w:rsidRPr="00933BFD" w:rsidRDefault="003F529D">
            <w:pPr>
              <w:autoSpaceDE w:val="0"/>
              <w:autoSpaceDN w:val="0"/>
              <w:adjustRightInd w:val="0"/>
              <w:rPr>
                <w:color w:val="000000"/>
                <w:sz w:val="24"/>
                <w:szCs w:val="24"/>
                <w:lang w:val="da-DK"/>
              </w:rPr>
            </w:pPr>
            <w:r w:rsidRPr="00933BFD">
              <w:rPr>
                <w:color w:val="000000"/>
                <w:sz w:val="24"/>
                <w:szCs w:val="24"/>
                <w:lang w:val="da-DK"/>
              </w:rPr>
              <w:t>Patiener bør henvises til en nyrespecialist og yderligere specialiserede undersøgelser (så som renal biopsi) bør overvejes, hvis følgende opstår på trods af reduktion i dosis og afbrydelse af behandling:</w:t>
            </w:r>
          </w:p>
          <w:p w:rsidR="003F529D" w:rsidRPr="00933BFD" w:rsidRDefault="003F529D" w:rsidP="005A1801">
            <w:pPr>
              <w:pStyle w:val="Default"/>
              <w:numPr>
                <w:ilvl w:val="0"/>
                <w:numId w:val="7"/>
              </w:numPr>
              <w:ind w:left="316" w:hanging="283"/>
              <w:rPr>
                <w:lang w:val="da-DK"/>
              </w:rPr>
            </w:pPr>
            <w:r w:rsidRPr="00933BFD">
              <w:rPr>
                <w:lang w:val="da-DK"/>
              </w:rPr>
              <w:t>Serum-kreatinin forbliver signifikant forhøjet og</w:t>
            </w:r>
          </w:p>
          <w:p w:rsidR="003F529D" w:rsidRPr="00933BFD" w:rsidRDefault="003F529D" w:rsidP="005A1801">
            <w:pPr>
              <w:pStyle w:val="Default"/>
              <w:numPr>
                <w:ilvl w:val="0"/>
                <w:numId w:val="7"/>
              </w:numPr>
              <w:ind w:left="316" w:hanging="283"/>
              <w:rPr>
                <w:lang w:val="da-DK"/>
              </w:rPr>
            </w:pPr>
            <w:r w:rsidRPr="00933BFD">
              <w:rPr>
                <w:lang w:val="da-DK"/>
              </w:rPr>
              <w:t>Vedvarende uregelmæssigheder i en anden markør af den renale funktion (fx proteinuria, Fanconis syndrom).</w:t>
            </w:r>
          </w:p>
          <w:p w:rsidR="003F529D" w:rsidRPr="00933BFD" w:rsidRDefault="003F529D">
            <w:pPr>
              <w:rPr>
                <w:color w:val="000000"/>
                <w:sz w:val="24"/>
                <w:szCs w:val="24"/>
                <w:lang w:val="da-DK"/>
              </w:rPr>
            </w:pPr>
          </w:p>
          <w:p w:rsidR="003F529D" w:rsidRPr="00933BFD" w:rsidRDefault="003F529D">
            <w:pPr>
              <w:autoSpaceDE w:val="0"/>
              <w:autoSpaceDN w:val="0"/>
              <w:adjustRightInd w:val="0"/>
              <w:rPr>
                <w:color w:val="000000"/>
                <w:sz w:val="24"/>
                <w:szCs w:val="24"/>
                <w:u w:val="single"/>
                <w:lang w:val="da-DK"/>
              </w:rPr>
            </w:pPr>
            <w:r w:rsidRPr="00933BFD">
              <w:rPr>
                <w:color w:val="000000"/>
                <w:sz w:val="24"/>
                <w:szCs w:val="24"/>
                <w:u w:val="single"/>
                <w:lang w:val="da-DK"/>
              </w:rPr>
              <w:t>Leverfunktion</w:t>
            </w:r>
          </w:p>
          <w:p w:rsidR="003F529D" w:rsidRPr="00933BFD" w:rsidRDefault="003F529D">
            <w:pPr>
              <w:pStyle w:val="Default"/>
              <w:rPr>
                <w:lang w:val="da-DK"/>
              </w:rPr>
            </w:pPr>
            <w:r w:rsidRPr="00933BFD">
              <w:rPr>
                <w:lang w:val="da-DK"/>
              </w:rPr>
              <w:t xml:space="preserve">Hos patienter i behandling med deferasirox, har der været observeret stigninger i leverfunktionstest. Der er efter markedsføring rapporteret tilfælde af leversvigt, hvoraf nogle havde dødelig udgang. Svære tilfælde forbundet med ændringer i bevidstheden i sammenhæng med hyperammoniæmisk encefalopati kan forekomme hos patienter behandlet med deferasirox, særligt hos børn. Det anbefales at hyperammoniæmisk encefalopati skal overvejes og ammoniakniveauet måles hos patienter, som udvikler uforklarlige ændringer i mental status under behandling med </w:t>
            </w:r>
            <w:r w:rsidR="00C42FD3">
              <w:rPr>
                <w:lang w:val="da-DK"/>
              </w:rPr>
              <w:t>Deferasirox "Orifarm"</w:t>
            </w:r>
            <w:r w:rsidRPr="00933BFD">
              <w:rPr>
                <w:lang w:val="da-DK"/>
              </w:rPr>
              <w:t xml:space="preserve">. Det skal sikres, at passende hydrering opretholdes hos patienter, som oplever volumen-depleterende tilstande (fx. diarré og opkasning), særligt hos børn med akut sygdom. De fleste rapporter om leversvigt involverede patienter med signifikante komorbiditeter inklusive allerede eksisterende kroniske leversygdomme (inklusive cirrhose og hepatitis C) og multiorgansvigt. Deferasiroxs rolle som bidragende eller forværrende faktor kan dog ikke udelukkes (se pkt. 4.8). </w:t>
            </w:r>
          </w:p>
          <w:p w:rsidR="003F529D" w:rsidRPr="00933BFD" w:rsidRDefault="003F529D">
            <w:pPr>
              <w:autoSpaceDE w:val="0"/>
              <w:autoSpaceDN w:val="0"/>
              <w:adjustRightInd w:val="0"/>
              <w:rPr>
                <w:sz w:val="24"/>
                <w:szCs w:val="24"/>
                <w:lang w:val="da-DK"/>
              </w:rPr>
            </w:pPr>
            <w:r w:rsidRPr="00933BFD">
              <w:rPr>
                <w:sz w:val="24"/>
                <w:szCs w:val="24"/>
                <w:lang w:val="da-DK"/>
              </w:rPr>
              <w:t xml:space="preserve">Det anbefales, at serum-aminotransferaser, bilirubin og alkalisk fosfatase måles inden initiering af behandling, hver 2. uge i den første måned og derefter </w:t>
            </w:r>
            <w:r w:rsidR="00296BF5">
              <w:rPr>
                <w:sz w:val="24"/>
                <w:szCs w:val="24"/>
                <w:lang w:val="da-DK"/>
              </w:rPr>
              <w:t>månedlig</w:t>
            </w:r>
            <w:r w:rsidRPr="00933BFD">
              <w:rPr>
                <w:sz w:val="24"/>
                <w:szCs w:val="24"/>
                <w:lang w:val="da-DK"/>
              </w:rPr>
              <w:t xml:space="preserve">. Hvis der er en vedholdende og progressiv forøgelse af serum-transaminase-niveauer, der ikke kan henføres til andre årsager, bør behandling med </w:t>
            </w:r>
            <w:r w:rsidR="00C42FD3">
              <w:rPr>
                <w:sz w:val="24"/>
                <w:szCs w:val="24"/>
                <w:lang w:val="da-DK"/>
              </w:rPr>
              <w:t>Deferasirox "Orifarm"</w:t>
            </w:r>
            <w:r w:rsidRPr="00933BFD">
              <w:rPr>
                <w:sz w:val="24"/>
                <w:szCs w:val="24"/>
                <w:lang w:val="da-DK"/>
              </w:rPr>
              <w:t xml:space="preserve"> afbrydes. En forsigtig genstart af behandling med lavere dosis, efterfulgt af en gradvis dosisforøgelse kan overvejes, når årsagen til leverfunktionstest-uregelmæssigheder er blevet klarlagt, eller når der igen er normale niveauer. </w:t>
            </w:r>
          </w:p>
          <w:p w:rsidR="003F529D" w:rsidRPr="00933BFD" w:rsidRDefault="003F529D">
            <w:pPr>
              <w:autoSpaceDE w:val="0"/>
              <w:autoSpaceDN w:val="0"/>
              <w:adjustRightInd w:val="0"/>
              <w:rPr>
                <w:color w:val="000000"/>
                <w:sz w:val="24"/>
                <w:szCs w:val="24"/>
                <w:lang w:val="da-DK"/>
              </w:rPr>
            </w:pPr>
          </w:p>
          <w:p w:rsidR="003F529D" w:rsidRPr="00933BFD" w:rsidRDefault="00C42FD3">
            <w:pPr>
              <w:rPr>
                <w:sz w:val="24"/>
                <w:szCs w:val="24"/>
                <w:lang w:val="da-DK"/>
              </w:rPr>
            </w:pPr>
            <w:r>
              <w:rPr>
                <w:color w:val="000000"/>
                <w:sz w:val="24"/>
                <w:szCs w:val="24"/>
                <w:lang w:val="da-DK"/>
              </w:rPr>
              <w:t>Deferasirox "Orifarm"</w:t>
            </w:r>
            <w:r w:rsidR="003F529D" w:rsidRPr="00933BFD">
              <w:rPr>
                <w:color w:val="000000"/>
                <w:sz w:val="24"/>
                <w:szCs w:val="24"/>
                <w:lang w:val="da-DK"/>
              </w:rPr>
              <w:t xml:space="preserve"> </w:t>
            </w:r>
            <w:r w:rsidR="003F529D" w:rsidRPr="00933BFD">
              <w:rPr>
                <w:sz w:val="24"/>
                <w:szCs w:val="24"/>
                <w:lang w:val="da-DK"/>
              </w:rPr>
              <w:t xml:space="preserve">anbefales ikke til patienter med alvorligt nedsat leverfunktion (Child-Pugh Class C) (se pkt. 5.2). </w:t>
            </w:r>
          </w:p>
          <w:p w:rsidR="003F529D" w:rsidRPr="00933BFD" w:rsidRDefault="003F529D">
            <w:pPr>
              <w:rPr>
                <w:color w:val="000000"/>
                <w:sz w:val="24"/>
                <w:szCs w:val="24"/>
                <w:lang w:val="da-DK"/>
              </w:rPr>
            </w:pPr>
          </w:p>
          <w:p w:rsidR="003F529D" w:rsidRPr="005A1801" w:rsidRDefault="003F529D">
            <w:pPr>
              <w:ind w:left="567" w:hanging="567"/>
              <w:rPr>
                <w:sz w:val="22"/>
                <w:szCs w:val="22"/>
                <w:lang w:val="da-DK"/>
              </w:rPr>
            </w:pPr>
            <w:r w:rsidRPr="005A1801">
              <w:rPr>
                <w:color w:val="000000"/>
                <w:sz w:val="22"/>
                <w:szCs w:val="22"/>
                <w:u w:val="single"/>
                <w:lang w:val="da-DK"/>
              </w:rPr>
              <w:t>Tabel 4</w:t>
            </w:r>
            <w:r w:rsidRPr="005A1801">
              <w:rPr>
                <w:sz w:val="22"/>
                <w:szCs w:val="22"/>
                <w:lang w:val="da-DK"/>
              </w:rPr>
              <w:tab/>
              <w:t>Opsummering af anbefalinger for sikkerhedsmonitorering</w:t>
            </w:r>
          </w:p>
          <w:p w:rsidR="003F529D" w:rsidRPr="005A1801" w:rsidRDefault="003F529D">
            <w:pPr>
              <w:rPr>
                <w:color w:val="000000"/>
                <w:sz w:val="22"/>
                <w:szCs w:val="22"/>
                <w:u w:val="single"/>
                <w:lang w:val="da-DK"/>
              </w:rPr>
            </w:pPr>
          </w:p>
          <w:tbl>
            <w:tblPr>
              <w:tblStyle w:val="Tabel-Gitter"/>
              <w:tblW w:w="0" w:type="auto"/>
              <w:jc w:val="center"/>
              <w:tblInd w:w="0" w:type="dxa"/>
              <w:tblLook w:val="04A0" w:firstRow="1" w:lastRow="0" w:firstColumn="1" w:lastColumn="0" w:noHBand="0" w:noVBand="1"/>
            </w:tblPr>
            <w:tblGrid>
              <w:gridCol w:w="3118"/>
              <w:gridCol w:w="3827"/>
            </w:tblGrid>
            <w:tr w:rsidR="003F529D" w:rsidRPr="005A1801">
              <w:trPr>
                <w:jc w:val="center"/>
              </w:trPr>
              <w:tc>
                <w:tcPr>
                  <w:tcW w:w="3118" w:type="dxa"/>
                  <w:tcBorders>
                    <w:top w:val="single" w:sz="4" w:space="0" w:color="auto"/>
                    <w:left w:val="single" w:sz="4" w:space="0" w:color="auto"/>
                    <w:bottom w:val="single" w:sz="4" w:space="0" w:color="auto"/>
                    <w:right w:val="single" w:sz="4" w:space="0" w:color="auto"/>
                  </w:tcBorders>
                  <w:hideMark/>
                </w:tcPr>
                <w:p w:rsidR="003F529D" w:rsidRPr="005A1801" w:rsidRDefault="003F529D">
                  <w:pPr>
                    <w:pStyle w:val="Default"/>
                    <w:rPr>
                      <w:sz w:val="22"/>
                      <w:szCs w:val="22"/>
                    </w:rPr>
                  </w:pPr>
                  <w:r w:rsidRPr="005A1801">
                    <w:rPr>
                      <w:b/>
                      <w:bCs/>
                      <w:sz w:val="22"/>
                      <w:szCs w:val="22"/>
                    </w:rPr>
                    <w:t xml:space="preserve">Test </w:t>
                  </w:r>
                </w:p>
              </w:tc>
              <w:tc>
                <w:tcPr>
                  <w:tcW w:w="3827" w:type="dxa"/>
                  <w:tcBorders>
                    <w:top w:val="single" w:sz="4" w:space="0" w:color="auto"/>
                    <w:left w:val="single" w:sz="4" w:space="0" w:color="auto"/>
                    <w:bottom w:val="single" w:sz="4" w:space="0" w:color="auto"/>
                    <w:right w:val="single" w:sz="4" w:space="0" w:color="auto"/>
                  </w:tcBorders>
                  <w:hideMark/>
                </w:tcPr>
                <w:p w:rsidR="003F529D" w:rsidRPr="005A1801" w:rsidRDefault="003F529D">
                  <w:pPr>
                    <w:pStyle w:val="Default"/>
                    <w:rPr>
                      <w:sz w:val="22"/>
                      <w:szCs w:val="22"/>
                    </w:rPr>
                  </w:pPr>
                  <w:r w:rsidRPr="005A1801">
                    <w:rPr>
                      <w:b/>
                      <w:bCs/>
                      <w:sz w:val="22"/>
                      <w:szCs w:val="22"/>
                    </w:rPr>
                    <w:t xml:space="preserve">Hyppighed </w:t>
                  </w:r>
                </w:p>
              </w:tc>
            </w:tr>
            <w:tr w:rsidR="003F529D" w:rsidRPr="005A1801">
              <w:trPr>
                <w:jc w:val="center"/>
              </w:trPr>
              <w:tc>
                <w:tcPr>
                  <w:tcW w:w="3118" w:type="dxa"/>
                  <w:tcBorders>
                    <w:top w:val="single" w:sz="4" w:space="0" w:color="auto"/>
                    <w:left w:val="single" w:sz="4" w:space="0" w:color="auto"/>
                    <w:bottom w:val="single" w:sz="4" w:space="0" w:color="auto"/>
                    <w:right w:val="single" w:sz="4" w:space="0" w:color="auto"/>
                  </w:tcBorders>
                  <w:hideMark/>
                </w:tcPr>
                <w:p w:rsidR="003F529D" w:rsidRPr="005A1801" w:rsidRDefault="003F529D">
                  <w:pPr>
                    <w:pStyle w:val="Default"/>
                    <w:rPr>
                      <w:sz w:val="22"/>
                      <w:szCs w:val="22"/>
                    </w:rPr>
                  </w:pPr>
                  <w:r w:rsidRPr="005A1801">
                    <w:rPr>
                      <w:sz w:val="22"/>
                      <w:szCs w:val="22"/>
                    </w:rPr>
                    <w:t xml:space="preserve">Serumkreatinin </w:t>
                  </w:r>
                </w:p>
              </w:tc>
              <w:tc>
                <w:tcPr>
                  <w:tcW w:w="3827" w:type="dxa"/>
                  <w:tcBorders>
                    <w:top w:val="single" w:sz="4" w:space="0" w:color="auto"/>
                    <w:left w:val="single" w:sz="4" w:space="0" w:color="auto"/>
                    <w:bottom w:val="single" w:sz="4" w:space="0" w:color="auto"/>
                    <w:right w:val="single" w:sz="4" w:space="0" w:color="auto"/>
                  </w:tcBorders>
                  <w:hideMark/>
                </w:tcPr>
                <w:p w:rsidR="003F529D" w:rsidRPr="005A1801" w:rsidRDefault="003F529D">
                  <w:pPr>
                    <w:pStyle w:val="Default"/>
                    <w:rPr>
                      <w:sz w:val="22"/>
                      <w:szCs w:val="22"/>
                      <w:lang w:val="da-DK"/>
                    </w:rPr>
                  </w:pPr>
                  <w:r w:rsidRPr="005A1801">
                    <w:rPr>
                      <w:sz w:val="22"/>
                      <w:szCs w:val="22"/>
                      <w:lang w:val="da-DK"/>
                    </w:rPr>
                    <w:t xml:space="preserve">Dobbeltbestemmelse inden behandling. </w:t>
                  </w:r>
                </w:p>
                <w:p w:rsidR="003F529D" w:rsidRPr="005A1801" w:rsidRDefault="00296BF5">
                  <w:pPr>
                    <w:pStyle w:val="Default"/>
                    <w:rPr>
                      <w:sz w:val="22"/>
                      <w:szCs w:val="22"/>
                      <w:lang w:val="da-DK"/>
                    </w:rPr>
                  </w:pPr>
                  <w:r>
                    <w:rPr>
                      <w:sz w:val="22"/>
                      <w:szCs w:val="22"/>
                      <w:lang w:val="da-DK"/>
                    </w:rPr>
                    <w:t>Ugentlig</w:t>
                  </w:r>
                  <w:r w:rsidR="003F529D" w:rsidRPr="005A1801">
                    <w:rPr>
                      <w:sz w:val="22"/>
                      <w:szCs w:val="22"/>
                      <w:lang w:val="da-DK"/>
                    </w:rPr>
                    <w:t xml:space="preserve"> den første behandlingsmåned eller efter dosisjustering (inklusive skift til anden formulering). </w:t>
                  </w:r>
                </w:p>
                <w:p w:rsidR="003F529D" w:rsidRPr="005A1801" w:rsidRDefault="00296BF5">
                  <w:pPr>
                    <w:pStyle w:val="Default"/>
                    <w:rPr>
                      <w:sz w:val="22"/>
                      <w:szCs w:val="22"/>
                    </w:rPr>
                  </w:pPr>
                  <w:r>
                    <w:rPr>
                      <w:sz w:val="22"/>
                      <w:szCs w:val="22"/>
                    </w:rPr>
                    <w:t>Månedlig</w:t>
                  </w:r>
                  <w:r w:rsidR="003F529D" w:rsidRPr="005A1801">
                    <w:rPr>
                      <w:sz w:val="22"/>
                      <w:szCs w:val="22"/>
                    </w:rPr>
                    <w:t xml:space="preserve"> herefter. </w:t>
                  </w:r>
                </w:p>
              </w:tc>
            </w:tr>
            <w:tr w:rsidR="003F529D" w:rsidRPr="005A1801">
              <w:trPr>
                <w:jc w:val="center"/>
              </w:trPr>
              <w:tc>
                <w:tcPr>
                  <w:tcW w:w="3118" w:type="dxa"/>
                  <w:tcBorders>
                    <w:top w:val="single" w:sz="4" w:space="0" w:color="auto"/>
                    <w:left w:val="single" w:sz="4" w:space="0" w:color="auto"/>
                    <w:bottom w:val="single" w:sz="4" w:space="0" w:color="auto"/>
                    <w:right w:val="single" w:sz="4" w:space="0" w:color="auto"/>
                  </w:tcBorders>
                </w:tcPr>
                <w:p w:rsidR="003F529D" w:rsidRPr="005A1801" w:rsidRDefault="003F529D">
                  <w:pPr>
                    <w:pStyle w:val="Default"/>
                    <w:rPr>
                      <w:sz w:val="22"/>
                      <w:szCs w:val="22"/>
                    </w:rPr>
                  </w:pPr>
                  <w:r w:rsidRPr="005A1801">
                    <w:rPr>
                      <w:sz w:val="22"/>
                      <w:szCs w:val="22"/>
                    </w:rPr>
                    <w:t xml:space="preserve">Kreatinin-clearance og/eller plasma-cystatin C </w:t>
                  </w:r>
                </w:p>
                <w:p w:rsidR="003F529D" w:rsidRPr="005A1801" w:rsidRDefault="003F529D">
                  <w:pPr>
                    <w:pStyle w:val="Default"/>
                    <w:rPr>
                      <w:sz w:val="22"/>
                      <w:szCs w:val="22"/>
                    </w:rPr>
                  </w:pPr>
                </w:p>
              </w:tc>
              <w:tc>
                <w:tcPr>
                  <w:tcW w:w="3827" w:type="dxa"/>
                  <w:tcBorders>
                    <w:top w:val="single" w:sz="4" w:space="0" w:color="auto"/>
                    <w:left w:val="single" w:sz="4" w:space="0" w:color="auto"/>
                    <w:bottom w:val="single" w:sz="4" w:space="0" w:color="auto"/>
                    <w:right w:val="single" w:sz="4" w:space="0" w:color="auto"/>
                  </w:tcBorders>
                  <w:hideMark/>
                </w:tcPr>
                <w:p w:rsidR="003F529D" w:rsidRPr="005A1801" w:rsidRDefault="003F529D">
                  <w:pPr>
                    <w:pStyle w:val="Default"/>
                    <w:rPr>
                      <w:sz w:val="22"/>
                      <w:szCs w:val="22"/>
                      <w:lang w:val="da-DK"/>
                    </w:rPr>
                  </w:pPr>
                  <w:r w:rsidRPr="005A1801">
                    <w:rPr>
                      <w:sz w:val="22"/>
                      <w:szCs w:val="22"/>
                      <w:lang w:val="da-DK"/>
                    </w:rPr>
                    <w:t xml:space="preserve">Inden behandlingsstart. </w:t>
                  </w:r>
                </w:p>
                <w:p w:rsidR="003F529D" w:rsidRPr="005A1801" w:rsidRDefault="00296BF5">
                  <w:pPr>
                    <w:pStyle w:val="Default"/>
                    <w:rPr>
                      <w:sz w:val="22"/>
                      <w:szCs w:val="22"/>
                      <w:lang w:val="da-DK"/>
                    </w:rPr>
                  </w:pPr>
                  <w:r>
                    <w:rPr>
                      <w:sz w:val="22"/>
                      <w:szCs w:val="22"/>
                      <w:lang w:val="da-DK"/>
                    </w:rPr>
                    <w:t>Ugentlig</w:t>
                  </w:r>
                  <w:r w:rsidR="003F529D" w:rsidRPr="005A1801">
                    <w:rPr>
                      <w:sz w:val="22"/>
                      <w:szCs w:val="22"/>
                      <w:lang w:val="da-DK"/>
                    </w:rPr>
                    <w:t xml:space="preserve"> under den første måned af behandlingen eller efter dosisjustering (inklusive skift til anden formulering). </w:t>
                  </w:r>
                </w:p>
                <w:p w:rsidR="003F529D" w:rsidRPr="005A1801" w:rsidRDefault="003F529D">
                  <w:pPr>
                    <w:pStyle w:val="Default"/>
                    <w:rPr>
                      <w:sz w:val="22"/>
                      <w:szCs w:val="22"/>
                    </w:rPr>
                  </w:pPr>
                  <w:r w:rsidRPr="005A1801">
                    <w:rPr>
                      <w:sz w:val="22"/>
                      <w:szCs w:val="22"/>
                    </w:rPr>
                    <w:t xml:space="preserve">Herefter </w:t>
                  </w:r>
                  <w:r w:rsidR="00296BF5">
                    <w:rPr>
                      <w:sz w:val="22"/>
                      <w:szCs w:val="22"/>
                    </w:rPr>
                    <w:t>månedlig</w:t>
                  </w:r>
                  <w:r w:rsidRPr="005A1801">
                    <w:rPr>
                      <w:sz w:val="22"/>
                      <w:szCs w:val="22"/>
                    </w:rPr>
                    <w:t xml:space="preserve">. </w:t>
                  </w:r>
                </w:p>
              </w:tc>
            </w:tr>
            <w:tr w:rsidR="003F529D" w:rsidRPr="005A1801">
              <w:trPr>
                <w:jc w:val="center"/>
              </w:trPr>
              <w:tc>
                <w:tcPr>
                  <w:tcW w:w="3118" w:type="dxa"/>
                  <w:tcBorders>
                    <w:top w:val="single" w:sz="4" w:space="0" w:color="auto"/>
                    <w:left w:val="single" w:sz="4" w:space="0" w:color="auto"/>
                    <w:bottom w:val="single" w:sz="4" w:space="0" w:color="auto"/>
                    <w:right w:val="single" w:sz="4" w:space="0" w:color="auto"/>
                  </w:tcBorders>
                  <w:hideMark/>
                </w:tcPr>
                <w:p w:rsidR="003F529D" w:rsidRPr="005A1801" w:rsidRDefault="003F529D">
                  <w:pPr>
                    <w:pStyle w:val="Default"/>
                    <w:rPr>
                      <w:sz w:val="22"/>
                      <w:szCs w:val="22"/>
                    </w:rPr>
                  </w:pPr>
                  <w:r w:rsidRPr="005A1801">
                    <w:rPr>
                      <w:sz w:val="22"/>
                      <w:szCs w:val="22"/>
                    </w:rPr>
                    <w:t>Proteinuri</w:t>
                  </w:r>
                </w:p>
              </w:tc>
              <w:tc>
                <w:tcPr>
                  <w:tcW w:w="3827" w:type="dxa"/>
                  <w:tcBorders>
                    <w:top w:val="single" w:sz="4" w:space="0" w:color="auto"/>
                    <w:left w:val="single" w:sz="4" w:space="0" w:color="auto"/>
                    <w:bottom w:val="single" w:sz="4" w:space="0" w:color="auto"/>
                    <w:right w:val="single" w:sz="4" w:space="0" w:color="auto"/>
                  </w:tcBorders>
                  <w:hideMark/>
                </w:tcPr>
                <w:p w:rsidR="003F529D" w:rsidRPr="005A1801" w:rsidRDefault="003F529D">
                  <w:pPr>
                    <w:pStyle w:val="Default"/>
                    <w:rPr>
                      <w:sz w:val="22"/>
                      <w:szCs w:val="22"/>
                    </w:rPr>
                  </w:pPr>
                  <w:r w:rsidRPr="005A1801">
                    <w:rPr>
                      <w:sz w:val="22"/>
                      <w:szCs w:val="22"/>
                    </w:rPr>
                    <w:t xml:space="preserve">Inden behandlingsstart. </w:t>
                  </w:r>
                </w:p>
                <w:p w:rsidR="003F529D" w:rsidRPr="005A1801" w:rsidRDefault="003F529D">
                  <w:pPr>
                    <w:pStyle w:val="Default"/>
                    <w:rPr>
                      <w:sz w:val="22"/>
                      <w:szCs w:val="22"/>
                    </w:rPr>
                  </w:pPr>
                  <w:r w:rsidRPr="005A1801">
                    <w:rPr>
                      <w:sz w:val="22"/>
                      <w:szCs w:val="22"/>
                    </w:rPr>
                    <w:t xml:space="preserve">Herefter </w:t>
                  </w:r>
                  <w:r w:rsidR="00296BF5">
                    <w:rPr>
                      <w:sz w:val="22"/>
                      <w:szCs w:val="22"/>
                    </w:rPr>
                    <w:t>månedlig</w:t>
                  </w:r>
                  <w:r w:rsidRPr="005A1801">
                    <w:rPr>
                      <w:sz w:val="22"/>
                      <w:szCs w:val="22"/>
                    </w:rPr>
                    <w:t xml:space="preserve">. </w:t>
                  </w:r>
                </w:p>
              </w:tc>
            </w:tr>
            <w:tr w:rsidR="003F529D" w:rsidRPr="005A1801">
              <w:trPr>
                <w:jc w:val="center"/>
              </w:trPr>
              <w:tc>
                <w:tcPr>
                  <w:tcW w:w="3118" w:type="dxa"/>
                  <w:tcBorders>
                    <w:top w:val="single" w:sz="4" w:space="0" w:color="auto"/>
                    <w:left w:val="single" w:sz="4" w:space="0" w:color="auto"/>
                    <w:bottom w:val="single" w:sz="4" w:space="0" w:color="auto"/>
                    <w:right w:val="single" w:sz="4" w:space="0" w:color="auto"/>
                  </w:tcBorders>
                  <w:hideMark/>
                </w:tcPr>
                <w:p w:rsidR="003F529D" w:rsidRPr="005A1801" w:rsidRDefault="003F529D">
                  <w:pPr>
                    <w:pStyle w:val="Default"/>
                    <w:rPr>
                      <w:sz w:val="22"/>
                      <w:szCs w:val="22"/>
                      <w:lang w:val="da-DK"/>
                    </w:rPr>
                  </w:pPr>
                  <w:r w:rsidRPr="005A1801">
                    <w:rPr>
                      <w:sz w:val="22"/>
                      <w:szCs w:val="22"/>
                      <w:lang w:val="da-DK"/>
                    </w:rPr>
                    <w:t xml:space="preserve">Andre markører på renal tubulær funktion (fx glukosuri hos ikke-diabetikere og lave niveauer af serumkalium, fosfat, magnesium eller urat, fosfaturi, aminoaciduri) </w:t>
                  </w:r>
                </w:p>
              </w:tc>
              <w:tc>
                <w:tcPr>
                  <w:tcW w:w="3827" w:type="dxa"/>
                  <w:tcBorders>
                    <w:top w:val="single" w:sz="4" w:space="0" w:color="auto"/>
                    <w:left w:val="single" w:sz="4" w:space="0" w:color="auto"/>
                    <w:bottom w:val="single" w:sz="4" w:space="0" w:color="auto"/>
                    <w:right w:val="single" w:sz="4" w:space="0" w:color="auto"/>
                  </w:tcBorders>
                </w:tcPr>
                <w:p w:rsidR="003F529D" w:rsidRPr="005A1801" w:rsidRDefault="003F529D">
                  <w:pPr>
                    <w:pStyle w:val="Default"/>
                    <w:rPr>
                      <w:sz w:val="22"/>
                      <w:szCs w:val="22"/>
                    </w:rPr>
                  </w:pPr>
                  <w:r w:rsidRPr="005A1801">
                    <w:rPr>
                      <w:sz w:val="22"/>
                      <w:szCs w:val="22"/>
                    </w:rPr>
                    <w:t xml:space="preserve">Efter behov. </w:t>
                  </w:r>
                </w:p>
                <w:p w:rsidR="003F529D" w:rsidRPr="005A1801" w:rsidRDefault="003F529D">
                  <w:pPr>
                    <w:pStyle w:val="Default"/>
                    <w:rPr>
                      <w:sz w:val="22"/>
                      <w:szCs w:val="22"/>
                    </w:rPr>
                  </w:pPr>
                </w:p>
              </w:tc>
            </w:tr>
            <w:tr w:rsidR="003F529D" w:rsidRPr="005A1801">
              <w:trPr>
                <w:jc w:val="center"/>
              </w:trPr>
              <w:tc>
                <w:tcPr>
                  <w:tcW w:w="3118" w:type="dxa"/>
                  <w:tcBorders>
                    <w:top w:val="single" w:sz="4" w:space="0" w:color="auto"/>
                    <w:left w:val="single" w:sz="4" w:space="0" w:color="auto"/>
                    <w:bottom w:val="single" w:sz="4" w:space="0" w:color="auto"/>
                    <w:right w:val="single" w:sz="4" w:space="0" w:color="auto"/>
                  </w:tcBorders>
                </w:tcPr>
                <w:p w:rsidR="003F529D" w:rsidRPr="005A1801" w:rsidRDefault="003F529D">
                  <w:pPr>
                    <w:pStyle w:val="Default"/>
                    <w:rPr>
                      <w:sz w:val="22"/>
                      <w:szCs w:val="22"/>
                    </w:rPr>
                  </w:pPr>
                  <w:r w:rsidRPr="005A1801">
                    <w:rPr>
                      <w:sz w:val="22"/>
                      <w:szCs w:val="22"/>
                    </w:rPr>
                    <w:t xml:space="preserve">Serum-aminotransferaser, bilirubin, alkalisk fosfatase </w:t>
                  </w:r>
                </w:p>
                <w:p w:rsidR="003F529D" w:rsidRPr="005A1801" w:rsidRDefault="003F529D">
                  <w:pPr>
                    <w:pStyle w:val="Default"/>
                    <w:rPr>
                      <w:sz w:val="22"/>
                      <w:szCs w:val="22"/>
                      <w:lang w:val="de-DE"/>
                    </w:rPr>
                  </w:pPr>
                </w:p>
              </w:tc>
              <w:tc>
                <w:tcPr>
                  <w:tcW w:w="3827" w:type="dxa"/>
                  <w:tcBorders>
                    <w:top w:val="single" w:sz="4" w:space="0" w:color="auto"/>
                    <w:left w:val="single" w:sz="4" w:space="0" w:color="auto"/>
                    <w:bottom w:val="single" w:sz="4" w:space="0" w:color="auto"/>
                    <w:right w:val="single" w:sz="4" w:space="0" w:color="auto"/>
                  </w:tcBorders>
                  <w:hideMark/>
                </w:tcPr>
                <w:p w:rsidR="003F529D" w:rsidRPr="005A1801" w:rsidRDefault="003F529D">
                  <w:pPr>
                    <w:pStyle w:val="Default"/>
                    <w:rPr>
                      <w:sz w:val="22"/>
                      <w:szCs w:val="22"/>
                      <w:lang w:val="da-DK"/>
                    </w:rPr>
                  </w:pPr>
                  <w:r w:rsidRPr="005A1801">
                    <w:rPr>
                      <w:sz w:val="22"/>
                      <w:szCs w:val="22"/>
                      <w:lang w:val="da-DK"/>
                    </w:rPr>
                    <w:t xml:space="preserve">Inden behandling. </w:t>
                  </w:r>
                </w:p>
                <w:p w:rsidR="003F529D" w:rsidRPr="005A1801" w:rsidRDefault="003F529D">
                  <w:pPr>
                    <w:pStyle w:val="Default"/>
                    <w:rPr>
                      <w:sz w:val="22"/>
                      <w:szCs w:val="22"/>
                      <w:lang w:val="da-DK"/>
                    </w:rPr>
                  </w:pPr>
                  <w:r w:rsidRPr="005A1801">
                    <w:rPr>
                      <w:sz w:val="22"/>
                      <w:szCs w:val="22"/>
                      <w:lang w:val="da-DK"/>
                    </w:rPr>
                    <w:t xml:space="preserve">Hver 2. uge den første behandlingsmåned. </w:t>
                  </w:r>
                </w:p>
                <w:p w:rsidR="003F529D" w:rsidRPr="005A1801" w:rsidRDefault="00296BF5">
                  <w:pPr>
                    <w:pStyle w:val="Default"/>
                    <w:rPr>
                      <w:sz w:val="22"/>
                      <w:szCs w:val="22"/>
                    </w:rPr>
                  </w:pPr>
                  <w:r>
                    <w:rPr>
                      <w:sz w:val="22"/>
                      <w:szCs w:val="22"/>
                    </w:rPr>
                    <w:t>Månedlig</w:t>
                  </w:r>
                  <w:r w:rsidR="003F529D" w:rsidRPr="005A1801">
                    <w:rPr>
                      <w:sz w:val="22"/>
                      <w:szCs w:val="22"/>
                    </w:rPr>
                    <w:t xml:space="preserve"> herefter. </w:t>
                  </w:r>
                </w:p>
              </w:tc>
            </w:tr>
            <w:tr w:rsidR="003F529D" w:rsidRPr="005A1801">
              <w:trPr>
                <w:jc w:val="center"/>
              </w:trPr>
              <w:tc>
                <w:tcPr>
                  <w:tcW w:w="3118" w:type="dxa"/>
                  <w:tcBorders>
                    <w:top w:val="single" w:sz="4" w:space="0" w:color="auto"/>
                    <w:left w:val="single" w:sz="4" w:space="0" w:color="auto"/>
                    <w:bottom w:val="single" w:sz="4" w:space="0" w:color="auto"/>
                    <w:right w:val="single" w:sz="4" w:space="0" w:color="auto"/>
                  </w:tcBorders>
                </w:tcPr>
                <w:p w:rsidR="003F529D" w:rsidRPr="005A1801" w:rsidRDefault="003F529D">
                  <w:pPr>
                    <w:pStyle w:val="Default"/>
                    <w:rPr>
                      <w:sz w:val="22"/>
                      <w:szCs w:val="22"/>
                    </w:rPr>
                  </w:pPr>
                  <w:r w:rsidRPr="005A1801">
                    <w:rPr>
                      <w:sz w:val="22"/>
                      <w:szCs w:val="22"/>
                    </w:rPr>
                    <w:t xml:space="preserve">Test af hørelse og syn </w:t>
                  </w:r>
                </w:p>
                <w:p w:rsidR="003F529D" w:rsidRPr="005A1801" w:rsidRDefault="003F529D">
                  <w:pPr>
                    <w:pStyle w:val="Default"/>
                    <w:rPr>
                      <w:sz w:val="22"/>
                      <w:szCs w:val="22"/>
                    </w:rPr>
                  </w:pPr>
                </w:p>
              </w:tc>
              <w:tc>
                <w:tcPr>
                  <w:tcW w:w="3827" w:type="dxa"/>
                  <w:tcBorders>
                    <w:top w:val="single" w:sz="4" w:space="0" w:color="auto"/>
                    <w:left w:val="single" w:sz="4" w:space="0" w:color="auto"/>
                    <w:bottom w:val="single" w:sz="4" w:space="0" w:color="auto"/>
                    <w:right w:val="single" w:sz="4" w:space="0" w:color="auto"/>
                  </w:tcBorders>
                  <w:hideMark/>
                </w:tcPr>
                <w:p w:rsidR="003F529D" w:rsidRPr="005A1801" w:rsidRDefault="003F529D">
                  <w:pPr>
                    <w:pStyle w:val="Default"/>
                    <w:rPr>
                      <w:sz w:val="22"/>
                      <w:szCs w:val="22"/>
                    </w:rPr>
                  </w:pPr>
                  <w:r w:rsidRPr="005A1801">
                    <w:rPr>
                      <w:sz w:val="22"/>
                      <w:szCs w:val="22"/>
                    </w:rPr>
                    <w:t xml:space="preserve">Inden behandling. </w:t>
                  </w:r>
                </w:p>
                <w:p w:rsidR="003F529D" w:rsidRPr="005A1801" w:rsidRDefault="003F529D">
                  <w:pPr>
                    <w:pStyle w:val="Default"/>
                    <w:rPr>
                      <w:sz w:val="22"/>
                      <w:szCs w:val="22"/>
                    </w:rPr>
                  </w:pPr>
                  <w:r w:rsidRPr="005A1801">
                    <w:rPr>
                      <w:sz w:val="22"/>
                      <w:szCs w:val="22"/>
                    </w:rPr>
                    <w:t xml:space="preserve">Årligt herefter. </w:t>
                  </w:r>
                </w:p>
              </w:tc>
            </w:tr>
            <w:tr w:rsidR="003F529D" w:rsidRPr="005A1801">
              <w:trPr>
                <w:jc w:val="center"/>
              </w:trPr>
              <w:tc>
                <w:tcPr>
                  <w:tcW w:w="3118" w:type="dxa"/>
                  <w:tcBorders>
                    <w:top w:val="single" w:sz="4" w:space="0" w:color="auto"/>
                    <w:left w:val="single" w:sz="4" w:space="0" w:color="auto"/>
                    <w:bottom w:val="single" w:sz="4" w:space="0" w:color="auto"/>
                    <w:right w:val="single" w:sz="4" w:space="0" w:color="auto"/>
                  </w:tcBorders>
                  <w:hideMark/>
                </w:tcPr>
                <w:p w:rsidR="003F529D" w:rsidRPr="005A1801" w:rsidRDefault="003F529D">
                  <w:pPr>
                    <w:pStyle w:val="Default"/>
                    <w:rPr>
                      <w:sz w:val="22"/>
                      <w:szCs w:val="22"/>
                      <w:lang w:val="da-DK"/>
                    </w:rPr>
                  </w:pPr>
                  <w:r w:rsidRPr="005A1801">
                    <w:rPr>
                      <w:sz w:val="22"/>
                      <w:szCs w:val="22"/>
                      <w:lang w:val="da-DK"/>
                    </w:rPr>
                    <w:t xml:space="preserve">Kropsvægt, højde og seksuel udvikling </w:t>
                  </w:r>
                </w:p>
              </w:tc>
              <w:tc>
                <w:tcPr>
                  <w:tcW w:w="3827" w:type="dxa"/>
                  <w:tcBorders>
                    <w:top w:val="single" w:sz="4" w:space="0" w:color="auto"/>
                    <w:left w:val="single" w:sz="4" w:space="0" w:color="auto"/>
                    <w:bottom w:val="single" w:sz="4" w:space="0" w:color="auto"/>
                    <w:right w:val="single" w:sz="4" w:space="0" w:color="auto"/>
                  </w:tcBorders>
                  <w:hideMark/>
                </w:tcPr>
                <w:p w:rsidR="003F529D" w:rsidRPr="005A1801" w:rsidRDefault="003F529D">
                  <w:pPr>
                    <w:pStyle w:val="Default"/>
                    <w:rPr>
                      <w:sz w:val="22"/>
                      <w:szCs w:val="22"/>
                      <w:lang w:val="da-DK"/>
                    </w:rPr>
                  </w:pPr>
                  <w:r w:rsidRPr="005A1801">
                    <w:rPr>
                      <w:sz w:val="22"/>
                      <w:szCs w:val="22"/>
                      <w:lang w:val="da-DK"/>
                    </w:rPr>
                    <w:t xml:space="preserve">Inden behandlingsstart. </w:t>
                  </w:r>
                </w:p>
                <w:p w:rsidR="003F529D" w:rsidRPr="005A1801" w:rsidRDefault="003F529D">
                  <w:pPr>
                    <w:pStyle w:val="Default"/>
                    <w:rPr>
                      <w:sz w:val="22"/>
                      <w:szCs w:val="22"/>
                      <w:lang w:val="da-DK"/>
                    </w:rPr>
                  </w:pPr>
                  <w:r w:rsidRPr="005A1801">
                    <w:rPr>
                      <w:sz w:val="22"/>
                      <w:szCs w:val="22"/>
                      <w:lang w:val="da-DK"/>
                    </w:rPr>
                    <w:t xml:space="preserve">Årligt hos pædiatriske patienter. </w:t>
                  </w:r>
                </w:p>
              </w:tc>
            </w:tr>
          </w:tbl>
          <w:p w:rsidR="003F529D" w:rsidRPr="00933BFD" w:rsidRDefault="003F529D">
            <w:pPr>
              <w:rPr>
                <w:sz w:val="24"/>
                <w:szCs w:val="24"/>
                <w:u w:val="single"/>
                <w:lang w:val="da-DK"/>
              </w:rPr>
            </w:pPr>
          </w:p>
        </w:tc>
      </w:tr>
    </w:tbl>
    <w:p w:rsidR="003F529D" w:rsidRPr="003F529D" w:rsidRDefault="003F529D" w:rsidP="003F529D">
      <w:pPr>
        <w:ind w:left="851" w:hanging="851"/>
        <w:rPr>
          <w:b/>
          <w:sz w:val="24"/>
          <w:szCs w:val="24"/>
        </w:rPr>
      </w:pPr>
    </w:p>
    <w:p w:rsidR="003F529D" w:rsidRPr="003F529D" w:rsidRDefault="003F529D" w:rsidP="003F529D">
      <w:pPr>
        <w:pStyle w:val="Default"/>
        <w:ind w:left="851"/>
      </w:pPr>
      <w:r w:rsidRPr="003F529D">
        <w:t xml:space="preserve">Hos patienter med lav forventet levealder (fx højrisiko myelodysplastiske syndromer), specielt når co-morbiditeter kan øge risikoen for bivirkninger, kan fordelen ved deferasirox være begrænset og inferiør over for risikoen. Som konsekvens af dette kan det ikke anbefales at behandle disse patienter med </w:t>
      </w:r>
      <w:r w:rsidR="00C42FD3">
        <w:t>Deferasirox "Orifarm"</w:t>
      </w:r>
      <w:r w:rsidRPr="003F529D">
        <w:t>.</w:t>
      </w:r>
    </w:p>
    <w:p w:rsidR="003F529D" w:rsidRPr="003F529D" w:rsidRDefault="003F529D" w:rsidP="003F529D">
      <w:pPr>
        <w:pStyle w:val="Default"/>
        <w:ind w:left="851"/>
      </w:pPr>
      <w:r w:rsidRPr="003F529D">
        <w:t xml:space="preserve"> </w:t>
      </w:r>
    </w:p>
    <w:p w:rsidR="003F529D" w:rsidRPr="003F529D" w:rsidRDefault="003F529D" w:rsidP="003F529D">
      <w:pPr>
        <w:pStyle w:val="Default"/>
        <w:ind w:left="851"/>
      </w:pPr>
      <w:r w:rsidRPr="003F529D">
        <w:t xml:space="preserve">Der skal udvises forsigtighed hos ældre patienter på grund af en højere frekvens af bivirkninger (specielt diarré). </w:t>
      </w:r>
    </w:p>
    <w:p w:rsidR="003F529D" w:rsidRPr="003F529D" w:rsidRDefault="003F529D" w:rsidP="003F529D">
      <w:pPr>
        <w:pStyle w:val="Default"/>
        <w:ind w:left="851"/>
      </w:pPr>
    </w:p>
    <w:p w:rsidR="003F529D" w:rsidRPr="003F529D" w:rsidRDefault="003F529D" w:rsidP="003F529D">
      <w:pPr>
        <w:tabs>
          <w:tab w:val="left" w:pos="851"/>
        </w:tabs>
        <w:ind w:left="851"/>
        <w:rPr>
          <w:sz w:val="24"/>
          <w:szCs w:val="24"/>
        </w:rPr>
      </w:pPr>
      <w:r w:rsidRPr="003F529D">
        <w:rPr>
          <w:sz w:val="24"/>
          <w:szCs w:val="24"/>
        </w:rPr>
        <w:t xml:space="preserve">Der er meget begrænsede data om børn med ikke-transfusionsafhængig talassæmi (se pkt. 5.1). Som konsekvens heraf skal </w:t>
      </w:r>
      <w:r w:rsidR="00C42FD3">
        <w:rPr>
          <w:sz w:val="24"/>
          <w:szCs w:val="24"/>
        </w:rPr>
        <w:t>Deferasirox "Orifarm"</w:t>
      </w:r>
      <w:r w:rsidRPr="003F529D">
        <w:rPr>
          <w:sz w:val="24"/>
          <w:szCs w:val="24"/>
        </w:rPr>
        <w:t xml:space="preserve"> behandling monitoreres omhyggeligt hos pædiatriske patienter for at opdage bivirkninger og følge jernmængden. Før svært jernoverskud hos børn med ikke-transfusionsafhængig talassæmi behandles med </w:t>
      </w:r>
      <w:r w:rsidR="00C42FD3">
        <w:rPr>
          <w:sz w:val="24"/>
          <w:szCs w:val="24"/>
        </w:rPr>
        <w:t>Deferasirox "Orifarm"</w:t>
      </w:r>
      <w:r w:rsidRPr="003F529D">
        <w:rPr>
          <w:sz w:val="24"/>
          <w:szCs w:val="24"/>
        </w:rPr>
        <w:t>, skal lægen derudover være opmærksom på, at konsekvenserne af langtidsbehandling ikke er kendt hos disse patienter på nuværende tidspunkt.</w:t>
      </w:r>
    </w:p>
    <w:p w:rsidR="003F529D" w:rsidRPr="003F529D" w:rsidRDefault="003F529D" w:rsidP="003F529D">
      <w:pPr>
        <w:tabs>
          <w:tab w:val="left" w:pos="851"/>
        </w:tabs>
        <w:ind w:left="851"/>
        <w:rPr>
          <w:sz w:val="24"/>
          <w:szCs w:val="24"/>
        </w:rPr>
      </w:pPr>
    </w:p>
    <w:p w:rsidR="003F529D" w:rsidRPr="003F529D" w:rsidRDefault="003F529D" w:rsidP="003F529D">
      <w:pPr>
        <w:pStyle w:val="Default"/>
        <w:ind w:firstLine="851"/>
        <w:rPr>
          <w:u w:val="single"/>
        </w:rPr>
      </w:pPr>
      <w:r w:rsidRPr="003F529D">
        <w:rPr>
          <w:u w:val="single"/>
        </w:rPr>
        <w:t xml:space="preserve">Gastrointestinale reaktioner </w:t>
      </w:r>
    </w:p>
    <w:p w:rsidR="003F529D" w:rsidRPr="003F529D" w:rsidRDefault="003F529D" w:rsidP="003F529D">
      <w:pPr>
        <w:tabs>
          <w:tab w:val="left" w:pos="851"/>
        </w:tabs>
        <w:ind w:left="851"/>
        <w:rPr>
          <w:sz w:val="24"/>
          <w:szCs w:val="24"/>
        </w:rPr>
      </w:pPr>
      <w:r w:rsidRPr="003F529D">
        <w:rPr>
          <w:sz w:val="24"/>
          <w:szCs w:val="24"/>
        </w:rPr>
        <w:t xml:space="preserve">Øvre gastrointestinal ulceration og blødning er rapporteret i patienter, inklusive unge og børn, som fik deferasirox. Multiple ulcus er rapporteret hos nogle patienter (se pkt. 4.8). Der har været rapporter om sår kompliceret med perforering af fordøjelsessystemet. Der har også været rapporter om letale gastrointestinale blødninger, specielt hos ældre patienter der havde hæmatologiske maligniteter og/eller lavt antal blodplader. Læger og patienter skal være på vagt for tegn og symptomer på gastrointestinal ulceration og blødning under behandling med </w:t>
      </w:r>
      <w:r w:rsidR="00C42FD3">
        <w:rPr>
          <w:sz w:val="24"/>
          <w:szCs w:val="24"/>
        </w:rPr>
        <w:t>Deferasirox "Orifarm"</w:t>
      </w:r>
      <w:r w:rsidRPr="003F529D">
        <w:rPr>
          <w:sz w:val="24"/>
          <w:szCs w:val="24"/>
        </w:rPr>
        <w:t xml:space="preserve">. I tilfælde af gastrointestinal ulceration eller blødning, bør behandling med </w:t>
      </w:r>
      <w:r w:rsidR="00C42FD3">
        <w:rPr>
          <w:sz w:val="24"/>
          <w:szCs w:val="24"/>
        </w:rPr>
        <w:t>Deferasirox "Orifarm"</w:t>
      </w:r>
      <w:r w:rsidRPr="003F529D">
        <w:rPr>
          <w:sz w:val="24"/>
          <w:szCs w:val="24"/>
        </w:rPr>
        <w:t xml:space="preserve"> seponeres og yderligere undersøgelser og behandling skal straks initeres. Der skal iagttages forsigtighed hos patienter, som bruger </w:t>
      </w:r>
      <w:r w:rsidR="00C42FD3">
        <w:rPr>
          <w:sz w:val="24"/>
          <w:szCs w:val="24"/>
        </w:rPr>
        <w:t>Deferasirox "Orifarm"</w:t>
      </w:r>
      <w:r w:rsidRPr="003F529D">
        <w:rPr>
          <w:sz w:val="24"/>
          <w:szCs w:val="24"/>
        </w:rPr>
        <w:t xml:space="preserve"> i kombination med substanser, som vides at have ulcerogent potentiale, såsom NSAID’er, kortikosteroider eller orale bisphosphonater, hos patienter, som bruger antikoagulantia, og hos patienter med blodpladetal under 50.000/mm</w:t>
      </w:r>
      <w:r w:rsidRPr="003F529D">
        <w:rPr>
          <w:sz w:val="24"/>
          <w:szCs w:val="24"/>
          <w:vertAlign w:val="superscript"/>
        </w:rPr>
        <w:t>3</w:t>
      </w:r>
      <w:r w:rsidRPr="003F529D">
        <w:rPr>
          <w:sz w:val="24"/>
          <w:szCs w:val="24"/>
        </w:rPr>
        <w:t>(50</w:t>
      </w:r>
      <w:r w:rsidR="00296BF5">
        <w:rPr>
          <w:sz w:val="24"/>
          <w:szCs w:val="24"/>
        </w:rPr>
        <w:t>×</w:t>
      </w:r>
      <w:r w:rsidRPr="003F529D">
        <w:rPr>
          <w:sz w:val="24"/>
          <w:szCs w:val="24"/>
        </w:rPr>
        <w:t>10</w:t>
      </w:r>
      <w:r w:rsidRPr="003F529D">
        <w:rPr>
          <w:sz w:val="24"/>
          <w:szCs w:val="24"/>
          <w:vertAlign w:val="superscript"/>
        </w:rPr>
        <w:t>9</w:t>
      </w:r>
      <w:r w:rsidRPr="003F529D">
        <w:rPr>
          <w:sz w:val="24"/>
          <w:szCs w:val="24"/>
        </w:rPr>
        <w:t>/l) (se pkt. 4.5).</w:t>
      </w:r>
    </w:p>
    <w:p w:rsidR="003F529D" w:rsidRPr="003F529D" w:rsidRDefault="003F529D" w:rsidP="003F529D">
      <w:pPr>
        <w:tabs>
          <w:tab w:val="left" w:pos="851"/>
        </w:tabs>
        <w:ind w:left="851"/>
        <w:rPr>
          <w:sz w:val="24"/>
          <w:szCs w:val="24"/>
        </w:rPr>
      </w:pPr>
    </w:p>
    <w:p w:rsidR="003F529D" w:rsidRPr="003F529D" w:rsidRDefault="003F529D" w:rsidP="003F529D">
      <w:pPr>
        <w:pStyle w:val="Default"/>
        <w:ind w:firstLine="851"/>
        <w:rPr>
          <w:u w:val="single"/>
        </w:rPr>
      </w:pPr>
      <w:r w:rsidRPr="003F529D">
        <w:rPr>
          <w:u w:val="single"/>
        </w:rPr>
        <w:t xml:space="preserve">Hudreaktioner </w:t>
      </w:r>
    </w:p>
    <w:p w:rsidR="003F529D" w:rsidRPr="003F529D" w:rsidRDefault="003F529D" w:rsidP="003F529D">
      <w:pPr>
        <w:tabs>
          <w:tab w:val="left" w:pos="851"/>
        </w:tabs>
        <w:ind w:left="851"/>
        <w:rPr>
          <w:sz w:val="24"/>
          <w:szCs w:val="24"/>
        </w:rPr>
      </w:pPr>
      <w:r w:rsidRPr="003F529D">
        <w:rPr>
          <w:sz w:val="24"/>
          <w:szCs w:val="24"/>
        </w:rPr>
        <w:t xml:space="preserve">Der kan forekomme hududslæt ved deferasirox-behandling. Udslættene forsvinder spontant i de fleste tilfælde. I de tilfælde, hvor afbrydelse af behandling kan være nødvendig, kan behandlingen påbegyndes igen efter udslættet er væk. Påbegyndelsen bør finde sted med en lavere dosis efterfulgt af en gradvis dosisforøgelse. I alvorlige tilfælde kan denne behandling påbegyndes igen i kombination med en kort periode af oralt administreret steroid. Der er blevet rapporteret alvorlige kutane bivirkninger (SCAR), herunder Stevens-Johnsons syndrom (SJS), toksisk epidermal nekrolyse (TEN) og lægemiddelreaktioner med eosinofili og systemiske symptomer (DRESS), som kan være livstruende eller dødelige. Hvis der er mistanke om SCAR, skal </w:t>
      </w:r>
      <w:r w:rsidR="00C42FD3">
        <w:rPr>
          <w:sz w:val="24"/>
          <w:szCs w:val="24"/>
        </w:rPr>
        <w:t>Deferasirox "Orifarm"</w:t>
      </w:r>
      <w:r w:rsidRPr="003F529D">
        <w:rPr>
          <w:sz w:val="24"/>
          <w:szCs w:val="24"/>
        </w:rPr>
        <w:t xml:space="preserve"> seponeres øjeblikkeligt, og behandlingen bør ikke genoptages. I forbindelse med receptudskrivelse bør patienter informeres om tegn og symptomer på alvorlige hudreaktioner samt overvåges nøje.</w:t>
      </w:r>
    </w:p>
    <w:p w:rsidR="003F529D" w:rsidRPr="003F529D" w:rsidRDefault="003F529D" w:rsidP="003F529D">
      <w:pPr>
        <w:tabs>
          <w:tab w:val="left" w:pos="851"/>
        </w:tabs>
        <w:ind w:left="851"/>
        <w:rPr>
          <w:sz w:val="24"/>
          <w:szCs w:val="24"/>
        </w:rPr>
      </w:pPr>
    </w:p>
    <w:p w:rsidR="003F529D" w:rsidRPr="003F529D" w:rsidRDefault="003F529D" w:rsidP="003F529D">
      <w:pPr>
        <w:pStyle w:val="Default"/>
        <w:ind w:firstLine="851"/>
        <w:rPr>
          <w:u w:val="single"/>
        </w:rPr>
      </w:pPr>
      <w:r w:rsidRPr="003F529D">
        <w:rPr>
          <w:u w:val="single"/>
        </w:rPr>
        <w:t xml:space="preserve">Overfølsomhedsreaktioner </w:t>
      </w:r>
    </w:p>
    <w:p w:rsidR="003F529D" w:rsidRPr="003F529D" w:rsidRDefault="003F529D" w:rsidP="003F529D">
      <w:pPr>
        <w:tabs>
          <w:tab w:val="left" w:pos="851"/>
        </w:tabs>
        <w:ind w:left="851"/>
        <w:rPr>
          <w:sz w:val="24"/>
          <w:szCs w:val="24"/>
        </w:rPr>
      </w:pPr>
      <w:r w:rsidRPr="003F529D">
        <w:rPr>
          <w:sz w:val="24"/>
          <w:szCs w:val="24"/>
        </w:rPr>
        <w:t xml:space="preserve">Der er indberettet sjældne tilfælde af alvorlige overfølsomhedsreaktioner (som anafylaksi og angioødem) hos patienter, som får deferasirox. I størstedelen af tilfældene opstod reaktionerne inden for den første måned af behandlingen (se pkt. 4.8). Hvis sådanne reaktioner indtræffer bør </w:t>
      </w:r>
      <w:r w:rsidR="00C42FD3">
        <w:rPr>
          <w:sz w:val="24"/>
          <w:szCs w:val="24"/>
        </w:rPr>
        <w:t>Deferasirox "Orifarm"</w:t>
      </w:r>
      <w:r w:rsidRPr="003F529D">
        <w:rPr>
          <w:sz w:val="24"/>
          <w:szCs w:val="24"/>
        </w:rPr>
        <w:t xml:space="preserve"> seponeres, og passende medicinsk behandling iværksættes. Behandling med </w:t>
      </w:r>
      <w:r w:rsidR="00C42FD3">
        <w:rPr>
          <w:sz w:val="24"/>
          <w:szCs w:val="24"/>
        </w:rPr>
        <w:t>Deferasirox "Orifarm"</w:t>
      </w:r>
      <w:r w:rsidRPr="003F529D">
        <w:rPr>
          <w:sz w:val="24"/>
          <w:szCs w:val="24"/>
        </w:rPr>
        <w:t xml:space="preserve"> må ikke genoptages hos patienter, der har oplevet en overfølsomhedsreaktion, på grund af risikoen for anafylaktisk shock (se pkt. 4.3).</w:t>
      </w:r>
    </w:p>
    <w:p w:rsidR="003F529D" w:rsidRPr="003F529D" w:rsidRDefault="003F529D" w:rsidP="003F529D">
      <w:pPr>
        <w:tabs>
          <w:tab w:val="left" w:pos="851"/>
        </w:tabs>
        <w:ind w:left="851"/>
        <w:rPr>
          <w:sz w:val="24"/>
          <w:szCs w:val="24"/>
        </w:rPr>
      </w:pPr>
    </w:p>
    <w:p w:rsidR="003F529D" w:rsidRPr="003F529D" w:rsidRDefault="003F529D" w:rsidP="003F529D">
      <w:pPr>
        <w:pStyle w:val="Default"/>
        <w:ind w:firstLine="851"/>
        <w:rPr>
          <w:u w:val="single"/>
        </w:rPr>
      </w:pPr>
      <w:r w:rsidRPr="003F529D">
        <w:rPr>
          <w:u w:val="single"/>
        </w:rPr>
        <w:t xml:space="preserve">Syn og hørelse </w:t>
      </w:r>
    </w:p>
    <w:p w:rsidR="003F529D" w:rsidRPr="003F529D" w:rsidRDefault="003F529D" w:rsidP="003F529D">
      <w:pPr>
        <w:tabs>
          <w:tab w:val="left" w:pos="851"/>
        </w:tabs>
        <w:ind w:left="851"/>
        <w:rPr>
          <w:sz w:val="24"/>
          <w:szCs w:val="24"/>
        </w:rPr>
      </w:pPr>
      <w:r w:rsidRPr="003F529D">
        <w:rPr>
          <w:sz w:val="24"/>
          <w:szCs w:val="24"/>
        </w:rPr>
        <w:t>Der har været observeret auditive (nedsat hørelse) og visuelle (uklarheder i linsen) forstyrrelser (se pkt. 4.8). Det anbefales, at foretage auditive tests og synstests (inklusive fundoskopi) før påbegyndelse af behandling, og skal derefter udføres med regelmæssige mellemrum (hver 12. måned). En dosisreduktion eller afbrydelse kan overvejes, hvis der ses forstyrrelser under behandlingen.</w:t>
      </w:r>
    </w:p>
    <w:p w:rsidR="003F529D" w:rsidRPr="003F529D" w:rsidRDefault="003F529D" w:rsidP="003F529D">
      <w:pPr>
        <w:tabs>
          <w:tab w:val="left" w:pos="851"/>
        </w:tabs>
        <w:ind w:left="851"/>
        <w:rPr>
          <w:sz w:val="24"/>
          <w:szCs w:val="24"/>
        </w:rPr>
      </w:pPr>
    </w:p>
    <w:p w:rsidR="003F529D" w:rsidRPr="003F529D" w:rsidRDefault="003F529D" w:rsidP="003F529D">
      <w:pPr>
        <w:pStyle w:val="Default"/>
        <w:ind w:firstLine="851"/>
        <w:rPr>
          <w:u w:val="single"/>
        </w:rPr>
      </w:pPr>
      <w:r w:rsidRPr="003F529D">
        <w:rPr>
          <w:u w:val="single"/>
        </w:rPr>
        <w:t xml:space="preserve">Hæmatologiske forstyrrelser </w:t>
      </w:r>
    </w:p>
    <w:p w:rsidR="003F529D" w:rsidRPr="003F529D" w:rsidRDefault="003F529D" w:rsidP="003F529D">
      <w:pPr>
        <w:tabs>
          <w:tab w:val="left" w:pos="851"/>
        </w:tabs>
        <w:ind w:left="851"/>
        <w:rPr>
          <w:sz w:val="24"/>
          <w:szCs w:val="24"/>
        </w:rPr>
      </w:pPr>
      <w:r w:rsidRPr="003F529D">
        <w:rPr>
          <w:sz w:val="24"/>
          <w:szCs w:val="24"/>
        </w:rPr>
        <w:t>Efter markedsføring har der været indberetninger af leukopeni, trombocytopeni eller pancytopeni (eller forværring af disse cytopenier) og af forværret anæmi hos patienter behandlet med deferasirox. De fleste af disse patienter havde præ-eksisterende hæmatologiske lidelser, der ofte forbindes med knoglemarvsdepression. Det kan dog ikke udelukkes, at der er en medvirkende eller forværrende effekt. Hos patienter, der udvikler uforklarlig cytopeni, bør det vurderes, om behandlingen skal afbrydes.</w:t>
      </w:r>
    </w:p>
    <w:p w:rsidR="003F529D" w:rsidRPr="003F529D" w:rsidRDefault="003F529D" w:rsidP="003F529D">
      <w:pPr>
        <w:tabs>
          <w:tab w:val="left" w:pos="851"/>
        </w:tabs>
        <w:ind w:left="851"/>
        <w:rPr>
          <w:sz w:val="24"/>
          <w:szCs w:val="24"/>
        </w:rPr>
      </w:pPr>
    </w:p>
    <w:p w:rsidR="003F529D" w:rsidRPr="003F529D" w:rsidRDefault="003F529D" w:rsidP="003F529D">
      <w:pPr>
        <w:pStyle w:val="Default"/>
        <w:ind w:firstLine="851"/>
        <w:rPr>
          <w:u w:val="single"/>
        </w:rPr>
      </w:pPr>
      <w:r w:rsidRPr="003F529D">
        <w:rPr>
          <w:u w:val="single"/>
        </w:rPr>
        <w:t xml:space="preserve">Andre overvejelser </w:t>
      </w:r>
    </w:p>
    <w:p w:rsidR="003F529D" w:rsidRPr="003F529D" w:rsidRDefault="003F529D" w:rsidP="003F529D">
      <w:pPr>
        <w:pStyle w:val="Default"/>
        <w:ind w:left="851"/>
      </w:pPr>
      <w:r w:rsidRPr="003F529D">
        <w:t xml:space="preserve">Månedlig monitorering af serum-ferritin anbefales for at kunne vurdere patientens respons på behandlingen og for at undgå overkelering (se pkt. 4.2). Der anbefales dosisreduktion eller nøje monitorering af nyre- og leverfunktionen, og serum-ferritinniveauer, i perioder, hvor der behandles med høje doser, og når serum-ferritinniveauer ligger tæt på målintervallet. Det skal overvejes at afbryde behandlingen, hvis serum-ferritin falder konsekvent under 500 μg/l (ved transfusionsbetinget jernophobning) eller under 300 μg/l (ved ikke-transfusionsafhængige talassæmi-syndromer). </w:t>
      </w:r>
    </w:p>
    <w:p w:rsidR="003F529D" w:rsidRPr="003F529D" w:rsidRDefault="003F529D" w:rsidP="003F529D">
      <w:pPr>
        <w:pStyle w:val="Default"/>
        <w:ind w:left="851"/>
      </w:pPr>
    </w:p>
    <w:p w:rsidR="003F529D" w:rsidRPr="003F529D" w:rsidRDefault="003F529D" w:rsidP="003F529D">
      <w:pPr>
        <w:pStyle w:val="Default"/>
        <w:ind w:left="851"/>
      </w:pPr>
      <w:r w:rsidRPr="003F529D">
        <w:t xml:space="preserve">Resultaterne af tests for serum-kreatinin, serum-ferritin og serum-transaminaser bør registreres og vurderes regelmæssigt for tendenser. </w:t>
      </w:r>
    </w:p>
    <w:p w:rsidR="003F529D" w:rsidRPr="003F529D" w:rsidRDefault="003F529D" w:rsidP="003F529D">
      <w:pPr>
        <w:pStyle w:val="Default"/>
        <w:ind w:left="851"/>
      </w:pPr>
    </w:p>
    <w:p w:rsidR="003F529D" w:rsidRPr="003F529D" w:rsidRDefault="003F529D" w:rsidP="003F529D">
      <w:pPr>
        <w:pStyle w:val="Default"/>
        <w:ind w:left="851"/>
      </w:pPr>
      <w:r w:rsidRPr="003F529D">
        <w:t xml:space="preserve">I to kliniske studier blev vækst og kønsudvikling hos pædiatriske patienter, der blev behandlet med deferasirox i op til 5 år, ikke påvirket (se pkt. 4.8). Som en generel forholdsregel for varetagelse af pædiatriske patienter med transfusionsbetinget jernophobning bør kropsvægt, højde og kønsudvikling imidlertid monitoreres inden behandlingsstart og med regelmæssige intervaller (hver 12. måned). </w:t>
      </w:r>
    </w:p>
    <w:p w:rsidR="003F529D" w:rsidRPr="003F529D" w:rsidRDefault="003F529D" w:rsidP="003F529D">
      <w:pPr>
        <w:tabs>
          <w:tab w:val="left" w:pos="851"/>
        </w:tabs>
        <w:ind w:left="851"/>
        <w:rPr>
          <w:sz w:val="24"/>
          <w:szCs w:val="24"/>
        </w:rPr>
      </w:pPr>
      <w:r w:rsidRPr="003F529D">
        <w:rPr>
          <w:sz w:val="24"/>
          <w:szCs w:val="24"/>
        </w:rPr>
        <w:t xml:space="preserve">Kardiel dysfunktion er en kendt komplikation ved alvorlig jernoverbelastning. Hjertefunktionen bør monitoreres hos patienter, der har alvorlig jernoverbelastning, og som er under længerevarende behandling med </w:t>
      </w:r>
      <w:r w:rsidR="00C42FD3">
        <w:rPr>
          <w:sz w:val="24"/>
          <w:szCs w:val="24"/>
        </w:rPr>
        <w:t>Deferasirox "Orifarm"</w:t>
      </w:r>
      <w:r w:rsidRPr="003F529D">
        <w:rPr>
          <w:sz w:val="24"/>
          <w:szCs w:val="24"/>
        </w:rPr>
        <w:t>.</w:t>
      </w:r>
    </w:p>
    <w:p w:rsidR="003F529D" w:rsidRPr="003F529D" w:rsidRDefault="003F529D" w:rsidP="003F529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D22A6" w:rsidRPr="00CD22A6" w:rsidRDefault="00CD22A6" w:rsidP="00CD22A6">
      <w:pPr>
        <w:tabs>
          <w:tab w:val="left" w:pos="851"/>
        </w:tabs>
        <w:ind w:left="851"/>
        <w:rPr>
          <w:sz w:val="24"/>
          <w:szCs w:val="24"/>
        </w:rPr>
      </w:pPr>
      <w:r w:rsidRPr="00CD22A6">
        <w:rPr>
          <w:sz w:val="24"/>
          <w:szCs w:val="24"/>
        </w:rPr>
        <w:t>Sikkerheden af deferasirox i kombination med andre jernkelatorerer er ikke blevet klarlagt. Derfor må det ikke kombineres med andre jernkelatorer (se pkt. 4.3).</w:t>
      </w:r>
    </w:p>
    <w:p w:rsidR="00CD22A6" w:rsidRPr="00CD22A6" w:rsidRDefault="00CD22A6" w:rsidP="00CD22A6">
      <w:pPr>
        <w:tabs>
          <w:tab w:val="left" w:pos="851"/>
        </w:tabs>
        <w:ind w:left="851"/>
        <w:rPr>
          <w:sz w:val="24"/>
          <w:szCs w:val="24"/>
        </w:rPr>
      </w:pPr>
    </w:p>
    <w:p w:rsidR="00CD22A6" w:rsidRPr="00CD22A6" w:rsidRDefault="00CD22A6" w:rsidP="00CD22A6">
      <w:pPr>
        <w:tabs>
          <w:tab w:val="left" w:pos="851"/>
        </w:tabs>
        <w:ind w:left="851"/>
        <w:rPr>
          <w:sz w:val="24"/>
          <w:szCs w:val="24"/>
          <w:u w:val="single"/>
        </w:rPr>
      </w:pPr>
      <w:r w:rsidRPr="00CD22A6">
        <w:rPr>
          <w:sz w:val="24"/>
          <w:szCs w:val="24"/>
          <w:u w:val="single"/>
        </w:rPr>
        <w:t xml:space="preserve">Interaktion med mad </w:t>
      </w:r>
    </w:p>
    <w:p w:rsidR="00CD22A6" w:rsidRPr="00CD22A6" w:rsidRDefault="00CD22A6" w:rsidP="00CD22A6">
      <w:pPr>
        <w:tabs>
          <w:tab w:val="left" w:pos="851"/>
        </w:tabs>
        <w:ind w:left="851"/>
        <w:rPr>
          <w:sz w:val="24"/>
          <w:szCs w:val="24"/>
        </w:rPr>
      </w:pPr>
      <w:r w:rsidRPr="00CD22A6">
        <w:rPr>
          <w:sz w:val="24"/>
          <w:szCs w:val="24"/>
        </w:rPr>
        <w:t>C</w:t>
      </w:r>
      <w:r w:rsidRPr="00296BF5">
        <w:rPr>
          <w:sz w:val="24"/>
          <w:szCs w:val="24"/>
          <w:vertAlign w:val="subscript"/>
        </w:rPr>
        <w:t>max</w:t>
      </w:r>
      <w:r w:rsidRPr="00CD22A6">
        <w:rPr>
          <w:sz w:val="24"/>
          <w:szCs w:val="24"/>
        </w:rPr>
        <w:t xml:space="preserve"> for deferasirox filmovertrukne tabletter blev øget (med 29</w:t>
      </w:r>
      <w:r w:rsidR="007815B8">
        <w:rPr>
          <w:sz w:val="24"/>
          <w:szCs w:val="24"/>
        </w:rPr>
        <w:t xml:space="preserve"> %</w:t>
      </w:r>
      <w:r w:rsidRPr="00CD22A6">
        <w:rPr>
          <w:sz w:val="24"/>
          <w:szCs w:val="24"/>
        </w:rPr>
        <w:t xml:space="preserve">), når de blev indtaget samtidigt med mad. </w:t>
      </w:r>
      <w:r w:rsidR="00C42FD3">
        <w:rPr>
          <w:sz w:val="24"/>
          <w:szCs w:val="24"/>
        </w:rPr>
        <w:t>Deferasirox "Orifarm"</w:t>
      </w:r>
      <w:r w:rsidRPr="00CD22A6">
        <w:rPr>
          <w:sz w:val="24"/>
          <w:szCs w:val="24"/>
        </w:rPr>
        <w:t xml:space="preserve"> kan tages på tom mave eller med et let måltid og helst på samme tidspunkt hver dag (se punkterne 4.2 og 5.2).</w:t>
      </w:r>
    </w:p>
    <w:p w:rsidR="00CD22A6" w:rsidRPr="00CD22A6" w:rsidRDefault="00CD22A6" w:rsidP="00CD22A6">
      <w:pPr>
        <w:tabs>
          <w:tab w:val="left" w:pos="851"/>
        </w:tabs>
        <w:ind w:left="851"/>
        <w:rPr>
          <w:sz w:val="24"/>
          <w:szCs w:val="24"/>
        </w:rPr>
      </w:pPr>
    </w:p>
    <w:p w:rsidR="00CD22A6" w:rsidRPr="00CD22A6" w:rsidRDefault="00CD22A6" w:rsidP="00CD22A6">
      <w:pPr>
        <w:tabs>
          <w:tab w:val="left" w:pos="851"/>
        </w:tabs>
        <w:ind w:left="851"/>
        <w:rPr>
          <w:sz w:val="24"/>
          <w:szCs w:val="24"/>
          <w:u w:val="single"/>
        </w:rPr>
      </w:pPr>
      <w:r w:rsidRPr="00CD22A6">
        <w:rPr>
          <w:sz w:val="24"/>
          <w:szCs w:val="24"/>
          <w:u w:val="single"/>
        </w:rPr>
        <w:t xml:space="preserve">Lægemidler, der kan øge den systemiske eksponering af deferasirox </w:t>
      </w:r>
    </w:p>
    <w:p w:rsidR="00CD22A6" w:rsidRPr="00CD22A6" w:rsidRDefault="00CD22A6" w:rsidP="00CD22A6">
      <w:pPr>
        <w:tabs>
          <w:tab w:val="left" w:pos="851"/>
        </w:tabs>
        <w:ind w:left="851"/>
        <w:rPr>
          <w:sz w:val="24"/>
          <w:szCs w:val="24"/>
        </w:rPr>
      </w:pPr>
      <w:r w:rsidRPr="00CD22A6">
        <w:rPr>
          <w:sz w:val="24"/>
          <w:szCs w:val="24"/>
        </w:rPr>
        <w:t>Deferasiroxmetabolisme afhænger af UGT-enzymer. Samtidig administration af deferasirox (enkeltdosis på 30 mg/kg, dispergibel tablet-formulering) og den potente UGT-inducer, rifampicin, (gentagen dosis på 600 mg/dag) resulterede i en nedsat eksponering for deferasirox med 44</w:t>
      </w:r>
      <w:r w:rsidR="007815B8">
        <w:rPr>
          <w:sz w:val="24"/>
          <w:szCs w:val="24"/>
        </w:rPr>
        <w:t xml:space="preserve"> %</w:t>
      </w:r>
      <w:r w:rsidRPr="00CD22A6">
        <w:rPr>
          <w:sz w:val="24"/>
          <w:szCs w:val="24"/>
        </w:rPr>
        <w:t xml:space="preserve"> (90</w:t>
      </w:r>
      <w:r w:rsidR="007815B8">
        <w:rPr>
          <w:sz w:val="24"/>
          <w:szCs w:val="24"/>
        </w:rPr>
        <w:t xml:space="preserve"> %</w:t>
      </w:r>
      <w:r w:rsidRPr="00CD22A6">
        <w:rPr>
          <w:sz w:val="24"/>
          <w:szCs w:val="24"/>
        </w:rPr>
        <w:t xml:space="preserve"> CI: 37</w:t>
      </w:r>
      <w:r w:rsidR="007815B8">
        <w:rPr>
          <w:sz w:val="24"/>
          <w:szCs w:val="24"/>
        </w:rPr>
        <w:t xml:space="preserve"> %</w:t>
      </w:r>
      <w:r w:rsidRPr="00CD22A6">
        <w:rPr>
          <w:sz w:val="24"/>
          <w:szCs w:val="24"/>
        </w:rPr>
        <w:t xml:space="preserve"> - 51</w:t>
      </w:r>
      <w:r w:rsidR="007815B8">
        <w:rPr>
          <w:sz w:val="24"/>
          <w:szCs w:val="24"/>
        </w:rPr>
        <w:t xml:space="preserve"> %</w:t>
      </w:r>
      <w:r w:rsidRPr="00CD22A6">
        <w:rPr>
          <w:sz w:val="24"/>
          <w:szCs w:val="24"/>
        </w:rPr>
        <w:t xml:space="preserve">) i et studie hos raske frivillige. Derfor kan samtidig anvendelse af </w:t>
      </w:r>
      <w:r w:rsidR="00C42FD3">
        <w:rPr>
          <w:sz w:val="24"/>
          <w:szCs w:val="24"/>
        </w:rPr>
        <w:t>Deferasirox "Orifarm"</w:t>
      </w:r>
      <w:r w:rsidRPr="00CD22A6">
        <w:rPr>
          <w:sz w:val="24"/>
          <w:szCs w:val="24"/>
        </w:rPr>
        <w:t xml:space="preserve"> med potente UGT-inducere (fx rifampicin, carbamazepin, phenytoin, phenobarbital, ritonavir) resultere i nedsat effekt af deferasirox. Patientens serum-ferritin bør monitoreres under og efter kombinationen, og dosis af </w:t>
      </w:r>
      <w:r w:rsidR="00C42FD3">
        <w:rPr>
          <w:sz w:val="24"/>
          <w:szCs w:val="24"/>
        </w:rPr>
        <w:t>Deferasirox "Orifarm"</w:t>
      </w:r>
      <w:r w:rsidRPr="00CD22A6">
        <w:rPr>
          <w:sz w:val="24"/>
          <w:szCs w:val="24"/>
        </w:rPr>
        <w:t xml:space="preserve"> skal om nødvendigt justeres. </w:t>
      </w:r>
    </w:p>
    <w:p w:rsidR="00CD22A6" w:rsidRPr="00CD22A6" w:rsidRDefault="00CD22A6" w:rsidP="00CD22A6">
      <w:pPr>
        <w:tabs>
          <w:tab w:val="left" w:pos="851"/>
        </w:tabs>
        <w:ind w:left="851"/>
        <w:rPr>
          <w:sz w:val="24"/>
          <w:szCs w:val="24"/>
        </w:rPr>
      </w:pPr>
    </w:p>
    <w:p w:rsidR="00CD22A6" w:rsidRPr="00CD22A6" w:rsidRDefault="00CD22A6" w:rsidP="00CD22A6">
      <w:pPr>
        <w:tabs>
          <w:tab w:val="left" w:pos="851"/>
        </w:tabs>
        <w:ind w:left="851"/>
        <w:rPr>
          <w:sz w:val="24"/>
          <w:szCs w:val="24"/>
        </w:rPr>
      </w:pPr>
      <w:r w:rsidRPr="00CD22A6">
        <w:rPr>
          <w:sz w:val="24"/>
          <w:szCs w:val="24"/>
        </w:rPr>
        <w:t>Cholestyramin reducerede signifikant deferasirox-eksponeringen i et mekanistisk studie for at bestemme graden af enterohepatisk recirkulation (se pkt. 5.2).</w:t>
      </w:r>
    </w:p>
    <w:p w:rsidR="00CD22A6" w:rsidRPr="00CD22A6" w:rsidRDefault="00CD22A6" w:rsidP="00CD22A6">
      <w:pPr>
        <w:tabs>
          <w:tab w:val="left" w:pos="851"/>
        </w:tabs>
        <w:ind w:left="851"/>
        <w:rPr>
          <w:sz w:val="24"/>
          <w:szCs w:val="24"/>
        </w:rPr>
      </w:pPr>
    </w:p>
    <w:p w:rsidR="00CD22A6" w:rsidRPr="00CD22A6" w:rsidRDefault="00CD22A6" w:rsidP="00CD22A6">
      <w:pPr>
        <w:tabs>
          <w:tab w:val="left" w:pos="851"/>
        </w:tabs>
        <w:ind w:left="851"/>
        <w:rPr>
          <w:sz w:val="24"/>
          <w:szCs w:val="24"/>
          <w:u w:val="single"/>
        </w:rPr>
      </w:pPr>
      <w:r w:rsidRPr="00CD22A6">
        <w:rPr>
          <w:sz w:val="24"/>
          <w:szCs w:val="24"/>
          <w:u w:val="single"/>
        </w:rPr>
        <w:t xml:space="preserve">Interaktion med midazolam og andre lægemidler metaboliseret af CYP3A4 </w:t>
      </w:r>
    </w:p>
    <w:p w:rsidR="00CD22A6" w:rsidRPr="00CD22A6" w:rsidRDefault="00CD22A6" w:rsidP="00CD22A6">
      <w:pPr>
        <w:tabs>
          <w:tab w:val="left" w:pos="851"/>
        </w:tabs>
        <w:ind w:left="851"/>
        <w:rPr>
          <w:sz w:val="24"/>
          <w:szCs w:val="24"/>
        </w:rPr>
      </w:pPr>
      <w:r w:rsidRPr="00CD22A6">
        <w:rPr>
          <w:sz w:val="24"/>
          <w:szCs w:val="24"/>
        </w:rPr>
        <w:t>I et studie med raske frivillige, resulterede samtidig behandling med deferasirox dispergible tabletter og midazolam (et CYP3A4 test-substrat) i et fald i eksponering for midazolam på 17</w:t>
      </w:r>
      <w:r w:rsidR="007815B8">
        <w:rPr>
          <w:sz w:val="24"/>
          <w:szCs w:val="24"/>
        </w:rPr>
        <w:t xml:space="preserve"> %</w:t>
      </w:r>
      <w:r w:rsidRPr="00CD22A6">
        <w:rPr>
          <w:sz w:val="24"/>
          <w:szCs w:val="24"/>
        </w:rPr>
        <w:t xml:space="preserve"> (90</w:t>
      </w:r>
      <w:r w:rsidR="007815B8">
        <w:rPr>
          <w:sz w:val="24"/>
          <w:szCs w:val="24"/>
        </w:rPr>
        <w:t xml:space="preserve"> %</w:t>
      </w:r>
      <w:r w:rsidRPr="00CD22A6">
        <w:rPr>
          <w:sz w:val="24"/>
          <w:szCs w:val="24"/>
        </w:rPr>
        <w:t xml:space="preserve"> CI: 8</w:t>
      </w:r>
      <w:r w:rsidR="007815B8">
        <w:rPr>
          <w:sz w:val="24"/>
          <w:szCs w:val="24"/>
        </w:rPr>
        <w:t xml:space="preserve"> %</w:t>
      </w:r>
      <w:r w:rsidRPr="00CD22A6">
        <w:rPr>
          <w:sz w:val="24"/>
          <w:szCs w:val="24"/>
        </w:rPr>
        <w:t xml:space="preserve"> - 26</w:t>
      </w:r>
      <w:r w:rsidR="007815B8">
        <w:rPr>
          <w:sz w:val="24"/>
          <w:szCs w:val="24"/>
        </w:rPr>
        <w:t xml:space="preserve"> %</w:t>
      </w:r>
      <w:r w:rsidRPr="00CD22A6">
        <w:rPr>
          <w:sz w:val="24"/>
          <w:szCs w:val="24"/>
        </w:rPr>
        <w:t xml:space="preserve">). I den kliniske virkelighed kan denne effekt være mere udtalt. Derfor bør forsigtighed udvises, grundet en mulig nedsat effekt, når </w:t>
      </w:r>
      <w:r w:rsidR="00C42FD3">
        <w:rPr>
          <w:sz w:val="24"/>
          <w:szCs w:val="24"/>
        </w:rPr>
        <w:t>Deferasirox "Orifarm"</w:t>
      </w:r>
      <w:r w:rsidRPr="00CD22A6">
        <w:rPr>
          <w:sz w:val="24"/>
          <w:szCs w:val="24"/>
        </w:rPr>
        <w:t xml:space="preserve"> kombineres med stoffer, der metaboliseres af CYP3A4 (fx ciclosporin, simvastatin, hormonelle antikoceptiva, bepridil og ergotamin).</w:t>
      </w:r>
    </w:p>
    <w:p w:rsidR="00CD22A6" w:rsidRPr="00CD22A6" w:rsidRDefault="00CD22A6" w:rsidP="00CD22A6">
      <w:pPr>
        <w:tabs>
          <w:tab w:val="left" w:pos="851"/>
        </w:tabs>
        <w:ind w:left="851"/>
        <w:rPr>
          <w:sz w:val="24"/>
          <w:szCs w:val="24"/>
        </w:rPr>
      </w:pPr>
    </w:p>
    <w:p w:rsidR="00CD22A6" w:rsidRPr="00CD22A6" w:rsidRDefault="00CD22A6" w:rsidP="00CD22A6">
      <w:pPr>
        <w:tabs>
          <w:tab w:val="left" w:pos="851"/>
        </w:tabs>
        <w:ind w:left="851"/>
        <w:rPr>
          <w:sz w:val="24"/>
          <w:szCs w:val="24"/>
          <w:u w:val="single"/>
        </w:rPr>
      </w:pPr>
      <w:r w:rsidRPr="00CD22A6">
        <w:rPr>
          <w:sz w:val="24"/>
          <w:szCs w:val="24"/>
          <w:u w:val="single"/>
        </w:rPr>
        <w:t xml:space="preserve">Interaktion med repaglinid og andre lægemidler metaboliseret af CYP2C8 </w:t>
      </w:r>
    </w:p>
    <w:p w:rsidR="00CD22A6" w:rsidRPr="00CD22A6" w:rsidRDefault="00CD22A6" w:rsidP="00CD22A6">
      <w:pPr>
        <w:tabs>
          <w:tab w:val="left" w:pos="851"/>
        </w:tabs>
        <w:ind w:left="851"/>
        <w:rPr>
          <w:sz w:val="24"/>
          <w:szCs w:val="24"/>
        </w:rPr>
      </w:pPr>
      <w:r w:rsidRPr="00CD22A6">
        <w:rPr>
          <w:sz w:val="24"/>
          <w:szCs w:val="24"/>
        </w:rPr>
        <w:t>I et studie med raske frivillige blev det påvist, at administration af deferasirox, som moderat CYP2C8-hæmmer (30 mg/kg daglig, dispergibel tablet-formulering) samtidig med repaglinid, et CYP2C8-substrat givet som enkeltdosis på 0,5 mg, øgede AUC og C</w:t>
      </w:r>
      <w:r w:rsidRPr="00296BF5">
        <w:rPr>
          <w:sz w:val="24"/>
          <w:szCs w:val="24"/>
          <w:vertAlign w:val="subscript"/>
        </w:rPr>
        <w:t>max</w:t>
      </w:r>
      <w:r w:rsidRPr="00CD22A6">
        <w:rPr>
          <w:sz w:val="24"/>
          <w:szCs w:val="24"/>
        </w:rPr>
        <w:t xml:space="preserve"> for repaglinid med henholdsvis ca. 2,3 gange (90</w:t>
      </w:r>
      <w:r w:rsidR="007815B8">
        <w:rPr>
          <w:sz w:val="24"/>
          <w:szCs w:val="24"/>
        </w:rPr>
        <w:t xml:space="preserve"> %</w:t>
      </w:r>
      <w:r w:rsidRPr="00CD22A6">
        <w:rPr>
          <w:sz w:val="24"/>
          <w:szCs w:val="24"/>
        </w:rPr>
        <w:t xml:space="preserve"> CI [2,03-2,63]) og 1,6 gange (90</w:t>
      </w:r>
      <w:r w:rsidR="007815B8">
        <w:rPr>
          <w:sz w:val="24"/>
          <w:szCs w:val="24"/>
        </w:rPr>
        <w:t xml:space="preserve"> %</w:t>
      </w:r>
      <w:r w:rsidRPr="00CD22A6">
        <w:rPr>
          <w:sz w:val="24"/>
          <w:szCs w:val="24"/>
        </w:rPr>
        <w:t xml:space="preserve"> CI [1,42-1.84]). Da interaktionen ikke er blevet påvist med doser højere end 0,5 mg for repaglinid, skal samtidig brug af </w:t>
      </w:r>
      <w:r w:rsidR="00C42FD3">
        <w:rPr>
          <w:sz w:val="24"/>
          <w:szCs w:val="24"/>
        </w:rPr>
        <w:t>Deferasirox "Orifarm"</w:t>
      </w:r>
      <w:r w:rsidRPr="00CD22A6">
        <w:rPr>
          <w:sz w:val="24"/>
          <w:szCs w:val="24"/>
        </w:rPr>
        <w:t xml:space="preserve"> og repaglinid undgås. Hvis kombinationen er nødvendig, skal der udføres nøje klinisk overvågning samt monitorering af blodglukose (se pkt. 4.4). Der kan ikke udelukkes interaktion mellem deferasirox og andre CYP2C8-substrater som paclitaxel.</w:t>
      </w:r>
    </w:p>
    <w:p w:rsidR="00CD22A6" w:rsidRPr="00CD22A6" w:rsidRDefault="00CD22A6" w:rsidP="00CD22A6">
      <w:pPr>
        <w:tabs>
          <w:tab w:val="left" w:pos="851"/>
        </w:tabs>
        <w:ind w:left="851"/>
        <w:rPr>
          <w:sz w:val="24"/>
          <w:szCs w:val="24"/>
        </w:rPr>
      </w:pPr>
    </w:p>
    <w:p w:rsidR="00CD22A6" w:rsidRPr="00CD22A6" w:rsidRDefault="00CD22A6" w:rsidP="00CD22A6">
      <w:pPr>
        <w:tabs>
          <w:tab w:val="left" w:pos="851"/>
        </w:tabs>
        <w:ind w:left="851"/>
        <w:rPr>
          <w:sz w:val="24"/>
          <w:szCs w:val="24"/>
          <w:u w:val="single"/>
        </w:rPr>
      </w:pPr>
      <w:r w:rsidRPr="00CD22A6">
        <w:rPr>
          <w:sz w:val="24"/>
          <w:szCs w:val="24"/>
          <w:u w:val="single"/>
        </w:rPr>
        <w:t xml:space="preserve">Interaktion med theophyllin og andre lægemidler metaboliseret af CYP1A2 </w:t>
      </w:r>
    </w:p>
    <w:p w:rsidR="00CD22A6" w:rsidRPr="00CD22A6" w:rsidRDefault="00CD22A6" w:rsidP="00CD22A6">
      <w:pPr>
        <w:tabs>
          <w:tab w:val="left" w:pos="851"/>
        </w:tabs>
        <w:ind w:left="851"/>
        <w:rPr>
          <w:sz w:val="24"/>
          <w:szCs w:val="24"/>
        </w:rPr>
      </w:pPr>
      <w:r w:rsidRPr="00CD22A6">
        <w:rPr>
          <w:sz w:val="24"/>
          <w:szCs w:val="24"/>
        </w:rPr>
        <w:t>I et studie med raske frivillige blev det påvist, at samtidig administration af deferasirox som CYP1A2-hæmmer (gentagen dosis på 30 mg/kg daglig, dispergibel tablet-formulering) og CYP1A2-substratet theophyllin (enkeltdosis på 120 mg) øgede theophyllin-AUC med 84</w:t>
      </w:r>
      <w:r w:rsidR="007815B8">
        <w:rPr>
          <w:sz w:val="24"/>
          <w:szCs w:val="24"/>
        </w:rPr>
        <w:t xml:space="preserve"> %</w:t>
      </w:r>
      <w:r w:rsidRPr="00CD22A6">
        <w:rPr>
          <w:sz w:val="24"/>
          <w:szCs w:val="24"/>
        </w:rPr>
        <w:t xml:space="preserve"> (90</w:t>
      </w:r>
      <w:r w:rsidR="007815B8">
        <w:rPr>
          <w:sz w:val="24"/>
          <w:szCs w:val="24"/>
        </w:rPr>
        <w:t xml:space="preserve"> %</w:t>
      </w:r>
      <w:r w:rsidRPr="00CD22A6">
        <w:rPr>
          <w:sz w:val="24"/>
          <w:szCs w:val="24"/>
        </w:rPr>
        <w:t xml:space="preserve"> CI: 73</w:t>
      </w:r>
      <w:r w:rsidR="007815B8">
        <w:rPr>
          <w:sz w:val="24"/>
          <w:szCs w:val="24"/>
        </w:rPr>
        <w:t xml:space="preserve"> %</w:t>
      </w:r>
      <w:r w:rsidRPr="00CD22A6">
        <w:rPr>
          <w:sz w:val="24"/>
          <w:szCs w:val="24"/>
        </w:rPr>
        <w:t xml:space="preserve"> til 95</w:t>
      </w:r>
      <w:r w:rsidR="007815B8">
        <w:rPr>
          <w:sz w:val="24"/>
          <w:szCs w:val="24"/>
        </w:rPr>
        <w:t xml:space="preserve"> %</w:t>
      </w:r>
      <w:r w:rsidRPr="00CD22A6">
        <w:rPr>
          <w:sz w:val="24"/>
          <w:szCs w:val="24"/>
        </w:rPr>
        <w:t>). Efter enkeltdosis-behandling var C</w:t>
      </w:r>
      <w:r w:rsidRPr="00296BF5">
        <w:rPr>
          <w:sz w:val="24"/>
          <w:szCs w:val="24"/>
          <w:vertAlign w:val="subscript"/>
        </w:rPr>
        <w:t>max</w:t>
      </w:r>
      <w:r w:rsidRPr="00CD22A6">
        <w:rPr>
          <w:sz w:val="24"/>
          <w:szCs w:val="24"/>
        </w:rPr>
        <w:t xml:space="preserve"> ikke påvirket, men en øget theophyllin-C</w:t>
      </w:r>
      <w:r w:rsidRPr="00296BF5">
        <w:rPr>
          <w:sz w:val="24"/>
          <w:szCs w:val="24"/>
          <w:vertAlign w:val="subscript"/>
        </w:rPr>
        <w:t>max</w:t>
      </w:r>
      <w:r w:rsidRPr="00CD22A6">
        <w:rPr>
          <w:sz w:val="24"/>
          <w:szCs w:val="24"/>
        </w:rPr>
        <w:t xml:space="preserve"> kan forventes ved kronisk dosering. Derfor anbefales det ikke at bruge </w:t>
      </w:r>
      <w:r w:rsidR="00C42FD3">
        <w:rPr>
          <w:sz w:val="24"/>
          <w:szCs w:val="24"/>
        </w:rPr>
        <w:t>Deferasirox "Orifarm"</w:t>
      </w:r>
      <w:r w:rsidRPr="00CD22A6">
        <w:rPr>
          <w:sz w:val="24"/>
          <w:szCs w:val="24"/>
        </w:rPr>
        <w:t xml:space="preserve"> samtidigt med theofyllin. Hvis </w:t>
      </w:r>
      <w:r w:rsidR="00C42FD3">
        <w:rPr>
          <w:sz w:val="24"/>
          <w:szCs w:val="24"/>
        </w:rPr>
        <w:t>Deferasirox "Orifarm"</w:t>
      </w:r>
      <w:r w:rsidRPr="00CD22A6">
        <w:rPr>
          <w:sz w:val="24"/>
          <w:szCs w:val="24"/>
        </w:rPr>
        <w:t xml:space="preserve"> og theophyllin anvendes samtidig, bør theophyllin-koncentrationen monitoreres, og reduktion af theophyllindosis bør overvejes. Interaktion mellem deferasirox og andre CYP1A2-substrater kan ikke udelukkes. For substanser, som primært metaboliseres af CYP1A2, og som har et snævert terapeutisk indeks (fx clozapin, tizanidin), gælder de samme anbefalinger som for theofyllin.</w:t>
      </w:r>
    </w:p>
    <w:p w:rsidR="00CD22A6" w:rsidRPr="00CD22A6" w:rsidRDefault="00CD22A6" w:rsidP="00CD22A6">
      <w:pPr>
        <w:tabs>
          <w:tab w:val="left" w:pos="851"/>
        </w:tabs>
        <w:ind w:left="851"/>
        <w:rPr>
          <w:sz w:val="24"/>
          <w:szCs w:val="24"/>
        </w:rPr>
      </w:pPr>
    </w:p>
    <w:p w:rsidR="00CD22A6" w:rsidRPr="00CD22A6" w:rsidRDefault="00CD22A6" w:rsidP="00CD22A6">
      <w:pPr>
        <w:tabs>
          <w:tab w:val="left" w:pos="851"/>
        </w:tabs>
        <w:ind w:left="851"/>
        <w:rPr>
          <w:sz w:val="24"/>
          <w:szCs w:val="24"/>
          <w:u w:val="single"/>
        </w:rPr>
      </w:pPr>
      <w:r w:rsidRPr="00CD22A6">
        <w:rPr>
          <w:sz w:val="24"/>
          <w:szCs w:val="24"/>
          <w:u w:val="single"/>
        </w:rPr>
        <w:t xml:space="preserve">Anden information </w:t>
      </w:r>
    </w:p>
    <w:p w:rsidR="00CD22A6" w:rsidRPr="00CD22A6" w:rsidRDefault="00CD22A6" w:rsidP="00CD22A6">
      <w:pPr>
        <w:tabs>
          <w:tab w:val="left" w:pos="851"/>
        </w:tabs>
        <w:ind w:left="851"/>
        <w:rPr>
          <w:sz w:val="24"/>
          <w:szCs w:val="24"/>
        </w:rPr>
      </w:pPr>
      <w:r w:rsidRPr="00CD22A6">
        <w:rPr>
          <w:sz w:val="24"/>
          <w:szCs w:val="24"/>
        </w:rPr>
        <w:t xml:space="preserve">Samtidig administration af deferasirox og aluminiumholdige antacidapræparater er ikke formelt undersøgt. Det kan ikke anbefales at tage </w:t>
      </w:r>
      <w:r w:rsidR="00C42FD3">
        <w:rPr>
          <w:sz w:val="24"/>
          <w:szCs w:val="24"/>
        </w:rPr>
        <w:t>Deferasirox "Orifarm"</w:t>
      </w:r>
      <w:r w:rsidRPr="00CD22A6">
        <w:rPr>
          <w:sz w:val="24"/>
          <w:szCs w:val="24"/>
        </w:rPr>
        <w:t xml:space="preserve"> tabletter sammen med aluminiumholdige antacidapræparater, selvom deferasirox har en lavere affinitet for aluminium end for jern. </w:t>
      </w:r>
    </w:p>
    <w:p w:rsidR="00CD22A6" w:rsidRPr="00CD22A6" w:rsidRDefault="00CD22A6" w:rsidP="00CD22A6">
      <w:pPr>
        <w:tabs>
          <w:tab w:val="left" w:pos="851"/>
        </w:tabs>
        <w:ind w:left="851"/>
        <w:rPr>
          <w:sz w:val="24"/>
          <w:szCs w:val="24"/>
        </w:rPr>
      </w:pPr>
    </w:p>
    <w:p w:rsidR="00CD22A6" w:rsidRPr="00CD22A6" w:rsidRDefault="00CD22A6" w:rsidP="00CD22A6">
      <w:pPr>
        <w:tabs>
          <w:tab w:val="left" w:pos="851"/>
        </w:tabs>
        <w:ind w:left="851"/>
        <w:rPr>
          <w:sz w:val="24"/>
          <w:szCs w:val="24"/>
        </w:rPr>
      </w:pPr>
      <w:r w:rsidRPr="00CD22A6">
        <w:rPr>
          <w:sz w:val="24"/>
          <w:szCs w:val="24"/>
        </w:rPr>
        <w:t xml:space="preserve">Samtidig indgift af deferasirox med substanser, der har kendt ulcerogent potentiale, såsom NSAID’er (inklusive acetylsalicylsyre i høj dosis), kortikosteroider eller orale bisphosphonater kan øge risokoen for gastrointestinal toksicitet (se pkt. 4.4). Samtidig administration af deferasirox med antikoagulantia kan muligvis også øge risikoen for gastrointestinal blødning. Der kræves tæt monitorering, når </w:t>
      </w:r>
      <w:r w:rsidR="00C42FD3">
        <w:rPr>
          <w:sz w:val="24"/>
          <w:szCs w:val="24"/>
        </w:rPr>
        <w:t>Deferasirox "Orifarm"</w:t>
      </w:r>
      <w:r w:rsidRPr="00CD22A6">
        <w:rPr>
          <w:sz w:val="24"/>
          <w:szCs w:val="24"/>
        </w:rPr>
        <w:t xml:space="preserve"> kombineres med disse substanser. </w:t>
      </w:r>
    </w:p>
    <w:p w:rsidR="00CD22A6" w:rsidRPr="00CD22A6" w:rsidRDefault="00CD22A6" w:rsidP="00CD22A6">
      <w:pPr>
        <w:tabs>
          <w:tab w:val="left" w:pos="851"/>
        </w:tabs>
        <w:ind w:left="851"/>
        <w:rPr>
          <w:sz w:val="24"/>
          <w:szCs w:val="24"/>
        </w:rPr>
      </w:pPr>
    </w:p>
    <w:p w:rsidR="00CD22A6" w:rsidRPr="00CD22A6" w:rsidRDefault="00CD22A6" w:rsidP="00CD22A6">
      <w:pPr>
        <w:tabs>
          <w:tab w:val="left" w:pos="851"/>
        </w:tabs>
        <w:ind w:left="851"/>
        <w:rPr>
          <w:sz w:val="24"/>
          <w:szCs w:val="24"/>
        </w:rPr>
      </w:pPr>
      <w:r w:rsidRPr="00CD22A6">
        <w:rPr>
          <w:sz w:val="24"/>
          <w:szCs w:val="24"/>
        </w:rPr>
        <w:t>Samtidig administration af defirasirox og busulfan resulterede i øget eksponering (AUC) for busulfan, men mekanismen bag denne interaktion er ikke kendt. Hvis muligt skal farmakokinetikken (AUC, clearance) af en busulfan testdosis evalueres for at muliggøre dosisjustering.</w:t>
      </w:r>
    </w:p>
    <w:p w:rsidR="00CD22A6" w:rsidRPr="00CD22A6" w:rsidRDefault="00CD22A6" w:rsidP="00CD22A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9C4DF9">
        <w:rPr>
          <w:b/>
          <w:sz w:val="24"/>
          <w:szCs w:val="24"/>
        </w:rPr>
        <w:t>Fertilitet, g</w:t>
      </w:r>
      <w:r w:rsidRPr="00C84483">
        <w:rPr>
          <w:b/>
          <w:sz w:val="24"/>
          <w:szCs w:val="24"/>
        </w:rPr>
        <w:t>raviditet og amning</w:t>
      </w:r>
    </w:p>
    <w:p w:rsidR="00745F06" w:rsidRPr="00745F06" w:rsidRDefault="00745F06" w:rsidP="00745F06">
      <w:pPr>
        <w:tabs>
          <w:tab w:val="left" w:pos="851"/>
        </w:tabs>
        <w:ind w:left="851"/>
        <w:rPr>
          <w:sz w:val="24"/>
          <w:szCs w:val="24"/>
        </w:rPr>
      </w:pPr>
    </w:p>
    <w:p w:rsidR="00745F06" w:rsidRPr="00745F06" w:rsidRDefault="00745F06" w:rsidP="00745F06">
      <w:pPr>
        <w:tabs>
          <w:tab w:val="left" w:pos="851"/>
        </w:tabs>
        <w:ind w:left="851"/>
        <w:rPr>
          <w:sz w:val="24"/>
          <w:szCs w:val="24"/>
          <w:u w:val="single"/>
        </w:rPr>
      </w:pPr>
      <w:r w:rsidRPr="00745F06">
        <w:rPr>
          <w:sz w:val="24"/>
          <w:szCs w:val="24"/>
          <w:u w:val="single"/>
        </w:rPr>
        <w:t xml:space="preserve">Graviditet </w:t>
      </w:r>
    </w:p>
    <w:p w:rsidR="00745F06" w:rsidRPr="00745F06" w:rsidRDefault="00745F06" w:rsidP="00745F06">
      <w:pPr>
        <w:tabs>
          <w:tab w:val="left" w:pos="851"/>
        </w:tabs>
        <w:ind w:left="851"/>
        <w:rPr>
          <w:sz w:val="24"/>
          <w:szCs w:val="24"/>
        </w:rPr>
      </w:pPr>
      <w:r w:rsidRPr="00745F06">
        <w:rPr>
          <w:sz w:val="24"/>
          <w:szCs w:val="24"/>
        </w:rPr>
        <w:t xml:space="preserve">Der foreligger ikke kliniske data om eksponering for deferasirox under graviditet. Dyrestudier har påvist reproduktionstoksicitet ved doser, der var toksiske for moderen (se pkt. 5.3). Den potentielle risiko for mennesker er ukendt. </w:t>
      </w:r>
    </w:p>
    <w:p w:rsidR="00745F06" w:rsidRPr="00745F06" w:rsidRDefault="00745F06" w:rsidP="00745F06">
      <w:pPr>
        <w:tabs>
          <w:tab w:val="left" w:pos="851"/>
        </w:tabs>
        <w:ind w:left="851"/>
        <w:rPr>
          <w:sz w:val="24"/>
          <w:szCs w:val="24"/>
        </w:rPr>
      </w:pPr>
    </w:p>
    <w:p w:rsidR="00745F06" w:rsidRPr="00745F06" w:rsidRDefault="00745F06" w:rsidP="00745F06">
      <w:pPr>
        <w:tabs>
          <w:tab w:val="left" w:pos="851"/>
        </w:tabs>
        <w:ind w:left="851"/>
        <w:rPr>
          <w:sz w:val="24"/>
          <w:szCs w:val="24"/>
        </w:rPr>
      </w:pPr>
      <w:r w:rsidRPr="00745F06">
        <w:rPr>
          <w:sz w:val="24"/>
          <w:szCs w:val="24"/>
        </w:rPr>
        <w:t xml:space="preserve">Som en forholdsregel, frarådes det at anvende </w:t>
      </w:r>
      <w:r w:rsidR="00C42FD3">
        <w:rPr>
          <w:sz w:val="24"/>
          <w:szCs w:val="24"/>
        </w:rPr>
        <w:t>Deferasirox "Orifarm"</w:t>
      </w:r>
      <w:r w:rsidRPr="00745F06">
        <w:rPr>
          <w:sz w:val="24"/>
          <w:szCs w:val="24"/>
        </w:rPr>
        <w:t xml:space="preserve"> under graviditet, medmindre det er strengt nødvendigt. </w:t>
      </w:r>
    </w:p>
    <w:p w:rsidR="00745F06" w:rsidRPr="00745F06" w:rsidRDefault="00745F06" w:rsidP="00745F06">
      <w:pPr>
        <w:tabs>
          <w:tab w:val="left" w:pos="851"/>
        </w:tabs>
        <w:ind w:left="851"/>
        <w:rPr>
          <w:sz w:val="24"/>
          <w:szCs w:val="24"/>
        </w:rPr>
      </w:pPr>
    </w:p>
    <w:p w:rsidR="00745F06" w:rsidRPr="00745F06" w:rsidRDefault="00745F06" w:rsidP="00745F06">
      <w:pPr>
        <w:tabs>
          <w:tab w:val="left" w:pos="851"/>
        </w:tabs>
        <w:ind w:left="851"/>
        <w:rPr>
          <w:sz w:val="24"/>
          <w:szCs w:val="24"/>
        </w:rPr>
      </w:pPr>
      <w:r w:rsidRPr="00745F06">
        <w:rPr>
          <w:sz w:val="24"/>
          <w:szCs w:val="24"/>
        </w:rPr>
        <w:t xml:space="preserve">Deferasirox kan nedsætte effekten af hormonale kontraceptiva (se pkt. 4.5). Kvinder i den fødedygtige alder anbefales at bruge yderligere eller alternative ikke-hormonale præventionsmidler når de tager </w:t>
      </w:r>
      <w:r w:rsidR="00C42FD3">
        <w:rPr>
          <w:sz w:val="24"/>
          <w:szCs w:val="24"/>
        </w:rPr>
        <w:t>Deferasirox "Orifarm"</w:t>
      </w:r>
      <w:r w:rsidRPr="00745F06">
        <w:rPr>
          <w:sz w:val="24"/>
          <w:szCs w:val="24"/>
        </w:rPr>
        <w:t>.</w:t>
      </w:r>
    </w:p>
    <w:p w:rsidR="00745F06" w:rsidRPr="00745F06" w:rsidRDefault="00745F06" w:rsidP="00745F06">
      <w:pPr>
        <w:tabs>
          <w:tab w:val="left" w:pos="851"/>
        </w:tabs>
        <w:ind w:left="851"/>
        <w:rPr>
          <w:sz w:val="24"/>
          <w:szCs w:val="24"/>
        </w:rPr>
      </w:pPr>
    </w:p>
    <w:p w:rsidR="00745F06" w:rsidRPr="00745F06" w:rsidRDefault="00745F06" w:rsidP="00745F06">
      <w:pPr>
        <w:tabs>
          <w:tab w:val="left" w:pos="851"/>
        </w:tabs>
        <w:ind w:left="851"/>
        <w:rPr>
          <w:sz w:val="24"/>
          <w:szCs w:val="24"/>
          <w:u w:val="single"/>
        </w:rPr>
      </w:pPr>
      <w:r w:rsidRPr="00745F06">
        <w:rPr>
          <w:sz w:val="24"/>
          <w:szCs w:val="24"/>
          <w:u w:val="single"/>
        </w:rPr>
        <w:t xml:space="preserve">Amning </w:t>
      </w:r>
    </w:p>
    <w:p w:rsidR="00745F06" w:rsidRPr="00745F06" w:rsidRDefault="00745F06" w:rsidP="00745F06">
      <w:pPr>
        <w:tabs>
          <w:tab w:val="left" w:pos="851"/>
        </w:tabs>
        <w:ind w:left="851"/>
        <w:rPr>
          <w:sz w:val="24"/>
          <w:szCs w:val="24"/>
        </w:rPr>
      </w:pPr>
      <w:r w:rsidRPr="00745F06">
        <w:rPr>
          <w:sz w:val="24"/>
          <w:szCs w:val="24"/>
        </w:rPr>
        <w:t xml:space="preserve">I dyrestudier blev det konstateret, at deferasirox hurtigt og i udstrakt grad blev udskilt i mælken. Der blev ikke set nogen effekt på afkommet. Det vides ikke, om deferasirox uskilles i human mælk. Amning frarådes under behandling med </w:t>
      </w:r>
      <w:r w:rsidR="00C42FD3">
        <w:rPr>
          <w:sz w:val="24"/>
          <w:szCs w:val="24"/>
        </w:rPr>
        <w:t>Deferasirox "Orifarm"</w:t>
      </w:r>
      <w:r w:rsidRPr="00745F06">
        <w:rPr>
          <w:sz w:val="24"/>
          <w:szCs w:val="24"/>
        </w:rPr>
        <w:t xml:space="preserve">. </w:t>
      </w:r>
    </w:p>
    <w:p w:rsidR="00745F06" w:rsidRPr="00745F06" w:rsidRDefault="00745F06" w:rsidP="00745F06">
      <w:pPr>
        <w:tabs>
          <w:tab w:val="left" w:pos="851"/>
        </w:tabs>
        <w:ind w:left="851"/>
        <w:rPr>
          <w:sz w:val="24"/>
          <w:szCs w:val="24"/>
        </w:rPr>
      </w:pPr>
    </w:p>
    <w:p w:rsidR="00745F06" w:rsidRPr="00745F06" w:rsidRDefault="00745F06" w:rsidP="00745F06">
      <w:pPr>
        <w:tabs>
          <w:tab w:val="left" w:pos="851"/>
        </w:tabs>
        <w:ind w:left="851"/>
        <w:rPr>
          <w:sz w:val="24"/>
          <w:szCs w:val="24"/>
          <w:u w:val="single"/>
        </w:rPr>
      </w:pPr>
      <w:r w:rsidRPr="00745F06">
        <w:rPr>
          <w:sz w:val="24"/>
          <w:szCs w:val="24"/>
          <w:u w:val="single"/>
        </w:rPr>
        <w:t xml:space="preserve">Fertilitet </w:t>
      </w:r>
    </w:p>
    <w:p w:rsidR="00745F06" w:rsidRPr="00745F06" w:rsidRDefault="00745F06" w:rsidP="00745F06">
      <w:pPr>
        <w:tabs>
          <w:tab w:val="left" w:pos="851"/>
        </w:tabs>
        <w:ind w:left="851"/>
        <w:rPr>
          <w:sz w:val="24"/>
          <w:szCs w:val="24"/>
        </w:rPr>
      </w:pPr>
      <w:r w:rsidRPr="00745F06">
        <w:rPr>
          <w:sz w:val="24"/>
          <w:szCs w:val="24"/>
        </w:rPr>
        <w:t>Der er ingen fertilitetsdata tilgængelige for mennesker. Hos dyr er der ikke observeret utilsigtede påvirkninger af hanner eller hunners fertilitet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926870">
        <w:rPr>
          <w:b/>
          <w:sz w:val="24"/>
          <w:szCs w:val="24"/>
        </w:rPr>
        <w:t>og</w:t>
      </w:r>
      <w:r w:rsidRPr="00C84483">
        <w:rPr>
          <w:b/>
          <w:sz w:val="24"/>
          <w:szCs w:val="24"/>
        </w:rPr>
        <w:t xml:space="preserve"> betjene maskiner</w:t>
      </w:r>
    </w:p>
    <w:p w:rsidR="00745F06" w:rsidRPr="00745F06" w:rsidRDefault="00745F06" w:rsidP="00745F06">
      <w:pPr>
        <w:tabs>
          <w:tab w:val="left" w:pos="851"/>
        </w:tabs>
        <w:ind w:left="851"/>
        <w:rPr>
          <w:sz w:val="24"/>
          <w:szCs w:val="24"/>
        </w:rPr>
      </w:pPr>
      <w:r w:rsidRPr="00745F06">
        <w:rPr>
          <w:sz w:val="24"/>
          <w:szCs w:val="24"/>
        </w:rPr>
        <w:t xml:space="preserve">Ikke mærkning. </w:t>
      </w:r>
    </w:p>
    <w:p w:rsidR="00745F06" w:rsidRPr="00745F06" w:rsidRDefault="00745F06" w:rsidP="00745F06">
      <w:pPr>
        <w:tabs>
          <w:tab w:val="left" w:pos="851"/>
        </w:tabs>
        <w:ind w:left="851"/>
        <w:rPr>
          <w:sz w:val="24"/>
          <w:szCs w:val="24"/>
        </w:rPr>
      </w:pPr>
      <w:r w:rsidRPr="00745F06">
        <w:rPr>
          <w:sz w:val="24"/>
          <w:szCs w:val="24"/>
        </w:rPr>
        <w:t>Deferasirox påvirker i mindre grad evnen til at føre motorkøretøj og betjene maskiner. Patienter, som oplever den usædvanlige bivirkning svimmelhed, bør udvise forsigtighed, når de fører motorkøretøj eller betjener maskiner (se pkt.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745F06" w:rsidRPr="00055FD3" w:rsidRDefault="00745F06" w:rsidP="00745F06">
      <w:pPr>
        <w:pStyle w:val="Default"/>
        <w:ind w:firstLine="851"/>
      </w:pPr>
    </w:p>
    <w:p w:rsidR="00745F06" w:rsidRPr="00055FD3" w:rsidRDefault="00745F06" w:rsidP="00745F06">
      <w:pPr>
        <w:pStyle w:val="Default"/>
        <w:ind w:firstLine="851"/>
        <w:rPr>
          <w:u w:val="single"/>
        </w:rPr>
      </w:pPr>
      <w:r w:rsidRPr="00055FD3">
        <w:rPr>
          <w:u w:val="single"/>
        </w:rPr>
        <w:t xml:space="preserve">Opsummering af sikkerhedsprofilen </w:t>
      </w:r>
    </w:p>
    <w:p w:rsidR="00745F06" w:rsidRPr="00055FD3" w:rsidRDefault="00745F06" w:rsidP="00745F06">
      <w:pPr>
        <w:pStyle w:val="Default"/>
        <w:ind w:left="851"/>
      </w:pPr>
      <w:r w:rsidRPr="00055FD3">
        <w:t xml:space="preserve">De hyppigste reaktioner, der er rapporteret i de udførte kliniske forsøg under kronisk behandling med deferasirox dispergible tabletter hos voksne og pædiatriske patienter, inkluderer gastrointestinale forstyrrelser (hovedsageligt kvalme, opkastning, diarré eller abdominale smerter) og hududslæt. Diarré er oftere set hos pædiatriske patienter i alderen 2 til 5 år og hos ældre patienter. Disse reaktioner er dosisafhængige, og de er som oftest milde til moderate. Reaktionerne er generelt forbigående, og de holder for det meste op, selvom behandlingen fortsættes. </w:t>
      </w:r>
    </w:p>
    <w:p w:rsidR="00745F06" w:rsidRPr="00055FD3" w:rsidRDefault="00745F06" w:rsidP="00745F06">
      <w:pPr>
        <w:pStyle w:val="Default"/>
        <w:ind w:left="851"/>
      </w:pPr>
    </w:p>
    <w:p w:rsidR="00745F06" w:rsidRPr="00055FD3" w:rsidRDefault="00745F06" w:rsidP="00745F06">
      <w:pPr>
        <w:pStyle w:val="Default"/>
        <w:ind w:left="851"/>
      </w:pPr>
      <w:r w:rsidRPr="00055FD3">
        <w:t>Under kliniske studier med forekom dosisafhængige forhøjelser af serum-kreatinin hos omkring 36</w:t>
      </w:r>
      <w:r w:rsidR="007815B8">
        <w:t xml:space="preserve"> %</w:t>
      </w:r>
      <w:r w:rsidRPr="00055FD3">
        <w:t xml:space="preserve"> af patienterne, selvom de fleste blev inden for normalområdet. Fald i gennemsnitlig kreatininclearance er observeret hos både pædiatriske og voksne patienter med beta-talassæmi og jernophobning i det første år af behandlingen, men der er tegn på, at dette ikke falder yderligere i de efterfølgende år af behandlingen. Forhøjelser af levertransaminaser er blevet rapporteret. Planer for sikkerhedsmonitorering for nyre- og leverparametre anbefales. Auditive (nedsat hørelse) og visuelle (uklarheder i linsen) forstyrrelser er ikke almindelige, og årlige undersøgelser anbefales også (se pkt. 4.4). </w:t>
      </w:r>
    </w:p>
    <w:p w:rsidR="00745F06" w:rsidRPr="00055FD3" w:rsidRDefault="00745F06" w:rsidP="00745F06">
      <w:pPr>
        <w:pStyle w:val="Default"/>
        <w:ind w:left="851"/>
      </w:pPr>
    </w:p>
    <w:p w:rsidR="00745F06" w:rsidRPr="00055FD3" w:rsidRDefault="00745F06" w:rsidP="00745F06">
      <w:pPr>
        <w:tabs>
          <w:tab w:val="left" w:pos="851"/>
        </w:tabs>
        <w:ind w:left="851"/>
        <w:rPr>
          <w:sz w:val="24"/>
          <w:szCs w:val="24"/>
        </w:rPr>
      </w:pPr>
      <w:r w:rsidRPr="00055FD3">
        <w:rPr>
          <w:sz w:val="24"/>
          <w:szCs w:val="24"/>
        </w:rPr>
        <w:t>Der er rapporteret alvorlige kutane bivirkninger (SCAR), herunder Stevens-Johnsons syndrom (SJS), toksisk epidermal nekrolyse (TEN) og lægemiddelreaktioner med eosinofili og systemiske symptomer (DRESS) ved brug af deferasirox (se pkt. 4.4).</w:t>
      </w:r>
    </w:p>
    <w:p w:rsidR="00745F06" w:rsidRPr="00055FD3" w:rsidRDefault="00745F06" w:rsidP="00745F06">
      <w:pPr>
        <w:tabs>
          <w:tab w:val="left" w:pos="851"/>
        </w:tabs>
        <w:ind w:left="851"/>
        <w:rPr>
          <w:sz w:val="24"/>
          <w:szCs w:val="24"/>
        </w:rPr>
      </w:pPr>
    </w:p>
    <w:p w:rsidR="00745F06" w:rsidRPr="00055FD3" w:rsidRDefault="00745F06" w:rsidP="00745F06">
      <w:pPr>
        <w:pStyle w:val="Default"/>
        <w:ind w:firstLine="851"/>
        <w:rPr>
          <w:u w:val="single"/>
        </w:rPr>
      </w:pPr>
      <w:r w:rsidRPr="00055FD3">
        <w:rPr>
          <w:u w:val="single"/>
        </w:rPr>
        <w:t xml:space="preserve">Tabel over bivirkninger </w:t>
      </w:r>
    </w:p>
    <w:p w:rsidR="00745F06" w:rsidRPr="00055FD3" w:rsidRDefault="00745F06" w:rsidP="00745F06">
      <w:pPr>
        <w:tabs>
          <w:tab w:val="left" w:pos="851"/>
        </w:tabs>
        <w:ind w:left="851"/>
        <w:rPr>
          <w:sz w:val="24"/>
          <w:szCs w:val="24"/>
        </w:rPr>
      </w:pPr>
      <w:r w:rsidRPr="00055FD3">
        <w:rPr>
          <w:sz w:val="24"/>
          <w:szCs w:val="24"/>
        </w:rPr>
        <w:t>Bivirkningerne er opstillet nedenfor med følgende opdeling: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w:t>
      </w:r>
    </w:p>
    <w:p w:rsidR="00745F06" w:rsidRPr="00055FD3" w:rsidRDefault="00745F06" w:rsidP="00745F06">
      <w:pPr>
        <w:tabs>
          <w:tab w:val="left" w:pos="851"/>
        </w:tabs>
        <w:ind w:left="851"/>
        <w:rPr>
          <w:sz w:val="24"/>
          <w:szCs w:val="24"/>
        </w:rPr>
      </w:pPr>
    </w:p>
    <w:p w:rsidR="00745F06" w:rsidRPr="00055FD3" w:rsidRDefault="00745F06" w:rsidP="00745F06">
      <w:pPr>
        <w:ind w:firstLine="851"/>
        <w:rPr>
          <w:color w:val="000000"/>
          <w:sz w:val="24"/>
          <w:szCs w:val="24"/>
        </w:rPr>
      </w:pPr>
      <w:r w:rsidRPr="00055FD3">
        <w:rPr>
          <w:color w:val="000000"/>
          <w:sz w:val="24"/>
          <w:szCs w:val="24"/>
          <w:u w:val="single"/>
        </w:rPr>
        <w:t>Tabel 5</w:t>
      </w:r>
      <w:r w:rsidRPr="00055FD3">
        <w:rPr>
          <w:color w:val="000000"/>
          <w:sz w:val="24"/>
          <w:szCs w:val="24"/>
        </w:rPr>
        <w:tab/>
        <w:t>Bivirkninger</w:t>
      </w:r>
    </w:p>
    <w:p w:rsidR="00745F06" w:rsidRDefault="00745F06" w:rsidP="00745F06">
      <w:pPr>
        <w:rPr>
          <w:color w:val="000000"/>
          <w:sz w:val="22"/>
          <w:szCs w:val="22"/>
          <w:u w:val="single"/>
        </w:rPr>
      </w:pPr>
    </w:p>
    <w:tbl>
      <w:tblPr>
        <w:tblStyle w:val="TableGrid"/>
        <w:tblW w:w="793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99" w:type="dxa"/>
        </w:tblCellMar>
        <w:tblLook w:val="04A0" w:firstRow="1" w:lastRow="0" w:firstColumn="1" w:lastColumn="0" w:noHBand="0" w:noVBand="1"/>
      </w:tblPr>
      <w:tblGrid>
        <w:gridCol w:w="2336"/>
        <w:gridCol w:w="2353"/>
        <w:gridCol w:w="3249"/>
      </w:tblGrid>
      <w:tr w:rsidR="00745F06" w:rsidTr="005A0AE5">
        <w:trPr>
          <w:trHeight w:val="20"/>
          <w:tblHeader/>
          <w:jc w:val="center"/>
        </w:trPr>
        <w:tc>
          <w:tcPr>
            <w:tcW w:w="1823" w:type="dxa"/>
            <w:hideMark/>
          </w:tcPr>
          <w:p w:rsidR="00745F06" w:rsidRDefault="00745F06">
            <w:pPr>
              <w:spacing w:line="256" w:lineRule="auto"/>
              <w:rPr>
                <w:rFonts w:ascii="Times New Roman" w:hAnsi="Times New Roman" w:cs="Times New Roman"/>
                <w:b/>
                <w:sz w:val="22"/>
              </w:rPr>
            </w:pPr>
            <w:r>
              <w:rPr>
                <w:rFonts w:ascii="Times New Roman" w:hAnsi="Times New Roman" w:cs="Times New Roman"/>
                <w:b/>
                <w:sz w:val="22"/>
              </w:rPr>
              <w:t>Systemorganklasse</w:t>
            </w:r>
          </w:p>
        </w:tc>
        <w:tc>
          <w:tcPr>
            <w:tcW w:w="2617"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b/>
                <w:sz w:val="22"/>
              </w:rPr>
              <w:t>Hyppighed</w:t>
            </w:r>
          </w:p>
        </w:tc>
        <w:tc>
          <w:tcPr>
            <w:tcW w:w="3498"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b/>
                <w:sz w:val="22"/>
              </w:rPr>
              <w:t xml:space="preserve">Bivirkning </w:t>
            </w:r>
          </w:p>
        </w:tc>
      </w:tr>
      <w:tr w:rsidR="00745F06" w:rsidTr="005A0AE5">
        <w:trPr>
          <w:trHeight w:val="20"/>
          <w:jc w:val="center"/>
        </w:trPr>
        <w:tc>
          <w:tcPr>
            <w:tcW w:w="1823" w:type="dxa"/>
            <w:hideMark/>
          </w:tcPr>
          <w:p w:rsidR="00745F06" w:rsidRDefault="00745F06">
            <w:pPr>
              <w:spacing w:line="256" w:lineRule="auto"/>
              <w:rPr>
                <w:rFonts w:ascii="Times New Roman" w:hAnsi="Times New Roman" w:cs="Times New Roman"/>
                <w:b/>
                <w:sz w:val="22"/>
              </w:rPr>
            </w:pPr>
            <w:r>
              <w:rPr>
                <w:rFonts w:ascii="Times New Roman" w:hAnsi="Times New Roman" w:cs="Times New Roman"/>
                <w:b/>
                <w:sz w:val="22"/>
              </w:rPr>
              <w:t>Blod og lymfesystem</w:t>
            </w:r>
          </w:p>
        </w:tc>
        <w:tc>
          <w:tcPr>
            <w:tcW w:w="2617"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Ikke kendt</w:t>
            </w:r>
          </w:p>
        </w:tc>
        <w:tc>
          <w:tcPr>
            <w:tcW w:w="3498"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Pancytopeni</w:t>
            </w:r>
            <w:r>
              <w:rPr>
                <w:rFonts w:ascii="Times New Roman" w:hAnsi="Times New Roman" w:cs="Times New Roman"/>
                <w:sz w:val="22"/>
                <w:vertAlign w:val="superscript"/>
              </w:rPr>
              <w:t>1</w:t>
            </w:r>
            <w:r>
              <w:rPr>
                <w:rFonts w:ascii="Times New Roman" w:hAnsi="Times New Roman" w:cs="Times New Roman"/>
                <w:sz w:val="22"/>
              </w:rPr>
              <w:t>, trombocytopeni</w:t>
            </w:r>
            <w:r>
              <w:rPr>
                <w:rFonts w:ascii="Times New Roman" w:hAnsi="Times New Roman" w:cs="Times New Roman"/>
                <w:sz w:val="22"/>
                <w:vertAlign w:val="superscript"/>
              </w:rPr>
              <w:t>1</w:t>
            </w:r>
            <w:r>
              <w:rPr>
                <w:rFonts w:ascii="Times New Roman" w:hAnsi="Times New Roman" w:cs="Times New Roman"/>
                <w:sz w:val="22"/>
              </w:rPr>
              <w:t>, forværret anæmi</w:t>
            </w:r>
            <w:r>
              <w:rPr>
                <w:rFonts w:ascii="Times New Roman" w:hAnsi="Times New Roman" w:cs="Times New Roman"/>
                <w:sz w:val="22"/>
                <w:vertAlign w:val="superscript"/>
              </w:rPr>
              <w:t>1</w:t>
            </w:r>
            <w:r>
              <w:rPr>
                <w:rFonts w:ascii="Times New Roman" w:hAnsi="Times New Roman" w:cs="Times New Roman"/>
                <w:sz w:val="22"/>
              </w:rPr>
              <w:t>, neutropeni</w:t>
            </w:r>
            <w:r>
              <w:rPr>
                <w:rFonts w:ascii="Times New Roman" w:hAnsi="Times New Roman" w:cs="Times New Roman"/>
                <w:sz w:val="22"/>
                <w:vertAlign w:val="superscript"/>
              </w:rPr>
              <w:t>1</w:t>
            </w:r>
          </w:p>
        </w:tc>
      </w:tr>
      <w:tr w:rsidR="00745F06" w:rsidTr="005A0AE5">
        <w:trPr>
          <w:trHeight w:val="20"/>
          <w:jc w:val="center"/>
        </w:trPr>
        <w:tc>
          <w:tcPr>
            <w:tcW w:w="1823" w:type="dxa"/>
            <w:hideMark/>
          </w:tcPr>
          <w:p w:rsidR="00745F06" w:rsidRDefault="00745F06">
            <w:pPr>
              <w:spacing w:line="256" w:lineRule="auto"/>
              <w:rPr>
                <w:rFonts w:ascii="Times New Roman" w:hAnsi="Times New Roman" w:cs="Times New Roman"/>
                <w:b/>
                <w:sz w:val="22"/>
              </w:rPr>
            </w:pPr>
            <w:r>
              <w:rPr>
                <w:rFonts w:ascii="Times New Roman" w:hAnsi="Times New Roman" w:cs="Times New Roman"/>
                <w:b/>
                <w:sz w:val="22"/>
              </w:rPr>
              <w:t>Immunsystemet</w:t>
            </w:r>
          </w:p>
        </w:tc>
        <w:tc>
          <w:tcPr>
            <w:tcW w:w="2617"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Ikke kendt</w:t>
            </w:r>
          </w:p>
        </w:tc>
        <w:tc>
          <w:tcPr>
            <w:tcW w:w="3498"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Allergiske reaktioner (inklusive anafylaktiske reaktioner og angioødem)</w:t>
            </w:r>
            <w:r>
              <w:rPr>
                <w:rFonts w:ascii="Times New Roman" w:hAnsi="Times New Roman" w:cs="Times New Roman"/>
                <w:sz w:val="22"/>
                <w:vertAlign w:val="superscript"/>
              </w:rPr>
              <w:t>1</w:t>
            </w:r>
          </w:p>
        </w:tc>
      </w:tr>
      <w:tr w:rsidR="00745F06" w:rsidTr="005A0AE5">
        <w:trPr>
          <w:trHeight w:val="20"/>
          <w:jc w:val="center"/>
        </w:trPr>
        <w:tc>
          <w:tcPr>
            <w:tcW w:w="1823" w:type="dxa"/>
            <w:hideMark/>
          </w:tcPr>
          <w:p w:rsidR="00745F06" w:rsidRDefault="00745F06">
            <w:pPr>
              <w:spacing w:line="256" w:lineRule="auto"/>
              <w:rPr>
                <w:rFonts w:ascii="Times New Roman" w:hAnsi="Times New Roman" w:cs="Times New Roman"/>
                <w:b/>
                <w:sz w:val="22"/>
              </w:rPr>
            </w:pPr>
            <w:r>
              <w:rPr>
                <w:rFonts w:ascii="Times New Roman" w:hAnsi="Times New Roman" w:cs="Times New Roman"/>
                <w:b/>
                <w:sz w:val="22"/>
              </w:rPr>
              <w:t>Metabolisme og ernæring</w:t>
            </w:r>
            <w:r w:rsidR="00D40514">
              <w:rPr>
                <w:rFonts w:ascii="Times New Roman" w:hAnsi="Times New Roman" w:cs="Times New Roman"/>
                <w:b/>
                <w:sz w:val="22"/>
              </w:rPr>
              <w:t xml:space="preserve"> </w:t>
            </w:r>
          </w:p>
        </w:tc>
        <w:tc>
          <w:tcPr>
            <w:tcW w:w="2617"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Ikke kendt</w:t>
            </w:r>
          </w:p>
        </w:tc>
        <w:tc>
          <w:tcPr>
            <w:tcW w:w="3498"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Metabolisk acidose</w:t>
            </w:r>
            <w:r>
              <w:rPr>
                <w:rFonts w:ascii="Times New Roman" w:hAnsi="Times New Roman" w:cs="Times New Roman"/>
                <w:sz w:val="22"/>
                <w:vertAlign w:val="superscript"/>
              </w:rPr>
              <w:t>1</w:t>
            </w:r>
          </w:p>
        </w:tc>
      </w:tr>
      <w:tr w:rsidR="00745F06" w:rsidTr="005A0AE5">
        <w:trPr>
          <w:trHeight w:val="20"/>
          <w:jc w:val="center"/>
        </w:trPr>
        <w:tc>
          <w:tcPr>
            <w:tcW w:w="1823" w:type="dxa"/>
            <w:hideMark/>
          </w:tcPr>
          <w:p w:rsidR="00745F06" w:rsidRDefault="00745F06">
            <w:pPr>
              <w:spacing w:line="256" w:lineRule="auto"/>
              <w:rPr>
                <w:rFonts w:ascii="Times New Roman" w:hAnsi="Times New Roman" w:cs="Times New Roman"/>
                <w:b/>
                <w:sz w:val="22"/>
              </w:rPr>
            </w:pPr>
            <w:r>
              <w:rPr>
                <w:rFonts w:ascii="Times New Roman" w:hAnsi="Times New Roman" w:cs="Times New Roman"/>
                <w:b/>
                <w:sz w:val="22"/>
              </w:rPr>
              <w:t>Psykiske forstyrrelser</w:t>
            </w:r>
          </w:p>
        </w:tc>
        <w:tc>
          <w:tcPr>
            <w:tcW w:w="2617"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Ikke almindelig</w:t>
            </w:r>
          </w:p>
        </w:tc>
        <w:tc>
          <w:tcPr>
            <w:tcW w:w="3498"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Angst, søvnforstyrrelser</w:t>
            </w:r>
          </w:p>
        </w:tc>
      </w:tr>
      <w:tr w:rsidR="00745F06" w:rsidTr="005A0AE5">
        <w:trPr>
          <w:trHeight w:val="20"/>
          <w:jc w:val="center"/>
        </w:trPr>
        <w:tc>
          <w:tcPr>
            <w:tcW w:w="1823" w:type="dxa"/>
            <w:vMerge w:val="restart"/>
            <w:hideMark/>
          </w:tcPr>
          <w:p w:rsidR="00745F06" w:rsidRDefault="00745F06">
            <w:pPr>
              <w:spacing w:line="256" w:lineRule="auto"/>
              <w:rPr>
                <w:rFonts w:ascii="Times New Roman" w:hAnsi="Times New Roman" w:cs="Times New Roman"/>
                <w:b/>
                <w:sz w:val="22"/>
              </w:rPr>
            </w:pPr>
            <w:r>
              <w:rPr>
                <w:rFonts w:ascii="Times New Roman" w:hAnsi="Times New Roman" w:cs="Times New Roman"/>
                <w:b/>
                <w:sz w:val="22"/>
              </w:rPr>
              <w:t>Nervesystemet</w:t>
            </w:r>
          </w:p>
        </w:tc>
        <w:tc>
          <w:tcPr>
            <w:tcW w:w="2617"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Almindelig</w:t>
            </w:r>
          </w:p>
        </w:tc>
        <w:tc>
          <w:tcPr>
            <w:tcW w:w="3498"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Hovedpine</w:t>
            </w:r>
          </w:p>
        </w:tc>
      </w:tr>
      <w:tr w:rsidR="00745F06" w:rsidTr="005A0AE5">
        <w:trPr>
          <w:trHeight w:val="20"/>
          <w:jc w:val="center"/>
        </w:trPr>
        <w:tc>
          <w:tcPr>
            <w:tcW w:w="0" w:type="auto"/>
            <w:vMerge/>
            <w:vAlign w:val="center"/>
            <w:hideMark/>
          </w:tcPr>
          <w:p w:rsidR="00745F06" w:rsidRDefault="00745F06">
            <w:pPr>
              <w:rPr>
                <w:rFonts w:ascii="Times New Roman" w:hAnsi="Times New Roman" w:cs="Times New Roman"/>
                <w:b/>
                <w:sz w:val="22"/>
              </w:rPr>
            </w:pPr>
          </w:p>
        </w:tc>
        <w:tc>
          <w:tcPr>
            <w:tcW w:w="2617"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Ikke almindelig</w:t>
            </w:r>
          </w:p>
        </w:tc>
        <w:tc>
          <w:tcPr>
            <w:tcW w:w="3498"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Svimmelhed</w:t>
            </w:r>
          </w:p>
        </w:tc>
      </w:tr>
      <w:tr w:rsidR="00745F06" w:rsidTr="005A0AE5">
        <w:trPr>
          <w:trHeight w:val="20"/>
          <w:jc w:val="center"/>
        </w:trPr>
        <w:tc>
          <w:tcPr>
            <w:tcW w:w="1823" w:type="dxa"/>
            <w:vMerge w:val="restart"/>
            <w:hideMark/>
          </w:tcPr>
          <w:p w:rsidR="00745F06" w:rsidRDefault="00745F06">
            <w:pPr>
              <w:spacing w:line="256" w:lineRule="auto"/>
              <w:rPr>
                <w:rFonts w:ascii="Times New Roman" w:hAnsi="Times New Roman" w:cs="Times New Roman"/>
                <w:b/>
                <w:sz w:val="22"/>
              </w:rPr>
            </w:pPr>
            <w:r>
              <w:rPr>
                <w:rFonts w:ascii="Times New Roman" w:hAnsi="Times New Roman" w:cs="Times New Roman"/>
                <w:b/>
                <w:sz w:val="22"/>
              </w:rPr>
              <w:t>Øjne</w:t>
            </w:r>
          </w:p>
        </w:tc>
        <w:tc>
          <w:tcPr>
            <w:tcW w:w="2617"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Ikke almindelig</w:t>
            </w:r>
          </w:p>
        </w:tc>
        <w:tc>
          <w:tcPr>
            <w:tcW w:w="3498"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Katarakt, makulopati</w:t>
            </w:r>
          </w:p>
        </w:tc>
      </w:tr>
      <w:tr w:rsidR="00745F06" w:rsidTr="005A0AE5">
        <w:trPr>
          <w:trHeight w:val="20"/>
          <w:jc w:val="center"/>
        </w:trPr>
        <w:tc>
          <w:tcPr>
            <w:tcW w:w="0" w:type="auto"/>
            <w:vMerge/>
            <w:vAlign w:val="center"/>
            <w:hideMark/>
          </w:tcPr>
          <w:p w:rsidR="00745F06" w:rsidRDefault="00745F06">
            <w:pPr>
              <w:rPr>
                <w:rFonts w:ascii="Times New Roman" w:hAnsi="Times New Roman" w:cs="Times New Roman"/>
                <w:b/>
                <w:sz w:val="22"/>
              </w:rPr>
            </w:pPr>
          </w:p>
        </w:tc>
        <w:tc>
          <w:tcPr>
            <w:tcW w:w="2617"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Sjælden</w:t>
            </w:r>
          </w:p>
        </w:tc>
        <w:tc>
          <w:tcPr>
            <w:tcW w:w="3498"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Optisk neuritis</w:t>
            </w:r>
          </w:p>
        </w:tc>
      </w:tr>
      <w:tr w:rsidR="00745F06" w:rsidTr="005A0AE5">
        <w:trPr>
          <w:trHeight w:val="20"/>
          <w:jc w:val="center"/>
        </w:trPr>
        <w:tc>
          <w:tcPr>
            <w:tcW w:w="1823" w:type="dxa"/>
            <w:hideMark/>
          </w:tcPr>
          <w:p w:rsidR="00745F06" w:rsidRDefault="00745F06">
            <w:pPr>
              <w:spacing w:line="256" w:lineRule="auto"/>
              <w:rPr>
                <w:rFonts w:ascii="Times New Roman" w:hAnsi="Times New Roman" w:cs="Times New Roman"/>
                <w:b/>
                <w:sz w:val="22"/>
              </w:rPr>
            </w:pPr>
            <w:r>
              <w:rPr>
                <w:rFonts w:ascii="Times New Roman" w:hAnsi="Times New Roman" w:cs="Times New Roman"/>
                <w:b/>
                <w:sz w:val="22"/>
              </w:rPr>
              <w:t>Øre og labyrint</w:t>
            </w:r>
            <w:r w:rsidR="00D40514">
              <w:rPr>
                <w:rFonts w:ascii="Times New Roman" w:hAnsi="Times New Roman" w:cs="Times New Roman"/>
                <w:b/>
                <w:sz w:val="22"/>
              </w:rPr>
              <w:t xml:space="preserve"> </w:t>
            </w:r>
          </w:p>
        </w:tc>
        <w:tc>
          <w:tcPr>
            <w:tcW w:w="2617"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Ikke almindelig</w:t>
            </w:r>
          </w:p>
        </w:tc>
        <w:tc>
          <w:tcPr>
            <w:tcW w:w="3498"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Døvhed</w:t>
            </w:r>
          </w:p>
        </w:tc>
      </w:tr>
      <w:tr w:rsidR="00745F06" w:rsidTr="005A0AE5">
        <w:trPr>
          <w:trHeight w:val="20"/>
          <w:jc w:val="center"/>
        </w:trPr>
        <w:tc>
          <w:tcPr>
            <w:tcW w:w="1823" w:type="dxa"/>
            <w:hideMark/>
          </w:tcPr>
          <w:p w:rsidR="00745F06" w:rsidRDefault="00745F06">
            <w:pPr>
              <w:spacing w:line="256" w:lineRule="auto"/>
              <w:rPr>
                <w:rFonts w:ascii="Times New Roman" w:hAnsi="Times New Roman" w:cs="Times New Roman"/>
                <w:b/>
                <w:sz w:val="22"/>
              </w:rPr>
            </w:pPr>
            <w:r>
              <w:rPr>
                <w:rFonts w:ascii="Times New Roman" w:hAnsi="Times New Roman" w:cs="Times New Roman"/>
                <w:b/>
                <w:sz w:val="22"/>
              </w:rPr>
              <w:t>Luftveje, thorax og mediastinum</w:t>
            </w:r>
            <w:r w:rsidR="00D40514">
              <w:rPr>
                <w:rFonts w:ascii="Times New Roman" w:hAnsi="Times New Roman" w:cs="Times New Roman"/>
                <w:b/>
                <w:sz w:val="22"/>
              </w:rPr>
              <w:t xml:space="preserve"> </w:t>
            </w:r>
          </w:p>
        </w:tc>
        <w:tc>
          <w:tcPr>
            <w:tcW w:w="2617"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Ikke almindelig</w:t>
            </w:r>
          </w:p>
        </w:tc>
        <w:tc>
          <w:tcPr>
            <w:tcW w:w="3498"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Smerter i strubehoved</w:t>
            </w:r>
          </w:p>
        </w:tc>
      </w:tr>
      <w:tr w:rsidR="00745F06" w:rsidTr="005A0AE5">
        <w:trPr>
          <w:trHeight w:val="20"/>
          <w:jc w:val="center"/>
        </w:trPr>
        <w:tc>
          <w:tcPr>
            <w:tcW w:w="1823" w:type="dxa"/>
            <w:vMerge w:val="restart"/>
            <w:hideMark/>
          </w:tcPr>
          <w:p w:rsidR="00745F06" w:rsidRDefault="00745F06">
            <w:pPr>
              <w:spacing w:line="256" w:lineRule="auto"/>
              <w:rPr>
                <w:rFonts w:ascii="Times New Roman" w:hAnsi="Times New Roman" w:cs="Times New Roman"/>
                <w:b/>
                <w:sz w:val="22"/>
              </w:rPr>
            </w:pPr>
            <w:r>
              <w:rPr>
                <w:rFonts w:ascii="Times New Roman" w:hAnsi="Times New Roman" w:cs="Times New Roman"/>
                <w:b/>
                <w:sz w:val="22"/>
              </w:rPr>
              <w:t>Mave-tarm-kanalen</w:t>
            </w:r>
            <w:r w:rsidR="00D40514">
              <w:rPr>
                <w:rFonts w:ascii="Times New Roman" w:hAnsi="Times New Roman" w:cs="Times New Roman"/>
                <w:b/>
                <w:sz w:val="22"/>
              </w:rPr>
              <w:t xml:space="preserve"> </w:t>
            </w:r>
            <w:r>
              <w:rPr>
                <w:rFonts w:ascii="Times New Roman" w:hAnsi="Times New Roman" w:cs="Times New Roman"/>
                <w:b/>
                <w:sz w:val="22"/>
              </w:rPr>
              <w:t xml:space="preserve"> </w:t>
            </w:r>
          </w:p>
        </w:tc>
        <w:tc>
          <w:tcPr>
            <w:tcW w:w="2617"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rPr>
              <w:t>Almindelig</w:t>
            </w:r>
          </w:p>
        </w:tc>
        <w:tc>
          <w:tcPr>
            <w:tcW w:w="3498" w:type="dxa"/>
            <w:hideMark/>
          </w:tcPr>
          <w:p w:rsidR="00745F06" w:rsidRDefault="00745F06">
            <w:pPr>
              <w:spacing w:line="256" w:lineRule="auto"/>
              <w:rPr>
                <w:rFonts w:ascii="Times New Roman" w:hAnsi="Times New Roman" w:cs="Times New Roman"/>
                <w:sz w:val="22"/>
              </w:rPr>
            </w:pPr>
            <w:r>
              <w:rPr>
                <w:rFonts w:ascii="Times New Roman" w:hAnsi="Times New Roman" w:cs="Times New Roman"/>
                <w:sz w:val="22"/>
              </w:rPr>
              <w:t>Diarré, forstoppelse, opkastning, kvalme, abdominalsmerter, abdominal udspiling, dyspepsi</w:t>
            </w:r>
          </w:p>
        </w:tc>
      </w:tr>
      <w:tr w:rsidR="00745F06" w:rsidTr="005A0AE5">
        <w:trPr>
          <w:trHeight w:val="20"/>
          <w:jc w:val="center"/>
        </w:trPr>
        <w:tc>
          <w:tcPr>
            <w:tcW w:w="0" w:type="auto"/>
            <w:vMerge/>
            <w:vAlign w:val="center"/>
            <w:hideMark/>
          </w:tcPr>
          <w:p w:rsidR="00745F06" w:rsidRDefault="00745F06">
            <w:pPr>
              <w:rPr>
                <w:rFonts w:ascii="Times New Roman" w:hAnsi="Times New Roman" w:cs="Times New Roman"/>
                <w:b/>
                <w:sz w:val="22"/>
              </w:rPr>
            </w:pPr>
          </w:p>
        </w:tc>
        <w:tc>
          <w:tcPr>
            <w:tcW w:w="2617"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rPr>
              <w:t>Ikke almindelig</w:t>
            </w:r>
            <w:r>
              <w:rPr>
                <w:rFonts w:ascii="Times New Roman" w:hAnsi="Times New Roman" w:cs="Times New Roman"/>
                <w:sz w:val="22"/>
                <w:szCs w:val="22"/>
              </w:rPr>
              <w:t xml:space="preserve"> </w:t>
            </w:r>
          </w:p>
        </w:tc>
        <w:tc>
          <w:tcPr>
            <w:tcW w:w="3498" w:type="dxa"/>
            <w:hideMark/>
          </w:tcPr>
          <w:p w:rsidR="00745F06" w:rsidRDefault="00745F06">
            <w:pPr>
              <w:pStyle w:val="Default"/>
              <w:rPr>
                <w:sz w:val="22"/>
                <w:szCs w:val="22"/>
              </w:rPr>
            </w:pPr>
            <w:r>
              <w:rPr>
                <w:rFonts w:ascii="Times New Roman" w:hAnsi="Times New Roman" w:cs="Times New Roman"/>
                <w:color w:val="auto"/>
                <w:sz w:val="22"/>
                <w:szCs w:val="22"/>
              </w:rPr>
              <w:t>Gastrointestinal blødning, gastrisk ulcus (inklusive multiple ulcura), ulcus duodeni, gastritis</w:t>
            </w:r>
            <w:r>
              <w:rPr>
                <w:sz w:val="22"/>
                <w:szCs w:val="22"/>
              </w:rPr>
              <w:t xml:space="preserve"> </w:t>
            </w:r>
          </w:p>
        </w:tc>
      </w:tr>
      <w:tr w:rsidR="00745F06" w:rsidTr="005A0AE5">
        <w:trPr>
          <w:trHeight w:val="20"/>
          <w:jc w:val="center"/>
        </w:trPr>
        <w:tc>
          <w:tcPr>
            <w:tcW w:w="0" w:type="auto"/>
            <w:vMerge/>
            <w:vAlign w:val="center"/>
            <w:hideMark/>
          </w:tcPr>
          <w:p w:rsidR="00745F06" w:rsidRDefault="00745F06">
            <w:pPr>
              <w:rPr>
                <w:rFonts w:ascii="Times New Roman" w:hAnsi="Times New Roman" w:cs="Times New Roman"/>
                <w:b/>
                <w:sz w:val="22"/>
              </w:rPr>
            </w:pPr>
          </w:p>
        </w:tc>
        <w:tc>
          <w:tcPr>
            <w:tcW w:w="2617" w:type="dxa"/>
            <w:hideMark/>
          </w:tcPr>
          <w:p w:rsidR="00745F06" w:rsidRDefault="00745F06">
            <w:pPr>
              <w:pStyle w:val="Default"/>
              <w:rPr>
                <w:sz w:val="22"/>
                <w:szCs w:val="22"/>
              </w:rPr>
            </w:pPr>
            <w:r>
              <w:rPr>
                <w:rFonts w:ascii="Times New Roman" w:hAnsi="Times New Roman" w:cs="Times New Roman"/>
                <w:sz w:val="22"/>
              </w:rPr>
              <w:t>Sjælden</w:t>
            </w:r>
          </w:p>
        </w:tc>
        <w:tc>
          <w:tcPr>
            <w:tcW w:w="3498"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szCs w:val="22"/>
              </w:rPr>
              <w:t>Øsofagitis</w:t>
            </w:r>
          </w:p>
        </w:tc>
      </w:tr>
      <w:tr w:rsidR="00745F06" w:rsidTr="005A0AE5">
        <w:trPr>
          <w:trHeight w:val="20"/>
          <w:jc w:val="center"/>
        </w:trPr>
        <w:tc>
          <w:tcPr>
            <w:tcW w:w="0" w:type="auto"/>
            <w:vMerge/>
            <w:vAlign w:val="center"/>
            <w:hideMark/>
          </w:tcPr>
          <w:p w:rsidR="00745F06" w:rsidRDefault="00745F06">
            <w:pPr>
              <w:rPr>
                <w:rFonts w:ascii="Times New Roman" w:hAnsi="Times New Roman" w:cs="Times New Roman"/>
                <w:b/>
                <w:sz w:val="22"/>
              </w:rPr>
            </w:pPr>
          </w:p>
        </w:tc>
        <w:tc>
          <w:tcPr>
            <w:tcW w:w="2617"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rPr>
              <w:t>Ikke kendt</w:t>
            </w:r>
          </w:p>
        </w:tc>
        <w:tc>
          <w:tcPr>
            <w:tcW w:w="3498"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szCs w:val="22"/>
              </w:rPr>
              <w:t>Gastrointestinal perforation</w:t>
            </w:r>
            <w:r>
              <w:rPr>
                <w:rFonts w:ascii="Times New Roman" w:hAnsi="Times New Roman" w:cs="Times New Roman"/>
                <w:sz w:val="22"/>
                <w:szCs w:val="22"/>
                <w:vertAlign w:val="superscript"/>
              </w:rPr>
              <w:t>1</w:t>
            </w:r>
            <w:r>
              <w:rPr>
                <w:rFonts w:ascii="Times New Roman" w:hAnsi="Times New Roman" w:cs="Times New Roman"/>
                <w:sz w:val="22"/>
                <w:szCs w:val="22"/>
              </w:rPr>
              <w:t>, akut pancreatitis</w:t>
            </w:r>
            <w:r>
              <w:rPr>
                <w:rFonts w:ascii="Times New Roman" w:hAnsi="Times New Roman" w:cs="Times New Roman"/>
                <w:sz w:val="22"/>
                <w:szCs w:val="22"/>
                <w:vertAlign w:val="superscript"/>
              </w:rPr>
              <w:t>1</w:t>
            </w:r>
          </w:p>
        </w:tc>
      </w:tr>
      <w:tr w:rsidR="00745F06" w:rsidTr="005A0AE5">
        <w:trPr>
          <w:trHeight w:val="20"/>
          <w:jc w:val="center"/>
        </w:trPr>
        <w:tc>
          <w:tcPr>
            <w:tcW w:w="1823" w:type="dxa"/>
            <w:vMerge w:val="restart"/>
            <w:hideMark/>
          </w:tcPr>
          <w:p w:rsidR="00745F06" w:rsidRDefault="00745F06">
            <w:pPr>
              <w:pStyle w:val="Default"/>
              <w:rPr>
                <w:rFonts w:ascii="Times New Roman" w:hAnsi="Times New Roman" w:cs="Times New Roman"/>
                <w:sz w:val="22"/>
                <w:szCs w:val="22"/>
              </w:rPr>
            </w:pPr>
            <w:r>
              <w:rPr>
                <w:rFonts w:ascii="Times New Roman" w:hAnsi="Times New Roman" w:cs="Times New Roman"/>
                <w:b/>
                <w:bCs/>
                <w:sz w:val="22"/>
                <w:szCs w:val="22"/>
              </w:rPr>
              <w:t>Lever og galdeveje</w:t>
            </w:r>
          </w:p>
        </w:tc>
        <w:tc>
          <w:tcPr>
            <w:tcW w:w="2617"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rPr>
              <w:t>Almindelig</w:t>
            </w:r>
          </w:p>
        </w:tc>
        <w:tc>
          <w:tcPr>
            <w:tcW w:w="3498"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szCs w:val="22"/>
              </w:rPr>
              <w:t>Forhøjede aminotransferaser</w:t>
            </w:r>
          </w:p>
        </w:tc>
      </w:tr>
      <w:tr w:rsidR="00745F06" w:rsidTr="005A0AE5">
        <w:trPr>
          <w:trHeight w:val="20"/>
          <w:jc w:val="center"/>
        </w:trPr>
        <w:tc>
          <w:tcPr>
            <w:tcW w:w="0" w:type="auto"/>
            <w:vMerge/>
            <w:vAlign w:val="center"/>
            <w:hideMark/>
          </w:tcPr>
          <w:p w:rsidR="00745F06" w:rsidRDefault="00745F06">
            <w:pPr>
              <w:rPr>
                <w:rFonts w:ascii="Times New Roman" w:hAnsi="Times New Roman" w:cs="Times New Roman"/>
                <w:color w:val="000000"/>
                <w:sz w:val="22"/>
              </w:rPr>
            </w:pPr>
          </w:p>
        </w:tc>
        <w:tc>
          <w:tcPr>
            <w:tcW w:w="2617"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rPr>
              <w:t>Ikke almindelig</w:t>
            </w:r>
          </w:p>
        </w:tc>
        <w:tc>
          <w:tcPr>
            <w:tcW w:w="3498"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szCs w:val="22"/>
              </w:rPr>
              <w:t>Hepatitis, cholelithiasis</w:t>
            </w:r>
          </w:p>
        </w:tc>
      </w:tr>
      <w:tr w:rsidR="00745F06" w:rsidTr="005A0AE5">
        <w:trPr>
          <w:trHeight w:val="20"/>
          <w:jc w:val="center"/>
        </w:trPr>
        <w:tc>
          <w:tcPr>
            <w:tcW w:w="0" w:type="auto"/>
            <w:vMerge/>
            <w:vAlign w:val="center"/>
            <w:hideMark/>
          </w:tcPr>
          <w:p w:rsidR="00745F06" w:rsidRDefault="00745F06">
            <w:pPr>
              <w:rPr>
                <w:rFonts w:ascii="Times New Roman" w:hAnsi="Times New Roman" w:cs="Times New Roman"/>
                <w:color w:val="000000"/>
                <w:sz w:val="22"/>
              </w:rPr>
            </w:pPr>
          </w:p>
        </w:tc>
        <w:tc>
          <w:tcPr>
            <w:tcW w:w="2617"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rPr>
              <w:t>Ikke kendt</w:t>
            </w:r>
          </w:p>
        </w:tc>
        <w:tc>
          <w:tcPr>
            <w:tcW w:w="3498"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szCs w:val="22"/>
              </w:rPr>
              <w:t>Leversvigt</w:t>
            </w:r>
            <w:r>
              <w:rPr>
                <w:rFonts w:ascii="Times New Roman" w:hAnsi="Times New Roman" w:cs="Times New Roman"/>
                <w:sz w:val="22"/>
                <w:szCs w:val="22"/>
                <w:vertAlign w:val="superscript"/>
              </w:rPr>
              <w:t xml:space="preserve">1, 2 </w:t>
            </w:r>
          </w:p>
        </w:tc>
      </w:tr>
      <w:tr w:rsidR="00745F06" w:rsidTr="005A0AE5">
        <w:trPr>
          <w:trHeight w:val="20"/>
          <w:jc w:val="center"/>
        </w:trPr>
        <w:tc>
          <w:tcPr>
            <w:tcW w:w="1823" w:type="dxa"/>
            <w:vMerge w:val="restart"/>
            <w:hideMark/>
          </w:tcPr>
          <w:p w:rsidR="00745F06" w:rsidRDefault="00745F06">
            <w:pPr>
              <w:pStyle w:val="Default"/>
              <w:rPr>
                <w:rFonts w:ascii="Times New Roman" w:hAnsi="Times New Roman" w:cs="Times New Roman"/>
                <w:sz w:val="22"/>
                <w:szCs w:val="22"/>
              </w:rPr>
            </w:pPr>
            <w:r>
              <w:rPr>
                <w:rFonts w:ascii="Times New Roman" w:hAnsi="Times New Roman" w:cs="Times New Roman"/>
                <w:b/>
                <w:bCs/>
                <w:sz w:val="22"/>
                <w:szCs w:val="22"/>
              </w:rPr>
              <w:t>Hud og subkutane væv</w:t>
            </w:r>
          </w:p>
        </w:tc>
        <w:tc>
          <w:tcPr>
            <w:tcW w:w="2617"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rPr>
              <w:t>Almindelig</w:t>
            </w:r>
          </w:p>
        </w:tc>
        <w:tc>
          <w:tcPr>
            <w:tcW w:w="3498"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szCs w:val="22"/>
              </w:rPr>
              <w:t>Udslæt, kløe</w:t>
            </w:r>
          </w:p>
        </w:tc>
      </w:tr>
      <w:tr w:rsidR="00745F06" w:rsidTr="005A0AE5">
        <w:trPr>
          <w:trHeight w:val="20"/>
          <w:jc w:val="center"/>
        </w:trPr>
        <w:tc>
          <w:tcPr>
            <w:tcW w:w="0" w:type="auto"/>
            <w:vMerge/>
            <w:vAlign w:val="center"/>
            <w:hideMark/>
          </w:tcPr>
          <w:p w:rsidR="00745F06" w:rsidRDefault="00745F06">
            <w:pPr>
              <w:rPr>
                <w:rFonts w:ascii="Times New Roman" w:hAnsi="Times New Roman" w:cs="Times New Roman"/>
                <w:color w:val="000000"/>
                <w:sz w:val="22"/>
              </w:rPr>
            </w:pPr>
          </w:p>
        </w:tc>
        <w:tc>
          <w:tcPr>
            <w:tcW w:w="2617"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rPr>
              <w:t>Ikke almindelig</w:t>
            </w:r>
          </w:p>
        </w:tc>
        <w:tc>
          <w:tcPr>
            <w:tcW w:w="3498"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szCs w:val="22"/>
              </w:rPr>
              <w:t>Pigmentforstyrrelser</w:t>
            </w:r>
          </w:p>
        </w:tc>
      </w:tr>
      <w:tr w:rsidR="00745F06" w:rsidTr="005A0AE5">
        <w:trPr>
          <w:trHeight w:val="20"/>
          <w:jc w:val="center"/>
        </w:trPr>
        <w:tc>
          <w:tcPr>
            <w:tcW w:w="0" w:type="auto"/>
            <w:vMerge/>
            <w:vAlign w:val="center"/>
            <w:hideMark/>
          </w:tcPr>
          <w:p w:rsidR="00745F06" w:rsidRDefault="00745F06">
            <w:pPr>
              <w:rPr>
                <w:rFonts w:ascii="Times New Roman" w:hAnsi="Times New Roman" w:cs="Times New Roman"/>
                <w:color w:val="000000"/>
                <w:sz w:val="22"/>
              </w:rPr>
            </w:pPr>
          </w:p>
        </w:tc>
        <w:tc>
          <w:tcPr>
            <w:tcW w:w="2617"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rPr>
              <w:t>Sjælden</w:t>
            </w:r>
          </w:p>
        </w:tc>
        <w:tc>
          <w:tcPr>
            <w:tcW w:w="3498"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szCs w:val="22"/>
              </w:rPr>
              <w:t>Lægemiddelreaktioner med eosinofili og systemiske symptomer (DRESS)</w:t>
            </w:r>
          </w:p>
        </w:tc>
      </w:tr>
      <w:tr w:rsidR="00745F06" w:rsidTr="005A0AE5">
        <w:trPr>
          <w:trHeight w:val="20"/>
          <w:jc w:val="center"/>
        </w:trPr>
        <w:tc>
          <w:tcPr>
            <w:tcW w:w="0" w:type="auto"/>
            <w:vMerge/>
            <w:vAlign w:val="center"/>
            <w:hideMark/>
          </w:tcPr>
          <w:p w:rsidR="00745F06" w:rsidRDefault="00745F06">
            <w:pPr>
              <w:rPr>
                <w:rFonts w:ascii="Times New Roman" w:hAnsi="Times New Roman" w:cs="Times New Roman"/>
                <w:color w:val="000000"/>
                <w:sz w:val="22"/>
              </w:rPr>
            </w:pPr>
          </w:p>
        </w:tc>
        <w:tc>
          <w:tcPr>
            <w:tcW w:w="2617"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rPr>
              <w:t>Ikke kendt</w:t>
            </w:r>
          </w:p>
        </w:tc>
        <w:tc>
          <w:tcPr>
            <w:tcW w:w="3498"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szCs w:val="22"/>
              </w:rPr>
              <w:t>Stevens-Johnsons syndrom</w:t>
            </w:r>
            <w:r>
              <w:rPr>
                <w:rFonts w:ascii="Times New Roman" w:hAnsi="Times New Roman" w:cs="Times New Roman"/>
                <w:sz w:val="22"/>
                <w:szCs w:val="22"/>
                <w:vertAlign w:val="superscript"/>
              </w:rPr>
              <w:t>1</w:t>
            </w:r>
            <w:r>
              <w:rPr>
                <w:rFonts w:ascii="Times New Roman" w:hAnsi="Times New Roman" w:cs="Times New Roman"/>
                <w:sz w:val="22"/>
                <w:szCs w:val="22"/>
              </w:rPr>
              <w:t>, allergisk vaskulitis</w:t>
            </w:r>
            <w:r>
              <w:rPr>
                <w:rFonts w:ascii="Times New Roman" w:hAnsi="Times New Roman" w:cs="Times New Roman"/>
                <w:sz w:val="22"/>
                <w:szCs w:val="22"/>
                <w:vertAlign w:val="superscript"/>
              </w:rPr>
              <w:t>1</w:t>
            </w:r>
            <w:r>
              <w:rPr>
                <w:rFonts w:ascii="Times New Roman" w:hAnsi="Times New Roman" w:cs="Times New Roman"/>
                <w:sz w:val="22"/>
                <w:szCs w:val="22"/>
              </w:rPr>
              <w:t>, urticaria</w:t>
            </w:r>
            <w:r>
              <w:rPr>
                <w:rFonts w:ascii="Times New Roman" w:hAnsi="Times New Roman" w:cs="Times New Roman"/>
                <w:sz w:val="22"/>
                <w:szCs w:val="22"/>
                <w:vertAlign w:val="superscript"/>
              </w:rPr>
              <w:t>1</w:t>
            </w:r>
            <w:r>
              <w:rPr>
                <w:rFonts w:ascii="Times New Roman" w:hAnsi="Times New Roman" w:cs="Times New Roman"/>
                <w:sz w:val="22"/>
                <w:szCs w:val="22"/>
              </w:rPr>
              <w:t>, erythema multiforme</w:t>
            </w:r>
            <w:r>
              <w:rPr>
                <w:rFonts w:ascii="Times New Roman" w:hAnsi="Times New Roman" w:cs="Times New Roman"/>
                <w:sz w:val="22"/>
                <w:szCs w:val="22"/>
                <w:vertAlign w:val="superscript"/>
              </w:rPr>
              <w:t>1</w:t>
            </w:r>
            <w:r>
              <w:rPr>
                <w:rFonts w:ascii="Times New Roman" w:hAnsi="Times New Roman" w:cs="Times New Roman"/>
                <w:sz w:val="22"/>
                <w:szCs w:val="22"/>
              </w:rPr>
              <w:t>, alopeci</w:t>
            </w:r>
            <w:r>
              <w:rPr>
                <w:rFonts w:ascii="Times New Roman" w:hAnsi="Times New Roman" w:cs="Times New Roman"/>
                <w:sz w:val="22"/>
                <w:szCs w:val="22"/>
                <w:vertAlign w:val="superscript"/>
              </w:rPr>
              <w:t>1</w:t>
            </w:r>
            <w:r>
              <w:rPr>
                <w:rFonts w:ascii="Times New Roman" w:hAnsi="Times New Roman" w:cs="Times New Roman"/>
                <w:sz w:val="22"/>
                <w:szCs w:val="22"/>
              </w:rPr>
              <w:t>, toksisk epidermal nekrolyse (TEN)</w:t>
            </w:r>
            <w:r>
              <w:rPr>
                <w:rFonts w:ascii="Times New Roman" w:hAnsi="Times New Roman" w:cs="Times New Roman"/>
                <w:sz w:val="22"/>
                <w:szCs w:val="22"/>
                <w:vertAlign w:val="superscript"/>
              </w:rPr>
              <w:t>1</w:t>
            </w:r>
          </w:p>
        </w:tc>
      </w:tr>
      <w:tr w:rsidR="00745F06" w:rsidTr="005A0AE5">
        <w:trPr>
          <w:trHeight w:val="20"/>
          <w:jc w:val="center"/>
        </w:trPr>
        <w:tc>
          <w:tcPr>
            <w:tcW w:w="1823" w:type="dxa"/>
            <w:vMerge w:val="restart"/>
            <w:hideMark/>
          </w:tcPr>
          <w:p w:rsidR="00745F06" w:rsidRDefault="00745F06">
            <w:pPr>
              <w:pStyle w:val="Default"/>
              <w:rPr>
                <w:rFonts w:ascii="Times New Roman" w:hAnsi="Times New Roman" w:cs="Times New Roman"/>
                <w:sz w:val="22"/>
                <w:szCs w:val="22"/>
              </w:rPr>
            </w:pPr>
            <w:r>
              <w:rPr>
                <w:rFonts w:ascii="Times New Roman" w:hAnsi="Times New Roman" w:cs="Times New Roman"/>
                <w:b/>
                <w:bCs/>
                <w:sz w:val="22"/>
                <w:szCs w:val="22"/>
              </w:rPr>
              <w:t>Nyrer og urinveje</w:t>
            </w:r>
          </w:p>
        </w:tc>
        <w:tc>
          <w:tcPr>
            <w:tcW w:w="2617"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szCs w:val="22"/>
              </w:rPr>
              <w:t>Meget almindelig</w:t>
            </w:r>
          </w:p>
        </w:tc>
        <w:tc>
          <w:tcPr>
            <w:tcW w:w="3498"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szCs w:val="22"/>
              </w:rPr>
              <w:t>Forhøjet blod-kreatinin</w:t>
            </w:r>
          </w:p>
        </w:tc>
      </w:tr>
      <w:tr w:rsidR="00745F06" w:rsidTr="005A0AE5">
        <w:trPr>
          <w:trHeight w:val="20"/>
          <w:jc w:val="center"/>
        </w:trPr>
        <w:tc>
          <w:tcPr>
            <w:tcW w:w="0" w:type="auto"/>
            <w:vMerge/>
            <w:vAlign w:val="center"/>
            <w:hideMark/>
          </w:tcPr>
          <w:p w:rsidR="00745F06" w:rsidRDefault="00745F06">
            <w:pPr>
              <w:rPr>
                <w:rFonts w:ascii="Times New Roman" w:hAnsi="Times New Roman" w:cs="Times New Roman"/>
                <w:color w:val="000000"/>
                <w:sz w:val="22"/>
              </w:rPr>
            </w:pPr>
          </w:p>
        </w:tc>
        <w:tc>
          <w:tcPr>
            <w:tcW w:w="2617"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rPr>
              <w:t>Almindelig</w:t>
            </w:r>
          </w:p>
        </w:tc>
        <w:tc>
          <w:tcPr>
            <w:tcW w:w="3498"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szCs w:val="22"/>
              </w:rPr>
              <w:t>Proteinuri</w:t>
            </w:r>
          </w:p>
        </w:tc>
      </w:tr>
      <w:tr w:rsidR="00745F06" w:rsidTr="005A0AE5">
        <w:trPr>
          <w:trHeight w:val="20"/>
          <w:jc w:val="center"/>
        </w:trPr>
        <w:tc>
          <w:tcPr>
            <w:tcW w:w="0" w:type="auto"/>
            <w:vMerge/>
            <w:vAlign w:val="center"/>
            <w:hideMark/>
          </w:tcPr>
          <w:p w:rsidR="00745F06" w:rsidRDefault="00745F06">
            <w:pPr>
              <w:rPr>
                <w:rFonts w:ascii="Times New Roman" w:hAnsi="Times New Roman" w:cs="Times New Roman"/>
                <w:color w:val="000000"/>
                <w:sz w:val="22"/>
              </w:rPr>
            </w:pPr>
          </w:p>
        </w:tc>
        <w:tc>
          <w:tcPr>
            <w:tcW w:w="2617"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rPr>
              <w:t>Ikke almindelig</w:t>
            </w:r>
          </w:p>
        </w:tc>
        <w:tc>
          <w:tcPr>
            <w:tcW w:w="3498"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szCs w:val="22"/>
              </w:rPr>
              <w:t>Renale tubulære forstyrrelser</w:t>
            </w:r>
            <w:r>
              <w:rPr>
                <w:rFonts w:ascii="Times New Roman" w:hAnsi="Times New Roman" w:cs="Times New Roman"/>
                <w:sz w:val="22"/>
                <w:szCs w:val="22"/>
                <w:vertAlign w:val="superscript"/>
              </w:rPr>
              <w:t>2</w:t>
            </w:r>
            <w:r>
              <w:rPr>
                <w:rFonts w:ascii="Times New Roman" w:hAnsi="Times New Roman" w:cs="Times New Roman"/>
                <w:sz w:val="22"/>
                <w:szCs w:val="22"/>
              </w:rPr>
              <w:t xml:space="preserve"> (erhvervet Fanconis syndrom), glukosuri</w:t>
            </w:r>
          </w:p>
        </w:tc>
      </w:tr>
      <w:tr w:rsidR="00745F06" w:rsidTr="005A0AE5">
        <w:trPr>
          <w:trHeight w:val="20"/>
          <w:jc w:val="center"/>
        </w:trPr>
        <w:tc>
          <w:tcPr>
            <w:tcW w:w="0" w:type="auto"/>
            <w:vMerge/>
            <w:vAlign w:val="center"/>
            <w:hideMark/>
          </w:tcPr>
          <w:p w:rsidR="00745F06" w:rsidRDefault="00745F06">
            <w:pPr>
              <w:rPr>
                <w:rFonts w:ascii="Times New Roman" w:hAnsi="Times New Roman" w:cs="Times New Roman"/>
                <w:color w:val="000000"/>
                <w:sz w:val="22"/>
              </w:rPr>
            </w:pPr>
          </w:p>
        </w:tc>
        <w:tc>
          <w:tcPr>
            <w:tcW w:w="2617"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rPr>
              <w:t>Ikke kendt</w:t>
            </w:r>
          </w:p>
        </w:tc>
        <w:tc>
          <w:tcPr>
            <w:tcW w:w="3498"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szCs w:val="22"/>
              </w:rPr>
              <w:t>Akut nyresvigt</w:t>
            </w:r>
            <w:r>
              <w:rPr>
                <w:rFonts w:ascii="Times New Roman" w:hAnsi="Times New Roman" w:cs="Times New Roman"/>
                <w:sz w:val="22"/>
                <w:szCs w:val="22"/>
                <w:vertAlign w:val="superscript"/>
              </w:rPr>
              <w:t>1, 2</w:t>
            </w:r>
            <w:r>
              <w:rPr>
                <w:rFonts w:ascii="Times New Roman" w:hAnsi="Times New Roman" w:cs="Times New Roman"/>
                <w:sz w:val="22"/>
                <w:szCs w:val="22"/>
              </w:rPr>
              <w:t>, tubolointerstitial nefritis</w:t>
            </w:r>
            <w:r>
              <w:rPr>
                <w:rFonts w:ascii="Times New Roman" w:hAnsi="Times New Roman" w:cs="Times New Roman"/>
                <w:sz w:val="22"/>
                <w:szCs w:val="22"/>
                <w:vertAlign w:val="superscript"/>
              </w:rPr>
              <w:t>1</w:t>
            </w:r>
            <w:r>
              <w:rPr>
                <w:rFonts w:ascii="Times New Roman" w:hAnsi="Times New Roman" w:cs="Times New Roman"/>
                <w:sz w:val="22"/>
                <w:szCs w:val="22"/>
              </w:rPr>
              <w:t>, nefrolitiasis</w:t>
            </w:r>
            <w:r>
              <w:rPr>
                <w:rFonts w:ascii="Times New Roman" w:hAnsi="Times New Roman" w:cs="Times New Roman"/>
                <w:sz w:val="22"/>
                <w:szCs w:val="22"/>
                <w:vertAlign w:val="superscript"/>
              </w:rPr>
              <w:t>1</w:t>
            </w:r>
            <w:r>
              <w:rPr>
                <w:rFonts w:ascii="Times New Roman" w:hAnsi="Times New Roman" w:cs="Times New Roman"/>
                <w:sz w:val="22"/>
                <w:szCs w:val="22"/>
              </w:rPr>
              <w:t>, renal tubulær nekrose</w:t>
            </w:r>
            <w:r>
              <w:rPr>
                <w:rFonts w:ascii="Times New Roman" w:hAnsi="Times New Roman" w:cs="Times New Roman"/>
                <w:sz w:val="22"/>
                <w:szCs w:val="22"/>
                <w:vertAlign w:val="superscript"/>
              </w:rPr>
              <w:t>1</w:t>
            </w:r>
          </w:p>
        </w:tc>
      </w:tr>
      <w:tr w:rsidR="00745F06" w:rsidTr="005A0AE5">
        <w:trPr>
          <w:trHeight w:val="20"/>
          <w:jc w:val="center"/>
        </w:trPr>
        <w:tc>
          <w:tcPr>
            <w:tcW w:w="1823"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b/>
                <w:bCs/>
                <w:sz w:val="22"/>
                <w:szCs w:val="22"/>
              </w:rPr>
              <w:t>Almene symptomer og reaktioner på administrationsstedet</w:t>
            </w:r>
          </w:p>
        </w:tc>
        <w:tc>
          <w:tcPr>
            <w:tcW w:w="2617"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rPr>
              <w:t>Ikke almindelig</w:t>
            </w:r>
          </w:p>
        </w:tc>
        <w:tc>
          <w:tcPr>
            <w:tcW w:w="3498" w:type="dxa"/>
            <w:hideMark/>
          </w:tcPr>
          <w:p w:rsidR="00745F06" w:rsidRDefault="00745F06">
            <w:pPr>
              <w:pStyle w:val="Default"/>
              <w:rPr>
                <w:rFonts w:ascii="Times New Roman" w:hAnsi="Times New Roman" w:cs="Times New Roman"/>
                <w:sz w:val="22"/>
                <w:szCs w:val="22"/>
              </w:rPr>
            </w:pPr>
            <w:r>
              <w:rPr>
                <w:rFonts w:ascii="Times New Roman" w:hAnsi="Times New Roman" w:cs="Times New Roman"/>
                <w:sz w:val="22"/>
                <w:szCs w:val="22"/>
              </w:rPr>
              <w:t>Feber, ødem, træthed</w:t>
            </w:r>
          </w:p>
        </w:tc>
      </w:tr>
    </w:tbl>
    <w:p w:rsidR="00745F06" w:rsidRDefault="00745F06" w:rsidP="00055FD3">
      <w:pPr>
        <w:ind w:left="1134" w:hanging="283"/>
        <w:rPr>
          <w:color w:val="000000"/>
          <w:sz w:val="22"/>
          <w:szCs w:val="22"/>
          <w:vertAlign w:val="superscript"/>
        </w:rPr>
      </w:pPr>
      <w:r>
        <w:rPr>
          <w:color w:val="000000"/>
          <w:sz w:val="22"/>
          <w:szCs w:val="22"/>
          <w:vertAlign w:val="superscript"/>
        </w:rPr>
        <w:t xml:space="preserve">1 </w:t>
      </w:r>
      <w:r>
        <w:rPr>
          <w:color w:val="000000"/>
          <w:sz w:val="22"/>
          <w:szCs w:val="22"/>
          <w:vertAlign w:val="superscript"/>
        </w:rPr>
        <w:tab/>
      </w:r>
      <w:r>
        <w:rPr>
          <w:sz w:val="22"/>
          <w:szCs w:val="22"/>
        </w:rPr>
        <w:t>Bivirkninger indberettet fra erfaringer efter markedsføring. Disse stammer fra spontane rapporter, hvor det ikke altid er muligt at fastsætte en pålidelig frekvens eller årsagssammenhæng med eksponering af lægemidlet.</w:t>
      </w:r>
    </w:p>
    <w:p w:rsidR="00745F06" w:rsidRDefault="00745F06" w:rsidP="00055FD3">
      <w:pPr>
        <w:ind w:left="1134" w:hanging="283"/>
        <w:rPr>
          <w:i/>
          <w:color w:val="008000"/>
          <w:sz w:val="22"/>
          <w:szCs w:val="22"/>
        </w:rPr>
      </w:pPr>
      <w:r>
        <w:rPr>
          <w:color w:val="000000"/>
          <w:sz w:val="22"/>
          <w:szCs w:val="22"/>
          <w:vertAlign w:val="superscript"/>
        </w:rPr>
        <w:t>2</w:t>
      </w:r>
      <w:r>
        <w:rPr>
          <w:color w:val="000000"/>
          <w:sz w:val="22"/>
          <w:szCs w:val="22"/>
        </w:rPr>
        <w:t xml:space="preserve"> </w:t>
      </w:r>
      <w:r>
        <w:rPr>
          <w:color w:val="000000"/>
          <w:sz w:val="22"/>
          <w:szCs w:val="22"/>
        </w:rPr>
        <w:tab/>
      </w:r>
      <w:r>
        <w:rPr>
          <w:sz w:val="22"/>
          <w:szCs w:val="22"/>
        </w:rPr>
        <w:t>Svære former forbundet med ændringer i bevidstheden i sammenhæng med hyperammoniæmisk encefalopati er blevet rapporteret.</w:t>
      </w:r>
    </w:p>
    <w:p w:rsidR="00745F06" w:rsidRPr="00055FD3" w:rsidRDefault="00745F06" w:rsidP="00055FD3">
      <w:pPr>
        <w:tabs>
          <w:tab w:val="left" w:pos="851"/>
        </w:tabs>
        <w:ind w:left="851"/>
        <w:rPr>
          <w:sz w:val="24"/>
          <w:szCs w:val="24"/>
        </w:rPr>
      </w:pPr>
    </w:p>
    <w:p w:rsidR="00745F06" w:rsidRPr="00055FD3" w:rsidRDefault="00745F06" w:rsidP="00055FD3">
      <w:pPr>
        <w:pStyle w:val="Default"/>
        <w:tabs>
          <w:tab w:val="left" w:pos="851"/>
        </w:tabs>
        <w:ind w:left="851"/>
        <w:rPr>
          <w:u w:val="single"/>
        </w:rPr>
      </w:pPr>
      <w:r w:rsidRPr="00055FD3">
        <w:rPr>
          <w:u w:val="single"/>
        </w:rPr>
        <w:t xml:space="preserve">Beskrivelse af udvalgte bivirkninger </w:t>
      </w:r>
    </w:p>
    <w:p w:rsidR="00745F06" w:rsidRPr="00055FD3" w:rsidRDefault="00745F06" w:rsidP="00055FD3">
      <w:pPr>
        <w:tabs>
          <w:tab w:val="left" w:pos="851"/>
        </w:tabs>
        <w:ind w:left="851"/>
        <w:rPr>
          <w:sz w:val="24"/>
          <w:szCs w:val="24"/>
        </w:rPr>
      </w:pPr>
      <w:r w:rsidRPr="00055FD3">
        <w:rPr>
          <w:sz w:val="24"/>
          <w:szCs w:val="24"/>
        </w:rPr>
        <w:t>Galdesten og relaterede biliære sygdomme blev rapporteret hos omkring 2</w:t>
      </w:r>
      <w:r w:rsidR="007815B8">
        <w:rPr>
          <w:sz w:val="24"/>
          <w:szCs w:val="24"/>
        </w:rPr>
        <w:t xml:space="preserve"> %</w:t>
      </w:r>
      <w:r w:rsidRPr="00055FD3">
        <w:rPr>
          <w:sz w:val="24"/>
          <w:szCs w:val="24"/>
        </w:rPr>
        <w:t xml:space="preserve"> af patienterne. Forhøjelser af levertransaminase blev rapporteret som bivirkning hos 2</w:t>
      </w:r>
      <w:r w:rsidR="007815B8">
        <w:rPr>
          <w:sz w:val="24"/>
          <w:szCs w:val="24"/>
        </w:rPr>
        <w:t xml:space="preserve"> %</w:t>
      </w:r>
      <w:r w:rsidRPr="00055FD3">
        <w:rPr>
          <w:sz w:val="24"/>
          <w:szCs w:val="24"/>
        </w:rPr>
        <w:t>. Transaminaseniveauer, der var mere end 10 gange over normalområdets øverste grænse, hvilket indikerer hepatitis, var usædvanlige (0,3</w:t>
      </w:r>
      <w:r w:rsidR="007815B8">
        <w:rPr>
          <w:sz w:val="24"/>
          <w:szCs w:val="24"/>
        </w:rPr>
        <w:t xml:space="preserve"> %</w:t>
      </w:r>
      <w:r w:rsidRPr="00055FD3">
        <w:rPr>
          <w:sz w:val="24"/>
          <w:szCs w:val="24"/>
        </w:rPr>
        <w:t>). Efter markedsføring er leversvigt, som nogle gange var fatalt, blevet rapporteret med deferasirox (se pkt. 4.4). Der er efter markedsføring rapporteret om metabolisk acidose. Hovedparten af disse patienter havde nedsat nyrefunktion, renal tubulopati (Fanconis syndrom), eller diarré, eller forhold, hvor syre-base ubalance er en kendt komplikation (se pkt. 4.4). Der er rapporteret om tilfælde af alvorlig akut pancreatitis uden dokumenterede underliggende biliære tilstande. Som ved anden jernkelaterende behandling har højfrekvent høretab og linseuigennemsigtighed (tidlig katarakt) sjældent været observeret hos patienter i behandling med deferasirox (se pkt. 4.4).</w:t>
      </w:r>
    </w:p>
    <w:p w:rsidR="00745F06" w:rsidRPr="00055FD3" w:rsidRDefault="00745F06" w:rsidP="00055FD3">
      <w:pPr>
        <w:tabs>
          <w:tab w:val="left" w:pos="851"/>
        </w:tabs>
        <w:ind w:left="851"/>
        <w:rPr>
          <w:sz w:val="24"/>
          <w:szCs w:val="24"/>
        </w:rPr>
      </w:pPr>
    </w:p>
    <w:p w:rsidR="00745F06" w:rsidRPr="00055FD3" w:rsidRDefault="00745F06" w:rsidP="00055FD3">
      <w:pPr>
        <w:pStyle w:val="Default"/>
        <w:tabs>
          <w:tab w:val="left" w:pos="851"/>
        </w:tabs>
        <w:ind w:left="851"/>
        <w:rPr>
          <w:u w:val="single"/>
        </w:rPr>
      </w:pPr>
      <w:r w:rsidRPr="00055FD3">
        <w:rPr>
          <w:u w:val="single"/>
        </w:rPr>
        <w:t xml:space="preserve">Kreatininclearance ved transfusionsbetinget jernophobning </w:t>
      </w:r>
    </w:p>
    <w:p w:rsidR="00745F06" w:rsidRPr="00055FD3" w:rsidRDefault="00745F06" w:rsidP="00055FD3">
      <w:pPr>
        <w:tabs>
          <w:tab w:val="left" w:pos="851"/>
        </w:tabs>
        <w:ind w:left="851"/>
        <w:rPr>
          <w:sz w:val="24"/>
          <w:szCs w:val="24"/>
        </w:rPr>
      </w:pPr>
      <w:r w:rsidRPr="00055FD3">
        <w:rPr>
          <w:sz w:val="24"/>
          <w:szCs w:val="24"/>
        </w:rPr>
        <w:t>I en retrospektiv meta-analyse af 2.102 voksne og pædiatriske beta talassæmi-patienter med transfusionsbetinget jernophobning, der blev behandlet med deferasirox dispergible tabletter i to randomiserede og fire åbne studier af op til fem års varighed, blev der i løbet af det første behandlingsår observeret et gennemsnitligt fald i kreatinin-clearance på 13,2</w:t>
      </w:r>
      <w:r w:rsidR="007815B8">
        <w:rPr>
          <w:sz w:val="24"/>
          <w:szCs w:val="24"/>
        </w:rPr>
        <w:t xml:space="preserve"> %</w:t>
      </w:r>
      <w:r w:rsidRPr="00055FD3">
        <w:rPr>
          <w:sz w:val="24"/>
          <w:szCs w:val="24"/>
        </w:rPr>
        <w:t xml:space="preserve"> hos voksne patienter (95</w:t>
      </w:r>
      <w:r w:rsidR="007815B8">
        <w:rPr>
          <w:sz w:val="24"/>
          <w:szCs w:val="24"/>
        </w:rPr>
        <w:t xml:space="preserve"> %</w:t>
      </w:r>
      <w:r w:rsidRPr="00055FD3">
        <w:rPr>
          <w:sz w:val="24"/>
          <w:szCs w:val="24"/>
        </w:rPr>
        <w:t xml:space="preserve"> CI: -14,4</w:t>
      </w:r>
      <w:r w:rsidR="007815B8">
        <w:rPr>
          <w:sz w:val="24"/>
          <w:szCs w:val="24"/>
        </w:rPr>
        <w:t xml:space="preserve"> %</w:t>
      </w:r>
      <w:r w:rsidRPr="00055FD3">
        <w:rPr>
          <w:sz w:val="24"/>
          <w:szCs w:val="24"/>
        </w:rPr>
        <w:t xml:space="preserve"> til -12,1</w:t>
      </w:r>
      <w:r w:rsidR="007815B8">
        <w:rPr>
          <w:sz w:val="24"/>
          <w:szCs w:val="24"/>
        </w:rPr>
        <w:t xml:space="preserve"> %</w:t>
      </w:r>
      <w:r w:rsidRPr="00055FD3">
        <w:rPr>
          <w:sz w:val="24"/>
          <w:szCs w:val="24"/>
        </w:rPr>
        <w:t>; n=935) og på 9,9</w:t>
      </w:r>
      <w:r w:rsidR="007815B8">
        <w:rPr>
          <w:sz w:val="24"/>
          <w:szCs w:val="24"/>
        </w:rPr>
        <w:t xml:space="preserve"> %</w:t>
      </w:r>
      <w:r w:rsidRPr="00055FD3">
        <w:rPr>
          <w:sz w:val="24"/>
          <w:szCs w:val="24"/>
        </w:rPr>
        <w:t xml:space="preserve"> (95</w:t>
      </w:r>
      <w:r w:rsidR="007815B8">
        <w:rPr>
          <w:sz w:val="24"/>
          <w:szCs w:val="24"/>
        </w:rPr>
        <w:t xml:space="preserve"> %</w:t>
      </w:r>
      <w:r w:rsidRPr="00055FD3">
        <w:rPr>
          <w:sz w:val="24"/>
          <w:szCs w:val="24"/>
        </w:rPr>
        <w:t xml:space="preserve"> CI: -11,1</w:t>
      </w:r>
      <w:r w:rsidR="007815B8">
        <w:rPr>
          <w:sz w:val="24"/>
          <w:szCs w:val="24"/>
        </w:rPr>
        <w:t xml:space="preserve"> %</w:t>
      </w:r>
      <w:r w:rsidRPr="00055FD3">
        <w:rPr>
          <w:sz w:val="24"/>
          <w:szCs w:val="24"/>
        </w:rPr>
        <w:t xml:space="preserve"> til -8,6</w:t>
      </w:r>
      <w:r w:rsidR="007815B8">
        <w:rPr>
          <w:sz w:val="24"/>
          <w:szCs w:val="24"/>
        </w:rPr>
        <w:t xml:space="preserve"> %</w:t>
      </w:r>
      <w:r w:rsidRPr="00055FD3">
        <w:rPr>
          <w:sz w:val="24"/>
          <w:szCs w:val="24"/>
        </w:rPr>
        <w:t>; n=1.142) hos pædiatriske patienter. Hos 250 patienter, der blev fulgt i op til fem, blev der ikke observeret yderligere fald i det gennemsnitlige kreatininclearance-niveau.</w:t>
      </w:r>
    </w:p>
    <w:p w:rsidR="00745F06" w:rsidRPr="00055FD3" w:rsidRDefault="00745F06" w:rsidP="00055FD3">
      <w:pPr>
        <w:tabs>
          <w:tab w:val="left" w:pos="851"/>
        </w:tabs>
        <w:ind w:left="851"/>
        <w:rPr>
          <w:sz w:val="24"/>
          <w:szCs w:val="24"/>
        </w:rPr>
      </w:pPr>
    </w:p>
    <w:p w:rsidR="00745F06" w:rsidRPr="00055FD3" w:rsidRDefault="00745F06" w:rsidP="00055FD3">
      <w:pPr>
        <w:pStyle w:val="Default"/>
        <w:tabs>
          <w:tab w:val="left" w:pos="851"/>
        </w:tabs>
        <w:ind w:left="851"/>
        <w:rPr>
          <w:u w:val="single"/>
        </w:rPr>
      </w:pPr>
      <w:r w:rsidRPr="00055FD3">
        <w:rPr>
          <w:u w:val="single"/>
        </w:rPr>
        <w:t xml:space="preserve">Klinisk studie hos patienter med ikke-transfusionsafhængige talassæmi-syndromert </w:t>
      </w:r>
    </w:p>
    <w:p w:rsidR="00745F06" w:rsidRPr="00055FD3" w:rsidRDefault="00745F06" w:rsidP="00055FD3">
      <w:pPr>
        <w:tabs>
          <w:tab w:val="left" w:pos="851"/>
        </w:tabs>
        <w:ind w:left="851"/>
        <w:rPr>
          <w:sz w:val="24"/>
          <w:szCs w:val="24"/>
        </w:rPr>
      </w:pPr>
      <w:r w:rsidRPr="00055FD3">
        <w:rPr>
          <w:sz w:val="24"/>
          <w:szCs w:val="24"/>
        </w:rPr>
        <w:t>I et 1-årigt studie hos patienter med ikke-transfusionsafhængige talassæmi-syndromer og jernophobning (dispergible tabletter med en dosis på 10 mg/kg/dag) var diarré (9,1</w:t>
      </w:r>
      <w:r w:rsidR="007815B8">
        <w:rPr>
          <w:sz w:val="24"/>
          <w:szCs w:val="24"/>
        </w:rPr>
        <w:t xml:space="preserve"> %</w:t>
      </w:r>
      <w:r w:rsidRPr="00055FD3">
        <w:rPr>
          <w:sz w:val="24"/>
          <w:szCs w:val="24"/>
        </w:rPr>
        <w:t>), udslæt (9,1</w:t>
      </w:r>
      <w:r w:rsidR="007815B8">
        <w:rPr>
          <w:sz w:val="24"/>
          <w:szCs w:val="24"/>
        </w:rPr>
        <w:t xml:space="preserve"> %</w:t>
      </w:r>
      <w:r w:rsidRPr="00055FD3">
        <w:rPr>
          <w:sz w:val="24"/>
          <w:szCs w:val="24"/>
        </w:rPr>
        <w:t>) og kvalme (7,3</w:t>
      </w:r>
      <w:r w:rsidR="007815B8">
        <w:rPr>
          <w:sz w:val="24"/>
          <w:szCs w:val="24"/>
        </w:rPr>
        <w:t xml:space="preserve"> %</w:t>
      </w:r>
      <w:r w:rsidRPr="00055FD3">
        <w:rPr>
          <w:sz w:val="24"/>
          <w:szCs w:val="24"/>
        </w:rPr>
        <w:t>) de hyppigste bivirkninger ved forsøgslægemidlet. Unormale værdier for serum-kreatinin og kreatininclearance blev indberettet hos henholdsvis 5,5</w:t>
      </w:r>
      <w:r w:rsidR="007815B8">
        <w:rPr>
          <w:sz w:val="24"/>
          <w:szCs w:val="24"/>
        </w:rPr>
        <w:t xml:space="preserve"> %</w:t>
      </w:r>
      <w:r w:rsidRPr="00055FD3">
        <w:rPr>
          <w:sz w:val="24"/>
          <w:szCs w:val="24"/>
        </w:rPr>
        <w:t xml:space="preserve"> og 1,8</w:t>
      </w:r>
      <w:r w:rsidR="007815B8">
        <w:rPr>
          <w:sz w:val="24"/>
          <w:szCs w:val="24"/>
        </w:rPr>
        <w:t xml:space="preserve"> %</w:t>
      </w:r>
      <w:r w:rsidRPr="00055FD3">
        <w:rPr>
          <w:sz w:val="24"/>
          <w:szCs w:val="24"/>
        </w:rPr>
        <w:t xml:space="preserve"> patienterne. Stigninger i leveraminotransferaser til over 2 gange </w:t>
      </w:r>
      <w:r w:rsidRPr="00055FD3">
        <w:rPr>
          <w:i/>
          <w:iCs/>
          <w:sz w:val="24"/>
          <w:szCs w:val="24"/>
        </w:rPr>
        <w:t xml:space="preserve">baseline </w:t>
      </w:r>
      <w:r w:rsidRPr="00055FD3">
        <w:rPr>
          <w:sz w:val="24"/>
          <w:szCs w:val="24"/>
        </w:rPr>
        <w:t>og 5 gange den øvre grænse for normalværdien blev rapporteret hos 1,8</w:t>
      </w:r>
      <w:r w:rsidR="007815B8">
        <w:rPr>
          <w:sz w:val="24"/>
          <w:szCs w:val="24"/>
        </w:rPr>
        <w:t xml:space="preserve"> %</w:t>
      </w:r>
      <w:r w:rsidRPr="00055FD3">
        <w:rPr>
          <w:sz w:val="24"/>
          <w:szCs w:val="24"/>
        </w:rPr>
        <w:t xml:space="preserve"> af patienterne.</w:t>
      </w:r>
    </w:p>
    <w:p w:rsidR="00745F06" w:rsidRPr="00055FD3" w:rsidRDefault="00745F06" w:rsidP="00055FD3">
      <w:pPr>
        <w:tabs>
          <w:tab w:val="left" w:pos="851"/>
        </w:tabs>
        <w:ind w:left="851"/>
        <w:rPr>
          <w:sz w:val="24"/>
          <w:szCs w:val="24"/>
        </w:rPr>
      </w:pPr>
    </w:p>
    <w:p w:rsidR="00745F06" w:rsidRPr="000A0A4D" w:rsidRDefault="00745F06" w:rsidP="00055FD3">
      <w:pPr>
        <w:pStyle w:val="Default"/>
        <w:tabs>
          <w:tab w:val="left" w:pos="851"/>
        </w:tabs>
        <w:ind w:left="851"/>
        <w:rPr>
          <w:u w:val="single"/>
        </w:rPr>
      </w:pPr>
      <w:r w:rsidRPr="000A0A4D">
        <w:rPr>
          <w:iCs/>
          <w:u w:val="single"/>
        </w:rPr>
        <w:t xml:space="preserve">Pædiatrisk population </w:t>
      </w:r>
    </w:p>
    <w:p w:rsidR="00745F06" w:rsidRPr="00055FD3" w:rsidRDefault="00745F06" w:rsidP="00055FD3">
      <w:pPr>
        <w:pStyle w:val="Default"/>
        <w:tabs>
          <w:tab w:val="left" w:pos="851"/>
        </w:tabs>
        <w:ind w:left="851"/>
      </w:pPr>
      <w:r w:rsidRPr="00055FD3">
        <w:t xml:space="preserve">I to kliniske studier blev vækst og seksuel udvikling ikke påvirket hos pædiatriske patienter behandlet med deferasirox i op til 5 år (se pkt. 4.4). </w:t>
      </w:r>
    </w:p>
    <w:p w:rsidR="00745F06" w:rsidRPr="00055FD3" w:rsidRDefault="00745F06" w:rsidP="00055FD3">
      <w:pPr>
        <w:pStyle w:val="Default"/>
        <w:tabs>
          <w:tab w:val="left" w:pos="851"/>
        </w:tabs>
        <w:ind w:left="851"/>
      </w:pPr>
    </w:p>
    <w:p w:rsidR="00745F06" w:rsidRPr="00055FD3" w:rsidRDefault="00745F06" w:rsidP="00055FD3">
      <w:pPr>
        <w:pStyle w:val="Default"/>
        <w:tabs>
          <w:tab w:val="left" w:pos="851"/>
        </w:tabs>
        <w:ind w:left="851"/>
      </w:pPr>
      <w:r w:rsidRPr="00055FD3">
        <w:t xml:space="preserve">Diarré er rapporteret oftere hos pædiatriske patienter i alderen 2 til 5 år end hos ældre patienter. </w:t>
      </w:r>
    </w:p>
    <w:p w:rsidR="00745F06" w:rsidRPr="00055FD3" w:rsidRDefault="00745F06" w:rsidP="00055FD3">
      <w:pPr>
        <w:pStyle w:val="Default"/>
        <w:tabs>
          <w:tab w:val="left" w:pos="851"/>
        </w:tabs>
        <w:ind w:left="851"/>
      </w:pPr>
    </w:p>
    <w:p w:rsidR="00745F06" w:rsidRPr="00055FD3" w:rsidRDefault="00745F06" w:rsidP="00055FD3">
      <w:pPr>
        <w:pStyle w:val="Default"/>
        <w:tabs>
          <w:tab w:val="left" w:pos="851"/>
        </w:tabs>
        <w:ind w:left="851"/>
      </w:pPr>
      <w:r w:rsidRPr="00055FD3">
        <w:t xml:space="preserve">Renal tubulopati har hovedsagelig været rapporteret hos børn og unge med beta-talassæmi behandlet med deferasirox. I rapporter efter markesdsføring, blev det set at en stor del af tilfældende af metabolisk acidose forekom hos børn i forbindelse med Fanconis syndrom. </w:t>
      </w:r>
    </w:p>
    <w:p w:rsidR="00745F06" w:rsidRPr="00055FD3" w:rsidRDefault="00745F06" w:rsidP="00055FD3">
      <w:pPr>
        <w:pStyle w:val="Default"/>
        <w:tabs>
          <w:tab w:val="left" w:pos="851"/>
        </w:tabs>
        <w:ind w:left="851"/>
      </w:pPr>
    </w:p>
    <w:p w:rsidR="00745F06" w:rsidRPr="00055FD3" w:rsidRDefault="00745F06" w:rsidP="00055FD3">
      <w:pPr>
        <w:tabs>
          <w:tab w:val="left" w:pos="851"/>
        </w:tabs>
        <w:ind w:left="851"/>
        <w:rPr>
          <w:sz w:val="24"/>
          <w:szCs w:val="24"/>
        </w:rPr>
      </w:pPr>
      <w:r w:rsidRPr="00055FD3">
        <w:rPr>
          <w:sz w:val="24"/>
          <w:szCs w:val="24"/>
        </w:rPr>
        <w:t>Der er blevet rapporteret om akut pancreatitis, særligt hos børn og unge.</w:t>
      </w:r>
    </w:p>
    <w:p w:rsidR="00745F06" w:rsidRPr="00055FD3" w:rsidRDefault="00745F06" w:rsidP="00055FD3">
      <w:pPr>
        <w:tabs>
          <w:tab w:val="left" w:pos="851"/>
        </w:tabs>
        <w:ind w:left="851"/>
        <w:rPr>
          <w:sz w:val="24"/>
          <w:szCs w:val="24"/>
        </w:rPr>
      </w:pPr>
    </w:p>
    <w:p w:rsidR="00745F06" w:rsidRPr="00055FD3" w:rsidRDefault="00745F06" w:rsidP="00055FD3">
      <w:pPr>
        <w:tabs>
          <w:tab w:val="left" w:pos="851"/>
        </w:tabs>
        <w:ind w:left="851"/>
        <w:rPr>
          <w:sz w:val="24"/>
          <w:szCs w:val="24"/>
          <w:u w:val="single"/>
        </w:rPr>
      </w:pPr>
      <w:r w:rsidRPr="00055FD3">
        <w:rPr>
          <w:sz w:val="24"/>
          <w:szCs w:val="24"/>
          <w:u w:val="single"/>
        </w:rPr>
        <w:t>Indberetning af formodede bivirkninger</w:t>
      </w:r>
    </w:p>
    <w:p w:rsidR="00745F06" w:rsidRPr="00055FD3" w:rsidRDefault="00745F06" w:rsidP="00055FD3">
      <w:pPr>
        <w:tabs>
          <w:tab w:val="left" w:pos="851"/>
        </w:tabs>
        <w:ind w:left="851"/>
        <w:rPr>
          <w:sz w:val="24"/>
          <w:szCs w:val="24"/>
        </w:rPr>
      </w:pPr>
      <w:r w:rsidRPr="00055FD3">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745F06" w:rsidRPr="00055FD3" w:rsidRDefault="00745F06" w:rsidP="00055FD3">
      <w:pPr>
        <w:tabs>
          <w:tab w:val="left" w:pos="851"/>
        </w:tabs>
        <w:ind w:left="851"/>
        <w:rPr>
          <w:sz w:val="24"/>
          <w:szCs w:val="24"/>
        </w:rPr>
      </w:pPr>
    </w:p>
    <w:p w:rsidR="00745F06" w:rsidRPr="00055FD3" w:rsidRDefault="00745F06" w:rsidP="00055FD3">
      <w:pPr>
        <w:tabs>
          <w:tab w:val="left" w:pos="851"/>
        </w:tabs>
        <w:ind w:left="851"/>
        <w:rPr>
          <w:sz w:val="24"/>
          <w:szCs w:val="24"/>
        </w:rPr>
      </w:pPr>
      <w:r w:rsidRPr="00055FD3">
        <w:rPr>
          <w:sz w:val="24"/>
          <w:szCs w:val="24"/>
        </w:rPr>
        <w:t>Lægemiddelstyrelsen</w:t>
      </w:r>
    </w:p>
    <w:p w:rsidR="00745F06" w:rsidRPr="00055FD3" w:rsidRDefault="00745F06" w:rsidP="00055FD3">
      <w:pPr>
        <w:tabs>
          <w:tab w:val="left" w:pos="851"/>
        </w:tabs>
        <w:ind w:left="851"/>
        <w:rPr>
          <w:sz w:val="24"/>
          <w:szCs w:val="24"/>
        </w:rPr>
      </w:pPr>
      <w:r w:rsidRPr="00055FD3">
        <w:rPr>
          <w:sz w:val="24"/>
          <w:szCs w:val="24"/>
        </w:rPr>
        <w:t>Axel Heides Gade 1</w:t>
      </w:r>
    </w:p>
    <w:p w:rsidR="00745F06" w:rsidRPr="00055FD3" w:rsidRDefault="00745F06" w:rsidP="00055FD3">
      <w:pPr>
        <w:tabs>
          <w:tab w:val="left" w:pos="851"/>
        </w:tabs>
        <w:ind w:left="851"/>
        <w:rPr>
          <w:sz w:val="24"/>
          <w:szCs w:val="24"/>
        </w:rPr>
      </w:pPr>
      <w:r w:rsidRPr="00055FD3">
        <w:rPr>
          <w:sz w:val="24"/>
          <w:szCs w:val="24"/>
        </w:rPr>
        <w:t>DK-2300 København S</w:t>
      </w:r>
    </w:p>
    <w:p w:rsidR="00745F06" w:rsidRPr="00055FD3" w:rsidRDefault="00745F06" w:rsidP="00055FD3">
      <w:pPr>
        <w:tabs>
          <w:tab w:val="left" w:pos="851"/>
        </w:tabs>
        <w:ind w:left="851"/>
        <w:rPr>
          <w:sz w:val="24"/>
          <w:szCs w:val="24"/>
        </w:rPr>
      </w:pPr>
      <w:r w:rsidRPr="00055FD3">
        <w:rPr>
          <w:sz w:val="24"/>
          <w:szCs w:val="24"/>
        </w:rPr>
        <w:t>Websted: www.meldenbivirkning.dk</w:t>
      </w:r>
    </w:p>
    <w:p w:rsidR="009260DE" w:rsidRPr="00055FD3" w:rsidRDefault="009260DE" w:rsidP="00055FD3">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DA6C52" w:rsidRPr="00DA6C52" w:rsidRDefault="00DA6C52" w:rsidP="00DA6C52">
      <w:pPr>
        <w:tabs>
          <w:tab w:val="left" w:pos="851"/>
        </w:tabs>
        <w:ind w:left="851"/>
        <w:rPr>
          <w:sz w:val="24"/>
          <w:szCs w:val="24"/>
        </w:rPr>
      </w:pPr>
      <w:r w:rsidRPr="00DA6C52">
        <w:rPr>
          <w:sz w:val="24"/>
          <w:szCs w:val="24"/>
        </w:rPr>
        <w:t xml:space="preserve">Tidlige tegn på akut overdosering er bivirkninger relateret til mave-tarm-kanalen såsom mavesmerter, diarré, kvalme og opkast. Lever- og nyresygdomme er blevet rapporteret, herunder tilfælde af øget leverenzym og kreatin med bedring efter seponering af behandlingen. En fejlagtig administration, af en enkelt dosis på 90 mg/kg, resulterede i Fanconis syndrom, som forsvandt efter behandlingen. </w:t>
      </w:r>
    </w:p>
    <w:p w:rsidR="00DA6C52" w:rsidRPr="00DA6C52" w:rsidRDefault="00DA6C52" w:rsidP="00DA6C52">
      <w:pPr>
        <w:tabs>
          <w:tab w:val="left" w:pos="851"/>
        </w:tabs>
        <w:ind w:left="851"/>
        <w:rPr>
          <w:sz w:val="24"/>
          <w:szCs w:val="24"/>
        </w:rPr>
      </w:pPr>
    </w:p>
    <w:p w:rsidR="00DA6C52" w:rsidRPr="00DA6C52" w:rsidRDefault="00DA6C52" w:rsidP="00DA6C52">
      <w:pPr>
        <w:tabs>
          <w:tab w:val="left" w:pos="851"/>
        </w:tabs>
        <w:ind w:left="851"/>
        <w:rPr>
          <w:sz w:val="24"/>
          <w:szCs w:val="24"/>
        </w:rPr>
      </w:pPr>
      <w:r w:rsidRPr="00DA6C52">
        <w:rPr>
          <w:sz w:val="24"/>
          <w:szCs w:val="24"/>
        </w:rPr>
        <w:t>Der findes ingen specifik antidot for desferasirox. Såfremt det er klinisk hensigtsmæssigt, kan standardprocedurer til behandling af overdosering og symptomatisk behandling være nødvendig.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DA6C52"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DB0330" w:rsidRPr="00DB0330" w:rsidRDefault="00DB0330" w:rsidP="00DB0330">
      <w:pPr>
        <w:tabs>
          <w:tab w:val="left" w:pos="851"/>
        </w:tabs>
        <w:ind w:left="851"/>
        <w:rPr>
          <w:sz w:val="24"/>
          <w:szCs w:val="24"/>
        </w:rPr>
      </w:pPr>
      <w:r w:rsidRPr="00DB0330">
        <w:rPr>
          <w:sz w:val="24"/>
          <w:szCs w:val="24"/>
        </w:rPr>
        <w:t>ATC-kode: V</w:t>
      </w:r>
      <w:r>
        <w:rPr>
          <w:sz w:val="24"/>
          <w:szCs w:val="24"/>
        </w:rPr>
        <w:t xml:space="preserve"> </w:t>
      </w:r>
      <w:r w:rsidRPr="00DB0330">
        <w:rPr>
          <w:sz w:val="24"/>
          <w:szCs w:val="24"/>
        </w:rPr>
        <w:t>03</w:t>
      </w:r>
      <w:r>
        <w:rPr>
          <w:sz w:val="24"/>
          <w:szCs w:val="24"/>
        </w:rPr>
        <w:t xml:space="preserve"> </w:t>
      </w:r>
      <w:r w:rsidRPr="00DB0330">
        <w:rPr>
          <w:sz w:val="24"/>
          <w:szCs w:val="24"/>
        </w:rPr>
        <w:t>AC</w:t>
      </w:r>
      <w:r>
        <w:rPr>
          <w:sz w:val="24"/>
          <w:szCs w:val="24"/>
        </w:rPr>
        <w:t xml:space="preserve"> </w:t>
      </w:r>
      <w:r w:rsidRPr="00DB0330">
        <w:rPr>
          <w:sz w:val="24"/>
          <w:szCs w:val="24"/>
        </w:rPr>
        <w:t>03. Jernkelerende præparat.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6431AB" w:rsidRPr="006431AB" w:rsidRDefault="006431AB" w:rsidP="006431AB">
      <w:pPr>
        <w:tabs>
          <w:tab w:val="left" w:pos="851"/>
        </w:tabs>
        <w:ind w:left="851"/>
        <w:rPr>
          <w:b/>
          <w:sz w:val="24"/>
          <w:szCs w:val="24"/>
        </w:rPr>
      </w:pPr>
    </w:p>
    <w:p w:rsidR="006431AB" w:rsidRPr="006431AB" w:rsidRDefault="006431AB" w:rsidP="006431AB">
      <w:pPr>
        <w:tabs>
          <w:tab w:val="left" w:pos="851"/>
        </w:tabs>
        <w:ind w:left="851"/>
        <w:rPr>
          <w:sz w:val="24"/>
          <w:szCs w:val="24"/>
          <w:u w:val="single"/>
        </w:rPr>
      </w:pPr>
      <w:r w:rsidRPr="006431AB">
        <w:rPr>
          <w:sz w:val="24"/>
          <w:szCs w:val="24"/>
          <w:u w:val="single"/>
        </w:rPr>
        <w:t xml:space="preserve">Virkningsmekanisme </w:t>
      </w:r>
    </w:p>
    <w:p w:rsidR="006431AB" w:rsidRPr="006431AB" w:rsidRDefault="006431AB" w:rsidP="006431AB">
      <w:pPr>
        <w:tabs>
          <w:tab w:val="left" w:pos="851"/>
        </w:tabs>
        <w:ind w:left="851"/>
        <w:rPr>
          <w:sz w:val="24"/>
          <w:szCs w:val="24"/>
        </w:rPr>
      </w:pPr>
      <w:r w:rsidRPr="006431AB">
        <w:rPr>
          <w:sz w:val="24"/>
          <w:szCs w:val="24"/>
        </w:rPr>
        <w:t>Deferasirox er en oralt aktiv kelator, der er stærkt selektiv for jern (III). Det er en tridentat ligand, der binder jern med høj affinitet med en ratio på 2:1. Deferasirox fremmer ekskretionen af jern, primært i fæces. Deferasirox har lav affinitet for zink og kobber, og forårsager ikke lave serum-niveauer for disse metaller.</w:t>
      </w:r>
    </w:p>
    <w:p w:rsidR="006431AB" w:rsidRPr="006431AB" w:rsidRDefault="006431AB" w:rsidP="006431AB">
      <w:pPr>
        <w:tabs>
          <w:tab w:val="left" w:pos="851"/>
        </w:tabs>
        <w:ind w:left="851"/>
        <w:rPr>
          <w:sz w:val="24"/>
          <w:szCs w:val="24"/>
        </w:rPr>
      </w:pPr>
    </w:p>
    <w:p w:rsidR="006431AB" w:rsidRPr="006431AB" w:rsidRDefault="006431AB" w:rsidP="006431AB">
      <w:pPr>
        <w:tabs>
          <w:tab w:val="left" w:pos="851"/>
        </w:tabs>
        <w:ind w:left="851"/>
        <w:rPr>
          <w:sz w:val="24"/>
          <w:szCs w:val="24"/>
          <w:u w:val="single"/>
        </w:rPr>
      </w:pPr>
      <w:r w:rsidRPr="006431AB">
        <w:rPr>
          <w:sz w:val="24"/>
          <w:szCs w:val="24"/>
          <w:u w:val="single"/>
        </w:rPr>
        <w:t xml:space="preserve">Farmakodynamisk virkning </w:t>
      </w:r>
    </w:p>
    <w:p w:rsidR="006431AB" w:rsidRPr="006431AB" w:rsidRDefault="006431AB" w:rsidP="006431AB">
      <w:pPr>
        <w:tabs>
          <w:tab w:val="left" w:pos="851"/>
        </w:tabs>
        <w:ind w:left="851"/>
        <w:rPr>
          <w:sz w:val="24"/>
          <w:szCs w:val="24"/>
        </w:rPr>
      </w:pPr>
      <w:r w:rsidRPr="006431AB">
        <w:rPr>
          <w:sz w:val="24"/>
          <w:szCs w:val="24"/>
        </w:rPr>
        <w:t xml:space="preserve">I et studie i metabolisk jernbalance hos voksne talassæmipatienter med jernophobning, forårsagede daglige defrasirox-doser på 10, 20 og 40 mg/kg (dispergibel tablet-formulering) en gennemsnitlig nettoudskillelse på henholdsvis 0,119, 0,329 og 0,445 mg Fe/kg kropsvægt/dag. </w:t>
      </w:r>
    </w:p>
    <w:p w:rsidR="006431AB" w:rsidRPr="006431AB" w:rsidRDefault="006431AB" w:rsidP="006431AB">
      <w:pPr>
        <w:tabs>
          <w:tab w:val="left" w:pos="851"/>
        </w:tabs>
        <w:ind w:left="851"/>
        <w:rPr>
          <w:sz w:val="24"/>
          <w:szCs w:val="24"/>
        </w:rPr>
      </w:pPr>
    </w:p>
    <w:p w:rsidR="006431AB" w:rsidRPr="006431AB" w:rsidRDefault="006431AB" w:rsidP="006431AB">
      <w:pPr>
        <w:tabs>
          <w:tab w:val="left" w:pos="851"/>
        </w:tabs>
        <w:ind w:left="851"/>
        <w:rPr>
          <w:sz w:val="24"/>
          <w:szCs w:val="24"/>
          <w:u w:val="single"/>
        </w:rPr>
      </w:pPr>
      <w:r w:rsidRPr="006431AB">
        <w:rPr>
          <w:sz w:val="24"/>
          <w:szCs w:val="24"/>
          <w:u w:val="single"/>
        </w:rPr>
        <w:t xml:space="preserve">Klinisk virkning og sikkerhed </w:t>
      </w:r>
    </w:p>
    <w:p w:rsidR="006431AB" w:rsidRPr="006431AB" w:rsidRDefault="006431AB" w:rsidP="006431AB">
      <w:pPr>
        <w:tabs>
          <w:tab w:val="left" w:pos="851"/>
        </w:tabs>
        <w:ind w:left="851"/>
        <w:rPr>
          <w:sz w:val="24"/>
          <w:szCs w:val="24"/>
        </w:rPr>
      </w:pPr>
      <w:r w:rsidRPr="006431AB">
        <w:rPr>
          <w:sz w:val="24"/>
          <w:szCs w:val="24"/>
        </w:rPr>
        <w:t>Kliniske studier omkring virkningen blev udført med deferasirox dispergible tabletter</w:t>
      </w:r>
      <w:r w:rsidR="00F44660">
        <w:rPr>
          <w:sz w:val="24"/>
          <w:szCs w:val="24"/>
        </w:rPr>
        <w:t xml:space="preserve"> </w:t>
      </w:r>
      <w:r w:rsidR="00F44660">
        <w:t xml:space="preserve">(nedenfor nævnt som </w:t>
      </w:r>
      <w:r w:rsidR="00F44660">
        <w:t>"</w:t>
      </w:r>
      <w:r w:rsidR="00F44660">
        <w:t>deferasirox</w:t>
      </w:r>
      <w:r w:rsidR="00F44660">
        <w:t>"</w:t>
      </w:r>
      <w:r w:rsidR="00F44660">
        <w:t>)</w:t>
      </w:r>
      <w:r w:rsidR="00F44660" w:rsidRPr="00DC7ECF">
        <w:rPr>
          <w:sz w:val="24"/>
          <w:szCs w:val="24"/>
        </w:rPr>
        <w:t>.</w:t>
      </w:r>
      <w:r w:rsidR="00F44660">
        <w:rPr>
          <w:sz w:val="24"/>
          <w:szCs w:val="24"/>
        </w:rPr>
        <w:t xml:space="preserve"> </w:t>
      </w:r>
      <w:r w:rsidR="00F44660">
        <w:t>Sammenlignet med deferasirox dispergible tabletformuleringen er dosis for deferasirox filmovertrukne tabletter 30 % lavere end dosis for deferasirox dispergible tabletter, afrundet til nærmeste hele tablet (se pkt. 5.2)</w:t>
      </w:r>
      <w:r w:rsidRPr="006431AB">
        <w:rPr>
          <w:sz w:val="24"/>
          <w:szCs w:val="24"/>
        </w:rPr>
        <w:t>.</w:t>
      </w:r>
    </w:p>
    <w:p w:rsidR="006431AB" w:rsidRPr="006431AB" w:rsidRDefault="006431AB" w:rsidP="006431AB">
      <w:pPr>
        <w:tabs>
          <w:tab w:val="left" w:pos="851"/>
        </w:tabs>
        <w:ind w:left="851"/>
        <w:rPr>
          <w:sz w:val="24"/>
          <w:szCs w:val="24"/>
        </w:rPr>
      </w:pPr>
    </w:p>
    <w:p w:rsidR="006431AB" w:rsidRPr="006431AB" w:rsidRDefault="006431AB" w:rsidP="006431AB">
      <w:pPr>
        <w:tabs>
          <w:tab w:val="left" w:pos="851"/>
        </w:tabs>
        <w:ind w:left="851"/>
        <w:rPr>
          <w:sz w:val="24"/>
          <w:szCs w:val="24"/>
        </w:rPr>
      </w:pPr>
      <w:r w:rsidRPr="006431AB">
        <w:rPr>
          <w:sz w:val="24"/>
          <w:szCs w:val="24"/>
        </w:rPr>
        <w:t xml:space="preserve">Deferasirox er undersøgt hos 411 voksne (alder ≥ 16 år) og 292 pædiatriske patienter (alder 2 til &lt; 16 år) med kronisk jernophobning forårsaget af blodtransfusioner. Af de pædiatriske patienter var 52 af disse 2 til 5 år gamle. De underliggende tilstande, der krævede blodtransfusion, inkluderede beta-talassæmi, seglcelleanæmi og andre medfødte og erhvervede anæmier (myelodysplastiske syndromer [MDS], Diamond-Blackfan-syndrom, aplastisk anæmi og andre meget sjældne anæmier). </w:t>
      </w:r>
    </w:p>
    <w:p w:rsidR="006431AB" w:rsidRPr="006431AB" w:rsidRDefault="006431AB" w:rsidP="006431AB">
      <w:pPr>
        <w:tabs>
          <w:tab w:val="left" w:pos="851"/>
        </w:tabs>
        <w:ind w:left="851"/>
        <w:rPr>
          <w:sz w:val="24"/>
          <w:szCs w:val="24"/>
        </w:rPr>
      </w:pPr>
    </w:p>
    <w:p w:rsidR="006431AB" w:rsidRPr="006431AB" w:rsidRDefault="006431AB" w:rsidP="006431AB">
      <w:pPr>
        <w:tabs>
          <w:tab w:val="left" w:pos="851"/>
        </w:tabs>
        <w:ind w:left="851"/>
        <w:rPr>
          <w:sz w:val="24"/>
          <w:szCs w:val="24"/>
        </w:rPr>
      </w:pPr>
      <w:r w:rsidRPr="006431AB">
        <w:rPr>
          <w:sz w:val="24"/>
          <w:szCs w:val="24"/>
        </w:rPr>
        <w:t xml:space="preserve">Daglig behandling med den dispergible tablet-formlering for deferaosirox med doser på 20 og 30 mg/kg i et år hos voksne og pædiatriske patienter med beta-talassæmi, som hyppigt modtog transfusioner, førte til reduktioner i indikatorer for totalt kropsjern; lever-jernkoncentrationen blev reduceret med henholdsvis omkring -0,4 og -8 mg Fe/g lever (biopsi-tørvægt) i gennemsnit, og serum-ferritin blev reduceret med henholdsvis omkring -36 og -926 μg/l i gennemsnit. Ved samme doser var ratioen for jernudskillelse: jernindtag henholdsvis 1,02 (hvilket indikerer netto-jernbalance) og 1,67 (hvilket indikerer netto-jernudskillelse). Deferasirox forårsagede lignende respons hos patienter med jernophobning med andre anæmier. Daglige doser (dispergible tablet-formulering) på 10 mg/kg i et år kunne opretholde leverjern og serum-ferritinniveauer og forårsage netto jernbalance hos patienter, der sjældent modtog transfusioner eller udskiftningstransfusioner. Serum-ferritin, der blev vurderet ved månedlig monitorering, afspejlede ændringer i lever-jernkoncentration. Dette tyder på, at tendenser i serum-ferritin kan anvendes til at monitorere respons på behandling. Begrænsede kliniske data (29 patienter med normal hjertefunktion ved </w:t>
      </w:r>
      <w:r w:rsidRPr="006431AB">
        <w:rPr>
          <w:i/>
          <w:iCs/>
          <w:sz w:val="24"/>
          <w:szCs w:val="24"/>
        </w:rPr>
        <w:t>baseline</w:t>
      </w:r>
      <w:r w:rsidRPr="006431AB">
        <w:rPr>
          <w:sz w:val="24"/>
          <w:szCs w:val="24"/>
        </w:rPr>
        <w:t xml:space="preserve">), der blev opnået med MRI, indikerer, at behandling med deferasirox 10-30 mg/kg/dag (dispergibel tablet-formulering) i 1 år også kan reducere jern-niveauer i hjertet (i gennemsnit, MRI T2* øget fra 18,3 til 23,0 millisekunder). </w:t>
      </w:r>
    </w:p>
    <w:p w:rsidR="006431AB" w:rsidRPr="006431AB" w:rsidRDefault="006431AB" w:rsidP="006431AB">
      <w:pPr>
        <w:tabs>
          <w:tab w:val="left" w:pos="851"/>
        </w:tabs>
        <w:ind w:left="851"/>
        <w:rPr>
          <w:sz w:val="24"/>
          <w:szCs w:val="24"/>
        </w:rPr>
      </w:pPr>
    </w:p>
    <w:p w:rsidR="006431AB" w:rsidRPr="006431AB" w:rsidRDefault="006431AB" w:rsidP="006431AB">
      <w:pPr>
        <w:tabs>
          <w:tab w:val="left" w:pos="851"/>
        </w:tabs>
        <w:ind w:left="851"/>
        <w:rPr>
          <w:sz w:val="24"/>
          <w:szCs w:val="24"/>
        </w:rPr>
      </w:pPr>
      <w:r w:rsidRPr="006431AB">
        <w:rPr>
          <w:sz w:val="24"/>
          <w:szCs w:val="24"/>
        </w:rPr>
        <w:t>Hovedanalysen af det afgørende sammenligningsstudie hos 586 patienter med beta-talassæmi og transfusionsbetinget jernophobning viste ikke non-inferiority af deferasirox dispergible tabletter sammenlignet med deferoxamin i analysen af den totale patientpopulation. I en post-hoc-analyse af dette studie blev non-inferiority-kriteriet opnået i undergruppen af patienter med lever-jernkoncentration ≥ 7 mg Fe/g biopsi-tørvægt behandlet med deferasirox dispergible tabletter (20 og 30 mg/kg) eller deferoxamin (35 til ≥ 50 mg/kg). Hos patienter med lever-jernkoncentration &lt; 7 mg Fe/g biopsi-tørvægt, der blev behandlet med deferasirox dispergible tabletter (5 og 10 mg/kg) eller deferoxamin (20 eller 35 mg/kg), blev non-inferiority imidlertid ikke opnået. Dette skyldtes ubalance i doseringen af de to kelatorer. Denne ubalance opstod, fordi patienter på deferoxamin fik tilladelse til at blive på deres før-studiedosering, selvom denne dosis var højere end den protokolspecificerede dosis. 56 patienter under 6 år deltog i dette afgørende studie, 28 af dem modtagende deferasirox dispergible tabletter.</w:t>
      </w:r>
    </w:p>
    <w:p w:rsidR="006431AB" w:rsidRPr="006431AB" w:rsidRDefault="006431AB" w:rsidP="006431AB">
      <w:pPr>
        <w:tabs>
          <w:tab w:val="left" w:pos="851"/>
        </w:tabs>
        <w:ind w:left="851"/>
        <w:rPr>
          <w:sz w:val="24"/>
          <w:szCs w:val="24"/>
        </w:rPr>
      </w:pPr>
    </w:p>
    <w:p w:rsidR="006431AB" w:rsidRPr="006431AB" w:rsidRDefault="006431AB" w:rsidP="006431AB">
      <w:pPr>
        <w:tabs>
          <w:tab w:val="left" w:pos="851"/>
        </w:tabs>
        <w:ind w:left="851"/>
        <w:rPr>
          <w:sz w:val="24"/>
          <w:szCs w:val="24"/>
        </w:rPr>
      </w:pPr>
      <w:r w:rsidRPr="006431AB">
        <w:rPr>
          <w:sz w:val="24"/>
          <w:szCs w:val="24"/>
        </w:rPr>
        <w:t xml:space="preserve">Det fremgik af prækliniske og kliniske studier, at deferasirox dispergible tabletter kunne være ligeså aktive som deferoxamin, når de blev administreret i en dosisratio på 2:1 (det vil sige en dosis deferasirox dispergible tabletter, der numerisk er halvdelen af deferoxamindosis). For deferasirox filmovertrukne tabletter kan en dosisratio på 3:1 overvejes (det vil sige at en dosis af deferasirox filmovertrukne tabletter, der numerisk er en tredjedel af deferoxamindosis). Imidlertid blev denne dosisrekommendation ikke vurderet prospektivt i de kliniske studier. </w:t>
      </w:r>
    </w:p>
    <w:p w:rsidR="006431AB" w:rsidRPr="006431AB" w:rsidRDefault="006431AB" w:rsidP="006431AB">
      <w:pPr>
        <w:tabs>
          <w:tab w:val="left" w:pos="851"/>
        </w:tabs>
        <w:ind w:left="851"/>
        <w:rPr>
          <w:sz w:val="24"/>
          <w:szCs w:val="24"/>
        </w:rPr>
      </w:pPr>
    </w:p>
    <w:p w:rsidR="006431AB" w:rsidRPr="006431AB" w:rsidRDefault="006431AB" w:rsidP="006431AB">
      <w:pPr>
        <w:tabs>
          <w:tab w:val="left" w:pos="851"/>
        </w:tabs>
        <w:ind w:left="851"/>
        <w:rPr>
          <w:sz w:val="24"/>
          <w:szCs w:val="24"/>
        </w:rPr>
      </w:pPr>
      <w:r w:rsidRPr="006431AB">
        <w:rPr>
          <w:sz w:val="24"/>
          <w:szCs w:val="24"/>
        </w:rPr>
        <w:t xml:space="preserve">I tillæg, producerede deferasirox dipergible tabletter i dosis op til 20 og 30 mg/kg et fald i lever-jernkoncentration og serum-ferritin sammenlignelig med det opnået hos patienter med beta-talassæmi. Dette forekom hos patienter med lever-jernkoncentration ≥ 7 mg Fe/g biopsi-tørvægt med forskellige sjældne anæmier eller seglcellesygdom. </w:t>
      </w:r>
    </w:p>
    <w:p w:rsidR="006431AB" w:rsidRPr="006431AB" w:rsidRDefault="006431AB" w:rsidP="006431AB">
      <w:pPr>
        <w:tabs>
          <w:tab w:val="left" w:pos="851"/>
        </w:tabs>
        <w:ind w:left="851"/>
        <w:rPr>
          <w:sz w:val="24"/>
          <w:szCs w:val="24"/>
        </w:rPr>
      </w:pPr>
    </w:p>
    <w:p w:rsidR="006431AB" w:rsidRPr="006431AB" w:rsidRDefault="006431AB" w:rsidP="006431AB">
      <w:pPr>
        <w:tabs>
          <w:tab w:val="left" w:pos="851"/>
        </w:tabs>
        <w:ind w:left="851"/>
        <w:rPr>
          <w:sz w:val="24"/>
          <w:szCs w:val="24"/>
        </w:rPr>
      </w:pPr>
      <w:r w:rsidRPr="006431AB">
        <w:rPr>
          <w:sz w:val="24"/>
          <w:szCs w:val="24"/>
        </w:rPr>
        <w:t xml:space="preserve">Der blev udført et placebo-kontrolleret randomiseret studie hos 225 patienter med MDS (lav/int-1 risiko) og transfusionsbetinget jernophobning. Resultaterne af studiet antyder, at der er en positiv effekt af deferasirox på hændelsesfri overlevelsesrate (EFS, et sammensat endepunkt inklusive ikke-dødelig hjerte- eller leverpåvirkning) og på serumferitinniveauer. Sikkerhedsprofilen var i overensstemmelse med tidligere studier hos voksne MDS patienter. </w:t>
      </w:r>
    </w:p>
    <w:p w:rsidR="006431AB" w:rsidRPr="006431AB" w:rsidRDefault="006431AB" w:rsidP="006431AB">
      <w:pPr>
        <w:tabs>
          <w:tab w:val="left" w:pos="851"/>
        </w:tabs>
        <w:ind w:left="851"/>
        <w:rPr>
          <w:sz w:val="24"/>
          <w:szCs w:val="24"/>
        </w:rPr>
      </w:pPr>
    </w:p>
    <w:p w:rsidR="006431AB" w:rsidRPr="006431AB" w:rsidRDefault="006431AB" w:rsidP="006431AB">
      <w:pPr>
        <w:tabs>
          <w:tab w:val="left" w:pos="851"/>
        </w:tabs>
        <w:ind w:left="851"/>
        <w:rPr>
          <w:sz w:val="24"/>
          <w:szCs w:val="24"/>
        </w:rPr>
      </w:pPr>
      <w:r w:rsidRPr="006431AB">
        <w:rPr>
          <w:sz w:val="24"/>
          <w:szCs w:val="24"/>
        </w:rPr>
        <w:t>267 børn i alderen 2 til &lt;6 år (ved studieoptagelse) med transfusionsbetinget hæmosiderose fik deferasirox i et 5-års observationsstudie. Der var ingen klinisk relevante forskelle i sikkerhed og tolerabilitet af deferasirox hos pædiatriske patienter i alderen 2 til &lt;6 år sammenlignet med den samlede population af voksne og ældre børn, inklusive stigning i serum-kreatinin på &gt;33</w:t>
      </w:r>
      <w:r w:rsidR="007815B8">
        <w:rPr>
          <w:sz w:val="24"/>
          <w:szCs w:val="24"/>
        </w:rPr>
        <w:t xml:space="preserve"> %</w:t>
      </w:r>
      <w:r w:rsidRPr="006431AB">
        <w:rPr>
          <w:sz w:val="24"/>
          <w:szCs w:val="24"/>
        </w:rPr>
        <w:t xml:space="preserve"> og over den øvre normalgrænse ved ≥2 på hinanden følgende målinger (3,1</w:t>
      </w:r>
      <w:r w:rsidR="007815B8">
        <w:rPr>
          <w:sz w:val="24"/>
          <w:szCs w:val="24"/>
        </w:rPr>
        <w:t xml:space="preserve"> %</w:t>
      </w:r>
      <w:r w:rsidRPr="006431AB">
        <w:rPr>
          <w:sz w:val="24"/>
          <w:szCs w:val="24"/>
        </w:rPr>
        <w:t>) samt stigning i alanin-aminotransferase (ALAT) til mere end 5 gange den øvre normalgrænse (4,3</w:t>
      </w:r>
      <w:r w:rsidR="007815B8">
        <w:rPr>
          <w:sz w:val="24"/>
          <w:szCs w:val="24"/>
        </w:rPr>
        <w:t xml:space="preserve"> %</w:t>
      </w:r>
      <w:r w:rsidRPr="006431AB">
        <w:rPr>
          <w:sz w:val="24"/>
          <w:szCs w:val="24"/>
        </w:rPr>
        <w:t>). Der blev rapporteret enkeltstående tilfælde af stigning i ALAT og aspartat-aminotransferase hos henholdsvis 20,0</w:t>
      </w:r>
      <w:r w:rsidR="007815B8">
        <w:rPr>
          <w:sz w:val="24"/>
          <w:szCs w:val="24"/>
        </w:rPr>
        <w:t xml:space="preserve"> %</w:t>
      </w:r>
      <w:r w:rsidRPr="006431AB">
        <w:rPr>
          <w:sz w:val="24"/>
          <w:szCs w:val="24"/>
        </w:rPr>
        <w:t xml:space="preserve"> og 8,3</w:t>
      </w:r>
      <w:r w:rsidR="007815B8">
        <w:rPr>
          <w:sz w:val="24"/>
          <w:szCs w:val="24"/>
        </w:rPr>
        <w:t xml:space="preserve"> %</w:t>
      </w:r>
      <w:r w:rsidRPr="006431AB">
        <w:rPr>
          <w:sz w:val="24"/>
          <w:szCs w:val="24"/>
        </w:rPr>
        <w:t xml:space="preserve"> af de 145 patienter, som gennemførte studiet.</w:t>
      </w:r>
    </w:p>
    <w:p w:rsidR="006431AB" w:rsidRPr="006431AB" w:rsidRDefault="006431AB" w:rsidP="006431AB">
      <w:pPr>
        <w:tabs>
          <w:tab w:val="left" w:pos="851"/>
        </w:tabs>
        <w:ind w:left="851"/>
        <w:rPr>
          <w:sz w:val="24"/>
          <w:szCs w:val="24"/>
        </w:rPr>
      </w:pPr>
    </w:p>
    <w:p w:rsidR="006431AB" w:rsidRDefault="006431AB" w:rsidP="006431AB">
      <w:pPr>
        <w:tabs>
          <w:tab w:val="left" w:pos="851"/>
        </w:tabs>
        <w:ind w:left="851"/>
        <w:rPr>
          <w:sz w:val="24"/>
          <w:szCs w:val="24"/>
        </w:rPr>
      </w:pPr>
      <w:r w:rsidRPr="006431AB">
        <w:rPr>
          <w:sz w:val="24"/>
          <w:szCs w:val="24"/>
        </w:rPr>
        <w:t>173 voksne og pædiatriske patienter med transfusionsafhængig talassæmi eller myelodysplastisk syndrom blev behandlet i 24 uger i et studie, der undersøgte sikkerheden af deferasirox filmovertrukne tabletter og dispergible tabletter. Der blev observeret en sammenlignelig sikkerhedsprofil for filmovertrukne tabletter og dispergible tabletter.</w:t>
      </w:r>
    </w:p>
    <w:p w:rsidR="00F44660" w:rsidRDefault="00F44660" w:rsidP="006431AB">
      <w:pPr>
        <w:tabs>
          <w:tab w:val="left" w:pos="851"/>
        </w:tabs>
        <w:ind w:left="851"/>
        <w:rPr>
          <w:sz w:val="24"/>
          <w:szCs w:val="24"/>
        </w:rPr>
      </w:pPr>
    </w:p>
    <w:p w:rsidR="006E03FB" w:rsidRPr="00850848" w:rsidRDefault="006E03FB" w:rsidP="006E03FB">
      <w:pPr>
        <w:tabs>
          <w:tab w:val="left" w:pos="851"/>
        </w:tabs>
        <w:ind w:left="851"/>
        <w:rPr>
          <w:sz w:val="24"/>
          <w:szCs w:val="24"/>
        </w:rPr>
      </w:pPr>
      <w:r w:rsidRPr="00850848">
        <w:rPr>
          <w:sz w:val="24"/>
          <w:szCs w:val="24"/>
        </w:rPr>
        <w:t>Der blev udført et åbent 1:1 randomiseret studie hos 224 pædiatriske patienter i alderen 2 til &lt; 18 år med transfusionsbetinget anæmi og jernophobning for at evaluere behandlingscompliance, effekt og sikkerhed af deferasirox granulat-formuleringen sammenlignet med dispergibel tablet-formuleringen. Størstedelen af patienterne (142, 63,4 %) i studiet havde beta-talassæmi major, 108 (48,2 %) patienter var naive over for jernkelationsterapi (IKT) (medianalder 2 år, 92,6 % i alderen 2 til &lt; 10 år) og 116 (51,8 %) var tidligere behandlet med IKT (medianalder 7,5 år, 71,6 % i alderen 2 til &lt; 10 år) hvoraf 68,1 % tidligere havde modtaget deferasirox. I den primære analyse udført i IKT-naive patienter efter 24 ugers behandling var compliance 84,26 % og 86,84 % i henholdsvis behandlingsarmen med deferasirox dispergible tabletter og behandlingsarmen med deferasirox granulat, med ingen statistisk signifikant forskel. Tilsvarende var der ingen statistisk signifikant forskel i gennemsnitlig ændring fra baseline i serumferritin (SF) værdier mellem de to behandlingsarme (-171,52 μg/l [95 % CI: -517,40, 174,36] for dispergible tabletter [DT] and 4,84 μg/l [95 % CI: -333,58, 343,27] for granulat-formuleringen, forskellen mellem gennemsnit [granulat – DT] 176,36 μg/l [95 % CI: -129,00, 481,72], to-sidet p-værdi = 0,25). Studiet konkluderede at der ikke var forskel i behandlingskompliance og effekt mellem armene for deferasirox granulat og deferasirox dispergible tabletter ved forskellige tidspunkter (24 og 48 uger). Sikkerhedsprofilen var overordnet set sammenlignelig mellem granulat og dispergible tabletter formuleringerne.</w:t>
      </w:r>
    </w:p>
    <w:p w:rsidR="006431AB" w:rsidRPr="006431AB" w:rsidRDefault="006431AB" w:rsidP="006431AB">
      <w:pPr>
        <w:tabs>
          <w:tab w:val="left" w:pos="851"/>
        </w:tabs>
        <w:ind w:left="851"/>
        <w:rPr>
          <w:sz w:val="24"/>
          <w:szCs w:val="24"/>
        </w:rPr>
      </w:pPr>
    </w:p>
    <w:p w:rsidR="006431AB" w:rsidRPr="006431AB" w:rsidRDefault="006431AB" w:rsidP="006431AB">
      <w:pPr>
        <w:tabs>
          <w:tab w:val="left" w:pos="851"/>
        </w:tabs>
        <w:ind w:left="851"/>
        <w:rPr>
          <w:sz w:val="24"/>
          <w:szCs w:val="24"/>
        </w:rPr>
      </w:pPr>
      <w:r w:rsidRPr="006431AB">
        <w:rPr>
          <w:sz w:val="24"/>
          <w:szCs w:val="24"/>
        </w:rPr>
        <w:t>Deferasirox dipergible tabletter blev vurderet i et 1-årigt randomiseret, dobbeltblindet, placebokontrolleret studie hos patienter med ikke-transfusionsafhængige talassæmi-syndromer og jernophobning. Studiet sammenlignede virkningen af to forskellige deferasirox-behandlinger med dispergible tabletter (startdoser på 5 og 10 mg/kg/dag, 55 patienter i hver arm) og tilsvarende placebo (56 patienter). Studiet indrullerede 145 voksne og 21 pædiatriske patienter. Den primære effektparameter var ændringen i jernkoncentrationen i leveren (LIC) fra baseline</w:t>
      </w:r>
      <w:r w:rsidRPr="006431AB">
        <w:rPr>
          <w:i/>
          <w:iCs/>
          <w:sz w:val="24"/>
          <w:szCs w:val="24"/>
        </w:rPr>
        <w:t xml:space="preserve"> </w:t>
      </w:r>
      <w:r w:rsidRPr="006431AB">
        <w:rPr>
          <w:sz w:val="24"/>
          <w:szCs w:val="24"/>
        </w:rPr>
        <w:t>efter 12 måneders behandling. En af de sekundære effektparametre var ændringen i serumferritin mellem baseline</w:t>
      </w:r>
      <w:r w:rsidRPr="006431AB">
        <w:rPr>
          <w:i/>
          <w:iCs/>
          <w:sz w:val="24"/>
          <w:szCs w:val="24"/>
        </w:rPr>
        <w:t xml:space="preserve"> </w:t>
      </w:r>
      <w:r w:rsidRPr="006431AB">
        <w:rPr>
          <w:sz w:val="24"/>
          <w:szCs w:val="24"/>
        </w:rPr>
        <w:t>og fjerde kvartal. Ved en startdosis på 10 mg/kg/dag medførte deferasirox dipergible tabletter reduktioner i indikatorer for total-jern i kroppen. I gennemsnit faldt jernkoncentrationen i leveren med 3,80 mg Fe/g tørvægt hos patienter, der blev behandlet med deferasirox dipergible tabletter (startdosis 10 mg/kg/dag), og steg med 0,38 mg Fe/g tørvægt hos patienter, der fik placebo (p&lt;0,001). I gennemsnit faldt serumferritin med 222,0 μg/l hos patienter, der blev behandlet med deferasirox dipergible tabletter (startdosis 10 mg/kg/dag), og steg med 115 μg/l hos patienter, der fik placebo (p&lt;0,001).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12128B" w:rsidRPr="0012128B" w:rsidRDefault="0012128B" w:rsidP="0012128B">
      <w:pPr>
        <w:tabs>
          <w:tab w:val="left" w:pos="851"/>
        </w:tabs>
        <w:ind w:left="851"/>
        <w:rPr>
          <w:sz w:val="24"/>
          <w:szCs w:val="24"/>
        </w:rPr>
      </w:pPr>
      <w:r w:rsidRPr="0012128B">
        <w:rPr>
          <w:sz w:val="24"/>
          <w:szCs w:val="24"/>
        </w:rPr>
        <w:t>Deferasirox filmovertrukne tabletter udviser højere biotilgængelighed sammenlignet med deferasirox dispergible tabletter. Efter justering af styrken var den filmovertrukne tablet-formulering (360 mg) ækvivalent med deferasirox dispergible tabletter (500 mg), hvad angik det gennemsnitlige areal under tidskurven for plasmakoncentrationen (AUC) under faste. C</w:t>
      </w:r>
      <w:r w:rsidRPr="0012128B">
        <w:rPr>
          <w:sz w:val="24"/>
          <w:szCs w:val="24"/>
          <w:vertAlign w:val="subscript"/>
        </w:rPr>
        <w:t>max</w:t>
      </w:r>
      <w:r w:rsidRPr="0012128B">
        <w:rPr>
          <w:sz w:val="24"/>
          <w:szCs w:val="24"/>
        </w:rPr>
        <w:t xml:space="preserve"> steg med 30</w:t>
      </w:r>
      <w:r w:rsidR="007815B8">
        <w:rPr>
          <w:sz w:val="24"/>
          <w:szCs w:val="24"/>
        </w:rPr>
        <w:t xml:space="preserve"> %</w:t>
      </w:r>
      <w:r w:rsidRPr="0012128B">
        <w:rPr>
          <w:sz w:val="24"/>
          <w:szCs w:val="24"/>
        </w:rPr>
        <w:t xml:space="preserve"> (90</w:t>
      </w:r>
      <w:r w:rsidR="007815B8">
        <w:rPr>
          <w:sz w:val="24"/>
          <w:szCs w:val="24"/>
        </w:rPr>
        <w:t xml:space="preserve"> %</w:t>
      </w:r>
      <w:r w:rsidRPr="0012128B">
        <w:rPr>
          <w:sz w:val="24"/>
          <w:szCs w:val="24"/>
        </w:rPr>
        <w:t xml:space="preserve"> CI: 20,3</w:t>
      </w:r>
      <w:r w:rsidR="007815B8">
        <w:rPr>
          <w:sz w:val="24"/>
          <w:szCs w:val="24"/>
        </w:rPr>
        <w:t xml:space="preserve"> %</w:t>
      </w:r>
      <w:r w:rsidRPr="0012128B">
        <w:rPr>
          <w:sz w:val="24"/>
          <w:szCs w:val="24"/>
        </w:rPr>
        <w:t>-40,0</w:t>
      </w:r>
      <w:r w:rsidR="007815B8">
        <w:rPr>
          <w:sz w:val="24"/>
          <w:szCs w:val="24"/>
        </w:rPr>
        <w:t xml:space="preserve"> %</w:t>
      </w:r>
      <w:r w:rsidRPr="0012128B">
        <w:rPr>
          <w:sz w:val="24"/>
          <w:szCs w:val="24"/>
        </w:rPr>
        <w:t>), men den kliniske dosis-respons-analyse viste intet bevis på nogen klinisk relevant effekt af en sådan stigning.</w:t>
      </w:r>
    </w:p>
    <w:p w:rsidR="0012128B" w:rsidRPr="0012128B" w:rsidRDefault="0012128B" w:rsidP="0012128B">
      <w:pPr>
        <w:tabs>
          <w:tab w:val="left" w:pos="851"/>
        </w:tabs>
        <w:ind w:left="851"/>
        <w:rPr>
          <w:sz w:val="24"/>
          <w:szCs w:val="24"/>
        </w:rPr>
      </w:pPr>
      <w:r w:rsidRPr="0012128B">
        <w:rPr>
          <w:sz w:val="24"/>
          <w:szCs w:val="24"/>
        </w:rPr>
        <w:t xml:space="preserve"> </w:t>
      </w:r>
    </w:p>
    <w:p w:rsidR="0012128B" w:rsidRPr="0012128B" w:rsidRDefault="0012128B" w:rsidP="0012128B">
      <w:pPr>
        <w:tabs>
          <w:tab w:val="left" w:pos="851"/>
        </w:tabs>
        <w:ind w:left="851"/>
        <w:rPr>
          <w:sz w:val="24"/>
          <w:szCs w:val="24"/>
          <w:u w:val="single"/>
        </w:rPr>
      </w:pPr>
      <w:r w:rsidRPr="0012128B">
        <w:rPr>
          <w:sz w:val="24"/>
          <w:szCs w:val="24"/>
          <w:u w:val="single"/>
        </w:rPr>
        <w:t xml:space="preserve">Absorption </w:t>
      </w:r>
    </w:p>
    <w:p w:rsidR="0012128B" w:rsidRPr="0012128B" w:rsidRDefault="0012128B" w:rsidP="0012128B">
      <w:pPr>
        <w:tabs>
          <w:tab w:val="left" w:pos="851"/>
        </w:tabs>
        <w:ind w:left="851"/>
        <w:rPr>
          <w:sz w:val="24"/>
          <w:szCs w:val="24"/>
        </w:rPr>
      </w:pPr>
      <w:r w:rsidRPr="0012128B">
        <w:rPr>
          <w:sz w:val="24"/>
          <w:szCs w:val="24"/>
        </w:rPr>
        <w:t>Deferasirox (dispergibel tablet-formulering) bliver absorberet efter oral administration med en mediantid til maximum plasmakoncentration (t</w:t>
      </w:r>
      <w:r w:rsidRPr="0012128B">
        <w:rPr>
          <w:sz w:val="24"/>
          <w:szCs w:val="24"/>
          <w:vertAlign w:val="subscript"/>
        </w:rPr>
        <w:t>max</w:t>
      </w:r>
      <w:r w:rsidRPr="0012128B">
        <w:rPr>
          <w:sz w:val="24"/>
          <w:szCs w:val="24"/>
        </w:rPr>
        <w:t>) på omkring 1,5 til 4 timer. Den absolutte biotilgængelighed (AUC) af deferasirox (dispergibel tablet-formulering) er omkring 70</w:t>
      </w:r>
      <w:r w:rsidR="007815B8">
        <w:rPr>
          <w:sz w:val="24"/>
          <w:szCs w:val="24"/>
        </w:rPr>
        <w:t xml:space="preserve"> %</w:t>
      </w:r>
      <w:r w:rsidRPr="0012128B">
        <w:rPr>
          <w:sz w:val="24"/>
          <w:szCs w:val="24"/>
        </w:rPr>
        <w:t xml:space="preserve"> sammenlignet med en intravenøs dosis. Den absolutte biotilgængelighed af den filmovertrukne tablet-formulering er ikke fastlagt. Biotilgængeligheden af deferasirox filmovertrukne tabletter var 36</w:t>
      </w:r>
      <w:r w:rsidR="007815B8">
        <w:rPr>
          <w:sz w:val="24"/>
          <w:szCs w:val="24"/>
        </w:rPr>
        <w:t xml:space="preserve"> %</w:t>
      </w:r>
      <w:r w:rsidRPr="0012128B">
        <w:rPr>
          <w:sz w:val="24"/>
          <w:szCs w:val="24"/>
        </w:rPr>
        <w:t xml:space="preserve"> højere end den for dispergible tabletter. </w:t>
      </w:r>
    </w:p>
    <w:p w:rsidR="0012128B" w:rsidRPr="0012128B" w:rsidRDefault="0012128B" w:rsidP="0012128B">
      <w:pPr>
        <w:tabs>
          <w:tab w:val="left" w:pos="851"/>
        </w:tabs>
        <w:ind w:left="851"/>
        <w:rPr>
          <w:sz w:val="24"/>
          <w:szCs w:val="24"/>
        </w:rPr>
      </w:pPr>
    </w:p>
    <w:p w:rsidR="0012128B" w:rsidRPr="0012128B" w:rsidRDefault="0012128B" w:rsidP="0012128B">
      <w:pPr>
        <w:tabs>
          <w:tab w:val="left" w:pos="851"/>
        </w:tabs>
        <w:ind w:left="851"/>
        <w:rPr>
          <w:sz w:val="24"/>
          <w:szCs w:val="24"/>
        </w:rPr>
      </w:pPr>
      <w:r w:rsidRPr="0012128B">
        <w:rPr>
          <w:sz w:val="24"/>
          <w:szCs w:val="24"/>
        </w:rPr>
        <w:t>Et studie om madens effekt på indtagelse af filmovertrukne tabletter hos raske, fastende forsøgspersoner sammen med et måltid med enten et lavt fedtindhold (fedtindhold&lt;10</w:t>
      </w:r>
      <w:r w:rsidR="007815B8">
        <w:rPr>
          <w:sz w:val="24"/>
          <w:szCs w:val="24"/>
        </w:rPr>
        <w:t xml:space="preserve"> %</w:t>
      </w:r>
      <w:r w:rsidRPr="0012128B">
        <w:rPr>
          <w:sz w:val="24"/>
          <w:szCs w:val="24"/>
        </w:rPr>
        <w:t xml:space="preserve"> af kalorieindtaget) eller sammen med et måltid med et højt fedtindhold (fedtindhold&gt;50</w:t>
      </w:r>
      <w:r w:rsidR="007815B8">
        <w:rPr>
          <w:sz w:val="24"/>
          <w:szCs w:val="24"/>
        </w:rPr>
        <w:t xml:space="preserve"> %</w:t>
      </w:r>
      <w:r w:rsidRPr="0012128B">
        <w:rPr>
          <w:sz w:val="24"/>
          <w:szCs w:val="24"/>
        </w:rPr>
        <w:t xml:space="preserve"> af kalorieindtaget), viste et lille fald i AUC og C</w:t>
      </w:r>
      <w:r w:rsidRPr="0012128B">
        <w:rPr>
          <w:sz w:val="24"/>
          <w:szCs w:val="24"/>
          <w:vertAlign w:val="subscript"/>
        </w:rPr>
        <w:t>max</w:t>
      </w:r>
      <w:r w:rsidRPr="0012128B">
        <w:rPr>
          <w:sz w:val="24"/>
          <w:szCs w:val="24"/>
        </w:rPr>
        <w:t xml:space="preserve"> (11</w:t>
      </w:r>
      <w:r w:rsidR="007815B8">
        <w:rPr>
          <w:sz w:val="24"/>
          <w:szCs w:val="24"/>
        </w:rPr>
        <w:t xml:space="preserve"> %</w:t>
      </w:r>
      <w:r w:rsidRPr="0012128B">
        <w:rPr>
          <w:sz w:val="24"/>
          <w:szCs w:val="24"/>
        </w:rPr>
        <w:t xml:space="preserve"> og 16</w:t>
      </w:r>
      <w:r w:rsidR="007815B8">
        <w:rPr>
          <w:sz w:val="24"/>
          <w:szCs w:val="24"/>
        </w:rPr>
        <w:t xml:space="preserve"> %</w:t>
      </w:r>
      <w:r w:rsidRPr="0012128B">
        <w:rPr>
          <w:sz w:val="24"/>
          <w:szCs w:val="24"/>
        </w:rPr>
        <w:t>, respektivt). Efter indtagelse af et måltid med højt fedtindhold steg AUC og C</w:t>
      </w:r>
      <w:r w:rsidRPr="0012128B">
        <w:rPr>
          <w:sz w:val="24"/>
          <w:szCs w:val="24"/>
          <w:vertAlign w:val="subscript"/>
        </w:rPr>
        <w:t>max</w:t>
      </w:r>
      <w:r w:rsidRPr="0012128B">
        <w:rPr>
          <w:sz w:val="24"/>
          <w:szCs w:val="24"/>
        </w:rPr>
        <w:t>(18</w:t>
      </w:r>
      <w:r w:rsidR="007815B8">
        <w:rPr>
          <w:sz w:val="24"/>
          <w:szCs w:val="24"/>
        </w:rPr>
        <w:t xml:space="preserve"> %</w:t>
      </w:r>
      <w:r w:rsidRPr="0012128B">
        <w:rPr>
          <w:sz w:val="24"/>
          <w:szCs w:val="24"/>
        </w:rPr>
        <w:t xml:space="preserve"> og 29</w:t>
      </w:r>
      <w:r w:rsidR="007815B8">
        <w:rPr>
          <w:sz w:val="24"/>
          <w:szCs w:val="24"/>
        </w:rPr>
        <w:t xml:space="preserve"> %</w:t>
      </w:r>
      <w:r w:rsidRPr="0012128B">
        <w:rPr>
          <w:sz w:val="24"/>
          <w:szCs w:val="24"/>
        </w:rPr>
        <w:t>, respektivt). Ændring af formuleringen og effekten af måltider med højt fedtindhold kan have en forstærkende effekt på stigningen i C</w:t>
      </w:r>
      <w:r w:rsidRPr="0012128B">
        <w:rPr>
          <w:sz w:val="24"/>
          <w:szCs w:val="24"/>
          <w:vertAlign w:val="subscript"/>
        </w:rPr>
        <w:t>max</w:t>
      </w:r>
      <w:r w:rsidRPr="0012128B">
        <w:rPr>
          <w:sz w:val="24"/>
          <w:szCs w:val="24"/>
        </w:rPr>
        <w:t>, hvorfor det anbefales at de filmovertrukne tabletter tages på tom mave eller med et let måltid.</w:t>
      </w:r>
    </w:p>
    <w:p w:rsidR="0012128B" w:rsidRPr="0012128B" w:rsidRDefault="0012128B" w:rsidP="0012128B">
      <w:pPr>
        <w:tabs>
          <w:tab w:val="left" w:pos="851"/>
        </w:tabs>
        <w:ind w:left="851"/>
        <w:rPr>
          <w:sz w:val="24"/>
          <w:szCs w:val="24"/>
        </w:rPr>
      </w:pPr>
    </w:p>
    <w:p w:rsidR="0012128B" w:rsidRPr="0012128B" w:rsidRDefault="0012128B" w:rsidP="0012128B">
      <w:pPr>
        <w:tabs>
          <w:tab w:val="left" w:pos="851"/>
        </w:tabs>
        <w:ind w:left="851"/>
        <w:rPr>
          <w:sz w:val="24"/>
          <w:szCs w:val="24"/>
          <w:u w:val="single"/>
        </w:rPr>
      </w:pPr>
      <w:r w:rsidRPr="0012128B">
        <w:rPr>
          <w:sz w:val="24"/>
          <w:szCs w:val="24"/>
          <w:u w:val="single"/>
        </w:rPr>
        <w:t xml:space="preserve">Fordeling </w:t>
      </w:r>
    </w:p>
    <w:p w:rsidR="0012128B" w:rsidRPr="0012128B" w:rsidRDefault="0012128B" w:rsidP="0012128B">
      <w:pPr>
        <w:tabs>
          <w:tab w:val="left" w:pos="851"/>
        </w:tabs>
        <w:ind w:left="851"/>
        <w:rPr>
          <w:sz w:val="24"/>
          <w:szCs w:val="24"/>
        </w:rPr>
      </w:pPr>
      <w:r w:rsidRPr="0012128B">
        <w:rPr>
          <w:sz w:val="24"/>
          <w:szCs w:val="24"/>
        </w:rPr>
        <w:t>Deferasirox er stærkt (99</w:t>
      </w:r>
      <w:r w:rsidR="007815B8">
        <w:rPr>
          <w:sz w:val="24"/>
          <w:szCs w:val="24"/>
        </w:rPr>
        <w:t xml:space="preserve"> %</w:t>
      </w:r>
      <w:r w:rsidRPr="0012128B">
        <w:rPr>
          <w:sz w:val="24"/>
          <w:szCs w:val="24"/>
        </w:rPr>
        <w:t xml:space="preserve">) proteinbundet til plasmaproteiner. Deferasirox er næsten udelukkende bundet til serum-albumin, og har et lavt fordelingsvolumen på omkring 14 liter i voksne. </w:t>
      </w:r>
    </w:p>
    <w:p w:rsidR="0012128B" w:rsidRPr="0012128B" w:rsidRDefault="0012128B" w:rsidP="0012128B">
      <w:pPr>
        <w:tabs>
          <w:tab w:val="left" w:pos="851"/>
        </w:tabs>
        <w:ind w:left="851"/>
        <w:rPr>
          <w:sz w:val="24"/>
          <w:szCs w:val="24"/>
        </w:rPr>
      </w:pPr>
    </w:p>
    <w:p w:rsidR="0012128B" w:rsidRPr="0012128B" w:rsidRDefault="0012128B" w:rsidP="0012128B">
      <w:pPr>
        <w:tabs>
          <w:tab w:val="left" w:pos="851"/>
        </w:tabs>
        <w:ind w:left="851"/>
        <w:rPr>
          <w:sz w:val="24"/>
          <w:szCs w:val="24"/>
          <w:u w:val="single"/>
        </w:rPr>
      </w:pPr>
      <w:r w:rsidRPr="0012128B">
        <w:rPr>
          <w:sz w:val="24"/>
          <w:szCs w:val="24"/>
          <w:u w:val="single"/>
        </w:rPr>
        <w:t xml:space="preserve">Biotransformation </w:t>
      </w:r>
    </w:p>
    <w:p w:rsidR="0012128B" w:rsidRPr="0012128B" w:rsidRDefault="0012128B" w:rsidP="0012128B">
      <w:pPr>
        <w:tabs>
          <w:tab w:val="left" w:pos="851"/>
        </w:tabs>
        <w:ind w:left="851"/>
        <w:rPr>
          <w:sz w:val="24"/>
          <w:szCs w:val="24"/>
        </w:rPr>
      </w:pPr>
      <w:r w:rsidRPr="0012128B">
        <w:rPr>
          <w:sz w:val="24"/>
          <w:szCs w:val="24"/>
        </w:rPr>
        <w:t>Glucoronidering er den primære metaboliske vej for deferasirox, med efterfølgende udskillelse i galden. Dekonjugering af glukuronider i tarmen og efterfølgende reabsorption (enterohepatisk recirkulation) er sandsynlig: i et studie med raske frivillige resulterede administration af cholestyramin efter en enkelt dosis deferasirox i en 45</w:t>
      </w:r>
      <w:r w:rsidR="007815B8">
        <w:rPr>
          <w:sz w:val="24"/>
          <w:szCs w:val="24"/>
        </w:rPr>
        <w:t xml:space="preserve"> %</w:t>
      </w:r>
      <w:r w:rsidRPr="0012128B">
        <w:rPr>
          <w:sz w:val="24"/>
          <w:szCs w:val="24"/>
        </w:rPr>
        <w:t xml:space="preserve"> nedsættelse i eksponeringen (AUC) af deferasirox. </w:t>
      </w:r>
    </w:p>
    <w:p w:rsidR="0012128B" w:rsidRPr="0012128B" w:rsidRDefault="0012128B" w:rsidP="0012128B">
      <w:pPr>
        <w:tabs>
          <w:tab w:val="left" w:pos="851"/>
        </w:tabs>
        <w:ind w:left="851"/>
        <w:rPr>
          <w:sz w:val="24"/>
          <w:szCs w:val="24"/>
        </w:rPr>
      </w:pPr>
    </w:p>
    <w:p w:rsidR="0012128B" w:rsidRPr="0012128B" w:rsidRDefault="0012128B" w:rsidP="0012128B">
      <w:pPr>
        <w:tabs>
          <w:tab w:val="left" w:pos="851"/>
        </w:tabs>
        <w:ind w:left="851"/>
        <w:rPr>
          <w:sz w:val="24"/>
          <w:szCs w:val="24"/>
        </w:rPr>
      </w:pPr>
      <w:r w:rsidRPr="0012128B">
        <w:rPr>
          <w:sz w:val="24"/>
          <w:szCs w:val="24"/>
        </w:rPr>
        <w:t>Deferasirox bliver primært gluconideret af UGT1A1 og i mindre grad af UGT1A3. CYP450-katalyseret (oxidativ) metabolisme af deferasirox er tilsyneladende mindre i mennesker (8</w:t>
      </w:r>
      <w:r w:rsidR="007815B8">
        <w:rPr>
          <w:sz w:val="24"/>
          <w:szCs w:val="24"/>
        </w:rPr>
        <w:t xml:space="preserve"> %</w:t>
      </w:r>
      <w:r w:rsidRPr="0012128B">
        <w:rPr>
          <w:sz w:val="24"/>
          <w:szCs w:val="24"/>
        </w:rPr>
        <w:t xml:space="preserve">). </w:t>
      </w:r>
      <w:r w:rsidRPr="0012128B">
        <w:rPr>
          <w:i/>
          <w:iCs/>
          <w:sz w:val="24"/>
          <w:szCs w:val="24"/>
        </w:rPr>
        <w:t xml:space="preserve">In vitro </w:t>
      </w:r>
      <w:r w:rsidRPr="0012128B">
        <w:rPr>
          <w:sz w:val="24"/>
          <w:szCs w:val="24"/>
        </w:rPr>
        <w:t xml:space="preserve">blev der ikke observeret hæmning af deferasirox-metabolisme af hydroxyurea. </w:t>
      </w:r>
    </w:p>
    <w:p w:rsidR="0012128B" w:rsidRPr="0012128B" w:rsidRDefault="0012128B" w:rsidP="0012128B">
      <w:pPr>
        <w:tabs>
          <w:tab w:val="left" w:pos="851"/>
        </w:tabs>
        <w:ind w:left="851"/>
        <w:rPr>
          <w:sz w:val="24"/>
          <w:szCs w:val="24"/>
        </w:rPr>
      </w:pPr>
    </w:p>
    <w:p w:rsidR="0012128B" w:rsidRPr="0012128B" w:rsidRDefault="0012128B" w:rsidP="0012128B">
      <w:pPr>
        <w:tabs>
          <w:tab w:val="left" w:pos="851"/>
        </w:tabs>
        <w:ind w:left="851"/>
        <w:rPr>
          <w:sz w:val="24"/>
          <w:szCs w:val="24"/>
          <w:u w:val="single"/>
        </w:rPr>
      </w:pPr>
      <w:r w:rsidRPr="0012128B">
        <w:rPr>
          <w:sz w:val="24"/>
          <w:szCs w:val="24"/>
          <w:u w:val="single"/>
        </w:rPr>
        <w:t xml:space="preserve">Elimination </w:t>
      </w:r>
    </w:p>
    <w:p w:rsidR="0012128B" w:rsidRPr="0012128B" w:rsidRDefault="0012128B" w:rsidP="0012128B">
      <w:pPr>
        <w:tabs>
          <w:tab w:val="left" w:pos="851"/>
        </w:tabs>
        <w:ind w:left="851"/>
        <w:rPr>
          <w:sz w:val="24"/>
          <w:szCs w:val="24"/>
        </w:rPr>
      </w:pPr>
      <w:r w:rsidRPr="0012128B">
        <w:rPr>
          <w:sz w:val="24"/>
          <w:szCs w:val="24"/>
        </w:rPr>
        <w:t>Deferasirox og dets metabolitter bliver primært udskilt i fæces (84</w:t>
      </w:r>
      <w:r w:rsidR="007815B8">
        <w:rPr>
          <w:sz w:val="24"/>
          <w:szCs w:val="24"/>
        </w:rPr>
        <w:t xml:space="preserve"> %</w:t>
      </w:r>
      <w:r w:rsidRPr="0012128B">
        <w:rPr>
          <w:sz w:val="24"/>
          <w:szCs w:val="24"/>
        </w:rPr>
        <w:t xml:space="preserve"> af dosis). Renal udskillelse af deferasirox og dets metabolitter er minimal (8</w:t>
      </w:r>
      <w:r w:rsidR="007815B8">
        <w:rPr>
          <w:sz w:val="24"/>
          <w:szCs w:val="24"/>
        </w:rPr>
        <w:t xml:space="preserve"> %</w:t>
      </w:r>
      <w:r w:rsidRPr="0012128B">
        <w:rPr>
          <w:sz w:val="24"/>
          <w:szCs w:val="24"/>
        </w:rPr>
        <w:t xml:space="preserve"> af dosis). Den gennemsnitlige eliminationshalveringstid (t1/2) varierede fra 8 til 16 timer. Transportproteinerne MRP2 og MXR (BCRP) er involveret i den biliære udskillelse af deferasirox. </w:t>
      </w:r>
    </w:p>
    <w:p w:rsidR="0012128B" w:rsidRPr="0012128B" w:rsidRDefault="0012128B" w:rsidP="0012128B">
      <w:pPr>
        <w:tabs>
          <w:tab w:val="left" w:pos="851"/>
        </w:tabs>
        <w:ind w:left="851"/>
        <w:rPr>
          <w:sz w:val="24"/>
          <w:szCs w:val="24"/>
        </w:rPr>
      </w:pPr>
    </w:p>
    <w:p w:rsidR="0012128B" w:rsidRPr="0012128B" w:rsidRDefault="0012128B" w:rsidP="0012128B">
      <w:pPr>
        <w:tabs>
          <w:tab w:val="left" w:pos="851"/>
        </w:tabs>
        <w:ind w:left="851"/>
        <w:rPr>
          <w:sz w:val="24"/>
          <w:szCs w:val="24"/>
          <w:u w:val="single"/>
        </w:rPr>
      </w:pPr>
      <w:r w:rsidRPr="0012128B">
        <w:rPr>
          <w:sz w:val="24"/>
          <w:szCs w:val="24"/>
          <w:u w:val="single"/>
        </w:rPr>
        <w:t xml:space="preserve">Linearitet/non-linearitet </w:t>
      </w:r>
    </w:p>
    <w:p w:rsidR="0012128B" w:rsidRPr="0012128B" w:rsidRDefault="0012128B" w:rsidP="0012128B">
      <w:pPr>
        <w:tabs>
          <w:tab w:val="left" w:pos="851"/>
        </w:tabs>
        <w:ind w:left="851"/>
        <w:rPr>
          <w:sz w:val="24"/>
          <w:szCs w:val="24"/>
        </w:rPr>
      </w:pPr>
      <w:r w:rsidRPr="0012128B">
        <w:rPr>
          <w:sz w:val="24"/>
          <w:szCs w:val="24"/>
        </w:rPr>
        <w:t>C</w:t>
      </w:r>
      <w:r w:rsidRPr="009E2B1C">
        <w:rPr>
          <w:sz w:val="24"/>
          <w:szCs w:val="24"/>
          <w:vertAlign w:val="subscript"/>
        </w:rPr>
        <w:t>max</w:t>
      </w:r>
      <w:r w:rsidRPr="0012128B">
        <w:rPr>
          <w:sz w:val="24"/>
          <w:szCs w:val="24"/>
        </w:rPr>
        <w:t xml:space="preserve"> og AUC</w:t>
      </w:r>
      <w:r w:rsidRPr="0012128B">
        <w:rPr>
          <w:sz w:val="24"/>
          <w:szCs w:val="24"/>
          <w:vertAlign w:val="subscript"/>
        </w:rPr>
        <w:t xml:space="preserve">0-24t </w:t>
      </w:r>
      <w:r w:rsidRPr="0012128B">
        <w:rPr>
          <w:sz w:val="24"/>
          <w:szCs w:val="24"/>
        </w:rPr>
        <w:t>for deferasirox øgedes næsten lineært med dosis ved ligevægtstilstande. Ved gentagen dosering øgedes eksponeringen med en akkumulationsfaktor på 1,3 til 2,3.</w:t>
      </w:r>
    </w:p>
    <w:p w:rsidR="006E03FB" w:rsidRDefault="006E03FB">
      <w:pPr>
        <w:rPr>
          <w:sz w:val="24"/>
          <w:szCs w:val="24"/>
        </w:rPr>
      </w:pPr>
      <w:r>
        <w:rPr>
          <w:sz w:val="24"/>
          <w:szCs w:val="24"/>
        </w:rPr>
        <w:br w:type="page"/>
      </w:r>
    </w:p>
    <w:p w:rsidR="0012128B" w:rsidRPr="0012128B" w:rsidRDefault="0012128B" w:rsidP="0012128B">
      <w:pPr>
        <w:tabs>
          <w:tab w:val="left" w:pos="851"/>
        </w:tabs>
        <w:ind w:left="851"/>
        <w:rPr>
          <w:sz w:val="24"/>
          <w:szCs w:val="24"/>
        </w:rPr>
      </w:pPr>
    </w:p>
    <w:p w:rsidR="0012128B" w:rsidRPr="0012128B" w:rsidRDefault="0012128B" w:rsidP="0012128B">
      <w:pPr>
        <w:tabs>
          <w:tab w:val="left" w:pos="851"/>
        </w:tabs>
        <w:ind w:left="851"/>
        <w:rPr>
          <w:sz w:val="24"/>
          <w:szCs w:val="24"/>
          <w:u w:val="single"/>
        </w:rPr>
      </w:pPr>
      <w:r w:rsidRPr="0012128B">
        <w:rPr>
          <w:sz w:val="24"/>
          <w:szCs w:val="24"/>
          <w:u w:val="single"/>
        </w:rPr>
        <w:t xml:space="preserve">Karakteristika i patienter </w:t>
      </w:r>
    </w:p>
    <w:p w:rsidR="0012128B" w:rsidRDefault="0012128B" w:rsidP="0012128B">
      <w:pPr>
        <w:tabs>
          <w:tab w:val="left" w:pos="851"/>
        </w:tabs>
        <w:ind w:left="851"/>
        <w:rPr>
          <w:i/>
          <w:iCs/>
          <w:sz w:val="24"/>
          <w:szCs w:val="24"/>
        </w:rPr>
      </w:pPr>
    </w:p>
    <w:p w:rsidR="0012128B" w:rsidRPr="0012128B" w:rsidRDefault="0012128B" w:rsidP="0012128B">
      <w:pPr>
        <w:tabs>
          <w:tab w:val="left" w:pos="851"/>
        </w:tabs>
        <w:ind w:left="851"/>
        <w:rPr>
          <w:sz w:val="24"/>
          <w:szCs w:val="24"/>
        </w:rPr>
      </w:pPr>
      <w:r w:rsidRPr="0012128B">
        <w:rPr>
          <w:i/>
          <w:iCs/>
          <w:sz w:val="24"/>
          <w:szCs w:val="24"/>
        </w:rPr>
        <w:t xml:space="preserve">Pædiatriske patienter </w:t>
      </w:r>
    </w:p>
    <w:p w:rsidR="0012128B" w:rsidRPr="0012128B" w:rsidRDefault="0012128B" w:rsidP="0012128B">
      <w:pPr>
        <w:tabs>
          <w:tab w:val="left" w:pos="851"/>
        </w:tabs>
        <w:ind w:left="851"/>
        <w:rPr>
          <w:sz w:val="24"/>
          <w:szCs w:val="24"/>
        </w:rPr>
      </w:pPr>
      <w:r w:rsidRPr="0012128B">
        <w:rPr>
          <w:sz w:val="24"/>
          <w:szCs w:val="24"/>
        </w:rPr>
        <w:t>Den samlede eksponering af unge (12 til ≤ 17 år) og børn (2 til ≤ 12 år) for deferasirox efter enkelte og gentagne doser var lavere end for voksne patienter. Hos børn under 6 år var eksponeringen omkring 50</w:t>
      </w:r>
      <w:r w:rsidR="007815B8">
        <w:rPr>
          <w:sz w:val="24"/>
          <w:szCs w:val="24"/>
        </w:rPr>
        <w:t xml:space="preserve"> %</w:t>
      </w:r>
      <w:r w:rsidRPr="0012128B">
        <w:rPr>
          <w:sz w:val="24"/>
          <w:szCs w:val="24"/>
        </w:rPr>
        <w:t xml:space="preserve"> lavere end hos voksne. Da dosering er justeret individuelt i henhold til respons, forventes dette ikke at have kliniske konsekvenser. </w:t>
      </w:r>
    </w:p>
    <w:p w:rsidR="0012128B" w:rsidRPr="0012128B" w:rsidRDefault="0012128B" w:rsidP="0012128B">
      <w:pPr>
        <w:tabs>
          <w:tab w:val="left" w:pos="851"/>
        </w:tabs>
        <w:ind w:left="851"/>
        <w:rPr>
          <w:sz w:val="24"/>
          <w:szCs w:val="24"/>
        </w:rPr>
      </w:pPr>
    </w:p>
    <w:p w:rsidR="0012128B" w:rsidRPr="0012128B" w:rsidRDefault="0012128B" w:rsidP="0012128B">
      <w:pPr>
        <w:tabs>
          <w:tab w:val="left" w:pos="851"/>
        </w:tabs>
        <w:ind w:left="851"/>
        <w:rPr>
          <w:sz w:val="24"/>
          <w:szCs w:val="24"/>
        </w:rPr>
      </w:pPr>
      <w:r w:rsidRPr="0012128B">
        <w:rPr>
          <w:i/>
          <w:iCs/>
          <w:sz w:val="24"/>
          <w:szCs w:val="24"/>
        </w:rPr>
        <w:t xml:space="preserve">Køn </w:t>
      </w:r>
    </w:p>
    <w:p w:rsidR="0012128B" w:rsidRPr="0012128B" w:rsidRDefault="0012128B" w:rsidP="0012128B">
      <w:pPr>
        <w:tabs>
          <w:tab w:val="left" w:pos="851"/>
        </w:tabs>
        <w:ind w:left="851"/>
        <w:rPr>
          <w:sz w:val="24"/>
          <w:szCs w:val="24"/>
        </w:rPr>
      </w:pPr>
      <w:r w:rsidRPr="0012128B">
        <w:rPr>
          <w:sz w:val="24"/>
          <w:szCs w:val="24"/>
        </w:rPr>
        <w:t>Kvinder har en moderat mindre påviselig clearance (med 17,5</w:t>
      </w:r>
      <w:r w:rsidR="007815B8">
        <w:rPr>
          <w:sz w:val="24"/>
          <w:szCs w:val="24"/>
        </w:rPr>
        <w:t xml:space="preserve"> %</w:t>
      </w:r>
      <w:r w:rsidRPr="0012128B">
        <w:rPr>
          <w:sz w:val="24"/>
          <w:szCs w:val="24"/>
        </w:rPr>
        <w:t xml:space="preserve">) for deferasirox sammenlignet med mænd. Da dosering er justeret individuelt i henhold til respons, forventes dette ikke at have kliniske konsekvenser. </w:t>
      </w:r>
    </w:p>
    <w:p w:rsidR="0012128B" w:rsidRPr="0012128B" w:rsidRDefault="0012128B" w:rsidP="0012128B">
      <w:pPr>
        <w:tabs>
          <w:tab w:val="left" w:pos="851"/>
        </w:tabs>
        <w:ind w:left="851"/>
        <w:rPr>
          <w:sz w:val="24"/>
          <w:szCs w:val="24"/>
        </w:rPr>
      </w:pPr>
    </w:p>
    <w:p w:rsidR="0012128B" w:rsidRPr="0012128B" w:rsidRDefault="0012128B" w:rsidP="0012128B">
      <w:pPr>
        <w:tabs>
          <w:tab w:val="left" w:pos="851"/>
        </w:tabs>
        <w:ind w:left="851"/>
        <w:rPr>
          <w:sz w:val="24"/>
          <w:szCs w:val="24"/>
        </w:rPr>
      </w:pPr>
      <w:r w:rsidRPr="0012128B">
        <w:rPr>
          <w:i/>
          <w:iCs/>
          <w:sz w:val="24"/>
          <w:szCs w:val="24"/>
        </w:rPr>
        <w:t xml:space="preserve">Ældre patienter </w:t>
      </w:r>
    </w:p>
    <w:p w:rsidR="0012128B" w:rsidRPr="0012128B" w:rsidRDefault="0012128B" w:rsidP="0012128B">
      <w:pPr>
        <w:tabs>
          <w:tab w:val="left" w:pos="851"/>
        </w:tabs>
        <w:ind w:left="851"/>
        <w:rPr>
          <w:sz w:val="24"/>
          <w:szCs w:val="24"/>
        </w:rPr>
      </w:pPr>
      <w:r w:rsidRPr="0012128B">
        <w:rPr>
          <w:sz w:val="24"/>
          <w:szCs w:val="24"/>
        </w:rPr>
        <w:t xml:space="preserve">Farmakokinetikken for deferasirox er ikke undersøgt for ældre patienter (65 år eller derover). </w:t>
      </w:r>
    </w:p>
    <w:p w:rsidR="0012128B" w:rsidRPr="0012128B" w:rsidRDefault="0012128B" w:rsidP="0012128B">
      <w:pPr>
        <w:tabs>
          <w:tab w:val="left" w:pos="851"/>
        </w:tabs>
        <w:ind w:left="851"/>
        <w:rPr>
          <w:sz w:val="24"/>
          <w:szCs w:val="24"/>
        </w:rPr>
      </w:pPr>
    </w:p>
    <w:p w:rsidR="0012128B" w:rsidRPr="0012128B" w:rsidRDefault="0012128B" w:rsidP="0012128B">
      <w:pPr>
        <w:tabs>
          <w:tab w:val="left" w:pos="851"/>
        </w:tabs>
        <w:ind w:left="851"/>
        <w:rPr>
          <w:sz w:val="24"/>
          <w:szCs w:val="24"/>
        </w:rPr>
      </w:pPr>
      <w:r w:rsidRPr="0012128B">
        <w:rPr>
          <w:i/>
          <w:iCs/>
          <w:sz w:val="24"/>
          <w:szCs w:val="24"/>
        </w:rPr>
        <w:t xml:space="preserve">Nedsat nyre- eller leverfunktion </w:t>
      </w:r>
    </w:p>
    <w:p w:rsidR="0012128B" w:rsidRPr="0012128B" w:rsidRDefault="0012128B" w:rsidP="0012128B">
      <w:pPr>
        <w:tabs>
          <w:tab w:val="left" w:pos="851"/>
        </w:tabs>
        <w:ind w:left="851"/>
        <w:rPr>
          <w:sz w:val="24"/>
          <w:szCs w:val="24"/>
        </w:rPr>
      </w:pPr>
      <w:r w:rsidRPr="0012128B">
        <w:rPr>
          <w:sz w:val="24"/>
          <w:szCs w:val="24"/>
        </w:rPr>
        <w:t xml:space="preserve">Farmakokinetikken for deferasirox er ikke undersøgt hos patienter med nedsat nyrefunktion. Farmakokinetikken af deferasirox blev ikke påvirket af lever-aminotransferaseværdier på op til 5 gange den øvre grænse af normalområdet. </w:t>
      </w:r>
    </w:p>
    <w:p w:rsidR="0012128B" w:rsidRPr="0012128B" w:rsidRDefault="0012128B" w:rsidP="0012128B">
      <w:pPr>
        <w:tabs>
          <w:tab w:val="left" w:pos="851"/>
        </w:tabs>
        <w:ind w:left="851"/>
        <w:rPr>
          <w:sz w:val="24"/>
          <w:szCs w:val="24"/>
        </w:rPr>
      </w:pPr>
    </w:p>
    <w:p w:rsidR="0012128B" w:rsidRPr="0012128B" w:rsidRDefault="0012128B" w:rsidP="0012128B">
      <w:pPr>
        <w:tabs>
          <w:tab w:val="left" w:pos="851"/>
        </w:tabs>
        <w:ind w:left="851"/>
        <w:rPr>
          <w:sz w:val="24"/>
          <w:szCs w:val="24"/>
        </w:rPr>
      </w:pPr>
      <w:r w:rsidRPr="0012128B">
        <w:rPr>
          <w:sz w:val="24"/>
          <w:szCs w:val="24"/>
        </w:rPr>
        <w:t>I et klinisk studie, hvor der blev givet enkeltdoser på 20 mg deferasirox dispergible tabletter/kg, var den gennemsnitlige eksponering øget med 16</w:t>
      </w:r>
      <w:r w:rsidR="007815B8">
        <w:rPr>
          <w:sz w:val="24"/>
          <w:szCs w:val="24"/>
        </w:rPr>
        <w:t xml:space="preserve"> %</w:t>
      </w:r>
      <w:r w:rsidRPr="0012128B">
        <w:rPr>
          <w:sz w:val="24"/>
          <w:szCs w:val="24"/>
        </w:rPr>
        <w:t xml:space="preserve"> hos personer med let nedsat leverfunktion (Child-Pugh Class A) og med 76</w:t>
      </w:r>
      <w:r w:rsidR="007815B8">
        <w:rPr>
          <w:sz w:val="24"/>
          <w:szCs w:val="24"/>
        </w:rPr>
        <w:t xml:space="preserve"> %</w:t>
      </w:r>
      <w:r w:rsidRPr="0012128B">
        <w:rPr>
          <w:sz w:val="24"/>
          <w:szCs w:val="24"/>
        </w:rPr>
        <w:t xml:space="preserve"> hos personer med moderat nedsat leverfunktion (Child-Pugh Class B) sammenlignet med personer med normal leverfunktion. Den gennemsnitlige C</w:t>
      </w:r>
      <w:r w:rsidRPr="009E2B1C">
        <w:rPr>
          <w:sz w:val="24"/>
          <w:szCs w:val="24"/>
          <w:vertAlign w:val="subscript"/>
        </w:rPr>
        <w:t>max</w:t>
      </w:r>
      <w:r w:rsidRPr="0012128B">
        <w:rPr>
          <w:sz w:val="24"/>
          <w:szCs w:val="24"/>
        </w:rPr>
        <w:t xml:space="preserve"> af deferasirox hos personer med let til moderat nedsat leverfunktion var øget med 22</w:t>
      </w:r>
      <w:r w:rsidR="007815B8">
        <w:rPr>
          <w:sz w:val="24"/>
          <w:szCs w:val="24"/>
        </w:rPr>
        <w:t xml:space="preserve"> %</w:t>
      </w:r>
      <w:r w:rsidRPr="0012128B">
        <w:rPr>
          <w:sz w:val="24"/>
          <w:szCs w:val="24"/>
        </w:rPr>
        <w:t>. Eksponeringen var øget med 2,8 gange hos en person med svært nedsat leverfunktion (Child-Pugh Class C) (se pkt. 4.2 og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6E03FB">
        <w:rPr>
          <w:b/>
          <w:sz w:val="24"/>
          <w:szCs w:val="24"/>
        </w:rPr>
        <w:t>Non-</w:t>
      </w:r>
      <w:r w:rsidRPr="00C84483">
        <w:rPr>
          <w:b/>
          <w:sz w:val="24"/>
          <w:szCs w:val="24"/>
        </w:rPr>
        <w:t>kliniske sikkerhedsdata</w:t>
      </w:r>
    </w:p>
    <w:p w:rsidR="007815B8" w:rsidRPr="007815B8" w:rsidRDefault="007815B8" w:rsidP="007815B8">
      <w:pPr>
        <w:tabs>
          <w:tab w:val="left" w:pos="851"/>
        </w:tabs>
        <w:ind w:left="851"/>
        <w:rPr>
          <w:sz w:val="24"/>
          <w:szCs w:val="24"/>
        </w:rPr>
      </w:pPr>
      <w:r w:rsidRPr="007815B8">
        <w:rPr>
          <w:sz w:val="24"/>
          <w:szCs w:val="24"/>
        </w:rPr>
        <w:t xml:space="preserve">Prækliniske data viser ingen speciel risiko for mennesker vurderet ud fra konventionelle studier af sikkerhedsfarmakologi, toksicitet efter gentagne doser, genotoksicitet eller karcinogenicitet. De primære fund var nyretoksicitet og linseuklarhed (katarakt). Lignende fund er set i neonatale og unge dyr. Nyretoksiciteten menes primært at skyldes jernmangel hos dyr, der ikke tidligere havde ophobning af jern. </w:t>
      </w:r>
    </w:p>
    <w:p w:rsidR="007815B8" w:rsidRPr="007815B8" w:rsidRDefault="007815B8" w:rsidP="007815B8">
      <w:pPr>
        <w:tabs>
          <w:tab w:val="left" w:pos="851"/>
        </w:tabs>
        <w:ind w:left="851"/>
        <w:rPr>
          <w:sz w:val="24"/>
          <w:szCs w:val="24"/>
        </w:rPr>
      </w:pPr>
    </w:p>
    <w:p w:rsidR="007815B8" w:rsidRPr="007815B8" w:rsidRDefault="007815B8" w:rsidP="007815B8">
      <w:pPr>
        <w:tabs>
          <w:tab w:val="left" w:pos="851"/>
        </w:tabs>
        <w:ind w:left="851"/>
        <w:rPr>
          <w:sz w:val="24"/>
          <w:szCs w:val="24"/>
        </w:rPr>
      </w:pPr>
      <w:r w:rsidRPr="007815B8">
        <w:rPr>
          <w:sz w:val="24"/>
          <w:szCs w:val="24"/>
        </w:rPr>
        <w:t xml:space="preserve">Tests for genotoksicitet </w:t>
      </w:r>
      <w:r w:rsidRPr="007815B8">
        <w:rPr>
          <w:i/>
          <w:iCs/>
          <w:sz w:val="24"/>
          <w:szCs w:val="24"/>
        </w:rPr>
        <w:t xml:space="preserve">in vitro </w:t>
      </w:r>
      <w:r w:rsidRPr="007815B8">
        <w:rPr>
          <w:sz w:val="24"/>
          <w:szCs w:val="24"/>
        </w:rPr>
        <w:t xml:space="preserve">var negative (Ames test, chromosomal aberrationtest). Ved dødelige doser i ikke-jernophobede rotter forårsagede deferasirox dannelse af mikronuclei </w:t>
      </w:r>
      <w:r w:rsidRPr="007815B8">
        <w:rPr>
          <w:i/>
          <w:iCs/>
          <w:sz w:val="24"/>
          <w:szCs w:val="24"/>
        </w:rPr>
        <w:t xml:space="preserve">in vivo </w:t>
      </w:r>
      <w:r w:rsidRPr="007815B8">
        <w:rPr>
          <w:sz w:val="24"/>
          <w:szCs w:val="24"/>
        </w:rPr>
        <w:t xml:space="preserve">i knoglemarven, men ikke i leveren. Sådanne effekter blev ikke set hos jern-præeksponerede rotter. Deferasirox var ikke carcinogent, når det blev administreret til rotter i et 2-års studie og transgene p53+/- heterozygote mus i et 6-måneders studie. </w:t>
      </w:r>
    </w:p>
    <w:p w:rsidR="007815B8" w:rsidRPr="007815B8" w:rsidRDefault="007815B8" w:rsidP="007815B8">
      <w:pPr>
        <w:tabs>
          <w:tab w:val="left" w:pos="851"/>
        </w:tabs>
        <w:ind w:left="851"/>
        <w:rPr>
          <w:sz w:val="24"/>
          <w:szCs w:val="24"/>
        </w:rPr>
      </w:pPr>
    </w:p>
    <w:p w:rsidR="007815B8" w:rsidRPr="007815B8" w:rsidRDefault="007815B8" w:rsidP="007815B8">
      <w:pPr>
        <w:tabs>
          <w:tab w:val="left" w:pos="851"/>
        </w:tabs>
        <w:ind w:left="851"/>
        <w:rPr>
          <w:sz w:val="24"/>
          <w:szCs w:val="24"/>
        </w:rPr>
      </w:pPr>
      <w:r w:rsidRPr="007815B8">
        <w:rPr>
          <w:sz w:val="24"/>
          <w:szCs w:val="24"/>
        </w:rPr>
        <w:t>Potentialet for reproduktionstoksicitet blev vurderet i rotter og kaniner. Deferasirox var ikke teratogent. Derimod forårsagede deferasirox øget frekvens af skeletale forandringer og dødfødte unger hos rotter ved høje doser, der var stærkt toksiske for den ikke-jernophobede moder. Deferasirox forårsagede ikke andre effekter på fertilitet eller reproduktion.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57649" w:rsidRDefault="00957649" w:rsidP="00957649">
      <w:pPr>
        <w:tabs>
          <w:tab w:val="left" w:pos="851"/>
        </w:tabs>
        <w:ind w:left="851"/>
        <w:rPr>
          <w:i/>
          <w:iCs/>
          <w:sz w:val="24"/>
          <w:szCs w:val="24"/>
          <w:lang w:val="de-DE"/>
        </w:rPr>
      </w:pPr>
    </w:p>
    <w:p w:rsidR="00957649" w:rsidRPr="00957649" w:rsidRDefault="00957649" w:rsidP="00957649">
      <w:pPr>
        <w:tabs>
          <w:tab w:val="left" w:pos="851"/>
        </w:tabs>
        <w:ind w:left="851"/>
        <w:rPr>
          <w:iCs/>
          <w:sz w:val="24"/>
          <w:szCs w:val="24"/>
          <w:u w:val="single"/>
          <w:lang w:val="de-DE"/>
        </w:rPr>
      </w:pPr>
      <w:r w:rsidRPr="00957649">
        <w:rPr>
          <w:iCs/>
          <w:sz w:val="24"/>
          <w:szCs w:val="24"/>
          <w:u w:val="single"/>
          <w:lang w:val="de-DE"/>
        </w:rPr>
        <w:t>Tabletkerne</w:t>
      </w:r>
    </w:p>
    <w:p w:rsidR="00957649" w:rsidRPr="00957649" w:rsidRDefault="00957649" w:rsidP="00957649">
      <w:pPr>
        <w:tabs>
          <w:tab w:val="left" w:pos="851"/>
        </w:tabs>
        <w:ind w:left="851"/>
        <w:rPr>
          <w:sz w:val="24"/>
          <w:szCs w:val="24"/>
          <w:lang w:val="de-DE"/>
        </w:rPr>
      </w:pPr>
      <w:r w:rsidRPr="00957649">
        <w:rPr>
          <w:sz w:val="24"/>
          <w:szCs w:val="24"/>
          <w:lang w:val="de-DE"/>
        </w:rPr>
        <w:t>Cellulose, mikrokrystallisk (E460)</w:t>
      </w:r>
    </w:p>
    <w:p w:rsidR="00957649" w:rsidRPr="00957649" w:rsidRDefault="00957649" w:rsidP="00957649">
      <w:pPr>
        <w:tabs>
          <w:tab w:val="left" w:pos="851"/>
        </w:tabs>
        <w:ind w:left="851"/>
        <w:rPr>
          <w:sz w:val="24"/>
          <w:szCs w:val="24"/>
          <w:lang w:val="de-DE"/>
        </w:rPr>
      </w:pPr>
      <w:r w:rsidRPr="00957649">
        <w:rPr>
          <w:sz w:val="24"/>
          <w:szCs w:val="24"/>
          <w:lang w:val="de-DE"/>
        </w:rPr>
        <w:t>Crospovidon (E1202)</w:t>
      </w:r>
    </w:p>
    <w:p w:rsidR="00957649" w:rsidRPr="00957649" w:rsidRDefault="00957649" w:rsidP="00957649">
      <w:pPr>
        <w:tabs>
          <w:tab w:val="left" w:pos="851"/>
        </w:tabs>
        <w:ind w:left="851"/>
        <w:rPr>
          <w:sz w:val="24"/>
          <w:szCs w:val="24"/>
          <w:lang w:val="fi-FI"/>
        </w:rPr>
      </w:pPr>
      <w:r w:rsidRPr="00957649">
        <w:rPr>
          <w:sz w:val="24"/>
          <w:szCs w:val="24"/>
          <w:lang w:val="fi-FI"/>
        </w:rPr>
        <w:t xml:space="preserve">Silica, kolloid vandfri </w:t>
      </w:r>
    </w:p>
    <w:p w:rsidR="00957649" w:rsidRPr="00957649" w:rsidRDefault="00957649" w:rsidP="00957649">
      <w:pPr>
        <w:tabs>
          <w:tab w:val="left" w:pos="851"/>
        </w:tabs>
        <w:ind w:left="851"/>
        <w:rPr>
          <w:sz w:val="24"/>
          <w:szCs w:val="24"/>
          <w:lang w:val="fi-FI"/>
        </w:rPr>
      </w:pPr>
      <w:r w:rsidRPr="00957649">
        <w:rPr>
          <w:sz w:val="24"/>
          <w:szCs w:val="24"/>
          <w:lang w:val="fi-FI"/>
        </w:rPr>
        <w:t>Povidon (E1201)</w:t>
      </w:r>
    </w:p>
    <w:p w:rsidR="00957649" w:rsidRPr="00957649" w:rsidRDefault="00957649" w:rsidP="00957649">
      <w:pPr>
        <w:tabs>
          <w:tab w:val="left" w:pos="851"/>
        </w:tabs>
        <w:ind w:left="851"/>
        <w:rPr>
          <w:sz w:val="24"/>
          <w:szCs w:val="24"/>
          <w:lang w:val="fi-FI"/>
        </w:rPr>
      </w:pPr>
      <w:r w:rsidRPr="00957649">
        <w:rPr>
          <w:sz w:val="24"/>
          <w:szCs w:val="24"/>
          <w:lang w:val="fi-FI"/>
        </w:rPr>
        <w:t xml:space="preserve">Poloxamer </w:t>
      </w:r>
    </w:p>
    <w:p w:rsidR="00957649" w:rsidRPr="00957649" w:rsidRDefault="00957649" w:rsidP="00957649">
      <w:pPr>
        <w:tabs>
          <w:tab w:val="left" w:pos="851"/>
        </w:tabs>
        <w:ind w:left="851"/>
        <w:rPr>
          <w:sz w:val="24"/>
          <w:szCs w:val="24"/>
          <w:lang w:val="fi-FI"/>
        </w:rPr>
      </w:pPr>
      <w:r w:rsidRPr="00957649">
        <w:rPr>
          <w:sz w:val="24"/>
          <w:szCs w:val="24"/>
          <w:lang w:val="fi-FI"/>
        </w:rPr>
        <w:t>Natriumstivelsesglycolat</w:t>
      </w:r>
    </w:p>
    <w:p w:rsidR="00957649" w:rsidRPr="00957649" w:rsidRDefault="00957649" w:rsidP="00957649">
      <w:pPr>
        <w:tabs>
          <w:tab w:val="left" w:pos="851"/>
        </w:tabs>
        <w:ind w:left="851"/>
        <w:rPr>
          <w:sz w:val="24"/>
          <w:szCs w:val="24"/>
          <w:lang w:val="fi-FI"/>
        </w:rPr>
      </w:pPr>
      <w:r w:rsidRPr="00957649">
        <w:rPr>
          <w:sz w:val="24"/>
          <w:szCs w:val="24"/>
          <w:lang w:val="fi-FI"/>
        </w:rPr>
        <w:t xml:space="preserve">Magnesiumstearat </w:t>
      </w:r>
    </w:p>
    <w:p w:rsidR="00957649" w:rsidRPr="00957649" w:rsidRDefault="00957649" w:rsidP="00957649">
      <w:pPr>
        <w:tabs>
          <w:tab w:val="left" w:pos="851"/>
        </w:tabs>
        <w:ind w:left="851"/>
        <w:rPr>
          <w:sz w:val="24"/>
          <w:szCs w:val="24"/>
          <w:lang w:val="fi-FI"/>
        </w:rPr>
      </w:pPr>
    </w:p>
    <w:p w:rsidR="00957649" w:rsidRPr="00957649" w:rsidRDefault="00957649" w:rsidP="00957649">
      <w:pPr>
        <w:tabs>
          <w:tab w:val="left" w:pos="851"/>
        </w:tabs>
        <w:ind w:left="851"/>
        <w:rPr>
          <w:iCs/>
          <w:sz w:val="24"/>
          <w:szCs w:val="24"/>
          <w:u w:val="single"/>
          <w:lang w:val="fi-FI"/>
        </w:rPr>
      </w:pPr>
      <w:r w:rsidRPr="00957649">
        <w:rPr>
          <w:iCs/>
          <w:sz w:val="24"/>
          <w:szCs w:val="24"/>
          <w:u w:val="single"/>
          <w:lang w:val="fi-FI"/>
        </w:rPr>
        <w:t xml:space="preserve">Filmovertræk </w:t>
      </w:r>
    </w:p>
    <w:p w:rsidR="00957649" w:rsidRPr="00957649" w:rsidRDefault="00957649" w:rsidP="00957649">
      <w:pPr>
        <w:tabs>
          <w:tab w:val="left" w:pos="851"/>
        </w:tabs>
        <w:ind w:left="851"/>
        <w:rPr>
          <w:sz w:val="24"/>
          <w:szCs w:val="24"/>
          <w:lang w:val="fi-FI"/>
        </w:rPr>
      </w:pPr>
      <w:r w:rsidRPr="00957649">
        <w:rPr>
          <w:sz w:val="24"/>
          <w:szCs w:val="24"/>
          <w:lang w:val="fi-FI"/>
        </w:rPr>
        <w:t xml:space="preserve">Hypromellose (E464) </w:t>
      </w:r>
    </w:p>
    <w:p w:rsidR="00957649" w:rsidRPr="00957649" w:rsidRDefault="00957649" w:rsidP="00957649">
      <w:pPr>
        <w:tabs>
          <w:tab w:val="left" w:pos="851"/>
        </w:tabs>
        <w:ind w:left="851"/>
        <w:rPr>
          <w:sz w:val="24"/>
          <w:szCs w:val="24"/>
          <w:lang w:val="es-ES"/>
        </w:rPr>
      </w:pPr>
      <w:r w:rsidRPr="00957649">
        <w:rPr>
          <w:sz w:val="24"/>
          <w:szCs w:val="24"/>
          <w:lang w:val="es-ES"/>
        </w:rPr>
        <w:t xml:space="preserve">Titandioxid (E171) </w:t>
      </w:r>
    </w:p>
    <w:p w:rsidR="00957649" w:rsidRPr="00957649" w:rsidRDefault="00957649" w:rsidP="00957649">
      <w:pPr>
        <w:tabs>
          <w:tab w:val="left" w:pos="851"/>
        </w:tabs>
        <w:ind w:left="851"/>
        <w:rPr>
          <w:sz w:val="24"/>
          <w:szCs w:val="24"/>
          <w:lang w:val="es-ES"/>
        </w:rPr>
      </w:pPr>
      <w:r w:rsidRPr="00957649">
        <w:rPr>
          <w:sz w:val="24"/>
          <w:szCs w:val="24"/>
          <w:lang w:val="es-ES"/>
        </w:rPr>
        <w:t>Macrogol</w:t>
      </w:r>
    </w:p>
    <w:p w:rsidR="00957649" w:rsidRPr="00957649" w:rsidRDefault="00957649" w:rsidP="00957649">
      <w:pPr>
        <w:tabs>
          <w:tab w:val="left" w:pos="851"/>
        </w:tabs>
        <w:ind w:left="851"/>
        <w:rPr>
          <w:sz w:val="24"/>
          <w:szCs w:val="24"/>
          <w:lang w:val="es-ES"/>
        </w:rPr>
      </w:pPr>
      <w:r w:rsidRPr="00957649">
        <w:rPr>
          <w:sz w:val="24"/>
          <w:szCs w:val="24"/>
          <w:lang w:val="es-ES"/>
        </w:rPr>
        <w:t>Talcum (E5533b)</w:t>
      </w:r>
    </w:p>
    <w:p w:rsidR="00957649" w:rsidRPr="00957649" w:rsidRDefault="00957649" w:rsidP="00957649">
      <w:pPr>
        <w:tabs>
          <w:tab w:val="left" w:pos="851"/>
        </w:tabs>
        <w:ind w:left="851"/>
        <w:rPr>
          <w:sz w:val="24"/>
          <w:szCs w:val="24"/>
        </w:rPr>
      </w:pPr>
      <w:r w:rsidRPr="00957649">
        <w:rPr>
          <w:sz w:val="24"/>
          <w:szCs w:val="24"/>
        </w:rPr>
        <w:t>Indigocarminin (E132)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57649" w:rsidRPr="00957649" w:rsidRDefault="00957649" w:rsidP="00957649">
      <w:pPr>
        <w:tabs>
          <w:tab w:val="left" w:pos="851"/>
        </w:tabs>
        <w:ind w:left="851"/>
        <w:rPr>
          <w:sz w:val="24"/>
          <w:szCs w:val="24"/>
        </w:rPr>
      </w:pPr>
      <w:r w:rsidRPr="00957649">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57649" w:rsidRPr="00957649" w:rsidRDefault="00957649" w:rsidP="00957649">
      <w:pPr>
        <w:tabs>
          <w:tab w:val="left" w:pos="851"/>
        </w:tabs>
        <w:ind w:left="851"/>
        <w:rPr>
          <w:sz w:val="24"/>
          <w:szCs w:val="24"/>
        </w:rPr>
      </w:pPr>
      <w:r w:rsidRPr="00957649">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57649" w:rsidRPr="00957649" w:rsidRDefault="00957649" w:rsidP="00957649">
      <w:pPr>
        <w:tabs>
          <w:tab w:val="left" w:pos="851"/>
        </w:tabs>
        <w:ind w:left="851"/>
        <w:rPr>
          <w:sz w:val="24"/>
          <w:szCs w:val="24"/>
        </w:rPr>
      </w:pPr>
      <w:r w:rsidRPr="00957649">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841008" w:rsidRDefault="00841008" w:rsidP="00957649">
      <w:pPr>
        <w:tabs>
          <w:tab w:val="left" w:pos="851"/>
        </w:tabs>
        <w:ind w:left="851"/>
        <w:rPr>
          <w:sz w:val="24"/>
          <w:szCs w:val="24"/>
        </w:rPr>
      </w:pPr>
    </w:p>
    <w:p w:rsidR="00841008" w:rsidRPr="00841008" w:rsidRDefault="00957649" w:rsidP="00957649">
      <w:pPr>
        <w:tabs>
          <w:tab w:val="left" w:pos="851"/>
        </w:tabs>
        <w:ind w:left="851"/>
        <w:rPr>
          <w:sz w:val="24"/>
          <w:szCs w:val="24"/>
          <w:u w:val="single"/>
        </w:rPr>
      </w:pPr>
      <w:r w:rsidRPr="00841008">
        <w:rPr>
          <w:sz w:val="24"/>
          <w:szCs w:val="24"/>
          <w:u w:val="single"/>
        </w:rPr>
        <w:t>Alu/Alu blist</w:t>
      </w:r>
      <w:r w:rsidR="00841008" w:rsidRPr="00841008">
        <w:rPr>
          <w:sz w:val="24"/>
          <w:szCs w:val="24"/>
          <w:u w:val="single"/>
        </w:rPr>
        <w:t>er</w:t>
      </w:r>
    </w:p>
    <w:p w:rsidR="00841008" w:rsidRDefault="00841008" w:rsidP="00841008">
      <w:pPr>
        <w:tabs>
          <w:tab w:val="left" w:pos="851"/>
        </w:tabs>
        <w:ind w:left="851"/>
        <w:rPr>
          <w:sz w:val="24"/>
          <w:szCs w:val="24"/>
        </w:rPr>
      </w:pPr>
      <w:r>
        <w:rPr>
          <w:sz w:val="24"/>
          <w:szCs w:val="24"/>
        </w:rPr>
        <w:t xml:space="preserve">Pakningsstørrelser: </w:t>
      </w:r>
      <w:r w:rsidRPr="00957649">
        <w:rPr>
          <w:sz w:val="24"/>
          <w:szCs w:val="24"/>
        </w:rPr>
        <w:t>30</w:t>
      </w:r>
      <w:r>
        <w:rPr>
          <w:sz w:val="24"/>
          <w:szCs w:val="24"/>
        </w:rPr>
        <w:t xml:space="preserve"> og</w:t>
      </w:r>
      <w:r w:rsidRPr="00957649">
        <w:rPr>
          <w:sz w:val="24"/>
          <w:szCs w:val="24"/>
        </w:rPr>
        <w:t xml:space="preserve"> 90 tabletter.</w:t>
      </w:r>
    </w:p>
    <w:p w:rsidR="00841008" w:rsidRDefault="00841008" w:rsidP="00957649">
      <w:pPr>
        <w:tabs>
          <w:tab w:val="left" w:pos="851"/>
        </w:tabs>
        <w:ind w:left="851"/>
        <w:rPr>
          <w:sz w:val="24"/>
          <w:szCs w:val="24"/>
        </w:rPr>
      </w:pPr>
    </w:p>
    <w:p w:rsidR="00841008" w:rsidRPr="00841008" w:rsidRDefault="00841008" w:rsidP="00957649">
      <w:pPr>
        <w:tabs>
          <w:tab w:val="left" w:pos="851"/>
        </w:tabs>
        <w:ind w:left="851"/>
        <w:rPr>
          <w:sz w:val="24"/>
          <w:szCs w:val="24"/>
          <w:u w:val="single"/>
        </w:rPr>
      </w:pPr>
      <w:r w:rsidRPr="00841008">
        <w:rPr>
          <w:sz w:val="24"/>
          <w:szCs w:val="24"/>
          <w:u w:val="single"/>
        </w:rPr>
        <w:t>PVC/PVdC/Alu blister</w:t>
      </w:r>
    </w:p>
    <w:p w:rsidR="00841008" w:rsidRDefault="00841008" w:rsidP="00841008">
      <w:pPr>
        <w:tabs>
          <w:tab w:val="left" w:pos="851"/>
        </w:tabs>
        <w:ind w:left="851"/>
        <w:rPr>
          <w:sz w:val="24"/>
          <w:szCs w:val="24"/>
        </w:rPr>
      </w:pPr>
      <w:r>
        <w:rPr>
          <w:sz w:val="24"/>
          <w:szCs w:val="24"/>
        </w:rPr>
        <w:t xml:space="preserve">Pakningsstørrelser: </w:t>
      </w:r>
      <w:r w:rsidRPr="00957649">
        <w:rPr>
          <w:sz w:val="24"/>
          <w:szCs w:val="24"/>
        </w:rPr>
        <w:t>30</w:t>
      </w:r>
      <w:r>
        <w:rPr>
          <w:sz w:val="24"/>
          <w:szCs w:val="24"/>
        </w:rPr>
        <w:t xml:space="preserve"> og</w:t>
      </w:r>
      <w:r w:rsidRPr="00957649">
        <w:rPr>
          <w:sz w:val="24"/>
          <w:szCs w:val="24"/>
        </w:rPr>
        <w:t xml:space="preserve"> 90 tabletter.</w:t>
      </w:r>
    </w:p>
    <w:p w:rsidR="00957649" w:rsidRPr="00957649" w:rsidRDefault="00957649" w:rsidP="00957649">
      <w:pPr>
        <w:tabs>
          <w:tab w:val="left" w:pos="851"/>
        </w:tabs>
        <w:ind w:left="851"/>
        <w:rPr>
          <w:sz w:val="24"/>
          <w:szCs w:val="24"/>
        </w:rPr>
      </w:pPr>
    </w:p>
    <w:p w:rsidR="00841008" w:rsidRPr="00864CC2" w:rsidRDefault="00957649" w:rsidP="00957649">
      <w:pPr>
        <w:tabs>
          <w:tab w:val="left" w:pos="851"/>
        </w:tabs>
        <w:ind w:left="851"/>
        <w:rPr>
          <w:sz w:val="24"/>
          <w:szCs w:val="24"/>
          <w:u w:val="single"/>
        </w:rPr>
      </w:pPr>
      <w:bookmarkStart w:id="4" w:name="_Hlk62457386"/>
      <w:r w:rsidRPr="00864CC2">
        <w:rPr>
          <w:sz w:val="24"/>
          <w:szCs w:val="24"/>
          <w:u w:val="single"/>
        </w:rPr>
        <w:t>HDPE-beholder med tørremiddel i beholderen og forseglet med et børnesikret låg</w:t>
      </w:r>
    </w:p>
    <w:bookmarkEnd w:id="4"/>
    <w:p w:rsidR="00864CC2" w:rsidRDefault="00864CC2" w:rsidP="00864CC2">
      <w:pPr>
        <w:tabs>
          <w:tab w:val="left" w:pos="851"/>
        </w:tabs>
        <w:ind w:left="851"/>
        <w:rPr>
          <w:sz w:val="24"/>
          <w:szCs w:val="24"/>
        </w:rPr>
      </w:pPr>
      <w:r>
        <w:rPr>
          <w:sz w:val="24"/>
          <w:szCs w:val="24"/>
        </w:rPr>
        <w:t xml:space="preserve">Pakningsstørrelser: </w:t>
      </w:r>
      <w:r w:rsidRPr="00957649">
        <w:rPr>
          <w:sz w:val="24"/>
          <w:szCs w:val="24"/>
        </w:rPr>
        <w:t>30</w:t>
      </w:r>
      <w:r>
        <w:rPr>
          <w:sz w:val="24"/>
          <w:szCs w:val="24"/>
        </w:rPr>
        <w:t xml:space="preserve"> </w:t>
      </w:r>
      <w:r w:rsidRPr="00957649">
        <w:rPr>
          <w:sz w:val="24"/>
          <w:szCs w:val="24"/>
        </w:rPr>
        <w:t>tabletter.</w:t>
      </w:r>
    </w:p>
    <w:p w:rsidR="00957649" w:rsidRPr="00957649" w:rsidRDefault="00957649" w:rsidP="00957649">
      <w:pPr>
        <w:tabs>
          <w:tab w:val="left" w:pos="851"/>
        </w:tabs>
        <w:ind w:left="851"/>
        <w:rPr>
          <w:sz w:val="24"/>
          <w:szCs w:val="24"/>
        </w:rPr>
      </w:pPr>
    </w:p>
    <w:p w:rsidR="00957649" w:rsidRPr="00957649" w:rsidRDefault="00957649" w:rsidP="00957649">
      <w:pPr>
        <w:tabs>
          <w:tab w:val="left" w:pos="851"/>
        </w:tabs>
        <w:ind w:left="851"/>
        <w:rPr>
          <w:sz w:val="24"/>
          <w:szCs w:val="24"/>
        </w:rPr>
      </w:pPr>
      <w:r w:rsidRPr="00957649">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906C09">
        <w:rPr>
          <w:b/>
          <w:sz w:val="24"/>
          <w:szCs w:val="24"/>
        </w:rPr>
        <w:t>bortskaffelse</w:t>
      </w:r>
      <w:r w:rsidRPr="00C84483">
        <w:rPr>
          <w:b/>
          <w:sz w:val="24"/>
          <w:szCs w:val="24"/>
        </w:rPr>
        <w:t xml:space="preserve"> og anden håndtering</w:t>
      </w:r>
    </w:p>
    <w:p w:rsidR="00864CC2" w:rsidRPr="00864CC2" w:rsidRDefault="00864CC2" w:rsidP="00864CC2">
      <w:pPr>
        <w:tabs>
          <w:tab w:val="left" w:pos="851"/>
        </w:tabs>
        <w:ind w:left="851"/>
        <w:jc w:val="both"/>
        <w:rPr>
          <w:sz w:val="24"/>
          <w:szCs w:val="24"/>
        </w:rPr>
      </w:pPr>
      <w:r w:rsidRPr="00864CC2">
        <w:rPr>
          <w:sz w:val="24"/>
          <w:szCs w:val="24"/>
        </w:rPr>
        <w:t>Ingen særlige forholdsregler.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64CC2" w:rsidRPr="00864CC2" w:rsidRDefault="00864CC2" w:rsidP="00864CC2">
      <w:pPr>
        <w:tabs>
          <w:tab w:val="left" w:pos="851"/>
        </w:tabs>
        <w:ind w:left="851"/>
        <w:rPr>
          <w:sz w:val="24"/>
          <w:szCs w:val="24"/>
          <w:lang w:val="en-US"/>
        </w:rPr>
      </w:pPr>
      <w:r w:rsidRPr="00864CC2">
        <w:rPr>
          <w:sz w:val="24"/>
          <w:szCs w:val="24"/>
          <w:lang w:val="en-US"/>
        </w:rPr>
        <w:t xml:space="preserve">Orifarm Generics A/S </w:t>
      </w:r>
    </w:p>
    <w:p w:rsidR="00864CC2" w:rsidRPr="00864CC2" w:rsidRDefault="00864CC2" w:rsidP="00864CC2">
      <w:pPr>
        <w:tabs>
          <w:tab w:val="left" w:pos="851"/>
        </w:tabs>
        <w:ind w:left="851"/>
        <w:rPr>
          <w:sz w:val="24"/>
          <w:szCs w:val="24"/>
          <w:lang w:val="en-US"/>
        </w:rPr>
      </w:pPr>
      <w:r w:rsidRPr="00864CC2">
        <w:rPr>
          <w:sz w:val="24"/>
          <w:szCs w:val="24"/>
          <w:lang w:val="en-US"/>
        </w:rPr>
        <w:t>Energivej 15</w:t>
      </w:r>
    </w:p>
    <w:p w:rsidR="00864CC2" w:rsidRPr="00864CC2" w:rsidRDefault="00864CC2" w:rsidP="00864CC2">
      <w:pPr>
        <w:tabs>
          <w:tab w:val="left" w:pos="851"/>
        </w:tabs>
        <w:ind w:left="851"/>
        <w:rPr>
          <w:sz w:val="24"/>
          <w:szCs w:val="24"/>
        </w:rPr>
      </w:pPr>
      <w:r w:rsidRPr="00864CC2">
        <w:rPr>
          <w:sz w:val="24"/>
          <w:szCs w:val="24"/>
        </w:rPr>
        <w:t>5260 Odense S</w:t>
      </w:r>
    </w:p>
    <w:p w:rsidR="00906C09" w:rsidRDefault="00906C09">
      <w:pPr>
        <w:rPr>
          <w:sz w:val="24"/>
          <w:szCs w:val="24"/>
        </w:rPr>
      </w:pPr>
      <w:r>
        <w:rPr>
          <w:sz w:val="24"/>
          <w:szCs w:val="24"/>
        </w:rPr>
        <w:br w:type="page"/>
      </w:r>
    </w:p>
    <w:p w:rsidR="00864CC2" w:rsidRPr="00864CC2" w:rsidRDefault="00864CC2" w:rsidP="00864CC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906C09">
        <w:rPr>
          <w:b/>
          <w:sz w:val="24"/>
          <w:szCs w:val="24"/>
        </w:rPr>
        <w:t>-</w:t>
      </w:r>
      <w:r w:rsidRPr="00C84483">
        <w:rPr>
          <w:b/>
          <w:sz w:val="24"/>
          <w:szCs w:val="24"/>
        </w:rPr>
        <w:t>NUMRE)</w:t>
      </w:r>
    </w:p>
    <w:p w:rsidR="00864CC2" w:rsidRPr="00864CC2" w:rsidRDefault="00864CC2" w:rsidP="00864CC2">
      <w:pPr>
        <w:tabs>
          <w:tab w:val="left" w:pos="851"/>
          <w:tab w:val="left" w:pos="1701"/>
        </w:tabs>
        <w:ind w:left="851"/>
        <w:jc w:val="both"/>
        <w:rPr>
          <w:sz w:val="24"/>
          <w:szCs w:val="24"/>
        </w:rPr>
      </w:pPr>
      <w:r w:rsidRPr="00864CC2">
        <w:rPr>
          <w:sz w:val="24"/>
          <w:szCs w:val="24"/>
        </w:rPr>
        <w:t>90 mg:</w:t>
      </w:r>
      <w:r>
        <w:rPr>
          <w:sz w:val="24"/>
          <w:szCs w:val="24"/>
        </w:rPr>
        <w:tab/>
      </w:r>
      <w:r w:rsidRPr="00864CC2">
        <w:rPr>
          <w:sz w:val="24"/>
          <w:szCs w:val="24"/>
        </w:rPr>
        <w:t>63828</w:t>
      </w:r>
    </w:p>
    <w:p w:rsidR="00864CC2" w:rsidRPr="00864CC2" w:rsidRDefault="00864CC2" w:rsidP="00864CC2">
      <w:pPr>
        <w:tabs>
          <w:tab w:val="left" w:pos="851"/>
          <w:tab w:val="left" w:pos="1701"/>
        </w:tabs>
        <w:ind w:left="851"/>
        <w:jc w:val="both"/>
        <w:rPr>
          <w:sz w:val="24"/>
          <w:szCs w:val="24"/>
        </w:rPr>
      </w:pPr>
      <w:r w:rsidRPr="00864CC2">
        <w:rPr>
          <w:sz w:val="24"/>
          <w:szCs w:val="24"/>
        </w:rPr>
        <w:t>180 mg:</w:t>
      </w:r>
      <w:r>
        <w:rPr>
          <w:sz w:val="24"/>
          <w:szCs w:val="24"/>
        </w:rPr>
        <w:tab/>
      </w:r>
      <w:r w:rsidRPr="00864CC2">
        <w:rPr>
          <w:sz w:val="24"/>
          <w:szCs w:val="24"/>
        </w:rPr>
        <w:t>63829</w:t>
      </w:r>
    </w:p>
    <w:p w:rsidR="00864CC2" w:rsidRPr="00864CC2" w:rsidRDefault="00864CC2" w:rsidP="00864CC2">
      <w:pPr>
        <w:tabs>
          <w:tab w:val="left" w:pos="851"/>
          <w:tab w:val="left" w:pos="1701"/>
        </w:tabs>
        <w:ind w:left="851"/>
        <w:jc w:val="both"/>
        <w:rPr>
          <w:sz w:val="24"/>
          <w:szCs w:val="24"/>
        </w:rPr>
      </w:pPr>
      <w:r w:rsidRPr="00864CC2">
        <w:rPr>
          <w:sz w:val="24"/>
          <w:szCs w:val="24"/>
        </w:rPr>
        <w:t>360 mg:</w:t>
      </w:r>
      <w:r>
        <w:rPr>
          <w:sz w:val="24"/>
          <w:szCs w:val="24"/>
        </w:rPr>
        <w:tab/>
      </w:r>
      <w:r w:rsidRPr="00864CC2">
        <w:rPr>
          <w:sz w:val="24"/>
          <w:szCs w:val="24"/>
        </w:rPr>
        <w:t>63830</w:t>
      </w:r>
    </w:p>
    <w:p w:rsidR="00864CC2" w:rsidRPr="00864CC2" w:rsidRDefault="00864CC2" w:rsidP="00864CC2">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864CC2" w:rsidP="009260DE">
      <w:pPr>
        <w:tabs>
          <w:tab w:val="left" w:pos="851"/>
        </w:tabs>
        <w:ind w:left="851"/>
        <w:rPr>
          <w:sz w:val="24"/>
          <w:szCs w:val="24"/>
        </w:rPr>
      </w:pPr>
      <w:r>
        <w:rPr>
          <w:sz w:val="24"/>
          <w:szCs w:val="24"/>
        </w:rPr>
        <w:t>12. juli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906C09" w:rsidP="009260DE">
      <w:pPr>
        <w:tabs>
          <w:tab w:val="left" w:pos="851"/>
        </w:tabs>
        <w:ind w:left="851"/>
        <w:rPr>
          <w:sz w:val="24"/>
          <w:szCs w:val="24"/>
        </w:rPr>
      </w:pPr>
      <w:r>
        <w:rPr>
          <w:sz w:val="24"/>
          <w:szCs w:val="24"/>
        </w:rPr>
        <w:t>21. december 2023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AF2" w:rsidRDefault="00895AF2">
      <w:r>
        <w:separator/>
      </w:r>
    </w:p>
  </w:endnote>
  <w:endnote w:type="continuationSeparator" w:id="0">
    <w:p w:rsidR="00895AF2" w:rsidRDefault="0089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AF2" w:rsidRDefault="00895AF2">
    <w:pPr>
      <w:pStyle w:val="Sidefod"/>
      <w:pBdr>
        <w:bottom w:val="single" w:sz="6" w:space="1" w:color="auto"/>
      </w:pBdr>
    </w:pPr>
  </w:p>
  <w:p w:rsidR="00895AF2" w:rsidRDefault="00895AF2" w:rsidP="00C42586">
    <w:pPr>
      <w:pStyle w:val="Sidefod"/>
      <w:tabs>
        <w:tab w:val="clear" w:pos="4819"/>
        <w:tab w:val="left" w:pos="8505"/>
      </w:tabs>
      <w:rPr>
        <w:i/>
        <w:sz w:val="18"/>
        <w:szCs w:val="18"/>
      </w:rPr>
    </w:pPr>
  </w:p>
  <w:p w:rsidR="00895AF2" w:rsidRPr="00B373D7" w:rsidRDefault="00895AF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Deferasirox Orifarm, filmovertrukne tabletter 90 mg, 180 mg og 360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AF2" w:rsidRDefault="00895AF2">
      <w:r>
        <w:separator/>
      </w:r>
    </w:p>
  </w:footnote>
  <w:footnote w:type="continuationSeparator" w:id="0">
    <w:p w:rsidR="00895AF2" w:rsidRDefault="00895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52E6"/>
    <w:multiLevelType w:val="hybridMultilevel"/>
    <w:tmpl w:val="9B405436"/>
    <w:lvl w:ilvl="0" w:tplc="6BE6CB3E">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9806681"/>
    <w:multiLevelType w:val="hybridMultilevel"/>
    <w:tmpl w:val="A094D512"/>
    <w:lvl w:ilvl="0" w:tplc="01C2C65E">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7A"/>
    <w:rsid w:val="000259B9"/>
    <w:rsid w:val="00041491"/>
    <w:rsid w:val="00050D16"/>
    <w:rsid w:val="00055FD3"/>
    <w:rsid w:val="00074F2A"/>
    <w:rsid w:val="000A0A4D"/>
    <w:rsid w:val="000A1CA8"/>
    <w:rsid w:val="000A466B"/>
    <w:rsid w:val="000B058C"/>
    <w:rsid w:val="000D1523"/>
    <w:rsid w:val="000D67AE"/>
    <w:rsid w:val="000E4EE6"/>
    <w:rsid w:val="0012128B"/>
    <w:rsid w:val="001454E2"/>
    <w:rsid w:val="00173256"/>
    <w:rsid w:val="00180858"/>
    <w:rsid w:val="00186C93"/>
    <w:rsid w:val="001E3B69"/>
    <w:rsid w:val="00206CE8"/>
    <w:rsid w:val="0021526C"/>
    <w:rsid w:val="002574F1"/>
    <w:rsid w:val="00283A2B"/>
    <w:rsid w:val="00296BF5"/>
    <w:rsid w:val="002B30AD"/>
    <w:rsid w:val="002C2C01"/>
    <w:rsid w:val="003A29AE"/>
    <w:rsid w:val="003A32D7"/>
    <w:rsid w:val="003B4074"/>
    <w:rsid w:val="003C769A"/>
    <w:rsid w:val="003F1838"/>
    <w:rsid w:val="003F529D"/>
    <w:rsid w:val="00407E6D"/>
    <w:rsid w:val="0045746C"/>
    <w:rsid w:val="004904E0"/>
    <w:rsid w:val="0049104B"/>
    <w:rsid w:val="00494CB3"/>
    <w:rsid w:val="00496D4F"/>
    <w:rsid w:val="004E3B12"/>
    <w:rsid w:val="00532310"/>
    <w:rsid w:val="00536EA5"/>
    <w:rsid w:val="00554F72"/>
    <w:rsid w:val="00565F0F"/>
    <w:rsid w:val="00594A86"/>
    <w:rsid w:val="00596D86"/>
    <w:rsid w:val="0059771D"/>
    <w:rsid w:val="005A0AE5"/>
    <w:rsid w:val="005A1801"/>
    <w:rsid w:val="005F52D3"/>
    <w:rsid w:val="00637F5A"/>
    <w:rsid w:val="006431AB"/>
    <w:rsid w:val="006560B1"/>
    <w:rsid w:val="006756DD"/>
    <w:rsid w:val="006D24BC"/>
    <w:rsid w:val="006E03FB"/>
    <w:rsid w:val="007234BF"/>
    <w:rsid w:val="00737275"/>
    <w:rsid w:val="00740EEC"/>
    <w:rsid w:val="00745F06"/>
    <w:rsid w:val="007567F0"/>
    <w:rsid w:val="0078011A"/>
    <w:rsid w:val="007815B8"/>
    <w:rsid w:val="00782AF4"/>
    <w:rsid w:val="00790EE7"/>
    <w:rsid w:val="007A0C3F"/>
    <w:rsid w:val="007B6649"/>
    <w:rsid w:val="0082576E"/>
    <w:rsid w:val="00841008"/>
    <w:rsid w:val="00864CC2"/>
    <w:rsid w:val="00895AF2"/>
    <w:rsid w:val="008D1B2C"/>
    <w:rsid w:val="00906C09"/>
    <w:rsid w:val="00907F75"/>
    <w:rsid w:val="009260DE"/>
    <w:rsid w:val="00926870"/>
    <w:rsid w:val="0093258A"/>
    <w:rsid w:val="00933BFD"/>
    <w:rsid w:val="00944E16"/>
    <w:rsid w:val="00957649"/>
    <w:rsid w:val="009C4DF9"/>
    <w:rsid w:val="009C7BA3"/>
    <w:rsid w:val="009D1F5A"/>
    <w:rsid w:val="009D31BF"/>
    <w:rsid w:val="009D7A86"/>
    <w:rsid w:val="009E2B1C"/>
    <w:rsid w:val="009E2EAC"/>
    <w:rsid w:val="00AC3567"/>
    <w:rsid w:val="00B003BF"/>
    <w:rsid w:val="00B373D7"/>
    <w:rsid w:val="00C21FB5"/>
    <w:rsid w:val="00C36276"/>
    <w:rsid w:val="00C42586"/>
    <w:rsid w:val="00C42FD3"/>
    <w:rsid w:val="00C60CCD"/>
    <w:rsid w:val="00C8417A"/>
    <w:rsid w:val="00C84483"/>
    <w:rsid w:val="00C95551"/>
    <w:rsid w:val="00CB20D7"/>
    <w:rsid w:val="00CD22A6"/>
    <w:rsid w:val="00CE37F0"/>
    <w:rsid w:val="00D020B0"/>
    <w:rsid w:val="00D11748"/>
    <w:rsid w:val="00D366CF"/>
    <w:rsid w:val="00D40514"/>
    <w:rsid w:val="00D90C40"/>
    <w:rsid w:val="00DA6C52"/>
    <w:rsid w:val="00DB0330"/>
    <w:rsid w:val="00E0565B"/>
    <w:rsid w:val="00E108AA"/>
    <w:rsid w:val="00E31F56"/>
    <w:rsid w:val="00E3749A"/>
    <w:rsid w:val="00E7437F"/>
    <w:rsid w:val="00E865B8"/>
    <w:rsid w:val="00EA50E3"/>
    <w:rsid w:val="00EA6B70"/>
    <w:rsid w:val="00EC0B9B"/>
    <w:rsid w:val="00ED5E9F"/>
    <w:rsid w:val="00F16076"/>
    <w:rsid w:val="00F44660"/>
    <w:rsid w:val="00F66D4F"/>
    <w:rsid w:val="00FA56CE"/>
    <w:rsid w:val="00FB6D01"/>
    <w:rsid w:val="00FC3C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37C12"/>
  <w15:chartTrackingRefBased/>
  <w15:docId w15:val="{847BDDC5-A880-4FD4-B48C-BA0EFACA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173256"/>
    <w:pPr>
      <w:autoSpaceDE w:val="0"/>
      <w:autoSpaceDN w:val="0"/>
      <w:adjustRightInd w:val="0"/>
    </w:pPr>
    <w:rPr>
      <w:color w:val="000000"/>
      <w:sz w:val="24"/>
      <w:szCs w:val="24"/>
    </w:rPr>
  </w:style>
  <w:style w:type="table" w:styleId="Almindeligtabel2">
    <w:name w:val="Plain Table 2"/>
    <w:basedOn w:val="Tabel-Normal"/>
    <w:uiPriority w:val="42"/>
    <w:rsid w:val="00173256"/>
    <w:rPr>
      <w:lang w:val="en-US"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Gitter">
    <w:name w:val="Table Grid"/>
    <w:basedOn w:val="Tabel-Normal"/>
    <w:rsid w:val="003F529D"/>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F0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141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5960097">
      <w:bodyDiv w:val="1"/>
      <w:marLeft w:val="0"/>
      <w:marRight w:val="0"/>
      <w:marTop w:val="0"/>
      <w:marBottom w:val="0"/>
      <w:divBdr>
        <w:top w:val="none" w:sz="0" w:space="0" w:color="auto"/>
        <w:left w:val="none" w:sz="0" w:space="0" w:color="auto"/>
        <w:bottom w:val="none" w:sz="0" w:space="0" w:color="auto"/>
        <w:right w:val="none" w:sz="0" w:space="0" w:color="auto"/>
      </w:divBdr>
    </w:div>
    <w:div w:id="248589617">
      <w:bodyDiv w:val="1"/>
      <w:marLeft w:val="0"/>
      <w:marRight w:val="0"/>
      <w:marTop w:val="0"/>
      <w:marBottom w:val="0"/>
      <w:divBdr>
        <w:top w:val="none" w:sz="0" w:space="0" w:color="auto"/>
        <w:left w:val="none" w:sz="0" w:space="0" w:color="auto"/>
        <w:bottom w:val="none" w:sz="0" w:space="0" w:color="auto"/>
        <w:right w:val="none" w:sz="0" w:space="0" w:color="auto"/>
      </w:divBdr>
    </w:div>
    <w:div w:id="294144724">
      <w:bodyDiv w:val="1"/>
      <w:marLeft w:val="0"/>
      <w:marRight w:val="0"/>
      <w:marTop w:val="0"/>
      <w:marBottom w:val="0"/>
      <w:divBdr>
        <w:top w:val="none" w:sz="0" w:space="0" w:color="auto"/>
        <w:left w:val="none" w:sz="0" w:space="0" w:color="auto"/>
        <w:bottom w:val="none" w:sz="0" w:space="0" w:color="auto"/>
        <w:right w:val="none" w:sz="0" w:space="0" w:color="auto"/>
      </w:divBdr>
    </w:div>
    <w:div w:id="346179593">
      <w:bodyDiv w:val="1"/>
      <w:marLeft w:val="0"/>
      <w:marRight w:val="0"/>
      <w:marTop w:val="0"/>
      <w:marBottom w:val="0"/>
      <w:divBdr>
        <w:top w:val="none" w:sz="0" w:space="0" w:color="auto"/>
        <w:left w:val="none" w:sz="0" w:space="0" w:color="auto"/>
        <w:bottom w:val="none" w:sz="0" w:space="0" w:color="auto"/>
        <w:right w:val="none" w:sz="0" w:space="0" w:color="auto"/>
      </w:divBdr>
    </w:div>
    <w:div w:id="378209086">
      <w:bodyDiv w:val="1"/>
      <w:marLeft w:val="0"/>
      <w:marRight w:val="0"/>
      <w:marTop w:val="0"/>
      <w:marBottom w:val="0"/>
      <w:divBdr>
        <w:top w:val="none" w:sz="0" w:space="0" w:color="auto"/>
        <w:left w:val="none" w:sz="0" w:space="0" w:color="auto"/>
        <w:bottom w:val="none" w:sz="0" w:space="0" w:color="auto"/>
        <w:right w:val="none" w:sz="0" w:space="0" w:color="auto"/>
      </w:divBdr>
    </w:div>
    <w:div w:id="503281617">
      <w:bodyDiv w:val="1"/>
      <w:marLeft w:val="0"/>
      <w:marRight w:val="0"/>
      <w:marTop w:val="0"/>
      <w:marBottom w:val="0"/>
      <w:divBdr>
        <w:top w:val="none" w:sz="0" w:space="0" w:color="auto"/>
        <w:left w:val="none" w:sz="0" w:space="0" w:color="auto"/>
        <w:bottom w:val="none" w:sz="0" w:space="0" w:color="auto"/>
        <w:right w:val="none" w:sz="0" w:space="0" w:color="auto"/>
      </w:divBdr>
    </w:div>
    <w:div w:id="623275211">
      <w:bodyDiv w:val="1"/>
      <w:marLeft w:val="0"/>
      <w:marRight w:val="0"/>
      <w:marTop w:val="0"/>
      <w:marBottom w:val="0"/>
      <w:divBdr>
        <w:top w:val="none" w:sz="0" w:space="0" w:color="auto"/>
        <w:left w:val="none" w:sz="0" w:space="0" w:color="auto"/>
        <w:bottom w:val="none" w:sz="0" w:space="0" w:color="auto"/>
        <w:right w:val="none" w:sz="0" w:space="0" w:color="auto"/>
      </w:divBdr>
    </w:div>
    <w:div w:id="782773653">
      <w:bodyDiv w:val="1"/>
      <w:marLeft w:val="0"/>
      <w:marRight w:val="0"/>
      <w:marTop w:val="0"/>
      <w:marBottom w:val="0"/>
      <w:divBdr>
        <w:top w:val="none" w:sz="0" w:space="0" w:color="auto"/>
        <w:left w:val="none" w:sz="0" w:space="0" w:color="auto"/>
        <w:bottom w:val="none" w:sz="0" w:space="0" w:color="auto"/>
        <w:right w:val="none" w:sz="0" w:space="0" w:color="auto"/>
      </w:divBdr>
    </w:div>
    <w:div w:id="852259069">
      <w:bodyDiv w:val="1"/>
      <w:marLeft w:val="0"/>
      <w:marRight w:val="0"/>
      <w:marTop w:val="0"/>
      <w:marBottom w:val="0"/>
      <w:divBdr>
        <w:top w:val="none" w:sz="0" w:space="0" w:color="auto"/>
        <w:left w:val="none" w:sz="0" w:space="0" w:color="auto"/>
        <w:bottom w:val="none" w:sz="0" w:space="0" w:color="auto"/>
        <w:right w:val="none" w:sz="0" w:space="0" w:color="auto"/>
      </w:divBdr>
    </w:div>
    <w:div w:id="905802398">
      <w:bodyDiv w:val="1"/>
      <w:marLeft w:val="0"/>
      <w:marRight w:val="0"/>
      <w:marTop w:val="0"/>
      <w:marBottom w:val="0"/>
      <w:divBdr>
        <w:top w:val="none" w:sz="0" w:space="0" w:color="auto"/>
        <w:left w:val="none" w:sz="0" w:space="0" w:color="auto"/>
        <w:bottom w:val="none" w:sz="0" w:space="0" w:color="auto"/>
        <w:right w:val="none" w:sz="0" w:space="0" w:color="auto"/>
      </w:divBdr>
    </w:div>
    <w:div w:id="931621044">
      <w:bodyDiv w:val="1"/>
      <w:marLeft w:val="0"/>
      <w:marRight w:val="0"/>
      <w:marTop w:val="0"/>
      <w:marBottom w:val="0"/>
      <w:divBdr>
        <w:top w:val="none" w:sz="0" w:space="0" w:color="auto"/>
        <w:left w:val="none" w:sz="0" w:space="0" w:color="auto"/>
        <w:bottom w:val="none" w:sz="0" w:space="0" w:color="auto"/>
        <w:right w:val="none" w:sz="0" w:space="0" w:color="auto"/>
      </w:divBdr>
    </w:div>
    <w:div w:id="939068490">
      <w:bodyDiv w:val="1"/>
      <w:marLeft w:val="0"/>
      <w:marRight w:val="0"/>
      <w:marTop w:val="0"/>
      <w:marBottom w:val="0"/>
      <w:divBdr>
        <w:top w:val="none" w:sz="0" w:space="0" w:color="auto"/>
        <w:left w:val="none" w:sz="0" w:space="0" w:color="auto"/>
        <w:bottom w:val="none" w:sz="0" w:space="0" w:color="auto"/>
        <w:right w:val="none" w:sz="0" w:space="0" w:color="auto"/>
      </w:divBdr>
    </w:div>
    <w:div w:id="950546944">
      <w:bodyDiv w:val="1"/>
      <w:marLeft w:val="0"/>
      <w:marRight w:val="0"/>
      <w:marTop w:val="0"/>
      <w:marBottom w:val="0"/>
      <w:divBdr>
        <w:top w:val="none" w:sz="0" w:space="0" w:color="auto"/>
        <w:left w:val="none" w:sz="0" w:space="0" w:color="auto"/>
        <w:bottom w:val="none" w:sz="0" w:space="0" w:color="auto"/>
        <w:right w:val="none" w:sz="0" w:space="0" w:color="auto"/>
      </w:divBdr>
    </w:div>
    <w:div w:id="964628278">
      <w:bodyDiv w:val="1"/>
      <w:marLeft w:val="0"/>
      <w:marRight w:val="0"/>
      <w:marTop w:val="0"/>
      <w:marBottom w:val="0"/>
      <w:divBdr>
        <w:top w:val="none" w:sz="0" w:space="0" w:color="auto"/>
        <w:left w:val="none" w:sz="0" w:space="0" w:color="auto"/>
        <w:bottom w:val="none" w:sz="0" w:space="0" w:color="auto"/>
        <w:right w:val="none" w:sz="0" w:space="0" w:color="auto"/>
      </w:divBdr>
    </w:div>
    <w:div w:id="993217034">
      <w:bodyDiv w:val="1"/>
      <w:marLeft w:val="0"/>
      <w:marRight w:val="0"/>
      <w:marTop w:val="0"/>
      <w:marBottom w:val="0"/>
      <w:divBdr>
        <w:top w:val="none" w:sz="0" w:space="0" w:color="auto"/>
        <w:left w:val="none" w:sz="0" w:space="0" w:color="auto"/>
        <w:bottom w:val="none" w:sz="0" w:space="0" w:color="auto"/>
        <w:right w:val="none" w:sz="0" w:space="0" w:color="auto"/>
      </w:divBdr>
    </w:div>
    <w:div w:id="995912470">
      <w:bodyDiv w:val="1"/>
      <w:marLeft w:val="0"/>
      <w:marRight w:val="0"/>
      <w:marTop w:val="0"/>
      <w:marBottom w:val="0"/>
      <w:divBdr>
        <w:top w:val="none" w:sz="0" w:space="0" w:color="auto"/>
        <w:left w:val="none" w:sz="0" w:space="0" w:color="auto"/>
        <w:bottom w:val="none" w:sz="0" w:space="0" w:color="auto"/>
        <w:right w:val="none" w:sz="0" w:space="0" w:color="auto"/>
      </w:divBdr>
    </w:div>
    <w:div w:id="1002439881">
      <w:bodyDiv w:val="1"/>
      <w:marLeft w:val="0"/>
      <w:marRight w:val="0"/>
      <w:marTop w:val="0"/>
      <w:marBottom w:val="0"/>
      <w:divBdr>
        <w:top w:val="none" w:sz="0" w:space="0" w:color="auto"/>
        <w:left w:val="none" w:sz="0" w:space="0" w:color="auto"/>
        <w:bottom w:val="none" w:sz="0" w:space="0" w:color="auto"/>
        <w:right w:val="none" w:sz="0" w:space="0" w:color="auto"/>
      </w:divBdr>
    </w:div>
    <w:div w:id="1047871807">
      <w:bodyDiv w:val="1"/>
      <w:marLeft w:val="0"/>
      <w:marRight w:val="0"/>
      <w:marTop w:val="0"/>
      <w:marBottom w:val="0"/>
      <w:divBdr>
        <w:top w:val="none" w:sz="0" w:space="0" w:color="auto"/>
        <w:left w:val="none" w:sz="0" w:space="0" w:color="auto"/>
        <w:bottom w:val="none" w:sz="0" w:space="0" w:color="auto"/>
        <w:right w:val="none" w:sz="0" w:space="0" w:color="auto"/>
      </w:divBdr>
    </w:div>
    <w:div w:id="1079476176">
      <w:bodyDiv w:val="1"/>
      <w:marLeft w:val="0"/>
      <w:marRight w:val="0"/>
      <w:marTop w:val="0"/>
      <w:marBottom w:val="0"/>
      <w:divBdr>
        <w:top w:val="none" w:sz="0" w:space="0" w:color="auto"/>
        <w:left w:val="none" w:sz="0" w:space="0" w:color="auto"/>
        <w:bottom w:val="none" w:sz="0" w:space="0" w:color="auto"/>
        <w:right w:val="none" w:sz="0" w:space="0" w:color="auto"/>
      </w:divBdr>
    </w:div>
    <w:div w:id="1108815484">
      <w:bodyDiv w:val="1"/>
      <w:marLeft w:val="0"/>
      <w:marRight w:val="0"/>
      <w:marTop w:val="0"/>
      <w:marBottom w:val="0"/>
      <w:divBdr>
        <w:top w:val="none" w:sz="0" w:space="0" w:color="auto"/>
        <w:left w:val="none" w:sz="0" w:space="0" w:color="auto"/>
        <w:bottom w:val="none" w:sz="0" w:space="0" w:color="auto"/>
        <w:right w:val="none" w:sz="0" w:space="0" w:color="auto"/>
      </w:divBdr>
    </w:div>
    <w:div w:id="1151870483">
      <w:bodyDiv w:val="1"/>
      <w:marLeft w:val="0"/>
      <w:marRight w:val="0"/>
      <w:marTop w:val="0"/>
      <w:marBottom w:val="0"/>
      <w:divBdr>
        <w:top w:val="none" w:sz="0" w:space="0" w:color="auto"/>
        <w:left w:val="none" w:sz="0" w:space="0" w:color="auto"/>
        <w:bottom w:val="none" w:sz="0" w:space="0" w:color="auto"/>
        <w:right w:val="none" w:sz="0" w:space="0" w:color="auto"/>
      </w:divBdr>
    </w:div>
    <w:div w:id="1213158052">
      <w:bodyDiv w:val="1"/>
      <w:marLeft w:val="0"/>
      <w:marRight w:val="0"/>
      <w:marTop w:val="0"/>
      <w:marBottom w:val="0"/>
      <w:divBdr>
        <w:top w:val="none" w:sz="0" w:space="0" w:color="auto"/>
        <w:left w:val="none" w:sz="0" w:space="0" w:color="auto"/>
        <w:bottom w:val="none" w:sz="0" w:space="0" w:color="auto"/>
        <w:right w:val="none" w:sz="0" w:space="0" w:color="auto"/>
      </w:divBdr>
    </w:div>
    <w:div w:id="1243905252">
      <w:bodyDiv w:val="1"/>
      <w:marLeft w:val="0"/>
      <w:marRight w:val="0"/>
      <w:marTop w:val="0"/>
      <w:marBottom w:val="0"/>
      <w:divBdr>
        <w:top w:val="none" w:sz="0" w:space="0" w:color="auto"/>
        <w:left w:val="none" w:sz="0" w:space="0" w:color="auto"/>
        <w:bottom w:val="none" w:sz="0" w:space="0" w:color="auto"/>
        <w:right w:val="none" w:sz="0" w:space="0" w:color="auto"/>
      </w:divBdr>
    </w:div>
    <w:div w:id="1288580336">
      <w:bodyDiv w:val="1"/>
      <w:marLeft w:val="0"/>
      <w:marRight w:val="0"/>
      <w:marTop w:val="0"/>
      <w:marBottom w:val="0"/>
      <w:divBdr>
        <w:top w:val="none" w:sz="0" w:space="0" w:color="auto"/>
        <w:left w:val="none" w:sz="0" w:space="0" w:color="auto"/>
        <w:bottom w:val="none" w:sz="0" w:space="0" w:color="auto"/>
        <w:right w:val="none" w:sz="0" w:space="0" w:color="auto"/>
      </w:divBdr>
    </w:div>
    <w:div w:id="1401946355">
      <w:bodyDiv w:val="1"/>
      <w:marLeft w:val="0"/>
      <w:marRight w:val="0"/>
      <w:marTop w:val="0"/>
      <w:marBottom w:val="0"/>
      <w:divBdr>
        <w:top w:val="none" w:sz="0" w:space="0" w:color="auto"/>
        <w:left w:val="none" w:sz="0" w:space="0" w:color="auto"/>
        <w:bottom w:val="none" w:sz="0" w:space="0" w:color="auto"/>
        <w:right w:val="none" w:sz="0" w:space="0" w:color="auto"/>
      </w:divBdr>
    </w:div>
    <w:div w:id="1419860706">
      <w:bodyDiv w:val="1"/>
      <w:marLeft w:val="0"/>
      <w:marRight w:val="0"/>
      <w:marTop w:val="0"/>
      <w:marBottom w:val="0"/>
      <w:divBdr>
        <w:top w:val="none" w:sz="0" w:space="0" w:color="auto"/>
        <w:left w:val="none" w:sz="0" w:space="0" w:color="auto"/>
        <w:bottom w:val="none" w:sz="0" w:space="0" w:color="auto"/>
        <w:right w:val="none" w:sz="0" w:space="0" w:color="auto"/>
      </w:divBdr>
    </w:div>
    <w:div w:id="1458258704">
      <w:bodyDiv w:val="1"/>
      <w:marLeft w:val="0"/>
      <w:marRight w:val="0"/>
      <w:marTop w:val="0"/>
      <w:marBottom w:val="0"/>
      <w:divBdr>
        <w:top w:val="none" w:sz="0" w:space="0" w:color="auto"/>
        <w:left w:val="none" w:sz="0" w:space="0" w:color="auto"/>
        <w:bottom w:val="none" w:sz="0" w:space="0" w:color="auto"/>
        <w:right w:val="none" w:sz="0" w:space="0" w:color="auto"/>
      </w:divBdr>
    </w:div>
    <w:div w:id="1467316488">
      <w:bodyDiv w:val="1"/>
      <w:marLeft w:val="0"/>
      <w:marRight w:val="0"/>
      <w:marTop w:val="0"/>
      <w:marBottom w:val="0"/>
      <w:divBdr>
        <w:top w:val="none" w:sz="0" w:space="0" w:color="auto"/>
        <w:left w:val="none" w:sz="0" w:space="0" w:color="auto"/>
        <w:bottom w:val="none" w:sz="0" w:space="0" w:color="auto"/>
        <w:right w:val="none" w:sz="0" w:space="0" w:color="auto"/>
      </w:divBdr>
    </w:div>
    <w:div w:id="1530028333">
      <w:bodyDiv w:val="1"/>
      <w:marLeft w:val="0"/>
      <w:marRight w:val="0"/>
      <w:marTop w:val="0"/>
      <w:marBottom w:val="0"/>
      <w:divBdr>
        <w:top w:val="none" w:sz="0" w:space="0" w:color="auto"/>
        <w:left w:val="none" w:sz="0" w:space="0" w:color="auto"/>
        <w:bottom w:val="none" w:sz="0" w:space="0" w:color="auto"/>
        <w:right w:val="none" w:sz="0" w:space="0" w:color="auto"/>
      </w:divBdr>
    </w:div>
    <w:div w:id="1534422644">
      <w:bodyDiv w:val="1"/>
      <w:marLeft w:val="0"/>
      <w:marRight w:val="0"/>
      <w:marTop w:val="0"/>
      <w:marBottom w:val="0"/>
      <w:divBdr>
        <w:top w:val="none" w:sz="0" w:space="0" w:color="auto"/>
        <w:left w:val="none" w:sz="0" w:space="0" w:color="auto"/>
        <w:bottom w:val="none" w:sz="0" w:space="0" w:color="auto"/>
        <w:right w:val="none" w:sz="0" w:space="0" w:color="auto"/>
      </w:divBdr>
    </w:div>
    <w:div w:id="1611549642">
      <w:bodyDiv w:val="1"/>
      <w:marLeft w:val="0"/>
      <w:marRight w:val="0"/>
      <w:marTop w:val="0"/>
      <w:marBottom w:val="0"/>
      <w:divBdr>
        <w:top w:val="none" w:sz="0" w:space="0" w:color="auto"/>
        <w:left w:val="none" w:sz="0" w:space="0" w:color="auto"/>
        <w:bottom w:val="none" w:sz="0" w:space="0" w:color="auto"/>
        <w:right w:val="none" w:sz="0" w:space="0" w:color="auto"/>
      </w:divBdr>
    </w:div>
    <w:div w:id="1620258165">
      <w:bodyDiv w:val="1"/>
      <w:marLeft w:val="0"/>
      <w:marRight w:val="0"/>
      <w:marTop w:val="0"/>
      <w:marBottom w:val="0"/>
      <w:divBdr>
        <w:top w:val="none" w:sz="0" w:space="0" w:color="auto"/>
        <w:left w:val="none" w:sz="0" w:space="0" w:color="auto"/>
        <w:bottom w:val="none" w:sz="0" w:space="0" w:color="auto"/>
        <w:right w:val="none" w:sz="0" w:space="0" w:color="auto"/>
      </w:divBdr>
    </w:div>
    <w:div w:id="1621843461">
      <w:bodyDiv w:val="1"/>
      <w:marLeft w:val="0"/>
      <w:marRight w:val="0"/>
      <w:marTop w:val="0"/>
      <w:marBottom w:val="0"/>
      <w:divBdr>
        <w:top w:val="none" w:sz="0" w:space="0" w:color="auto"/>
        <w:left w:val="none" w:sz="0" w:space="0" w:color="auto"/>
        <w:bottom w:val="none" w:sz="0" w:space="0" w:color="auto"/>
        <w:right w:val="none" w:sz="0" w:space="0" w:color="auto"/>
      </w:divBdr>
    </w:div>
    <w:div w:id="1641302446">
      <w:bodyDiv w:val="1"/>
      <w:marLeft w:val="0"/>
      <w:marRight w:val="0"/>
      <w:marTop w:val="0"/>
      <w:marBottom w:val="0"/>
      <w:divBdr>
        <w:top w:val="none" w:sz="0" w:space="0" w:color="auto"/>
        <w:left w:val="none" w:sz="0" w:space="0" w:color="auto"/>
        <w:bottom w:val="none" w:sz="0" w:space="0" w:color="auto"/>
        <w:right w:val="none" w:sz="0" w:space="0" w:color="auto"/>
      </w:divBdr>
    </w:div>
    <w:div w:id="1683582404">
      <w:bodyDiv w:val="1"/>
      <w:marLeft w:val="0"/>
      <w:marRight w:val="0"/>
      <w:marTop w:val="0"/>
      <w:marBottom w:val="0"/>
      <w:divBdr>
        <w:top w:val="none" w:sz="0" w:space="0" w:color="auto"/>
        <w:left w:val="none" w:sz="0" w:space="0" w:color="auto"/>
        <w:bottom w:val="none" w:sz="0" w:space="0" w:color="auto"/>
        <w:right w:val="none" w:sz="0" w:space="0" w:color="auto"/>
      </w:divBdr>
    </w:div>
    <w:div w:id="1716154208">
      <w:bodyDiv w:val="1"/>
      <w:marLeft w:val="0"/>
      <w:marRight w:val="0"/>
      <w:marTop w:val="0"/>
      <w:marBottom w:val="0"/>
      <w:divBdr>
        <w:top w:val="none" w:sz="0" w:space="0" w:color="auto"/>
        <w:left w:val="none" w:sz="0" w:space="0" w:color="auto"/>
        <w:bottom w:val="none" w:sz="0" w:space="0" w:color="auto"/>
        <w:right w:val="none" w:sz="0" w:space="0" w:color="auto"/>
      </w:divBdr>
    </w:div>
    <w:div w:id="1799445761">
      <w:bodyDiv w:val="1"/>
      <w:marLeft w:val="0"/>
      <w:marRight w:val="0"/>
      <w:marTop w:val="0"/>
      <w:marBottom w:val="0"/>
      <w:divBdr>
        <w:top w:val="none" w:sz="0" w:space="0" w:color="auto"/>
        <w:left w:val="none" w:sz="0" w:space="0" w:color="auto"/>
        <w:bottom w:val="none" w:sz="0" w:space="0" w:color="auto"/>
        <w:right w:val="none" w:sz="0" w:space="0" w:color="auto"/>
      </w:divBdr>
    </w:div>
    <w:div w:id="1820532217">
      <w:bodyDiv w:val="1"/>
      <w:marLeft w:val="0"/>
      <w:marRight w:val="0"/>
      <w:marTop w:val="0"/>
      <w:marBottom w:val="0"/>
      <w:divBdr>
        <w:top w:val="none" w:sz="0" w:space="0" w:color="auto"/>
        <w:left w:val="none" w:sz="0" w:space="0" w:color="auto"/>
        <w:bottom w:val="none" w:sz="0" w:space="0" w:color="auto"/>
        <w:right w:val="none" w:sz="0" w:space="0" w:color="auto"/>
      </w:divBdr>
    </w:div>
    <w:div w:id="1829591543">
      <w:bodyDiv w:val="1"/>
      <w:marLeft w:val="0"/>
      <w:marRight w:val="0"/>
      <w:marTop w:val="0"/>
      <w:marBottom w:val="0"/>
      <w:divBdr>
        <w:top w:val="none" w:sz="0" w:space="0" w:color="auto"/>
        <w:left w:val="none" w:sz="0" w:space="0" w:color="auto"/>
        <w:bottom w:val="none" w:sz="0" w:space="0" w:color="auto"/>
        <w:right w:val="none" w:sz="0" w:space="0" w:color="auto"/>
      </w:divBdr>
    </w:div>
    <w:div w:id="1944608753">
      <w:bodyDiv w:val="1"/>
      <w:marLeft w:val="0"/>
      <w:marRight w:val="0"/>
      <w:marTop w:val="0"/>
      <w:marBottom w:val="0"/>
      <w:divBdr>
        <w:top w:val="none" w:sz="0" w:space="0" w:color="auto"/>
        <w:left w:val="none" w:sz="0" w:space="0" w:color="auto"/>
        <w:bottom w:val="none" w:sz="0" w:space="0" w:color="auto"/>
        <w:right w:val="none" w:sz="0" w:space="0" w:color="auto"/>
      </w:divBdr>
    </w:div>
    <w:div w:id="1949965854">
      <w:bodyDiv w:val="1"/>
      <w:marLeft w:val="0"/>
      <w:marRight w:val="0"/>
      <w:marTop w:val="0"/>
      <w:marBottom w:val="0"/>
      <w:divBdr>
        <w:top w:val="none" w:sz="0" w:space="0" w:color="auto"/>
        <w:left w:val="none" w:sz="0" w:space="0" w:color="auto"/>
        <w:bottom w:val="none" w:sz="0" w:space="0" w:color="auto"/>
        <w:right w:val="none" w:sz="0" w:space="0" w:color="auto"/>
      </w:divBdr>
    </w:div>
    <w:div w:id="21042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23</Pages>
  <Words>7874</Words>
  <Characters>51219</Characters>
  <Application>Microsoft Office Word</Application>
  <DocSecurity>0</DocSecurity>
  <Lines>426</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2023020140 var 4 opdat iht Exjade</dc:description>
  <cp:lastModifiedBy>Hanne Thy Iversen</cp:lastModifiedBy>
  <cp:revision>16</cp:revision>
  <cp:lastPrinted>2012-08-22T08:53:00Z</cp:lastPrinted>
  <dcterms:created xsi:type="dcterms:W3CDTF">2021-07-12T08:26:00Z</dcterms:created>
  <dcterms:modified xsi:type="dcterms:W3CDTF">2023-12-21T11:50:00Z</dcterms:modified>
</cp:coreProperties>
</file>