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260DE" w:rsidRPr="00C84483" w:rsidRDefault="0021526C" w:rsidP="000F34ED">
      <w:pPr>
        <w:rPr>
          <w:b/>
          <w:szCs w:val="24"/>
        </w:rPr>
      </w:pPr>
      <w:r w:rsidRPr="009260DE">
        <w:rPr>
          <w:noProof/>
          <w:sz w:val="24"/>
          <w:szCs w:val="24"/>
          <w:lang w:eastAsia="da-DK"/>
        </w:rPr>
        <w:drawing>
          <wp:anchor distT="0" distB="0" distL="114300" distR="114300" simplePos="0" relativeHeight="251658240" behindDoc="0" locked="0" layoutInCell="1" allowOverlap="1" wp14:anchorId="15B87791" wp14:editId="24D10A07">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Pr>
          <w:sz w:val="24"/>
          <w:szCs w:val="24"/>
        </w:rPr>
        <w:br w:type="textWrapping" w:clear="all"/>
      </w:r>
    </w:p>
    <w:p w:rsidR="009260DE" w:rsidRPr="00F43637" w:rsidRDefault="009260DE" w:rsidP="000F34ED">
      <w:pPr>
        <w:pStyle w:val="Titel"/>
        <w:tabs>
          <w:tab w:val="right" w:pos="9356"/>
        </w:tabs>
        <w:jc w:val="left"/>
        <w:rPr>
          <w:b w:val="0"/>
          <w:szCs w:val="24"/>
          <w:lang w:eastAsia="en-US"/>
        </w:rPr>
      </w:pPr>
      <w:r w:rsidRPr="00C84483">
        <w:rPr>
          <w:b w:val="0"/>
          <w:szCs w:val="24"/>
          <w:lang w:eastAsia="en-US"/>
        </w:rPr>
        <w:tab/>
      </w:r>
      <w:r w:rsidR="00A362C3">
        <w:rPr>
          <w:szCs w:val="24"/>
        </w:rPr>
        <w:t>20. august 2021</w:t>
      </w:r>
    </w:p>
    <w:p w:rsidR="009260DE" w:rsidRPr="00F43637" w:rsidRDefault="009260DE" w:rsidP="000F34ED">
      <w:pPr>
        <w:pStyle w:val="Titel"/>
        <w:tabs>
          <w:tab w:val="left" w:pos="8222"/>
        </w:tabs>
        <w:jc w:val="left"/>
        <w:rPr>
          <w:b w:val="0"/>
          <w:szCs w:val="24"/>
        </w:rPr>
      </w:pPr>
    </w:p>
    <w:p w:rsidR="009260DE" w:rsidRPr="00F43637" w:rsidRDefault="009260DE" w:rsidP="000F34ED">
      <w:pPr>
        <w:pStyle w:val="Titel"/>
        <w:jc w:val="left"/>
        <w:rPr>
          <w:b w:val="0"/>
          <w:szCs w:val="24"/>
        </w:rPr>
      </w:pPr>
    </w:p>
    <w:p w:rsidR="009260DE" w:rsidRPr="00F43637" w:rsidRDefault="009260DE" w:rsidP="000F34ED">
      <w:pPr>
        <w:jc w:val="center"/>
        <w:rPr>
          <w:b/>
          <w:sz w:val="24"/>
          <w:szCs w:val="24"/>
        </w:rPr>
      </w:pPr>
      <w:r w:rsidRPr="00F43637">
        <w:rPr>
          <w:b/>
          <w:sz w:val="24"/>
          <w:szCs w:val="24"/>
        </w:rPr>
        <w:t>PRODUKTRESUMÉ</w:t>
      </w:r>
    </w:p>
    <w:p w:rsidR="009260DE" w:rsidRPr="00F43637" w:rsidRDefault="009260DE" w:rsidP="000F34ED">
      <w:pPr>
        <w:jc w:val="center"/>
        <w:rPr>
          <w:b/>
          <w:sz w:val="24"/>
          <w:szCs w:val="24"/>
        </w:rPr>
      </w:pPr>
    </w:p>
    <w:p w:rsidR="009260DE" w:rsidRPr="00F43637" w:rsidRDefault="009260DE" w:rsidP="000F34ED">
      <w:pPr>
        <w:jc w:val="center"/>
        <w:rPr>
          <w:b/>
          <w:sz w:val="24"/>
          <w:szCs w:val="24"/>
        </w:rPr>
      </w:pPr>
      <w:r w:rsidRPr="00F43637">
        <w:rPr>
          <w:b/>
          <w:sz w:val="24"/>
          <w:szCs w:val="24"/>
        </w:rPr>
        <w:t>for</w:t>
      </w:r>
    </w:p>
    <w:p w:rsidR="000B058C" w:rsidRPr="00F43637" w:rsidRDefault="000B058C" w:rsidP="000F34ED">
      <w:pPr>
        <w:jc w:val="center"/>
        <w:rPr>
          <w:b/>
          <w:sz w:val="24"/>
          <w:szCs w:val="24"/>
        </w:rPr>
      </w:pPr>
    </w:p>
    <w:p w:rsidR="009260DE" w:rsidRPr="00F43637" w:rsidRDefault="001E44EE" w:rsidP="000F34ED">
      <w:pPr>
        <w:jc w:val="center"/>
        <w:rPr>
          <w:b/>
          <w:sz w:val="24"/>
          <w:szCs w:val="24"/>
        </w:rPr>
      </w:pPr>
      <w:r w:rsidRPr="00F43637">
        <w:rPr>
          <w:b/>
          <w:sz w:val="24"/>
          <w:szCs w:val="24"/>
        </w:rPr>
        <w:t>Deferasirox "Sandoz", filmovertrukne tabletter</w:t>
      </w:r>
    </w:p>
    <w:p w:rsidR="009260DE" w:rsidRPr="00F43637" w:rsidRDefault="009260DE" w:rsidP="000F34ED">
      <w:pPr>
        <w:jc w:val="both"/>
        <w:rPr>
          <w:sz w:val="24"/>
          <w:szCs w:val="24"/>
        </w:rPr>
      </w:pPr>
    </w:p>
    <w:p w:rsidR="009260DE" w:rsidRPr="00F43637" w:rsidRDefault="009260DE" w:rsidP="000F34ED">
      <w:pPr>
        <w:jc w:val="both"/>
        <w:rPr>
          <w:sz w:val="24"/>
          <w:szCs w:val="24"/>
        </w:rPr>
      </w:pPr>
    </w:p>
    <w:p w:rsidR="009260DE" w:rsidRPr="00C84483" w:rsidRDefault="009260DE" w:rsidP="000F34ED">
      <w:pPr>
        <w:tabs>
          <w:tab w:val="left" w:pos="851"/>
        </w:tabs>
        <w:ind w:left="851" w:hanging="851"/>
        <w:rPr>
          <w:b/>
          <w:sz w:val="24"/>
          <w:szCs w:val="24"/>
        </w:rPr>
      </w:pPr>
      <w:r w:rsidRPr="00C84483">
        <w:rPr>
          <w:b/>
          <w:sz w:val="24"/>
          <w:szCs w:val="24"/>
        </w:rPr>
        <w:t>0.</w:t>
      </w:r>
      <w:r w:rsidRPr="00C84483">
        <w:rPr>
          <w:b/>
          <w:sz w:val="24"/>
          <w:szCs w:val="24"/>
        </w:rPr>
        <w:tab/>
        <w:t>D.SP.NR.</w:t>
      </w:r>
    </w:p>
    <w:p w:rsidR="009260DE" w:rsidRPr="00C84483" w:rsidRDefault="001E44EE" w:rsidP="000F34ED">
      <w:pPr>
        <w:tabs>
          <w:tab w:val="left" w:pos="851"/>
        </w:tabs>
        <w:ind w:left="851"/>
        <w:rPr>
          <w:sz w:val="24"/>
          <w:szCs w:val="24"/>
        </w:rPr>
      </w:pPr>
      <w:r>
        <w:rPr>
          <w:sz w:val="24"/>
          <w:szCs w:val="24"/>
        </w:rPr>
        <w:t>31925</w:t>
      </w:r>
    </w:p>
    <w:p w:rsidR="009260DE" w:rsidRPr="00C84483" w:rsidRDefault="009260DE" w:rsidP="000F34ED">
      <w:pPr>
        <w:tabs>
          <w:tab w:val="left" w:pos="851"/>
        </w:tabs>
        <w:ind w:left="851"/>
        <w:rPr>
          <w:sz w:val="24"/>
          <w:szCs w:val="24"/>
        </w:rPr>
      </w:pPr>
    </w:p>
    <w:p w:rsidR="009260DE" w:rsidRPr="00C84483" w:rsidRDefault="009260DE" w:rsidP="000F34ED">
      <w:pPr>
        <w:tabs>
          <w:tab w:val="left" w:pos="851"/>
        </w:tabs>
        <w:ind w:left="851" w:hanging="851"/>
        <w:rPr>
          <w:b/>
          <w:sz w:val="24"/>
          <w:szCs w:val="24"/>
        </w:rPr>
      </w:pPr>
      <w:r w:rsidRPr="00C84483">
        <w:rPr>
          <w:b/>
          <w:sz w:val="24"/>
          <w:szCs w:val="24"/>
        </w:rPr>
        <w:t>1.</w:t>
      </w:r>
      <w:r w:rsidRPr="00C84483">
        <w:rPr>
          <w:b/>
          <w:sz w:val="24"/>
          <w:szCs w:val="24"/>
        </w:rPr>
        <w:tab/>
        <w:t>LÆGEMIDLETS NAVN</w:t>
      </w:r>
    </w:p>
    <w:p w:rsidR="009260DE" w:rsidRPr="00C84483" w:rsidRDefault="001E44EE" w:rsidP="000F34ED">
      <w:pPr>
        <w:tabs>
          <w:tab w:val="left" w:pos="851"/>
        </w:tabs>
        <w:ind w:left="851"/>
        <w:rPr>
          <w:sz w:val="24"/>
          <w:szCs w:val="24"/>
        </w:rPr>
      </w:pPr>
      <w:r>
        <w:rPr>
          <w:sz w:val="24"/>
          <w:szCs w:val="24"/>
        </w:rPr>
        <w:t>Deferasirox "Sandoz"</w:t>
      </w:r>
    </w:p>
    <w:p w:rsidR="009260DE" w:rsidRPr="00C84483" w:rsidRDefault="009260DE" w:rsidP="000F34ED">
      <w:pPr>
        <w:tabs>
          <w:tab w:val="left" w:pos="851"/>
        </w:tabs>
        <w:ind w:left="851"/>
        <w:rPr>
          <w:sz w:val="24"/>
          <w:szCs w:val="24"/>
        </w:rPr>
      </w:pPr>
    </w:p>
    <w:p w:rsidR="009260DE" w:rsidRPr="00C84483" w:rsidRDefault="009260DE" w:rsidP="000F34ED">
      <w:pPr>
        <w:tabs>
          <w:tab w:val="left" w:pos="851"/>
        </w:tabs>
        <w:ind w:left="851" w:hanging="851"/>
        <w:rPr>
          <w:b/>
          <w:sz w:val="24"/>
          <w:szCs w:val="24"/>
        </w:rPr>
      </w:pPr>
      <w:r w:rsidRPr="00C84483">
        <w:rPr>
          <w:b/>
          <w:sz w:val="24"/>
          <w:szCs w:val="24"/>
        </w:rPr>
        <w:t>2.</w:t>
      </w:r>
      <w:r w:rsidRPr="00C84483">
        <w:rPr>
          <w:b/>
          <w:sz w:val="24"/>
          <w:szCs w:val="24"/>
        </w:rPr>
        <w:tab/>
        <w:t>KVALITATIV OG KVANTITATIV SAMMENSÆTNING</w:t>
      </w:r>
    </w:p>
    <w:p w:rsidR="009D3075" w:rsidRDefault="009D3075" w:rsidP="000F34ED">
      <w:pPr>
        <w:tabs>
          <w:tab w:val="left" w:pos="851"/>
        </w:tabs>
        <w:ind w:left="851"/>
        <w:rPr>
          <w:sz w:val="24"/>
          <w:szCs w:val="24"/>
          <w:u w:val="single"/>
        </w:rPr>
      </w:pPr>
    </w:p>
    <w:p w:rsidR="009D3075" w:rsidRPr="009D3075" w:rsidRDefault="00661E7D" w:rsidP="000F34ED">
      <w:pPr>
        <w:tabs>
          <w:tab w:val="left" w:pos="851"/>
        </w:tabs>
        <w:ind w:left="851"/>
        <w:rPr>
          <w:sz w:val="24"/>
          <w:szCs w:val="24"/>
        </w:rPr>
      </w:pPr>
      <w:r>
        <w:rPr>
          <w:sz w:val="24"/>
          <w:szCs w:val="24"/>
          <w:u w:val="single"/>
        </w:rPr>
        <w:t>90 mg</w:t>
      </w:r>
    </w:p>
    <w:p w:rsidR="009D3075" w:rsidRPr="009D3075" w:rsidRDefault="009D3075" w:rsidP="000F34ED">
      <w:pPr>
        <w:tabs>
          <w:tab w:val="left" w:pos="851"/>
        </w:tabs>
        <w:ind w:left="851"/>
        <w:rPr>
          <w:sz w:val="24"/>
          <w:szCs w:val="24"/>
        </w:rPr>
      </w:pPr>
      <w:r w:rsidRPr="009D3075">
        <w:rPr>
          <w:sz w:val="24"/>
          <w:szCs w:val="24"/>
        </w:rPr>
        <w:t>Hver filmovertrukke</w:t>
      </w:r>
      <w:r w:rsidR="00661E7D">
        <w:rPr>
          <w:sz w:val="24"/>
          <w:szCs w:val="24"/>
        </w:rPr>
        <w:t>t</w:t>
      </w:r>
      <w:r w:rsidRPr="009D3075">
        <w:rPr>
          <w:sz w:val="24"/>
          <w:szCs w:val="24"/>
        </w:rPr>
        <w:t xml:space="preserve"> tablet indeholder 90 mg deferasirox.</w:t>
      </w:r>
    </w:p>
    <w:p w:rsidR="009D3075" w:rsidRPr="009D3075" w:rsidRDefault="009D3075" w:rsidP="000F34ED">
      <w:pPr>
        <w:tabs>
          <w:tab w:val="left" w:pos="851"/>
        </w:tabs>
        <w:ind w:left="851"/>
        <w:rPr>
          <w:sz w:val="24"/>
          <w:szCs w:val="24"/>
        </w:rPr>
      </w:pPr>
    </w:p>
    <w:p w:rsidR="009D3075" w:rsidRPr="009D3075" w:rsidRDefault="00661E7D" w:rsidP="000F34ED">
      <w:pPr>
        <w:tabs>
          <w:tab w:val="left" w:pos="851"/>
        </w:tabs>
        <w:ind w:left="851"/>
        <w:rPr>
          <w:sz w:val="24"/>
          <w:szCs w:val="24"/>
        </w:rPr>
      </w:pPr>
      <w:r>
        <w:rPr>
          <w:sz w:val="24"/>
          <w:szCs w:val="24"/>
          <w:u w:val="single"/>
        </w:rPr>
        <w:t>180 mg</w:t>
      </w:r>
    </w:p>
    <w:p w:rsidR="009D3075" w:rsidRPr="009D3075" w:rsidRDefault="009D3075" w:rsidP="000F34ED">
      <w:pPr>
        <w:tabs>
          <w:tab w:val="left" w:pos="851"/>
        </w:tabs>
        <w:ind w:left="851"/>
        <w:rPr>
          <w:sz w:val="24"/>
          <w:szCs w:val="24"/>
        </w:rPr>
      </w:pPr>
      <w:r w:rsidRPr="009D3075">
        <w:rPr>
          <w:sz w:val="24"/>
          <w:szCs w:val="24"/>
        </w:rPr>
        <w:t>Hver filmovertrukke</w:t>
      </w:r>
      <w:r w:rsidR="00661E7D">
        <w:rPr>
          <w:sz w:val="24"/>
          <w:szCs w:val="24"/>
        </w:rPr>
        <w:t>t</w:t>
      </w:r>
      <w:r w:rsidRPr="009D3075">
        <w:rPr>
          <w:sz w:val="24"/>
          <w:szCs w:val="24"/>
        </w:rPr>
        <w:t xml:space="preserve"> tablet indeholder 180 mg deferasirox.</w:t>
      </w:r>
    </w:p>
    <w:p w:rsidR="009D3075" w:rsidRPr="009D3075" w:rsidRDefault="009D3075" w:rsidP="000F34ED">
      <w:pPr>
        <w:tabs>
          <w:tab w:val="left" w:pos="851"/>
        </w:tabs>
        <w:ind w:left="851"/>
        <w:rPr>
          <w:sz w:val="24"/>
          <w:szCs w:val="24"/>
        </w:rPr>
      </w:pPr>
    </w:p>
    <w:p w:rsidR="009D3075" w:rsidRPr="009D3075" w:rsidRDefault="00661E7D" w:rsidP="000F34ED">
      <w:pPr>
        <w:tabs>
          <w:tab w:val="left" w:pos="851"/>
        </w:tabs>
        <w:ind w:left="851"/>
        <w:rPr>
          <w:sz w:val="24"/>
          <w:szCs w:val="24"/>
        </w:rPr>
      </w:pPr>
      <w:r>
        <w:rPr>
          <w:sz w:val="24"/>
          <w:szCs w:val="24"/>
          <w:u w:val="single"/>
        </w:rPr>
        <w:t>360 mg</w:t>
      </w:r>
    </w:p>
    <w:p w:rsidR="009D3075" w:rsidRDefault="009D3075" w:rsidP="000F34ED">
      <w:pPr>
        <w:tabs>
          <w:tab w:val="left" w:pos="851"/>
        </w:tabs>
        <w:ind w:left="851"/>
        <w:rPr>
          <w:sz w:val="24"/>
          <w:szCs w:val="24"/>
        </w:rPr>
      </w:pPr>
      <w:r w:rsidRPr="009D3075">
        <w:rPr>
          <w:sz w:val="24"/>
          <w:szCs w:val="24"/>
        </w:rPr>
        <w:t>Hver filmovertrukke</w:t>
      </w:r>
      <w:r w:rsidR="00661E7D">
        <w:rPr>
          <w:sz w:val="24"/>
          <w:szCs w:val="24"/>
        </w:rPr>
        <w:t>t</w:t>
      </w:r>
      <w:r w:rsidRPr="009D3075">
        <w:rPr>
          <w:sz w:val="24"/>
          <w:szCs w:val="24"/>
        </w:rPr>
        <w:t xml:space="preserve"> tablet indeholder 360 mg deferasirox.</w:t>
      </w:r>
    </w:p>
    <w:p w:rsidR="00661E7D" w:rsidRPr="009D3075" w:rsidRDefault="00661E7D" w:rsidP="000F34ED">
      <w:pPr>
        <w:tabs>
          <w:tab w:val="left" w:pos="851"/>
        </w:tabs>
        <w:ind w:left="851"/>
        <w:rPr>
          <w:sz w:val="24"/>
          <w:szCs w:val="24"/>
        </w:rPr>
      </w:pPr>
    </w:p>
    <w:p w:rsidR="009D3075" w:rsidRPr="009D3075" w:rsidRDefault="009D3075" w:rsidP="000F34ED">
      <w:pPr>
        <w:tabs>
          <w:tab w:val="left" w:pos="851"/>
        </w:tabs>
        <w:ind w:left="851"/>
        <w:rPr>
          <w:sz w:val="24"/>
          <w:szCs w:val="24"/>
        </w:rPr>
      </w:pPr>
      <w:r w:rsidRPr="009D3075">
        <w:rPr>
          <w:sz w:val="24"/>
          <w:szCs w:val="24"/>
        </w:rPr>
        <w:t>Alle hjælpestoffer er anført under pkt. 6.1.</w:t>
      </w:r>
    </w:p>
    <w:p w:rsidR="009260DE" w:rsidRPr="00C84483" w:rsidRDefault="009260DE" w:rsidP="000F34ED">
      <w:pPr>
        <w:tabs>
          <w:tab w:val="left" w:pos="851"/>
        </w:tabs>
        <w:ind w:left="851"/>
        <w:rPr>
          <w:sz w:val="24"/>
          <w:szCs w:val="24"/>
        </w:rPr>
      </w:pPr>
    </w:p>
    <w:p w:rsidR="009260DE" w:rsidRPr="00C84483" w:rsidRDefault="009260DE" w:rsidP="000F34ED">
      <w:pPr>
        <w:tabs>
          <w:tab w:val="left" w:pos="851"/>
        </w:tabs>
        <w:ind w:left="851" w:hanging="851"/>
        <w:rPr>
          <w:b/>
          <w:sz w:val="24"/>
          <w:szCs w:val="24"/>
        </w:rPr>
      </w:pPr>
      <w:r w:rsidRPr="00C84483">
        <w:rPr>
          <w:b/>
          <w:sz w:val="24"/>
          <w:szCs w:val="24"/>
        </w:rPr>
        <w:t>3.</w:t>
      </w:r>
      <w:r w:rsidRPr="00C84483">
        <w:rPr>
          <w:b/>
          <w:sz w:val="24"/>
          <w:szCs w:val="24"/>
        </w:rPr>
        <w:tab/>
        <w:t>LÆGEMIDDELFORM</w:t>
      </w:r>
    </w:p>
    <w:p w:rsidR="00661E7D" w:rsidRPr="00661E7D" w:rsidRDefault="00661E7D" w:rsidP="000F34ED">
      <w:pPr>
        <w:tabs>
          <w:tab w:val="left" w:pos="851"/>
        </w:tabs>
        <w:ind w:left="851"/>
        <w:rPr>
          <w:sz w:val="24"/>
          <w:szCs w:val="24"/>
        </w:rPr>
      </w:pPr>
      <w:r w:rsidRPr="00661E7D">
        <w:rPr>
          <w:sz w:val="24"/>
          <w:szCs w:val="24"/>
        </w:rPr>
        <w:t>Filmovertrukne tabletter (tabletter)</w:t>
      </w:r>
    </w:p>
    <w:p w:rsidR="00661E7D" w:rsidRPr="00661E7D" w:rsidRDefault="00661E7D" w:rsidP="000F34ED">
      <w:pPr>
        <w:tabs>
          <w:tab w:val="left" w:pos="851"/>
        </w:tabs>
        <w:ind w:left="851"/>
        <w:rPr>
          <w:sz w:val="24"/>
          <w:szCs w:val="24"/>
        </w:rPr>
      </w:pPr>
    </w:p>
    <w:p w:rsidR="00661E7D" w:rsidRPr="00661E7D" w:rsidRDefault="00661E7D" w:rsidP="000F34ED">
      <w:pPr>
        <w:tabs>
          <w:tab w:val="left" w:pos="851"/>
        </w:tabs>
        <w:ind w:left="851"/>
        <w:rPr>
          <w:sz w:val="24"/>
          <w:szCs w:val="24"/>
        </w:rPr>
      </w:pPr>
      <w:r>
        <w:rPr>
          <w:sz w:val="24"/>
          <w:szCs w:val="24"/>
          <w:u w:val="single"/>
        </w:rPr>
        <w:t>90 mg</w:t>
      </w:r>
    </w:p>
    <w:p w:rsidR="00661E7D" w:rsidRPr="00661E7D" w:rsidRDefault="00661E7D" w:rsidP="000F34ED">
      <w:pPr>
        <w:tabs>
          <w:tab w:val="left" w:pos="851"/>
        </w:tabs>
        <w:ind w:left="851"/>
        <w:rPr>
          <w:sz w:val="24"/>
          <w:szCs w:val="24"/>
        </w:rPr>
      </w:pPr>
      <w:r w:rsidRPr="00661E7D">
        <w:rPr>
          <w:sz w:val="24"/>
          <w:szCs w:val="24"/>
        </w:rPr>
        <w:t>Lyseblå, ovale, bikonvekse, filmovertrukne tabletter, uden delekærv, med skrå kanter og prægning (NVR på den ene side og 90 i en let opadgående hældning, mellem to prægede, bølgede streger på den anden side). Omtrentlige tabletdimensioner 10,7 mm</w:t>
      </w:r>
      <w:r w:rsidR="008F5F7F">
        <w:rPr>
          <w:sz w:val="24"/>
          <w:szCs w:val="24"/>
        </w:rPr>
        <w:t>×</w:t>
      </w:r>
      <w:r w:rsidRPr="00661E7D">
        <w:rPr>
          <w:sz w:val="24"/>
          <w:szCs w:val="24"/>
        </w:rPr>
        <w:t>4,2 mm.</w:t>
      </w:r>
    </w:p>
    <w:p w:rsidR="00661E7D" w:rsidRPr="00661E7D" w:rsidRDefault="00661E7D" w:rsidP="000F34ED">
      <w:pPr>
        <w:tabs>
          <w:tab w:val="left" w:pos="851"/>
        </w:tabs>
        <w:ind w:left="851"/>
        <w:rPr>
          <w:sz w:val="24"/>
          <w:szCs w:val="24"/>
        </w:rPr>
      </w:pPr>
    </w:p>
    <w:p w:rsidR="00661E7D" w:rsidRPr="00661E7D" w:rsidRDefault="00661E7D" w:rsidP="000F34ED">
      <w:pPr>
        <w:tabs>
          <w:tab w:val="left" w:pos="851"/>
        </w:tabs>
        <w:ind w:left="851"/>
        <w:rPr>
          <w:sz w:val="24"/>
          <w:szCs w:val="24"/>
        </w:rPr>
      </w:pPr>
      <w:r>
        <w:rPr>
          <w:sz w:val="24"/>
          <w:szCs w:val="24"/>
          <w:u w:val="single"/>
        </w:rPr>
        <w:t>180 mg</w:t>
      </w:r>
    </w:p>
    <w:p w:rsidR="00661E7D" w:rsidRPr="00661E7D" w:rsidRDefault="00661E7D" w:rsidP="000F34ED">
      <w:pPr>
        <w:tabs>
          <w:tab w:val="left" w:pos="851"/>
        </w:tabs>
        <w:ind w:left="851"/>
        <w:rPr>
          <w:sz w:val="24"/>
          <w:szCs w:val="24"/>
        </w:rPr>
      </w:pPr>
      <w:r w:rsidRPr="00661E7D">
        <w:rPr>
          <w:sz w:val="24"/>
          <w:szCs w:val="24"/>
        </w:rPr>
        <w:t>Mellemblå, ovale, bikonvekse, filmovertrukne tabletter, uden delekærv, med skrå kanter og prægning (NVR på den ene side og 180 i en let opadgående hældning, mellem to prægede, bølgede streger på den anden side). Omtrentlige tabletdimensioner 14 mm</w:t>
      </w:r>
      <w:r w:rsidR="008F5F7F">
        <w:rPr>
          <w:sz w:val="24"/>
          <w:szCs w:val="24"/>
        </w:rPr>
        <w:t>×</w:t>
      </w:r>
      <w:r w:rsidRPr="00661E7D">
        <w:rPr>
          <w:sz w:val="24"/>
          <w:szCs w:val="24"/>
        </w:rPr>
        <w:t>5,5 mm.</w:t>
      </w:r>
    </w:p>
    <w:p w:rsidR="00661E7D" w:rsidRPr="00661E7D" w:rsidRDefault="00661E7D" w:rsidP="000F34ED">
      <w:pPr>
        <w:tabs>
          <w:tab w:val="left" w:pos="851"/>
        </w:tabs>
        <w:ind w:left="851"/>
        <w:rPr>
          <w:sz w:val="24"/>
          <w:szCs w:val="24"/>
        </w:rPr>
      </w:pPr>
    </w:p>
    <w:p w:rsidR="00661E7D" w:rsidRPr="00661E7D" w:rsidRDefault="00661E7D" w:rsidP="000F34ED">
      <w:pPr>
        <w:tabs>
          <w:tab w:val="left" w:pos="851"/>
        </w:tabs>
        <w:ind w:left="851"/>
        <w:rPr>
          <w:sz w:val="24"/>
          <w:szCs w:val="24"/>
        </w:rPr>
      </w:pPr>
      <w:r>
        <w:rPr>
          <w:sz w:val="24"/>
          <w:szCs w:val="24"/>
          <w:u w:val="single"/>
        </w:rPr>
        <w:t>360 mg</w:t>
      </w:r>
    </w:p>
    <w:p w:rsidR="00661E7D" w:rsidRPr="00661E7D" w:rsidRDefault="00661E7D" w:rsidP="000F34ED">
      <w:pPr>
        <w:tabs>
          <w:tab w:val="left" w:pos="851"/>
        </w:tabs>
        <w:ind w:left="851"/>
        <w:rPr>
          <w:sz w:val="24"/>
          <w:szCs w:val="24"/>
        </w:rPr>
      </w:pPr>
      <w:r w:rsidRPr="00661E7D">
        <w:rPr>
          <w:sz w:val="24"/>
          <w:szCs w:val="24"/>
        </w:rPr>
        <w:t>Mørkeblå, ovale, bikonvekse, filmovertrukne tabletter, uden delekærv, med skrå kanter og prægning (NVR på den ene side og 360 i en let opadgående hældning, mellem to prægede, bølgede streger på den anden side). Omtrentlige tabletdimensioner 17 mm</w:t>
      </w:r>
      <w:r w:rsidR="008F5F7F">
        <w:rPr>
          <w:sz w:val="24"/>
          <w:szCs w:val="24"/>
        </w:rPr>
        <w:t>×</w:t>
      </w:r>
      <w:r w:rsidRPr="00661E7D">
        <w:rPr>
          <w:sz w:val="24"/>
          <w:szCs w:val="24"/>
        </w:rPr>
        <w:t>6,7 mm.</w:t>
      </w:r>
    </w:p>
    <w:p w:rsidR="00661E7D" w:rsidRPr="00661E7D" w:rsidRDefault="00661E7D" w:rsidP="000F34ED">
      <w:pPr>
        <w:tabs>
          <w:tab w:val="left" w:pos="851"/>
        </w:tabs>
        <w:ind w:left="851"/>
        <w:rPr>
          <w:sz w:val="24"/>
          <w:szCs w:val="24"/>
        </w:rPr>
      </w:pPr>
      <w:r w:rsidRPr="00661E7D">
        <w:rPr>
          <w:sz w:val="24"/>
          <w:szCs w:val="24"/>
        </w:rPr>
        <w:lastRenderedPageBreak/>
        <w:t xml:space="preserve"> </w:t>
      </w:r>
    </w:p>
    <w:p w:rsidR="009260DE" w:rsidRPr="00C84483" w:rsidRDefault="009260DE" w:rsidP="000F34ED">
      <w:pPr>
        <w:tabs>
          <w:tab w:val="left" w:pos="851"/>
        </w:tabs>
        <w:ind w:left="851"/>
        <w:rPr>
          <w:sz w:val="24"/>
          <w:szCs w:val="24"/>
        </w:rPr>
      </w:pPr>
    </w:p>
    <w:p w:rsidR="009260DE" w:rsidRPr="00C84483" w:rsidRDefault="009260DE" w:rsidP="000F34ED">
      <w:pPr>
        <w:tabs>
          <w:tab w:val="left" w:pos="851"/>
        </w:tabs>
        <w:ind w:left="851" w:hanging="851"/>
        <w:rPr>
          <w:b/>
          <w:sz w:val="24"/>
          <w:szCs w:val="24"/>
        </w:rPr>
      </w:pPr>
      <w:r w:rsidRPr="00C84483">
        <w:rPr>
          <w:b/>
          <w:sz w:val="24"/>
          <w:szCs w:val="24"/>
        </w:rPr>
        <w:t>4.</w:t>
      </w:r>
      <w:r w:rsidRPr="00C84483">
        <w:rPr>
          <w:b/>
          <w:sz w:val="24"/>
          <w:szCs w:val="24"/>
        </w:rPr>
        <w:tab/>
        <w:t>KLINISKE OPLYSNINGER</w:t>
      </w:r>
    </w:p>
    <w:p w:rsidR="009260DE" w:rsidRPr="00C84483" w:rsidRDefault="009260DE" w:rsidP="000F34ED">
      <w:pPr>
        <w:tabs>
          <w:tab w:val="left" w:pos="851"/>
        </w:tabs>
        <w:ind w:left="851"/>
        <w:rPr>
          <w:b/>
          <w:sz w:val="24"/>
          <w:szCs w:val="24"/>
        </w:rPr>
      </w:pPr>
    </w:p>
    <w:p w:rsidR="009260DE" w:rsidRPr="00C84483" w:rsidRDefault="009260DE" w:rsidP="000F34ED">
      <w:pPr>
        <w:tabs>
          <w:tab w:val="left" w:pos="851"/>
        </w:tabs>
        <w:ind w:left="851" w:hanging="851"/>
        <w:rPr>
          <w:b/>
          <w:sz w:val="24"/>
          <w:szCs w:val="24"/>
          <w:u w:val="single"/>
        </w:rPr>
      </w:pPr>
      <w:r w:rsidRPr="00C84483">
        <w:rPr>
          <w:b/>
          <w:sz w:val="24"/>
          <w:szCs w:val="24"/>
        </w:rPr>
        <w:t>4.1</w:t>
      </w:r>
      <w:r w:rsidRPr="00C84483">
        <w:rPr>
          <w:b/>
          <w:sz w:val="24"/>
          <w:szCs w:val="24"/>
        </w:rPr>
        <w:tab/>
        <w:t>Terapeutiske indikationer</w:t>
      </w:r>
    </w:p>
    <w:p w:rsidR="00C2636F" w:rsidRPr="00C2636F" w:rsidRDefault="00C2636F" w:rsidP="000F34ED">
      <w:pPr>
        <w:tabs>
          <w:tab w:val="left" w:pos="851"/>
        </w:tabs>
        <w:ind w:left="851"/>
        <w:rPr>
          <w:sz w:val="24"/>
          <w:szCs w:val="24"/>
        </w:rPr>
      </w:pPr>
      <w:r w:rsidRPr="00C2636F">
        <w:rPr>
          <w:sz w:val="24"/>
          <w:szCs w:val="24"/>
        </w:rPr>
        <w:t>Deferasirox "Sandoz" er indiceret til behandling af kronisk jernophobning forårsaget af hyppige blodtransfusioner (≥ 7 ml/kg/måned pakkede røde blodceller) hos patienter i alderen 6 år og ældre, der har beta-talassæmi major.</w:t>
      </w:r>
    </w:p>
    <w:p w:rsidR="00C2636F" w:rsidRPr="00C2636F" w:rsidRDefault="00C2636F" w:rsidP="000F34ED">
      <w:pPr>
        <w:tabs>
          <w:tab w:val="left" w:pos="851"/>
        </w:tabs>
        <w:ind w:left="851"/>
        <w:rPr>
          <w:sz w:val="24"/>
          <w:szCs w:val="24"/>
        </w:rPr>
      </w:pPr>
    </w:p>
    <w:p w:rsidR="00C2636F" w:rsidRPr="00C2636F" w:rsidRDefault="00C2636F" w:rsidP="000F34ED">
      <w:pPr>
        <w:tabs>
          <w:tab w:val="left" w:pos="851"/>
        </w:tabs>
        <w:ind w:left="851"/>
        <w:rPr>
          <w:sz w:val="24"/>
          <w:szCs w:val="24"/>
        </w:rPr>
      </w:pPr>
      <w:r w:rsidRPr="00C2636F">
        <w:rPr>
          <w:sz w:val="24"/>
          <w:szCs w:val="24"/>
        </w:rPr>
        <w:t>Deferasirox "Sandoz" er yderligere indiceret til behandling af kronisk jernophobning, forårsaget af blodtransfusioner, i de tilfælde hvor deferoxamin-behandling er kontraindiceret eller utilstrækkelig. Indikationen gælder for de følgende patientgrupper:</w:t>
      </w:r>
    </w:p>
    <w:p w:rsidR="00C2636F" w:rsidRPr="00C2636F" w:rsidRDefault="00C2636F" w:rsidP="000F34ED">
      <w:pPr>
        <w:numPr>
          <w:ilvl w:val="0"/>
          <w:numId w:val="6"/>
        </w:numPr>
        <w:tabs>
          <w:tab w:val="left" w:pos="851"/>
        </w:tabs>
        <w:ind w:left="1134" w:hanging="283"/>
        <w:rPr>
          <w:sz w:val="24"/>
          <w:szCs w:val="24"/>
        </w:rPr>
      </w:pPr>
      <w:r w:rsidRPr="00C2636F">
        <w:rPr>
          <w:sz w:val="24"/>
          <w:szCs w:val="24"/>
        </w:rPr>
        <w:t>pædiatriske patienter med beta-talassæmi major med jernophobning forårsaget af regelmæssige blodtransfusioner (</w:t>
      </w:r>
      <w:r w:rsidR="00F43637">
        <w:rPr>
          <w:sz w:val="24"/>
          <w:szCs w:val="24"/>
        </w:rPr>
        <w:t xml:space="preserve">≥ </w:t>
      </w:r>
      <w:r w:rsidRPr="00C2636F">
        <w:rPr>
          <w:sz w:val="24"/>
          <w:szCs w:val="24"/>
        </w:rPr>
        <w:t>7 ml/kg/måned af pakkede røde blodceller) i alderen 2 til 5 år,</w:t>
      </w:r>
    </w:p>
    <w:p w:rsidR="00C2636F" w:rsidRPr="00C2636F" w:rsidRDefault="00C2636F" w:rsidP="000F34ED">
      <w:pPr>
        <w:numPr>
          <w:ilvl w:val="0"/>
          <w:numId w:val="6"/>
        </w:numPr>
        <w:tabs>
          <w:tab w:val="left" w:pos="851"/>
        </w:tabs>
        <w:ind w:left="1134" w:hanging="283"/>
        <w:rPr>
          <w:sz w:val="24"/>
          <w:szCs w:val="24"/>
        </w:rPr>
      </w:pPr>
      <w:r w:rsidRPr="00C2636F">
        <w:rPr>
          <w:sz w:val="24"/>
          <w:szCs w:val="24"/>
        </w:rPr>
        <w:t>voksne og pædiatriske patienter med beta-talassæmi major med jernophobning forårsaget af sjældne blodtransfusioner (&lt; 7 ml/kg/måned pakkede røde blodceller) i alderen 2 år og derover,</w:t>
      </w:r>
    </w:p>
    <w:p w:rsidR="00C2636F" w:rsidRPr="00C2636F" w:rsidRDefault="00C2636F" w:rsidP="000F34ED">
      <w:pPr>
        <w:numPr>
          <w:ilvl w:val="0"/>
          <w:numId w:val="6"/>
        </w:numPr>
        <w:tabs>
          <w:tab w:val="left" w:pos="851"/>
        </w:tabs>
        <w:ind w:left="1134" w:hanging="283"/>
        <w:rPr>
          <w:sz w:val="24"/>
          <w:szCs w:val="24"/>
        </w:rPr>
      </w:pPr>
      <w:r w:rsidRPr="00C2636F">
        <w:rPr>
          <w:sz w:val="24"/>
          <w:szCs w:val="24"/>
        </w:rPr>
        <w:t>voksne og pædiatriske patienter med andre anæmier i alderen 2 år og derover.</w:t>
      </w:r>
    </w:p>
    <w:p w:rsidR="00C2636F" w:rsidRPr="00C2636F" w:rsidRDefault="00C2636F" w:rsidP="000F34ED">
      <w:pPr>
        <w:tabs>
          <w:tab w:val="left" w:pos="851"/>
        </w:tabs>
        <w:ind w:left="851"/>
        <w:rPr>
          <w:sz w:val="24"/>
          <w:szCs w:val="24"/>
        </w:rPr>
      </w:pPr>
    </w:p>
    <w:p w:rsidR="00C2636F" w:rsidRPr="00C2636F" w:rsidRDefault="00C2636F" w:rsidP="000F34ED">
      <w:pPr>
        <w:tabs>
          <w:tab w:val="left" w:pos="851"/>
        </w:tabs>
        <w:ind w:left="851"/>
        <w:rPr>
          <w:sz w:val="24"/>
          <w:szCs w:val="24"/>
        </w:rPr>
      </w:pPr>
      <w:r w:rsidRPr="00C2636F">
        <w:rPr>
          <w:sz w:val="24"/>
          <w:szCs w:val="24"/>
        </w:rPr>
        <w:t>Hos patienter i alderen 10 år og derover med ikke-transfusionsafhængige talassæmi-syndromer er Deferasirox "Sandoz" indiceret til behandling af kronisk jernophobning, der kræver kelatbehandling, når deferoxamin-behandling er kontraindiceret eller utilstrækkelig.</w:t>
      </w:r>
    </w:p>
    <w:p w:rsidR="009260DE" w:rsidRPr="00C84483" w:rsidRDefault="009260DE" w:rsidP="000F34ED">
      <w:pPr>
        <w:tabs>
          <w:tab w:val="left" w:pos="851"/>
        </w:tabs>
        <w:ind w:left="851"/>
        <w:rPr>
          <w:sz w:val="24"/>
          <w:szCs w:val="24"/>
        </w:rPr>
      </w:pPr>
    </w:p>
    <w:p w:rsidR="009260DE" w:rsidRPr="00C84483" w:rsidRDefault="009260DE" w:rsidP="000F34ED">
      <w:pPr>
        <w:tabs>
          <w:tab w:val="left" w:pos="851"/>
        </w:tabs>
        <w:ind w:left="851" w:hanging="851"/>
        <w:rPr>
          <w:b/>
          <w:sz w:val="24"/>
          <w:szCs w:val="24"/>
        </w:rPr>
      </w:pPr>
      <w:r w:rsidRPr="00C84483">
        <w:rPr>
          <w:b/>
          <w:sz w:val="24"/>
          <w:szCs w:val="24"/>
        </w:rPr>
        <w:t>4.2</w:t>
      </w:r>
      <w:r w:rsidRPr="00C84483">
        <w:rPr>
          <w:b/>
          <w:sz w:val="24"/>
          <w:szCs w:val="24"/>
        </w:rPr>
        <w:tab/>
        <w:t>Dosering og indgivelsesmåde</w:t>
      </w:r>
    </w:p>
    <w:p w:rsidR="00C5351C" w:rsidRPr="00C5351C" w:rsidRDefault="00C5351C" w:rsidP="000F34ED">
      <w:pPr>
        <w:pStyle w:val="Brdtekst"/>
        <w:ind w:left="851" w:right="353"/>
        <w:rPr>
          <w:sz w:val="24"/>
          <w:szCs w:val="24"/>
          <w:lang w:val="da-DK"/>
        </w:rPr>
      </w:pPr>
      <w:bookmarkStart w:id="0" w:name="_Hlk79657350"/>
      <w:r w:rsidRPr="00C5351C">
        <w:rPr>
          <w:sz w:val="24"/>
          <w:szCs w:val="24"/>
          <w:lang w:val="da-DK"/>
        </w:rPr>
        <w:t>Behandling med Deferasirox "Sandoz" skal påbegyndes og vedligeholdes af læger med erfaring i behandling af kronisk jernophobning.</w:t>
      </w:r>
    </w:p>
    <w:p w:rsidR="00C5351C" w:rsidRPr="00C5351C" w:rsidRDefault="00C5351C" w:rsidP="000F34ED">
      <w:pPr>
        <w:pStyle w:val="Brdtekst"/>
        <w:ind w:left="851"/>
        <w:rPr>
          <w:sz w:val="24"/>
          <w:szCs w:val="24"/>
          <w:lang w:val="da-DK"/>
        </w:rPr>
      </w:pPr>
    </w:p>
    <w:p w:rsidR="00C5351C" w:rsidRPr="006D70B6" w:rsidRDefault="00C5351C" w:rsidP="000F34ED">
      <w:pPr>
        <w:pStyle w:val="Brdtekst"/>
        <w:ind w:left="851"/>
        <w:rPr>
          <w:b/>
          <w:sz w:val="24"/>
          <w:szCs w:val="24"/>
          <w:lang w:val="da-DK"/>
        </w:rPr>
      </w:pPr>
      <w:r w:rsidRPr="006D70B6">
        <w:rPr>
          <w:b/>
          <w:sz w:val="24"/>
          <w:szCs w:val="24"/>
          <w:lang w:val="da-DK"/>
        </w:rPr>
        <w:t>Dosering</w:t>
      </w:r>
    </w:p>
    <w:p w:rsidR="00C5351C" w:rsidRPr="00C5351C" w:rsidRDefault="00C5351C" w:rsidP="000F34ED">
      <w:pPr>
        <w:pStyle w:val="Brdtekst"/>
        <w:ind w:left="851"/>
        <w:rPr>
          <w:sz w:val="24"/>
          <w:szCs w:val="24"/>
          <w:lang w:val="da-DK"/>
        </w:rPr>
      </w:pPr>
    </w:p>
    <w:p w:rsidR="00C5351C" w:rsidRPr="006D70B6" w:rsidRDefault="00C5351C" w:rsidP="000F34ED">
      <w:pPr>
        <w:ind w:left="851"/>
        <w:rPr>
          <w:sz w:val="24"/>
          <w:szCs w:val="24"/>
        </w:rPr>
      </w:pPr>
      <w:r w:rsidRPr="006D70B6">
        <w:rPr>
          <w:sz w:val="24"/>
          <w:szCs w:val="24"/>
          <w:u w:val="single"/>
        </w:rPr>
        <w:t>Transfusionsbetinget jernophobning</w:t>
      </w:r>
    </w:p>
    <w:p w:rsidR="00C5351C" w:rsidRPr="00C5351C" w:rsidRDefault="00C5351C" w:rsidP="000F34ED">
      <w:pPr>
        <w:pStyle w:val="Brdtekst"/>
        <w:ind w:left="851" w:right="128"/>
        <w:rPr>
          <w:sz w:val="24"/>
          <w:szCs w:val="24"/>
          <w:lang w:val="da-DK"/>
        </w:rPr>
      </w:pPr>
      <w:r w:rsidRPr="00C5351C">
        <w:rPr>
          <w:sz w:val="24"/>
          <w:szCs w:val="24"/>
          <w:lang w:val="da-DK"/>
        </w:rPr>
        <w:t>Det anbefales, at behandlingen påbegyndes efter transfusion af omkring 20 enheder (cirka 100 ml/kg) pakkede røde blodceller (PRBC), eller når klinisk monitorering afdækker tegn på, at kronisk jernophobning er til stede (fx serum-ferritin &gt; 1.000 µg/l). Doser (i mg/kg) skal beregnes og afrundes til nærmeste hele tabletstørrelse.</w:t>
      </w:r>
    </w:p>
    <w:p w:rsidR="00C5351C" w:rsidRPr="00C5351C" w:rsidRDefault="00C5351C" w:rsidP="000F34ED">
      <w:pPr>
        <w:pStyle w:val="Brdtekst"/>
        <w:ind w:left="851"/>
        <w:rPr>
          <w:sz w:val="24"/>
          <w:szCs w:val="24"/>
          <w:lang w:val="da-DK"/>
        </w:rPr>
      </w:pPr>
    </w:p>
    <w:p w:rsidR="00C5351C" w:rsidRPr="00C5351C" w:rsidRDefault="00C5351C" w:rsidP="000F34ED">
      <w:pPr>
        <w:pStyle w:val="Brdtekst"/>
        <w:ind w:left="851" w:right="360"/>
        <w:rPr>
          <w:sz w:val="24"/>
          <w:szCs w:val="24"/>
          <w:lang w:val="da-DK"/>
        </w:rPr>
      </w:pPr>
      <w:r w:rsidRPr="00C5351C">
        <w:rPr>
          <w:sz w:val="24"/>
          <w:szCs w:val="24"/>
          <w:lang w:val="da-DK"/>
        </w:rPr>
        <w:t>Målene med kelatbehandling er at fjerne mængden af jern, der administreres i transfusioner og, om nødvendigt, at reducere den eksisterende jernbelastning.</w:t>
      </w:r>
    </w:p>
    <w:p w:rsidR="00C5351C" w:rsidRPr="00C5351C" w:rsidRDefault="00C5351C" w:rsidP="000F34ED">
      <w:pPr>
        <w:pStyle w:val="Brdtekst"/>
        <w:ind w:left="851"/>
        <w:rPr>
          <w:sz w:val="24"/>
          <w:szCs w:val="24"/>
          <w:lang w:val="da-DK"/>
        </w:rPr>
      </w:pPr>
    </w:p>
    <w:p w:rsidR="00C5351C" w:rsidRPr="00C5351C" w:rsidRDefault="00C5351C" w:rsidP="000F34ED">
      <w:pPr>
        <w:pStyle w:val="Brdtekst"/>
        <w:ind w:left="851" w:right="427"/>
        <w:rPr>
          <w:sz w:val="24"/>
          <w:szCs w:val="24"/>
          <w:lang w:val="da-DK"/>
        </w:rPr>
      </w:pPr>
      <w:r w:rsidRPr="00C5351C">
        <w:rPr>
          <w:sz w:val="24"/>
          <w:szCs w:val="24"/>
          <w:lang w:val="da-DK"/>
        </w:rPr>
        <w:t>Der skal udvises forsigtighed hos alle patienter under kelatbehandling for at minimere risikoen for overkelering (se pkt. 4.4).</w:t>
      </w:r>
    </w:p>
    <w:p w:rsidR="00C5351C" w:rsidRPr="00C5351C" w:rsidRDefault="00C5351C" w:rsidP="000F34ED">
      <w:pPr>
        <w:pStyle w:val="Brdtekst"/>
        <w:ind w:left="851"/>
        <w:rPr>
          <w:sz w:val="24"/>
          <w:szCs w:val="24"/>
          <w:lang w:val="da-DK"/>
        </w:rPr>
      </w:pPr>
    </w:p>
    <w:p w:rsidR="00C5351C" w:rsidRPr="00C5351C" w:rsidRDefault="00C5351C" w:rsidP="000F34ED">
      <w:pPr>
        <w:pStyle w:val="Brdtekst"/>
        <w:ind w:left="851" w:right="530"/>
        <w:rPr>
          <w:sz w:val="24"/>
          <w:szCs w:val="24"/>
          <w:lang w:val="da-DK"/>
        </w:rPr>
      </w:pPr>
      <w:r w:rsidRPr="00C5351C">
        <w:rPr>
          <w:sz w:val="24"/>
          <w:szCs w:val="24"/>
          <w:lang w:val="da-DK"/>
        </w:rPr>
        <w:t>Deferasirox filmovertrukne tabletter udviser højere biotilgængelighed sammenlignet med deferasirox dispergible tabletter (se pkt. 5.2). I tilfælde af behandlingsskift fra dispergible tabletter til filmovertrukne tabletter, skal dosis for filmovertrukne tabletter være 30</w:t>
      </w:r>
      <w:r w:rsidR="00167916">
        <w:rPr>
          <w:sz w:val="24"/>
          <w:szCs w:val="24"/>
          <w:lang w:val="da-DK"/>
        </w:rPr>
        <w:t xml:space="preserve"> %</w:t>
      </w:r>
      <w:r w:rsidRPr="00C5351C">
        <w:rPr>
          <w:sz w:val="24"/>
          <w:szCs w:val="24"/>
          <w:lang w:val="da-DK"/>
        </w:rPr>
        <w:t xml:space="preserve"> lavere end dosis for dispergible tabletter, afrundet til nærmeste hel tablet.</w:t>
      </w:r>
    </w:p>
    <w:bookmarkEnd w:id="0"/>
    <w:p w:rsidR="00C5351C" w:rsidRPr="00C5351C" w:rsidRDefault="00C5351C" w:rsidP="000F34ED">
      <w:pPr>
        <w:ind w:left="851"/>
        <w:rPr>
          <w:sz w:val="24"/>
          <w:szCs w:val="24"/>
        </w:rPr>
      </w:pPr>
    </w:p>
    <w:p w:rsidR="00C5351C" w:rsidRDefault="00C5351C" w:rsidP="000F34ED">
      <w:pPr>
        <w:pStyle w:val="Brdtekst"/>
        <w:tabs>
          <w:tab w:val="left" w:pos="1251"/>
        </w:tabs>
        <w:ind w:left="851"/>
        <w:rPr>
          <w:sz w:val="24"/>
          <w:szCs w:val="24"/>
          <w:lang w:val="da-DK"/>
        </w:rPr>
      </w:pPr>
      <w:r w:rsidRPr="00C5351C">
        <w:rPr>
          <w:sz w:val="24"/>
          <w:szCs w:val="24"/>
          <w:lang w:val="da-DK"/>
        </w:rPr>
        <w:t>Den tilsvarende dosis for de forskellige formuleringer er vist i tabellen nedenfor:</w:t>
      </w:r>
    </w:p>
    <w:p w:rsidR="006D70B6" w:rsidRPr="00C5351C" w:rsidRDefault="006D70B6" w:rsidP="000F34ED">
      <w:pPr>
        <w:pStyle w:val="Brdtekst"/>
        <w:tabs>
          <w:tab w:val="left" w:pos="1251"/>
        </w:tabs>
        <w:ind w:left="851"/>
        <w:rPr>
          <w:sz w:val="24"/>
          <w:szCs w:val="24"/>
          <w:lang w:val="da-DK"/>
        </w:rPr>
      </w:pPr>
    </w:p>
    <w:p w:rsidR="00C5351C" w:rsidRDefault="00C5351C" w:rsidP="000F34ED">
      <w:pPr>
        <w:pStyle w:val="Brdtekst"/>
        <w:tabs>
          <w:tab w:val="left" w:pos="1251"/>
        </w:tabs>
        <w:ind w:left="851"/>
        <w:rPr>
          <w:sz w:val="24"/>
          <w:szCs w:val="24"/>
          <w:lang w:val="da-DK"/>
        </w:rPr>
      </w:pPr>
      <w:r w:rsidRPr="006D70B6">
        <w:rPr>
          <w:sz w:val="24"/>
          <w:szCs w:val="24"/>
          <w:lang w:val="da-DK"/>
        </w:rPr>
        <w:t>Tabel</w:t>
      </w:r>
      <w:r w:rsidRPr="006D70B6">
        <w:rPr>
          <w:spacing w:val="-1"/>
          <w:sz w:val="24"/>
          <w:szCs w:val="24"/>
          <w:lang w:val="da-DK"/>
        </w:rPr>
        <w:t xml:space="preserve"> </w:t>
      </w:r>
      <w:r w:rsidRPr="006D70B6">
        <w:rPr>
          <w:sz w:val="24"/>
          <w:szCs w:val="24"/>
          <w:lang w:val="da-DK"/>
        </w:rPr>
        <w:t>1</w:t>
      </w:r>
      <w:r w:rsidRPr="006D70B6">
        <w:rPr>
          <w:sz w:val="24"/>
          <w:szCs w:val="24"/>
          <w:lang w:val="da-DK"/>
        </w:rPr>
        <w:tab/>
        <w:t>Anbefalet dosis til jernophobning grundet</w:t>
      </w:r>
      <w:r w:rsidRPr="006D70B6">
        <w:rPr>
          <w:spacing w:val="-17"/>
          <w:sz w:val="24"/>
          <w:szCs w:val="24"/>
          <w:lang w:val="da-DK"/>
        </w:rPr>
        <w:t xml:space="preserve"> </w:t>
      </w:r>
      <w:r w:rsidRPr="006D70B6">
        <w:rPr>
          <w:sz w:val="24"/>
          <w:szCs w:val="24"/>
          <w:lang w:val="da-DK"/>
        </w:rPr>
        <w:t>transfusioner</w:t>
      </w:r>
    </w:p>
    <w:p w:rsidR="00184CC6" w:rsidRPr="006D70B6" w:rsidRDefault="00184CC6" w:rsidP="000F34ED">
      <w:pPr>
        <w:pStyle w:val="Brdtekst"/>
        <w:tabs>
          <w:tab w:val="left" w:pos="1251"/>
        </w:tabs>
        <w:ind w:left="851"/>
        <w:rPr>
          <w:sz w:val="24"/>
          <w:szCs w:val="24"/>
          <w:lang w:val="da-DK"/>
        </w:rPr>
      </w:pPr>
    </w:p>
    <w:tbl>
      <w:tblPr>
        <w:tblW w:w="0" w:type="auto"/>
        <w:tblInd w:w="226" w:type="dxa"/>
        <w:tblBorders>
          <w:insideH w:val="nil"/>
          <w:insideV w:val="nil"/>
        </w:tblBorders>
        <w:tblLayout w:type="fixed"/>
        <w:tblCellMar>
          <w:left w:w="0" w:type="dxa"/>
          <w:right w:w="0" w:type="dxa"/>
        </w:tblCellMar>
        <w:tblLook w:val="01E0" w:firstRow="1" w:lastRow="1" w:firstColumn="1" w:lastColumn="1" w:noHBand="0" w:noVBand="0"/>
      </w:tblPr>
      <w:tblGrid>
        <w:gridCol w:w="1560"/>
        <w:gridCol w:w="2041"/>
        <w:gridCol w:w="1744"/>
        <w:gridCol w:w="1999"/>
        <w:gridCol w:w="683"/>
        <w:gridCol w:w="1326"/>
      </w:tblGrid>
      <w:tr w:rsidR="00C5351C" w:rsidTr="00C5351C">
        <w:trPr>
          <w:trHeight w:hRule="exact" w:val="516"/>
        </w:trPr>
        <w:tc>
          <w:tcPr>
            <w:tcW w:w="1560" w:type="dxa"/>
            <w:tcBorders>
              <w:top w:val="single" w:sz="4" w:space="0" w:color="000000"/>
              <w:left w:val="nil"/>
              <w:bottom w:val="single" w:sz="4" w:space="0" w:color="000000"/>
              <w:right w:val="nil"/>
            </w:tcBorders>
          </w:tcPr>
          <w:p w:rsidR="00C5351C" w:rsidRDefault="00C5351C" w:rsidP="000F34ED"/>
        </w:tc>
        <w:tc>
          <w:tcPr>
            <w:tcW w:w="2041" w:type="dxa"/>
            <w:tcBorders>
              <w:top w:val="single" w:sz="4" w:space="0" w:color="000000"/>
              <w:left w:val="nil"/>
              <w:bottom w:val="single" w:sz="4" w:space="0" w:color="000000"/>
              <w:right w:val="nil"/>
            </w:tcBorders>
            <w:hideMark/>
          </w:tcPr>
          <w:p w:rsidR="00C5351C" w:rsidRDefault="00C5351C" w:rsidP="000F34ED">
            <w:pPr>
              <w:pStyle w:val="TableParagraph"/>
              <w:ind w:left="0" w:right="238"/>
              <w:rPr>
                <w:b/>
              </w:rPr>
            </w:pPr>
            <w:r>
              <w:rPr>
                <w:b/>
              </w:rPr>
              <w:t>Filmovertrukne tabletter/granulat</w:t>
            </w:r>
          </w:p>
        </w:tc>
        <w:tc>
          <w:tcPr>
            <w:tcW w:w="1744" w:type="dxa"/>
            <w:tcBorders>
              <w:top w:val="single" w:sz="4" w:space="0" w:color="000000"/>
              <w:left w:val="nil"/>
              <w:bottom w:val="single" w:sz="4" w:space="0" w:color="000000"/>
              <w:right w:val="nil"/>
            </w:tcBorders>
            <w:hideMark/>
          </w:tcPr>
          <w:p w:rsidR="00C5351C" w:rsidRDefault="00C5351C" w:rsidP="000F34ED">
            <w:pPr>
              <w:pStyle w:val="TableParagraph"/>
              <w:ind w:left="0" w:right="598"/>
              <w:rPr>
                <w:b/>
              </w:rPr>
            </w:pPr>
            <w:r>
              <w:rPr>
                <w:b/>
              </w:rPr>
              <w:t>Dispergible tabletter</w:t>
            </w:r>
          </w:p>
        </w:tc>
        <w:tc>
          <w:tcPr>
            <w:tcW w:w="1999" w:type="dxa"/>
            <w:tcBorders>
              <w:top w:val="single" w:sz="4" w:space="0" w:color="000000"/>
              <w:left w:val="nil"/>
              <w:bottom w:val="single" w:sz="4" w:space="0" w:color="000000"/>
              <w:right w:val="nil"/>
            </w:tcBorders>
            <w:hideMark/>
          </w:tcPr>
          <w:p w:rsidR="00C5351C" w:rsidRDefault="00C5351C" w:rsidP="000F34ED">
            <w:pPr>
              <w:pStyle w:val="TableParagraph"/>
              <w:ind w:left="0"/>
              <w:rPr>
                <w:b/>
              </w:rPr>
            </w:pPr>
            <w:r>
              <w:rPr>
                <w:b/>
              </w:rPr>
              <w:t>Transfusioner</w:t>
            </w:r>
          </w:p>
        </w:tc>
        <w:tc>
          <w:tcPr>
            <w:tcW w:w="683" w:type="dxa"/>
            <w:tcBorders>
              <w:top w:val="single" w:sz="4" w:space="0" w:color="000000"/>
              <w:left w:val="nil"/>
              <w:bottom w:val="single" w:sz="4" w:space="0" w:color="000000"/>
              <w:right w:val="nil"/>
            </w:tcBorders>
          </w:tcPr>
          <w:p w:rsidR="00C5351C" w:rsidRDefault="00C5351C" w:rsidP="000F34ED"/>
        </w:tc>
        <w:tc>
          <w:tcPr>
            <w:tcW w:w="1326" w:type="dxa"/>
            <w:tcBorders>
              <w:top w:val="single" w:sz="4" w:space="0" w:color="000000"/>
              <w:left w:val="nil"/>
              <w:bottom w:val="single" w:sz="4" w:space="0" w:color="000000"/>
              <w:right w:val="nil"/>
            </w:tcBorders>
            <w:hideMark/>
          </w:tcPr>
          <w:p w:rsidR="00C5351C" w:rsidRDefault="00C5351C" w:rsidP="000F34ED">
            <w:pPr>
              <w:pStyle w:val="TableParagraph"/>
              <w:ind w:left="0" w:right="448"/>
              <w:rPr>
                <w:b/>
              </w:rPr>
            </w:pPr>
            <w:r>
              <w:rPr>
                <w:b/>
              </w:rPr>
              <w:t>Serum- ferritin</w:t>
            </w:r>
          </w:p>
        </w:tc>
      </w:tr>
      <w:tr w:rsidR="00C5351C" w:rsidTr="00C5351C">
        <w:trPr>
          <w:trHeight w:hRule="exact" w:val="763"/>
        </w:trPr>
        <w:tc>
          <w:tcPr>
            <w:tcW w:w="1560" w:type="dxa"/>
            <w:tcBorders>
              <w:top w:val="single" w:sz="4" w:space="0" w:color="000000"/>
              <w:left w:val="nil"/>
              <w:bottom w:val="nil"/>
              <w:right w:val="nil"/>
            </w:tcBorders>
            <w:hideMark/>
          </w:tcPr>
          <w:p w:rsidR="00C5351C" w:rsidRDefault="00C5351C" w:rsidP="000F34ED">
            <w:pPr>
              <w:pStyle w:val="TableParagraph"/>
              <w:ind w:left="0"/>
              <w:rPr>
                <w:b/>
              </w:rPr>
            </w:pPr>
            <w:r>
              <w:rPr>
                <w:b/>
              </w:rPr>
              <w:t>Startdosis</w:t>
            </w:r>
          </w:p>
        </w:tc>
        <w:tc>
          <w:tcPr>
            <w:tcW w:w="2041" w:type="dxa"/>
            <w:tcBorders>
              <w:top w:val="single" w:sz="4" w:space="0" w:color="000000"/>
              <w:left w:val="nil"/>
              <w:bottom w:val="nil"/>
              <w:right w:val="nil"/>
            </w:tcBorders>
            <w:hideMark/>
          </w:tcPr>
          <w:p w:rsidR="00C5351C" w:rsidRDefault="00C5351C" w:rsidP="000F34ED">
            <w:pPr>
              <w:pStyle w:val="TableParagraph"/>
              <w:ind w:left="0"/>
              <w:rPr>
                <w:b/>
              </w:rPr>
            </w:pPr>
            <w:r>
              <w:rPr>
                <w:b/>
              </w:rPr>
              <w:t>14 mg/kg/day</w:t>
            </w:r>
          </w:p>
        </w:tc>
        <w:tc>
          <w:tcPr>
            <w:tcW w:w="1744" w:type="dxa"/>
            <w:tcBorders>
              <w:top w:val="single" w:sz="4" w:space="0" w:color="000000"/>
              <w:left w:val="nil"/>
              <w:bottom w:val="nil"/>
              <w:right w:val="nil"/>
            </w:tcBorders>
            <w:hideMark/>
          </w:tcPr>
          <w:p w:rsidR="00C5351C" w:rsidRDefault="00C5351C" w:rsidP="000F34ED">
            <w:pPr>
              <w:pStyle w:val="TableParagraph"/>
              <w:ind w:left="0"/>
              <w:rPr>
                <w:b/>
              </w:rPr>
            </w:pPr>
            <w:r>
              <w:rPr>
                <w:b/>
              </w:rPr>
              <w:t>20 mg/kg/dag</w:t>
            </w:r>
          </w:p>
        </w:tc>
        <w:tc>
          <w:tcPr>
            <w:tcW w:w="1999" w:type="dxa"/>
            <w:tcBorders>
              <w:top w:val="single" w:sz="4" w:space="0" w:color="000000"/>
              <w:left w:val="nil"/>
              <w:bottom w:val="nil"/>
              <w:right w:val="nil"/>
            </w:tcBorders>
            <w:hideMark/>
          </w:tcPr>
          <w:p w:rsidR="00C5351C" w:rsidRDefault="00C5351C" w:rsidP="000F34ED">
            <w:pPr>
              <w:pStyle w:val="TableParagraph"/>
              <w:ind w:left="0" w:right="109"/>
              <w:rPr>
                <w:lang w:val="da-DK"/>
              </w:rPr>
            </w:pPr>
            <w:r>
              <w:rPr>
                <w:lang w:val="da-DK"/>
              </w:rPr>
              <w:t>Efter 20 enheder (ca. 100 ml/kg) af PRBC</w:t>
            </w:r>
          </w:p>
        </w:tc>
        <w:tc>
          <w:tcPr>
            <w:tcW w:w="683" w:type="dxa"/>
            <w:tcBorders>
              <w:top w:val="single" w:sz="4" w:space="0" w:color="000000"/>
              <w:left w:val="nil"/>
              <w:bottom w:val="nil"/>
              <w:right w:val="nil"/>
            </w:tcBorders>
            <w:hideMark/>
          </w:tcPr>
          <w:p w:rsidR="00C5351C" w:rsidRDefault="00C5351C" w:rsidP="000F34ED">
            <w:pPr>
              <w:pStyle w:val="TableParagraph"/>
              <w:ind w:left="0"/>
            </w:pPr>
            <w:r>
              <w:t>eller</w:t>
            </w:r>
          </w:p>
        </w:tc>
        <w:tc>
          <w:tcPr>
            <w:tcW w:w="1326" w:type="dxa"/>
            <w:tcBorders>
              <w:top w:val="single" w:sz="4" w:space="0" w:color="000000"/>
              <w:left w:val="nil"/>
              <w:bottom w:val="nil"/>
              <w:right w:val="nil"/>
            </w:tcBorders>
            <w:hideMark/>
          </w:tcPr>
          <w:p w:rsidR="00C5351C" w:rsidRDefault="00C5351C" w:rsidP="000F34ED">
            <w:pPr>
              <w:pStyle w:val="TableParagraph"/>
              <w:ind w:left="0" w:right="111"/>
              <w:jc w:val="center"/>
            </w:pPr>
            <w:r>
              <w:t>&gt;1.000 µg/l</w:t>
            </w:r>
          </w:p>
        </w:tc>
      </w:tr>
      <w:tr w:rsidR="00C5351C" w:rsidTr="00C5351C">
        <w:trPr>
          <w:trHeight w:hRule="exact" w:val="1012"/>
        </w:trPr>
        <w:tc>
          <w:tcPr>
            <w:tcW w:w="1560" w:type="dxa"/>
            <w:tcBorders>
              <w:top w:val="nil"/>
              <w:left w:val="nil"/>
              <w:bottom w:val="nil"/>
              <w:right w:val="nil"/>
            </w:tcBorders>
            <w:hideMark/>
          </w:tcPr>
          <w:p w:rsidR="00C5351C" w:rsidRDefault="00C5351C" w:rsidP="000F34ED">
            <w:pPr>
              <w:pStyle w:val="TableParagraph"/>
              <w:ind w:left="0" w:right="466"/>
              <w:rPr>
                <w:b/>
              </w:rPr>
            </w:pPr>
            <w:r>
              <w:rPr>
                <w:b/>
              </w:rPr>
              <w:t>Alternativ startdosis</w:t>
            </w:r>
          </w:p>
        </w:tc>
        <w:tc>
          <w:tcPr>
            <w:tcW w:w="2041" w:type="dxa"/>
            <w:tcBorders>
              <w:top w:val="nil"/>
              <w:left w:val="nil"/>
              <w:bottom w:val="nil"/>
              <w:right w:val="nil"/>
            </w:tcBorders>
            <w:hideMark/>
          </w:tcPr>
          <w:p w:rsidR="00C5351C" w:rsidRDefault="00C5351C" w:rsidP="000F34ED">
            <w:pPr>
              <w:pStyle w:val="TableParagraph"/>
              <w:ind w:left="0"/>
            </w:pPr>
            <w:r>
              <w:t>21 mg/kg/dag</w:t>
            </w:r>
          </w:p>
        </w:tc>
        <w:tc>
          <w:tcPr>
            <w:tcW w:w="1744" w:type="dxa"/>
            <w:tcBorders>
              <w:top w:val="nil"/>
              <w:left w:val="nil"/>
              <w:bottom w:val="nil"/>
              <w:right w:val="nil"/>
            </w:tcBorders>
            <w:hideMark/>
          </w:tcPr>
          <w:p w:rsidR="00C5351C" w:rsidRDefault="00C5351C" w:rsidP="000F34ED">
            <w:pPr>
              <w:pStyle w:val="TableParagraph"/>
              <w:ind w:left="0"/>
            </w:pPr>
            <w:r>
              <w:t>30 mg/kg/dag</w:t>
            </w:r>
          </w:p>
        </w:tc>
        <w:tc>
          <w:tcPr>
            <w:tcW w:w="1999" w:type="dxa"/>
            <w:tcBorders>
              <w:top w:val="nil"/>
              <w:left w:val="nil"/>
              <w:bottom w:val="nil"/>
              <w:right w:val="nil"/>
            </w:tcBorders>
            <w:hideMark/>
          </w:tcPr>
          <w:p w:rsidR="00C5351C" w:rsidRDefault="00C5351C" w:rsidP="000F34ED">
            <w:pPr>
              <w:pStyle w:val="TableParagraph"/>
              <w:ind w:left="0" w:right="125"/>
              <w:rPr>
                <w:lang w:val="da-DK"/>
              </w:rPr>
            </w:pPr>
            <w:r>
              <w:rPr>
                <w:lang w:val="da-DK"/>
              </w:rPr>
              <w:t>&gt;14 ml/kg/måned af PRBC (ca.</w:t>
            </w:r>
          </w:p>
          <w:p w:rsidR="00C5351C" w:rsidRDefault="00C5351C" w:rsidP="000F34ED">
            <w:pPr>
              <w:pStyle w:val="TableParagraph"/>
              <w:ind w:left="0" w:right="162"/>
              <w:rPr>
                <w:lang w:val="da-DK"/>
              </w:rPr>
            </w:pPr>
            <w:r>
              <w:rPr>
                <w:lang w:val="da-DK"/>
              </w:rPr>
              <w:t>&gt;4 enheder/måne d for en voksen)</w:t>
            </w:r>
          </w:p>
        </w:tc>
        <w:tc>
          <w:tcPr>
            <w:tcW w:w="683" w:type="dxa"/>
            <w:tcBorders>
              <w:top w:val="nil"/>
              <w:left w:val="nil"/>
              <w:bottom w:val="nil"/>
              <w:right w:val="nil"/>
            </w:tcBorders>
          </w:tcPr>
          <w:p w:rsidR="00C5351C" w:rsidRDefault="00C5351C" w:rsidP="000F34ED"/>
        </w:tc>
        <w:tc>
          <w:tcPr>
            <w:tcW w:w="1326" w:type="dxa"/>
            <w:tcBorders>
              <w:top w:val="nil"/>
              <w:left w:val="nil"/>
              <w:bottom w:val="nil"/>
              <w:right w:val="nil"/>
            </w:tcBorders>
          </w:tcPr>
          <w:p w:rsidR="00C5351C" w:rsidRDefault="00C5351C" w:rsidP="000F34ED"/>
        </w:tc>
      </w:tr>
      <w:tr w:rsidR="00C5351C" w:rsidTr="00C5351C">
        <w:trPr>
          <w:trHeight w:hRule="exact" w:val="1012"/>
        </w:trPr>
        <w:tc>
          <w:tcPr>
            <w:tcW w:w="1560" w:type="dxa"/>
            <w:tcBorders>
              <w:top w:val="nil"/>
              <w:left w:val="nil"/>
              <w:bottom w:val="nil"/>
              <w:right w:val="nil"/>
            </w:tcBorders>
          </w:tcPr>
          <w:p w:rsidR="00C5351C" w:rsidRDefault="00C5351C" w:rsidP="000F34ED"/>
        </w:tc>
        <w:tc>
          <w:tcPr>
            <w:tcW w:w="2041" w:type="dxa"/>
            <w:tcBorders>
              <w:top w:val="nil"/>
              <w:left w:val="nil"/>
              <w:bottom w:val="nil"/>
              <w:right w:val="nil"/>
            </w:tcBorders>
            <w:hideMark/>
          </w:tcPr>
          <w:p w:rsidR="00C5351C" w:rsidRDefault="00C5351C" w:rsidP="000F34ED">
            <w:pPr>
              <w:pStyle w:val="TableParagraph"/>
              <w:ind w:left="0"/>
            </w:pPr>
            <w:r>
              <w:t>7 mg/kg/dag</w:t>
            </w:r>
          </w:p>
        </w:tc>
        <w:tc>
          <w:tcPr>
            <w:tcW w:w="1744" w:type="dxa"/>
            <w:tcBorders>
              <w:top w:val="nil"/>
              <w:left w:val="nil"/>
              <w:bottom w:val="nil"/>
              <w:right w:val="nil"/>
            </w:tcBorders>
            <w:hideMark/>
          </w:tcPr>
          <w:p w:rsidR="00C5351C" w:rsidRDefault="00C5351C" w:rsidP="000F34ED">
            <w:pPr>
              <w:pStyle w:val="TableParagraph"/>
              <w:ind w:left="0"/>
            </w:pPr>
            <w:r>
              <w:t>10 mg/kg/dag</w:t>
            </w:r>
          </w:p>
        </w:tc>
        <w:tc>
          <w:tcPr>
            <w:tcW w:w="1999" w:type="dxa"/>
            <w:tcBorders>
              <w:top w:val="nil"/>
              <w:left w:val="nil"/>
              <w:bottom w:val="nil"/>
              <w:right w:val="nil"/>
            </w:tcBorders>
            <w:hideMark/>
          </w:tcPr>
          <w:p w:rsidR="00C5351C" w:rsidRDefault="00C5351C" w:rsidP="000F34ED">
            <w:pPr>
              <w:pStyle w:val="TableParagraph"/>
              <w:ind w:left="0" w:right="235"/>
              <w:rPr>
                <w:lang w:val="da-DK"/>
              </w:rPr>
            </w:pPr>
            <w:r>
              <w:rPr>
                <w:lang w:val="da-DK"/>
              </w:rPr>
              <w:t>&lt;7 ml/kg/måned af PRBC (ca.</w:t>
            </w:r>
          </w:p>
          <w:p w:rsidR="00C5351C" w:rsidRDefault="00C5351C" w:rsidP="000F34ED">
            <w:pPr>
              <w:pStyle w:val="TableParagraph"/>
              <w:ind w:left="0" w:right="162"/>
              <w:rPr>
                <w:lang w:val="da-DK"/>
              </w:rPr>
            </w:pPr>
            <w:r>
              <w:rPr>
                <w:lang w:val="da-DK"/>
              </w:rPr>
              <w:t>&lt;2 enheder/måne d for en voksen)</w:t>
            </w:r>
          </w:p>
        </w:tc>
        <w:tc>
          <w:tcPr>
            <w:tcW w:w="683" w:type="dxa"/>
            <w:tcBorders>
              <w:top w:val="nil"/>
              <w:left w:val="nil"/>
              <w:bottom w:val="nil"/>
              <w:right w:val="nil"/>
            </w:tcBorders>
          </w:tcPr>
          <w:p w:rsidR="00C5351C" w:rsidRDefault="00C5351C" w:rsidP="000F34ED"/>
        </w:tc>
        <w:tc>
          <w:tcPr>
            <w:tcW w:w="1326" w:type="dxa"/>
            <w:tcBorders>
              <w:top w:val="nil"/>
              <w:left w:val="nil"/>
              <w:bottom w:val="nil"/>
              <w:right w:val="nil"/>
            </w:tcBorders>
          </w:tcPr>
          <w:p w:rsidR="00C5351C" w:rsidRDefault="00C5351C" w:rsidP="000F34ED"/>
        </w:tc>
      </w:tr>
      <w:tr w:rsidR="00C5351C" w:rsidTr="00C5351C">
        <w:trPr>
          <w:trHeight w:hRule="exact" w:val="1018"/>
        </w:trPr>
        <w:tc>
          <w:tcPr>
            <w:tcW w:w="1560" w:type="dxa"/>
            <w:tcBorders>
              <w:top w:val="nil"/>
              <w:left w:val="nil"/>
              <w:bottom w:val="single" w:sz="4" w:space="0" w:color="000000"/>
              <w:right w:val="nil"/>
            </w:tcBorders>
            <w:hideMark/>
          </w:tcPr>
          <w:p w:rsidR="00C5351C" w:rsidRDefault="00C5351C" w:rsidP="000F34ED">
            <w:pPr>
              <w:pStyle w:val="TableParagraph"/>
              <w:ind w:left="0" w:right="161"/>
            </w:pPr>
            <w:r>
              <w:t>Til velbehandlede deferoxamin- patienter</w:t>
            </w:r>
          </w:p>
        </w:tc>
        <w:tc>
          <w:tcPr>
            <w:tcW w:w="2041" w:type="dxa"/>
            <w:tcBorders>
              <w:top w:val="nil"/>
              <w:left w:val="nil"/>
              <w:bottom w:val="single" w:sz="4" w:space="0" w:color="000000"/>
              <w:right w:val="nil"/>
            </w:tcBorders>
            <w:hideMark/>
          </w:tcPr>
          <w:p w:rsidR="00C5351C" w:rsidRDefault="00C5351C" w:rsidP="000F34ED">
            <w:pPr>
              <w:pStyle w:val="TableParagraph"/>
              <w:ind w:left="0" w:right="348"/>
            </w:pPr>
            <w:r>
              <w:t>En tredjedel af deferoxamindosis</w:t>
            </w:r>
          </w:p>
        </w:tc>
        <w:tc>
          <w:tcPr>
            <w:tcW w:w="1744" w:type="dxa"/>
            <w:tcBorders>
              <w:top w:val="nil"/>
              <w:left w:val="nil"/>
              <w:bottom w:val="single" w:sz="4" w:space="0" w:color="000000"/>
              <w:right w:val="nil"/>
            </w:tcBorders>
            <w:hideMark/>
          </w:tcPr>
          <w:p w:rsidR="00C5351C" w:rsidRDefault="00C5351C" w:rsidP="000F34ED">
            <w:pPr>
              <w:pStyle w:val="TableParagraph"/>
              <w:ind w:left="0" w:right="512"/>
            </w:pPr>
            <w:r>
              <w:t>Halv dosis af deferoxamin</w:t>
            </w:r>
          </w:p>
        </w:tc>
        <w:tc>
          <w:tcPr>
            <w:tcW w:w="1999" w:type="dxa"/>
            <w:tcBorders>
              <w:top w:val="nil"/>
              <w:left w:val="nil"/>
              <w:bottom w:val="single" w:sz="4" w:space="0" w:color="000000"/>
              <w:right w:val="nil"/>
            </w:tcBorders>
          </w:tcPr>
          <w:p w:rsidR="00C5351C" w:rsidRDefault="00C5351C" w:rsidP="000F34ED"/>
        </w:tc>
        <w:tc>
          <w:tcPr>
            <w:tcW w:w="683" w:type="dxa"/>
            <w:tcBorders>
              <w:top w:val="nil"/>
              <w:left w:val="nil"/>
              <w:bottom w:val="single" w:sz="4" w:space="0" w:color="000000"/>
              <w:right w:val="nil"/>
            </w:tcBorders>
          </w:tcPr>
          <w:p w:rsidR="00C5351C" w:rsidRDefault="00C5351C" w:rsidP="000F34ED"/>
        </w:tc>
        <w:tc>
          <w:tcPr>
            <w:tcW w:w="1326" w:type="dxa"/>
            <w:tcBorders>
              <w:top w:val="nil"/>
              <w:left w:val="nil"/>
              <w:bottom w:val="single" w:sz="4" w:space="0" w:color="000000"/>
              <w:right w:val="nil"/>
            </w:tcBorders>
          </w:tcPr>
          <w:p w:rsidR="00C5351C" w:rsidRDefault="00C5351C" w:rsidP="000F34ED"/>
        </w:tc>
      </w:tr>
      <w:tr w:rsidR="00C5351C" w:rsidTr="00C5351C">
        <w:trPr>
          <w:trHeight w:hRule="exact" w:val="264"/>
        </w:trPr>
        <w:tc>
          <w:tcPr>
            <w:tcW w:w="1560" w:type="dxa"/>
            <w:tcBorders>
              <w:top w:val="single" w:sz="4" w:space="0" w:color="000000"/>
              <w:left w:val="nil"/>
              <w:bottom w:val="single" w:sz="4" w:space="0" w:color="000000"/>
              <w:right w:val="nil"/>
            </w:tcBorders>
            <w:hideMark/>
          </w:tcPr>
          <w:p w:rsidR="00C5351C" w:rsidRDefault="00C5351C" w:rsidP="000F34ED">
            <w:pPr>
              <w:pStyle w:val="TableParagraph"/>
              <w:ind w:left="0"/>
              <w:rPr>
                <w:b/>
              </w:rPr>
            </w:pPr>
            <w:r>
              <w:rPr>
                <w:b/>
              </w:rPr>
              <w:t>Monitorering</w:t>
            </w:r>
          </w:p>
        </w:tc>
        <w:tc>
          <w:tcPr>
            <w:tcW w:w="3784" w:type="dxa"/>
            <w:gridSpan w:val="2"/>
            <w:tcBorders>
              <w:top w:val="single" w:sz="4" w:space="0" w:color="000000"/>
              <w:left w:val="nil"/>
              <w:bottom w:val="single" w:sz="4" w:space="0" w:color="000000"/>
              <w:right w:val="nil"/>
            </w:tcBorders>
          </w:tcPr>
          <w:p w:rsidR="00C5351C" w:rsidRDefault="00C5351C" w:rsidP="000F34ED"/>
        </w:tc>
        <w:tc>
          <w:tcPr>
            <w:tcW w:w="1999" w:type="dxa"/>
            <w:tcBorders>
              <w:top w:val="single" w:sz="4" w:space="0" w:color="000000"/>
              <w:left w:val="nil"/>
              <w:bottom w:val="single" w:sz="4" w:space="0" w:color="000000"/>
              <w:right w:val="nil"/>
            </w:tcBorders>
          </w:tcPr>
          <w:p w:rsidR="00C5351C" w:rsidRDefault="00C5351C" w:rsidP="000F34ED"/>
        </w:tc>
        <w:tc>
          <w:tcPr>
            <w:tcW w:w="683" w:type="dxa"/>
            <w:tcBorders>
              <w:top w:val="single" w:sz="4" w:space="0" w:color="000000"/>
              <w:left w:val="nil"/>
              <w:bottom w:val="single" w:sz="4" w:space="0" w:color="000000"/>
              <w:right w:val="nil"/>
            </w:tcBorders>
          </w:tcPr>
          <w:p w:rsidR="00C5351C" w:rsidRDefault="00C5351C" w:rsidP="000F34ED"/>
        </w:tc>
        <w:tc>
          <w:tcPr>
            <w:tcW w:w="1326" w:type="dxa"/>
            <w:tcBorders>
              <w:top w:val="single" w:sz="4" w:space="0" w:color="000000"/>
              <w:left w:val="nil"/>
              <w:bottom w:val="single" w:sz="4" w:space="0" w:color="000000"/>
              <w:right w:val="nil"/>
            </w:tcBorders>
            <w:hideMark/>
          </w:tcPr>
          <w:p w:rsidR="00C5351C" w:rsidRDefault="00C5351C" w:rsidP="000F34ED">
            <w:pPr>
              <w:pStyle w:val="TableParagraph"/>
              <w:ind w:left="0" w:right="111"/>
              <w:jc w:val="center"/>
              <w:rPr>
                <w:b/>
              </w:rPr>
            </w:pPr>
            <w:r>
              <w:rPr>
                <w:b/>
              </w:rPr>
              <w:t>Månedligt</w:t>
            </w:r>
          </w:p>
        </w:tc>
      </w:tr>
      <w:tr w:rsidR="00C5351C" w:rsidTr="00C5351C">
        <w:trPr>
          <w:trHeight w:hRule="exact" w:val="780"/>
        </w:trPr>
        <w:tc>
          <w:tcPr>
            <w:tcW w:w="1560" w:type="dxa"/>
            <w:tcBorders>
              <w:top w:val="single" w:sz="4" w:space="0" w:color="000000"/>
              <w:left w:val="nil"/>
              <w:bottom w:val="single" w:sz="4" w:space="0" w:color="000000"/>
              <w:right w:val="nil"/>
            </w:tcBorders>
            <w:hideMark/>
          </w:tcPr>
          <w:p w:rsidR="00C5351C" w:rsidRDefault="00C5351C" w:rsidP="000F34ED">
            <w:pPr>
              <w:pStyle w:val="TableParagraph"/>
              <w:ind w:left="0"/>
              <w:rPr>
                <w:b/>
              </w:rPr>
            </w:pPr>
            <w:r>
              <w:rPr>
                <w:b/>
              </w:rPr>
              <w:t>Målinterval</w:t>
            </w:r>
          </w:p>
        </w:tc>
        <w:tc>
          <w:tcPr>
            <w:tcW w:w="3784" w:type="dxa"/>
            <w:gridSpan w:val="2"/>
            <w:tcBorders>
              <w:top w:val="single" w:sz="4" w:space="0" w:color="000000"/>
              <w:left w:val="nil"/>
              <w:bottom w:val="single" w:sz="4" w:space="0" w:color="000000"/>
              <w:right w:val="nil"/>
            </w:tcBorders>
          </w:tcPr>
          <w:p w:rsidR="00C5351C" w:rsidRDefault="00C5351C" w:rsidP="000F34ED"/>
        </w:tc>
        <w:tc>
          <w:tcPr>
            <w:tcW w:w="1999" w:type="dxa"/>
            <w:tcBorders>
              <w:top w:val="single" w:sz="4" w:space="0" w:color="000000"/>
              <w:left w:val="nil"/>
              <w:bottom w:val="single" w:sz="4" w:space="0" w:color="000000"/>
              <w:right w:val="nil"/>
            </w:tcBorders>
          </w:tcPr>
          <w:p w:rsidR="00C5351C" w:rsidRDefault="00C5351C" w:rsidP="000F34ED"/>
        </w:tc>
        <w:tc>
          <w:tcPr>
            <w:tcW w:w="683" w:type="dxa"/>
            <w:tcBorders>
              <w:top w:val="single" w:sz="4" w:space="0" w:color="000000"/>
              <w:left w:val="nil"/>
              <w:bottom w:val="single" w:sz="4" w:space="0" w:color="000000"/>
              <w:right w:val="nil"/>
            </w:tcBorders>
          </w:tcPr>
          <w:p w:rsidR="00C5351C" w:rsidRDefault="00C5351C" w:rsidP="000F34ED"/>
        </w:tc>
        <w:tc>
          <w:tcPr>
            <w:tcW w:w="1326" w:type="dxa"/>
            <w:tcBorders>
              <w:top w:val="single" w:sz="4" w:space="0" w:color="000000"/>
              <w:left w:val="nil"/>
              <w:bottom w:val="single" w:sz="4" w:space="0" w:color="000000"/>
              <w:right w:val="nil"/>
            </w:tcBorders>
            <w:hideMark/>
          </w:tcPr>
          <w:p w:rsidR="00C5351C" w:rsidRDefault="00C5351C" w:rsidP="000F34ED">
            <w:pPr>
              <w:pStyle w:val="TableParagraph"/>
              <w:ind w:left="0"/>
              <w:rPr>
                <w:b/>
              </w:rPr>
            </w:pPr>
            <w:r>
              <w:rPr>
                <w:b/>
              </w:rPr>
              <w:t>500-1.000</w:t>
            </w:r>
          </w:p>
          <w:p w:rsidR="00C5351C" w:rsidRDefault="00C5351C" w:rsidP="000F34ED">
            <w:pPr>
              <w:pStyle w:val="TableParagraph"/>
              <w:tabs>
                <w:tab w:val="left" w:pos="161"/>
                <w:tab w:val="left" w:pos="1325"/>
              </w:tabs>
              <w:ind w:left="0"/>
            </w:pPr>
            <w:r>
              <w:rPr>
                <w:b/>
                <w:u w:val="single"/>
              </w:rPr>
              <w:t xml:space="preserve"> </w:t>
            </w:r>
            <w:r>
              <w:rPr>
                <w:b/>
                <w:u w:val="single"/>
              </w:rPr>
              <w:tab/>
              <w:t>µg/</w:t>
            </w:r>
            <w:r>
              <w:rPr>
                <w:u w:val="single"/>
              </w:rPr>
              <w:t>l</w:t>
            </w:r>
            <w:r>
              <w:rPr>
                <w:u w:val="single"/>
              </w:rPr>
              <w:tab/>
            </w:r>
          </w:p>
        </w:tc>
      </w:tr>
      <w:tr w:rsidR="00C5351C" w:rsidTr="00C5351C">
        <w:trPr>
          <w:trHeight w:hRule="exact" w:val="1286"/>
        </w:trPr>
        <w:tc>
          <w:tcPr>
            <w:tcW w:w="1560" w:type="dxa"/>
            <w:vMerge w:val="restart"/>
            <w:tcBorders>
              <w:top w:val="single" w:sz="4" w:space="0" w:color="000000"/>
              <w:left w:val="nil"/>
              <w:bottom w:val="nil"/>
              <w:right w:val="nil"/>
            </w:tcBorders>
            <w:hideMark/>
          </w:tcPr>
          <w:p w:rsidR="00C5351C" w:rsidRDefault="00C5351C" w:rsidP="000F34ED">
            <w:pPr>
              <w:pStyle w:val="TableParagraph"/>
              <w:ind w:left="0" w:right="209"/>
              <w:rPr>
                <w:b/>
              </w:rPr>
            </w:pPr>
            <w:r>
              <w:rPr>
                <w:b/>
              </w:rPr>
              <w:t>Korrektions- trin</w:t>
            </w:r>
          </w:p>
          <w:p w:rsidR="00C5351C" w:rsidRDefault="00C5351C" w:rsidP="000F34ED">
            <w:pPr>
              <w:pStyle w:val="TableParagraph"/>
              <w:ind w:left="0"/>
            </w:pPr>
            <w:r>
              <w:t>(hver</w:t>
            </w:r>
          </w:p>
          <w:p w:rsidR="00C5351C" w:rsidRDefault="00C5351C" w:rsidP="000F34ED">
            <w:pPr>
              <w:pStyle w:val="TableParagraph"/>
              <w:ind w:left="0"/>
            </w:pPr>
            <w:r>
              <w:t>3.-6. måned)</w:t>
            </w:r>
          </w:p>
        </w:tc>
        <w:tc>
          <w:tcPr>
            <w:tcW w:w="3784" w:type="dxa"/>
            <w:gridSpan w:val="2"/>
            <w:tcBorders>
              <w:top w:val="single" w:sz="4" w:space="0" w:color="000000"/>
              <w:left w:val="nil"/>
              <w:bottom w:val="nil"/>
              <w:right w:val="nil"/>
            </w:tcBorders>
            <w:hideMark/>
          </w:tcPr>
          <w:p w:rsidR="00C5351C" w:rsidRDefault="00C5351C" w:rsidP="000F34ED">
            <w:pPr>
              <w:pStyle w:val="TableParagraph"/>
              <w:ind w:left="0" w:right="1293"/>
              <w:jc w:val="center"/>
              <w:rPr>
                <w:b/>
              </w:rPr>
            </w:pPr>
            <w:r>
              <w:rPr>
                <w:b/>
              </w:rPr>
              <w:t>Øget dosis</w:t>
            </w:r>
          </w:p>
        </w:tc>
        <w:tc>
          <w:tcPr>
            <w:tcW w:w="1999" w:type="dxa"/>
            <w:tcBorders>
              <w:top w:val="single" w:sz="4" w:space="0" w:color="000000"/>
              <w:left w:val="nil"/>
              <w:bottom w:val="nil"/>
              <w:right w:val="nil"/>
            </w:tcBorders>
          </w:tcPr>
          <w:p w:rsidR="00C5351C" w:rsidRDefault="00C5351C" w:rsidP="000F34ED"/>
        </w:tc>
        <w:tc>
          <w:tcPr>
            <w:tcW w:w="683" w:type="dxa"/>
            <w:tcBorders>
              <w:top w:val="single" w:sz="4" w:space="0" w:color="000000"/>
              <w:left w:val="nil"/>
              <w:bottom w:val="nil"/>
              <w:right w:val="nil"/>
            </w:tcBorders>
          </w:tcPr>
          <w:p w:rsidR="00C5351C" w:rsidRDefault="00C5351C" w:rsidP="000F34ED"/>
        </w:tc>
        <w:tc>
          <w:tcPr>
            <w:tcW w:w="1326" w:type="dxa"/>
            <w:tcBorders>
              <w:top w:val="single" w:sz="4" w:space="0" w:color="000000"/>
              <w:left w:val="nil"/>
              <w:bottom w:val="nil"/>
              <w:right w:val="nil"/>
            </w:tcBorders>
            <w:hideMark/>
          </w:tcPr>
          <w:p w:rsidR="00C5351C" w:rsidRDefault="00C5351C" w:rsidP="000F34ED">
            <w:pPr>
              <w:pStyle w:val="TableParagraph"/>
              <w:ind w:left="0" w:right="111"/>
              <w:jc w:val="center"/>
            </w:pPr>
            <w:r>
              <w:t>&gt;2.500 µg/l</w:t>
            </w:r>
          </w:p>
        </w:tc>
      </w:tr>
      <w:tr w:rsidR="00C5351C" w:rsidTr="00C5351C">
        <w:trPr>
          <w:trHeight w:hRule="exact" w:val="762"/>
        </w:trPr>
        <w:tc>
          <w:tcPr>
            <w:tcW w:w="1560" w:type="dxa"/>
            <w:vMerge/>
            <w:tcBorders>
              <w:top w:val="single" w:sz="4" w:space="0" w:color="000000"/>
              <w:left w:val="nil"/>
              <w:bottom w:val="nil"/>
              <w:right w:val="nil"/>
            </w:tcBorders>
            <w:vAlign w:val="center"/>
            <w:hideMark/>
          </w:tcPr>
          <w:p w:rsidR="00C5351C" w:rsidRDefault="00C5351C" w:rsidP="000F34ED">
            <w:pPr>
              <w:rPr>
                <w:sz w:val="22"/>
                <w:szCs w:val="22"/>
                <w:lang w:val="en-US"/>
              </w:rPr>
            </w:pPr>
          </w:p>
        </w:tc>
        <w:tc>
          <w:tcPr>
            <w:tcW w:w="2041" w:type="dxa"/>
            <w:tcBorders>
              <w:top w:val="nil"/>
              <w:left w:val="nil"/>
              <w:bottom w:val="single" w:sz="4" w:space="0" w:color="000000"/>
              <w:right w:val="nil"/>
            </w:tcBorders>
            <w:hideMark/>
          </w:tcPr>
          <w:p w:rsidR="00C5351C" w:rsidRDefault="00C5351C" w:rsidP="000F34ED">
            <w:pPr>
              <w:pStyle w:val="TableParagraph"/>
              <w:ind w:left="0" w:right="348"/>
              <w:rPr>
                <w:lang w:val="da-DK"/>
              </w:rPr>
            </w:pPr>
            <w:r>
              <w:rPr>
                <w:lang w:val="da-DK"/>
              </w:rPr>
              <w:t>3,5 - 7 mg/kg/dag Op til</w:t>
            </w:r>
          </w:p>
          <w:p w:rsidR="00C5351C" w:rsidRDefault="00C5351C" w:rsidP="000F34ED">
            <w:pPr>
              <w:pStyle w:val="TableParagraph"/>
              <w:ind w:left="0"/>
              <w:rPr>
                <w:lang w:val="da-DK"/>
              </w:rPr>
            </w:pPr>
            <w:r>
              <w:rPr>
                <w:lang w:val="da-DK"/>
              </w:rPr>
              <w:t>28 mg/kg/dag</w:t>
            </w:r>
          </w:p>
        </w:tc>
        <w:tc>
          <w:tcPr>
            <w:tcW w:w="1744" w:type="dxa"/>
            <w:tcBorders>
              <w:top w:val="nil"/>
              <w:left w:val="nil"/>
              <w:bottom w:val="single" w:sz="4" w:space="0" w:color="000000"/>
              <w:right w:val="nil"/>
            </w:tcBorders>
            <w:hideMark/>
          </w:tcPr>
          <w:p w:rsidR="00C5351C" w:rsidRDefault="00C5351C" w:rsidP="000F34ED">
            <w:pPr>
              <w:pStyle w:val="TableParagraph"/>
              <w:ind w:left="0" w:right="274"/>
              <w:rPr>
                <w:lang w:val="da-DK"/>
              </w:rPr>
            </w:pPr>
            <w:r>
              <w:rPr>
                <w:lang w:val="da-DK"/>
              </w:rPr>
              <w:t>5-10 mg/kg/dag Op til</w:t>
            </w:r>
          </w:p>
          <w:p w:rsidR="00C5351C" w:rsidRDefault="00C5351C" w:rsidP="000F34ED">
            <w:pPr>
              <w:pStyle w:val="TableParagraph"/>
              <w:ind w:left="0"/>
              <w:rPr>
                <w:lang w:val="da-DK"/>
              </w:rPr>
            </w:pPr>
            <w:r>
              <w:rPr>
                <w:lang w:val="da-DK"/>
              </w:rPr>
              <w:t>40 mg/kg/dag</w:t>
            </w:r>
          </w:p>
        </w:tc>
        <w:tc>
          <w:tcPr>
            <w:tcW w:w="1999" w:type="dxa"/>
            <w:tcBorders>
              <w:top w:val="nil"/>
              <w:left w:val="nil"/>
              <w:bottom w:val="single" w:sz="4" w:space="0" w:color="000000"/>
              <w:right w:val="nil"/>
            </w:tcBorders>
          </w:tcPr>
          <w:p w:rsidR="00C5351C" w:rsidRDefault="00C5351C" w:rsidP="000F34ED"/>
        </w:tc>
        <w:tc>
          <w:tcPr>
            <w:tcW w:w="683" w:type="dxa"/>
            <w:tcBorders>
              <w:top w:val="nil"/>
              <w:left w:val="nil"/>
              <w:bottom w:val="single" w:sz="4" w:space="0" w:color="000000"/>
              <w:right w:val="nil"/>
            </w:tcBorders>
          </w:tcPr>
          <w:p w:rsidR="00C5351C" w:rsidRDefault="00C5351C" w:rsidP="000F34ED"/>
        </w:tc>
        <w:tc>
          <w:tcPr>
            <w:tcW w:w="1326" w:type="dxa"/>
            <w:tcBorders>
              <w:top w:val="nil"/>
              <w:left w:val="nil"/>
              <w:bottom w:val="single" w:sz="4" w:space="0" w:color="000000"/>
              <w:right w:val="nil"/>
            </w:tcBorders>
          </w:tcPr>
          <w:p w:rsidR="00C5351C" w:rsidRDefault="00C5351C" w:rsidP="000F34ED"/>
        </w:tc>
      </w:tr>
      <w:tr w:rsidR="00C5351C" w:rsidTr="00C5351C">
        <w:trPr>
          <w:trHeight w:hRule="exact" w:val="259"/>
        </w:trPr>
        <w:tc>
          <w:tcPr>
            <w:tcW w:w="1560" w:type="dxa"/>
            <w:tcBorders>
              <w:top w:val="nil"/>
              <w:left w:val="nil"/>
              <w:bottom w:val="nil"/>
              <w:right w:val="nil"/>
            </w:tcBorders>
          </w:tcPr>
          <w:p w:rsidR="00C5351C" w:rsidRDefault="00C5351C" w:rsidP="000F34ED"/>
        </w:tc>
        <w:tc>
          <w:tcPr>
            <w:tcW w:w="3784" w:type="dxa"/>
            <w:gridSpan w:val="2"/>
            <w:tcBorders>
              <w:top w:val="single" w:sz="4" w:space="0" w:color="000000"/>
              <w:left w:val="nil"/>
              <w:bottom w:val="nil"/>
              <w:right w:val="nil"/>
            </w:tcBorders>
            <w:hideMark/>
          </w:tcPr>
          <w:p w:rsidR="00C5351C" w:rsidRDefault="00C5351C" w:rsidP="000F34ED">
            <w:pPr>
              <w:pStyle w:val="TableParagraph"/>
              <w:ind w:left="0"/>
              <w:rPr>
                <w:b/>
              </w:rPr>
            </w:pPr>
            <w:r>
              <w:rPr>
                <w:b/>
              </w:rPr>
              <w:t>Nedsat dosis</w:t>
            </w:r>
          </w:p>
        </w:tc>
        <w:tc>
          <w:tcPr>
            <w:tcW w:w="1999" w:type="dxa"/>
            <w:tcBorders>
              <w:top w:val="single" w:sz="4" w:space="0" w:color="000000"/>
              <w:left w:val="nil"/>
              <w:bottom w:val="nil"/>
              <w:right w:val="nil"/>
            </w:tcBorders>
          </w:tcPr>
          <w:p w:rsidR="00C5351C" w:rsidRDefault="00C5351C" w:rsidP="000F34ED"/>
        </w:tc>
        <w:tc>
          <w:tcPr>
            <w:tcW w:w="683" w:type="dxa"/>
            <w:tcBorders>
              <w:top w:val="single" w:sz="4" w:space="0" w:color="000000"/>
              <w:left w:val="nil"/>
              <w:bottom w:val="nil"/>
              <w:right w:val="nil"/>
            </w:tcBorders>
          </w:tcPr>
          <w:p w:rsidR="00C5351C" w:rsidRDefault="00C5351C" w:rsidP="000F34ED"/>
        </w:tc>
        <w:tc>
          <w:tcPr>
            <w:tcW w:w="1326" w:type="dxa"/>
            <w:tcBorders>
              <w:top w:val="single" w:sz="4" w:space="0" w:color="000000"/>
              <w:left w:val="nil"/>
              <w:bottom w:val="nil"/>
              <w:right w:val="nil"/>
            </w:tcBorders>
          </w:tcPr>
          <w:p w:rsidR="00C5351C" w:rsidRDefault="00C5351C" w:rsidP="000F34ED"/>
        </w:tc>
      </w:tr>
      <w:tr w:rsidR="00C5351C" w:rsidTr="00C5351C">
        <w:trPr>
          <w:trHeight w:hRule="exact" w:val="251"/>
        </w:trPr>
        <w:tc>
          <w:tcPr>
            <w:tcW w:w="1560" w:type="dxa"/>
            <w:tcBorders>
              <w:top w:val="nil"/>
              <w:left w:val="nil"/>
              <w:bottom w:val="nil"/>
              <w:right w:val="nil"/>
            </w:tcBorders>
          </w:tcPr>
          <w:p w:rsidR="00C5351C" w:rsidRDefault="00C5351C" w:rsidP="000F34ED"/>
        </w:tc>
        <w:tc>
          <w:tcPr>
            <w:tcW w:w="2041" w:type="dxa"/>
            <w:tcBorders>
              <w:top w:val="nil"/>
              <w:left w:val="nil"/>
              <w:bottom w:val="nil"/>
              <w:right w:val="nil"/>
            </w:tcBorders>
            <w:hideMark/>
          </w:tcPr>
          <w:p w:rsidR="00C5351C" w:rsidRDefault="00C5351C" w:rsidP="000F34ED">
            <w:pPr>
              <w:pStyle w:val="TableParagraph"/>
              <w:ind w:left="0"/>
            </w:pPr>
            <w:r>
              <w:t>3,5 - 7 mg/kg/dag</w:t>
            </w:r>
          </w:p>
        </w:tc>
        <w:tc>
          <w:tcPr>
            <w:tcW w:w="1744" w:type="dxa"/>
            <w:tcBorders>
              <w:top w:val="nil"/>
              <w:left w:val="nil"/>
              <w:bottom w:val="nil"/>
              <w:right w:val="nil"/>
            </w:tcBorders>
            <w:hideMark/>
          </w:tcPr>
          <w:p w:rsidR="00C5351C" w:rsidRDefault="00C5351C" w:rsidP="000F34ED">
            <w:pPr>
              <w:pStyle w:val="TableParagraph"/>
              <w:ind w:left="0"/>
            </w:pPr>
            <w:r>
              <w:t>5-10 mg/kg/dag</w:t>
            </w:r>
          </w:p>
        </w:tc>
        <w:tc>
          <w:tcPr>
            <w:tcW w:w="1999" w:type="dxa"/>
            <w:tcBorders>
              <w:top w:val="nil"/>
              <w:left w:val="nil"/>
              <w:bottom w:val="nil"/>
              <w:right w:val="nil"/>
            </w:tcBorders>
          </w:tcPr>
          <w:p w:rsidR="00C5351C" w:rsidRDefault="00C5351C" w:rsidP="000F34ED"/>
        </w:tc>
        <w:tc>
          <w:tcPr>
            <w:tcW w:w="683" w:type="dxa"/>
            <w:tcBorders>
              <w:top w:val="nil"/>
              <w:left w:val="nil"/>
              <w:bottom w:val="nil"/>
              <w:right w:val="nil"/>
            </w:tcBorders>
          </w:tcPr>
          <w:p w:rsidR="00C5351C" w:rsidRDefault="00C5351C" w:rsidP="000F34ED"/>
        </w:tc>
        <w:tc>
          <w:tcPr>
            <w:tcW w:w="1326" w:type="dxa"/>
            <w:tcBorders>
              <w:top w:val="nil"/>
              <w:left w:val="nil"/>
              <w:bottom w:val="nil"/>
              <w:right w:val="nil"/>
            </w:tcBorders>
            <w:hideMark/>
          </w:tcPr>
          <w:p w:rsidR="00C5351C" w:rsidRDefault="00C5351C" w:rsidP="000F34ED">
            <w:pPr>
              <w:pStyle w:val="TableParagraph"/>
              <w:ind w:left="0" w:right="111"/>
              <w:jc w:val="center"/>
            </w:pPr>
            <w:r>
              <w:t>&lt;2.500 µg/l</w:t>
            </w:r>
          </w:p>
        </w:tc>
      </w:tr>
      <w:tr w:rsidR="00C5351C" w:rsidTr="00C5351C">
        <w:trPr>
          <w:trHeight w:hRule="exact" w:val="1013"/>
        </w:trPr>
        <w:tc>
          <w:tcPr>
            <w:tcW w:w="1560" w:type="dxa"/>
            <w:tcBorders>
              <w:top w:val="nil"/>
              <w:left w:val="nil"/>
              <w:bottom w:val="nil"/>
              <w:right w:val="nil"/>
            </w:tcBorders>
          </w:tcPr>
          <w:p w:rsidR="00C5351C" w:rsidRDefault="00C5351C" w:rsidP="000F34ED"/>
        </w:tc>
        <w:tc>
          <w:tcPr>
            <w:tcW w:w="2041" w:type="dxa"/>
            <w:tcBorders>
              <w:top w:val="nil"/>
              <w:left w:val="nil"/>
              <w:bottom w:val="nil"/>
              <w:right w:val="nil"/>
            </w:tcBorders>
            <w:hideMark/>
          </w:tcPr>
          <w:p w:rsidR="00C5351C" w:rsidRDefault="00C5351C" w:rsidP="000F34ED">
            <w:pPr>
              <w:pStyle w:val="TableParagraph"/>
              <w:ind w:left="0" w:right="623"/>
              <w:rPr>
                <w:lang w:val="da-DK"/>
              </w:rPr>
            </w:pPr>
            <w:r>
              <w:rPr>
                <w:lang w:val="da-DK"/>
              </w:rPr>
              <w:t>Til patienter behandlet med doser</w:t>
            </w:r>
          </w:p>
          <w:p w:rsidR="00C5351C" w:rsidRDefault="00C5351C" w:rsidP="000F34ED">
            <w:pPr>
              <w:pStyle w:val="TableParagraph"/>
              <w:ind w:left="0"/>
              <w:rPr>
                <w:lang w:val="da-DK"/>
              </w:rPr>
            </w:pPr>
            <w:r>
              <w:rPr>
                <w:lang w:val="da-DK"/>
              </w:rPr>
              <w:t>&gt;21 mg/kg/dag</w:t>
            </w:r>
          </w:p>
        </w:tc>
        <w:tc>
          <w:tcPr>
            <w:tcW w:w="1744" w:type="dxa"/>
            <w:tcBorders>
              <w:top w:val="nil"/>
              <w:left w:val="nil"/>
              <w:bottom w:val="nil"/>
              <w:right w:val="nil"/>
            </w:tcBorders>
            <w:hideMark/>
          </w:tcPr>
          <w:p w:rsidR="00C5351C" w:rsidRDefault="00C5351C" w:rsidP="000F34ED">
            <w:pPr>
              <w:pStyle w:val="TableParagraph"/>
              <w:ind w:left="0" w:right="384"/>
              <w:rPr>
                <w:lang w:val="da-DK"/>
              </w:rPr>
            </w:pPr>
            <w:r>
              <w:rPr>
                <w:lang w:val="da-DK"/>
              </w:rPr>
              <w:t>Til patienter behandlet med doser</w:t>
            </w:r>
          </w:p>
          <w:p w:rsidR="00C5351C" w:rsidRDefault="00C5351C" w:rsidP="000F34ED">
            <w:pPr>
              <w:pStyle w:val="TableParagraph"/>
              <w:ind w:left="0"/>
              <w:rPr>
                <w:lang w:val="da-DK"/>
              </w:rPr>
            </w:pPr>
            <w:r>
              <w:rPr>
                <w:lang w:val="da-DK"/>
              </w:rPr>
              <w:t>&gt;30 mg/kg/day</w:t>
            </w:r>
          </w:p>
        </w:tc>
        <w:tc>
          <w:tcPr>
            <w:tcW w:w="1999" w:type="dxa"/>
            <w:tcBorders>
              <w:top w:val="nil"/>
              <w:left w:val="nil"/>
              <w:bottom w:val="nil"/>
              <w:right w:val="nil"/>
            </w:tcBorders>
          </w:tcPr>
          <w:p w:rsidR="00C5351C" w:rsidRDefault="00C5351C" w:rsidP="000F34ED"/>
        </w:tc>
        <w:tc>
          <w:tcPr>
            <w:tcW w:w="683" w:type="dxa"/>
            <w:tcBorders>
              <w:top w:val="nil"/>
              <w:left w:val="nil"/>
              <w:bottom w:val="nil"/>
              <w:right w:val="nil"/>
            </w:tcBorders>
          </w:tcPr>
          <w:p w:rsidR="00C5351C" w:rsidRDefault="00C5351C" w:rsidP="000F34ED"/>
        </w:tc>
        <w:tc>
          <w:tcPr>
            <w:tcW w:w="1326" w:type="dxa"/>
            <w:tcBorders>
              <w:top w:val="nil"/>
              <w:left w:val="nil"/>
              <w:bottom w:val="nil"/>
              <w:right w:val="nil"/>
            </w:tcBorders>
          </w:tcPr>
          <w:p w:rsidR="00C5351C" w:rsidRDefault="00C5351C" w:rsidP="000F34ED"/>
        </w:tc>
      </w:tr>
      <w:tr w:rsidR="00C5351C" w:rsidTr="00C5351C">
        <w:trPr>
          <w:trHeight w:hRule="exact" w:val="673"/>
        </w:trPr>
        <w:tc>
          <w:tcPr>
            <w:tcW w:w="1560" w:type="dxa"/>
            <w:tcBorders>
              <w:top w:val="nil"/>
              <w:left w:val="nil"/>
              <w:bottom w:val="single" w:sz="4" w:space="0" w:color="000000"/>
              <w:right w:val="nil"/>
            </w:tcBorders>
          </w:tcPr>
          <w:p w:rsidR="00C5351C" w:rsidRDefault="00C5351C" w:rsidP="000F34ED"/>
        </w:tc>
        <w:tc>
          <w:tcPr>
            <w:tcW w:w="2041" w:type="dxa"/>
            <w:tcBorders>
              <w:top w:val="nil"/>
              <w:left w:val="nil"/>
              <w:bottom w:val="single" w:sz="4" w:space="0" w:color="000000"/>
              <w:right w:val="nil"/>
            </w:tcBorders>
            <w:hideMark/>
          </w:tcPr>
          <w:p w:rsidR="00C5351C" w:rsidRDefault="00C5351C" w:rsidP="000F34ED">
            <w:pPr>
              <w:pStyle w:val="TableParagraph"/>
              <w:tabs>
                <w:tab w:val="left" w:pos="468"/>
              </w:tabs>
              <w:ind w:left="0"/>
            </w:pPr>
            <w:r>
              <w:t>-</w:t>
            </w:r>
            <w:r>
              <w:tab/>
              <w:t>Når målet er</w:t>
            </w:r>
            <w:r>
              <w:rPr>
                <w:spacing w:val="-3"/>
              </w:rPr>
              <w:t xml:space="preserve"> </w:t>
            </w:r>
            <w:r>
              <w:t>nået</w:t>
            </w:r>
          </w:p>
        </w:tc>
        <w:tc>
          <w:tcPr>
            <w:tcW w:w="1744" w:type="dxa"/>
            <w:tcBorders>
              <w:top w:val="nil"/>
              <w:left w:val="nil"/>
              <w:bottom w:val="single" w:sz="4" w:space="0" w:color="000000"/>
              <w:right w:val="nil"/>
            </w:tcBorders>
          </w:tcPr>
          <w:p w:rsidR="00C5351C" w:rsidRDefault="00C5351C" w:rsidP="000F34ED"/>
        </w:tc>
        <w:tc>
          <w:tcPr>
            <w:tcW w:w="1999" w:type="dxa"/>
            <w:tcBorders>
              <w:top w:val="nil"/>
              <w:left w:val="nil"/>
              <w:bottom w:val="single" w:sz="4" w:space="0" w:color="000000"/>
              <w:right w:val="nil"/>
            </w:tcBorders>
          </w:tcPr>
          <w:p w:rsidR="00C5351C" w:rsidRDefault="00C5351C" w:rsidP="000F34ED"/>
        </w:tc>
        <w:tc>
          <w:tcPr>
            <w:tcW w:w="683" w:type="dxa"/>
            <w:tcBorders>
              <w:top w:val="nil"/>
              <w:left w:val="nil"/>
              <w:bottom w:val="single" w:sz="4" w:space="0" w:color="000000"/>
              <w:right w:val="nil"/>
            </w:tcBorders>
          </w:tcPr>
          <w:p w:rsidR="00C5351C" w:rsidRDefault="00C5351C" w:rsidP="000F34ED"/>
        </w:tc>
        <w:tc>
          <w:tcPr>
            <w:tcW w:w="1326" w:type="dxa"/>
            <w:tcBorders>
              <w:top w:val="nil"/>
              <w:left w:val="nil"/>
              <w:bottom w:val="single" w:sz="4" w:space="0" w:color="000000"/>
              <w:right w:val="nil"/>
            </w:tcBorders>
            <w:hideMark/>
          </w:tcPr>
          <w:p w:rsidR="00C5351C" w:rsidRDefault="00C5351C" w:rsidP="000F34ED">
            <w:pPr>
              <w:pStyle w:val="TableParagraph"/>
              <w:ind w:left="0"/>
            </w:pPr>
            <w:r>
              <w:t>500-1.000</w:t>
            </w:r>
          </w:p>
          <w:p w:rsidR="00C5351C" w:rsidRDefault="00C5351C" w:rsidP="000F34ED">
            <w:pPr>
              <w:pStyle w:val="TableParagraph"/>
              <w:ind w:left="0"/>
            </w:pPr>
            <w:r>
              <w:t>µg/l</w:t>
            </w:r>
          </w:p>
        </w:tc>
      </w:tr>
      <w:tr w:rsidR="00C5351C" w:rsidTr="00C5351C">
        <w:trPr>
          <w:trHeight w:hRule="exact" w:val="517"/>
        </w:trPr>
        <w:tc>
          <w:tcPr>
            <w:tcW w:w="1560" w:type="dxa"/>
            <w:tcBorders>
              <w:top w:val="single" w:sz="4" w:space="0" w:color="000000"/>
              <w:left w:val="nil"/>
              <w:bottom w:val="single" w:sz="4" w:space="0" w:color="000000"/>
              <w:right w:val="nil"/>
            </w:tcBorders>
            <w:hideMark/>
          </w:tcPr>
          <w:p w:rsidR="00C5351C" w:rsidRDefault="00C5351C" w:rsidP="000F34ED">
            <w:pPr>
              <w:pStyle w:val="TableParagraph"/>
              <w:ind w:left="0" w:right="490"/>
              <w:rPr>
                <w:b/>
              </w:rPr>
            </w:pPr>
            <w:r>
              <w:rPr>
                <w:b/>
              </w:rPr>
              <w:t>Maksimal dosis</w:t>
            </w:r>
          </w:p>
        </w:tc>
        <w:tc>
          <w:tcPr>
            <w:tcW w:w="2041" w:type="dxa"/>
            <w:tcBorders>
              <w:top w:val="single" w:sz="4" w:space="0" w:color="000000"/>
              <w:left w:val="nil"/>
              <w:bottom w:val="single" w:sz="4" w:space="0" w:color="000000"/>
              <w:right w:val="nil"/>
            </w:tcBorders>
            <w:hideMark/>
          </w:tcPr>
          <w:p w:rsidR="00C5351C" w:rsidRDefault="00C5351C" w:rsidP="000F34ED">
            <w:pPr>
              <w:pStyle w:val="TableParagraph"/>
              <w:ind w:left="0"/>
              <w:rPr>
                <w:b/>
              </w:rPr>
            </w:pPr>
            <w:r>
              <w:rPr>
                <w:b/>
              </w:rPr>
              <w:t>28 mg/kg/dag</w:t>
            </w:r>
          </w:p>
        </w:tc>
        <w:tc>
          <w:tcPr>
            <w:tcW w:w="1744" w:type="dxa"/>
            <w:tcBorders>
              <w:top w:val="single" w:sz="4" w:space="0" w:color="000000"/>
              <w:left w:val="nil"/>
              <w:bottom w:val="single" w:sz="4" w:space="0" w:color="000000"/>
              <w:right w:val="nil"/>
            </w:tcBorders>
            <w:hideMark/>
          </w:tcPr>
          <w:p w:rsidR="00C5351C" w:rsidRDefault="00C5351C" w:rsidP="000F34ED">
            <w:pPr>
              <w:pStyle w:val="TableParagraph"/>
              <w:ind w:left="0"/>
              <w:rPr>
                <w:b/>
              </w:rPr>
            </w:pPr>
            <w:r>
              <w:rPr>
                <w:b/>
              </w:rPr>
              <w:t>40 mg/kg/dag</w:t>
            </w:r>
          </w:p>
        </w:tc>
        <w:tc>
          <w:tcPr>
            <w:tcW w:w="1999" w:type="dxa"/>
            <w:tcBorders>
              <w:top w:val="single" w:sz="4" w:space="0" w:color="000000"/>
              <w:left w:val="nil"/>
              <w:bottom w:val="single" w:sz="4" w:space="0" w:color="000000"/>
              <w:right w:val="nil"/>
            </w:tcBorders>
          </w:tcPr>
          <w:p w:rsidR="00C5351C" w:rsidRDefault="00C5351C" w:rsidP="000F34ED"/>
        </w:tc>
        <w:tc>
          <w:tcPr>
            <w:tcW w:w="683" w:type="dxa"/>
            <w:tcBorders>
              <w:top w:val="single" w:sz="4" w:space="0" w:color="000000"/>
              <w:left w:val="nil"/>
              <w:bottom w:val="single" w:sz="4" w:space="0" w:color="000000"/>
              <w:right w:val="nil"/>
            </w:tcBorders>
          </w:tcPr>
          <w:p w:rsidR="00C5351C" w:rsidRDefault="00C5351C" w:rsidP="000F34ED"/>
        </w:tc>
        <w:tc>
          <w:tcPr>
            <w:tcW w:w="1326" w:type="dxa"/>
            <w:tcBorders>
              <w:top w:val="single" w:sz="4" w:space="0" w:color="000000"/>
              <w:left w:val="nil"/>
              <w:bottom w:val="single" w:sz="4" w:space="0" w:color="000000"/>
              <w:right w:val="nil"/>
            </w:tcBorders>
          </w:tcPr>
          <w:p w:rsidR="00C5351C" w:rsidRDefault="00C5351C" w:rsidP="000F34ED"/>
        </w:tc>
      </w:tr>
      <w:tr w:rsidR="00C5351C" w:rsidTr="00C5351C">
        <w:trPr>
          <w:trHeight w:hRule="exact" w:val="509"/>
        </w:trPr>
        <w:tc>
          <w:tcPr>
            <w:tcW w:w="1560" w:type="dxa"/>
            <w:tcBorders>
              <w:top w:val="single" w:sz="4" w:space="0" w:color="000000"/>
              <w:left w:val="nil"/>
              <w:bottom w:val="nil"/>
              <w:right w:val="nil"/>
            </w:tcBorders>
            <w:hideMark/>
          </w:tcPr>
          <w:p w:rsidR="00C5351C" w:rsidRDefault="00C5351C" w:rsidP="000F34ED">
            <w:pPr>
              <w:pStyle w:val="TableParagraph"/>
              <w:ind w:left="0"/>
              <w:rPr>
                <w:b/>
              </w:rPr>
            </w:pPr>
            <w:r>
              <w:rPr>
                <w:b/>
              </w:rPr>
              <w:t>Overvej</w:t>
            </w:r>
          </w:p>
          <w:p w:rsidR="00C5351C" w:rsidRDefault="00C5351C" w:rsidP="000F34ED">
            <w:pPr>
              <w:pStyle w:val="TableParagraph"/>
              <w:tabs>
                <w:tab w:val="left" w:pos="9352"/>
              </w:tabs>
              <w:ind w:left="0" w:right="-7793"/>
              <w:rPr>
                <w:b/>
              </w:rPr>
            </w:pPr>
            <w:r>
              <w:rPr>
                <w:b/>
                <w:u w:val="single"/>
              </w:rPr>
              <w:t>afbrydelse</w:t>
            </w:r>
            <w:r>
              <w:rPr>
                <w:b/>
                <w:u w:val="single"/>
              </w:rPr>
              <w:tab/>
            </w:r>
          </w:p>
        </w:tc>
        <w:tc>
          <w:tcPr>
            <w:tcW w:w="2041" w:type="dxa"/>
            <w:tcBorders>
              <w:top w:val="single" w:sz="4" w:space="0" w:color="000000"/>
              <w:left w:val="nil"/>
              <w:bottom w:val="nil"/>
              <w:right w:val="nil"/>
            </w:tcBorders>
          </w:tcPr>
          <w:p w:rsidR="00C5351C" w:rsidRDefault="00C5351C" w:rsidP="000F34ED"/>
        </w:tc>
        <w:tc>
          <w:tcPr>
            <w:tcW w:w="1744" w:type="dxa"/>
            <w:tcBorders>
              <w:top w:val="single" w:sz="4" w:space="0" w:color="000000"/>
              <w:left w:val="nil"/>
              <w:bottom w:val="nil"/>
              <w:right w:val="nil"/>
            </w:tcBorders>
          </w:tcPr>
          <w:p w:rsidR="00C5351C" w:rsidRDefault="00C5351C" w:rsidP="000F34ED"/>
        </w:tc>
        <w:tc>
          <w:tcPr>
            <w:tcW w:w="1999" w:type="dxa"/>
            <w:tcBorders>
              <w:top w:val="single" w:sz="4" w:space="0" w:color="000000"/>
              <w:left w:val="nil"/>
              <w:bottom w:val="nil"/>
              <w:right w:val="nil"/>
            </w:tcBorders>
          </w:tcPr>
          <w:p w:rsidR="00C5351C" w:rsidRDefault="00C5351C" w:rsidP="000F34ED"/>
        </w:tc>
        <w:tc>
          <w:tcPr>
            <w:tcW w:w="683" w:type="dxa"/>
            <w:tcBorders>
              <w:top w:val="single" w:sz="4" w:space="0" w:color="000000"/>
              <w:left w:val="nil"/>
              <w:bottom w:val="nil"/>
              <w:right w:val="nil"/>
            </w:tcBorders>
          </w:tcPr>
          <w:p w:rsidR="00C5351C" w:rsidRDefault="00C5351C" w:rsidP="000F34ED"/>
        </w:tc>
        <w:tc>
          <w:tcPr>
            <w:tcW w:w="1326" w:type="dxa"/>
            <w:tcBorders>
              <w:top w:val="single" w:sz="4" w:space="0" w:color="000000"/>
              <w:left w:val="nil"/>
              <w:bottom w:val="nil"/>
              <w:right w:val="nil"/>
            </w:tcBorders>
            <w:hideMark/>
          </w:tcPr>
          <w:p w:rsidR="00C5351C" w:rsidRDefault="00C5351C" w:rsidP="000F34ED">
            <w:pPr>
              <w:pStyle w:val="TableParagraph"/>
              <w:ind w:left="0" w:right="271"/>
              <w:jc w:val="center"/>
              <w:rPr>
                <w:b/>
              </w:rPr>
            </w:pPr>
            <w:r>
              <w:rPr>
                <w:b/>
              </w:rPr>
              <w:t>&lt;500 µg/l</w:t>
            </w:r>
          </w:p>
        </w:tc>
      </w:tr>
    </w:tbl>
    <w:p w:rsidR="00C5351C" w:rsidRPr="00C5351C" w:rsidRDefault="00C5351C" w:rsidP="000F34ED">
      <w:pPr>
        <w:ind w:left="851"/>
        <w:rPr>
          <w:sz w:val="24"/>
          <w:szCs w:val="24"/>
        </w:rPr>
      </w:pPr>
    </w:p>
    <w:p w:rsidR="00C5351C" w:rsidRPr="00C5351C" w:rsidRDefault="00C5351C" w:rsidP="000F34ED">
      <w:pPr>
        <w:ind w:left="851"/>
        <w:rPr>
          <w:i/>
          <w:sz w:val="24"/>
          <w:szCs w:val="24"/>
        </w:rPr>
      </w:pPr>
      <w:r w:rsidRPr="00C5351C">
        <w:rPr>
          <w:i/>
          <w:sz w:val="24"/>
          <w:szCs w:val="24"/>
        </w:rPr>
        <w:t>Startdosis</w:t>
      </w:r>
    </w:p>
    <w:p w:rsidR="00C5351C" w:rsidRPr="00C5351C" w:rsidRDefault="00C5351C" w:rsidP="000F34ED">
      <w:pPr>
        <w:pStyle w:val="Brdtekst"/>
        <w:ind w:left="851"/>
        <w:rPr>
          <w:sz w:val="24"/>
          <w:szCs w:val="24"/>
          <w:lang w:val="da-DK"/>
        </w:rPr>
      </w:pPr>
      <w:r w:rsidRPr="00C5351C">
        <w:rPr>
          <w:sz w:val="24"/>
          <w:szCs w:val="24"/>
          <w:lang w:val="da-DK"/>
        </w:rPr>
        <w:t>Anbefalet startdosis for Deferasirox "Sandoz" filmovertrukne tabletter er 14 mg/kg kropsvægt.</w:t>
      </w:r>
    </w:p>
    <w:p w:rsidR="00C5351C" w:rsidRPr="00C5351C" w:rsidRDefault="00C5351C" w:rsidP="000F34ED">
      <w:pPr>
        <w:pStyle w:val="Brdtekst"/>
        <w:ind w:left="851"/>
        <w:rPr>
          <w:sz w:val="24"/>
          <w:szCs w:val="24"/>
          <w:lang w:val="da-DK"/>
        </w:rPr>
      </w:pPr>
    </w:p>
    <w:p w:rsidR="00C5351C" w:rsidRPr="00C5351C" w:rsidRDefault="00C5351C" w:rsidP="000F34ED">
      <w:pPr>
        <w:pStyle w:val="Brdtekst"/>
        <w:ind w:left="851"/>
        <w:rPr>
          <w:sz w:val="24"/>
          <w:szCs w:val="24"/>
          <w:lang w:val="da-DK"/>
        </w:rPr>
      </w:pPr>
      <w:r w:rsidRPr="00C5351C">
        <w:rPr>
          <w:sz w:val="24"/>
          <w:szCs w:val="24"/>
          <w:lang w:val="da-DK"/>
        </w:rPr>
        <w:t>En startdosis på 21 mg/kg kan tages i betragtning for patienter, der har brug for reduktion af forhøjede jern-niveauer, og som også modtager mere end 14 ml/kg/måned pakkede røde blodceller (omkring</w:t>
      </w:r>
      <w:r w:rsidR="00762195">
        <w:rPr>
          <w:sz w:val="24"/>
          <w:szCs w:val="24"/>
          <w:lang w:val="da-DK"/>
        </w:rPr>
        <w:t xml:space="preserve"> </w:t>
      </w:r>
      <w:r w:rsidRPr="00C5351C">
        <w:rPr>
          <w:sz w:val="24"/>
          <w:szCs w:val="24"/>
          <w:lang w:val="da-DK"/>
        </w:rPr>
        <w:t>&gt; 4 enheder/måned for en voksen).</w:t>
      </w:r>
    </w:p>
    <w:p w:rsidR="00C5351C" w:rsidRPr="00C5351C" w:rsidRDefault="00C5351C" w:rsidP="000F34ED">
      <w:pPr>
        <w:pStyle w:val="Brdtekst"/>
        <w:ind w:left="851"/>
        <w:rPr>
          <w:sz w:val="24"/>
          <w:szCs w:val="24"/>
          <w:lang w:val="da-DK"/>
        </w:rPr>
      </w:pPr>
    </w:p>
    <w:p w:rsidR="00C5351C" w:rsidRPr="00C5351C" w:rsidRDefault="00C5351C" w:rsidP="000F34ED">
      <w:pPr>
        <w:pStyle w:val="Brdtekst"/>
        <w:ind w:left="851"/>
        <w:rPr>
          <w:sz w:val="24"/>
          <w:szCs w:val="24"/>
          <w:lang w:val="da-DK"/>
        </w:rPr>
      </w:pPr>
      <w:r w:rsidRPr="00C5351C">
        <w:rPr>
          <w:sz w:val="24"/>
          <w:szCs w:val="24"/>
          <w:lang w:val="da-DK"/>
        </w:rPr>
        <w:t>En startdosis på 7 mg/kg kan tages i betragtning for patienter, der ikke har brug for reduktion af jern- niveauer i kroppen, og som også modtager mindre end 7 mg/kg/måned pakkede røde blodceller (omkring &lt; 2 enheder/måned for en voksen). Patientens respons skal monitoreres, og dosisøgninger bør overvejes, hvis der ikke opnås tilstrækkelig virkning (se pkt. 5.1).</w:t>
      </w:r>
    </w:p>
    <w:p w:rsidR="00C5351C" w:rsidRPr="00C5351C" w:rsidRDefault="00C5351C" w:rsidP="000F34ED">
      <w:pPr>
        <w:pStyle w:val="Brdtekst"/>
        <w:ind w:left="851"/>
        <w:rPr>
          <w:sz w:val="24"/>
          <w:szCs w:val="24"/>
          <w:lang w:val="da-DK"/>
        </w:rPr>
      </w:pPr>
    </w:p>
    <w:p w:rsidR="00C5351C" w:rsidRPr="00C5351C" w:rsidRDefault="00C5351C" w:rsidP="000F34ED">
      <w:pPr>
        <w:pStyle w:val="Brdtekst"/>
        <w:ind w:left="851"/>
        <w:rPr>
          <w:sz w:val="24"/>
          <w:szCs w:val="24"/>
          <w:lang w:val="da-DK"/>
        </w:rPr>
      </w:pPr>
      <w:r w:rsidRPr="00C5351C">
        <w:rPr>
          <w:sz w:val="24"/>
          <w:szCs w:val="24"/>
          <w:lang w:val="da-DK"/>
        </w:rPr>
        <w:t>For patienter, der allerede er i tilfredsstillende behandling med deferoxamin, kan en startdosis for Deferasirox "Sandoz" filmovertrukne tabletter, der numerisk er en tredjedel af deferoxamindosis, overvejes. Eksempelvis kan en patient, der modtager 40 mg/kg/dag af deferoxamin fem dage om ugen (eller tilsvarende), overføres til en daglig startdosis på 14 mg/kg/dag af Deferasirox "Sandoz" filmovertrukne tabletter. Når dette resulterer i en daglig dosis, der er mindre end 14 mg/kg kropsvægt, skal patientens respons monitoreres. Hvis der ikke opnås tilstrækkelig virkning, skal en dosisøgning overvejes (se pkt. 5.1).</w:t>
      </w:r>
    </w:p>
    <w:p w:rsidR="00C5351C" w:rsidRPr="00C5351C" w:rsidRDefault="00C5351C" w:rsidP="000F34ED">
      <w:pPr>
        <w:pStyle w:val="Brdtekst"/>
        <w:ind w:left="851"/>
        <w:rPr>
          <w:sz w:val="24"/>
          <w:szCs w:val="24"/>
          <w:lang w:val="da-DK"/>
        </w:rPr>
      </w:pPr>
    </w:p>
    <w:p w:rsidR="00C5351C" w:rsidRPr="00C5351C" w:rsidRDefault="00C5351C" w:rsidP="000F34ED">
      <w:pPr>
        <w:ind w:left="851"/>
        <w:rPr>
          <w:i/>
          <w:sz w:val="24"/>
          <w:szCs w:val="24"/>
        </w:rPr>
      </w:pPr>
      <w:r w:rsidRPr="00C5351C">
        <w:rPr>
          <w:i/>
          <w:sz w:val="24"/>
          <w:szCs w:val="24"/>
        </w:rPr>
        <w:t>Dosisjustering</w:t>
      </w:r>
    </w:p>
    <w:p w:rsidR="00C5351C" w:rsidRPr="00C5351C" w:rsidRDefault="00C5351C" w:rsidP="000F34ED">
      <w:pPr>
        <w:pStyle w:val="Brdtekst"/>
        <w:ind w:left="851"/>
        <w:rPr>
          <w:sz w:val="24"/>
          <w:szCs w:val="24"/>
          <w:lang w:val="da-DK"/>
        </w:rPr>
      </w:pPr>
      <w:r w:rsidRPr="00C5351C">
        <w:rPr>
          <w:sz w:val="24"/>
          <w:szCs w:val="24"/>
          <w:lang w:val="da-DK"/>
        </w:rPr>
        <w:t>Det anbefales, at serum-ferritin monitoreres hver måned, og at dosis af Deferasirox "Sandoz" justeres, hvis nødvendigt, hver 3. til 6. måned, ud fra udviklingen i serum-ferritin. Dosisjusteringer kan gøres i trin af 3.5 til 7 mg/kg, og skal skræddersys til den enkelte patients respons og terapeutiske mål (vedligeholdelse</w:t>
      </w:r>
      <w:r w:rsidRPr="00C5351C">
        <w:rPr>
          <w:spacing w:val="-5"/>
          <w:sz w:val="24"/>
          <w:szCs w:val="24"/>
          <w:lang w:val="da-DK"/>
        </w:rPr>
        <w:t xml:space="preserve"> </w:t>
      </w:r>
      <w:r w:rsidRPr="00C5351C">
        <w:rPr>
          <w:sz w:val="24"/>
          <w:szCs w:val="24"/>
          <w:lang w:val="da-DK"/>
        </w:rPr>
        <w:t>eller</w:t>
      </w:r>
      <w:r w:rsidRPr="00C5351C">
        <w:rPr>
          <w:spacing w:val="-5"/>
          <w:sz w:val="24"/>
          <w:szCs w:val="24"/>
          <w:lang w:val="da-DK"/>
        </w:rPr>
        <w:t xml:space="preserve"> </w:t>
      </w:r>
      <w:r w:rsidRPr="00C5351C">
        <w:rPr>
          <w:sz w:val="24"/>
          <w:szCs w:val="24"/>
          <w:lang w:val="da-DK"/>
        </w:rPr>
        <w:t>reduktion</w:t>
      </w:r>
      <w:r w:rsidRPr="00C5351C">
        <w:rPr>
          <w:spacing w:val="-6"/>
          <w:sz w:val="24"/>
          <w:szCs w:val="24"/>
          <w:lang w:val="da-DK"/>
        </w:rPr>
        <w:t xml:space="preserve"> </w:t>
      </w:r>
      <w:r w:rsidRPr="00C5351C">
        <w:rPr>
          <w:sz w:val="24"/>
          <w:szCs w:val="24"/>
          <w:lang w:val="da-DK"/>
        </w:rPr>
        <w:t>af</w:t>
      </w:r>
      <w:r w:rsidRPr="00C5351C">
        <w:rPr>
          <w:spacing w:val="-5"/>
          <w:sz w:val="24"/>
          <w:szCs w:val="24"/>
          <w:lang w:val="da-DK"/>
        </w:rPr>
        <w:t xml:space="preserve"> </w:t>
      </w:r>
      <w:r w:rsidRPr="00C5351C">
        <w:rPr>
          <w:sz w:val="24"/>
          <w:szCs w:val="24"/>
          <w:lang w:val="da-DK"/>
        </w:rPr>
        <w:t>jernophobning).</w:t>
      </w:r>
      <w:r w:rsidRPr="00C5351C">
        <w:rPr>
          <w:spacing w:val="-3"/>
          <w:sz w:val="24"/>
          <w:szCs w:val="24"/>
          <w:lang w:val="da-DK"/>
        </w:rPr>
        <w:t xml:space="preserve"> </w:t>
      </w:r>
      <w:r w:rsidRPr="00C5351C">
        <w:rPr>
          <w:sz w:val="24"/>
          <w:szCs w:val="24"/>
          <w:lang w:val="da-DK"/>
        </w:rPr>
        <w:t>Hos</w:t>
      </w:r>
      <w:r w:rsidRPr="00C5351C">
        <w:rPr>
          <w:spacing w:val="-5"/>
          <w:sz w:val="24"/>
          <w:szCs w:val="24"/>
          <w:lang w:val="da-DK"/>
        </w:rPr>
        <w:t xml:space="preserve"> </w:t>
      </w:r>
      <w:r w:rsidRPr="00C5351C">
        <w:rPr>
          <w:sz w:val="24"/>
          <w:szCs w:val="24"/>
          <w:lang w:val="da-DK"/>
        </w:rPr>
        <w:t>patienter,</w:t>
      </w:r>
      <w:r w:rsidRPr="00C5351C">
        <w:rPr>
          <w:spacing w:val="-6"/>
          <w:sz w:val="24"/>
          <w:szCs w:val="24"/>
          <w:lang w:val="da-DK"/>
        </w:rPr>
        <w:t xml:space="preserve"> </w:t>
      </w:r>
      <w:r w:rsidRPr="00C5351C">
        <w:rPr>
          <w:sz w:val="24"/>
          <w:szCs w:val="24"/>
          <w:lang w:val="da-DK"/>
        </w:rPr>
        <w:t>der</w:t>
      </w:r>
      <w:r w:rsidRPr="00C5351C">
        <w:rPr>
          <w:spacing w:val="-3"/>
          <w:sz w:val="24"/>
          <w:szCs w:val="24"/>
          <w:lang w:val="da-DK"/>
        </w:rPr>
        <w:t xml:space="preserve"> </w:t>
      </w:r>
      <w:r w:rsidRPr="00C5351C">
        <w:rPr>
          <w:sz w:val="24"/>
          <w:szCs w:val="24"/>
          <w:lang w:val="da-DK"/>
        </w:rPr>
        <w:t>ikke</w:t>
      </w:r>
      <w:r w:rsidRPr="00C5351C">
        <w:rPr>
          <w:spacing w:val="-3"/>
          <w:sz w:val="24"/>
          <w:szCs w:val="24"/>
          <w:lang w:val="da-DK"/>
        </w:rPr>
        <w:t xml:space="preserve"> </w:t>
      </w:r>
      <w:r w:rsidRPr="00C5351C">
        <w:rPr>
          <w:sz w:val="24"/>
          <w:szCs w:val="24"/>
          <w:lang w:val="da-DK"/>
        </w:rPr>
        <w:t>er</w:t>
      </w:r>
      <w:r w:rsidRPr="00C5351C">
        <w:rPr>
          <w:spacing w:val="-3"/>
          <w:sz w:val="24"/>
          <w:szCs w:val="24"/>
          <w:lang w:val="da-DK"/>
        </w:rPr>
        <w:t xml:space="preserve"> </w:t>
      </w:r>
      <w:r w:rsidRPr="00C5351C">
        <w:rPr>
          <w:sz w:val="24"/>
          <w:szCs w:val="24"/>
          <w:lang w:val="da-DK"/>
        </w:rPr>
        <w:t>tilstrækkeligt</w:t>
      </w:r>
      <w:r w:rsidRPr="00C5351C">
        <w:rPr>
          <w:spacing w:val="-3"/>
          <w:sz w:val="24"/>
          <w:szCs w:val="24"/>
          <w:lang w:val="da-DK"/>
        </w:rPr>
        <w:t xml:space="preserve"> </w:t>
      </w:r>
      <w:r w:rsidRPr="00C5351C">
        <w:rPr>
          <w:sz w:val="24"/>
          <w:szCs w:val="24"/>
          <w:lang w:val="da-DK"/>
        </w:rPr>
        <w:t>kontrolleret ved doser på 21 mg/kg (fx serum-ferritinniveauer vedvarende over 2.500 µg/l uden at vise en aftagende udvikling over tid), bør doser op til 28 mg/kg overvejes. Der er på nuværende tidspunkt begrænsede langtidseffekt- og sikkerhedsdata fra udførte kliniske forsøg for deferasirox dispergible tabletter anvendt ved doser over 30 mg/kg (264 patienter fulgt i gennemsnitlig 1 år efter dosisoptrapning). Hvis der kun er opnået meget dårlig kontrol med hæmosiderosen ved doser på op til 21 mg/kg, er det ikke sikkert, at tilfredsstillende kontrol kan opnås med en yderligere øgning af dosis (til et maksimum på 28 mg/kg), og alternative behandlingsmuligheder bør overvejes. Hvis der ikke opnås tilfredsstillende kontrol ved doser over 21 mg/kg, bør behandlingen ikke opretholdes, og når det er muligt, bør alternativ behandling overvejes. Doser over 28 mg/kg anbefales ikke, da der kun er begrænset erfaring med doser over dette niveau (se pkt.</w:t>
      </w:r>
      <w:r w:rsidRPr="00C5351C">
        <w:rPr>
          <w:spacing w:val="-13"/>
          <w:sz w:val="24"/>
          <w:szCs w:val="24"/>
          <w:lang w:val="da-DK"/>
        </w:rPr>
        <w:t xml:space="preserve"> </w:t>
      </w:r>
      <w:r w:rsidRPr="00C5351C">
        <w:rPr>
          <w:sz w:val="24"/>
          <w:szCs w:val="24"/>
          <w:lang w:val="da-DK"/>
        </w:rPr>
        <w:t>5.1).</w:t>
      </w:r>
    </w:p>
    <w:p w:rsidR="00C5351C" w:rsidRPr="00C5351C" w:rsidRDefault="00C5351C" w:rsidP="000F34ED">
      <w:pPr>
        <w:pStyle w:val="Brdtekst"/>
        <w:ind w:left="851"/>
        <w:rPr>
          <w:sz w:val="24"/>
          <w:szCs w:val="24"/>
          <w:lang w:val="da-DK"/>
        </w:rPr>
      </w:pPr>
    </w:p>
    <w:p w:rsidR="00C5351C" w:rsidRPr="00C5351C" w:rsidRDefault="00C5351C" w:rsidP="000F34ED">
      <w:pPr>
        <w:pStyle w:val="Brdtekst"/>
        <w:ind w:left="851"/>
        <w:rPr>
          <w:sz w:val="24"/>
          <w:szCs w:val="24"/>
          <w:lang w:val="da-DK"/>
        </w:rPr>
      </w:pPr>
      <w:r w:rsidRPr="00C5351C">
        <w:rPr>
          <w:sz w:val="24"/>
          <w:szCs w:val="24"/>
          <w:lang w:val="da-DK"/>
        </w:rPr>
        <w:t>Hos patienter behandlet med doser over 21 mg/kg bør dosisreduktion i trin på 3,5 til 7 mg/kg overvejes, når der er opnået kontrol (fx serum-ferritinniveauer permanent under 2.500 µg/l og med en faldende tendens over tid). Hos patienter, hvis serum-ferritinniveauer har nået målet (som regel mellem 500 og 1.000 µg/l), bør det overvejes at foretage dosisreduktion i trin på 3,5 til 7 mg/kg for at vedligeholde serum-ferritinniveauer inden for det terapeutiske interval, og for at minimere risikoen for overkelering. Afbrydelse af behandlingen skal overvejes, hvis serum-ferritin falder konsekvent under 500 µg/l (se pkt. 4.4).</w:t>
      </w:r>
    </w:p>
    <w:p w:rsidR="00C5351C" w:rsidRPr="00C5351C" w:rsidRDefault="00C5351C" w:rsidP="000F34ED">
      <w:pPr>
        <w:pStyle w:val="Brdtekst"/>
        <w:ind w:left="851"/>
        <w:rPr>
          <w:sz w:val="24"/>
          <w:szCs w:val="24"/>
          <w:lang w:val="da-DK"/>
        </w:rPr>
      </w:pPr>
    </w:p>
    <w:p w:rsidR="00C5351C" w:rsidRPr="00762195" w:rsidRDefault="00C5351C" w:rsidP="000F34ED">
      <w:pPr>
        <w:ind w:left="851"/>
        <w:rPr>
          <w:sz w:val="24"/>
          <w:szCs w:val="24"/>
        </w:rPr>
      </w:pPr>
      <w:r w:rsidRPr="00762195">
        <w:rPr>
          <w:sz w:val="24"/>
          <w:szCs w:val="24"/>
          <w:u w:val="single"/>
        </w:rPr>
        <w:t>Ikke-transfusionsafhængige talassæmi-syndromer</w:t>
      </w:r>
    </w:p>
    <w:p w:rsidR="00C5351C" w:rsidRPr="00C5351C" w:rsidRDefault="00C5351C" w:rsidP="000F34ED">
      <w:pPr>
        <w:pStyle w:val="Brdtekst"/>
        <w:ind w:left="851"/>
        <w:rPr>
          <w:sz w:val="24"/>
          <w:szCs w:val="24"/>
          <w:lang w:val="da-DK"/>
        </w:rPr>
      </w:pPr>
      <w:r w:rsidRPr="00C5351C">
        <w:rPr>
          <w:sz w:val="24"/>
          <w:szCs w:val="24"/>
          <w:lang w:val="da-DK"/>
        </w:rPr>
        <w:t>Kelatbehandling må kun initieres, når der er påviseligt jernoverskud (jernkoncentration i leveren [LIC]</w:t>
      </w:r>
      <w:r w:rsidR="00762195">
        <w:rPr>
          <w:sz w:val="24"/>
          <w:szCs w:val="24"/>
          <w:lang w:val="da-DK"/>
        </w:rPr>
        <w:t xml:space="preserve"> </w:t>
      </w:r>
      <w:r w:rsidRPr="00C5351C">
        <w:rPr>
          <w:sz w:val="24"/>
          <w:szCs w:val="24"/>
          <w:lang w:val="da-DK"/>
        </w:rPr>
        <w:t>≥ 5 mg Fe/g tørvægt eller serum-ferritin konsekvent &gt; 800 µg/l). LIC er den foretrukne metode til bestemmelse af jernoverskud og bør anvendes, når den er tilgængelig. Der skal udvises forsigtighed hos alle patienter under kelatbehandling for at minimere risikoen for overkelering (se pkt. 4.4).</w:t>
      </w:r>
    </w:p>
    <w:p w:rsidR="00C5351C" w:rsidRPr="00C5351C" w:rsidRDefault="00C5351C" w:rsidP="000F34ED">
      <w:pPr>
        <w:pStyle w:val="Brdtekst"/>
        <w:ind w:left="851"/>
        <w:rPr>
          <w:sz w:val="24"/>
          <w:szCs w:val="24"/>
          <w:lang w:val="da-DK"/>
        </w:rPr>
      </w:pPr>
    </w:p>
    <w:p w:rsidR="00C5351C" w:rsidRPr="00C5351C" w:rsidRDefault="00C5351C" w:rsidP="000F34ED">
      <w:pPr>
        <w:pStyle w:val="Brdtekst"/>
        <w:ind w:left="851"/>
        <w:rPr>
          <w:sz w:val="24"/>
          <w:szCs w:val="24"/>
          <w:lang w:val="da-DK"/>
        </w:rPr>
      </w:pPr>
      <w:r w:rsidRPr="00C5351C">
        <w:rPr>
          <w:sz w:val="24"/>
          <w:szCs w:val="24"/>
          <w:lang w:val="da-DK"/>
        </w:rPr>
        <w:t>Deferasirox filmovertrukne tabletter udviser højere biotilgængelighed sammenlignet med deferasirox dispergible tabletter (se pkt. 5.2). I tilfælde af behandlingsskift fra dispergible tabletter til filmovertrukne tabletter, skal dosis for filmovertrukne tabletter være 30</w:t>
      </w:r>
      <w:r w:rsidR="00167916">
        <w:rPr>
          <w:sz w:val="24"/>
          <w:szCs w:val="24"/>
          <w:lang w:val="da-DK"/>
        </w:rPr>
        <w:t xml:space="preserve"> %</w:t>
      </w:r>
      <w:r w:rsidRPr="00C5351C">
        <w:rPr>
          <w:sz w:val="24"/>
          <w:szCs w:val="24"/>
          <w:lang w:val="da-DK"/>
        </w:rPr>
        <w:t xml:space="preserve"> lavere end dosis for dispergible tabletter, afrundet til nærmeste hel tablet.</w:t>
      </w:r>
    </w:p>
    <w:p w:rsidR="00C5351C" w:rsidRPr="00C5351C" w:rsidRDefault="00C5351C" w:rsidP="000F34ED">
      <w:pPr>
        <w:pStyle w:val="Brdtekst"/>
        <w:ind w:left="851"/>
        <w:rPr>
          <w:sz w:val="24"/>
          <w:szCs w:val="24"/>
          <w:lang w:val="da-DK"/>
        </w:rPr>
      </w:pPr>
    </w:p>
    <w:p w:rsidR="00C5351C" w:rsidRPr="00C5351C" w:rsidRDefault="00C5351C" w:rsidP="000F34ED">
      <w:pPr>
        <w:pStyle w:val="Brdtekst"/>
        <w:ind w:left="851"/>
        <w:rPr>
          <w:sz w:val="24"/>
          <w:szCs w:val="24"/>
          <w:lang w:val="da-DK"/>
        </w:rPr>
      </w:pPr>
      <w:r w:rsidRPr="00C5351C">
        <w:rPr>
          <w:sz w:val="24"/>
          <w:szCs w:val="24"/>
          <w:lang w:val="da-DK"/>
        </w:rPr>
        <w:t>Den tilsvarende dosis for de forskellige formuleringer er vist i tabellen nedenfor.</w:t>
      </w:r>
    </w:p>
    <w:p w:rsidR="00C5351C" w:rsidRPr="00C5351C" w:rsidRDefault="00C5351C" w:rsidP="000F34ED">
      <w:pPr>
        <w:ind w:left="851"/>
        <w:rPr>
          <w:sz w:val="24"/>
          <w:szCs w:val="24"/>
        </w:rPr>
      </w:pPr>
    </w:p>
    <w:p w:rsidR="00C5351C" w:rsidRPr="00184CC6" w:rsidRDefault="00C5351C" w:rsidP="000F34ED">
      <w:pPr>
        <w:pStyle w:val="Brdtekst"/>
        <w:tabs>
          <w:tab w:val="left" w:pos="1251"/>
        </w:tabs>
        <w:ind w:left="851"/>
        <w:rPr>
          <w:sz w:val="24"/>
          <w:szCs w:val="24"/>
          <w:lang w:val="da-DK"/>
        </w:rPr>
      </w:pPr>
      <w:r w:rsidRPr="00184CC6">
        <w:rPr>
          <w:sz w:val="24"/>
          <w:szCs w:val="24"/>
          <w:lang w:val="da-DK"/>
        </w:rPr>
        <w:t>Tabel</w:t>
      </w:r>
      <w:r w:rsidRPr="00184CC6">
        <w:rPr>
          <w:spacing w:val="-1"/>
          <w:sz w:val="24"/>
          <w:szCs w:val="24"/>
          <w:lang w:val="da-DK"/>
        </w:rPr>
        <w:t xml:space="preserve"> </w:t>
      </w:r>
      <w:r w:rsidRPr="00184CC6">
        <w:rPr>
          <w:sz w:val="24"/>
          <w:szCs w:val="24"/>
          <w:lang w:val="da-DK"/>
        </w:rPr>
        <w:t>2</w:t>
      </w:r>
      <w:r w:rsidRPr="00184CC6">
        <w:rPr>
          <w:sz w:val="24"/>
          <w:szCs w:val="24"/>
          <w:lang w:val="da-DK"/>
        </w:rPr>
        <w:tab/>
        <w:t>Anbefalet dosis til ikke-transfusionsafhængige</w:t>
      </w:r>
      <w:r w:rsidRPr="00184CC6">
        <w:rPr>
          <w:spacing w:val="-23"/>
          <w:sz w:val="24"/>
          <w:szCs w:val="24"/>
          <w:lang w:val="da-DK"/>
        </w:rPr>
        <w:t xml:space="preserve"> </w:t>
      </w:r>
      <w:r w:rsidRPr="00184CC6">
        <w:rPr>
          <w:sz w:val="24"/>
          <w:szCs w:val="24"/>
          <w:lang w:val="da-DK"/>
        </w:rPr>
        <w:t>talassæmi-syndromer</w:t>
      </w:r>
    </w:p>
    <w:p w:rsidR="00C5351C" w:rsidRDefault="00C5351C" w:rsidP="000F34ED">
      <w:pPr>
        <w:pStyle w:val="Brdtekst"/>
        <w:rPr>
          <w:lang w:val="da-DK"/>
        </w:rPr>
      </w:pPr>
    </w:p>
    <w:tbl>
      <w:tblPr>
        <w:tblW w:w="0" w:type="auto"/>
        <w:tblInd w:w="212" w:type="dxa"/>
        <w:tblBorders>
          <w:insideH w:val="nil"/>
          <w:insideV w:val="nil"/>
        </w:tblBorders>
        <w:tblLayout w:type="fixed"/>
        <w:tblCellMar>
          <w:left w:w="0" w:type="dxa"/>
          <w:right w:w="0" w:type="dxa"/>
        </w:tblCellMar>
        <w:tblLook w:val="01E0" w:firstRow="1" w:lastRow="1" w:firstColumn="1" w:lastColumn="1" w:noHBand="0" w:noVBand="0"/>
      </w:tblPr>
      <w:tblGrid>
        <w:gridCol w:w="1539"/>
        <w:gridCol w:w="1973"/>
        <w:gridCol w:w="1708"/>
        <w:gridCol w:w="1939"/>
        <w:gridCol w:w="744"/>
        <w:gridCol w:w="1327"/>
      </w:tblGrid>
      <w:tr w:rsidR="00C5351C" w:rsidTr="00C5351C">
        <w:trPr>
          <w:trHeight w:hRule="exact" w:val="770"/>
        </w:trPr>
        <w:tc>
          <w:tcPr>
            <w:tcW w:w="1539" w:type="dxa"/>
            <w:tcBorders>
              <w:top w:val="single" w:sz="4" w:space="0" w:color="000000"/>
              <w:left w:val="nil"/>
              <w:bottom w:val="single" w:sz="4" w:space="0" w:color="000000"/>
              <w:right w:val="nil"/>
            </w:tcBorders>
          </w:tcPr>
          <w:p w:rsidR="00C5351C" w:rsidRDefault="00C5351C" w:rsidP="000F34ED"/>
        </w:tc>
        <w:tc>
          <w:tcPr>
            <w:tcW w:w="1973" w:type="dxa"/>
            <w:tcBorders>
              <w:top w:val="single" w:sz="4" w:space="0" w:color="000000"/>
              <w:left w:val="nil"/>
              <w:bottom w:val="single" w:sz="4" w:space="0" w:color="000000"/>
              <w:right w:val="nil"/>
            </w:tcBorders>
            <w:hideMark/>
          </w:tcPr>
          <w:p w:rsidR="00C5351C" w:rsidRDefault="00C5351C" w:rsidP="000F34ED">
            <w:pPr>
              <w:pStyle w:val="TableParagraph"/>
              <w:ind w:left="142" w:right="136"/>
              <w:rPr>
                <w:b/>
              </w:rPr>
            </w:pPr>
            <w:r>
              <w:rPr>
                <w:b/>
              </w:rPr>
              <w:t>Filmovertrukne tabletter/granulat</w:t>
            </w:r>
          </w:p>
        </w:tc>
        <w:tc>
          <w:tcPr>
            <w:tcW w:w="1708" w:type="dxa"/>
            <w:tcBorders>
              <w:top w:val="single" w:sz="4" w:space="0" w:color="000000"/>
              <w:left w:val="nil"/>
              <w:bottom w:val="single" w:sz="4" w:space="0" w:color="000000"/>
              <w:right w:val="nil"/>
            </w:tcBorders>
            <w:hideMark/>
          </w:tcPr>
          <w:p w:rsidR="00C5351C" w:rsidRDefault="00C5351C" w:rsidP="000F34ED">
            <w:pPr>
              <w:pStyle w:val="TableParagraph"/>
              <w:ind w:left="153" w:right="459"/>
              <w:rPr>
                <w:b/>
              </w:rPr>
            </w:pPr>
            <w:r>
              <w:rPr>
                <w:b/>
              </w:rPr>
              <w:t>Dispergible tabletter</w:t>
            </w:r>
          </w:p>
        </w:tc>
        <w:tc>
          <w:tcPr>
            <w:tcW w:w="1939" w:type="dxa"/>
            <w:tcBorders>
              <w:top w:val="single" w:sz="4" w:space="0" w:color="000000"/>
              <w:left w:val="nil"/>
              <w:bottom w:val="single" w:sz="4" w:space="0" w:color="000000"/>
              <w:right w:val="nil"/>
            </w:tcBorders>
            <w:hideMark/>
          </w:tcPr>
          <w:p w:rsidR="00C5351C" w:rsidRDefault="00C5351C" w:rsidP="000F34ED">
            <w:pPr>
              <w:pStyle w:val="TableParagraph"/>
              <w:ind w:left="288" w:right="176"/>
              <w:rPr>
                <w:b/>
                <w:lang w:val="da-DK"/>
              </w:rPr>
            </w:pPr>
            <w:r>
              <w:rPr>
                <w:b/>
                <w:lang w:val="da-DK"/>
              </w:rPr>
              <w:t>Jernkoncentra- tion i lever (LIC)*</w:t>
            </w:r>
          </w:p>
        </w:tc>
        <w:tc>
          <w:tcPr>
            <w:tcW w:w="744" w:type="dxa"/>
            <w:tcBorders>
              <w:top w:val="single" w:sz="4" w:space="0" w:color="000000"/>
              <w:left w:val="nil"/>
              <w:bottom w:val="single" w:sz="4" w:space="0" w:color="000000"/>
              <w:right w:val="nil"/>
            </w:tcBorders>
          </w:tcPr>
          <w:p w:rsidR="00C5351C" w:rsidRDefault="00C5351C" w:rsidP="000F34ED"/>
        </w:tc>
        <w:tc>
          <w:tcPr>
            <w:tcW w:w="1327" w:type="dxa"/>
            <w:tcBorders>
              <w:top w:val="single" w:sz="4" w:space="0" w:color="000000"/>
              <w:left w:val="nil"/>
              <w:bottom w:val="single" w:sz="4" w:space="0" w:color="000000"/>
              <w:right w:val="nil"/>
            </w:tcBorders>
            <w:hideMark/>
          </w:tcPr>
          <w:p w:rsidR="00C5351C" w:rsidRDefault="00C5351C" w:rsidP="000F34ED">
            <w:pPr>
              <w:pStyle w:val="TableParagraph"/>
              <w:ind w:left="157" w:right="453"/>
              <w:rPr>
                <w:b/>
              </w:rPr>
            </w:pPr>
            <w:r>
              <w:rPr>
                <w:b/>
              </w:rPr>
              <w:t>Serum- ferritin</w:t>
            </w:r>
          </w:p>
        </w:tc>
      </w:tr>
      <w:tr w:rsidR="00C5351C" w:rsidTr="00C5351C">
        <w:trPr>
          <w:trHeight w:hRule="exact" w:val="516"/>
        </w:trPr>
        <w:tc>
          <w:tcPr>
            <w:tcW w:w="1539" w:type="dxa"/>
            <w:tcBorders>
              <w:top w:val="single" w:sz="4" w:space="0" w:color="000000"/>
              <w:left w:val="nil"/>
              <w:bottom w:val="single" w:sz="4" w:space="0" w:color="000000"/>
              <w:right w:val="nil"/>
            </w:tcBorders>
            <w:hideMark/>
          </w:tcPr>
          <w:p w:rsidR="00C5351C" w:rsidRDefault="00C5351C" w:rsidP="000F34ED">
            <w:pPr>
              <w:pStyle w:val="TableParagraph"/>
              <w:ind w:left="122"/>
              <w:rPr>
                <w:b/>
              </w:rPr>
            </w:pPr>
            <w:r>
              <w:rPr>
                <w:b/>
              </w:rPr>
              <w:t>Startdosis</w:t>
            </w:r>
          </w:p>
        </w:tc>
        <w:tc>
          <w:tcPr>
            <w:tcW w:w="1973" w:type="dxa"/>
            <w:tcBorders>
              <w:top w:val="single" w:sz="4" w:space="0" w:color="000000"/>
              <w:left w:val="nil"/>
              <w:bottom w:val="single" w:sz="4" w:space="0" w:color="000000"/>
              <w:right w:val="nil"/>
            </w:tcBorders>
            <w:hideMark/>
          </w:tcPr>
          <w:p w:rsidR="00C5351C" w:rsidRDefault="00C5351C" w:rsidP="000F34ED">
            <w:pPr>
              <w:pStyle w:val="TableParagraph"/>
              <w:ind w:left="142"/>
              <w:rPr>
                <w:b/>
              </w:rPr>
            </w:pPr>
            <w:r>
              <w:rPr>
                <w:b/>
              </w:rPr>
              <w:t>7 mg/kg/dag</w:t>
            </w:r>
          </w:p>
        </w:tc>
        <w:tc>
          <w:tcPr>
            <w:tcW w:w="1708" w:type="dxa"/>
            <w:tcBorders>
              <w:top w:val="single" w:sz="4" w:space="0" w:color="000000"/>
              <w:left w:val="nil"/>
              <w:bottom w:val="single" w:sz="4" w:space="0" w:color="000000"/>
              <w:right w:val="nil"/>
            </w:tcBorders>
            <w:hideMark/>
          </w:tcPr>
          <w:p w:rsidR="00C5351C" w:rsidRDefault="00C5351C" w:rsidP="000F34ED">
            <w:pPr>
              <w:pStyle w:val="TableParagraph"/>
              <w:ind w:left="1" w:right="134"/>
              <w:jc w:val="center"/>
              <w:rPr>
                <w:b/>
              </w:rPr>
            </w:pPr>
            <w:r>
              <w:rPr>
                <w:b/>
              </w:rPr>
              <w:t>10 mg/kg/dag</w:t>
            </w:r>
          </w:p>
        </w:tc>
        <w:tc>
          <w:tcPr>
            <w:tcW w:w="1939" w:type="dxa"/>
            <w:tcBorders>
              <w:top w:val="single" w:sz="4" w:space="0" w:color="000000"/>
              <w:left w:val="nil"/>
              <w:bottom w:val="single" w:sz="4" w:space="0" w:color="000000"/>
              <w:right w:val="nil"/>
            </w:tcBorders>
            <w:hideMark/>
          </w:tcPr>
          <w:p w:rsidR="00C5351C" w:rsidRDefault="00C5351C" w:rsidP="000F34ED">
            <w:pPr>
              <w:pStyle w:val="TableParagraph"/>
              <w:ind w:left="288" w:right="617"/>
            </w:pPr>
            <w:r>
              <w:t>≥5 mg Fe/g tørvægt</w:t>
            </w:r>
          </w:p>
        </w:tc>
        <w:tc>
          <w:tcPr>
            <w:tcW w:w="744" w:type="dxa"/>
            <w:tcBorders>
              <w:top w:val="single" w:sz="4" w:space="0" w:color="000000"/>
              <w:left w:val="nil"/>
              <w:bottom w:val="single" w:sz="4" w:space="0" w:color="000000"/>
              <w:right w:val="nil"/>
            </w:tcBorders>
            <w:hideMark/>
          </w:tcPr>
          <w:p w:rsidR="00C5351C" w:rsidRDefault="00C5351C" w:rsidP="000F34ED">
            <w:pPr>
              <w:pStyle w:val="TableParagraph"/>
              <w:ind w:left="193"/>
            </w:pPr>
            <w:r>
              <w:t>eller</w:t>
            </w:r>
          </w:p>
        </w:tc>
        <w:tc>
          <w:tcPr>
            <w:tcW w:w="1327" w:type="dxa"/>
            <w:tcBorders>
              <w:top w:val="single" w:sz="4" w:space="0" w:color="000000"/>
              <w:left w:val="nil"/>
              <w:bottom w:val="single" w:sz="4" w:space="0" w:color="000000"/>
              <w:right w:val="nil"/>
            </w:tcBorders>
            <w:hideMark/>
          </w:tcPr>
          <w:p w:rsidR="00C5351C" w:rsidRDefault="00C5351C" w:rsidP="000F34ED">
            <w:pPr>
              <w:pStyle w:val="TableParagraph"/>
              <w:ind w:left="157"/>
            </w:pPr>
            <w:r>
              <w:t>&gt;800 µg/l</w:t>
            </w:r>
          </w:p>
        </w:tc>
      </w:tr>
      <w:tr w:rsidR="00C5351C" w:rsidTr="00C5351C">
        <w:trPr>
          <w:trHeight w:hRule="exact" w:val="262"/>
        </w:trPr>
        <w:tc>
          <w:tcPr>
            <w:tcW w:w="1539" w:type="dxa"/>
            <w:tcBorders>
              <w:top w:val="single" w:sz="4" w:space="0" w:color="000000"/>
              <w:left w:val="nil"/>
              <w:bottom w:val="single" w:sz="4" w:space="0" w:color="000000"/>
              <w:right w:val="nil"/>
            </w:tcBorders>
            <w:hideMark/>
          </w:tcPr>
          <w:p w:rsidR="00C5351C" w:rsidRDefault="00C5351C" w:rsidP="000F34ED">
            <w:pPr>
              <w:pStyle w:val="TableParagraph"/>
              <w:ind w:left="122"/>
              <w:rPr>
                <w:b/>
              </w:rPr>
            </w:pPr>
            <w:r>
              <w:rPr>
                <w:b/>
              </w:rPr>
              <w:t>Monitorering</w:t>
            </w:r>
          </w:p>
        </w:tc>
        <w:tc>
          <w:tcPr>
            <w:tcW w:w="1973" w:type="dxa"/>
            <w:tcBorders>
              <w:top w:val="single" w:sz="4" w:space="0" w:color="000000"/>
              <w:left w:val="nil"/>
              <w:bottom w:val="single" w:sz="4" w:space="0" w:color="000000"/>
              <w:right w:val="nil"/>
            </w:tcBorders>
          </w:tcPr>
          <w:p w:rsidR="00C5351C" w:rsidRDefault="00C5351C" w:rsidP="000F34ED"/>
        </w:tc>
        <w:tc>
          <w:tcPr>
            <w:tcW w:w="1708" w:type="dxa"/>
            <w:tcBorders>
              <w:top w:val="single" w:sz="4" w:space="0" w:color="000000"/>
              <w:left w:val="nil"/>
              <w:bottom w:val="single" w:sz="4" w:space="0" w:color="000000"/>
              <w:right w:val="nil"/>
            </w:tcBorders>
          </w:tcPr>
          <w:p w:rsidR="00C5351C" w:rsidRDefault="00C5351C" w:rsidP="000F34ED"/>
        </w:tc>
        <w:tc>
          <w:tcPr>
            <w:tcW w:w="1939" w:type="dxa"/>
            <w:tcBorders>
              <w:top w:val="single" w:sz="4" w:space="0" w:color="000000"/>
              <w:left w:val="nil"/>
              <w:bottom w:val="single" w:sz="4" w:space="0" w:color="000000"/>
              <w:right w:val="nil"/>
            </w:tcBorders>
          </w:tcPr>
          <w:p w:rsidR="00C5351C" w:rsidRDefault="00C5351C" w:rsidP="000F34ED"/>
        </w:tc>
        <w:tc>
          <w:tcPr>
            <w:tcW w:w="744" w:type="dxa"/>
            <w:tcBorders>
              <w:top w:val="single" w:sz="4" w:space="0" w:color="000000"/>
              <w:left w:val="nil"/>
              <w:bottom w:val="single" w:sz="4" w:space="0" w:color="000000"/>
              <w:right w:val="nil"/>
            </w:tcBorders>
          </w:tcPr>
          <w:p w:rsidR="00C5351C" w:rsidRDefault="00C5351C" w:rsidP="000F34ED"/>
        </w:tc>
        <w:tc>
          <w:tcPr>
            <w:tcW w:w="1327" w:type="dxa"/>
            <w:tcBorders>
              <w:top w:val="single" w:sz="4" w:space="0" w:color="000000"/>
              <w:left w:val="nil"/>
              <w:bottom w:val="single" w:sz="4" w:space="0" w:color="000000"/>
              <w:right w:val="nil"/>
            </w:tcBorders>
            <w:hideMark/>
          </w:tcPr>
          <w:p w:rsidR="00C5351C" w:rsidRDefault="00C5351C" w:rsidP="000F34ED">
            <w:pPr>
              <w:pStyle w:val="TableParagraph"/>
              <w:ind w:left="157"/>
              <w:rPr>
                <w:b/>
              </w:rPr>
            </w:pPr>
            <w:r>
              <w:rPr>
                <w:b/>
              </w:rPr>
              <w:t>Månedligt</w:t>
            </w:r>
          </w:p>
        </w:tc>
      </w:tr>
      <w:tr w:rsidR="00C5351C" w:rsidTr="00C5351C">
        <w:trPr>
          <w:trHeight w:hRule="exact" w:val="515"/>
        </w:trPr>
        <w:tc>
          <w:tcPr>
            <w:tcW w:w="1539" w:type="dxa"/>
            <w:vMerge w:val="restart"/>
            <w:tcBorders>
              <w:top w:val="single" w:sz="4" w:space="0" w:color="000000"/>
              <w:left w:val="nil"/>
              <w:bottom w:val="nil"/>
              <w:right w:val="nil"/>
            </w:tcBorders>
            <w:hideMark/>
          </w:tcPr>
          <w:p w:rsidR="00C5351C" w:rsidRDefault="00C5351C" w:rsidP="000F34ED">
            <w:pPr>
              <w:pStyle w:val="TableParagraph"/>
              <w:ind w:left="122" w:right="175"/>
              <w:rPr>
                <w:b/>
              </w:rPr>
            </w:pPr>
            <w:r>
              <w:rPr>
                <w:b/>
              </w:rPr>
              <w:t>Korrektions- trin</w:t>
            </w:r>
          </w:p>
          <w:p w:rsidR="00C5351C" w:rsidRDefault="00C5351C" w:rsidP="000F34ED">
            <w:pPr>
              <w:pStyle w:val="TableParagraph"/>
              <w:ind w:left="122"/>
            </w:pPr>
            <w:r>
              <w:t>(hver</w:t>
            </w:r>
          </w:p>
          <w:p w:rsidR="00C5351C" w:rsidRDefault="00C5351C" w:rsidP="000F34ED">
            <w:pPr>
              <w:pStyle w:val="TableParagraph"/>
              <w:ind w:left="122"/>
            </w:pPr>
            <w:r>
              <w:t>3.-6. måned)</w:t>
            </w:r>
          </w:p>
        </w:tc>
        <w:tc>
          <w:tcPr>
            <w:tcW w:w="3681" w:type="dxa"/>
            <w:gridSpan w:val="2"/>
            <w:tcBorders>
              <w:top w:val="single" w:sz="4" w:space="0" w:color="000000"/>
              <w:left w:val="nil"/>
              <w:bottom w:val="nil"/>
              <w:right w:val="nil"/>
            </w:tcBorders>
            <w:hideMark/>
          </w:tcPr>
          <w:p w:rsidR="00C5351C" w:rsidRDefault="00C5351C" w:rsidP="000F34ED">
            <w:pPr>
              <w:pStyle w:val="TableParagraph"/>
              <w:ind w:left="1444" w:right="1225"/>
              <w:jc w:val="center"/>
              <w:rPr>
                <w:b/>
              </w:rPr>
            </w:pPr>
            <w:r>
              <w:rPr>
                <w:b/>
              </w:rPr>
              <w:t>Øget dosis</w:t>
            </w:r>
          </w:p>
        </w:tc>
        <w:tc>
          <w:tcPr>
            <w:tcW w:w="1939" w:type="dxa"/>
            <w:tcBorders>
              <w:top w:val="single" w:sz="4" w:space="0" w:color="000000"/>
              <w:left w:val="nil"/>
              <w:bottom w:val="nil"/>
              <w:right w:val="nil"/>
            </w:tcBorders>
            <w:hideMark/>
          </w:tcPr>
          <w:p w:rsidR="00C5351C" w:rsidRDefault="00C5351C" w:rsidP="000F34ED">
            <w:pPr>
              <w:pStyle w:val="TableParagraph"/>
              <w:ind w:left="288" w:right="617"/>
            </w:pPr>
            <w:r>
              <w:t>≥7 mg Fe/g tørvægt</w:t>
            </w:r>
          </w:p>
        </w:tc>
        <w:tc>
          <w:tcPr>
            <w:tcW w:w="744" w:type="dxa"/>
            <w:tcBorders>
              <w:top w:val="single" w:sz="4" w:space="0" w:color="000000"/>
              <w:left w:val="nil"/>
              <w:bottom w:val="nil"/>
              <w:right w:val="nil"/>
            </w:tcBorders>
            <w:hideMark/>
          </w:tcPr>
          <w:p w:rsidR="00C5351C" w:rsidRDefault="00C5351C" w:rsidP="000F34ED">
            <w:pPr>
              <w:pStyle w:val="TableParagraph"/>
              <w:ind w:left="193"/>
            </w:pPr>
            <w:r>
              <w:t>eller</w:t>
            </w:r>
          </w:p>
        </w:tc>
        <w:tc>
          <w:tcPr>
            <w:tcW w:w="1327" w:type="dxa"/>
            <w:tcBorders>
              <w:top w:val="single" w:sz="4" w:space="0" w:color="000000"/>
              <w:left w:val="nil"/>
              <w:bottom w:val="nil"/>
              <w:right w:val="nil"/>
            </w:tcBorders>
            <w:hideMark/>
          </w:tcPr>
          <w:p w:rsidR="00C5351C" w:rsidRDefault="00C5351C" w:rsidP="000F34ED">
            <w:pPr>
              <w:pStyle w:val="TableParagraph"/>
              <w:ind w:left="157"/>
            </w:pPr>
            <w:r>
              <w:t>&gt;2.000 µg/l</w:t>
            </w:r>
          </w:p>
        </w:tc>
      </w:tr>
      <w:tr w:rsidR="00C5351C" w:rsidTr="00C5351C">
        <w:trPr>
          <w:trHeight w:hRule="exact" w:val="258"/>
        </w:trPr>
        <w:tc>
          <w:tcPr>
            <w:tcW w:w="9230" w:type="dxa"/>
            <w:vMerge/>
            <w:tcBorders>
              <w:top w:val="single" w:sz="4" w:space="0" w:color="000000"/>
              <w:left w:val="nil"/>
              <w:bottom w:val="nil"/>
              <w:right w:val="nil"/>
            </w:tcBorders>
            <w:vAlign w:val="center"/>
            <w:hideMark/>
          </w:tcPr>
          <w:p w:rsidR="00C5351C" w:rsidRDefault="00C5351C" w:rsidP="000F34ED">
            <w:pPr>
              <w:rPr>
                <w:sz w:val="22"/>
                <w:szCs w:val="22"/>
                <w:lang w:val="en-US"/>
              </w:rPr>
            </w:pPr>
          </w:p>
        </w:tc>
        <w:tc>
          <w:tcPr>
            <w:tcW w:w="1973" w:type="dxa"/>
            <w:tcBorders>
              <w:top w:val="nil"/>
              <w:left w:val="nil"/>
              <w:bottom w:val="nil"/>
              <w:right w:val="nil"/>
            </w:tcBorders>
            <w:hideMark/>
          </w:tcPr>
          <w:p w:rsidR="00C5351C" w:rsidRDefault="00C5351C" w:rsidP="000F34ED">
            <w:pPr>
              <w:pStyle w:val="TableParagraph"/>
              <w:ind w:left="142"/>
            </w:pPr>
            <w:r>
              <w:t>3,5 - 7 mg/kg/dag</w:t>
            </w:r>
          </w:p>
        </w:tc>
        <w:tc>
          <w:tcPr>
            <w:tcW w:w="1708" w:type="dxa"/>
            <w:tcBorders>
              <w:top w:val="nil"/>
              <w:left w:val="nil"/>
              <w:bottom w:val="nil"/>
              <w:right w:val="nil"/>
            </w:tcBorders>
            <w:hideMark/>
          </w:tcPr>
          <w:p w:rsidR="00C5351C" w:rsidRDefault="00C5351C" w:rsidP="000F34ED">
            <w:pPr>
              <w:pStyle w:val="TableParagraph"/>
              <w:ind w:left="133" w:right="134"/>
              <w:jc w:val="center"/>
            </w:pPr>
            <w:r>
              <w:t>5-10 mg/kg/dag</w:t>
            </w:r>
          </w:p>
        </w:tc>
        <w:tc>
          <w:tcPr>
            <w:tcW w:w="1939" w:type="dxa"/>
            <w:tcBorders>
              <w:top w:val="nil"/>
              <w:left w:val="nil"/>
              <w:bottom w:val="nil"/>
              <w:right w:val="nil"/>
            </w:tcBorders>
          </w:tcPr>
          <w:p w:rsidR="00C5351C" w:rsidRDefault="00C5351C" w:rsidP="000F34ED"/>
        </w:tc>
        <w:tc>
          <w:tcPr>
            <w:tcW w:w="744" w:type="dxa"/>
            <w:tcBorders>
              <w:top w:val="nil"/>
              <w:left w:val="nil"/>
              <w:bottom w:val="nil"/>
              <w:right w:val="nil"/>
            </w:tcBorders>
          </w:tcPr>
          <w:p w:rsidR="00C5351C" w:rsidRDefault="00C5351C" w:rsidP="000F34ED"/>
        </w:tc>
        <w:tc>
          <w:tcPr>
            <w:tcW w:w="1327" w:type="dxa"/>
            <w:tcBorders>
              <w:top w:val="nil"/>
              <w:left w:val="nil"/>
              <w:bottom w:val="nil"/>
              <w:right w:val="nil"/>
            </w:tcBorders>
          </w:tcPr>
          <w:p w:rsidR="00C5351C" w:rsidRDefault="00C5351C" w:rsidP="000F34ED"/>
        </w:tc>
      </w:tr>
      <w:tr w:rsidR="00C5351C" w:rsidTr="00C5351C">
        <w:trPr>
          <w:trHeight w:hRule="exact" w:val="512"/>
        </w:trPr>
        <w:tc>
          <w:tcPr>
            <w:tcW w:w="9230" w:type="dxa"/>
            <w:vMerge/>
            <w:tcBorders>
              <w:top w:val="single" w:sz="4" w:space="0" w:color="000000"/>
              <w:left w:val="nil"/>
              <w:bottom w:val="nil"/>
              <w:right w:val="nil"/>
            </w:tcBorders>
            <w:vAlign w:val="center"/>
            <w:hideMark/>
          </w:tcPr>
          <w:p w:rsidR="00C5351C" w:rsidRDefault="00C5351C" w:rsidP="000F34ED">
            <w:pPr>
              <w:rPr>
                <w:sz w:val="22"/>
                <w:szCs w:val="22"/>
                <w:lang w:val="en-US"/>
              </w:rPr>
            </w:pPr>
          </w:p>
        </w:tc>
        <w:tc>
          <w:tcPr>
            <w:tcW w:w="3681" w:type="dxa"/>
            <w:gridSpan w:val="2"/>
            <w:tcBorders>
              <w:top w:val="nil"/>
              <w:left w:val="nil"/>
              <w:bottom w:val="nil"/>
              <w:right w:val="nil"/>
            </w:tcBorders>
            <w:hideMark/>
          </w:tcPr>
          <w:p w:rsidR="00C5351C" w:rsidRDefault="00C5351C" w:rsidP="000F34ED">
            <w:pPr>
              <w:pStyle w:val="TableParagraph"/>
              <w:ind w:left="1365"/>
              <w:rPr>
                <w:b/>
              </w:rPr>
            </w:pPr>
            <w:r>
              <w:rPr>
                <w:b/>
              </w:rPr>
              <w:t>Nedsat dosis</w:t>
            </w:r>
          </w:p>
        </w:tc>
        <w:tc>
          <w:tcPr>
            <w:tcW w:w="1939" w:type="dxa"/>
            <w:tcBorders>
              <w:top w:val="nil"/>
              <w:left w:val="nil"/>
              <w:bottom w:val="nil"/>
              <w:right w:val="nil"/>
            </w:tcBorders>
            <w:hideMark/>
          </w:tcPr>
          <w:p w:rsidR="00C5351C" w:rsidRDefault="00C5351C" w:rsidP="000F34ED">
            <w:pPr>
              <w:pStyle w:val="TableParagraph"/>
              <w:ind w:left="288" w:right="614"/>
            </w:pPr>
            <w:r>
              <w:t>&lt;7 mg Fe/g tørvægt</w:t>
            </w:r>
          </w:p>
        </w:tc>
        <w:tc>
          <w:tcPr>
            <w:tcW w:w="744" w:type="dxa"/>
            <w:tcBorders>
              <w:top w:val="nil"/>
              <w:left w:val="nil"/>
              <w:bottom w:val="nil"/>
              <w:right w:val="nil"/>
            </w:tcBorders>
            <w:hideMark/>
          </w:tcPr>
          <w:p w:rsidR="00C5351C" w:rsidRDefault="00C5351C" w:rsidP="000F34ED">
            <w:pPr>
              <w:pStyle w:val="TableParagraph"/>
              <w:ind w:left="193"/>
            </w:pPr>
            <w:r>
              <w:t>eller</w:t>
            </w:r>
          </w:p>
        </w:tc>
        <w:tc>
          <w:tcPr>
            <w:tcW w:w="1327" w:type="dxa"/>
            <w:tcBorders>
              <w:top w:val="nil"/>
              <w:left w:val="nil"/>
              <w:bottom w:val="nil"/>
              <w:right w:val="nil"/>
            </w:tcBorders>
            <w:hideMark/>
          </w:tcPr>
          <w:p w:rsidR="00C5351C" w:rsidRDefault="00C5351C" w:rsidP="000F34ED">
            <w:pPr>
              <w:pStyle w:val="TableParagraph"/>
              <w:ind w:left="157"/>
            </w:pPr>
            <w:r>
              <w:rPr>
                <w:rFonts w:ascii="Arial" w:hAnsi="Arial"/>
              </w:rPr>
              <w:t>≤</w:t>
            </w:r>
            <w:r>
              <w:t>2.000 µg/l</w:t>
            </w:r>
          </w:p>
        </w:tc>
      </w:tr>
      <w:tr w:rsidR="00C5351C" w:rsidTr="00C5351C">
        <w:trPr>
          <w:trHeight w:hRule="exact" w:val="264"/>
        </w:trPr>
        <w:tc>
          <w:tcPr>
            <w:tcW w:w="1539" w:type="dxa"/>
            <w:tcBorders>
              <w:top w:val="nil"/>
              <w:left w:val="nil"/>
              <w:bottom w:val="single" w:sz="4" w:space="0" w:color="000000"/>
              <w:right w:val="nil"/>
            </w:tcBorders>
          </w:tcPr>
          <w:p w:rsidR="00C5351C" w:rsidRDefault="00C5351C" w:rsidP="000F34ED"/>
        </w:tc>
        <w:tc>
          <w:tcPr>
            <w:tcW w:w="1973" w:type="dxa"/>
            <w:tcBorders>
              <w:top w:val="nil"/>
              <w:left w:val="nil"/>
              <w:bottom w:val="single" w:sz="4" w:space="0" w:color="000000"/>
              <w:right w:val="nil"/>
            </w:tcBorders>
            <w:hideMark/>
          </w:tcPr>
          <w:p w:rsidR="00C5351C" w:rsidRDefault="00C5351C" w:rsidP="000F34ED">
            <w:pPr>
              <w:pStyle w:val="TableParagraph"/>
              <w:ind w:left="142"/>
            </w:pPr>
            <w:r>
              <w:t>3,5 - 7 mg/kg/dag</w:t>
            </w:r>
          </w:p>
        </w:tc>
        <w:tc>
          <w:tcPr>
            <w:tcW w:w="1708" w:type="dxa"/>
            <w:tcBorders>
              <w:top w:val="nil"/>
              <w:left w:val="nil"/>
              <w:bottom w:val="single" w:sz="4" w:space="0" w:color="000000"/>
              <w:right w:val="nil"/>
            </w:tcBorders>
            <w:hideMark/>
          </w:tcPr>
          <w:p w:rsidR="00C5351C" w:rsidRDefault="00C5351C" w:rsidP="000F34ED">
            <w:pPr>
              <w:pStyle w:val="TableParagraph"/>
              <w:ind w:left="133" w:right="134"/>
              <w:jc w:val="center"/>
            </w:pPr>
            <w:r>
              <w:t>5-10 mg/kg/dag</w:t>
            </w:r>
          </w:p>
        </w:tc>
        <w:tc>
          <w:tcPr>
            <w:tcW w:w="1939" w:type="dxa"/>
            <w:tcBorders>
              <w:top w:val="nil"/>
              <w:left w:val="nil"/>
              <w:bottom w:val="single" w:sz="4" w:space="0" w:color="000000"/>
              <w:right w:val="nil"/>
            </w:tcBorders>
          </w:tcPr>
          <w:p w:rsidR="00C5351C" w:rsidRDefault="00C5351C" w:rsidP="000F34ED"/>
        </w:tc>
        <w:tc>
          <w:tcPr>
            <w:tcW w:w="744" w:type="dxa"/>
            <w:tcBorders>
              <w:top w:val="nil"/>
              <w:left w:val="nil"/>
              <w:bottom w:val="single" w:sz="4" w:space="0" w:color="000000"/>
              <w:right w:val="nil"/>
            </w:tcBorders>
          </w:tcPr>
          <w:p w:rsidR="00C5351C" w:rsidRDefault="00C5351C" w:rsidP="000F34ED"/>
        </w:tc>
        <w:tc>
          <w:tcPr>
            <w:tcW w:w="1327" w:type="dxa"/>
            <w:tcBorders>
              <w:top w:val="nil"/>
              <w:left w:val="nil"/>
              <w:bottom w:val="single" w:sz="4" w:space="0" w:color="000000"/>
              <w:right w:val="nil"/>
            </w:tcBorders>
          </w:tcPr>
          <w:p w:rsidR="00C5351C" w:rsidRDefault="00C5351C" w:rsidP="000F34ED"/>
        </w:tc>
      </w:tr>
      <w:tr w:rsidR="00C5351C" w:rsidTr="00C5351C">
        <w:trPr>
          <w:trHeight w:hRule="exact" w:val="520"/>
        </w:trPr>
        <w:tc>
          <w:tcPr>
            <w:tcW w:w="1539" w:type="dxa"/>
            <w:tcBorders>
              <w:top w:val="single" w:sz="4" w:space="0" w:color="000000"/>
              <w:left w:val="nil"/>
              <w:bottom w:val="nil"/>
              <w:right w:val="nil"/>
            </w:tcBorders>
            <w:hideMark/>
          </w:tcPr>
          <w:p w:rsidR="00C5351C" w:rsidRDefault="00C5351C" w:rsidP="000F34ED">
            <w:pPr>
              <w:pStyle w:val="TableParagraph"/>
              <w:ind w:left="122" w:right="456"/>
              <w:rPr>
                <w:b/>
              </w:rPr>
            </w:pPr>
            <w:r>
              <w:rPr>
                <w:b/>
              </w:rPr>
              <w:t>Maksimal dosis</w:t>
            </w:r>
          </w:p>
        </w:tc>
        <w:tc>
          <w:tcPr>
            <w:tcW w:w="1973" w:type="dxa"/>
            <w:tcBorders>
              <w:top w:val="single" w:sz="4" w:space="0" w:color="000000"/>
              <w:left w:val="nil"/>
              <w:bottom w:val="nil"/>
              <w:right w:val="nil"/>
            </w:tcBorders>
            <w:hideMark/>
          </w:tcPr>
          <w:p w:rsidR="00C5351C" w:rsidRDefault="00C5351C" w:rsidP="000F34ED">
            <w:pPr>
              <w:pStyle w:val="TableParagraph"/>
              <w:ind w:left="142"/>
              <w:rPr>
                <w:b/>
              </w:rPr>
            </w:pPr>
            <w:r>
              <w:rPr>
                <w:b/>
              </w:rPr>
              <w:t>14 mg/kg/dag</w:t>
            </w:r>
          </w:p>
          <w:p w:rsidR="00C5351C" w:rsidRDefault="00C5351C" w:rsidP="000F34ED">
            <w:pPr>
              <w:pStyle w:val="TableParagraph"/>
              <w:tabs>
                <w:tab w:val="left" w:pos="7740"/>
              </w:tabs>
              <w:ind w:left="34" w:right="-5768"/>
              <w:rPr>
                <w:b/>
              </w:rPr>
            </w:pPr>
            <w:r>
              <w:rPr>
                <w:b/>
                <w:u w:val="dotted"/>
              </w:rPr>
              <w:t xml:space="preserve"> </w:t>
            </w:r>
            <w:r>
              <w:rPr>
                <w:b/>
                <w:u w:val="dotted"/>
              </w:rPr>
              <w:tab/>
            </w:r>
          </w:p>
        </w:tc>
        <w:tc>
          <w:tcPr>
            <w:tcW w:w="1708" w:type="dxa"/>
            <w:tcBorders>
              <w:top w:val="single" w:sz="4" w:space="0" w:color="000000"/>
              <w:left w:val="nil"/>
              <w:bottom w:val="nil"/>
              <w:right w:val="nil"/>
            </w:tcBorders>
            <w:hideMark/>
          </w:tcPr>
          <w:p w:rsidR="00C5351C" w:rsidRDefault="00C5351C" w:rsidP="000F34ED">
            <w:pPr>
              <w:pStyle w:val="TableParagraph"/>
              <w:ind w:left="1" w:right="134"/>
              <w:jc w:val="center"/>
              <w:rPr>
                <w:b/>
              </w:rPr>
            </w:pPr>
            <w:r>
              <w:rPr>
                <w:b/>
              </w:rPr>
              <w:t>20 mg/kg/dag</w:t>
            </w:r>
          </w:p>
        </w:tc>
        <w:tc>
          <w:tcPr>
            <w:tcW w:w="1939" w:type="dxa"/>
            <w:tcBorders>
              <w:top w:val="single" w:sz="4" w:space="0" w:color="000000"/>
              <w:left w:val="nil"/>
              <w:bottom w:val="nil"/>
              <w:right w:val="nil"/>
            </w:tcBorders>
          </w:tcPr>
          <w:p w:rsidR="00C5351C" w:rsidRDefault="00C5351C" w:rsidP="000F34ED"/>
        </w:tc>
        <w:tc>
          <w:tcPr>
            <w:tcW w:w="744" w:type="dxa"/>
            <w:tcBorders>
              <w:top w:val="single" w:sz="4" w:space="0" w:color="000000"/>
              <w:left w:val="nil"/>
              <w:bottom w:val="nil"/>
              <w:right w:val="nil"/>
            </w:tcBorders>
          </w:tcPr>
          <w:p w:rsidR="00C5351C" w:rsidRDefault="00C5351C" w:rsidP="000F34ED"/>
        </w:tc>
        <w:tc>
          <w:tcPr>
            <w:tcW w:w="1327" w:type="dxa"/>
            <w:tcBorders>
              <w:top w:val="single" w:sz="4" w:space="0" w:color="000000"/>
              <w:left w:val="nil"/>
              <w:bottom w:val="nil"/>
              <w:right w:val="nil"/>
            </w:tcBorders>
          </w:tcPr>
          <w:p w:rsidR="00C5351C" w:rsidRDefault="00C5351C" w:rsidP="000F34ED"/>
        </w:tc>
      </w:tr>
      <w:tr w:rsidR="00C5351C" w:rsidTr="00C5351C">
        <w:trPr>
          <w:trHeight w:hRule="exact" w:val="297"/>
        </w:trPr>
        <w:tc>
          <w:tcPr>
            <w:tcW w:w="1539" w:type="dxa"/>
            <w:tcBorders>
              <w:top w:val="nil"/>
              <w:left w:val="nil"/>
              <w:bottom w:val="nil"/>
              <w:right w:val="nil"/>
            </w:tcBorders>
          </w:tcPr>
          <w:p w:rsidR="00C5351C" w:rsidRDefault="00C5351C" w:rsidP="000F34ED"/>
        </w:tc>
        <w:tc>
          <w:tcPr>
            <w:tcW w:w="1973" w:type="dxa"/>
            <w:tcBorders>
              <w:top w:val="nil"/>
              <w:left w:val="nil"/>
              <w:bottom w:val="nil"/>
              <w:right w:val="nil"/>
            </w:tcBorders>
            <w:hideMark/>
          </w:tcPr>
          <w:p w:rsidR="00C5351C" w:rsidRDefault="00C5351C" w:rsidP="000F34ED">
            <w:pPr>
              <w:pStyle w:val="TableParagraph"/>
              <w:ind w:left="142"/>
              <w:rPr>
                <w:b/>
              </w:rPr>
            </w:pPr>
            <w:r>
              <w:rPr>
                <w:b/>
              </w:rPr>
              <w:t>7 mg/kg/dag</w:t>
            </w:r>
          </w:p>
        </w:tc>
        <w:tc>
          <w:tcPr>
            <w:tcW w:w="1708" w:type="dxa"/>
            <w:tcBorders>
              <w:top w:val="nil"/>
              <w:left w:val="nil"/>
              <w:bottom w:val="nil"/>
              <w:right w:val="nil"/>
            </w:tcBorders>
            <w:hideMark/>
          </w:tcPr>
          <w:p w:rsidR="00C5351C" w:rsidRDefault="00C5351C" w:rsidP="000F34ED">
            <w:pPr>
              <w:pStyle w:val="TableParagraph"/>
              <w:ind w:left="1" w:right="134"/>
              <w:jc w:val="center"/>
              <w:rPr>
                <w:b/>
              </w:rPr>
            </w:pPr>
            <w:r>
              <w:rPr>
                <w:b/>
              </w:rPr>
              <w:t>10 mg/kg/dag</w:t>
            </w:r>
          </w:p>
        </w:tc>
        <w:tc>
          <w:tcPr>
            <w:tcW w:w="1939" w:type="dxa"/>
            <w:tcBorders>
              <w:top w:val="nil"/>
              <w:left w:val="nil"/>
              <w:bottom w:val="nil"/>
              <w:right w:val="nil"/>
            </w:tcBorders>
          </w:tcPr>
          <w:p w:rsidR="00C5351C" w:rsidRDefault="00C5351C" w:rsidP="000F34ED"/>
        </w:tc>
        <w:tc>
          <w:tcPr>
            <w:tcW w:w="744" w:type="dxa"/>
            <w:tcBorders>
              <w:top w:val="nil"/>
              <w:left w:val="nil"/>
              <w:bottom w:val="nil"/>
              <w:right w:val="nil"/>
            </w:tcBorders>
          </w:tcPr>
          <w:p w:rsidR="00C5351C" w:rsidRDefault="00C5351C" w:rsidP="000F34ED"/>
        </w:tc>
        <w:tc>
          <w:tcPr>
            <w:tcW w:w="1327" w:type="dxa"/>
            <w:tcBorders>
              <w:top w:val="nil"/>
              <w:left w:val="nil"/>
              <w:bottom w:val="nil"/>
              <w:right w:val="nil"/>
            </w:tcBorders>
          </w:tcPr>
          <w:p w:rsidR="00C5351C" w:rsidRDefault="00C5351C" w:rsidP="000F34ED"/>
        </w:tc>
      </w:tr>
      <w:tr w:rsidR="00C5351C" w:rsidTr="00C5351C">
        <w:trPr>
          <w:trHeight w:hRule="exact" w:val="296"/>
        </w:trPr>
        <w:tc>
          <w:tcPr>
            <w:tcW w:w="1539" w:type="dxa"/>
            <w:tcBorders>
              <w:top w:val="nil"/>
              <w:left w:val="nil"/>
              <w:bottom w:val="nil"/>
              <w:right w:val="nil"/>
            </w:tcBorders>
          </w:tcPr>
          <w:p w:rsidR="00C5351C" w:rsidRDefault="00C5351C" w:rsidP="000F34ED"/>
        </w:tc>
        <w:tc>
          <w:tcPr>
            <w:tcW w:w="3681" w:type="dxa"/>
            <w:gridSpan w:val="2"/>
            <w:tcBorders>
              <w:top w:val="nil"/>
              <w:left w:val="nil"/>
              <w:bottom w:val="nil"/>
              <w:right w:val="nil"/>
            </w:tcBorders>
            <w:hideMark/>
          </w:tcPr>
          <w:p w:rsidR="00C5351C" w:rsidRDefault="00C5351C" w:rsidP="000F34ED">
            <w:pPr>
              <w:pStyle w:val="TableParagraph"/>
              <w:ind w:left="1439" w:right="1225"/>
              <w:jc w:val="center"/>
            </w:pPr>
            <w:r>
              <w:t>Til voksne</w:t>
            </w:r>
          </w:p>
        </w:tc>
        <w:tc>
          <w:tcPr>
            <w:tcW w:w="1939" w:type="dxa"/>
            <w:tcBorders>
              <w:top w:val="nil"/>
              <w:left w:val="nil"/>
              <w:bottom w:val="nil"/>
              <w:right w:val="nil"/>
            </w:tcBorders>
            <w:hideMark/>
          </w:tcPr>
          <w:p w:rsidR="00C5351C" w:rsidRDefault="00C5351C" w:rsidP="000F34ED">
            <w:pPr>
              <w:pStyle w:val="TableParagraph"/>
              <w:ind w:left="288"/>
            </w:pPr>
            <w:r>
              <w:t>Ikke vurderet</w:t>
            </w:r>
          </w:p>
        </w:tc>
        <w:tc>
          <w:tcPr>
            <w:tcW w:w="744" w:type="dxa"/>
            <w:tcBorders>
              <w:top w:val="nil"/>
              <w:left w:val="nil"/>
              <w:bottom w:val="nil"/>
              <w:right w:val="nil"/>
            </w:tcBorders>
            <w:hideMark/>
          </w:tcPr>
          <w:p w:rsidR="00C5351C" w:rsidRDefault="00C5351C" w:rsidP="000F34ED">
            <w:pPr>
              <w:pStyle w:val="TableParagraph"/>
              <w:ind w:left="193"/>
            </w:pPr>
            <w:r>
              <w:t>og</w:t>
            </w:r>
          </w:p>
        </w:tc>
        <w:tc>
          <w:tcPr>
            <w:tcW w:w="1327" w:type="dxa"/>
            <w:tcBorders>
              <w:top w:val="nil"/>
              <w:left w:val="nil"/>
              <w:bottom w:val="nil"/>
              <w:right w:val="nil"/>
            </w:tcBorders>
            <w:hideMark/>
          </w:tcPr>
          <w:p w:rsidR="00C5351C" w:rsidRDefault="00C5351C" w:rsidP="000F34ED">
            <w:pPr>
              <w:pStyle w:val="TableParagraph"/>
              <w:ind w:left="157"/>
            </w:pPr>
            <w:r>
              <w:rPr>
                <w:rFonts w:ascii="Arial" w:hAnsi="Arial"/>
              </w:rPr>
              <w:t>≤</w:t>
            </w:r>
            <w:r>
              <w:t>2.000 µg/l</w:t>
            </w:r>
          </w:p>
        </w:tc>
      </w:tr>
      <w:tr w:rsidR="00C5351C" w:rsidTr="00C5351C">
        <w:trPr>
          <w:trHeight w:val="258"/>
        </w:trPr>
        <w:tc>
          <w:tcPr>
            <w:tcW w:w="9230" w:type="dxa"/>
            <w:gridSpan w:val="6"/>
            <w:tcBorders>
              <w:top w:val="nil"/>
              <w:left w:val="nil"/>
              <w:bottom w:val="single" w:sz="4" w:space="0" w:color="000000"/>
              <w:right w:val="nil"/>
            </w:tcBorders>
            <w:hideMark/>
          </w:tcPr>
          <w:p w:rsidR="00C5351C" w:rsidRDefault="00C5351C" w:rsidP="000F34ED">
            <w:pPr>
              <w:pStyle w:val="TableParagraph"/>
              <w:ind w:left="2412"/>
            </w:pPr>
            <w:r>
              <w:t>Til pædiatriske patienter</w:t>
            </w:r>
          </w:p>
        </w:tc>
      </w:tr>
      <w:tr w:rsidR="00C5351C" w:rsidTr="00C5351C">
        <w:trPr>
          <w:trHeight w:hRule="exact" w:val="516"/>
        </w:trPr>
        <w:tc>
          <w:tcPr>
            <w:tcW w:w="1539" w:type="dxa"/>
            <w:tcBorders>
              <w:top w:val="single" w:sz="4" w:space="0" w:color="000000"/>
              <w:left w:val="nil"/>
              <w:bottom w:val="single" w:sz="4" w:space="0" w:color="000000"/>
              <w:right w:val="nil"/>
            </w:tcBorders>
            <w:hideMark/>
          </w:tcPr>
          <w:p w:rsidR="00C5351C" w:rsidRDefault="00C5351C" w:rsidP="000F34ED">
            <w:pPr>
              <w:pStyle w:val="TableParagraph"/>
              <w:ind w:left="122"/>
              <w:rPr>
                <w:b/>
              </w:rPr>
            </w:pPr>
            <w:r>
              <w:rPr>
                <w:b/>
              </w:rPr>
              <w:t>Afbrydelse</w:t>
            </w:r>
          </w:p>
        </w:tc>
        <w:tc>
          <w:tcPr>
            <w:tcW w:w="1973" w:type="dxa"/>
            <w:tcBorders>
              <w:top w:val="single" w:sz="4" w:space="0" w:color="000000"/>
              <w:left w:val="nil"/>
              <w:bottom w:val="single" w:sz="4" w:space="0" w:color="000000"/>
              <w:right w:val="nil"/>
            </w:tcBorders>
          </w:tcPr>
          <w:p w:rsidR="00C5351C" w:rsidRDefault="00C5351C" w:rsidP="000F34ED"/>
        </w:tc>
        <w:tc>
          <w:tcPr>
            <w:tcW w:w="1708" w:type="dxa"/>
            <w:tcBorders>
              <w:top w:val="single" w:sz="4" w:space="0" w:color="000000"/>
              <w:left w:val="nil"/>
              <w:bottom w:val="single" w:sz="4" w:space="0" w:color="000000"/>
              <w:right w:val="nil"/>
            </w:tcBorders>
          </w:tcPr>
          <w:p w:rsidR="00C5351C" w:rsidRDefault="00C5351C" w:rsidP="000F34ED"/>
        </w:tc>
        <w:tc>
          <w:tcPr>
            <w:tcW w:w="1939" w:type="dxa"/>
            <w:tcBorders>
              <w:top w:val="single" w:sz="4" w:space="0" w:color="000000"/>
              <w:left w:val="nil"/>
              <w:bottom w:val="single" w:sz="4" w:space="0" w:color="000000"/>
              <w:right w:val="nil"/>
            </w:tcBorders>
            <w:hideMark/>
          </w:tcPr>
          <w:p w:rsidR="00C5351C" w:rsidRDefault="00C5351C" w:rsidP="000F34ED">
            <w:pPr>
              <w:pStyle w:val="TableParagraph"/>
              <w:ind w:left="288" w:right="588"/>
              <w:rPr>
                <w:b/>
              </w:rPr>
            </w:pPr>
            <w:r>
              <w:rPr>
                <w:b/>
              </w:rPr>
              <w:t>&lt;3 mg Fe/g tørvægt</w:t>
            </w:r>
          </w:p>
        </w:tc>
        <w:tc>
          <w:tcPr>
            <w:tcW w:w="744" w:type="dxa"/>
            <w:tcBorders>
              <w:top w:val="single" w:sz="4" w:space="0" w:color="000000"/>
              <w:left w:val="nil"/>
              <w:bottom w:val="single" w:sz="4" w:space="0" w:color="000000"/>
              <w:right w:val="nil"/>
            </w:tcBorders>
            <w:hideMark/>
          </w:tcPr>
          <w:p w:rsidR="00C5351C" w:rsidRDefault="00C5351C" w:rsidP="000F34ED">
            <w:pPr>
              <w:pStyle w:val="TableParagraph"/>
              <w:ind w:left="193"/>
            </w:pPr>
            <w:r>
              <w:t>eller</w:t>
            </w:r>
          </w:p>
        </w:tc>
        <w:tc>
          <w:tcPr>
            <w:tcW w:w="1327" w:type="dxa"/>
            <w:tcBorders>
              <w:top w:val="single" w:sz="4" w:space="0" w:color="000000"/>
              <w:left w:val="nil"/>
              <w:bottom w:val="single" w:sz="4" w:space="0" w:color="000000"/>
              <w:right w:val="nil"/>
            </w:tcBorders>
            <w:hideMark/>
          </w:tcPr>
          <w:p w:rsidR="00C5351C" w:rsidRDefault="00C5351C" w:rsidP="000F34ED">
            <w:pPr>
              <w:pStyle w:val="TableParagraph"/>
              <w:ind w:left="157"/>
              <w:rPr>
                <w:b/>
              </w:rPr>
            </w:pPr>
            <w:r>
              <w:rPr>
                <w:b/>
              </w:rPr>
              <w:t>&lt;300 µg/l</w:t>
            </w:r>
          </w:p>
        </w:tc>
      </w:tr>
      <w:tr w:rsidR="00C5351C" w:rsidTr="00C5351C">
        <w:trPr>
          <w:trHeight w:hRule="exact" w:val="518"/>
        </w:trPr>
        <w:tc>
          <w:tcPr>
            <w:tcW w:w="1539" w:type="dxa"/>
            <w:tcBorders>
              <w:top w:val="single" w:sz="4" w:space="0" w:color="000000"/>
              <w:left w:val="nil"/>
              <w:bottom w:val="single" w:sz="4" w:space="0" w:color="000000"/>
              <w:right w:val="nil"/>
            </w:tcBorders>
            <w:hideMark/>
          </w:tcPr>
          <w:p w:rsidR="00C5351C" w:rsidRDefault="00C5351C" w:rsidP="000F34ED">
            <w:pPr>
              <w:pStyle w:val="TableParagraph"/>
              <w:ind w:left="122" w:right="236"/>
              <w:rPr>
                <w:b/>
              </w:rPr>
            </w:pPr>
            <w:r>
              <w:rPr>
                <w:b/>
              </w:rPr>
              <w:t>Genbehand- ling</w:t>
            </w:r>
          </w:p>
        </w:tc>
        <w:tc>
          <w:tcPr>
            <w:tcW w:w="1973" w:type="dxa"/>
            <w:tcBorders>
              <w:top w:val="single" w:sz="4" w:space="0" w:color="000000"/>
              <w:left w:val="nil"/>
              <w:bottom w:val="single" w:sz="4" w:space="0" w:color="000000"/>
              <w:right w:val="nil"/>
            </w:tcBorders>
          </w:tcPr>
          <w:p w:rsidR="00C5351C" w:rsidRDefault="00C5351C" w:rsidP="000F34ED"/>
        </w:tc>
        <w:tc>
          <w:tcPr>
            <w:tcW w:w="1708" w:type="dxa"/>
            <w:tcBorders>
              <w:top w:val="single" w:sz="4" w:space="0" w:color="000000"/>
              <w:left w:val="nil"/>
              <w:bottom w:val="single" w:sz="4" w:space="0" w:color="000000"/>
              <w:right w:val="nil"/>
            </w:tcBorders>
          </w:tcPr>
          <w:p w:rsidR="00C5351C" w:rsidRDefault="00C5351C" w:rsidP="000F34ED"/>
        </w:tc>
        <w:tc>
          <w:tcPr>
            <w:tcW w:w="4010" w:type="dxa"/>
            <w:gridSpan w:val="3"/>
            <w:tcBorders>
              <w:top w:val="single" w:sz="4" w:space="0" w:color="000000"/>
              <w:left w:val="nil"/>
              <w:bottom w:val="single" w:sz="4" w:space="0" w:color="000000"/>
              <w:right w:val="nil"/>
            </w:tcBorders>
            <w:hideMark/>
          </w:tcPr>
          <w:p w:rsidR="00C5351C" w:rsidRDefault="00C5351C" w:rsidP="000F34ED">
            <w:pPr>
              <w:pStyle w:val="TableParagraph"/>
              <w:ind w:left="1400"/>
              <w:rPr>
                <w:b/>
              </w:rPr>
            </w:pPr>
            <w:r>
              <w:rPr>
                <w:b/>
              </w:rPr>
              <w:t>Anbefales ikke</w:t>
            </w:r>
          </w:p>
        </w:tc>
      </w:tr>
    </w:tbl>
    <w:p w:rsidR="00C5351C" w:rsidRDefault="00C5351C" w:rsidP="000F34ED">
      <w:pPr>
        <w:pStyle w:val="Brdtekst"/>
        <w:ind w:left="118"/>
        <w:rPr>
          <w:lang w:val="da-DK"/>
        </w:rPr>
      </w:pPr>
      <w:r>
        <w:rPr>
          <w:lang w:val="da-DK"/>
        </w:rPr>
        <w:t>*LIC er den foretrukne metode til bestemmelse af jernophobning.</w:t>
      </w:r>
    </w:p>
    <w:p w:rsidR="00C5351C" w:rsidRPr="00C5351C" w:rsidRDefault="00C5351C" w:rsidP="000F34ED">
      <w:pPr>
        <w:pStyle w:val="Brdtekst"/>
        <w:ind w:left="851"/>
        <w:rPr>
          <w:sz w:val="24"/>
          <w:szCs w:val="24"/>
          <w:lang w:val="da-DK"/>
        </w:rPr>
      </w:pPr>
    </w:p>
    <w:p w:rsidR="00C5351C" w:rsidRPr="00C5351C" w:rsidRDefault="00C5351C" w:rsidP="000F34ED">
      <w:pPr>
        <w:ind w:left="851"/>
        <w:rPr>
          <w:i/>
          <w:sz w:val="24"/>
          <w:szCs w:val="24"/>
        </w:rPr>
      </w:pPr>
      <w:r w:rsidRPr="00C5351C">
        <w:rPr>
          <w:i/>
          <w:sz w:val="24"/>
          <w:szCs w:val="24"/>
        </w:rPr>
        <w:t>Startdosis</w:t>
      </w:r>
    </w:p>
    <w:p w:rsidR="00C5351C" w:rsidRPr="00C5351C" w:rsidRDefault="00C5351C" w:rsidP="000F34ED">
      <w:pPr>
        <w:pStyle w:val="Brdtekst"/>
        <w:ind w:left="851"/>
        <w:rPr>
          <w:sz w:val="24"/>
          <w:szCs w:val="24"/>
          <w:lang w:val="da-DK"/>
        </w:rPr>
      </w:pPr>
      <w:r w:rsidRPr="00C5351C">
        <w:rPr>
          <w:sz w:val="24"/>
          <w:szCs w:val="24"/>
          <w:lang w:val="da-DK"/>
        </w:rPr>
        <w:t>Den anbefalede daglige initialdosis af Deferasirox "Sandoz" filmovertrukne tabletter hos patienter med ikke- transfusionsafhængige talassæmi-syndromer er 7 mg/kg kropsvægt.</w:t>
      </w:r>
    </w:p>
    <w:p w:rsidR="00C5351C" w:rsidRPr="00C5351C" w:rsidRDefault="00C5351C" w:rsidP="000F34ED">
      <w:pPr>
        <w:pStyle w:val="Brdtekst"/>
        <w:ind w:left="851"/>
        <w:rPr>
          <w:sz w:val="24"/>
          <w:szCs w:val="24"/>
          <w:lang w:val="da-DK"/>
        </w:rPr>
      </w:pPr>
    </w:p>
    <w:p w:rsidR="00C5351C" w:rsidRPr="00C5351C" w:rsidRDefault="00C5351C" w:rsidP="000F34ED">
      <w:pPr>
        <w:ind w:left="851"/>
        <w:rPr>
          <w:i/>
          <w:sz w:val="24"/>
          <w:szCs w:val="24"/>
        </w:rPr>
      </w:pPr>
      <w:r w:rsidRPr="00C5351C">
        <w:rPr>
          <w:i/>
          <w:sz w:val="24"/>
          <w:szCs w:val="24"/>
        </w:rPr>
        <w:t>Dosisjustering</w:t>
      </w:r>
    </w:p>
    <w:p w:rsidR="00C5351C" w:rsidRPr="00C5351C" w:rsidRDefault="00C5351C" w:rsidP="000F34ED">
      <w:pPr>
        <w:pStyle w:val="Brdtekst"/>
        <w:ind w:left="851"/>
        <w:rPr>
          <w:sz w:val="24"/>
          <w:szCs w:val="24"/>
          <w:lang w:val="da-DK"/>
        </w:rPr>
      </w:pPr>
      <w:r w:rsidRPr="00C5351C">
        <w:rPr>
          <w:sz w:val="24"/>
          <w:szCs w:val="24"/>
          <w:lang w:val="da-DK"/>
        </w:rPr>
        <w:t>Det anbefales, at serumferritin monitoreres hver måned for at kunne vurdere patientens respons på behandlingen, og for at minimere risikoen for overkelering (se pkt. 4.4). Hver 3 til 6 måned bør det overvejes at øge dosis med 3,5-7 mg/kg, hvis patientens LIC er ≥ 7 mg Fe/g tørvægt, eller hvis serumferritin konsekvent er &gt; 2.000 µg/l og ikke viser en nedadgående tendens, og hvis lægemidlet er veltolereret. Doser over 14 mg/kg anbefales ikke, da der ikke er nogen erfaring med doser over dette niveau hos patienter med ikke-transfusionsafhængige talassæmi-syndromer.</w:t>
      </w:r>
    </w:p>
    <w:p w:rsidR="00C5351C" w:rsidRPr="00C5351C" w:rsidRDefault="00C5351C" w:rsidP="000F34ED">
      <w:pPr>
        <w:pStyle w:val="Brdtekst"/>
        <w:ind w:left="851"/>
        <w:rPr>
          <w:sz w:val="24"/>
          <w:szCs w:val="24"/>
          <w:lang w:val="da-DK"/>
        </w:rPr>
      </w:pPr>
    </w:p>
    <w:p w:rsidR="00C5351C" w:rsidRPr="00C5351C" w:rsidRDefault="00C5351C" w:rsidP="000F34ED">
      <w:pPr>
        <w:pStyle w:val="Brdtekst"/>
        <w:ind w:left="851"/>
        <w:rPr>
          <w:sz w:val="24"/>
          <w:szCs w:val="24"/>
          <w:lang w:val="da-DK"/>
        </w:rPr>
      </w:pPr>
      <w:r w:rsidRPr="00C5351C">
        <w:rPr>
          <w:sz w:val="24"/>
          <w:szCs w:val="24"/>
          <w:lang w:val="da-DK"/>
        </w:rPr>
        <w:t>Dosis må ikke overstige 7 mg/kg hos patienter, hvor LIC ikke blev bestemt, og serumferritin er</w:t>
      </w:r>
      <w:r w:rsidR="00681074">
        <w:rPr>
          <w:sz w:val="24"/>
          <w:szCs w:val="24"/>
          <w:lang w:val="da-DK"/>
        </w:rPr>
        <w:t xml:space="preserve"> </w:t>
      </w:r>
      <w:r w:rsidRPr="00C5351C">
        <w:rPr>
          <w:sz w:val="24"/>
          <w:szCs w:val="24"/>
          <w:lang w:val="da-DK"/>
        </w:rPr>
        <w:t>≤ 2000 µg/l.</w:t>
      </w:r>
    </w:p>
    <w:p w:rsidR="00C5351C" w:rsidRPr="00C5351C" w:rsidRDefault="00C5351C" w:rsidP="000F34ED">
      <w:pPr>
        <w:pStyle w:val="Brdtekst"/>
        <w:ind w:left="851"/>
        <w:rPr>
          <w:sz w:val="24"/>
          <w:szCs w:val="24"/>
          <w:lang w:val="da-DK"/>
        </w:rPr>
      </w:pPr>
    </w:p>
    <w:p w:rsidR="00C5351C" w:rsidRPr="00C5351C" w:rsidRDefault="00C5351C" w:rsidP="000F34ED">
      <w:pPr>
        <w:pStyle w:val="Brdtekst"/>
        <w:ind w:left="851"/>
        <w:rPr>
          <w:sz w:val="24"/>
          <w:szCs w:val="24"/>
          <w:lang w:val="da-DK"/>
        </w:rPr>
      </w:pPr>
      <w:r w:rsidRPr="00C5351C">
        <w:rPr>
          <w:sz w:val="24"/>
          <w:szCs w:val="24"/>
          <w:lang w:val="da-DK"/>
        </w:rPr>
        <w:t>Hos patienter, hvor dosis er øget til &gt; 7 mg/kg, anbefales det at reducere dosis til 7 mg/kg eller derunder, når LIC er &lt; 7 mg Fe/g tørvægt eller serumferritin er ≤ 2000 µg/l.</w:t>
      </w:r>
    </w:p>
    <w:p w:rsidR="00C5351C" w:rsidRPr="00C5351C" w:rsidRDefault="00C5351C" w:rsidP="000F34ED">
      <w:pPr>
        <w:pStyle w:val="Brdtekst"/>
        <w:ind w:left="851"/>
        <w:rPr>
          <w:sz w:val="24"/>
          <w:szCs w:val="24"/>
          <w:lang w:val="da-DK"/>
        </w:rPr>
      </w:pPr>
    </w:p>
    <w:p w:rsidR="00C5351C" w:rsidRPr="00C5351C" w:rsidRDefault="00C5351C" w:rsidP="000F34ED">
      <w:pPr>
        <w:ind w:left="851"/>
        <w:rPr>
          <w:i/>
          <w:sz w:val="24"/>
          <w:szCs w:val="24"/>
        </w:rPr>
      </w:pPr>
      <w:r w:rsidRPr="00C5351C">
        <w:rPr>
          <w:i/>
          <w:sz w:val="24"/>
          <w:szCs w:val="24"/>
        </w:rPr>
        <w:t>Behandlingsophør</w:t>
      </w:r>
    </w:p>
    <w:p w:rsidR="00C5351C" w:rsidRPr="00C5351C" w:rsidRDefault="00C5351C" w:rsidP="000F34ED">
      <w:pPr>
        <w:pStyle w:val="Brdtekst"/>
        <w:ind w:left="851"/>
        <w:rPr>
          <w:sz w:val="24"/>
          <w:szCs w:val="24"/>
          <w:lang w:val="da-DK"/>
        </w:rPr>
      </w:pPr>
      <w:r w:rsidRPr="00C5351C">
        <w:rPr>
          <w:sz w:val="24"/>
          <w:szCs w:val="24"/>
          <w:lang w:val="da-DK"/>
        </w:rPr>
        <w:t>Behandlingen skal ophøre, når der er opnået et tilfredsstillende jernniveau i kroppen (LIC &lt; 3 mg Fe/g tørvægt eller serumferritin &lt; 300 µg/l). Der er ingen tilgængelige data for genoptagelse af behandlingen hos patienter, der genophober jern efter at have opnået et tilfredsstillende jernniveau i kroppen, og derfor kan det ikke anbefales at genoptage behandlingen.</w:t>
      </w:r>
    </w:p>
    <w:p w:rsidR="00C5351C" w:rsidRPr="00C5351C" w:rsidRDefault="00C5351C" w:rsidP="000F34ED">
      <w:pPr>
        <w:pStyle w:val="Brdtekst"/>
        <w:ind w:left="851"/>
        <w:rPr>
          <w:sz w:val="24"/>
          <w:szCs w:val="24"/>
          <w:lang w:val="da-DK"/>
        </w:rPr>
      </w:pPr>
    </w:p>
    <w:p w:rsidR="00C5351C" w:rsidRPr="00681074" w:rsidRDefault="00C5351C" w:rsidP="000F34ED">
      <w:pPr>
        <w:ind w:left="851"/>
        <w:rPr>
          <w:sz w:val="24"/>
          <w:szCs w:val="24"/>
        </w:rPr>
      </w:pPr>
      <w:r w:rsidRPr="00681074">
        <w:rPr>
          <w:sz w:val="24"/>
          <w:szCs w:val="24"/>
          <w:u w:val="single"/>
        </w:rPr>
        <w:t>Specielle populationer</w:t>
      </w:r>
    </w:p>
    <w:p w:rsidR="00C5351C" w:rsidRPr="00C5351C" w:rsidRDefault="00C5351C" w:rsidP="000F34ED">
      <w:pPr>
        <w:pStyle w:val="Brdtekst"/>
        <w:ind w:left="851"/>
        <w:rPr>
          <w:i/>
          <w:sz w:val="24"/>
          <w:szCs w:val="24"/>
          <w:lang w:val="da-DK"/>
        </w:rPr>
      </w:pPr>
    </w:p>
    <w:p w:rsidR="00C5351C" w:rsidRPr="00C5351C" w:rsidRDefault="00C5351C" w:rsidP="000F34ED">
      <w:pPr>
        <w:ind w:left="851"/>
        <w:rPr>
          <w:i/>
          <w:sz w:val="24"/>
          <w:szCs w:val="24"/>
        </w:rPr>
      </w:pPr>
      <w:r w:rsidRPr="00C5351C">
        <w:rPr>
          <w:i/>
          <w:sz w:val="24"/>
          <w:szCs w:val="24"/>
        </w:rPr>
        <w:t>Ældre patienter (≥ 65 år)</w:t>
      </w:r>
    </w:p>
    <w:p w:rsidR="00C5351C" w:rsidRDefault="00C5351C" w:rsidP="000F34ED">
      <w:pPr>
        <w:pStyle w:val="Brdtekst"/>
        <w:ind w:left="851"/>
        <w:rPr>
          <w:sz w:val="24"/>
          <w:szCs w:val="24"/>
          <w:lang w:val="da-DK"/>
        </w:rPr>
      </w:pPr>
      <w:r w:rsidRPr="00C5351C">
        <w:rPr>
          <w:sz w:val="24"/>
          <w:szCs w:val="24"/>
          <w:lang w:val="da-DK"/>
        </w:rPr>
        <w:t>Dosisrekommendationer for ældre patienter er de samme som ovenfor. I kliniske studier har ældre patienter oplevet en højere frekvens af bivirkninger end yngre patienter (specielt diarré) og bør monitoreres tæt for bivirkninger, der kan kræve dosisjustering.</w:t>
      </w:r>
    </w:p>
    <w:p w:rsidR="00681074" w:rsidRPr="00C5351C" w:rsidRDefault="00681074" w:rsidP="000F34ED">
      <w:pPr>
        <w:pStyle w:val="Brdtekst"/>
        <w:ind w:left="851"/>
        <w:rPr>
          <w:sz w:val="24"/>
          <w:szCs w:val="24"/>
          <w:lang w:val="da-DK"/>
        </w:rPr>
      </w:pPr>
    </w:p>
    <w:p w:rsidR="00C5351C" w:rsidRPr="00C5351C" w:rsidRDefault="00C5351C" w:rsidP="000F34ED">
      <w:pPr>
        <w:ind w:left="851"/>
        <w:rPr>
          <w:i/>
          <w:sz w:val="24"/>
          <w:szCs w:val="24"/>
        </w:rPr>
      </w:pPr>
      <w:r w:rsidRPr="00C5351C">
        <w:rPr>
          <w:i/>
          <w:sz w:val="24"/>
          <w:szCs w:val="24"/>
        </w:rPr>
        <w:t>Pædiatrisk population</w:t>
      </w:r>
    </w:p>
    <w:p w:rsidR="00681074" w:rsidRDefault="00681074" w:rsidP="000F34ED">
      <w:pPr>
        <w:pStyle w:val="Brdtekst"/>
        <w:ind w:left="851"/>
        <w:rPr>
          <w:sz w:val="24"/>
          <w:szCs w:val="24"/>
          <w:lang w:val="da-DK"/>
        </w:rPr>
      </w:pPr>
    </w:p>
    <w:p w:rsidR="00C5351C" w:rsidRPr="00C5351C" w:rsidRDefault="00681074" w:rsidP="000F34ED">
      <w:pPr>
        <w:pStyle w:val="Brdtekst"/>
        <w:ind w:left="851"/>
        <w:rPr>
          <w:sz w:val="24"/>
          <w:szCs w:val="24"/>
          <w:lang w:val="da-DK"/>
        </w:rPr>
      </w:pPr>
      <w:r>
        <w:rPr>
          <w:sz w:val="24"/>
          <w:szCs w:val="24"/>
          <w:lang w:val="da-DK"/>
        </w:rPr>
        <w:t xml:space="preserve">- </w:t>
      </w:r>
      <w:r w:rsidR="00C5351C" w:rsidRPr="00C5351C">
        <w:rPr>
          <w:sz w:val="24"/>
          <w:szCs w:val="24"/>
          <w:lang w:val="da-DK"/>
        </w:rPr>
        <w:t>Transfusionsbetinget jernophobning</w:t>
      </w:r>
    </w:p>
    <w:p w:rsidR="00C5351C" w:rsidRPr="00C5351C" w:rsidRDefault="00C5351C" w:rsidP="000F34ED">
      <w:pPr>
        <w:pStyle w:val="Brdtekst"/>
        <w:ind w:left="851"/>
        <w:rPr>
          <w:sz w:val="24"/>
          <w:szCs w:val="24"/>
          <w:lang w:val="da-DK"/>
        </w:rPr>
      </w:pPr>
      <w:r w:rsidRPr="00C5351C">
        <w:rPr>
          <w:sz w:val="24"/>
          <w:szCs w:val="24"/>
          <w:lang w:val="da-DK"/>
        </w:rPr>
        <w:t>Dosisrekommendationer for pædiatriske patienter i alderen 2 til 17 år med transfusionsbetinget jernophobning er de samme som for ældre patienter (se pkt. 4.2). Det anbefales, at serum-ferritin monitoreres hver måned for at kunne vurdere patientens respons på behandlingen, og for at minimere risikoen for overkelering (se pkt. 4.4). Ved beregning af dosis skal ændringer i vægten for pædiatriske patienter over tid tages i betragtning.</w:t>
      </w:r>
    </w:p>
    <w:p w:rsidR="00C5351C" w:rsidRPr="00C5351C" w:rsidRDefault="00C5351C" w:rsidP="000F34ED">
      <w:pPr>
        <w:pStyle w:val="Brdtekst"/>
        <w:ind w:left="851"/>
        <w:rPr>
          <w:sz w:val="24"/>
          <w:szCs w:val="24"/>
          <w:lang w:val="da-DK"/>
        </w:rPr>
      </w:pPr>
    </w:p>
    <w:p w:rsidR="00C5351C" w:rsidRPr="00C5351C" w:rsidRDefault="00C5351C" w:rsidP="000F34ED">
      <w:pPr>
        <w:pStyle w:val="Brdtekst"/>
        <w:ind w:left="851"/>
        <w:rPr>
          <w:sz w:val="24"/>
          <w:szCs w:val="24"/>
          <w:lang w:val="da-DK"/>
        </w:rPr>
      </w:pPr>
      <w:r w:rsidRPr="00C5351C">
        <w:rPr>
          <w:sz w:val="24"/>
          <w:szCs w:val="24"/>
          <w:lang w:val="da-DK"/>
        </w:rPr>
        <w:t>Hos børn med transfusionsbetinget jernophobning mellem 2 og 5 år er eksponeringen mindre end hos voksne (se pkt. 5.2). Denne aldersgruppe kan derfor behøve højere doser, end hvad der er nødvendigt hos voksne. Imidlertid bør startdosis være den samme som hos voksne, efterfulgt af individuel titrering.</w:t>
      </w:r>
    </w:p>
    <w:p w:rsidR="00C5351C" w:rsidRPr="00C5351C" w:rsidRDefault="00C5351C" w:rsidP="000F34ED">
      <w:pPr>
        <w:pStyle w:val="Brdtekst"/>
        <w:ind w:left="851"/>
        <w:rPr>
          <w:sz w:val="24"/>
          <w:szCs w:val="24"/>
          <w:lang w:val="da-DK"/>
        </w:rPr>
      </w:pPr>
    </w:p>
    <w:p w:rsidR="00C5351C" w:rsidRPr="00C5351C" w:rsidRDefault="00681074" w:rsidP="000F34ED">
      <w:pPr>
        <w:pStyle w:val="Brdtekst"/>
        <w:ind w:left="851"/>
        <w:rPr>
          <w:sz w:val="24"/>
          <w:szCs w:val="24"/>
          <w:lang w:val="da-DK"/>
        </w:rPr>
      </w:pPr>
      <w:r>
        <w:rPr>
          <w:sz w:val="24"/>
          <w:szCs w:val="24"/>
          <w:lang w:val="da-DK"/>
        </w:rPr>
        <w:t xml:space="preserve">- </w:t>
      </w:r>
      <w:r w:rsidR="00C5351C" w:rsidRPr="00C5351C">
        <w:rPr>
          <w:sz w:val="24"/>
          <w:szCs w:val="24"/>
          <w:lang w:val="da-DK"/>
        </w:rPr>
        <w:t>Ikke-transfusionsafhængige talassæmi-syndromer</w:t>
      </w:r>
    </w:p>
    <w:p w:rsidR="00C5351C" w:rsidRPr="00C5351C" w:rsidRDefault="00C5351C" w:rsidP="000F34ED">
      <w:pPr>
        <w:pStyle w:val="Brdtekst"/>
        <w:ind w:left="851"/>
        <w:rPr>
          <w:sz w:val="24"/>
          <w:szCs w:val="24"/>
          <w:lang w:val="da-DK"/>
        </w:rPr>
      </w:pPr>
      <w:r w:rsidRPr="00C5351C">
        <w:rPr>
          <w:sz w:val="24"/>
          <w:szCs w:val="24"/>
          <w:lang w:val="da-DK"/>
        </w:rPr>
        <w:t>Hos pædiatriske patienter med ikke-transfusionsafhængige talassæmi-syndromer bør dosis ikke overstige 7 mg/kg. Det er vigtigt at udføre en omhyggelig monitorering af LIC og serum-ferritin hos disse patienter for at undgå overkelering (se pkt. 4.4). I tillæg til månedlige serum-ferritin-målinger skal LIC monitoreres hver 3. måned, når serum-ferritin er ≤ 800 µg/l.</w:t>
      </w:r>
    </w:p>
    <w:p w:rsidR="00C5351C" w:rsidRPr="00C5351C" w:rsidRDefault="00C5351C" w:rsidP="000F34ED">
      <w:pPr>
        <w:pStyle w:val="Brdtekst"/>
        <w:ind w:left="851"/>
        <w:rPr>
          <w:sz w:val="24"/>
          <w:szCs w:val="24"/>
          <w:lang w:val="da-DK"/>
        </w:rPr>
      </w:pPr>
    </w:p>
    <w:p w:rsidR="00C5351C" w:rsidRPr="00C5351C" w:rsidRDefault="00681074" w:rsidP="000F34ED">
      <w:pPr>
        <w:pStyle w:val="Brdtekst"/>
        <w:ind w:left="851"/>
        <w:rPr>
          <w:sz w:val="24"/>
          <w:szCs w:val="24"/>
          <w:lang w:val="da-DK"/>
        </w:rPr>
      </w:pPr>
      <w:r>
        <w:rPr>
          <w:sz w:val="24"/>
          <w:szCs w:val="24"/>
          <w:lang w:val="da-DK"/>
        </w:rPr>
        <w:t xml:space="preserve">- </w:t>
      </w:r>
      <w:r w:rsidR="00C5351C" w:rsidRPr="00C5351C">
        <w:rPr>
          <w:sz w:val="24"/>
          <w:szCs w:val="24"/>
          <w:lang w:val="da-DK"/>
        </w:rPr>
        <w:t>Børn fra fødsel til 23 måneder</w:t>
      </w:r>
    </w:p>
    <w:p w:rsidR="00C5351C" w:rsidRPr="00C5351C" w:rsidRDefault="00C5351C" w:rsidP="000F34ED">
      <w:pPr>
        <w:pStyle w:val="Brdtekst"/>
        <w:ind w:left="851"/>
        <w:rPr>
          <w:sz w:val="24"/>
          <w:szCs w:val="24"/>
          <w:lang w:val="da-DK"/>
        </w:rPr>
      </w:pPr>
      <w:r w:rsidRPr="00C5351C">
        <w:rPr>
          <w:sz w:val="24"/>
          <w:szCs w:val="24"/>
          <w:lang w:val="da-DK"/>
        </w:rPr>
        <w:t>Deferasirox "Sandoz"s sikkerhed og virkning hos børn i alderen fra fødsel til 23 måneder er ikke klarlagt. Der foreligger ingen data.</w:t>
      </w:r>
    </w:p>
    <w:p w:rsidR="00C5351C" w:rsidRPr="00C5351C" w:rsidRDefault="00C5351C" w:rsidP="000F34ED">
      <w:pPr>
        <w:pStyle w:val="Brdtekst"/>
        <w:ind w:left="851"/>
        <w:rPr>
          <w:sz w:val="24"/>
          <w:szCs w:val="24"/>
          <w:lang w:val="da-DK"/>
        </w:rPr>
      </w:pPr>
    </w:p>
    <w:p w:rsidR="00C5351C" w:rsidRPr="00C5351C" w:rsidRDefault="00C5351C" w:rsidP="000F34ED">
      <w:pPr>
        <w:ind w:left="851"/>
        <w:rPr>
          <w:i/>
          <w:sz w:val="24"/>
          <w:szCs w:val="24"/>
        </w:rPr>
      </w:pPr>
      <w:r w:rsidRPr="00C5351C">
        <w:rPr>
          <w:i/>
          <w:sz w:val="24"/>
          <w:szCs w:val="24"/>
        </w:rPr>
        <w:t>Patienter med nedsat nyrefunktion</w:t>
      </w:r>
    </w:p>
    <w:p w:rsidR="00C5351C" w:rsidRPr="00C5351C" w:rsidRDefault="00C5351C" w:rsidP="000F34ED">
      <w:pPr>
        <w:pStyle w:val="Brdtekst"/>
        <w:ind w:left="851"/>
        <w:rPr>
          <w:sz w:val="24"/>
          <w:szCs w:val="24"/>
          <w:lang w:val="da-DK"/>
        </w:rPr>
      </w:pPr>
      <w:r w:rsidRPr="00C5351C">
        <w:rPr>
          <w:sz w:val="24"/>
          <w:szCs w:val="24"/>
          <w:lang w:val="da-DK"/>
        </w:rPr>
        <w:t>Deferasirox "Sandoz" har ikke været undersøgt hos patienter med nedsat nyrefunktion og er kontraindiceret hos patienter med estimeret kreatinin-clearance &lt; 60 ml/min (se pkt. 4.3 og 4.4).</w:t>
      </w:r>
    </w:p>
    <w:p w:rsidR="00C5351C" w:rsidRPr="00C5351C" w:rsidRDefault="00C5351C" w:rsidP="000F34ED">
      <w:pPr>
        <w:pStyle w:val="Brdtekst"/>
        <w:ind w:left="851"/>
        <w:rPr>
          <w:sz w:val="24"/>
          <w:szCs w:val="24"/>
          <w:lang w:val="da-DK"/>
        </w:rPr>
      </w:pPr>
    </w:p>
    <w:p w:rsidR="00C5351C" w:rsidRPr="00C5351C" w:rsidRDefault="00C5351C" w:rsidP="000F34ED">
      <w:pPr>
        <w:ind w:left="851"/>
        <w:rPr>
          <w:i/>
          <w:sz w:val="24"/>
          <w:szCs w:val="24"/>
        </w:rPr>
      </w:pPr>
      <w:r w:rsidRPr="00C5351C">
        <w:rPr>
          <w:i/>
          <w:sz w:val="24"/>
          <w:szCs w:val="24"/>
        </w:rPr>
        <w:t>Patienter med nedsat leverfunktion</w:t>
      </w:r>
    </w:p>
    <w:p w:rsidR="00C5351C" w:rsidRPr="00C5351C" w:rsidRDefault="00C5351C" w:rsidP="000F34ED">
      <w:pPr>
        <w:pStyle w:val="Brdtekst"/>
        <w:ind w:left="851"/>
        <w:rPr>
          <w:sz w:val="24"/>
          <w:szCs w:val="24"/>
          <w:lang w:val="da-DK"/>
        </w:rPr>
      </w:pPr>
      <w:r w:rsidRPr="00C5351C">
        <w:rPr>
          <w:sz w:val="24"/>
          <w:szCs w:val="24"/>
          <w:lang w:val="da-DK"/>
        </w:rPr>
        <w:t>Deferasirox "Sandoz" anbefales ikke til patienter med svært nedsat leverfunktion (Child-Pugh Class C). Hos patienter med moderat nedsat leverfunktion (Child-Pugh Class B) bør dosis reduceres betydeligt efterfulgt af gradvis dosisøgning op til en grænse på 50</w:t>
      </w:r>
      <w:r w:rsidR="00167916">
        <w:rPr>
          <w:sz w:val="24"/>
          <w:szCs w:val="24"/>
          <w:lang w:val="da-DK"/>
        </w:rPr>
        <w:t xml:space="preserve"> %</w:t>
      </w:r>
      <w:r w:rsidRPr="00C5351C">
        <w:rPr>
          <w:sz w:val="24"/>
          <w:szCs w:val="24"/>
          <w:lang w:val="da-DK"/>
        </w:rPr>
        <w:t xml:space="preserve"> (se pkt. 4.4 og 5.2); Deferasirox "Sandoz" skal anvendes med forsigtighed hos disse patienter. Leverfunktionen bør monitoreres hos alle patienter før behandling, hver 2. uge i løbet af den første måned og derefter hver måned (se pkt. 4.4).</w:t>
      </w:r>
    </w:p>
    <w:p w:rsidR="00C5351C" w:rsidRPr="00C5351C" w:rsidRDefault="00C5351C" w:rsidP="000F34ED">
      <w:pPr>
        <w:pStyle w:val="Brdtekst"/>
        <w:ind w:left="851"/>
        <w:rPr>
          <w:sz w:val="24"/>
          <w:szCs w:val="24"/>
          <w:lang w:val="da-DK"/>
        </w:rPr>
      </w:pPr>
    </w:p>
    <w:p w:rsidR="00C5351C" w:rsidRPr="005650F7" w:rsidRDefault="00C5351C" w:rsidP="000F34ED">
      <w:pPr>
        <w:pStyle w:val="Brdtekst"/>
        <w:ind w:left="851"/>
        <w:rPr>
          <w:b/>
          <w:sz w:val="24"/>
          <w:szCs w:val="24"/>
          <w:lang w:val="da-DK"/>
        </w:rPr>
      </w:pPr>
      <w:r w:rsidRPr="005650F7">
        <w:rPr>
          <w:b/>
          <w:sz w:val="24"/>
          <w:szCs w:val="24"/>
          <w:lang w:val="da-DK"/>
        </w:rPr>
        <w:t>Administration</w:t>
      </w:r>
    </w:p>
    <w:p w:rsidR="00C5351C" w:rsidRPr="00C5351C" w:rsidRDefault="00C5351C" w:rsidP="000F34ED">
      <w:pPr>
        <w:pStyle w:val="Brdtekst"/>
        <w:ind w:left="851"/>
        <w:rPr>
          <w:sz w:val="24"/>
          <w:szCs w:val="24"/>
          <w:lang w:val="da-DK"/>
        </w:rPr>
      </w:pPr>
      <w:r w:rsidRPr="00C5351C">
        <w:rPr>
          <w:sz w:val="24"/>
          <w:szCs w:val="24"/>
          <w:lang w:val="da-DK"/>
        </w:rPr>
        <w:t>Til oral anvendelse.</w:t>
      </w:r>
    </w:p>
    <w:p w:rsidR="00C5351C" w:rsidRPr="00C5351C" w:rsidRDefault="00C5351C" w:rsidP="000F34ED">
      <w:pPr>
        <w:pStyle w:val="Brdtekst"/>
        <w:ind w:left="851"/>
        <w:rPr>
          <w:sz w:val="24"/>
          <w:szCs w:val="24"/>
          <w:lang w:val="da-DK"/>
        </w:rPr>
      </w:pPr>
      <w:r w:rsidRPr="00C5351C">
        <w:rPr>
          <w:sz w:val="24"/>
          <w:szCs w:val="24"/>
          <w:lang w:val="da-DK"/>
        </w:rPr>
        <w:t>Filmovertrukne tabletter bør sluges hele med lidt vand. For patienter, som ikke er i stand til at sluge hele tabletter, kan filmovertrukne tabletter knuses og indtages ved at drysse hele dosen ud over blød mad, som fx yoghurt eller æblemos. Dosen bør indtages med det samme og fuldstændigt og bør ikke gemmes til senere brug.</w:t>
      </w:r>
    </w:p>
    <w:p w:rsidR="00C5351C" w:rsidRPr="00C5351C" w:rsidRDefault="00C5351C" w:rsidP="000F34ED">
      <w:pPr>
        <w:pStyle w:val="Brdtekst"/>
        <w:ind w:left="851"/>
        <w:rPr>
          <w:sz w:val="24"/>
          <w:szCs w:val="24"/>
          <w:lang w:val="da-DK"/>
        </w:rPr>
      </w:pPr>
    </w:p>
    <w:p w:rsidR="00C5351C" w:rsidRPr="00C5351C" w:rsidRDefault="00C5351C" w:rsidP="000F34ED">
      <w:pPr>
        <w:pStyle w:val="Brdtekst"/>
        <w:ind w:left="851"/>
        <w:rPr>
          <w:sz w:val="24"/>
          <w:szCs w:val="24"/>
          <w:lang w:val="da-DK"/>
        </w:rPr>
      </w:pPr>
      <w:r w:rsidRPr="00C5351C">
        <w:rPr>
          <w:sz w:val="24"/>
          <w:szCs w:val="24"/>
          <w:lang w:val="da-DK"/>
        </w:rPr>
        <w:t xml:space="preserve">De filmovertrukne tabletter skal tages </w:t>
      </w:r>
      <w:r w:rsidR="00167916">
        <w:rPr>
          <w:sz w:val="24"/>
          <w:szCs w:val="24"/>
          <w:lang w:val="da-DK"/>
        </w:rPr>
        <w:t>en</w:t>
      </w:r>
      <w:r w:rsidRPr="00C5351C">
        <w:rPr>
          <w:sz w:val="24"/>
          <w:szCs w:val="24"/>
          <w:lang w:val="da-DK"/>
        </w:rPr>
        <w:t xml:space="preserve"> gang </w:t>
      </w:r>
      <w:r w:rsidR="00167916">
        <w:rPr>
          <w:sz w:val="24"/>
          <w:szCs w:val="24"/>
          <w:lang w:val="da-DK"/>
        </w:rPr>
        <w:t>daglig</w:t>
      </w:r>
      <w:r w:rsidRPr="00C5351C">
        <w:rPr>
          <w:sz w:val="24"/>
          <w:szCs w:val="24"/>
          <w:lang w:val="da-DK"/>
        </w:rPr>
        <w:t>, helst på samme tidspunkt hver dag, og kan indtages på tom mave eller sammen med et let måltid (se pkt. 4.5 og 5.2).</w:t>
      </w:r>
    </w:p>
    <w:p w:rsidR="009260DE" w:rsidRPr="00C5351C" w:rsidRDefault="009260DE" w:rsidP="000F34ED">
      <w:pPr>
        <w:tabs>
          <w:tab w:val="left" w:pos="851"/>
        </w:tabs>
        <w:ind w:left="851"/>
        <w:rPr>
          <w:sz w:val="24"/>
          <w:szCs w:val="24"/>
        </w:rPr>
      </w:pPr>
    </w:p>
    <w:p w:rsidR="009260DE" w:rsidRPr="00C84483" w:rsidRDefault="009260DE" w:rsidP="000F34ED">
      <w:pPr>
        <w:tabs>
          <w:tab w:val="left" w:pos="851"/>
        </w:tabs>
        <w:ind w:left="851" w:hanging="851"/>
        <w:rPr>
          <w:b/>
          <w:sz w:val="24"/>
          <w:szCs w:val="24"/>
        </w:rPr>
      </w:pPr>
      <w:r w:rsidRPr="00C84483">
        <w:rPr>
          <w:b/>
          <w:sz w:val="24"/>
          <w:szCs w:val="24"/>
        </w:rPr>
        <w:t>4.3</w:t>
      </w:r>
      <w:r w:rsidRPr="00C84483">
        <w:rPr>
          <w:b/>
          <w:sz w:val="24"/>
          <w:szCs w:val="24"/>
        </w:rPr>
        <w:tab/>
        <w:t>Kontraindikationer</w:t>
      </w:r>
    </w:p>
    <w:p w:rsidR="007D6B5F" w:rsidRPr="007D6B5F" w:rsidRDefault="007D6B5F" w:rsidP="000F34ED">
      <w:pPr>
        <w:tabs>
          <w:tab w:val="left" w:pos="851"/>
        </w:tabs>
        <w:ind w:left="851"/>
        <w:rPr>
          <w:sz w:val="24"/>
          <w:szCs w:val="24"/>
        </w:rPr>
      </w:pPr>
      <w:r w:rsidRPr="007D6B5F">
        <w:rPr>
          <w:sz w:val="24"/>
          <w:szCs w:val="24"/>
        </w:rPr>
        <w:t>Overfølsomhed over for det aktive stof eller over for et eller flere af hjælpestofferne anført i pkt. 6.1.</w:t>
      </w:r>
    </w:p>
    <w:p w:rsidR="007D6B5F" w:rsidRPr="007D6B5F" w:rsidRDefault="007D6B5F" w:rsidP="000F34ED">
      <w:pPr>
        <w:tabs>
          <w:tab w:val="left" w:pos="851"/>
        </w:tabs>
        <w:ind w:left="851"/>
        <w:rPr>
          <w:sz w:val="24"/>
          <w:szCs w:val="24"/>
        </w:rPr>
      </w:pPr>
    </w:p>
    <w:p w:rsidR="007D6B5F" w:rsidRPr="007D6B5F" w:rsidRDefault="007D6B5F" w:rsidP="000F34ED">
      <w:pPr>
        <w:tabs>
          <w:tab w:val="left" w:pos="851"/>
        </w:tabs>
        <w:ind w:left="851"/>
        <w:rPr>
          <w:sz w:val="24"/>
          <w:szCs w:val="24"/>
        </w:rPr>
      </w:pPr>
      <w:r w:rsidRPr="007D6B5F">
        <w:rPr>
          <w:sz w:val="24"/>
          <w:szCs w:val="24"/>
        </w:rPr>
        <w:t>Kombination med andre jernkelator-behandlinger da sikkerheden af sådanne kombinationer ikke er klarlagt (se pkt. 4.5).</w:t>
      </w:r>
    </w:p>
    <w:p w:rsidR="007D6B5F" w:rsidRPr="007D6B5F" w:rsidRDefault="007D6B5F" w:rsidP="000F34ED">
      <w:pPr>
        <w:tabs>
          <w:tab w:val="left" w:pos="851"/>
        </w:tabs>
        <w:ind w:left="851"/>
        <w:rPr>
          <w:sz w:val="24"/>
          <w:szCs w:val="24"/>
        </w:rPr>
      </w:pPr>
    </w:p>
    <w:p w:rsidR="007D6B5F" w:rsidRPr="007D6B5F" w:rsidRDefault="007D6B5F" w:rsidP="000F34ED">
      <w:pPr>
        <w:tabs>
          <w:tab w:val="left" w:pos="851"/>
        </w:tabs>
        <w:ind w:left="851"/>
        <w:rPr>
          <w:sz w:val="24"/>
          <w:szCs w:val="24"/>
        </w:rPr>
      </w:pPr>
      <w:r w:rsidRPr="007D6B5F">
        <w:rPr>
          <w:sz w:val="24"/>
          <w:szCs w:val="24"/>
        </w:rPr>
        <w:t>Patienter med estimeret kreatinin-clearance &lt; 60 ml/min.</w:t>
      </w:r>
    </w:p>
    <w:p w:rsidR="009260DE" w:rsidRPr="00C84483" w:rsidRDefault="009260DE" w:rsidP="000F34ED">
      <w:pPr>
        <w:tabs>
          <w:tab w:val="left" w:pos="851"/>
        </w:tabs>
        <w:ind w:left="851"/>
        <w:rPr>
          <w:sz w:val="24"/>
          <w:szCs w:val="24"/>
        </w:rPr>
      </w:pPr>
    </w:p>
    <w:p w:rsidR="009260DE" w:rsidRPr="00C84483" w:rsidRDefault="009260DE" w:rsidP="000F34ED">
      <w:pPr>
        <w:tabs>
          <w:tab w:val="left" w:pos="851"/>
        </w:tabs>
        <w:ind w:left="851" w:hanging="851"/>
        <w:rPr>
          <w:b/>
          <w:sz w:val="24"/>
          <w:szCs w:val="24"/>
        </w:rPr>
      </w:pPr>
      <w:r w:rsidRPr="00C84483">
        <w:rPr>
          <w:b/>
          <w:sz w:val="24"/>
          <w:szCs w:val="24"/>
        </w:rPr>
        <w:t>4.4</w:t>
      </w:r>
      <w:r w:rsidRPr="00C84483">
        <w:rPr>
          <w:b/>
          <w:sz w:val="24"/>
          <w:szCs w:val="24"/>
        </w:rPr>
        <w:tab/>
        <w:t>Særlige advarsler og forsigtighedsregler vedrørende brugen</w:t>
      </w:r>
    </w:p>
    <w:p w:rsidR="00C42AFC" w:rsidRPr="00C42AFC" w:rsidRDefault="00C42AFC" w:rsidP="000F34ED">
      <w:pPr>
        <w:ind w:left="851"/>
        <w:rPr>
          <w:i/>
          <w:noProof/>
          <w:sz w:val="24"/>
          <w:szCs w:val="24"/>
        </w:rPr>
      </w:pPr>
    </w:p>
    <w:p w:rsidR="00C42AFC" w:rsidRPr="00C42AFC" w:rsidRDefault="00C42AFC" w:rsidP="000F34ED">
      <w:pPr>
        <w:ind w:left="851"/>
        <w:rPr>
          <w:noProof/>
          <w:sz w:val="24"/>
          <w:szCs w:val="24"/>
        </w:rPr>
      </w:pPr>
      <w:r w:rsidRPr="00C42AFC">
        <w:rPr>
          <w:sz w:val="24"/>
          <w:szCs w:val="24"/>
          <w:u w:val="single"/>
        </w:rPr>
        <w:t>Nyrefunktion</w:t>
      </w:r>
    </w:p>
    <w:p w:rsidR="00C42AFC" w:rsidRPr="00C42AFC" w:rsidRDefault="00C42AFC" w:rsidP="000F34ED">
      <w:pPr>
        <w:pStyle w:val="Brdtekst"/>
        <w:ind w:left="851"/>
        <w:rPr>
          <w:sz w:val="24"/>
          <w:szCs w:val="24"/>
          <w:lang w:val="da-DK"/>
        </w:rPr>
      </w:pPr>
      <w:r w:rsidRPr="00C42AFC">
        <w:rPr>
          <w:sz w:val="24"/>
          <w:szCs w:val="24"/>
          <w:lang w:val="da-DK"/>
        </w:rPr>
        <w:t xml:space="preserve">Deferasirox har kun været undersøgt hos patienter med </w:t>
      </w:r>
      <w:r w:rsidRPr="00C42AFC">
        <w:rPr>
          <w:i/>
          <w:sz w:val="24"/>
          <w:szCs w:val="24"/>
          <w:lang w:val="da-DK"/>
        </w:rPr>
        <w:t xml:space="preserve">baseline </w:t>
      </w:r>
      <w:r w:rsidRPr="00C42AFC">
        <w:rPr>
          <w:sz w:val="24"/>
          <w:szCs w:val="24"/>
          <w:lang w:val="da-DK"/>
        </w:rPr>
        <w:t>serum-kreatinin inden for det aldersbestemte normalområde.</w:t>
      </w:r>
    </w:p>
    <w:p w:rsidR="00C42AFC" w:rsidRPr="00C42AFC" w:rsidRDefault="00C42AFC" w:rsidP="000F34ED">
      <w:pPr>
        <w:pStyle w:val="Brdtekst"/>
        <w:ind w:left="851"/>
        <w:rPr>
          <w:sz w:val="24"/>
          <w:szCs w:val="24"/>
          <w:lang w:val="da-DK"/>
        </w:rPr>
      </w:pPr>
    </w:p>
    <w:p w:rsidR="00C42AFC" w:rsidRPr="00C42AFC" w:rsidRDefault="00C42AFC" w:rsidP="000F34ED">
      <w:pPr>
        <w:pStyle w:val="Brdtekst"/>
        <w:ind w:left="851"/>
        <w:rPr>
          <w:sz w:val="24"/>
          <w:szCs w:val="24"/>
          <w:lang w:val="da-DK"/>
        </w:rPr>
      </w:pPr>
      <w:r w:rsidRPr="00C42AFC">
        <w:rPr>
          <w:sz w:val="24"/>
          <w:szCs w:val="24"/>
          <w:lang w:val="da-DK"/>
        </w:rPr>
        <w:t>I kliniske studier forekom stigninger i serum-kreatinin hos omkring 36</w:t>
      </w:r>
      <w:r w:rsidR="00167916">
        <w:rPr>
          <w:sz w:val="24"/>
          <w:szCs w:val="24"/>
          <w:lang w:val="da-DK"/>
        </w:rPr>
        <w:t xml:space="preserve"> %</w:t>
      </w:r>
      <w:r w:rsidRPr="00C42AFC">
        <w:rPr>
          <w:sz w:val="24"/>
          <w:szCs w:val="24"/>
          <w:lang w:val="da-DK"/>
        </w:rPr>
        <w:t xml:space="preserve"> af patienterne. Forhøjelserne var på &gt; 33</w:t>
      </w:r>
      <w:r w:rsidR="00167916">
        <w:rPr>
          <w:sz w:val="24"/>
          <w:szCs w:val="24"/>
          <w:lang w:val="da-DK"/>
        </w:rPr>
        <w:t xml:space="preserve"> %</w:t>
      </w:r>
      <w:r w:rsidRPr="00C42AFC">
        <w:rPr>
          <w:sz w:val="24"/>
          <w:szCs w:val="24"/>
          <w:lang w:val="da-DK"/>
        </w:rPr>
        <w:t xml:space="preserve"> i ≥ 2 på hinanden følgende tilfælde, og nogle gange over den øvre grænse af normalområdet. Disse var dosisafhængige. Omkring to tredjedele af patienterne med forøget serum- kreatinin vendte tilbage til niveauet under 33</w:t>
      </w:r>
      <w:r w:rsidR="00167916">
        <w:rPr>
          <w:sz w:val="24"/>
          <w:szCs w:val="24"/>
          <w:lang w:val="da-DK"/>
        </w:rPr>
        <w:t xml:space="preserve"> %</w:t>
      </w:r>
      <w:r w:rsidRPr="00C42AFC">
        <w:rPr>
          <w:sz w:val="24"/>
          <w:szCs w:val="24"/>
          <w:lang w:val="da-DK"/>
        </w:rPr>
        <w:t xml:space="preserve"> uden dosisjustering. Hos den sidste tredjedel reagerede forøgelsen af serum-kreatinin ikke altid på en dosisreduktion eller dosisafbrydelse. I nogle tilfælde sås kun en stabilisering af serum-kreatinin niveauet efter dosisreduktion. Der er efter markedsføringen rapporteret tilfælde af akut nyresvigt ved brug af deferasirox (se pkt. 4.8). Der er efter markedsføringen set tilfælde, hvor forværring af nyrefunktionen har ført til nyresvigt, som har krævet midlertidig eller permanent dialyse.</w:t>
      </w:r>
    </w:p>
    <w:p w:rsidR="00C42AFC" w:rsidRPr="00C42AFC" w:rsidRDefault="00C42AFC" w:rsidP="000F34ED">
      <w:pPr>
        <w:pStyle w:val="Brdtekst"/>
        <w:ind w:left="851"/>
        <w:rPr>
          <w:sz w:val="24"/>
          <w:szCs w:val="24"/>
          <w:lang w:val="da-DK"/>
        </w:rPr>
      </w:pPr>
    </w:p>
    <w:p w:rsidR="00C42AFC" w:rsidRPr="00C42AFC" w:rsidRDefault="00C42AFC" w:rsidP="000F34ED">
      <w:pPr>
        <w:pStyle w:val="Brdtekst"/>
        <w:ind w:left="851"/>
        <w:rPr>
          <w:sz w:val="24"/>
          <w:szCs w:val="24"/>
          <w:lang w:val="da-DK"/>
        </w:rPr>
      </w:pPr>
      <w:r w:rsidRPr="00C42AFC">
        <w:rPr>
          <w:sz w:val="24"/>
          <w:szCs w:val="24"/>
          <w:lang w:val="da-DK"/>
        </w:rPr>
        <w:t>Årsagerne til stigningerne i serum-kreatinin er ikke blevet klarlagt. Speciel opmærksomhed bør derfor rettes mod monitorering af serum-kreatinin hos patienter, der samtidig får lægemidler, der undertrykker nyrefunktionen, og hos patienter, der får høje doser af deferasirox og/eller lav hyppighed af transfusioner (&lt; 7 ml/kg/måned pakkede røde blodceller eller &lt; 2 enheder/måned for en voksen).</w:t>
      </w:r>
    </w:p>
    <w:p w:rsidR="00C42AFC" w:rsidRPr="00C42AFC" w:rsidRDefault="00C42AFC" w:rsidP="000F34ED">
      <w:pPr>
        <w:pStyle w:val="Brdtekst"/>
        <w:ind w:left="851"/>
        <w:rPr>
          <w:sz w:val="24"/>
          <w:szCs w:val="24"/>
          <w:lang w:val="da-DK"/>
        </w:rPr>
      </w:pPr>
      <w:r w:rsidRPr="00C42AFC">
        <w:rPr>
          <w:sz w:val="24"/>
          <w:szCs w:val="24"/>
          <w:lang w:val="da-DK"/>
        </w:rPr>
        <w:t>Selvom der ikke blev observeret en stigning af bivirkninger i nyrerne efter dosisoptrapning af deferasirox dispergible tabletter til doser over 30 mg/kg i kliniske studier, kan det ikke udelukkes, at der er en øget risiko for bivirkninger i nyrerne ved filmovertrukne tablet-doser over 21 mg/kg.</w:t>
      </w:r>
    </w:p>
    <w:p w:rsidR="00C42AFC" w:rsidRPr="00C42AFC" w:rsidRDefault="00C42AFC" w:rsidP="000F34ED">
      <w:pPr>
        <w:pStyle w:val="Brdtekst"/>
        <w:ind w:left="851"/>
        <w:rPr>
          <w:sz w:val="24"/>
          <w:szCs w:val="24"/>
          <w:lang w:val="da-DK"/>
        </w:rPr>
      </w:pPr>
    </w:p>
    <w:p w:rsidR="00C42AFC" w:rsidRPr="00C42AFC" w:rsidRDefault="00C42AFC" w:rsidP="000F34ED">
      <w:pPr>
        <w:ind w:left="851"/>
        <w:rPr>
          <w:sz w:val="24"/>
          <w:szCs w:val="24"/>
        </w:rPr>
      </w:pPr>
      <w:r w:rsidRPr="00C42AFC">
        <w:rPr>
          <w:sz w:val="24"/>
          <w:szCs w:val="24"/>
        </w:rPr>
        <w:t xml:space="preserve">Det anbefales, at serum-kreatinin dobbeltbestemmes før påbegyndelse af behandling. </w:t>
      </w:r>
      <w:r w:rsidRPr="00C42AFC">
        <w:rPr>
          <w:b/>
          <w:sz w:val="24"/>
          <w:szCs w:val="24"/>
        </w:rPr>
        <w:t xml:space="preserve">Serum- kreatinin, kreatinin-clearance </w:t>
      </w:r>
      <w:r w:rsidRPr="00C42AFC">
        <w:rPr>
          <w:sz w:val="24"/>
          <w:szCs w:val="24"/>
        </w:rPr>
        <w:t xml:space="preserve">(estimeret med Cockcroft-Gault eller MDRD-formlen hos voksne og med Schwartz-formlen for børn) og/eller plasma-cystatin C </w:t>
      </w:r>
      <w:r w:rsidRPr="00C42AFC">
        <w:rPr>
          <w:b/>
          <w:sz w:val="24"/>
          <w:szCs w:val="24"/>
        </w:rPr>
        <w:t>bør monitoreres inden behandlingsstart, ugentligt den første måned efter påbegyndelse eller ændring af behandling med Deferasirox "Sandoz" (inklusive skift til anden formulering). Efterfølgende bør monitorering finde sted månedligt</w:t>
      </w:r>
      <w:r w:rsidRPr="00C42AFC">
        <w:rPr>
          <w:sz w:val="24"/>
          <w:szCs w:val="24"/>
        </w:rPr>
        <w:t>. Patienter med forud bestående nyresygdom eller patienter, som får lægemidler, der nedsætter nyrefunktionen, kan have en større risiko for komplikationer. Der bør udvises opmærksomhed omkring opretholdelse af passende hydrering af patienter, som udvikler diarré eller opkastning.</w:t>
      </w:r>
    </w:p>
    <w:p w:rsidR="00C42AFC" w:rsidRPr="00C42AFC" w:rsidRDefault="00C42AFC" w:rsidP="000F34ED">
      <w:pPr>
        <w:autoSpaceDE w:val="0"/>
        <w:autoSpaceDN w:val="0"/>
        <w:adjustRightInd w:val="0"/>
        <w:ind w:left="851"/>
        <w:rPr>
          <w:sz w:val="24"/>
          <w:szCs w:val="24"/>
        </w:rPr>
      </w:pPr>
    </w:p>
    <w:p w:rsidR="00C42AFC" w:rsidRPr="00C42AFC" w:rsidRDefault="00C42AFC" w:rsidP="000F34ED">
      <w:pPr>
        <w:pStyle w:val="Brdtekst"/>
        <w:ind w:left="851"/>
        <w:rPr>
          <w:sz w:val="24"/>
          <w:szCs w:val="24"/>
          <w:lang w:val="da-DK"/>
        </w:rPr>
      </w:pPr>
      <w:r w:rsidRPr="00C42AFC">
        <w:rPr>
          <w:sz w:val="24"/>
          <w:szCs w:val="24"/>
          <w:lang w:val="da-DK"/>
        </w:rPr>
        <w:t>Der er efter markedsføring rapporteret om metabolisk acidose opstået under behandling med deferasirox. Hovedparten af disse patienter havde nedsat nyrefunktion, renal tubulopati (Fanconis syndrom), eller diarré, eller forhold, hvor syre-base ubalance er en kendt komplikation. Syre-base balance, bør overvåges som klinisk indiceret i disse populationer. Afbrydelse af behandling med Deferasirox "Sandoz" bør overvejes hos patienter, der udvikler metabolisk acidose.</w:t>
      </w:r>
    </w:p>
    <w:p w:rsidR="00C42AFC" w:rsidRPr="00C42AFC" w:rsidRDefault="00C42AFC" w:rsidP="000F34ED">
      <w:pPr>
        <w:autoSpaceDE w:val="0"/>
        <w:autoSpaceDN w:val="0"/>
        <w:adjustRightInd w:val="0"/>
        <w:ind w:left="851"/>
        <w:rPr>
          <w:sz w:val="24"/>
          <w:szCs w:val="24"/>
        </w:rPr>
      </w:pPr>
    </w:p>
    <w:p w:rsidR="00C42AFC" w:rsidRPr="00C42AFC" w:rsidRDefault="00C42AFC" w:rsidP="000F34ED">
      <w:pPr>
        <w:pStyle w:val="Brdtekst"/>
        <w:ind w:left="851"/>
        <w:rPr>
          <w:sz w:val="24"/>
          <w:szCs w:val="24"/>
          <w:lang w:val="da-DK"/>
        </w:rPr>
      </w:pPr>
      <w:r w:rsidRPr="00C42AFC">
        <w:rPr>
          <w:sz w:val="24"/>
          <w:szCs w:val="24"/>
          <w:lang w:val="da-DK"/>
        </w:rPr>
        <w:t>Der er efter markedsføring rapporteret om svære tilfælde af tubulopati (fx. Fanconis syndrom) og nyresvigt forbundet med ændringer i bevidstheden i sammenhæng med hyperammoniæmisk encefalopati hos patienter behandlet med deferasirox, hovedsageligt hos børn. Det anbefales at hyperammoniæmisk encefalopati skal overvejes og ammoniakniveauet måles hos patienter, som udvikler uforklarlige ændringer i mental status under behandling med Deferasirox "Sandoz".</w:t>
      </w:r>
    </w:p>
    <w:p w:rsidR="00C42AFC" w:rsidRPr="00C42AFC" w:rsidRDefault="00C42AFC" w:rsidP="000F34ED">
      <w:pPr>
        <w:autoSpaceDE w:val="0"/>
        <w:autoSpaceDN w:val="0"/>
        <w:adjustRightInd w:val="0"/>
        <w:ind w:left="851"/>
        <w:rPr>
          <w:sz w:val="24"/>
          <w:szCs w:val="24"/>
        </w:rPr>
      </w:pPr>
    </w:p>
    <w:p w:rsidR="00C42AFC" w:rsidRPr="00C42AFC" w:rsidRDefault="00C42AFC" w:rsidP="00EB1D3A">
      <w:pPr>
        <w:pStyle w:val="Brdtekst"/>
        <w:tabs>
          <w:tab w:val="left" w:pos="1843"/>
        </w:tabs>
        <w:ind w:left="851"/>
        <w:rPr>
          <w:sz w:val="24"/>
          <w:szCs w:val="24"/>
          <w:lang w:val="da-DK"/>
        </w:rPr>
      </w:pPr>
      <w:r w:rsidRPr="00C42AFC">
        <w:rPr>
          <w:sz w:val="24"/>
          <w:szCs w:val="24"/>
          <w:u w:val="single"/>
          <w:lang w:val="da-DK"/>
        </w:rPr>
        <w:t>Tabel</w:t>
      </w:r>
      <w:r w:rsidRPr="00C42AFC">
        <w:rPr>
          <w:spacing w:val="-1"/>
          <w:sz w:val="24"/>
          <w:szCs w:val="24"/>
          <w:u w:val="single"/>
          <w:lang w:val="da-DK"/>
        </w:rPr>
        <w:t xml:space="preserve"> </w:t>
      </w:r>
      <w:r w:rsidRPr="00C42AFC">
        <w:rPr>
          <w:sz w:val="24"/>
          <w:szCs w:val="24"/>
          <w:u w:val="single"/>
          <w:lang w:val="da-DK"/>
        </w:rPr>
        <w:t>3</w:t>
      </w:r>
      <w:r w:rsidRPr="00C42AFC">
        <w:rPr>
          <w:sz w:val="24"/>
          <w:szCs w:val="24"/>
          <w:lang w:val="da-DK"/>
        </w:rPr>
        <w:tab/>
        <w:t>Dosisjustering og afbrydelse af behandling ved monitorering af</w:t>
      </w:r>
      <w:r w:rsidRPr="00C42AFC">
        <w:rPr>
          <w:spacing w:val="-30"/>
          <w:sz w:val="24"/>
          <w:szCs w:val="24"/>
          <w:lang w:val="da-DK"/>
        </w:rPr>
        <w:t xml:space="preserve"> </w:t>
      </w:r>
      <w:r w:rsidRPr="00C42AFC">
        <w:rPr>
          <w:sz w:val="24"/>
          <w:szCs w:val="24"/>
          <w:lang w:val="da-DK"/>
        </w:rPr>
        <w:t>nyrefunktionen</w:t>
      </w:r>
    </w:p>
    <w:p w:rsidR="00C42AFC" w:rsidRDefault="00C42AFC" w:rsidP="000F34ED">
      <w:pPr>
        <w:autoSpaceDE w:val="0"/>
        <w:autoSpaceDN w:val="0"/>
        <w:adjustRightInd w:val="0"/>
      </w:pPr>
    </w:p>
    <w:tbl>
      <w:tblPr>
        <w:tblW w:w="0" w:type="auto"/>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247"/>
        <w:gridCol w:w="2424"/>
        <w:gridCol w:w="1001"/>
        <w:gridCol w:w="2915"/>
      </w:tblGrid>
      <w:tr w:rsidR="00C42AFC" w:rsidTr="00C42AFC">
        <w:trPr>
          <w:trHeight w:hRule="exact" w:val="264"/>
        </w:trPr>
        <w:tc>
          <w:tcPr>
            <w:tcW w:w="2247" w:type="dxa"/>
            <w:tcBorders>
              <w:top w:val="single" w:sz="4" w:space="0" w:color="000000"/>
              <w:left w:val="single" w:sz="4" w:space="0" w:color="000000"/>
              <w:bottom w:val="single" w:sz="4" w:space="0" w:color="000000"/>
              <w:right w:val="single" w:sz="4" w:space="0" w:color="000000"/>
            </w:tcBorders>
          </w:tcPr>
          <w:p w:rsidR="00C42AFC" w:rsidRDefault="00C42AFC" w:rsidP="000F34ED"/>
        </w:tc>
        <w:tc>
          <w:tcPr>
            <w:tcW w:w="2424" w:type="dxa"/>
            <w:tcBorders>
              <w:top w:val="single" w:sz="4" w:space="0" w:color="000000"/>
              <w:left w:val="single" w:sz="4" w:space="0" w:color="000000"/>
              <w:bottom w:val="single" w:sz="4" w:space="0" w:color="000000"/>
              <w:right w:val="single" w:sz="4" w:space="0" w:color="000000"/>
            </w:tcBorders>
            <w:hideMark/>
          </w:tcPr>
          <w:p w:rsidR="00C42AFC" w:rsidRDefault="00C42AFC" w:rsidP="000F34ED">
            <w:pPr>
              <w:pStyle w:val="TableParagraph"/>
              <w:rPr>
                <w:b/>
              </w:rPr>
            </w:pPr>
            <w:r>
              <w:rPr>
                <w:b/>
              </w:rPr>
              <w:t>Serum-kreatinin</w:t>
            </w:r>
          </w:p>
        </w:tc>
        <w:tc>
          <w:tcPr>
            <w:tcW w:w="1001" w:type="dxa"/>
            <w:tcBorders>
              <w:top w:val="single" w:sz="4" w:space="0" w:color="000000"/>
              <w:left w:val="single" w:sz="4" w:space="0" w:color="000000"/>
              <w:bottom w:val="single" w:sz="4" w:space="0" w:color="000000"/>
              <w:right w:val="single" w:sz="4" w:space="0" w:color="000000"/>
            </w:tcBorders>
          </w:tcPr>
          <w:p w:rsidR="00C42AFC" w:rsidRDefault="00C42AFC" w:rsidP="000F34ED"/>
        </w:tc>
        <w:tc>
          <w:tcPr>
            <w:tcW w:w="2915" w:type="dxa"/>
            <w:tcBorders>
              <w:top w:val="single" w:sz="4" w:space="0" w:color="000000"/>
              <w:left w:val="single" w:sz="4" w:space="0" w:color="000000"/>
              <w:bottom w:val="single" w:sz="4" w:space="0" w:color="000000"/>
              <w:right w:val="single" w:sz="4" w:space="0" w:color="000000"/>
            </w:tcBorders>
            <w:hideMark/>
          </w:tcPr>
          <w:p w:rsidR="00C42AFC" w:rsidRDefault="00C42AFC" w:rsidP="000F34ED">
            <w:pPr>
              <w:pStyle w:val="TableParagraph"/>
              <w:ind w:left="100"/>
              <w:rPr>
                <w:b/>
              </w:rPr>
            </w:pPr>
            <w:r>
              <w:rPr>
                <w:b/>
              </w:rPr>
              <w:t>Kreatinin-clearance</w:t>
            </w:r>
          </w:p>
        </w:tc>
      </w:tr>
      <w:tr w:rsidR="00C42AFC" w:rsidTr="00C42AFC">
        <w:trPr>
          <w:trHeight w:hRule="exact" w:val="516"/>
        </w:trPr>
        <w:tc>
          <w:tcPr>
            <w:tcW w:w="2247" w:type="dxa"/>
            <w:tcBorders>
              <w:top w:val="single" w:sz="4" w:space="0" w:color="000000"/>
              <w:left w:val="single" w:sz="4" w:space="0" w:color="000000"/>
              <w:bottom w:val="single" w:sz="4" w:space="0" w:color="000000"/>
              <w:right w:val="single" w:sz="4" w:space="0" w:color="000000"/>
            </w:tcBorders>
            <w:hideMark/>
          </w:tcPr>
          <w:p w:rsidR="00C42AFC" w:rsidRDefault="00C42AFC" w:rsidP="000F34ED">
            <w:pPr>
              <w:pStyle w:val="TableParagraph"/>
              <w:ind w:right="537"/>
              <w:rPr>
                <w:b/>
              </w:rPr>
            </w:pPr>
            <w:r>
              <w:rPr>
                <w:b/>
              </w:rPr>
              <w:t>Inden behandlingsstart</w:t>
            </w:r>
          </w:p>
        </w:tc>
        <w:tc>
          <w:tcPr>
            <w:tcW w:w="2424" w:type="dxa"/>
            <w:tcBorders>
              <w:top w:val="single" w:sz="4" w:space="0" w:color="000000"/>
              <w:left w:val="single" w:sz="4" w:space="0" w:color="000000"/>
              <w:bottom w:val="single" w:sz="4" w:space="0" w:color="000000"/>
              <w:right w:val="single" w:sz="4" w:space="0" w:color="000000"/>
            </w:tcBorders>
            <w:hideMark/>
          </w:tcPr>
          <w:p w:rsidR="00C42AFC" w:rsidRDefault="00C42AFC" w:rsidP="000F34ED">
            <w:pPr>
              <w:pStyle w:val="TableParagraph"/>
            </w:pPr>
            <w:r>
              <w:t>To gange (2x)</w:t>
            </w:r>
          </w:p>
        </w:tc>
        <w:tc>
          <w:tcPr>
            <w:tcW w:w="1001" w:type="dxa"/>
            <w:tcBorders>
              <w:top w:val="single" w:sz="4" w:space="0" w:color="000000"/>
              <w:left w:val="single" w:sz="4" w:space="0" w:color="000000"/>
              <w:bottom w:val="single" w:sz="4" w:space="0" w:color="000000"/>
              <w:right w:val="single" w:sz="4" w:space="0" w:color="000000"/>
            </w:tcBorders>
            <w:hideMark/>
          </w:tcPr>
          <w:p w:rsidR="00C42AFC" w:rsidRDefault="00C42AFC" w:rsidP="000F34ED">
            <w:pPr>
              <w:pStyle w:val="TableParagraph"/>
            </w:pPr>
            <w:r>
              <w:t>og</w:t>
            </w:r>
          </w:p>
        </w:tc>
        <w:tc>
          <w:tcPr>
            <w:tcW w:w="2915" w:type="dxa"/>
            <w:tcBorders>
              <w:top w:val="single" w:sz="4" w:space="0" w:color="000000"/>
              <w:left w:val="single" w:sz="4" w:space="0" w:color="000000"/>
              <w:bottom w:val="single" w:sz="4" w:space="0" w:color="000000"/>
              <w:right w:val="single" w:sz="4" w:space="0" w:color="000000"/>
            </w:tcBorders>
            <w:hideMark/>
          </w:tcPr>
          <w:p w:rsidR="00C42AFC" w:rsidRDefault="00C42AFC" w:rsidP="000F34ED">
            <w:pPr>
              <w:pStyle w:val="TableParagraph"/>
              <w:ind w:left="100"/>
            </w:pPr>
            <w:r>
              <w:t>En gang (1x)</w:t>
            </w:r>
          </w:p>
        </w:tc>
      </w:tr>
      <w:tr w:rsidR="00C42AFC" w:rsidTr="00C42AFC">
        <w:trPr>
          <w:trHeight w:hRule="exact" w:val="264"/>
        </w:trPr>
        <w:tc>
          <w:tcPr>
            <w:tcW w:w="2247" w:type="dxa"/>
            <w:tcBorders>
              <w:top w:val="single" w:sz="4" w:space="0" w:color="000000"/>
              <w:left w:val="single" w:sz="4" w:space="0" w:color="000000"/>
              <w:bottom w:val="single" w:sz="4" w:space="0" w:color="000000"/>
              <w:right w:val="single" w:sz="4" w:space="0" w:color="000000"/>
            </w:tcBorders>
            <w:hideMark/>
          </w:tcPr>
          <w:p w:rsidR="00C42AFC" w:rsidRDefault="00C42AFC" w:rsidP="000F34ED">
            <w:pPr>
              <w:pStyle w:val="TableParagraph"/>
              <w:rPr>
                <w:b/>
              </w:rPr>
            </w:pPr>
            <w:r>
              <w:rPr>
                <w:b/>
              </w:rPr>
              <w:t>Kontraindiceret</w:t>
            </w:r>
          </w:p>
        </w:tc>
        <w:tc>
          <w:tcPr>
            <w:tcW w:w="2424" w:type="dxa"/>
            <w:tcBorders>
              <w:top w:val="single" w:sz="4" w:space="0" w:color="000000"/>
              <w:left w:val="single" w:sz="4" w:space="0" w:color="000000"/>
              <w:bottom w:val="single" w:sz="4" w:space="0" w:color="000000"/>
              <w:right w:val="single" w:sz="4" w:space="0" w:color="000000"/>
            </w:tcBorders>
          </w:tcPr>
          <w:p w:rsidR="00C42AFC" w:rsidRDefault="00C42AFC" w:rsidP="000F34ED"/>
        </w:tc>
        <w:tc>
          <w:tcPr>
            <w:tcW w:w="1001" w:type="dxa"/>
            <w:tcBorders>
              <w:top w:val="single" w:sz="4" w:space="0" w:color="000000"/>
              <w:left w:val="single" w:sz="4" w:space="0" w:color="000000"/>
              <w:bottom w:val="single" w:sz="4" w:space="0" w:color="000000"/>
              <w:right w:val="single" w:sz="4" w:space="0" w:color="000000"/>
            </w:tcBorders>
          </w:tcPr>
          <w:p w:rsidR="00C42AFC" w:rsidRDefault="00C42AFC" w:rsidP="000F34ED"/>
        </w:tc>
        <w:tc>
          <w:tcPr>
            <w:tcW w:w="2915" w:type="dxa"/>
            <w:tcBorders>
              <w:top w:val="single" w:sz="4" w:space="0" w:color="000000"/>
              <w:left w:val="single" w:sz="4" w:space="0" w:color="000000"/>
              <w:bottom w:val="single" w:sz="4" w:space="0" w:color="000000"/>
              <w:right w:val="single" w:sz="4" w:space="0" w:color="000000"/>
            </w:tcBorders>
            <w:hideMark/>
          </w:tcPr>
          <w:p w:rsidR="00C42AFC" w:rsidRDefault="00C42AFC" w:rsidP="000F34ED">
            <w:pPr>
              <w:pStyle w:val="TableParagraph"/>
              <w:ind w:left="100"/>
              <w:rPr>
                <w:b/>
              </w:rPr>
            </w:pPr>
            <w:r>
              <w:rPr>
                <w:b/>
              </w:rPr>
              <w:t>&lt;60 ml/min</w:t>
            </w:r>
          </w:p>
        </w:tc>
      </w:tr>
      <w:tr w:rsidR="00C42AFC" w:rsidTr="00C42AFC">
        <w:trPr>
          <w:trHeight w:hRule="exact" w:val="263"/>
        </w:trPr>
        <w:tc>
          <w:tcPr>
            <w:tcW w:w="2247" w:type="dxa"/>
            <w:tcBorders>
              <w:top w:val="single" w:sz="4" w:space="0" w:color="000000"/>
              <w:left w:val="single" w:sz="4" w:space="0" w:color="000000"/>
              <w:bottom w:val="nil"/>
              <w:right w:val="single" w:sz="4" w:space="0" w:color="000000"/>
            </w:tcBorders>
            <w:hideMark/>
          </w:tcPr>
          <w:p w:rsidR="00C42AFC" w:rsidRDefault="00C42AFC" w:rsidP="000F34ED">
            <w:pPr>
              <w:pStyle w:val="TableParagraph"/>
              <w:rPr>
                <w:b/>
              </w:rPr>
            </w:pPr>
            <w:r>
              <w:rPr>
                <w:b/>
              </w:rPr>
              <w:t>Monitorering</w:t>
            </w:r>
          </w:p>
        </w:tc>
        <w:tc>
          <w:tcPr>
            <w:tcW w:w="2424" w:type="dxa"/>
            <w:tcBorders>
              <w:top w:val="single" w:sz="4" w:space="0" w:color="000000"/>
              <w:left w:val="single" w:sz="4" w:space="0" w:color="000000"/>
              <w:bottom w:val="nil"/>
              <w:right w:val="single" w:sz="4" w:space="0" w:color="000000"/>
            </w:tcBorders>
          </w:tcPr>
          <w:p w:rsidR="00C42AFC" w:rsidRDefault="00C42AFC" w:rsidP="000F34ED"/>
        </w:tc>
        <w:tc>
          <w:tcPr>
            <w:tcW w:w="1001" w:type="dxa"/>
            <w:tcBorders>
              <w:top w:val="single" w:sz="4" w:space="0" w:color="000000"/>
              <w:left w:val="single" w:sz="4" w:space="0" w:color="000000"/>
              <w:bottom w:val="nil"/>
              <w:right w:val="single" w:sz="4" w:space="0" w:color="000000"/>
            </w:tcBorders>
          </w:tcPr>
          <w:p w:rsidR="00C42AFC" w:rsidRDefault="00C42AFC" w:rsidP="000F34ED"/>
        </w:tc>
        <w:tc>
          <w:tcPr>
            <w:tcW w:w="2915" w:type="dxa"/>
            <w:tcBorders>
              <w:top w:val="single" w:sz="4" w:space="0" w:color="000000"/>
              <w:left w:val="single" w:sz="4" w:space="0" w:color="000000"/>
              <w:bottom w:val="nil"/>
              <w:right w:val="single" w:sz="4" w:space="0" w:color="000000"/>
            </w:tcBorders>
          </w:tcPr>
          <w:p w:rsidR="00C42AFC" w:rsidRDefault="00C42AFC" w:rsidP="000F34ED"/>
        </w:tc>
      </w:tr>
      <w:tr w:rsidR="00C42AFC" w:rsidTr="00C42AFC">
        <w:trPr>
          <w:trHeight w:hRule="exact" w:val="1554"/>
        </w:trPr>
        <w:tc>
          <w:tcPr>
            <w:tcW w:w="2247" w:type="dxa"/>
            <w:tcBorders>
              <w:top w:val="nil"/>
              <w:left w:val="single" w:sz="4" w:space="0" w:color="000000"/>
              <w:bottom w:val="nil"/>
              <w:right w:val="single" w:sz="4" w:space="0" w:color="000000"/>
            </w:tcBorders>
            <w:hideMark/>
          </w:tcPr>
          <w:p w:rsidR="00C42AFC" w:rsidRDefault="00C42AFC" w:rsidP="000F34ED">
            <w:pPr>
              <w:pStyle w:val="TableParagraph"/>
              <w:tabs>
                <w:tab w:val="left" w:pos="463"/>
              </w:tabs>
              <w:ind w:left="463" w:right="102" w:hanging="360"/>
              <w:rPr>
                <w:lang w:val="da-DK"/>
              </w:rPr>
            </w:pPr>
            <w:r>
              <w:rPr>
                <w:lang w:val="da-DK"/>
              </w:rPr>
              <w:t>-</w:t>
            </w:r>
            <w:r>
              <w:rPr>
                <w:lang w:val="da-DK"/>
              </w:rPr>
              <w:tab/>
              <w:t>Første</w:t>
            </w:r>
            <w:r>
              <w:rPr>
                <w:spacing w:val="-3"/>
                <w:lang w:val="da-DK"/>
              </w:rPr>
              <w:t xml:space="preserve"> </w:t>
            </w:r>
            <w:r>
              <w:rPr>
                <w:lang w:val="da-DK"/>
              </w:rPr>
              <w:t>måned</w:t>
            </w:r>
            <w:r>
              <w:rPr>
                <w:spacing w:val="-3"/>
                <w:lang w:val="da-DK"/>
              </w:rPr>
              <w:t xml:space="preserve"> </w:t>
            </w:r>
            <w:r>
              <w:rPr>
                <w:lang w:val="da-DK"/>
              </w:rPr>
              <w:t>efter behandlingsstart eller dosisjustering (inklusive skift til anden formulering)</w:t>
            </w:r>
          </w:p>
        </w:tc>
        <w:tc>
          <w:tcPr>
            <w:tcW w:w="2424" w:type="dxa"/>
            <w:tcBorders>
              <w:top w:val="nil"/>
              <w:left w:val="single" w:sz="4" w:space="0" w:color="000000"/>
              <w:bottom w:val="nil"/>
              <w:right w:val="single" w:sz="4" w:space="0" w:color="000000"/>
            </w:tcBorders>
            <w:hideMark/>
          </w:tcPr>
          <w:p w:rsidR="00C42AFC" w:rsidRDefault="00C42AFC" w:rsidP="000F34ED">
            <w:pPr>
              <w:pStyle w:val="TableParagraph"/>
            </w:pPr>
            <w:r>
              <w:t>Ugentligt</w:t>
            </w:r>
          </w:p>
        </w:tc>
        <w:tc>
          <w:tcPr>
            <w:tcW w:w="1001" w:type="dxa"/>
            <w:tcBorders>
              <w:top w:val="nil"/>
              <w:left w:val="single" w:sz="4" w:space="0" w:color="000000"/>
              <w:bottom w:val="nil"/>
              <w:right w:val="single" w:sz="4" w:space="0" w:color="000000"/>
            </w:tcBorders>
            <w:hideMark/>
          </w:tcPr>
          <w:p w:rsidR="00C42AFC" w:rsidRDefault="00C42AFC" w:rsidP="000F34ED">
            <w:pPr>
              <w:pStyle w:val="TableParagraph"/>
            </w:pPr>
            <w:r>
              <w:t>og</w:t>
            </w:r>
          </w:p>
        </w:tc>
        <w:tc>
          <w:tcPr>
            <w:tcW w:w="2915" w:type="dxa"/>
            <w:tcBorders>
              <w:top w:val="nil"/>
              <w:left w:val="single" w:sz="4" w:space="0" w:color="000000"/>
              <w:bottom w:val="nil"/>
              <w:right w:val="single" w:sz="4" w:space="0" w:color="000000"/>
            </w:tcBorders>
            <w:hideMark/>
          </w:tcPr>
          <w:p w:rsidR="00C42AFC" w:rsidRDefault="00C42AFC" w:rsidP="000F34ED">
            <w:pPr>
              <w:pStyle w:val="TableParagraph"/>
              <w:ind w:left="100"/>
            </w:pPr>
            <w:r>
              <w:t>Ugentligt</w:t>
            </w:r>
          </w:p>
        </w:tc>
      </w:tr>
      <w:tr w:rsidR="00C42AFC" w:rsidTr="00C42AFC">
        <w:trPr>
          <w:trHeight w:hRule="exact" w:val="491"/>
        </w:trPr>
        <w:tc>
          <w:tcPr>
            <w:tcW w:w="2247" w:type="dxa"/>
            <w:tcBorders>
              <w:top w:val="nil"/>
              <w:left w:val="single" w:sz="4" w:space="0" w:color="000000"/>
              <w:bottom w:val="single" w:sz="4" w:space="0" w:color="000000"/>
              <w:right w:val="single" w:sz="4" w:space="0" w:color="000000"/>
            </w:tcBorders>
            <w:hideMark/>
          </w:tcPr>
          <w:p w:rsidR="00C42AFC" w:rsidRDefault="00C42AFC" w:rsidP="000F34ED">
            <w:pPr>
              <w:pStyle w:val="TableParagraph"/>
              <w:tabs>
                <w:tab w:val="left" w:pos="463"/>
              </w:tabs>
            </w:pPr>
            <w:r>
              <w:t>-</w:t>
            </w:r>
            <w:r>
              <w:tab/>
              <w:t>Herefter</w:t>
            </w:r>
          </w:p>
        </w:tc>
        <w:tc>
          <w:tcPr>
            <w:tcW w:w="2424" w:type="dxa"/>
            <w:tcBorders>
              <w:top w:val="nil"/>
              <w:left w:val="single" w:sz="4" w:space="0" w:color="000000"/>
              <w:bottom w:val="single" w:sz="4" w:space="0" w:color="000000"/>
              <w:right w:val="single" w:sz="4" w:space="0" w:color="000000"/>
            </w:tcBorders>
            <w:hideMark/>
          </w:tcPr>
          <w:p w:rsidR="00C42AFC" w:rsidRDefault="00C42AFC" w:rsidP="000F34ED">
            <w:pPr>
              <w:pStyle w:val="TableParagraph"/>
            </w:pPr>
            <w:r>
              <w:t>Månedligt</w:t>
            </w:r>
          </w:p>
        </w:tc>
        <w:tc>
          <w:tcPr>
            <w:tcW w:w="1001" w:type="dxa"/>
            <w:tcBorders>
              <w:top w:val="nil"/>
              <w:left w:val="single" w:sz="4" w:space="0" w:color="000000"/>
              <w:bottom w:val="single" w:sz="4" w:space="0" w:color="000000"/>
              <w:right w:val="single" w:sz="4" w:space="0" w:color="000000"/>
            </w:tcBorders>
            <w:hideMark/>
          </w:tcPr>
          <w:p w:rsidR="00C42AFC" w:rsidRDefault="00C42AFC" w:rsidP="000F34ED">
            <w:pPr>
              <w:pStyle w:val="TableParagraph"/>
            </w:pPr>
            <w:r>
              <w:t>og</w:t>
            </w:r>
          </w:p>
        </w:tc>
        <w:tc>
          <w:tcPr>
            <w:tcW w:w="2915" w:type="dxa"/>
            <w:tcBorders>
              <w:top w:val="nil"/>
              <w:left w:val="single" w:sz="4" w:space="0" w:color="000000"/>
              <w:bottom w:val="single" w:sz="4" w:space="0" w:color="000000"/>
              <w:right w:val="single" w:sz="4" w:space="0" w:color="000000"/>
            </w:tcBorders>
            <w:hideMark/>
          </w:tcPr>
          <w:p w:rsidR="00C42AFC" w:rsidRDefault="00C42AFC" w:rsidP="000F34ED">
            <w:pPr>
              <w:pStyle w:val="TableParagraph"/>
              <w:ind w:left="100"/>
            </w:pPr>
            <w:r>
              <w:t>Månedligt</w:t>
            </w:r>
          </w:p>
        </w:tc>
      </w:tr>
      <w:tr w:rsidR="00C42AFC" w:rsidTr="00C42AFC">
        <w:trPr>
          <w:trHeight w:val="773"/>
        </w:trPr>
        <w:tc>
          <w:tcPr>
            <w:tcW w:w="8587" w:type="dxa"/>
            <w:gridSpan w:val="4"/>
            <w:tcBorders>
              <w:top w:val="single" w:sz="4" w:space="0" w:color="000000"/>
              <w:left w:val="single" w:sz="4" w:space="0" w:color="000000"/>
              <w:bottom w:val="single" w:sz="4" w:space="0" w:color="000000"/>
              <w:right w:val="single" w:sz="4" w:space="0" w:color="000000"/>
            </w:tcBorders>
            <w:hideMark/>
          </w:tcPr>
          <w:p w:rsidR="00C42AFC" w:rsidRDefault="00C42AFC" w:rsidP="000F34ED">
            <w:pPr>
              <w:pStyle w:val="TableParagraph"/>
              <w:rPr>
                <w:lang w:val="da-DK"/>
              </w:rPr>
            </w:pPr>
            <w:r>
              <w:rPr>
                <w:b/>
                <w:lang w:val="da-DK"/>
              </w:rPr>
              <w:t xml:space="preserve">Reduktion af daglig dosis med 7 mg/kg/dag </w:t>
            </w:r>
            <w:r>
              <w:rPr>
                <w:lang w:val="da-DK"/>
              </w:rPr>
              <w:t>(filmovertrukken tablet),</w:t>
            </w:r>
          </w:p>
          <w:p w:rsidR="00C42AFC" w:rsidRDefault="00C42AFC" w:rsidP="000F34ED">
            <w:pPr>
              <w:pStyle w:val="TableParagraph"/>
              <w:ind w:right="352"/>
              <w:rPr>
                <w:i/>
                <w:lang w:val="da-DK"/>
              </w:rPr>
            </w:pPr>
            <w:r>
              <w:rPr>
                <w:i/>
                <w:lang w:val="da-DK"/>
              </w:rPr>
              <w:t xml:space="preserve">hvis følgende renale parametre er set ved </w:t>
            </w:r>
            <w:r>
              <w:rPr>
                <w:b/>
                <w:i/>
                <w:lang w:val="da-DK"/>
              </w:rPr>
              <w:t xml:space="preserve">to </w:t>
            </w:r>
            <w:r>
              <w:rPr>
                <w:i/>
                <w:lang w:val="da-DK"/>
              </w:rPr>
              <w:t>på hinanden følgende kontrolbesøg og ikke kan forklares af andre årsager</w:t>
            </w:r>
          </w:p>
        </w:tc>
      </w:tr>
      <w:tr w:rsidR="00C42AFC" w:rsidTr="00C42AFC">
        <w:trPr>
          <w:trHeight w:hRule="exact" w:val="763"/>
        </w:trPr>
        <w:tc>
          <w:tcPr>
            <w:tcW w:w="2247" w:type="dxa"/>
            <w:tcBorders>
              <w:top w:val="single" w:sz="4" w:space="0" w:color="000000"/>
              <w:left w:val="single" w:sz="4" w:space="0" w:color="000000"/>
              <w:bottom w:val="nil"/>
              <w:right w:val="single" w:sz="4" w:space="0" w:color="000000"/>
            </w:tcBorders>
            <w:hideMark/>
          </w:tcPr>
          <w:p w:rsidR="00C42AFC" w:rsidRDefault="00C42AFC" w:rsidP="000F34ED">
            <w:pPr>
              <w:pStyle w:val="TableParagraph"/>
            </w:pPr>
            <w:r>
              <w:t>Voksne patienter</w:t>
            </w:r>
          </w:p>
        </w:tc>
        <w:tc>
          <w:tcPr>
            <w:tcW w:w="2424" w:type="dxa"/>
            <w:tcBorders>
              <w:top w:val="single" w:sz="4" w:space="0" w:color="000000"/>
              <w:left w:val="single" w:sz="4" w:space="0" w:color="000000"/>
              <w:bottom w:val="nil"/>
              <w:right w:val="single" w:sz="4" w:space="0" w:color="000000"/>
            </w:tcBorders>
            <w:hideMark/>
          </w:tcPr>
          <w:p w:rsidR="00C42AFC" w:rsidRDefault="00C42AFC" w:rsidP="000F34ED">
            <w:pPr>
              <w:pStyle w:val="TableParagraph"/>
              <w:ind w:right="446"/>
              <w:rPr>
                <w:lang w:val="da-DK"/>
              </w:rPr>
            </w:pPr>
            <w:r>
              <w:rPr>
                <w:lang w:val="da-DK"/>
              </w:rPr>
              <w:t>&gt;33</w:t>
            </w:r>
            <w:r w:rsidR="00167916">
              <w:rPr>
                <w:lang w:val="da-DK"/>
              </w:rPr>
              <w:t xml:space="preserve"> %</w:t>
            </w:r>
            <w:r>
              <w:rPr>
                <w:lang w:val="da-DK"/>
              </w:rPr>
              <w:t xml:space="preserve"> over gennemsnittet fra før behandling</w:t>
            </w:r>
          </w:p>
        </w:tc>
        <w:tc>
          <w:tcPr>
            <w:tcW w:w="1001" w:type="dxa"/>
            <w:tcBorders>
              <w:top w:val="single" w:sz="4" w:space="0" w:color="000000"/>
              <w:left w:val="single" w:sz="4" w:space="0" w:color="000000"/>
              <w:bottom w:val="nil"/>
              <w:right w:val="single" w:sz="4" w:space="0" w:color="000000"/>
            </w:tcBorders>
            <w:hideMark/>
          </w:tcPr>
          <w:p w:rsidR="00C42AFC" w:rsidRDefault="00C42AFC" w:rsidP="000F34ED">
            <w:pPr>
              <w:pStyle w:val="TableParagraph"/>
            </w:pPr>
            <w:r>
              <w:t>og</w:t>
            </w:r>
          </w:p>
        </w:tc>
        <w:tc>
          <w:tcPr>
            <w:tcW w:w="2915" w:type="dxa"/>
            <w:tcBorders>
              <w:top w:val="single" w:sz="4" w:space="0" w:color="000000"/>
              <w:left w:val="single" w:sz="4" w:space="0" w:color="000000"/>
              <w:bottom w:val="nil"/>
              <w:right w:val="single" w:sz="4" w:space="0" w:color="000000"/>
            </w:tcBorders>
            <w:hideMark/>
          </w:tcPr>
          <w:p w:rsidR="00C42AFC" w:rsidRDefault="00C42AFC" w:rsidP="000F34ED">
            <w:pPr>
              <w:pStyle w:val="TableParagraph"/>
              <w:ind w:left="100" w:right="1261"/>
            </w:pPr>
            <w:r>
              <w:t>Faldende &lt;LLN* (&lt;90 ml/min)</w:t>
            </w:r>
          </w:p>
        </w:tc>
      </w:tr>
      <w:tr w:rsidR="00C42AFC" w:rsidTr="00C42AFC">
        <w:trPr>
          <w:trHeight w:hRule="exact" w:val="514"/>
        </w:trPr>
        <w:tc>
          <w:tcPr>
            <w:tcW w:w="2247" w:type="dxa"/>
            <w:tcBorders>
              <w:top w:val="nil"/>
              <w:left w:val="single" w:sz="4" w:space="0" w:color="000000"/>
              <w:bottom w:val="single" w:sz="4" w:space="0" w:color="000000"/>
              <w:right w:val="single" w:sz="4" w:space="0" w:color="000000"/>
            </w:tcBorders>
            <w:hideMark/>
          </w:tcPr>
          <w:p w:rsidR="00C42AFC" w:rsidRDefault="00C42AFC" w:rsidP="000F34ED">
            <w:pPr>
              <w:pStyle w:val="TableParagraph"/>
            </w:pPr>
            <w:r>
              <w:t>Pædiatriske patienter</w:t>
            </w:r>
          </w:p>
        </w:tc>
        <w:tc>
          <w:tcPr>
            <w:tcW w:w="2424" w:type="dxa"/>
            <w:tcBorders>
              <w:top w:val="nil"/>
              <w:left w:val="single" w:sz="4" w:space="0" w:color="000000"/>
              <w:bottom w:val="single" w:sz="4" w:space="0" w:color="000000"/>
              <w:right w:val="single" w:sz="4" w:space="0" w:color="000000"/>
            </w:tcBorders>
            <w:hideMark/>
          </w:tcPr>
          <w:p w:rsidR="00C42AFC" w:rsidRDefault="00C42AFC" w:rsidP="000F34ED">
            <w:pPr>
              <w:pStyle w:val="TableParagraph"/>
            </w:pPr>
            <w:r>
              <w:t>Aldersrelateret ULN**</w:t>
            </w:r>
          </w:p>
        </w:tc>
        <w:tc>
          <w:tcPr>
            <w:tcW w:w="1001" w:type="dxa"/>
            <w:tcBorders>
              <w:top w:val="nil"/>
              <w:left w:val="single" w:sz="4" w:space="0" w:color="000000"/>
              <w:bottom w:val="single" w:sz="4" w:space="0" w:color="000000"/>
              <w:right w:val="single" w:sz="4" w:space="0" w:color="000000"/>
            </w:tcBorders>
            <w:hideMark/>
          </w:tcPr>
          <w:p w:rsidR="00C42AFC" w:rsidRDefault="00C42AFC" w:rsidP="000F34ED">
            <w:pPr>
              <w:pStyle w:val="TableParagraph"/>
            </w:pPr>
            <w:r>
              <w:t>og/eller</w:t>
            </w:r>
          </w:p>
        </w:tc>
        <w:tc>
          <w:tcPr>
            <w:tcW w:w="2915" w:type="dxa"/>
            <w:tcBorders>
              <w:top w:val="nil"/>
              <w:left w:val="single" w:sz="4" w:space="0" w:color="000000"/>
              <w:bottom w:val="single" w:sz="4" w:space="0" w:color="000000"/>
              <w:right w:val="single" w:sz="4" w:space="0" w:color="000000"/>
            </w:tcBorders>
            <w:hideMark/>
          </w:tcPr>
          <w:p w:rsidR="00C42AFC" w:rsidRDefault="00C42AFC" w:rsidP="000F34ED">
            <w:pPr>
              <w:pStyle w:val="TableParagraph"/>
              <w:ind w:left="100" w:right="1261"/>
            </w:pPr>
            <w:r>
              <w:t>Faldende &lt;LLN* (&lt;90 ml/min)</w:t>
            </w:r>
          </w:p>
        </w:tc>
      </w:tr>
      <w:tr w:rsidR="00C42AFC" w:rsidTr="00C42AFC">
        <w:trPr>
          <w:trHeight w:val="262"/>
        </w:trPr>
        <w:tc>
          <w:tcPr>
            <w:tcW w:w="8587" w:type="dxa"/>
            <w:gridSpan w:val="4"/>
            <w:tcBorders>
              <w:top w:val="single" w:sz="4" w:space="0" w:color="000000"/>
              <w:left w:val="single" w:sz="4" w:space="0" w:color="000000"/>
              <w:bottom w:val="single" w:sz="4" w:space="0" w:color="000000"/>
              <w:right w:val="single" w:sz="4" w:space="0" w:color="000000"/>
            </w:tcBorders>
            <w:hideMark/>
          </w:tcPr>
          <w:p w:rsidR="00C42AFC" w:rsidRDefault="00C42AFC" w:rsidP="000F34ED">
            <w:pPr>
              <w:pStyle w:val="TableParagraph"/>
              <w:rPr>
                <w:b/>
              </w:rPr>
            </w:pPr>
            <w:r>
              <w:rPr>
                <w:b/>
              </w:rPr>
              <w:t>Efter dosisreduktion, behandlingsafbrydelse, hvis</w:t>
            </w:r>
          </w:p>
        </w:tc>
      </w:tr>
      <w:tr w:rsidR="00C42AFC" w:rsidTr="00C42AFC">
        <w:trPr>
          <w:trHeight w:hRule="exact" w:val="771"/>
        </w:trPr>
        <w:tc>
          <w:tcPr>
            <w:tcW w:w="2247" w:type="dxa"/>
            <w:tcBorders>
              <w:top w:val="single" w:sz="4" w:space="0" w:color="000000"/>
              <w:left w:val="single" w:sz="4" w:space="0" w:color="000000"/>
              <w:bottom w:val="single" w:sz="4" w:space="0" w:color="000000"/>
              <w:right w:val="single" w:sz="4" w:space="0" w:color="000000"/>
            </w:tcBorders>
            <w:hideMark/>
          </w:tcPr>
          <w:p w:rsidR="00C42AFC" w:rsidRDefault="00C42AFC" w:rsidP="000F34ED">
            <w:pPr>
              <w:pStyle w:val="TableParagraph"/>
            </w:pPr>
            <w:r>
              <w:t>Voksne og børn</w:t>
            </w:r>
          </w:p>
        </w:tc>
        <w:tc>
          <w:tcPr>
            <w:tcW w:w="2424" w:type="dxa"/>
            <w:tcBorders>
              <w:top w:val="single" w:sz="4" w:space="0" w:color="000000"/>
              <w:left w:val="single" w:sz="4" w:space="0" w:color="000000"/>
              <w:bottom w:val="single" w:sz="4" w:space="0" w:color="000000"/>
              <w:right w:val="single" w:sz="4" w:space="0" w:color="000000"/>
            </w:tcBorders>
            <w:hideMark/>
          </w:tcPr>
          <w:p w:rsidR="00C42AFC" w:rsidRDefault="00C42AFC" w:rsidP="000F34ED">
            <w:pPr>
              <w:pStyle w:val="TableParagraph"/>
              <w:ind w:right="461"/>
              <w:jc w:val="both"/>
              <w:rPr>
                <w:lang w:val="da-DK"/>
              </w:rPr>
            </w:pPr>
            <w:r>
              <w:rPr>
                <w:lang w:val="da-DK"/>
              </w:rPr>
              <w:t>Forbliver &gt;33</w:t>
            </w:r>
            <w:r w:rsidR="00167916">
              <w:rPr>
                <w:lang w:val="da-DK"/>
              </w:rPr>
              <w:t xml:space="preserve"> %</w:t>
            </w:r>
            <w:r>
              <w:rPr>
                <w:lang w:val="da-DK"/>
              </w:rPr>
              <w:t xml:space="preserve"> over gennemsnittet fra før behandling</w:t>
            </w:r>
          </w:p>
        </w:tc>
        <w:tc>
          <w:tcPr>
            <w:tcW w:w="1001" w:type="dxa"/>
            <w:tcBorders>
              <w:top w:val="single" w:sz="4" w:space="0" w:color="000000"/>
              <w:left w:val="single" w:sz="4" w:space="0" w:color="000000"/>
              <w:bottom w:val="single" w:sz="4" w:space="0" w:color="000000"/>
              <w:right w:val="single" w:sz="4" w:space="0" w:color="000000"/>
            </w:tcBorders>
            <w:hideMark/>
          </w:tcPr>
          <w:p w:rsidR="00C42AFC" w:rsidRDefault="00C42AFC" w:rsidP="000F34ED">
            <w:pPr>
              <w:pStyle w:val="TableParagraph"/>
            </w:pPr>
            <w:r>
              <w:t>og/eller</w:t>
            </w:r>
          </w:p>
        </w:tc>
        <w:tc>
          <w:tcPr>
            <w:tcW w:w="2915" w:type="dxa"/>
            <w:tcBorders>
              <w:top w:val="single" w:sz="4" w:space="0" w:color="000000"/>
              <w:left w:val="single" w:sz="4" w:space="0" w:color="000000"/>
              <w:bottom w:val="single" w:sz="4" w:space="0" w:color="000000"/>
              <w:right w:val="single" w:sz="4" w:space="0" w:color="000000"/>
            </w:tcBorders>
            <w:hideMark/>
          </w:tcPr>
          <w:p w:rsidR="00C42AFC" w:rsidRDefault="00C42AFC" w:rsidP="000F34ED">
            <w:pPr>
              <w:pStyle w:val="TableParagraph"/>
              <w:ind w:left="100" w:right="1261"/>
            </w:pPr>
            <w:r>
              <w:t>Faldende &lt;LLN* (&lt;90 ml/min)</w:t>
            </w:r>
          </w:p>
        </w:tc>
      </w:tr>
      <w:tr w:rsidR="00C42AFC" w:rsidTr="00C42AFC">
        <w:trPr>
          <w:trHeight w:val="526"/>
        </w:trPr>
        <w:tc>
          <w:tcPr>
            <w:tcW w:w="8587" w:type="dxa"/>
            <w:gridSpan w:val="4"/>
            <w:tcBorders>
              <w:top w:val="single" w:sz="4" w:space="0" w:color="000000"/>
              <w:left w:val="single" w:sz="4" w:space="0" w:color="000000"/>
              <w:bottom w:val="single" w:sz="4" w:space="0" w:color="000000"/>
              <w:right w:val="single" w:sz="4" w:space="0" w:color="000000"/>
            </w:tcBorders>
            <w:hideMark/>
          </w:tcPr>
          <w:p w:rsidR="00C42AFC" w:rsidRDefault="00C42AFC" w:rsidP="000F34ED">
            <w:pPr>
              <w:pStyle w:val="TableParagraph"/>
              <w:rPr>
                <w:lang w:val="da-DK"/>
              </w:rPr>
            </w:pPr>
            <w:r>
              <w:rPr>
                <w:lang w:val="da-DK"/>
              </w:rPr>
              <w:t>*LLN: nedre grænse af normalområdet</w:t>
            </w:r>
          </w:p>
          <w:p w:rsidR="00C42AFC" w:rsidRDefault="00C42AFC" w:rsidP="000F34ED">
            <w:pPr>
              <w:pStyle w:val="TableParagraph"/>
              <w:rPr>
                <w:lang w:val="da-DK"/>
              </w:rPr>
            </w:pPr>
            <w:r>
              <w:rPr>
                <w:lang w:val="da-DK"/>
              </w:rPr>
              <w:t>**ULN: øvre grænse af normalområdet</w:t>
            </w:r>
          </w:p>
        </w:tc>
      </w:tr>
    </w:tbl>
    <w:p w:rsidR="00C42AFC" w:rsidRPr="00C42AFC" w:rsidRDefault="00C42AFC" w:rsidP="000F34ED">
      <w:pPr>
        <w:pStyle w:val="Brdtekst"/>
        <w:ind w:left="851"/>
        <w:rPr>
          <w:sz w:val="24"/>
          <w:szCs w:val="24"/>
          <w:lang w:val="da-DK"/>
        </w:rPr>
      </w:pPr>
    </w:p>
    <w:p w:rsidR="00C42AFC" w:rsidRPr="00C42AFC" w:rsidRDefault="00C42AFC" w:rsidP="000F34ED">
      <w:pPr>
        <w:pStyle w:val="Brdtekst"/>
        <w:ind w:left="851"/>
        <w:rPr>
          <w:sz w:val="24"/>
          <w:szCs w:val="24"/>
          <w:lang w:val="da-DK"/>
        </w:rPr>
      </w:pPr>
      <w:r w:rsidRPr="00C42AFC">
        <w:rPr>
          <w:sz w:val="24"/>
          <w:szCs w:val="24"/>
          <w:lang w:val="da-DK"/>
        </w:rPr>
        <w:t>Behandling kan, afhængigt af den enkelte patients omstændigheder, genoptages.</w:t>
      </w:r>
    </w:p>
    <w:p w:rsidR="00C42AFC" w:rsidRPr="00C42AFC" w:rsidRDefault="00C42AFC" w:rsidP="000F34ED">
      <w:pPr>
        <w:pStyle w:val="Brdtekst"/>
        <w:ind w:left="851"/>
        <w:rPr>
          <w:sz w:val="24"/>
          <w:szCs w:val="24"/>
          <w:lang w:val="da-DK"/>
        </w:rPr>
      </w:pPr>
    </w:p>
    <w:p w:rsidR="00C42AFC" w:rsidRPr="00C42AFC" w:rsidRDefault="00C42AFC" w:rsidP="000F34ED">
      <w:pPr>
        <w:pStyle w:val="Brdtekst"/>
        <w:ind w:left="851"/>
        <w:rPr>
          <w:sz w:val="24"/>
          <w:szCs w:val="24"/>
          <w:lang w:val="da-DK"/>
        </w:rPr>
      </w:pPr>
      <w:r w:rsidRPr="00C42AFC">
        <w:rPr>
          <w:sz w:val="24"/>
          <w:szCs w:val="24"/>
          <w:lang w:val="da-DK"/>
        </w:rPr>
        <w:t>Dosisreduktion eller afbrydelse kan også overvejes, hvis uregelmæssigheder opstår i niveauer for markører af nyretubulær funktion og/eller som klinisk indiceret:</w:t>
      </w:r>
    </w:p>
    <w:p w:rsidR="00C42AFC" w:rsidRPr="00C42AFC" w:rsidRDefault="00C42AFC" w:rsidP="008E6426">
      <w:pPr>
        <w:pStyle w:val="Listeafsnit"/>
        <w:widowControl w:val="0"/>
        <w:numPr>
          <w:ilvl w:val="0"/>
          <w:numId w:val="7"/>
        </w:numPr>
        <w:autoSpaceDE w:val="0"/>
        <w:autoSpaceDN w:val="0"/>
        <w:ind w:left="1134" w:hanging="283"/>
        <w:rPr>
          <w:sz w:val="24"/>
          <w:szCs w:val="24"/>
        </w:rPr>
      </w:pPr>
      <w:r w:rsidRPr="00C42AFC">
        <w:rPr>
          <w:sz w:val="24"/>
          <w:szCs w:val="24"/>
        </w:rPr>
        <w:t>Proteinuria (test bør foretages inden behandlingsstart, og efterfølgende</w:t>
      </w:r>
      <w:r w:rsidRPr="00C42AFC">
        <w:rPr>
          <w:spacing w:val="-34"/>
          <w:sz w:val="24"/>
          <w:szCs w:val="24"/>
        </w:rPr>
        <w:t xml:space="preserve"> </w:t>
      </w:r>
      <w:r w:rsidRPr="00C42AFC">
        <w:rPr>
          <w:sz w:val="24"/>
          <w:szCs w:val="24"/>
        </w:rPr>
        <w:t>månedligt)</w:t>
      </w:r>
    </w:p>
    <w:p w:rsidR="00C42AFC" w:rsidRPr="00C42AFC" w:rsidRDefault="00C42AFC" w:rsidP="008E6426">
      <w:pPr>
        <w:pStyle w:val="Listeafsnit"/>
        <w:widowControl w:val="0"/>
        <w:numPr>
          <w:ilvl w:val="0"/>
          <w:numId w:val="7"/>
        </w:numPr>
        <w:autoSpaceDE w:val="0"/>
        <w:autoSpaceDN w:val="0"/>
        <w:ind w:left="1134" w:hanging="283"/>
        <w:rPr>
          <w:sz w:val="24"/>
          <w:szCs w:val="24"/>
        </w:rPr>
      </w:pPr>
      <w:r w:rsidRPr="00C42AFC">
        <w:rPr>
          <w:sz w:val="24"/>
          <w:szCs w:val="24"/>
        </w:rPr>
        <w:t>Glukosuria hos ikke-diabetiske patienter og lave serumkoncentrationer af kalcium, fosfat, magnesium eller urat, fosfaturi, aminoaciduri (monitoreres efter</w:t>
      </w:r>
      <w:r w:rsidRPr="00C42AFC">
        <w:rPr>
          <w:spacing w:val="-22"/>
          <w:sz w:val="24"/>
          <w:szCs w:val="24"/>
        </w:rPr>
        <w:t xml:space="preserve"> </w:t>
      </w:r>
      <w:r w:rsidRPr="00C42AFC">
        <w:rPr>
          <w:sz w:val="24"/>
          <w:szCs w:val="24"/>
        </w:rPr>
        <w:t>behov)</w:t>
      </w:r>
      <w:r w:rsidR="00FD0336">
        <w:rPr>
          <w:sz w:val="24"/>
          <w:szCs w:val="24"/>
        </w:rPr>
        <w:t>.</w:t>
      </w:r>
    </w:p>
    <w:p w:rsidR="00C42AFC" w:rsidRPr="00C42AFC" w:rsidRDefault="00C42AFC" w:rsidP="008E6426">
      <w:pPr>
        <w:pStyle w:val="Brdtekst"/>
        <w:ind w:left="1134"/>
        <w:rPr>
          <w:sz w:val="24"/>
          <w:szCs w:val="24"/>
          <w:lang w:val="da-DK"/>
        </w:rPr>
      </w:pPr>
      <w:r w:rsidRPr="00C42AFC">
        <w:rPr>
          <w:sz w:val="24"/>
          <w:szCs w:val="24"/>
          <w:lang w:val="da-DK"/>
        </w:rPr>
        <w:t>Renal tubulopati er hovedsageligt set hos børn og unge med beta-talassæmi og som blev behandlet med Deferasirox "Sandoz".</w:t>
      </w:r>
    </w:p>
    <w:p w:rsidR="00C42AFC" w:rsidRPr="00C42AFC" w:rsidRDefault="00C42AFC" w:rsidP="000F34ED">
      <w:pPr>
        <w:pStyle w:val="Brdtekst"/>
        <w:ind w:left="851"/>
        <w:rPr>
          <w:sz w:val="24"/>
          <w:szCs w:val="24"/>
          <w:lang w:val="da-DK"/>
        </w:rPr>
      </w:pPr>
    </w:p>
    <w:p w:rsidR="00C42AFC" w:rsidRPr="00C42AFC" w:rsidRDefault="00C42AFC" w:rsidP="000F34ED">
      <w:pPr>
        <w:pStyle w:val="Brdtekst"/>
        <w:ind w:left="851"/>
        <w:rPr>
          <w:sz w:val="24"/>
          <w:szCs w:val="24"/>
          <w:lang w:val="da-DK"/>
        </w:rPr>
      </w:pPr>
      <w:r w:rsidRPr="00C42AFC">
        <w:rPr>
          <w:sz w:val="24"/>
          <w:szCs w:val="24"/>
          <w:lang w:val="da-DK"/>
        </w:rPr>
        <w:t>Patienter bør henvises til en nyrespecialist og yderligere specialiserede undersøgelser (så som renal biopsi) bør overvejes, hvis følgende opstår på trods af reduktion i dosis og afbrydelse af behandling:</w:t>
      </w:r>
    </w:p>
    <w:p w:rsidR="00C42AFC" w:rsidRPr="00C42AFC" w:rsidRDefault="00C42AFC" w:rsidP="00FD0336">
      <w:pPr>
        <w:pStyle w:val="Listeafsnit"/>
        <w:widowControl w:val="0"/>
        <w:numPr>
          <w:ilvl w:val="0"/>
          <w:numId w:val="7"/>
        </w:numPr>
        <w:autoSpaceDE w:val="0"/>
        <w:autoSpaceDN w:val="0"/>
        <w:ind w:left="1134" w:hanging="283"/>
        <w:rPr>
          <w:sz w:val="24"/>
          <w:szCs w:val="24"/>
        </w:rPr>
      </w:pPr>
      <w:r w:rsidRPr="00C42AFC">
        <w:rPr>
          <w:sz w:val="24"/>
          <w:szCs w:val="24"/>
        </w:rPr>
        <w:t>Serum-kreatinin forbliver signifikant forhøjet</w:t>
      </w:r>
      <w:r w:rsidRPr="00C42AFC">
        <w:rPr>
          <w:spacing w:val="-17"/>
          <w:sz w:val="24"/>
          <w:szCs w:val="24"/>
        </w:rPr>
        <w:t xml:space="preserve"> </w:t>
      </w:r>
      <w:r w:rsidRPr="00C42AFC">
        <w:rPr>
          <w:sz w:val="24"/>
          <w:szCs w:val="24"/>
        </w:rPr>
        <w:t>og</w:t>
      </w:r>
    </w:p>
    <w:p w:rsidR="00C42AFC" w:rsidRPr="00C42AFC" w:rsidRDefault="00C42AFC" w:rsidP="00FD0336">
      <w:pPr>
        <w:pStyle w:val="Listeafsnit"/>
        <w:widowControl w:val="0"/>
        <w:numPr>
          <w:ilvl w:val="0"/>
          <w:numId w:val="7"/>
        </w:numPr>
        <w:autoSpaceDE w:val="0"/>
        <w:autoSpaceDN w:val="0"/>
        <w:ind w:left="1134" w:hanging="283"/>
        <w:rPr>
          <w:sz w:val="24"/>
          <w:szCs w:val="24"/>
        </w:rPr>
      </w:pPr>
      <w:r w:rsidRPr="00C42AFC">
        <w:rPr>
          <w:sz w:val="24"/>
          <w:szCs w:val="24"/>
        </w:rPr>
        <w:t>Vedvarende uregelmæssigheder i en anden markør af den renale funktion (fx proteinuria, Fanconis</w:t>
      </w:r>
      <w:r w:rsidRPr="00C42AFC">
        <w:rPr>
          <w:spacing w:val="-4"/>
          <w:sz w:val="24"/>
          <w:szCs w:val="24"/>
        </w:rPr>
        <w:t xml:space="preserve"> </w:t>
      </w:r>
      <w:r w:rsidRPr="00C42AFC">
        <w:rPr>
          <w:sz w:val="24"/>
          <w:szCs w:val="24"/>
        </w:rPr>
        <w:t>syndrom).</w:t>
      </w:r>
    </w:p>
    <w:p w:rsidR="00C42AFC" w:rsidRPr="00C42AFC" w:rsidRDefault="00C42AFC" w:rsidP="000F34ED">
      <w:pPr>
        <w:autoSpaceDE w:val="0"/>
        <w:autoSpaceDN w:val="0"/>
        <w:adjustRightInd w:val="0"/>
        <w:ind w:left="851"/>
        <w:rPr>
          <w:sz w:val="24"/>
          <w:szCs w:val="24"/>
        </w:rPr>
      </w:pPr>
    </w:p>
    <w:p w:rsidR="00C42AFC" w:rsidRPr="00C42AFC" w:rsidRDefault="00C42AFC" w:rsidP="000F34ED">
      <w:pPr>
        <w:pStyle w:val="Brdtekst"/>
        <w:ind w:left="851"/>
        <w:rPr>
          <w:sz w:val="24"/>
          <w:szCs w:val="24"/>
          <w:lang w:val="da-DK"/>
        </w:rPr>
      </w:pPr>
      <w:r w:rsidRPr="00C42AFC">
        <w:rPr>
          <w:sz w:val="24"/>
          <w:szCs w:val="24"/>
          <w:u w:val="single"/>
          <w:lang w:val="da-DK"/>
        </w:rPr>
        <w:t>Leverfunktion</w:t>
      </w:r>
    </w:p>
    <w:p w:rsidR="00C42AFC" w:rsidRPr="00C42AFC" w:rsidRDefault="00C42AFC" w:rsidP="000F34ED">
      <w:pPr>
        <w:pStyle w:val="Brdtekst"/>
        <w:ind w:left="851"/>
        <w:rPr>
          <w:sz w:val="24"/>
          <w:szCs w:val="24"/>
          <w:lang w:val="da-DK"/>
        </w:rPr>
      </w:pPr>
      <w:r w:rsidRPr="00C42AFC">
        <w:rPr>
          <w:sz w:val="24"/>
          <w:szCs w:val="24"/>
          <w:lang w:val="da-DK"/>
        </w:rPr>
        <w:t>Hos patienter i behandling med deferasirox, har der været observeret stigninger i leverfunktionstest. Der er efter markedsføring rapporteret tilfælde af leversvigt, hvoraf nogle havde dødelig udgang.</w:t>
      </w:r>
    </w:p>
    <w:p w:rsidR="00C42AFC" w:rsidRPr="00C42AFC" w:rsidRDefault="00C42AFC" w:rsidP="000F34ED">
      <w:pPr>
        <w:pStyle w:val="Brdtekst"/>
        <w:ind w:left="851"/>
        <w:rPr>
          <w:sz w:val="24"/>
          <w:szCs w:val="24"/>
          <w:lang w:val="da-DK"/>
        </w:rPr>
      </w:pPr>
      <w:r w:rsidRPr="00C42AFC">
        <w:rPr>
          <w:sz w:val="24"/>
          <w:szCs w:val="24"/>
          <w:lang w:val="da-DK"/>
        </w:rPr>
        <w:t>Svære tilfælde forbundet med ændringer i bevidstheden i sammenhæng med hyperammoniæmisk encefalopati kan forekomme hos patienter behandlet med deferasirox, særligt hos børn. Det anbefales at hyperammoniæmisk encefalopati skal overvejes og ammoniakniveauet måles hos patienter, som udvikler uforklarlige ændringer i mental status under behandling med Deferasirox "Sandoz". Det skal sikres, at passende hydrering opretholdes hos patienter, som oplever volumen-depleterende tilstande (fx. diarré og opkastning), særligt hos børn med akut sygdom. De fleste rapporter om leversvigt involverede patienter med signifikante komorbiditeter inklusive allerede eksisterende kroniske leversygdomme (inklusive cirrhose og hepatitis C) og multiorgansvigt. Deferasiroxs rolle som bidragende eller forværrende faktor kan dog ikke udelukkes (se pkt. 4.8).</w:t>
      </w:r>
    </w:p>
    <w:p w:rsidR="00C42AFC" w:rsidRPr="00C42AFC" w:rsidRDefault="00C42AFC" w:rsidP="000F34ED">
      <w:pPr>
        <w:pStyle w:val="Brdtekst"/>
        <w:ind w:left="851"/>
        <w:rPr>
          <w:sz w:val="24"/>
          <w:szCs w:val="24"/>
          <w:lang w:val="da-DK"/>
        </w:rPr>
      </w:pPr>
    </w:p>
    <w:p w:rsidR="00C42AFC" w:rsidRPr="00C42AFC" w:rsidRDefault="00C42AFC" w:rsidP="000F34ED">
      <w:pPr>
        <w:pStyle w:val="Brdtekst"/>
        <w:ind w:left="851"/>
        <w:rPr>
          <w:sz w:val="24"/>
          <w:szCs w:val="24"/>
          <w:lang w:val="da-DK"/>
        </w:rPr>
      </w:pPr>
      <w:r w:rsidRPr="00C42AFC">
        <w:rPr>
          <w:sz w:val="24"/>
          <w:szCs w:val="24"/>
          <w:lang w:val="da-DK"/>
        </w:rPr>
        <w:t>Det anbefales, at serum-aminotransferaser, bilirubin og alkalisk fosfatase måles inden initiering af behandling, hver 2. uge i den første måned og derefter månedligt. Hvis der er en vedholdende og progressiv forøgelse af serum-transaminase-niveauer, der ikke kan henføres til andre årsager, bør behandling med Deferasirox "Sandoz" afbrydes. En forsigtig genstart af behandling med lavere dosis, efterfulgt af en gradvis dosisforøgelse kan overvejes, når årsagen til leverfunktionstest-uregelmæssigheder er blevet klarlagt, eller når der igen er normale niveauer.</w:t>
      </w:r>
    </w:p>
    <w:p w:rsidR="00C42AFC" w:rsidRPr="00C42AFC" w:rsidRDefault="00C42AFC" w:rsidP="000F34ED">
      <w:pPr>
        <w:pStyle w:val="Brdtekst"/>
        <w:ind w:left="851"/>
        <w:rPr>
          <w:sz w:val="24"/>
          <w:szCs w:val="24"/>
          <w:lang w:val="da-DK"/>
        </w:rPr>
      </w:pPr>
    </w:p>
    <w:p w:rsidR="00C42AFC" w:rsidRPr="00C42AFC" w:rsidRDefault="00C42AFC" w:rsidP="000F34ED">
      <w:pPr>
        <w:autoSpaceDE w:val="0"/>
        <w:autoSpaceDN w:val="0"/>
        <w:adjustRightInd w:val="0"/>
        <w:ind w:left="851"/>
        <w:rPr>
          <w:sz w:val="24"/>
          <w:szCs w:val="24"/>
        </w:rPr>
      </w:pPr>
      <w:r w:rsidRPr="00C42AFC">
        <w:rPr>
          <w:sz w:val="24"/>
          <w:szCs w:val="24"/>
        </w:rPr>
        <w:t>Deferasirox "Sandoz" anbefales ikke til patienter med alvorlig nedsat leverfunktion (Child-Pugh Class C) (se pkt. 5.2).</w:t>
      </w:r>
    </w:p>
    <w:p w:rsidR="00C42AFC" w:rsidRPr="00C42AFC" w:rsidRDefault="00C42AFC" w:rsidP="000F34ED">
      <w:pPr>
        <w:autoSpaceDE w:val="0"/>
        <w:autoSpaceDN w:val="0"/>
        <w:adjustRightInd w:val="0"/>
        <w:ind w:left="851"/>
        <w:rPr>
          <w:sz w:val="24"/>
          <w:szCs w:val="24"/>
        </w:rPr>
      </w:pPr>
    </w:p>
    <w:p w:rsidR="00C42AFC" w:rsidRPr="00C42AFC" w:rsidRDefault="00C42AFC" w:rsidP="00FD0336">
      <w:pPr>
        <w:tabs>
          <w:tab w:val="left" w:pos="1843"/>
        </w:tabs>
        <w:autoSpaceDE w:val="0"/>
        <w:autoSpaceDN w:val="0"/>
        <w:adjustRightInd w:val="0"/>
        <w:ind w:left="851"/>
        <w:rPr>
          <w:sz w:val="24"/>
          <w:szCs w:val="24"/>
        </w:rPr>
      </w:pPr>
      <w:r w:rsidRPr="00C42AFC">
        <w:rPr>
          <w:sz w:val="24"/>
          <w:szCs w:val="24"/>
        </w:rPr>
        <w:t>Tabel 4</w:t>
      </w:r>
      <w:r w:rsidR="00FD0336">
        <w:rPr>
          <w:sz w:val="24"/>
          <w:szCs w:val="24"/>
        </w:rPr>
        <w:tab/>
      </w:r>
      <w:r w:rsidRPr="00C42AFC">
        <w:rPr>
          <w:sz w:val="24"/>
          <w:szCs w:val="24"/>
        </w:rPr>
        <w:t>Opsummering af anbefalinger for sikkerhedsmonitorering</w:t>
      </w:r>
    </w:p>
    <w:p w:rsidR="00C42AFC" w:rsidRDefault="00C42AFC" w:rsidP="000F34ED">
      <w:pPr>
        <w:autoSpaceDE w:val="0"/>
        <w:autoSpaceDN w:val="0"/>
        <w:adjustRightInd w:val="0"/>
      </w:pPr>
    </w:p>
    <w:tbl>
      <w:tblPr>
        <w:tblW w:w="8930" w:type="dxa"/>
        <w:tblInd w:w="8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764"/>
        <w:gridCol w:w="5166"/>
      </w:tblGrid>
      <w:tr w:rsidR="00C42AFC" w:rsidTr="002E30DA">
        <w:trPr>
          <w:trHeight w:hRule="exact" w:val="262"/>
        </w:trPr>
        <w:tc>
          <w:tcPr>
            <w:tcW w:w="3764" w:type="dxa"/>
            <w:tcBorders>
              <w:top w:val="single" w:sz="4" w:space="0" w:color="000000"/>
              <w:left w:val="single" w:sz="4" w:space="0" w:color="000000"/>
              <w:bottom w:val="single" w:sz="4" w:space="0" w:color="000000"/>
              <w:right w:val="single" w:sz="4" w:space="0" w:color="000000"/>
            </w:tcBorders>
            <w:hideMark/>
          </w:tcPr>
          <w:p w:rsidR="00C42AFC" w:rsidRDefault="00C42AFC" w:rsidP="000F34ED">
            <w:pPr>
              <w:pStyle w:val="TableParagraph"/>
              <w:rPr>
                <w:b/>
              </w:rPr>
            </w:pPr>
            <w:r>
              <w:rPr>
                <w:b/>
              </w:rPr>
              <w:t>Test</w:t>
            </w:r>
          </w:p>
        </w:tc>
        <w:tc>
          <w:tcPr>
            <w:tcW w:w="5166" w:type="dxa"/>
            <w:tcBorders>
              <w:top w:val="single" w:sz="4" w:space="0" w:color="000000"/>
              <w:left w:val="single" w:sz="4" w:space="0" w:color="000000"/>
              <w:bottom w:val="single" w:sz="4" w:space="0" w:color="000000"/>
              <w:right w:val="single" w:sz="4" w:space="0" w:color="000000"/>
            </w:tcBorders>
            <w:hideMark/>
          </w:tcPr>
          <w:p w:rsidR="00C42AFC" w:rsidRDefault="00C42AFC" w:rsidP="000F34ED">
            <w:pPr>
              <w:pStyle w:val="TableParagraph"/>
              <w:rPr>
                <w:b/>
              </w:rPr>
            </w:pPr>
            <w:r>
              <w:rPr>
                <w:b/>
              </w:rPr>
              <w:t>Hyppighed</w:t>
            </w:r>
          </w:p>
        </w:tc>
      </w:tr>
      <w:tr w:rsidR="00C42AFC" w:rsidTr="002E30DA">
        <w:trPr>
          <w:trHeight w:hRule="exact" w:val="1277"/>
        </w:trPr>
        <w:tc>
          <w:tcPr>
            <w:tcW w:w="3764" w:type="dxa"/>
            <w:tcBorders>
              <w:top w:val="single" w:sz="4" w:space="0" w:color="000000"/>
              <w:left w:val="single" w:sz="4" w:space="0" w:color="000000"/>
              <w:bottom w:val="single" w:sz="4" w:space="0" w:color="000000"/>
              <w:right w:val="single" w:sz="4" w:space="0" w:color="000000"/>
            </w:tcBorders>
            <w:hideMark/>
          </w:tcPr>
          <w:p w:rsidR="00C42AFC" w:rsidRDefault="00C42AFC" w:rsidP="000F34ED">
            <w:pPr>
              <w:pStyle w:val="TableParagraph"/>
            </w:pPr>
            <w:r>
              <w:t>Serumkreatinin</w:t>
            </w:r>
          </w:p>
        </w:tc>
        <w:tc>
          <w:tcPr>
            <w:tcW w:w="5166" w:type="dxa"/>
            <w:tcBorders>
              <w:top w:val="single" w:sz="4" w:space="0" w:color="000000"/>
              <w:left w:val="single" w:sz="4" w:space="0" w:color="000000"/>
              <w:bottom w:val="single" w:sz="4" w:space="0" w:color="000000"/>
              <w:right w:val="single" w:sz="4" w:space="0" w:color="000000"/>
            </w:tcBorders>
            <w:hideMark/>
          </w:tcPr>
          <w:p w:rsidR="00C42AFC" w:rsidRDefault="00C42AFC" w:rsidP="000F34ED">
            <w:pPr>
              <w:pStyle w:val="TableParagraph"/>
              <w:ind w:right="147"/>
              <w:rPr>
                <w:lang w:val="da-DK"/>
              </w:rPr>
            </w:pPr>
            <w:r>
              <w:rPr>
                <w:lang w:val="da-DK"/>
              </w:rPr>
              <w:t>Dobbeltbestemmelse inden behandling. Ugentligt den første behandlingsmåned eller efter dosisjustering (inklusive skift til anden formulering).</w:t>
            </w:r>
          </w:p>
          <w:p w:rsidR="00C42AFC" w:rsidRDefault="00C42AFC" w:rsidP="000F34ED">
            <w:pPr>
              <w:pStyle w:val="TableParagraph"/>
            </w:pPr>
            <w:r>
              <w:t>Månedligt herefter.</w:t>
            </w:r>
          </w:p>
        </w:tc>
      </w:tr>
      <w:tr w:rsidR="00C42AFC" w:rsidTr="002E30DA">
        <w:trPr>
          <w:trHeight w:hRule="exact" w:val="1274"/>
        </w:trPr>
        <w:tc>
          <w:tcPr>
            <w:tcW w:w="3764" w:type="dxa"/>
            <w:tcBorders>
              <w:top w:val="single" w:sz="4" w:space="0" w:color="000000"/>
              <w:left w:val="single" w:sz="4" w:space="0" w:color="000000"/>
              <w:bottom w:val="single" w:sz="4" w:space="0" w:color="000000"/>
              <w:right w:val="single" w:sz="4" w:space="0" w:color="000000"/>
            </w:tcBorders>
            <w:hideMark/>
          </w:tcPr>
          <w:p w:rsidR="00C42AFC" w:rsidRDefault="00C42AFC" w:rsidP="000F34ED">
            <w:pPr>
              <w:pStyle w:val="TableParagraph"/>
              <w:ind w:right="418"/>
            </w:pPr>
            <w:r>
              <w:t>Kreatinin-clearance og/eller plasma- cystatin C</w:t>
            </w:r>
          </w:p>
        </w:tc>
        <w:tc>
          <w:tcPr>
            <w:tcW w:w="5166" w:type="dxa"/>
            <w:tcBorders>
              <w:top w:val="single" w:sz="4" w:space="0" w:color="000000"/>
              <w:left w:val="single" w:sz="4" w:space="0" w:color="000000"/>
              <w:bottom w:val="single" w:sz="4" w:space="0" w:color="000000"/>
              <w:right w:val="single" w:sz="4" w:space="0" w:color="000000"/>
            </w:tcBorders>
            <w:hideMark/>
          </w:tcPr>
          <w:p w:rsidR="00C42AFC" w:rsidRDefault="00C42AFC" w:rsidP="000F34ED">
            <w:pPr>
              <w:pStyle w:val="TableParagraph"/>
              <w:rPr>
                <w:lang w:val="da-DK"/>
              </w:rPr>
            </w:pPr>
            <w:r>
              <w:rPr>
                <w:lang w:val="da-DK"/>
              </w:rPr>
              <w:t>Inden behandlingsstart.</w:t>
            </w:r>
          </w:p>
          <w:p w:rsidR="00C42AFC" w:rsidRDefault="00C42AFC" w:rsidP="000F34ED">
            <w:pPr>
              <w:pStyle w:val="TableParagraph"/>
              <w:ind w:right="514"/>
            </w:pPr>
            <w:r>
              <w:rPr>
                <w:lang w:val="da-DK"/>
              </w:rPr>
              <w:t xml:space="preserve">Ugentligt under den første måned af behandlingen eller efter dosisjustering (inklusive skift til anden formulering). </w:t>
            </w:r>
            <w:r>
              <w:t>Herefter månedligt.</w:t>
            </w:r>
          </w:p>
        </w:tc>
      </w:tr>
      <w:tr w:rsidR="00C42AFC" w:rsidTr="002E30DA">
        <w:trPr>
          <w:trHeight w:hRule="exact" w:val="517"/>
        </w:trPr>
        <w:tc>
          <w:tcPr>
            <w:tcW w:w="3764" w:type="dxa"/>
            <w:tcBorders>
              <w:top w:val="single" w:sz="4" w:space="0" w:color="000000"/>
              <w:left w:val="single" w:sz="4" w:space="0" w:color="000000"/>
              <w:bottom w:val="single" w:sz="4" w:space="0" w:color="000000"/>
              <w:right w:val="single" w:sz="4" w:space="0" w:color="000000"/>
            </w:tcBorders>
            <w:hideMark/>
          </w:tcPr>
          <w:p w:rsidR="00C42AFC" w:rsidRDefault="00C42AFC" w:rsidP="000F34ED">
            <w:pPr>
              <w:pStyle w:val="TableParagraph"/>
            </w:pPr>
            <w:r>
              <w:t>Proteinuri</w:t>
            </w:r>
          </w:p>
        </w:tc>
        <w:tc>
          <w:tcPr>
            <w:tcW w:w="5166" w:type="dxa"/>
            <w:tcBorders>
              <w:top w:val="single" w:sz="4" w:space="0" w:color="000000"/>
              <w:left w:val="single" w:sz="4" w:space="0" w:color="000000"/>
              <w:bottom w:val="single" w:sz="4" w:space="0" w:color="000000"/>
              <w:right w:val="single" w:sz="4" w:space="0" w:color="000000"/>
            </w:tcBorders>
            <w:hideMark/>
          </w:tcPr>
          <w:p w:rsidR="00C42AFC" w:rsidRDefault="00C42AFC" w:rsidP="000F34ED">
            <w:pPr>
              <w:pStyle w:val="TableParagraph"/>
              <w:ind w:right="1839"/>
            </w:pPr>
            <w:r>
              <w:t>Inden behandlingsstart. Herefter månedligt.</w:t>
            </w:r>
          </w:p>
        </w:tc>
      </w:tr>
      <w:tr w:rsidR="00C42AFC" w:rsidTr="002E30DA">
        <w:trPr>
          <w:trHeight w:hRule="exact" w:val="1274"/>
        </w:trPr>
        <w:tc>
          <w:tcPr>
            <w:tcW w:w="3764" w:type="dxa"/>
            <w:tcBorders>
              <w:top w:val="single" w:sz="4" w:space="0" w:color="000000"/>
              <w:left w:val="single" w:sz="4" w:space="0" w:color="000000"/>
              <w:bottom w:val="single" w:sz="4" w:space="0" w:color="000000"/>
              <w:right w:val="single" w:sz="4" w:space="0" w:color="000000"/>
            </w:tcBorders>
            <w:hideMark/>
          </w:tcPr>
          <w:p w:rsidR="00C42AFC" w:rsidRDefault="00C42AFC" w:rsidP="000F34ED">
            <w:pPr>
              <w:pStyle w:val="TableParagraph"/>
              <w:ind w:right="301"/>
              <w:rPr>
                <w:lang w:val="da-DK"/>
              </w:rPr>
            </w:pPr>
            <w:r>
              <w:rPr>
                <w:lang w:val="da-DK"/>
              </w:rPr>
              <w:t>Andre markører på renal tubulær funktion (fx glukosuri hos ikke- diabetikere og lave niveauer af serumkalium, fosfat, magnesium eller urat, fosfaturi, aminoaciduri)</w:t>
            </w:r>
          </w:p>
        </w:tc>
        <w:tc>
          <w:tcPr>
            <w:tcW w:w="5166" w:type="dxa"/>
            <w:tcBorders>
              <w:top w:val="single" w:sz="4" w:space="0" w:color="000000"/>
              <w:left w:val="single" w:sz="4" w:space="0" w:color="000000"/>
              <w:bottom w:val="single" w:sz="4" w:space="0" w:color="000000"/>
              <w:right w:val="single" w:sz="4" w:space="0" w:color="000000"/>
            </w:tcBorders>
            <w:hideMark/>
          </w:tcPr>
          <w:p w:rsidR="00C42AFC" w:rsidRDefault="00C42AFC" w:rsidP="000F34ED">
            <w:pPr>
              <w:pStyle w:val="TableParagraph"/>
            </w:pPr>
            <w:r>
              <w:t>Efter behov.</w:t>
            </w:r>
          </w:p>
        </w:tc>
      </w:tr>
      <w:tr w:rsidR="00C42AFC" w:rsidTr="002E30DA">
        <w:trPr>
          <w:trHeight w:hRule="exact" w:val="768"/>
        </w:trPr>
        <w:tc>
          <w:tcPr>
            <w:tcW w:w="3764" w:type="dxa"/>
            <w:tcBorders>
              <w:top w:val="single" w:sz="4" w:space="0" w:color="000000"/>
              <w:left w:val="single" w:sz="4" w:space="0" w:color="000000"/>
              <w:bottom w:val="single" w:sz="4" w:space="0" w:color="000000"/>
              <w:right w:val="single" w:sz="4" w:space="0" w:color="000000"/>
            </w:tcBorders>
            <w:hideMark/>
          </w:tcPr>
          <w:p w:rsidR="00C42AFC" w:rsidRDefault="00C42AFC" w:rsidP="000F34ED">
            <w:pPr>
              <w:pStyle w:val="TableParagraph"/>
              <w:ind w:right="485"/>
              <w:rPr>
                <w:lang w:val="da-DK"/>
              </w:rPr>
            </w:pPr>
            <w:r>
              <w:rPr>
                <w:lang w:val="da-DK"/>
              </w:rPr>
              <w:t>Serum-aminotransferaser, bilirubin, alkalisk fosfatase</w:t>
            </w:r>
          </w:p>
        </w:tc>
        <w:tc>
          <w:tcPr>
            <w:tcW w:w="5166" w:type="dxa"/>
            <w:tcBorders>
              <w:top w:val="single" w:sz="4" w:space="0" w:color="000000"/>
              <w:left w:val="single" w:sz="4" w:space="0" w:color="000000"/>
              <w:bottom w:val="single" w:sz="4" w:space="0" w:color="000000"/>
              <w:right w:val="single" w:sz="4" w:space="0" w:color="000000"/>
            </w:tcBorders>
            <w:hideMark/>
          </w:tcPr>
          <w:p w:rsidR="00C42AFC" w:rsidRDefault="00C42AFC" w:rsidP="000F34ED">
            <w:pPr>
              <w:pStyle w:val="TableParagraph"/>
              <w:rPr>
                <w:lang w:val="da-DK"/>
              </w:rPr>
            </w:pPr>
            <w:r>
              <w:rPr>
                <w:lang w:val="da-DK"/>
              </w:rPr>
              <w:t>Inden behandling.</w:t>
            </w:r>
          </w:p>
          <w:p w:rsidR="00C42AFC" w:rsidRDefault="00C42AFC" w:rsidP="000F34ED">
            <w:pPr>
              <w:pStyle w:val="TableParagraph"/>
              <w:ind w:right="172"/>
            </w:pPr>
            <w:r>
              <w:rPr>
                <w:lang w:val="da-DK"/>
              </w:rPr>
              <w:t xml:space="preserve">Hver 2. uge den første behandlingsmåned. </w:t>
            </w:r>
            <w:r>
              <w:t>Månedligt herefter.</w:t>
            </w:r>
          </w:p>
        </w:tc>
      </w:tr>
      <w:tr w:rsidR="00C42AFC" w:rsidTr="002E30DA">
        <w:trPr>
          <w:trHeight w:hRule="exact" w:val="516"/>
        </w:trPr>
        <w:tc>
          <w:tcPr>
            <w:tcW w:w="3764" w:type="dxa"/>
            <w:tcBorders>
              <w:top w:val="single" w:sz="4" w:space="0" w:color="000000"/>
              <w:left w:val="single" w:sz="4" w:space="0" w:color="000000"/>
              <w:bottom w:val="single" w:sz="4" w:space="0" w:color="000000"/>
              <w:right w:val="single" w:sz="4" w:space="0" w:color="000000"/>
            </w:tcBorders>
            <w:hideMark/>
          </w:tcPr>
          <w:p w:rsidR="00C42AFC" w:rsidRDefault="00C42AFC" w:rsidP="000F34ED">
            <w:pPr>
              <w:pStyle w:val="TableParagraph"/>
              <w:rPr>
                <w:lang w:val="da-DK"/>
              </w:rPr>
            </w:pPr>
            <w:r>
              <w:rPr>
                <w:lang w:val="da-DK"/>
              </w:rPr>
              <w:t>Test af hørelse og syn</w:t>
            </w:r>
          </w:p>
        </w:tc>
        <w:tc>
          <w:tcPr>
            <w:tcW w:w="5166" w:type="dxa"/>
            <w:tcBorders>
              <w:top w:val="single" w:sz="4" w:space="0" w:color="000000"/>
              <w:left w:val="single" w:sz="4" w:space="0" w:color="000000"/>
              <w:bottom w:val="single" w:sz="4" w:space="0" w:color="000000"/>
              <w:right w:val="single" w:sz="4" w:space="0" w:color="000000"/>
            </w:tcBorders>
            <w:hideMark/>
          </w:tcPr>
          <w:p w:rsidR="00C42AFC" w:rsidRDefault="00C42AFC" w:rsidP="000F34ED">
            <w:pPr>
              <w:pStyle w:val="TableParagraph"/>
              <w:ind w:right="2304"/>
            </w:pPr>
            <w:r>
              <w:t>Inden behandling. Årligt herefter.</w:t>
            </w:r>
          </w:p>
        </w:tc>
      </w:tr>
      <w:tr w:rsidR="00C42AFC" w:rsidTr="002E30DA">
        <w:trPr>
          <w:trHeight w:hRule="exact" w:val="639"/>
        </w:trPr>
        <w:tc>
          <w:tcPr>
            <w:tcW w:w="3764" w:type="dxa"/>
            <w:tcBorders>
              <w:top w:val="single" w:sz="4" w:space="0" w:color="000000"/>
              <w:left w:val="single" w:sz="4" w:space="0" w:color="000000"/>
              <w:bottom w:val="single" w:sz="4" w:space="0" w:color="000000"/>
              <w:right w:val="single" w:sz="4" w:space="0" w:color="000000"/>
            </w:tcBorders>
            <w:hideMark/>
          </w:tcPr>
          <w:p w:rsidR="00C42AFC" w:rsidRDefault="00C42AFC" w:rsidP="000F34ED">
            <w:pPr>
              <w:pStyle w:val="TableParagraph"/>
              <w:rPr>
                <w:lang w:val="da-DK"/>
              </w:rPr>
            </w:pPr>
            <w:r>
              <w:rPr>
                <w:lang w:val="da-DK"/>
              </w:rPr>
              <w:t>Kropsvægt, højde og seksuel udvikling</w:t>
            </w:r>
          </w:p>
        </w:tc>
        <w:tc>
          <w:tcPr>
            <w:tcW w:w="5166" w:type="dxa"/>
            <w:tcBorders>
              <w:top w:val="single" w:sz="4" w:space="0" w:color="000000"/>
              <w:left w:val="single" w:sz="4" w:space="0" w:color="000000"/>
              <w:bottom w:val="single" w:sz="4" w:space="0" w:color="000000"/>
              <w:right w:val="single" w:sz="4" w:space="0" w:color="000000"/>
            </w:tcBorders>
            <w:hideMark/>
          </w:tcPr>
          <w:p w:rsidR="00C42AFC" w:rsidRDefault="00C42AFC" w:rsidP="000F34ED">
            <w:pPr>
              <w:pStyle w:val="TableParagraph"/>
              <w:rPr>
                <w:lang w:val="da-DK"/>
              </w:rPr>
            </w:pPr>
            <w:r>
              <w:rPr>
                <w:lang w:val="da-DK"/>
              </w:rPr>
              <w:t>Inden behandlingsstart.</w:t>
            </w:r>
          </w:p>
          <w:p w:rsidR="00C42AFC" w:rsidRDefault="00C42AFC" w:rsidP="000F34ED">
            <w:pPr>
              <w:pStyle w:val="TableParagraph"/>
              <w:rPr>
                <w:lang w:val="da-DK"/>
              </w:rPr>
            </w:pPr>
            <w:r>
              <w:rPr>
                <w:lang w:val="da-DK"/>
              </w:rPr>
              <w:t>Årligt hos pædiatriske patienter.</w:t>
            </w:r>
          </w:p>
        </w:tc>
      </w:tr>
    </w:tbl>
    <w:p w:rsidR="00C42AFC" w:rsidRDefault="00C42AFC" w:rsidP="000F34ED">
      <w:pPr>
        <w:autoSpaceDE w:val="0"/>
        <w:autoSpaceDN w:val="0"/>
        <w:adjustRightInd w:val="0"/>
        <w:rPr>
          <w:sz w:val="22"/>
        </w:rPr>
      </w:pPr>
    </w:p>
    <w:p w:rsidR="00C42AFC" w:rsidRPr="00C42AFC" w:rsidRDefault="00C42AFC" w:rsidP="000F34ED">
      <w:pPr>
        <w:autoSpaceDE w:val="0"/>
        <w:autoSpaceDN w:val="0"/>
        <w:adjustRightInd w:val="0"/>
        <w:ind w:left="851"/>
        <w:rPr>
          <w:sz w:val="24"/>
          <w:szCs w:val="24"/>
        </w:rPr>
      </w:pPr>
      <w:r w:rsidRPr="00C42AFC">
        <w:rPr>
          <w:sz w:val="24"/>
          <w:szCs w:val="24"/>
        </w:rPr>
        <w:t>Hos patienter med lav forventet levealder (fx højrisiko myelodysplastiske syndromer), specielt når co- morbiditeter kan øge risikoen for bivirkninger, kan fordelen ved Deferasirox "Sandoz" være begrænset og inferiør over for risikoen. Som konsekvens af dette kan det ikke anbefales at behandle disse patienter med Deferasirox "Sandoz".</w:t>
      </w:r>
    </w:p>
    <w:p w:rsidR="00C42AFC" w:rsidRPr="00C42AFC" w:rsidRDefault="00C42AFC" w:rsidP="000F34ED">
      <w:pPr>
        <w:autoSpaceDE w:val="0"/>
        <w:autoSpaceDN w:val="0"/>
        <w:adjustRightInd w:val="0"/>
        <w:ind w:left="851"/>
        <w:rPr>
          <w:sz w:val="24"/>
          <w:szCs w:val="24"/>
        </w:rPr>
      </w:pPr>
    </w:p>
    <w:p w:rsidR="00C42AFC" w:rsidRPr="00C42AFC" w:rsidRDefault="00C42AFC" w:rsidP="000F34ED">
      <w:pPr>
        <w:autoSpaceDE w:val="0"/>
        <w:autoSpaceDN w:val="0"/>
        <w:adjustRightInd w:val="0"/>
        <w:ind w:left="851"/>
        <w:rPr>
          <w:sz w:val="24"/>
          <w:szCs w:val="24"/>
        </w:rPr>
      </w:pPr>
      <w:r w:rsidRPr="00C42AFC">
        <w:rPr>
          <w:sz w:val="24"/>
          <w:szCs w:val="24"/>
        </w:rPr>
        <w:t>Der skal udvises forsigtighed hos ældre patienter på grund af en højere frekvens af bivirkninger (specielt diarré).</w:t>
      </w:r>
    </w:p>
    <w:p w:rsidR="00C42AFC" w:rsidRPr="00C42AFC" w:rsidRDefault="00C42AFC" w:rsidP="000F34ED">
      <w:pPr>
        <w:autoSpaceDE w:val="0"/>
        <w:autoSpaceDN w:val="0"/>
        <w:adjustRightInd w:val="0"/>
        <w:ind w:left="851"/>
        <w:rPr>
          <w:sz w:val="24"/>
          <w:szCs w:val="24"/>
        </w:rPr>
      </w:pPr>
    </w:p>
    <w:p w:rsidR="00C42AFC" w:rsidRPr="00C42AFC" w:rsidRDefault="00C42AFC" w:rsidP="000F34ED">
      <w:pPr>
        <w:autoSpaceDE w:val="0"/>
        <w:autoSpaceDN w:val="0"/>
        <w:adjustRightInd w:val="0"/>
        <w:ind w:left="851"/>
        <w:rPr>
          <w:sz w:val="24"/>
          <w:szCs w:val="24"/>
        </w:rPr>
      </w:pPr>
      <w:r w:rsidRPr="00C42AFC">
        <w:rPr>
          <w:sz w:val="24"/>
          <w:szCs w:val="24"/>
        </w:rPr>
        <w:t>Der er meget begrænsede data om børn med ikke-transfusionsafhængig talassæmi (se pkt. 5.1). Som konsekvens heraf skal Deferasirox "Sandoz"-behandling monitoreres omhyggeligt hos pædiatriske patienter for at opdage bivirkninger og følge jernmængden. Før svært jernoverskud hos børn med ikke- transfusionsafhængig talassæmi behandles med Deferasirox "Sandoz", skal lægen derudover være opmærksom på, at konsekvenserne af langtidsbehandling ikke er kendt hos disse patienter på nuværende tidspunkt.</w:t>
      </w:r>
    </w:p>
    <w:p w:rsidR="00C42AFC" w:rsidRPr="00C42AFC" w:rsidRDefault="00C42AFC" w:rsidP="000F34ED">
      <w:pPr>
        <w:autoSpaceDE w:val="0"/>
        <w:autoSpaceDN w:val="0"/>
        <w:adjustRightInd w:val="0"/>
        <w:ind w:left="851"/>
        <w:rPr>
          <w:sz w:val="24"/>
          <w:szCs w:val="24"/>
        </w:rPr>
      </w:pPr>
    </w:p>
    <w:p w:rsidR="00C42AFC" w:rsidRPr="00C42AFC" w:rsidRDefault="00C42AFC" w:rsidP="000F34ED">
      <w:pPr>
        <w:autoSpaceDE w:val="0"/>
        <w:autoSpaceDN w:val="0"/>
        <w:adjustRightInd w:val="0"/>
        <w:ind w:left="851"/>
        <w:rPr>
          <w:sz w:val="24"/>
          <w:szCs w:val="24"/>
        </w:rPr>
      </w:pPr>
      <w:r w:rsidRPr="00C42AFC">
        <w:rPr>
          <w:sz w:val="24"/>
          <w:szCs w:val="24"/>
          <w:u w:val="single"/>
        </w:rPr>
        <w:t>Gastrointestinale reaktioner</w:t>
      </w:r>
    </w:p>
    <w:p w:rsidR="00C42AFC" w:rsidRPr="00C42AFC" w:rsidRDefault="00C42AFC" w:rsidP="000F34ED">
      <w:pPr>
        <w:autoSpaceDE w:val="0"/>
        <w:autoSpaceDN w:val="0"/>
        <w:adjustRightInd w:val="0"/>
        <w:ind w:left="851"/>
        <w:rPr>
          <w:sz w:val="24"/>
          <w:szCs w:val="24"/>
        </w:rPr>
      </w:pPr>
      <w:r w:rsidRPr="00C42AFC">
        <w:rPr>
          <w:sz w:val="24"/>
          <w:szCs w:val="24"/>
        </w:rPr>
        <w:t>Øvre gastrointestinal ulceration og blødning er rapporteret i patienter, inklusive unge og børn, som fik deferasirox. Multiple ulcus er rapporteret hos nogle patienter (se pkt. 4.8). Der har været rapporter om sår kompliceret med perforering af fordøjelsessystemet. Der har også været rapporter om letale gastrointestinale blødninger, specielt hos ældre patienter der havde hæmatologiske maligniteter og/eller lavt antal blodplader. Læger og patienter skal være på vagt for tegn og symptomer på gastrointestinal ulceration og blødning under behandling med Deferasirox "Sandoz". I tilfælde af gastrointestinal ulceration eller blødning, bør behandling med Deferasirox "Sandoz" seponeres og yderligere undersøgelser og behandling skal straks initeres. Der skal iagttages forsigtighed hos patienter, som bruger Deferasirox "Sandoz" i kombination med substanser, som vides at have ulcerogent potentiale, såsom NSAID’er, kortikosteroider eller orale bisphosphonater, hos patienter, som bruger antikoagulantia, og hos patienter med blodpladetal under 50.000/mm</w:t>
      </w:r>
      <w:r w:rsidRPr="00C42AFC">
        <w:rPr>
          <w:sz w:val="24"/>
          <w:szCs w:val="24"/>
          <w:vertAlign w:val="superscript"/>
        </w:rPr>
        <w:t>3</w:t>
      </w:r>
      <w:r w:rsidRPr="00C42AFC">
        <w:rPr>
          <w:sz w:val="24"/>
          <w:szCs w:val="24"/>
        </w:rPr>
        <w:t xml:space="preserve"> (50 x 109/l) (se pkt. 4.5).</w:t>
      </w:r>
    </w:p>
    <w:p w:rsidR="00C42AFC" w:rsidRPr="00C42AFC" w:rsidRDefault="00C42AFC" w:rsidP="000F34ED">
      <w:pPr>
        <w:autoSpaceDE w:val="0"/>
        <w:autoSpaceDN w:val="0"/>
        <w:adjustRightInd w:val="0"/>
        <w:ind w:left="851"/>
        <w:rPr>
          <w:sz w:val="24"/>
          <w:szCs w:val="24"/>
        </w:rPr>
      </w:pPr>
    </w:p>
    <w:p w:rsidR="00C42AFC" w:rsidRPr="00C42AFC" w:rsidRDefault="00C42AFC" w:rsidP="000F34ED">
      <w:pPr>
        <w:autoSpaceDE w:val="0"/>
        <w:autoSpaceDN w:val="0"/>
        <w:adjustRightInd w:val="0"/>
        <w:ind w:left="851"/>
        <w:rPr>
          <w:sz w:val="24"/>
          <w:szCs w:val="24"/>
        </w:rPr>
      </w:pPr>
      <w:r w:rsidRPr="00C42AFC">
        <w:rPr>
          <w:sz w:val="24"/>
          <w:szCs w:val="24"/>
          <w:u w:val="single"/>
        </w:rPr>
        <w:t>Hudreaktioner</w:t>
      </w:r>
    </w:p>
    <w:p w:rsidR="00C42AFC" w:rsidRPr="00C42AFC" w:rsidRDefault="00C42AFC" w:rsidP="000F34ED">
      <w:pPr>
        <w:autoSpaceDE w:val="0"/>
        <w:autoSpaceDN w:val="0"/>
        <w:adjustRightInd w:val="0"/>
        <w:ind w:left="851"/>
        <w:rPr>
          <w:sz w:val="24"/>
          <w:szCs w:val="24"/>
        </w:rPr>
      </w:pPr>
      <w:r w:rsidRPr="00C42AFC">
        <w:rPr>
          <w:sz w:val="24"/>
          <w:szCs w:val="24"/>
        </w:rPr>
        <w:t>Der kan forekomme hududslæt ved Deferasirox "Sandoz"-behandling. Udslættene forsvinder spontant i de fleste tilfælde. I de tilfælde, hvor afbrydelse af behandling kan være nødvendig, kan behandlingen påbegyndes igen efter udslættet er væk. Påbegyndelsen bør finde sted med en lavere dosis efterfulgt af en gradvis dosisforøgelse. I alvorlige tilfælde kan denne behandling påbegyndes igen i kombination med en kort periode af oralt administreret steroid. Der er blevet rapporteret alvorlige kutane bivirkninger (SCAR), herunder Stevens-Johnsons syndrom (SJS), toksisk epidermal nekrolyse (TEN) og lægemiddelreaktioner med eosinofili og systemiske symptomer (DRESS), som kan være livstruende eller dødelige. Hvis der er mistanke om SCAR, skal Deferasirox "Sandoz" seponeres øjeblikkeligt, og behandlingen bør ikke genoptages. I forbindelse med receptudskrivelse bør patienter informeres om tegn og symptomer på alvorlige hudreaktioner samt overvåges nøje.</w:t>
      </w:r>
    </w:p>
    <w:p w:rsidR="00C42AFC" w:rsidRPr="00C42AFC" w:rsidRDefault="00C42AFC" w:rsidP="000F34ED">
      <w:pPr>
        <w:autoSpaceDE w:val="0"/>
        <w:autoSpaceDN w:val="0"/>
        <w:adjustRightInd w:val="0"/>
        <w:ind w:left="851"/>
        <w:rPr>
          <w:sz w:val="24"/>
          <w:szCs w:val="24"/>
        </w:rPr>
      </w:pPr>
    </w:p>
    <w:p w:rsidR="00C42AFC" w:rsidRPr="00C42AFC" w:rsidRDefault="00C42AFC" w:rsidP="000F34ED">
      <w:pPr>
        <w:autoSpaceDE w:val="0"/>
        <w:autoSpaceDN w:val="0"/>
        <w:adjustRightInd w:val="0"/>
        <w:ind w:left="851"/>
        <w:rPr>
          <w:sz w:val="24"/>
          <w:szCs w:val="24"/>
        </w:rPr>
      </w:pPr>
      <w:r w:rsidRPr="00C42AFC">
        <w:rPr>
          <w:sz w:val="24"/>
          <w:szCs w:val="24"/>
          <w:u w:val="single"/>
        </w:rPr>
        <w:t>Overfølsomhedsreaktioner</w:t>
      </w:r>
    </w:p>
    <w:p w:rsidR="00C42AFC" w:rsidRPr="00C42AFC" w:rsidRDefault="00C42AFC" w:rsidP="000F34ED">
      <w:pPr>
        <w:autoSpaceDE w:val="0"/>
        <w:autoSpaceDN w:val="0"/>
        <w:adjustRightInd w:val="0"/>
        <w:ind w:left="851"/>
        <w:rPr>
          <w:sz w:val="24"/>
          <w:szCs w:val="24"/>
        </w:rPr>
      </w:pPr>
      <w:r w:rsidRPr="00C42AFC">
        <w:rPr>
          <w:sz w:val="24"/>
          <w:szCs w:val="24"/>
        </w:rPr>
        <w:t>Der er indberettet sjældne tilfælde af alvorlige overfølsomhedsreaktioner (som anafylaksi og angioødem) hos patienter, som får deferasirox. I størstedelen af tilfældene opstod reaktionerne inden for den første måned af behandlingen (se pkt. 4.8). Hvis sådanne reaktioner indtræffer bør Deferasirox "Sandoz" seponeres, og passende medicinsk behandling iværksættes. Behandling med deferasirox må ikke genoptages hos patienter, der har oplevet en overfølsomhedsreaktion, på grund af risikoen for anafylaktisk shock (se pkt. 4.3).</w:t>
      </w:r>
    </w:p>
    <w:p w:rsidR="00C42AFC" w:rsidRPr="00C42AFC" w:rsidRDefault="00C42AFC" w:rsidP="000F34ED">
      <w:pPr>
        <w:autoSpaceDE w:val="0"/>
        <w:autoSpaceDN w:val="0"/>
        <w:adjustRightInd w:val="0"/>
        <w:ind w:left="851"/>
        <w:rPr>
          <w:sz w:val="24"/>
          <w:szCs w:val="24"/>
        </w:rPr>
      </w:pPr>
    </w:p>
    <w:p w:rsidR="00C42AFC" w:rsidRPr="00C42AFC" w:rsidRDefault="00C42AFC" w:rsidP="000F34ED">
      <w:pPr>
        <w:autoSpaceDE w:val="0"/>
        <w:autoSpaceDN w:val="0"/>
        <w:adjustRightInd w:val="0"/>
        <w:ind w:left="851"/>
        <w:rPr>
          <w:sz w:val="24"/>
          <w:szCs w:val="24"/>
        </w:rPr>
      </w:pPr>
      <w:r w:rsidRPr="00C42AFC">
        <w:rPr>
          <w:sz w:val="24"/>
          <w:szCs w:val="24"/>
          <w:u w:val="single"/>
        </w:rPr>
        <w:t>Syn og hørelse</w:t>
      </w:r>
    </w:p>
    <w:p w:rsidR="00C42AFC" w:rsidRPr="00C42AFC" w:rsidRDefault="00C42AFC" w:rsidP="000F34ED">
      <w:pPr>
        <w:autoSpaceDE w:val="0"/>
        <w:autoSpaceDN w:val="0"/>
        <w:adjustRightInd w:val="0"/>
        <w:ind w:left="851"/>
        <w:rPr>
          <w:sz w:val="24"/>
          <w:szCs w:val="24"/>
        </w:rPr>
      </w:pPr>
      <w:r w:rsidRPr="00C42AFC">
        <w:rPr>
          <w:sz w:val="24"/>
          <w:szCs w:val="24"/>
        </w:rPr>
        <w:t>Der har været observeret auditive (nedsat hørelse) og visuelle (uklarheder i linsen) forstyrrelser (se pkt. 4.8). Det anbefales, at foretage auditive tests og synstests (inklusive fundoskopi) før påbegyndelse af behandling, og skal derefter udføres med regelmæssige mellemrum (hver 12. måned). En dosisreduktion eller afbrydelse kan overvejes, hvis der ses forstyrrelser under behandlingen.</w:t>
      </w:r>
    </w:p>
    <w:p w:rsidR="00C42AFC" w:rsidRPr="00C42AFC" w:rsidRDefault="00C42AFC" w:rsidP="000F34ED">
      <w:pPr>
        <w:autoSpaceDE w:val="0"/>
        <w:autoSpaceDN w:val="0"/>
        <w:adjustRightInd w:val="0"/>
        <w:ind w:left="851"/>
        <w:rPr>
          <w:sz w:val="24"/>
          <w:szCs w:val="24"/>
          <w:u w:val="single"/>
        </w:rPr>
      </w:pPr>
    </w:p>
    <w:p w:rsidR="00C42AFC" w:rsidRPr="00C42AFC" w:rsidRDefault="00C42AFC" w:rsidP="000F34ED">
      <w:pPr>
        <w:autoSpaceDE w:val="0"/>
        <w:autoSpaceDN w:val="0"/>
        <w:adjustRightInd w:val="0"/>
        <w:ind w:left="851"/>
        <w:rPr>
          <w:sz w:val="24"/>
          <w:szCs w:val="24"/>
        </w:rPr>
      </w:pPr>
      <w:r w:rsidRPr="00C42AFC">
        <w:rPr>
          <w:sz w:val="24"/>
          <w:szCs w:val="24"/>
          <w:u w:val="single"/>
        </w:rPr>
        <w:t>Hæmatologiske forstyrrelser</w:t>
      </w:r>
    </w:p>
    <w:p w:rsidR="00C42AFC" w:rsidRPr="00C42AFC" w:rsidRDefault="00C42AFC" w:rsidP="000F34ED">
      <w:pPr>
        <w:autoSpaceDE w:val="0"/>
        <w:autoSpaceDN w:val="0"/>
        <w:adjustRightInd w:val="0"/>
        <w:ind w:left="851"/>
        <w:rPr>
          <w:sz w:val="24"/>
          <w:szCs w:val="24"/>
        </w:rPr>
      </w:pPr>
      <w:r w:rsidRPr="00C42AFC">
        <w:rPr>
          <w:sz w:val="24"/>
          <w:szCs w:val="24"/>
        </w:rPr>
        <w:t>Efter markedsføring har der været indberetninger af leukopeni, trombocytopeni eller pancytopeni (eller forværring af disse cytopenier) og af forværret anæmi hos patienter behandlet med deferasirox. De fleste af disse patienter havde præ-eksisterende hæmatologiske lidelser, der ofte forbindes med knoglemarvsdepression. Det kan dog ikke udelukkes, at der er en medvirkende eller forværrende effekt. Hos patienter, der udvikler uforklarlig cytopeni, bør det vurderes, om behandlingen skal afbrydes.</w:t>
      </w:r>
    </w:p>
    <w:p w:rsidR="00C42AFC" w:rsidRPr="00C42AFC" w:rsidRDefault="00C42AFC" w:rsidP="000F34ED">
      <w:pPr>
        <w:autoSpaceDE w:val="0"/>
        <w:autoSpaceDN w:val="0"/>
        <w:adjustRightInd w:val="0"/>
        <w:ind w:left="851"/>
        <w:rPr>
          <w:sz w:val="24"/>
          <w:szCs w:val="24"/>
        </w:rPr>
      </w:pPr>
    </w:p>
    <w:p w:rsidR="00C42AFC" w:rsidRPr="00C42AFC" w:rsidRDefault="00C42AFC" w:rsidP="000F34ED">
      <w:pPr>
        <w:autoSpaceDE w:val="0"/>
        <w:autoSpaceDN w:val="0"/>
        <w:adjustRightInd w:val="0"/>
        <w:ind w:left="851"/>
        <w:rPr>
          <w:sz w:val="24"/>
          <w:szCs w:val="24"/>
        </w:rPr>
      </w:pPr>
      <w:r w:rsidRPr="00C42AFC">
        <w:rPr>
          <w:sz w:val="24"/>
          <w:szCs w:val="24"/>
          <w:u w:val="single"/>
        </w:rPr>
        <w:t>Andre overvejelser</w:t>
      </w:r>
    </w:p>
    <w:p w:rsidR="00C42AFC" w:rsidRPr="00C42AFC" w:rsidRDefault="00C42AFC" w:rsidP="000F34ED">
      <w:pPr>
        <w:autoSpaceDE w:val="0"/>
        <w:autoSpaceDN w:val="0"/>
        <w:adjustRightInd w:val="0"/>
        <w:ind w:left="851"/>
        <w:rPr>
          <w:sz w:val="24"/>
          <w:szCs w:val="24"/>
        </w:rPr>
      </w:pPr>
      <w:r w:rsidRPr="00C42AFC">
        <w:rPr>
          <w:sz w:val="24"/>
          <w:szCs w:val="24"/>
        </w:rPr>
        <w:t>Månedlig monitorering af serum-ferritin anbefales for at kunne vurdere patientens respons på behandlingen og for at undgå overkelering (se pkt. 4.2). Der anbefales dosisreduktion eller nøje monitorering af nyre- og leverfunktionen, og serum-ferritinniveauer, i perioder, hvor der behandles med høje doser, og når serum-ferritinniveauer ligger tæt på målintervallet. Det skal overvejes at afbryde behandlingen, hvis serum-ferritin falder konsekvent under 500 µg/l (ved transfusionsbetinget jernophobning) eller under 300 µg/l (ved ikke-transfusionsafhængige talassæmi-syndromer).</w:t>
      </w:r>
    </w:p>
    <w:p w:rsidR="00C42AFC" w:rsidRPr="00C42AFC" w:rsidRDefault="00C42AFC" w:rsidP="000F34ED">
      <w:pPr>
        <w:autoSpaceDE w:val="0"/>
        <w:autoSpaceDN w:val="0"/>
        <w:adjustRightInd w:val="0"/>
        <w:ind w:left="851"/>
        <w:rPr>
          <w:sz w:val="24"/>
          <w:szCs w:val="24"/>
        </w:rPr>
      </w:pPr>
    </w:p>
    <w:p w:rsidR="00C42AFC" w:rsidRPr="00C42AFC" w:rsidRDefault="00C42AFC" w:rsidP="000F34ED">
      <w:pPr>
        <w:autoSpaceDE w:val="0"/>
        <w:autoSpaceDN w:val="0"/>
        <w:adjustRightInd w:val="0"/>
        <w:ind w:left="851"/>
        <w:rPr>
          <w:sz w:val="24"/>
          <w:szCs w:val="24"/>
        </w:rPr>
      </w:pPr>
      <w:r w:rsidRPr="00C42AFC">
        <w:rPr>
          <w:sz w:val="24"/>
          <w:szCs w:val="24"/>
        </w:rPr>
        <w:t>Resultaterne af tests for serum-kreatinin, serum-ferritin og serum-transaminaser bør registreres og vurderes regelmæssigt for tendenser.</w:t>
      </w:r>
    </w:p>
    <w:p w:rsidR="00C42AFC" w:rsidRPr="00C42AFC" w:rsidRDefault="00C42AFC" w:rsidP="000F34ED">
      <w:pPr>
        <w:autoSpaceDE w:val="0"/>
        <w:autoSpaceDN w:val="0"/>
        <w:adjustRightInd w:val="0"/>
        <w:ind w:left="851"/>
        <w:rPr>
          <w:sz w:val="24"/>
          <w:szCs w:val="24"/>
        </w:rPr>
      </w:pPr>
    </w:p>
    <w:p w:rsidR="00C42AFC" w:rsidRPr="00C42AFC" w:rsidRDefault="00C42AFC" w:rsidP="000F34ED">
      <w:pPr>
        <w:autoSpaceDE w:val="0"/>
        <w:autoSpaceDN w:val="0"/>
        <w:adjustRightInd w:val="0"/>
        <w:ind w:left="851"/>
        <w:rPr>
          <w:sz w:val="24"/>
          <w:szCs w:val="24"/>
        </w:rPr>
      </w:pPr>
      <w:r w:rsidRPr="00C42AFC">
        <w:rPr>
          <w:sz w:val="24"/>
          <w:szCs w:val="24"/>
        </w:rPr>
        <w:t>I to kliniske studier blev vækst og kønsudvikling hos pædiatriske patienter, der blev behandlet med deferasirox i op til 5 år, ikke påvirket (se pkt. 4.8). Som en generel forholdsregel for varetagelse af pædiatriske patienter med transfusionsbetinget jernophobning bør kropsvægt, højde og kønsudvikling imidlertid monitoreres inden behandlingsstart og med regelmæssige intervaller (hver 12. måned).</w:t>
      </w:r>
    </w:p>
    <w:p w:rsidR="00C42AFC" w:rsidRPr="00C42AFC" w:rsidRDefault="00C42AFC" w:rsidP="000F34ED">
      <w:pPr>
        <w:autoSpaceDE w:val="0"/>
        <w:autoSpaceDN w:val="0"/>
        <w:adjustRightInd w:val="0"/>
        <w:ind w:left="851"/>
        <w:rPr>
          <w:sz w:val="24"/>
          <w:szCs w:val="24"/>
        </w:rPr>
      </w:pPr>
    </w:p>
    <w:p w:rsidR="00C42AFC" w:rsidRPr="00C42AFC" w:rsidRDefault="00C42AFC" w:rsidP="000F34ED">
      <w:pPr>
        <w:autoSpaceDE w:val="0"/>
        <w:autoSpaceDN w:val="0"/>
        <w:adjustRightInd w:val="0"/>
        <w:ind w:left="851"/>
        <w:rPr>
          <w:sz w:val="24"/>
          <w:szCs w:val="24"/>
        </w:rPr>
      </w:pPr>
      <w:r w:rsidRPr="00C42AFC">
        <w:rPr>
          <w:sz w:val="24"/>
          <w:szCs w:val="24"/>
        </w:rPr>
        <w:t>Kardiel dysfunktion er en kendt komplikation ved alvorlig jernoverbelastning. Hjertefunktionen bør monitoreres hos patienter, der har alvorlig jernoverbelastning, og som er under længerevarende behandling med Deferasirox "Sandoz".</w:t>
      </w:r>
    </w:p>
    <w:p w:rsidR="009260DE" w:rsidRPr="00C42AFC" w:rsidRDefault="009260DE" w:rsidP="000F34ED">
      <w:pPr>
        <w:tabs>
          <w:tab w:val="left" w:pos="851"/>
        </w:tabs>
        <w:ind w:left="851"/>
        <w:rPr>
          <w:sz w:val="24"/>
          <w:szCs w:val="24"/>
        </w:rPr>
      </w:pPr>
    </w:p>
    <w:p w:rsidR="009260DE" w:rsidRPr="00C84483" w:rsidRDefault="009260DE" w:rsidP="000F34ED">
      <w:pPr>
        <w:tabs>
          <w:tab w:val="left" w:pos="851"/>
        </w:tabs>
        <w:ind w:left="851" w:hanging="851"/>
        <w:rPr>
          <w:b/>
          <w:sz w:val="24"/>
          <w:szCs w:val="24"/>
        </w:rPr>
      </w:pPr>
      <w:r w:rsidRPr="00C84483">
        <w:rPr>
          <w:b/>
          <w:sz w:val="24"/>
          <w:szCs w:val="24"/>
        </w:rPr>
        <w:t>4.5</w:t>
      </w:r>
      <w:r w:rsidRPr="00C84483">
        <w:rPr>
          <w:b/>
          <w:sz w:val="24"/>
          <w:szCs w:val="24"/>
        </w:rPr>
        <w:tab/>
        <w:t>Interaktion med andre lægemidler og andre former for interaktion</w:t>
      </w:r>
    </w:p>
    <w:p w:rsidR="001D0015" w:rsidRPr="001D0015" w:rsidRDefault="001D0015" w:rsidP="001D0015">
      <w:pPr>
        <w:tabs>
          <w:tab w:val="left" w:pos="851"/>
        </w:tabs>
        <w:ind w:left="851"/>
        <w:rPr>
          <w:sz w:val="24"/>
          <w:szCs w:val="24"/>
        </w:rPr>
      </w:pPr>
      <w:r w:rsidRPr="001D0015">
        <w:rPr>
          <w:sz w:val="24"/>
          <w:szCs w:val="24"/>
        </w:rPr>
        <w:t>Sikkerheden af deferasirox i kombination med andre jernkelatorerer er ikke blevet klarlagt. Derfor må det ikke kombineres med andre jernkelatorer (se pkt. 4.3).</w:t>
      </w:r>
    </w:p>
    <w:p w:rsidR="001D0015" w:rsidRPr="001D0015" w:rsidRDefault="001D0015" w:rsidP="001D0015">
      <w:pPr>
        <w:tabs>
          <w:tab w:val="left" w:pos="851"/>
        </w:tabs>
        <w:ind w:left="851"/>
        <w:rPr>
          <w:sz w:val="24"/>
          <w:szCs w:val="24"/>
        </w:rPr>
      </w:pPr>
    </w:p>
    <w:p w:rsidR="001D0015" w:rsidRPr="001D0015" w:rsidRDefault="001D0015" w:rsidP="001D0015">
      <w:pPr>
        <w:tabs>
          <w:tab w:val="left" w:pos="851"/>
        </w:tabs>
        <w:ind w:left="851"/>
        <w:rPr>
          <w:sz w:val="24"/>
          <w:szCs w:val="24"/>
        </w:rPr>
      </w:pPr>
      <w:r w:rsidRPr="001D0015">
        <w:rPr>
          <w:sz w:val="24"/>
          <w:szCs w:val="24"/>
          <w:u w:val="single"/>
        </w:rPr>
        <w:t>Interaktion med mad</w:t>
      </w:r>
    </w:p>
    <w:p w:rsidR="001D0015" w:rsidRPr="001D0015" w:rsidRDefault="001D0015" w:rsidP="001D0015">
      <w:pPr>
        <w:tabs>
          <w:tab w:val="left" w:pos="851"/>
        </w:tabs>
        <w:ind w:left="851"/>
        <w:rPr>
          <w:sz w:val="24"/>
          <w:szCs w:val="24"/>
        </w:rPr>
      </w:pPr>
      <w:r w:rsidRPr="001D0015">
        <w:rPr>
          <w:sz w:val="24"/>
          <w:szCs w:val="24"/>
        </w:rPr>
        <w:t>Cmax for deferasirox filmovertrukne tabletter blev øget (med 29</w:t>
      </w:r>
      <w:r w:rsidR="00167916">
        <w:rPr>
          <w:sz w:val="24"/>
          <w:szCs w:val="24"/>
        </w:rPr>
        <w:t xml:space="preserve"> %</w:t>
      </w:r>
      <w:r w:rsidRPr="001D0015">
        <w:rPr>
          <w:sz w:val="24"/>
          <w:szCs w:val="24"/>
        </w:rPr>
        <w:t>), når de blev indtaget samtidigt med mad. Deferasirox "Sandoz" filmovertukne tabletter kan tages på tom mave eller med et let måltid og helst på samme tidspunkt hver dag (se punkterne 4.2 og 5.2).</w:t>
      </w:r>
    </w:p>
    <w:p w:rsidR="001D0015" w:rsidRPr="001D0015" w:rsidRDefault="001D0015" w:rsidP="001D0015">
      <w:pPr>
        <w:tabs>
          <w:tab w:val="left" w:pos="851"/>
        </w:tabs>
        <w:ind w:left="851"/>
        <w:rPr>
          <w:sz w:val="24"/>
          <w:szCs w:val="24"/>
        </w:rPr>
      </w:pPr>
    </w:p>
    <w:p w:rsidR="001D0015" w:rsidRPr="001D0015" w:rsidRDefault="001D0015" w:rsidP="001D0015">
      <w:pPr>
        <w:tabs>
          <w:tab w:val="left" w:pos="851"/>
        </w:tabs>
        <w:ind w:left="851"/>
        <w:rPr>
          <w:sz w:val="24"/>
          <w:szCs w:val="24"/>
        </w:rPr>
      </w:pPr>
      <w:r w:rsidRPr="001D0015">
        <w:rPr>
          <w:sz w:val="24"/>
          <w:szCs w:val="24"/>
          <w:u w:val="single"/>
        </w:rPr>
        <w:t>Lægemidler, der kan øge den systemiske eksponering af Deferasirox "Sandoz"</w:t>
      </w:r>
    </w:p>
    <w:p w:rsidR="001D0015" w:rsidRPr="001D0015" w:rsidRDefault="001D0015" w:rsidP="001D0015">
      <w:pPr>
        <w:tabs>
          <w:tab w:val="left" w:pos="851"/>
        </w:tabs>
        <w:ind w:left="851"/>
        <w:rPr>
          <w:sz w:val="24"/>
          <w:szCs w:val="24"/>
        </w:rPr>
      </w:pPr>
      <w:r w:rsidRPr="001D0015">
        <w:rPr>
          <w:sz w:val="24"/>
          <w:szCs w:val="24"/>
        </w:rPr>
        <w:t>Deferasiroxmetabolisme afhænger af UGT-enzymer. Samtidig administration af deferasirox (enkeltdosis på 30 mg/kg, dispergibel tablet-formulering) og den potente UGT-inducer, rifampicin, (gentagen dosis på 600 mg/dag) resulterede i en nedsat eksponering for deferasirox med 44</w:t>
      </w:r>
      <w:r w:rsidR="00167916">
        <w:rPr>
          <w:sz w:val="24"/>
          <w:szCs w:val="24"/>
        </w:rPr>
        <w:t xml:space="preserve"> %</w:t>
      </w:r>
      <w:r w:rsidRPr="001D0015">
        <w:rPr>
          <w:sz w:val="24"/>
          <w:szCs w:val="24"/>
        </w:rPr>
        <w:t xml:space="preserve"> (90</w:t>
      </w:r>
      <w:r w:rsidR="00167916">
        <w:rPr>
          <w:sz w:val="24"/>
          <w:szCs w:val="24"/>
        </w:rPr>
        <w:t xml:space="preserve"> %</w:t>
      </w:r>
      <w:r w:rsidRPr="001D0015">
        <w:rPr>
          <w:sz w:val="24"/>
          <w:szCs w:val="24"/>
        </w:rPr>
        <w:t xml:space="preserve"> CI: 37</w:t>
      </w:r>
      <w:r w:rsidR="00167916">
        <w:rPr>
          <w:sz w:val="24"/>
          <w:szCs w:val="24"/>
        </w:rPr>
        <w:t xml:space="preserve"> %</w:t>
      </w:r>
      <w:r w:rsidRPr="001D0015">
        <w:rPr>
          <w:sz w:val="24"/>
          <w:szCs w:val="24"/>
        </w:rPr>
        <w:t xml:space="preserve"> - 51</w:t>
      </w:r>
      <w:r w:rsidR="00167916">
        <w:rPr>
          <w:sz w:val="24"/>
          <w:szCs w:val="24"/>
        </w:rPr>
        <w:t xml:space="preserve"> %</w:t>
      </w:r>
      <w:r w:rsidRPr="001D0015">
        <w:rPr>
          <w:sz w:val="24"/>
          <w:szCs w:val="24"/>
        </w:rPr>
        <w:t>) i et studie hos raske frivillige. Derfor kan samtidig anvendelse af Deferasirox "Sandoz" med potente UGT-inducere (fx rifampicin, carbamazepin, phenytoin, phenobarbital, ritonavir) resultere i nedsat effekt af Deferasirox "Sandoz". Patientens serum-ferritin bør monitoreres under og efter kombinationen, og Deferasirox "Sandoz"-dosis skal om nødvendigt justeres.</w:t>
      </w:r>
    </w:p>
    <w:p w:rsidR="001D0015" w:rsidRPr="001D0015" w:rsidRDefault="001D0015" w:rsidP="001D0015">
      <w:pPr>
        <w:tabs>
          <w:tab w:val="left" w:pos="851"/>
        </w:tabs>
        <w:ind w:left="851"/>
        <w:rPr>
          <w:sz w:val="24"/>
          <w:szCs w:val="24"/>
        </w:rPr>
      </w:pPr>
    </w:p>
    <w:p w:rsidR="001D0015" w:rsidRPr="001D0015" w:rsidRDefault="001D0015" w:rsidP="001D0015">
      <w:pPr>
        <w:tabs>
          <w:tab w:val="left" w:pos="851"/>
        </w:tabs>
        <w:ind w:left="851"/>
        <w:rPr>
          <w:sz w:val="24"/>
          <w:szCs w:val="24"/>
        </w:rPr>
      </w:pPr>
      <w:r w:rsidRPr="001D0015">
        <w:rPr>
          <w:sz w:val="24"/>
          <w:szCs w:val="24"/>
        </w:rPr>
        <w:t>Cholestyramin reducerede signifikant deferasirox-eksponeringen i et mekanistisk studie for at bestemme graden af enterohepatisk recirkulation (se pkt. 5.2).</w:t>
      </w:r>
    </w:p>
    <w:p w:rsidR="001D0015" w:rsidRPr="001D0015" w:rsidRDefault="001D0015" w:rsidP="001D0015">
      <w:pPr>
        <w:tabs>
          <w:tab w:val="left" w:pos="851"/>
        </w:tabs>
        <w:ind w:left="851"/>
        <w:rPr>
          <w:sz w:val="24"/>
          <w:szCs w:val="24"/>
        </w:rPr>
      </w:pPr>
    </w:p>
    <w:p w:rsidR="001D0015" w:rsidRPr="001D0015" w:rsidRDefault="001D0015" w:rsidP="001D0015">
      <w:pPr>
        <w:tabs>
          <w:tab w:val="left" w:pos="851"/>
        </w:tabs>
        <w:ind w:left="851"/>
        <w:rPr>
          <w:sz w:val="24"/>
          <w:szCs w:val="24"/>
        </w:rPr>
      </w:pPr>
      <w:r w:rsidRPr="001D0015">
        <w:rPr>
          <w:sz w:val="24"/>
          <w:szCs w:val="24"/>
          <w:u w:val="single"/>
        </w:rPr>
        <w:t>Interaktion med midazolam og andre lægemidler metaboliseret af CYP3A4</w:t>
      </w:r>
    </w:p>
    <w:p w:rsidR="001D0015" w:rsidRPr="001D0015" w:rsidRDefault="001D0015" w:rsidP="001D0015">
      <w:pPr>
        <w:tabs>
          <w:tab w:val="left" w:pos="851"/>
        </w:tabs>
        <w:ind w:left="851"/>
        <w:rPr>
          <w:sz w:val="24"/>
          <w:szCs w:val="24"/>
        </w:rPr>
      </w:pPr>
      <w:r w:rsidRPr="001D0015">
        <w:rPr>
          <w:sz w:val="24"/>
          <w:szCs w:val="24"/>
        </w:rPr>
        <w:t>I et studie med raske frivillige, resulterede samtidig behandling med deferasirox dispergible tabletter og midazolam (et CYP3A4 test-substrat) i et fald i eksponering for midazolam på 17</w:t>
      </w:r>
      <w:r w:rsidR="00167916">
        <w:rPr>
          <w:sz w:val="24"/>
          <w:szCs w:val="24"/>
        </w:rPr>
        <w:t xml:space="preserve"> %</w:t>
      </w:r>
      <w:r w:rsidRPr="001D0015">
        <w:rPr>
          <w:sz w:val="24"/>
          <w:szCs w:val="24"/>
        </w:rPr>
        <w:t xml:space="preserve"> (90</w:t>
      </w:r>
      <w:r w:rsidR="00167916">
        <w:rPr>
          <w:sz w:val="24"/>
          <w:szCs w:val="24"/>
        </w:rPr>
        <w:t xml:space="preserve"> %</w:t>
      </w:r>
      <w:r w:rsidR="00CE019B">
        <w:rPr>
          <w:sz w:val="24"/>
          <w:szCs w:val="24"/>
        </w:rPr>
        <w:t xml:space="preserve"> </w:t>
      </w:r>
      <w:r w:rsidRPr="001D0015">
        <w:rPr>
          <w:sz w:val="24"/>
          <w:szCs w:val="24"/>
        </w:rPr>
        <w:t>CI: 8</w:t>
      </w:r>
      <w:r w:rsidR="00167916">
        <w:rPr>
          <w:sz w:val="24"/>
          <w:szCs w:val="24"/>
        </w:rPr>
        <w:t xml:space="preserve"> %</w:t>
      </w:r>
      <w:r w:rsidRPr="001D0015">
        <w:rPr>
          <w:sz w:val="24"/>
          <w:szCs w:val="24"/>
        </w:rPr>
        <w:t xml:space="preserve"> - 26</w:t>
      </w:r>
      <w:r w:rsidR="00167916">
        <w:rPr>
          <w:sz w:val="24"/>
          <w:szCs w:val="24"/>
        </w:rPr>
        <w:t xml:space="preserve"> %</w:t>
      </w:r>
      <w:r w:rsidRPr="001D0015">
        <w:rPr>
          <w:sz w:val="24"/>
          <w:szCs w:val="24"/>
        </w:rPr>
        <w:t>). I den kliniske virkelighed kan denne effekt være mere udtalt. Derfor bør forsigtighed udvises, grundet en mulig nedsat effekt, når deferasirox kombineres med stoffer, der metaboliseres af CYP3A4 (fx ciclosporin, simvastatin, hormonelle antikoceptiva, bepridil og ergotamin).</w:t>
      </w:r>
    </w:p>
    <w:p w:rsidR="001D0015" w:rsidRPr="001D0015" w:rsidRDefault="001D0015" w:rsidP="001D0015">
      <w:pPr>
        <w:tabs>
          <w:tab w:val="left" w:pos="851"/>
        </w:tabs>
        <w:ind w:left="851"/>
        <w:rPr>
          <w:sz w:val="24"/>
          <w:szCs w:val="24"/>
          <w:u w:val="single"/>
        </w:rPr>
      </w:pPr>
    </w:p>
    <w:p w:rsidR="001D0015" w:rsidRPr="001D0015" w:rsidRDefault="001D0015" w:rsidP="001D0015">
      <w:pPr>
        <w:tabs>
          <w:tab w:val="left" w:pos="851"/>
        </w:tabs>
        <w:ind w:left="851"/>
        <w:rPr>
          <w:sz w:val="24"/>
          <w:szCs w:val="24"/>
        </w:rPr>
      </w:pPr>
      <w:r w:rsidRPr="001D0015">
        <w:rPr>
          <w:sz w:val="24"/>
          <w:szCs w:val="24"/>
          <w:u w:val="single"/>
        </w:rPr>
        <w:t>Interaktion med repaglinid og andre lægemidler metaboliseret af CYP2C8</w:t>
      </w:r>
    </w:p>
    <w:p w:rsidR="001D0015" w:rsidRPr="001D0015" w:rsidRDefault="001D0015" w:rsidP="001D0015">
      <w:pPr>
        <w:tabs>
          <w:tab w:val="left" w:pos="851"/>
        </w:tabs>
        <w:ind w:left="851"/>
        <w:rPr>
          <w:sz w:val="24"/>
          <w:szCs w:val="24"/>
        </w:rPr>
      </w:pPr>
      <w:r w:rsidRPr="001D0015">
        <w:rPr>
          <w:sz w:val="24"/>
          <w:szCs w:val="24"/>
        </w:rPr>
        <w:t>I et studie med raske frivillige blev det påvist, at administration af deferasirox, som moderat CYP2C8- hæmmer (30 mg/kg daglig, dispergibel tablet-formulering) samtidig med repaglinid, et CYP2C8- substrat givet som enkeltdosis på 0,5 mg, øgede AUC og Cmax for repaglinid med henholdsvis ca.</w:t>
      </w:r>
      <w:r w:rsidR="00CE019B">
        <w:rPr>
          <w:sz w:val="24"/>
          <w:szCs w:val="24"/>
        </w:rPr>
        <w:t xml:space="preserve"> </w:t>
      </w:r>
      <w:r w:rsidRPr="001D0015">
        <w:rPr>
          <w:sz w:val="24"/>
          <w:szCs w:val="24"/>
        </w:rPr>
        <w:t>2,3 gange (90</w:t>
      </w:r>
      <w:r w:rsidR="00167916">
        <w:rPr>
          <w:sz w:val="24"/>
          <w:szCs w:val="24"/>
        </w:rPr>
        <w:t xml:space="preserve"> %</w:t>
      </w:r>
      <w:r w:rsidRPr="001D0015">
        <w:rPr>
          <w:sz w:val="24"/>
          <w:szCs w:val="24"/>
        </w:rPr>
        <w:t xml:space="preserve"> CI [2,03-2,63]) og 1,6 gange (90</w:t>
      </w:r>
      <w:r w:rsidR="00167916">
        <w:rPr>
          <w:sz w:val="24"/>
          <w:szCs w:val="24"/>
        </w:rPr>
        <w:t xml:space="preserve"> %</w:t>
      </w:r>
      <w:r w:rsidRPr="001D0015">
        <w:rPr>
          <w:sz w:val="24"/>
          <w:szCs w:val="24"/>
        </w:rPr>
        <w:t xml:space="preserve"> CI [1,42-1.84]). Da interaktionen ikke er blevet påvist med doser højere end 0,5 mg for repaglinid, skal samtidig brug af deferasirox og repaglinid undgås. Hvis kombinationen er nødvendig, skal der udføres nøje klinisk overvågning samt monitorering af blodglukose (se pkt. 4.4). Der kan ikke udelukkes interaktion mellem deferasirox og andre CYP2C8-substrater som paclitaxel.</w:t>
      </w:r>
    </w:p>
    <w:p w:rsidR="001D0015" w:rsidRPr="001D0015" w:rsidRDefault="001D0015" w:rsidP="001D0015">
      <w:pPr>
        <w:tabs>
          <w:tab w:val="left" w:pos="851"/>
        </w:tabs>
        <w:ind w:left="851"/>
        <w:rPr>
          <w:sz w:val="24"/>
          <w:szCs w:val="24"/>
        </w:rPr>
      </w:pPr>
    </w:p>
    <w:p w:rsidR="001D0015" w:rsidRPr="001D0015" w:rsidRDefault="001D0015" w:rsidP="001D0015">
      <w:pPr>
        <w:tabs>
          <w:tab w:val="left" w:pos="851"/>
        </w:tabs>
        <w:ind w:left="851"/>
        <w:rPr>
          <w:sz w:val="24"/>
          <w:szCs w:val="24"/>
        </w:rPr>
      </w:pPr>
      <w:r w:rsidRPr="001D0015">
        <w:rPr>
          <w:sz w:val="24"/>
          <w:szCs w:val="24"/>
          <w:u w:val="single"/>
        </w:rPr>
        <w:t>Interaktion med theophyllin og andre lægemidler metaboliseret af CYP1A2</w:t>
      </w:r>
    </w:p>
    <w:p w:rsidR="001D0015" w:rsidRPr="001D0015" w:rsidRDefault="001D0015" w:rsidP="001D0015">
      <w:pPr>
        <w:tabs>
          <w:tab w:val="left" w:pos="851"/>
        </w:tabs>
        <w:ind w:left="851"/>
        <w:rPr>
          <w:sz w:val="24"/>
          <w:szCs w:val="24"/>
        </w:rPr>
      </w:pPr>
      <w:r w:rsidRPr="001D0015">
        <w:rPr>
          <w:sz w:val="24"/>
          <w:szCs w:val="24"/>
        </w:rPr>
        <w:t>I et studie med raske frivillige blev det påvist, at samtidig administration af deferasirox som CYP1A2- hæmmer (gentagen dosis på 30 mg/kg daglig, dispergibel tablet-formulering) og CYP1A2-substratet theophyllin (enkeltdosis på 120 mg) øgede theophyllin-AUC med 84</w:t>
      </w:r>
      <w:r w:rsidR="00167916">
        <w:rPr>
          <w:sz w:val="24"/>
          <w:szCs w:val="24"/>
        </w:rPr>
        <w:t xml:space="preserve"> %</w:t>
      </w:r>
      <w:r w:rsidRPr="001D0015">
        <w:rPr>
          <w:sz w:val="24"/>
          <w:szCs w:val="24"/>
        </w:rPr>
        <w:t xml:space="preserve"> (90</w:t>
      </w:r>
      <w:r w:rsidR="00167916">
        <w:rPr>
          <w:sz w:val="24"/>
          <w:szCs w:val="24"/>
        </w:rPr>
        <w:t xml:space="preserve"> %</w:t>
      </w:r>
      <w:r w:rsidRPr="001D0015">
        <w:rPr>
          <w:sz w:val="24"/>
          <w:szCs w:val="24"/>
        </w:rPr>
        <w:t xml:space="preserve"> CI: 73</w:t>
      </w:r>
      <w:r w:rsidR="00167916">
        <w:rPr>
          <w:sz w:val="24"/>
          <w:szCs w:val="24"/>
        </w:rPr>
        <w:t xml:space="preserve"> %</w:t>
      </w:r>
      <w:r w:rsidRPr="001D0015">
        <w:rPr>
          <w:sz w:val="24"/>
          <w:szCs w:val="24"/>
        </w:rPr>
        <w:t xml:space="preserve"> til 95</w:t>
      </w:r>
      <w:r w:rsidR="00167916">
        <w:rPr>
          <w:sz w:val="24"/>
          <w:szCs w:val="24"/>
        </w:rPr>
        <w:t xml:space="preserve"> %</w:t>
      </w:r>
      <w:r w:rsidRPr="001D0015">
        <w:rPr>
          <w:sz w:val="24"/>
          <w:szCs w:val="24"/>
        </w:rPr>
        <w:t>). Efter enkeltdosis-behandling var Cmax</w:t>
      </w:r>
      <w:r w:rsidR="00C234C1">
        <w:rPr>
          <w:sz w:val="24"/>
          <w:szCs w:val="24"/>
        </w:rPr>
        <w:t xml:space="preserve"> </w:t>
      </w:r>
      <w:r w:rsidRPr="001D0015">
        <w:rPr>
          <w:sz w:val="24"/>
          <w:szCs w:val="24"/>
        </w:rPr>
        <w:t>ikke påvirket, men en øget theophyllin-Cmax</w:t>
      </w:r>
      <w:r w:rsidR="00C234C1">
        <w:rPr>
          <w:sz w:val="24"/>
          <w:szCs w:val="24"/>
        </w:rPr>
        <w:t xml:space="preserve"> </w:t>
      </w:r>
      <w:r w:rsidRPr="001D0015">
        <w:rPr>
          <w:sz w:val="24"/>
          <w:szCs w:val="24"/>
        </w:rPr>
        <w:t>kan forventes ved kronisk dosering. Derfor anbefales det ikke at bruge deferasirox samtidigt med theofyllin. Hvis deferasirox og theophyllin anvendes samtidig, bør theophyllin-koncentrationen monitoreres, og reduktion af theophyllindosis bør overvejes. Interaktion mellem deferasirox og andre CYP1A2- substrater kan ikke udelukkes. For substanser, som primært metaboliseres af CYP1A2, og som har et snævert terapeutisk indeks (fx clozapin, tizanidin), gælder de samme anbefalinger som for theofyllin.</w:t>
      </w:r>
    </w:p>
    <w:p w:rsidR="001D0015" w:rsidRPr="001D0015" w:rsidRDefault="001D0015" w:rsidP="001D0015">
      <w:pPr>
        <w:tabs>
          <w:tab w:val="left" w:pos="851"/>
        </w:tabs>
        <w:ind w:left="851"/>
        <w:rPr>
          <w:sz w:val="24"/>
          <w:szCs w:val="24"/>
        </w:rPr>
      </w:pPr>
    </w:p>
    <w:p w:rsidR="001D0015" w:rsidRPr="001D0015" w:rsidRDefault="001D0015" w:rsidP="001D0015">
      <w:pPr>
        <w:tabs>
          <w:tab w:val="left" w:pos="851"/>
        </w:tabs>
        <w:ind w:left="851"/>
        <w:rPr>
          <w:sz w:val="24"/>
          <w:szCs w:val="24"/>
        </w:rPr>
      </w:pPr>
      <w:r w:rsidRPr="001D0015">
        <w:rPr>
          <w:sz w:val="24"/>
          <w:szCs w:val="24"/>
          <w:u w:val="single"/>
        </w:rPr>
        <w:t>Anden information</w:t>
      </w:r>
    </w:p>
    <w:p w:rsidR="001D0015" w:rsidRPr="001D0015" w:rsidRDefault="001D0015" w:rsidP="001D0015">
      <w:pPr>
        <w:tabs>
          <w:tab w:val="left" w:pos="851"/>
        </w:tabs>
        <w:ind w:left="851"/>
        <w:rPr>
          <w:sz w:val="24"/>
          <w:szCs w:val="24"/>
        </w:rPr>
      </w:pPr>
      <w:r w:rsidRPr="001D0015">
        <w:rPr>
          <w:sz w:val="24"/>
          <w:szCs w:val="24"/>
        </w:rPr>
        <w:t>Samtidig administration af deferasirox og aluminiumholdige antacidapræparater er ikke formelt undersøgt. Det kan ikke anbefales at tage deferasirox-tabletter sammen med aluminiumholdige antacidapræparater, selvom deferasirox har en lavere affinitet for aluminium end for jern.</w:t>
      </w:r>
    </w:p>
    <w:p w:rsidR="001D0015" w:rsidRPr="001D0015" w:rsidRDefault="001D0015" w:rsidP="001D0015">
      <w:pPr>
        <w:tabs>
          <w:tab w:val="left" w:pos="851"/>
        </w:tabs>
        <w:ind w:left="851"/>
        <w:rPr>
          <w:sz w:val="24"/>
          <w:szCs w:val="24"/>
        </w:rPr>
      </w:pPr>
    </w:p>
    <w:p w:rsidR="001D0015" w:rsidRPr="001D0015" w:rsidRDefault="001D0015" w:rsidP="001D0015">
      <w:pPr>
        <w:tabs>
          <w:tab w:val="left" w:pos="851"/>
        </w:tabs>
        <w:ind w:left="851"/>
        <w:rPr>
          <w:sz w:val="24"/>
          <w:szCs w:val="24"/>
        </w:rPr>
      </w:pPr>
      <w:r w:rsidRPr="001D0015">
        <w:rPr>
          <w:sz w:val="24"/>
          <w:szCs w:val="24"/>
        </w:rPr>
        <w:t>Samtidig indgift af deferasirox med substanser, der har kendt ulcerogent potentiale, såsom NSAID’er (inklusive acetylsalicylsyre i høj dosis), kortikosteroider eller orale bisphosphonater kan øge risokoen for gastrointestinal toksicitet (se pkt. 4.4). Samtidig administration af deferasirox med antikoagulantia kan muligvis også øge risikoen for gastrointestinal blødning. Der kræves tæt monitorering, når deferasirox kombineres med disse substanser.</w:t>
      </w:r>
    </w:p>
    <w:p w:rsidR="001D0015" w:rsidRPr="001D0015" w:rsidRDefault="001D0015" w:rsidP="001D0015">
      <w:pPr>
        <w:tabs>
          <w:tab w:val="left" w:pos="851"/>
        </w:tabs>
        <w:ind w:left="851"/>
        <w:rPr>
          <w:sz w:val="24"/>
          <w:szCs w:val="24"/>
        </w:rPr>
      </w:pPr>
    </w:p>
    <w:p w:rsidR="001D0015" w:rsidRPr="001D0015" w:rsidRDefault="001D0015" w:rsidP="001D0015">
      <w:pPr>
        <w:tabs>
          <w:tab w:val="left" w:pos="851"/>
        </w:tabs>
        <w:ind w:left="851"/>
        <w:rPr>
          <w:sz w:val="24"/>
          <w:szCs w:val="24"/>
        </w:rPr>
      </w:pPr>
      <w:r w:rsidRPr="001D0015">
        <w:rPr>
          <w:sz w:val="24"/>
          <w:szCs w:val="24"/>
        </w:rPr>
        <w:t xml:space="preserve">Samtidig administration af defirasirox og busulfan resulterede i øget eksponering (AUC) for busulfan, men mekanismen bag denne interaktion er ikke kendt. Hvis muligt skal farmakokinetikken (AUC, </w:t>
      </w:r>
      <w:r w:rsidRPr="001D0015">
        <w:rPr>
          <w:i/>
          <w:sz w:val="24"/>
          <w:szCs w:val="24"/>
        </w:rPr>
        <w:t>clearance</w:t>
      </w:r>
      <w:r w:rsidRPr="001D0015">
        <w:rPr>
          <w:sz w:val="24"/>
          <w:szCs w:val="24"/>
        </w:rPr>
        <w:t>) af en busulfan testdosis evalueres for at muliggøre dosisjustering.</w:t>
      </w:r>
    </w:p>
    <w:p w:rsidR="009260DE" w:rsidRPr="00C84483" w:rsidRDefault="009260DE" w:rsidP="000F34ED">
      <w:pPr>
        <w:tabs>
          <w:tab w:val="left" w:pos="851"/>
        </w:tabs>
        <w:ind w:left="851"/>
        <w:rPr>
          <w:sz w:val="24"/>
          <w:szCs w:val="24"/>
        </w:rPr>
      </w:pPr>
    </w:p>
    <w:p w:rsidR="009260DE" w:rsidRPr="00C84483" w:rsidRDefault="009260DE" w:rsidP="000F34ED">
      <w:pPr>
        <w:tabs>
          <w:tab w:val="left" w:pos="851"/>
        </w:tabs>
        <w:ind w:left="851" w:hanging="851"/>
        <w:rPr>
          <w:b/>
          <w:sz w:val="24"/>
          <w:szCs w:val="24"/>
        </w:rPr>
      </w:pPr>
      <w:r w:rsidRPr="00C84483">
        <w:rPr>
          <w:b/>
          <w:sz w:val="24"/>
          <w:szCs w:val="24"/>
        </w:rPr>
        <w:t>4.6</w:t>
      </w:r>
      <w:r w:rsidRPr="00C84483">
        <w:rPr>
          <w:b/>
          <w:sz w:val="24"/>
          <w:szCs w:val="24"/>
        </w:rPr>
        <w:tab/>
        <w:t>Graviditet og amning</w:t>
      </w:r>
    </w:p>
    <w:p w:rsidR="003A0002" w:rsidRDefault="003A0002" w:rsidP="003A0002">
      <w:pPr>
        <w:tabs>
          <w:tab w:val="left" w:pos="851"/>
        </w:tabs>
        <w:ind w:left="851"/>
        <w:rPr>
          <w:sz w:val="24"/>
          <w:szCs w:val="24"/>
          <w:u w:val="single"/>
        </w:rPr>
      </w:pPr>
    </w:p>
    <w:p w:rsidR="003A0002" w:rsidRPr="003A0002" w:rsidRDefault="003A0002" w:rsidP="003A0002">
      <w:pPr>
        <w:tabs>
          <w:tab w:val="left" w:pos="851"/>
        </w:tabs>
        <w:ind w:left="851"/>
        <w:rPr>
          <w:sz w:val="24"/>
          <w:szCs w:val="24"/>
        </w:rPr>
      </w:pPr>
      <w:r w:rsidRPr="003A0002">
        <w:rPr>
          <w:sz w:val="24"/>
          <w:szCs w:val="24"/>
          <w:u w:val="single"/>
        </w:rPr>
        <w:t>Graviditet</w:t>
      </w:r>
    </w:p>
    <w:p w:rsidR="003A0002" w:rsidRPr="003A0002" w:rsidRDefault="003A0002" w:rsidP="003A0002">
      <w:pPr>
        <w:tabs>
          <w:tab w:val="left" w:pos="851"/>
        </w:tabs>
        <w:ind w:left="851"/>
        <w:rPr>
          <w:sz w:val="24"/>
          <w:szCs w:val="24"/>
        </w:rPr>
      </w:pPr>
      <w:r w:rsidRPr="003A0002">
        <w:rPr>
          <w:sz w:val="24"/>
          <w:szCs w:val="24"/>
        </w:rPr>
        <w:t>Der foreligger ikke kliniske data om eksponering for deferasirox under graviditet. Dyrestudier har påvist reproduktionstoksicitet ved doser, der var toksiske for moderen (se pkt. 5.3). Den potentielle risiko for mennesker er ukendt.</w:t>
      </w:r>
    </w:p>
    <w:p w:rsidR="003A0002" w:rsidRPr="003A0002" w:rsidRDefault="003A0002" w:rsidP="003A0002">
      <w:pPr>
        <w:tabs>
          <w:tab w:val="left" w:pos="851"/>
        </w:tabs>
        <w:ind w:left="851"/>
        <w:rPr>
          <w:sz w:val="24"/>
          <w:szCs w:val="24"/>
        </w:rPr>
      </w:pPr>
    </w:p>
    <w:p w:rsidR="003A0002" w:rsidRPr="003A0002" w:rsidRDefault="003A0002" w:rsidP="003A0002">
      <w:pPr>
        <w:tabs>
          <w:tab w:val="left" w:pos="851"/>
        </w:tabs>
        <w:ind w:left="851"/>
        <w:rPr>
          <w:sz w:val="24"/>
          <w:szCs w:val="24"/>
        </w:rPr>
      </w:pPr>
      <w:r w:rsidRPr="003A0002">
        <w:rPr>
          <w:sz w:val="24"/>
          <w:szCs w:val="24"/>
        </w:rPr>
        <w:t>Som en forholdsregel, frarådes det at anvende Deferasirox "Sandoz" under graviditet, medmindre det er strengt nødvendigt.</w:t>
      </w:r>
    </w:p>
    <w:p w:rsidR="003A0002" w:rsidRPr="003A0002" w:rsidRDefault="003A0002" w:rsidP="003A0002">
      <w:pPr>
        <w:tabs>
          <w:tab w:val="left" w:pos="851"/>
        </w:tabs>
        <w:ind w:left="851"/>
        <w:rPr>
          <w:sz w:val="24"/>
          <w:szCs w:val="24"/>
        </w:rPr>
      </w:pPr>
    </w:p>
    <w:p w:rsidR="003A0002" w:rsidRPr="003A0002" w:rsidRDefault="003A0002" w:rsidP="003A0002">
      <w:pPr>
        <w:tabs>
          <w:tab w:val="left" w:pos="851"/>
        </w:tabs>
        <w:ind w:left="851"/>
        <w:rPr>
          <w:sz w:val="24"/>
          <w:szCs w:val="24"/>
        </w:rPr>
      </w:pPr>
      <w:r w:rsidRPr="003A0002">
        <w:rPr>
          <w:sz w:val="24"/>
          <w:szCs w:val="24"/>
        </w:rPr>
        <w:t>Deferasirox "Sandoz" kan nedsætte effekten af hormonale kontraceptiva (se pkt. 4.5). Kvinder i den fødedygtige alder anbefales at bruge yderligere eller alternative ikke-hormonale præventionsmidler når de tager Deferasirox "Sandoz".</w:t>
      </w:r>
    </w:p>
    <w:p w:rsidR="003A0002" w:rsidRPr="003A0002" w:rsidRDefault="003A0002" w:rsidP="003A0002">
      <w:pPr>
        <w:tabs>
          <w:tab w:val="left" w:pos="851"/>
        </w:tabs>
        <w:ind w:left="851"/>
        <w:rPr>
          <w:sz w:val="24"/>
          <w:szCs w:val="24"/>
        </w:rPr>
      </w:pPr>
    </w:p>
    <w:p w:rsidR="003A0002" w:rsidRPr="003A0002" w:rsidRDefault="003A0002" w:rsidP="003A0002">
      <w:pPr>
        <w:tabs>
          <w:tab w:val="left" w:pos="851"/>
        </w:tabs>
        <w:ind w:left="851"/>
        <w:rPr>
          <w:sz w:val="24"/>
          <w:szCs w:val="24"/>
        </w:rPr>
      </w:pPr>
      <w:r w:rsidRPr="003A0002">
        <w:rPr>
          <w:sz w:val="24"/>
          <w:szCs w:val="24"/>
          <w:u w:val="single"/>
        </w:rPr>
        <w:t>Amning</w:t>
      </w:r>
    </w:p>
    <w:p w:rsidR="003A0002" w:rsidRPr="003A0002" w:rsidRDefault="003A0002" w:rsidP="003A0002">
      <w:pPr>
        <w:tabs>
          <w:tab w:val="left" w:pos="851"/>
        </w:tabs>
        <w:ind w:left="851"/>
        <w:rPr>
          <w:sz w:val="24"/>
          <w:szCs w:val="24"/>
        </w:rPr>
      </w:pPr>
      <w:r w:rsidRPr="003A0002">
        <w:rPr>
          <w:sz w:val="24"/>
          <w:szCs w:val="24"/>
        </w:rPr>
        <w:t>I dyrestudier blev det konstanteret, at deferasirox hurtigt og i udstrakt grad blev udskilt i mælken. Der blev ikke set nogen effekt på afkommet. Det vides ikke, om deferasirox uskilles i human mælk.</w:t>
      </w:r>
    </w:p>
    <w:p w:rsidR="003A0002" w:rsidRPr="003A0002" w:rsidRDefault="003A0002" w:rsidP="003A0002">
      <w:pPr>
        <w:tabs>
          <w:tab w:val="left" w:pos="851"/>
        </w:tabs>
        <w:ind w:left="851"/>
        <w:rPr>
          <w:sz w:val="24"/>
          <w:szCs w:val="24"/>
        </w:rPr>
      </w:pPr>
      <w:r w:rsidRPr="003A0002">
        <w:rPr>
          <w:sz w:val="24"/>
          <w:szCs w:val="24"/>
        </w:rPr>
        <w:t>Amning frarådes under behandling med Deferasirox "Sandoz".</w:t>
      </w:r>
    </w:p>
    <w:p w:rsidR="003A0002" w:rsidRPr="003A0002" w:rsidRDefault="003A0002" w:rsidP="003A0002">
      <w:pPr>
        <w:tabs>
          <w:tab w:val="left" w:pos="851"/>
        </w:tabs>
        <w:ind w:left="851"/>
        <w:rPr>
          <w:sz w:val="24"/>
          <w:szCs w:val="24"/>
        </w:rPr>
      </w:pPr>
    </w:p>
    <w:p w:rsidR="003A0002" w:rsidRPr="003A0002" w:rsidRDefault="003A0002" w:rsidP="003A0002">
      <w:pPr>
        <w:tabs>
          <w:tab w:val="left" w:pos="851"/>
        </w:tabs>
        <w:ind w:left="851"/>
        <w:rPr>
          <w:sz w:val="24"/>
          <w:szCs w:val="24"/>
        </w:rPr>
      </w:pPr>
      <w:r w:rsidRPr="003A0002">
        <w:rPr>
          <w:sz w:val="24"/>
          <w:szCs w:val="24"/>
          <w:u w:val="single"/>
        </w:rPr>
        <w:t>Fertilitet</w:t>
      </w:r>
    </w:p>
    <w:p w:rsidR="003A0002" w:rsidRPr="003A0002" w:rsidRDefault="003A0002" w:rsidP="003A0002">
      <w:pPr>
        <w:tabs>
          <w:tab w:val="left" w:pos="851"/>
        </w:tabs>
        <w:ind w:left="851"/>
        <w:rPr>
          <w:sz w:val="24"/>
          <w:szCs w:val="24"/>
        </w:rPr>
      </w:pPr>
      <w:r w:rsidRPr="003A0002">
        <w:rPr>
          <w:sz w:val="24"/>
          <w:szCs w:val="24"/>
        </w:rPr>
        <w:t>Der er ingen fertilitetsdata tilgængelige for mennesker. Hos dyr er der ikke observeret utilsigtede påvirkninger af hanner eller hunners fertilitet (se pkt. 5.3).</w:t>
      </w:r>
    </w:p>
    <w:p w:rsidR="001F28A1" w:rsidRDefault="001F28A1">
      <w:pPr>
        <w:rPr>
          <w:sz w:val="24"/>
          <w:szCs w:val="24"/>
        </w:rPr>
      </w:pPr>
      <w:r>
        <w:rPr>
          <w:sz w:val="24"/>
          <w:szCs w:val="24"/>
        </w:rPr>
        <w:br w:type="page"/>
      </w:r>
    </w:p>
    <w:p w:rsidR="009260DE" w:rsidRPr="00C84483" w:rsidRDefault="009260DE" w:rsidP="000F34ED">
      <w:pPr>
        <w:tabs>
          <w:tab w:val="left" w:pos="851"/>
        </w:tabs>
        <w:ind w:left="851"/>
        <w:rPr>
          <w:sz w:val="24"/>
          <w:szCs w:val="24"/>
        </w:rPr>
      </w:pPr>
    </w:p>
    <w:p w:rsidR="009260DE" w:rsidRPr="00C84483" w:rsidRDefault="009260DE" w:rsidP="000F34ED">
      <w:pPr>
        <w:tabs>
          <w:tab w:val="left" w:pos="851"/>
        </w:tabs>
        <w:ind w:left="851" w:hanging="851"/>
        <w:rPr>
          <w:b/>
          <w:sz w:val="24"/>
          <w:szCs w:val="24"/>
        </w:rPr>
      </w:pPr>
      <w:r w:rsidRPr="00C84483">
        <w:rPr>
          <w:b/>
          <w:sz w:val="24"/>
          <w:szCs w:val="24"/>
        </w:rPr>
        <w:t>4.7</w:t>
      </w:r>
      <w:r w:rsidRPr="00C84483">
        <w:rPr>
          <w:b/>
          <w:sz w:val="24"/>
          <w:szCs w:val="24"/>
        </w:rPr>
        <w:tab/>
        <w:t>Virkninger på evnen til at føre motorkøretøj eller betjene maskiner</w:t>
      </w:r>
    </w:p>
    <w:p w:rsidR="0073737F" w:rsidRPr="0073737F" w:rsidRDefault="0073737F" w:rsidP="0073737F">
      <w:pPr>
        <w:tabs>
          <w:tab w:val="left" w:pos="851"/>
        </w:tabs>
        <w:ind w:left="851"/>
        <w:rPr>
          <w:sz w:val="24"/>
          <w:szCs w:val="24"/>
        </w:rPr>
      </w:pPr>
      <w:r w:rsidRPr="0073737F">
        <w:rPr>
          <w:sz w:val="24"/>
          <w:szCs w:val="24"/>
        </w:rPr>
        <w:t>Ikke mærkning.</w:t>
      </w:r>
    </w:p>
    <w:p w:rsidR="0073737F" w:rsidRPr="0073737F" w:rsidRDefault="0073737F" w:rsidP="0073737F">
      <w:pPr>
        <w:tabs>
          <w:tab w:val="left" w:pos="851"/>
        </w:tabs>
        <w:ind w:left="851"/>
        <w:rPr>
          <w:sz w:val="24"/>
          <w:szCs w:val="24"/>
        </w:rPr>
      </w:pPr>
      <w:r w:rsidRPr="0073737F">
        <w:rPr>
          <w:sz w:val="24"/>
          <w:szCs w:val="24"/>
        </w:rPr>
        <w:t>Deferasirox "Sandoz" påvirker i mindre grad evnen til at føre motorkøretøj og betjene maskiner. Patienter, som oplever den usædvanlige bivirkning svimmelhed, bør udvise forsigtighed, når de fører motorkøretøj eller betjener maskiner (se pkt. 4.8).</w:t>
      </w:r>
    </w:p>
    <w:p w:rsidR="009260DE" w:rsidRPr="00C84483" w:rsidRDefault="009260DE" w:rsidP="000F34ED">
      <w:pPr>
        <w:tabs>
          <w:tab w:val="left" w:pos="851"/>
        </w:tabs>
        <w:ind w:left="851"/>
        <w:rPr>
          <w:sz w:val="24"/>
          <w:szCs w:val="24"/>
        </w:rPr>
      </w:pPr>
    </w:p>
    <w:p w:rsidR="009260DE" w:rsidRPr="00C84483" w:rsidRDefault="009260DE" w:rsidP="000F34ED">
      <w:pPr>
        <w:tabs>
          <w:tab w:val="left" w:pos="851"/>
        </w:tabs>
        <w:ind w:left="851" w:hanging="851"/>
        <w:rPr>
          <w:b/>
          <w:sz w:val="24"/>
          <w:szCs w:val="24"/>
        </w:rPr>
      </w:pPr>
      <w:r w:rsidRPr="00C84483">
        <w:rPr>
          <w:b/>
          <w:sz w:val="24"/>
          <w:szCs w:val="24"/>
        </w:rPr>
        <w:t>4.8</w:t>
      </w:r>
      <w:r w:rsidRPr="00C84483">
        <w:rPr>
          <w:b/>
          <w:sz w:val="24"/>
          <w:szCs w:val="24"/>
        </w:rPr>
        <w:tab/>
        <w:t>Bivirkninger</w:t>
      </w:r>
    </w:p>
    <w:p w:rsidR="001F28A1" w:rsidRDefault="001F28A1" w:rsidP="001F28A1">
      <w:pPr>
        <w:rPr>
          <w:sz w:val="22"/>
        </w:rPr>
      </w:pPr>
    </w:p>
    <w:p w:rsidR="001F28A1" w:rsidRPr="0071754D" w:rsidRDefault="001F28A1" w:rsidP="0071754D">
      <w:pPr>
        <w:ind w:left="851"/>
        <w:rPr>
          <w:sz w:val="24"/>
          <w:szCs w:val="24"/>
        </w:rPr>
      </w:pPr>
      <w:r w:rsidRPr="0071754D">
        <w:rPr>
          <w:sz w:val="24"/>
          <w:szCs w:val="24"/>
          <w:u w:val="single"/>
        </w:rPr>
        <w:t>Opsummering af sikkerhedsprofilen</w:t>
      </w:r>
    </w:p>
    <w:p w:rsidR="001F28A1" w:rsidRPr="0071754D" w:rsidRDefault="001F28A1" w:rsidP="0071754D">
      <w:pPr>
        <w:ind w:left="851"/>
        <w:rPr>
          <w:sz w:val="24"/>
          <w:szCs w:val="24"/>
        </w:rPr>
      </w:pPr>
      <w:r w:rsidRPr="0071754D">
        <w:rPr>
          <w:sz w:val="24"/>
          <w:szCs w:val="24"/>
        </w:rPr>
        <w:t>De hyppigste reaktioner, der er rapporteret i de udførte kliniske forsøg under kronisk behandling med deferasirox dispergible tabletter hos voksne og pædiatriske patienter, inkluderer gastrointestinale forstyrrelser (hovedsageligt kvalme, opkastning, diarré eller abdominale smerter) og hududslæt. Diarré er oftere set hos pædiatriske patienter i alderen 2 til 5 år og hos ældre patienter. Disse reaktioner er dosisafhængige, og de er som oftest milde til moderate. Reaktionerne er generelt forbigående, og de holder for det meste op, selvom behandlingen fortsættes.</w:t>
      </w:r>
    </w:p>
    <w:p w:rsidR="001F28A1" w:rsidRPr="0071754D" w:rsidRDefault="001F28A1" w:rsidP="0071754D">
      <w:pPr>
        <w:ind w:left="851"/>
        <w:rPr>
          <w:sz w:val="24"/>
          <w:szCs w:val="24"/>
        </w:rPr>
      </w:pPr>
    </w:p>
    <w:p w:rsidR="001F28A1" w:rsidRPr="0071754D" w:rsidRDefault="001F28A1" w:rsidP="0071754D">
      <w:pPr>
        <w:ind w:left="851"/>
        <w:rPr>
          <w:sz w:val="24"/>
          <w:szCs w:val="24"/>
        </w:rPr>
      </w:pPr>
      <w:r w:rsidRPr="0071754D">
        <w:rPr>
          <w:sz w:val="24"/>
          <w:szCs w:val="24"/>
        </w:rPr>
        <w:t>Under kliniske studier med forekom dosisafhængige forhøjelser af serum-kreatinin hos omkring 36</w:t>
      </w:r>
      <w:r w:rsidR="00167916">
        <w:rPr>
          <w:sz w:val="24"/>
          <w:szCs w:val="24"/>
        </w:rPr>
        <w:t xml:space="preserve"> %</w:t>
      </w:r>
      <w:r w:rsidRPr="0071754D">
        <w:rPr>
          <w:sz w:val="24"/>
          <w:szCs w:val="24"/>
        </w:rPr>
        <w:t xml:space="preserve"> af patienterne, selvom de fleste blev inden for normalområdet. Fald i gennemsnitlig kreatininclearance er observeret hos både pædiatriske og voksne patienter med beta-talassæmi og jernophobning i det første år af behandlingen, men der er tegn på, at dette ikke falder yderligere i de efterfølgende år af behandlingen. Forhøjelser af levertransaminaser er blevet rapporteret. Planer for sikkerhedsmonitorering for nyre- og leverparametre anbefales. Auditive (nedsat hørelse) og visuelle (uklarheder i linsen) forstyrrelser er ikke almindelige, og årlige undersøgelser anbefales også (se pkt. 4.4).</w:t>
      </w:r>
    </w:p>
    <w:p w:rsidR="001F28A1" w:rsidRPr="0071754D" w:rsidRDefault="001F28A1" w:rsidP="0071754D">
      <w:pPr>
        <w:ind w:left="851"/>
        <w:rPr>
          <w:sz w:val="24"/>
          <w:szCs w:val="24"/>
        </w:rPr>
      </w:pPr>
    </w:p>
    <w:p w:rsidR="001F28A1" w:rsidRPr="0071754D" w:rsidRDefault="001F28A1" w:rsidP="0071754D">
      <w:pPr>
        <w:ind w:left="851"/>
        <w:rPr>
          <w:sz w:val="24"/>
          <w:szCs w:val="24"/>
        </w:rPr>
      </w:pPr>
      <w:r w:rsidRPr="0071754D">
        <w:rPr>
          <w:sz w:val="24"/>
          <w:szCs w:val="24"/>
        </w:rPr>
        <w:t>Der er rapporteret alvorlige kutane bivirkninger (SCAR), herunder Stevens-Johnsons syndrom (SJS), toksisk epidermal nekrolyse (TEN) og lægemiddelreaktioner med eosinofili og systemiske symptomer (DRESS) ved brug af Deferasirox "Sandoz" (se pkt. 4.4).</w:t>
      </w:r>
    </w:p>
    <w:p w:rsidR="001F28A1" w:rsidRPr="0071754D" w:rsidRDefault="001F28A1" w:rsidP="0071754D">
      <w:pPr>
        <w:ind w:left="851"/>
        <w:rPr>
          <w:sz w:val="24"/>
          <w:szCs w:val="24"/>
        </w:rPr>
      </w:pPr>
    </w:p>
    <w:p w:rsidR="001F28A1" w:rsidRPr="0071754D" w:rsidRDefault="001F28A1" w:rsidP="0071754D">
      <w:pPr>
        <w:ind w:left="851"/>
        <w:rPr>
          <w:sz w:val="24"/>
          <w:szCs w:val="24"/>
        </w:rPr>
      </w:pPr>
      <w:r w:rsidRPr="0071754D">
        <w:rPr>
          <w:sz w:val="24"/>
          <w:szCs w:val="24"/>
          <w:u w:val="single"/>
        </w:rPr>
        <w:t>Tabel over bivirkninger</w:t>
      </w:r>
    </w:p>
    <w:p w:rsidR="001F28A1" w:rsidRPr="0071754D" w:rsidRDefault="001F28A1" w:rsidP="0071754D">
      <w:pPr>
        <w:ind w:left="851"/>
        <w:rPr>
          <w:sz w:val="24"/>
          <w:szCs w:val="24"/>
          <w:lang w:val="en-US"/>
        </w:rPr>
      </w:pPr>
      <w:r w:rsidRPr="0071754D">
        <w:rPr>
          <w:sz w:val="24"/>
          <w:szCs w:val="24"/>
        </w:rPr>
        <w:t xml:space="preserve">Bivirkningerne er opstillet nedenfor med følgende opdeling: Meget almindelig (≥ 1/10), almindelig (≥ 1/100 til &lt; 1/10), ikke almindelig (≥ 1/1.000 til &lt; 1/100), sjælden (≥ 1/10.000 til &lt; 1/1.000), meget sjælden (&lt; 1/10.000), ikke kendt (kan ikke estimeres ud fra forhåndenværende data). Inden for hver enkelt frekvensgruppe er bivirkningerne opstillet efter, hvor alvorlige de er. </w:t>
      </w:r>
      <w:r w:rsidRPr="0071754D">
        <w:rPr>
          <w:sz w:val="24"/>
          <w:szCs w:val="24"/>
          <w:lang w:val="en-US"/>
        </w:rPr>
        <w:t>De alvorligste bivirkninger er anført først.</w:t>
      </w:r>
    </w:p>
    <w:p w:rsidR="001F28A1" w:rsidRPr="0071754D" w:rsidRDefault="001F28A1" w:rsidP="0071754D">
      <w:pPr>
        <w:ind w:left="851"/>
        <w:rPr>
          <w:sz w:val="24"/>
          <w:szCs w:val="24"/>
        </w:rPr>
      </w:pPr>
    </w:p>
    <w:p w:rsidR="001F28A1" w:rsidRPr="0071754D" w:rsidRDefault="001F28A1" w:rsidP="0071754D">
      <w:pPr>
        <w:ind w:left="851"/>
        <w:rPr>
          <w:sz w:val="24"/>
          <w:szCs w:val="24"/>
          <w:lang w:val="en-US"/>
        </w:rPr>
      </w:pPr>
      <w:r w:rsidRPr="0071754D">
        <w:rPr>
          <w:sz w:val="24"/>
          <w:szCs w:val="24"/>
          <w:u w:val="single"/>
          <w:lang w:val="en-US"/>
        </w:rPr>
        <w:t>Tabel 5</w:t>
      </w:r>
    </w:p>
    <w:p w:rsidR="001F28A1" w:rsidRDefault="001F28A1" w:rsidP="001F28A1"/>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83"/>
        <w:gridCol w:w="4383"/>
      </w:tblGrid>
      <w:tr w:rsidR="001F28A1" w:rsidTr="00FB3D35">
        <w:tc>
          <w:tcPr>
            <w:tcW w:w="8766" w:type="dxa"/>
            <w:gridSpan w:val="2"/>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b/>
                <w:color w:val="auto"/>
                <w:sz w:val="22"/>
                <w:szCs w:val="22"/>
              </w:rPr>
            </w:pPr>
            <w:r>
              <w:rPr>
                <w:b/>
                <w:color w:val="auto"/>
                <w:sz w:val="22"/>
                <w:szCs w:val="22"/>
              </w:rPr>
              <w:t>Blod og lymfesystem</w:t>
            </w:r>
          </w:p>
        </w:tc>
      </w:tr>
      <w:tr w:rsidR="001F28A1" w:rsidTr="00FB3D35">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color w:val="auto"/>
                <w:sz w:val="22"/>
                <w:szCs w:val="22"/>
              </w:rPr>
            </w:pPr>
            <w:r>
              <w:rPr>
                <w:color w:val="auto"/>
                <w:sz w:val="22"/>
                <w:szCs w:val="22"/>
              </w:rPr>
              <w:t>Ikke kendt</w:t>
            </w:r>
          </w:p>
        </w:tc>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rPr>
                <w:color w:val="auto"/>
                <w:sz w:val="14"/>
                <w:szCs w:val="14"/>
                <w:vertAlign w:val="superscript"/>
              </w:rPr>
            </w:pPr>
            <w:r>
              <w:rPr>
                <w:color w:val="auto"/>
                <w:sz w:val="22"/>
                <w:szCs w:val="22"/>
              </w:rPr>
              <w:t>Pancytopeni</w:t>
            </w:r>
            <w:r>
              <w:rPr>
                <w:color w:val="auto"/>
                <w:sz w:val="22"/>
                <w:szCs w:val="22"/>
                <w:vertAlign w:val="superscript"/>
              </w:rPr>
              <w:t>1</w:t>
            </w:r>
            <w:r>
              <w:rPr>
                <w:color w:val="auto"/>
                <w:sz w:val="22"/>
                <w:szCs w:val="22"/>
              </w:rPr>
              <w:t>, trombocytopeni</w:t>
            </w:r>
            <w:r>
              <w:rPr>
                <w:color w:val="auto"/>
                <w:sz w:val="22"/>
                <w:szCs w:val="22"/>
                <w:vertAlign w:val="superscript"/>
              </w:rPr>
              <w:t>1</w:t>
            </w:r>
            <w:r>
              <w:rPr>
                <w:color w:val="auto"/>
                <w:sz w:val="22"/>
                <w:szCs w:val="22"/>
              </w:rPr>
              <w:t>, forværret anaemi</w:t>
            </w:r>
            <w:r>
              <w:rPr>
                <w:color w:val="auto"/>
                <w:sz w:val="22"/>
                <w:szCs w:val="22"/>
                <w:vertAlign w:val="superscript"/>
              </w:rPr>
              <w:t>1</w:t>
            </w:r>
            <w:r>
              <w:rPr>
                <w:color w:val="auto"/>
                <w:sz w:val="22"/>
                <w:szCs w:val="22"/>
              </w:rPr>
              <w:t>, neutropeni</w:t>
            </w:r>
            <w:r>
              <w:rPr>
                <w:color w:val="auto"/>
                <w:sz w:val="22"/>
                <w:szCs w:val="22"/>
                <w:vertAlign w:val="superscript"/>
              </w:rPr>
              <w:t>1</w:t>
            </w:r>
          </w:p>
        </w:tc>
      </w:tr>
      <w:tr w:rsidR="001F28A1" w:rsidTr="00FB3D35">
        <w:tc>
          <w:tcPr>
            <w:tcW w:w="8766" w:type="dxa"/>
            <w:gridSpan w:val="2"/>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b/>
                <w:color w:val="auto"/>
                <w:sz w:val="22"/>
                <w:szCs w:val="22"/>
              </w:rPr>
            </w:pPr>
            <w:r>
              <w:rPr>
                <w:b/>
                <w:color w:val="auto"/>
                <w:sz w:val="22"/>
                <w:szCs w:val="22"/>
              </w:rPr>
              <w:t>Immunsystemet</w:t>
            </w:r>
          </w:p>
        </w:tc>
      </w:tr>
      <w:tr w:rsidR="001F28A1" w:rsidTr="00FB3D35">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color w:val="auto"/>
                <w:sz w:val="22"/>
                <w:szCs w:val="22"/>
              </w:rPr>
            </w:pPr>
            <w:r>
              <w:rPr>
                <w:color w:val="auto"/>
                <w:sz w:val="22"/>
                <w:szCs w:val="22"/>
              </w:rPr>
              <w:t>Ikke kendt</w:t>
            </w:r>
          </w:p>
        </w:tc>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rPr>
                <w:color w:val="auto"/>
                <w:sz w:val="14"/>
                <w:szCs w:val="14"/>
                <w:vertAlign w:val="superscript"/>
                <w:lang w:val="da-DK"/>
              </w:rPr>
            </w:pPr>
            <w:r>
              <w:rPr>
                <w:color w:val="auto"/>
                <w:sz w:val="22"/>
                <w:szCs w:val="22"/>
                <w:lang w:val="da-DK"/>
              </w:rPr>
              <w:t>Allergiske reaktioner (inklusiv anafylaktiske reaktioner og angioødem)</w:t>
            </w:r>
            <w:r>
              <w:rPr>
                <w:color w:val="auto"/>
                <w:sz w:val="22"/>
                <w:szCs w:val="22"/>
                <w:vertAlign w:val="superscript"/>
                <w:lang w:val="da-DK"/>
              </w:rPr>
              <w:t>1</w:t>
            </w:r>
          </w:p>
        </w:tc>
      </w:tr>
      <w:tr w:rsidR="001F28A1" w:rsidTr="00FB3D35">
        <w:tc>
          <w:tcPr>
            <w:tcW w:w="8766" w:type="dxa"/>
            <w:gridSpan w:val="2"/>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b/>
                <w:color w:val="auto"/>
                <w:sz w:val="22"/>
                <w:szCs w:val="22"/>
              </w:rPr>
            </w:pPr>
            <w:r>
              <w:rPr>
                <w:b/>
                <w:color w:val="auto"/>
                <w:sz w:val="22"/>
                <w:szCs w:val="22"/>
              </w:rPr>
              <w:t>Metabolisme og ernæring</w:t>
            </w:r>
          </w:p>
        </w:tc>
      </w:tr>
      <w:tr w:rsidR="001F28A1" w:rsidTr="00FB3D35">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color w:val="auto"/>
                <w:sz w:val="22"/>
                <w:szCs w:val="22"/>
              </w:rPr>
            </w:pPr>
            <w:r>
              <w:rPr>
                <w:color w:val="auto"/>
                <w:sz w:val="22"/>
                <w:szCs w:val="22"/>
              </w:rPr>
              <w:t>Ikke kendt</w:t>
            </w:r>
          </w:p>
        </w:tc>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color w:val="auto"/>
                <w:sz w:val="22"/>
                <w:szCs w:val="22"/>
                <w:vertAlign w:val="superscript"/>
              </w:rPr>
            </w:pPr>
            <w:r>
              <w:rPr>
                <w:color w:val="auto"/>
                <w:sz w:val="22"/>
                <w:szCs w:val="22"/>
              </w:rPr>
              <w:t>Metabolisk acidose</w:t>
            </w:r>
            <w:r>
              <w:rPr>
                <w:color w:val="auto"/>
                <w:sz w:val="22"/>
                <w:szCs w:val="22"/>
                <w:vertAlign w:val="superscript"/>
              </w:rPr>
              <w:t>1</w:t>
            </w:r>
          </w:p>
        </w:tc>
      </w:tr>
      <w:tr w:rsidR="001F28A1" w:rsidTr="00FB3D35">
        <w:tc>
          <w:tcPr>
            <w:tcW w:w="8766" w:type="dxa"/>
            <w:gridSpan w:val="2"/>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b/>
                <w:color w:val="auto"/>
                <w:sz w:val="22"/>
                <w:szCs w:val="22"/>
              </w:rPr>
            </w:pPr>
            <w:r>
              <w:rPr>
                <w:b/>
                <w:color w:val="auto"/>
                <w:sz w:val="22"/>
                <w:szCs w:val="22"/>
              </w:rPr>
              <w:t>Psykiske forstyrrelser</w:t>
            </w:r>
          </w:p>
        </w:tc>
      </w:tr>
      <w:tr w:rsidR="001F28A1" w:rsidTr="00FB3D35">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color w:val="auto"/>
                <w:sz w:val="22"/>
                <w:szCs w:val="22"/>
              </w:rPr>
            </w:pPr>
            <w:r>
              <w:rPr>
                <w:color w:val="auto"/>
                <w:sz w:val="22"/>
                <w:szCs w:val="22"/>
              </w:rPr>
              <w:t>Ikke almindelig</w:t>
            </w:r>
          </w:p>
        </w:tc>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color w:val="auto"/>
                <w:sz w:val="22"/>
                <w:szCs w:val="22"/>
              </w:rPr>
            </w:pPr>
            <w:r>
              <w:rPr>
                <w:color w:val="auto"/>
                <w:sz w:val="22"/>
                <w:szCs w:val="22"/>
              </w:rPr>
              <w:t>Angst, søvnforstyrrelser</w:t>
            </w:r>
          </w:p>
        </w:tc>
      </w:tr>
      <w:tr w:rsidR="001F28A1" w:rsidTr="00FB3D35">
        <w:tc>
          <w:tcPr>
            <w:tcW w:w="8766" w:type="dxa"/>
            <w:gridSpan w:val="2"/>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b/>
                <w:color w:val="auto"/>
                <w:sz w:val="22"/>
                <w:szCs w:val="22"/>
              </w:rPr>
            </w:pPr>
            <w:r>
              <w:rPr>
                <w:b/>
                <w:color w:val="auto"/>
                <w:sz w:val="22"/>
                <w:szCs w:val="22"/>
              </w:rPr>
              <w:t>Nervesystemet</w:t>
            </w:r>
          </w:p>
        </w:tc>
      </w:tr>
      <w:tr w:rsidR="001F28A1" w:rsidTr="00FB3D35">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color w:val="auto"/>
                <w:sz w:val="22"/>
                <w:szCs w:val="22"/>
              </w:rPr>
            </w:pPr>
            <w:r>
              <w:rPr>
                <w:color w:val="auto"/>
                <w:sz w:val="22"/>
                <w:szCs w:val="22"/>
              </w:rPr>
              <w:t>Almindelig</w:t>
            </w:r>
          </w:p>
        </w:tc>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color w:val="auto"/>
                <w:sz w:val="22"/>
                <w:szCs w:val="22"/>
              </w:rPr>
            </w:pPr>
            <w:r>
              <w:rPr>
                <w:color w:val="auto"/>
                <w:sz w:val="22"/>
                <w:szCs w:val="22"/>
              </w:rPr>
              <w:t>Hovedpine</w:t>
            </w:r>
          </w:p>
        </w:tc>
      </w:tr>
      <w:tr w:rsidR="001F28A1" w:rsidTr="00FB3D35">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color w:val="auto"/>
                <w:sz w:val="22"/>
                <w:szCs w:val="22"/>
              </w:rPr>
            </w:pPr>
            <w:r>
              <w:rPr>
                <w:color w:val="auto"/>
                <w:sz w:val="22"/>
                <w:szCs w:val="22"/>
              </w:rPr>
              <w:t>Ikke almindelig</w:t>
            </w:r>
          </w:p>
        </w:tc>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color w:val="auto"/>
                <w:sz w:val="22"/>
                <w:szCs w:val="22"/>
              </w:rPr>
            </w:pPr>
            <w:r>
              <w:rPr>
                <w:color w:val="auto"/>
                <w:sz w:val="22"/>
                <w:szCs w:val="22"/>
              </w:rPr>
              <w:t>Svimmelhed</w:t>
            </w:r>
          </w:p>
        </w:tc>
      </w:tr>
      <w:tr w:rsidR="001F28A1" w:rsidTr="00FB3D35">
        <w:tc>
          <w:tcPr>
            <w:tcW w:w="8766" w:type="dxa"/>
            <w:gridSpan w:val="2"/>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b/>
                <w:color w:val="auto"/>
                <w:sz w:val="22"/>
                <w:szCs w:val="22"/>
              </w:rPr>
            </w:pPr>
            <w:r>
              <w:rPr>
                <w:b/>
                <w:color w:val="auto"/>
                <w:sz w:val="22"/>
                <w:szCs w:val="22"/>
              </w:rPr>
              <w:t>Øjne</w:t>
            </w:r>
          </w:p>
        </w:tc>
      </w:tr>
      <w:tr w:rsidR="001F28A1" w:rsidTr="00FB3D35">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color w:val="auto"/>
                <w:sz w:val="22"/>
                <w:szCs w:val="22"/>
              </w:rPr>
            </w:pPr>
            <w:r>
              <w:rPr>
                <w:color w:val="auto"/>
                <w:sz w:val="22"/>
                <w:szCs w:val="22"/>
              </w:rPr>
              <w:t>Ikke almindelig</w:t>
            </w:r>
          </w:p>
        </w:tc>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color w:val="auto"/>
                <w:sz w:val="22"/>
                <w:szCs w:val="22"/>
              </w:rPr>
            </w:pPr>
            <w:r>
              <w:rPr>
                <w:color w:val="auto"/>
                <w:sz w:val="22"/>
                <w:szCs w:val="22"/>
              </w:rPr>
              <w:t>Katarakt, makulopati</w:t>
            </w:r>
          </w:p>
        </w:tc>
      </w:tr>
      <w:tr w:rsidR="001F28A1" w:rsidTr="00FB3D35">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color w:val="auto"/>
                <w:sz w:val="22"/>
                <w:szCs w:val="22"/>
              </w:rPr>
            </w:pPr>
            <w:r>
              <w:rPr>
                <w:color w:val="auto"/>
                <w:sz w:val="22"/>
                <w:szCs w:val="22"/>
              </w:rPr>
              <w:t>Sjælden</w:t>
            </w:r>
          </w:p>
        </w:tc>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color w:val="auto"/>
                <w:sz w:val="22"/>
                <w:szCs w:val="22"/>
              </w:rPr>
            </w:pPr>
            <w:r>
              <w:rPr>
                <w:color w:val="auto"/>
                <w:sz w:val="22"/>
                <w:szCs w:val="22"/>
              </w:rPr>
              <w:t>Optisk neuritis</w:t>
            </w:r>
          </w:p>
        </w:tc>
      </w:tr>
      <w:tr w:rsidR="001F28A1" w:rsidTr="00FB3D35">
        <w:tc>
          <w:tcPr>
            <w:tcW w:w="8766" w:type="dxa"/>
            <w:gridSpan w:val="2"/>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b/>
                <w:color w:val="auto"/>
                <w:sz w:val="22"/>
                <w:szCs w:val="22"/>
              </w:rPr>
            </w:pPr>
            <w:r>
              <w:rPr>
                <w:b/>
                <w:color w:val="auto"/>
                <w:sz w:val="22"/>
                <w:szCs w:val="22"/>
              </w:rPr>
              <w:t>Øre og labyrint</w:t>
            </w:r>
          </w:p>
        </w:tc>
      </w:tr>
      <w:tr w:rsidR="001F28A1" w:rsidTr="00FB3D35">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color w:val="auto"/>
                <w:sz w:val="22"/>
                <w:szCs w:val="22"/>
              </w:rPr>
            </w:pPr>
            <w:r>
              <w:rPr>
                <w:color w:val="auto"/>
                <w:sz w:val="22"/>
                <w:szCs w:val="22"/>
              </w:rPr>
              <w:t>Ikke almindelig</w:t>
            </w:r>
          </w:p>
        </w:tc>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color w:val="auto"/>
                <w:sz w:val="22"/>
                <w:szCs w:val="22"/>
              </w:rPr>
            </w:pPr>
            <w:r>
              <w:rPr>
                <w:color w:val="auto"/>
                <w:sz w:val="22"/>
                <w:szCs w:val="22"/>
              </w:rPr>
              <w:t>Døvhed</w:t>
            </w:r>
          </w:p>
        </w:tc>
      </w:tr>
      <w:tr w:rsidR="001F28A1" w:rsidTr="00FB3D35">
        <w:tc>
          <w:tcPr>
            <w:tcW w:w="8766" w:type="dxa"/>
            <w:gridSpan w:val="2"/>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b/>
                <w:color w:val="auto"/>
                <w:sz w:val="22"/>
                <w:szCs w:val="22"/>
              </w:rPr>
            </w:pPr>
            <w:r>
              <w:rPr>
                <w:b/>
                <w:color w:val="auto"/>
                <w:sz w:val="22"/>
                <w:szCs w:val="22"/>
              </w:rPr>
              <w:t>Luftveje, thorax og mediastinum</w:t>
            </w:r>
          </w:p>
        </w:tc>
      </w:tr>
      <w:tr w:rsidR="001F28A1" w:rsidTr="00FB3D35">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color w:val="auto"/>
                <w:sz w:val="22"/>
                <w:szCs w:val="22"/>
              </w:rPr>
            </w:pPr>
            <w:r>
              <w:rPr>
                <w:color w:val="auto"/>
                <w:sz w:val="22"/>
                <w:szCs w:val="22"/>
              </w:rPr>
              <w:t>Ikke almindelig</w:t>
            </w:r>
          </w:p>
        </w:tc>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color w:val="auto"/>
                <w:sz w:val="22"/>
                <w:szCs w:val="22"/>
              </w:rPr>
            </w:pPr>
            <w:r>
              <w:rPr>
                <w:color w:val="auto"/>
                <w:sz w:val="22"/>
                <w:szCs w:val="22"/>
              </w:rPr>
              <w:t>Smerter i strubehoved</w:t>
            </w:r>
          </w:p>
        </w:tc>
      </w:tr>
      <w:tr w:rsidR="001F28A1" w:rsidTr="00FB3D35">
        <w:tc>
          <w:tcPr>
            <w:tcW w:w="8766" w:type="dxa"/>
            <w:gridSpan w:val="2"/>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b/>
                <w:color w:val="auto"/>
                <w:sz w:val="22"/>
                <w:szCs w:val="22"/>
              </w:rPr>
            </w:pPr>
            <w:r>
              <w:rPr>
                <w:b/>
                <w:color w:val="auto"/>
                <w:sz w:val="22"/>
                <w:szCs w:val="22"/>
              </w:rPr>
              <w:t>Mave-tarm-kanalen</w:t>
            </w:r>
          </w:p>
        </w:tc>
      </w:tr>
      <w:tr w:rsidR="001F28A1" w:rsidTr="00FB3D35">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color w:val="auto"/>
                <w:sz w:val="22"/>
                <w:szCs w:val="22"/>
              </w:rPr>
            </w:pPr>
            <w:r>
              <w:rPr>
                <w:color w:val="auto"/>
                <w:sz w:val="22"/>
                <w:szCs w:val="22"/>
              </w:rPr>
              <w:t>Almindelig</w:t>
            </w:r>
          </w:p>
        </w:tc>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color w:val="auto"/>
                <w:sz w:val="22"/>
                <w:szCs w:val="22"/>
                <w:lang w:val="da-DK"/>
              </w:rPr>
            </w:pPr>
            <w:r>
              <w:rPr>
                <w:lang w:val="da-DK"/>
              </w:rPr>
              <w:t>Diarré, forstoppelse, opkastning, kvalme, abdominalsmerter, abdominal udspiling, dyspepsi</w:t>
            </w:r>
          </w:p>
        </w:tc>
      </w:tr>
      <w:tr w:rsidR="001F28A1" w:rsidTr="00FB3D35">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color w:val="auto"/>
                <w:sz w:val="22"/>
                <w:szCs w:val="22"/>
              </w:rPr>
            </w:pPr>
            <w:r>
              <w:rPr>
                <w:color w:val="auto"/>
                <w:sz w:val="22"/>
                <w:szCs w:val="22"/>
              </w:rPr>
              <w:t>Ikke almindelig</w:t>
            </w:r>
          </w:p>
        </w:tc>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color w:val="auto"/>
                <w:sz w:val="22"/>
                <w:szCs w:val="22"/>
                <w:lang w:val="da-DK"/>
              </w:rPr>
            </w:pPr>
            <w:r>
              <w:rPr>
                <w:lang w:val="da-DK"/>
              </w:rPr>
              <w:t>Gastrointestinal blødning, gastrisk ulcus (inklusive multiple ulcura), ulcus duodeni, gastritis</w:t>
            </w:r>
          </w:p>
        </w:tc>
      </w:tr>
      <w:tr w:rsidR="001F28A1" w:rsidTr="00FB3D35">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color w:val="auto"/>
                <w:sz w:val="22"/>
                <w:szCs w:val="22"/>
              </w:rPr>
            </w:pPr>
            <w:r>
              <w:rPr>
                <w:color w:val="auto"/>
                <w:sz w:val="22"/>
                <w:szCs w:val="22"/>
              </w:rPr>
              <w:t>Sjælden</w:t>
            </w:r>
          </w:p>
        </w:tc>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color w:val="auto"/>
                <w:sz w:val="22"/>
                <w:szCs w:val="22"/>
              </w:rPr>
            </w:pPr>
            <w:r>
              <w:rPr>
                <w:color w:val="auto"/>
                <w:sz w:val="22"/>
                <w:szCs w:val="22"/>
              </w:rPr>
              <w:t>Øsofagitis</w:t>
            </w:r>
          </w:p>
        </w:tc>
      </w:tr>
      <w:tr w:rsidR="001F28A1" w:rsidTr="00FB3D35">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color w:val="auto"/>
                <w:sz w:val="22"/>
                <w:szCs w:val="22"/>
              </w:rPr>
            </w:pPr>
            <w:r>
              <w:rPr>
                <w:color w:val="auto"/>
                <w:sz w:val="22"/>
                <w:szCs w:val="22"/>
              </w:rPr>
              <w:t>Ikke kendt</w:t>
            </w:r>
          </w:p>
        </w:tc>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rPr>
                <w:color w:val="auto"/>
                <w:sz w:val="14"/>
                <w:szCs w:val="14"/>
                <w:vertAlign w:val="superscript"/>
                <w:lang w:val="da-DK"/>
              </w:rPr>
            </w:pPr>
            <w:r>
              <w:t>Gastrointestinal perforation</w:t>
            </w:r>
            <w:r>
              <w:rPr>
                <w:position w:val="8"/>
                <w:sz w:val="14"/>
              </w:rPr>
              <w:t>1</w:t>
            </w:r>
            <w:r>
              <w:t>, akut pancreatitis</w:t>
            </w:r>
            <w:r>
              <w:rPr>
                <w:position w:val="8"/>
                <w:sz w:val="14"/>
              </w:rPr>
              <w:t>1</w:t>
            </w:r>
          </w:p>
        </w:tc>
      </w:tr>
      <w:tr w:rsidR="001F28A1" w:rsidTr="00FB3D35">
        <w:tc>
          <w:tcPr>
            <w:tcW w:w="8766" w:type="dxa"/>
            <w:gridSpan w:val="2"/>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b/>
                <w:color w:val="auto"/>
                <w:sz w:val="22"/>
                <w:szCs w:val="22"/>
              </w:rPr>
            </w:pPr>
            <w:r>
              <w:rPr>
                <w:b/>
                <w:color w:val="auto"/>
                <w:sz w:val="22"/>
                <w:szCs w:val="22"/>
              </w:rPr>
              <w:t>Lever og galdeveje</w:t>
            </w:r>
          </w:p>
        </w:tc>
      </w:tr>
      <w:tr w:rsidR="001F28A1" w:rsidTr="00FB3D35">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color w:val="auto"/>
                <w:sz w:val="22"/>
                <w:szCs w:val="22"/>
              </w:rPr>
            </w:pPr>
            <w:r>
              <w:rPr>
                <w:color w:val="auto"/>
                <w:sz w:val="22"/>
                <w:szCs w:val="22"/>
              </w:rPr>
              <w:t>Almindelig</w:t>
            </w:r>
          </w:p>
        </w:tc>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color w:val="auto"/>
                <w:sz w:val="22"/>
                <w:szCs w:val="22"/>
              </w:rPr>
            </w:pPr>
            <w:r>
              <w:rPr>
                <w:color w:val="auto"/>
                <w:sz w:val="22"/>
                <w:szCs w:val="22"/>
              </w:rPr>
              <w:t>Forhøjede aminotransferaser</w:t>
            </w:r>
          </w:p>
        </w:tc>
      </w:tr>
      <w:tr w:rsidR="001F28A1" w:rsidTr="00FB3D35">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color w:val="auto"/>
                <w:sz w:val="22"/>
                <w:szCs w:val="22"/>
              </w:rPr>
            </w:pPr>
            <w:r>
              <w:rPr>
                <w:color w:val="auto"/>
                <w:sz w:val="22"/>
                <w:szCs w:val="22"/>
              </w:rPr>
              <w:t>Ikke almindelig</w:t>
            </w:r>
          </w:p>
        </w:tc>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color w:val="auto"/>
                <w:sz w:val="22"/>
                <w:szCs w:val="22"/>
              </w:rPr>
            </w:pPr>
            <w:r>
              <w:rPr>
                <w:color w:val="auto"/>
                <w:sz w:val="22"/>
                <w:szCs w:val="22"/>
              </w:rPr>
              <w:t>Hepatitis, cholelithiasis</w:t>
            </w:r>
          </w:p>
        </w:tc>
      </w:tr>
      <w:tr w:rsidR="001F28A1" w:rsidTr="00FB3D35">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color w:val="auto"/>
                <w:sz w:val="22"/>
                <w:szCs w:val="22"/>
              </w:rPr>
            </w:pPr>
            <w:r>
              <w:rPr>
                <w:color w:val="auto"/>
                <w:sz w:val="22"/>
                <w:szCs w:val="22"/>
              </w:rPr>
              <w:t>Ikke kendt</w:t>
            </w:r>
          </w:p>
        </w:tc>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color w:val="auto"/>
                <w:sz w:val="22"/>
                <w:szCs w:val="22"/>
                <w:vertAlign w:val="superscript"/>
              </w:rPr>
            </w:pPr>
            <w:r>
              <w:rPr>
                <w:color w:val="auto"/>
                <w:sz w:val="22"/>
                <w:szCs w:val="22"/>
              </w:rPr>
              <w:t>Leversvigt</w:t>
            </w:r>
            <w:r>
              <w:rPr>
                <w:color w:val="auto"/>
                <w:sz w:val="22"/>
                <w:szCs w:val="22"/>
                <w:vertAlign w:val="superscript"/>
              </w:rPr>
              <w:t>,2</w:t>
            </w:r>
          </w:p>
        </w:tc>
      </w:tr>
      <w:tr w:rsidR="001F28A1" w:rsidTr="00FB3D35">
        <w:tc>
          <w:tcPr>
            <w:tcW w:w="8766" w:type="dxa"/>
            <w:gridSpan w:val="2"/>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b/>
                <w:color w:val="auto"/>
                <w:sz w:val="22"/>
                <w:szCs w:val="22"/>
              </w:rPr>
            </w:pPr>
            <w:r>
              <w:rPr>
                <w:b/>
                <w:color w:val="auto"/>
                <w:sz w:val="22"/>
                <w:szCs w:val="22"/>
              </w:rPr>
              <w:t>Hud og subkutane væv</w:t>
            </w:r>
          </w:p>
        </w:tc>
      </w:tr>
      <w:tr w:rsidR="001F28A1" w:rsidTr="00FB3D35">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color w:val="auto"/>
                <w:sz w:val="22"/>
                <w:szCs w:val="22"/>
              </w:rPr>
            </w:pPr>
            <w:r>
              <w:rPr>
                <w:color w:val="auto"/>
                <w:sz w:val="22"/>
                <w:szCs w:val="22"/>
              </w:rPr>
              <w:t>Almindelig</w:t>
            </w:r>
          </w:p>
        </w:tc>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color w:val="auto"/>
                <w:sz w:val="22"/>
                <w:szCs w:val="22"/>
              </w:rPr>
            </w:pPr>
            <w:r>
              <w:rPr>
                <w:color w:val="auto"/>
                <w:sz w:val="22"/>
                <w:szCs w:val="22"/>
              </w:rPr>
              <w:t>Udslæt, kløe</w:t>
            </w:r>
          </w:p>
        </w:tc>
      </w:tr>
      <w:tr w:rsidR="001F28A1" w:rsidTr="00FB3D35">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color w:val="auto"/>
                <w:sz w:val="22"/>
                <w:szCs w:val="22"/>
              </w:rPr>
            </w:pPr>
            <w:r>
              <w:rPr>
                <w:color w:val="auto"/>
                <w:sz w:val="22"/>
                <w:szCs w:val="22"/>
              </w:rPr>
              <w:t>Ikke almindelig</w:t>
            </w:r>
          </w:p>
        </w:tc>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color w:val="auto"/>
                <w:sz w:val="22"/>
                <w:szCs w:val="22"/>
              </w:rPr>
            </w:pPr>
            <w:r>
              <w:rPr>
                <w:color w:val="auto"/>
                <w:sz w:val="22"/>
                <w:szCs w:val="22"/>
              </w:rPr>
              <w:t>Pigmentforstyrrelser</w:t>
            </w:r>
          </w:p>
        </w:tc>
      </w:tr>
      <w:tr w:rsidR="001F28A1" w:rsidTr="00FB3D35">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color w:val="auto"/>
                <w:sz w:val="22"/>
                <w:szCs w:val="22"/>
              </w:rPr>
            </w:pPr>
            <w:r>
              <w:rPr>
                <w:color w:val="auto"/>
                <w:sz w:val="22"/>
                <w:szCs w:val="22"/>
              </w:rPr>
              <w:t>Sjælden</w:t>
            </w:r>
          </w:p>
        </w:tc>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color w:val="auto"/>
                <w:sz w:val="22"/>
                <w:szCs w:val="22"/>
                <w:lang w:val="da-DK"/>
              </w:rPr>
            </w:pPr>
            <w:r>
              <w:rPr>
                <w:lang w:val="da-DK"/>
              </w:rPr>
              <w:t>Lægemiddelreaktioner med eosinofili og systemiske symptomer (DRESS)</w:t>
            </w:r>
          </w:p>
        </w:tc>
      </w:tr>
      <w:tr w:rsidR="001F28A1" w:rsidTr="00FB3D35">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color w:val="auto"/>
                <w:sz w:val="22"/>
                <w:szCs w:val="22"/>
              </w:rPr>
            </w:pPr>
            <w:r>
              <w:rPr>
                <w:color w:val="auto"/>
                <w:sz w:val="22"/>
                <w:szCs w:val="22"/>
              </w:rPr>
              <w:t>Ikke kendt</w:t>
            </w:r>
          </w:p>
        </w:tc>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color w:val="auto"/>
                <w:sz w:val="14"/>
                <w:szCs w:val="14"/>
                <w:lang w:val="da-DK"/>
              </w:rPr>
            </w:pPr>
            <w:r>
              <w:rPr>
                <w:lang w:val="da-DK"/>
              </w:rPr>
              <w:t>Stevens-Johnsons syndrom</w:t>
            </w:r>
            <w:r>
              <w:rPr>
                <w:position w:val="8"/>
                <w:sz w:val="14"/>
                <w:lang w:val="da-DK"/>
              </w:rPr>
              <w:t>1</w:t>
            </w:r>
            <w:r>
              <w:rPr>
                <w:lang w:val="da-DK"/>
              </w:rPr>
              <w:t>, allergisk vaskulitis</w:t>
            </w:r>
            <w:r>
              <w:rPr>
                <w:position w:val="8"/>
                <w:sz w:val="14"/>
                <w:lang w:val="da-DK"/>
              </w:rPr>
              <w:t>1</w:t>
            </w:r>
            <w:r>
              <w:rPr>
                <w:lang w:val="da-DK"/>
              </w:rPr>
              <w:t>, urticaria</w:t>
            </w:r>
            <w:r>
              <w:rPr>
                <w:position w:val="8"/>
                <w:sz w:val="14"/>
                <w:lang w:val="da-DK"/>
              </w:rPr>
              <w:t>1</w:t>
            </w:r>
            <w:r>
              <w:rPr>
                <w:lang w:val="da-DK"/>
              </w:rPr>
              <w:t>, erythema multiforme</w:t>
            </w:r>
            <w:r>
              <w:rPr>
                <w:position w:val="8"/>
                <w:sz w:val="14"/>
                <w:lang w:val="da-DK"/>
              </w:rPr>
              <w:t>1</w:t>
            </w:r>
            <w:r>
              <w:rPr>
                <w:lang w:val="da-DK"/>
              </w:rPr>
              <w:t>, alopeci</w:t>
            </w:r>
            <w:r>
              <w:rPr>
                <w:position w:val="8"/>
                <w:sz w:val="14"/>
                <w:lang w:val="da-DK"/>
              </w:rPr>
              <w:t>1</w:t>
            </w:r>
            <w:r>
              <w:rPr>
                <w:lang w:val="da-DK"/>
              </w:rPr>
              <w:t>, toksisk epidermal nekrolyse (TEN)</w:t>
            </w:r>
            <w:r>
              <w:rPr>
                <w:position w:val="8"/>
                <w:sz w:val="14"/>
                <w:lang w:val="da-DK"/>
              </w:rPr>
              <w:t>1</w:t>
            </w:r>
          </w:p>
        </w:tc>
      </w:tr>
      <w:tr w:rsidR="001F28A1" w:rsidTr="00FB3D35">
        <w:tc>
          <w:tcPr>
            <w:tcW w:w="8766" w:type="dxa"/>
            <w:gridSpan w:val="2"/>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b/>
                <w:color w:val="auto"/>
                <w:sz w:val="22"/>
                <w:szCs w:val="22"/>
              </w:rPr>
            </w:pPr>
            <w:r>
              <w:rPr>
                <w:b/>
                <w:color w:val="auto"/>
                <w:sz w:val="22"/>
                <w:szCs w:val="22"/>
              </w:rPr>
              <w:t>Nyrer og urinveje</w:t>
            </w:r>
          </w:p>
        </w:tc>
      </w:tr>
      <w:tr w:rsidR="001F28A1" w:rsidTr="00FB3D35">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color w:val="auto"/>
                <w:sz w:val="22"/>
                <w:szCs w:val="22"/>
              </w:rPr>
            </w:pPr>
            <w:r>
              <w:rPr>
                <w:color w:val="auto"/>
                <w:sz w:val="22"/>
                <w:szCs w:val="22"/>
              </w:rPr>
              <w:t>Meget almindelig</w:t>
            </w:r>
          </w:p>
        </w:tc>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color w:val="auto"/>
                <w:sz w:val="22"/>
                <w:szCs w:val="22"/>
              </w:rPr>
            </w:pPr>
            <w:r>
              <w:rPr>
                <w:color w:val="auto"/>
                <w:sz w:val="22"/>
                <w:szCs w:val="22"/>
              </w:rPr>
              <w:t>Forhøjet blod-kreatinin</w:t>
            </w:r>
          </w:p>
        </w:tc>
      </w:tr>
      <w:tr w:rsidR="001F28A1" w:rsidTr="00FB3D35">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color w:val="auto"/>
                <w:sz w:val="22"/>
                <w:szCs w:val="22"/>
              </w:rPr>
            </w:pPr>
            <w:r>
              <w:rPr>
                <w:color w:val="auto"/>
                <w:sz w:val="22"/>
                <w:szCs w:val="22"/>
              </w:rPr>
              <w:t>Almindelig</w:t>
            </w:r>
          </w:p>
        </w:tc>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color w:val="auto"/>
                <w:sz w:val="22"/>
                <w:szCs w:val="22"/>
              </w:rPr>
            </w:pPr>
            <w:r>
              <w:rPr>
                <w:color w:val="auto"/>
                <w:sz w:val="22"/>
                <w:szCs w:val="22"/>
              </w:rPr>
              <w:t>Proteinuri</w:t>
            </w:r>
          </w:p>
        </w:tc>
      </w:tr>
      <w:tr w:rsidR="001F28A1" w:rsidTr="00FB3D35">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color w:val="auto"/>
                <w:sz w:val="22"/>
                <w:szCs w:val="22"/>
              </w:rPr>
            </w:pPr>
            <w:r>
              <w:rPr>
                <w:color w:val="auto"/>
                <w:sz w:val="22"/>
                <w:szCs w:val="22"/>
              </w:rPr>
              <w:t>Ikke almindelig</w:t>
            </w:r>
          </w:p>
        </w:tc>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color w:val="auto"/>
                <w:sz w:val="22"/>
                <w:szCs w:val="22"/>
                <w:lang w:val="da-DK"/>
              </w:rPr>
            </w:pPr>
            <w:r>
              <w:rPr>
                <w:lang w:val="da-DK"/>
              </w:rPr>
              <w:t>Renale tubulære forstyrrelser</w:t>
            </w:r>
            <w:r>
              <w:rPr>
                <w:position w:val="8"/>
                <w:sz w:val="14"/>
                <w:lang w:val="da-DK"/>
              </w:rPr>
              <w:t xml:space="preserve">2 </w:t>
            </w:r>
            <w:r>
              <w:rPr>
                <w:lang w:val="da-DK"/>
              </w:rPr>
              <w:t>(erhvervet Fanconis syndrom), glukosuri</w:t>
            </w:r>
          </w:p>
        </w:tc>
      </w:tr>
      <w:tr w:rsidR="001F28A1" w:rsidTr="00FB3D35">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color w:val="auto"/>
                <w:sz w:val="22"/>
                <w:szCs w:val="22"/>
              </w:rPr>
            </w:pPr>
            <w:r>
              <w:rPr>
                <w:color w:val="auto"/>
                <w:sz w:val="22"/>
                <w:szCs w:val="22"/>
              </w:rPr>
              <w:t>Ikke kendt</w:t>
            </w:r>
          </w:p>
        </w:tc>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color w:val="auto"/>
                <w:sz w:val="22"/>
                <w:szCs w:val="22"/>
                <w:vertAlign w:val="superscript"/>
                <w:lang w:val="da-DK"/>
              </w:rPr>
            </w:pPr>
            <w:r>
              <w:rPr>
                <w:lang w:val="da-DK"/>
              </w:rPr>
              <w:t>Akut nyresvigt</w:t>
            </w:r>
            <w:r>
              <w:rPr>
                <w:position w:val="8"/>
                <w:sz w:val="14"/>
                <w:lang w:val="da-DK"/>
              </w:rPr>
              <w:t>1, 2</w:t>
            </w:r>
            <w:r>
              <w:rPr>
                <w:lang w:val="da-DK"/>
              </w:rPr>
              <w:t>, tubolointerstitial nefritis</w:t>
            </w:r>
            <w:r>
              <w:rPr>
                <w:position w:val="8"/>
                <w:sz w:val="14"/>
                <w:lang w:val="da-DK"/>
              </w:rPr>
              <w:t>1</w:t>
            </w:r>
            <w:r>
              <w:rPr>
                <w:lang w:val="da-DK"/>
              </w:rPr>
              <w:t>, nefrolitiasis</w:t>
            </w:r>
            <w:r>
              <w:rPr>
                <w:position w:val="8"/>
                <w:sz w:val="14"/>
                <w:lang w:val="da-DK"/>
              </w:rPr>
              <w:t>1</w:t>
            </w:r>
            <w:r>
              <w:rPr>
                <w:lang w:val="da-DK"/>
              </w:rPr>
              <w:t>, renal tubulær nekrose</w:t>
            </w:r>
            <w:r>
              <w:rPr>
                <w:position w:val="8"/>
                <w:sz w:val="14"/>
                <w:lang w:val="da-DK"/>
              </w:rPr>
              <w:t>1</w:t>
            </w:r>
          </w:p>
        </w:tc>
      </w:tr>
      <w:tr w:rsidR="001F28A1" w:rsidTr="00FB3D35">
        <w:tc>
          <w:tcPr>
            <w:tcW w:w="8766" w:type="dxa"/>
            <w:gridSpan w:val="2"/>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b/>
                <w:color w:val="auto"/>
                <w:sz w:val="22"/>
                <w:szCs w:val="22"/>
                <w:lang w:val="da-DK"/>
              </w:rPr>
            </w:pPr>
            <w:r>
              <w:rPr>
                <w:b/>
                <w:color w:val="auto"/>
                <w:sz w:val="22"/>
                <w:szCs w:val="22"/>
                <w:lang w:val="da-DK"/>
              </w:rPr>
              <w:t>Almene symptomer og reaktioner på administrationsstedet</w:t>
            </w:r>
          </w:p>
        </w:tc>
      </w:tr>
      <w:tr w:rsidR="001F28A1" w:rsidTr="00FB3D35">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color w:val="auto"/>
                <w:sz w:val="22"/>
                <w:szCs w:val="22"/>
              </w:rPr>
            </w:pPr>
            <w:r>
              <w:rPr>
                <w:color w:val="auto"/>
                <w:sz w:val="22"/>
                <w:szCs w:val="22"/>
              </w:rPr>
              <w:t>Ikke almindelig</w:t>
            </w:r>
          </w:p>
        </w:tc>
        <w:tc>
          <w:tcPr>
            <w:tcW w:w="4383" w:type="dxa"/>
            <w:tcBorders>
              <w:top w:val="single" w:sz="4" w:space="0" w:color="auto"/>
              <w:left w:val="single" w:sz="4" w:space="0" w:color="auto"/>
              <w:bottom w:val="single" w:sz="4" w:space="0" w:color="auto"/>
              <w:right w:val="single" w:sz="4" w:space="0" w:color="auto"/>
            </w:tcBorders>
            <w:hideMark/>
          </w:tcPr>
          <w:p w:rsidR="001F28A1" w:rsidRDefault="001F28A1">
            <w:pPr>
              <w:pStyle w:val="Default"/>
              <w:jc w:val="both"/>
              <w:rPr>
                <w:color w:val="auto"/>
                <w:sz w:val="22"/>
                <w:szCs w:val="22"/>
              </w:rPr>
            </w:pPr>
            <w:r>
              <w:rPr>
                <w:color w:val="auto"/>
                <w:sz w:val="22"/>
                <w:szCs w:val="22"/>
              </w:rPr>
              <w:t>Feber, ødem, træthed</w:t>
            </w:r>
          </w:p>
        </w:tc>
      </w:tr>
    </w:tbl>
    <w:p w:rsidR="001F28A1" w:rsidRDefault="001F28A1" w:rsidP="00FB3D35">
      <w:pPr>
        <w:pStyle w:val="Brdtekst"/>
        <w:tabs>
          <w:tab w:val="left" w:pos="1134"/>
        </w:tabs>
        <w:ind w:left="1134" w:right="912" w:hanging="283"/>
        <w:rPr>
          <w:lang w:val="da-DK"/>
        </w:rPr>
      </w:pPr>
      <w:r>
        <w:rPr>
          <w:position w:val="8"/>
          <w:sz w:val="14"/>
          <w:lang w:val="da-DK"/>
        </w:rPr>
        <w:t>1</w:t>
      </w:r>
      <w:r>
        <w:rPr>
          <w:position w:val="8"/>
          <w:sz w:val="14"/>
          <w:lang w:val="da-DK"/>
        </w:rPr>
        <w:tab/>
      </w:r>
      <w:r>
        <w:rPr>
          <w:lang w:val="da-DK"/>
        </w:rPr>
        <w:t>Bivirkninger indberettet fra erfaringer efter markedsføring. Disse stammer</w:t>
      </w:r>
      <w:r>
        <w:rPr>
          <w:spacing w:val="-30"/>
          <w:lang w:val="da-DK"/>
        </w:rPr>
        <w:t xml:space="preserve"> </w:t>
      </w:r>
      <w:r>
        <w:rPr>
          <w:lang w:val="da-DK"/>
        </w:rPr>
        <w:t>fra</w:t>
      </w:r>
      <w:r>
        <w:rPr>
          <w:spacing w:val="-4"/>
          <w:lang w:val="da-DK"/>
        </w:rPr>
        <w:t xml:space="preserve"> </w:t>
      </w:r>
      <w:r>
        <w:rPr>
          <w:lang w:val="da-DK"/>
        </w:rPr>
        <w:t>spontane rapporter, hvor det ikke altid er muligt at fastsætte en pålidelig frekvens eller årsagssammenhæng med eksponering af</w:t>
      </w:r>
      <w:r>
        <w:rPr>
          <w:spacing w:val="-13"/>
          <w:lang w:val="da-DK"/>
        </w:rPr>
        <w:t xml:space="preserve"> </w:t>
      </w:r>
      <w:r>
        <w:rPr>
          <w:lang w:val="da-DK"/>
        </w:rPr>
        <w:t>lægemidlet.</w:t>
      </w:r>
    </w:p>
    <w:p w:rsidR="001F28A1" w:rsidRDefault="001F28A1" w:rsidP="00FB3D35">
      <w:pPr>
        <w:pStyle w:val="Brdtekst"/>
        <w:tabs>
          <w:tab w:val="left" w:pos="1134"/>
        </w:tabs>
        <w:spacing w:before="3" w:line="252" w:lineRule="exact"/>
        <w:ind w:left="1134" w:right="103" w:hanging="283"/>
        <w:rPr>
          <w:lang w:val="da-DK"/>
        </w:rPr>
      </w:pPr>
      <w:r>
        <w:rPr>
          <w:position w:val="8"/>
          <w:sz w:val="14"/>
          <w:lang w:val="da-DK"/>
        </w:rPr>
        <w:t>2</w:t>
      </w:r>
      <w:r>
        <w:rPr>
          <w:position w:val="8"/>
          <w:sz w:val="14"/>
          <w:lang w:val="da-DK"/>
        </w:rPr>
        <w:tab/>
      </w:r>
      <w:r>
        <w:rPr>
          <w:lang w:val="da-DK"/>
        </w:rPr>
        <w:t>Svære former forbundet med ændringer i bevidstheden i sammenhæng</w:t>
      </w:r>
      <w:r>
        <w:rPr>
          <w:spacing w:val="-18"/>
          <w:lang w:val="da-DK"/>
        </w:rPr>
        <w:t xml:space="preserve"> </w:t>
      </w:r>
      <w:r>
        <w:rPr>
          <w:lang w:val="da-DK"/>
        </w:rPr>
        <w:t>med</w:t>
      </w:r>
      <w:r>
        <w:rPr>
          <w:spacing w:val="-3"/>
          <w:lang w:val="da-DK"/>
        </w:rPr>
        <w:t xml:space="preserve"> </w:t>
      </w:r>
      <w:r>
        <w:rPr>
          <w:lang w:val="da-DK"/>
        </w:rPr>
        <w:t>hyperammoniæmisk encefalopati er blevet</w:t>
      </w:r>
      <w:r>
        <w:rPr>
          <w:spacing w:val="-10"/>
          <w:lang w:val="da-DK"/>
        </w:rPr>
        <w:t xml:space="preserve"> </w:t>
      </w:r>
      <w:r>
        <w:rPr>
          <w:lang w:val="da-DK"/>
        </w:rPr>
        <w:t>rapporteret.</w:t>
      </w:r>
    </w:p>
    <w:p w:rsidR="001F28A1" w:rsidRPr="001F28A1" w:rsidRDefault="001F28A1" w:rsidP="001F28A1">
      <w:pPr>
        <w:pStyle w:val="Brdtekst"/>
        <w:tabs>
          <w:tab w:val="left" w:pos="851"/>
        </w:tabs>
        <w:spacing w:before="3" w:line="252" w:lineRule="exact"/>
        <w:ind w:left="851" w:right="103"/>
        <w:rPr>
          <w:sz w:val="24"/>
          <w:szCs w:val="24"/>
          <w:lang w:val="da-DK"/>
        </w:rPr>
      </w:pPr>
    </w:p>
    <w:p w:rsidR="001F28A1" w:rsidRPr="001F28A1" w:rsidRDefault="001F28A1" w:rsidP="001F28A1">
      <w:pPr>
        <w:pStyle w:val="Brdtekst"/>
        <w:tabs>
          <w:tab w:val="left" w:pos="851"/>
        </w:tabs>
        <w:spacing w:before="66"/>
        <w:ind w:left="851"/>
        <w:rPr>
          <w:sz w:val="24"/>
          <w:szCs w:val="24"/>
          <w:lang w:val="da-DK"/>
        </w:rPr>
      </w:pPr>
      <w:r w:rsidRPr="001F28A1">
        <w:rPr>
          <w:sz w:val="24"/>
          <w:szCs w:val="24"/>
          <w:u w:val="single"/>
          <w:lang w:val="da-DK"/>
        </w:rPr>
        <w:t>Beskrivelse af udvalgte bivirkninger</w:t>
      </w:r>
    </w:p>
    <w:p w:rsidR="001F28A1" w:rsidRPr="001F28A1" w:rsidRDefault="001F28A1" w:rsidP="001F28A1">
      <w:pPr>
        <w:pStyle w:val="Brdtekst"/>
        <w:tabs>
          <w:tab w:val="left" w:pos="851"/>
        </w:tabs>
        <w:spacing w:before="2"/>
        <w:ind w:left="851"/>
        <w:rPr>
          <w:sz w:val="24"/>
          <w:szCs w:val="24"/>
          <w:lang w:val="da-DK"/>
        </w:rPr>
      </w:pPr>
      <w:r w:rsidRPr="001F28A1">
        <w:rPr>
          <w:sz w:val="24"/>
          <w:szCs w:val="24"/>
          <w:lang w:val="da-DK"/>
        </w:rPr>
        <w:t>Galdesten og relaterede biliære sygdomme blev rapporteret hos omkring 2</w:t>
      </w:r>
      <w:r w:rsidR="00167916">
        <w:rPr>
          <w:sz w:val="24"/>
          <w:szCs w:val="24"/>
          <w:lang w:val="da-DK"/>
        </w:rPr>
        <w:t xml:space="preserve"> %</w:t>
      </w:r>
      <w:r w:rsidRPr="001F28A1">
        <w:rPr>
          <w:sz w:val="24"/>
          <w:szCs w:val="24"/>
          <w:lang w:val="da-DK"/>
        </w:rPr>
        <w:t xml:space="preserve"> af patienterne. Forhøjelser af levertransaminase blev rapporteret som bivirkning hos 2</w:t>
      </w:r>
      <w:r w:rsidR="00167916">
        <w:rPr>
          <w:sz w:val="24"/>
          <w:szCs w:val="24"/>
          <w:lang w:val="da-DK"/>
        </w:rPr>
        <w:t xml:space="preserve"> %</w:t>
      </w:r>
      <w:r w:rsidRPr="001F28A1">
        <w:rPr>
          <w:sz w:val="24"/>
          <w:szCs w:val="24"/>
          <w:lang w:val="da-DK"/>
        </w:rPr>
        <w:t>. Transaminaseniveauer, der var mere end 10 gange over normalområdets øverste grænse, hvilket indikerer hepatitis, var usædvanlige (0,3</w:t>
      </w:r>
      <w:r w:rsidR="00167916">
        <w:rPr>
          <w:sz w:val="24"/>
          <w:szCs w:val="24"/>
          <w:lang w:val="da-DK"/>
        </w:rPr>
        <w:t xml:space="preserve"> %</w:t>
      </w:r>
      <w:r w:rsidRPr="001F28A1">
        <w:rPr>
          <w:sz w:val="24"/>
          <w:szCs w:val="24"/>
          <w:lang w:val="da-DK"/>
        </w:rPr>
        <w:t>). Efter markedsføring er leversvigt, som nogle gange var fatalt, blevet rapporteret med deferasirox (se pkt. 4.4). Der er efter markedsføring rapporteret om metabolisk acidose.</w:t>
      </w:r>
    </w:p>
    <w:p w:rsidR="001F28A1" w:rsidRPr="001F28A1" w:rsidRDefault="001F28A1" w:rsidP="001F28A1">
      <w:pPr>
        <w:pStyle w:val="Brdtekst"/>
        <w:tabs>
          <w:tab w:val="left" w:pos="851"/>
        </w:tabs>
        <w:ind w:left="851"/>
        <w:rPr>
          <w:sz w:val="24"/>
          <w:szCs w:val="24"/>
          <w:lang w:val="da-DK"/>
        </w:rPr>
      </w:pPr>
      <w:r w:rsidRPr="001F28A1">
        <w:rPr>
          <w:sz w:val="24"/>
          <w:szCs w:val="24"/>
          <w:lang w:val="da-DK"/>
        </w:rPr>
        <w:t>Hovedparten af disse patienter havde nedsat nyrefunktion, renal tubulopati (Fanconis syndrom), eller diarré, eller forhold, hvor syre-base ubalance er en kendt komplikation (se pkt. 4.4). Der er rapporteret om tilfælde af alvorlig akut pancreatitis uden dokumenterede underliggende biliære tilstande. Som ved anden jernkelaterende behandling har højfrekvent høretab og linseuigennemsigtighed (tidlig katarakt) sjældent været observeret hos patienter i behandling med deferasirox (se pkt. 4.4).</w:t>
      </w:r>
    </w:p>
    <w:p w:rsidR="001F28A1" w:rsidRPr="001F28A1" w:rsidRDefault="001F28A1" w:rsidP="001F28A1">
      <w:pPr>
        <w:pStyle w:val="Brdtekst"/>
        <w:tabs>
          <w:tab w:val="left" w:pos="851"/>
        </w:tabs>
        <w:spacing w:before="10"/>
        <w:ind w:left="851"/>
        <w:rPr>
          <w:sz w:val="24"/>
          <w:szCs w:val="24"/>
          <w:lang w:val="da-DK"/>
        </w:rPr>
      </w:pPr>
    </w:p>
    <w:p w:rsidR="001F28A1" w:rsidRPr="001F28A1" w:rsidRDefault="001F28A1" w:rsidP="001F28A1">
      <w:pPr>
        <w:pStyle w:val="Brdtekst"/>
        <w:tabs>
          <w:tab w:val="left" w:pos="851"/>
        </w:tabs>
        <w:ind w:left="851"/>
        <w:rPr>
          <w:sz w:val="24"/>
          <w:szCs w:val="24"/>
          <w:lang w:val="da-DK"/>
        </w:rPr>
      </w:pPr>
      <w:r w:rsidRPr="001F28A1">
        <w:rPr>
          <w:sz w:val="24"/>
          <w:szCs w:val="24"/>
          <w:u w:val="single"/>
          <w:lang w:val="da-DK"/>
        </w:rPr>
        <w:t>Kreatininclearance ved transfusionsbetinget jernophobning</w:t>
      </w:r>
    </w:p>
    <w:p w:rsidR="001F28A1" w:rsidRPr="001F28A1" w:rsidRDefault="001F28A1" w:rsidP="001F28A1">
      <w:pPr>
        <w:pStyle w:val="Brdtekst"/>
        <w:tabs>
          <w:tab w:val="left" w:pos="851"/>
        </w:tabs>
        <w:spacing w:before="1"/>
        <w:ind w:left="851"/>
        <w:rPr>
          <w:sz w:val="24"/>
          <w:szCs w:val="24"/>
          <w:lang w:val="da-DK"/>
        </w:rPr>
      </w:pPr>
      <w:r w:rsidRPr="001F28A1">
        <w:rPr>
          <w:sz w:val="24"/>
          <w:szCs w:val="24"/>
          <w:lang w:val="da-DK"/>
        </w:rPr>
        <w:t>I en retrospektiv meta-analyse af 2.102 voksne og pædiatriske beta talassæmi-patienter med transfusionsbetinget jernophobning, der blev behandlet med deferasirox dispergible tabletter i to randomiserede og fire åbne studier af op til fem års varighed, blev der i løbet af det første behandlingsår observeret et gennemsnitligt fald i kreatinin-clearance på 13,2</w:t>
      </w:r>
      <w:r w:rsidR="00167916">
        <w:rPr>
          <w:sz w:val="24"/>
          <w:szCs w:val="24"/>
          <w:lang w:val="da-DK"/>
        </w:rPr>
        <w:t xml:space="preserve"> %</w:t>
      </w:r>
      <w:r w:rsidRPr="001F28A1">
        <w:rPr>
          <w:sz w:val="24"/>
          <w:szCs w:val="24"/>
          <w:lang w:val="da-DK"/>
        </w:rPr>
        <w:t xml:space="preserve"> hos voksne patienter (95</w:t>
      </w:r>
      <w:r w:rsidR="00167916">
        <w:rPr>
          <w:sz w:val="24"/>
          <w:szCs w:val="24"/>
          <w:lang w:val="da-DK"/>
        </w:rPr>
        <w:t xml:space="preserve"> %</w:t>
      </w:r>
      <w:r w:rsidRPr="001F28A1">
        <w:rPr>
          <w:sz w:val="24"/>
          <w:szCs w:val="24"/>
          <w:lang w:val="da-DK"/>
        </w:rPr>
        <w:t xml:space="preserve"> CI: -14,4</w:t>
      </w:r>
      <w:r w:rsidR="00167916">
        <w:rPr>
          <w:sz w:val="24"/>
          <w:szCs w:val="24"/>
          <w:lang w:val="da-DK"/>
        </w:rPr>
        <w:t xml:space="preserve"> %</w:t>
      </w:r>
      <w:r w:rsidRPr="001F28A1">
        <w:rPr>
          <w:sz w:val="24"/>
          <w:szCs w:val="24"/>
          <w:lang w:val="da-DK"/>
        </w:rPr>
        <w:t xml:space="preserve"> til -12,1</w:t>
      </w:r>
      <w:r w:rsidR="00167916">
        <w:rPr>
          <w:sz w:val="24"/>
          <w:szCs w:val="24"/>
          <w:lang w:val="da-DK"/>
        </w:rPr>
        <w:t xml:space="preserve"> %</w:t>
      </w:r>
      <w:r w:rsidRPr="001F28A1">
        <w:rPr>
          <w:sz w:val="24"/>
          <w:szCs w:val="24"/>
          <w:lang w:val="da-DK"/>
        </w:rPr>
        <w:t>; n=935) og på 9,9</w:t>
      </w:r>
      <w:r w:rsidR="00167916">
        <w:rPr>
          <w:sz w:val="24"/>
          <w:szCs w:val="24"/>
          <w:lang w:val="da-DK"/>
        </w:rPr>
        <w:t xml:space="preserve"> %</w:t>
      </w:r>
      <w:r w:rsidRPr="001F28A1">
        <w:rPr>
          <w:sz w:val="24"/>
          <w:szCs w:val="24"/>
          <w:lang w:val="da-DK"/>
        </w:rPr>
        <w:t xml:space="preserve"> (95</w:t>
      </w:r>
      <w:r w:rsidR="00167916">
        <w:rPr>
          <w:sz w:val="24"/>
          <w:szCs w:val="24"/>
          <w:lang w:val="da-DK"/>
        </w:rPr>
        <w:t xml:space="preserve"> %</w:t>
      </w:r>
      <w:r w:rsidRPr="001F28A1">
        <w:rPr>
          <w:sz w:val="24"/>
          <w:szCs w:val="24"/>
          <w:lang w:val="da-DK"/>
        </w:rPr>
        <w:t xml:space="preserve"> CI: -11,1</w:t>
      </w:r>
      <w:r w:rsidR="00167916">
        <w:rPr>
          <w:sz w:val="24"/>
          <w:szCs w:val="24"/>
          <w:lang w:val="da-DK"/>
        </w:rPr>
        <w:t xml:space="preserve"> %</w:t>
      </w:r>
      <w:r w:rsidRPr="001F28A1">
        <w:rPr>
          <w:sz w:val="24"/>
          <w:szCs w:val="24"/>
          <w:lang w:val="da-DK"/>
        </w:rPr>
        <w:t xml:space="preserve"> til -8,6</w:t>
      </w:r>
      <w:r w:rsidR="00167916">
        <w:rPr>
          <w:sz w:val="24"/>
          <w:szCs w:val="24"/>
          <w:lang w:val="da-DK"/>
        </w:rPr>
        <w:t xml:space="preserve"> %</w:t>
      </w:r>
      <w:r w:rsidRPr="001F28A1">
        <w:rPr>
          <w:sz w:val="24"/>
          <w:szCs w:val="24"/>
          <w:lang w:val="da-DK"/>
        </w:rPr>
        <w:t>; n=1.142) hos pædiatriske patienter. Hos 250 patienter, der blev fulgt i op til fem, blev der ikke observeret yderligere fald i det gennemsnitlige kreatininclearance-niveau.</w:t>
      </w:r>
    </w:p>
    <w:p w:rsidR="001F28A1" w:rsidRPr="001F28A1" w:rsidRDefault="001F28A1" w:rsidP="001F28A1">
      <w:pPr>
        <w:pStyle w:val="Brdtekst"/>
        <w:tabs>
          <w:tab w:val="left" w:pos="851"/>
        </w:tabs>
        <w:ind w:left="851"/>
        <w:rPr>
          <w:sz w:val="24"/>
          <w:szCs w:val="24"/>
          <w:lang w:val="da-DK"/>
        </w:rPr>
      </w:pPr>
    </w:p>
    <w:p w:rsidR="001F28A1" w:rsidRPr="001F28A1" w:rsidRDefault="001F28A1" w:rsidP="001F28A1">
      <w:pPr>
        <w:pStyle w:val="Brdtekst"/>
        <w:tabs>
          <w:tab w:val="left" w:pos="851"/>
        </w:tabs>
        <w:spacing w:line="252" w:lineRule="exact"/>
        <w:ind w:left="851"/>
        <w:rPr>
          <w:sz w:val="24"/>
          <w:szCs w:val="24"/>
          <w:lang w:val="da-DK"/>
        </w:rPr>
      </w:pPr>
      <w:r w:rsidRPr="001F28A1">
        <w:rPr>
          <w:sz w:val="24"/>
          <w:szCs w:val="24"/>
          <w:u w:val="single"/>
          <w:lang w:val="da-DK"/>
        </w:rPr>
        <w:t>Klinisk studie hos patienter med ikke-transfusionsafhængige talassæmi-syndromert</w:t>
      </w:r>
    </w:p>
    <w:p w:rsidR="001F28A1" w:rsidRPr="001F28A1" w:rsidRDefault="001F28A1" w:rsidP="001F28A1">
      <w:pPr>
        <w:pStyle w:val="Brdtekst"/>
        <w:tabs>
          <w:tab w:val="left" w:pos="851"/>
        </w:tabs>
        <w:ind w:left="851"/>
        <w:rPr>
          <w:sz w:val="24"/>
          <w:szCs w:val="24"/>
          <w:lang w:val="da-DK"/>
        </w:rPr>
      </w:pPr>
      <w:r w:rsidRPr="001F28A1">
        <w:rPr>
          <w:sz w:val="24"/>
          <w:szCs w:val="24"/>
          <w:lang w:val="da-DK"/>
        </w:rPr>
        <w:t>I et 1-årigt studie hos patienter med ikke-transfusionsafhængige talassæmi-syndromer og jernophobning (dispergible tabletter med en dosis på 10 mg/kg/dag) var diarré (9,1</w:t>
      </w:r>
      <w:r w:rsidR="00167916">
        <w:rPr>
          <w:sz w:val="24"/>
          <w:szCs w:val="24"/>
          <w:lang w:val="da-DK"/>
        </w:rPr>
        <w:t xml:space="preserve"> %</w:t>
      </w:r>
      <w:r w:rsidRPr="001F28A1">
        <w:rPr>
          <w:sz w:val="24"/>
          <w:szCs w:val="24"/>
          <w:lang w:val="da-DK"/>
        </w:rPr>
        <w:t>), udslæt (9,1</w:t>
      </w:r>
      <w:r w:rsidR="00167916">
        <w:rPr>
          <w:sz w:val="24"/>
          <w:szCs w:val="24"/>
          <w:lang w:val="da-DK"/>
        </w:rPr>
        <w:t xml:space="preserve"> %</w:t>
      </w:r>
      <w:r w:rsidRPr="001F28A1">
        <w:rPr>
          <w:sz w:val="24"/>
          <w:szCs w:val="24"/>
          <w:lang w:val="da-DK"/>
        </w:rPr>
        <w:t>) og kvalme (7,3</w:t>
      </w:r>
      <w:r w:rsidR="00167916">
        <w:rPr>
          <w:sz w:val="24"/>
          <w:szCs w:val="24"/>
          <w:lang w:val="da-DK"/>
        </w:rPr>
        <w:t xml:space="preserve"> %</w:t>
      </w:r>
      <w:r w:rsidRPr="001F28A1">
        <w:rPr>
          <w:sz w:val="24"/>
          <w:szCs w:val="24"/>
          <w:lang w:val="da-DK"/>
        </w:rPr>
        <w:t>) de hyppigste bivirkninger ved forsøgslægemidlet. Unormale værdier for serum- kreatinin og kreatininclearance blev indberettet hos henholdsvis 5,5</w:t>
      </w:r>
      <w:r w:rsidR="00167916">
        <w:rPr>
          <w:sz w:val="24"/>
          <w:szCs w:val="24"/>
          <w:lang w:val="da-DK"/>
        </w:rPr>
        <w:t xml:space="preserve"> %</w:t>
      </w:r>
      <w:r w:rsidRPr="001F28A1">
        <w:rPr>
          <w:sz w:val="24"/>
          <w:szCs w:val="24"/>
          <w:lang w:val="da-DK"/>
        </w:rPr>
        <w:t xml:space="preserve"> og 1,8</w:t>
      </w:r>
      <w:r w:rsidR="00167916">
        <w:rPr>
          <w:sz w:val="24"/>
          <w:szCs w:val="24"/>
          <w:lang w:val="da-DK"/>
        </w:rPr>
        <w:t xml:space="preserve"> %</w:t>
      </w:r>
      <w:r w:rsidRPr="001F28A1">
        <w:rPr>
          <w:sz w:val="24"/>
          <w:szCs w:val="24"/>
          <w:lang w:val="da-DK"/>
        </w:rPr>
        <w:t xml:space="preserve"> patienterne. Stigninger i leveraminotransferaser til over 2 gange </w:t>
      </w:r>
      <w:r w:rsidRPr="001F28A1">
        <w:rPr>
          <w:i/>
          <w:sz w:val="24"/>
          <w:szCs w:val="24"/>
          <w:lang w:val="da-DK"/>
        </w:rPr>
        <w:t xml:space="preserve">baseline </w:t>
      </w:r>
      <w:r w:rsidRPr="001F28A1">
        <w:rPr>
          <w:sz w:val="24"/>
          <w:szCs w:val="24"/>
          <w:lang w:val="da-DK"/>
        </w:rPr>
        <w:t>og 5 gange den øvre grænse for normalværdien blev rapporteret hos 1,8</w:t>
      </w:r>
      <w:r w:rsidR="00167916">
        <w:rPr>
          <w:sz w:val="24"/>
          <w:szCs w:val="24"/>
          <w:lang w:val="da-DK"/>
        </w:rPr>
        <w:t xml:space="preserve"> %</w:t>
      </w:r>
      <w:r w:rsidRPr="001F28A1">
        <w:rPr>
          <w:sz w:val="24"/>
          <w:szCs w:val="24"/>
          <w:lang w:val="da-DK"/>
        </w:rPr>
        <w:t xml:space="preserve"> af patienterne.</w:t>
      </w:r>
    </w:p>
    <w:p w:rsidR="001F28A1" w:rsidRPr="001F28A1" w:rsidRDefault="001F28A1" w:rsidP="001F28A1">
      <w:pPr>
        <w:pStyle w:val="Brdtekst"/>
        <w:tabs>
          <w:tab w:val="left" w:pos="851"/>
        </w:tabs>
        <w:spacing w:before="10"/>
        <w:ind w:left="851"/>
        <w:rPr>
          <w:sz w:val="24"/>
          <w:szCs w:val="24"/>
          <w:lang w:val="da-DK"/>
        </w:rPr>
      </w:pPr>
    </w:p>
    <w:p w:rsidR="001F28A1" w:rsidRPr="001F28A1" w:rsidRDefault="001F28A1" w:rsidP="001F28A1">
      <w:pPr>
        <w:tabs>
          <w:tab w:val="left" w:pos="851"/>
        </w:tabs>
        <w:ind w:left="851"/>
        <w:rPr>
          <w:i/>
          <w:sz w:val="24"/>
          <w:szCs w:val="24"/>
        </w:rPr>
      </w:pPr>
      <w:r w:rsidRPr="001F28A1">
        <w:rPr>
          <w:i/>
          <w:sz w:val="24"/>
          <w:szCs w:val="24"/>
          <w:u w:val="single"/>
        </w:rPr>
        <w:t>Pædiatrisk population</w:t>
      </w:r>
    </w:p>
    <w:p w:rsidR="001F28A1" w:rsidRPr="001F28A1" w:rsidRDefault="001F28A1" w:rsidP="001F28A1">
      <w:pPr>
        <w:pStyle w:val="Brdtekst"/>
        <w:tabs>
          <w:tab w:val="left" w:pos="851"/>
        </w:tabs>
        <w:spacing w:before="1"/>
        <w:ind w:left="851"/>
        <w:rPr>
          <w:sz w:val="24"/>
          <w:szCs w:val="24"/>
          <w:lang w:val="da-DK"/>
        </w:rPr>
      </w:pPr>
      <w:r w:rsidRPr="001F28A1">
        <w:rPr>
          <w:sz w:val="24"/>
          <w:szCs w:val="24"/>
          <w:lang w:val="da-DK"/>
        </w:rPr>
        <w:t>I to kliniske studier blev vækst og seksuel udvikling ikke påvirket hos pædiatriske patienter behandlet med deferasirox i op til 5 år (se pkt. 4.4).</w:t>
      </w:r>
    </w:p>
    <w:p w:rsidR="001F28A1" w:rsidRPr="001F28A1" w:rsidRDefault="001F28A1" w:rsidP="001F28A1">
      <w:pPr>
        <w:pStyle w:val="Brdtekst"/>
        <w:tabs>
          <w:tab w:val="left" w:pos="851"/>
        </w:tabs>
        <w:ind w:left="851"/>
        <w:rPr>
          <w:sz w:val="24"/>
          <w:szCs w:val="24"/>
          <w:lang w:val="da-DK"/>
        </w:rPr>
      </w:pPr>
    </w:p>
    <w:p w:rsidR="001F28A1" w:rsidRPr="001F28A1" w:rsidRDefault="001F28A1" w:rsidP="001F28A1">
      <w:pPr>
        <w:pStyle w:val="Brdtekst"/>
        <w:tabs>
          <w:tab w:val="left" w:pos="851"/>
        </w:tabs>
        <w:ind w:left="851"/>
        <w:rPr>
          <w:sz w:val="24"/>
          <w:szCs w:val="24"/>
          <w:lang w:val="da-DK"/>
        </w:rPr>
      </w:pPr>
      <w:r w:rsidRPr="001F28A1">
        <w:rPr>
          <w:sz w:val="24"/>
          <w:szCs w:val="24"/>
          <w:lang w:val="da-DK"/>
        </w:rPr>
        <w:t>Diarré er rapporteret oftere hos pædiatriske patienter i alderen 2 til 5 år end hos ældre patienter.</w:t>
      </w:r>
    </w:p>
    <w:p w:rsidR="001F28A1" w:rsidRPr="001F28A1" w:rsidRDefault="001F28A1" w:rsidP="001F28A1">
      <w:pPr>
        <w:pStyle w:val="Brdtekst"/>
        <w:tabs>
          <w:tab w:val="left" w:pos="851"/>
        </w:tabs>
        <w:spacing w:before="11"/>
        <w:ind w:left="851"/>
        <w:rPr>
          <w:sz w:val="24"/>
          <w:szCs w:val="24"/>
          <w:lang w:val="da-DK"/>
        </w:rPr>
      </w:pPr>
    </w:p>
    <w:p w:rsidR="001F28A1" w:rsidRPr="001F28A1" w:rsidRDefault="001F28A1" w:rsidP="001F28A1">
      <w:pPr>
        <w:pStyle w:val="Brdtekst"/>
        <w:tabs>
          <w:tab w:val="left" w:pos="851"/>
        </w:tabs>
        <w:ind w:left="851"/>
        <w:rPr>
          <w:sz w:val="24"/>
          <w:szCs w:val="24"/>
          <w:lang w:val="da-DK"/>
        </w:rPr>
      </w:pPr>
      <w:r w:rsidRPr="001F28A1">
        <w:rPr>
          <w:sz w:val="24"/>
          <w:szCs w:val="24"/>
          <w:lang w:val="da-DK"/>
        </w:rPr>
        <w:t>Renal tubulopati har hovedsagelig været rapporteret hos børn og unge med beta-talassæmi behandlet med deferasirox. I rapporter efter markedsføring, blev det set at en stor del af tilfældende af metabolisk acidose forekom hos børn i forbindelse med Fanconis syndrom.</w:t>
      </w:r>
    </w:p>
    <w:p w:rsidR="001F28A1" w:rsidRPr="001F28A1" w:rsidRDefault="001F28A1" w:rsidP="001F28A1">
      <w:pPr>
        <w:pStyle w:val="Brdtekst"/>
        <w:tabs>
          <w:tab w:val="left" w:pos="851"/>
        </w:tabs>
        <w:spacing w:before="9"/>
        <w:ind w:left="851"/>
        <w:rPr>
          <w:sz w:val="24"/>
          <w:szCs w:val="24"/>
          <w:lang w:val="da-DK"/>
        </w:rPr>
      </w:pPr>
    </w:p>
    <w:p w:rsidR="001F28A1" w:rsidRPr="001F28A1" w:rsidRDefault="001F28A1" w:rsidP="001F28A1">
      <w:pPr>
        <w:pStyle w:val="Brdtekst"/>
        <w:tabs>
          <w:tab w:val="left" w:pos="851"/>
        </w:tabs>
        <w:spacing w:before="1"/>
        <w:ind w:left="851"/>
        <w:rPr>
          <w:sz w:val="24"/>
          <w:szCs w:val="24"/>
          <w:lang w:val="da-DK"/>
        </w:rPr>
      </w:pPr>
      <w:r w:rsidRPr="001F28A1">
        <w:rPr>
          <w:sz w:val="24"/>
          <w:szCs w:val="24"/>
          <w:lang w:val="da-DK"/>
        </w:rPr>
        <w:t>Der er blevet rapporteret om akut pancreatitis, særligt hos børn og unge.</w:t>
      </w:r>
    </w:p>
    <w:p w:rsidR="001F28A1" w:rsidRPr="001F28A1" w:rsidRDefault="001F28A1" w:rsidP="001F28A1">
      <w:pPr>
        <w:tabs>
          <w:tab w:val="left" w:pos="851"/>
        </w:tabs>
        <w:autoSpaceDE w:val="0"/>
        <w:autoSpaceDN w:val="0"/>
        <w:adjustRightInd w:val="0"/>
        <w:ind w:left="851"/>
        <w:rPr>
          <w:noProof/>
          <w:sz w:val="24"/>
          <w:szCs w:val="24"/>
          <w:u w:val="single"/>
        </w:rPr>
      </w:pPr>
    </w:p>
    <w:p w:rsidR="001F28A1" w:rsidRPr="001F28A1" w:rsidRDefault="001F28A1" w:rsidP="001F28A1">
      <w:pPr>
        <w:tabs>
          <w:tab w:val="left" w:pos="851"/>
        </w:tabs>
        <w:autoSpaceDE w:val="0"/>
        <w:autoSpaceDN w:val="0"/>
        <w:adjustRightInd w:val="0"/>
        <w:ind w:left="851"/>
        <w:rPr>
          <w:sz w:val="24"/>
          <w:szCs w:val="24"/>
          <w:u w:val="single"/>
        </w:rPr>
      </w:pPr>
      <w:r w:rsidRPr="001F28A1">
        <w:rPr>
          <w:noProof/>
          <w:sz w:val="24"/>
          <w:szCs w:val="24"/>
          <w:u w:val="single"/>
        </w:rPr>
        <w:t>Indberetning af formodede bivirkninger</w:t>
      </w:r>
    </w:p>
    <w:p w:rsidR="001F28A1" w:rsidRPr="001F28A1" w:rsidRDefault="001F28A1" w:rsidP="001F28A1">
      <w:pPr>
        <w:tabs>
          <w:tab w:val="left" w:pos="851"/>
        </w:tabs>
        <w:autoSpaceDE w:val="0"/>
        <w:autoSpaceDN w:val="0"/>
        <w:adjustRightInd w:val="0"/>
        <w:ind w:left="851"/>
        <w:rPr>
          <w:noProof/>
          <w:color w:val="000000" w:themeColor="text1"/>
          <w:sz w:val="24"/>
          <w:szCs w:val="24"/>
        </w:rPr>
      </w:pPr>
      <w:r w:rsidRPr="001F28A1">
        <w:rPr>
          <w:noProof/>
          <w:sz w:val="24"/>
          <w:szCs w:val="24"/>
        </w:rPr>
        <w:t>Når lægemidlet er godkendt, er indberetning af formodede bivirkninger vigtig.</w:t>
      </w:r>
      <w:r w:rsidRPr="001F28A1">
        <w:rPr>
          <w:sz w:val="24"/>
          <w:szCs w:val="24"/>
        </w:rPr>
        <w:t xml:space="preserve"> </w:t>
      </w:r>
      <w:r w:rsidRPr="001F28A1">
        <w:rPr>
          <w:noProof/>
          <w:sz w:val="24"/>
          <w:szCs w:val="24"/>
        </w:rPr>
        <w:t>Det muliggør løbende overvågning af benefit/risk-forholdet for lægemidlet.</w:t>
      </w:r>
      <w:r w:rsidRPr="001F28A1">
        <w:rPr>
          <w:sz w:val="24"/>
          <w:szCs w:val="24"/>
        </w:rPr>
        <w:t xml:space="preserve"> </w:t>
      </w:r>
      <w:r w:rsidRPr="001F28A1">
        <w:rPr>
          <w:noProof/>
          <w:sz w:val="24"/>
          <w:szCs w:val="24"/>
        </w:rPr>
        <w:t>Sundhedspersoner anmodes om at indberette alle formodede bivirkninger via</w:t>
      </w:r>
      <w:r w:rsidRPr="001F28A1">
        <w:rPr>
          <w:noProof/>
          <w:color w:val="000000" w:themeColor="text1"/>
          <w:sz w:val="24"/>
          <w:szCs w:val="24"/>
        </w:rPr>
        <w:t>:</w:t>
      </w:r>
    </w:p>
    <w:p w:rsidR="001F28A1" w:rsidRPr="001F28A1" w:rsidRDefault="001F28A1" w:rsidP="001F28A1">
      <w:pPr>
        <w:tabs>
          <w:tab w:val="left" w:pos="851"/>
        </w:tabs>
        <w:autoSpaceDE w:val="0"/>
        <w:autoSpaceDN w:val="0"/>
        <w:adjustRightInd w:val="0"/>
        <w:ind w:left="851"/>
        <w:rPr>
          <w:noProof/>
          <w:color w:val="000000" w:themeColor="text1"/>
          <w:sz w:val="24"/>
          <w:szCs w:val="24"/>
        </w:rPr>
      </w:pPr>
    </w:p>
    <w:p w:rsidR="001F28A1" w:rsidRPr="001F28A1" w:rsidRDefault="001F28A1" w:rsidP="001F28A1">
      <w:pPr>
        <w:tabs>
          <w:tab w:val="left" w:pos="851"/>
        </w:tabs>
        <w:autoSpaceDE w:val="0"/>
        <w:autoSpaceDN w:val="0"/>
        <w:adjustRightInd w:val="0"/>
        <w:ind w:left="851"/>
        <w:rPr>
          <w:noProof/>
          <w:color w:val="000000" w:themeColor="text1"/>
          <w:sz w:val="24"/>
          <w:szCs w:val="24"/>
        </w:rPr>
      </w:pPr>
      <w:r w:rsidRPr="001F28A1">
        <w:rPr>
          <w:noProof/>
          <w:color w:val="000000" w:themeColor="text1"/>
          <w:sz w:val="24"/>
          <w:szCs w:val="24"/>
        </w:rPr>
        <w:t>Lægemiddelstyrelsen</w:t>
      </w:r>
    </w:p>
    <w:p w:rsidR="001F28A1" w:rsidRPr="001F28A1" w:rsidRDefault="001F28A1" w:rsidP="001F28A1">
      <w:pPr>
        <w:tabs>
          <w:tab w:val="left" w:pos="851"/>
        </w:tabs>
        <w:autoSpaceDE w:val="0"/>
        <w:autoSpaceDN w:val="0"/>
        <w:adjustRightInd w:val="0"/>
        <w:ind w:left="851"/>
        <w:rPr>
          <w:noProof/>
          <w:color w:val="000000" w:themeColor="text1"/>
          <w:sz w:val="24"/>
          <w:szCs w:val="24"/>
        </w:rPr>
      </w:pPr>
      <w:r w:rsidRPr="001F28A1">
        <w:rPr>
          <w:noProof/>
          <w:color w:val="000000" w:themeColor="text1"/>
          <w:sz w:val="24"/>
          <w:szCs w:val="24"/>
        </w:rPr>
        <w:t>Axel Heides Gade 1</w:t>
      </w:r>
    </w:p>
    <w:p w:rsidR="001F28A1" w:rsidRPr="001F28A1" w:rsidRDefault="001F28A1" w:rsidP="001F28A1">
      <w:pPr>
        <w:tabs>
          <w:tab w:val="left" w:pos="851"/>
        </w:tabs>
        <w:autoSpaceDE w:val="0"/>
        <w:autoSpaceDN w:val="0"/>
        <w:adjustRightInd w:val="0"/>
        <w:ind w:left="851"/>
        <w:rPr>
          <w:noProof/>
          <w:color w:val="000000" w:themeColor="text1"/>
          <w:sz w:val="24"/>
          <w:szCs w:val="24"/>
        </w:rPr>
      </w:pPr>
      <w:r w:rsidRPr="001F28A1">
        <w:rPr>
          <w:noProof/>
          <w:color w:val="000000" w:themeColor="text1"/>
          <w:sz w:val="24"/>
          <w:szCs w:val="24"/>
        </w:rPr>
        <w:t>2300 København S</w:t>
      </w:r>
    </w:p>
    <w:p w:rsidR="001F28A1" w:rsidRPr="001F28A1" w:rsidRDefault="001F28A1" w:rsidP="001F28A1">
      <w:pPr>
        <w:tabs>
          <w:tab w:val="left" w:pos="851"/>
        </w:tabs>
        <w:autoSpaceDE w:val="0"/>
        <w:autoSpaceDN w:val="0"/>
        <w:adjustRightInd w:val="0"/>
        <w:ind w:left="851"/>
        <w:rPr>
          <w:color w:val="000000" w:themeColor="text1"/>
          <w:sz w:val="24"/>
          <w:szCs w:val="24"/>
        </w:rPr>
      </w:pPr>
      <w:r w:rsidRPr="001F28A1">
        <w:rPr>
          <w:noProof/>
          <w:color w:val="000000" w:themeColor="text1"/>
          <w:sz w:val="24"/>
          <w:szCs w:val="24"/>
        </w:rPr>
        <w:t xml:space="preserve">Websted: </w:t>
      </w:r>
      <w:r w:rsidRPr="001F28A1">
        <w:rPr>
          <w:color w:val="000000" w:themeColor="text1"/>
          <w:sz w:val="24"/>
          <w:szCs w:val="24"/>
        </w:rPr>
        <w:t>www.meldenbivirkning.dk</w:t>
      </w:r>
    </w:p>
    <w:p w:rsidR="00FB3D35" w:rsidRDefault="00FB3D35">
      <w:pPr>
        <w:rPr>
          <w:sz w:val="24"/>
          <w:szCs w:val="24"/>
        </w:rPr>
      </w:pPr>
      <w:r>
        <w:rPr>
          <w:sz w:val="24"/>
          <w:szCs w:val="24"/>
        </w:rPr>
        <w:br w:type="page"/>
      </w:r>
    </w:p>
    <w:p w:rsidR="001F28A1" w:rsidRPr="001F28A1" w:rsidRDefault="001F28A1" w:rsidP="001F28A1">
      <w:pPr>
        <w:tabs>
          <w:tab w:val="left" w:pos="851"/>
        </w:tabs>
        <w:ind w:left="851"/>
        <w:rPr>
          <w:sz w:val="24"/>
          <w:szCs w:val="24"/>
        </w:rPr>
      </w:pPr>
    </w:p>
    <w:p w:rsidR="009260DE" w:rsidRPr="00C84483" w:rsidRDefault="009260DE" w:rsidP="000F34ED">
      <w:pPr>
        <w:tabs>
          <w:tab w:val="left" w:pos="851"/>
        </w:tabs>
        <w:ind w:left="851" w:hanging="851"/>
        <w:rPr>
          <w:b/>
          <w:sz w:val="24"/>
          <w:szCs w:val="24"/>
        </w:rPr>
      </w:pPr>
      <w:r w:rsidRPr="00C84483">
        <w:rPr>
          <w:b/>
          <w:sz w:val="24"/>
          <w:szCs w:val="24"/>
        </w:rPr>
        <w:t>4.9</w:t>
      </w:r>
      <w:r w:rsidRPr="00C84483">
        <w:rPr>
          <w:b/>
          <w:sz w:val="24"/>
          <w:szCs w:val="24"/>
        </w:rPr>
        <w:tab/>
        <w:t>Overdosering</w:t>
      </w:r>
    </w:p>
    <w:p w:rsidR="00EA33F7" w:rsidRPr="00EA33F7" w:rsidRDefault="00EA33F7" w:rsidP="00EA33F7">
      <w:pPr>
        <w:tabs>
          <w:tab w:val="left" w:pos="851"/>
        </w:tabs>
        <w:ind w:left="851"/>
        <w:rPr>
          <w:sz w:val="24"/>
          <w:szCs w:val="24"/>
        </w:rPr>
      </w:pPr>
      <w:r w:rsidRPr="00EA33F7">
        <w:rPr>
          <w:sz w:val="24"/>
          <w:szCs w:val="24"/>
        </w:rPr>
        <w:t>Tidlige tegn på akut overdosering er bivirkninger relateret til mave-tarm-kanalen såsom mavesmerter, diarré, kvalme og opkast. Lever- og nyresygdomme er blevet rapporteret, herunder tilfælde af øget leverenzym og kreatin med bedring efter seponering af behandlingen. En fejlagtig administration, af en enkelt dosis på 90 mg/kg, resulterede i Fanconis syndrom, som forsvandt efter behandlingen.</w:t>
      </w:r>
    </w:p>
    <w:p w:rsidR="00EA33F7" w:rsidRPr="00EA33F7" w:rsidRDefault="00EA33F7" w:rsidP="00EA33F7">
      <w:pPr>
        <w:tabs>
          <w:tab w:val="left" w:pos="851"/>
        </w:tabs>
        <w:ind w:left="851"/>
        <w:rPr>
          <w:sz w:val="24"/>
          <w:szCs w:val="24"/>
        </w:rPr>
      </w:pPr>
    </w:p>
    <w:p w:rsidR="00EA33F7" w:rsidRPr="00EA33F7" w:rsidRDefault="00EA33F7" w:rsidP="00EA33F7">
      <w:pPr>
        <w:tabs>
          <w:tab w:val="left" w:pos="851"/>
        </w:tabs>
        <w:ind w:left="851"/>
        <w:rPr>
          <w:sz w:val="24"/>
          <w:szCs w:val="24"/>
        </w:rPr>
      </w:pPr>
      <w:r w:rsidRPr="00EA33F7">
        <w:rPr>
          <w:sz w:val="24"/>
          <w:szCs w:val="24"/>
        </w:rPr>
        <w:t>Der findes ingen specifik antidot for desferasirox. Såfremt det er klinisk hensigtsmæssigt, kan standardprocedurer til behandling af overdosering og symptomatisk behandling være nødvendig.</w:t>
      </w:r>
    </w:p>
    <w:p w:rsidR="009260DE" w:rsidRPr="00C84483" w:rsidRDefault="009260DE" w:rsidP="000F34ED">
      <w:pPr>
        <w:tabs>
          <w:tab w:val="left" w:pos="851"/>
        </w:tabs>
        <w:ind w:left="851"/>
        <w:rPr>
          <w:sz w:val="24"/>
          <w:szCs w:val="24"/>
        </w:rPr>
      </w:pPr>
    </w:p>
    <w:p w:rsidR="009260DE" w:rsidRPr="00C84483" w:rsidRDefault="009260DE" w:rsidP="000F34ED">
      <w:pPr>
        <w:tabs>
          <w:tab w:val="left" w:pos="851"/>
        </w:tabs>
        <w:ind w:left="851" w:hanging="851"/>
        <w:rPr>
          <w:b/>
          <w:sz w:val="24"/>
          <w:szCs w:val="24"/>
        </w:rPr>
      </w:pPr>
      <w:r w:rsidRPr="00C84483">
        <w:rPr>
          <w:b/>
          <w:sz w:val="24"/>
          <w:szCs w:val="24"/>
        </w:rPr>
        <w:t>4.10</w:t>
      </w:r>
      <w:r w:rsidRPr="00C84483">
        <w:rPr>
          <w:b/>
          <w:sz w:val="24"/>
          <w:szCs w:val="24"/>
        </w:rPr>
        <w:tab/>
        <w:t>Udlevering</w:t>
      </w:r>
    </w:p>
    <w:p w:rsidR="004A27AE" w:rsidRPr="004A27AE" w:rsidRDefault="004A27AE" w:rsidP="004A27AE">
      <w:pPr>
        <w:tabs>
          <w:tab w:val="left" w:pos="851"/>
        </w:tabs>
        <w:ind w:left="851"/>
        <w:rPr>
          <w:sz w:val="24"/>
          <w:szCs w:val="24"/>
        </w:rPr>
      </w:pPr>
      <w:r w:rsidRPr="004A27AE">
        <w:rPr>
          <w:sz w:val="24"/>
          <w:szCs w:val="24"/>
        </w:rPr>
        <w:t>BEGR (kun til sygehuse)</w:t>
      </w:r>
    </w:p>
    <w:p w:rsidR="009260DE" w:rsidRPr="00C84483" w:rsidRDefault="009260DE" w:rsidP="000F34ED">
      <w:pPr>
        <w:tabs>
          <w:tab w:val="left" w:pos="851"/>
        </w:tabs>
        <w:ind w:left="851"/>
        <w:rPr>
          <w:sz w:val="24"/>
          <w:szCs w:val="24"/>
        </w:rPr>
      </w:pPr>
    </w:p>
    <w:p w:rsidR="009260DE" w:rsidRPr="00C84483" w:rsidRDefault="009260DE" w:rsidP="000F34ED">
      <w:pPr>
        <w:tabs>
          <w:tab w:val="left" w:pos="851"/>
        </w:tabs>
        <w:ind w:left="851"/>
        <w:rPr>
          <w:sz w:val="24"/>
          <w:szCs w:val="24"/>
        </w:rPr>
      </w:pPr>
    </w:p>
    <w:p w:rsidR="009260DE" w:rsidRPr="00C84483" w:rsidRDefault="009260DE" w:rsidP="000F34ED">
      <w:pPr>
        <w:tabs>
          <w:tab w:val="left" w:pos="851"/>
        </w:tabs>
        <w:ind w:left="851" w:hanging="851"/>
        <w:rPr>
          <w:b/>
          <w:sz w:val="24"/>
          <w:szCs w:val="24"/>
        </w:rPr>
      </w:pPr>
      <w:r w:rsidRPr="00C84483">
        <w:rPr>
          <w:b/>
          <w:sz w:val="24"/>
          <w:szCs w:val="24"/>
        </w:rPr>
        <w:t>5.</w:t>
      </w:r>
      <w:r w:rsidRPr="00C84483">
        <w:rPr>
          <w:b/>
          <w:sz w:val="24"/>
          <w:szCs w:val="24"/>
        </w:rPr>
        <w:tab/>
        <w:t>FARMAKOLOGISKE EGENSKABER</w:t>
      </w:r>
    </w:p>
    <w:p w:rsidR="009260DE" w:rsidRPr="00C84483" w:rsidRDefault="009260DE" w:rsidP="000F34ED">
      <w:pPr>
        <w:tabs>
          <w:tab w:val="left" w:pos="851"/>
        </w:tabs>
        <w:ind w:left="851"/>
        <w:rPr>
          <w:sz w:val="24"/>
          <w:szCs w:val="24"/>
        </w:rPr>
      </w:pPr>
    </w:p>
    <w:p w:rsidR="009260DE" w:rsidRPr="00C84483" w:rsidRDefault="009260DE" w:rsidP="000F34ED">
      <w:pPr>
        <w:tabs>
          <w:tab w:val="left" w:pos="851"/>
        </w:tabs>
        <w:ind w:left="851" w:hanging="851"/>
        <w:rPr>
          <w:b/>
          <w:sz w:val="24"/>
          <w:szCs w:val="24"/>
        </w:rPr>
      </w:pPr>
      <w:r w:rsidRPr="00C84483">
        <w:rPr>
          <w:b/>
          <w:sz w:val="24"/>
          <w:szCs w:val="24"/>
        </w:rPr>
        <w:t>5.0</w:t>
      </w:r>
      <w:r w:rsidRPr="00C84483">
        <w:rPr>
          <w:b/>
          <w:sz w:val="24"/>
          <w:szCs w:val="24"/>
        </w:rPr>
        <w:tab/>
        <w:t>Terapeutisk klassifikation</w:t>
      </w:r>
    </w:p>
    <w:p w:rsidR="00B33AE8" w:rsidRPr="00B33AE8" w:rsidRDefault="00B33AE8" w:rsidP="00B33AE8">
      <w:pPr>
        <w:tabs>
          <w:tab w:val="left" w:pos="851"/>
        </w:tabs>
        <w:ind w:left="851"/>
        <w:rPr>
          <w:sz w:val="24"/>
          <w:szCs w:val="24"/>
        </w:rPr>
      </w:pPr>
      <w:r w:rsidRPr="00B33AE8">
        <w:rPr>
          <w:sz w:val="24"/>
          <w:szCs w:val="24"/>
        </w:rPr>
        <w:t>ATC-kode: V</w:t>
      </w:r>
      <w:r>
        <w:rPr>
          <w:sz w:val="24"/>
          <w:szCs w:val="24"/>
        </w:rPr>
        <w:t xml:space="preserve"> </w:t>
      </w:r>
      <w:r w:rsidRPr="00B33AE8">
        <w:rPr>
          <w:sz w:val="24"/>
          <w:szCs w:val="24"/>
        </w:rPr>
        <w:t>03</w:t>
      </w:r>
      <w:r>
        <w:rPr>
          <w:sz w:val="24"/>
          <w:szCs w:val="24"/>
        </w:rPr>
        <w:t xml:space="preserve"> </w:t>
      </w:r>
      <w:r w:rsidRPr="00B33AE8">
        <w:rPr>
          <w:sz w:val="24"/>
          <w:szCs w:val="24"/>
        </w:rPr>
        <w:t>AC</w:t>
      </w:r>
      <w:r>
        <w:rPr>
          <w:sz w:val="24"/>
          <w:szCs w:val="24"/>
        </w:rPr>
        <w:t xml:space="preserve"> </w:t>
      </w:r>
      <w:r w:rsidRPr="00B33AE8">
        <w:rPr>
          <w:sz w:val="24"/>
          <w:szCs w:val="24"/>
        </w:rPr>
        <w:t>03. Jern-chelaterende midler</w:t>
      </w:r>
      <w:r>
        <w:rPr>
          <w:sz w:val="24"/>
          <w:szCs w:val="24"/>
        </w:rPr>
        <w:t>.</w:t>
      </w:r>
    </w:p>
    <w:p w:rsidR="009260DE" w:rsidRPr="00C84483" w:rsidRDefault="009260DE" w:rsidP="000F34ED">
      <w:pPr>
        <w:tabs>
          <w:tab w:val="left" w:pos="851"/>
        </w:tabs>
        <w:ind w:left="851"/>
        <w:rPr>
          <w:sz w:val="24"/>
          <w:szCs w:val="24"/>
        </w:rPr>
      </w:pPr>
    </w:p>
    <w:p w:rsidR="009260DE" w:rsidRPr="00C84483" w:rsidRDefault="009260DE" w:rsidP="000F34ED">
      <w:pPr>
        <w:tabs>
          <w:tab w:val="num" w:pos="851"/>
        </w:tabs>
        <w:ind w:left="851" w:hanging="851"/>
        <w:rPr>
          <w:b/>
          <w:sz w:val="24"/>
          <w:szCs w:val="24"/>
        </w:rPr>
      </w:pPr>
      <w:r w:rsidRPr="00C84483">
        <w:rPr>
          <w:b/>
          <w:sz w:val="24"/>
          <w:szCs w:val="24"/>
        </w:rPr>
        <w:t>5.1</w:t>
      </w:r>
      <w:r w:rsidRPr="00C84483">
        <w:rPr>
          <w:b/>
          <w:sz w:val="24"/>
          <w:szCs w:val="24"/>
        </w:rPr>
        <w:tab/>
        <w:t>Farmakodynamiske egenskaber</w:t>
      </w:r>
    </w:p>
    <w:p w:rsidR="00082ED0" w:rsidRDefault="00082ED0" w:rsidP="00B3352E">
      <w:pPr>
        <w:tabs>
          <w:tab w:val="left" w:pos="851"/>
        </w:tabs>
        <w:ind w:left="851"/>
        <w:rPr>
          <w:sz w:val="24"/>
          <w:szCs w:val="24"/>
          <w:u w:val="single"/>
        </w:rPr>
      </w:pPr>
    </w:p>
    <w:p w:rsidR="00B3352E" w:rsidRPr="00B3352E" w:rsidRDefault="00B3352E" w:rsidP="00B3352E">
      <w:pPr>
        <w:tabs>
          <w:tab w:val="left" w:pos="851"/>
        </w:tabs>
        <w:ind w:left="851"/>
        <w:rPr>
          <w:sz w:val="24"/>
          <w:szCs w:val="24"/>
        </w:rPr>
      </w:pPr>
      <w:r w:rsidRPr="00B3352E">
        <w:rPr>
          <w:sz w:val="24"/>
          <w:szCs w:val="24"/>
          <w:u w:val="single"/>
        </w:rPr>
        <w:t>Virkningsmekanisme</w:t>
      </w:r>
    </w:p>
    <w:p w:rsidR="00B3352E" w:rsidRPr="00B3352E" w:rsidRDefault="00B3352E" w:rsidP="00B3352E">
      <w:pPr>
        <w:tabs>
          <w:tab w:val="left" w:pos="851"/>
        </w:tabs>
        <w:ind w:left="851"/>
        <w:rPr>
          <w:sz w:val="24"/>
          <w:szCs w:val="24"/>
        </w:rPr>
      </w:pPr>
      <w:r w:rsidRPr="00B3352E">
        <w:rPr>
          <w:sz w:val="24"/>
          <w:szCs w:val="24"/>
        </w:rPr>
        <w:t>Deferasirox er en oralt aktiv kelator, der er stærkt selektiv for jern (III). Det er en tridentat ligand, der</w:t>
      </w:r>
      <w:r w:rsidR="00082ED0">
        <w:rPr>
          <w:sz w:val="24"/>
          <w:szCs w:val="24"/>
        </w:rPr>
        <w:t xml:space="preserve"> </w:t>
      </w:r>
      <w:r w:rsidRPr="00B3352E">
        <w:rPr>
          <w:sz w:val="24"/>
          <w:szCs w:val="24"/>
        </w:rPr>
        <w:t>binder jern med høj affinitet med en ratio på 2:1. Deferasirox fremmer ekskretionen af jern, primært i fæces. Deferasirox har lav affinitet for zink og kobber, og forårsager ikke lave serum-niveauer for disse metaller.</w:t>
      </w:r>
    </w:p>
    <w:p w:rsidR="00B3352E" w:rsidRPr="00B3352E" w:rsidRDefault="00B3352E" w:rsidP="00B3352E">
      <w:pPr>
        <w:tabs>
          <w:tab w:val="left" w:pos="851"/>
        </w:tabs>
        <w:ind w:left="851"/>
        <w:rPr>
          <w:sz w:val="24"/>
          <w:szCs w:val="24"/>
        </w:rPr>
      </w:pPr>
    </w:p>
    <w:p w:rsidR="00B3352E" w:rsidRPr="00B3352E" w:rsidRDefault="00B3352E" w:rsidP="00B3352E">
      <w:pPr>
        <w:tabs>
          <w:tab w:val="left" w:pos="851"/>
        </w:tabs>
        <w:ind w:left="851"/>
        <w:rPr>
          <w:sz w:val="24"/>
          <w:szCs w:val="24"/>
        </w:rPr>
      </w:pPr>
      <w:r w:rsidRPr="00B3352E">
        <w:rPr>
          <w:sz w:val="24"/>
          <w:szCs w:val="24"/>
          <w:u w:val="single"/>
        </w:rPr>
        <w:t>Farmakodynamisk virkning</w:t>
      </w:r>
    </w:p>
    <w:p w:rsidR="00B3352E" w:rsidRPr="00B3352E" w:rsidRDefault="00B3352E" w:rsidP="00B3352E">
      <w:pPr>
        <w:tabs>
          <w:tab w:val="left" w:pos="851"/>
        </w:tabs>
        <w:ind w:left="851"/>
        <w:rPr>
          <w:sz w:val="24"/>
          <w:szCs w:val="24"/>
        </w:rPr>
      </w:pPr>
      <w:r w:rsidRPr="00B3352E">
        <w:rPr>
          <w:sz w:val="24"/>
          <w:szCs w:val="24"/>
        </w:rPr>
        <w:t>I et studie i metabolisk jernbalance hos voksne talassæmipatienter med jernophobning, forårsagede daglige defrasirox-doser på 10, 20 og 40 mg/kg (dispergibel tablet-formulering) en gennemsnitlig nettoudskillelse på henholdsvis 0,119, 0,329 og 0,445 mg Fe/kg kropsvægt/dag.</w:t>
      </w:r>
    </w:p>
    <w:p w:rsidR="00B3352E" w:rsidRPr="00B3352E" w:rsidRDefault="00B3352E" w:rsidP="00B3352E">
      <w:pPr>
        <w:tabs>
          <w:tab w:val="left" w:pos="851"/>
        </w:tabs>
        <w:ind w:left="851"/>
        <w:rPr>
          <w:sz w:val="24"/>
          <w:szCs w:val="24"/>
        </w:rPr>
      </w:pPr>
    </w:p>
    <w:p w:rsidR="00B3352E" w:rsidRPr="00B3352E" w:rsidRDefault="00B3352E" w:rsidP="00B3352E">
      <w:pPr>
        <w:tabs>
          <w:tab w:val="left" w:pos="851"/>
        </w:tabs>
        <w:ind w:left="851"/>
        <w:rPr>
          <w:sz w:val="24"/>
          <w:szCs w:val="24"/>
        </w:rPr>
      </w:pPr>
      <w:r w:rsidRPr="00B3352E">
        <w:rPr>
          <w:sz w:val="24"/>
          <w:szCs w:val="24"/>
          <w:u w:val="single"/>
        </w:rPr>
        <w:t>Klinisk virkning og sikkerhed</w:t>
      </w:r>
    </w:p>
    <w:p w:rsidR="00B3352E" w:rsidRPr="00B3352E" w:rsidRDefault="00B3352E" w:rsidP="00B3352E">
      <w:pPr>
        <w:tabs>
          <w:tab w:val="left" w:pos="851"/>
        </w:tabs>
        <w:ind w:left="851"/>
        <w:rPr>
          <w:sz w:val="24"/>
          <w:szCs w:val="24"/>
        </w:rPr>
      </w:pPr>
      <w:r w:rsidRPr="00B3352E">
        <w:rPr>
          <w:sz w:val="24"/>
          <w:szCs w:val="24"/>
        </w:rPr>
        <w:t>Kliniske studier omkring virkningen blev udført med deferasirox dispergible tabletter.</w:t>
      </w:r>
    </w:p>
    <w:p w:rsidR="00B3352E" w:rsidRPr="00B3352E" w:rsidRDefault="00B3352E" w:rsidP="00B3352E">
      <w:pPr>
        <w:tabs>
          <w:tab w:val="left" w:pos="851"/>
        </w:tabs>
        <w:ind w:left="851"/>
        <w:rPr>
          <w:sz w:val="24"/>
          <w:szCs w:val="24"/>
        </w:rPr>
      </w:pPr>
    </w:p>
    <w:p w:rsidR="00B3352E" w:rsidRPr="00B3352E" w:rsidRDefault="00B3352E" w:rsidP="00B3352E">
      <w:pPr>
        <w:tabs>
          <w:tab w:val="left" w:pos="851"/>
        </w:tabs>
        <w:ind w:left="851"/>
        <w:rPr>
          <w:sz w:val="24"/>
          <w:szCs w:val="24"/>
        </w:rPr>
      </w:pPr>
      <w:r w:rsidRPr="00B3352E">
        <w:rPr>
          <w:sz w:val="24"/>
          <w:szCs w:val="24"/>
        </w:rPr>
        <w:t>Deferasirox er undersøgt hos 411 voksne (alder ≥ 16 år) og 292 pædiatriske patienter (alder 2 til</w:t>
      </w:r>
      <w:r w:rsidR="00082ED0">
        <w:rPr>
          <w:sz w:val="24"/>
          <w:szCs w:val="24"/>
        </w:rPr>
        <w:t xml:space="preserve"> </w:t>
      </w:r>
      <w:r w:rsidRPr="00B3352E">
        <w:rPr>
          <w:sz w:val="24"/>
          <w:szCs w:val="24"/>
        </w:rPr>
        <w:t>&lt; 16 år) med kronisk jernophobning forårsaget af blodtransfusioner. Af de pædiatriske patienter var 52 af disse 2 til 5 år gamle. De underliggende tilstande, der krævede blodtransfusion, inkluderede beta- talassæmi, seglcelleanæmi og andre medfødte og erhvervede anæmier (myelodysplastiske syndromer [MDS], Diamond-Blackfan-syndrom, aplastisk anæmi og andre meget sjældne anæmier).</w:t>
      </w:r>
    </w:p>
    <w:p w:rsidR="00B3352E" w:rsidRPr="00B3352E" w:rsidRDefault="00B3352E" w:rsidP="00B3352E">
      <w:pPr>
        <w:tabs>
          <w:tab w:val="left" w:pos="851"/>
        </w:tabs>
        <w:ind w:left="851"/>
        <w:rPr>
          <w:sz w:val="24"/>
          <w:szCs w:val="24"/>
        </w:rPr>
      </w:pPr>
    </w:p>
    <w:p w:rsidR="00B3352E" w:rsidRPr="00B3352E" w:rsidRDefault="00B3352E" w:rsidP="00B3352E">
      <w:pPr>
        <w:tabs>
          <w:tab w:val="left" w:pos="851"/>
        </w:tabs>
        <w:ind w:left="851"/>
        <w:rPr>
          <w:sz w:val="24"/>
          <w:szCs w:val="24"/>
        </w:rPr>
      </w:pPr>
      <w:r w:rsidRPr="00B3352E">
        <w:rPr>
          <w:sz w:val="24"/>
          <w:szCs w:val="24"/>
        </w:rPr>
        <w:t>Daglig behandling med den dispergible tablet-formlering for deferaosirox med doser på</w:t>
      </w:r>
    </w:p>
    <w:p w:rsidR="00B3352E" w:rsidRPr="00B3352E" w:rsidRDefault="00B3352E" w:rsidP="00B3352E">
      <w:pPr>
        <w:tabs>
          <w:tab w:val="left" w:pos="851"/>
        </w:tabs>
        <w:ind w:left="851"/>
        <w:rPr>
          <w:sz w:val="24"/>
          <w:szCs w:val="24"/>
        </w:rPr>
      </w:pPr>
      <w:r w:rsidRPr="00B3352E">
        <w:rPr>
          <w:sz w:val="24"/>
          <w:szCs w:val="24"/>
        </w:rPr>
        <w:t xml:space="preserve">20 og 30 mg/kg i et år hos voksne og pædiatriske patienter med beta-talassæmi, som hyppigt modtog transfusioner, førte til reduktioner i indikatorer for totalt kropsjern; lever-jernkoncentrationen blev reduceret med henholdsvis omkring -0,4 og -8 mg Fe/g lever (biopsi-tørvægt) i gennemsnit, og serum-ferritin blev reduceret med henholdsvis omkring -36 og -926 µg/l i gennemsnit. Ved samme doser var ratioen for jernudskillelse: jernindtag henholdsvis 1,02 (hvilket indikerer netto-jernbalance) og 1,67 (hvilket indikerer netto-jernudskillelse). Deferasirox forårsagede lignende respons hos patienter med jernophobning med andre anæmier. Daglige doser (dispergible tablet-formulering) på 10 mg/kg i et år kunne opretholde leverjern og serum-ferritinniveauer og forårsage netto jernbalance hos patienter, der sjældent modtog transfusioner eller udskiftningstransfusioner. Serum-ferritin, der blev vurderet ved månedlig monitorering, afspejlede ændringer i lever-jernkoncentration. Dette tyder på, at tendenser i serum-ferritin kan anvendes til at monitorere respons på behandling. Begrænsede kliniske data (29 patienter med normal hjertefunktion ved </w:t>
      </w:r>
      <w:r w:rsidRPr="00B3352E">
        <w:rPr>
          <w:i/>
          <w:sz w:val="24"/>
          <w:szCs w:val="24"/>
        </w:rPr>
        <w:t>baseline</w:t>
      </w:r>
      <w:r w:rsidRPr="00B3352E">
        <w:rPr>
          <w:sz w:val="24"/>
          <w:szCs w:val="24"/>
        </w:rPr>
        <w:t>), der blev opnået med MRI, indikerer, at behandling med deferasirox 10-30 mg/kg/dag (dispergibel tablet-formulering)i 1 år også kan reducere jern-niveauer i hjertet (i gennemsnit, MRI T2* øget fra 18,3 til 23,0 millisekunder).</w:t>
      </w:r>
    </w:p>
    <w:p w:rsidR="00B3352E" w:rsidRPr="00B3352E" w:rsidRDefault="00B3352E" w:rsidP="00B3352E">
      <w:pPr>
        <w:tabs>
          <w:tab w:val="left" w:pos="851"/>
        </w:tabs>
        <w:ind w:left="851"/>
        <w:rPr>
          <w:sz w:val="24"/>
          <w:szCs w:val="24"/>
        </w:rPr>
      </w:pPr>
    </w:p>
    <w:p w:rsidR="00B3352E" w:rsidRPr="00B3352E" w:rsidRDefault="00B3352E" w:rsidP="00B3352E">
      <w:pPr>
        <w:tabs>
          <w:tab w:val="left" w:pos="851"/>
        </w:tabs>
        <w:ind w:left="851"/>
        <w:rPr>
          <w:sz w:val="24"/>
          <w:szCs w:val="24"/>
        </w:rPr>
      </w:pPr>
      <w:r w:rsidRPr="00B3352E">
        <w:rPr>
          <w:sz w:val="24"/>
          <w:szCs w:val="24"/>
        </w:rPr>
        <w:t>Hovedanalysen af det afgørende sammenligningsstudie hos 586 patienter med beta-talassæmi og transfusionsbetinget jernophobning viste ikke non-inferiority af deferasirox dispergible tabletter sammenlignet med deferoxamin i analysen af den totale patientpopulation. I en post-hoc-analyse af dette studie blev non-inferiority-kriteriet opnået i undergruppen af patienter med lever- jernkoncentration ≥ 7 mg Fe/g biopsi-tørvægt behandlet med deferasirox dispergible tabletter (20 og 30 mg/kg) eller deferoxamin (35 til ≥ 50 mg/kg). Hos patienter med lever-jernkoncentration &lt; 7 mg Fe/g biopsi-tørvægt, der blev behandlet med deferasirox dispergible tabletter (5 og 10 mg/kg) eller deferoxamin (20 eller 35 mg/kg), blev non-inferiority imidlertid ikke opnået. Dette skyldtes ubalance i doseringen af de to kelatorer. Denne ubalance opstod, fordi patienter på deferoxamin fik tilladelse til at blive på deres før-studiedosering, selvom denne dosis var højere end den protokolspecificerede dosis. 56 patienter under 6 år deltog i dette afgørende studie, 28 af dem modtagende deferasirox dispergible tabletter.</w:t>
      </w:r>
    </w:p>
    <w:p w:rsidR="00B3352E" w:rsidRPr="00B3352E" w:rsidRDefault="00B3352E" w:rsidP="00B3352E">
      <w:pPr>
        <w:tabs>
          <w:tab w:val="left" w:pos="851"/>
        </w:tabs>
        <w:ind w:left="851"/>
        <w:rPr>
          <w:sz w:val="24"/>
          <w:szCs w:val="24"/>
        </w:rPr>
      </w:pPr>
    </w:p>
    <w:p w:rsidR="00B3352E" w:rsidRPr="00B3352E" w:rsidRDefault="00B3352E" w:rsidP="00B3352E">
      <w:pPr>
        <w:tabs>
          <w:tab w:val="left" w:pos="851"/>
        </w:tabs>
        <w:ind w:left="851"/>
        <w:rPr>
          <w:sz w:val="24"/>
          <w:szCs w:val="24"/>
        </w:rPr>
      </w:pPr>
      <w:r w:rsidRPr="00B3352E">
        <w:rPr>
          <w:sz w:val="24"/>
          <w:szCs w:val="24"/>
        </w:rPr>
        <w:t>Det fremgik af prækliniske og kliniske studier, at deferasirox dispergible tabletter kunne være ligeså aktive som deferoxamin, når de blev administreret i en dosisratio på 2:1 (det vil sige en dosis deferasirox dispergible tabletter, der numerisk er halvdelen af deferoxamindosis). For deferasirox filmovertrukne tabletter kan en dosisratio på 3:1 overvejes (det vil sige at en dosis af deferasirox filmovertrukne tabletter, der numerisk er en tredjedel af deferoxamindosis). Imidlertid blev denne dosisrekommendation ikke vurderet prospektivt i de kliniske studier.</w:t>
      </w:r>
    </w:p>
    <w:p w:rsidR="00B3352E" w:rsidRPr="00B3352E" w:rsidRDefault="00B3352E" w:rsidP="00B3352E">
      <w:pPr>
        <w:tabs>
          <w:tab w:val="left" w:pos="851"/>
        </w:tabs>
        <w:ind w:left="851"/>
        <w:rPr>
          <w:sz w:val="24"/>
          <w:szCs w:val="24"/>
        </w:rPr>
      </w:pPr>
    </w:p>
    <w:p w:rsidR="00B3352E" w:rsidRPr="00B3352E" w:rsidRDefault="00B3352E" w:rsidP="00B3352E">
      <w:pPr>
        <w:tabs>
          <w:tab w:val="left" w:pos="851"/>
        </w:tabs>
        <w:ind w:left="851"/>
        <w:rPr>
          <w:sz w:val="24"/>
          <w:szCs w:val="24"/>
        </w:rPr>
      </w:pPr>
      <w:r w:rsidRPr="00B3352E">
        <w:rPr>
          <w:sz w:val="24"/>
          <w:szCs w:val="24"/>
        </w:rPr>
        <w:t>I tillæg, producerede deferasirox dipergible tabletter i dosis op til 20 og 30 mg/kg et fald i lever- jernkoncentration og serum-ferritin sammenlignelig med det opnået hos patienter med beta-talassæmi. Dette forekom hos patienter med lever-jernkoncentration ≥ 7 mg Fe/g biopsi-tørvægt med forskellige sjældne anæmier eller seglcellesygdom.</w:t>
      </w:r>
    </w:p>
    <w:p w:rsidR="00B3352E" w:rsidRPr="00B3352E" w:rsidRDefault="00B3352E" w:rsidP="00B3352E">
      <w:pPr>
        <w:tabs>
          <w:tab w:val="left" w:pos="851"/>
        </w:tabs>
        <w:ind w:left="851"/>
        <w:rPr>
          <w:sz w:val="24"/>
          <w:szCs w:val="24"/>
        </w:rPr>
      </w:pPr>
    </w:p>
    <w:p w:rsidR="00B3352E" w:rsidRPr="00B3352E" w:rsidRDefault="00B3352E" w:rsidP="00B3352E">
      <w:pPr>
        <w:tabs>
          <w:tab w:val="left" w:pos="851"/>
        </w:tabs>
        <w:ind w:left="851"/>
        <w:rPr>
          <w:sz w:val="24"/>
          <w:szCs w:val="24"/>
        </w:rPr>
      </w:pPr>
      <w:r w:rsidRPr="00B3352E">
        <w:rPr>
          <w:sz w:val="24"/>
          <w:szCs w:val="24"/>
        </w:rPr>
        <w:t>Der blev udført et placebo-kontrolleret randomiseret studie hos 225 patienter med MDS (lav/int-1 risiko) og transfusionsbetinget jernophobning. Resultaterne af studiet antyder, at der er en positiv effekt af deferasirox på hændelsesfri overlevelsesrate (EFS, et sammensat endepunkt inklusive ikke- dødelig hjerte- eller leverpåvirkning) og på serumferitinniveauer. Sikkerhedsprofilen var i overensstemmelse med tidligere studier hos voksne MDS patienter.</w:t>
      </w:r>
    </w:p>
    <w:p w:rsidR="00B3352E" w:rsidRPr="00B3352E" w:rsidRDefault="00B3352E" w:rsidP="00B3352E">
      <w:pPr>
        <w:tabs>
          <w:tab w:val="left" w:pos="851"/>
        </w:tabs>
        <w:ind w:left="851"/>
        <w:rPr>
          <w:sz w:val="24"/>
          <w:szCs w:val="24"/>
        </w:rPr>
      </w:pPr>
    </w:p>
    <w:p w:rsidR="00B3352E" w:rsidRPr="00B3352E" w:rsidRDefault="00B3352E" w:rsidP="00B3352E">
      <w:pPr>
        <w:tabs>
          <w:tab w:val="left" w:pos="851"/>
        </w:tabs>
        <w:ind w:left="851"/>
        <w:rPr>
          <w:sz w:val="24"/>
          <w:szCs w:val="24"/>
        </w:rPr>
      </w:pPr>
      <w:r w:rsidRPr="00B3352E">
        <w:rPr>
          <w:sz w:val="24"/>
          <w:szCs w:val="24"/>
        </w:rPr>
        <w:t>267 børn i alderen 2 til &lt;6 år (ved studieoptagelse) med transfusionsbetinget hæmosiderose fik deferasirox i et 5-års observationsstudie. Der var ingen klinisk relevante forskelle i sikkerhed og tolerabilitet af Deferasirox "Sandoz" hos pædiatriske patienter i alderen 2 til &lt;6 år sammenlignet med den samlede population af voksne og ældre børn, inklusive stigning i serum-kreatinin på &gt;33</w:t>
      </w:r>
      <w:r w:rsidR="00167916">
        <w:rPr>
          <w:sz w:val="24"/>
          <w:szCs w:val="24"/>
        </w:rPr>
        <w:t xml:space="preserve"> %</w:t>
      </w:r>
      <w:r w:rsidRPr="00B3352E">
        <w:rPr>
          <w:sz w:val="24"/>
          <w:szCs w:val="24"/>
        </w:rPr>
        <w:t xml:space="preserve"> og over den øvre normalgrænse ved ≥2 på hinanden følgende målinger (3,1</w:t>
      </w:r>
      <w:r w:rsidR="00167916">
        <w:rPr>
          <w:sz w:val="24"/>
          <w:szCs w:val="24"/>
        </w:rPr>
        <w:t xml:space="preserve"> %</w:t>
      </w:r>
      <w:r w:rsidRPr="00B3352E">
        <w:rPr>
          <w:sz w:val="24"/>
          <w:szCs w:val="24"/>
        </w:rPr>
        <w:t>) samt stigning i alanin-aminotransferase (ALAT) til mere end 5 gange den øvre normalgrænse (4,3</w:t>
      </w:r>
      <w:r w:rsidR="00167916">
        <w:rPr>
          <w:sz w:val="24"/>
          <w:szCs w:val="24"/>
        </w:rPr>
        <w:t xml:space="preserve"> %</w:t>
      </w:r>
      <w:r w:rsidRPr="00B3352E">
        <w:rPr>
          <w:sz w:val="24"/>
          <w:szCs w:val="24"/>
        </w:rPr>
        <w:t>). Der blev rapporteret enkeltstående tilfælde af stigning i ALAT og aspartat-aminotransferase hos henholdsvis 20,0</w:t>
      </w:r>
      <w:r w:rsidR="00167916">
        <w:rPr>
          <w:sz w:val="24"/>
          <w:szCs w:val="24"/>
        </w:rPr>
        <w:t xml:space="preserve"> %</w:t>
      </w:r>
      <w:r w:rsidRPr="00B3352E">
        <w:rPr>
          <w:sz w:val="24"/>
          <w:szCs w:val="24"/>
        </w:rPr>
        <w:t xml:space="preserve"> og 8,3</w:t>
      </w:r>
      <w:r w:rsidR="00167916">
        <w:rPr>
          <w:sz w:val="24"/>
          <w:szCs w:val="24"/>
        </w:rPr>
        <w:t xml:space="preserve"> %</w:t>
      </w:r>
      <w:r w:rsidRPr="00B3352E">
        <w:rPr>
          <w:sz w:val="24"/>
          <w:szCs w:val="24"/>
        </w:rPr>
        <w:t xml:space="preserve"> af de</w:t>
      </w:r>
    </w:p>
    <w:p w:rsidR="00B3352E" w:rsidRPr="00B3352E" w:rsidRDefault="00B3352E" w:rsidP="00B3352E">
      <w:pPr>
        <w:tabs>
          <w:tab w:val="left" w:pos="851"/>
        </w:tabs>
        <w:ind w:left="851"/>
        <w:rPr>
          <w:sz w:val="24"/>
          <w:szCs w:val="24"/>
        </w:rPr>
      </w:pPr>
      <w:r w:rsidRPr="00B3352E">
        <w:rPr>
          <w:sz w:val="24"/>
          <w:szCs w:val="24"/>
        </w:rPr>
        <w:t>145 patienter, som gennemførte studiet.</w:t>
      </w:r>
    </w:p>
    <w:p w:rsidR="00B3352E" w:rsidRPr="00B3352E" w:rsidRDefault="00B3352E" w:rsidP="00B3352E">
      <w:pPr>
        <w:tabs>
          <w:tab w:val="left" w:pos="851"/>
        </w:tabs>
        <w:ind w:left="851"/>
        <w:rPr>
          <w:sz w:val="24"/>
          <w:szCs w:val="24"/>
        </w:rPr>
      </w:pPr>
    </w:p>
    <w:p w:rsidR="00B3352E" w:rsidRPr="00B3352E" w:rsidRDefault="00B3352E" w:rsidP="00B3352E">
      <w:pPr>
        <w:tabs>
          <w:tab w:val="left" w:pos="851"/>
        </w:tabs>
        <w:ind w:left="851"/>
        <w:rPr>
          <w:sz w:val="24"/>
          <w:szCs w:val="24"/>
        </w:rPr>
      </w:pPr>
      <w:r w:rsidRPr="00B3352E">
        <w:rPr>
          <w:sz w:val="24"/>
          <w:szCs w:val="24"/>
        </w:rPr>
        <w:t>173 voksne og pædiatriske patienter med transfusionsafhængig talassæmi eller myelodysplastisk syndrom blev behandlet i 24 uger i et studie, der undersøgte sikkerheden af deferasirox filmovertrukne tabletter og dispergible tabletter. Der blev observeret en sammenlignelig sikkerhedsprofil for filmovertrukne tabletter og dispergible tabletter.</w:t>
      </w:r>
    </w:p>
    <w:p w:rsidR="00B3352E" w:rsidRPr="00B3352E" w:rsidRDefault="00B3352E" w:rsidP="00B3352E">
      <w:pPr>
        <w:tabs>
          <w:tab w:val="left" w:pos="851"/>
        </w:tabs>
        <w:ind w:left="851"/>
        <w:rPr>
          <w:sz w:val="24"/>
          <w:szCs w:val="24"/>
        </w:rPr>
      </w:pPr>
    </w:p>
    <w:p w:rsidR="00B3352E" w:rsidRPr="00B3352E" w:rsidRDefault="00B3352E" w:rsidP="00B3352E">
      <w:pPr>
        <w:tabs>
          <w:tab w:val="left" w:pos="851"/>
        </w:tabs>
        <w:ind w:left="851"/>
        <w:rPr>
          <w:sz w:val="24"/>
          <w:szCs w:val="24"/>
        </w:rPr>
      </w:pPr>
      <w:r w:rsidRPr="00B3352E">
        <w:rPr>
          <w:sz w:val="24"/>
          <w:szCs w:val="24"/>
        </w:rPr>
        <w:t xml:space="preserve">Deferasirox dipergible tabletter blev vurderet i et 1-årigt randomiseret, dobbeltblindet, placebokontrolleret studie hos patienter med ikke-transfusionsafhængige talassæmi-syndromer og jernophobning. Studiet sammenlignede virkningen af to forskellige deferasirox-behandlinger med dispergible tabletter (startdoser på 5 og 10 mg/kg/dag, 55 patienter i hver arm) og tilsvarende placebo (56 patienter). Studiet indrullerede 145 voksne og 21 pædiatriske patienter. Den primære effektparameter var ændringen i jernkoncentrationen i leveren (LIC) fra </w:t>
      </w:r>
      <w:r w:rsidRPr="00B3352E">
        <w:rPr>
          <w:i/>
          <w:sz w:val="24"/>
          <w:szCs w:val="24"/>
        </w:rPr>
        <w:t xml:space="preserve">baseline </w:t>
      </w:r>
      <w:r w:rsidRPr="00B3352E">
        <w:rPr>
          <w:sz w:val="24"/>
          <w:szCs w:val="24"/>
        </w:rPr>
        <w:t xml:space="preserve">efter 12 måneders behandling. En af de sekundære effektparametre var ændringen i serumferritin mellem </w:t>
      </w:r>
      <w:r w:rsidRPr="00B3352E">
        <w:rPr>
          <w:i/>
          <w:sz w:val="24"/>
          <w:szCs w:val="24"/>
        </w:rPr>
        <w:t xml:space="preserve">baseline </w:t>
      </w:r>
      <w:r w:rsidRPr="00B3352E">
        <w:rPr>
          <w:sz w:val="24"/>
          <w:szCs w:val="24"/>
        </w:rPr>
        <w:t>og fjerde kvartal. Ved en startdosis på 10 mg/kg/dag medførte deferasirox dipergible tabletter reduktioner i indikatorer for total-jern i kroppen. I gennemsnit faldt jernkoncentrationen i leveren med</w:t>
      </w:r>
      <w:r w:rsidR="00082ED0">
        <w:rPr>
          <w:sz w:val="24"/>
          <w:szCs w:val="24"/>
        </w:rPr>
        <w:t xml:space="preserve"> </w:t>
      </w:r>
      <w:r w:rsidRPr="00B3352E">
        <w:rPr>
          <w:sz w:val="24"/>
          <w:szCs w:val="24"/>
        </w:rPr>
        <w:t>3,80 mg Fe/g tørvægt hos patienter, der blev behandlet med deferasirox dipergible tabletter (startdosis 10 mg/kg/dag), og steg med 0,38 mg Fe/g tørvægt hos patienter, der fik placebo (p&lt;0,001). I gennemsnit faldt serumferritin med 222,0 µg/l hos patienter, der blev behandlet med deferasirox dipergible tabletter (startdosis 10 mg/kg/dag), og steg med 115 µg/l hos patienter, der fik placebo (p&lt;0,001).</w:t>
      </w:r>
    </w:p>
    <w:p w:rsidR="009260DE" w:rsidRPr="00C84483" w:rsidRDefault="009260DE" w:rsidP="000F34ED">
      <w:pPr>
        <w:tabs>
          <w:tab w:val="left" w:pos="851"/>
        </w:tabs>
        <w:ind w:left="851"/>
        <w:rPr>
          <w:sz w:val="24"/>
          <w:szCs w:val="24"/>
        </w:rPr>
      </w:pPr>
    </w:p>
    <w:p w:rsidR="009260DE" w:rsidRPr="00C84483" w:rsidRDefault="009260DE" w:rsidP="000F34ED">
      <w:pPr>
        <w:tabs>
          <w:tab w:val="left" w:pos="851"/>
        </w:tabs>
        <w:ind w:left="851" w:hanging="851"/>
        <w:rPr>
          <w:b/>
          <w:sz w:val="24"/>
          <w:szCs w:val="24"/>
        </w:rPr>
      </w:pPr>
      <w:r w:rsidRPr="00C84483">
        <w:rPr>
          <w:b/>
          <w:sz w:val="24"/>
          <w:szCs w:val="24"/>
        </w:rPr>
        <w:t>5.2</w:t>
      </w:r>
      <w:r w:rsidRPr="00C84483">
        <w:rPr>
          <w:b/>
          <w:sz w:val="24"/>
          <w:szCs w:val="24"/>
        </w:rPr>
        <w:tab/>
        <w:t>Farmakokinetiske egenskaber</w:t>
      </w:r>
    </w:p>
    <w:p w:rsidR="00352D20" w:rsidRPr="00352D20" w:rsidRDefault="00352D20" w:rsidP="00352D20">
      <w:pPr>
        <w:tabs>
          <w:tab w:val="left" w:pos="851"/>
        </w:tabs>
        <w:ind w:left="851"/>
        <w:rPr>
          <w:sz w:val="24"/>
          <w:szCs w:val="24"/>
        </w:rPr>
      </w:pPr>
      <w:r w:rsidRPr="00352D20">
        <w:rPr>
          <w:sz w:val="24"/>
          <w:szCs w:val="24"/>
        </w:rPr>
        <w:t>Deferasirox filmovertrukne tabletter udviser højere biotilgængelighed sammenlignet med deferasirox dispergible tabletter. Efter justering af styrken var den filmovertrukne tablet-formulering (360 mg) ækvivalent med deferasirox dispergible tabletter (500 mg), hvad angik det gennemsnitlige areal under tidskurven for plasmakoncentrationen (AUC) under faste. Cmax steg med 30</w:t>
      </w:r>
      <w:r w:rsidR="00167916">
        <w:rPr>
          <w:sz w:val="24"/>
          <w:szCs w:val="24"/>
        </w:rPr>
        <w:t xml:space="preserve"> %</w:t>
      </w:r>
      <w:r w:rsidRPr="00352D20">
        <w:rPr>
          <w:sz w:val="24"/>
          <w:szCs w:val="24"/>
        </w:rPr>
        <w:t xml:space="preserve"> (90</w:t>
      </w:r>
      <w:r w:rsidR="00167916">
        <w:rPr>
          <w:sz w:val="24"/>
          <w:szCs w:val="24"/>
        </w:rPr>
        <w:t xml:space="preserve"> %</w:t>
      </w:r>
      <w:r w:rsidRPr="00352D20">
        <w:rPr>
          <w:sz w:val="24"/>
          <w:szCs w:val="24"/>
        </w:rPr>
        <w:t xml:space="preserve"> CI: 20,3</w:t>
      </w:r>
      <w:r w:rsidR="00167916">
        <w:rPr>
          <w:sz w:val="24"/>
          <w:szCs w:val="24"/>
        </w:rPr>
        <w:t xml:space="preserve"> %</w:t>
      </w:r>
      <w:r w:rsidRPr="00352D20">
        <w:rPr>
          <w:sz w:val="24"/>
          <w:szCs w:val="24"/>
        </w:rPr>
        <w:t>- 40,0</w:t>
      </w:r>
      <w:r w:rsidR="00167916">
        <w:rPr>
          <w:sz w:val="24"/>
          <w:szCs w:val="24"/>
        </w:rPr>
        <w:t xml:space="preserve"> %</w:t>
      </w:r>
      <w:r w:rsidRPr="00352D20">
        <w:rPr>
          <w:sz w:val="24"/>
          <w:szCs w:val="24"/>
        </w:rPr>
        <w:t>), men den kliniske dosis-respons-analyse viste intet bevis på nogen klinisk relevant effekt af en sådan stigning.</w:t>
      </w:r>
    </w:p>
    <w:p w:rsidR="00352D20" w:rsidRPr="00352D20" w:rsidRDefault="00352D20" w:rsidP="00352D20">
      <w:pPr>
        <w:tabs>
          <w:tab w:val="left" w:pos="851"/>
        </w:tabs>
        <w:ind w:left="851"/>
        <w:rPr>
          <w:sz w:val="24"/>
          <w:szCs w:val="24"/>
        </w:rPr>
      </w:pPr>
    </w:p>
    <w:p w:rsidR="00352D20" w:rsidRPr="00352D20" w:rsidRDefault="00352D20" w:rsidP="00352D20">
      <w:pPr>
        <w:tabs>
          <w:tab w:val="left" w:pos="851"/>
        </w:tabs>
        <w:ind w:left="851"/>
        <w:rPr>
          <w:sz w:val="24"/>
          <w:szCs w:val="24"/>
        </w:rPr>
      </w:pPr>
      <w:r w:rsidRPr="00352D20">
        <w:rPr>
          <w:sz w:val="24"/>
          <w:szCs w:val="24"/>
          <w:u w:val="single"/>
        </w:rPr>
        <w:t>Absorption</w:t>
      </w:r>
    </w:p>
    <w:p w:rsidR="00352D20" w:rsidRPr="00352D20" w:rsidRDefault="00352D20" w:rsidP="00352D20">
      <w:pPr>
        <w:tabs>
          <w:tab w:val="left" w:pos="851"/>
        </w:tabs>
        <w:ind w:left="851"/>
        <w:rPr>
          <w:sz w:val="24"/>
          <w:szCs w:val="24"/>
        </w:rPr>
      </w:pPr>
      <w:r w:rsidRPr="00352D20">
        <w:rPr>
          <w:sz w:val="24"/>
          <w:szCs w:val="24"/>
        </w:rPr>
        <w:t>Deferasirox (dispergibel tablet-formulering) bliver absorberet efter oral administration med en mediantid til maximum plasmakoncentration (tmax) på omkring 1,5 til 4 timer. Den absolutte biotilgængelighed (AUC) af deferasirox (dispergibel tablet-formulering) er omkring 70</w:t>
      </w:r>
      <w:r w:rsidR="00167916">
        <w:rPr>
          <w:sz w:val="24"/>
          <w:szCs w:val="24"/>
        </w:rPr>
        <w:t xml:space="preserve"> %</w:t>
      </w:r>
      <w:r w:rsidRPr="00352D20">
        <w:rPr>
          <w:sz w:val="24"/>
          <w:szCs w:val="24"/>
        </w:rPr>
        <w:t xml:space="preserve"> sammenlignet med en intravenøs dosis. Den absolutte biotilgængelighed af den filmovertrukne tablet- formulering er ikke fastlagt. Biotilgængeligheden af deferasirox filmovertrukne tabletter var 36</w:t>
      </w:r>
      <w:r w:rsidR="00167916">
        <w:rPr>
          <w:sz w:val="24"/>
          <w:szCs w:val="24"/>
        </w:rPr>
        <w:t xml:space="preserve"> %</w:t>
      </w:r>
      <w:r w:rsidRPr="00352D20">
        <w:rPr>
          <w:sz w:val="24"/>
          <w:szCs w:val="24"/>
        </w:rPr>
        <w:t xml:space="preserve"> højere end den for dispergible tabletter.</w:t>
      </w:r>
    </w:p>
    <w:p w:rsidR="00352D20" w:rsidRPr="00352D20" w:rsidRDefault="00352D20" w:rsidP="00352D20">
      <w:pPr>
        <w:tabs>
          <w:tab w:val="left" w:pos="851"/>
        </w:tabs>
        <w:ind w:left="851"/>
        <w:rPr>
          <w:sz w:val="24"/>
          <w:szCs w:val="24"/>
        </w:rPr>
      </w:pPr>
    </w:p>
    <w:p w:rsidR="00352D20" w:rsidRPr="00352D20" w:rsidRDefault="00352D20" w:rsidP="00352D20">
      <w:pPr>
        <w:tabs>
          <w:tab w:val="left" w:pos="851"/>
        </w:tabs>
        <w:ind w:left="851"/>
        <w:rPr>
          <w:sz w:val="24"/>
          <w:szCs w:val="24"/>
        </w:rPr>
      </w:pPr>
      <w:r w:rsidRPr="00352D20">
        <w:rPr>
          <w:sz w:val="24"/>
          <w:szCs w:val="24"/>
        </w:rPr>
        <w:t>Et studie om madens effekt på indtagelse af filmovertrukne tabletter hos raske, fastende forsøgspersoner sammen med et måltid med enten et lavt fedtindhold (fedtindhold&lt;10</w:t>
      </w:r>
      <w:r w:rsidR="00167916">
        <w:rPr>
          <w:sz w:val="24"/>
          <w:szCs w:val="24"/>
        </w:rPr>
        <w:t xml:space="preserve"> %</w:t>
      </w:r>
      <w:r w:rsidRPr="00352D20">
        <w:rPr>
          <w:sz w:val="24"/>
          <w:szCs w:val="24"/>
        </w:rPr>
        <w:t xml:space="preserve"> af kalorieindtaget) eller sammen med et måltid med et højt fedtindhold (fedtindhold&gt;50</w:t>
      </w:r>
      <w:r w:rsidR="00167916">
        <w:rPr>
          <w:sz w:val="24"/>
          <w:szCs w:val="24"/>
        </w:rPr>
        <w:t xml:space="preserve"> %</w:t>
      </w:r>
      <w:r w:rsidRPr="00352D20">
        <w:rPr>
          <w:sz w:val="24"/>
          <w:szCs w:val="24"/>
        </w:rPr>
        <w:t xml:space="preserve"> af kalorieindtaget), viste et lille fald i AUC og Cmax (11</w:t>
      </w:r>
      <w:r w:rsidR="00167916">
        <w:rPr>
          <w:sz w:val="24"/>
          <w:szCs w:val="24"/>
        </w:rPr>
        <w:t xml:space="preserve"> %</w:t>
      </w:r>
      <w:r w:rsidRPr="00352D20">
        <w:rPr>
          <w:sz w:val="24"/>
          <w:szCs w:val="24"/>
        </w:rPr>
        <w:t xml:space="preserve"> og 16</w:t>
      </w:r>
      <w:r w:rsidR="00167916">
        <w:rPr>
          <w:sz w:val="24"/>
          <w:szCs w:val="24"/>
        </w:rPr>
        <w:t xml:space="preserve"> %</w:t>
      </w:r>
      <w:r w:rsidRPr="00352D20">
        <w:rPr>
          <w:sz w:val="24"/>
          <w:szCs w:val="24"/>
        </w:rPr>
        <w:t>, respektivt). Efter indtagelse af et måltid med højt fedtindhold steg AUC og Cmax (18</w:t>
      </w:r>
      <w:r w:rsidR="00167916">
        <w:rPr>
          <w:sz w:val="24"/>
          <w:szCs w:val="24"/>
        </w:rPr>
        <w:t xml:space="preserve"> %</w:t>
      </w:r>
      <w:r w:rsidRPr="00352D20">
        <w:rPr>
          <w:sz w:val="24"/>
          <w:szCs w:val="24"/>
        </w:rPr>
        <w:t xml:space="preserve"> og 29</w:t>
      </w:r>
      <w:r w:rsidR="00167916">
        <w:rPr>
          <w:sz w:val="24"/>
          <w:szCs w:val="24"/>
        </w:rPr>
        <w:t xml:space="preserve"> %</w:t>
      </w:r>
      <w:r w:rsidRPr="00352D20">
        <w:rPr>
          <w:sz w:val="24"/>
          <w:szCs w:val="24"/>
        </w:rPr>
        <w:t>, respektivt). Ændring af formuleringen og effekten af måltider med højt fedtindhold kan have en forstærkende effekt på stigningen i Cmax, hvorfor det anbefales at de filmovertrukne tabletter tages på tom mave eller med et let måltid.</w:t>
      </w:r>
    </w:p>
    <w:p w:rsidR="00352D20" w:rsidRPr="00352D20" w:rsidRDefault="00352D20" w:rsidP="00352D20">
      <w:pPr>
        <w:tabs>
          <w:tab w:val="left" w:pos="851"/>
        </w:tabs>
        <w:ind w:left="851"/>
        <w:rPr>
          <w:sz w:val="24"/>
          <w:szCs w:val="24"/>
        </w:rPr>
      </w:pPr>
    </w:p>
    <w:p w:rsidR="00352D20" w:rsidRPr="00352D20" w:rsidRDefault="00352D20" w:rsidP="00352D20">
      <w:pPr>
        <w:tabs>
          <w:tab w:val="left" w:pos="851"/>
        </w:tabs>
        <w:ind w:left="851"/>
        <w:rPr>
          <w:sz w:val="24"/>
          <w:szCs w:val="24"/>
        </w:rPr>
      </w:pPr>
      <w:r w:rsidRPr="00352D20">
        <w:rPr>
          <w:sz w:val="24"/>
          <w:szCs w:val="24"/>
          <w:u w:val="single"/>
        </w:rPr>
        <w:t>Fordeling</w:t>
      </w:r>
    </w:p>
    <w:p w:rsidR="00352D20" w:rsidRPr="00352D20" w:rsidRDefault="00352D20" w:rsidP="00352D20">
      <w:pPr>
        <w:tabs>
          <w:tab w:val="left" w:pos="851"/>
        </w:tabs>
        <w:ind w:left="851"/>
        <w:rPr>
          <w:sz w:val="24"/>
          <w:szCs w:val="24"/>
        </w:rPr>
      </w:pPr>
      <w:r w:rsidRPr="00352D20">
        <w:rPr>
          <w:sz w:val="24"/>
          <w:szCs w:val="24"/>
        </w:rPr>
        <w:t>Deferasirox er stærkt (99</w:t>
      </w:r>
      <w:r w:rsidR="00167916">
        <w:rPr>
          <w:sz w:val="24"/>
          <w:szCs w:val="24"/>
        </w:rPr>
        <w:t xml:space="preserve"> %</w:t>
      </w:r>
      <w:r w:rsidRPr="00352D20">
        <w:rPr>
          <w:sz w:val="24"/>
          <w:szCs w:val="24"/>
        </w:rPr>
        <w:t>) proteinbundet til plasmaproteiner. Deferasirox er næsten udelukkende bundet til serum-albumin, og har et lavt fordelingsvolumen på omkring 14 liter i voksne.</w:t>
      </w:r>
    </w:p>
    <w:p w:rsidR="00352D20" w:rsidRPr="00352D20" w:rsidRDefault="00352D20" w:rsidP="00352D20">
      <w:pPr>
        <w:tabs>
          <w:tab w:val="left" w:pos="851"/>
        </w:tabs>
        <w:ind w:left="851"/>
        <w:rPr>
          <w:sz w:val="24"/>
          <w:szCs w:val="24"/>
        </w:rPr>
      </w:pPr>
    </w:p>
    <w:p w:rsidR="00352D20" w:rsidRPr="00352D20" w:rsidRDefault="00352D20" w:rsidP="00352D20">
      <w:pPr>
        <w:tabs>
          <w:tab w:val="left" w:pos="851"/>
        </w:tabs>
        <w:ind w:left="851"/>
        <w:rPr>
          <w:sz w:val="24"/>
          <w:szCs w:val="24"/>
        </w:rPr>
      </w:pPr>
      <w:r w:rsidRPr="00352D20">
        <w:rPr>
          <w:sz w:val="24"/>
          <w:szCs w:val="24"/>
          <w:u w:val="single"/>
        </w:rPr>
        <w:t>Biotransformation</w:t>
      </w:r>
    </w:p>
    <w:p w:rsidR="00352D20" w:rsidRPr="00352D20" w:rsidRDefault="00352D20" w:rsidP="00352D20">
      <w:pPr>
        <w:tabs>
          <w:tab w:val="left" w:pos="851"/>
        </w:tabs>
        <w:ind w:left="851"/>
        <w:rPr>
          <w:sz w:val="24"/>
          <w:szCs w:val="24"/>
        </w:rPr>
      </w:pPr>
      <w:r w:rsidRPr="00352D20">
        <w:rPr>
          <w:sz w:val="24"/>
          <w:szCs w:val="24"/>
        </w:rPr>
        <w:t>Glucoronidering er den primære metaboliske vej for deferasirox, med efterfølgende udskillelse i galden. Dekonjugering af glukuronider i tarmen og efterfølgende reabsorption (enterohepatisk recirkulation) er sandsynlig: i et studie med raske frivillige resulterede administration af cholestyramin efter en enkelt dosis deferasirox i en 45</w:t>
      </w:r>
      <w:r w:rsidR="00167916">
        <w:rPr>
          <w:sz w:val="24"/>
          <w:szCs w:val="24"/>
        </w:rPr>
        <w:t xml:space="preserve"> %</w:t>
      </w:r>
      <w:r w:rsidRPr="00352D20">
        <w:rPr>
          <w:sz w:val="24"/>
          <w:szCs w:val="24"/>
        </w:rPr>
        <w:t xml:space="preserve"> nedsættelse i eksponeringen (AUC) af deferasirox.</w:t>
      </w:r>
    </w:p>
    <w:p w:rsidR="00352D20" w:rsidRPr="00352D20" w:rsidRDefault="00352D20" w:rsidP="00352D20">
      <w:pPr>
        <w:tabs>
          <w:tab w:val="left" w:pos="851"/>
        </w:tabs>
        <w:ind w:left="851"/>
        <w:rPr>
          <w:sz w:val="24"/>
          <w:szCs w:val="24"/>
        </w:rPr>
      </w:pPr>
    </w:p>
    <w:p w:rsidR="00352D20" w:rsidRPr="00352D20" w:rsidRDefault="00352D20" w:rsidP="00352D20">
      <w:pPr>
        <w:tabs>
          <w:tab w:val="left" w:pos="851"/>
        </w:tabs>
        <w:ind w:left="851"/>
        <w:rPr>
          <w:sz w:val="24"/>
          <w:szCs w:val="24"/>
        </w:rPr>
      </w:pPr>
      <w:r w:rsidRPr="00352D20">
        <w:rPr>
          <w:sz w:val="24"/>
          <w:szCs w:val="24"/>
        </w:rPr>
        <w:t>Deferasirox bliver primært gluconideret af UGT1A1 og i mindre grad af UGT1A3.</w:t>
      </w:r>
    </w:p>
    <w:p w:rsidR="00352D20" w:rsidRPr="00352D20" w:rsidRDefault="00352D20" w:rsidP="00352D20">
      <w:pPr>
        <w:tabs>
          <w:tab w:val="left" w:pos="851"/>
        </w:tabs>
        <w:ind w:left="851"/>
        <w:rPr>
          <w:sz w:val="24"/>
          <w:szCs w:val="24"/>
        </w:rPr>
      </w:pPr>
      <w:r w:rsidRPr="00352D20">
        <w:rPr>
          <w:sz w:val="24"/>
          <w:szCs w:val="24"/>
        </w:rPr>
        <w:t>CYP450-katalyseret (oxidativ) metabolisme af deferasirox er tilsyneladende mindre i mennesker (8</w:t>
      </w:r>
      <w:r w:rsidR="00167916">
        <w:rPr>
          <w:sz w:val="24"/>
          <w:szCs w:val="24"/>
        </w:rPr>
        <w:t xml:space="preserve"> %</w:t>
      </w:r>
      <w:r w:rsidRPr="00352D20">
        <w:rPr>
          <w:sz w:val="24"/>
          <w:szCs w:val="24"/>
        </w:rPr>
        <w:t>).</w:t>
      </w:r>
    </w:p>
    <w:p w:rsidR="00352D20" w:rsidRPr="00352D20" w:rsidRDefault="00352D20" w:rsidP="00352D20">
      <w:pPr>
        <w:tabs>
          <w:tab w:val="left" w:pos="851"/>
        </w:tabs>
        <w:ind w:left="851"/>
        <w:rPr>
          <w:sz w:val="24"/>
          <w:szCs w:val="24"/>
        </w:rPr>
      </w:pPr>
      <w:r w:rsidRPr="00352D20">
        <w:rPr>
          <w:i/>
          <w:sz w:val="24"/>
          <w:szCs w:val="24"/>
        </w:rPr>
        <w:t xml:space="preserve">In vitro </w:t>
      </w:r>
      <w:r w:rsidRPr="00352D20">
        <w:rPr>
          <w:sz w:val="24"/>
          <w:szCs w:val="24"/>
        </w:rPr>
        <w:t>blev der ikke observeret hæmning af deferasirox-metabolisme af hydroxyurea.</w:t>
      </w:r>
    </w:p>
    <w:p w:rsidR="00352D20" w:rsidRPr="00352D20" w:rsidRDefault="00352D20" w:rsidP="00352D20">
      <w:pPr>
        <w:tabs>
          <w:tab w:val="left" w:pos="851"/>
        </w:tabs>
        <w:ind w:left="851"/>
        <w:rPr>
          <w:sz w:val="24"/>
          <w:szCs w:val="24"/>
        </w:rPr>
      </w:pPr>
    </w:p>
    <w:p w:rsidR="00352D20" w:rsidRPr="00352D20" w:rsidRDefault="00352D20" w:rsidP="00352D20">
      <w:pPr>
        <w:tabs>
          <w:tab w:val="left" w:pos="851"/>
        </w:tabs>
        <w:ind w:left="851"/>
        <w:rPr>
          <w:sz w:val="24"/>
          <w:szCs w:val="24"/>
        </w:rPr>
      </w:pPr>
      <w:r w:rsidRPr="00352D20">
        <w:rPr>
          <w:sz w:val="24"/>
          <w:szCs w:val="24"/>
          <w:u w:val="single"/>
        </w:rPr>
        <w:t>Elimination</w:t>
      </w:r>
    </w:p>
    <w:p w:rsidR="00352D20" w:rsidRPr="00352D20" w:rsidRDefault="00352D20" w:rsidP="00352D20">
      <w:pPr>
        <w:tabs>
          <w:tab w:val="left" w:pos="851"/>
        </w:tabs>
        <w:ind w:left="851"/>
        <w:rPr>
          <w:sz w:val="24"/>
          <w:szCs w:val="24"/>
        </w:rPr>
      </w:pPr>
      <w:r w:rsidRPr="00352D20">
        <w:rPr>
          <w:sz w:val="24"/>
          <w:szCs w:val="24"/>
        </w:rPr>
        <w:t>Deferasirox og dets metabolitter bliver primært udskilt i fæces (84</w:t>
      </w:r>
      <w:r w:rsidR="00167916">
        <w:rPr>
          <w:sz w:val="24"/>
          <w:szCs w:val="24"/>
        </w:rPr>
        <w:t xml:space="preserve"> %</w:t>
      </w:r>
      <w:r w:rsidRPr="00352D20">
        <w:rPr>
          <w:sz w:val="24"/>
          <w:szCs w:val="24"/>
        </w:rPr>
        <w:t xml:space="preserve"> af dosis). Renal udskillelse af deferasirox og dets metabolitter er minimal (8</w:t>
      </w:r>
      <w:r w:rsidR="00167916">
        <w:rPr>
          <w:sz w:val="24"/>
          <w:szCs w:val="24"/>
        </w:rPr>
        <w:t xml:space="preserve"> %</w:t>
      </w:r>
      <w:r w:rsidRPr="00352D20">
        <w:rPr>
          <w:sz w:val="24"/>
          <w:szCs w:val="24"/>
        </w:rPr>
        <w:t xml:space="preserve"> af dosis). Den gennemsnitlige eliminationshalveringstid (t1/2) varierede fra 8 til 16 timer. Transportproteinerne MRP2 og MXR (BCRP) er involveret i den biliære udskillelse af deferasirox.</w:t>
      </w:r>
    </w:p>
    <w:p w:rsidR="00352D20" w:rsidRPr="00352D20" w:rsidRDefault="00352D20" w:rsidP="00352D20">
      <w:pPr>
        <w:tabs>
          <w:tab w:val="left" w:pos="851"/>
        </w:tabs>
        <w:ind w:left="851"/>
        <w:rPr>
          <w:sz w:val="24"/>
          <w:szCs w:val="24"/>
        </w:rPr>
      </w:pPr>
    </w:p>
    <w:p w:rsidR="00352D20" w:rsidRPr="00352D20" w:rsidRDefault="00352D20" w:rsidP="00352D20">
      <w:pPr>
        <w:tabs>
          <w:tab w:val="left" w:pos="851"/>
        </w:tabs>
        <w:ind w:left="851"/>
        <w:rPr>
          <w:sz w:val="24"/>
          <w:szCs w:val="24"/>
        </w:rPr>
      </w:pPr>
      <w:r w:rsidRPr="00352D20">
        <w:rPr>
          <w:sz w:val="24"/>
          <w:szCs w:val="24"/>
          <w:u w:val="single"/>
        </w:rPr>
        <w:t>Linearitet/non-linearitet</w:t>
      </w:r>
    </w:p>
    <w:p w:rsidR="00352D20" w:rsidRPr="00352D20" w:rsidRDefault="00352D20" w:rsidP="00352D20">
      <w:pPr>
        <w:tabs>
          <w:tab w:val="left" w:pos="851"/>
        </w:tabs>
        <w:ind w:left="851"/>
        <w:rPr>
          <w:sz w:val="24"/>
          <w:szCs w:val="24"/>
        </w:rPr>
      </w:pPr>
      <w:r w:rsidRPr="00352D20">
        <w:rPr>
          <w:sz w:val="24"/>
          <w:szCs w:val="24"/>
        </w:rPr>
        <w:t>Cmax og AUC0-24t for deferasirox øgedes næsten lineært med dosis ved ligevægtstilstande. Ved gentagen dosering øgedes eksponeringen med en akkumulationsfaktor på 1,3 til 2,3.</w:t>
      </w:r>
    </w:p>
    <w:p w:rsidR="00352D20" w:rsidRPr="00352D20" w:rsidRDefault="00352D20" w:rsidP="00352D20">
      <w:pPr>
        <w:tabs>
          <w:tab w:val="left" w:pos="851"/>
        </w:tabs>
        <w:ind w:left="851"/>
        <w:rPr>
          <w:sz w:val="24"/>
          <w:szCs w:val="24"/>
          <w:u w:val="single"/>
        </w:rPr>
      </w:pPr>
    </w:p>
    <w:p w:rsidR="00352D20" w:rsidRPr="00352D20" w:rsidRDefault="00352D20" w:rsidP="00352D20">
      <w:pPr>
        <w:tabs>
          <w:tab w:val="left" w:pos="851"/>
        </w:tabs>
        <w:ind w:left="851"/>
        <w:rPr>
          <w:sz w:val="24"/>
          <w:szCs w:val="24"/>
        </w:rPr>
      </w:pPr>
      <w:r w:rsidRPr="00352D20">
        <w:rPr>
          <w:sz w:val="24"/>
          <w:szCs w:val="24"/>
          <w:u w:val="single"/>
        </w:rPr>
        <w:t>Karakteristika i patienter</w:t>
      </w:r>
    </w:p>
    <w:p w:rsidR="005D26FE" w:rsidRDefault="005D26FE" w:rsidP="00352D20">
      <w:pPr>
        <w:tabs>
          <w:tab w:val="left" w:pos="851"/>
        </w:tabs>
        <w:ind w:left="851"/>
        <w:rPr>
          <w:i/>
          <w:sz w:val="24"/>
          <w:szCs w:val="24"/>
        </w:rPr>
      </w:pPr>
    </w:p>
    <w:p w:rsidR="00352D20" w:rsidRPr="00352D20" w:rsidRDefault="00352D20" w:rsidP="00352D20">
      <w:pPr>
        <w:tabs>
          <w:tab w:val="left" w:pos="851"/>
        </w:tabs>
        <w:ind w:left="851"/>
        <w:rPr>
          <w:i/>
          <w:sz w:val="24"/>
          <w:szCs w:val="24"/>
        </w:rPr>
      </w:pPr>
      <w:r w:rsidRPr="00352D20">
        <w:rPr>
          <w:i/>
          <w:sz w:val="24"/>
          <w:szCs w:val="24"/>
        </w:rPr>
        <w:t>Pædiatriske patienter</w:t>
      </w:r>
    </w:p>
    <w:p w:rsidR="00352D20" w:rsidRPr="00352D20" w:rsidRDefault="00352D20" w:rsidP="00352D20">
      <w:pPr>
        <w:tabs>
          <w:tab w:val="left" w:pos="851"/>
        </w:tabs>
        <w:ind w:left="851"/>
        <w:rPr>
          <w:sz w:val="24"/>
          <w:szCs w:val="24"/>
        </w:rPr>
      </w:pPr>
      <w:r w:rsidRPr="00352D20">
        <w:rPr>
          <w:sz w:val="24"/>
          <w:szCs w:val="24"/>
        </w:rPr>
        <w:t>Den samlede eksponering af unge (12 til ≤ 17 år) og børn (2 til ≤ 12 år) for deferasirox efter enkelte og gentagne doser var lavere end for voksne patienter. Hos børn under 6 år var eksponeringen omkring 50</w:t>
      </w:r>
      <w:r w:rsidR="00167916">
        <w:rPr>
          <w:sz w:val="24"/>
          <w:szCs w:val="24"/>
        </w:rPr>
        <w:t xml:space="preserve"> %</w:t>
      </w:r>
      <w:r w:rsidRPr="00352D20">
        <w:rPr>
          <w:sz w:val="24"/>
          <w:szCs w:val="24"/>
        </w:rPr>
        <w:t xml:space="preserve"> lavere end hos voksne. Da dosering er justeret individuelt i henhold til respons, forventes dette ikke at have kliniske konsekvenser.</w:t>
      </w:r>
    </w:p>
    <w:p w:rsidR="00352D20" w:rsidRPr="00352D20" w:rsidRDefault="00352D20" w:rsidP="00352D20">
      <w:pPr>
        <w:tabs>
          <w:tab w:val="left" w:pos="851"/>
        </w:tabs>
        <w:ind w:left="851"/>
        <w:rPr>
          <w:sz w:val="24"/>
          <w:szCs w:val="24"/>
        </w:rPr>
      </w:pPr>
    </w:p>
    <w:p w:rsidR="00352D20" w:rsidRPr="00352D20" w:rsidRDefault="00352D20" w:rsidP="00352D20">
      <w:pPr>
        <w:tabs>
          <w:tab w:val="left" w:pos="851"/>
        </w:tabs>
        <w:ind w:left="851"/>
        <w:rPr>
          <w:i/>
          <w:sz w:val="24"/>
          <w:szCs w:val="24"/>
        </w:rPr>
      </w:pPr>
      <w:r w:rsidRPr="00352D20">
        <w:rPr>
          <w:i/>
          <w:sz w:val="24"/>
          <w:szCs w:val="24"/>
        </w:rPr>
        <w:t>Køn</w:t>
      </w:r>
    </w:p>
    <w:p w:rsidR="00352D20" w:rsidRPr="00352D20" w:rsidRDefault="00352D20" w:rsidP="00352D20">
      <w:pPr>
        <w:tabs>
          <w:tab w:val="left" w:pos="851"/>
        </w:tabs>
        <w:ind w:left="851"/>
        <w:rPr>
          <w:sz w:val="24"/>
          <w:szCs w:val="24"/>
        </w:rPr>
      </w:pPr>
      <w:r w:rsidRPr="00352D20">
        <w:rPr>
          <w:sz w:val="24"/>
          <w:szCs w:val="24"/>
        </w:rPr>
        <w:t>Kvinder har en moderat mindre påviselig clearance (med 17,5</w:t>
      </w:r>
      <w:r w:rsidR="00167916">
        <w:rPr>
          <w:sz w:val="24"/>
          <w:szCs w:val="24"/>
        </w:rPr>
        <w:t xml:space="preserve"> %</w:t>
      </w:r>
      <w:r w:rsidRPr="00352D20">
        <w:rPr>
          <w:sz w:val="24"/>
          <w:szCs w:val="24"/>
        </w:rPr>
        <w:t>) for deferasirox sammenlignet med mænd. Da dosering er justeret individuelt i henhold til respons, forventes dette ikke at have kliniske konsekvenser.</w:t>
      </w:r>
    </w:p>
    <w:p w:rsidR="00352D20" w:rsidRPr="00352D20" w:rsidRDefault="00352D20" w:rsidP="00352D20">
      <w:pPr>
        <w:tabs>
          <w:tab w:val="left" w:pos="851"/>
        </w:tabs>
        <w:ind w:left="851"/>
        <w:rPr>
          <w:sz w:val="24"/>
          <w:szCs w:val="24"/>
        </w:rPr>
      </w:pPr>
    </w:p>
    <w:p w:rsidR="00352D20" w:rsidRPr="00352D20" w:rsidRDefault="00352D20" w:rsidP="00352D20">
      <w:pPr>
        <w:tabs>
          <w:tab w:val="left" w:pos="851"/>
        </w:tabs>
        <w:ind w:left="851"/>
        <w:rPr>
          <w:i/>
          <w:sz w:val="24"/>
          <w:szCs w:val="24"/>
        </w:rPr>
      </w:pPr>
      <w:r w:rsidRPr="00352D20">
        <w:rPr>
          <w:i/>
          <w:sz w:val="24"/>
          <w:szCs w:val="24"/>
        </w:rPr>
        <w:t>Ældre patienter</w:t>
      </w:r>
    </w:p>
    <w:p w:rsidR="00352D20" w:rsidRPr="00352D20" w:rsidRDefault="00352D20" w:rsidP="00352D20">
      <w:pPr>
        <w:tabs>
          <w:tab w:val="left" w:pos="851"/>
        </w:tabs>
        <w:ind w:left="851"/>
        <w:rPr>
          <w:sz w:val="24"/>
          <w:szCs w:val="24"/>
        </w:rPr>
      </w:pPr>
      <w:r w:rsidRPr="00352D20">
        <w:rPr>
          <w:sz w:val="24"/>
          <w:szCs w:val="24"/>
        </w:rPr>
        <w:t>Farmakokinetikken for deferasirox er ikke undersøgt for ældre patienter (65 år eller derover).</w:t>
      </w:r>
    </w:p>
    <w:p w:rsidR="00352D20" w:rsidRPr="00352D20" w:rsidRDefault="00352D20" w:rsidP="00352D20">
      <w:pPr>
        <w:tabs>
          <w:tab w:val="left" w:pos="851"/>
        </w:tabs>
        <w:ind w:left="851"/>
        <w:rPr>
          <w:sz w:val="24"/>
          <w:szCs w:val="24"/>
        </w:rPr>
      </w:pPr>
    </w:p>
    <w:p w:rsidR="00352D20" w:rsidRPr="00352D20" w:rsidRDefault="00352D20" w:rsidP="00352D20">
      <w:pPr>
        <w:tabs>
          <w:tab w:val="left" w:pos="851"/>
        </w:tabs>
        <w:ind w:left="851"/>
        <w:rPr>
          <w:i/>
          <w:sz w:val="24"/>
          <w:szCs w:val="24"/>
        </w:rPr>
      </w:pPr>
      <w:r w:rsidRPr="00352D20">
        <w:rPr>
          <w:i/>
          <w:sz w:val="24"/>
          <w:szCs w:val="24"/>
        </w:rPr>
        <w:t>Nedsat nyre- eller leverfunktion</w:t>
      </w:r>
    </w:p>
    <w:p w:rsidR="00352D20" w:rsidRPr="00352D20" w:rsidRDefault="00352D20" w:rsidP="00352D20">
      <w:pPr>
        <w:tabs>
          <w:tab w:val="left" w:pos="851"/>
        </w:tabs>
        <w:ind w:left="851"/>
        <w:rPr>
          <w:sz w:val="24"/>
          <w:szCs w:val="24"/>
        </w:rPr>
      </w:pPr>
      <w:r w:rsidRPr="00352D20">
        <w:rPr>
          <w:sz w:val="24"/>
          <w:szCs w:val="24"/>
        </w:rPr>
        <w:t>Farmakokinetikken for deferasirox er ikke undersøgt hos patienter med nedsat nyrefunktion. Farmakokinetikken af deferasirox blev ikke påvirket af lever-aminotransferaseværdier på op til 5 gange den øvre grænse af normalområdet.</w:t>
      </w:r>
    </w:p>
    <w:p w:rsidR="00352D20" w:rsidRPr="00352D20" w:rsidRDefault="00352D20" w:rsidP="00352D20">
      <w:pPr>
        <w:tabs>
          <w:tab w:val="left" w:pos="851"/>
        </w:tabs>
        <w:ind w:left="851"/>
        <w:rPr>
          <w:sz w:val="24"/>
          <w:szCs w:val="24"/>
        </w:rPr>
      </w:pPr>
    </w:p>
    <w:p w:rsidR="00352D20" w:rsidRPr="00352D20" w:rsidRDefault="00352D20" w:rsidP="00352D20">
      <w:pPr>
        <w:tabs>
          <w:tab w:val="left" w:pos="851"/>
        </w:tabs>
        <w:ind w:left="851"/>
        <w:rPr>
          <w:sz w:val="24"/>
          <w:szCs w:val="24"/>
        </w:rPr>
      </w:pPr>
      <w:r w:rsidRPr="00352D20">
        <w:rPr>
          <w:sz w:val="24"/>
          <w:szCs w:val="24"/>
        </w:rPr>
        <w:t>I et klinisk studie, hvor der blev givet enkeltdoser på 20 mg deferasirox dispergible tabletter/kg, var den gennemsnitlige eksponering øget med 16</w:t>
      </w:r>
      <w:r w:rsidR="00167916">
        <w:rPr>
          <w:sz w:val="24"/>
          <w:szCs w:val="24"/>
        </w:rPr>
        <w:t xml:space="preserve"> %</w:t>
      </w:r>
      <w:r w:rsidRPr="00352D20">
        <w:rPr>
          <w:sz w:val="24"/>
          <w:szCs w:val="24"/>
        </w:rPr>
        <w:t xml:space="preserve"> hos personer med let nedsat leverfunktion (Child-Pugh Class A) og med 76</w:t>
      </w:r>
      <w:r w:rsidR="00167916">
        <w:rPr>
          <w:sz w:val="24"/>
          <w:szCs w:val="24"/>
        </w:rPr>
        <w:t xml:space="preserve"> %</w:t>
      </w:r>
      <w:r w:rsidRPr="00352D20">
        <w:rPr>
          <w:sz w:val="24"/>
          <w:szCs w:val="24"/>
        </w:rPr>
        <w:t xml:space="preserve"> hos personer med moderat nedsat leverfunktion (Child-Pugh Class B) sammenlignet med personer med normal leverfunktion. Den gennemsnitlige Cmax af deferasirox hos personer med let til moderat nedsat leverfunktion var øget med 22</w:t>
      </w:r>
      <w:r w:rsidR="00167916">
        <w:rPr>
          <w:sz w:val="24"/>
          <w:szCs w:val="24"/>
        </w:rPr>
        <w:t xml:space="preserve"> %</w:t>
      </w:r>
      <w:r w:rsidRPr="00352D20">
        <w:rPr>
          <w:sz w:val="24"/>
          <w:szCs w:val="24"/>
        </w:rPr>
        <w:t>. Eksponeringen var øget med</w:t>
      </w:r>
    </w:p>
    <w:p w:rsidR="00352D20" w:rsidRPr="00352D20" w:rsidRDefault="00352D20" w:rsidP="00352D20">
      <w:pPr>
        <w:tabs>
          <w:tab w:val="left" w:pos="851"/>
        </w:tabs>
        <w:ind w:left="851"/>
        <w:rPr>
          <w:sz w:val="24"/>
          <w:szCs w:val="24"/>
        </w:rPr>
      </w:pPr>
      <w:r w:rsidRPr="00352D20">
        <w:rPr>
          <w:sz w:val="24"/>
          <w:szCs w:val="24"/>
        </w:rPr>
        <w:t>2,8 gange hos en person med svært nedsat leverfunktion (Child-Pugh Class C) (se pkt. 4.2 og 4.4).</w:t>
      </w:r>
    </w:p>
    <w:p w:rsidR="009260DE" w:rsidRPr="00C84483" w:rsidRDefault="009260DE" w:rsidP="000F34ED">
      <w:pPr>
        <w:tabs>
          <w:tab w:val="left" w:pos="851"/>
        </w:tabs>
        <w:ind w:left="851"/>
        <w:rPr>
          <w:sz w:val="24"/>
          <w:szCs w:val="24"/>
        </w:rPr>
      </w:pPr>
    </w:p>
    <w:p w:rsidR="009260DE" w:rsidRPr="00C84483" w:rsidRDefault="009260DE" w:rsidP="000F34ED">
      <w:pPr>
        <w:tabs>
          <w:tab w:val="left" w:pos="851"/>
        </w:tabs>
        <w:ind w:left="851" w:hanging="851"/>
        <w:rPr>
          <w:b/>
          <w:sz w:val="24"/>
          <w:szCs w:val="24"/>
        </w:rPr>
      </w:pPr>
      <w:r w:rsidRPr="00C84483">
        <w:rPr>
          <w:b/>
          <w:sz w:val="24"/>
          <w:szCs w:val="24"/>
        </w:rPr>
        <w:t>5.3</w:t>
      </w:r>
      <w:r w:rsidRPr="00C84483">
        <w:rPr>
          <w:b/>
          <w:sz w:val="24"/>
          <w:szCs w:val="24"/>
        </w:rPr>
        <w:tab/>
        <w:t>Prækliniske sikkerhedsdata</w:t>
      </w:r>
    </w:p>
    <w:p w:rsidR="005D26FE" w:rsidRPr="005D26FE" w:rsidRDefault="005D26FE" w:rsidP="005D26FE">
      <w:pPr>
        <w:tabs>
          <w:tab w:val="left" w:pos="851"/>
        </w:tabs>
        <w:ind w:left="851"/>
        <w:rPr>
          <w:sz w:val="24"/>
          <w:szCs w:val="24"/>
        </w:rPr>
      </w:pPr>
      <w:r w:rsidRPr="005D26FE">
        <w:rPr>
          <w:sz w:val="24"/>
          <w:szCs w:val="24"/>
        </w:rPr>
        <w:t>Prækliniske data viser ingen speciel risiko for mennesker vurderet ud fra konventionelle studier af sikkerhedsfarmakologi, toksicitet efter gentagne doser, genotoksicitet eller karcinogenicitet. De primære fund var nyretoksicitet og linseuklarhed (katarakt). Lignende fund er set i neonatale og unge dyr. Nyretoksiciteten menes primært at skyldes jernmangel hos dyr, der ikke tidligere havde ophobning af jern.</w:t>
      </w:r>
    </w:p>
    <w:p w:rsidR="005D26FE" w:rsidRPr="005D26FE" w:rsidRDefault="005D26FE" w:rsidP="005D26FE">
      <w:pPr>
        <w:tabs>
          <w:tab w:val="left" w:pos="851"/>
        </w:tabs>
        <w:ind w:left="851"/>
        <w:rPr>
          <w:sz w:val="24"/>
          <w:szCs w:val="24"/>
        </w:rPr>
      </w:pPr>
    </w:p>
    <w:p w:rsidR="005D26FE" w:rsidRPr="005D26FE" w:rsidRDefault="005D26FE" w:rsidP="005D26FE">
      <w:pPr>
        <w:tabs>
          <w:tab w:val="left" w:pos="851"/>
        </w:tabs>
        <w:ind w:left="851"/>
        <w:rPr>
          <w:sz w:val="24"/>
          <w:szCs w:val="24"/>
        </w:rPr>
      </w:pPr>
      <w:r w:rsidRPr="005D26FE">
        <w:rPr>
          <w:sz w:val="24"/>
          <w:szCs w:val="24"/>
        </w:rPr>
        <w:t xml:space="preserve">Tests for genotoksicitet </w:t>
      </w:r>
      <w:r w:rsidRPr="005D26FE">
        <w:rPr>
          <w:i/>
          <w:sz w:val="24"/>
          <w:szCs w:val="24"/>
        </w:rPr>
        <w:t xml:space="preserve">in vitro </w:t>
      </w:r>
      <w:r w:rsidRPr="005D26FE">
        <w:rPr>
          <w:sz w:val="24"/>
          <w:szCs w:val="24"/>
        </w:rPr>
        <w:t xml:space="preserve">var negative (Ames test, chromosomal aberrationtest). Ved dødelige doser i ikke-jernophobede rotter forårsagede deferasirox dannelse af mikronuclei </w:t>
      </w:r>
      <w:r w:rsidRPr="005D26FE">
        <w:rPr>
          <w:i/>
          <w:sz w:val="24"/>
          <w:szCs w:val="24"/>
        </w:rPr>
        <w:t xml:space="preserve">in vivo </w:t>
      </w:r>
      <w:r w:rsidRPr="005D26FE">
        <w:rPr>
          <w:sz w:val="24"/>
          <w:szCs w:val="24"/>
        </w:rPr>
        <w:t>i knoglemarven, men ikke i leveren. Sådanne effekter blev ikke set hos jern-præeksponerede rotter.</w:t>
      </w:r>
    </w:p>
    <w:p w:rsidR="005D26FE" w:rsidRPr="005D26FE" w:rsidRDefault="005D26FE" w:rsidP="005D26FE">
      <w:pPr>
        <w:tabs>
          <w:tab w:val="left" w:pos="851"/>
        </w:tabs>
        <w:ind w:left="851"/>
        <w:rPr>
          <w:sz w:val="24"/>
          <w:szCs w:val="24"/>
        </w:rPr>
      </w:pPr>
      <w:r w:rsidRPr="005D26FE">
        <w:rPr>
          <w:sz w:val="24"/>
          <w:szCs w:val="24"/>
        </w:rPr>
        <w:t>Deferasirox var ikke carcinogent, når det blev administreret til rotter i et 2-års studie og transgene p53+/- heterozygote mus i et 6-måneders studie.</w:t>
      </w:r>
    </w:p>
    <w:p w:rsidR="005D26FE" w:rsidRPr="005D26FE" w:rsidRDefault="005D26FE" w:rsidP="005D26FE">
      <w:pPr>
        <w:tabs>
          <w:tab w:val="left" w:pos="851"/>
        </w:tabs>
        <w:ind w:left="851"/>
        <w:rPr>
          <w:sz w:val="24"/>
          <w:szCs w:val="24"/>
        </w:rPr>
      </w:pPr>
    </w:p>
    <w:p w:rsidR="005D26FE" w:rsidRPr="005D26FE" w:rsidRDefault="005D26FE" w:rsidP="005D26FE">
      <w:pPr>
        <w:tabs>
          <w:tab w:val="left" w:pos="851"/>
        </w:tabs>
        <w:ind w:left="851"/>
        <w:rPr>
          <w:sz w:val="24"/>
          <w:szCs w:val="24"/>
        </w:rPr>
      </w:pPr>
      <w:r w:rsidRPr="005D26FE">
        <w:rPr>
          <w:sz w:val="24"/>
          <w:szCs w:val="24"/>
        </w:rPr>
        <w:t>Potentialet for reproduktionstoksicitet blev vurderet i rotter og kaniner. Deferasirox var ikke teratogent. Derimod forårsagede deferasirox øget frekvens af skeletale forandringer og dødfødte unger hos rotter ved høje doser, der var stærkt toksiske for den ikke-jernophobede moder. Deferasirox forårsagede ikke andre effekter på fertilitet eller reproduktion.</w:t>
      </w:r>
    </w:p>
    <w:p w:rsidR="009260DE" w:rsidRPr="00C84483" w:rsidRDefault="009260DE" w:rsidP="000F34ED">
      <w:pPr>
        <w:tabs>
          <w:tab w:val="left" w:pos="851"/>
        </w:tabs>
        <w:ind w:left="851"/>
        <w:rPr>
          <w:sz w:val="24"/>
          <w:szCs w:val="24"/>
        </w:rPr>
      </w:pPr>
    </w:p>
    <w:p w:rsidR="009260DE" w:rsidRPr="00C84483" w:rsidRDefault="009260DE" w:rsidP="000F34ED">
      <w:pPr>
        <w:tabs>
          <w:tab w:val="left" w:pos="851"/>
        </w:tabs>
        <w:ind w:left="851"/>
        <w:rPr>
          <w:sz w:val="24"/>
          <w:szCs w:val="24"/>
        </w:rPr>
      </w:pPr>
    </w:p>
    <w:p w:rsidR="009260DE" w:rsidRPr="00C84483" w:rsidRDefault="009260DE" w:rsidP="000F34ED">
      <w:pPr>
        <w:tabs>
          <w:tab w:val="left" w:pos="851"/>
        </w:tabs>
        <w:ind w:left="851" w:hanging="851"/>
        <w:rPr>
          <w:b/>
          <w:sz w:val="24"/>
          <w:szCs w:val="24"/>
        </w:rPr>
      </w:pPr>
      <w:r w:rsidRPr="00C84483">
        <w:rPr>
          <w:b/>
          <w:sz w:val="24"/>
          <w:szCs w:val="24"/>
        </w:rPr>
        <w:t>6.</w:t>
      </w:r>
      <w:r w:rsidRPr="00C84483">
        <w:rPr>
          <w:b/>
          <w:sz w:val="24"/>
          <w:szCs w:val="24"/>
        </w:rPr>
        <w:tab/>
        <w:t>FARMACEUTISKE OPLYSNINGER</w:t>
      </w:r>
    </w:p>
    <w:p w:rsidR="009260DE" w:rsidRPr="00BA09F1" w:rsidRDefault="009260DE" w:rsidP="000F34ED">
      <w:pPr>
        <w:tabs>
          <w:tab w:val="left" w:pos="851"/>
        </w:tabs>
        <w:ind w:left="851"/>
        <w:rPr>
          <w:sz w:val="24"/>
          <w:szCs w:val="24"/>
        </w:rPr>
      </w:pPr>
    </w:p>
    <w:p w:rsidR="009260DE" w:rsidRPr="00C84483" w:rsidRDefault="009260DE" w:rsidP="000F34ED">
      <w:pPr>
        <w:tabs>
          <w:tab w:val="left" w:pos="851"/>
        </w:tabs>
        <w:ind w:left="851" w:hanging="851"/>
        <w:rPr>
          <w:b/>
          <w:sz w:val="24"/>
          <w:szCs w:val="24"/>
        </w:rPr>
      </w:pPr>
      <w:r w:rsidRPr="00C84483">
        <w:rPr>
          <w:b/>
          <w:sz w:val="24"/>
          <w:szCs w:val="24"/>
        </w:rPr>
        <w:t>6.1</w:t>
      </w:r>
      <w:r w:rsidRPr="00C84483">
        <w:rPr>
          <w:b/>
          <w:sz w:val="24"/>
          <w:szCs w:val="24"/>
        </w:rPr>
        <w:tab/>
        <w:t>Hjælpestoffer</w:t>
      </w:r>
    </w:p>
    <w:p w:rsidR="00E010C9" w:rsidRPr="00E010C9" w:rsidRDefault="00E010C9" w:rsidP="00E010C9">
      <w:pPr>
        <w:tabs>
          <w:tab w:val="left" w:pos="851"/>
        </w:tabs>
        <w:ind w:left="851"/>
        <w:rPr>
          <w:sz w:val="24"/>
          <w:szCs w:val="24"/>
        </w:rPr>
      </w:pPr>
    </w:p>
    <w:p w:rsidR="00E010C9" w:rsidRPr="00F43637" w:rsidRDefault="00E010C9" w:rsidP="00E010C9">
      <w:pPr>
        <w:tabs>
          <w:tab w:val="left" w:pos="851"/>
        </w:tabs>
        <w:ind w:left="851"/>
        <w:rPr>
          <w:sz w:val="24"/>
          <w:szCs w:val="24"/>
        </w:rPr>
      </w:pPr>
      <w:r w:rsidRPr="00F43637">
        <w:rPr>
          <w:sz w:val="24"/>
          <w:szCs w:val="24"/>
          <w:u w:val="single"/>
        </w:rPr>
        <w:t>Tabletkerne</w:t>
      </w:r>
    </w:p>
    <w:p w:rsidR="00E010C9" w:rsidRPr="00F43637" w:rsidRDefault="00E010C9" w:rsidP="00E010C9">
      <w:pPr>
        <w:tabs>
          <w:tab w:val="left" w:pos="851"/>
        </w:tabs>
        <w:ind w:left="851"/>
        <w:rPr>
          <w:sz w:val="24"/>
          <w:szCs w:val="24"/>
        </w:rPr>
      </w:pPr>
      <w:r w:rsidRPr="00F43637">
        <w:rPr>
          <w:sz w:val="24"/>
          <w:szCs w:val="24"/>
        </w:rPr>
        <w:t>Cellulose, mikrokrystallisk</w:t>
      </w:r>
    </w:p>
    <w:p w:rsidR="00E010C9" w:rsidRPr="00F43637" w:rsidRDefault="00E010C9" w:rsidP="00E010C9">
      <w:pPr>
        <w:tabs>
          <w:tab w:val="left" w:pos="851"/>
        </w:tabs>
        <w:ind w:left="851"/>
        <w:rPr>
          <w:sz w:val="24"/>
          <w:szCs w:val="24"/>
        </w:rPr>
      </w:pPr>
      <w:r w:rsidRPr="00F43637">
        <w:rPr>
          <w:sz w:val="24"/>
          <w:szCs w:val="24"/>
        </w:rPr>
        <w:t>Crospovidon</w:t>
      </w:r>
    </w:p>
    <w:p w:rsidR="00E010C9" w:rsidRPr="00F43637" w:rsidRDefault="00E010C9" w:rsidP="00E010C9">
      <w:pPr>
        <w:tabs>
          <w:tab w:val="left" w:pos="851"/>
        </w:tabs>
        <w:ind w:left="851"/>
        <w:rPr>
          <w:sz w:val="24"/>
          <w:szCs w:val="24"/>
        </w:rPr>
      </w:pPr>
      <w:r w:rsidRPr="00F43637">
        <w:rPr>
          <w:sz w:val="24"/>
          <w:szCs w:val="24"/>
        </w:rPr>
        <w:t xml:space="preserve">Magnesiumstearat </w:t>
      </w:r>
    </w:p>
    <w:p w:rsidR="00E010C9" w:rsidRPr="00F43637" w:rsidRDefault="00E010C9" w:rsidP="00E010C9">
      <w:pPr>
        <w:tabs>
          <w:tab w:val="left" w:pos="851"/>
        </w:tabs>
        <w:ind w:left="851"/>
        <w:rPr>
          <w:sz w:val="24"/>
          <w:szCs w:val="24"/>
        </w:rPr>
      </w:pPr>
      <w:r w:rsidRPr="00F43637">
        <w:rPr>
          <w:sz w:val="24"/>
          <w:szCs w:val="24"/>
        </w:rPr>
        <w:t>Povidon</w:t>
      </w:r>
    </w:p>
    <w:p w:rsidR="00E010C9" w:rsidRPr="00F43637" w:rsidRDefault="00E010C9" w:rsidP="00E010C9">
      <w:pPr>
        <w:tabs>
          <w:tab w:val="left" w:pos="851"/>
        </w:tabs>
        <w:ind w:left="851"/>
        <w:rPr>
          <w:sz w:val="24"/>
          <w:szCs w:val="24"/>
        </w:rPr>
      </w:pPr>
      <w:r w:rsidRPr="00F43637">
        <w:rPr>
          <w:sz w:val="24"/>
          <w:szCs w:val="24"/>
        </w:rPr>
        <w:t>Poloxamer</w:t>
      </w:r>
    </w:p>
    <w:p w:rsidR="00E010C9" w:rsidRPr="00F43637" w:rsidRDefault="00E010C9" w:rsidP="00E010C9">
      <w:pPr>
        <w:tabs>
          <w:tab w:val="left" w:pos="851"/>
        </w:tabs>
        <w:ind w:left="851"/>
        <w:rPr>
          <w:sz w:val="24"/>
          <w:szCs w:val="24"/>
        </w:rPr>
      </w:pPr>
      <w:r w:rsidRPr="00F43637">
        <w:rPr>
          <w:sz w:val="24"/>
          <w:szCs w:val="24"/>
        </w:rPr>
        <w:t xml:space="preserve">Silica, kolloid vandfri </w:t>
      </w:r>
    </w:p>
    <w:p w:rsidR="00E010C9" w:rsidRPr="00F43637" w:rsidRDefault="00E010C9" w:rsidP="00E010C9">
      <w:pPr>
        <w:tabs>
          <w:tab w:val="left" w:pos="851"/>
        </w:tabs>
        <w:ind w:left="851"/>
        <w:rPr>
          <w:sz w:val="24"/>
          <w:szCs w:val="24"/>
        </w:rPr>
      </w:pPr>
    </w:p>
    <w:p w:rsidR="00E010C9" w:rsidRDefault="00E010C9" w:rsidP="00E010C9">
      <w:pPr>
        <w:tabs>
          <w:tab w:val="left" w:pos="851"/>
        </w:tabs>
        <w:ind w:left="851"/>
        <w:rPr>
          <w:sz w:val="24"/>
          <w:szCs w:val="24"/>
          <w:u w:val="single"/>
          <w:lang w:val="en-US"/>
        </w:rPr>
      </w:pPr>
      <w:r w:rsidRPr="00E010C9">
        <w:rPr>
          <w:sz w:val="24"/>
          <w:szCs w:val="24"/>
          <w:u w:val="single"/>
          <w:lang w:val="en-US"/>
        </w:rPr>
        <w:t>Filmovertræk (opadry blue)</w:t>
      </w:r>
    </w:p>
    <w:p w:rsidR="00E010C9" w:rsidRPr="00F43637" w:rsidRDefault="00E010C9" w:rsidP="00E010C9">
      <w:pPr>
        <w:tabs>
          <w:tab w:val="left" w:pos="851"/>
        </w:tabs>
        <w:ind w:left="851"/>
        <w:rPr>
          <w:sz w:val="24"/>
          <w:szCs w:val="24"/>
          <w:lang w:val="en-US"/>
        </w:rPr>
      </w:pPr>
      <w:r w:rsidRPr="00F43637">
        <w:rPr>
          <w:sz w:val="24"/>
          <w:szCs w:val="24"/>
          <w:lang w:val="en-US"/>
        </w:rPr>
        <w:t>Hypromellose</w:t>
      </w:r>
    </w:p>
    <w:p w:rsidR="00E010C9" w:rsidRPr="00F43637" w:rsidRDefault="00E010C9" w:rsidP="00E010C9">
      <w:pPr>
        <w:tabs>
          <w:tab w:val="left" w:pos="851"/>
        </w:tabs>
        <w:ind w:left="851"/>
        <w:rPr>
          <w:sz w:val="24"/>
          <w:szCs w:val="24"/>
          <w:lang w:val="en-US"/>
        </w:rPr>
      </w:pPr>
      <w:r w:rsidRPr="00F43637">
        <w:rPr>
          <w:sz w:val="24"/>
          <w:szCs w:val="24"/>
          <w:lang w:val="en-US"/>
        </w:rPr>
        <w:t>Titandioxid (E171)</w:t>
      </w:r>
    </w:p>
    <w:p w:rsidR="00E010C9" w:rsidRPr="00F43637" w:rsidRDefault="00E010C9" w:rsidP="00E010C9">
      <w:pPr>
        <w:tabs>
          <w:tab w:val="left" w:pos="851"/>
        </w:tabs>
        <w:ind w:left="851"/>
        <w:rPr>
          <w:sz w:val="24"/>
          <w:szCs w:val="24"/>
          <w:lang w:val="en-US"/>
        </w:rPr>
      </w:pPr>
      <w:r w:rsidRPr="00F43637">
        <w:rPr>
          <w:sz w:val="24"/>
          <w:szCs w:val="24"/>
          <w:lang w:val="en-US"/>
        </w:rPr>
        <w:t xml:space="preserve">Macrogol </w:t>
      </w:r>
    </w:p>
    <w:p w:rsidR="00E010C9" w:rsidRPr="00E010C9" w:rsidRDefault="00E010C9" w:rsidP="00E010C9">
      <w:pPr>
        <w:tabs>
          <w:tab w:val="left" w:pos="851"/>
        </w:tabs>
        <w:ind w:left="851"/>
        <w:rPr>
          <w:sz w:val="24"/>
          <w:szCs w:val="24"/>
        </w:rPr>
      </w:pPr>
      <w:r w:rsidRPr="00E010C9">
        <w:rPr>
          <w:sz w:val="24"/>
          <w:szCs w:val="24"/>
        </w:rPr>
        <w:t>Talcum</w:t>
      </w:r>
    </w:p>
    <w:p w:rsidR="00E010C9" w:rsidRPr="00E010C9" w:rsidRDefault="00E010C9" w:rsidP="00E010C9">
      <w:pPr>
        <w:tabs>
          <w:tab w:val="left" w:pos="851"/>
        </w:tabs>
        <w:ind w:left="851"/>
        <w:rPr>
          <w:sz w:val="24"/>
          <w:szCs w:val="24"/>
        </w:rPr>
      </w:pPr>
      <w:r w:rsidRPr="00E010C9">
        <w:rPr>
          <w:sz w:val="24"/>
          <w:szCs w:val="24"/>
        </w:rPr>
        <w:t>Indigocarminin aluminiumpigment (E132)</w:t>
      </w:r>
    </w:p>
    <w:p w:rsidR="00E010C9" w:rsidRDefault="00E010C9">
      <w:pPr>
        <w:rPr>
          <w:sz w:val="24"/>
          <w:szCs w:val="24"/>
        </w:rPr>
      </w:pPr>
      <w:r>
        <w:rPr>
          <w:sz w:val="24"/>
          <w:szCs w:val="24"/>
        </w:rPr>
        <w:br w:type="page"/>
      </w:r>
    </w:p>
    <w:p w:rsidR="009260DE" w:rsidRPr="00C84483" w:rsidRDefault="009260DE" w:rsidP="000F34ED">
      <w:pPr>
        <w:tabs>
          <w:tab w:val="left" w:pos="851"/>
        </w:tabs>
        <w:ind w:left="851"/>
        <w:rPr>
          <w:sz w:val="24"/>
          <w:szCs w:val="24"/>
        </w:rPr>
      </w:pPr>
    </w:p>
    <w:p w:rsidR="009260DE" w:rsidRPr="00C84483" w:rsidRDefault="009260DE" w:rsidP="000F34ED">
      <w:pPr>
        <w:tabs>
          <w:tab w:val="left" w:pos="851"/>
        </w:tabs>
        <w:ind w:left="851" w:hanging="851"/>
        <w:rPr>
          <w:b/>
          <w:sz w:val="24"/>
          <w:szCs w:val="24"/>
        </w:rPr>
      </w:pPr>
      <w:r w:rsidRPr="00C84483">
        <w:rPr>
          <w:b/>
          <w:sz w:val="24"/>
          <w:szCs w:val="24"/>
        </w:rPr>
        <w:t>6.2</w:t>
      </w:r>
      <w:r w:rsidRPr="00C84483">
        <w:rPr>
          <w:b/>
          <w:sz w:val="24"/>
          <w:szCs w:val="24"/>
        </w:rPr>
        <w:tab/>
        <w:t>Uforligeligheder</w:t>
      </w:r>
    </w:p>
    <w:p w:rsidR="009260DE" w:rsidRPr="00C84483" w:rsidRDefault="00E010C9" w:rsidP="000F34ED">
      <w:pPr>
        <w:tabs>
          <w:tab w:val="left" w:pos="851"/>
        </w:tabs>
        <w:ind w:left="851"/>
        <w:rPr>
          <w:sz w:val="24"/>
          <w:szCs w:val="24"/>
        </w:rPr>
      </w:pPr>
      <w:r>
        <w:rPr>
          <w:sz w:val="24"/>
          <w:szCs w:val="24"/>
        </w:rPr>
        <w:t>Ikke relevant.</w:t>
      </w:r>
    </w:p>
    <w:p w:rsidR="009260DE" w:rsidRPr="00C84483" w:rsidRDefault="009260DE" w:rsidP="000F34ED">
      <w:pPr>
        <w:tabs>
          <w:tab w:val="left" w:pos="851"/>
        </w:tabs>
        <w:ind w:left="851"/>
        <w:rPr>
          <w:sz w:val="24"/>
          <w:szCs w:val="24"/>
        </w:rPr>
      </w:pPr>
    </w:p>
    <w:p w:rsidR="009260DE" w:rsidRPr="00C84483" w:rsidRDefault="009260DE" w:rsidP="000F34ED">
      <w:pPr>
        <w:tabs>
          <w:tab w:val="left" w:pos="851"/>
        </w:tabs>
        <w:ind w:left="851" w:hanging="851"/>
        <w:rPr>
          <w:b/>
          <w:sz w:val="24"/>
          <w:szCs w:val="24"/>
        </w:rPr>
      </w:pPr>
      <w:r w:rsidRPr="00C84483">
        <w:rPr>
          <w:b/>
          <w:sz w:val="24"/>
          <w:szCs w:val="24"/>
        </w:rPr>
        <w:t>6.3</w:t>
      </w:r>
      <w:r w:rsidRPr="00C84483">
        <w:rPr>
          <w:b/>
          <w:sz w:val="24"/>
          <w:szCs w:val="24"/>
        </w:rPr>
        <w:tab/>
        <w:t>Opbevaringstid</w:t>
      </w:r>
    </w:p>
    <w:p w:rsidR="009260DE" w:rsidRPr="00C84483" w:rsidRDefault="009260DE" w:rsidP="000F34ED">
      <w:pPr>
        <w:tabs>
          <w:tab w:val="left" w:pos="851"/>
        </w:tabs>
        <w:ind w:left="851" w:hanging="851"/>
        <w:rPr>
          <w:sz w:val="24"/>
          <w:szCs w:val="24"/>
        </w:rPr>
      </w:pPr>
      <w:r w:rsidRPr="00C84483">
        <w:rPr>
          <w:sz w:val="24"/>
          <w:szCs w:val="24"/>
        </w:rPr>
        <w:tab/>
      </w:r>
      <w:r w:rsidR="006B60DC">
        <w:rPr>
          <w:sz w:val="24"/>
          <w:szCs w:val="24"/>
        </w:rPr>
        <w:t>3 år.</w:t>
      </w:r>
    </w:p>
    <w:p w:rsidR="009260DE" w:rsidRPr="00C84483" w:rsidRDefault="009260DE" w:rsidP="000F34ED">
      <w:pPr>
        <w:tabs>
          <w:tab w:val="left" w:pos="851"/>
        </w:tabs>
        <w:ind w:left="851"/>
        <w:rPr>
          <w:sz w:val="24"/>
          <w:szCs w:val="24"/>
        </w:rPr>
      </w:pPr>
    </w:p>
    <w:p w:rsidR="009260DE" w:rsidRPr="00C84483" w:rsidRDefault="009260DE" w:rsidP="000F34ED">
      <w:pPr>
        <w:tabs>
          <w:tab w:val="left" w:pos="851"/>
        </w:tabs>
        <w:ind w:left="851" w:hanging="851"/>
        <w:rPr>
          <w:b/>
          <w:sz w:val="24"/>
          <w:szCs w:val="24"/>
        </w:rPr>
      </w:pPr>
      <w:r w:rsidRPr="00C84483">
        <w:rPr>
          <w:b/>
          <w:sz w:val="24"/>
          <w:szCs w:val="24"/>
        </w:rPr>
        <w:t>6.4</w:t>
      </w:r>
      <w:r w:rsidRPr="00C84483">
        <w:rPr>
          <w:b/>
          <w:sz w:val="24"/>
          <w:szCs w:val="24"/>
        </w:rPr>
        <w:tab/>
        <w:t>Særlige opbevaringsforhold</w:t>
      </w:r>
    </w:p>
    <w:p w:rsidR="00E065BD" w:rsidRPr="00E065BD" w:rsidRDefault="00E065BD" w:rsidP="00E065BD">
      <w:pPr>
        <w:tabs>
          <w:tab w:val="left" w:pos="851"/>
        </w:tabs>
        <w:ind w:left="851"/>
        <w:rPr>
          <w:sz w:val="24"/>
          <w:szCs w:val="24"/>
        </w:rPr>
      </w:pPr>
      <w:r w:rsidRPr="00E065BD">
        <w:rPr>
          <w:sz w:val="24"/>
          <w:szCs w:val="24"/>
        </w:rPr>
        <w:t xml:space="preserve">Dette lægemiddel kræver ingen særlige forholdsregler vedrørende opbevaringen. </w:t>
      </w:r>
    </w:p>
    <w:p w:rsidR="009260DE" w:rsidRPr="00C84483" w:rsidRDefault="009260DE" w:rsidP="000F34ED">
      <w:pPr>
        <w:tabs>
          <w:tab w:val="left" w:pos="851"/>
        </w:tabs>
        <w:ind w:left="851"/>
        <w:rPr>
          <w:sz w:val="24"/>
          <w:szCs w:val="24"/>
        </w:rPr>
      </w:pPr>
    </w:p>
    <w:p w:rsidR="009260DE" w:rsidRPr="00C84483" w:rsidRDefault="009260DE" w:rsidP="000F34ED">
      <w:pPr>
        <w:tabs>
          <w:tab w:val="left" w:pos="851"/>
        </w:tabs>
        <w:ind w:left="851" w:hanging="851"/>
        <w:rPr>
          <w:b/>
          <w:sz w:val="24"/>
          <w:szCs w:val="24"/>
        </w:rPr>
      </w:pPr>
      <w:r w:rsidRPr="00C84483">
        <w:rPr>
          <w:b/>
          <w:sz w:val="24"/>
          <w:szCs w:val="24"/>
        </w:rPr>
        <w:t>6.5</w:t>
      </w:r>
      <w:r w:rsidRPr="00C84483">
        <w:rPr>
          <w:b/>
          <w:sz w:val="24"/>
          <w:szCs w:val="24"/>
        </w:rPr>
        <w:tab/>
        <w:t>Emballagetyper og pakningsstørrelser</w:t>
      </w:r>
    </w:p>
    <w:p w:rsidR="00E065BD" w:rsidRPr="00E065BD" w:rsidRDefault="00E065BD" w:rsidP="00E065BD">
      <w:pPr>
        <w:tabs>
          <w:tab w:val="left" w:pos="851"/>
        </w:tabs>
        <w:ind w:left="851"/>
        <w:rPr>
          <w:bCs/>
          <w:sz w:val="24"/>
          <w:szCs w:val="24"/>
        </w:rPr>
      </w:pPr>
      <w:r w:rsidRPr="00E065BD">
        <w:rPr>
          <w:bCs/>
          <w:sz w:val="24"/>
          <w:szCs w:val="24"/>
        </w:rPr>
        <w:t>PVC/PVDC//aluminium blisterpakning</w:t>
      </w:r>
      <w:r>
        <w:rPr>
          <w:bCs/>
          <w:sz w:val="24"/>
          <w:szCs w:val="24"/>
        </w:rPr>
        <w:t>.</w:t>
      </w:r>
    </w:p>
    <w:p w:rsidR="00E065BD" w:rsidRPr="00E065BD" w:rsidRDefault="00E065BD" w:rsidP="00E065BD">
      <w:pPr>
        <w:tabs>
          <w:tab w:val="left" w:pos="851"/>
        </w:tabs>
        <w:ind w:left="851"/>
        <w:rPr>
          <w:bCs/>
          <w:sz w:val="24"/>
          <w:szCs w:val="24"/>
        </w:rPr>
      </w:pPr>
      <w:r w:rsidRPr="00E065BD">
        <w:rPr>
          <w:bCs/>
          <w:sz w:val="24"/>
          <w:szCs w:val="24"/>
        </w:rPr>
        <w:t>PA/aluminium/PVC//aluminium blisterpakning</w:t>
      </w:r>
      <w:r>
        <w:rPr>
          <w:bCs/>
          <w:sz w:val="24"/>
          <w:szCs w:val="24"/>
        </w:rPr>
        <w:t>.</w:t>
      </w:r>
    </w:p>
    <w:p w:rsidR="00E065BD" w:rsidRPr="00E065BD" w:rsidRDefault="00E065BD" w:rsidP="00E065BD">
      <w:pPr>
        <w:tabs>
          <w:tab w:val="left" w:pos="851"/>
        </w:tabs>
        <w:ind w:left="851"/>
        <w:rPr>
          <w:bCs/>
          <w:sz w:val="24"/>
          <w:szCs w:val="24"/>
        </w:rPr>
      </w:pPr>
    </w:p>
    <w:p w:rsidR="00E065BD" w:rsidRPr="00E065BD" w:rsidRDefault="00E065BD" w:rsidP="00E065BD">
      <w:pPr>
        <w:tabs>
          <w:tab w:val="left" w:pos="851"/>
        </w:tabs>
        <w:ind w:left="851"/>
        <w:rPr>
          <w:bCs/>
          <w:sz w:val="24"/>
          <w:szCs w:val="24"/>
          <w:u w:val="single"/>
        </w:rPr>
      </w:pPr>
      <w:r w:rsidRPr="00E065BD">
        <w:rPr>
          <w:bCs/>
          <w:sz w:val="24"/>
          <w:szCs w:val="24"/>
          <w:u w:val="single"/>
        </w:rPr>
        <w:t>Pakningsstørrelser</w:t>
      </w:r>
    </w:p>
    <w:p w:rsidR="00E065BD" w:rsidRPr="00E065BD" w:rsidRDefault="00E065BD" w:rsidP="00E065BD">
      <w:pPr>
        <w:tabs>
          <w:tab w:val="left" w:pos="851"/>
        </w:tabs>
        <w:ind w:left="851"/>
        <w:rPr>
          <w:bCs/>
          <w:sz w:val="24"/>
          <w:szCs w:val="24"/>
        </w:rPr>
      </w:pPr>
      <w:r w:rsidRPr="00E065BD">
        <w:rPr>
          <w:bCs/>
          <w:sz w:val="24"/>
          <w:szCs w:val="24"/>
        </w:rPr>
        <w:t xml:space="preserve">30, 90, 100, 300 og 300 (multipakninger </w:t>
      </w:r>
      <w:r w:rsidR="00DC6D17">
        <w:rPr>
          <w:bCs/>
          <w:sz w:val="24"/>
          <w:szCs w:val="24"/>
        </w:rPr>
        <w:t xml:space="preserve">med </w:t>
      </w:r>
      <w:r w:rsidRPr="00E065BD">
        <w:rPr>
          <w:bCs/>
          <w:sz w:val="24"/>
          <w:szCs w:val="24"/>
        </w:rPr>
        <w:t>10</w:t>
      </w:r>
      <w:r w:rsidR="00DA2F36">
        <w:rPr>
          <w:bCs/>
          <w:sz w:val="24"/>
          <w:szCs w:val="24"/>
        </w:rPr>
        <w:t>×</w:t>
      </w:r>
      <w:r w:rsidRPr="00E065BD">
        <w:rPr>
          <w:bCs/>
          <w:sz w:val="24"/>
          <w:szCs w:val="24"/>
        </w:rPr>
        <w:t>30) filmovertrukne tabletter.</w:t>
      </w:r>
    </w:p>
    <w:p w:rsidR="00E065BD" w:rsidRPr="00E065BD" w:rsidRDefault="00E065BD" w:rsidP="00E065BD">
      <w:pPr>
        <w:tabs>
          <w:tab w:val="left" w:pos="851"/>
        </w:tabs>
        <w:ind w:left="851"/>
        <w:rPr>
          <w:bCs/>
          <w:sz w:val="24"/>
          <w:szCs w:val="24"/>
        </w:rPr>
      </w:pPr>
    </w:p>
    <w:p w:rsidR="00E065BD" w:rsidRPr="00E065BD" w:rsidRDefault="00E065BD" w:rsidP="00E065BD">
      <w:pPr>
        <w:tabs>
          <w:tab w:val="left" w:pos="851"/>
        </w:tabs>
        <w:ind w:left="851"/>
        <w:rPr>
          <w:bCs/>
          <w:sz w:val="24"/>
          <w:szCs w:val="24"/>
        </w:rPr>
      </w:pPr>
      <w:r w:rsidRPr="00E065BD">
        <w:rPr>
          <w:bCs/>
          <w:sz w:val="24"/>
          <w:szCs w:val="24"/>
        </w:rPr>
        <w:t>Ikke alle pakningsstørrelser er nødvendigvis markedsført.</w:t>
      </w:r>
    </w:p>
    <w:p w:rsidR="009260DE" w:rsidRPr="00C84483" w:rsidRDefault="009260DE" w:rsidP="000F34ED">
      <w:pPr>
        <w:tabs>
          <w:tab w:val="left" w:pos="851"/>
        </w:tabs>
        <w:ind w:left="851"/>
        <w:rPr>
          <w:sz w:val="24"/>
          <w:szCs w:val="24"/>
        </w:rPr>
      </w:pPr>
    </w:p>
    <w:p w:rsidR="009260DE" w:rsidRPr="00C84483" w:rsidRDefault="009260DE" w:rsidP="000F34ED">
      <w:pPr>
        <w:tabs>
          <w:tab w:val="left" w:pos="851"/>
        </w:tabs>
        <w:ind w:left="851" w:hanging="851"/>
        <w:rPr>
          <w:b/>
          <w:sz w:val="24"/>
          <w:szCs w:val="24"/>
        </w:rPr>
      </w:pPr>
      <w:r w:rsidRPr="00C84483">
        <w:rPr>
          <w:b/>
          <w:sz w:val="24"/>
          <w:szCs w:val="24"/>
        </w:rPr>
        <w:t>6.6</w:t>
      </w:r>
      <w:r w:rsidRPr="00C84483">
        <w:rPr>
          <w:b/>
          <w:sz w:val="24"/>
          <w:szCs w:val="24"/>
        </w:rPr>
        <w:tab/>
        <w:t>Regler for destruktion og anden håndtering</w:t>
      </w:r>
    </w:p>
    <w:p w:rsidR="00DA2F36" w:rsidRPr="00DA2F36" w:rsidRDefault="00DA2F36" w:rsidP="00DA2F36">
      <w:pPr>
        <w:tabs>
          <w:tab w:val="left" w:pos="851"/>
        </w:tabs>
        <w:ind w:left="851"/>
        <w:jc w:val="both"/>
        <w:rPr>
          <w:sz w:val="24"/>
          <w:szCs w:val="24"/>
        </w:rPr>
      </w:pPr>
      <w:r w:rsidRPr="00DA2F36">
        <w:rPr>
          <w:sz w:val="24"/>
          <w:szCs w:val="24"/>
        </w:rPr>
        <w:t>Ikke anvendt lægemiddel samt affald heraf skal bortskaffes i henhold til lokale retningslinier.</w:t>
      </w:r>
    </w:p>
    <w:p w:rsidR="009260DE" w:rsidRPr="00C84483" w:rsidRDefault="009260DE" w:rsidP="00E065BD">
      <w:pPr>
        <w:tabs>
          <w:tab w:val="left" w:pos="851"/>
        </w:tabs>
        <w:ind w:left="851"/>
        <w:jc w:val="both"/>
        <w:rPr>
          <w:sz w:val="24"/>
          <w:szCs w:val="24"/>
        </w:rPr>
      </w:pPr>
    </w:p>
    <w:p w:rsidR="009260DE" w:rsidRPr="00C84483" w:rsidRDefault="009260DE" w:rsidP="000F34ED">
      <w:pPr>
        <w:tabs>
          <w:tab w:val="left" w:pos="851"/>
        </w:tabs>
        <w:ind w:left="851" w:hanging="851"/>
        <w:rPr>
          <w:b/>
          <w:sz w:val="24"/>
          <w:szCs w:val="24"/>
        </w:rPr>
      </w:pPr>
      <w:r w:rsidRPr="00C84483">
        <w:rPr>
          <w:b/>
          <w:sz w:val="24"/>
          <w:szCs w:val="24"/>
        </w:rPr>
        <w:t>7.</w:t>
      </w:r>
      <w:r w:rsidRPr="00C84483">
        <w:rPr>
          <w:b/>
          <w:sz w:val="24"/>
          <w:szCs w:val="24"/>
        </w:rPr>
        <w:tab/>
        <w:t>INDEHAVER AF MARKEDSFØRINGSTILLADELSEN</w:t>
      </w:r>
    </w:p>
    <w:p w:rsidR="00DA2F36" w:rsidRPr="00F43637" w:rsidRDefault="00DA2F36" w:rsidP="00DA2F36">
      <w:pPr>
        <w:tabs>
          <w:tab w:val="left" w:pos="851"/>
        </w:tabs>
        <w:ind w:left="851"/>
        <w:rPr>
          <w:sz w:val="24"/>
          <w:szCs w:val="24"/>
        </w:rPr>
      </w:pPr>
      <w:r w:rsidRPr="00F43637">
        <w:rPr>
          <w:sz w:val="24"/>
          <w:szCs w:val="24"/>
        </w:rPr>
        <w:t>Sandoz A/S</w:t>
      </w:r>
    </w:p>
    <w:p w:rsidR="00DA2F36" w:rsidRPr="00F43637" w:rsidRDefault="00DA2F36" w:rsidP="00DA2F36">
      <w:pPr>
        <w:tabs>
          <w:tab w:val="left" w:pos="851"/>
        </w:tabs>
        <w:ind w:left="851"/>
        <w:rPr>
          <w:sz w:val="24"/>
          <w:szCs w:val="24"/>
        </w:rPr>
      </w:pPr>
      <w:r w:rsidRPr="00F43637">
        <w:rPr>
          <w:sz w:val="24"/>
          <w:szCs w:val="24"/>
        </w:rPr>
        <w:t>Edvard Thomsens Vej 14</w:t>
      </w:r>
    </w:p>
    <w:p w:rsidR="00DA2F36" w:rsidRPr="00DA2F36" w:rsidRDefault="00DA2F36" w:rsidP="00DA2F36">
      <w:pPr>
        <w:tabs>
          <w:tab w:val="left" w:pos="851"/>
        </w:tabs>
        <w:ind w:left="851"/>
        <w:rPr>
          <w:sz w:val="24"/>
          <w:szCs w:val="24"/>
        </w:rPr>
      </w:pPr>
      <w:r w:rsidRPr="00DA2F36">
        <w:rPr>
          <w:sz w:val="24"/>
          <w:szCs w:val="24"/>
        </w:rPr>
        <w:t>2300 København S</w:t>
      </w:r>
    </w:p>
    <w:p w:rsidR="009260DE" w:rsidRPr="00C84483" w:rsidRDefault="009260DE" w:rsidP="000F34ED">
      <w:pPr>
        <w:tabs>
          <w:tab w:val="left" w:pos="851"/>
        </w:tabs>
        <w:ind w:left="851"/>
        <w:rPr>
          <w:sz w:val="24"/>
          <w:szCs w:val="24"/>
        </w:rPr>
      </w:pPr>
    </w:p>
    <w:p w:rsidR="009260DE" w:rsidRPr="00C84483" w:rsidRDefault="009260DE" w:rsidP="000F34ED">
      <w:pPr>
        <w:tabs>
          <w:tab w:val="left" w:pos="851"/>
        </w:tabs>
        <w:ind w:left="851" w:hanging="851"/>
        <w:rPr>
          <w:b/>
          <w:sz w:val="24"/>
          <w:szCs w:val="24"/>
        </w:rPr>
      </w:pPr>
      <w:r w:rsidRPr="00C84483">
        <w:rPr>
          <w:b/>
          <w:sz w:val="24"/>
          <w:szCs w:val="24"/>
        </w:rPr>
        <w:t>8.</w:t>
      </w:r>
      <w:r w:rsidRPr="00C84483">
        <w:rPr>
          <w:b/>
          <w:sz w:val="24"/>
          <w:szCs w:val="24"/>
        </w:rPr>
        <w:tab/>
        <w:t>MARKEDSFØRINGSTILLADELSESNUMMER (NUMRE)</w:t>
      </w:r>
    </w:p>
    <w:p w:rsidR="00DA2F36" w:rsidRPr="00DA2F36" w:rsidRDefault="00DA2F36" w:rsidP="00891D52">
      <w:pPr>
        <w:tabs>
          <w:tab w:val="left" w:pos="1701"/>
        </w:tabs>
        <w:ind w:left="851"/>
        <w:jc w:val="both"/>
        <w:rPr>
          <w:sz w:val="24"/>
          <w:szCs w:val="24"/>
        </w:rPr>
      </w:pPr>
      <w:r w:rsidRPr="00DA2F36">
        <w:rPr>
          <w:sz w:val="24"/>
          <w:szCs w:val="24"/>
        </w:rPr>
        <w:t>90 mg:</w:t>
      </w:r>
      <w:r w:rsidR="00891D52">
        <w:rPr>
          <w:sz w:val="24"/>
          <w:szCs w:val="24"/>
        </w:rPr>
        <w:tab/>
      </w:r>
      <w:r w:rsidRPr="00DA2F36">
        <w:rPr>
          <w:sz w:val="24"/>
          <w:szCs w:val="24"/>
        </w:rPr>
        <w:t>63885</w:t>
      </w:r>
    </w:p>
    <w:p w:rsidR="00DA2F36" w:rsidRPr="00DA2F36" w:rsidRDefault="00DA2F36" w:rsidP="00891D52">
      <w:pPr>
        <w:tabs>
          <w:tab w:val="left" w:pos="1701"/>
        </w:tabs>
        <w:ind w:left="851"/>
        <w:jc w:val="both"/>
        <w:rPr>
          <w:sz w:val="24"/>
          <w:szCs w:val="24"/>
        </w:rPr>
      </w:pPr>
      <w:r w:rsidRPr="00DA2F36">
        <w:rPr>
          <w:sz w:val="24"/>
          <w:szCs w:val="24"/>
        </w:rPr>
        <w:t>180 mg:</w:t>
      </w:r>
      <w:r w:rsidR="00891D52">
        <w:rPr>
          <w:sz w:val="24"/>
          <w:szCs w:val="24"/>
        </w:rPr>
        <w:tab/>
      </w:r>
      <w:r w:rsidRPr="00DA2F36">
        <w:rPr>
          <w:sz w:val="24"/>
          <w:szCs w:val="24"/>
        </w:rPr>
        <w:t>63886</w:t>
      </w:r>
    </w:p>
    <w:p w:rsidR="00DA2F36" w:rsidRPr="00DA2F36" w:rsidRDefault="00DA2F36" w:rsidP="00891D52">
      <w:pPr>
        <w:tabs>
          <w:tab w:val="left" w:pos="1701"/>
        </w:tabs>
        <w:ind w:left="851"/>
        <w:jc w:val="both"/>
        <w:rPr>
          <w:sz w:val="24"/>
          <w:szCs w:val="24"/>
        </w:rPr>
      </w:pPr>
      <w:r w:rsidRPr="00DA2F36">
        <w:rPr>
          <w:sz w:val="24"/>
          <w:szCs w:val="24"/>
        </w:rPr>
        <w:t>360 mg:</w:t>
      </w:r>
      <w:r w:rsidR="00891D52">
        <w:rPr>
          <w:sz w:val="24"/>
          <w:szCs w:val="24"/>
        </w:rPr>
        <w:tab/>
      </w:r>
      <w:r w:rsidRPr="00DA2F36">
        <w:rPr>
          <w:sz w:val="24"/>
          <w:szCs w:val="24"/>
        </w:rPr>
        <w:t>63887</w:t>
      </w:r>
    </w:p>
    <w:p w:rsidR="009260DE" w:rsidRPr="00DA2F36" w:rsidRDefault="009260DE" w:rsidP="000F34ED">
      <w:pPr>
        <w:tabs>
          <w:tab w:val="left" w:pos="851"/>
        </w:tabs>
        <w:ind w:left="851"/>
        <w:jc w:val="both"/>
        <w:rPr>
          <w:sz w:val="24"/>
          <w:szCs w:val="24"/>
        </w:rPr>
      </w:pPr>
    </w:p>
    <w:p w:rsidR="009260DE" w:rsidRPr="00C84483" w:rsidRDefault="009260DE" w:rsidP="000F34ED">
      <w:pPr>
        <w:tabs>
          <w:tab w:val="left" w:pos="851"/>
        </w:tabs>
        <w:ind w:left="851" w:hanging="851"/>
        <w:rPr>
          <w:b/>
          <w:sz w:val="24"/>
          <w:szCs w:val="24"/>
        </w:rPr>
      </w:pPr>
      <w:r w:rsidRPr="00C84483">
        <w:rPr>
          <w:b/>
          <w:sz w:val="24"/>
          <w:szCs w:val="24"/>
        </w:rPr>
        <w:t>9.</w:t>
      </w:r>
      <w:r w:rsidRPr="00C84483">
        <w:rPr>
          <w:b/>
          <w:sz w:val="24"/>
          <w:szCs w:val="24"/>
        </w:rPr>
        <w:tab/>
        <w:t>DATO FOR FØRSTE MARKEDSFØRINGSTILLADELSE</w:t>
      </w:r>
    </w:p>
    <w:p w:rsidR="009260DE" w:rsidRPr="00C84483" w:rsidRDefault="00A362C3" w:rsidP="000F34ED">
      <w:pPr>
        <w:tabs>
          <w:tab w:val="left" w:pos="851"/>
        </w:tabs>
        <w:ind w:left="851"/>
        <w:rPr>
          <w:sz w:val="24"/>
          <w:szCs w:val="24"/>
        </w:rPr>
      </w:pPr>
      <w:r>
        <w:rPr>
          <w:sz w:val="24"/>
          <w:szCs w:val="24"/>
        </w:rPr>
        <w:t>20. august 2021</w:t>
      </w:r>
    </w:p>
    <w:p w:rsidR="009260DE" w:rsidRPr="00C84483" w:rsidRDefault="009260DE" w:rsidP="000F34ED">
      <w:pPr>
        <w:tabs>
          <w:tab w:val="left" w:pos="851"/>
        </w:tabs>
        <w:ind w:left="851"/>
        <w:rPr>
          <w:sz w:val="24"/>
          <w:szCs w:val="24"/>
        </w:rPr>
      </w:pPr>
    </w:p>
    <w:p w:rsidR="009260DE" w:rsidRPr="00C84483" w:rsidRDefault="009260DE" w:rsidP="000F34ED">
      <w:pPr>
        <w:tabs>
          <w:tab w:val="left" w:pos="851"/>
        </w:tabs>
        <w:ind w:left="851" w:hanging="851"/>
        <w:rPr>
          <w:b/>
          <w:sz w:val="24"/>
          <w:szCs w:val="24"/>
        </w:rPr>
      </w:pPr>
      <w:r w:rsidRPr="00C84483">
        <w:rPr>
          <w:b/>
          <w:sz w:val="24"/>
          <w:szCs w:val="24"/>
        </w:rPr>
        <w:t>10.</w:t>
      </w:r>
      <w:r w:rsidRPr="00C84483">
        <w:rPr>
          <w:b/>
          <w:sz w:val="24"/>
          <w:szCs w:val="24"/>
        </w:rPr>
        <w:tab/>
        <w:t>DATO FOR ÆNDRING AF TEKSTEN</w:t>
      </w:r>
    </w:p>
    <w:p w:rsidR="009260DE" w:rsidRPr="00C84483" w:rsidRDefault="00270DCD" w:rsidP="000F34ED">
      <w:pPr>
        <w:tabs>
          <w:tab w:val="left" w:pos="851"/>
        </w:tabs>
        <w:ind w:left="851"/>
        <w:rPr>
          <w:sz w:val="24"/>
          <w:szCs w:val="24"/>
        </w:rPr>
      </w:pPr>
      <w:r>
        <w:rPr>
          <w:sz w:val="24"/>
          <w:szCs w:val="24"/>
        </w:rPr>
        <w:t>-</w:t>
      </w:r>
      <w:bookmarkStart w:id="1" w:name="_GoBack"/>
      <w:bookmarkEnd w:id="1"/>
    </w:p>
    <w:sectPr w:rsidR="009260DE" w:rsidRPr="00C84483" w:rsidSect="000259B9">
      <w:footerReference w:type="default" r:id="rId8"/>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362C3" w:rsidRDefault="00A362C3">
      <w:r>
        <w:separator/>
      </w:r>
    </w:p>
  </w:endnote>
  <w:endnote w:type="continuationSeparator" w:id="0">
    <w:p w:rsidR="00A362C3" w:rsidRDefault="00A362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62C3" w:rsidRDefault="00A362C3">
    <w:pPr>
      <w:pStyle w:val="Sidefod"/>
      <w:pBdr>
        <w:bottom w:val="single" w:sz="6" w:space="1" w:color="auto"/>
      </w:pBdr>
    </w:pPr>
  </w:p>
  <w:p w:rsidR="00A362C3" w:rsidRDefault="00A362C3" w:rsidP="00C42586">
    <w:pPr>
      <w:pStyle w:val="Sidefod"/>
      <w:tabs>
        <w:tab w:val="clear" w:pos="4819"/>
        <w:tab w:val="left" w:pos="8505"/>
      </w:tabs>
      <w:rPr>
        <w:i/>
        <w:sz w:val="18"/>
        <w:szCs w:val="18"/>
      </w:rPr>
    </w:pPr>
  </w:p>
  <w:p w:rsidR="00A362C3" w:rsidRPr="00B373D7" w:rsidRDefault="00A362C3"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Pr>
        <w:i/>
        <w:noProof/>
        <w:sz w:val="18"/>
        <w:szCs w:val="18"/>
      </w:rPr>
      <w:t>Deferasirox Sandoz, filmovertrukne tabletter 90 mg, 180 mg og 360 mg</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362C3" w:rsidRDefault="00A362C3">
      <w:r>
        <w:separator/>
      </w:r>
    </w:p>
  </w:footnote>
  <w:footnote w:type="continuationSeparator" w:id="0">
    <w:p w:rsidR="00A362C3" w:rsidRDefault="00A362C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5" w15:restartNumberingAfterBreak="0">
    <w:nsid w:val="615F537F"/>
    <w:multiLevelType w:val="hybridMultilevel"/>
    <w:tmpl w:val="F3D23EAA"/>
    <w:lvl w:ilvl="0" w:tplc="8A9AD35A">
      <w:numFmt w:val="bullet"/>
      <w:lvlText w:val="-"/>
      <w:lvlJc w:val="left"/>
      <w:pPr>
        <w:ind w:left="685" w:hanging="567"/>
      </w:pPr>
      <w:rPr>
        <w:rFonts w:ascii="Times New Roman" w:eastAsia="Times New Roman" w:hAnsi="Times New Roman" w:cs="Times New Roman" w:hint="default"/>
        <w:w w:val="100"/>
        <w:sz w:val="22"/>
        <w:szCs w:val="22"/>
      </w:rPr>
    </w:lvl>
    <w:lvl w:ilvl="1" w:tplc="D9BA72C0">
      <w:numFmt w:val="bullet"/>
      <w:lvlText w:val="•"/>
      <w:lvlJc w:val="left"/>
      <w:pPr>
        <w:ind w:left="1532" w:hanging="567"/>
      </w:pPr>
    </w:lvl>
    <w:lvl w:ilvl="2" w:tplc="CF9654A0">
      <w:numFmt w:val="bullet"/>
      <w:lvlText w:val="•"/>
      <w:lvlJc w:val="left"/>
      <w:pPr>
        <w:ind w:left="2384" w:hanging="567"/>
      </w:pPr>
    </w:lvl>
    <w:lvl w:ilvl="3" w:tplc="FD10F03E">
      <w:numFmt w:val="bullet"/>
      <w:lvlText w:val="•"/>
      <w:lvlJc w:val="left"/>
      <w:pPr>
        <w:ind w:left="3236" w:hanging="567"/>
      </w:pPr>
    </w:lvl>
    <w:lvl w:ilvl="4" w:tplc="FCE2F0A6">
      <w:numFmt w:val="bullet"/>
      <w:lvlText w:val="•"/>
      <w:lvlJc w:val="left"/>
      <w:pPr>
        <w:ind w:left="4088" w:hanging="567"/>
      </w:pPr>
    </w:lvl>
    <w:lvl w:ilvl="5" w:tplc="AEFA3DFA">
      <w:numFmt w:val="bullet"/>
      <w:lvlText w:val="•"/>
      <w:lvlJc w:val="left"/>
      <w:pPr>
        <w:ind w:left="4940" w:hanging="567"/>
      </w:pPr>
    </w:lvl>
    <w:lvl w:ilvl="6" w:tplc="2BA6EBCA">
      <w:numFmt w:val="bullet"/>
      <w:lvlText w:val="•"/>
      <w:lvlJc w:val="left"/>
      <w:pPr>
        <w:ind w:left="5792" w:hanging="567"/>
      </w:pPr>
    </w:lvl>
    <w:lvl w:ilvl="7" w:tplc="34122840">
      <w:numFmt w:val="bullet"/>
      <w:lvlText w:val="•"/>
      <w:lvlJc w:val="left"/>
      <w:pPr>
        <w:ind w:left="6645" w:hanging="567"/>
      </w:pPr>
    </w:lvl>
    <w:lvl w:ilvl="8" w:tplc="7702FDDA">
      <w:numFmt w:val="bullet"/>
      <w:lvlText w:val="•"/>
      <w:lvlJc w:val="left"/>
      <w:pPr>
        <w:ind w:left="7497" w:hanging="567"/>
      </w:pPr>
    </w:lvl>
  </w:abstractNum>
  <w:abstractNum w:abstractNumId="6" w15:restartNumberingAfterBreak="0">
    <w:nsid w:val="6D8F6071"/>
    <w:multiLevelType w:val="hybridMultilevel"/>
    <w:tmpl w:val="3924AADC"/>
    <w:lvl w:ilvl="0" w:tplc="26C233A6">
      <w:numFmt w:val="bullet"/>
      <w:lvlText w:val="•"/>
      <w:lvlJc w:val="left"/>
      <w:pPr>
        <w:ind w:left="238" w:hanging="567"/>
      </w:pPr>
      <w:rPr>
        <w:rFonts w:ascii="Times New Roman" w:eastAsia="Times New Roman" w:hAnsi="Times New Roman" w:cs="Times New Roman" w:hint="default"/>
        <w:w w:val="100"/>
        <w:sz w:val="22"/>
        <w:szCs w:val="22"/>
      </w:rPr>
    </w:lvl>
    <w:lvl w:ilvl="1" w:tplc="BAFE1CF0">
      <w:numFmt w:val="bullet"/>
      <w:lvlText w:val="•"/>
      <w:lvlJc w:val="left"/>
      <w:pPr>
        <w:ind w:left="1170" w:hanging="567"/>
      </w:pPr>
    </w:lvl>
    <w:lvl w:ilvl="2" w:tplc="6AA4995C">
      <w:numFmt w:val="bullet"/>
      <w:lvlText w:val="•"/>
      <w:lvlJc w:val="left"/>
      <w:pPr>
        <w:ind w:left="2100" w:hanging="567"/>
      </w:pPr>
    </w:lvl>
    <w:lvl w:ilvl="3" w:tplc="C8AADD9A">
      <w:numFmt w:val="bullet"/>
      <w:lvlText w:val="•"/>
      <w:lvlJc w:val="left"/>
      <w:pPr>
        <w:ind w:left="3030" w:hanging="567"/>
      </w:pPr>
    </w:lvl>
    <w:lvl w:ilvl="4" w:tplc="F7A650D2">
      <w:numFmt w:val="bullet"/>
      <w:lvlText w:val="•"/>
      <w:lvlJc w:val="left"/>
      <w:pPr>
        <w:ind w:left="3960" w:hanging="567"/>
      </w:pPr>
    </w:lvl>
    <w:lvl w:ilvl="5" w:tplc="0000400A">
      <w:numFmt w:val="bullet"/>
      <w:lvlText w:val="•"/>
      <w:lvlJc w:val="left"/>
      <w:pPr>
        <w:ind w:left="4890" w:hanging="567"/>
      </w:pPr>
    </w:lvl>
    <w:lvl w:ilvl="6" w:tplc="54243DB8">
      <w:numFmt w:val="bullet"/>
      <w:lvlText w:val="•"/>
      <w:lvlJc w:val="left"/>
      <w:pPr>
        <w:ind w:left="5820" w:hanging="567"/>
      </w:pPr>
    </w:lvl>
    <w:lvl w:ilvl="7" w:tplc="1C50A1D4">
      <w:numFmt w:val="bullet"/>
      <w:lvlText w:val="•"/>
      <w:lvlJc w:val="left"/>
      <w:pPr>
        <w:ind w:left="6751" w:hanging="567"/>
      </w:pPr>
    </w:lvl>
    <w:lvl w:ilvl="8" w:tplc="DB1EAB00">
      <w:numFmt w:val="bullet"/>
      <w:lvlText w:val="•"/>
      <w:lvlJc w:val="left"/>
      <w:pPr>
        <w:ind w:left="7681" w:hanging="567"/>
      </w:p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44EE"/>
    <w:rsid w:val="000259B9"/>
    <w:rsid w:val="00041491"/>
    <w:rsid w:val="00050D16"/>
    <w:rsid w:val="00074F2A"/>
    <w:rsid w:val="00082ED0"/>
    <w:rsid w:val="000A1CA8"/>
    <w:rsid w:val="000A466B"/>
    <w:rsid w:val="000B058C"/>
    <w:rsid w:val="000E4EE6"/>
    <w:rsid w:val="000F34ED"/>
    <w:rsid w:val="001454E2"/>
    <w:rsid w:val="00167916"/>
    <w:rsid w:val="00184CC6"/>
    <w:rsid w:val="001D0015"/>
    <w:rsid w:val="001E44EE"/>
    <w:rsid w:val="001F28A1"/>
    <w:rsid w:val="00206CE8"/>
    <w:rsid w:val="0021526C"/>
    <w:rsid w:val="00270DCD"/>
    <w:rsid w:val="00283A2B"/>
    <w:rsid w:val="002B30AD"/>
    <w:rsid w:val="002C2C01"/>
    <w:rsid w:val="002E30DA"/>
    <w:rsid w:val="00352D20"/>
    <w:rsid w:val="003A0002"/>
    <w:rsid w:val="003A29AE"/>
    <w:rsid w:val="003A32D7"/>
    <w:rsid w:val="003B4074"/>
    <w:rsid w:val="003C769A"/>
    <w:rsid w:val="003F1838"/>
    <w:rsid w:val="0045746C"/>
    <w:rsid w:val="0049104B"/>
    <w:rsid w:val="004A27AE"/>
    <w:rsid w:val="004A43D4"/>
    <w:rsid w:val="004C0147"/>
    <w:rsid w:val="004E3B12"/>
    <w:rsid w:val="00532310"/>
    <w:rsid w:val="005650F7"/>
    <w:rsid w:val="00565F0F"/>
    <w:rsid w:val="00594A86"/>
    <w:rsid w:val="00596D86"/>
    <w:rsid w:val="005D26FE"/>
    <w:rsid w:val="00637F5A"/>
    <w:rsid w:val="006560B1"/>
    <w:rsid w:val="00661E7D"/>
    <w:rsid w:val="006756DD"/>
    <w:rsid w:val="00681074"/>
    <w:rsid w:val="006B60DC"/>
    <w:rsid w:val="006D70B6"/>
    <w:rsid w:val="0071754D"/>
    <w:rsid w:val="00737275"/>
    <w:rsid w:val="0073737F"/>
    <w:rsid w:val="00740EEC"/>
    <w:rsid w:val="00762195"/>
    <w:rsid w:val="0078011A"/>
    <w:rsid w:val="00782AF4"/>
    <w:rsid w:val="00790EE7"/>
    <w:rsid w:val="007B6649"/>
    <w:rsid w:val="007D6B5F"/>
    <w:rsid w:val="0082576E"/>
    <w:rsid w:val="00891D52"/>
    <w:rsid w:val="008E6426"/>
    <w:rsid w:val="008F5F7F"/>
    <w:rsid w:val="00907F75"/>
    <w:rsid w:val="009260DE"/>
    <w:rsid w:val="0093258A"/>
    <w:rsid w:val="009C7BA3"/>
    <w:rsid w:val="009D1F5A"/>
    <w:rsid w:val="009D3075"/>
    <w:rsid w:val="00A362C3"/>
    <w:rsid w:val="00B003BF"/>
    <w:rsid w:val="00B3352E"/>
    <w:rsid w:val="00B33AE8"/>
    <w:rsid w:val="00B373D7"/>
    <w:rsid w:val="00BF1848"/>
    <w:rsid w:val="00C234C1"/>
    <w:rsid w:val="00C2636F"/>
    <w:rsid w:val="00C36276"/>
    <w:rsid w:val="00C42586"/>
    <w:rsid w:val="00C42AFC"/>
    <w:rsid w:val="00C5351C"/>
    <w:rsid w:val="00C60CCD"/>
    <w:rsid w:val="00C84483"/>
    <w:rsid w:val="00C95551"/>
    <w:rsid w:val="00CB20D7"/>
    <w:rsid w:val="00CE019B"/>
    <w:rsid w:val="00D020B0"/>
    <w:rsid w:val="00D11748"/>
    <w:rsid w:val="00D366CF"/>
    <w:rsid w:val="00D747C4"/>
    <w:rsid w:val="00DA2F36"/>
    <w:rsid w:val="00DC6D17"/>
    <w:rsid w:val="00E010C9"/>
    <w:rsid w:val="00E065BD"/>
    <w:rsid w:val="00E108AA"/>
    <w:rsid w:val="00E3749A"/>
    <w:rsid w:val="00E57665"/>
    <w:rsid w:val="00E7437F"/>
    <w:rsid w:val="00E865B8"/>
    <w:rsid w:val="00EA33F7"/>
    <w:rsid w:val="00EB1D3A"/>
    <w:rsid w:val="00EC0B9B"/>
    <w:rsid w:val="00ED5E9F"/>
    <w:rsid w:val="00F43637"/>
    <w:rsid w:val="00F66D4F"/>
    <w:rsid w:val="00FB3D35"/>
    <w:rsid w:val="00FB6D01"/>
    <w:rsid w:val="00FD0336"/>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0B37E2E"/>
  <w15:chartTrackingRefBased/>
  <w15:docId w15:val="{67707E64-5F67-4FA7-AE9D-1D69392200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styleId="Brdtekst">
    <w:name w:val="Body Text"/>
    <w:basedOn w:val="Normal"/>
    <w:link w:val="BrdtekstTegn"/>
    <w:uiPriority w:val="1"/>
    <w:semiHidden/>
    <w:unhideWhenUsed/>
    <w:qFormat/>
    <w:rsid w:val="00C5351C"/>
    <w:pPr>
      <w:widowControl w:val="0"/>
      <w:autoSpaceDE w:val="0"/>
      <w:autoSpaceDN w:val="0"/>
    </w:pPr>
    <w:rPr>
      <w:sz w:val="22"/>
      <w:szCs w:val="22"/>
      <w:lang w:val="en-US"/>
    </w:rPr>
  </w:style>
  <w:style w:type="character" w:customStyle="1" w:styleId="BrdtekstTegn">
    <w:name w:val="Brødtekst Tegn"/>
    <w:basedOn w:val="Standardskrifttypeiafsnit"/>
    <w:link w:val="Brdtekst"/>
    <w:uiPriority w:val="1"/>
    <w:semiHidden/>
    <w:rsid w:val="00C5351C"/>
    <w:rPr>
      <w:sz w:val="22"/>
      <w:szCs w:val="22"/>
      <w:lang w:val="en-US" w:eastAsia="en-US"/>
    </w:rPr>
  </w:style>
  <w:style w:type="paragraph" w:customStyle="1" w:styleId="TableParagraph">
    <w:name w:val="Table Paragraph"/>
    <w:basedOn w:val="Normal"/>
    <w:uiPriority w:val="1"/>
    <w:qFormat/>
    <w:rsid w:val="00C5351C"/>
    <w:pPr>
      <w:widowControl w:val="0"/>
      <w:autoSpaceDE w:val="0"/>
      <w:autoSpaceDN w:val="0"/>
      <w:ind w:left="103"/>
    </w:pPr>
    <w:rPr>
      <w:sz w:val="22"/>
      <w:szCs w:val="22"/>
      <w:lang w:val="en-US"/>
    </w:rPr>
  </w:style>
  <w:style w:type="paragraph" w:styleId="Listeafsnit">
    <w:name w:val="List Paragraph"/>
    <w:basedOn w:val="Normal"/>
    <w:uiPriority w:val="1"/>
    <w:qFormat/>
    <w:rsid w:val="00C42AFC"/>
    <w:pPr>
      <w:ind w:left="720"/>
      <w:contextualSpacing/>
    </w:pPr>
    <w:rPr>
      <w:sz w:val="22"/>
    </w:rPr>
  </w:style>
  <w:style w:type="paragraph" w:customStyle="1" w:styleId="Default">
    <w:name w:val="Default"/>
    <w:rsid w:val="001F28A1"/>
    <w:pPr>
      <w:autoSpaceDE w:val="0"/>
      <w:autoSpaceDN w:val="0"/>
      <w:adjustRightInd w:val="0"/>
    </w:pPr>
    <w:rPr>
      <w:color w:val="000000"/>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7517374">
      <w:bodyDiv w:val="1"/>
      <w:marLeft w:val="0"/>
      <w:marRight w:val="0"/>
      <w:marTop w:val="0"/>
      <w:marBottom w:val="0"/>
      <w:divBdr>
        <w:top w:val="none" w:sz="0" w:space="0" w:color="auto"/>
        <w:left w:val="none" w:sz="0" w:space="0" w:color="auto"/>
        <w:bottom w:val="none" w:sz="0" w:space="0" w:color="auto"/>
        <w:right w:val="none" w:sz="0" w:space="0" w:color="auto"/>
      </w:divBdr>
    </w:div>
    <w:div w:id="144132849">
      <w:bodyDiv w:val="1"/>
      <w:marLeft w:val="0"/>
      <w:marRight w:val="0"/>
      <w:marTop w:val="0"/>
      <w:marBottom w:val="0"/>
      <w:divBdr>
        <w:top w:val="none" w:sz="0" w:space="0" w:color="auto"/>
        <w:left w:val="none" w:sz="0" w:space="0" w:color="auto"/>
        <w:bottom w:val="none" w:sz="0" w:space="0" w:color="auto"/>
        <w:right w:val="none" w:sz="0" w:space="0" w:color="auto"/>
      </w:divBdr>
    </w:div>
    <w:div w:id="144468910">
      <w:bodyDiv w:val="1"/>
      <w:marLeft w:val="0"/>
      <w:marRight w:val="0"/>
      <w:marTop w:val="0"/>
      <w:marBottom w:val="0"/>
      <w:divBdr>
        <w:top w:val="none" w:sz="0" w:space="0" w:color="auto"/>
        <w:left w:val="none" w:sz="0" w:space="0" w:color="auto"/>
        <w:bottom w:val="none" w:sz="0" w:space="0" w:color="auto"/>
        <w:right w:val="none" w:sz="0" w:space="0" w:color="auto"/>
      </w:divBdr>
    </w:div>
    <w:div w:id="159395204">
      <w:bodyDiv w:val="1"/>
      <w:marLeft w:val="0"/>
      <w:marRight w:val="0"/>
      <w:marTop w:val="0"/>
      <w:marBottom w:val="0"/>
      <w:divBdr>
        <w:top w:val="none" w:sz="0" w:space="0" w:color="auto"/>
        <w:left w:val="none" w:sz="0" w:space="0" w:color="auto"/>
        <w:bottom w:val="none" w:sz="0" w:space="0" w:color="auto"/>
        <w:right w:val="none" w:sz="0" w:space="0" w:color="auto"/>
      </w:divBdr>
    </w:div>
    <w:div w:id="160509962">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175078027">
      <w:bodyDiv w:val="1"/>
      <w:marLeft w:val="0"/>
      <w:marRight w:val="0"/>
      <w:marTop w:val="0"/>
      <w:marBottom w:val="0"/>
      <w:divBdr>
        <w:top w:val="none" w:sz="0" w:space="0" w:color="auto"/>
        <w:left w:val="none" w:sz="0" w:space="0" w:color="auto"/>
        <w:bottom w:val="none" w:sz="0" w:space="0" w:color="auto"/>
        <w:right w:val="none" w:sz="0" w:space="0" w:color="auto"/>
      </w:divBdr>
    </w:div>
    <w:div w:id="180122942">
      <w:bodyDiv w:val="1"/>
      <w:marLeft w:val="0"/>
      <w:marRight w:val="0"/>
      <w:marTop w:val="0"/>
      <w:marBottom w:val="0"/>
      <w:divBdr>
        <w:top w:val="none" w:sz="0" w:space="0" w:color="auto"/>
        <w:left w:val="none" w:sz="0" w:space="0" w:color="auto"/>
        <w:bottom w:val="none" w:sz="0" w:space="0" w:color="auto"/>
        <w:right w:val="none" w:sz="0" w:space="0" w:color="auto"/>
      </w:divBdr>
    </w:div>
    <w:div w:id="237593089">
      <w:bodyDiv w:val="1"/>
      <w:marLeft w:val="0"/>
      <w:marRight w:val="0"/>
      <w:marTop w:val="0"/>
      <w:marBottom w:val="0"/>
      <w:divBdr>
        <w:top w:val="none" w:sz="0" w:space="0" w:color="auto"/>
        <w:left w:val="none" w:sz="0" w:space="0" w:color="auto"/>
        <w:bottom w:val="none" w:sz="0" w:space="0" w:color="auto"/>
        <w:right w:val="none" w:sz="0" w:space="0" w:color="auto"/>
      </w:divBdr>
    </w:div>
    <w:div w:id="243994969">
      <w:bodyDiv w:val="1"/>
      <w:marLeft w:val="0"/>
      <w:marRight w:val="0"/>
      <w:marTop w:val="0"/>
      <w:marBottom w:val="0"/>
      <w:divBdr>
        <w:top w:val="none" w:sz="0" w:space="0" w:color="auto"/>
        <w:left w:val="none" w:sz="0" w:space="0" w:color="auto"/>
        <w:bottom w:val="none" w:sz="0" w:space="0" w:color="auto"/>
        <w:right w:val="none" w:sz="0" w:space="0" w:color="auto"/>
      </w:divBdr>
    </w:div>
    <w:div w:id="248275369">
      <w:bodyDiv w:val="1"/>
      <w:marLeft w:val="0"/>
      <w:marRight w:val="0"/>
      <w:marTop w:val="0"/>
      <w:marBottom w:val="0"/>
      <w:divBdr>
        <w:top w:val="none" w:sz="0" w:space="0" w:color="auto"/>
        <w:left w:val="none" w:sz="0" w:space="0" w:color="auto"/>
        <w:bottom w:val="none" w:sz="0" w:space="0" w:color="auto"/>
        <w:right w:val="none" w:sz="0" w:space="0" w:color="auto"/>
      </w:divBdr>
    </w:div>
    <w:div w:id="362942123">
      <w:bodyDiv w:val="1"/>
      <w:marLeft w:val="0"/>
      <w:marRight w:val="0"/>
      <w:marTop w:val="0"/>
      <w:marBottom w:val="0"/>
      <w:divBdr>
        <w:top w:val="none" w:sz="0" w:space="0" w:color="auto"/>
        <w:left w:val="none" w:sz="0" w:space="0" w:color="auto"/>
        <w:bottom w:val="none" w:sz="0" w:space="0" w:color="auto"/>
        <w:right w:val="none" w:sz="0" w:space="0" w:color="auto"/>
      </w:divBdr>
    </w:div>
    <w:div w:id="504630475">
      <w:bodyDiv w:val="1"/>
      <w:marLeft w:val="0"/>
      <w:marRight w:val="0"/>
      <w:marTop w:val="0"/>
      <w:marBottom w:val="0"/>
      <w:divBdr>
        <w:top w:val="none" w:sz="0" w:space="0" w:color="auto"/>
        <w:left w:val="none" w:sz="0" w:space="0" w:color="auto"/>
        <w:bottom w:val="none" w:sz="0" w:space="0" w:color="auto"/>
        <w:right w:val="none" w:sz="0" w:space="0" w:color="auto"/>
      </w:divBdr>
    </w:div>
    <w:div w:id="529412187">
      <w:bodyDiv w:val="1"/>
      <w:marLeft w:val="0"/>
      <w:marRight w:val="0"/>
      <w:marTop w:val="0"/>
      <w:marBottom w:val="0"/>
      <w:divBdr>
        <w:top w:val="none" w:sz="0" w:space="0" w:color="auto"/>
        <w:left w:val="none" w:sz="0" w:space="0" w:color="auto"/>
        <w:bottom w:val="none" w:sz="0" w:space="0" w:color="auto"/>
        <w:right w:val="none" w:sz="0" w:space="0" w:color="auto"/>
      </w:divBdr>
    </w:div>
    <w:div w:id="598298479">
      <w:bodyDiv w:val="1"/>
      <w:marLeft w:val="0"/>
      <w:marRight w:val="0"/>
      <w:marTop w:val="0"/>
      <w:marBottom w:val="0"/>
      <w:divBdr>
        <w:top w:val="none" w:sz="0" w:space="0" w:color="auto"/>
        <w:left w:val="none" w:sz="0" w:space="0" w:color="auto"/>
        <w:bottom w:val="none" w:sz="0" w:space="0" w:color="auto"/>
        <w:right w:val="none" w:sz="0" w:space="0" w:color="auto"/>
      </w:divBdr>
    </w:div>
    <w:div w:id="629555991">
      <w:bodyDiv w:val="1"/>
      <w:marLeft w:val="0"/>
      <w:marRight w:val="0"/>
      <w:marTop w:val="0"/>
      <w:marBottom w:val="0"/>
      <w:divBdr>
        <w:top w:val="none" w:sz="0" w:space="0" w:color="auto"/>
        <w:left w:val="none" w:sz="0" w:space="0" w:color="auto"/>
        <w:bottom w:val="none" w:sz="0" w:space="0" w:color="auto"/>
        <w:right w:val="none" w:sz="0" w:space="0" w:color="auto"/>
      </w:divBdr>
    </w:div>
    <w:div w:id="640500087">
      <w:bodyDiv w:val="1"/>
      <w:marLeft w:val="0"/>
      <w:marRight w:val="0"/>
      <w:marTop w:val="0"/>
      <w:marBottom w:val="0"/>
      <w:divBdr>
        <w:top w:val="none" w:sz="0" w:space="0" w:color="auto"/>
        <w:left w:val="none" w:sz="0" w:space="0" w:color="auto"/>
        <w:bottom w:val="none" w:sz="0" w:space="0" w:color="auto"/>
        <w:right w:val="none" w:sz="0" w:space="0" w:color="auto"/>
      </w:divBdr>
    </w:div>
    <w:div w:id="645478749">
      <w:bodyDiv w:val="1"/>
      <w:marLeft w:val="0"/>
      <w:marRight w:val="0"/>
      <w:marTop w:val="0"/>
      <w:marBottom w:val="0"/>
      <w:divBdr>
        <w:top w:val="none" w:sz="0" w:space="0" w:color="auto"/>
        <w:left w:val="none" w:sz="0" w:space="0" w:color="auto"/>
        <w:bottom w:val="none" w:sz="0" w:space="0" w:color="auto"/>
        <w:right w:val="none" w:sz="0" w:space="0" w:color="auto"/>
      </w:divBdr>
    </w:div>
    <w:div w:id="682049830">
      <w:bodyDiv w:val="1"/>
      <w:marLeft w:val="0"/>
      <w:marRight w:val="0"/>
      <w:marTop w:val="0"/>
      <w:marBottom w:val="0"/>
      <w:divBdr>
        <w:top w:val="none" w:sz="0" w:space="0" w:color="auto"/>
        <w:left w:val="none" w:sz="0" w:space="0" w:color="auto"/>
        <w:bottom w:val="none" w:sz="0" w:space="0" w:color="auto"/>
        <w:right w:val="none" w:sz="0" w:space="0" w:color="auto"/>
      </w:divBdr>
    </w:div>
    <w:div w:id="841700901">
      <w:bodyDiv w:val="1"/>
      <w:marLeft w:val="0"/>
      <w:marRight w:val="0"/>
      <w:marTop w:val="0"/>
      <w:marBottom w:val="0"/>
      <w:divBdr>
        <w:top w:val="none" w:sz="0" w:space="0" w:color="auto"/>
        <w:left w:val="none" w:sz="0" w:space="0" w:color="auto"/>
        <w:bottom w:val="none" w:sz="0" w:space="0" w:color="auto"/>
        <w:right w:val="none" w:sz="0" w:space="0" w:color="auto"/>
      </w:divBdr>
    </w:div>
    <w:div w:id="882255884">
      <w:bodyDiv w:val="1"/>
      <w:marLeft w:val="0"/>
      <w:marRight w:val="0"/>
      <w:marTop w:val="0"/>
      <w:marBottom w:val="0"/>
      <w:divBdr>
        <w:top w:val="none" w:sz="0" w:space="0" w:color="auto"/>
        <w:left w:val="none" w:sz="0" w:space="0" w:color="auto"/>
        <w:bottom w:val="none" w:sz="0" w:space="0" w:color="auto"/>
        <w:right w:val="none" w:sz="0" w:space="0" w:color="auto"/>
      </w:divBdr>
    </w:div>
    <w:div w:id="922027080">
      <w:bodyDiv w:val="1"/>
      <w:marLeft w:val="0"/>
      <w:marRight w:val="0"/>
      <w:marTop w:val="0"/>
      <w:marBottom w:val="0"/>
      <w:divBdr>
        <w:top w:val="none" w:sz="0" w:space="0" w:color="auto"/>
        <w:left w:val="none" w:sz="0" w:space="0" w:color="auto"/>
        <w:bottom w:val="none" w:sz="0" w:space="0" w:color="auto"/>
        <w:right w:val="none" w:sz="0" w:space="0" w:color="auto"/>
      </w:divBdr>
    </w:div>
    <w:div w:id="970936783">
      <w:bodyDiv w:val="1"/>
      <w:marLeft w:val="0"/>
      <w:marRight w:val="0"/>
      <w:marTop w:val="0"/>
      <w:marBottom w:val="0"/>
      <w:divBdr>
        <w:top w:val="none" w:sz="0" w:space="0" w:color="auto"/>
        <w:left w:val="none" w:sz="0" w:space="0" w:color="auto"/>
        <w:bottom w:val="none" w:sz="0" w:space="0" w:color="auto"/>
        <w:right w:val="none" w:sz="0" w:space="0" w:color="auto"/>
      </w:divBdr>
    </w:div>
    <w:div w:id="998075132">
      <w:bodyDiv w:val="1"/>
      <w:marLeft w:val="0"/>
      <w:marRight w:val="0"/>
      <w:marTop w:val="0"/>
      <w:marBottom w:val="0"/>
      <w:divBdr>
        <w:top w:val="none" w:sz="0" w:space="0" w:color="auto"/>
        <w:left w:val="none" w:sz="0" w:space="0" w:color="auto"/>
        <w:bottom w:val="none" w:sz="0" w:space="0" w:color="auto"/>
        <w:right w:val="none" w:sz="0" w:space="0" w:color="auto"/>
      </w:divBdr>
    </w:div>
    <w:div w:id="1199318725">
      <w:bodyDiv w:val="1"/>
      <w:marLeft w:val="0"/>
      <w:marRight w:val="0"/>
      <w:marTop w:val="0"/>
      <w:marBottom w:val="0"/>
      <w:divBdr>
        <w:top w:val="none" w:sz="0" w:space="0" w:color="auto"/>
        <w:left w:val="none" w:sz="0" w:space="0" w:color="auto"/>
        <w:bottom w:val="none" w:sz="0" w:space="0" w:color="auto"/>
        <w:right w:val="none" w:sz="0" w:space="0" w:color="auto"/>
      </w:divBdr>
    </w:div>
    <w:div w:id="1288774951">
      <w:bodyDiv w:val="1"/>
      <w:marLeft w:val="0"/>
      <w:marRight w:val="0"/>
      <w:marTop w:val="0"/>
      <w:marBottom w:val="0"/>
      <w:divBdr>
        <w:top w:val="none" w:sz="0" w:space="0" w:color="auto"/>
        <w:left w:val="none" w:sz="0" w:space="0" w:color="auto"/>
        <w:bottom w:val="none" w:sz="0" w:space="0" w:color="auto"/>
        <w:right w:val="none" w:sz="0" w:space="0" w:color="auto"/>
      </w:divBdr>
    </w:div>
    <w:div w:id="1342005265">
      <w:bodyDiv w:val="1"/>
      <w:marLeft w:val="0"/>
      <w:marRight w:val="0"/>
      <w:marTop w:val="0"/>
      <w:marBottom w:val="0"/>
      <w:divBdr>
        <w:top w:val="none" w:sz="0" w:space="0" w:color="auto"/>
        <w:left w:val="none" w:sz="0" w:space="0" w:color="auto"/>
        <w:bottom w:val="none" w:sz="0" w:space="0" w:color="auto"/>
        <w:right w:val="none" w:sz="0" w:space="0" w:color="auto"/>
      </w:divBdr>
    </w:div>
    <w:div w:id="1382098004">
      <w:bodyDiv w:val="1"/>
      <w:marLeft w:val="0"/>
      <w:marRight w:val="0"/>
      <w:marTop w:val="0"/>
      <w:marBottom w:val="0"/>
      <w:divBdr>
        <w:top w:val="none" w:sz="0" w:space="0" w:color="auto"/>
        <w:left w:val="none" w:sz="0" w:space="0" w:color="auto"/>
        <w:bottom w:val="none" w:sz="0" w:space="0" w:color="auto"/>
        <w:right w:val="none" w:sz="0" w:space="0" w:color="auto"/>
      </w:divBdr>
    </w:div>
    <w:div w:id="1397702110">
      <w:bodyDiv w:val="1"/>
      <w:marLeft w:val="0"/>
      <w:marRight w:val="0"/>
      <w:marTop w:val="0"/>
      <w:marBottom w:val="0"/>
      <w:divBdr>
        <w:top w:val="none" w:sz="0" w:space="0" w:color="auto"/>
        <w:left w:val="none" w:sz="0" w:space="0" w:color="auto"/>
        <w:bottom w:val="none" w:sz="0" w:space="0" w:color="auto"/>
        <w:right w:val="none" w:sz="0" w:space="0" w:color="auto"/>
      </w:divBdr>
    </w:div>
    <w:div w:id="1562209085">
      <w:bodyDiv w:val="1"/>
      <w:marLeft w:val="0"/>
      <w:marRight w:val="0"/>
      <w:marTop w:val="0"/>
      <w:marBottom w:val="0"/>
      <w:divBdr>
        <w:top w:val="none" w:sz="0" w:space="0" w:color="auto"/>
        <w:left w:val="none" w:sz="0" w:space="0" w:color="auto"/>
        <w:bottom w:val="none" w:sz="0" w:space="0" w:color="auto"/>
        <w:right w:val="none" w:sz="0" w:space="0" w:color="auto"/>
      </w:divBdr>
    </w:div>
    <w:div w:id="1582909221">
      <w:bodyDiv w:val="1"/>
      <w:marLeft w:val="0"/>
      <w:marRight w:val="0"/>
      <w:marTop w:val="0"/>
      <w:marBottom w:val="0"/>
      <w:divBdr>
        <w:top w:val="none" w:sz="0" w:space="0" w:color="auto"/>
        <w:left w:val="none" w:sz="0" w:space="0" w:color="auto"/>
        <w:bottom w:val="none" w:sz="0" w:space="0" w:color="auto"/>
        <w:right w:val="none" w:sz="0" w:space="0" w:color="auto"/>
      </w:divBdr>
    </w:div>
    <w:div w:id="1589996062">
      <w:bodyDiv w:val="1"/>
      <w:marLeft w:val="0"/>
      <w:marRight w:val="0"/>
      <w:marTop w:val="0"/>
      <w:marBottom w:val="0"/>
      <w:divBdr>
        <w:top w:val="none" w:sz="0" w:space="0" w:color="auto"/>
        <w:left w:val="none" w:sz="0" w:space="0" w:color="auto"/>
        <w:bottom w:val="none" w:sz="0" w:space="0" w:color="auto"/>
        <w:right w:val="none" w:sz="0" w:space="0" w:color="auto"/>
      </w:divBdr>
    </w:div>
    <w:div w:id="1649624277">
      <w:bodyDiv w:val="1"/>
      <w:marLeft w:val="0"/>
      <w:marRight w:val="0"/>
      <w:marTop w:val="0"/>
      <w:marBottom w:val="0"/>
      <w:divBdr>
        <w:top w:val="none" w:sz="0" w:space="0" w:color="auto"/>
        <w:left w:val="none" w:sz="0" w:space="0" w:color="auto"/>
        <w:bottom w:val="none" w:sz="0" w:space="0" w:color="auto"/>
        <w:right w:val="none" w:sz="0" w:space="0" w:color="auto"/>
      </w:divBdr>
    </w:div>
    <w:div w:id="1686710774">
      <w:bodyDiv w:val="1"/>
      <w:marLeft w:val="0"/>
      <w:marRight w:val="0"/>
      <w:marTop w:val="0"/>
      <w:marBottom w:val="0"/>
      <w:divBdr>
        <w:top w:val="none" w:sz="0" w:space="0" w:color="auto"/>
        <w:left w:val="none" w:sz="0" w:space="0" w:color="auto"/>
        <w:bottom w:val="none" w:sz="0" w:space="0" w:color="auto"/>
        <w:right w:val="none" w:sz="0" w:space="0" w:color="auto"/>
      </w:divBdr>
    </w:div>
    <w:div w:id="1696424905">
      <w:bodyDiv w:val="1"/>
      <w:marLeft w:val="0"/>
      <w:marRight w:val="0"/>
      <w:marTop w:val="0"/>
      <w:marBottom w:val="0"/>
      <w:divBdr>
        <w:top w:val="none" w:sz="0" w:space="0" w:color="auto"/>
        <w:left w:val="none" w:sz="0" w:space="0" w:color="auto"/>
        <w:bottom w:val="none" w:sz="0" w:space="0" w:color="auto"/>
        <w:right w:val="none" w:sz="0" w:space="0" w:color="auto"/>
      </w:divBdr>
    </w:div>
    <w:div w:id="1704598470">
      <w:bodyDiv w:val="1"/>
      <w:marLeft w:val="0"/>
      <w:marRight w:val="0"/>
      <w:marTop w:val="0"/>
      <w:marBottom w:val="0"/>
      <w:divBdr>
        <w:top w:val="none" w:sz="0" w:space="0" w:color="auto"/>
        <w:left w:val="none" w:sz="0" w:space="0" w:color="auto"/>
        <w:bottom w:val="none" w:sz="0" w:space="0" w:color="auto"/>
        <w:right w:val="none" w:sz="0" w:space="0" w:color="auto"/>
      </w:divBdr>
    </w:div>
    <w:div w:id="1707825608">
      <w:bodyDiv w:val="1"/>
      <w:marLeft w:val="0"/>
      <w:marRight w:val="0"/>
      <w:marTop w:val="0"/>
      <w:marBottom w:val="0"/>
      <w:divBdr>
        <w:top w:val="none" w:sz="0" w:space="0" w:color="auto"/>
        <w:left w:val="none" w:sz="0" w:space="0" w:color="auto"/>
        <w:bottom w:val="none" w:sz="0" w:space="0" w:color="auto"/>
        <w:right w:val="none" w:sz="0" w:space="0" w:color="auto"/>
      </w:divBdr>
    </w:div>
    <w:div w:id="1738819810">
      <w:bodyDiv w:val="1"/>
      <w:marLeft w:val="0"/>
      <w:marRight w:val="0"/>
      <w:marTop w:val="0"/>
      <w:marBottom w:val="0"/>
      <w:divBdr>
        <w:top w:val="none" w:sz="0" w:space="0" w:color="auto"/>
        <w:left w:val="none" w:sz="0" w:space="0" w:color="auto"/>
        <w:bottom w:val="none" w:sz="0" w:space="0" w:color="auto"/>
        <w:right w:val="none" w:sz="0" w:space="0" w:color="auto"/>
      </w:divBdr>
    </w:div>
    <w:div w:id="1756248116">
      <w:bodyDiv w:val="1"/>
      <w:marLeft w:val="0"/>
      <w:marRight w:val="0"/>
      <w:marTop w:val="0"/>
      <w:marBottom w:val="0"/>
      <w:divBdr>
        <w:top w:val="none" w:sz="0" w:space="0" w:color="auto"/>
        <w:left w:val="none" w:sz="0" w:space="0" w:color="auto"/>
        <w:bottom w:val="none" w:sz="0" w:space="0" w:color="auto"/>
        <w:right w:val="none" w:sz="0" w:space="0" w:color="auto"/>
      </w:divBdr>
    </w:div>
    <w:div w:id="1793741421">
      <w:bodyDiv w:val="1"/>
      <w:marLeft w:val="0"/>
      <w:marRight w:val="0"/>
      <w:marTop w:val="0"/>
      <w:marBottom w:val="0"/>
      <w:divBdr>
        <w:top w:val="none" w:sz="0" w:space="0" w:color="auto"/>
        <w:left w:val="none" w:sz="0" w:space="0" w:color="auto"/>
        <w:bottom w:val="none" w:sz="0" w:space="0" w:color="auto"/>
        <w:right w:val="none" w:sz="0" w:space="0" w:color="auto"/>
      </w:divBdr>
    </w:div>
    <w:div w:id="1823886846">
      <w:bodyDiv w:val="1"/>
      <w:marLeft w:val="0"/>
      <w:marRight w:val="0"/>
      <w:marTop w:val="0"/>
      <w:marBottom w:val="0"/>
      <w:divBdr>
        <w:top w:val="none" w:sz="0" w:space="0" w:color="auto"/>
        <w:left w:val="none" w:sz="0" w:space="0" w:color="auto"/>
        <w:bottom w:val="none" w:sz="0" w:space="0" w:color="auto"/>
        <w:right w:val="none" w:sz="0" w:space="0" w:color="auto"/>
      </w:divBdr>
    </w:div>
    <w:div w:id="20800099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GOD%20008-00-SKB%20SPC%20Hum%20skabelon.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GOD 008-00-SKB SPC Hum skabelon</Template>
  <TotalTime>57</TotalTime>
  <Pages>22</Pages>
  <Words>7711</Words>
  <Characters>49792</Characters>
  <Application>Microsoft Office Word</Application>
  <DocSecurity>0</DocSecurity>
  <Lines>414</Lines>
  <Paragraphs>114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57389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Hanne Thy Iversen</dc:creator>
  <cp:keywords/>
  <dc:description>2020011898 mt</dc:description>
  <cp:lastModifiedBy>Hanne Thy Iversen</cp:lastModifiedBy>
  <cp:revision>18</cp:revision>
  <cp:lastPrinted>2012-08-22T08:53:00Z</cp:lastPrinted>
  <dcterms:created xsi:type="dcterms:W3CDTF">2021-08-17T09:38:00Z</dcterms:created>
  <dcterms:modified xsi:type="dcterms:W3CDTF">2021-08-20T08:22:00Z</dcterms:modified>
</cp:coreProperties>
</file>