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9E8D4" w14:textId="77777777" w:rsidR="009260DE" w:rsidRPr="009752A1" w:rsidRDefault="0021526C" w:rsidP="009260DE">
      <w:pPr>
        <w:rPr>
          <w:sz w:val="24"/>
          <w:szCs w:val="24"/>
        </w:rPr>
      </w:pPr>
      <w:bookmarkStart w:id="0" w:name="_GoBack"/>
      <w:bookmarkEnd w:id="0"/>
      <w:r w:rsidRPr="009752A1">
        <w:rPr>
          <w:noProof/>
          <w:sz w:val="24"/>
          <w:szCs w:val="24"/>
          <w:lang w:eastAsia="da-DK"/>
        </w:rPr>
        <w:drawing>
          <wp:anchor distT="0" distB="0" distL="114300" distR="114300" simplePos="0" relativeHeight="251658240" behindDoc="0" locked="0" layoutInCell="1" allowOverlap="1" wp14:anchorId="2B350196" wp14:editId="2B8AA90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752A1">
        <w:rPr>
          <w:sz w:val="24"/>
          <w:szCs w:val="24"/>
        </w:rPr>
        <w:br w:type="textWrapping" w:clear="all"/>
      </w:r>
    </w:p>
    <w:p w14:paraId="516B3887" w14:textId="01710DF7" w:rsidR="009260DE" w:rsidRPr="009752A1" w:rsidRDefault="009260DE" w:rsidP="009260DE">
      <w:pPr>
        <w:pStyle w:val="Titel"/>
        <w:tabs>
          <w:tab w:val="right" w:pos="9356"/>
        </w:tabs>
        <w:jc w:val="left"/>
        <w:rPr>
          <w:b w:val="0"/>
          <w:szCs w:val="24"/>
          <w:lang w:eastAsia="en-US"/>
        </w:rPr>
      </w:pPr>
      <w:r w:rsidRPr="009752A1">
        <w:rPr>
          <w:b w:val="0"/>
          <w:szCs w:val="24"/>
          <w:lang w:eastAsia="en-US"/>
        </w:rPr>
        <w:tab/>
      </w:r>
      <w:r w:rsidR="004D15E1">
        <w:rPr>
          <w:szCs w:val="24"/>
        </w:rPr>
        <w:t>21. marts 2023</w:t>
      </w:r>
    </w:p>
    <w:p w14:paraId="19647EF1" w14:textId="77777777" w:rsidR="009260DE" w:rsidRPr="009752A1" w:rsidRDefault="009260DE" w:rsidP="009260DE">
      <w:pPr>
        <w:pStyle w:val="Titel"/>
        <w:tabs>
          <w:tab w:val="left" w:pos="8222"/>
        </w:tabs>
        <w:jc w:val="left"/>
        <w:rPr>
          <w:b w:val="0"/>
          <w:szCs w:val="24"/>
        </w:rPr>
      </w:pPr>
    </w:p>
    <w:p w14:paraId="3F66AC9B" w14:textId="18F60070" w:rsidR="009260DE" w:rsidRPr="009752A1" w:rsidRDefault="009260DE" w:rsidP="009260DE">
      <w:pPr>
        <w:pStyle w:val="Titel"/>
        <w:jc w:val="left"/>
        <w:rPr>
          <w:b w:val="0"/>
          <w:szCs w:val="24"/>
        </w:rPr>
      </w:pPr>
    </w:p>
    <w:p w14:paraId="60F893F8" w14:textId="77777777" w:rsidR="009260DE" w:rsidRPr="009752A1" w:rsidRDefault="009260DE" w:rsidP="009260DE">
      <w:pPr>
        <w:pStyle w:val="Titel"/>
        <w:jc w:val="left"/>
        <w:rPr>
          <w:b w:val="0"/>
          <w:szCs w:val="24"/>
        </w:rPr>
      </w:pPr>
    </w:p>
    <w:p w14:paraId="3B516CE2" w14:textId="77777777" w:rsidR="009260DE" w:rsidRPr="009752A1" w:rsidRDefault="009260DE" w:rsidP="009260DE">
      <w:pPr>
        <w:jc w:val="center"/>
        <w:rPr>
          <w:b/>
          <w:sz w:val="24"/>
          <w:szCs w:val="24"/>
        </w:rPr>
      </w:pPr>
      <w:r w:rsidRPr="009752A1">
        <w:rPr>
          <w:b/>
          <w:sz w:val="24"/>
          <w:szCs w:val="24"/>
        </w:rPr>
        <w:t>PRODUKTRESUMÉ</w:t>
      </w:r>
    </w:p>
    <w:p w14:paraId="3DCAE122" w14:textId="77777777" w:rsidR="009260DE" w:rsidRPr="009752A1" w:rsidRDefault="009260DE" w:rsidP="009260DE">
      <w:pPr>
        <w:jc w:val="center"/>
        <w:rPr>
          <w:b/>
          <w:sz w:val="24"/>
          <w:szCs w:val="24"/>
        </w:rPr>
      </w:pPr>
    </w:p>
    <w:p w14:paraId="2B2BB6AF" w14:textId="77777777" w:rsidR="009260DE" w:rsidRPr="009752A1" w:rsidRDefault="009260DE" w:rsidP="009260DE">
      <w:pPr>
        <w:jc w:val="center"/>
        <w:rPr>
          <w:b/>
          <w:sz w:val="24"/>
          <w:szCs w:val="24"/>
        </w:rPr>
      </w:pPr>
      <w:r w:rsidRPr="009752A1">
        <w:rPr>
          <w:b/>
          <w:sz w:val="24"/>
          <w:szCs w:val="24"/>
        </w:rPr>
        <w:t>for</w:t>
      </w:r>
    </w:p>
    <w:p w14:paraId="470C2F8A" w14:textId="77777777" w:rsidR="000B058C" w:rsidRPr="009752A1" w:rsidRDefault="000B058C" w:rsidP="009260DE">
      <w:pPr>
        <w:jc w:val="center"/>
        <w:rPr>
          <w:b/>
          <w:sz w:val="24"/>
          <w:szCs w:val="24"/>
        </w:rPr>
      </w:pPr>
    </w:p>
    <w:p w14:paraId="3988A46A" w14:textId="519259BD" w:rsidR="009260DE" w:rsidRPr="009752A1" w:rsidRDefault="00312596" w:rsidP="009260DE">
      <w:pPr>
        <w:jc w:val="center"/>
        <w:rPr>
          <w:b/>
          <w:sz w:val="24"/>
          <w:szCs w:val="24"/>
        </w:rPr>
      </w:pPr>
      <w:proofErr w:type="spellStart"/>
      <w:r w:rsidRPr="009752A1">
        <w:rPr>
          <w:b/>
          <w:sz w:val="24"/>
          <w:szCs w:val="24"/>
        </w:rPr>
        <w:t>Deferipron</w:t>
      </w:r>
      <w:proofErr w:type="spellEnd"/>
      <w:r w:rsidRPr="009752A1">
        <w:rPr>
          <w:b/>
          <w:sz w:val="24"/>
          <w:szCs w:val="24"/>
        </w:rPr>
        <w:t xml:space="preserve"> </w:t>
      </w:r>
      <w:r w:rsidR="004A11CF">
        <w:rPr>
          <w:b/>
          <w:sz w:val="24"/>
          <w:szCs w:val="24"/>
        </w:rPr>
        <w:t>"</w:t>
      </w:r>
      <w:proofErr w:type="spellStart"/>
      <w:r w:rsidRPr="009752A1">
        <w:rPr>
          <w:b/>
          <w:sz w:val="24"/>
          <w:szCs w:val="24"/>
        </w:rPr>
        <w:t>Orifarm</w:t>
      </w:r>
      <w:proofErr w:type="spellEnd"/>
      <w:r w:rsidR="004A11CF">
        <w:rPr>
          <w:b/>
          <w:sz w:val="24"/>
          <w:szCs w:val="24"/>
        </w:rPr>
        <w:t>"</w:t>
      </w:r>
      <w:r w:rsidRPr="009752A1">
        <w:rPr>
          <w:b/>
          <w:sz w:val="24"/>
          <w:szCs w:val="24"/>
        </w:rPr>
        <w:t>, filmovertrukne tabletter</w:t>
      </w:r>
    </w:p>
    <w:p w14:paraId="4A1843D5" w14:textId="77777777" w:rsidR="009260DE" w:rsidRPr="009752A1" w:rsidRDefault="009260DE" w:rsidP="009260DE">
      <w:pPr>
        <w:jc w:val="both"/>
        <w:rPr>
          <w:sz w:val="24"/>
          <w:szCs w:val="24"/>
        </w:rPr>
      </w:pPr>
    </w:p>
    <w:p w14:paraId="1FEF2D9B" w14:textId="77777777" w:rsidR="009260DE" w:rsidRPr="009752A1" w:rsidRDefault="009260DE" w:rsidP="009260DE">
      <w:pPr>
        <w:jc w:val="both"/>
        <w:rPr>
          <w:sz w:val="24"/>
          <w:szCs w:val="24"/>
        </w:rPr>
      </w:pPr>
    </w:p>
    <w:p w14:paraId="35B54403" w14:textId="77777777" w:rsidR="009260DE" w:rsidRPr="009752A1" w:rsidRDefault="009260DE" w:rsidP="009260DE">
      <w:pPr>
        <w:tabs>
          <w:tab w:val="left" w:pos="851"/>
        </w:tabs>
        <w:ind w:left="851" w:hanging="851"/>
        <w:rPr>
          <w:b/>
          <w:sz w:val="24"/>
          <w:szCs w:val="24"/>
        </w:rPr>
      </w:pPr>
      <w:r w:rsidRPr="009752A1">
        <w:rPr>
          <w:b/>
          <w:sz w:val="24"/>
          <w:szCs w:val="24"/>
        </w:rPr>
        <w:t>0.</w:t>
      </w:r>
      <w:r w:rsidRPr="009752A1">
        <w:rPr>
          <w:b/>
          <w:sz w:val="24"/>
          <w:szCs w:val="24"/>
        </w:rPr>
        <w:tab/>
        <w:t>D.SP.NR.</w:t>
      </w:r>
    </w:p>
    <w:p w14:paraId="05FF037B" w14:textId="1B5D2987" w:rsidR="009260DE" w:rsidRPr="009752A1" w:rsidRDefault="005451FE" w:rsidP="009260DE">
      <w:pPr>
        <w:tabs>
          <w:tab w:val="left" w:pos="851"/>
        </w:tabs>
        <w:ind w:left="851"/>
        <w:rPr>
          <w:sz w:val="24"/>
          <w:szCs w:val="24"/>
        </w:rPr>
      </w:pPr>
      <w:r w:rsidRPr="009752A1">
        <w:rPr>
          <w:sz w:val="24"/>
          <w:szCs w:val="24"/>
        </w:rPr>
        <w:t>31721</w:t>
      </w:r>
    </w:p>
    <w:p w14:paraId="233537BD" w14:textId="77777777" w:rsidR="009260DE" w:rsidRPr="009752A1" w:rsidRDefault="009260DE" w:rsidP="009260DE">
      <w:pPr>
        <w:tabs>
          <w:tab w:val="left" w:pos="851"/>
        </w:tabs>
        <w:ind w:left="851"/>
        <w:rPr>
          <w:sz w:val="24"/>
          <w:szCs w:val="24"/>
        </w:rPr>
      </w:pPr>
    </w:p>
    <w:p w14:paraId="4BA80E06" w14:textId="77777777" w:rsidR="009260DE" w:rsidRPr="009752A1" w:rsidRDefault="009260DE" w:rsidP="009260DE">
      <w:pPr>
        <w:tabs>
          <w:tab w:val="left" w:pos="851"/>
        </w:tabs>
        <w:ind w:left="851" w:hanging="851"/>
        <w:rPr>
          <w:b/>
          <w:sz w:val="24"/>
          <w:szCs w:val="24"/>
        </w:rPr>
      </w:pPr>
      <w:r w:rsidRPr="009752A1">
        <w:rPr>
          <w:b/>
          <w:sz w:val="24"/>
          <w:szCs w:val="24"/>
        </w:rPr>
        <w:t>1.</w:t>
      </w:r>
      <w:r w:rsidRPr="009752A1">
        <w:rPr>
          <w:b/>
          <w:sz w:val="24"/>
          <w:szCs w:val="24"/>
        </w:rPr>
        <w:tab/>
        <w:t>LÆGEMIDLETS NAVN</w:t>
      </w:r>
    </w:p>
    <w:p w14:paraId="092ED725" w14:textId="2B7BA00B" w:rsidR="009260DE" w:rsidRPr="009752A1" w:rsidRDefault="00312596" w:rsidP="009260DE">
      <w:pPr>
        <w:tabs>
          <w:tab w:val="left" w:pos="851"/>
        </w:tabs>
        <w:ind w:left="851"/>
        <w:rPr>
          <w:sz w:val="24"/>
          <w:szCs w:val="24"/>
        </w:rPr>
      </w:pPr>
      <w:proofErr w:type="spellStart"/>
      <w:r w:rsidRPr="009752A1">
        <w:rPr>
          <w:sz w:val="24"/>
          <w:szCs w:val="24"/>
        </w:rPr>
        <w:t>Deferipron</w:t>
      </w:r>
      <w:proofErr w:type="spellEnd"/>
      <w:r w:rsidRPr="009752A1">
        <w:rPr>
          <w:sz w:val="24"/>
          <w:szCs w:val="24"/>
        </w:rPr>
        <w:t xml:space="preserve"> </w:t>
      </w:r>
      <w:r w:rsidR="004A11CF">
        <w:rPr>
          <w:sz w:val="24"/>
          <w:szCs w:val="24"/>
        </w:rPr>
        <w:t>"</w:t>
      </w:r>
      <w:proofErr w:type="spellStart"/>
      <w:r w:rsidRPr="009752A1">
        <w:rPr>
          <w:sz w:val="24"/>
          <w:szCs w:val="24"/>
        </w:rPr>
        <w:t>Orifarm</w:t>
      </w:r>
      <w:proofErr w:type="spellEnd"/>
      <w:r w:rsidR="004A11CF">
        <w:rPr>
          <w:sz w:val="24"/>
          <w:szCs w:val="24"/>
        </w:rPr>
        <w:t>"</w:t>
      </w:r>
    </w:p>
    <w:p w14:paraId="65006D8C" w14:textId="77777777" w:rsidR="009260DE" w:rsidRPr="009752A1" w:rsidRDefault="009260DE" w:rsidP="009260DE">
      <w:pPr>
        <w:tabs>
          <w:tab w:val="left" w:pos="851"/>
        </w:tabs>
        <w:ind w:left="851"/>
        <w:rPr>
          <w:sz w:val="24"/>
          <w:szCs w:val="24"/>
        </w:rPr>
      </w:pPr>
    </w:p>
    <w:p w14:paraId="5C777C28" w14:textId="77777777" w:rsidR="009260DE" w:rsidRPr="009752A1" w:rsidRDefault="009260DE" w:rsidP="009260DE">
      <w:pPr>
        <w:tabs>
          <w:tab w:val="left" w:pos="851"/>
        </w:tabs>
        <w:ind w:left="851" w:hanging="851"/>
        <w:rPr>
          <w:b/>
          <w:sz w:val="24"/>
          <w:szCs w:val="24"/>
        </w:rPr>
      </w:pPr>
      <w:r w:rsidRPr="009752A1">
        <w:rPr>
          <w:b/>
          <w:sz w:val="24"/>
          <w:szCs w:val="24"/>
        </w:rPr>
        <w:t>2.</w:t>
      </w:r>
      <w:r w:rsidRPr="009752A1">
        <w:rPr>
          <w:b/>
          <w:sz w:val="24"/>
          <w:szCs w:val="24"/>
        </w:rPr>
        <w:tab/>
        <w:t>KVALITATIV OG KVANTITATIV SAMMENSÆTNING</w:t>
      </w:r>
    </w:p>
    <w:p w14:paraId="7665BF76" w14:textId="77777777" w:rsidR="006868F1" w:rsidRPr="009752A1" w:rsidRDefault="006868F1" w:rsidP="00855539">
      <w:pPr>
        <w:autoSpaceDE w:val="0"/>
        <w:autoSpaceDN w:val="0"/>
        <w:adjustRightInd w:val="0"/>
        <w:ind w:left="851"/>
        <w:rPr>
          <w:sz w:val="24"/>
          <w:szCs w:val="24"/>
          <w:lang w:eastAsia="da-DK"/>
        </w:rPr>
      </w:pPr>
      <w:r w:rsidRPr="009752A1">
        <w:rPr>
          <w:sz w:val="24"/>
          <w:szCs w:val="24"/>
          <w:lang w:eastAsia="da-DK"/>
        </w:rPr>
        <w:t xml:space="preserve">Hver tablet indeholder 500 mg eller 1000 mg </w:t>
      </w:r>
      <w:proofErr w:type="spellStart"/>
      <w:r w:rsidRPr="009752A1">
        <w:rPr>
          <w:sz w:val="24"/>
          <w:szCs w:val="24"/>
          <w:lang w:eastAsia="da-DK"/>
        </w:rPr>
        <w:t>deferipron</w:t>
      </w:r>
      <w:proofErr w:type="spellEnd"/>
      <w:r w:rsidRPr="009752A1">
        <w:rPr>
          <w:sz w:val="24"/>
          <w:szCs w:val="24"/>
          <w:lang w:eastAsia="da-DK"/>
        </w:rPr>
        <w:t>.</w:t>
      </w:r>
    </w:p>
    <w:p w14:paraId="386EF6F2" w14:textId="77777777" w:rsidR="006868F1" w:rsidRPr="009752A1" w:rsidRDefault="006868F1" w:rsidP="00855539">
      <w:pPr>
        <w:autoSpaceDE w:val="0"/>
        <w:autoSpaceDN w:val="0"/>
        <w:adjustRightInd w:val="0"/>
        <w:ind w:left="851"/>
        <w:rPr>
          <w:sz w:val="24"/>
          <w:szCs w:val="24"/>
          <w:lang w:eastAsia="da-DK"/>
        </w:rPr>
      </w:pPr>
    </w:p>
    <w:p w14:paraId="14047D1B" w14:textId="77777777" w:rsidR="006868F1" w:rsidRPr="009752A1" w:rsidRDefault="006868F1" w:rsidP="00855539">
      <w:pPr>
        <w:tabs>
          <w:tab w:val="left" w:pos="567"/>
        </w:tabs>
        <w:spacing w:line="260" w:lineRule="exact"/>
        <w:ind w:left="851"/>
        <w:rPr>
          <w:sz w:val="24"/>
          <w:szCs w:val="24"/>
        </w:rPr>
      </w:pPr>
      <w:r w:rsidRPr="009752A1">
        <w:rPr>
          <w:sz w:val="24"/>
          <w:szCs w:val="24"/>
        </w:rPr>
        <w:t>Alle hjælpestoffer er anført under pkt. 6.1.</w:t>
      </w:r>
    </w:p>
    <w:p w14:paraId="1639AA51" w14:textId="77777777" w:rsidR="009260DE" w:rsidRPr="009752A1" w:rsidRDefault="009260DE" w:rsidP="009260DE">
      <w:pPr>
        <w:tabs>
          <w:tab w:val="left" w:pos="851"/>
        </w:tabs>
        <w:ind w:left="851"/>
        <w:rPr>
          <w:sz w:val="24"/>
          <w:szCs w:val="24"/>
        </w:rPr>
      </w:pPr>
    </w:p>
    <w:p w14:paraId="3D47AF61" w14:textId="77777777" w:rsidR="009260DE" w:rsidRPr="009752A1" w:rsidRDefault="009260DE" w:rsidP="009260DE">
      <w:pPr>
        <w:tabs>
          <w:tab w:val="left" w:pos="851"/>
        </w:tabs>
        <w:ind w:left="851" w:hanging="851"/>
        <w:rPr>
          <w:b/>
          <w:sz w:val="24"/>
          <w:szCs w:val="24"/>
        </w:rPr>
      </w:pPr>
      <w:r w:rsidRPr="009752A1">
        <w:rPr>
          <w:b/>
          <w:sz w:val="24"/>
          <w:szCs w:val="24"/>
        </w:rPr>
        <w:t>3.</w:t>
      </w:r>
      <w:r w:rsidRPr="009752A1">
        <w:rPr>
          <w:b/>
          <w:sz w:val="24"/>
          <w:szCs w:val="24"/>
        </w:rPr>
        <w:tab/>
        <w:t>LÆGEMIDDELFORM</w:t>
      </w:r>
    </w:p>
    <w:p w14:paraId="743D37CC" w14:textId="32C00B5F" w:rsidR="00534F49" w:rsidRPr="009752A1" w:rsidRDefault="00534F49" w:rsidP="00855539">
      <w:pPr>
        <w:suppressAutoHyphens/>
        <w:ind w:left="851"/>
        <w:rPr>
          <w:sz w:val="24"/>
          <w:szCs w:val="24"/>
        </w:rPr>
      </w:pPr>
      <w:r w:rsidRPr="009752A1">
        <w:rPr>
          <w:spacing w:val="-3"/>
          <w:sz w:val="24"/>
          <w:szCs w:val="24"/>
        </w:rPr>
        <w:t>Filmovertruk</w:t>
      </w:r>
      <w:r w:rsidR="009752A1">
        <w:rPr>
          <w:spacing w:val="-3"/>
          <w:sz w:val="24"/>
          <w:szCs w:val="24"/>
        </w:rPr>
        <w:t>ne</w:t>
      </w:r>
      <w:r w:rsidRPr="009752A1">
        <w:rPr>
          <w:spacing w:val="-3"/>
          <w:sz w:val="24"/>
          <w:szCs w:val="24"/>
        </w:rPr>
        <w:t xml:space="preserve"> tablet</w:t>
      </w:r>
      <w:r w:rsidR="009752A1">
        <w:rPr>
          <w:spacing w:val="-3"/>
          <w:sz w:val="24"/>
          <w:szCs w:val="24"/>
        </w:rPr>
        <w:t>ter</w:t>
      </w:r>
    </w:p>
    <w:p w14:paraId="6B92896A" w14:textId="77777777" w:rsidR="00534F49" w:rsidRPr="009752A1" w:rsidRDefault="00534F49" w:rsidP="00855539">
      <w:pPr>
        <w:suppressAutoHyphens/>
        <w:ind w:left="851"/>
        <w:rPr>
          <w:sz w:val="24"/>
          <w:szCs w:val="24"/>
        </w:rPr>
      </w:pPr>
    </w:p>
    <w:p w14:paraId="6FAE8E88" w14:textId="14C190B4" w:rsidR="00534F49" w:rsidRPr="009752A1" w:rsidRDefault="00534F49" w:rsidP="00855539">
      <w:pPr>
        <w:autoSpaceDE w:val="0"/>
        <w:autoSpaceDN w:val="0"/>
        <w:adjustRightInd w:val="0"/>
        <w:ind w:left="851"/>
        <w:rPr>
          <w:sz w:val="24"/>
          <w:szCs w:val="24"/>
          <w:u w:val="single"/>
          <w:lang w:eastAsia="da-DK"/>
        </w:rPr>
      </w:pPr>
      <w:proofErr w:type="spellStart"/>
      <w:r w:rsidRPr="009752A1">
        <w:rPr>
          <w:sz w:val="24"/>
          <w:szCs w:val="24"/>
          <w:u w:val="single"/>
          <w:lang w:eastAsia="da-DK"/>
        </w:rPr>
        <w:t>Deferipron</w:t>
      </w:r>
      <w:proofErr w:type="spellEnd"/>
      <w:r w:rsidRPr="009752A1">
        <w:rPr>
          <w:sz w:val="24"/>
          <w:szCs w:val="24"/>
          <w:u w:val="single"/>
          <w:lang w:eastAsia="da-DK"/>
        </w:rPr>
        <w:t xml:space="preserve"> </w:t>
      </w:r>
      <w:r w:rsidR="00F35A95">
        <w:rPr>
          <w:sz w:val="24"/>
          <w:szCs w:val="24"/>
          <w:u w:val="single"/>
          <w:lang w:eastAsia="da-DK"/>
        </w:rPr>
        <w:t>"</w:t>
      </w:r>
      <w:proofErr w:type="spellStart"/>
      <w:r w:rsidR="00F35A95">
        <w:rPr>
          <w:sz w:val="24"/>
          <w:szCs w:val="24"/>
          <w:u w:val="single"/>
          <w:lang w:eastAsia="da-DK"/>
        </w:rPr>
        <w:t>Orifarm</w:t>
      </w:r>
      <w:proofErr w:type="spellEnd"/>
      <w:r w:rsidR="00F35A95">
        <w:rPr>
          <w:sz w:val="24"/>
          <w:szCs w:val="24"/>
          <w:u w:val="single"/>
          <w:lang w:eastAsia="da-DK"/>
        </w:rPr>
        <w:t>"</w:t>
      </w:r>
      <w:r w:rsidRPr="009752A1">
        <w:rPr>
          <w:sz w:val="24"/>
          <w:szCs w:val="24"/>
          <w:u w:val="single"/>
          <w:lang w:eastAsia="da-DK"/>
        </w:rPr>
        <w:t xml:space="preserve"> 500 mg:</w:t>
      </w:r>
    </w:p>
    <w:p w14:paraId="169EEE52" w14:textId="6628F5D5" w:rsidR="00534F49" w:rsidRPr="009752A1" w:rsidRDefault="00534F49" w:rsidP="00855539">
      <w:pPr>
        <w:autoSpaceDE w:val="0"/>
        <w:autoSpaceDN w:val="0"/>
        <w:adjustRightInd w:val="0"/>
        <w:ind w:left="851"/>
        <w:rPr>
          <w:sz w:val="24"/>
          <w:szCs w:val="24"/>
          <w:lang w:eastAsia="da-DK"/>
        </w:rPr>
      </w:pPr>
      <w:r w:rsidRPr="009752A1">
        <w:rPr>
          <w:sz w:val="24"/>
          <w:szCs w:val="24"/>
          <w:lang w:eastAsia="da-DK"/>
        </w:rPr>
        <w:t xml:space="preserve">Hvide til </w:t>
      </w:r>
      <w:proofErr w:type="spellStart"/>
      <w:r w:rsidRPr="009752A1">
        <w:rPr>
          <w:sz w:val="24"/>
          <w:szCs w:val="24"/>
          <w:lang w:eastAsia="da-DK"/>
        </w:rPr>
        <w:t>off-white</w:t>
      </w:r>
      <w:proofErr w:type="spellEnd"/>
      <w:r w:rsidRPr="009752A1">
        <w:rPr>
          <w:sz w:val="24"/>
          <w:szCs w:val="24"/>
          <w:lang w:eastAsia="da-DK"/>
        </w:rPr>
        <w:t xml:space="preserve">, aflange filmovertrukne tabletter (14,2 mm </w:t>
      </w:r>
      <w:r w:rsidR="00F119EC">
        <w:rPr>
          <w:sz w:val="24"/>
          <w:szCs w:val="24"/>
          <w:lang w:eastAsia="da-DK"/>
        </w:rPr>
        <w:t>×</w:t>
      </w:r>
      <w:r w:rsidRPr="009752A1">
        <w:rPr>
          <w:sz w:val="24"/>
          <w:szCs w:val="24"/>
          <w:lang w:eastAsia="da-DK"/>
        </w:rPr>
        <w:t xml:space="preserve"> 8,2 mm) med delekærv på den ene side Tabletten kan deles i to lige store doser.</w:t>
      </w:r>
    </w:p>
    <w:p w14:paraId="6A297D74" w14:textId="77777777" w:rsidR="00534F49" w:rsidRPr="009752A1" w:rsidRDefault="00534F49" w:rsidP="00855539">
      <w:pPr>
        <w:autoSpaceDE w:val="0"/>
        <w:autoSpaceDN w:val="0"/>
        <w:adjustRightInd w:val="0"/>
        <w:ind w:left="851"/>
        <w:rPr>
          <w:sz w:val="24"/>
          <w:szCs w:val="24"/>
          <w:lang w:eastAsia="da-DK"/>
        </w:rPr>
      </w:pPr>
    </w:p>
    <w:p w14:paraId="54BEB7C9" w14:textId="031E37A6" w:rsidR="00534F49" w:rsidRPr="009752A1" w:rsidRDefault="00534F49" w:rsidP="00855539">
      <w:pPr>
        <w:autoSpaceDE w:val="0"/>
        <w:autoSpaceDN w:val="0"/>
        <w:adjustRightInd w:val="0"/>
        <w:ind w:left="851"/>
        <w:rPr>
          <w:sz w:val="24"/>
          <w:szCs w:val="24"/>
          <w:u w:val="single"/>
          <w:lang w:eastAsia="da-DK"/>
        </w:rPr>
      </w:pPr>
      <w:proofErr w:type="spellStart"/>
      <w:r w:rsidRPr="009752A1">
        <w:rPr>
          <w:sz w:val="24"/>
          <w:szCs w:val="24"/>
          <w:u w:val="single"/>
          <w:lang w:eastAsia="da-DK"/>
        </w:rPr>
        <w:t>Deferipron</w:t>
      </w:r>
      <w:proofErr w:type="spellEnd"/>
      <w:r w:rsidRPr="009752A1">
        <w:rPr>
          <w:sz w:val="24"/>
          <w:szCs w:val="24"/>
          <w:u w:val="single"/>
          <w:lang w:eastAsia="da-DK"/>
        </w:rPr>
        <w:t xml:space="preserve"> </w:t>
      </w:r>
      <w:r w:rsidR="00F35A95">
        <w:rPr>
          <w:sz w:val="24"/>
          <w:szCs w:val="24"/>
          <w:u w:val="single"/>
          <w:lang w:eastAsia="da-DK"/>
        </w:rPr>
        <w:t>"</w:t>
      </w:r>
      <w:proofErr w:type="spellStart"/>
      <w:r w:rsidR="00F35A95">
        <w:rPr>
          <w:sz w:val="24"/>
          <w:szCs w:val="24"/>
          <w:u w:val="single"/>
          <w:lang w:eastAsia="da-DK"/>
        </w:rPr>
        <w:t>Orifarm</w:t>
      </w:r>
      <w:proofErr w:type="spellEnd"/>
      <w:r w:rsidR="00F35A95">
        <w:rPr>
          <w:sz w:val="24"/>
          <w:szCs w:val="24"/>
          <w:u w:val="single"/>
          <w:lang w:eastAsia="da-DK"/>
        </w:rPr>
        <w:t>"</w:t>
      </w:r>
      <w:r w:rsidRPr="009752A1">
        <w:rPr>
          <w:sz w:val="24"/>
          <w:szCs w:val="24"/>
          <w:u w:val="single"/>
          <w:lang w:eastAsia="da-DK"/>
        </w:rPr>
        <w:t xml:space="preserve"> 1000 mg:</w:t>
      </w:r>
    </w:p>
    <w:p w14:paraId="339D8265" w14:textId="5E1E9E53" w:rsidR="00534F49" w:rsidRPr="009752A1" w:rsidRDefault="00534F49" w:rsidP="00855539">
      <w:pPr>
        <w:autoSpaceDE w:val="0"/>
        <w:autoSpaceDN w:val="0"/>
        <w:adjustRightInd w:val="0"/>
        <w:ind w:left="851"/>
        <w:rPr>
          <w:sz w:val="24"/>
          <w:szCs w:val="24"/>
          <w:lang w:eastAsia="da-DK"/>
        </w:rPr>
      </w:pPr>
      <w:r w:rsidRPr="009752A1">
        <w:rPr>
          <w:sz w:val="24"/>
          <w:szCs w:val="24"/>
          <w:lang w:eastAsia="da-DK"/>
        </w:rPr>
        <w:t xml:space="preserve">Hvide til </w:t>
      </w:r>
      <w:proofErr w:type="spellStart"/>
      <w:r w:rsidRPr="009752A1">
        <w:rPr>
          <w:sz w:val="24"/>
          <w:szCs w:val="24"/>
          <w:lang w:eastAsia="da-DK"/>
        </w:rPr>
        <w:t>off-white</w:t>
      </w:r>
      <w:proofErr w:type="spellEnd"/>
      <w:r w:rsidRPr="009752A1">
        <w:rPr>
          <w:sz w:val="24"/>
          <w:szCs w:val="24"/>
          <w:lang w:eastAsia="da-DK"/>
        </w:rPr>
        <w:t xml:space="preserve">, aflange filmovertrukne tabletter (19,2 mm </w:t>
      </w:r>
      <w:r w:rsidR="00F119EC">
        <w:rPr>
          <w:sz w:val="24"/>
          <w:szCs w:val="24"/>
          <w:lang w:eastAsia="da-DK"/>
        </w:rPr>
        <w:t>×</w:t>
      </w:r>
      <w:r w:rsidRPr="009752A1">
        <w:rPr>
          <w:sz w:val="24"/>
          <w:szCs w:val="24"/>
          <w:lang w:eastAsia="da-DK"/>
        </w:rPr>
        <w:t xml:space="preserve"> 9,2 mm) med delekærv på den ene side. Tabletten er mærket </w:t>
      </w:r>
      <w:r w:rsidR="004A11CF">
        <w:rPr>
          <w:sz w:val="24"/>
          <w:szCs w:val="24"/>
          <w:lang w:eastAsia="da-DK"/>
        </w:rPr>
        <w:t>"</w:t>
      </w:r>
      <w:r w:rsidRPr="009752A1">
        <w:rPr>
          <w:sz w:val="24"/>
          <w:szCs w:val="24"/>
          <w:lang w:eastAsia="da-DK"/>
        </w:rPr>
        <w:t>DH</w:t>
      </w:r>
      <w:r w:rsidR="004A11CF">
        <w:rPr>
          <w:sz w:val="24"/>
          <w:szCs w:val="24"/>
          <w:lang w:eastAsia="da-DK"/>
        </w:rPr>
        <w:t>"</w:t>
      </w:r>
      <w:r w:rsidRPr="009752A1">
        <w:rPr>
          <w:sz w:val="24"/>
          <w:szCs w:val="24"/>
          <w:lang w:eastAsia="da-DK"/>
        </w:rPr>
        <w:t xml:space="preserve"> og </w:t>
      </w:r>
      <w:r w:rsidR="004A11CF">
        <w:rPr>
          <w:sz w:val="24"/>
          <w:szCs w:val="24"/>
          <w:lang w:eastAsia="da-DK"/>
        </w:rPr>
        <w:t>"</w:t>
      </w:r>
      <w:r w:rsidRPr="009752A1">
        <w:rPr>
          <w:sz w:val="24"/>
          <w:szCs w:val="24"/>
          <w:lang w:eastAsia="da-DK"/>
        </w:rPr>
        <w:t>1000</w:t>
      </w:r>
      <w:r w:rsidR="004A11CF">
        <w:rPr>
          <w:sz w:val="24"/>
          <w:szCs w:val="24"/>
          <w:lang w:eastAsia="da-DK"/>
        </w:rPr>
        <w:t>"</w:t>
      </w:r>
      <w:r w:rsidRPr="009752A1">
        <w:rPr>
          <w:sz w:val="24"/>
          <w:szCs w:val="24"/>
          <w:lang w:eastAsia="da-DK"/>
        </w:rPr>
        <w:t xml:space="preserve"> på hver side af delekærven. Tabletten kan deles i to lige store doser.</w:t>
      </w:r>
    </w:p>
    <w:p w14:paraId="20CB3C72" w14:textId="77777777" w:rsidR="009260DE" w:rsidRPr="009752A1" w:rsidRDefault="009260DE" w:rsidP="009260DE">
      <w:pPr>
        <w:tabs>
          <w:tab w:val="left" w:pos="851"/>
        </w:tabs>
        <w:ind w:left="851"/>
        <w:rPr>
          <w:sz w:val="24"/>
          <w:szCs w:val="24"/>
        </w:rPr>
      </w:pPr>
    </w:p>
    <w:p w14:paraId="2FDAACF2" w14:textId="77777777" w:rsidR="009260DE" w:rsidRPr="009752A1" w:rsidRDefault="009260DE" w:rsidP="009260DE">
      <w:pPr>
        <w:tabs>
          <w:tab w:val="left" w:pos="851"/>
        </w:tabs>
        <w:ind w:left="851"/>
        <w:rPr>
          <w:sz w:val="24"/>
          <w:szCs w:val="24"/>
        </w:rPr>
      </w:pPr>
    </w:p>
    <w:p w14:paraId="73298DFD" w14:textId="77777777" w:rsidR="009260DE" w:rsidRPr="009752A1" w:rsidRDefault="009260DE" w:rsidP="009260DE">
      <w:pPr>
        <w:tabs>
          <w:tab w:val="left" w:pos="851"/>
        </w:tabs>
        <w:ind w:left="851" w:hanging="851"/>
        <w:rPr>
          <w:b/>
          <w:sz w:val="24"/>
          <w:szCs w:val="24"/>
        </w:rPr>
      </w:pPr>
      <w:r w:rsidRPr="009752A1">
        <w:rPr>
          <w:b/>
          <w:sz w:val="24"/>
          <w:szCs w:val="24"/>
        </w:rPr>
        <w:t>4.</w:t>
      </w:r>
      <w:r w:rsidRPr="009752A1">
        <w:rPr>
          <w:b/>
          <w:sz w:val="24"/>
          <w:szCs w:val="24"/>
        </w:rPr>
        <w:tab/>
        <w:t>KLINISKE OPLYSNINGER</w:t>
      </w:r>
    </w:p>
    <w:p w14:paraId="1C390718" w14:textId="77777777" w:rsidR="009260DE" w:rsidRPr="009752A1" w:rsidRDefault="009260DE" w:rsidP="009260DE">
      <w:pPr>
        <w:tabs>
          <w:tab w:val="left" w:pos="851"/>
        </w:tabs>
        <w:ind w:left="851"/>
        <w:rPr>
          <w:b/>
          <w:sz w:val="24"/>
          <w:szCs w:val="24"/>
        </w:rPr>
      </w:pPr>
    </w:p>
    <w:p w14:paraId="52D1D1A6" w14:textId="77777777" w:rsidR="009260DE" w:rsidRPr="009752A1" w:rsidRDefault="009260DE" w:rsidP="009260DE">
      <w:pPr>
        <w:tabs>
          <w:tab w:val="left" w:pos="851"/>
        </w:tabs>
        <w:ind w:left="851" w:hanging="851"/>
        <w:rPr>
          <w:b/>
          <w:sz w:val="24"/>
          <w:szCs w:val="24"/>
          <w:u w:val="single"/>
        </w:rPr>
      </w:pPr>
      <w:r w:rsidRPr="009752A1">
        <w:rPr>
          <w:b/>
          <w:sz w:val="24"/>
          <w:szCs w:val="24"/>
        </w:rPr>
        <w:t>4.1</w:t>
      </w:r>
      <w:r w:rsidRPr="009752A1">
        <w:rPr>
          <w:b/>
          <w:sz w:val="24"/>
          <w:szCs w:val="24"/>
        </w:rPr>
        <w:tab/>
        <w:t>Terapeutiske indikationer</w:t>
      </w:r>
    </w:p>
    <w:p w14:paraId="66D53B11" w14:textId="5350FEDA" w:rsidR="00534F49" w:rsidRPr="009752A1" w:rsidRDefault="00534F49" w:rsidP="00855539">
      <w:pPr>
        <w:autoSpaceDE w:val="0"/>
        <w:autoSpaceDN w:val="0"/>
        <w:adjustRightInd w:val="0"/>
        <w:ind w:left="851"/>
        <w:rPr>
          <w:sz w:val="24"/>
          <w:szCs w:val="24"/>
          <w:lang w:eastAsia="da-DK"/>
        </w:rPr>
      </w:pPr>
      <w:proofErr w:type="spellStart"/>
      <w:r w:rsidRPr="009752A1">
        <w:rPr>
          <w:sz w:val="24"/>
          <w:szCs w:val="24"/>
          <w:lang w:eastAsia="da-DK"/>
        </w:rPr>
        <w:t>Deferipron</w:t>
      </w:r>
      <w:proofErr w:type="spellEnd"/>
      <w:r w:rsidRPr="009752A1">
        <w:rPr>
          <w:sz w:val="24"/>
          <w:szCs w:val="24"/>
          <w:lang w:eastAsia="da-DK"/>
        </w:rPr>
        <w:t xml:space="preserve"> </w:t>
      </w:r>
      <w:r w:rsidR="00F35A95">
        <w:rPr>
          <w:sz w:val="24"/>
          <w:szCs w:val="24"/>
          <w:lang w:eastAsia="da-DK"/>
        </w:rPr>
        <w:t>"</w:t>
      </w:r>
      <w:proofErr w:type="spellStart"/>
      <w:r w:rsidR="00F35A95">
        <w:rPr>
          <w:sz w:val="24"/>
          <w:szCs w:val="24"/>
          <w:lang w:eastAsia="da-DK"/>
        </w:rPr>
        <w:t>Orifarm</w:t>
      </w:r>
      <w:proofErr w:type="spellEnd"/>
      <w:r w:rsidR="00F35A95">
        <w:rPr>
          <w:sz w:val="24"/>
          <w:szCs w:val="24"/>
          <w:lang w:eastAsia="da-DK"/>
        </w:rPr>
        <w:t>"</w:t>
      </w:r>
      <w:r w:rsidRPr="009752A1">
        <w:rPr>
          <w:sz w:val="24"/>
          <w:szCs w:val="24"/>
          <w:lang w:eastAsia="da-DK"/>
        </w:rPr>
        <w:t xml:space="preserve"> monoterapi er indiceret til behandling af jernophobning hos </w:t>
      </w:r>
      <w:proofErr w:type="spellStart"/>
      <w:r w:rsidRPr="009752A1">
        <w:rPr>
          <w:sz w:val="24"/>
          <w:szCs w:val="24"/>
          <w:lang w:eastAsia="da-DK"/>
        </w:rPr>
        <w:t>talassæmi</w:t>
      </w:r>
      <w:proofErr w:type="spellEnd"/>
      <w:r w:rsidRPr="009752A1">
        <w:rPr>
          <w:sz w:val="24"/>
          <w:szCs w:val="24"/>
          <w:lang w:eastAsia="da-DK"/>
        </w:rPr>
        <w:t xml:space="preserve">-patienter, hvor nuværende </w:t>
      </w:r>
      <w:proofErr w:type="spellStart"/>
      <w:r w:rsidRPr="009752A1">
        <w:rPr>
          <w:sz w:val="24"/>
          <w:szCs w:val="24"/>
          <w:lang w:eastAsia="da-DK"/>
        </w:rPr>
        <w:t>kelationsterapi</w:t>
      </w:r>
      <w:proofErr w:type="spellEnd"/>
      <w:r w:rsidRPr="009752A1">
        <w:rPr>
          <w:sz w:val="24"/>
          <w:szCs w:val="24"/>
          <w:lang w:eastAsia="da-DK"/>
        </w:rPr>
        <w:t xml:space="preserve"> er kontraindiceret eller utilstrækkelig.</w:t>
      </w:r>
    </w:p>
    <w:p w14:paraId="1D47EB0C" w14:textId="77777777" w:rsidR="00534F49" w:rsidRPr="009752A1" w:rsidRDefault="00534F49" w:rsidP="00855539">
      <w:pPr>
        <w:autoSpaceDE w:val="0"/>
        <w:autoSpaceDN w:val="0"/>
        <w:adjustRightInd w:val="0"/>
        <w:ind w:left="851"/>
        <w:rPr>
          <w:sz w:val="24"/>
          <w:szCs w:val="24"/>
          <w:lang w:eastAsia="da-DK"/>
        </w:rPr>
      </w:pPr>
    </w:p>
    <w:p w14:paraId="6B10E61A" w14:textId="7419CDF3" w:rsidR="00534F49" w:rsidRPr="009752A1" w:rsidRDefault="00534F49" w:rsidP="00855539">
      <w:pPr>
        <w:autoSpaceDE w:val="0"/>
        <w:autoSpaceDN w:val="0"/>
        <w:adjustRightInd w:val="0"/>
        <w:ind w:left="851"/>
        <w:rPr>
          <w:sz w:val="24"/>
          <w:szCs w:val="24"/>
          <w:lang w:eastAsia="da-DK"/>
        </w:rPr>
      </w:pPr>
      <w:proofErr w:type="spellStart"/>
      <w:r w:rsidRPr="009752A1">
        <w:rPr>
          <w:sz w:val="24"/>
          <w:szCs w:val="24"/>
          <w:lang w:eastAsia="da-DK"/>
        </w:rPr>
        <w:t>Deferipron</w:t>
      </w:r>
      <w:proofErr w:type="spellEnd"/>
      <w:r w:rsidRPr="009752A1">
        <w:rPr>
          <w:sz w:val="24"/>
          <w:szCs w:val="24"/>
          <w:lang w:eastAsia="da-DK"/>
        </w:rPr>
        <w:t xml:space="preserve"> </w:t>
      </w:r>
      <w:r w:rsidR="00F35A95">
        <w:rPr>
          <w:sz w:val="24"/>
          <w:szCs w:val="24"/>
          <w:lang w:eastAsia="da-DK"/>
        </w:rPr>
        <w:t>"</w:t>
      </w:r>
      <w:proofErr w:type="spellStart"/>
      <w:r w:rsidR="00F35A95">
        <w:rPr>
          <w:sz w:val="24"/>
          <w:szCs w:val="24"/>
          <w:lang w:eastAsia="da-DK"/>
        </w:rPr>
        <w:t>Orifarm</w:t>
      </w:r>
      <w:proofErr w:type="spellEnd"/>
      <w:r w:rsidR="00F35A95">
        <w:rPr>
          <w:sz w:val="24"/>
          <w:szCs w:val="24"/>
          <w:lang w:eastAsia="da-DK"/>
        </w:rPr>
        <w:t>"</w:t>
      </w:r>
      <w:r w:rsidRPr="009752A1">
        <w:rPr>
          <w:sz w:val="24"/>
          <w:szCs w:val="24"/>
          <w:lang w:eastAsia="da-DK"/>
        </w:rPr>
        <w:t xml:space="preserve"> i kombination med et andet </w:t>
      </w:r>
      <w:proofErr w:type="spellStart"/>
      <w:r w:rsidRPr="009752A1">
        <w:rPr>
          <w:sz w:val="24"/>
          <w:szCs w:val="24"/>
          <w:lang w:eastAsia="da-DK"/>
        </w:rPr>
        <w:t>kelerende</w:t>
      </w:r>
      <w:proofErr w:type="spellEnd"/>
      <w:r w:rsidRPr="009752A1">
        <w:rPr>
          <w:sz w:val="24"/>
          <w:szCs w:val="24"/>
          <w:lang w:eastAsia="da-DK"/>
        </w:rPr>
        <w:t xml:space="preserve"> stof (se pkt. 4.4) er indiceret til behandling af </w:t>
      </w:r>
      <w:proofErr w:type="spellStart"/>
      <w:r w:rsidRPr="009752A1">
        <w:rPr>
          <w:sz w:val="24"/>
          <w:szCs w:val="24"/>
          <w:lang w:eastAsia="da-DK"/>
        </w:rPr>
        <w:t>talassæmi</w:t>
      </w:r>
      <w:proofErr w:type="spellEnd"/>
      <w:r w:rsidRPr="009752A1">
        <w:rPr>
          <w:sz w:val="24"/>
          <w:szCs w:val="24"/>
          <w:lang w:eastAsia="da-DK"/>
        </w:rPr>
        <w:t xml:space="preserve">-patienter, hvor monoterapi med et andet </w:t>
      </w:r>
      <w:proofErr w:type="spellStart"/>
      <w:r w:rsidRPr="009752A1">
        <w:rPr>
          <w:sz w:val="24"/>
          <w:szCs w:val="24"/>
          <w:lang w:eastAsia="da-DK"/>
        </w:rPr>
        <w:t>jernkelerende</w:t>
      </w:r>
      <w:proofErr w:type="spellEnd"/>
      <w:r w:rsidRPr="009752A1">
        <w:rPr>
          <w:sz w:val="24"/>
          <w:szCs w:val="24"/>
          <w:lang w:eastAsia="da-DK"/>
        </w:rPr>
        <w:t xml:space="preserve"> stof er utilstrækkelig eller hvor forebyggelse eller behandling af livstruende konsekvenser af jernophobning (hovedsagelig i hjertet) kræver hurtig eller intensiv korrektion (se pkt. 4.2).</w:t>
      </w:r>
    </w:p>
    <w:p w14:paraId="7069D138" w14:textId="77777777" w:rsidR="009260DE" w:rsidRPr="009752A1" w:rsidRDefault="009260DE" w:rsidP="009260DE">
      <w:pPr>
        <w:tabs>
          <w:tab w:val="left" w:pos="851"/>
        </w:tabs>
        <w:ind w:left="851"/>
        <w:rPr>
          <w:sz w:val="24"/>
          <w:szCs w:val="24"/>
        </w:rPr>
      </w:pPr>
    </w:p>
    <w:p w14:paraId="268C5093" w14:textId="77C59F3C" w:rsidR="009260DE" w:rsidRPr="009752A1" w:rsidRDefault="009260DE" w:rsidP="009260DE">
      <w:pPr>
        <w:tabs>
          <w:tab w:val="left" w:pos="851"/>
        </w:tabs>
        <w:ind w:left="851" w:hanging="851"/>
        <w:rPr>
          <w:b/>
          <w:sz w:val="24"/>
          <w:szCs w:val="24"/>
        </w:rPr>
      </w:pPr>
      <w:r w:rsidRPr="009752A1">
        <w:rPr>
          <w:b/>
          <w:sz w:val="24"/>
          <w:szCs w:val="24"/>
        </w:rPr>
        <w:lastRenderedPageBreak/>
        <w:t>4.2</w:t>
      </w:r>
      <w:r w:rsidRPr="009752A1">
        <w:rPr>
          <w:b/>
          <w:sz w:val="24"/>
          <w:szCs w:val="24"/>
        </w:rPr>
        <w:tab/>
        <w:t xml:space="preserve">Dosering og </w:t>
      </w:r>
      <w:r w:rsidR="004D15E1">
        <w:rPr>
          <w:b/>
          <w:sz w:val="24"/>
          <w:szCs w:val="24"/>
        </w:rPr>
        <w:t>administration</w:t>
      </w:r>
    </w:p>
    <w:p w14:paraId="2B99682A" w14:textId="77777777" w:rsidR="00534F49" w:rsidRPr="009752A1" w:rsidRDefault="00534F49" w:rsidP="00855539">
      <w:pPr>
        <w:autoSpaceDE w:val="0"/>
        <w:autoSpaceDN w:val="0"/>
        <w:adjustRightInd w:val="0"/>
        <w:ind w:left="851"/>
        <w:rPr>
          <w:sz w:val="24"/>
          <w:szCs w:val="24"/>
          <w:lang w:eastAsia="da-DK"/>
        </w:rPr>
      </w:pPr>
      <w:proofErr w:type="spellStart"/>
      <w:r w:rsidRPr="009752A1">
        <w:rPr>
          <w:sz w:val="24"/>
          <w:szCs w:val="24"/>
          <w:lang w:eastAsia="da-DK"/>
        </w:rPr>
        <w:t>Deferipron</w:t>
      </w:r>
      <w:proofErr w:type="spellEnd"/>
      <w:r w:rsidRPr="009752A1">
        <w:rPr>
          <w:sz w:val="24"/>
          <w:szCs w:val="24"/>
          <w:lang w:eastAsia="da-DK"/>
        </w:rPr>
        <w:t xml:space="preserve">-behandling bør indledes og opretholdes af en læge, der har erfaring i behandling af patienter med </w:t>
      </w:r>
      <w:proofErr w:type="spellStart"/>
      <w:r w:rsidRPr="009752A1">
        <w:rPr>
          <w:sz w:val="24"/>
          <w:szCs w:val="24"/>
          <w:lang w:eastAsia="da-DK"/>
        </w:rPr>
        <w:t>talassæmi</w:t>
      </w:r>
      <w:proofErr w:type="spellEnd"/>
      <w:r w:rsidRPr="009752A1">
        <w:rPr>
          <w:sz w:val="24"/>
          <w:szCs w:val="24"/>
          <w:lang w:eastAsia="da-DK"/>
        </w:rPr>
        <w:t>.</w:t>
      </w:r>
    </w:p>
    <w:p w14:paraId="373DD38C" w14:textId="77777777" w:rsidR="00534F49" w:rsidRPr="009752A1" w:rsidRDefault="00534F49" w:rsidP="00855539">
      <w:pPr>
        <w:ind w:left="851"/>
        <w:rPr>
          <w:noProof/>
          <w:sz w:val="24"/>
          <w:szCs w:val="24"/>
          <w:u w:val="single"/>
        </w:rPr>
      </w:pPr>
    </w:p>
    <w:p w14:paraId="59E975DA" w14:textId="77777777" w:rsidR="00534F49" w:rsidRPr="009752A1" w:rsidRDefault="00534F49" w:rsidP="00855539">
      <w:pPr>
        <w:ind w:left="851"/>
        <w:rPr>
          <w:noProof/>
          <w:sz w:val="24"/>
          <w:szCs w:val="24"/>
          <w:u w:val="single"/>
        </w:rPr>
      </w:pPr>
      <w:r w:rsidRPr="009752A1">
        <w:rPr>
          <w:noProof/>
          <w:sz w:val="24"/>
          <w:szCs w:val="24"/>
          <w:u w:val="single"/>
        </w:rPr>
        <w:t>Dosering</w:t>
      </w:r>
    </w:p>
    <w:p w14:paraId="6C5B1DC9" w14:textId="77777777" w:rsidR="00534F49" w:rsidRPr="009752A1" w:rsidRDefault="00534F49" w:rsidP="00855539">
      <w:pPr>
        <w:autoSpaceDE w:val="0"/>
        <w:autoSpaceDN w:val="0"/>
        <w:adjustRightInd w:val="0"/>
        <w:ind w:left="851"/>
        <w:rPr>
          <w:sz w:val="24"/>
          <w:szCs w:val="24"/>
          <w:lang w:eastAsia="da-DK"/>
        </w:rPr>
      </w:pPr>
      <w:proofErr w:type="spellStart"/>
      <w:r w:rsidRPr="009752A1">
        <w:rPr>
          <w:sz w:val="24"/>
          <w:szCs w:val="24"/>
          <w:lang w:eastAsia="da-DK"/>
        </w:rPr>
        <w:t>Deferipron</w:t>
      </w:r>
      <w:proofErr w:type="spellEnd"/>
      <w:r w:rsidRPr="009752A1">
        <w:rPr>
          <w:sz w:val="24"/>
          <w:szCs w:val="24"/>
          <w:lang w:eastAsia="da-DK"/>
        </w:rPr>
        <w:t xml:space="preserve"> indgives som regel oralt med 25 mg/kg legemsvægt tre gange dagligt for en total daglig dosis på 75 mg/kg legemsvægt. Dosering pr. kilogram legemsvægt bør beregnes til nærmeste halve tablet. Se nedenstående skemaer for anbefalede doser for legemsvægt i 10 kg trin.</w:t>
      </w:r>
    </w:p>
    <w:p w14:paraId="7E928FF1" w14:textId="77777777" w:rsidR="00534F49" w:rsidRPr="009752A1" w:rsidRDefault="00534F49" w:rsidP="00855539">
      <w:pPr>
        <w:autoSpaceDE w:val="0"/>
        <w:autoSpaceDN w:val="0"/>
        <w:adjustRightInd w:val="0"/>
        <w:ind w:left="851"/>
        <w:rPr>
          <w:sz w:val="24"/>
          <w:szCs w:val="24"/>
          <w:lang w:eastAsia="da-DK"/>
        </w:rPr>
      </w:pPr>
    </w:p>
    <w:p w14:paraId="57A90E5B" w14:textId="77777777" w:rsidR="00534F49" w:rsidRPr="009752A1" w:rsidRDefault="00534F49" w:rsidP="00855539">
      <w:pPr>
        <w:autoSpaceDE w:val="0"/>
        <w:autoSpaceDN w:val="0"/>
        <w:adjustRightInd w:val="0"/>
        <w:ind w:left="851"/>
        <w:rPr>
          <w:sz w:val="24"/>
          <w:szCs w:val="24"/>
          <w:lang w:eastAsia="da-DK"/>
        </w:rPr>
      </w:pPr>
      <w:r w:rsidRPr="009752A1">
        <w:rPr>
          <w:sz w:val="24"/>
          <w:szCs w:val="24"/>
          <w:lang w:eastAsia="da-DK"/>
        </w:rPr>
        <w:t>For at opnå en dosis på ca. 75 mg/kg/dag anvendes det antal tabletter, der foreslås i følgende skemaer til patientens kropsvægt. Eksempler på legemsvægt i 10 kg trin er anført.</w:t>
      </w:r>
    </w:p>
    <w:p w14:paraId="0B989201" w14:textId="77777777" w:rsidR="00534F49" w:rsidRPr="009752A1" w:rsidRDefault="00534F49" w:rsidP="00855539">
      <w:pPr>
        <w:ind w:left="851"/>
        <w:rPr>
          <w:noProof/>
          <w:sz w:val="24"/>
          <w:szCs w:val="24"/>
        </w:rPr>
      </w:pPr>
    </w:p>
    <w:p w14:paraId="7725D4C7" w14:textId="757E84A3" w:rsidR="00534F49" w:rsidRPr="009752A1" w:rsidRDefault="00534F49" w:rsidP="00855539">
      <w:pPr>
        <w:ind w:left="851"/>
        <w:rPr>
          <w:b/>
          <w:bCs/>
          <w:i/>
          <w:iCs/>
          <w:sz w:val="24"/>
          <w:szCs w:val="24"/>
          <w:lang w:val="nb-NO" w:eastAsia="da-DK"/>
        </w:rPr>
      </w:pPr>
      <w:r w:rsidRPr="009752A1">
        <w:rPr>
          <w:b/>
          <w:bCs/>
          <w:i/>
          <w:iCs/>
          <w:sz w:val="24"/>
          <w:szCs w:val="24"/>
          <w:lang w:val="nb-NO" w:eastAsia="da-DK"/>
        </w:rPr>
        <w:t xml:space="preserve">Doseringsskema for Deferipron </w:t>
      </w:r>
      <w:r w:rsidR="00F35A95">
        <w:rPr>
          <w:b/>
          <w:bCs/>
          <w:i/>
          <w:iCs/>
          <w:sz w:val="24"/>
          <w:szCs w:val="24"/>
          <w:lang w:val="nb-NO" w:eastAsia="da-DK"/>
        </w:rPr>
        <w:t>"Orifarm"</w:t>
      </w:r>
      <w:r w:rsidRPr="009752A1">
        <w:rPr>
          <w:b/>
          <w:bCs/>
          <w:i/>
          <w:iCs/>
          <w:sz w:val="24"/>
          <w:szCs w:val="24"/>
          <w:lang w:val="nb-NO" w:eastAsia="da-DK"/>
        </w:rPr>
        <w:t xml:space="preserve"> 500 mg filmovertrukne tabletter</w:t>
      </w:r>
    </w:p>
    <w:p w14:paraId="0160BAC7" w14:textId="77777777" w:rsidR="00534F49" w:rsidRPr="009752A1" w:rsidRDefault="00534F49" w:rsidP="00534F49">
      <w:pPr>
        <w:rPr>
          <w:noProof/>
          <w:sz w:val="24"/>
          <w:szCs w:val="24"/>
          <w:lang w:val="nb-NO"/>
        </w:rPr>
      </w:pPr>
    </w:p>
    <w:tbl>
      <w:tblPr>
        <w:tblStyle w:val="Tabel-Gitter"/>
        <w:tblW w:w="8917" w:type="dxa"/>
        <w:tblInd w:w="846" w:type="dxa"/>
        <w:tblLook w:val="04A0" w:firstRow="1" w:lastRow="0" w:firstColumn="1" w:lastColumn="0" w:noHBand="0" w:noVBand="1"/>
      </w:tblPr>
      <w:tblGrid>
        <w:gridCol w:w="1980"/>
        <w:gridCol w:w="2272"/>
        <w:gridCol w:w="2401"/>
        <w:gridCol w:w="2264"/>
      </w:tblGrid>
      <w:tr w:rsidR="00534F49" w:rsidRPr="009752A1" w14:paraId="00DAF3A3" w14:textId="77777777" w:rsidTr="00855539">
        <w:tc>
          <w:tcPr>
            <w:tcW w:w="1980" w:type="dxa"/>
            <w:tcBorders>
              <w:top w:val="single" w:sz="4" w:space="0" w:color="auto"/>
              <w:left w:val="single" w:sz="4" w:space="0" w:color="auto"/>
              <w:bottom w:val="single" w:sz="4" w:space="0" w:color="auto"/>
              <w:right w:val="single" w:sz="4" w:space="0" w:color="auto"/>
            </w:tcBorders>
            <w:hideMark/>
          </w:tcPr>
          <w:p w14:paraId="76EA07BB" w14:textId="77777777" w:rsidR="00534F49" w:rsidRPr="009752A1" w:rsidRDefault="00534F49">
            <w:pPr>
              <w:jc w:val="center"/>
              <w:rPr>
                <w:b/>
                <w:noProof/>
                <w:sz w:val="24"/>
                <w:szCs w:val="24"/>
              </w:rPr>
            </w:pPr>
            <w:r w:rsidRPr="009752A1">
              <w:rPr>
                <w:b/>
                <w:noProof/>
                <w:sz w:val="24"/>
                <w:szCs w:val="24"/>
              </w:rPr>
              <w:t xml:space="preserve">Kropsvægt </w:t>
            </w:r>
          </w:p>
          <w:p w14:paraId="0B378DEB" w14:textId="77777777" w:rsidR="00534F49" w:rsidRPr="009752A1" w:rsidRDefault="00534F49">
            <w:pPr>
              <w:jc w:val="center"/>
              <w:rPr>
                <w:b/>
                <w:noProof/>
                <w:sz w:val="24"/>
                <w:szCs w:val="24"/>
              </w:rPr>
            </w:pPr>
            <w:r w:rsidRPr="009752A1">
              <w:rPr>
                <w:b/>
                <w:noProof/>
                <w:sz w:val="24"/>
                <w:szCs w:val="24"/>
              </w:rPr>
              <w:t>(kg)</w:t>
            </w:r>
          </w:p>
        </w:tc>
        <w:tc>
          <w:tcPr>
            <w:tcW w:w="2272" w:type="dxa"/>
            <w:tcBorders>
              <w:top w:val="single" w:sz="4" w:space="0" w:color="auto"/>
              <w:left w:val="single" w:sz="4" w:space="0" w:color="auto"/>
              <w:bottom w:val="single" w:sz="4" w:space="0" w:color="auto"/>
              <w:right w:val="single" w:sz="4" w:space="0" w:color="auto"/>
            </w:tcBorders>
            <w:hideMark/>
          </w:tcPr>
          <w:p w14:paraId="6D4C2E7C" w14:textId="77777777" w:rsidR="00534F49" w:rsidRPr="009752A1" w:rsidRDefault="00534F49">
            <w:pPr>
              <w:jc w:val="center"/>
              <w:rPr>
                <w:b/>
                <w:noProof/>
                <w:sz w:val="24"/>
                <w:szCs w:val="24"/>
              </w:rPr>
            </w:pPr>
            <w:r w:rsidRPr="009752A1">
              <w:rPr>
                <w:b/>
                <w:noProof/>
                <w:sz w:val="24"/>
                <w:szCs w:val="24"/>
              </w:rPr>
              <w:t>Samlet daglig dosis (mg)</w:t>
            </w:r>
          </w:p>
        </w:tc>
        <w:tc>
          <w:tcPr>
            <w:tcW w:w="2401" w:type="dxa"/>
            <w:tcBorders>
              <w:top w:val="single" w:sz="4" w:space="0" w:color="auto"/>
              <w:left w:val="single" w:sz="4" w:space="0" w:color="auto"/>
              <w:bottom w:val="single" w:sz="4" w:space="0" w:color="auto"/>
              <w:right w:val="single" w:sz="4" w:space="0" w:color="auto"/>
            </w:tcBorders>
            <w:hideMark/>
          </w:tcPr>
          <w:p w14:paraId="2E0671FD" w14:textId="77777777" w:rsidR="009752A1" w:rsidRDefault="00534F49">
            <w:pPr>
              <w:jc w:val="center"/>
              <w:rPr>
                <w:b/>
                <w:noProof/>
                <w:sz w:val="24"/>
                <w:szCs w:val="24"/>
              </w:rPr>
            </w:pPr>
            <w:r w:rsidRPr="009752A1">
              <w:rPr>
                <w:b/>
                <w:noProof/>
                <w:sz w:val="24"/>
                <w:szCs w:val="24"/>
              </w:rPr>
              <w:t>Dosis</w:t>
            </w:r>
          </w:p>
          <w:p w14:paraId="1EA03B24" w14:textId="18E89770" w:rsidR="00534F49" w:rsidRPr="009752A1" w:rsidRDefault="00534F49">
            <w:pPr>
              <w:jc w:val="center"/>
              <w:rPr>
                <w:noProof/>
                <w:sz w:val="24"/>
                <w:szCs w:val="24"/>
              </w:rPr>
            </w:pPr>
            <w:r w:rsidRPr="009752A1">
              <w:rPr>
                <w:b/>
                <w:noProof/>
                <w:sz w:val="24"/>
                <w:szCs w:val="24"/>
              </w:rPr>
              <w:t>(mg, tre gange daglig)</w:t>
            </w:r>
          </w:p>
        </w:tc>
        <w:tc>
          <w:tcPr>
            <w:tcW w:w="2264" w:type="dxa"/>
            <w:tcBorders>
              <w:top w:val="single" w:sz="4" w:space="0" w:color="auto"/>
              <w:left w:val="single" w:sz="4" w:space="0" w:color="auto"/>
              <w:bottom w:val="single" w:sz="4" w:space="0" w:color="auto"/>
              <w:right w:val="single" w:sz="4" w:space="0" w:color="auto"/>
            </w:tcBorders>
            <w:hideMark/>
          </w:tcPr>
          <w:p w14:paraId="2F166176" w14:textId="77777777" w:rsidR="009752A1" w:rsidRDefault="00534F49">
            <w:pPr>
              <w:jc w:val="center"/>
              <w:rPr>
                <w:b/>
                <w:noProof/>
                <w:sz w:val="24"/>
                <w:szCs w:val="24"/>
              </w:rPr>
            </w:pPr>
            <w:r w:rsidRPr="009752A1">
              <w:rPr>
                <w:b/>
                <w:noProof/>
                <w:sz w:val="24"/>
                <w:szCs w:val="24"/>
              </w:rPr>
              <w:t>Antal tabletter</w:t>
            </w:r>
          </w:p>
          <w:p w14:paraId="0409A3BB" w14:textId="5C471C52" w:rsidR="00534F49" w:rsidRPr="009752A1" w:rsidRDefault="00534F49">
            <w:pPr>
              <w:jc w:val="center"/>
              <w:rPr>
                <w:b/>
                <w:noProof/>
                <w:sz w:val="24"/>
                <w:szCs w:val="24"/>
              </w:rPr>
            </w:pPr>
            <w:r w:rsidRPr="009752A1">
              <w:rPr>
                <w:b/>
                <w:noProof/>
                <w:sz w:val="24"/>
                <w:szCs w:val="24"/>
              </w:rPr>
              <w:t>(tre gange daglig)</w:t>
            </w:r>
          </w:p>
        </w:tc>
      </w:tr>
      <w:tr w:rsidR="00534F49" w:rsidRPr="009752A1" w14:paraId="123A2877" w14:textId="77777777" w:rsidTr="00855539">
        <w:tc>
          <w:tcPr>
            <w:tcW w:w="1980" w:type="dxa"/>
            <w:tcBorders>
              <w:top w:val="single" w:sz="4" w:space="0" w:color="auto"/>
              <w:left w:val="single" w:sz="4" w:space="0" w:color="auto"/>
              <w:bottom w:val="single" w:sz="4" w:space="0" w:color="auto"/>
              <w:right w:val="single" w:sz="4" w:space="0" w:color="auto"/>
            </w:tcBorders>
            <w:hideMark/>
          </w:tcPr>
          <w:p w14:paraId="6AC15841" w14:textId="77777777" w:rsidR="00534F49" w:rsidRPr="009752A1" w:rsidRDefault="00534F49">
            <w:pPr>
              <w:jc w:val="center"/>
              <w:rPr>
                <w:noProof/>
                <w:sz w:val="24"/>
                <w:szCs w:val="24"/>
              </w:rPr>
            </w:pPr>
            <w:r w:rsidRPr="009752A1">
              <w:rPr>
                <w:noProof/>
                <w:sz w:val="24"/>
                <w:szCs w:val="24"/>
              </w:rPr>
              <w:t>20</w:t>
            </w:r>
          </w:p>
        </w:tc>
        <w:tc>
          <w:tcPr>
            <w:tcW w:w="2272" w:type="dxa"/>
            <w:tcBorders>
              <w:top w:val="single" w:sz="4" w:space="0" w:color="auto"/>
              <w:left w:val="single" w:sz="4" w:space="0" w:color="auto"/>
              <w:bottom w:val="single" w:sz="4" w:space="0" w:color="auto"/>
              <w:right w:val="single" w:sz="4" w:space="0" w:color="auto"/>
            </w:tcBorders>
            <w:hideMark/>
          </w:tcPr>
          <w:p w14:paraId="16639D9E" w14:textId="77777777" w:rsidR="00534F49" w:rsidRPr="009752A1" w:rsidRDefault="00534F49">
            <w:pPr>
              <w:jc w:val="center"/>
              <w:rPr>
                <w:noProof/>
                <w:sz w:val="24"/>
                <w:szCs w:val="24"/>
              </w:rPr>
            </w:pPr>
            <w:r w:rsidRPr="009752A1">
              <w:rPr>
                <w:noProof/>
                <w:sz w:val="24"/>
                <w:szCs w:val="24"/>
              </w:rPr>
              <w:t>1.500</w:t>
            </w:r>
          </w:p>
        </w:tc>
        <w:tc>
          <w:tcPr>
            <w:tcW w:w="2401" w:type="dxa"/>
            <w:tcBorders>
              <w:top w:val="single" w:sz="4" w:space="0" w:color="auto"/>
              <w:left w:val="single" w:sz="4" w:space="0" w:color="auto"/>
              <w:bottom w:val="single" w:sz="4" w:space="0" w:color="auto"/>
              <w:right w:val="single" w:sz="4" w:space="0" w:color="auto"/>
            </w:tcBorders>
            <w:hideMark/>
          </w:tcPr>
          <w:p w14:paraId="06A279D6" w14:textId="77777777" w:rsidR="00534F49" w:rsidRPr="009752A1" w:rsidRDefault="00534F49">
            <w:pPr>
              <w:jc w:val="center"/>
              <w:rPr>
                <w:noProof/>
                <w:sz w:val="24"/>
                <w:szCs w:val="24"/>
              </w:rPr>
            </w:pPr>
            <w:r w:rsidRPr="009752A1">
              <w:rPr>
                <w:noProof/>
                <w:sz w:val="24"/>
                <w:szCs w:val="24"/>
              </w:rPr>
              <w:t>500</w:t>
            </w:r>
          </w:p>
        </w:tc>
        <w:tc>
          <w:tcPr>
            <w:tcW w:w="2264" w:type="dxa"/>
            <w:tcBorders>
              <w:top w:val="single" w:sz="4" w:space="0" w:color="auto"/>
              <w:left w:val="single" w:sz="4" w:space="0" w:color="auto"/>
              <w:bottom w:val="single" w:sz="4" w:space="0" w:color="auto"/>
              <w:right w:val="single" w:sz="4" w:space="0" w:color="auto"/>
            </w:tcBorders>
            <w:hideMark/>
          </w:tcPr>
          <w:p w14:paraId="2228CC81" w14:textId="77777777" w:rsidR="00534F49" w:rsidRPr="009752A1" w:rsidRDefault="00534F49">
            <w:pPr>
              <w:jc w:val="center"/>
              <w:rPr>
                <w:noProof/>
                <w:sz w:val="24"/>
                <w:szCs w:val="24"/>
              </w:rPr>
            </w:pPr>
            <w:r w:rsidRPr="009752A1">
              <w:rPr>
                <w:noProof/>
                <w:sz w:val="24"/>
                <w:szCs w:val="24"/>
              </w:rPr>
              <w:t>1,0</w:t>
            </w:r>
          </w:p>
        </w:tc>
      </w:tr>
      <w:tr w:rsidR="00534F49" w:rsidRPr="009752A1" w14:paraId="47F9DD67" w14:textId="77777777" w:rsidTr="00855539">
        <w:tc>
          <w:tcPr>
            <w:tcW w:w="1980" w:type="dxa"/>
            <w:tcBorders>
              <w:top w:val="single" w:sz="4" w:space="0" w:color="auto"/>
              <w:left w:val="single" w:sz="4" w:space="0" w:color="auto"/>
              <w:bottom w:val="single" w:sz="4" w:space="0" w:color="auto"/>
              <w:right w:val="single" w:sz="4" w:space="0" w:color="auto"/>
            </w:tcBorders>
            <w:hideMark/>
          </w:tcPr>
          <w:p w14:paraId="5C2F082A" w14:textId="77777777" w:rsidR="00534F49" w:rsidRPr="009752A1" w:rsidRDefault="00534F49">
            <w:pPr>
              <w:jc w:val="center"/>
              <w:rPr>
                <w:noProof/>
                <w:sz w:val="24"/>
                <w:szCs w:val="24"/>
              </w:rPr>
            </w:pPr>
            <w:r w:rsidRPr="009752A1">
              <w:rPr>
                <w:noProof/>
                <w:sz w:val="24"/>
                <w:szCs w:val="24"/>
              </w:rPr>
              <w:t>30</w:t>
            </w:r>
          </w:p>
        </w:tc>
        <w:tc>
          <w:tcPr>
            <w:tcW w:w="2272" w:type="dxa"/>
            <w:tcBorders>
              <w:top w:val="single" w:sz="4" w:space="0" w:color="auto"/>
              <w:left w:val="single" w:sz="4" w:space="0" w:color="auto"/>
              <w:bottom w:val="single" w:sz="4" w:space="0" w:color="auto"/>
              <w:right w:val="single" w:sz="4" w:space="0" w:color="auto"/>
            </w:tcBorders>
            <w:hideMark/>
          </w:tcPr>
          <w:p w14:paraId="1359102C" w14:textId="77777777" w:rsidR="00534F49" w:rsidRPr="009752A1" w:rsidRDefault="00534F49">
            <w:pPr>
              <w:jc w:val="center"/>
              <w:rPr>
                <w:noProof/>
                <w:sz w:val="24"/>
                <w:szCs w:val="24"/>
              </w:rPr>
            </w:pPr>
            <w:r w:rsidRPr="009752A1">
              <w:rPr>
                <w:noProof/>
                <w:sz w:val="24"/>
                <w:szCs w:val="24"/>
              </w:rPr>
              <w:t>2.250</w:t>
            </w:r>
          </w:p>
        </w:tc>
        <w:tc>
          <w:tcPr>
            <w:tcW w:w="2401" w:type="dxa"/>
            <w:tcBorders>
              <w:top w:val="single" w:sz="4" w:space="0" w:color="auto"/>
              <w:left w:val="single" w:sz="4" w:space="0" w:color="auto"/>
              <w:bottom w:val="single" w:sz="4" w:space="0" w:color="auto"/>
              <w:right w:val="single" w:sz="4" w:space="0" w:color="auto"/>
            </w:tcBorders>
            <w:hideMark/>
          </w:tcPr>
          <w:p w14:paraId="5ACE2473" w14:textId="77777777" w:rsidR="00534F49" w:rsidRPr="009752A1" w:rsidRDefault="00534F49">
            <w:pPr>
              <w:jc w:val="center"/>
              <w:rPr>
                <w:noProof/>
                <w:sz w:val="24"/>
                <w:szCs w:val="24"/>
              </w:rPr>
            </w:pPr>
            <w:r w:rsidRPr="009752A1">
              <w:rPr>
                <w:noProof/>
                <w:sz w:val="24"/>
                <w:szCs w:val="24"/>
              </w:rPr>
              <w:t>750</w:t>
            </w:r>
          </w:p>
        </w:tc>
        <w:tc>
          <w:tcPr>
            <w:tcW w:w="2264" w:type="dxa"/>
            <w:tcBorders>
              <w:top w:val="single" w:sz="4" w:space="0" w:color="auto"/>
              <w:left w:val="single" w:sz="4" w:space="0" w:color="auto"/>
              <w:bottom w:val="single" w:sz="4" w:space="0" w:color="auto"/>
              <w:right w:val="single" w:sz="4" w:space="0" w:color="auto"/>
            </w:tcBorders>
            <w:hideMark/>
          </w:tcPr>
          <w:p w14:paraId="31594005" w14:textId="77777777" w:rsidR="00534F49" w:rsidRPr="009752A1" w:rsidRDefault="00534F49">
            <w:pPr>
              <w:jc w:val="center"/>
              <w:rPr>
                <w:noProof/>
                <w:sz w:val="24"/>
                <w:szCs w:val="24"/>
              </w:rPr>
            </w:pPr>
            <w:r w:rsidRPr="009752A1">
              <w:rPr>
                <w:noProof/>
                <w:sz w:val="24"/>
                <w:szCs w:val="24"/>
              </w:rPr>
              <w:t>1,5</w:t>
            </w:r>
          </w:p>
        </w:tc>
      </w:tr>
      <w:tr w:rsidR="00534F49" w:rsidRPr="009752A1" w14:paraId="37AAE6DC" w14:textId="77777777" w:rsidTr="00855539">
        <w:tc>
          <w:tcPr>
            <w:tcW w:w="1980" w:type="dxa"/>
            <w:tcBorders>
              <w:top w:val="single" w:sz="4" w:space="0" w:color="auto"/>
              <w:left w:val="single" w:sz="4" w:space="0" w:color="auto"/>
              <w:bottom w:val="single" w:sz="4" w:space="0" w:color="auto"/>
              <w:right w:val="single" w:sz="4" w:space="0" w:color="auto"/>
            </w:tcBorders>
            <w:hideMark/>
          </w:tcPr>
          <w:p w14:paraId="57AF8D3C" w14:textId="77777777" w:rsidR="00534F49" w:rsidRPr="009752A1" w:rsidRDefault="00534F49">
            <w:pPr>
              <w:jc w:val="center"/>
              <w:rPr>
                <w:noProof/>
                <w:sz w:val="24"/>
                <w:szCs w:val="24"/>
              </w:rPr>
            </w:pPr>
            <w:r w:rsidRPr="009752A1">
              <w:rPr>
                <w:noProof/>
                <w:sz w:val="24"/>
                <w:szCs w:val="24"/>
              </w:rPr>
              <w:t>40</w:t>
            </w:r>
          </w:p>
        </w:tc>
        <w:tc>
          <w:tcPr>
            <w:tcW w:w="2272" w:type="dxa"/>
            <w:tcBorders>
              <w:top w:val="single" w:sz="4" w:space="0" w:color="auto"/>
              <w:left w:val="single" w:sz="4" w:space="0" w:color="auto"/>
              <w:bottom w:val="single" w:sz="4" w:space="0" w:color="auto"/>
              <w:right w:val="single" w:sz="4" w:space="0" w:color="auto"/>
            </w:tcBorders>
            <w:hideMark/>
          </w:tcPr>
          <w:p w14:paraId="04CA2851" w14:textId="77777777" w:rsidR="00534F49" w:rsidRPr="009752A1" w:rsidRDefault="00534F49">
            <w:pPr>
              <w:jc w:val="center"/>
              <w:rPr>
                <w:noProof/>
                <w:sz w:val="24"/>
                <w:szCs w:val="24"/>
              </w:rPr>
            </w:pPr>
            <w:r w:rsidRPr="009752A1">
              <w:rPr>
                <w:noProof/>
                <w:sz w:val="24"/>
                <w:szCs w:val="24"/>
              </w:rPr>
              <w:t>3.000</w:t>
            </w:r>
          </w:p>
        </w:tc>
        <w:tc>
          <w:tcPr>
            <w:tcW w:w="2401" w:type="dxa"/>
            <w:tcBorders>
              <w:top w:val="single" w:sz="4" w:space="0" w:color="auto"/>
              <w:left w:val="single" w:sz="4" w:space="0" w:color="auto"/>
              <w:bottom w:val="single" w:sz="4" w:space="0" w:color="auto"/>
              <w:right w:val="single" w:sz="4" w:space="0" w:color="auto"/>
            </w:tcBorders>
            <w:hideMark/>
          </w:tcPr>
          <w:p w14:paraId="5A796605" w14:textId="77777777" w:rsidR="00534F49" w:rsidRPr="009752A1" w:rsidRDefault="00534F49">
            <w:pPr>
              <w:jc w:val="center"/>
              <w:rPr>
                <w:noProof/>
                <w:sz w:val="24"/>
                <w:szCs w:val="24"/>
              </w:rPr>
            </w:pPr>
            <w:r w:rsidRPr="009752A1">
              <w:rPr>
                <w:noProof/>
                <w:sz w:val="24"/>
                <w:szCs w:val="24"/>
              </w:rPr>
              <w:t>1.000</w:t>
            </w:r>
          </w:p>
        </w:tc>
        <w:tc>
          <w:tcPr>
            <w:tcW w:w="2264" w:type="dxa"/>
            <w:tcBorders>
              <w:top w:val="single" w:sz="4" w:space="0" w:color="auto"/>
              <w:left w:val="single" w:sz="4" w:space="0" w:color="auto"/>
              <w:bottom w:val="single" w:sz="4" w:space="0" w:color="auto"/>
              <w:right w:val="single" w:sz="4" w:space="0" w:color="auto"/>
            </w:tcBorders>
            <w:hideMark/>
          </w:tcPr>
          <w:p w14:paraId="7E4BA94D" w14:textId="77777777" w:rsidR="00534F49" w:rsidRPr="009752A1" w:rsidRDefault="00534F49">
            <w:pPr>
              <w:jc w:val="center"/>
              <w:rPr>
                <w:noProof/>
                <w:sz w:val="24"/>
                <w:szCs w:val="24"/>
              </w:rPr>
            </w:pPr>
            <w:r w:rsidRPr="009752A1">
              <w:rPr>
                <w:noProof/>
                <w:sz w:val="24"/>
                <w:szCs w:val="24"/>
              </w:rPr>
              <w:t>2,0</w:t>
            </w:r>
          </w:p>
        </w:tc>
      </w:tr>
      <w:tr w:rsidR="00534F49" w:rsidRPr="009752A1" w14:paraId="077F6B0E" w14:textId="77777777" w:rsidTr="00855539">
        <w:tc>
          <w:tcPr>
            <w:tcW w:w="1980" w:type="dxa"/>
            <w:tcBorders>
              <w:top w:val="single" w:sz="4" w:space="0" w:color="auto"/>
              <w:left w:val="single" w:sz="4" w:space="0" w:color="auto"/>
              <w:bottom w:val="single" w:sz="4" w:space="0" w:color="auto"/>
              <w:right w:val="single" w:sz="4" w:space="0" w:color="auto"/>
            </w:tcBorders>
            <w:hideMark/>
          </w:tcPr>
          <w:p w14:paraId="32675160" w14:textId="77777777" w:rsidR="00534F49" w:rsidRPr="009752A1" w:rsidRDefault="00534F49">
            <w:pPr>
              <w:jc w:val="center"/>
              <w:rPr>
                <w:noProof/>
                <w:sz w:val="24"/>
                <w:szCs w:val="24"/>
              </w:rPr>
            </w:pPr>
            <w:r w:rsidRPr="009752A1">
              <w:rPr>
                <w:noProof/>
                <w:sz w:val="24"/>
                <w:szCs w:val="24"/>
              </w:rPr>
              <w:t>50</w:t>
            </w:r>
          </w:p>
        </w:tc>
        <w:tc>
          <w:tcPr>
            <w:tcW w:w="2272" w:type="dxa"/>
            <w:tcBorders>
              <w:top w:val="single" w:sz="4" w:space="0" w:color="auto"/>
              <w:left w:val="single" w:sz="4" w:space="0" w:color="auto"/>
              <w:bottom w:val="single" w:sz="4" w:space="0" w:color="auto"/>
              <w:right w:val="single" w:sz="4" w:space="0" w:color="auto"/>
            </w:tcBorders>
            <w:hideMark/>
          </w:tcPr>
          <w:p w14:paraId="40A9A658" w14:textId="77777777" w:rsidR="00534F49" w:rsidRPr="009752A1" w:rsidRDefault="00534F49">
            <w:pPr>
              <w:jc w:val="center"/>
              <w:rPr>
                <w:noProof/>
                <w:sz w:val="24"/>
                <w:szCs w:val="24"/>
              </w:rPr>
            </w:pPr>
            <w:r w:rsidRPr="009752A1">
              <w:rPr>
                <w:noProof/>
                <w:sz w:val="24"/>
                <w:szCs w:val="24"/>
              </w:rPr>
              <w:t>3.750</w:t>
            </w:r>
          </w:p>
        </w:tc>
        <w:tc>
          <w:tcPr>
            <w:tcW w:w="2401" w:type="dxa"/>
            <w:tcBorders>
              <w:top w:val="single" w:sz="4" w:space="0" w:color="auto"/>
              <w:left w:val="single" w:sz="4" w:space="0" w:color="auto"/>
              <w:bottom w:val="single" w:sz="4" w:space="0" w:color="auto"/>
              <w:right w:val="single" w:sz="4" w:space="0" w:color="auto"/>
            </w:tcBorders>
            <w:hideMark/>
          </w:tcPr>
          <w:p w14:paraId="475F48F9" w14:textId="77777777" w:rsidR="00534F49" w:rsidRPr="009752A1" w:rsidRDefault="00534F49">
            <w:pPr>
              <w:jc w:val="center"/>
              <w:rPr>
                <w:noProof/>
                <w:sz w:val="24"/>
                <w:szCs w:val="24"/>
              </w:rPr>
            </w:pPr>
            <w:r w:rsidRPr="009752A1">
              <w:rPr>
                <w:noProof/>
                <w:sz w:val="24"/>
                <w:szCs w:val="24"/>
              </w:rPr>
              <w:t>1.250</w:t>
            </w:r>
          </w:p>
        </w:tc>
        <w:tc>
          <w:tcPr>
            <w:tcW w:w="2264" w:type="dxa"/>
            <w:tcBorders>
              <w:top w:val="single" w:sz="4" w:space="0" w:color="auto"/>
              <w:left w:val="single" w:sz="4" w:space="0" w:color="auto"/>
              <w:bottom w:val="single" w:sz="4" w:space="0" w:color="auto"/>
              <w:right w:val="single" w:sz="4" w:space="0" w:color="auto"/>
            </w:tcBorders>
            <w:hideMark/>
          </w:tcPr>
          <w:p w14:paraId="2D7F4B7B" w14:textId="77777777" w:rsidR="00534F49" w:rsidRPr="009752A1" w:rsidRDefault="00534F49">
            <w:pPr>
              <w:jc w:val="center"/>
              <w:rPr>
                <w:noProof/>
                <w:sz w:val="24"/>
                <w:szCs w:val="24"/>
              </w:rPr>
            </w:pPr>
            <w:r w:rsidRPr="009752A1">
              <w:rPr>
                <w:noProof/>
                <w:sz w:val="24"/>
                <w:szCs w:val="24"/>
              </w:rPr>
              <w:t>2,5</w:t>
            </w:r>
          </w:p>
        </w:tc>
      </w:tr>
      <w:tr w:rsidR="00534F49" w:rsidRPr="009752A1" w14:paraId="213B839D" w14:textId="77777777" w:rsidTr="00855539">
        <w:tc>
          <w:tcPr>
            <w:tcW w:w="1980" w:type="dxa"/>
            <w:tcBorders>
              <w:top w:val="single" w:sz="4" w:space="0" w:color="auto"/>
              <w:left w:val="single" w:sz="4" w:space="0" w:color="auto"/>
              <w:bottom w:val="single" w:sz="4" w:space="0" w:color="auto"/>
              <w:right w:val="single" w:sz="4" w:space="0" w:color="auto"/>
            </w:tcBorders>
            <w:hideMark/>
          </w:tcPr>
          <w:p w14:paraId="3E3AA27F" w14:textId="77777777" w:rsidR="00534F49" w:rsidRPr="009752A1" w:rsidRDefault="00534F49">
            <w:pPr>
              <w:jc w:val="center"/>
              <w:rPr>
                <w:noProof/>
                <w:sz w:val="24"/>
                <w:szCs w:val="24"/>
              </w:rPr>
            </w:pPr>
            <w:r w:rsidRPr="009752A1">
              <w:rPr>
                <w:noProof/>
                <w:sz w:val="24"/>
                <w:szCs w:val="24"/>
              </w:rPr>
              <w:t>60</w:t>
            </w:r>
          </w:p>
        </w:tc>
        <w:tc>
          <w:tcPr>
            <w:tcW w:w="2272" w:type="dxa"/>
            <w:tcBorders>
              <w:top w:val="single" w:sz="4" w:space="0" w:color="auto"/>
              <w:left w:val="single" w:sz="4" w:space="0" w:color="auto"/>
              <w:bottom w:val="single" w:sz="4" w:space="0" w:color="auto"/>
              <w:right w:val="single" w:sz="4" w:space="0" w:color="auto"/>
            </w:tcBorders>
            <w:hideMark/>
          </w:tcPr>
          <w:p w14:paraId="6A78B4A1" w14:textId="77777777" w:rsidR="00534F49" w:rsidRPr="009752A1" w:rsidRDefault="00534F49">
            <w:pPr>
              <w:jc w:val="center"/>
              <w:rPr>
                <w:noProof/>
                <w:sz w:val="24"/>
                <w:szCs w:val="24"/>
              </w:rPr>
            </w:pPr>
            <w:r w:rsidRPr="009752A1">
              <w:rPr>
                <w:noProof/>
                <w:sz w:val="24"/>
                <w:szCs w:val="24"/>
              </w:rPr>
              <w:t>4.500</w:t>
            </w:r>
          </w:p>
        </w:tc>
        <w:tc>
          <w:tcPr>
            <w:tcW w:w="2401" w:type="dxa"/>
            <w:tcBorders>
              <w:top w:val="single" w:sz="4" w:space="0" w:color="auto"/>
              <w:left w:val="single" w:sz="4" w:space="0" w:color="auto"/>
              <w:bottom w:val="single" w:sz="4" w:space="0" w:color="auto"/>
              <w:right w:val="single" w:sz="4" w:space="0" w:color="auto"/>
            </w:tcBorders>
            <w:hideMark/>
          </w:tcPr>
          <w:p w14:paraId="33B6842B" w14:textId="77777777" w:rsidR="00534F49" w:rsidRPr="009752A1" w:rsidRDefault="00534F49">
            <w:pPr>
              <w:jc w:val="center"/>
              <w:rPr>
                <w:noProof/>
                <w:sz w:val="24"/>
                <w:szCs w:val="24"/>
              </w:rPr>
            </w:pPr>
            <w:r w:rsidRPr="009752A1">
              <w:rPr>
                <w:noProof/>
                <w:sz w:val="24"/>
                <w:szCs w:val="24"/>
              </w:rPr>
              <w:t>1.500</w:t>
            </w:r>
          </w:p>
        </w:tc>
        <w:tc>
          <w:tcPr>
            <w:tcW w:w="2264" w:type="dxa"/>
            <w:tcBorders>
              <w:top w:val="single" w:sz="4" w:space="0" w:color="auto"/>
              <w:left w:val="single" w:sz="4" w:space="0" w:color="auto"/>
              <w:bottom w:val="single" w:sz="4" w:space="0" w:color="auto"/>
              <w:right w:val="single" w:sz="4" w:space="0" w:color="auto"/>
            </w:tcBorders>
            <w:hideMark/>
          </w:tcPr>
          <w:p w14:paraId="7BF92CE0" w14:textId="77777777" w:rsidR="00534F49" w:rsidRPr="009752A1" w:rsidRDefault="00534F49">
            <w:pPr>
              <w:jc w:val="center"/>
              <w:rPr>
                <w:noProof/>
                <w:sz w:val="24"/>
                <w:szCs w:val="24"/>
              </w:rPr>
            </w:pPr>
            <w:r w:rsidRPr="009752A1">
              <w:rPr>
                <w:noProof/>
                <w:sz w:val="24"/>
                <w:szCs w:val="24"/>
              </w:rPr>
              <w:t>3,0</w:t>
            </w:r>
          </w:p>
        </w:tc>
      </w:tr>
      <w:tr w:rsidR="00534F49" w:rsidRPr="009752A1" w14:paraId="1FA21B80" w14:textId="77777777" w:rsidTr="00855539">
        <w:tc>
          <w:tcPr>
            <w:tcW w:w="1980" w:type="dxa"/>
            <w:tcBorders>
              <w:top w:val="single" w:sz="4" w:space="0" w:color="auto"/>
              <w:left w:val="single" w:sz="4" w:space="0" w:color="auto"/>
              <w:bottom w:val="single" w:sz="4" w:space="0" w:color="auto"/>
              <w:right w:val="single" w:sz="4" w:space="0" w:color="auto"/>
            </w:tcBorders>
            <w:hideMark/>
          </w:tcPr>
          <w:p w14:paraId="0334E9CB" w14:textId="77777777" w:rsidR="00534F49" w:rsidRPr="009752A1" w:rsidRDefault="00534F49">
            <w:pPr>
              <w:jc w:val="center"/>
              <w:rPr>
                <w:noProof/>
                <w:sz w:val="24"/>
                <w:szCs w:val="24"/>
              </w:rPr>
            </w:pPr>
            <w:r w:rsidRPr="009752A1">
              <w:rPr>
                <w:noProof/>
                <w:sz w:val="24"/>
                <w:szCs w:val="24"/>
              </w:rPr>
              <w:t>70</w:t>
            </w:r>
          </w:p>
        </w:tc>
        <w:tc>
          <w:tcPr>
            <w:tcW w:w="2272" w:type="dxa"/>
            <w:tcBorders>
              <w:top w:val="single" w:sz="4" w:space="0" w:color="auto"/>
              <w:left w:val="single" w:sz="4" w:space="0" w:color="auto"/>
              <w:bottom w:val="single" w:sz="4" w:space="0" w:color="auto"/>
              <w:right w:val="single" w:sz="4" w:space="0" w:color="auto"/>
            </w:tcBorders>
            <w:hideMark/>
          </w:tcPr>
          <w:p w14:paraId="1FF9B65D" w14:textId="77777777" w:rsidR="00534F49" w:rsidRPr="009752A1" w:rsidRDefault="00534F49">
            <w:pPr>
              <w:jc w:val="center"/>
              <w:rPr>
                <w:noProof/>
                <w:sz w:val="24"/>
                <w:szCs w:val="24"/>
              </w:rPr>
            </w:pPr>
            <w:r w:rsidRPr="009752A1">
              <w:rPr>
                <w:noProof/>
                <w:sz w:val="24"/>
                <w:szCs w:val="24"/>
              </w:rPr>
              <w:t>5.250</w:t>
            </w:r>
          </w:p>
        </w:tc>
        <w:tc>
          <w:tcPr>
            <w:tcW w:w="2401" w:type="dxa"/>
            <w:tcBorders>
              <w:top w:val="single" w:sz="4" w:space="0" w:color="auto"/>
              <w:left w:val="single" w:sz="4" w:space="0" w:color="auto"/>
              <w:bottom w:val="single" w:sz="4" w:space="0" w:color="auto"/>
              <w:right w:val="single" w:sz="4" w:space="0" w:color="auto"/>
            </w:tcBorders>
            <w:hideMark/>
          </w:tcPr>
          <w:p w14:paraId="49D5C84E" w14:textId="77777777" w:rsidR="00534F49" w:rsidRPr="009752A1" w:rsidRDefault="00534F49">
            <w:pPr>
              <w:jc w:val="center"/>
              <w:rPr>
                <w:noProof/>
                <w:sz w:val="24"/>
                <w:szCs w:val="24"/>
              </w:rPr>
            </w:pPr>
            <w:r w:rsidRPr="009752A1">
              <w:rPr>
                <w:noProof/>
                <w:sz w:val="24"/>
                <w:szCs w:val="24"/>
              </w:rPr>
              <w:t>1.750</w:t>
            </w:r>
          </w:p>
        </w:tc>
        <w:tc>
          <w:tcPr>
            <w:tcW w:w="2264" w:type="dxa"/>
            <w:tcBorders>
              <w:top w:val="single" w:sz="4" w:space="0" w:color="auto"/>
              <w:left w:val="single" w:sz="4" w:space="0" w:color="auto"/>
              <w:bottom w:val="single" w:sz="4" w:space="0" w:color="auto"/>
              <w:right w:val="single" w:sz="4" w:space="0" w:color="auto"/>
            </w:tcBorders>
            <w:hideMark/>
          </w:tcPr>
          <w:p w14:paraId="297243DC" w14:textId="77777777" w:rsidR="00534F49" w:rsidRPr="009752A1" w:rsidRDefault="00534F49">
            <w:pPr>
              <w:jc w:val="center"/>
              <w:rPr>
                <w:noProof/>
                <w:sz w:val="24"/>
                <w:szCs w:val="24"/>
              </w:rPr>
            </w:pPr>
            <w:r w:rsidRPr="009752A1">
              <w:rPr>
                <w:noProof/>
                <w:sz w:val="24"/>
                <w:szCs w:val="24"/>
              </w:rPr>
              <w:t>3,5</w:t>
            </w:r>
          </w:p>
        </w:tc>
      </w:tr>
      <w:tr w:rsidR="00534F49" w:rsidRPr="009752A1" w14:paraId="6540A317" w14:textId="77777777" w:rsidTr="00855539">
        <w:tc>
          <w:tcPr>
            <w:tcW w:w="1980" w:type="dxa"/>
            <w:tcBorders>
              <w:top w:val="single" w:sz="4" w:space="0" w:color="auto"/>
              <w:left w:val="single" w:sz="4" w:space="0" w:color="auto"/>
              <w:bottom w:val="single" w:sz="4" w:space="0" w:color="auto"/>
              <w:right w:val="single" w:sz="4" w:space="0" w:color="auto"/>
            </w:tcBorders>
            <w:hideMark/>
          </w:tcPr>
          <w:p w14:paraId="2905C967" w14:textId="77777777" w:rsidR="00534F49" w:rsidRPr="009752A1" w:rsidRDefault="00534F49">
            <w:pPr>
              <w:jc w:val="center"/>
              <w:rPr>
                <w:noProof/>
                <w:sz w:val="24"/>
                <w:szCs w:val="24"/>
              </w:rPr>
            </w:pPr>
            <w:r w:rsidRPr="009752A1">
              <w:rPr>
                <w:noProof/>
                <w:sz w:val="24"/>
                <w:szCs w:val="24"/>
              </w:rPr>
              <w:t>80</w:t>
            </w:r>
          </w:p>
        </w:tc>
        <w:tc>
          <w:tcPr>
            <w:tcW w:w="2272" w:type="dxa"/>
            <w:tcBorders>
              <w:top w:val="single" w:sz="4" w:space="0" w:color="auto"/>
              <w:left w:val="single" w:sz="4" w:space="0" w:color="auto"/>
              <w:bottom w:val="single" w:sz="4" w:space="0" w:color="auto"/>
              <w:right w:val="single" w:sz="4" w:space="0" w:color="auto"/>
            </w:tcBorders>
            <w:hideMark/>
          </w:tcPr>
          <w:p w14:paraId="5E0C4E55" w14:textId="77777777" w:rsidR="00534F49" w:rsidRPr="009752A1" w:rsidRDefault="00534F49">
            <w:pPr>
              <w:jc w:val="center"/>
              <w:rPr>
                <w:noProof/>
                <w:sz w:val="24"/>
                <w:szCs w:val="24"/>
              </w:rPr>
            </w:pPr>
            <w:r w:rsidRPr="009752A1">
              <w:rPr>
                <w:noProof/>
                <w:sz w:val="24"/>
                <w:szCs w:val="24"/>
              </w:rPr>
              <w:t>6.000</w:t>
            </w:r>
          </w:p>
        </w:tc>
        <w:tc>
          <w:tcPr>
            <w:tcW w:w="2401" w:type="dxa"/>
            <w:tcBorders>
              <w:top w:val="single" w:sz="4" w:space="0" w:color="auto"/>
              <w:left w:val="single" w:sz="4" w:space="0" w:color="auto"/>
              <w:bottom w:val="single" w:sz="4" w:space="0" w:color="auto"/>
              <w:right w:val="single" w:sz="4" w:space="0" w:color="auto"/>
            </w:tcBorders>
            <w:hideMark/>
          </w:tcPr>
          <w:p w14:paraId="1925EB86" w14:textId="77777777" w:rsidR="00534F49" w:rsidRPr="009752A1" w:rsidRDefault="00534F49">
            <w:pPr>
              <w:jc w:val="center"/>
              <w:rPr>
                <w:noProof/>
                <w:sz w:val="24"/>
                <w:szCs w:val="24"/>
              </w:rPr>
            </w:pPr>
            <w:r w:rsidRPr="009752A1">
              <w:rPr>
                <w:noProof/>
                <w:sz w:val="24"/>
                <w:szCs w:val="24"/>
              </w:rPr>
              <w:t>2.000</w:t>
            </w:r>
          </w:p>
        </w:tc>
        <w:tc>
          <w:tcPr>
            <w:tcW w:w="2264" w:type="dxa"/>
            <w:tcBorders>
              <w:top w:val="single" w:sz="4" w:space="0" w:color="auto"/>
              <w:left w:val="single" w:sz="4" w:space="0" w:color="auto"/>
              <w:bottom w:val="single" w:sz="4" w:space="0" w:color="auto"/>
              <w:right w:val="single" w:sz="4" w:space="0" w:color="auto"/>
            </w:tcBorders>
            <w:hideMark/>
          </w:tcPr>
          <w:p w14:paraId="5EC92295" w14:textId="77777777" w:rsidR="00534F49" w:rsidRPr="009752A1" w:rsidRDefault="00534F49">
            <w:pPr>
              <w:jc w:val="center"/>
              <w:rPr>
                <w:noProof/>
                <w:sz w:val="24"/>
                <w:szCs w:val="24"/>
              </w:rPr>
            </w:pPr>
            <w:r w:rsidRPr="009752A1">
              <w:rPr>
                <w:noProof/>
                <w:sz w:val="24"/>
                <w:szCs w:val="24"/>
              </w:rPr>
              <w:t>4,0</w:t>
            </w:r>
          </w:p>
        </w:tc>
      </w:tr>
      <w:tr w:rsidR="00534F49" w:rsidRPr="009752A1" w14:paraId="2F64FB9F" w14:textId="77777777" w:rsidTr="00855539">
        <w:tc>
          <w:tcPr>
            <w:tcW w:w="1980" w:type="dxa"/>
            <w:tcBorders>
              <w:top w:val="single" w:sz="4" w:space="0" w:color="auto"/>
              <w:left w:val="single" w:sz="4" w:space="0" w:color="auto"/>
              <w:bottom w:val="single" w:sz="4" w:space="0" w:color="auto"/>
              <w:right w:val="single" w:sz="4" w:space="0" w:color="auto"/>
            </w:tcBorders>
            <w:hideMark/>
          </w:tcPr>
          <w:p w14:paraId="7BBD97F2" w14:textId="77777777" w:rsidR="00534F49" w:rsidRPr="009752A1" w:rsidRDefault="00534F49">
            <w:pPr>
              <w:jc w:val="center"/>
              <w:rPr>
                <w:noProof/>
                <w:sz w:val="24"/>
                <w:szCs w:val="24"/>
              </w:rPr>
            </w:pPr>
            <w:r w:rsidRPr="009752A1">
              <w:rPr>
                <w:noProof/>
                <w:sz w:val="24"/>
                <w:szCs w:val="24"/>
              </w:rPr>
              <w:t>90</w:t>
            </w:r>
          </w:p>
        </w:tc>
        <w:tc>
          <w:tcPr>
            <w:tcW w:w="2272" w:type="dxa"/>
            <w:tcBorders>
              <w:top w:val="single" w:sz="4" w:space="0" w:color="auto"/>
              <w:left w:val="single" w:sz="4" w:space="0" w:color="auto"/>
              <w:bottom w:val="single" w:sz="4" w:space="0" w:color="auto"/>
              <w:right w:val="single" w:sz="4" w:space="0" w:color="auto"/>
            </w:tcBorders>
            <w:hideMark/>
          </w:tcPr>
          <w:p w14:paraId="337B2304" w14:textId="77777777" w:rsidR="00534F49" w:rsidRPr="009752A1" w:rsidRDefault="00534F49">
            <w:pPr>
              <w:jc w:val="center"/>
              <w:rPr>
                <w:noProof/>
                <w:sz w:val="24"/>
                <w:szCs w:val="24"/>
              </w:rPr>
            </w:pPr>
            <w:r w:rsidRPr="009752A1">
              <w:rPr>
                <w:noProof/>
                <w:sz w:val="24"/>
                <w:szCs w:val="24"/>
              </w:rPr>
              <w:t>6.750</w:t>
            </w:r>
          </w:p>
        </w:tc>
        <w:tc>
          <w:tcPr>
            <w:tcW w:w="2401" w:type="dxa"/>
            <w:tcBorders>
              <w:top w:val="single" w:sz="4" w:space="0" w:color="auto"/>
              <w:left w:val="single" w:sz="4" w:space="0" w:color="auto"/>
              <w:bottom w:val="single" w:sz="4" w:space="0" w:color="auto"/>
              <w:right w:val="single" w:sz="4" w:space="0" w:color="auto"/>
            </w:tcBorders>
            <w:hideMark/>
          </w:tcPr>
          <w:p w14:paraId="15FB0CEC" w14:textId="77777777" w:rsidR="00534F49" w:rsidRPr="009752A1" w:rsidRDefault="00534F49">
            <w:pPr>
              <w:jc w:val="center"/>
              <w:rPr>
                <w:noProof/>
                <w:sz w:val="24"/>
                <w:szCs w:val="24"/>
              </w:rPr>
            </w:pPr>
            <w:r w:rsidRPr="009752A1">
              <w:rPr>
                <w:noProof/>
                <w:sz w:val="24"/>
                <w:szCs w:val="24"/>
              </w:rPr>
              <w:t>2.250</w:t>
            </w:r>
          </w:p>
        </w:tc>
        <w:tc>
          <w:tcPr>
            <w:tcW w:w="2264" w:type="dxa"/>
            <w:tcBorders>
              <w:top w:val="single" w:sz="4" w:space="0" w:color="auto"/>
              <w:left w:val="single" w:sz="4" w:space="0" w:color="auto"/>
              <w:bottom w:val="single" w:sz="4" w:space="0" w:color="auto"/>
              <w:right w:val="single" w:sz="4" w:space="0" w:color="auto"/>
            </w:tcBorders>
            <w:hideMark/>
          </w:tcPr>
          <w:p w14:paraId="5B2B839D" w14:textId="77777777" w:rsidR="00534F49" w:rsidRPr="009752A1" w:rsidRDefault="00534F49">
            <w:pPr>
              <w:jc w:val="center"/>
              <w:rPr>
                <w:noProof/>
                <w:sz w:val="24"/>
                <w:szCs w:val="24"/>
              </w:rPr>
            </w:pPr>
            <w:r w:rsidRPr="009752A1">
              <w:rPr>
                <w:noProof/>
                <w:sz w:val="24"/>
                <w:szCs w:val="24"/>
              </w:rPr>
              <w:t>4,5</w:t>
            </w:r>
          </w:p>
        </w:tc>
      </w:tr>
    </w:tbl>
    <w:p w14:paraId="5015D794" w14:textId="77777777" w:rsidR="00534F49" w:rsidRPr="009752A1" w:rsidRDefault="00534F49" w:rsidP="00534F49">
      <w:pPr>
        <w:rPr>
          <w:noProof/>
          <w:sz w:val="24"/>
          <w:szCs w:val="24"/>
        </w:rPr>
      </w:pPr>
    </w:p>
    <w:p w14:paraId="70FC3A48" w14:textId="28C4422C" w:rsidR="00534F49" w:rsidRPr="009752A1" w:rsidRDefault="00534F49" w:rsidP="00855539">
      <w:pPr>
        <w:ind w:left="851"/>
        <w:rPr>
          <w:b/>
          <w:bCs/>
          <w:i/>
          <w:iCs/>
          <w:sz w:val="24"/>
          <w:szCs w:val="24"/>
          <w:lang w:val="nb-NO" w:eastAsia="da-DK"/>
        </w:rPr>
      </w:pPr>
      <w:r w:rsidRPr="009752A1">
        <w:rPr>
          <w:b/>
          <w:bCs/>
          <w:i/>
          <w:iCs/>
          <w:sz w:val="24"/>
          <w:szCs w:val="24"/>
          <w:lang w:val="nb-NO" w:eastAsia="da-DK"/>
        </w:rPr>
        <w:t xml:space="preserve">Doseringsskema for Deferipron </w:t>
      </w:r>
      <w:r w:rsidR="00F35A95">
        <w:rPr>
          <w:b/>
          <w:bCs/>
          <w:i/>
          <w:iCs/>
          <w:sz w:val="24"/>
          <w:szCs w:val="24"/>
          <w:lang w:val="nb-NO" w:eastAsia="da-DK"/>
        </w:rPr>
        <w:t>"Orifarm"</w:t>
      </w:r>
      <w:r w:rsidRPr="009752A1">
        <w:rPr>
          <w:b/>
          <w:bCs/>
          <w:i/>
          <w:iCs/>
          <w:sz w:val="24"/>
          <w:szCs w:val="24"/>
          <w:lang w:val="nb-NO" w:eastAsia="da-DK"/>
        </w:rPr>
        <w:t xml:space="preserve"> 1000 mg filmovertrukne tabletter</w:t>
      </w:r>
    </w:p>
    <w:p w14:paraId="1754BD1E" w14:textId="77777777" w:rsidR="00534F49" w:rsidRPr="009752A1" w:rsidRDefault="00534F49" w:rsidP="00534F49">
      <w:pPr>
        <w:rPr>
          <w:noProof/>
          <w:sz w:val="24"/>
          <w:szCs w:val="24"/>
          <w:lang w:val="nb-NO"/>
        </w:rPr>
      </w:pPr>
    </w:p>
    <w:tbl>
      <w:tblPr>
        <w:tblStyle w:val="Tabel-Gitter"/>
        <w:tblW w:w="8930" w:type="dxa"/>
        <w:tblInd w:w="846" w:type="dxa"/>
        <w:tblLook w:val="04A0" w:firstRow="1" w:lastRow="0" w:firstColumn="1" w:lastColumn="0" w:noHBand="0" w:noVBand="1"/>
      </w:tblPr>
      <w:tblGrid>
        <w:gridCol w:w="1759"/>
        <w:gridCol w:w="2631"/>
        <w:gridCol w:w="1559"/>
        <w:gridCol w:w="1705"/>
        <w:gridCol w:w="1276"/>
      </w:tblGrid>
      <w:tr w:rsidR="00534F49" w:rsidRPr="009752A1" w14:paraId="09F638EF" w14:textId="77777777" w:rsidTr="00855539">
        <w:trPr>
          <w:trHeight w:val="213"/>
        </w:trPr>
        <w:tc>
          <w:tcPr>
            <w:tcW w:w="1759" w:type="dxa"/>
            <w:vMerge w:val="restart"/>
            <w:tcBorders>
              <w:top w:val="single" w:sz="4" w:space="0" w:color="auto"/>
              <w:left w:val="single" w:sz="4" w:space="0" w:color="auto"/>
              <w:bottom w:val="nil"/>
              <w:right w:val="single" w:sz="4" w:space="0" w:color="auto"/>
            </w:tcBorders>
            <w:hideMark/>
          </w:tcPr>
          <w:p w14:paraId="28E7DD2D" w14:textId="7DA37A59" w:rsidR="00534F49" w:rsidRPr="009752A1" w:rsidRDefault="00534F49" w:rsidP="005C1ED7">
            <w:pPr>
              <w:jc w:val="center"/>
              <w:rPr>
                <w:b/>
                <w:noProof/>
                <w:sz w:val="24"/>
                <w:szCs w:val="24"/>
              </w:rPr>
            </w:pPr>
            <w:r w:rsidRPr="009752A1">
              <w:rPr>
                <w:b/>
                <w:noProof/>
                <w:sz w:val="24"/>
                <w:szCs w:val="24"/>
              </w:rPr>
              <w:t>Kropsvægt</w:t>
            </w:r>
          </w:p>
          <w:p w14:paraId="621CC071" w14:textId="77777777" w:rsidR="00534F49" w:rsidRPr="009752A1" w:rsidRDefault="00534F49" w:rsidP="005C1ED7">
            <w:pPr>
              <w:jc w:val="center"/>
              <w:rPr>
                <w:b/>
                <w:noProof/>
                <w:sz w:val="24"/>
                <w:szCs w:val="24"/>
              </w:rPr>
            </w:pPr>
            <w:r w:rsidRPr="009752A1">
              <w:rPr>
                <w:b/>
                <w:noProof/>
                <w:sz w:val="24"/>
                <w:szCs w:val="24"/>
              </w:rPr>
              <w:t>(kg)</w:t>
            </w:r>
          </w:p>
        </w:tc>
        <w:tc>
          <w:tcPr>
            <w:tcW w:w="2631" w:type="dxa"/>
            <w:vMerge w:val="restart"/>
            <w:tcBorders>
              <w:top w:val="single" w:sz="4" w:space="0" w:color="auto"/>
              <w:left w:val="single" w:sz="4" w:space="0" w:color="auto"/>
              <w:bottom w:val="nil"/>
              <w:right w:val="single" w:sz="4" w:space="0" w:color="auto"/>
            </w:tcBorders>
            <w:hideMark/>
          </w:tcPr>
          <w:p w14:paraId="040F98A1" w14:textId="7FDA8815" w:rsidR="00534F49" w:rsidRPr="009752A1" w:rsidRDefault="00534F49" w:rsidP="005C1ED7">
            <w:pPr>
              <w:jc w:val="center"/>
              <w:rPr>
                <w:b/>
                <w:noProof/>
                <w:sz w:val="24"/>
                <w:szCs w:val="24"/>
              </w:rPr>
            </w:pPr>
            <w:r w:rsidRPr="009752A1">
              <w:rPr>
                <w:b/>
                <w:noProof/>
                <w:sz w:val="24"/>
                <w:szCs w:val="24"/>
              </w:rPr>
              <w:t>Samlet daglig dosis (mg)</w:t>
            </w:r>
          </w:p>
        </w:tc>
        <w:tc>
          <w:tcPr>
            <w:tcW w:w="4540" w:type="dxa"/>
            <w:gridSpan w:val="3"/>
            <w:tcBorders>
              <w:top w:val="single" w:sz="4" w:space="0" w:color="auto"/>
              <w:left w:val="single" w:sz="4" w:space="0" w:color="auto"/>
              <w:bottom w:val="single" w:sz="4" w:space="0" w:color="auto"/>
              <w:right w:val="single" w:sz="4" w:space="0" w:color="auto"/>
            </w:tcBorders>
            <w:hideMark/>
          </w:tcPr>
          <w:p w14:paraId="655F0957" w14:textId="6B366955" w:rsidR="00534F49" w:rsidRPr="005C1ED7" w:rsidRDefault="00534F49" w:rsidP="005C1ED7">
            <w:pPr>
              <w:jc w:val="center"/>
              <w:rPr>
                <w:b/>
                <w:noProof/>
                <w:sz w:val="24"/>
                <w:szCs w:val="24"/>
              </w:rPr>
            </w:pPr>
            <w:r w:rsidRPr="005C1ED7">
              <w:rPr>
                <w:b/>
                <w:noProof/>
                <w:sz w:val="24"/>
                <w:szCs w:val="24"/>
              </w:rPr>
              <w:t>Antal af 1000 mg tabletter*</w:t>
            </w:r>
          </w:p>
        </w:tc>
      </w:tr>
      <w:tr w:rsidR="00534F49" w:rsidRPr="009752A1" w14:paraId="46C8BD82" w14:textId="77777777" w:rsidTr="00855539">
        <w:trPr>
          <w:trHeight w:val="213"/>
        </w:trPr>
        <w:tc>
          <w:tcPr>
            <w:tcW w:w="0" w:type="auto"/>
            <w:vMerge/>
            <w:tcBorders>
              <w:top w:val="single" w:sz="4" w:space="0" w:color="auto"/>
              <w:left w:val="single" w:sz="4" w:space="0" w:color="auto"/>
              <w:bottom w:val="nil"/>
              <w:right w:val="single" w:sz="4" w:space="0" w:color="auto"/>
            </w:tcBorders>
            <w:vAlign w:val="center"/>
            <w:hideMark/>
          </w:tcPr>
          <w:p w14:paraId="45F2D2A2" w14:textId="77777777" w:rsidR="00534F49" w:rsidRPr="009752A1" w:rsidRDefault="00534F49">
            <w:pPr>
              <w:rPr>
                <w:b/>
                <w:noProof/>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0F877855" w14:textId="77777777" w:rsidR="00534F49" w:rsidRPr="009752A1" w:rsidRDefault="00534F49">
            <w:pPr>
              <w:rPr>
                <w:b/>
                <w:noProof/>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5B20026F" w14:textId="77777777" w:rsidR="00534F49" w:rsidRPr="009752A1" w:rsidRDefault="00534F49" w:rsidP="005C1ED7">
            <w:pPr>
              <w:ind w:left="40"/>
              <w:jc w:val="center"/>
              <w:rPr>
                <w:b/>
                <w:noProof/>
                <w:sz w:val="24"/>
                <w:szCs w:val="24"/>
              </w:rPr>
            </w:pPr>
            <w:r w:rsidRPr="009752A1">
              <w:rPr>
                <w:b/>
                <w:noProof/>
                <w:sz w:val="24"/>
                <w:szCs w:val="24"/>
              </w:rPr>
              <w:t>Morgen</w:t>
            </w:r>
          </w:p>
        </w:tc>
        <w:tc>
          <w:tcPr>
            <w:tcW w:w="1705" w:type="dxa"/>
            <w:tcBorders>
              <w:top w:val="single" w:sz="4" w:space="0" w:color="auto"/>
              <w:left w:val="single" w:sz="4" w:space="0" w:color="auto"/>
              <w:bottom w:val="single" w:sz="4" w:space="0" w:color="auto"/>
              <w:right w:val="single" w:sz="4" w:space="0" w:color="auto"/>
            </w:tcBorders>
            <w:hideMark/>
          </w:tcPr>
          <w:p w14:paraId="760A46F2" w14:textId="77777777" w:rsidR="00534F49" w:rsidRPr="009752A1" w:rsidRDefault="00534F49" w:rsidP="005C1ED7">
            <w:pPr>
              <w:ind w:left="40"/>
              <w:jc w:val="center"/>
              <w:rPr>
                <w:b/>
                <w:noProof/>
                <w:sz w:val="24"/>
                <w:szCs w:val="24"/>
              </w:rPr>
            </w:pPr>
            <w:r w:rsidRPr="009752A1">
              <w:rPr>
                <w:b/>
                <w:noProof/>
                <w:sz w:val="24"/>
                <w:szCs w:val="24"/>
              </w:rPr>
              <w:t>Middag</w:t>
            </w:r>
          </w:p>
        </w:tc>
        <w:tc>
          <w:tcPr>
            <w:tcW w:w="1276" w:type="dxa"/>
            <w:tcBorders>
              <w:top w:val="single" w:sz="4" w:space="0" w:color="auto"/>
              <w:left w:val="single" w:sz="4" w:space="0" w:color="auto"/>
              <w:bottom w:val="single" w:sz="4" w:space="0" w:color="auto"/>
              <w:right w:val="single" w:sz="4" w:space="0" w:color="auto"/>
            </w:tcBorders>
            <w:hideMark/>
          </w:tcPr>
          <w:p w14:paraId="03509DF7" w14:textId="77777777" w:rsidR="00534F49" w:rsidRPr="009752A1" w:rsidRDefault="00534F49" w:rsidP="005C1ED7">
            <w:pPr>
              <w:ind w:left="40"/>
              <w:jc w:val="center"/>
              <w:rPr>
                <w:b/>
                <w:noProof/>
                <w:sz w:val="24"/>
                <w:szCs w:val="24"/>
              </w:rPr>
            </w:pPr>
            <w:r w:rsidRPr="009752A1">
              <w:rPr>
                <w:b/>
                <w:noProof/>
                <w:sz w:val="24"/>
                <w:szCs w:val="24"/>
              </w:rPr>
              <w:t>Aften</w:t>
            </w:r>
          </w:p>
        </w:tc>
      </w:tr>
      <w:tr w:rsidR="00534F49" w:rsidRPr="009752A1" w14:paraId="6D193525" w14:textId="77777777" w:rsidTr="00855539">
        <w:trPr>
          <w:trHeight w:val="60"/>
        </w:trPr>
        <w:tc>
          <w:tcPr>
            <w:tcW w:w="1759" w:type="dxa"/>
            <w:tcBorders>
              <w:top w:val="single" w:sz="4" w:space="0" w:color="auto"/>
              <w:left w:val="single" w:sz="4" w:space="0" w:color="auto"/>
              <w:bottom w:val="single" w:sz="4" w:space="0" w:color="auto"/>
              <w:right w:val="single" w:sz="4" w:space="0" w:color="auto"/>
            </w:tcBorders>
            <w:hideMark/>
          </w:tcPr>
          <w:p w14:paraId="1E1B0796" w14:textId="77777777" w:rsidR="00534F49" w:rsidRPr="009752A1" w:rsidRDefault="00534F49">
            <w:pPr>
              <w:jc w:val="center"/>
              <w:rPr>
                <w:noProof/>
                <w:sz w:val="24"/>
                <w:szCs w:val="24"/>
              </w:rPr>
            </w:pPr>
            <w:r w:rsidRPr="009752A1">
              <w:rPr>
                <w:noProof/>
                <w:sz w:val="24"/>
                <w:szCs w:val="24"/>
              </w:rPr>
              <w:t>20</w:t>
            </w:r>
          </w:p>
        </w:tc>
        <w:tc>
          <w:tcPr>
            <w:tcW w:w="2631" w:type="dxa"/>
            <w:tcBorders>
              <w:top w:val="single" w:sz="4" w:space="0" w:color="auto"/>
              <w:left w:val="single" w:sz="4" w:space="0" w:color="auto"/>
              <w:bottom w:val="single" w:sz="4" w:space="0" w:color="auto"/>
              <w:right w:val="single" w:sz="4" w:space="0" w:color="auto"/>
            </w:tcBorders>
            <w:hideMark/>
          </w:tcPr>
          <w:p w14:paraId="0DFECA6E" w14:textId="77777777" w:rsidR="00534F49" w:rsidRPr="009752A1" w:rsidRDefault="00534F49">
            <w:pPr>
              <w:jc w:val="center"/>
              <w:rPr>
                <w:noProof/>
                <w:sz w:val="24"/>
                <w:szCs w:val="24"/>
              </w:rPr>
            </w:pPr>
            <w:r w:rsidRPr="009752A1">
              <w:rPr>
                <w:noProof/>
                <w:sz w:val="24"/>
                <w:szCs w:val="24"/>
              </w:rPr>
              <w:t>1.500</w:t>
            </w:r>
          </w:p>
        </w:tc>
        <w:tc>
          <w:tcPr>
            <w:tcW w:w="1559" w:type="dxa"/>
            <w:tcBorders>
              <w:top w:val="single" w:sz="4" w:space="0" w:color="auto"/>
              <w:left w:val="single" w:sz="4" w:space="0" w:color="auto"/>
              <w:bottom w:val="single" w:sz="4" w:space="0" w:color="auto"/>
              <w:right w:val="single" w:sz="4" w:space="0" w:color="auto"/>
            </w:tcBorders>
            <w:hideMark/>
          </w:tcPr>
          <w:p w14:paraId="02A895A3" w14:textId="77777777" w:rsidR="00534F49" w:rsidRPr="009752A1" w:rsidRDefault="00534F49" w:rsidP="005C1ED7">
            <w:pPr>
              <w:ind w:left="40"/>
              <w:jc w:val="center"/>
              <w:rPr>
                <w:noProof/>
                <w:sz w:val="24"/>
                <w:szCs w:val="24"/>
              </w:rPr>
            </w:pPr>
            <w:r w:rsidRPr="009752A1">
              <w:rPr>
                <w:noProof/>
                <w:sz w:val="24"/>
                <w:szCs w:val="24"/>
              </w:rPr>
              <w:t>0,5</w:t>
            </w:r>
          </w:p>
        </w:tc>
        <w:tc>
          <w:tcPr>
            <w:tcW w:w="1705" w:type="dxa"/>
            <w:tcBorders>
              <w:top w:val="single" w:sz="4" w:space="0" w:color="auto"/>
              <w:left w:val="single" w:sz="4" w:space="0" w:color="auto"/>
              <w:bottom w:val="single" w:sz="4" w:space="0" w:color="auto"/>
              <w:right w:val="single" w:sz="4" w:space="0" w:color="auto"/>
            </w:tcBorders>
            <w:hideMark/>
          </w:tcPr>
          <w:p w14:paraId="1881401F" w14:textId="77777777" w:rsidR="00534F49" w:rsidRPr="009752A1" w:rsidRDefault="00534F49" w:rsidP="005C1ED7">
            <w:pPr>
              <w:ind w:left="40"/>
              <w:jc w:val="center"/>
              <w:rPr>
                <w:noProof/>
                <w:sz w:val="24"/>
                <w:szCs w:val="24"/>
              </w:rPr>
            </w:pPr>
            <w:r w:rsidRPr="009752A1">
              <w:rPr>
                <w:noProof/>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14:paraId="318597B1" w14:textId="77777777" w:rsidR="00534F49" w:rsidRPr="009752A1" w:rsidRDefault="00534F49" w:rsidP="005C1ED7">
            <w:pPr>
              <w:ind w:left="40"/>
              <w:jc w:val="center"/>
              <w:rPr>
                <w:noProof/>
                <w:sz w:val="24"/>
                <w:szCs w:val="24"/>
              </w:rPr>
            </w:pPr>
            <w:r w:rsidRPr="009752A1">
              <w:rPr>
                <w:noProof/>
                <w:sz w:val="24"/>
                <w:szCs w:val="24"/>
              </w:rPr>
              <w:t>0,5</w:t>
            </w:r>
          </w:p>
        </w:tc>
      </w:tr>
      <w:tr w:rsidR="00534F49" w:rsidRPr="009752A1" w14:paraId="45636B63" w14:textId="77777777" w:rsidTr="00855539">
        <w:tc>
          <w:tcPr>
            <w:tcW w:w="1759" w:type="dxa"/>
            <w:tcBorders>
              <w:top w:val="single" w:sz="4" w:space="0" w:color="auto"/>
              <w:left w:val="single" w:sz="4" w:space="0" w:color="auto"/>
              <w:bottom w:val="single" w:sz="4" w:space="0" w:color="auto"/>
              <w:right w:val="single" w:sz="4" w:space="0" w:color="auto"/>
            </w:tcBorders>
            <w:hideMark/>
          </w:tcPr>
          <w:p w14:paraId="7B18B018" w14:textId="77777777" w:rsidR="00534F49" w:rsidRPr="009752A1" w:rsidRDefault="00534F49">
            <w:pPr>
              <w:jc w:val="center"/>
              <w:rPr>
                <w:noProof/>
                <w:sz w:val="24"/>
                <w:szCs w:val="24"/>
              </w:rPr>
            </w:pPr>
            <w:r w:rsidRPr="009752A1">
              <w:rPr>
                <w:noProof/>
                <w:sz w:val="24"/>
                <w:szCs w:val="24"/>
              </w:rPr>
              <w:t>30</w:t>
            </w:r>
          </w:p>
        </w:tc>
        <w:tc>
          <w:tcPr>
            <w:tcW w:w="2631" w:type="dxa"/>
            <w:tcBorders>
              <w:top w:val="single" w:sz="4" w:space="0" w:color="auto"/>
              <w:left w:val="single" w:sz="4" w:space="0" w:color="auto"/>
              <w:bottom w:val="single" w:sz="4" w:space="0" w:color="auto"/>
              <w:right w:val="single" w:sz="4" w:space="0" w:color="auto"/>
            </w:tcBorders>
            <w:hideMark/>
          </w:tcPr>
          <w:p w14:paraId="7D287908" w14:textId="77777777" w:rsidR="00534F49" w:rsidRPr="009752A1" w:rsidRDefault="00534F49">
            <w:pPr>
              <w:jc w:val="center"/>
              <w:rPr>
                <w:noProof/>
                <w:sz w:val="24"/>
                <w:szCs w:val="24"/>
              </w:rPr>
            </w:pPr>
            <w:r w:rsidRPr="009752A1">
              <w:rPr>
                <w:noProof/>
                <w:sz w:val="24"/>
                <w:szCs w:val="24"/>
              </w:rPr>
              <w:t>2.250</w:t>
            </w:r>
          </w:p>
        </w:tc>
        <w:tc>
          <w:tcPr>
            <w:tcW w:w="1559" w:type="dxa"/>
            <w:tcBorders>
              <w:top w:val="single" w:sz="4" w:space="0" w:color="auto"/>
              <w:left w:val="single" w:sz="4" w:space="0" w:color="auto"/>
              <w:bottom w:val="single" w:sz="4" w:space="0" w:color="auto"/>
              <w:right w:val="single" w:sz="4" w:space="0" w:color="auto"/>
            </w:tcBorders>
            <w:hideMark/>
          </w:tcPr>
          <w:p w14:paraId="14B832E7" w14:textId="77777777" w:rsidR="00534F49" w:rsidRPr="009752A1" w:rsidRDefault="00534F49" w:rsidP="005C1ED7">
            <w:pPr>
              <w:ind w:left="40"/>
              <w:jc w:val="center"/>
              <w:rPr>
                <w:noProof/>
                <w:sz w:val="24"/>
                <w:szCs w:val="24"/>
              </w:rPr>
            </w:pPr>
            <w:r w:rsidRPr="009752A1">
              <w:rPr>
                <w:noProof/>
                <w:sz w:val="24"/>
                <w:szCs w:val="24"/>
              </w:rPr>
              <w:t>1,0</w:t>
            </w:r>
          </w:p>
        </w:tc>
        <w:tc>
          <w:tcPr>
            <w:tcW w:w="1705" w:type="dxa"/>
            <w:tcBorders>
              <w:top w:val="single" w:sz="4" w:space="0" w:color="auto"/>
              <w:left w:val="single" w:sz="4" w:space="0" w:color="auto"/>
              <w:bottom w:val="single" w:sz="4" w:space="0" w:color="auto"/>
              <w:right w:val="single" w:sz="4" w:space="0" w:color="auto"/>
            </w:tcBorders>
            <w:hideMark/>
          </w:tcPr>
          <w:p w14:paraId="7985794B" w14:textId="77777777" w:rsidR="00534F49" w:rsidRPr="009752A1" w:rsidRDefault="00534F49" w:rsidP="005C1ED7">
            <w:pPr>
              <w:ind w:left="40"/>
              <w:jc w:val="center"/>
              <w:rPr>
                <w:noProof/>
                <w:sz w:val="24"/>
                <w:szCs w:val="24"/>
              </w:rPr>
            </w:pPr>
            <w:r w:rsidRPr="009752A1">
              <w:rPr>
                <w:noProof/>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14:paraId="108B26FD" w14:textId="77777777" w:rsidR="00534F49" w:rsidRPr="009752A1" w:rsidRDefault="00534F49" w:rsidP="005C1ED7">
            <w:pPr>
              <w:ind w:left="40"/>
              <w:jc w:val="center"/>
              <w:rPr>
                <w:noProof/>
                <w:sz w:val="24"/>
                <w:szCs w:val="24"/>
              </w:rPr>
            </w:pPr>
            <w:r w:rsidRPr="009752A1">
              <w:rPr>
                <w:noProof/>
                <w:sz w:val="24"/>
                <w:szCs w:val="24"/>
              </w:rPr>
              <w:t>1,0</w:t>
            </w:r>
          </w:p>
        </w:tc>
      </w:tr>
      <w:tr w:rsidR="00534F49" w:rsidRPr="009752A1" w14:paraId="6837F4E9" w14:textId="77777777" w:rsidTr="00855539">
        <w:tc>
          <w:tcPr>
            <w:tcW w:w="1759" w:type="dxa"/>
            <w:tcBorders>
              <w:top w:val="single" w:sz="4" w:space="0" w:color="auto"/>
              <w:left w:val="single" w:sz="4" w:space="0" w:color="auto"/>
              <w:bottom w:val="single" w:sz="4" w:space="0" w:color="auto"/>
              <w:right w:val="single" w:sz="4" w:space="0" w:color="auto"/>
            </w:tcBorders>
            <w:hideMark/>
          </w:tcPr>
          <w:p w14:paraId="121B86A4" w14:textId="77777777" w:rsidR="00534F49" w:rsidRPr="009752A1" w:rsidRDefault="00534F49">
            <w:pPr>
              <w:jc w:val="center"/>
              <w:rPr>
                <w:noProof/>
                <w:sz w:val="24"/>
                <w:szCs w:val="24"/>
              </w:rPr>
            </w:pPr>
            <w:r w:rsidRPr="009752A1">
              <w:rPr>
                <w:noProof/>
                <w:sz w:val="24"/>
                <w:szCs w:val="24"/>
              </w:rPr>
              <w:t>40</w:t>
            </w:r>
          </w:p>
        </w:tc>
        <w:tc>
          <w:tcPr>
            <w:tcW w:w="2631" w:type="dxa"/>
            <w:tcBorders>
              <w:top w:val="single" w:sz="4" w:space="0" w:color="auto"/>
              <w:left w:val="single" w:sz="4" w:space="0" w:color="auto"/>
              <w:bottom w:val="single" w:sz="4" w:space="0" w:color="auto"/>
              <w:right w:val="single" w:sz="4" w:space="0" w:color="auto"/>
            </w:tcBorders>
            <w:hideMark/>
          </w:tcPr>
          <w:p w14:paraId="4508F49B" w14:textId="77777777" w:rsidR="00534F49" w:rsidRPr="009752A1" w:rsidRDefault="00534F49">
            <w:pPr>
              <w:jc w:val="center"/>
              <w:rPr>
                <w:noProof/>
                <w:sz w:val="24"/>
                <w:szCs w:val="24"/>
              </w:rPr>
            </w:pPr>
            <w:r w:rsidRPr="009752A1">
              <w:rPr>
                <w:noProof/>
                <w:sz w:val="24"/>
                <w:szCs w:val="24"/>
              </w:rPr>
              <w:t>3.000</w:t>
            </w:r>
          </w:p>
        </w:tc>
        <w:tc>
          <w:tcPr>
            <w:tcW w:w="1559" w:type="dxa"/>
            <w:tcBorders>
              <w:top w:val="single" w:sz="4" w:space="0" w:color="auto"/>
              <w:left w:val="single" w:sz="4" w:space="0" w:color="auto"/>
              <w:bottom w:val="single" w:sz="4" w:space="0" w:color="auto"/>
              <w:right w:val="single" w:sz="4" w:space="0" w:color="auto"/>
            </w:tcBorders>
            <w:hideMark/>
          </w:tcPr>
          <w:p w14:paraId="039CAC8A" w14:textId="77777777" w:rsidR="00534F49" w:rsidRPr="009752A1" w:rsidRDefault="00534F49" w:rsidP="005C1ED7">
            <w:pPr>
              <w:ind w:left="40"/>
              <w:jc w:val="center"/>
              <w:rPr>
                <w:noProof/>
                <w:sz w:val="24"/>
                <w:szCs w:val="24"/>
              </w:rPr>
            </w:pPr>
            <w:r w:rsidRPr="009752A1">
              <w:rPr>
                <w:noProof/>
                <w:sz w:val="24"/>
                <w:szCs w:val="24"/>
              </w:rPr>
              <w:t>1,0</w:t>
            </w:r>
          </w:p>
        </w:tc>
        <w:tc>
          <w:tcPr>
            <w:tcW w:w="1705" w:type="dxa"/>
            <w:tcBorders>
              <w:top w:val="single" w:sz="4" w:space="0" w:color="auto"/>
              <w:left w:val="single" w:sz="4" w:space="0" w:color="auto"/>
              <w:bottom w:val="single" w:sz="4" w:space="0" w:color="auto"/>
              <w:right w:val="single" w:sz="4" w:space="0" w:color="auto"/>
            </w:tcBorders>
            <w:hideMark/>
          </w:tcPr>
          <w:p w14:paraId="2C93CF86" w14:textId="77777777" w:rsidR="00534F49" w:rsidRPr="009752A1" w:rsidRDefault="00534F49" w:rsidP="005C1ED7">
            <w:pPr>
              <w:ind w:left="40"/>
              <w:jc w:val="center"/>
              <w:rPr>
                <w:noProof/>
                <w:sz w:val="24"/>
                <w:szCs w:val="24"/>
              </w:rPr>
            </w:pPr>
            <w:r w:rsidRPr="009752A1">
              <w:rPr>
                <w:noProof/>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14:paraId="3D8D13A8" w14:textId="77777777" w:rsidR="00534F49" w:rsidRPr="009752A1" w:rsidRDefault="00534F49" w:rsidP="005C1ED7">
            <w:pPr>
              <w:ind w:left="40"/>
              <w:jc w:val="center"/>
              <w:rPr>
                <w:noProof/>
                <w:sz w:val="24"/>
                <w:szCs w:val="24"/>
              </w:rPr>
            </w:pPr>
            <w:r w:rsidRPr="009752A1">
              <w:rPr>
                <w:noProof/>
                <w:sz w:val="24"/>
                <w:szCs w:val="24"/>
              </w:rPr>
              <w:t>1,0</w:t>
            </w:r>
          </w:p>
        </w:tc>
      </w:tr>
      <w:tr w:rsidR="00534F49" w:rsidRPr="009752A1" w14:paraId="4508018B" w14:textId="77777777" w:rsidTr="00855539">
        <w:tc>
          <w:tcPr>
            <w:tcW w:w="1759" w:type="dxa"/>
            <w:tcBorders>
              <w:top w:val="single" w:sz="4" w:space="0" w:color="auto"/>
              <w:left w:val="single" w:sz="4" w:space="0" w:color="auto"/>
              <w:bottom w:val="single" w:sz="4" w:space="0" w:color="auto"/>
              <w:right w:val="single" w:sz="4" w:space="0" w:color="auto"/>
            </w:tcBorders>
            <w:hideMark/>
          </w:tcPr>
          <w:p w14:paraId="45BB8987" w14:textId="77777777" w:rsidR="00534F49" w:rsidRPr="009752A1" w:rsidRDefault="00534F49">
            <w:pPr>
              <w:jc w:val="center"/>
              <w:rPr>
                <w:noProof/>
                <w:sz w:val="24"/>
                <w:szCs w:val="24"/>
              </w:rPr>
            </w:pPr>
            <w:r w:rsidRPr="009752A1">
              <w:rPr>
                <w:noProof/>
                <w:sz w:val="24"/>
                <w:szCs w:val="24"/>
              </w:rPr>
              <w:t>50</w:t>
            </w:r>
          </w:p>
        </w:tc>
        <w:tc>
          <w:tcPr>
            <w:tcW w:w="2631" w:type="dxa"/>
            <w:tcBorders>
              <w:top w:val="single" w:sz="4" w:space="0" w:color="auto"/>
              <w:left w:val="single" w:sz="4" w:space="0" w:color="auto"/>
              <w:bottom w:val="single" w:sz="4" w:space="0" w:color="auto"/>
              <w:right w:val="single" w:sz="4" w:space="0" w:color="auto"/>
            </w:tcBorders>
            <w:hideMark/>
          </w:tcPr>
          <w:p w14:paraId="4697D5B0" w14:textId="77777777" w:rsidR="00534F49" w:rsidRPr="009752A1" w:rsidRDefault="00534F49">
            <w:pPr>
              <w:jc w:val="center"/>
              <w:rPr>
                <w:noProof/>
                <w:sz w:val="24"/>
                <w:szCs w:val="24"/>
              </w:rPr>
            </w:pPr>
            <w:r w:rsidRPr="009752A1">
              <w:rPr>
                <w:noProof/>
                <w:sz w:val="24"/>
                <w:szCs w:val="24"/>
              </w:rPr>
              <w:t>3.750</w:t>
            </w:r>
          </w:p>
        </w:tc>
        <w:tc>
          <w:tcPr>
            <w:tcW w:w="1559" w:type="dxa"/>
            <w:tcBorders>
              <w:top w:val="single" w:sz="4" w:space="0" w:color="auto"/>
              <w:left w:val="single" w:sz="4" w:space="0" w:color="auto"/>
              <w:bottom w:val="single" w:sz="4" w:space="0" w:color="auto"/>
              <w:right w:val="single" w:sz="4" w:space="0" w:color="auto"/>
            </w:tcBorders>
            <w:hideMark/>
          </w:tcPr>
          <w:p w14:paraId="49ED8C04" w14:textId="77777777" w:rsidR="00534F49" w:rsidRPr="009752A1" w:rsidRDefault="00534F49" w:rsidP="005C1ED7">
            <w:pPr>
              <w:ind w:left="40"/>
              <w:jc w:val="center"/>
              <w:rPr>
                <w:noProof/>
                <w:sz w:val="24"/>
                <w:szCs w:val="24"/>
              </w:rPr>
            </w:pPr>
            <w:r w:rsidRPr="009752A1">
              <w:rPr>
                <w:noProof/>
                <w:sz w:val="24"/>
                <w:szCs w:val="24"/>
              </w:rPr>
              <w:t>1,5</w:t>
            </w:r>
          </w:p>
        </w:tc>
        <w:tc>
          <w:tcPr>
            <w:tcW w:w="1705" w:type="dxa"/>
            <w:tcBorders>
              <w:top w:val="single" w:sz="4" w:space="0" w:color="auto"/>
              <w:left w:val="single" w:sz="4" w:space="0" w:color="auto"/>
              <w:bottom w:val="single" w:sz="4" w:space="0" w:color="auto"/>
              <w:right w:val="single" w:sz="4" w:space="0" w:color="auto"/>
            </w:tcBorders>
            <w:hideMark/>
          </w:tcPr>
          <w:p w14:paraId="39214F71" w14:textId="77777777" w:rsidR="00534F49" w:rsidRPr="009752A1" w:rsidRDefault="00534F49" w:rsidP="005C1ED7">
            <w:pPr>
              <w:ind w:left="40"/>
              <w:jc w:val="center"/>
              <w:rPr>
                <w:noProof/>
                <w:sz w:val="24"/>
                <w:szCs w:val="24"/>
              </w:rPr>
            </w:pPr>
            <w:r w:rsidRPr="009752A1">
              <w:rPr>
                <w:noProof/>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14:paraId="4DF181A9" w14:textId="77777777" w:rsidR="00534F49" w:rsidRPr="009752A1" w:rsidRDefault="00534F49" w:rsidP="005C1ED7">
            <w:pPr>
              <w:ind w:left="40"/>
              <w:jc w:val="center"/>
              <w:rPr>
                <w:noProof/>
                <w:sz w:val="24"/>
                <w:szCs w:val="24"/>
              </w:rPr>
            </w:pPr>
            <w:r w:rsidRPr="009752A1">
              <w:rPr>
                <w:noProof/>
                <w:sz w:val="24"/>
                <w:szCs w:val="24"/>
              </w:rPr>
              <w:t>1,5</w:t>
            </w:r>
          </w:p>
        </w:tc>
      </w:tr>
      <w:tr w:rsidR="00534F49" w:rsidRPr="009752A1" w14:paraId="4DB1B630" w14:textId="77777777" w:rsidTr="00855539">
        <w:tc>
          <w:tcPr>
            <w:tcW w:w="1759" w:type="dxa"/>
            <w:tcBorders>
              <w:top w:val="single" w:sz="4" w:space="0" w:color="auto"/>
              <w:left w:val="single" w:sz="4" w:space="0" w:color="auto"/>
              <w:bottom w:val="single" w:sz="4" w:space="0" w:color="auto"/>
              <w:right w:val="single" w:sz="4" w:space="0" w:color="auto"/>
            </w:tcBorders>
            <w:hideMark/>
          </w:tcPr>
          <w:p w14:paraId="5F300078" w14:textId="77777777" w:rsidR="00534F49" w:rsidRPr="009752A1" w:rsidRDefault="00534F49">
            <w:pPr>
              <w:jc w:val="center"/>
              <w:rPr>
                <w:noProof/>
                <w:sz w:val="24"/>
                <w:szCs w:val="24"/>
              </w:rPr>
            </w:pPr>
            <w:r w:rsidRPr="009752A1">
              <w:rPr>
                <w:noProof/>
                <w:sz w:val="24"/>
                <w:szCs w:val="24"/>
              </w:rPr>
              <w:t>60</w:t>
            </w:r>
          </w:p>
        </w:tc>
        <w:tc>
          <w:tcPr>
            <w:tcW w:w="2631" w:type="dxa"/>
            <w:tcBorders>
              <w:top w:val="single" w:sz="4" w:space="0" w:color="auto"/>
              <w:left w:val="single" w:sz="4" w:space="0" w:color="auto"/>
              <w:bottom w:val="single" w:sz="4" w:space="0" w:color="auto"/>
              <w:right w:val="single" w:sz="4" w:space="0" w:color="auto"/>
            </w:tcBorders>
            <w:hideMark/>
          </w:tcPr>
          <w:p w14:paraId="4F8EE6AA" w14:textId="77777777" w:rsidR="00534F49" w:rsidRPr="009752A1" w:rsidRDefault="00534F49">
            <w:pPr>
              <w:jc w:val="center"/>
              <w:rPr>
                <w:noProof/>
                <w:sz w:val="24"/>
                <w:szCs w:val="24"/>
              </w:rPr>
            </w:pPr>
            <w:r w:rsidRPr="009752A1">
              <w:rPr>
                <w:noProof/>
                <w:sz w:val="24"/>
                <w:szCs w:val="24"/>
              </w:rPr>
              <w:t>4.500</w:t>
            </w:r>
          </w:p>
        </w:tc>
        <w:tc>
          <w:tcPr>
            <w:tcW w:w="1559" w:type="dxa"/>
            <w:tcBorders>
              <w:top w:val="single" w:sz="4" w:space="0" w:color="auto"/>
              <w:left w:val="single" w:sz="4" w:space="0" w:color="auto"/>
              <w:bottom w:val="single" w:sz="4" w:space="0" w:color="auto"/>
              <w:right w:val="single" w:sz="4" w:space="0" w:color="auto"/>
            </w:tcBorders>
            <w:hideMark/>
          </w:tcPr>
          <w:p w14:paraId="3833F740" w14:textId="77777777" w:rsidR="00534F49" w:rsidRPr="009752A1" w:rsidRDefault="00534F49" w:rsidP="005C1ED7">
            <w:pPr>
              <w:ind w:left="40"/>
              <w:jc w:val="center"/>
              <w:rPr>
                <w:noProof/>
                <w:sz w:val="24"/>
                <w:szCs w:val="24"/>
              </w:rPr>
            </w:pPr>
            <w:r w:rsidRPr="009752A1">
              <w:rPr>
                <w:noProof/>
                <w:sz w:val="24"/>
                <w:szCs w:val="24"/>
              </w:rPr>
              <w:t>1,5</w:t>
            </w:r>
          </w:p>
        </w:tc>
        <w:tc>
          <w:tcPr>
            <w:tcW w:w="1705" w:type="dxa"/>
            <w:tcBorders>
              <w:top w:val="single" w:sz="4" w:space="0" w:color="auto"/>
              <w:left w:val="single" w:sz="4" w:space="0" w:color="auto"/>
              <w:bottom w:val="single" w:sz="4" w:space="0" w:color="auto"/>
              <w:right w:val="single" w:sz="4" w:space="0" w:color="auto"/>
            </w:tcBorders>
            <w:hideMark/>
          </w:tcPr>
          <w:p w14:paraId="3CA136E1" w14:textId="77777777" w:rsidR="00534F49" w:rsidRPr="009752A1" w:rsidRDefault="00534F49" w:rsidP="005C1ED7">
            <w:pPr>
              <w:ind w:left="40"/>
              <w:jc w:val="center"/>
              <w:rPr>
                <w:noProof/>
                <w:sz w:val="24"/>
                <w:szCs w:val="24"/>
              </w:rPr>
            </w:pPr>
            <w:r w:rsidRPr="009752A1">
              <w:rPr>
                <w:noProof/>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14:paraId="0FC32D68" w14:textId="77777777" w:rsidR="00534F49" w:rsidRPr="009752A1" w:rsidRDefault="00534F49" w:rsidP="005C1ED7">
            <w:pPr>
              <w:ind w:left="40"/>
              <w:jc w:val="center"/>
              <w:rPr>
                <w:noProof/>
                <w:sz w:val="24"/>
                <w:szCs w:val="24"/>
              </w:rPr>
            </w:pPr>
            <w:r w:rsidRPr="009752A1">
              <w:rPr>
                <w:noProof/>
                <w:sz w:val="24"/>
                <w:szCs w:val="24"/>
              </w:rPr>
              <w:t>1,5</w:t>
            </w:r>
          </w:p>
        </w:tc>
      </w:tr>
      <w:tr w:rsidR="00534F49" w:rsidRPr="009752A1" w14:paraId="5DDB29C7" w14:textId="77777777" w:rsidTr="00855539">
        <w:tc>
          <w:tcPr>
            <w:tcW w:w="1759" w:type="dxa"/>
            <w:tcBorders>
              <w:top w:val="single" w:sz="4" w:space="0" w:color="auto"/>
              <w:left w:val="single" w:sz="4" w:space="0" w:color="auto"/>
              <w:bottom w:val="single" w:sz="4" w:space="0" w:color="auto"/>
              <w:right w:val="single" w:sz="4" w:space="0" w:color="auto"/>
            </w:tcBorders>
            <w:hideMark/>
          </w:tcPr>
          <w:p w14:paraId="35A72D40" w14:textId="77777777" w:rsidR="00534F49" w:rsidRPr="009752A1" w:rsidRDefault="00534F49">
            <w:pPr>
              <w:jc w:val="center"/>
              <w:rPr>
                <w:noProof/>
                <w:sz w:val="24"/>
                <w:szCs w:val="24"/>
              </w:rPr>
            </w:pPr>
            <w:r w:rsidRPr="009752A1">
              <w:rPr>
                <w:noProof/>
                <w:sz w:val="24"/>
                <w:szCs w:val="24"/>
              </w:rPr>
              <w:t>70</w:t>
            </w:r>
          </w:p>
        </w:tc>
        <w:tc>
          <w:tcPr>
            <w:tcW w:w="2631" w:type="dxa"/>
            <w:tcBorders>
              <w:top w:val="single" w:sz="4" w:space="0" w:color="auto"/>
              <w:left w:val="single" w:sz="4" w:space="0" w:color="auto"/>
              <w:bottom w:val="single" w:sz="4" w:space="0" w:color="auto"/>
              <w:right w:val="single" w:sz="4" w:space="0" w:color="auto"/>
            </w:tcBorders>
            <w:hideMark/>
          </w:tcPr>
          <w:p w14:paraId="697FB39C" w14:textId="77777777" w:rsidR="00534F49" w:rsidRPr="009752A1" w:rsidRDefault="00534F49">
            <w:pPr>
              <w:jc w:val="center"/>
              <w:rPr>
                <w:noProof/>
                <w:sz w:val="24"/>
                <w:szCs w:val="24"/>
              </w:rPr>
            </w:pPr>
            <w:r w:rsidRPr="009752A1">
              <w:rPr>
                <w:noProof/>
                <w:sz w:val="24"/>
                <w:szCs w:val="24"/>
              </w:rPr>
              <w:t>5.250</w:t>
            </w:r>
          </w:p>
        </w:tc>
        <w:tc>
          <w:tcPr>
            <w:tcW w:w="1559" w:type="dxa"/>
            <w:tcBorders>
              <w:top w:val="single" w:sz="4" w:space="0" w:color="auto"/>
              <w:left w:val="single" w:sz="4" w:space="0" w:color="auto"/>
              <w:bottom w:val="single" w:sz="4" w:space="0" w:color="auto"/>
              <w:right w:val="single" w:sz="4" w:space="0" w:color="auto"/>
            </w:tcBorders>
            <w:hideMark/>
          </w:tcPr>
          <w:p w14:paraId="631A4CD3" w14:textId="77777777" w:rsidR="00534F49" w:rsidRPr="009752A1" w:rsidRDefault="00534F49" w:rsidP="005C1ED7">
            <w:pPr>
              <w:ind w:left="40"/>
              <w:jc w:val="center"/>
              <w:rPr>
                <w:noProof/>
                <w:sz w:val="24"/>
                <w:szCs w:val="24"/>
              </w:rPr>
            </w:pPr>
            <w:r w:rsidRPr="009752A1">
              <w:rPr>
                <w:noProof/>
                <w:sz w:val="24"/>
                <w:szCs w:val="24"/>
              </w:rPr>
              <w:t>2,0</w:t>
            </w:r>
          </w:p>
        </w:tc>
        <w:tc>
          <w:tcPr>
            <w:tcW w:w="1705" w:type="dxa"/>
            <w:tcBorders>
              <w:top w:val="single" w:sz="4" w:space="0" w:color="auto"/>
              <w:left w:val="single" w:sz="4" w:space="0" w:color="auto"/>
              <w:bottom w:val="single" w:sz="4" w:space="0" w:color="auto"/>
              <w:right w:val="single" w:sz="4" w:space="0" w:color="auto"/>
            </w:tcBorders>
            <w:hideMark/>
          </w:tcPr>
          <w:p w14:paraId="03021CBD" w14:textId="77777777" w:rsidR="00534F49" w:rsidRPr="009752A1" w:rsidRDefault="00534F49" w:rsidP="005C1ED7">
            <w:pPr>
              <w:ind w:left="40"/>
              <w:jc w:val="center"/>
              <w:rPr>
                <w:noProof/>
                <w:sz w:val="24"/>
                <w:szCs w:val="24"/>
              </w:rPr>
            </w:pPr>
            <w:r w:rsidRPr="009752A1">
              <w:rPr>
                <w:noProof/>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14:paraId="03152939" w14:textId="77777777" w:rsidR="00534F49" w:rsidRPr="009752A1" w:rsidRDefault="00534F49" w:rsidP="005C1ED7">
            <w:pPr>
              <w:ind w:left="40"/>
              <w:jc w:val="center"/>
              <w:rPr>
                <w:noProof/>
                <w:sz w:val="24"/>
                <w:szCs w:val="24"/>
              </w:rPr>
            </w:pPr>
            <w:r w:rsidRPr="009752A1">
              <w:rPr>
                <w:noProof/>
                <w:sz w:val="24"/>
                <w:szCs w:val="24"/>
              </w:rPr>
              <w:t>2,0</w:t>
            </w:r>
          </w:p>
        </w:tc>
      </w:tr>
      <w:tr w:rsidR="00534F49" w:rsidRPr="009752A1" w14:paraId="5A3A6524" w14:textId="77777777" w:rsidTr="00855539">
        <w:tc>
          <w:tcPr>
            <w:tcW w:w="1759" w:type="dxa"/>
            <w:tcBorders>
              <w:top w:val="single" w:sz="4" w:space="0" w:color="auto"/>
              <w:left w:val="single" w:sz="4" w:space="0" w:color="auto"/>
              <w:bottom w:val="single" w:sz="4" w:space="0" w:color="auto"/>
              <w:right w:val="single" w:sz="4" w:space="0" w:color="auto"/>
            </w:tcBorders>
            <w:hideMark/>
          </w:tcPr>
          <w:p w14:paraId="3BDE9F5D" w14:textId="77777777" w:rsidR="00534F49" w:rsidRPr="009752A1" w:rsidRDefault="00534F49">
            <w:pPr>
              <w:jc w:val="center"/>
              <w:rPr>
                <w:noProof/>
                <w:sz w:val="24"/>
                <w:szCs w:val="24"/>
              </w:rPr>
            </w:pPr>
            <w:r w:rsidRPr="009752A1">
              <w:rPr>
                <w:noProof/>
                <w:sz w:val="24"/>
                <w:szCs w:val="24"/>
              </w:rPr>
              <w:t>80</w:t>
            </w:r>
          </w:p>
        </w:tc>
        <w:tc>
          <w:tcPr>
            <w:tcW w:w="2631" w:type="dxa"/>
            <w:tcBorders>
              <w:top w:val="single" w:sz="4" w:space="0" w:color="auto"/>
              <w:left w:val="single" w:sz="4" w:space="0" w:color="auto"/>
              <w:bottom w:val="single" w:sz="4" w:space="0" w:color="auto"/>
              <w:right w:val="single" w:sz="4" w:space="0" w:color="auto"/>
            </w:tcBorders>
            <w:hideMark/>
          </w:tcPr>
          <w:p w14:paraId="66949072" w14:textId="77777777" w:rsidR="00534F49" w:rsidRPr="009752A1" w:rsidRDefault="00534F49">
            <w:pPr>
              <w:jc w:val="center"/>
              <w:rPr>
                <w:noProof/>
                <w:sz w:val="24"/>
                <w:szCs w:val="24"/>
              </w:rPr>
            </w:pPr>
            <w:r w:rsidRPr="009752A1">
              <w:rPr>
                <w:noProof/>
                <w:sz w:val="24"/>
                <w:szCs w:val="24"/>
              </w:rPr>
              <w:t>6.000</w:t>
            </w:r>
          </w:p>
        </w:tc>
        <w:tc>
          <w:tcPr>
            <w:tcW w:w="1559" w:type="dxa"/>
            <w:tcBorders>
              <w:top w:val="single" w:sz="4" w:space="0" w:color="auto"/>
              <w:left w:val="single" w:sz="4" w:space="0" w:color="auto"/>
              <w:bottom w:val="single" w:sz="4" w:space="0" w:color="auto"/>
              <w:right w:val="single" w:sz="4" w:space="0" w:color="auto"/>
            </w:tcBorders>
            <w:hideMark/>
          </w:tcPr>
          <w:p w14:paraId="6C764133" w14:textId="77777777" w:rsidR="00534F49" w:rsidRPr="009752A1" w:rsidRDefault="00534F49" w:rsidP="005C1ED7">
            <w:pPr>
              <w:ind w:left="40"/>
              <w:jc w:val="center"/>
              <w:rPr>
                <w:noProof/>
                <w:sz w:val="24"/>
                <w:szCs w:val="24"/>
              </w:rPr>
            </w:pPr>
            <w:r w:rsidRPr="009752A1">
              <w:rPr>
                <w:noProof/>
                <w:sz w:val="24"/>
                <w:szCs w:val="24"/>
              </w:rPr>
              <w:t>2,0</w:t>
            </w:r>
          </w:p>
        </w:tc>
        <w:tc>
          <w:tcPr>
            <w:tcW w:w="1705" w:type="dxa"/>
            <w:tcBorders>
              <w:top w:val="single" w:sz="4" w:space="0" w:color="auto"/>
              <w:left w:val="single" w:sz="4" w:space="0" w:color="auto"/>
              <w:bottom w:val="single" w:sz="4" w:space="0" w:color="auto"/>
              <w:right w:val="single" w:sz="4" w:space="0" w:color="auto"/>
            </w:tcBorders>
            <w:hideMark/>
          </w:tcPr>
          <w:p w14:paraId="0FB02EED" w14:textId="77777777" w:rsidR="00534F49" w:rsidRPr="009752A1" w:rsidRDefault="00534F49" w:rsidP="005C1ED7">
            <w:pPr>
              <w:ind w:left="40"/>
              <w:jc w:val="center"/>
              <w:rPr>
                <w:noProof/>
                <w:sz w:val="24"/>
                <w:szCs w:val="24"/>
              </w:rPr>
            </w:pPr>
            <w:r w:rsidRPr="009752A1">
              <w:rPr>
                <w:noProof/>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14:paraId="7504F510" w14:textId="77777777" w:rsidR="00534F49" w:rsidRPr="009752A1" w:rsidRDefault="00534F49" w:rsidP="005C1ED7">
            <w:pPr>
              <w:ind w:left="40"/>
              <w:jc w:val="center"/>
              <w:rPr>
                <w:noProof/>
                <w:sz w:val="24"/>
                <w:szCs w:val="24"/>
              </w:rPr>
            </w:pPr>
            <w:r w:rsidRPr="009752A1">
              <w:rPr>
                <w:noProof/>
                <w:sz w:val="24"/>
                <w:szCs w:val="24"/>
              </w:rPr>
              <w:t>2,0</w:t>
            </w:r>
          </w:p>
        </w:tc>
      </w:tr>
      <w:tr w:rsidR="00534F49" w:rsidRPr="009752A1" w14:paraId="1E5A837B" w14:textId="77777777" w:rsidTr="00855539">
        <w:tc>
          <w:tcPr>
            <w:tcW w:w="1759" w:type="dxa"/>
            <w:tcBorders>
              <w:top w:val="single" w:sz="4" w:space="0" w:color="auto"/>
              <w:left w:val="single" w:sz="4" w:space="0" w:color="auto"/>
              <w:bottom w:val="single" w:sz="4" w:space="0" w:color="auto"/>
              <w:right w:val="single" w:sz="4" w:space="0" w:color="auto"/>
            </w:tcBorders>
            <w:hideMark/>
          </w:tcPr>
          <w:p w14:paraId="0D46F983" w14:textId="77777777" w:rsidR="00534F49" w:rsidRPr="009752A1" w:rsidRDefault="00534F49">
            <w:pPr>
              <w:jc w:val="center"/>
              <w:rPr>
                <w:noProof/>
                <w:sz w:val="24"/>
                <w:szCs w:val="24"/>
              </w:rPr>
            </w:pPr>
            <w:r w:rsidRPr="009752A1">
              <w:rPr>
                <w:noProof/>
                <w:sz w:val="24"/>
                <w:szCs w:val="24"/>
              </w:rPr>
              <w:t>90</w:t>
            </w:r>
          </w:p>
        </w:tc>
        <w:tc>
          <w:tcPr>
            <w:tcW w:w="2631" w:type="dxa"/>
            <w:tcBorders>
              <w:top w:val="single" w:sz="4" w:space="0" w:color="auto"/>
              <w:left w:val="single" w:sz="4" w:space="0" w:color="auto"/>
              <w:bottom w:val="single" w:sz="4" w:space="0" w:color="auto"/>
              <w:right w:val="single" w:sz="4" w:space="0" w:color="auto"/>
            </w:tcBorders>
            <w:hideMark/>
          </w:tcPr>
          <w:p w14:paraId="76DECB7C" w14:textId="77777777" w:rsidR="00534F49" w:rsidRPr="009752A1" w:rsidRDefault="00534F49">
            <w:pPr>
              <w:jc w:val="center"/>
              <w:rPr>
                <w:noProof/>
                <w:sz w:val="24"/>
                <w:szCs w:val="24"/>
              </w:rPr>
            </w:pPr>
            <w:r w:rsidRPr="009752A1">
              <w:rPr>
                <w:noProof/>
                <w:sz w:val="24"/>
                <w:szCs w:val="24"/>
              </w:rPr>
              <w:t>6.750</w:t>
            </w:r>
          </w:p>
        </w:tc>
        <w:tc>
          <w:tcPr>
            <w:tcW w:w="1559" w:type="dxa"/>
            <w:tcBorders>
              <w:top w:val="single" w:sz="4" w:space="0" w:color="auto"/>
              <w:left w:val="single" w:sz="4" w:space="0" w:color="auto"/>
              <w:bottom w:val="single" w:sz="4" w:space="0" w:color="auto"/>
              <w:right w:val="single" w:sz="4" w:space="0" w:color="auto"/>
            </w:tcBorders>
            <w:hideMark/>
          </w:tcPr>
          <w:p w14:paraId="5C315D64" w14:textId="77777777" w:rsidR="00534F49" w:rsidRPr="009752A1" w:rsidRDefault="00534F49" w:rsidP="005C1ED7">
            <w:pPr>
              <w:ind w:left="40"/>
              <w:jc w:val="center"/>
              <w:rPr>
                <w:noProof/>
                <w:sz w:val="24"/>
                <w:szCs w:val="24"/>
              </w:rPr>
            </w:pPr>
            <w:r w:rsidRPr="009752A1">
              <w:rPr>
                <w:noProof/>
                <w:sz w:val="24"/>
                <w:szCs w:val="24"/>
              </w:rPr>
              <w:t>2,5</w:t>
            </w:r>
          </w:p>
        </w:tc>
        <w:tc>
          <w:tcPr>
            <w:tcW w:w="1705" w:type="dxa"/>
            <w:tcBorders>
              <w:top w:val="single" w:sz="4" w:space="0" w:color="auto"/>
              <w:left w:val="single" w:sz="4" w:space="0" w:color="auto"/>
              <w:bottom w:val="single" w:sz="4" w:space="0" w:color="auto"/>
              <w:right w:val="single" w:sz="4" w:space="0" w:color="auto"/>
            </w:tcBorders>
            <w:hideMark/>
          </w:tcPr>
          <w:p w14:paraId="6CD89D37" w14:textId="77777777" w:rsidR="00534F49" w:rsidRPr="009752A1" w:rsidRDefault="00534F49" w:rsidP="005C1ED7">
            <w:pPr>
              <w:ind w:left="40"/>
              <w:jc w:val="center"/>
              <w:rPr>
                <w:noProof/>
                <w:sz w:val="24"/>
                <w:szCs w:val="24"/>
              </w:rPr>
            </w:pPr>
            <w:r w:rsidRPr="009752A1">
              <w:rPr>
                <w:noProof/>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14:paraId="4D1449A8" w14:textId="77777777" w:rsidR="00534F49" w:rsidRPr="009752A1" w:rsidRDefault="00534F49" w:rsidP="005C1ED7">
            <w:pPr>
              <w:ind w:left="40"/>
              <w:jc w:val="center"/>
              <w:rPr>
                <w:noProof/>
                <w:sz w:val="24"/>
                <w:szCs w:val="24"/>
              </w:rPr>
            </w:pPr>
            <w:r w:rsidRPr="009752A1">
              <w:rPr>
                <w:noProof/>
                <w:sz w:val="24"/>
                <w:szCs w:val="24"/>
              </w:rPr>
              <w:t>2,5</w:t>
            </w:r>
          </w:p>
        </w:tc>
      </w:tr>
    </w:tbl>
    <w:p w14:paraId="1172CA2C" w14:textId="77777777" w:rsidR="00534F49" w:rsidRPr="009752A1" w:rsidRDefault="00534F49" w:rsidP="00855539">
      <w:pPr>
        <w:ind w:left="851"/>
        <w:rPr>
          <w:noProof/>
          <w:sz w:val="24"/>
          <w:szCs w:val="24"/>
        </w:rPr>
      </w:pPr>
      <w:r w:rsidRPr="009752A1">
        <w:rPr>
          <w:noProof/>
          <w:sz w:val="24"/>
          <w:szCs w:val="24"/>
        </w:rPr>
        <w:t>*antal tabletter rundet op til den nærmeste halve tablet</w:t>
      </w:r>
    </w:p>
    <w:p w14:paraId="7BC2AE35" w14:textId="77777777" w:rsidR="00534F49" w:rsidRPr="009752A1" w:rsidRDefault="00534F49" w:rsidP="00855539">
      <w:pPr>
        <w:autoSpaceDE w:val="0"/>
        <w:autoSpaceDN w:val="0"/>
        <w:adjustRightInd w:val="0"/>
        <w:ind w:left="851"/>
        <w:rPr>
          <w:sz w:val="24"/>
          <w:szCs w:val="24"/>
          <w:lang w:eastAsia="da-DK"/>
        </w:rPr>
      </w:pPr>
    </w:p>
    <w:p w14:paraId="76A2183E" w14:textId="77777777" w:rsidR="00534F49" w:rsidRPr="009752A1" w:rsidRDefault="00534F49" w:rsidP="00855539">
      <w:pPr>
        <w:autoSpaceDE w:val="0"/>
        <w:autoSpaceDN w:val="0"/>
        <w:adjustRightInd w:val="0"/>
        <w:ind w:left="851"/>
        <w:rPr>
          <w:noProof/>
          <w:sz w:val="24"/>
          <w:szCs w:val="24"/>
        </w:rPr>
      </w:pPr>
      <w:r w:rsidRPr="009752A1">
        <w:rPr>
          <w:sz w:val="24"/>
          <w:szCs w:val="24"/>
          <w:lang w:eastAsia="da-DK"/>
        </w:rPr>
        <w:t>En total daglig dosis på over 100 mg/kg kropsvægt kan ikke anbefales, da der muligvis er en øget risiko for bivirkninger (se pkt. 4.4, 4.8 og 4.9).</w:t>
      </w:r>
    </w:p>
    <w:p w14:paraId="4388FF6E" w14:textId="77777777" w:rsidR="00534F49" w:rsidRPr="009752A1" w:rsidRDefault="00534F49" w:rsidP="00855539">
      <w:pPr>
        <w:ind w:left="851"/>
        <w:rPr>
          <w:noProof/>
          <w:sz w:val="24"/>
          <w:szCs w:val="24"/>
        </w:rPr>
      </w:pPr>
    </w:p>
    <w:p w14:paraId="79BBF101" w14:textId="77777777" w:rsidR="00534F49" w:rsidRPr="009752A1" w:rsidRDefault="00534F49" w:rsidP="00855539">
      <w:pPr>
        <w:autoSpaceDE w:val="0"/>
        <w:autoSpaceDN w:val="0"/>
        <w:adjustRightInd w:val="0"/>
        <w:ind w:left="851"/>
        <w:rPr>
          <w:i/>
          <w:iCs/>
          <w:sz w:val="24"/>
          <w:szCs w:val="24"/>
          <w:lang w:eastAsia="da-DK"/>
        </w:rPr>
      </w:pPr>
      <w:r w:rsidRPr="009752A1">
        <w:rPr>
          <w:i/>
          <w:iCs/>
          <w:sz w:val="24"/>
          <w:szCs w:val="24"/>
          <w:lang w:eastAsia="da-DK"/>
        </w:rPr>
        <w:t>Dosisjustering</w:t>
      </w:r>
    </w:p>
    <w:p w14:paraId="3A19AF98" w14:textId="73622E0B" w:rsidR="00534F49" w:rsidRPr="009752A1" w:rsidRDefault="00534F49" w:rsidP="00855539">
      <w:pPr>
        <w:autoSpaceDE w:val="0"/>
        <w:autoSpaceDN w:val="0"/>
        <w:adjustRightInd w:val="0"/>
        <w:ind w:left="851"/>
        <w:rPr>
          <w:noProof/>
          <w:sz w:val="24"/>
          <w:szCs w:val="24"/>
        </w:rPr>
      </w:pPr>
      <w:r w:rsidRPr="009752A1">
        <w:rPr>
          <w:sz w:val="24"/>
          <w:szCs w:val="24"/>
          <w:lang w:eastAsia="da-DK"/>
        </w:rPr>
        <w:t xml:space="preserve">Hvor effektiv </w:t>
      </w:r>
      <w:proofErr w:type="spellStart"/>
      <w:r w:rsidRPr="009752A1">
        <w:rPr>
          <w:sz w:val="24"/>
          <w:szCs w:val="24"/>
          <w:lang w:eastAsia="da-DK"/>
        </w:rPr>
        <w:t>Deferipron</w:t>
      </w:r>
      <w:proofErr w:type="spellEnd"/>
      <w:r w:rsidRPr="009752A1">
        <w:rPr>
          <w:sz w:val="24"/>
          <w:szCs w:val="24"/>
          <w:lang w:eastAsia="da-DK"/>
        </w:rPr>
        <w:t xml:space="preserve"> </w:t>
      </w:r>
      <w:r w:rsidR="00F35A95">
        <w:rPr>
          <w:sz w:val="24"/>
          <w:szCs w:val="24"/>
          <w:lang w:eastAsia="da-DK"/>
        </w:rPr>
        <w:t>"</w:t>
      </w:r>
      <w:proofErr w:type="spellStart"/>
      <w:r w:rsidR="00F35A95">
        <w:rPr>
          <w:sz w:val="24"/>
          <w:szCs w:val="24"/>
          <w:lang w:eastAsia="da-DK"/>
        </w:rPr>
        <w:t>Orifarm</w:t>
      </w:r>
      <w:proofErr w:type="spellEnd"/>
      <w:r w:rsidR="00F35A95">
        <w:rPr>
          <w:sz w:val="24"/>
          <w:szCs w:val="24"/>
          <w:lang w:eastAsia="da-DK"/>
        </w:rPr>
        <w:t>"</w:t>
      </w:r>
      <w:r w:rsidRPr="009752A1">
        <w:rPr>
          <w:sz w:val="24"/>
          <w:szCs w:val="24"/>
          <w:lang w:eastAsia="da-DK"/>
        </w:rPr>
        <w:t xml:space="preserve"> er til at reducere kroppens jernophobning påvirkes direkte af doseringen, og hvor stor jernophobningen er. Efter påbegyndelse af </w:t>
      </w:r>
      <w:proofErr w:type="spellStart"/>
      <w:r w:rsidRPr="009752A1">
        <w:rPr>
          <w:sz w:val="24"/>
          <w:szCs w:val="24"/>
          <w:lang w:eastAsia="da-DK"/>
        </w:rPr>
        <w:t>deferipron</w:t>
      </w:r>
      <w:proofErr w:type="spellEnd"/>
      <w:r w:rsidRPr="009752A1">
        <w:rPr>
          <w:sz w:val="24"/>
          <w:szCs w:val="24"/>
          <w:lang w:eastAsia="da-DK"/>
        </w:rPr>
        <w:t xml:space="preserve">-behandling anbefales det, at koncentrationerne af </w:t>
      </w:r>
      <w:proofErr w:type="spellStart"/>
      <w:r w:rsidRPr="009752A1">
        <w:rPr>
          <w:sz w:val="24"/>
          <w:szCs w:val="24"/>
          <w:lang w:eastAsia="da-DK"/>
        </w:rPr>
        <w:t>serumferritin</w:t>
      </w:r>
      <w:proofErr w:type="spellEnd"/>
      <w:r w:rsidRPr="009752A1">
        <w:rPr>
          <w:sz w:val="24"/>
          <w:szCs w:val="24"/>
          <w:lang w:eastAsia="da-DK"/>
        </w:rPr>
        <w:t xml:space="preserve"> eller andre indikatorer for jernophobning i kroppen overvåges hver anden til tredje måned for at vurdere den langsigtede effektivitet af et </w:t>
      </w:r>
      <w:proofErr w:type="spellStart"/>
      <w:r w:rsidRPr="009752A1">
        <w:rPr>
          <w:sz w:val="24"/>
          <w:szCs w:val="24"/>
          <w:lang w:eastAsia="da-DK"/>
        </w:rPr>
        <w:t>kelationsregimen</w:t>
      </w:r>
      <w:proofErr w:type="spellEnd"/>
      <w:r w:rsidRPr="009752A1">
        <w:rPr>
          <w:sz w:val="24"/>
          <w:szCs w:val="24"/>
          <w:lang w:eastAsia="da-DK"/>
        </w:rPr>
        <w:t xml:space="preserve"> til styring af jernophobning i kroppen. Dosisjusteringer bør skræddersys til de enkelte patienters respons og terapeutiske mål </w:t>
      </w:r>
      <w:r w:rsidRPr="009752A1">
        <w:rPr>
          <w:sz w:val="24"/>
          <w:szCs w:val="24"/>
          <w:lang w:eastAsia="da-DK"/>
        </w:rPr>
        <w:lastRenderedPageBreak/>
        <w:t xml:space="preserve">(vedligeholdelse eller reduktion af kroppens jernbelastning). Afbrydelse af behandling med </w:t>
      </w:r>
      <w:proofErr w:type="spellStart"/>
      <w:r w:rsidRPr="009752A1">
        <w:rPr>
          <w:sz w:val="24"/>
          <w:szCs w:val="24"/>
          <w:lang w:eastAsia="da-DK"/>
        </w:rPr>
        <w:t>deferipron</w:t>
      </w:r>
      <w:proofErr w:type="spellEnd"/>
      <w:r w:rsidRPr="009752A1">
        <w:rPr>
          <w:sz w:val="24"/>
          <w:szCs w:val="24"/>
          <w:lang w:eastAsia="da-DK"/>
        </w:rPr>
        <w:t xml:space="preserve"> bør overvejes, hvis </w:t>
      </w:r>
      <w:proofErr w:type="spellStart"/>
      <w:r w:rsidRPr="009752A1">
        <w:rPr>
          <w:sz w:val="24"/>
          <w:szCs w:val="24"/>
          <w:lang w:eastAsia="da-DK"/>
        </w:rPr>
        <w:t>serumferritin</w:t>
      </w:r>
      <w:proofErr w:type="spellEnd"/>
      <w:r w:rsidRPr="009752A1">
        <w:rPr>
          <w:sz w:val="24"/>
          <w:szCs w:val="24"/>
          <w:lang w:eastAsia="da-DK"/>
        </w:rPr>
        <w:t xml:space="preserve"> falder under 500 </w:t>
      </w:r>
      <w:proofErr w:type="spellStart"/>
      <w:r w:rsidRPr="009752A1">
        <w:rPr>
          <w:sz w:val="24"/>
          <w:szCs w:val="24"/>
          <w:lang w:eastAsia="da-DK"/>
        </w:rPr>
        <w:t>μg</w:t>
      </w:r>
      <w:proofErr w:type="spellEnd"/>
      <w:r w:rsidRPr="009752A1">
        <w:rPr>
          <w:sz w:val="24"/>
          <w:szCs w:val="24"/>
          <w:lang w:eastAsia="da-DK"/>
        </w:rPr>
        <w:t>/l.</w:t>
      </w:r>
    </w:p>
    <w:p w14:paraId="06723A5B" w14:textId="77777777" w:rsidR="00534F49" w:rsidRPr="009752A1" w:rsidRDefault="00534F49" w:rsidP="00855539">
      <w:pPr>
        <w:ind w:left="851"/>
        <w:rPr>
          <w:i/>
          <w:noProof/>
          <w:sz w:val="24"/>
          <w:szCs w:val="24"/>
        </w:rPr>
      </w:pPr>
    </w:p>
    <w:p w14:paraId="67356A41" w14:textId="77777777" w:rsidR="00534F49" w:rsidRPr="009752A1" w:rsidRDefault="00534F49" w:rsidP="00855539">
      <w:pPr>
        <w:autoSpaceDE w:val="0"/>
        <w:autoSpaceDN w:val="0"/>
        <w:adjustRightInd w:val="0"/>
        <w:ind w:left="851"/>
        <w:rPr>
          <w:i/>
          <w:iCs/>
          <w:sz w:val="24"/>
          <w:szCs w:val="24"/>
          <w:lang w:eastAsia="da-DK"/>
        </w:rPr>
      </w:pPr>
      <w:r w:rsidRPr="009752A1">
        <w:rPr>
          <w:i/>
          <w:iCs/>
          <w:sz w:val="24"/>
          <w:szCs w:val="24"/>
          <w:lang w:eastAsia="da-DK"/>
        </w:rPr>
        <w:t xml:space="preserve">Dosisjusteringer ved anvendelse sammen med andre </w:t>
      </w:r>
      <w:proofErr w:type="spellStart"/>
      <w:r w:rsidRPr="009752A1">
        <w:rPr>
          <w:i/>
          <w:iCs/>
          <w:sz w:val="24"/>
          <w:szCs w:val="24"/>
          <w:lang w:eastAsia="da-DK"/>
        </w:rPr>
        <w:t>jernkelerende</w:t>
      </w:r>
      <w:proofErr w:type="spellEnd"/>
      <w:r w:rsidRPr="009752A1">
        <w:rPr>
          <w:i/>
          <w:iCs/>
          <w:sz w:val="24"/>
          <w:szCs w:val="24"/>
          <w:lang w:eastAsia="da-DK"/>
        </w:rPr>
        <w:t xml:space="preserve"> stoffer</w:t>
      </w:r>
    </w:p>
    <w:p w14:paraId="073A3E78" w14:textId="1DE94BED" w:rsidR="00534F49" w:rsidRPr="009752A1" w:rsidRDefault="00534F49" w:rsidP="00855539">
      <w:pPr>
        <w:autoSpaceDE w:val="0"/>
        <w:autoSpaceDN w:val="0"/>
        <w:adjustRightInd w:val="0"/>
        <w:ind w:left="851"/>
        <w:rPr>
          <w:i/>
          <w:noProof/>
          <w:sz w:val="24"/>
          <w:szCs w:val="24"/>
        </w:rPr>
      </w:pPr>
      <w:r w:rsidRPr="009752A1">
        <w:rPr>
          <w:sz w:val="24"/>
          <w:szCs w:val="24"/>
          <w:lang w:eastAsia="da-DK"/>
        </w:rPr>
        <w:t xml:space="preserve">Hos patienter, hvor monoterapi er utilstrækkelig, kan </w:t>
      </w:r>
      <w:proofErr w:type="spellStart"/>
      <w:r w:rsidRPr="009752A1">
        <w:rPr>
          <w:sz w:val="24"/>
          <w:szCs w:val="24"/>
          <w:lang w:eastAsia="da-DK"/>
        </w:rPr>
        <w:t>Deferipron</w:t>
      </w:r>
      <w:proofErr w:type="spellEnd"/>
      <w:r w:rsidRPr="009752A1">
        <w:rPr>
          <w:sz w:val="24"/>
          <w:szCs w:val="24"/>
          <w:lang w:eastAsia="da-DK"/>
        </w:rPr>
        <w:t xml:space="preserve"> </w:t>
      </w:r>
      <w:r w:rsidR="00F35A95">
        <w:rPr>
          <w:sz w:val="24"/>
          <w:szCs w:val="24"/>
          <w:lang w:eastAsia="da-DK"/>
        </w:rPr>
        <w:t>"</w:t>
      </w:r>
      <w:proofErr w:type="spellStart"/>
      <w:r w:rsidR="00F35A95">
        <w:rPr>
          <w:sz w:val="24"/>
          <w:szCs w:val="24"/>
          <w:lang w:eastAsia="da-DK"/>
        </w:rPr>
        <w:t>Orifarm</w:t>
      </w:r>
      <w:proofErr w:type="spellEnd"/>
      <w:r w:rsidR="00F35A95">
        <w:rPr>
          <w:sz w:val="24"/>
          <w:szCs w:val="24"/>
          <w:lang w:eastAsia="da-DK"/>
        </w:rPr>
        <w:t>"</w:t>
      </w:r>
      <w:r w:rsidRPr="009752A1">
        <w:rPr>
          <w:sz w:val="24"/>
          <w:szCs w:val="24"/>
          <w:lang w:eastAsia="da-DK"/>
        </w:rPr>
        <w:t xml:space="preserve"> anvendes sammen med </w:t>
      </w:r>
      <w:proofErr w:type="spellStart"/>
      <w:r w:rsidRPr="009752A1">
        <w:rPr>
          <w:sz w:val="24"/>
          <w:szCs w:val="24"/>
          <w:lang w:eastAsia="da-DK"/>
        </w:rPr>
        <w:t>deferoxamin</w:t>
      </w:r>
      <w:proofErr w:type="spellEnd"/>
      <w:r w:rsidRPr="009752A1">
        <w:rPr>
          <w:sz w:val="24"/>
          <w:szCs w:val="24"/>
          <w:lang w:eastAsia="da-DK"/>
        </w:rPr>
        <w:t xml:space="preserve"> med en standarddosis (75 mg/kg/dag), men bør ikke overstige 100</w:t>
      </w:r>
      <w:r w:rsidR="009968C0">
        <w:rPr>
          <w:sz w:val="24"/>
          <w:szCs w:val="24"/>
          <w:lang w:eastAsia="da-DK"/>
        </w:rPr>
        <w:t> </w:t>
      </w:r>
      <w:r w:rsidRPr="009752A1">
        <w:rPr>
          <w:sz w:val="24"/>
          <w:szCs w:val="24"/>
          <w:lang w:eastAsia="da-DK"/>
        </w:rPr>
        <w:t>mg/kg/dag.</w:t>
      </w:r>
    </w:p>
    <w:p w14:paraId="607B48ED" w14:textId="77777777" w:rsidR="00534F49" w:rsidRPr="009752A1" w:rsidRDefault="00534F49" w:rsidP="00855539">
      <w:pPr>
        <w:ind w:left="851"/>
        <w:rPr>
          <w:i/>
          <w:noProof/>
          <w:sz w:val="24"/>
          <w:szCs w:val="24"/>
        </w:rPr>
      </w:pPr>
    </w:p>
    <w:p w14:paraId="74A982F0" w14:textId="376AF9B9" w:rsidR="00534F49" w:rsidRPr="009752A1" w:rsidRDefault="00534F49" w:rsidP="00855539">
      <w:pPr>
        <w:autoSpaceDE w:val="0"/>
        <w:autoSpaceDN w:val="0"/>
        <w:adjustRightInd w:val="0"/>
        <w:ind w:left="851"/>
        <w:rPr>
          <w:sz w:val="24"/>
          <w:szCs w:val="24"/>
          <w:lang w:eastAsia="da-DK"/>
        </w:rPr>
      </w:pPr>
      <w:r w:rsidRPr="009752A1">
        <w:rPr>
          <w:sz w:val="24"/>
          <w:szCs w:val="24"/>
          <w:lang w:eastAsia="da-DK"/>
        </w:rPr>
        <w:t xml:space="preserve">I tilfælde af jerninduceret hjertesvigt bør </w:t>
      </w:r>
      <w:proofErr w:type="spellStart"/>
      <w:r w:rsidRPr="009752A1">
        <w:rPr>
          <w:sz w:val="24"/>
          <w:szCs w:val="24"/>
          <w:lang w:eastAsia="da-DK"/>
        </w:rPr>
        <w:t>Deferipron</w:t>
      </w:r>
      <w:proofErr w:type="spellEnd"/>
      <w:r w:rsidRPr="009752A1">
        <w:rPr>
          <w:sz w:val="24"/>
          <w:szCs w:val="24"/>
          <w:lang w:eastAsia="da-DK"/>
        </w:rPr>
        <w:t xml:space="preserve"> </w:t>
      </w:r>
      <w:r w:rsidR="00F35A95">
        <w:rPr>
          <w:sz w:val="24"/>
          <w:szCs w:val="24"/>
          <w:lang w:eastAsia="da-DK"/>
        </w:rPr>
        <w:t>"</w:t>
      </w:r>
      <w:proofErr w:type="spellStart"/>
      <w:r w:rsidR="00F35A95">
        <w:rPr>
          <w:sz w:val="24"/>
          <w:szCs w:val="24"/>
          <w:lang w:eastAsia="da-DK"/>
        </w:rPr>
        <w:t>Orifarm</w:t>
      </w:r>
      <w:proofErr w:type="spellEnd"/>
      <w:r w:rsidR="00F35A95">
        <w:rPr>
          <w:sz w:val="24"/>
          <w:szCs w:val="24"/>
          <w:lang w:eastAsia="da-DK"/>
        </w:rPr>
        <w:t>"</w:t>
      </w:r>
      <w:r w:rsidRPr="009752A1">
        <w:rPr>
          <w:sz w:val="24"/>
          <w:szCs w:val="24"/>
          <w:lang w:eastAsia="da-DK"/>
        </w:rPr>
        <w:t xml:space="preserve"> med 75-100 mg/kg/dag tilføjes til behandlingen med </w:t>
      </w:r>
      <w:proofErr w:type="spellStart"/>
      <w:r w:rsidRPr="009752A1">
        <w:rPr>
          <w:sz w:val="24"/>
          <w:szCs w:val="24"/>
          <w:lang w:eastAsia="da-DK"/>
        </w:rPr>
        <w:t>deferoxamin</w:t>
      </w:r>
      <w:proofErr w:type="spellEnd"/>
      <w:r w:rsidRPr="009752A1">
        <w:rPr>
          <w:sz w:val="24"/>
          <w:szCs w:val="24"/>
          <w:lang w:eastAsia="da-DK"/>
        </w:rPr>
        <w:t xml:space="preserve">. Det anbefales at rådføre sig med produktinformationen for </w:t>
      </w:r>
      <w:proofErr w:type="spellStart"/>
      <w:r w:rsidRPr="009752A1">
        <w:rPr>
          <w:sz w:val="24"/>
          <w:szCs w:val="24"/>
          <w:lang w:eastAsia="da-DK"/>
        </w:rPr>
        <w:t>deferoxamin</w:t>
      </w:r>
      <w:proofErr w:type="spellEnd"/>
      <w:r w:rsidRPr="009752A1">
        <w:rPr>
          <w:sz w:val="24"/>
          <w:szCs w:val="24"/>
          <w:lang w:eastAsia="da-DK"/>
        </w:rPr>
        <w:t>.</w:t>
      </w:r>
    </w:p>
    <w:p w14:paraId="26111F09" w14:textId="77777777" w:rsidR="00534F49" w:rsidRPr="009752A1" w:rsidRDefault="00534F49" w:rsidP="00855539">
      <w:pPr>
        <w:ind w:left="851"/>
        <w:rPr>
          <w:i/>
          <w:noProof/>
          <w:sz w:val="24"/>
          <w:szCs w:val="24"/>
        </w:rPr>
      </w:pPr>
    </w:p>
    <w:p w14:paraId="79E05AD5" w14:textId="72695D7A" w:rsidR="00534F49" w:rsidRPr="009752A1" w:rsidRDefault="00534F49" w:rsidP="00855539">
      <w:pPr>
        <w:autoSpaceDE w:val="0"/>
        <w:autoSpaceDN w:val="0"/>
        <w:adjustRightInd w:val="0"/>
        <w:ind w:left="851"/>
        <w:rPr>
          <w:b/>
          <w:sz w:val="24"/>
          <w:szCs w:val="24"/>
          <w:lang w:eastAsia="da-DK"/>
        </w:rPr>
      </w:pPr>
      <w:r w:rsidRPr="009752A1">
        <w:rPr>
          <w:sz w:val="24"/>
          <w:szCs w:val="24"/>
          <w:lang w:eastAsia="da-DK"/>
        </w:rPr>
        <w:t xml:space="preserve">Samtidig brug af </w:t>
      </w:r>
      <w:proofErr w:type="spellStart"/>
      <w:r w:rsidRPr="009752A1">
        <w:rPr>
          <w:sz w:val="24"/>
          <w:szCs w:val="24"/>
          <w:lang w:eastAsia="da-DK"/>
        </w:rPr>
        <w:t>jernkelerende</w:t>
      </w:r>
      <w:proofErr w:type="spellEnd"/>
      <w:r w:rsidRPr="009752A1">
        <w:rPr>
          <w:sz w:val="24"/>
          <w:szCs w:val="24"/>
          <w:lang w:eastAsia="da-DK"/>
        </w:rPr>
        <w:t xml:space="preserve"> stoffer frarådes hos patienter, hvis </w:t>
      </w:r>
      <w:proofErr w:type="spellStart"/>
      <w:r w:rsidRPr="009752A1">
        <w:rPr>
          <w:sz w:val="24"/>
          <w:szCs w:val="24"/>
          <w:lang w:eastAsia="da-DK"/>
        </w:rPr>
        <w:t>serumferritin</w:t>
      </w:r>
      <w:proofErr w:type="spellEnd"/>
      <w:r w:rsidRPr="009752A1">
        <w:rPr>
          <w:sz w:val="24"/>
          <w:szCs w:val="24"/>
          <w:lang w:eastAsia="da-DK"/>
        </w:rPr>
        <w:t xml:space="preserve"> falder </w:t>
      </w:r>
      <w:r w:rsidR="009968C0">
        <w:rPr>
          <w:sz w:val="24"/>
          <w:szCs w:val="24"/>
          <w:lang w:eastAsia="da-DK"/>
        </w:rPr>
        <w:t>under</w:t>
      </w:r>
      <w:r w:rsidRPr="009752A1">
        <w:rPr>
          <w:sz w:val="24"/>
          <w:szCs w:val="24"/>
          <w:lang w:eastAsia="da-DK"/>
        </w:rPr>
        <w:t xml:space="preserve"> 500 </w:t>
      </w:r>
      <w:proofErr w:type="spellStart"/>
      <w:r w:rsidRPr="009752A1">
        <w:rPr>
          <w:sz w:val="24"/>
          <w:szCs w:val="24"/>
          <w:lang w:eastAsia="da-DK"/>
        </w:rPr>
        <w:t>μg</w:t>
      </w:r>
      <w:proofErr w:type="spellEnd"/>
      <w:r w:rsidRPr="009752A1">
        <w:rPr>
          <w:sz w:val="24"/>
          <w:szCs w:val="24"/>
          <w:lang w:eastAsia="da-DK"/>
        </w:rPr>
        <w:t>/l på grund af risikoen for overdreven jernfjernelse.</w:t>
      </w:r>
    </w:p>
    <w:p w14:paraId="2F0990EB" w14:textId="77777777" w:rsidR="00534F49" w:rsidRPr="00BC4D2A" w:rsidRDefault="00534F49" w:rsidP="00855539">
      <w:pPr>
        <w:ind w:left="851"/>
        <w:rPr>
          <w:noProof/>
          <w:sz w:val="24"/>
          <w:szCs w:val="24"/>
        </w:rPr>
      </w:pPr>
    </w:p>
    <w:p w14:paraId="011F5B64" w14:textId="77777777" w:rsidR="00534F49" w:rsidRPr="009752A1" w:rsidRDefault="00534F49" w:rsidP="00855539">
      <w:pPr>
        <w:autoSpaceDE w:val="0"/>
        <w:autoSpaceDN w:val="0"/>
        <w:adjustRightInd w:val="0"/>
        <w:ind w:left="851"/>
        <w:rPr>
          <w:i/>
          <w:iCs/>
          <w:sz w:val="24"/>
          <w:szCs w:val="24"/>
          <w:lang w:eastAsia="da-DK"/>
        </w:rPr>
      </w:pPr>
      <w:r w:rsidRPr="009752A1">
        <w:rPr>
          <w:i/>
          <w:iCs/>
          <w:sz w:val="24"/>
          <w:szCs w:val="24"/>
          <w:lang w:eastAsia="da-DK"/>
        </w:rPr>
        <w:t>Nyreinsufficiens</w:t>
      </w:r>
    </w:p>
    <w:p w14:paraId="2B01C77F" w14:textId="77777777" w:rsidR="00534F49" w:rsidRPr="009752A1" w:rsidRDefault="00534F49" w:rsidP="00855539">
      <w:pPr>
        <w:autoSpaceDE w:val="0"/>
        <w:autoSpaceDN w:val="0"/>
        <w:adjustRightInd w:val="0"/>
        <w:ind w:left="851"/>
        <w:rPr>
          <w:sz w:val="24"/>
          <w:szCs w:val="24"/>
          <w:lang w:eastAsia="da-DK"/>
        </w:rPr>
      </w:pPr>
      <w:r w:rsidRPr="009752A1">
        <w:rPr>
          <w:sz w:val="24"/>
          <w:szCs w:val="24"/>
          <w:lang w:eastAsia="da-DK"/>
        </w:rPr>
        <w:t xml:space="preserve">Dosisjustering er ikke nødvendig hos patienter med let, moderat eller svær nyreinsufficiens (se pkt. 5.2). </w:t>
      </w:r>
      <w:proofErr w:type="spellStart"/>
      <w:r w:rsidRPr="009752A1">
        <w:rPr>
          <w:sz w:val="24"/>
          <w:szCs w:val="24"/>
          <w:lang w:eastAsia="da-DK"/>
        </w:rPr>
        <w:t>Deferiprons</w:t>
      </w:r>
      <w:proofErr w:type="spellEnd"/>
      <w:r w:rsidRPr="009752A1">
        <w:rPr>
          <w:sz w:val="24"/>
          <w:szCs w:val="24"/>
          <w:lang w:eastAsia="da-DK"/>
        </w:rPr>
        <w:t xml:space="preserve"> sikkerhed og farmakokinetik hos patienter med nyresygdom i slutstadiet er ikke kendt.</w:t>
      </w:r>
    </w:p>
    <w:p w14:paraId="7E4F2781" w14:textId="77777777" w:rsidR="00534F49" w:rsidRPr="009752A1" w:rsidRDefault="00534F49" w:rsidP="00855539">
      <w:pPr>
        <w:autoSpaceDE w:val="0"/>
        <w:autoSpaceDN w:val="0"/>
        <w:adjustRightInd w:val="0"/>
        <w:ind w:left="851"/>
        <w:rPr>
          <w:i/>
          <w:iCs/>
          <w:sz w:val="24"/>
          <w:szCs w:val="24"/>
          <w:lang w:eastAsia="da-DK"/>
        </w:rPr>
      </w:pPr>
    </w:p>
    <w:p w14:paraId="3DAB796F" w14:textId="77777777" w:rsidR="00534F49" w:rsidRPr="009752A1" w:rsidRDefault="00534F49" w:rsidP="00855539">
      <w:pPr>
        <w:autoSpaceDE w:val="0"/>
        <w:autoSpaceDN w:val="0"/>
        <w:adjustRightInd w:val="0"/>
        <w:ind w:left="851"/>
        <w:rPr>
          <w:i/>
          <w:iCs/>
          <w:sz w:val="24"/>
          <w:szCs w:val="24"/>
          <w:lang w:eastAsia="da-DK"/>
        </w:rPr>
      </w:pPr>
      <w:r w:rsidRPr="009752A1">
        <w:rPr>
          <w:i/>
          <w:iCs/>
          <w:sz w:val="24"/>
          <w:szCs w:val="24"/>
          <w:lang w:eastAsia="da-DK"/>
        </w:rPr>
        <w:t>Leverinsufficiens</w:t>
      </w:r>
    </w:p>
    <w:p w14:paraId="765E7967" w14:textId="77777777" w:rsidR="00534F49" w:rsidRPr="009752A1" w:rsidRDefault="00534F49" w:rsidP="00855539">
      <w:pPr>
        <w:autoSpaceDE w:val="0"/>
        <w:autoSpaceDN w:val="0"/>
        <w:adjustRightInd w:val="0"/>
        <w:ind w:left="851"/>
        <w:rPr>
          <w:sz w:val="24"/>
          <w:szCs w:val="24"/>
          <w:lang w:eastAsia="da-DK"/>
        </w:rPr>
      </w:pPr>
      <w:r w:rsidRPr="009752A1">
        <w:rPr>
          <w:sz w:val="24"/>
          <w:szCs w:val="24"/>
          <w:lang w:eastAsia="da-DK"/>
        </w:rPr>
        <w:t>Dosisjustering er ikke nødvendig hos patienter med let eller moderat leverinsufficiens (se pkt. 5.2).</w:t>
      </w:r>
    </w:p>
    <w:p w14:paraId="600F2489" w14:textId="77777777" w:rsidR="004D15E1" w:rsidRDefault="004D15E1" w:rsidP="004D15E1">
      <w:pPr>
        <w:ind w:left="851"/>
        <w:rPr>
          <w:sz w:val="24"/>
          <w:szCs w:val="24"/>
          <w:u w:val="single"/>
        </w:rPr>
      </w:pPr>
      <w:proofErr w:type="spellStart"/>
      <w:r>
        <w:rPr>
          <w:sz w:val="24"/>
          <w:szCs w:val="24"/>
          <w:lang w:eastAsia="da-DK"/>
        </w:rPr>
        <w:t>Deferiprons</w:t>
      </w:r>
      <w:proofErr w:type="spellEnd"/>
      <w:r>
        <w:rPr>
          <w:sz w:val="24"/>
          <w:szCs w:val="24"/>
          <w:lang w:eastAsia="da-DK"/>
        </w:rPr>
        <w:t xml:space="preserve"> sikkerhed og farmakokinetik hos patienter med svær leverinsufficiens er ikke kendt.</w:t>
      </w:r>
    </w:p>
    <w:p w14:paraId="63942BA4" w14:textId="77777777" w:rsidR="004D15E1" w:rsidRPr="004D15E1" w:rsidRDefault="004D15E1" w:rsidP="004D15E1">
      <w:pPr>
        <w:ind w:left="851"/>
        <w:rPr>
          <w:noProof/>
          <w:sz w:val="24"/>
          <w:szCs w:val="24"/>
        </w:rPr>
      </w:pPr>
    </w:p>
    <w:p w14:paraId="465B0CCB" w14:textId="77777777" w:rsidR="004D15E1" w:rsidRDefault="004D15E1" w:rsidP="004D15E1">
      <w:pPr>
        <w:ind w:left="851"/>
        <w:rPr>
          <w:noProof/>
          <w:sz w:val="24"/>
          <w:szCs w:val="24"/>
        </w:rPr>
      </w:pPr>
      <w:r>
        <w:rPr>
          <w:i/>
          <w:noProof/>
          <w:sz w:val="24"/>
          <w:szCs w:val="24"/>
        </w:rPr>
        <w:t>Pædiatrisk population</w:t>
      </w:r>
    </w:p>
    <w:p w14:paraId="2E0695E6" w14:textId="77777777" w:rsidR="004D15E1" w:rsidRDefault="004D15E1" w:rsidP="004D15E1">
      <w:pPr>
        <w:autoSpaceDE w:val="0"/>
        <w:autoSpaceDN w:val="0"/>
        <w:adjustRightInd w:val="0"/>
        <w:ind w:left="851"/>
        <w:rPr>
          <w:sz w:val="24"/>
          <w:szCs w:val="24"/>
        </w:rPr>
      </w:pPr>
      <w:r>
        <w:rPr>
          <w:sz w:val="24"/>
          <w:szCs w:val="24"/>
          <w:lang w:eastAsia="da-DK"/>
        </w:rPr>
        <w:t xml:space="preserve">Der er begrænsede data til rådighed om brugen af </w:t>
      </w:r>
      <w:proofErr w:type="spellStart"/>
      <w:r>
        <w:rPr>
          <w:sz w:val="24"/>
          <w:szCs w:val="24"/>
          <w:lang w:eastAsia="da-DK"/>
        </w:rPr>
        <w:t>deferipron</w:t>
      </w:r>
      <w:proofErr w:type="spellEnd"/>
      <w:r>
        <w:rPr>
          <w:sz w:val="24"/>
          <w:szCs w:val="24"/>
          <w:lang w:eastAsia="da-DK"/>
        </w:rPr>
        <w:t xml:space="preserve"> til børn i alderen fra 6 til 10 år og ingen data om brug af </w:t>
      </w:r>
      <w:proofErr w:type="spellStart"/>
      <w:r>
        <w:rPr>
          <w:sz w:val="24"/>
          <w:szCs w:val="24"/>
          <w:lang w:eastAsia="da-DK"/>
        </w:rPr>
        <w:t>deferipron</w:t>
      </w:r>
      <w:proofErr w:type="spellEnd"/>
      <w:r>
        <w:rPr>
          <w:sz w:val="24"/>
          <w:szCs w:val="24"/>
          <w:lang w:eastAsia="da-DK"/>
        </w:rPr>
        <w:t xml:space="preserve"> til børn under 6 år.</w:t>
      </w:r>
    </w:p>
    <w:p w14:paraId="221EE8D3" w14:textId="77777777" w:rsidR="00534F49" w:rsidRPr="009752A1" w:rsidRDefault="00534F49" w:rsidP="00855539">
      <w:pPr>
        <w:ind w:left="851"/>
        <w:rPr>
          <w:sz w:val="24"/>
          <w:szCs w:val="24"/>
          <w:u w:val="single"/>
        </w:rPr>
      </w:pPr>
    </w:p>
    <w:p w14:paraId="16D6B7BA" w14:textId="77777777" w:rsidR="00534F49" w:rsidRPr="009752A1" w:rsidRDefault="00534F49" w:rsidP="00855539">
      <w:pPr>
        <w:ind w:left="851"/>
        <w:rPr>
          <w:sz w:val="24"/>
          <w:szCs w:val="24"/>
          <w:u w:val="single"/>
        </w:rPr>
      </w:pPr>
      <w:r w:rsidRPr="009752A1">
        <w:rPr>
          <w:sz w:val="24"/>
          <w:szCs w:val="24"/>
          <w:u w:val="single"/>
        </w:rPr>
        <w:t>Administration</w:t>
      </w:r>
    </w:p>
    <w:p w14:paraId="46532294" w14:textId="77777777" w:rsidR="00534F49" w:rsidRPr="009752A1" w:rsidRDefault="00534F49" w:rsidP="00855539">
      <w:pPr>
        <w:ind w:left="851"/>
        <w:rPr>
          <w:sz w:val="24"/>
          <w:szCs w:val="24"/>
          <w:u w:val="single"/>
        </w:rPr>
      </w:pPr>
      <w:r w:rsidRPr="009752A1">
        <w:rPr>
          <w:sz w:val="24"/>
          <w:szCs w:val="24"/>
          <w:lang w:eastAsia="da-DK"/>
        </w:rPr>
        <w:t>Til oral anvendelse.</w:t>
      </w:r>
    </w:p>
    <w:p w14:paraId="2C1B4EF6" w14:textId="77777777" w:rsidR="009260DE" w:rsidRPr="009752A1" w:rsidRDefault="009260DE" w:rsidP="009260DE">
      <w:pPr>
        <w:tabs>
          <w:tab w:val="left" w:pos="851"/>
        </w:tabs>
        <w:ind w:left="851"/>
        <w:rPr>
          <w:sz w:val="24"/>
          <w:szCs w:val="24"/>
        </w:rPr>
      </w:pPr>
    </w:p>
    <w:p w14:paraId="2EB0F4A2" w14:textId="77777777" w:rsidR="009260DE" w:rsidRPr="009752A1" w:rsidRDefault="009260DE" w:rsidP="009260DE">
      <w:pPr>
        <w:tabs>
          <w:tab w:val="left" w:pos="851"/>
        </w:tabs>
        <w:ind w:left="851" w:hanging="851"/>
        <w:rPr>
          <w:b/>
          <w:sz w:val="24"/>
          <w:szCs w:val="24"/>
        </w:rPr>
      </w:pPr>
      <w:r w:rsidRPr="009752A1">
        <w:rPr>
          <w:b/>
          <w:sz w:val="24"/>
          <w:szCs w:val="24"/>
        </w:rPr>
        <w:t>4.3</w:t>
      </w:r>
      <w:r w:rsidRPr="009752A1">
        <w:rPr>
          <w:b/>
          <w:sz w:val="24"/>
          <w:szCs w:val="24"/>
        </w:rPr>
        <w:tab/>
        <w:t>Kontraindikationer</w:t>
      </w:r>
    </w:p>
    <w:p w14:paraId="64591829" w14:textId="77777777" w:rsidR="00534F49" w:rsidRPr="009752A1" w:rsidRDefault="00534F49" w:rsidP="00855539">
      <w:pPr>
        <w:pStyle w:val="Listeafsnit"/>
        <w:numPr>
          <w:ilvl w:val="0"/>
          <w:numId w:val="6"/>
        </w:numPr>
        <w:ind w:left="1276" w:hanging="425"/>
        <w:rPr>
          <w:sz w:val="24"/>
          <w:szCs w:val="24"/>
        </w:rPr>
      </w:pPr>
      <w:r w:rsidRPr="009752A1">
        <w:rPr>
          <w:sz w:val="24"/>
          <w:szCs w:val="24"/>
        </w:rPr>
        <w:t>Overfølsomhed over for det aktive stof eller over for et eller flere af hjælpestofferne anført i pkt. 6.1.</w:t>
      </w:r>
    </w:p>
    <w:p w14:paraId="4900D2E8" w14:textId="77777777" w:rsidR="00534F49" w:rsidRPr="009752A1" w:rsidRDefault="00534F49" w:rsidP="00855539">
      <w:pPr>
        <w:pStyle w:val="Listeafsnit"/>
        <w:numPr>
          <w:ilvl w:val="0"/>
          <w:numId w:val="7"/>
        </w:numPr>
        <w:autoSpaceDE w:val="0"/>
        <w:autoSpaceDN w:val="0"/>
        <w:adjustRightInd w:val="0"/>
        <w:ind w:left="1276" w:hanging="425"/>
        <w:rPr>
          <w:sz w:val="24"/>
          <w:szCs w:val="24"/>
          <w:lang w:eastAsia="da-DK"/>
        </w:rPr>
      </w:pPr>
      <w:r w:rsidRPr="009752A1">
        <w:rPr>
          <w:sz w:val="24"/>
          <w:szCs w:val="24"/>
          <w:lang w:eastAsia="da-DK"/>
        </w:rPr>
        <w:t xml:space="preserve">Tidligere gentagen forekomst af </w:t>
      </w:r>
      <w:proofErr w:type="spellStart"/>
      <w:r w:rsidRPr="009752A1">
        <w:rPr>
          <w:sz w:val="24"/>
          <w:szCs w:val="24"/>
          <w:lang w:eastAsia="da-DK"/>
        </w:rPr>
        <w:t>neutropeni</w:t>
      </w:r>
      <w:proofErr w:type="spellEnd"/>
      <w:r w:rsidRPr="009752A1">
        <w:rPr>
          <w:sz w:val="24"/>
          <w:szCs w:val="24"/>
          <w:lang w:eastAsia="da-DK"/>
        </w:rPr>
        <w:t>.</w:t>
      </w:r>
    </w:p>
    <w:p w14:paraId="3FA7EB58" w14:textId="77777777" w:rsidR="00534F49" w:rsidRPr="009752A1" w:rsidRDefault="00534F49" w:rsidP="00855539">
      <w:pPr>
        <w:pStyle w:val="Listeafsnit"/>
        <w:numPr>
          <w:ilvl w:val="0"/>
          <w:numId w:val="7"/>
        </w:numPr>
        <w:autoSpaceDE w:val="0"/>
        <w:autoSpaceDN w:val="0"/>
        <w:adjustRightInd w:val="0"/>
        <w:ind w:left="1276" w:hanging="425"/>
        <w:rPr>
          <w:sz w:val="24"/>
          <w:szCs w:val="24"/>
          <w:lang w:eastAsia="da-DK"/>
        </w:rPr>
      </w:pPr>
      <w:r w:rsidRPr="009752A1">
        <w:rPr>
          <w:sz w:val="24"/>
          <w:szCs w:val="24"/>
          <w:lang w:eastAsia="da-DK"/>
        </w:rPr>
        <w:t xml:space="preserve">Tidligere forekomst af </w:t>
      </w:r>
      <w:proofErr w:type="spellStart"/>
      <w:r w:rsidRPr="009752A1">
        <w:rPr>
          <w:sz w:val="24"/>
          <w:szCs w:val="24"/>
          <w:lang w:eastAsia="da-DK"/>
        </w:rPr>
        <w:t>agranulocytose</w:t>
      </w:r>
      <w:proofErr w:type="spellEnd"/>
      <w:r w:rsidRPr="009752A1">
        <w:rPr>
          <w:sz w:val="24"/>
          <w:szCs w:val="24"/>
          <w:lang w:eastAsia="da-DK"/>
        </w:rPr>
        <w:t>.</w:t>
      </w:r>
    </w:p>
    <w:p w14:paraId="27FC5960" w14:textId="77777777" w:rsidR="00534F49" w:rsidRPr="009752A1" w:rsidRDefault="00534F49" w:rsidP="00855539">
      <w:pPr>
        <w:pStyle w:val="Listeafsnit"/>
        <w:numPr>
          <w:ilvl w:val="0"/>
          <w:numId w:val="7"/>
        </w:numPr>
        <w:autoSpaceDE w:val="0"/>
        <w:autoSpaceDN w:val="0"/>
        <w:adjustRightInd w:val="0"/>
        <w:ind w:left="1276" w:hanging="425"/>
        <w:rPr>
          <w:sz w:val="24"/>
          <w:szCs w:val="24"/>
          <w:lang w:eastAsia="da-DK"/>
        </w:rPr>
      </w:pPr>
      <w:r w:rsidRPr="009752A1">
        <w:rPr>
          <w:sz w:val="24"/>
          <w:szCs w:val="24"/>
          <w:lang w:eastAsia="da-DK"/>
        </w:rPr>
        <w:t>Graviditet (se pkt. 4.6).</w:t>
      </w:r>
    </w:p>
    <w:p w14:paraId="16FD7984" w14:textId="77777777" w:rsidR="00534F49" w:rsidRPr="009752A1" w:rsidRDefault="00534F49" w:rsidP="00855539">
      <w:pPr>
        <w:pStyle w:val="Listeafsnit"/>
        <w:numPr>
          <w:ilvl w:val="0"/>
          <w:numId w:val="7"/>
        </w:numPr>
        <w:autoSpaceDE w:val="0"/>
        <w:autoSpaceDN w:val="0"/>
        <w:adjustRightInd w:val="0"/>
        <w:ind w:left="1276" w:hanging="425"/>
        <w:rPr>
          <w:sz w:val="24"/>
          <w:szCs w:val="24"/>
          <w:lang w:eastAsia="da-DK"/>
        </w:rPr>
      </w:pPr>
      <w:r w:rsidRPr="009752A1">
        <w:rPr>
          <w:sz w:val="24"/>
          <w:szCs w:val="24"/>
          <w:lang w:eastAsia="da-DK"/>
        </w:rPr>
        <w:t>Amning (se pkt. 4.6).</w:t>
      </w:r>
    </w:p>
    <w:p w14:paraId="152B74ED" w14:textId="77777777" w:rsidR="00534F49" w:rsidRPr="009752A1" w:rsidRDefault="00534F49" w:rsidP="00855539">
      <w:pPr>
        <w:pStyle w:val="Listeafsnit"/>
        <w:numPr>
          <w:ilvl w:val="0"/>
          <w:numId w:val="7"/>
        </w:numPr>
        <w:autoSpaceDE w:val="0"/>
        <w:autoSpaceDN w:val="0"/>
        <w:adjustRightInd w:val="0"/>
        <w:ind w:left="1276" w:hanging="425"/>
        <w:rPr>
          <w:sz w:val="24"/>
          <w:szCs w:val="24"/>
        </w:rPr>
      </w:pPr>
      <w:r w:rsidRPr="009752A1">
        <w:rPr>
          <w:sz w:val="24"/>
          <w:szCs w:val="24"/>
          <w:lang w:eastAsia="da-DK"/>
        </w:rPr>
        <w:t xml:space="preserve">Da mekanismen for </w:t>
      </w:r>
      <w:proofErr w:type="spellStart"/>
      <w:r w:rsidRPr="009752A1">
        <w:rPr>
          <w:sz w:val="24"/>
          <w:szCs w:val="24"/>
          <w:lang w:eastAsia="da-DK"/>
        </w:rPr>
        <w:t>neutropeni</w:t>
      </w:r>
      <w:proofErr w:type="spellEnd"/>
      <w:r w:rsidRPr="009752A1">
        <w:rPr>
          <w:sz w:val="24"/>
          <w:szCs w:val="24"/>
          <w:lang w:eastAsia="da-DK"/>
        </w:rPr>
        <w:t xml:space="preserve"> fremkaldt af </w:t>
      </w:r>
      <w:proofErr w:type="spellStart"/>
      <w:r w:rsidRPr="009752A1">
        <w:rPr>
          <w:sz w:val="24"/>
          <w:szCs w:val="24"/>
          <w:lang w:eastAsia="da-DK"/>
        </w:rPr>
        <w:t>deferipron</w:t>
      </w:r>
      <w:proofErr w:type="spellEnd"/>
      <w:r w:rsidRPr="009752A1">
        <w:rPr>
          <w:sz w:val="24"/>
          <w:szCs w:val="24"/>
          <w:lang w:eastAsia="da-DK"/>
        </w:rPr>
        <w:t xml:space="preserve"> ikke er kendt, bør patienterne ikke indtage medicin, der vides at være forbundet med </w:t>
      </w:r>
      <w:proofErr w:type="spellStart"/>
      <w:r w:rsidRPr="009752A1">
        <w:rPr>
          <w:sz w:val="24"/>
          <w:szCs w:val="24"/>
          <w:lang w:eastAsia="da-DK"/>
        </w:rPr>
        <w:t>neutropeni</w:t>
      </w:r>
      <w:proofErr w:type="spellEnd"/>
      <w:r w:rsidRPr="009752A1">
        <w:rPr>
          <w:sz w:val="24"/>
          <w:szCs w:val="24"/>
          <w:lang w:eastAsia="da-DK"/>
        </w:rPr>
        <w:t xml:space="preserve">, eller medicin, der kan medføre </w:t>
      </w:r>
      <w:proofErr w:type="spellStart"/>
      <w:r w:rsidRPr="009752A1">
        <w:rPr>
          <w:sz w:val="24"/>
          <w:szCs w:val="24"/>
          <w:lang w:eastAsia="da-DK"/>
        </w:rPr>
        <w:t>agranulocytose</w:t>
      </w:r>
      <w:proofErr w:type="spellEnd"/>
      <w:r w:rsidRPr="009752A1">
        <w:rPr>
          <w:sz w:val="24"/>
          <w:szCs w:val="24"/>
          <w:lang w:eastAsia="da-DK"/>
        </w:rPr>
        <w:t xml:space="preserve"> (se pkt. 4.5).</w:t>
      </w:r>
    </w:p>
    <w:p w14:paraId="4EEB6059" w14:textId="57ACBA08" w:rsidR="00F119EC" w:rsidRDefault="00F119EC">
      <w:pPr>
        <w:rPr>
          <w:sz w:val="24"/>
          <w:szCs w:val="24"/>
        </w:rPr>
      </w:pPr>
      <w:r>
        <w:rPr>
          <w:sz w:val="24"/>
          <w:szCs w:val="24"/>
        </w:rPr>
        <w:br w:type="page"/>
      </w:r>
    </w:p>
    <w:p w14:paraId="1869A39E" w14:textId="77777777" w:rsidR="009260DE" w:rsidRPr="009752A1" w:rsidRDefault="009260DE" w:rsidP="009260DE">
      <w:pPr>
        <w:tabs>
          <w:tab w:val="left" w:pos="851"/>
        </w:tabs>
        <w:ind w:left="851"/>
        <w:rPr>
          <w:sz w:val="24"/>
          <w:szCs w:val="24"/>
        </w:rPr>
      </w:pPr>
    </w:p>
    <w:p w14:paraId="36DC2321" w14:textId="77777777" w:rsidR="009260DE" w:rsidRPr="009752A1" w:rsidRDefault="009260DE" w:rsidP="009260DE">
      <w:pPr>
        <w:tabs>
          <w:tab w:val="left" w:pos="851"/>
        </w:tabs>
        <w:ind w:left="851" w:hanging="851"/>
        <w:rPr>
          <w:b/>
          <w:sz w:val="24"/>
          <w:szCs w:val="24"/>
        </w:rPr>
      </w:pPr>
      <w:r w:rsidRPr="009752A1">
        <w:rPr>
          <w:b/>
          <w:sz w:val="24"/>
          <w:szCs w:val="24"/>
        </w:rPr>
        <w:t>4.4</w:t>
      </w:r>
      <w:r w:rsidRPr="009752A1">
        <w:rPr>
          <w:b/>
          <w:sz w:val="24"/>
          <w:szCs w:val="24"/>
        </w:rPr>
        <w:tab/>
        <w:t>Særlige advarsler og forsigtighedsregler vedrørende brugen</w:t>
      </w:r>
    </w:p>
    <w:p w14:paraId="7B828CB8" w14:textId="77777777" w:rsidR="00534F49" w:rsidRPr="009752A1" w:rsidRDefault="00534F49" w:rsidP="00534F49">
      <w:pPr>
        <w:suppressAutoHyphens/>
        <w:ind w:left="567" w:hanging="567"/>
        <w:rPr>
          <w:i/>
          <w:noProof/>
          <w:sz w:val="24"/>
          <w:szCs w:val="24"/>
        </w:rPr>
      </w:pPr>
    </w:p>
    <w:p w14:paraId="5A5D5D23" w14:textId="77777777" w:rsidR="00534F49" w:rsidRPr="009752A1" w:rsidRDefault="00534F49" w:rsidP="00855539">
      <w:pPr>
        <w:pBdr>
          <w:top w:val="single" w:sz="4" w:space="1" w:color="auto"/>
          <w:left w:val="single" w:sz="4" w:space="4" w:color="auto"/>
          <w:bottom w:val="single" w:sz="4" w:space="1" w:color="auto"/>
          <w:right w:val="single" w:sz="4" w:space="4" w:color="auto"/>
        </w:pBdr>
        <w:autoSpaceDE w:val="0"/>
        <w:autoSpaceDN w:val="0"/>
        <w:adjustRightInd w:val="0"/>
        <w:ind w:left="993"/>
        <w:rPr>
          <w:sz w:val="24"/>
          <w:szCs w:val="24"/>
          <w:u w:val="single"/>
          <w:lang w:eastAsia="da-DK"/>
        </w:rPr>
      </w:pPr>
      <w:proofErr w:type="spellStart"/>
      <w:r w:rsidRPr="009752A1">
        <w:rPr>
          <w:sz w:val="24"/>
          <w:szCs w:val="24"/>
          <w:u w:val="single"/>
          <w:lang w:eastAsia="da-DK"/>
        </w:rPr>
        <w:t>Neutropeni</w:t>
      </w:r>
      <w:proofErr w:type="spellEnd"/>
      <w:r w:rsidRPr="009752A1">
        <w:rPr>
          <w:sz w:val="24"/>
          <w:szCs w:val="24"/>
          <w:u w:val="single"/>
          <w:lang w:eastAsia="da-DK"/>
        </w:rPr>
        <w:t>/</w:t>
      </w:r>
      <w:proofErr w:type="spellStart"/>
      <w:r w:rsidRPr="009752A1">
        <w:rPr>
          <w:sz w:val="24"/>
          <w:szCs w:val="24"/>
          <w:u w:val="single"/>
          <w:lang w:eastAsia="da-DK"/>
        </w:rPr>
        <w:t>agranulocytose</w:t>
      </w:r>
      <w:proofErr w:type="spellEnd"/>
    </w:p>
    <w:p w14:paraId="12181C7A" w14:textId="265716BC" w:rsidR="00534F49" w:rsidRPr="00113ABA" w:rsidRDefault="00534F49" w:rsidP="00855539">
      <w:pPr>
        <w:pBdr>
          <w:top w:val="single" w:sz="4" w:space="1" w:color="auto"/>
          <w:left w:val="single" w:sz="4" w:space="4" w:color="auto"/>
          <w:bottom w:val="single" w:sz="4" w:space="1" w:color="auto"/>
          <w:right w:val="single" w:sz="4" w:space="4" w:color="auto"/>
        </w:pBdr>
        <w:autoSpaceDE w:val="0"/>
        <w:autoSpaceDN w:val="0"/>
        <w:adjustRightInd w:val="0"/>
        <w:ind w:left="993"/>
        <w:rPr>
          <w:bCs/>
          <w:sz w:val="24"/>
          <w:szCs w:val="24"/>
          <w:lang w:eastAsia="da-DK"/>
        </w:rPr>
      </w:pPr>
      <w:proofErr w:type="spellStart"/>
      <w:r w:rsidRPr="009752A1">
        <w:rPr>
          <w:b/>
          <w:bCs/>
          <w:sz w:val="24"/>
          <w:szCs w:val="24"/>
          <w:lang w:eastAsia="da-DK"/>
        </w:rPr>
        <w:t>Deferipron</w:t>
      </w:r>
      <w:proofErr w:type="spellEnd"/>
      <w:r w:rsidRPr="009752A1">
        <w:rPr>
          <w:b/>
          <w:bCs/>
          <w:sz w:val="24"/>
          <w:szCs w:val="24"/>
          <w:lang w:eastAsia="da-DK"/>
        </w:rPr>
        <w:t xml:space="preserve"> har vist sig at forårsage </w:t>
      </w:r>
      <w:proofErr w:type="spellStart"/>
      <w:r w:rsidRPr="009752A1">
        <w:rPr>
          <w:b/>
          <w:bCs/>
          <w:sz w:val="24"/>
          <w:szCs w:val="24"/>
          <w:lang w:eastAsia="da-DK"/>
        </w:rPr>
        <w:t>neutropeni</w:t>
      </w:r>
      <w:proofErr w:type="spellEnd"/>
      <w:r w:rsidRPr="009752A1">
        <w:rPr>
          <w:b/>
          <w:bCs/>
          <w:sz w:val="24"/>
          <w:szCs w:val="24"/>
          <w:lang w:eastAsia="da-DK"/>
        </w:rPr>
        <w:t xml:space="preserve">, herunder </w:t>
      </w:r>
      <w:proofErr w:type="spellStart"/>
      <w:r w:rsidRPr="009752A1">
        <w:rPr>
          <w:b/>
          <w:bCs/>
          <w:sz w:val="24"/>
          <w:szCs w:val="24"/>
          <w:lang w:eastAsia="da-DK"/>
        </w:rPr>
        <w:t>agranulocytose</w:t>
      </w:r>
      <w:proofErr w:type="spellEnd"/>
      <w:r w:rsidRPr="009752A1">
        <w:rPr>
          <w:b/>
          <w:bCs/>
          <w:sz w:val="24"/>
          <w:szCs w:val="24"/>
          <w:lang w:eastAsia="da-DK"/>
        </w:rPr>
        <w:t xml:space="preserve"> (se pkt. 4.8</w:t>
      </w:r>
      <w:r w:rsidR="00113ABA">
        <w:rPr>
          <w:b/>
          <w:bCs/>
          <w:sz w:val="24"/>
          <w:szCs w:val="24"/>
          <w:lang w:eastAsia="da-DK"/>
        </w:rPr>
        <w:t xml:space="preserve"> </w:t>
      </w:r>
      <w:r w:rsidR="004A11CF">
        <w:rPr>
          <w:b/>
          <w:bCs/>
          <w:sz w:val="24"/>
          <w:szCs w:val="24"/>
          <w:lang w:eastAsia="da-DK"/>
        </w:rPr>
        <w:t>"</w:t>
      </w:r>
      <w:r w:rsidRPr="009752A1">
        <w:rPr>
          <w:b/>
          <w:bCs/>
          <w:sz w:val="24"/>
          <w:szCs w:val="24"/>
          <w:lang w:eastAsia="da-DK"/>
        </w:rPr>
        <w:t>Beskrivelse af udvalgte bivirkninger</w:t>
      </w:r>
      <w:r w:rsidR="004A11CF">
        <w:rPr>
          <w:b/>
          <w:bCs/>
          <w:sz w:val="24"/>
          <w:szCs w:val="24"/>
          <w:lang w:eastAsia="da-DK"/>
        </w:rPr>
        <w:t>"</w:t>
      </w:r>
      <w:r w:rsidRPr="009752A1">
        <w:rPr>
          <w:b/>
          <w:bCs/>
          <w:sz w:val="24"/>
          <w:szCs w:val="24"/>
          <w:lang w:eastAsia="da-DK"/>
        </w:rPr>
        <w:t xml:space="preserve">). Patientens absolutte </w:t>
      </w:r>
      <w:proofErr w:type="spellStart"/>
      <w:r w:rsidRPr="009752A1">
        <w:rPr>
          <w:b/>
          <w:bCs/>
          <w:sz w:val="24"/>
          <w:szCs w:val="24"/>
          <w:lang w:eastAsia="da-DK"/>
        </w:rPr>
        <w:t>neutrofiltal</w:t>
      </w:r>
      <w:proofErr w:type="spellEnd"/>
      <w:r w:rsidRPr="009752A1">
        <w:rPr>
          <w:b/>
          <w:bCs/>
          <w:sz w:val="24"/>
          <w:szCs w:val="24"/>
          <w:lang w:eastAsia="da-DK"/>
        </w:rPr>
        <w:t xml:space="preserve"> (ANC) skal kontrolleres hver uge under det første års behandling. For patienter, som ikke har fået afbrudt</w:t>
      </w:r>
      <w:r w:rsidR="00F119EC">
        <w:rPr>
          <w:b/>
          <w:bCs/>
          <w:sz w:val="24"/>
          <w:szCs w:val="24"/>
          <w:lang w:eastAsia="da-DK"/>
        </w:rPr>
        <w:t xml:space="preserve"> </w:t>
      </w:r>
      <w:r w:rsidRPr="009752A1">
        <w:rPr>
          <w:b/>
          <w:bCs/>
          <w:sz w:val="24"/>
          <w:szCs w:val="24"/>
          <w:lang w:eastAsia="da-DK"/>
        </w:rPr>
        <w:t xml:space="preserve">behandlingen med </w:t>
      </w:r>
      <w:proofErr w:type="spellStart"/>
      <w:r w:rsidRPr="009752A1">
        <w:rPr>
          <w:b/>
          <w:bCs/>
          <w:sz w:val="24"/>
          <w:szCs w:val="24"/>
          <w:lang w:eastAsia="da-DK"/>
        </w:rPr>
        <w:t>deferipron</w:t>
      </w:r>
      <w:proofErr w:type="spellEnd"/>
      <w:r w:rsidRPr="009752A1">
        <w:rPr>
          <w:b/>
          <w:bCs/>
          <w:sz w:val="24"/>
          <w:szCs w:val="24"/>
          <w:lang w:eastAsia="da-DK"/>
        </w:rPr>
        <w:t xml:space="preserve"> i løbet af det første år på grund af fald i </w:t>
      </w:r>
      <w:proofErr w:type="spellStart"/>
      <w:r w:rsidRPr="009752A1">
        <w:rPr>
          <w:b/>
          <w:bCs/>
          <w:sz w:val="24"/>
          <w:szCs w:val="24"/>
          <w:lang w:eastAsia="da-DK"/>
        </w:rPr>
        <w:t>neutrofiltallet</w:t>
      </w:r>
      <w:proofErr w:type="spellEnd"/>
      <w:r w:rsidRPr="009752A1">
        <w:rPr>
          <w:b/>
          <w:bCs/>
          <w:sz w:val="24"/>
          <w:szCs w:val="24"/>
          <w:lang w:eastAsia="da-DK"/>
        </w:rPr>
        <w:t>, kan</w:t>
      </w:r>
      <w:r w:rsidR="00113ABA">
        <w:rPr>
          <w:b/>
          <w:bCs/>
          <w:sz w:val="24"/>
          <w:szCs w:val="24"/>
          <w:lang w:eastAsia="da-DK"/>
        </w:rPr>
        <w:t xml:space="preserve"> </w:t>
      </w:r>
      <w:r w:rsidRPr="009752A1">
        <w:rPr>
          <w:b/>
          <w:bCs/>
          <w:sz w:val="24"/>
          <w:szCs w:val="24"/>
          <w:lang w:eastAsia="da-DK"/>
        </w:rPr>
        <w:t xml:space="preserve">perioden mellem kontrol af det absolutte </w:t>
      </w:r>
      <w:proofErr w:type="spellStart"/>
      <w:r w:rsidRPr="009752A1">
        <w:rPr>
          <w:b/>
          <w:bCs/>
          <w:sz w:val="24"/>
          <w:szCs w:val="24"/>
          <w:lang w:eastAsia="da-DK"/>
        </w:rPr>
        <w:t>neutrofiltal</w:t>
      </w:r>
      <w:proofErr w:type="spellEnd"/>
      <w:r w:rsidRPr="009752A1">
        <w:rPr>
          <w:b/>
          <w:bCs/>
          <w:sz w:val="24"/>
          <w:szCs w:val="24"/>
          <w:lang w:eastAsia="da-DK"/>
        </w:rPr>
        <w:t xml:space="preserve"> efter et års behandling med </w:t>
      </w:r>
      <w:proofErr w:type="spellStart"/>
      <w:r w:rsidRPr="009752A1">
        <w:rPr>
          <w:b/>
          <w:bCs/>
          <w:sz w:val="24"/>
          <w:szCs w:val="24"/>
          <w:lang w:eastAsia="da-DK"/>
        </w:rPr>
        <w:t>deferipron</w:t>
      </w:r>
      <w:proofErr w:type="spellEnd"/>
      <w:r w:rsidR="00113ABA">
        <w:rPr>
          <w:b/>
          <w:bCs/>
          <w:sz w:val="24"/>
          <w:szCs w:val="24"/>
          <w:lang w:eastAsia="da-DK"/>
        </w:rPr>
        <w:t xml:space="preserve"> </w:t>
      </w:r>
      <w:r w:rsidRPr="009752A1">
        <w:rPr>
          <w:b/>
          <w:bCs/>
          <w:sz w:val="24"/>
          <w:szCs w:val="24"/>
          <w:lang w:eastAsia="da-DK"/>
        </w:rPr>
        <w:t xml:space="preserve">forlænges til patientens </w:t>
      </w:r>
      <w:proofErr w:type="spellStart"/>
      <w:r w:rsidRPr="009752A1">
        <w:rPr>
          <w:b/>
          <w:bCs/>
          <w:sz w:val="24"/>
          <w:szCs w:val="24"/>
          <w:lang w:eastAsia="da-DK"/>
        </w:rPr>
        <w:t>blodtranfusionsinterval</w:t>
      </w:r>
      <w:proofErr w:type="spellEnd"/>
      <w:r w:rsidRPr="009752A1">
        <w:rPr>
          <w:b/>
          <w:bCs/>
          <w:sz w:val="24"/>
          <w:szCs w:val="24"/>
          <w:lang w:eastAsia="da-DK"/>
        </w:rPr>
        <w:t xml:space="preserve"> (hver 2.-4. uge).</w:t>
      </w:r>
    </w:p>
    <w:p w14:paraId="42093B81" w14:textId="77777777" w:rsidR="00534F49" w:rsidRPr="00113ABA" w:rsidRDefault="00534F49" w:rsidP="00855539">
      <w:pPr>
        <w:pBdr>
          <w:top w:val="single" w:sz="4" w:space="1" w:color="auto"/>
          <w:left w:val="single" w:sz="4" w:space="4" w:color="auto"/>
          <w:bottom w:val="single" w:sz="4" w:space="1" w:color="auto"/>
          <w:right w:val="single" w:sz="4" w:space="4" w:color="auto"/>
        </w:pBdr>
        <w:autoSpaceDE w:val="0"/>
        <w:autoSpaceDN w:val="0"/>
        <w:adjustRightInd w:val="0"/>
        <w:ind w:left="993"/>
        <w:rPr>
          <w:bCs/>
          <w:sz w:val="24"/>
          <w:szCs w:val="24"/>
          <w:lang w:eastAsia="da-DK"/>
        </w:rPr>
      </w:pPr>
    </w:p>
    <w:p w14:paraId="078E224B" w14:textId="1D7CF772" w:rsidR="00534F49" w:rsidRPr="009752A1" w:rsidRDefault="00534F49" w:rsidP="00855539">
      <w:pPr>
        <w:pBdr>
          <w:top w:val="single" w:sz="4" w:space="1" w:color="auto"/>
          <w:left w:val="single" w:sz="4" w:space="4" w:color="auto"/>
          <w:bottom w:val="single" w:sz="4" w:space="1" w:color="auto"/>
          <w:right w:val="single" w:sz="4" w:space="4" w:color="auto"/>
        </w:pBdr>
        <w:autoSpaceDE w:val="0"/>
        <w:autoSpaceDN w:val="0"/>
        <w:adjustRightInd w:val="0"/>
        <w:ind w:left="993"/>
        <w:rPr>
          <w:sz w:val="24"/>
          <w:szCs w:val="24"/>
          <w:lang w:eastAsia="da-DK"/>
        </w:rPr>
      </w:pPr>
      <w:r w:rsidRPr="009752A1">
        <w:rPr>
          <w:sz w:val="24"/>
          <w:szCs w:val="24"/>
          <w:lang w:eastAsia="da-DK"/>
        </w:rPr>
        <w:t xml:space="preserve">Ændringen fra ugentlig kontrol af det absolutte </w:t>
      </w:r>
      <w:proofErr w:type="spellStart"/>
      <w:r w:rsidRPr="009752A1">
        <w:rPr>
          <w:sz w:val="24"/>
          <w:szCs w:val="24"/>
          <w:lang w:eastAsia="da-DK"/>
        </w:rPr>
        <w:t>neutrofiltal</w:t>
      </w:r>
      <w:proofErr w:type="spellEnd"/>
      <w:r w:rsidRPr="009752A1">
        <w:rPr>
          <w:sz w:val="24"/>
          <w:szCs w:val="24"/>
          <w:lang w:eastAsia="da-DK"/>
        </w:rPr>
        <w:t xml:space="preserve"> til tidspunktet for transfusionsbesøgene</w:t>
      </w:r>
      <w:r w:rsidR="00113ABA">
        <w:rPr>
          <w:sz w:val="24"/>
          <w:szCs w:val="24"/>
          <w:lang w:eastAsia="da-DK"/>
        </w:rPr>
        <w:t xml:space="preserve"> </w:t>
      </w:r>
      <w:r w:rsidRPr="009752A1">
        <w:rPr>
          <w:sz w:val="24"/>
          <w:szCs w:val="24"/>
          <w:lang w:eastAsia="da-DK"/>
        </w:rPr>
        <w:t xml:space="preserve">efter 12 måneders behandling med </w:t>
      </w:r>
      <w:proofErr w:type="spellStart"/>
      <w:r w:rsidRPr="009752A1">
        <w:rPr>
          <w:sz w:val="24"/>
          <w:szCs w:val="24"/>
          <w:lang w:eastAsia="da-DK"/>
        </w:rPr>
        <w:t>deferipron</w:t>
      </w:r>
      <w:proofErr w:type="spellEnd"/>
      <w:r w:rsidRPr="009752A1">
        <w:rPr>
          <w:sz w:val="24"/>
          <w:szCs w:val="24"/>
          <w:lang w:eastAsia="da-DK"/>
        </w:rPr>
        <w:t xml:space="preserve"> skal tilpasses den enkelte patient efter lægens vurdering</w:t>
      </w:r>
      <w:r w:rsidR="00113ABA">
        <w:rPr>
          <w:sz w:val="24"/>
          <w:szCs w:val="24"/>
          <w:lang w:eastAsia="da-DK"/>
        </w:rPr>
        <w:t xml:space="preserve"> </w:t>
      </w:r>
      <w:r w:rsidRPr="009752A1">
        <w:rPr>
          <w:sz w:val="24"/>
          <w:szCs w:val="24"/>
          <w:lang w:eastAsia="da-DK"/>
        </w:rPr>
        <w:t>af patientens forståelse for de nødvendige risikominimeringsforanstaltninger under behandlingen (se</w:t>
      </w:r>
      <w:r w:rsidR="00113ABA">
        <w:rPr>
          <w:sz w:val="24"/>
          <w:szCs w:val="24"/>
          <w:lang w:eastAsia="da-DK"/>
        </w:rPr>
        <w:t xml:space="preserve"> </w:t>
      </w:r>
      <w:r w:rsidRPr="009752A1">
        <w:rPr>
          <w:sz w:val="24"/>
          <w:szCs w:val="24"/>
          <w:lang w:eastAsia="da-DK"/>
        </w:rPr>
        <w:t>pkt. 4.4 nedenfor).</w:t>
      </w:r>
    </w:p>
    <w:p w14:paraId="72C65941" w14:textId="77777777" w:rsidR="00534F49" w:rsidRPr="00113ABA" w:rsidRDefault="00534F49" w:rsidP="00855539">
      <w:pPr>
        <w:pBdr>
          <w:top w:val="single" w:sz="4" w:space="1" w:color="auto"/>
          <w:left w:val="single" w:sz="4" w:space="4" w:color="auto"/>
          <w:bottom w:val="single" w:sz="4" w:space="1" w:color="auto"/>
          <w:right w:val="single" w:sz="4" w:space="4" w:color="auto"/>
        </w:pBdr>
        <w:autoSpaceDE w:val="0"/>
        <w:autoSpaceDN w:val="0"/>
        <w:adjustRightInd w:val="0"/>
        <w:ind w:left="993"/>
        <w:rPr>
          <w:bCs/>
          <w:sz w:val="24"/>
          <w:szCs w:val="24"/>
          <w:lang w:eastAsia="da-DK"/>
        </w:rPr>
      </w:pPr>
    </w:p>
    <w:p w14:paraId="40BD008D" w14:textId="09F0BDA3" w:rsidR="00534F49" w:rsidRPr="009752A1" w:rsidRDefault="00534F49" w:rsidP="00855539">
      <w:pPr>
        <w:pBdr>
          <w:top w:val="single" w:sz="4" w:space="1" w:color="auto"/>
          <w:left w:val="single" w:sz="4" w:space="4" w:color="auto"/>
          <w:bottom w:val="single" w:sz="4" w:space="1" w:color="auto"/>
          <w:right w:val="single" w:sz="4" w:space="4" w:color="auto"/>
        </w:pBdr>
        <w:autoSpaceDE w:val="0"/>
        <w:autoSpaceDN w:val="0"/>
        <w:adjustRightInd w:val="0"/>
        <w:ind w:left="993"/>
        <w:rPr>
          <w:sz w:val="24"/>
          <w:szCs w:val="24"/>
          <w:lang w:eastAsia="da-DK"/>
        </w:rPr>
      </w:pPr>
      <w:r w:rsidRPr="009752A1">
        <w:rPr>
          <w:sz w:val="24"/>
          <w:szCs w:val="24"/>
          <w:lang w:eastAsia="da-DK"/>
        </w:rPr>
        <w:t xml:space="preserve">Ved kliniske studier har ugentlig monitorering af </w:t>
      </w:r>
      <w:proofErr w:type="spellStart"/>
      <w:r w:rsidRPr="009752A1">
        <w:rPr>
          <w:sz w:val="24"/>
          <w:szCs w:val="24"/>
          <w:lang w:eastAsia="da-DK"/>
        </w:rPr>
        <w:t>neutrofiltallet</w:t>
      </w:r>
      <w:proofErr w:type="spellEnd"/>
      <w:r w:rsidRPr="009752A1">
        <w:rPr>
          <w:sz w:val="24"/>
          <w:szCs w:val="24"/>
          <w:lang w:eastAsia="da-DK"/>
        </w:rPr>
        <w:t xml:space="preserve"> vist sig effektivt til identifikation af tilfælde af </w:t>
      </w:r>
      <w:proofErr w:type="spellStart"/>
      <w:r w:rsidRPr="009752A1">
        <w:rPr>
          <w:sz w:val="24"/>
          <w:szCs w:val="24"/>
          <w:lang w:eastAsia="da-DK"/>
        </w:rPr>
        <w:t>neutropeni</w:t>
      </w:r>
      <w:proofErr w:type="spellEnd"/>
      <w:r w:rsidRPr="009752A1">
        <w:rPr>
          <w:sz w:val="24"/>
          <w:szCs w:val="24"/>
          <w:lang w:eastAsia="da-DK"/>
        </w:rPr>
        <w:t xml:space="preserve"> og </w:t>
      </w:r>
      <w:proofErr w:type="spellStart"/>
      <w:r w:rsidRPr="009752A1">
        <w:rPr>
          <w:sz w:val="24"/>
          <w:szCs w:val="24"/>
          <w:lang w:eastAsia="da-DK"/>
        </w:rPr>
        <w:t>agranulocytose</w:t>
      </w:r>
      <w:proofErr w:type="spellEnd"/>
      <w:r w:rsidRPr="009752A1">
        <w:rPr>
          <w:sz w:val="24"/>
          <w:szCs w:val="24"/>
          <w:lang w:eastAsia="da-DK"/>
        </w:rPr>
        <w:t xml:space="preserve">. </w:t>
      </w:r>
      <w:proofErr w:type="spellStart"/>
      <w:r w:rsidRPr="009752A1">
        <w:rPr>
          <w:sz w:val="24"/>
          <w:szCs w:val="24"/>
          <w:lang w:eastAsia="da-DK"/>
        </w:rPr>
        <w:t>Agranulocytose</w:t>
      </w:r>
      <w:proofErr w:type="spellEnd"/>
      <w:r w:rsidRPr="009752A1">
        <w:rPr>
          <w:sz w:val="24"/>
          <w:szCs w:val="24"/>
          <w:lang w:eastAsia="da-DK"/>
        </w:rPr>
        <w:t xml:space="preserve"> og </w:t>
      </w:r>
      <w:proofErr w:type="spellStart"/>
      <w:r w:rsidRPr="009752A1">
        <w:rPr>
          <w:sz w:val="24"/>
          <w:szCs w:val="24"/>
          <w:lang w:eastAsia="da-DK"/>
        </w:rPr>
        <w:t>neutropeni</w:t>
      </w:r>
      <w:proofErr w:type="spellEnd"/>
      <w:r w:rsidRPr="009752A1">
        <w:rPr>
          <w:sz w:val="24"/>
          <w:szCs w:val="24"/>
          <w:lang w:eastAsia="da-DK"/>
        </w:rPr>
        <w:t xml:space="preserve"> forsvinder normalt, når</w:t>
      </w:r>
      <w:r w:rsidR="00113ABA">
        <w:rPr>
          <w:sz w:val="24"/>
          <w:szCs w:val="24"/>
          <w:lang w:eastAsia="da-DK"/>
        </w:rPr>
        <w:t xml:space="preserve"> </w:t>
      </w:r>
      <w:r w:rsidRPr="009752A1">
        <w:rPr>
          <w:sz w:val="24"/>
          <w:szCs w:val="24"/>
          <w:lang w:eastAsia="da-DK"/>
        </w:rPr>
        <w:t xml:space="preserve">behandlingen med </w:t>
      </w:r>
      <w:proofErr w:type="spellStart"/>
      <w:r w:rsidRPr="009752A1">
        <w:rPr>
          <w:sz w:val="24"/>
          <w:szCs w:val="24"/>
          <w:lang w:eastAsia="da-DK"/>
        </w:rPr>
        <w:t>deferipron</w:t>
      </w:r>
      <w:proofErr w:type="spellEnd"/>
      <w:r w:rsidRPr="009752A1">
        <w:rPr>
          <w:sz w:val="24"/>
          <w:szCs w:val="24"/>
          <w:lang w:eastAsia="da-DK"/>
        </w:rPr>
        <w:t xml:space="preserve"> seponeres, men der har været rapporter om tilfælde af </w:t>
      </w:r>
      <w:proofErr w:type="spellStart"/>
      <w:r w:rsidRPr="009752A1">
        <w:rPr>
          <w:sz w:val="24"/>
          <w:szCs w:val="24"/>
          <w:lang w:eastAsia="da-DK"/>
        </w:rPr>
        <w:t>agranulocytose</w:t>
      </w:r>
      <w:proofErr w:type="spellEnd"/>
      <w:r w:rsidR="00113ABA">
        <w:rPr>
          <w:sz w:val="24"/>
          <w:szCs w:val="24"/>
          <w:lang w:eastAsia="da-DK"/>
        </w:rPr>
        <w:t xml:space="preserve"> </w:t>
      </w:r>
      <w:r w:rsidRPr="009752A1">
        <w:rPr>
          <w:sz w:val="24"/>
          <w:szCs w:val="24"/>
          <w:lang w:eastAsia="da-DK"/>
        </w:rPr>
        <w:t xml:space="preserve">med dødelig udgang. Hvis patienten udvikler en infektion under behandlingen med </w:t>
      </w:r>
      <w:proofErr w:type="spellStart"/>
      <w:r w:rsidRPr="009752A1">
        <w:rPr>
          <w:sz w:val="24"/>
          <w:szCs w:val="24"/>
          <w:lang w:eastAsia="da-DK"/>
        </w:rPr>
        <w:t>deferipron</w:t>
      </w:r>
      <w:proofErr w:type="spellEnd"/>
      <w:r w:rsidRPr="009752A1">
        <w:rPr>
          <w:sz w:val="24"/>
          <w:szCs w:val="24"/>
          <w:lang w:eastAsia="da-DK"/>
        </w:rPr>
        <w:t xml:space="preserve">, skal behandlingen omgående seponeres, og det absolutte </w:t>
      </w:r>
      <w:proofErr w:type="spellStart"/>
      <w:r w:rsidRPr="009752A1">
        <w:rPr>
          <w:sz w:val="24"/>
          <w:szCs w:val="24"/>
          <w:lang w:eastAsia="da-DK"/>
        </w:rPr>
        <w:t>neutrofiltal</w:t>
      </w:r>
      <w:proofErr w:type="spellEnd"/>
      <w:r w:rsidRPr="009752A1">
        <w:rPr>
          <w:sz w:val="24"/>
          <w:szCs w:val="24"/>
          <w:lang w:eastAsia="da-DK"/>
        </w:rPr>
        <w:t xml:space="preserve"> skal kontrolleres hurtigst muligt. </w:t>
      </w:r>
      <w:proofErr w:type="spellStart"/>
      <w:r w:rsidRPr="009752A1">
        <w:rPr>
          <w:sz w:val="24"/>
          <w:szCs w:val="24"/>
          <w:lang w:eastAsia="da-DK"/>
        </w:rPr>
        <w:t>Neutrofiltallet</w:t>
      </w:r>
      <w:proofErr w:type="spellEnd"/>
      <w:r w:rsidRPr="009752A1">
        <w:rPr>
          <w:sz w:val="24"/>
          <w:szCs w:val="24"/>
          <w:lang w:eastAsia="da-DK"/>
        </w:rPr>
        <w:t xml:space="preserve"> skal derefter kontrolleres hyppigere. </w:t>
      </w:r>
    </w:p>
    <w:p w14:paraId="2DCAF452" w14:textId="77777777" w:rsidR="00534F49" w:rsidRPr="009752A1" w:rsidRDefault="00534F49" w:rsidP="00855539">
      <w:pPr>
        <w:pBdr>
          <w:top w:val="single" w:sz="4" w:space="1" w:color="auto"/>
          <w:left w:val="single" w:sz="4" w:space="4" w:color="auto"/>
          <w:bottom w:val="single" w:sz="4" w:space="1" w:color="auto"/>
          <w:right w:val="single" w:sz="4" w:space="4" w:color="auto"/>
        </w:pBdr>
        <w:autoSpaceDE w:val="0"/>
        <w:autoSpaceDN w:val="0"/>
        <w:adjustRightInd w:val="0"/>
        <w:ind w:left="993"/>
        <w:rPr>
          <w:sz w:val="24"/>
          <w:szCs w:val="24"/>
          <w:lang w:eastAsia="da-DK"/>
        </w:rPr>
      </w:pPr>
    </w:p>
    <w:p w14:paraId="01BD4248" w14:textId="0886AABE" w:rsidR="00534F49" w:rsidRPr="009752A1" w:rsidRDefault="00534F49" w:rsidP="00855539">
      <w:pPr>
        <w:pBdr>
          <w:top w:val="single" w:sz="4" w:space="1" w:color="auto"/>
          <w:left w:val="single" w:sz="4" w:space="4" w:color="auto"/>
          <w:bottom w:val="single" w:sz="4" w:space="1" w:color="auto"/>
          <w:right w:val="single" w:sz="4" w:space="4" w:color="auto"/>
        </w:pBdr>
        <w:autoSpaceDE w:val="0"/>
        <w:autoSpaceDN w:val="0"/>
        <w:adjustRightInd w:val="0"/>
        <w:ind w:left="993"/>
        <w:rPr>
          <w:sz w:val="24"/>
          <w:szCs w:val="24"/>
          <w:lang w:eastAsia="da-DK"/>
        </w:rPr>
      </w:pPr>
      <w:r w:rsidRPr="009752A1">
        <w:rPr>
          <w:sz w:val="24"/>
          <w:szCs w:val="24"/>
          <w:lang w:eastAsia="da-DK"/>
        </w:rPr>
        <w:t xml:space="preserve">Patienterne skal have besked på at henvende sig til deres læge, hvis de oplever symptomer, der kan tyde på infektion (såsom feber, ondt i halsen eller influenzalignende symptomer). </w:t>
      </w:r>
      <w:proofErr w:type="spellStart"/>
      <w:r w:rsidRPr="009752A1">
        <w:rPr>
          <w:sz w:val="24"/>
          <w:szCs w:val="24"/>
          <w:lang w:eastAsia="da-DK"/>
        </w:rPr>
        <w:t>Deferipron</w:t>
      </w:r>
      <w:proofErr w:type="spellEnd"/>
      <w:r w:rsidR="00113ABA">
        <w:rPr>
          <w:sz w:val="24"/>
          <w:szCs w:val="24"/>
          <w:lang w:eastAsia="da-DK"/>
        </w:rPr>
        <w:t xml:space="preserve"> </w:t>
      </w:r>
      <w:r w:rsidRPr="009752A1">
        <w:rPr>
          <w:sz w:val="24"/>
          <w:szCs w:val="24"/>
          <w:lang w:eastAsia="da-DK"/>
        </w:rPr>
        <w:t>seponeres omgående, hvis patienten får en infektion.</w:t>
      </w:r>
    </w:p>
    <w:p w14:paraId="54A470AA" w14:textId="77777777" w:rsidR="00534F49" w:rsidRPr="009752A1" w:rsidRDefault="00534F49" w:rsidP="00534F49">
      <w:pPr>
        <w:autoSpaceDE w:val="0"/>
        <w:autoSpaceDN w:val="0"/>
        <w:adjustRightInd w:val="0"/>
        <w:rPr>
          <w:sz w:val="24"/>
          <w:szCs w:val="24"/>
        </w:rPr>
      </w:pPr>
    </w:p>
    <w:p w14:paraId="4382FF8E" w14:textId="77777777" w:rsidR="00534F49" w:rsidRPr="009752A1" w:rsidRDefault="00534F49" w:rsidP="00CC3C0C">
      <w:pPr>
        <w:autoSpaceDE w:val="0"/>
        <w:autoSpaceDN w:val="0"/>
        <w:adjustRightInd w:val="0"/>
        <w:ind w:left="851"/>
        <w:rPr>
          <w:sz w:val="24"/>
          <w:szCs w:val="24"/>
          <w:lang w:eastAsia="da-DK"/>
        </w:rPr>
      </w:pPr>
      <w:r w:rsidRPr="009752A1">
        <w:rPr>
          <w:sz w:val="24"/>
          <w:szCs w:val="24"/>
          <w:lang w:eastAsia="da-DK"/>
        </w:rPr>
        <w:t xml:space="preserve">Forslag til behandling af tilfælde af </w:t>
      </w:r>
      <w:proofErr w:type="spellStart"/>
      <w:r w:rsidRPr="009752A1">
        <w:rPr>
          <w:sz w:val="24"/>
          <w:szCs w:val="24"/>
          <w:lang w:eastAsia="da-DK"/>
        </w:rPr>
        <w:t>neutropeni</w:t>
      </w:r>
      <w:proofErr w:type="spellEnd"/>
      <w:r w:rsidRPr="009752A1">
        <w:rPr>
          <w:sz w:val="24"/>
          <w:szCs w:val="24"/>
          <w:lang w:eastAsia="da-DK"/>
        </w:rPr>
        <w:t xml:space="preserve"> er angivet nedenfor. Det anbefales, at en sådan behandlingsprotokol er på plads, før der indledes patientbehandling med </w:t>
      </w:r>
      <w:proofErr w:type="spellStart"/>
      <w:r w:rsidRPr="009752A1">
        <w:rPr>
          <w:sz w:val="24"/>
          <w:szCs w:val="24"/>
          <w:lang w:eastAsia="da-DK"/>
        </w:rPr>
        <w:t>deferipron</w:t>
      </w:r>
      <w:proofErr w:type="spellEnd"/>
      <w:r w:rsidRPr="009752A1">
        <w:rPr>
          <w:sz w:val="24"/>
          <w:szCs w:val="24"/>
          <w:lang w:eastAsia="da-DK"/>
        </w:rPr>
        <w:t>.</w:t>
      </w:r>
    </w:p>
    <w:p w14:paraId="1392B43E" w14:textId="77777777" w:rsidR="00534F49" w:rsidRPr="009752A1" w:rsidRDefault="00534F49" w:rsidP="00CC3C0C">
      <w:pPr>
        <w:autoSpaceDE w:val="0"/>
        <w:autoSpaceDN w:val="0"/>
        <w:adjustRightInd w:val="0"/>
        <w:ind w:left="851"/>
        <w:rPr>
          <w:sz w:val="24"/>
          <w:szCs w:val="24"/>
        </w:rPr>
      </w:pPr>
    </w:p>
    <w:p w14:paraId="7E197733" w14:textId="60164D93" w:rsidR="00534F49" w:rsidRPr="009752A1" w:rsidRDefault="00534F49" w:rsidP="00CC3C0C">
      <w:pPr>
        <w:autoSpaceDE w:val="0"/>
        <w:autoSpaceDN w:val="0"/>
        <w:adjustRightInd w:val="0"/>
        <w:ind w:left="851"/>
        <w:rPr>
          <w:sz w:val="24"/>
          <w:szCs w:val="24"/>
          <w:lang w:eastAsia="da-DK"/>
        </w:rPr>
      </w:pPr>
      <w:r w:rsidRPr="009752A1">
        <w:rPr>
          <w:sz w:val="24"/>
          <w:szCs w:val="24"/>
          <w:lang w:eastAsia="da-DK"/>
        </w:rPr>
        <w:t xml:space="preserve">Behandling med </w:t>
      </w:r>
      <w:proofErr w:type="spellStart"/>
      <w:r w:rsidRPr="009752A1">
        <w:rPr>
          <w:sz w:val="24"/>
          <w:szCs w:val="24"/>
          <w:lang w:eastAsia="da-DK"/>
        </w:rPr>
        <w:t>deferipron</w:t>
      </w:r>
      <w:proofErr w:type="spellEnd"/>
      <w:r w:rsidRPr="009752A1">
        <w:rPr>
          <w:sz w:val="24"/>
          <w:szCs w:val="24"/>
          <w:lang w:eastAsia="da-DK"/>
        </w:rPr>
        <w:t xml:space="preserve"> bør ikke indledes, hvis patienten har </w:t>
      </w:r>
      <w:proofErr w:type="spellStart"/>
      <w:r w:rsidRPr="009752A1">
        <w:rPr>
          <w:sz w:val="24"/>
          <w:szCs w:val="24"/>
          <w:lang w:eastAsia="da-DK"/>
        </w:rPr>
        <w:t>neutropeni</w:t>
      </w:r>
      <w:proofErr w:type="spellEnd"/>
      <w:r w:rsidRPr="009752A1">
        <w:rPr>
          <w:sz w:val="24"/>
          <w:szCs w:val="24"/>
          <w:lang w:eastAsia="da-DK"/>
        </w:rPr>
        <w:t xml:space="preserve">. Risikoen for </w:t>
      </w:r>
      <w:proofErr w:type="spellStart"/>
      <w:r w:rsidRPr="009752A1">
        <w:rPr>
          <w:sz w:val="24"/>
          <w:szCs w:val="24"/>
          <w:lang w:eastAsia="da-DK"/>
        </w:rPr>
        <w:t>agranulocytose</w:t>
      </w:r>
      <w:proofErr w:type="spellEnd"/>
      <w:r w:rsidRPr="009752A1">
        <w:rPr>
          <w:sz w:val="24"/>
          <w:szCs w:val="24"/>
          <w:lang w:eastAsia="da-DK"/>
        </w:rPr>
        <w:t xml:space="preserve"> og </w:t>
      </w:r>
      <w:proofErr w:type="spellStart"/>
      <w:r w:rsidRPr="009752A1">
        <w:rPr>
          <w:sz w:val="24"/>
          <w:szCs w:val="24"/>
          <w:lang w:eastAsia="da-DK"/>
        </w:rPr>
        <w:t>neutropeni</w:t>
      </w:r>
      <w:proofErr w:type="spellEnd"/>
      <w:r w:rsidRPr="009752A1">
        <w:rPr>
          <w:sz w:val="24"/>
          <w:szCs w:val="24"/>
          <w:lang w:eastAsia="da-DK"/>
        </w:rPr>
        <w:t xml:space="preserve"> er højere, hvis ANC-tallet i udgangspunktet er mindre end 1,5</w:t>
      </w:r>
      <w:r w:rsidR="00804C9D">
        <w:rPr>
          <w:sz w:val="24"/>
          <w:szCs w:val="24"/>
          <w:lang w:eastAsia="da-DK"/>
        </w:rPr>
        <w:t>×</w:t>
      </w:r>
      <w:r w:rsidRPr="009752A1">
        <w:rPr>
          <w:sz w:val="24"/>
          <w:szCs w:val="24"/>
          <w:lang w:eastAsia="da-DK"/>
        </w:rPr>
        <w:t>10</w:t>
      </w:r>
      <w:r w:rsidRPr="009752A1">
        <w:rPr>
          <w:sz w:val="24"/>
          <w:szCs w:val="24"/>
          <w:vertAlign w:val="superscript"/>
          <w:lang w:eastAsia="da-DK"/>
        </w:rPr>
        <w:t>9</w:t>
      </w:r>
      <w:r w:rsidRPr="009752A1">
        <w:rPr>
          <w:sz w:val="24"/>
          <w:szCs w:val="24"/>
          <w:lang w:eastAsia="da-DK"/>
        </w:rPr>
        <w:t>/l.</w:t>
      </w:r>
    </w:p>
    <w:p w14:paraId="31FEE713" w14:textId="77777777" w:rsidR="00534F49" w:rsidRPr="009752A1" w:rsidRDefault="00534F49" w:rsidP="00CC3C0C">
      <w:pPr>
        <w:autoSpaceDE w:val="0"/>
        <w:autoSpaceDN w:val="0"/>
        <w:adjustRightInd w:val="0"/>
        <w:ind w:left="851"/>
        <w:rPr>
          <w:sz w:val="24"/>
          <w:szCs w:val="24"/>
        </w:rPr>
      </w:pPr>
    </w:p>
    <w:p w14:paraId="1AF38E02" w14:textId="022DB2E9" w:rsidR="00534F49" w:rsidRPr="009752A1" w:rsidRDefault="00534F49" w:rsidP="00CC3C0C">
      <w:pPr>
        <w:autoSpaceDE w:val="0"/>
        <w:autoSpaceDN w:val="0"/>
        <w:adjustRightInd w:val="0"/>
        <w:ind w:left="851"/>
        <w:rPr>
          <w:sz w:val="24"/>
          <w:szCs w:val="24"/>
          <w:u w:val="single"/>
          <w:lang w:eastAsia="da-DK"/>
        </w:rPr>
      </w:pPr>
      <w:r w:rsidRPr="009752A1">
        <w:rPr>
          <w:sz w:val="24"/>
          <w:szCs w:val="24"/>
          <w:u w:val="single"/>
          <w:lang w:eastAsia="da-DK"/>
        </w:rPr>
        <w:t xml:space="preserve">I tilfælde af </w:t>
      </w:r>
      <w:proofErr w:type="spellStart"/>
      <w:r w:rsidRPr="009752A1">
        <w:rPr>
          <w:sz w:val="24"/>
          <w:szCs w:val="24"/>
          <w:u w:val="single"/>
          <w:lang w:eastAsia="da-DK"/>
        </w:rPr>
        <w:t>neutropeni</w:t>
      </w:r>
      <w:proofErr w:type="spellEnd"/>
      <w:r w:rsidRPr="009752A1">
        <w:rPr>
          <w:sz w:val="24"/>
          <w:szCs w:val="24"/>
          <w:u w:val="single"/>
          <w:lang w:eastAsia="da-DK"/>
        </w:rPr>
        <w:t xml:space="preserve"> (ANC &lt; 1,5</w:t>
      </w:r>
      <w:r w:rsidR="00804C9D">
        <w:rPr>
          <w:sz w:val="24"/>
          <w:szCs w:val="24"/>
          <w:u w:val="single"/>
          <w:lang w:eastAsia="da-DK"/>
        </w:rPr>
        <w:t>×</w:t>
      </w:r>
      <w:r w:rsidRPr="009752A1">
        <w:rPr>
          <w:sz w:val="24"/>
          <w:szCs w:val="24"/>
          <w:u w:val="single"/>
          <w:lang w:eastAsia="da-DK"/>
        </w:rPr>
        <w:t>10</w:t>
      </w:r>
      <w:r w:rsidRPr="009752A1">
        <w:rPr>
          <w:sz w:val="24"/>
          <w:szCs w:val="24"/>
          <w:u w:val="single"/>
          <w:vertAlign w:val="superscript"/>
          <w:lang w:eastAsia="da-DK"/>
        </w:rPr>
        <w:t>9</w:t>
      </w:r>
      <w:r w:rsidRPr="009752A1">
        <w:rPr>
          <w:sz w:val="24"/>
          <w:szCs w:val="24"/>
          <w:u w:val="single"/>
          <w:lang w:eastAsia="da-DK"/>
        </w:rPr>
        <w:t>/l og &gt; 0,5</w:t>
      </w:r>
      <w:r w:rsidR="00804C9D">
        <w:rPr>
          <w:sz w:val="24"/>
          <w:szCs w:val="24"/>
          <w:u w:val="single"/>
          <w:lang w:eastAsia="da-DK"/>
        </w:rPr>
        <w:t>×</w:t>
      </w:r>
      <w:r w:rsidRPr="009752A1">
        <w:rPr>
          <w:sz w:val="24"/>
          <w:szCs w:val="24"/>
          <w:u w:val="single"/>
          <w:lang w:eastAsia="da-DK"/>
        </w:rPr>
        <w:t>10</w:t>
      </w:r>
      <w:r w:rsidRPr="009752A1">
        <w:rPr>
          <w:sz w:val="24"/>
          <w:szCs w:val="24"/>
          <w:u w:val="single"/>
          <w:vertAlign w:val="superscript"/>
          <w:lang w:eastAsia="da-DK"/>
        </w:rPr>
        <w:t>9</w:t>
      </w:r>
      <w:r w:rsidRPr="009752A1">
        <w:rPr>
          <w:sz w:val="24"/>
          <w:szCs w:val="24"/>
          <w:u w:val="single"/>
          <w:lang w:eastAsia="da-DK"/>
        </w:rPr>
        <w:t>/l):</w:t>
      </w:r>
    </w:p>
    <w:p w14:paraId="0C9BAEDB" w14:textId="77777777" w:rsidR="00534F49" w:rsidRPr="009752A1" w:rsidRDefault="00534F49" w:rsidP="00CC3C0C">
      <w:pPr>
        <w:autoSpaceDE w:val="0"/>
        <w:autoSpaceDN w:val="0"/>
        <w:adjustRightInd w:val="0"/>
        <w:ind w:left="851"/>
        <w:rPr>
          <w:sz w:val="24"/>
          <w:szCs w:val="24"/>
          <w:lang w:eastAsia="da-DK"/>
        </w:rPr>
      </w:pPr>
      <w:r w:rsidRPr="009752A1">
        <w:rPr>
          <w:sz w:val="24"/>
          <w:szCs w:val="24"/>
          <w:lang w:eastAsia="da-DK"/>
        </w:rPr>
        <w:t xml:space="preserve">Giv patienten besked på omgående at ophøre med indtagelsen af </w:t>
      </w:r>
      <w:proofErr w:type="spellStart"/>
      <w:r w:rsidRPr="009752A1">
        <w:rPr>
          <w:sz w:val="24"/>
          <w:szCs w:val="24"/>
          <w:lang w:eastAsia="da-DK"/>
        </w:rPr>
        <w:t>deferipron</w:t>
      </w:r>
      <w:proofErr w:type="spellEnd"/>
      <w:r w:rsidRPr="009752A1">
        <w:rPr>
          <w:sz w:val="24"/>
          <w:szCs w:val="24"/>
          <w:lang w:eastAsia="da-DK"/>
        </w:rPr>
        <w:t xml:space="preserve"> og alle øvrige lægemidler, som muligvis kan forårsage </w:t>
      </w:r>
      <w:proofErr w:type="spellStart"/>
      <w:r w:rsidRPr="009752A1">
        <w:rPr>
          <w:sz w:val="24"/>
          <w:szCs w:val="24"/>
          <w:lang w:eastAsia="da-DK"/>
        </w:rPr>
        <w:t>neutropeni</w:t>
      </w:r>
      <w:proofErr w:type="spellEnd"/>
      <w:r w:rsidRPr="009752A1">
        <w:rPr>
          <w:sz w:val="24"/>
          <w:szCs w:val="24"/>
          <w:lang w:eastAsia="da-DK"/>
        </w:rPr>
        <w:t xml:space="preserve">. Patienten bør rådes til at begrænse kontakten med andre personer for at reducere risikoen for infektion. Indhent en komplet blodstælling (CBC) med leukocyttal (WBC) korrigeret for tilstedeværelse af kerneindeholdende erytrocytter, et </w:t>
      </w:r>
      <w:proofErr w:type="spellStart"/>
      <w:r w:rsidRPr="009752A1">
        <w:rPr>
          <w:sz w:val="24"/>
          <w:szCs w:val="24"/>
          <w:lang w:eastAsia="da-DK"/>
        </w:rPr>
        <w:t>neutrofiltal</w:t>
      </w:r>
      <w:proofErr w:type="spellEnd"/>
      <w:r w:rsidRPr="009752A1">
        <w:rPr>
          <w:sz w:val="24"/>
          <w:szCs w:val="24"/>
          <w:lang w:eastAsia="da-DK"/>
        </w:rPr>
        <w:t xml:space="preserve"> og et </w:t>
      </w:r>
      <w:proofErr w:type="spellStart"/>
      <w:r w:rsidRPr="009752A1">
        <w:rPr>
          <w:sz w:val="24"/>
          <w:szCs w:val="24"/>
          <w:lang w:eastAsia="da-DK"/>
        </w:rPr>
        <w:t>trombocyttal</w:t>
      </w:r>
      <w:proofErr w:type="spellEnd"/>
      <w:r w:rsidRPr="009752A1">
        <w:rPr>
          <w:sz w:val="24"/>
          <w:szCs w:val="24"/>
          <w:lang w:eastAsia="da-DK"/>
        </w:rPr>
        <w:t xml:space="preserve"> umiddelbart efter diagnosticering af tilfældet og gentag dernæst daglig. Det anbefales, at der efter restituering efter </w:t>
      </w:r>
      <w:proofErr w:type="spellStart"/>
      <w:r w:rsidRPr="009752A1">
        <w:rPr>
          <w:sz w:val="24"/>
          <w:szCs w:val="24"/>
          <w:lang w:eastAsia="da-DK"/>
        </w:rPr>
        <w:t>neutropeni</w:t>
      </w:r>
      <w:proofErr w:type="spellEnd"/>
      <w:r w:rsidRPr="009752A1">
        <w:rPr>
          <w:sz w:val="24"/>
          <w:szCs w:val="24"/>
          <w:lang w:eastAsia="da-DK"/>
        </w:rPr>
        <w:t xml:space="preserve"> fortsat indhentes ugentlige CBC, WBC, </w:t>
      </w:r>
      <w:proofErr w:type="spellStart"/>
      <w:r w:rsidRPr="009752A1">
        <w:rPr>
          <w:sz w:val="24"/>
          <w:szCs w:val="24"/>
          <w:lang w:eastAsia="da-DK"/>
        </w:rPr>
        <w:t>neutrofil</w:t>
      </w:r>
      <w:proofErr w:type="spellEnd"/>
      <w:r w:rsidRPr="009752A1">
        <w:rPr>
          <w:sz w:val="24"/>
          <w:szCs w:val="24"/>
          <w:lang w:eastAsia="da-DK"/>
        </w:rPr>
        <w:t xml:space="preserve">- og </w:t>
      </w:r>
      <w:proofErr w:type="spellStart"/>
      <w:r w:rsidRPr="009752A1">
        <w:rPr>
          <w:sz w:val="24"/>
          <w:szCs w:val="24"/>
          <w:lang w:eastAsia="da-DK"/>
        </w:rPr>
        <w:t>trombocyttal</w:t>
      </w:r>
      <w:proofErr w:type="spellEnd"/>
      <w:r w:rsidRPr="009752A1">
        <w:rPr>
          <w:sz w:val="24"/>
          <w:szCs w:val="24"/>
          <w:lang w:eastAsia="da-DK"/>
        </w:rPr>
        <w:t xml:space="preserve"> i tre på hinanden følgende uger for at sikre, at patienten er helt restitueret. Dersom der udvikler sig tegn på infektion samtidigt med </w:t>
      </w:r>
      <w:proofErr w:type="spellStart"/>
      <w:r w:rsidRPr="009752A1">
        <w:rPr>
          <w:sz w:val="24"/>
          <w:szCs w:val="24"/>
          <w:lang w:eastAsia="da-DK"/>
        </w:rPr>
        <w:t>neutropenien</w:t>
      </w:r>
      <w:proofErr w:type="spellEnd"/>
      <w:r w:rsidRPr="009752A1">
        <w:rPr>
          <w:sz w:val="24"/>
          <w:szCs w:val="24"/>
          <w:lang w:eastAsia="da-DK"/>
        </w:rPr>
        <w:t xml:space="preserve">, skal de aktuelle </w:t>
      </w:r>
      <w:proofErr w:type="spellStart"/>
      <w:r w:rsidRPr="009752A1">
        <w:rPr>
          <w:sz w:val="24"/>
          <w:szCs w:val="24"/>
          <w:lang w:eastAsia="da-DK"/>
        </w:rPr>
        <w:t>dyrkninger</w:t>
      </w:r>
      <w:proofErr w:type="spellEnd"/>
      <w:r w:rsidRPr="009752A1">
        <w:rPr>
          <w:sz w:val="24"/>
          <w:szCs w:val="24"/>
          <w:lang w:eastAsia="da-DK"/>
        </w:rPr>
        <w:t xml:space="preserve"> og diagnostiske procedurer gennemføres, og en egnet behandlingsplan påbegyndes.</w:t>
      </w:r>
    </w:p>
    <w:p w14:paraId="4B8FD004" w14:textId="77777777" w:rsidR="00534F49" w:rsidRPr="009752A1" w:rsidRDefault="00534F49" w:rsidP="00CC3C0C">
      <w:pPr>
        <w:autoSpaceDE w:val="0"/>
        <w:autoSpaceDN w:val="0"/>
        <w:adjustRightInd w:val="0"/>
        <w:ind w:left="851"/>
        <w:rPr>
          <w:sz w:val="24"/>
          <w:szCs w:val="24"/>
        </w:rPr>
      </w:pPr>
    </w:p>
    <w:p w14:paraId="672BF5BA" w14:textId="4AC549E6" w:rsidR="00534F49" w:rsidRPr="009752A1" w:rsidRDefault="00534F49" w:rsidP="00CC3C0C">
      <w:pPr>
        <w:autoSpaceDE w:val="0"/>
        <w:autoSpaceDN w:val="0"/>
        <w:adjustRightInd w:val="0"/>
        <w:ind w:left="851"/>
        <w:rPr>
          <w:sz w:val="24"/>
          <w:szCs w:val="24"/>
          <w:u w:val="single"/>
          <w:lang w:eastAsia="da-DK"/>
        </w:rPr>
      </w:pPr>
      <w:r w:rsidRPr="009752A1">
        <w:rPr>
          <w:sz w:val="24"/>
          <w:szCs w:val="24"/>
          <w:u w:val="single"/>
          <w:lang w:eastAsia="da-DK"/>
        </w:rPr>
        <w:t xml:space="preserve">I tilfælde af </w:t>
      </w:r>
      <w:proofErr w:type="spellStart"/>
      <w:r w:rsidRPr="009752A1">
        <w:rPr>
          <w:sz w:val="24"/>
          <w:szCs w:val="24"/>
          <w:u w:val="single"/>
          <w:lang w:eastAsia="da-DK"/>
        </w:rPr>
        <w:t>agranulocytose</w:t>
      </w:r>
      <w:proofErr w:type="spellEnd"/>
      <w:r w:rsidRPr="009752A1">
        <w:rPr>
          <w:sz w:val="24"/>
          <w:szCs w:val="24"/>
          <w:u w:val="single"/>
          <w:lang w:eastAsia="da-DK"/>
        </w:rPr>
        <w:t xml:space="preserve"> (ANC &lt; 0,5</w:t>
      </w:r>
      <w:r w:rsidR="00804C9D">
        <w:rPr>
          <w:sz w:val="24"/>
          <w:szCs w:val="24"/>
          <w:u w:val="single"/>
          <w:lang w:eastAsia="da-DK"/>
        </w:rPr>
        <w:t>×</w:t>
      </w:r>
      <w:r w:rsidRPr="009752A1">
        <w:rPr>
          <w:sz w:val="24"/>
          <w:szCs w:val="24"/>
          <w:u w:val="single"/>
          <w:lang w:eastAsia="da-DK"/>
        </w:rPr>
        <w:t>10</w:t>
      </w:r>
      <w:r w:rsidRPr="009752A1">
        <w:rPr>
          <w:sz w:val="24"/>
          <w:szCs w:val="24"/>
          <w:u w:val="single"/>
          <w:vertAlign w:val="superscript"/>
          <w:lang w:eastAsia="da-DK"/>
        </w:rPr>
        <w:t>9</w:t>
      </w:r>
      <w:r w:rsidRPr="009752A1">
        <w:rPr>
          <w:sz w:val="24"/>
          <w:szCs w:val="24"/>
          <w:u w:val="single"/>
          <w:lang w:eastAsia="da-DK"/>
        </w:rPr>
        <w:t>/l):</w:t>
      </w:r>
    </w:p>
    <w:p w14:paraId="1C7EDD54" w14:textId="77777777" w:rsidR="00534F49" w:rsidRPr="009752A1" w:rsidRDefault="00534F49" w:rsidP="00CC3C0C">
      <w:pPr>
        <w:autoSpaceDE w:val="0"/>
        <w:autoSpaceDN w:val="0"/>
        <w:adjustRightInd w:val="0"/>
        <w:ind w:left="851"/>
        <w:rPr>
          <w:sz w:val="24"/>
          <w:szCs w:val="24"/>
          <w:lang w:eastAsia="da-DK"/>
        </w:rPr>
      </w:pPr>
      <w:r w:rsidRPr="009752A1">
        <w:rPr>
          <w:sz w:val="24"/>
          <w:szCs w:val="24"/>
          <w:lang w:eastAsia="da-DK"/>
        </w:rPr>
        <w:t>Følg ovenstående retningslinjer og sørg for passende behandling, så som granulocytkoloni-stimulerende faktor, som indledes samme dag som tilfældet identificeres. Indgiv dette daglig, indtil tilstanden er afhjulpet. Sørg for beskyttende isolation og indlæg patienten på sygehus, hvis det er klinisk indiceret.</w:t>
      </w:r>
    </w:p>
    <w:p w14:paraId="49FDA38D" w14:textId="77777777" w:rsidR="00534F49" w:rsidRPr="009752A1" w:rsidRDefault="00534F49" w:rsidP="00CC3C0C">
      <w:pPr>
        <w:autoSpaceDE w:val="0"/>
        <w:autoSpaceDN w:val="0"/>
        <w:adjustRightInd w:val="0"/>
        <w:ind w:left="851"/>
        <w:rPr>
          <w:sz w:val="24"/>
          <w:szCs w:val="24"/>
        </w:rPr>
      </w:pPr>
    </w:p>
    <w:p w14:paraId="22782F5E" w14:textId="77777777" w:rsidR="00534F49" w:rsidRPr="009752A1" w:rsidRDefault="00534F49" w:rsidP="00CC3C0C">
      <w:pPr>
        <w:autoSpaceDE w:val="0"/>
        <w:autoSpaceDN w:val="0"/>
        <w:adjustRightInd w:val="0"/>
        <w:ind w:left="851"/>
        <w:rPr>
          <w:sz w:val="24"/>
          <w:szCs w:val="24"/>
          <w:lang w:eastAsia="da-DK"/>
        </w:rPr>
      </w:pPr>
      <w:r w:rsidRPr="009752A1">
        <w:rPr>
          <w:sz w:val="24"/>
          <w:szCs w:val="24"/>
          <w:lang w:eastAsia="da-DK"/>
        </w:rPr>
        <w:t xml:space="preserve">Der er begrænsede informationer tilgængelige vedrørende fornyet behandling. I tilfælde af </w:t>
      </w:r>
      <w:proofErr w:type="spellStart"/>
      <w:r w:rsidRPr="009752A1">
        <w:rPr>
          <w:sz w:val="24"/>
          <w:szCs w:val="24"/>
          <w:lang w:eastAsia="da-DK"/>
        </w:rPr>
        <w:t>neutropeni</w:t>
      </w:r>
      <w:proofErr w:type="spellEnd"/>
      <w:r w:rsidRPr="009752A1">
        <w:rPr>
          <w:sz w:val="24"/>
          <w:szCs w:val="24"/>
          <w:lang w:eastAsia="da-DK"/>
        </w:rPr>
        <w:t xml:space="preserve"> kan fornyet behandling derfor ikke anbefales. I tilfælde af </w:t>
      </w:r>
      <w:proofErr w:type="spellStart"/>
      <w:r w:rsidRPr="009752A1">
        <w:rPr>
          <w:sz w:val="24"/>
          <w:szCs w:val="24"/>
          <w:lang w:eastAsia="da-DK"/>
        </w:rPr>
        <w:t>agranulocytose</w:t>
      </w:r>
      <w:proofErr w:type="spellEnd"/>
      <w:r w:rsidRPr="009752A1">
        <w:rPr>
          <w:sz w:val="24"/>
          <w:szCs w:val="24"/>
          <w:lang w:eastAsia="da-DK"/>
        </w:rPr>
        <w:t xml:space="preserve"> er fornyet behandling kontraindiceret.</w:t>
      </w:r>
    </w:p>
    <w:p w14:paraId="77BDE623" w14:textId="77777777" w:rsidR="00534F49" w:rsidRPr="009752A1" w:rsidRDefault="00534F49" w:rsidP="00534F49">
      <w:pPr>
        <w:autoSpaceDE w:val="0"/>
        <w:autoSpaceDN w:val="0"/>
        <w:adjustRightInd w:val="0"/>
        <w:rPr>
          <w:sz w:val="24"/>
          <w:szCs w:val="24"/>
        </w:rPr>
      </w:pPr>
    </w:p>
    <w:p w14:paraId="095FEAFE" w14:textId="77777777" w:rsidR="004D15E1" w:rsidRDefault="004D15E1" w:rsidP="004D15E1">
      <w:pPr>
        <w:autoSpaceDE w:val="0"/>
        <w:autoSpaceDN w:val="0"/>
        <w:adjustRightInd w:val="0"/>
        <w:ind w:left="851"/>
        <w:rPr>
          <w:sz w:val="24"/>
          <w:szCs w:val="24"/>
          <w:u w:val="single"/>
          <w:lang w:eastAsia="da-DK"/>
        </w:rPr>
      </w:pPr>
      <w:proofErr w:type="spellStart"/>
      <w:r>
        <w:rPr>
          <w:sz w:val="24"/>
          <w:szCs w:val="24"/>
          <w:u w:val="single"/>
          <w:lang w:eastAsia="da-DK"/>
        </w:rPr>
        <w:t>Karcinogenitet</w:t>
      </w:r>
      <w:proofErr w:type="spellEnd"/>
      <w:r>
        <w:rPr>
          <w:sz w:val="24"/>
          <w:szCs w:val="24"/>
          <w:u w:val="single"/>
          <w:lang w:eastAsia="da-DK"/>
        </w:rPr>
        <w:t>/</w:t>
      </w:r>
      <w:proofErr w:type="spellStart"/>
      <w:r>
        <w:rPr>
          <w:sz w:val="24"/>
          <w:szCs w:val="24"/>
          <w:u w:val="single"/>
          <w:lang w:eastAsia="da-DK"/>
        </w:rPr>
        <w:t>mutagenicitet</w:t>
      </w:r>
      <w:proofErr w:type="spellEnd"/>
    </w:p>
    <w:p w14:paraId="3FC6C1DA" w14:textId="77777777" w:rsidR="004D15E1" w:rsidRDefault="004D15E1" w:rsidP="004D15E1">
      <w:pPr>
        <w:autoSpaceDE w:val="0"/>
        <w:autoSpaceDN w:val="0"/>
        <w:adjustRightInd w:val="0"/>
        <w:ind w:left="851"/>
        <w:rPr>
          <w:sz w:val="24"/>
          <w:szCs w:val="24"/>
        </w:rPr>
      </w:pPr>
      <w:r>
        <w:rPr>
          <w:sz w:val="24"/>
          <w:szCs w:val="24"/>
          <w:lang w:eastAsia="da-DK"/>
        </w:rPr>
        <w:t xml:space="preserve">I betragtning af </w:t>
      </w:r>
      <w:proofErr w:type="spellStart"/>
      <w:r>
        <w:rPr>
          <w:sz w:val="24"/>
          <w:szCs w:val="24"/>
          <w:lang w:eastAsia="da-DK"/>
        </w:rPr>
        <w:t>genotoksicitetsresultaterne</w:t>
      </w:r>
      <w:proofErr w:type="spellEnd"/>
      <w:r>
        <w:rPr>
          <w:sz w:val="24"/>
          <w:szCs w:val="24"/>
          <w:lang w:eastAsia="da-DK"/>
        </w:rPr>
        <w:t xml:space="preserve"> kan en </w:t>
      </w:r>
      <w:proofErr w:type="gramStart"/>
      <w:r>
        <w:rPr>
          <w:sz w:val="24"/>
          <w:szCs w:val="24"/>
          <w:lang w:eastAsia="da-DK"/>
        </w:rPr>
        <w:t>karcinogen virkning</w:t>
      </w:r>
      <w:proofErr w:type="gramEnd"/>
      <w:r>
        <w:rPr>
          <w:sz w:val="24"/>
          <w:szCs w:val="24"/>
          <w:lang w:eastAsia="da-DK"/>
        </w:rPr>
        <w:t xml:space="preserve"> af </w:t>
      </w:r>
      <w:proofErr w:type="spellStart"/>
      <w:r>
        <w:rPr>
          <w:sz w:val="24"/>
          <w:szCs w:val="24"/>
          <w:lang w:eastAsia="da-DK"/>
        </w:rPr>
        <w:t>deferipron</w:t>
      </w:r>
      <w:proofErr w:type="spellEnd"/>
      <w:r>
        <w:rPr>
          <w:sz w:val="24"/>
          <w:szCs w:val="24"/>
          <w:lang w:eastAsia="da-DK"/>
        </w:rPr>
        <w:t xml:space="preserve"> ikke udelukkes (se pkt. 5.3).</w:t>
      </w:r>
    </w:p>
    <w:p w14:paraId="4707AF26" w14:textId="77777777" w:rsidR="004D15E1" w:rsidRDefault="004D15E1" w:rsidP="004D15E1">
      <w:pPr>
        <w:autoSpaceDE w:val="0"/>
        <w:autoSpaceDN w:val="0"/>
        <w:adjustRightInd w:val="0"/>
        <w:ind w:left="851"/>
        <w:rPr>
          <w:sz w:val="24"/>
          <w:szCs w:val="24"/>
        </w:rPr>
      </w:pPr>
    </w:p>
    <w:p w14:paraId="0CD70E50" w14:textId="77777777" w:rsidR="004D15E1" w:rsidRDefault="004D15E1" w:rsidP="004D15E1">
      <w:pPr>
        <w:autoSpaceDE w:val="0"/>
        <w:autoSpaceDN w:val="0"/>
        <w:adjustRightInd w:val="0"/>
        <w:ind w:left="851"/>
        <w:rPr>
          <w:sz w:val="24"/>
          <w:szCs w:val="24"/>
          <w:u w:val="single"/>
          <w:lang w:eastAsia="da-DK"/>
        </w:rPr>
      </w:pPr>
      <w:r>
        <w:rPr>
          <w:sz w:val="24"/>
          <w:szCs w:val="24"/>
          <w:u w:val="single"/>
          <w:lang w:eastAsia="da-DK"/>
        </w:rPr>
        <w:t>Plasmazink (Zn</w:t>
      </w:r>
      <w:r>
        <w:rPr>
          <w:sz w:val="24"/>
          <w:szCs w:val="24"/>
          <w:u w:val="single"/>
          <w:vertAlign w:val="superscript"/>
          <w:lang w:eastAsia="da-DK"/>
        </w:rPr>
        <w:t>2+</w:t>
      </w:r>
      <w:r>
        <w:rPr>
          <w:sz w:val="24"/>
          <w:szCs w:val="24"/>
          <w:u w:val="single"/>
          <w:lang w:eastAsia="da-DK"/>
        </w:rPr>
        <w:t>) koncentration</w:t>
      </w:r>
    </w:p>
    <w:p w14:paraId="314CCDCF" w14:textId="77777777" w:rsidR="004D15E1" w:rsidRDefault="004D15E1" w:rsidP="004D15E1">
      <w:pPr>
        <w:autoSpaceDE w:val="0"/>
        <w:autoSpaceDN w:val="0"/>
        <w:adjustRightInd w:val="0"/>
        <w:ind w:left="851"/>
        <w:rPr>
          <w:sz w:val="24"/>
          <w:szCs w:val="24"/>
          <w:lang w:eastAsia="da-DK"/>
        </w:rPr>
      </w:pPr>
      <w:r>
        <w:rPr>
          <w:sz w:val="24"/>
          <w:szCs w:val="24"/>
          <w:lang w:eastAsia="da-DK"/>
        </w:rPr>
        <w:t>Det anbefales at kontrollere plasma Zn</w:t>
      </w:r>
      <w:r>
        <w:rPr>
          <w:sz w:val="24"/>
          <w:szCs w:val="24"/>
          <w:vertAlign w:val="superscript"/>
          <w:lang w:eastAsia="da-DK"/>
        </w:rPr>
        <w:t>2+</w:t>
      </w:r>
      <w:r>
        <w:rPr>
          <w:sz w:val="24"/>
          <w:szCs w:val="24"/>
          <w:lang w:eastAsia="da-DK"/>
        </w:rPr>
        <w:t xml:space="preserve"> koncentrationen og tilføre ekstra i tilfælde af mangel.</w:t>
      </w:r>
    </w:p>
    <w:p w14:paraId="6A804142" w14:textId="77777777" w:rsidR="004D15E1" w:rsidRDefault="004D15E1" w:rsidP="004D15E1">
      <w:pPr>
        <w:autoSpaceDE w:val="0"/>
        <w:autoSpaceDN w:val="0"/>
        <w:adjustRightInd w:val="0"/>
        <w:ind w:left="851"/>
        <w:rPr>
          <w:sz w:val="24"/>
          <w:szCs w:val="24"/>
        </w:rPr>
      </w:pPr>
    </w:p>
    <w:p w14:paraId="5554709E" w14:textId="77777777" w:rsidR="004D15E1" w:rsidRDefault="004D15E1" w:rsidP="004D15E1">
      <w:pPr>
        <w:autoSpaceDE w:val="0"/>
        <w:autoSpaceDN w:val="0"/>
        <w:adjustRightInd w:val="0"/>
        <w:ind w:left="851"/>
        <w:rPr>
          <w:sz w:val="24"/>
          <w:szCs w:val="24"/>
          <w:u w:val="single"/>
          <w:lang w:eastAsia="da-DK"/>
        </w:rPr>
      </w:pPr>
      <w:r>
        <w:rPr>
          <w:sz w:val="24"/>
          <w:szCs w:val="24"/>
          <w:u w:val="single"/>
          <w:lang w:eastAsia="da-DK"/>
        </w:rPr>
        <w:t>Human immundefektvirus (hiv)-positive eller på anden vis immunudsatte patienter</w:t>
      </w:r>
    </w:p>
    <w:p w14:paraId="23714FF7" w14:textId="77777777" w:rsidR="004D15E1" w:rsidRDefault="004D15E1" w:rsidP="004D15E1">
      <w:pPr>
        <w:autoSpaceDE w:val="0"/>
        <w:autoSpaceDN w:val="0"/>
        <w:adjustRightInd w:val="0"/>
        <w:ind w:left="851"/>
        <w:rPr>
          <w:sz w:val="24"/>
          <w:szCs w:val="24"/>
          <w:lang w:eastAsia="da-DK"/>
        </w:rPr>
      </w:pPr>
      <w:r>
        <w:rPr>
          <w:sz w:val="24"/>
          <w:szCs w:val="24"/>
          <w:lang w:eastAsia="da-DK"/>
        </w:rPr>
        <w:t xml:space="preserve">Der foreligger ingen tilgængelige data om anvendelse af </w:t>
      </w:r>
      <w:proofErr w:type="spellStart"/>
      <w:r>
        <w:rPr>
          <w:sz w:val="24"/>
          <w:szCs w:val="24"/>
          <w:lang w:eastAsia="da-DK"/>
        </w:rPr>
        <w:t>deferipron</w:t>
      </w:r>
      <w:proofErr w:type="spellEnd"/>
      <w:r>
        <w:rPr>
          <w:sz w:val="24"/>
          <w:szCs w:val="24"/>
          <w:lang w:eastAsia="da-DK"/>
        </w:rPr>
        <w:t xml:space="preserve"> på patienter, som er hiv-positive eller på anden vis har et defekt immunforsvar. Eftersom </w:t>
      </w:r>
      <w:proofErr w:type="spellStart"/>
      <w:r>
        <w:rPr>
          <w:sz w:val="24"/>
          <w:szCs w:val="24"/>
          <w:lang w:eastAsia="da-DK"/>
        </w:rPr>
        <w:t>deferipron</w:t>
      </w:r>
      <w:proofErr w:type="spellEnd"/>
      <w:r>
        <w:rPr>
          <w:sz w:val="24"/>
          <w:szCs w:val="24"/>
          <w:lang w:eastAsia="da-DK"/>
        </w:rPr>
        <w:t xml:space="preserve"> kan forbindes med </w:t>
      </w:r>
      <w:proofErr w:type="spellStart"/>
      <w:r>
        <w:rPr>
          <w:sz w:val="24"/>
          <w:szCs w:val="24"/>
          <w:lang w:eastAsia="da-DK"/>
        </w:rPr>
        <w:t>neutropeni</w:t>
      </w:r>
      <w:proofErr w:type="spellEnd"/>
      <w:r>
        <w:rPr>
          <w:sz w:val="24"/>
          <w:szCs w:val="24"/>
          <w:lang w:eastAsia="da-DK"/>
        </w:rPr>
        <w:t xml:space="preserve"> og </w:t>
      </w:r>
      <w:proofErr w:type="spellStart"/>
      <w:r>
        <w:rPr>
          <w:sz w:val="24"/>
          <w:szCs w:val="24"/>
          <w:lang w:eastAsia="da-DK"/>
        </w:rPr>
        <w:t>agranulocytose</w:t>
      </w:r>
      <w:proofErr w:type="spellEnd"/>
      <w:r>
        <w:rPr>
          <w:sz w:val="24"/>
          <w:szCs w:val="24"/>
          <w:lang w:eastAsia="da-DK"/>
        </w:rPr>
        <w:t>, bør behandling af patienter med svækket immunforsvar ikke indledes, medmindre de mulige fordele overstiger de mulige risici.</w:t>
      </w:r>
    </w:p>
    <w:p w14:paraId="0F6D0379" w14:textId="77777777" w:rsidR="00534F49" w:rsidRPr="009752A1" w:rsidRDefault="00534F49" w:rsidP="00CC3C0C">
      <w:pPr>
        <w:autoSpaceDE w:val="0"/>
        <w:autoSpaceDN w:val="0"/>
        <w:adjustRightInd w:val="0"/>
        <w:ind w:left="851"/>
        <w:rPr>
          <w:sz w:val="24"/>
          <w:szCs w:val="24"/>
        </w:rPr>
      </w:pPr>
    </w:p>
    <w:p w14:paraId="642AF8F2" w14:textId="77777777" w:rsidR="00534F49" w:rsidRPr="009752A1" w:rsidRDefault="00534F49" w:rsidP="00CC3C0C">
      <w:pPr>
        <w:autoSpaceDE w:val="0"/>
        <w:autoSpaceDN w:val="0"/>
        <w:adjustRightInd w:val="0"/>
        <w:ind w:left="851"/>
        <w:rPr>
          <w:sz w:val="24"/>
          <w:szCs w:val="24"/>
          <w:u w:val="single"/>
          <w:lang w:eastAsia="da-DK"/>
        </w:rPr>
      </w:pPr>
      <w:r w:rsidRPr="009752A1">
        <w:rPr>
          <w:sz w:val="24"/>
          <w:szCs w:val="24"/>
          <w:u w:val="single"/>
          <w:lang w:eastAsia="da-DK"/>
        </w:rPr>
        <w:t>Nyre- eller leverinsufficiens og leverfibrose</w:t>
      </w:r>
    </w:p>
    <w:p w14:paraId="5F9D3A66" w14:textId="77777777" w:rsidR="00534F49" w:rsidRPr="009752A1" w:rsidRDefault="00534F49" w:rsidP="00CC3C0C">
      <w:pPr>
        <w:autoSpaceDE w:val="0"/>
        <w:autoSpaceDN w:val="0"/>
        <w:adjustRightInd w:val="0"/>
        <w:ind w:left="851"/>
        <w:rPr>
          <w:sz w:val="24"/>
          <w:szCs w:val="24"/>
          <w:lang w:eastAsia="da-DK"/>
        </w:rPr>
      </w:pPr>
      <w:r w:rsidRPr="009752A1">
        <w:rPr>
          <w:sz w:val="24"/>
          <w:szCs w:val="24"/>
          <w:lang w:eastAsia="da-DK"/>
        </w:rPr>
        <w:t xml:space="preserve">Der foreligger ingen tilgængelige informationer om anvendelsen af </w:t>
      </w:r>
      <w:proofErr w:type="spellStart"/>
      <w:r w:rsidRPr="009752A1">
        <w:rPr>
          <w:sz w:val="24"/>
          <w:szCs w:val="24"/>
          <w:lang w:eastAsia="da-DK"/>
        </w:rPr>
        <w:t>deferipron</w:t>
      </w:r>
      <w:proofErr w:type="spellEnd"/>
      <w:r w:rsidRPr="009752A1">
        <w:rPr>
          <w:sz w:val="24"/>
          <w:szCs w:val="24"/>
          <w:lang w:eastAsia="da-DK"/>
        </w:rPr>
        <w:t xml:space="preserve"> hos patienter med nyresygdom i slutstadiet eller svær leverinsufficiens (se pkt. 5.2). Der skal udvises forsigtighed hos patienter med nyresygdom i slutstadiet eller svær nyreinsufficiens. Nyre- og leverfunktion bør overvåges hos disse patientpopulationer, mens de er i behandling med </w:t>
      </w:r>
      <w:proofErr w:type="spellStart"/>
      <w:r w:rsidRPr="009752A1">
        <w:rPr>
          <w:sz w:val="24"/>
          <w:szCs w:val="24"/>
          <w:lang w:eastAsia="da-DK"/>
        </w:rPr>
        <w:t>deferipron</w:t>
      </w:r>
      <w:proofErr w:type="spellEnd"/>
      <w:r w:rsidRPr="009752A1">
        <w:rPr>
          <w:sz w:val="24"/>
          <w:szCs w:val="24"/>
          <w:lang w:eastAsia="da-DK"/>
        </w:rPr>
        <w:t xml:space="preserve">. Hvis der forekommer vedvarende forøgelse af </w:t>
      </w:r>
      <w:proofErr w:type="spellStart"/>
      <w:r w:rsidRPr="009752A1">
        <w:rPr>
          <w:sz w:val="24"/>
          <w:szCs w:val="24"/>
          <w:lang w:eastAsia="da-DK"/>
        </w:rPr>
        <w:t>serumalanin-aminotransferase</w:t>
      </w:r>
      <w:proofErr w:type="spellEnd"/>
      <w:r w:rsidRPr="009752A1">
        <w:rPr>
          <w:sz w:val="24"/>
          <w:szCs w:val="24"/>
          <w:lang w:eastAsia="da-DK"/>
        </w:rPr>
        <w:t xml:space="preserve"> (ALAT), bør det overvejes at seponere behandlingen med </w:t>
      </w:r>
      <w:proofErr w:type="spellStart"/>
      <w:r w:rsidRPr="009752A1">
        <w:rPr>
          <w:sz w:val="24"/>
          <w:szCs w:val="24"/>
          <w:lang w:eastAsia="da-DK"/>
        </w:rPr>
        <w:t>deferipron</w:t>
      </w:r>
      <w:proofErr w:type="spellEnd"/>
      <w:r w:rsidRPr="009752A1">
        <w:rPr>
          <w:sz w:val="24"/>
          <w:szCs w:val="24"/>
          <w:lang w:eastAsia="da-DK"/>
        </w:rPr>
        <w:t>.</w:t>
      </w:r>
    </w:p>
    <w:p w14:paraId="2DD636C5" w14:textId="77777777" w:rsidR="00534F49" w:rsidRPr="009752A1" w:rsidRDefault="00534F49" w:rsidP="00CC3C0C">
      <w:pPr>
        <w:autoSpaceDE w:val="0"/>
        <w:autoSpaceDN w:val="0"/>
        <w:adjustRightInd w:val="0"/>
        <w:ind w:left="851"/>
        <w:rPr>
          <w:sz w:val="24"/>
          <w:szCs w:val="24"/>
        </w:rPr>
      </w:pPr>
    </w:p>
    <w:p w14:paraId="0DFFE3A2" w14:textId="77777777" w:rsidR="00534F49" w:rsidRPr="009752A1" w:rsidRDefault="00534F49" w:rsidP="00CC3C0C">
      <w:pPr>
        <w:autoSpaceDE w:val="0"/>
        <w:autoSpaceDN w:val="0"/>
        <w:adjustRightInd w:val="0"/>
        <w:ind w:left="851"/>
        <w:rPr>
          <w:sz w:val="24"/>
          <w:szCs w:val="24"/>
          <w:lang w:eastAsia="da-DK"/>
        </w:rPr>
      </w:pPr>
      <w:r w:rsidRPr="009752A1">
        <w:rPr>
          <w:sz w:val="24"/>
          <w:szCs w:val="24"/>
          <w:lang w:eastAsia="da-DK"/>
        </w:rPr>
        <w:t xml:space="preserve">Hos </w:t>
      </w:r>
      <w:proofErr w:type="spellStart"/>
      <w:r w:rsidRPr="009752A1">
        <w:rPr>
          <w:sz w:val="24"/>
          <w:szCs w:val="24"/>
          <w:lang w:eastAsia="da-DK"/>
        </w:rPr>
        <w:t>talassæmi</w:t>
      </w:r>
      <w:proofErr w:type="spellEnd"/>
      <w:r w:rsidRPr="009752A1">
        <w:rPr>
          <w:sz w:val="24"/>
          <w:szCs w:val="24"/>
          <w:lang w:eastAsia="da-DK"/>
        </w:rPr>
        <w:t xml:space="preserve">-patienter er der en forbindelse mellem leverfibrose og jernophobning og/eller hepatitis C. Der skal udvises særlig forsigtighed for at sikre, at </w:t>
      </w:r>
      <w:proofErr w:type="spellStart"/>
      <w:r w:rsidRPr="009752A1">
        <w:rPr>
          <w:sz w:val="24"/>
          <w:szCs w:val="24"/>
          <w:lang w:eastAsia="da-DK"/>
        </w:rPr>
        <w:t>jernkeleringen</w:t>
      </w:r>
      <w:proofErr w:type="spellEnd"/>
      <w:r w:rsidRPr="009752A1">
        <w:rPr>
          <w:sz w:val="24"/>
          <w:szCs w:val="24"/>
          <w:lang w:eastAsia="da-DK"/>
        </w:rPr>
        <w:t xml:space="preserve"> hos patienter med hepatitis C er optimal. Hos disse patienter anbefales omhyggelig overvågning af leverhistologien.</w:t>
      </w:r>
    </w:p>
    <w:p w14:paraId="2CCC7CF1" w14:textId="77777777" w:rsidR="00534F49" w:rsidRPr="009752A1" w:rsidRDefault="00534F49" w:rsidP="00CC3C0C">
      <w:pPr>
        <w:autoSpaceDE w:val="0"/>
        <w:autoSpaceDN w:val="0"/>
        <w:adjustRightInd w:val="0"/>
        <w:ind w:left="851"/>
        <w:rPr>
          <w:sz w:val="24"/>
          <w:szCs w:val="24"/>
        </w:rPr>
      </w:pPr>
    </w:p>
    <w:p w14:paraId="3BE20124" w14:textId="77777777" w:rsidR="00534F49" w:rsidRPr="009752A1" w:rsidRDefault="00534F49" w:rsidP="00CC3C0C">
      <w:pPr>
        <w:autoSpaceDE w:val="0"/>
        <w:autoSpaceDN w:val="0"/>
        <w:adjustRightInd w:val="0"/>
        <w:ind w:left="851"/>
        <w:rPr>
          <w:sz w:val="24"/>
          <w:szCs w:val="24"/>
          <w:u w:val="single"/>
          <w:lang w:eastAsia="da-DK"/>
        </w:rPr>
      </w:pPr>
      <w:r w:rsidRPr="009752A1">
        <w:rPr>
          <w:sz w:val="24"/>
          <w:szCs w:val="24"/>
          <w:u w:val="single"/>
          <w:lang w:eastAsia="da-DK"/>
        </w:rPr>
        <w:t>Misfarvning af urinen</w:t>
      </w:r>
    </w:p>
    <w:p w14:paraId="6852A8E1" w14:textId="77777777" w:rsidR="00534F49" w:rsidRPr="009752A1" w:rsidRDefault="00534F49" w:rsidP="00CC3C0C">
      <w:pPr>
        <w:autoSpaceDE w:val="0"/>
        <w:autoSpaceDN w:val="0"/>
        <w:adjustRightInd w:val="0"/>
        <w:ind w:left="851"/>
        <w:rPr>
          <w:sz w:val="24"/>
          <w:szCs w:val="24"/>
          <w:lang w:eastAsia="da-DK"/>
        </w:rPr>
      </w:pPr>
      <w:r w:rsidRPr="009752A1">
        <w:rPr>
          <w:sz w:val="24"/>
          <w:szCs w:val="24"/>
          <w:lang w:eastAsia="da-DK"/>
        </w:rPr>
        <w:t xml:space="preserve">Patienterne skal informeres om, at deres urin kan udvise en rødlig/brunlig misfarvning på grund af udskillelsen af </w:t>
      </w:r>
      <w:proofErr w:type="spellStart"/>
      <w:r w:rsidRPr="009752A1">
        <w:rPr>
          <w:sz w:val="24"/>
          <w:szCs w:val="24"/>
          <w:lang w:eastAsia="da-DK"/>
        </w:rPr>
        <w:t>jerndeferipronkompleks</w:t>
      </w:r>
      <w:proofErr w:type="spellEnd"/>
      <w:r w:rsidRPr="009752A1">
        <w:rPr>
          <w:sz w:val="24"/>
          <w:szCs w:val="24"/>
          <w:lang w:eastAsia="da-DK"/>
        </w:rPr>
        <w:t>.</w:t>
      </w:r>
    </w:p>
    <w:p w14:paraId="4625A1AB" w14:textId="77777777" w:rsidR="00534F49" w:rsidRPr="009752A1" w:rsidRDefault="00534F49" w:rsidP="00CC3C0C">
      <w:pPr>
        <w:autoSpaceDE w:val="0"/>
        <w:autoSpaceDN w:val="0"/>
        <w:adjustRightInd w:val="0"/>
        <w:ind w:left="851"/>
        <w:rPr>
          <w:sz w:val="24"/>
          <w:szCs w:val="24"/>
        </w:rPr>
      </w:pPr>
    </w:p>
    <w:p w14:paraId="2CB80679" w14:textId="77777777" w:rsidR="00534F49" w:rsidRPr="009752A1" w:rsidRDefault="00534F49" w:rsidP="00CC3C0C">
      <w:pPr>
        <w:autoSpaceDE w:val="0"/>
        <w:autoSpaceDN w:val="0"/>
        <w:adjustRightInd w:val="0"/>
        <w:ind w:left="851"/>
        <w:rPr>
          <w:sz w:val="24"/>
          <w:szCs w:val="24"/>
          <w:u w:val="single"/>
          <w:lang w:eastAsia="da-DK"/>
        </w:rPr>
      </w:pPr>
      <w:r w:rsidRPr="009752A1">
        <w:rPr>
          <w:sz w:val="24"/>
          <w:szCs w:val="24"/>
          <w:u w:val="single"/>
          <w:lang w:eastAsia="da-DK"/>
        </w:rPr>
        <w:t>Neurologiske forstyrrelser</w:t>
      </w:r>
    </w:p>
    <w:p w14:paraId="2ADD1245" w14:textId="77777777" w:rsidR="00534F49" w:rsidRPr="009752A1" w:rsidRDefault="00534F49" w:rsidP="00CC3C0C">
      <w:pPr>
        <w:autoSpaceDE w:val="0"/>
        <w:autoSpaceDN w:val="0"/>
        <w:adjustRightInd w:val="0"/>
        <w:ind w:left="851"/>
        <w:rPr>
          <w:sz w:val="24"/>
          <w:szCs w:val="24"/>
        </w:rPr>
      </w:pPr>
      <w:r w:rsidRPr="009752A1">
        <w:rPr>
          <w:sz w:val="24"/>
          <w:szCs w:val="24"/>
          <w:lang w:eastAsia="da-DK"/>
        </w:rPr>
        <w:t xml:space="preserve">Neurologiske forstyrrelser er observeret hos børn, som i flere år frivilligt har fået ordineret mere end 2,5 gange den maksimalt anbefalede dosis, men er også observeret ved standarddoser af </w:t>
      </w:r>
      <w:proofErr w:type="spellStart"/>
      <w:r w:rsidRPr="009752A1">
        <w:rPr>
          <w:sz w:val="24"/>
          <w:szCs w:val="24"/>
          <w:lang w:eastAsia="da-DK"/>
        </w:rPr>
        <w:t>deferipron</w:t>
      </w:r>
      <w:proofErr w:type="spellEnd"/>
      <w:r w:rsidRPr="009752A1">
        <w:rPr>
          <w:sz w:val="24"/>
          <w:szCs w:val="24"/>
          <w:lang w:eastAsia="da-DK"/>
        </w:rPr>
        <w:t xml:space="preserve">. Ordinerende læger mindes om, at brugen af doser over 100 mg/kg/dag frarådes. Anvendelse af </w:t>
      </w:r>
      <w:proofErr w:type="spellStart"/>
      <w:r w:rsidRPr="009752A1">
        <w:rPr>
          <w:sz w:val="24"/>
          <w:szCs w:val="24"/>
          <w:lang w:eastAsia="da-DK"/>
        </w:rPr>
        <w:t>deferipron</w:t>
      </w:r>
      <w:proofErr w:type="spellEnd"/>
      <w:r w:rsidRPr="009752A1">
        <w:rPr>
          <w:sz w:val="24"/>
          <w:szCs w:val="24"/>
          <w:lang w:eastAsia="da-DK"/>
        </w:rPr>
        <w:t xml:space="preserve"> bør ophøre, hvis der observeres neurologiske forstyrrelser (se pkt. 4.8 og 4.9).</w:t>
      </w:r>
    </w:p>
    <w:p w14:paraId="7E12B163" w14:textId="77777777" w:rsidR="00534F49" w:rsidRPr="009752A1" w:rsidRDefault="00534F49" w:rsidP="00CC3C0C">
      <w:pPr>
        <w:autoSpaceDE w:val="0"/>
        <w:autoSpaceDN w:val="0"/>
        <w:adjustRightInd w:val="0"/>
        <w:ind w:left="851"/>
        <w:rPr>
          <w:sz w:val="24"/>
          <w:szCs w:val="24"/>
        </w:rPr>
      </w:pPr>
    </w:p>
    <w:p w14:paraId="2E2C1861" w14:textId="77777777" w:rsidR="00534F49" w:rsidRPr="009752A1" w:rsidRDefault="00534F49" w:rsidP="00CC3C0C">
      <w:pPr>
        <w:autoSpaceDE w:val="0"/>
        <w:autoSpaceDN w:val="0"/>
        <w:adjustRightInd w:val="0"/>
        <w:ind w:left="851"/>
        <w:rPr>
          <w:sz w:val="24"/>
          <w:szCs w:val="24"/>
          <w:u w:val="single"/>
          <w:lang w:eastAsia="da-DK"/>
        </w:rPr>
      </w:pPr>
      <w:r w:rsidRPr="009752A1">
        <w:rPr>
          <w:sz w:val="24"/>
          <w:szCs w:val="24"/>
          <w:u w:val="single"/>
          <w:lang w:eastAsia="da-DK"/>
        </w:rPr>
        <w:t xml:space="preserve">Kombineret brug sammen med andre </w:t>
      </w:r>
      <w:proofErr w:type="spellStart"/>
      <w:r w:rsidRPr="009752A1">
        <w:rPr>
          <w:sz w:val="24"/>
          <w:szCs w:val="24"/>
          <w:u w:val="single"/>
          <w:lang w:eastAsia="da-DK"/>
        </w:rPr>
        <w:t>jernkelerende</w:t>
      </w:r>
      <w:proofErr w:type="spellEnd"/>
      <w:r w:rsidRPr="009752A1">
        <w:rPr>
          <w:sz w:val="24"/>
          <w:szCs w:val="24"/>
          <w:u w:val="single"/>
          <w:lang w:eastAsia="da-DK"/>
        </w:rPr>
        <w:t xml:space="preserve"> stoffer</w:t>
      </w:r>
    </w:p>
    <w:p w14:paraId="6CB00CFD" w14:textId="77777777" w:rsidR="00534F49" w:rsidRPr="009752A1" w:rsidRDefault="00534F49" w:rsidP="00CC3C0C">
      <w:pPr>
        <w:autoSpaceDE w:val="0"/>
        <w:autoSpaceDN w:val="0"/>
        <w:adjustRightInd w:val="0"/>
        <w:ind w:left="851"/>
        <w:rPr>
          <w:sz w:val="24"/>
          <w:szCs w:val="24"/>
        </w:rPr>
      </w:pPr>
      <w:r w:rsidRPr="009752A1">
        <w:rPr>
          <w:sz w:val="24"/>
          <w:szCs w:val="24"/>
          <w:lang w:eastAsia="da-DK"/>
        </w:rPr>
        <w:t xml:space="preserve">Brugen af kombinationsterapi bør overvejes i hvert enkelt tilfælde. Respons på behandling bør vurderes jævnligt, og forekomsten af bivirkninger bør overvåges nøje. Dødsfald og livstruende situationer (forårsaget af </w:t>
      </w:r>
      <w:proofErr w:type="spellStart"/>
      <w:r w:rsidRPr="009752A1">
        <w:rPr>
          <w:sz w:val="24"/>
          <w:szCs w:val="24"/>
          <w:lang w:eastAsia="da-DK"/>
        </w:rPr>
        <w:t>agranulocytose</w:t>
      </w:r>
      <w:proofErr w:type="spellEnd"/>
      <w:r w:rsidRPr="009752A1">
        <w:rPr>
          <w:sz w:val="24"/>
          <w:szCs w:val="24"/>
          <w:lang w:eastAsia="da-DK"/>
        </w:rPr>
        <w:t xml:space="preserve">) er rapporteret med </w:t>
      </w:r>
      <w:proofErr w:type="spellStart"/>
      <w:r w:rsidRPr="009752A1">
        <w:rPr>
          <w:sz w:val="24"/>
          <w:szCs w:val="24"/>
          <w:lang w:eastAsia="da-DK"/>
        </w:rPr>
        <w:t>deferipron</w:t>
      </w:r>
      <w:proofErr w:type="spellEnd"/>
      <w:r w:rsidRPr="009752A1">
        <w:rPr>
          <w:sz w:val="24"/>
          <w:szCs w:val="24"/>
          <w:lang w:eastAsia="da-DK"/>
        </w:rPr>
        <w:t xml:space="preserve"> i kombination med </w:t>
      </w:r>
      <w:proofErr w:type="spellStart"/>
      <w:r w:rsidRPr="009752A1">
        <w:rPr>
          <w:sz w:val="24"/>
          <w:szCs w:val="24"/>
          <w:lang w:eastAsia="da-DK"/>
        </w:rPr>
        <w:t>deferoxamin</w:t>
      </w:r>
      <w:proofErr w:type="spellEnd"/>
      <w:r w:rsidRPr="009752A1">
        <w:rPr>
          <w:sz w:val="24"/>
          <w:szCs w:val="24"/>
          <w:lang w:eastAsia="da-DK"/>
        </w:rPr>
        <w:t xml:space="preserve">. Kombinationsterapi med </w:t>
      </w:r>
      <w:proofErr w:type="spellStart"/>
      <w:r w:rsidRPr="009752A1">
        <w:rPr>
          <w:sz w:val="24"/>
          <w:szCs w:val="24"/>
          <w:lang w:eastAsia="da-DK"/>
        </w:rPr>
        <w:t>deferoxamin</w:t>
      </w:r>
      <w:proofErr w:type="spellEnd"/>
      <w:r w:rsidRPr="009752A1">
        <w:rPr>
          <w:sz w:val="24"/>
          <w:szCs w:val="24"/>
          <w:lang w:eastAsia="da-DK"/>
        </w:rPr>
        <w:t xml:space="preserve"> frarådes, når monoterapi med et af de </w:t>
      </w:r>
      <w:proofErr w:type="spellStart"/>
      <w:r w:rsidRPr="009752A1">
        <w:rPr>
          <w:sz w:val="24"/>
          <w:szCs w:val="24"/>
          <w:lang w:eastAsia="da-DK"/>
        </w:rPr>
        <w:t>kelerende</w:t>
      </w:r>
      <w:proofErr w:type="spellEnd"/>
      <w:r w:rsidRPr="009752A1">
        <w:rPr>
          <w:sz w:val="24"/>
          <w:szCs w:val="24"/>
          <w:lang w:eastAsia="da-DK"/>
        </w:rPr>
        <w:t xml:space="preserve"> stoffer er tilstrækkelig, eller når </w:t>
      </w:r>
      <w:proofErr w:type="spellStart"/>
      <w:r w:rsidRPr="009752A1">
        <w:rPr>
          <w:sz w:val="24"/>
          <w:szCs w:val="24"/>
          <w:lang w:eastAsia="da-DK"/>
        </w:rPr>
        <w:t>serumferritin</w:t>
      </w:r>
      <w:proofErr w:type="spellEnd"/>
      <w:r w:rsidRPr="009752A1">
        <w:rPr>
          <w:sz w:val="24"/>
          <w:szCs w:val="24"/>
          <w:lang w:eastAsia="da-DK"/>
        </w:rPr>
        <w:t xml:space="preserve"> falder under 500 </w:t>
      </w:r>
      <w:proofErr w:type="spellStart"/>
      <w:r w:rsidRPr="009752A1">
        <w:rPr>
          <w:sz w:val="24"/>
          <w:szCs w:val="24"/>
          <w:lang w:eastAsia="da-DK"/>
        </w:rPr>
        <w:t>μg</w:t>
      </w:r>
      <w:proofErr w:type="spellEnd"/>
      <w:r w:rsidRPr="009752A1">
        <w:rPr>
          <w:sz w:val="24"/>
          <w:szCs w:val="24"/>
          <w:lang w:eastAsia="da-DK"/>
        </w:rPr>
        <w:t xml:space="preserve">/l. Der foreligger kun begrænsede data om den kombinerede brug af </w:t>
      </w:r>
      <w:proofErr w:type="spellStart"/>
      <w:r w:rsidRPr="009752A1">
        <w:rPr>
          <w:sz w:val="24"/>
          <w:szCs w:val="24"/>
          <w:lang w:eastAsia="da-DK"/>
        </w:rPr>
        <w:t>deferipron</w:t>
      </w:r>
      <w:proofErr w:type="spellEnd"/>
      <w:r w:rsidRPr="009752A1">
        <w:rPr>
          <w:sz w:val="24"/>
          <w:szCs w:val="24"/>
          <w:lang w:eastAsia="da-DK"/>
        </w:rPr>
        <w:t xml:space="preserve"> og </w:t>
      </w:r>
      <w:proofErr w:type="spellStart"/>
      <w:r w:rsidRPr="009752A1">
        <w:rPr>
          <w:sz w:val="24"/>
          <w:szCs w:val="24"/>
          <w:lang w:eastAsia="da-DK"/>
        </w:rPr>
        <w:t>deferasirox</w:t>
      </w:r>
      <w:proofErr w:type="spellEnd"/>
      <w:r w:rsidRPr="009752A1">
        <w:rPr>
          <w:sz w:val="24"/>
          <w:szCs w:val="24"/>
          <w:lang w:eastAsia="da-DK"/>
        </w:rPr>
        <w:t>, og der skal udvises forsigtighed, når det overvejes at anvende en sådan kombination.</w:t>
      </w:r>
    </w:p>
    <w:p w14:paraId="48F861C2" w14:textId="77777777" w:rsidR="009260DE" w:rsidRPr="009752A1" w:rsidRDefault="009260DE" w:rsidP="009260DE">
      <w:pPr>
        <w:tabs>
          <w:tab w:val="left" w:pos="851"/>
        </w:tabs>
        <w:ind w:left="851"/>
        <w:rPr>
          <w:sz w:val="24"/>
          <w:szCs w:val="24"/>
        </w:rPr>
      </w:pPr>
    </w:p>
    <w:p w14:paraId="7BCB2FC2" w14:textId="77777777" w:rsidR="009260DE" w:rsidRPr="009752A1" w:rsidRDefault="009260DE" w:rsidP="009260DE">
      <w:pPr>
        <w:tabs>
          <w:tab w:val="left" w:pos="851"/>
        </w:tabs>
        <w:ind w:left="851" w:hanging="851"/>
        <w:rPr>
          <w:b/>
          <w:sz w:val="24"/>
          <w:szCs w:val="24"/>
        </w:rPr>
      </w:pPr>
      <w:r w:rsidRPr="009752A1">
        <w:rPr>
          <w:b/>
          <w:sz w:val="24"/>
          <w:szCs w:val="24"/>
        </w:rPr>
        <w:t>4.5</w:t>
      </w:r>
      <w:r w:rsidRPr="009752A1">
        <w:rPr>
          <w:b/>
          <w:sz w:val="24"/>
          <w:szCs w:val="24"/>
        </w:rPr>
        <w:tab/>
        <w:t>Interaktion med andre lægemidler og andre former for interaktion</w:t>
      </w:r>
    </w:p>
    <w:p w14:paraId="68D34EE5" w14:textId="77777777" w:rsidR="00E904A2" w:rsidRPr="009752A1" w:rsidRDefault="00E904A2" w:rsidP="00CC3C0C">
      <w:pPr>
        <w:autoSpaceDE w:val="0"/>
        <w:autoSpaceDN w:val="0"/>
        <w:adjustRightInd w:val="0"/>
        <w:ind w:left="851"/>
        <w:rPr>
          <w:sz w:val="24"/>
          <w:szCs w:val="24"/>
          <w:lang w:eastAsia="da-DK"/>
        </w:rPr>
      </w:pPr>
      <w:r w:rsidRPr="009752A1">
        <w:rPr>
          <w:sz w:val="24"/>
          <w:szCs w:val="24"/>
          <w:lang w:eastAsia="da-DK"/>
        </w:rPr>
        <w:t xml:space="preserve">Da mekanismen for </w:t>
      </w:r>
      <w:proofErr w:type="spellStart"/>
      <w:r w:rsidRPr="009752A1">
        <w:rPr>
          <w:sz w:val="24"/>
          <w:szCs w:val="24"/>
          <w:lang w:eastAsia="da-DK"/>
        </w:rPr>
        <w:t>neutropeni</w:t>
      </w:r>
      <w:proofErr w:type="spellEnd"/>
      <w:r w:rsidRPr="009752A1">
        <w:rPr>
          <w:sz w:val="24"/>
          <w:szCs w:val="24"/>
          <w:lang w:eastAsia="da-DK"/>
        </w:rPr>
        <w:t xml:space="preserve"> fremkaldt af </w:t>
      </w:r>
      <w:proofErr w:type="spellStart"/>
      <w:r w:rsidRPr="009752A1">
        <w:rPr>
          <w:sz w:val="24"/>
          <w:szCs w:val="24"/>
          <w:lang w:eastAsia="da-DK"/>
        </w:rPr>
        <w:t>deferipron</w:t>
      </w:r>
      <w:proofErr w:type="spellEnd"/>
      <w:r w:rsidRPr="009752A1">
        <w:rPr>
          <w:sz w:val="24"/>
          <w:szCs w:val="24"/>
          <w:lang w:eastAsia="da-DK"/>
        </w:rPr>
        <w:t xml:space="preserve"> ikke er kendt, bør patienterne ikke indtage medicin, der vides at være forbundet med </w:t>
      </w:r>
      <w:proofErr w:type="spellStart"/>
      <w:r w:rsidRPr="009752A1">
        <w:rPr>
          <w:sz w:val="24"/>
          <w:szCs w:val="24"/>
          <w:lang w:eastAsia="da-DK"/>
        </w:rPr>
        <w:t>neutropeni</w:t>
      </w:r>
      <w:proofErr w:type="spellEnd"/>
      <w:r w:rsidRPr="009752A1">
        <w:rPr>
          <w:sz w:val="24"/>
          <w:szCs w:val="24"/>
          <w:lang w:eastAsia="da-DK"/>
        </w:rPr>
        <w:t xml:space="preserve">, eller medicin, der kan medføre </w:t>
      </w:r>
      <w:proofErr w:type="spellStart"/>
      <w:r w:rsidRPr="009752A1">
        <w:rPr>
          <w:sz w:val="24"/>
          <w:szCs w:val="24"/>
          <w:lang w:eastAsia="da-DK"/>
        </w:rPr>
        <w:t>agranulocytose</w:t>
      </w:r>
      <w:proofErr w:type="spellEnd"/>
      <w:r w:rsidRPr="009752A1">
        <w:rPr>
          <w:sz w:val="24"/>
          <w:szCs w:val="24"/>
          <w:lang w:eastAsia="da-DK"/>
        </w:rPr>
        <w:t xml:space="preserve"> (se pkt. 4.3).</w:t>
      </w:r>
    </w:p>
    <w:p w14:paraId="0D86A406" w14:textId="77777777" w:rsidR="00E904A2" w:rsidRPr="009752A1" w:rsidRDefault="00E904A2" w:rsidP="00CC3C0C">
      <w:pPr>
        <w:ind w:left="851"/>
        <w:rPr>
          <w:sz w:val="24"/>
          <w:szCs w:val="24"/>
        </w:rPr>
      </w:pPr>
    </w:p>
    <w:p w14:paraId="014F4530" w14:textId="77777777" w:rsidR="00E904A2" w:rsidRPr="009752A1" w:rsidRDefault="00E904A2" w:rsidP="00CC3C0C">
      <w:pPr>
        <w:autoSpaceDE w:val="0"/>
        <w:autoSpaceDN w:val="0"/>
        <w:adjustRightInd w:val="0"/>
        <w:ind w:left="851"/>
        <w:rPr>
          <w:sz w:val="24"/>
          <w:szCs w:val="24"/>
          <w:lang w:eastAsia="da-DK"/>
        </w:rPr>
      </w:pPr>
      <w:r w:rsidRPr="009752A1">
        <w:rPr>
          <w:sz w:val="24"/>
          <w:szCs w:val="24"/>
          <w:lang w:eastAsia="da-DK"/>
        </w:rPr>
        <w:t xml:space="preserve">Da </w:t>
      </w:r>
      <w:proofErr w:type="spellStart"/>
      <w:r w:rsidRPr="009752A1">
        <w:rPr>
          <w:sz w:val="24"/>
          <w:szCs w:val="24"/>
          <w:lang w:eastAsia="da-DK"/>
        </w:rPr>
        <w:t>deferipron</w:t>
      </w:r>
      <w:proofErr w:type="spellEnd"/>
      <w:r w:rsidRPr="009752A1">
        <w:rPr>
          <w:sz w:val="24"/>
          <w:szCs w:val="24"/>
          <w:lang w:eastAsia="da-DK"/>
        </w:rPr>
        <w:t xml:space="preserve"> binder sig til metalkationer, er der dog mulighed for interaktioner mellem </w:t>
      </w:r>
      <w:proofErr w:type="spellStart"/>
      <w:r w:rsidRPr="009752A1">
        <w:rPr>
          <w:sz w:val="24"/>
          <w:szCs w:val="24"/>
          <w:lang w:eastAsia="da-DK"/>
        </w:rPr>
        <w:t>deferipron</w:t>
      </w:r>
      <w:proofErr w:type="spellEnd"/>
      <w:r w:rsidRPr="009752A1">
        <w:rPr>
          <w:sz w:val="24"/>
          <w:szCs w:val="24"/>
          <w:lang w:eastAsia="da-DK"/>
        </w:rPr>
        <w:t xml:space="preserve"> og trivalente kationafhængige lægemidler, såsom aluminium-baserede </w:t>
      </w:r>
      <w:proofErr w:type="spellStart"/>
      <w:r w:rsidRPr="009752A1">
        <w:rPr>
          <w:sz w:val="24"/>
          <w:szCs w:val="24"/>
          <w:lang w:eastAsia="da-DK"/>
        </w:rPr>
        <w:t>antacida</w:t>
      </w:r>
      <w:proofErr w:type="spellEnd"/>
      <w:r w:rsidRPr="009752A1">
        <w:rPr>
          <w:sz w:val="24"/>
          <w:szCs w:val="24"/>
          <w:lang w:eastAsia="da-DK"/>
        </w:rPr>
        <w:t xml:space="preserve">. Det kan derfor ikke anbefales, at indtage aluminium-baserede </w:t>
      </w:r>
      <w:proofErr w:type="spellStart"/>
      <w:r w:rsidRPr="009752A1">
        <w:rPr>
          <w:sz w:val="24"/>
          <w:szCs w:val="24"/>
          <w:lang w:eastAsia="da-DK"/>
        </w:rPr>
        <w:t>antacida</w:t>
      </w:r>
      <w:proofErr w:type="spellEnd"/>
      <w:r w:rsidRPr="009752A1">
        <w:rPr>
          <w:sz w:val="24"/>
          <w:szCs w:val="24"/>
          <w:lang w:eastAsia="da-DK"/>
        </w:rPr>
        <w:t xml:space="preserve"> og </w:t>
      </w:r>
      <w:proofErr w:type="spellStart"/>
      <w:r w:rsidRPr="009752A1">
        <w:rPr>
          <w:sz w:val="24"/>
          <w:szCs w:val="24"/>
          <w:lang w:eastAsia="da-DK"/>
        </w:rPr>
        <w:t>deferipron</w:t>
      </w:r>
      <w:proofErr w:type="spellEnd"/>
      <w:r w:rsidRPr="009752A1">
        <w:rPr>
          <w:sz w:val="24"/>
          <w:szCs w:val="24"/>
          <w:lang w:eastAsia="da-DK"/>
        </w:rPr>
        <w:t xml:space="preserve"> samtidigt.</w:t>
      </w:r>
    </w:p>
    <w:p w14:paraId="591DEF18" w14:textId="77777777" w:rsidR="00E904A2" w:rsidRPr="009752A1" w:rsidRDefault="00E904A2" w:rsidP="00CC3C0C">
      <w:pPr>
        <w:ind w:left="851"/>
        <w:rPr>
          <w:sz w:val="24"/>
          <w:szCs w:val="24"/>
        </w:rPr>
      </w:pPr>
    </w:p>
    <w:p w14:paraId="6C6A4F72" w14:textId="488F9F84" w:rsidR="00E904A2" w:rsidRPr="009752A1" w:rsidRDefault="00E904A2" w:rsidP="00CC3C0C">
      <w:pPr>
        <w:autoSpaceDE w:val="0"/>
        <w:autoSpaceDN w:val="0"/>
        <w:adjustRightInd w:val="0"/>
        <w:ind w:left="851"/>
        <w:rPr>
          <w:sz w:val="24"/>
          <w:szCs w:val="24"/>
        </w:rPr>
      </w:pPr>
      <w:r w:rsidRPr="009752A1">
        <w:rPr>
          <w:sz w:val="24"/>
          <w:szCs w:val="24"/>
          <w:lang w:eastAsia="da-DK"/>
        </w:rPr>
        <w:t xml:space="preserve">Sikkerheden ved samtidig anvendelse af </w:t>
      </w:r>
      <w:proofErr w:type="spellStart"/>
      <w:r w:rsidRPr="009752A1">
        <w:rPr>
          <w:sz w:val="24"/>
          <w:szCs w:val="24"/>
          <w:lang w:eastAsia="da-DK"/>
        </w:rPr>
        <w:t>deferipron</w:t>
      </w:r>
      <w:proofErr w:type="spellEnd"/>
      <w:r w:rsidRPr="009752A1">
        <w:rPr>
          <w:sz w:val="24"/>
          <w:szCs w:val="24"/>
          <w:lang w:eastAsia="da-DK"/>
        </w:rPr>
        <w:t xml:space="preserve"> og C-vitamin er ikke blevet formelt undersøgt. Baseret på de rapporterede utilsigtede interaktioner, der kan forekomme mellem </w:t>
      </w:r>
      <w:proofErr w:type="spellStart"/>
      <w:r w:rsidRPr="009752A1">
        <w:rPr>
          <w:sz w:val="24"/>
          <w:szCs w:val="24"/>
          <w:lang w:eastAsia="da-DK"/>
        </w:rPr>
        <w:t>deferoxamin</w:t>
      </w:r>
      <w:proofErr w:type="spellEnd"/>
      <w:r w:rsidRPr="009752A1">
        <w:rPr>
          <w:sz w:val="24"/>
          <w:szCs w:val="24"/>
          <w:lang w:eastAsia="da-DK"/>
        </w:rPr>
        <w:t xml:space="preserve"> og C-vitamin, bør der udvises forsigtighed ved samtidig </w:t>
      </w:r>
      <w:r w:rsidR="004D15E1">
        <w:rPr>
          <w:sz w:val="24"/>
          <w:szCs w:val="24"/>
          <w:lang w:eastAsia="da-DK"/>
        </w:rPr>
        <w:t xml:space="preserve">administration </w:t>
      </w:r>
      <w:r w:rsidRPr="009752A1">
        <w:rPr>
          <w:sz w:val="24"/>
          <w:szCs w:val="24"/>
          <w:lang w:eastAsia="da-DK"/>
        </w:rPr>
        <w:t xml:space="preserve">af </w:t>
      </w:r>
      <w:proofErr w:type="spellStart"/>
      <w:r w:rsidRPr="009752A1">
        <w:rPr>
          <w:sz w:val="24"/>
          <w:szCs w:val="24"/>
          <w:lang w:eastAsia="da-DK"/>
        </w:rPr>
        <w:t>deferipron</w:t>
      </w:r>
      <w:proofErr w:type="spellEnd"/>
      <w:r w:rsidRPr="009752A1">
        <w:rPr>
          <w:sz w:val="24"/>
          <w:szCs w:val="24"/>
          <w:lang w:eastAsia="da-DK"/>
        </w:rPr>
        <w:t xml:space="preserve"> og C-vitamin.</w:t>
      </w:r>
    </w:p>
    <w:p w14:paraId="79EF5D11" w14:textId="77777777" w:rsidR="009260DE" w:rsidRPr="009752A1" w:rsidRDefault="009260DE" w:rsidP="009260DE">
      <w:pPr>
        <w:tabs>
          <w:tab w:val="left" w:pos="851"/>
        </w:tabs>
        <w:ind w:left="851"/>
        <w:rPr>
          <w:sz w:val="24"/>
          <w:szCs w:val="24"/>
        </w:rPr>
      </w:pPr>
    </w:p>
    <w:p w14:paraId="6ED2439E" w14:textId="29F1AFC1" w:rsidR="009260DE" w:rsidRPr="009752A1" w:rsidRDefault="009260DE" w:rsidP="009260DE">
      <w:pPr>
        <w:tabs>
          <w:tab w:val="left" w:pos="851"/>
        </w:tabs>
        <w:ind w:left="851" w:hanging="851"/>
        <w:rPr>
          <w:b/>
          <w:sz w:val="24"/>
          <w:szCs w:val="24"/>
        </w:rPr>
      </w:pPr>
      <w:r w:rsidRPr="009752A1">
        <w:rPr>
          <w:b/>
          <w:sz w:val="24"/>
          <w:szCs w:val="24"/>
        </w:rPr>
        <w:t>4.6</w:t>
      </w:r>
      <w:r w:rsidRPr="009752A1">
        <w:rPr>
          <w:b/>
          <w:sz w:val="24"/>
          <w:szCs w:val="24"/>
        </w:rPr>
        <w:tab/>
      </w:r>
      <w:r w:rsidR="004D15E1">
        <w:rPr>
          <w:b/>
          <w:sz w:val="24"/>
          <w:szCs w:val="24"/>
        </w:rPr>
        <w:t>Fertilitet, g</w:t>
      </w:r>
      <w:r w:rsidRPr="009752A1">
        <w:rPr>
          <w:b/>
          <w:sz w:val="24"/>
          <w:szCs w:val="24"/>
        </w:rPr>
        <w:t>raviditet og amning</w:t>
      </w:r>
    </w:p>
    <w:p w14:paraId="1FBF8A5B" w14:textId="77777777" w:rsidR="004939F6" w:rsidRDefault="004939F6" w:rsidP="00CC3C0C">
      <w:pPr>
        <w:autoSpaceDE w:val="0"/>
        <w:autoSpaceDN w:val="0"/>
        <w:adjustRightInd w:val="0"/>
        <w:ind w:left="851"/>
        <w:rPr>
          <w:sz w:val="24"/>
          <w:szCs w:val="24"/>
          <w:u w:val="single"/>
          <w:lang w:eastAsia="da-DK"/>
        </w:rPr>
      </w:pPr>
    </w:p>
    <w:p w14:paraId="1C096053" w14:textId="77777777" w:rsidR="006C5ECE" w:rsidRDefault="006C5ECE" w:rsidP="006C5ECE">
      <w:pPr>
        <w:autoSpaceDE w:val="0"/>
        <w:autoSpaceDN w:val="0"/>
        <w:adjustRightInd w:val="0"/>
        <w:ind w:left="851"/>
        <w:rPr>
          <w:sz w:val="24"/>
          <w:szCs w:val="24"/>
          <w:u w:val="single"/>
          <w:lang w:eastAsia="da-DK"/>
        </w:rPr>
      </w:pPr>
      <w:r>
        <w:rPr>
          <w:sz w:val="24"/>
          <w:szCs w:val="24"/>
          <w:u w:val="single"/>
          <w:lang w:eastAsia="da-DK"/>
        </w:rPr>
        <w:t>Kvinder i den fertile alder/</w:t>
      </w:r>
      <w:proofErr w:type="spellStart"/>
      <w:r>
        <w:rPr>
          <w:sz w:val="24"/>
          <w:szCs w:val="24"/>
          <w:u w:val="single"/>
          <w:lang w:eastAsia="da-DK"/>
        </w:rPr>
        <w:t>kontraception</w:t>
      </w:r>
      <w:proofErr w:type="spellEnd"/>
      <w:r>
        <w:rPr>
          <w:sz w:val="24"/>
          <w:szCs w:val="24"/>
          <w:u w:val="single"/>
          <w:lang w:eastAsia="da-DK"/>
        </w:rPr>
        <w:t xml:space="preserve"> til mænd og kvinder</w:t>
      </w:r>
    </w:p>
    <w:p w14:paraId="2EC11F0E" w14:textId="7522FEBD" w:rsidR="006C5ECE" w:rsidRDefault="006C5ECE" w:rsidP="006C5ECE">
      <w:pPr>
        <w:autoSpaceDE w:val="0"/>
        <w:autoSpaceDN w:val="0"/>
        <w:adjustRightInd w:val="0"/>
        <w:ind w:left="851"/>
        <w:rPr>
          <w:sz w:val="24"/>
          <w:szCs w:val="24"/>
          <w:lang w:eastAsia="da-DK"/>
        </w:rPr>
      </w:pPr>
      <w:r>
        <w:rPr>
          <w:sz w:val="24"/>
          <w:szCs w:val="24"/>
          <w:lang w:eastAsia="da-DK"/>
        </w:rPr>
        <w:t xml:space="preserve">Som følge af </w:t>
      </w:r>
      <w:proofErr w:type="spellStart"/>
      <w:r>
        <w:rPr>
          <w:sz w:val="24"/>
          <w:szCs w:val="24"/>
          <w:lang w:eastAsia="da-DK"/>
        </w:rPr>
        <w:t>deferiprons</w:t>
      </w:r>
      <w:proofErr w:type="spellEnd"/>
      <w:r>
        <w:rPr>
          <w:sz w:val="24"/>
          <w:szCs w:val="24"/>
          <w:lang w:eastAsia="da-DK"/>
        </w:rPr>
        <w:t xml:space="preserve"> genotoksiske potentiale (se pkt. 5.3) anbefales det, at kvinder i den fertile alder anvender sikker </w:t>
      </w:r>
      <w:proofErr w:type="spellStart"/>
      <w:r>
        <w:rPr>
          <w:sz w:val="24"/>
          <w:szCs w:val="24"/>
          <w:lang w:eastAsia="da-DK"/>
        </w:rPr>
        <w:t>kontraception</w:t>
      </w:r>
      <w:proofErr w:type="spellEnd"/>
      <w:r>
        <w:rPr>
          <w:sz w:val="24"/>
          <w:szCs w:val="24"/>
          <w:lang w:eastAsia="da-DK"/>
        </w:rPr>
        <w:t xml:space="preserve"> og undgår at blive gravide, mens de behandles med </w:t>
      </w:r>
      <w:proofErr w:type="spellStart"/>
      <w:r>
        <w:rPr>
          <w:sz w:val="24"/>
          <w:szCs w:val="24"/>
          <w:lang w:eastAsia="da-DK"/>
        </w:rPr>
        <w:t>Deferipron</w:t>
      </w:r>
      <w:proofErr w:type="spellEnd"/>
      <w:r>
        <w:rPr>
          <w:sz w:val="24"/>
          <w:szCs w:val="24"/>
          <w:lang w:eastAsia="da-DK"/>
        </w:rPr>
        <w:t xml:space="preserve"> ”</w:t>
      </w:r>
      <w:proofErr w:type="spellStart"/>
      <w:r>
        <w:rPr>
          <w:sz w:val="24"/>
          <w:szCs w:val="24"/>
          <w:lang w:eastAsia="da-DK"/>
        </w:rPr>
        <w:t>Orifarm</w:t>
      </w:r>
      <w:proofErr w:type="spellEnd"/>
      <w:r>
        <w:rPr>
          <w:sz w:val="24"/>
          <w:szCs w:val="24"/>
          <w:lang w:eastAsia="da-DK"/>
        </w:rPr>
        <w:t>”, og i 6 måneder efter behandlingen er gennemført.</w:t>
      </w:r>
    </w:p>
    <w:p w14:paraId="41D119D4" w14:textId="77777777" w:rsidR="006C5ECE" w:rsidRDefault="006C5ECE" w:rsidP="006C5ECE">
      <w:pPr>
        <w:autoSpaceDE w:val="0"/>
        <w:autoSpaceDN w:val="0"/>
        <w:adjustRightInd w:val="0"/>
        <w:ind w:left="851"/>
        <w:rPr>
          <w:sz w:val="24"/>
          <w:szCs w:val="24"/>
          <w:lang w:eastAsia="da-DK"/>
        </w:rPr>
      </w:pPr>
    </w:p>
    <w:p w14:paraId="0DD8A745" w14:textId="77777777" w:rsidR="006C5ECE" w:rsidRDefault="006C5ECE" w:rsidP="006C5ECE">
      <w:pPr>
        <w:autoSpaceDE w:val="0"/>
        <w:autoSpaceDN w:val="0"/>
        <w:adjustRightInd w:val="0"/>
        <w:ind w:left="851"/>
        <w:rPr>
          <w:sz w:val="24"/>
          <w:szCs w:val="24"/>
          <w:lang w:eastAsia="da-DK"/>
        </w:rPr>
      </w:pPr>
      <w:r>
        <w:rPr>
          <w:sz w:val="24"/>
          <w:szCs w:val="24"/>
          <w:lang w:eastAsia="da-DK"/>
        </w:rPr>
        <w:t xml:space="preserve">Det anbefales, at mænd anvender sikker </w:t>
      </w:r>
      <w:proofErr w:type="spellStart"/>
      <w:r>
        <w:rPr>
          <w:sz w:val="24"/>
          <w:szCs w:val="24"/>
          <w:lang w:eastAsia="da-DK"/>
        </w:rPr>
        <w:t>kontraception</w:t>
      </w:r>
      <w:proofErr w:type="spellEnd"/>
      <w:r>
        <w:rPr>
          <w:sz w:val="24"/>
          <w:szCs w:val="24"/>
          <w:lang w:eastAsia="da-DK"/>
        </w:rPr>
        <w:t xml:space="preserve"> og ikke gør deres kvindelige partner gravid, mens de får </w:t>
      </w:r>
      <w:proofErr w:type="spellStart"/>
      <w:r>
        <w:rPr>
          <w:sz w:val="24"/>
          <w:szCs w:val="24"/>
          <w:lang w:eastAsia="da-DK"/>
        </w:rPr>
        <w:t>Deferipron</w:t>
      </w:r>
      <w:proofErr w:type="spellEnd"/>
      <w:r>
        <w:rPr>
          <w:sz w:val="24"/>
          <w:szCs w:val="24"/>
          <w:lang w:eastAsia="da-DK"/>
        </w:rPr>
        <w:t xml:space="preserve"> ”</w:t>
      </w:r>
      <w:proofErr w:type="spellStart"/>
      <w:r>
        <w:rPr>
          <w:sz w:val="24"/>
          <w:szCs w:val="24"/>
          <w:lang w:eastAsia="da-DK"/>
        </w:rPr>
        <w:t>Orifarm</w:t>
      </w:r>
      <w:proofErr w:type="spellEnd"/>
      <w:r>
        <w:rPr>
          <w:sz w:val="24"/>
          <w:szCs w:val="24"/>
          <w:lang w:eastAsia="da-DK"/>
        </w:rPr>
        <w:t>” og i 3 måneder efter behandlingen er gennemført.</w:t>
      </w:r>
    </w:p>
    <w:p w14:paraId="4B95BFF5" w14:textId="77777777" w:rsidR="006C5ECE" w:rsidRDefault="006C5ECE" w:rsidP="006C5ECE">
      <w:pPr>
        <w:autoSpaceDE w:val="0"/>
        <w:autoSpaceDN w:val="0"/>
        <w:adjustRightInd w:val="0"/>
        <w:ind w:left="851"/>
        <w:rPr>
          <w:sz w:val="24"/>
          <w:szCs w:val="24"/>
          <w:u w:val="single"/>
          <w:lang w:eastAsia="da-DK"/>
        </w:rPr>
      </w:pPr>
    </w:p>
    <w:p w14:paraId="4AF1F531" w14:textId="77777777" w:rsidR="006C5ECE" w:rsidRDefault="006C5ECE" w:rsidP="006C5ECE">
      <w:pPr>
        <w:autoSpaceDE w:val="0"/>
        <w:autoSpaceDN w:val="0"/>
        <w:adjustRightInd w:val="0"/>
        <w:ind w:left="851"/>
        <w:rPr>
          <w:sz w:val="24"/>
          <w:szCs w:val="24"/>
          <w:u w:val="single"/>
          <w:lang w:eastAsia="da-DK"/>
        </w:rPr>
      </w:pPr>
      <w:r>
        <w:rPr>
          <w:sz w:val="24"/>
          <w:szCs w:val="24"/>
          <w:u w:val="single"/>
          <w:lang w:eastAsia="da-DK"/>
        </w:rPr>
        <w:t>Graviditet</w:t>
      </w:r>
    </w:p>
    <w:p w14:paraId="3F5834D0" w14:textId="77777777" w:rsidR="006C5ECE" w:rsidRDefault="006C5ECE" w:rsidP="006C5ECE">
      <w:pPr>
        <w:autoSpaceDE w:val="0"/>
        <w:autoSpaceDN w:val="0"/>
        <w:adjustRightInd w:val="0"/>
        <w:ind w:left="851"/>
        <w:rPr>
          <w:sz w:val="24"/>
          <w:szCs w:val="24"/>
          <w:lang w:eastAsia="da-DK"/>
        </w:rPr>
      </w:pPr>
      <w:r>
        <w:rPr>
          <w:sz w:val="24"/>
          <w:szCs w:val="24"/>
          <w:lang w:eastAsia="da-DK"/>
        </w:rPr>
        <w:t xml:space="preserve">Der er ikke tilstrækkelige data fra anvendelse af </w:t>
      </w:r>
      <w:proofErr w:type="spellStart"/>
      <w:r>
        <w:rPr>
          <w:sz w:val="24"/>
          <w:szCs w:val="24"/>
          <w:lang w:eastAsia="da-DK"/>
        </w:rPr>
        <w:t>deferipron</w:t>
      </w:r>
      <w:proofErr w:type="spellEnd"/>
      <w:r>
        <w:rPr>
          <w:sz w:val="24"/>
          <w:szCs w:val="24"/>
          <w:lang w:eastAsia="da-DK"/>
        </w:rPr>
        <w:t xml:space="preserve"> til gravide kvinder. Dyreforsøg har påvist reproduktionstoksicitet (se pkt. 5.3). Den potentielle risiko for mennesker er ikke kendt.</w:t>
      </w:r>
    </w:p>
    <w:p w14:paraId="35EEEB80" w14:textId="77777777" w:rsidR="006C5ECE" w:rsidRDefault="006C5ECE" w:rsidP="006C5ECE">
      <w:pPr>
        <w:autoSpaceDE w:val="0"/>
        <w:autoSpaceDN w:val="0"/>
        <w:adjustRightInd w:val="0"/>
        <w:ind w:left="851"/>
        <w:rPr>
          <w:sz w:val="24"/>
          <w:szCs w:val="24"/>
          <w:lang w:eastAsia="da-DK"/>
        </w:rPr>
      </w:pPr>
    </w:p>
    <w:p w14:paraId="29CD6278" w14:textId="77777777" w:rsidR="006C5ECE" w:rsidRDefault="006C5ECE" w:rsidP="006C5ECE">
      <w:pPr>
        <w:autoSpaceDE w:val="0"/>
        <w:autoSpaceDN w:val="0"/>
        <w:adjustRightInd w:val="0"/>
        <w:ind w:left="851"/>
        <w:rPr>
          <w:sz w:val="24"/>
          <w:szCs w:val="24"/>
          <w:lang w:eastAsia="da-DK"/>
        </w:rPr>
      </w:pPr>
      <w:r>
        <w:rPr>
          <w:sz w:val="24"/>
          <w:szCs w:val="24"/>
          <w:lang w:eastAsia="da-DK"/>
        </w:rPr>
        <w:t xml:space="preserve">Gravide kvinder skal informeres om øjeblikkeligt at stoppe med at tage </w:t>
      </w:r>
      <w:proofErr w:type="spellStart"/>
      <w:r>
        <w:rPr>
          <w:sz w:val="24"/>
          <w:szCs w:val="24"/>
          <w:lang w:eastAsia="da-DK"/>
        </w:rPr>
        <w:t>deferipron</w:t>
      </w:r>
      <w:proofErr w:type="spellEnd"/>
      <w:r>
        <w:rPr>
          <w:sz w:val="24"/>
          <w:szCs w:val="24"/>
          <w:lang w:eastAsia="da-DK"/>
        </w:rPr>
        <w:t xml:space="preserve"> (se pkt. 4.3).</w:t>
      </w:r>
    </w:p>
    <w:p w14:paraId="47476EAF" w14:textId="77777777" w:rsidR="006C5ECE" w:rsidRDefault="006C5ECE" w:rsidP="006C5ECE">
      <w:pPr>
        <w:autoSpaceDE w:val="0"/>
        <w:autoSpaceDN w:val="0"/>
        <w:adjustRightInd w:val="0"/>
        <w:ind w:left="851"/>
        <w:rPr>
          <w:sz w:val="24"/>
          <w:szCs w:val="24"/>
          <w:lang w:eastAsia="da-DK"/>
        </w:rPr>
      </w:pPr>
    </w:p>
    <w:p w14:paraId="1A6E084B" w14:textId="77777777" w:rsidR="006C5ECE" w:rsidRDefault="006C5ECE" w:rsidP="006C5ECE">
      <w:pPr>
        <w:autoSpaceDE w:val="0"/>
        <w:autoSpaceDN w:val="0"/>
        <w:adjustRightInd w:val="0"/>
        <w:ind w:left="851"/>
        <w:rPr>
          <w:sz w:val="24"/>
          <w:szCs w:val="24"/>
          <w:u w:val="single"/>
          <w:lang w:eastAsia="da-DK"/>
        </w:rPr>
      </w:pPr>
      <w:r>
        <w:rPr>
          <w:sz w:val="24"/>
          <w:szCs w:val="24"/>
          <w:u w:val="single"/>
          <w:lang w:eastAsia="da-DK"/>
        </w:rPr>
        <w:t>Amning</w:t>
      </w:r>
    </w:p>
    <w:p w14:paraId="0A40DB20" w14:textId="77777777" w:rsidR="006C5ECE" w:rsidRDefault="006C5ECE" w:rsidP="006C5ECE">
      <w:pPr>
        <w:autoSpaceDE w:val="0"/>
        <w:autoSpaceDN w:val="0"/>
        <w:adjustRightInd w:val="0"/>
        <w:ind w:left="851"/>
        <w:rPr>
          <w:sz w:val="24"/>
          <w:szCs w:val="24"/>
          <w:lang w:eastAsia="da-DK"/>
        </w:rPr>
      </w:pPr>
      <w:r>
        <w:rPr>
          <w:sz w:val="24"/>
          <w:szCs w:val="24"/>
          <w:lang w:eastAsia="da-DK"/>
        </w:rPr>
        <w:t xml:space="preserve">Det er ukendt, om </w:t>
      </w:r>
      <w:proofErr w:type="spellStart"/>
      <w:r>
        <w:rPr>
          <w:sz w:val="24"/>
          <w:szCs w:val="24"/>
          <w:lang w:eastAsia="da-DK"/>
        </w:rPr>
        <w:t>deferipron</w:t>
      </w:r>
      <w:proofErr w:type="spellEnd"/>
      <w:r>
        <w:rPr>
          <w:sz w:val="24"/>
          <w:szCs w:val="24"/>
          <w:lang w:eastAsia="da-DK"/>
        </w:rPr>
        <w:t xml:space="preserve"> udskilles i human mælk. Der er ikke udført prænatale eller </w:t>
      </w:r>
      <w:proofErr w:type="spellStart"/>
      <w:r>
        <w:rPr>
          <w:sz w:val="24"/>
          <w:szCs w:val="24"/>
          <w:lang w:eastAsia="da-DK"/>
        </w:rPr>
        <w:t>postnatale</w:t>
      </w:r>
      <w:proofErr w:type="spellEnd"/>
      <w:r>
        <w:rPr>
          <w:sz w:val="24"/>
          <w:szCs w:val="24"/>
          <w:lang w:eastAsia="da-DK"/>
        </w:rPr>
        <w:t xml:space="preserve"> reproduktionsstudier hos dyr. </w:t>
      </w:r>
      <w:proofErr w:type="spellStart"/>
      <w:r>
        <w:rPr>
          <w:sz w:val="24"/>
          <w:szCs w:val="24"/>
          <w:lang w:eastAsia="da-DK"/>
        </w:rPr>
        <w:t>Deferipron</w:t>
      </w:r>
      <w:proofErr w:type="spellEnd"/>
      <w:r>
        <w:rPr>
          <w:sz w:val="24"/>
          <w:szCs w:val="24"/>
          <w:lang w:eastAsia="da-DK"/>
        </w:rPr>
        <w:t xml:space="preserve"> må ikke anvendes af ammende mødre. Hvis behandling ikke kan undgås, skal amningen stoppes (se pkt. 4.3).</w:t>
      </w:r>
    </w:p>
    <w:p w14:paraId="769B9C79" w14:textId="77777777" w:rsidR="00E904A2" w:rsidRPr="009752A1" w:rsidRDefault="00E904A2" w:rsidP="00CC3C0C">
      <w:pPr>
        <w:autoSpaceDE w:val="0"/>
        <w:autoSpaceDN w:val="0"/>
        <w:adjustRightInd w:val="0"/>
        <w:ind w:left="851"/>
        <w:rPr>
          <w:sz w:val="24"/>
          <w:szCs w:val="24"/>
          <w:lang w:eastAsia="da-DK"/>
        </w:rPr>
      </w:pPr>
    </w:p>
    <w:p w14:paraId="4ACECE9C" w14:textId="77777777" w:rsidR="00E904A2" w:rsidRPr="009752A1" w:rsidRDefault="00E904A2" w:rsidP="00CC3C0C">
      <w:pPr>
        <w:autoSpaceDE w:val="0"/>
        <w:autoSpaceDN w:val="0"/>
        <w:adjustRightInd w:val="0"/>
        <w:ind w:left="851"/>
        <w:rPr>
          <w:sz w:val="24"/>
          <w:szCs w:val="24"/>
          <w:u w:val="single"/>
          <w:lang w:eastAsia="da-DK"/>
        </w:rPr>
      </w:pPr>
      <w:r w:rsidRPr="009752A1">
        <w:rPr>
          <w:sz w:val="24"/>
          <w:szCs w:val="24"/>
          <w:u w:val="single"/>
          <w:lang w:eastAsia="da-DK"/>
        </w:rPr>
        <w:t>Fertilitet</w:t>
      </w:r>
    </w:p>
    <w:p w14:paraId="1378FAB7" w14:textId="122B7B89" w:rsidR="009260DE" w:rsidRPr="009752A1" w:rsidRDefault="00E904A2" w:rsidP="004939F6">
      <w:pPr>
        <w:ind w:left="851"/>
        <w:rPr>
          <w:sz w:val="24"/>
          <w:szCs w:val="24"/>
        </w:rPr>
      </w:pPr>
      <w:r w:rsidRPr="009752A1">
        <w:rPr>
          <w:sz w:val="24"/>
          <w:szCs w:val="24"/>
          <w:lang w:eastAsia="da-DK"/>
        </w:rPr>
        <w:t>Der er ikke observeret nogen virkninger på fertilitet eller tidlig fosterudvikling hos dyr (se pkt. 5.3).</w:t>
      </w:r>
    </w:p>
    <w:p w14:paraId="2336EAC4" w14:textId="77777777" w:rsidR="009260DE" w:rsidRPr="009752A1" w:rsidRDefault="009260DE" w:rsidP="009260DE">
      <w:pPr>
        <w:tabs>
          <w:tab w:val="left" w:pos="851"/>
        </w:tabs>
        <w:ind w:left="851"/>
        <w:rPr>
          <w:sz w:val="24"/>
          <w:szCs w:val="24"/>
        </w:rPr>
      </w:pPr>
    </w:p>
    <w:p w14:paraId="0CD92218" w14:textId="463FD775" w:rsidR="009260DE" w:rsidRPr="009752A1" w:rsidRDefault="009260DE" w:rsidP="009260DE">
      <w:pPr>
        <w:tabs>
          <w:tab w:val="left" w:pos="851"/>
        </w:tabs>
        <w:ind w:left="851" w:hanging="851"/>
        <w:rPr>
          <w:b/>
          <w:sz w:val="24"/>
          <w:szCs w:val="24"/>
        </w:rPr>
      </w:pPr>
      <w:r w:rsidRPr="009752A1">
        <w:rPr>
          <w:b/>
          <w:sz w:val="24"/>
          <w:szCs w:val="24"/>
        </w:rPr>
        <w:t>4.7</w:t>
      </w:r>
      <w:r w:rsidRPr="009752A1">
        <w:rPr>
          <w:b/>
          <w:sz w:val="24"/>
          <w:szCs w:val="24"/>
        </w:rPr>
        <w:tab/>
        <w:t xml:space="preserve">Virkning på evnen til at føre motorkøretøj </w:t>
      </w:r>
      <w:r w:rsidR="006C5ECE">
        <w:rPr>
          <w:b/>
          <w:sz w:val="24"/>
          <w:szCs w:val="24"/>
        </w:rPr>
        <w:t>og</w:t>
      </w:r>
      <w:r w:rsidRPr="009752A1">
        <w:rPr>
          <w:b/>
          <w:sz w:val="24"/>
          <w:szCs w:val="24"/>
        </w:rPr>
        <w:t xml:space="preserve"> betjene maskiner</w:t>
      </w:r>
    </w:p>
    <w:p w14:paraId="34C4DBAA" w14:textId="1B2137BA" w:rsidR="00E904A2" w:rsidRPr="009752A1" w:rsidRDefault="00E904A2" w:rsidP="00CC3C0C">
      <w:pPr>
        <w:ind w:left="851"/>
        <w:rPr>
          <w:sz w:val="24"/>
          <w:szCs w:val="24"/>
        </w:rPr>
      </w:pPr>
      <w:r w:rsidRPr="009752A1">
        <w:rPr>
          <w:sz w:val="24"/>
          <w:szCs w:val="24"/>
        </w:rPr>
        <w:t>Ikke relevant.</w:t>
      </w:r>
    </w:p>
    <w:p w14:paraId="1F9849EC" w14:textId="77777777" w:rsidR="009260DE" w:rsidRPr="009752A1" w:rsidRDefault="009260DE" w:rsidP="009260DE">
      <w:pPr>
        <w:tabs>
          <w:tab w:val="left" w:pos="851"/>
        </w:tabs>
        <w:ind w:left="851"/>
        <w:rPr>
          <w:sz w:val="24"/>
          <w:szCs w:val="24"/>
        </w:rPr>
      </w:pPr>
    </w:p>
    <w:p w14:paraId="3058A74C" w14:textId="77777777" w:rsidR="009260DE" w:rsidRPr="009752A1" w:rsidRDefault="009260DE" w:rsidP="00DE7C0D">
      <w:pPr>
        <w:keepNext/>
        <w:tabs>
          <w:tab w:val="left" w:pos="851"/>
        </w:tabs>
        <w:ind w:left="851" w:hanging="851"/>
        <w:rPr>
          <w:b/>
          <w:sz w:val="24"/>
          <w:szCs w:val="24"/>
        </w:rPr>
      </w:pPr>
      <w:r w:rsidRPr="009752A1">
        <w:rPr>
          <w:b/>
          <w:sz w:val="24"/>
          <w:szCs w:val="24"/>
        </w:rPr>
        <w:t>4.8</w:t>
      </w:r>
      <w:r w:rsidRPr="009752A1">
        <w:rPr>
          <w:b/>
          <w:sz w:val="24"/>
          <w:szCs w:val="24"/>
        </w:rPr>
        <w:tab/>
        <w:t>Bivirkninger</w:t>
      </w:r>
    </w:p>
    <w:p w14:paraId="5B38E96D" w14:textId="77777777" w:rsidR="004939F6" w:rsidRDefault="004939F6" w:rsidP="00DE7C0D">
      <w:pPr>
        <w:keepNext/>
        <w:autoSpaceDE w:val="0"/>
        <w:autoSpaceDN w:val="0"/>
        <w:adjustRightInd w:val="0"/>
        <w:ind w:left="851"/>
        <w:rPr>
          <w:sz w:val="24"/>
          <w:szCs w:val="24"/>
          <w:u w:val="single"/>
          <w:lang w:eastAsia="da-DK"/>
        </w:rPr>
      </w:pPr>
    </w:p>
    <w:p w14:paraId="6AC3F43F" w14:textId="64639430" w:rsidR="00E904A2" w:rsidRPr="009752A1" w:rsidRDefault="00E904A2" w:rsidP="00CC3C0C">
      <w:pPr>
        <w:autoSpaceDE w:val="0"/>
        <w:autoSpaceDN w:val="0"/>
        <w:adjustRightInd w:val="0"/>
        <w:ind w:left="851"/>
        <w:rPr>
          <w:sz w:val="24"/>
          <w:szCs w:val="24"/>
          <w:u w:val="single"/>
          <w:lang w:eastAsia="da-DK"/>
        </w:rPr>
      </w:pPr>
      <w:r w:rsidRPr="009752A1">
        <w:rPr>
          <w:sz w:val="24"/>
          <w:szCs w:val="24"/>
          <w:u w:val="single"/>
          <w:lang w:eastAsia="da-DK"/>
        </w:rPr>
        <w:t>Opsummering af sikkerhedsprofilen</w:t>
      </w:r>
    </w:p>
    <w:p w14:paraId="7A7E0520" w14:textId="12159FFD" w:rsidR="00E904A2" w:rsidRPr="009752A1" w:rsidRDefault="00E904A2" w:rsidP="00CC3C0C">
      <w:pPr>
        <w:autoSpaceDE w:val="0"/>
        <w:autoSpaceDN w:val="0"/>
        <w:adjustRightInd w:val="0"/>
        <w:ind w:left="851"/>
        <w:rPr>
          <w:sz w:val="24"/>
          <w:szCs w:val="24"/>
          <w:lang w:eastAsia="da-DK"/>
        </w:rPr>
      </w:pPr>
      <w:r w:rsidRPr="009752A1">
        <w:rPr>
          <w:sz w:val="24"/>
          <w:szCs w:val="24"/>
          <w:lang w:eastAsia="da-DK"/>
        </w:rPr>
        <w:t xml:space="preserve">De bivirkninger, der hyppigst er blevet rapporteret i løbet af behandling med </w:t>
      </w:r>
      <w:proofErr w:type="spellStart"/>
      <w:r w:rsidRPr="009752A1">
        <w:rPr>
          <w:sz w:val="24"/>
          <w:szCs w:val="24"/>
          <w:lang w:eastAsia="da-DK"/>
        </w:rPr>
        <w:t>deferipron</w:t>
      </w:r>
      <w:proofErr w:type="spellEnd"/>
      <w:r w:rsidRPr="009752A1">
        <w:rPr>
          <w:sz w:val="24"/>
          <w:szCs w:val="24"/>
          <w:lang w:eastAsia="da-DK"/>
        </w:rPr>
        <w:t xml:space="preserve"> i kliniske studier var kvalme, opkastning, </w:t>
      </w:r>
      <w:proofErr w:type="spellStart"/>
      <w:r w:rsidRPr="009752A1">
        <w:rPr>
          <w:sz w:val="24"/>
          <w:szCs w:val="24"/>
          <w:lang w:eastAsia="da-DK"/>
        </w:rPr>
        <w:t>mavesmerte</w:t>
      </w:r>
      <w:proofErr w:type="spellEnd"/>
      <w:r w:rsidRPr="009752A1">
        <w:rPr>
          <w:sz w:val="24"/>
          <w:szCs w:val="24"/>
          <w:lang w:eastAsia="da-DK"/>
        </w:rPr>
        <w:t xml:space="preserve"> og </w:t>
      </w:r>
      <w:proofErr w:type="spellStart"/>
      <w:r w:rsidRPr="009752A1">
        <w:rPr>
          <w:sz w:val="24"/>
          <w:szCs w:val="24"/>
          <w:lang w:eastAsia="da-DK"/>
        </w:rPr>
        <w:t>kromaturi</w:t>
      </w:r>
      <w:proofErr w:type="spellEnd"/>
      <w:r w:rsidRPr="009752A1">
        <w:rPr>
          <w:sz w:val="24"/>
          <w:szCs w:val="24"/>
          <w:lang w:eastAsia="da-DK"/>
        </w:rPr>
        <w:t>, som blev rapporteret hos mere end 10</w:t>
      </w:r>
      <w:r w:rsidR="00A5361A">
        <w:rPr>
          <w:sz w:val="24"/>
          <w:szCs w:val="24"/>
          <w:lang w:eastAsia="da-DK"/>
        </w:rPr>
        <w:t xml:space="preserve"> %</w:t>
      </w:r>
      <w:r w:rsidRPr="009752A1">
        <w:rPr>
          <w:sz w:val="24"/>
          <w:szCs w:val="24"/>
          <w:lang w:eastAsia="da-DK"/>
        </w:rPr>
        <w:t xml:space="preserve"> af patienterne. Den alvorligste bivirkning rapporteret i kliniske studier med </w:t>
      </w:r>
      <w:proofErr w:type="spellStart"/>
      <w:r w:rsidRPr="009752A1">
        <w:rPr>
          <w:sz w:val="24"/>
          <w:szCs w:val="24"/>
          <w:lang w:eastAsia="da-DK"/>
        </w:rPr>
        <w:t>deferipron</w:t>
      </w:r>
      <w:proofErr w:type="spellEnd"/>
      <w:r w:rsidRPr="009752A1">
        <w:rPr>
          <w:sz w:val="24"/>
          <w:szCs w:val="24"/>
          <w:lang w:eastAsia="da-DK"/>
        </w:rPr>
        <w:t xml:space="preserve"> var </w:t>
      </w:r>
      <w:proofErr w:type="spellStart"/>
      <w:r w:rsidRPr="009752A1">
        <w:rPr>
          <w:sz w:val="24"/>
          <w:szCs w:val="24"/>
          <w:lang w:eastAsia="da-DK"/>
        </w:rPr>
        <w:t>agranulocytose</w:t>
      </w:r>
      <w:proofErr w:type="spellEnd"/>
      <w:r w:rsidRPr="009752A1">
        <w:rPr>
          <w:sz w:val="24"/>
          <w:szCs w:val="24"/>
          <w:lang w:eastAsia="da-DK"/>
        </w:rPr>
        <w:t xml:space="preserve">, defineret som et absolut </w:t>
      </w:r>
      <w:proofErr w:type="spellStart"/>
      <w:r w:rsidRPr="009752A1">
        <w:rPr>
          <w:sz w:val="24"/>
          <w:szCs w:val="24"/>
          <w:lang w:eastAsia="da-DK"/>
        </w:rPr>
        <w:t>neutrofiltal</w:t>
      </w:r>
      <w:proofErr w:type="spellEnd"/>
      <w:r w:rsidRPr="009752A1">
        <w:rPr>
          <w:sz w:val="24"/>
          <w:szCs w:val="24"/>
          <w:lang w:eastAsia="da-DK"/>
        </w:rPr>
        <w:t xml:space="preserve"> på mindre end 0,5</w:t>
      </w:r>
      <w:r w:rsidR="00804C9D">
        <w:rPr>
          <w:sz w:val="24"/>
          <w:szCs w:val="24"/>
          <w:lang w:eastAsia="da-DK"/>
        </w:rPr>
        <w:t>×</w:t>
      </w:r>
      <w:r w:rsidRPr="009752A1">
        <w:rPr>
          <w:sz w:val="24"/>
          <w:szCs w:val="24"/>
          <w:lang w:eastAsia="da-DK"/>
        </w:rPr>
        <w:t>10</w:t>
      </w:r>
      <w:r w:rsidRPr="009752A1">
        <w:rPr>
          <w:sz w:val="24"/>
          <w:szCs w:val="24"/>
          <w:vertAlign w:val="superscript"/>
          <w:lang w:eastAsia="da-DK"/>
        </w:rPr>
        <w:t>9</w:t>
      </w:r>
      <w:r w:rsidRPr="009752A1">
        <w:rPr>
          <w:sz w:val="24"/>
          <w:szCs w:val="24"/>
          <w:lang w:eastAsia="da-DK"/>
        </w:rPr>
        <w:t>/l, som opstod hos ca. 1</w:t>
      </w:r>
      <w:r w:rsidR="00A5361A">
        <w:rPr>
          <w:sz w:val="24"/>
          <w:szCs w:val="24"/>
          <w:lang w:eastAsia="da-DK"/>
        </w:rPr>
        <w:t xml:space="preserve"> %</w:t>
      </w:r>
      <w:r w:rsidRPr="009752A1">
        <w:rPr>
          <w:sz w:val="24"/>
          <w:szCs w:val="24"/>
          <w:lang w:eastAsia="da-DK"/>
        </w:rPr>
        <w:t xml:space="preserve"> af patienterne. Mindre alvorlige anfald af </w:t>
      </w:r>
      <w:proofErr w:type="spellStart"/>
      <w:r w:rsidRPr="009752A1">
        <w:rPr>
          <w:sz w:val="24"/>
          <w:szCs w:val="24"/>
          <w:lang w:eastAsia="da-DK"/>
        </w:rPr>
        <w:t>neutropeni</w:t>
      </w:r>
      <w:proofErr w:type="spellEnd"/>
      <w:r w:rsidRPr="009752A1">
        <w:rPr>
          <w:sz w:val="24"/>
          <w:szCs w:val="24"/>
          <w:lang w:eastAsia="da-DK"/>
        </w:rPr>
        <w:t xml:space="preserve"> blev rapporteret hos ca. 5</w:t>
      </w:r>
      <w:r w:rsidR="00A5361A">
        <w:rPr>
          <w:sz w:val="24"/>
          <w:szCs w:val="24"/>
          <w:lang w:eastAsia="da-DK"/>
        </w:rPr>
        <w:t xml:space="preserve"> %</w:t>
      </w:r>
      <w:r w:rsidRPr="009752A1">
        <w:rPr>
          <w:sz w:val="24"/>
          <w:szCs w:val="24"/>
          <w:lang w:eastAsia="da-DK"/>
        </w:rPr>
        <w:t xml:space="preserve"> af patienterne.</w:t>
      </w:r>
    </w:p>
    <w:p w14:paraId="4F97A093" w14:textId="77777777" w:rsidR="00E904A2" w:rsidRPr="009752A1" w:rsidRDefault="00E904A2" w:rsidP="00CC3C0C">
      <w:pPr>
        <w:ind w:left="851"/>
        <w:rPr>
          <w:noProof/>
          <w:sz w:val="24"/>
          <w:szCs w:val="24"/>
        </w:rPr>
      </w:pPr>
    </w:p>
    <w:p w14:paraId="06F7FC4D" w14:textId="77777777" w:rsidR="00E904A2" w:rsidRPr="009752A1" w:rsidRDefault="00E904A2" w:rsidP="00CC3C0C">
      <w:pPr>
        <w:autoSpaceDE w:val="0"/>
        <w:autoSpaceDN w:val="0"/>
        <w:adjustRightInd w:val="0"/>
        <w:ind w:left="851"/>
        <w:rPr>
          <w:sz w:val="24"/>
          <w:szCs w:val="24"/>
          <w:u w:val="single"/>
          <w:lang w:eastAsia="da-DK"/>
        </w:rPr>
      </w:pPr>
      <w:r w:rsidRPr="009752A1">
        <w:rPr>
          <w:sz w:val="24"/>
          <w:szCs w:val="24"/>
          <w:u w:val="single"/>
          <w:lang w:eastAsia="da-DK"/>
        </w:rPr>
        <w:t>Bivirkninger i tabelform</w:t>
      </w:r>
    </w:p>
    <w:p w14:paraId="7296C1BA" w14:textId="77777777" w:rsidR="00E904A2" w:rsidRPr="009752A1" w:rsidRDefault="00E904A2" w:rsidP="00CC3C0C">
      <w:pPr>
        <w:autoSpaceDE w:val="0"/>
        <w:autoSpaceDN w:val="0"/>
        <w:adjustRightInd w:val="0"/>
        <w:ind w:left="851"/>
        <w:rPr>
          <w:sz w:val="24"/>
          <w:szCs w:val="24"/>
          <w:lang w:eastAsia="da-DK"/>
        </w:rPr>
      </w:pPr>
      <w:r w:rsidRPr="009752A1">
        <w:rPr>
          <w:sz w:val="24"/>
          <w:szCs w:val="24"/>
          <w:lang w:eastAsia="da-DK"/>
        </w:rPr>
        <w:t xml:space="preserve">Bivirkningshyppighed: </w:t>
      </w:r>
      <w:r w:rsidRPr="009752A1">
        <w:rPr>
          <w:rFonts w:eastAsia="TimesNewRomanPSMT"/>
          <w:sz w:val="24"/>
          <w:szCs w:val="24"/>
          <w:lang w:eastAsia="da-DK"/>
        </w:rPr>
        <w:t>Meget almindelig (≥1/10), Almindelig (≥1/100 til &lt;1/10)</w:t>
      </w:r>
      <w:r w:rsidRPr="009752A1">
        <w:rPr>
          <w:sz w:val="24"/>
          <w:szCs w:val="24"/>
          <w:lang w:eastAsia="da-DK"/>
        </w:rPr>
        <w:t>, Ikke kendt (kan ikke estimeres ud fra forhåndenværende data).</w:t>
      </w:r>
    </w:p>
    <w:p w14:paraId="1C92FFC6" w14:textId="77777777" w:rsidR="00E904A2" w:rsidRPr="009752A1" w:rsidRDefault="00E904A2" w:rsidP="00E904A2">
      <w:pPr>
        <w:autoSpaceDE w:val="0"/>
        <w:autoSpaceDN w:val="0"/>
        <w:adjustRightInd w:val="0"/>
        <w:rPr>
          <w:noProof/>
          <w:sz w:val="24"/>
          <w:szCs w:val="24"/>
        </w:rPr>
      </w:pPr>
    </w:p>
    <w:tbl>
      <w:tblPr>
        <w:tblStyle w:val="Tabel-Gitter"/>
        <w:tblW w:w="8788" w:type="dxa"/>
        <w:tblInd w:w="846" w:type="dxa"/>
        <w:tblLayout w:type="fixed"/>
        <w:tblLook w:val="04A0" w:firstRow="1" w:lastRow="0" w:firstColumn="1" w:lastColumn="0" w:noHBand="0" w:noVBand="1"/>
      </w:tblPr>
      <w:tblGrid>
        <w:gridCol w:w="2926"/>
        <w:gridCol w:w="1941"/>
        <w:gridCol w:w="1750"/>
        <w:gridCol w:w="2171"/>
      </w:tblGrid>
      <w:tr w:rsidR="00E904A2" w:rsidRPr="004A11CF" w14:paraId="2E438BCF" w14:textId="77777777" w:rsidTr="00CC3C0C">
        <w:tc>
          <w:tcPr>
            <w:tcW w:w="2926" w:type="dxa"/>
            <w:tcBorders>
              <w:top w:val="single" w:sz="4" w:space="0" w:color="auto"/>
              <w:left w:val="single" w:sz="4" w:space="0" w:color="auto"/>
              <w:bottom w:val="single" w:sz="4" w:space="0" w:color="auto"/>
              <w:right w:val="single" w:sz="4" w:space="0" w:color="auto"/>
            </w:tcBorders>
            <w:hideMark/>
          </w:tcPr>
          <w:p w14:paraId="4E6B0481" w14:textId="77777777" w:rsidR="00E904A2" w:rsidRPr="004A11CF" w:rsidRDefault="00E904A2">
            <w:pPr>
              <w:autoSpaceDE w:val="0"/>
              <w:autoSpaceDN w:val="0"/>
              <w:adjustRightInd w:val="0"/>
              <w:jc w:val="center"/>
              <w:rPr>
                <w:b/>
                <w:noProof/>
                <w:sz w:val="22"/>
                <w:szCs w:val="22"/>
              </w:rPr>
            </w:pPr>
            <w:r w:rsidRPr="004A11CF">
              <w:rPr>
                <w:b/>
                <w:noProof/>
                <w:sz w:val="22"/>
                <w:szCs w:val="22"/>
              </w:rPr>
              <w:t>SYSTEMORGANKLASSE</w:t>
            </w:r>
          </w:p>
        </w:tc>
        <w:tc>
          <w:tcPr>
            <w:tcW w:w="1941" w:type="dxa"/>
            <w:tcBorders>
              <w:top w:val="single" w:sz="4" w:space="0" w:color="auto"/>
              <w:left w:val="single" w:sz="4" w:space="0" w:color="auto"/>
              <w:bottom w:val="single" w:sz="4" w:space="0" w:color="auto"/>
              <w:right w:val="single" w:sz="4" w:space="0" w:color="auto"/>
            </w:tcBorders>
            <w:hideMark/>
          </w:tcPr>
          <w:p w14:paraId="7A989DD4" w14:textId="77777777" w:rsidR="00E904A2" w:rsidRPr="004A11CF" w:rsidRDefault="00E904A2">
            <w:pPr>
              <w:autoSpaceDE w:val="0"/>
              <w:autoSpaceDN w:val="0"/>
              <w:adjustRightInd w:val="0"/>
              <w:rPr>
                <w:b/>
                <w:noProof/>
                <w:sz w:val="22"/>
                <w:szCs w:val="22"/>
              </w:rPr>
            </w:pPr>
            <w:r w:rsidRPr="004A11CF">
              <w:rPr>
                <w:b/>
                <w:noProof/>
                <w:sz w:val="22"/>
                <w:szCs w:val="22"/>
              </w:rPr>
              <w:t xml:space="preserve">MEGET ALMINDELIG </w:t>
            </w:r>
            <w:r w:rsidRPr="004A11CF">
              <w:rPr>
                <w:rFonts w:eastAsia="TimesNewRomanPSMT"/>
                <w:b/>
                <w:sz w:val="22"/>
                <w:szCs w:val="22"/>
                <w:lang w:eastAsia="da-DK"/>
              </w:rPr>
              <w:t>(≥1/10)</w:t>
            </w:r>
          </w:p>
        </w:tc>
        <w:tc>
          <w:tcPr>
            <w:tcW w:w="1750" w:type="dxa"/>
            <w:tcBorders>
              <w:top w:val="single" w:sz="4" w:space="0" w:color="auto"/>
              <w:left w:val="single" w:sz="4" w:space="0" w:color="auto"/>
              <w:bottom w:val="single" w:sz="4" w:space="0" w:color="auto"/>
              <w:right w:val="single" w:sz="4" w:space="0" w:color="auto"/>
            </w:tcBorders>
            <w:hideMark/>
          </w:tcPr>
          <w:p w14:paraId="4BEBCD78" w14:textId="77777777" w:rsidR="00E904A2" w:rsidRPr="004A11CF" w:rsidRDefault="00E904A2">
            <w:pPr>
              <w:autoSpaceDE w:val="0"/>
              <w:autoSpaceDN w:val="0"/>
              <w:adjustRightInd w:val="0"/>
              <w:rPr>
                <w:b/>
                <w:noProof/>
                <w:sz w:val="22"/>
                <w:szCs w:val="22"/>
              </w:rPr>
            </w:pPr>
            <w:r w:rsidRPr="004A11CF">
              <w:rPr>
                <w:b/>
                <w:noProof/>
                <w:sz w:val="22"/>
                <w:szCs w:val="22"/>
              </w:rPr>
              <w:t xml:space="preserve">ALMINDELIG </w:t>
            </w:r>
            <w:r w:rsidRPr="004A11CF">
              <w:rPr>
                <w:rFonts w:eastAsia="TimesNewRomanPSMT"/>
                <w:b/>
                <w:sz w:val="22"/>
                <w:szCs w:val="22"/>
                <w:lang w:eastAsia="da-DK"/>
              </w:rPr>
              <w:t>(≥1/100 TIL &lt;1/10)</w:t>
            </w:r>
          </w:p>
        </w:tc>
        <w:tc>
          <w:tcPr>
            <w:tcW w:w="2171" w:type="dxa"/>
            <w:tcBorders>
              <w:top w:val="single" w:sz="4" w:space="0" w:color="auto"/>
              <w:left w:val="single" w:sz="4" w:space="0" w:color="auto"/>
              <w:bottom w:val="single" w:sz="4" w:space="0" w:color="auto"/>
              <w:right w:val="single" w:sz="4" w:space="0" w:color="auto"/>
            </w:tcBorders>
            <w:hideMark/>
          </w:tcPr>
          <w:p w14:paraId="30364D63" w14:textId="77777777" w:rsidR="00E904A2" w:rsidRPr="004A11CF" w:rsidRDefault="00E904A2">
            <w:pPr>
              <w:autoSpaceDE w:val="0"/>
              <w:autoSpaceDN w:val="0"/>
              <w:adjustRightInd w:val="0"/>
              <w:rPr>
                <w:b/>
                <w:noProof/>
                <w:sz w:val="22"/>
                <w:szCs w:val="22"/>
              </w:rPr>
            </w:pPr>
            <w:r w:rsidRPr="004A11CF">
              <w:rPr>
                <w:b/>
                <w:noProof/>
                <w:sz w:val="22"/>
                <w:szCs w:val="22"/>
              </w:rPr>
              <w:t>HYPPIGHED IKKE KENDT</w:t>
            </w:r>
          </w:p>
        </w:tc>
      </w:tr>
      <w:tr w:rsidR="00E904A2" w:rsidRPr="004A11CF" w14:paraId="7AD608FD" w14:textId="77777777" w:rsidTr="00CC3C0C">
        <w:tc>
          <w:tcPr>
            <w:tcW w:w="2926" w:type="dxa"/>
            <w:tcBorders>
              <w:top w:val="single" w:sz="4" w:space="0" w:color="auto"/>
              <w:left w:val="single" w:sz="4" w:space="0" w:color="auto"/>
              <w:bottom w:val="single" w:sz="4" w:space="0" w:color="auto"/>
              <w:right w:val="single" w:sz="4" w:space="0" w:color="auto"/>
            </w:tcBorders>
            <w:hideMark/>
          </w:tcPr>
          <w:p w14:paraId="70574A8E" w14:textId="77777777" w:rsidR="00E904A2" w:rsidRPr="004A11CF" w:rsidRDefault="00E904A2">
            <w:pPr>
              <w:autoSpaceDE w:val="0"/>
              <w:autoSpaceDN w:val="0"/>
              <w:adjustRightInd w:val="0"/>
              <w:rPr>
                <w:b/>
                <w:noProof/>
                <w:sz w:val="22"/>
                <w:szCs w:val="22"/>
              </w:rPr>
            </w:pPr>
            <w:r w:rsidRPr="004A11CF">
              <w:rPr>
                <w:b/>
                <w:sz w:val="22"/>
                <w:szCs w:val="22"/>
                <w:lang w:eastAsia="da-DK"/>
              </w:rPr>
              <w:t>Blod og lymfesystem</w:t>
            </w:r>
          </w:p>
        </w:tc>
        <w:tc>
          <w:tcPr>
            <w:tcW w:w="1941" w:type="dxa"/>
            <w:tcBorders>
              <w:top w:val="single" w:sz="4" w:space="0" w:color="auto"/>
              <w:left w:val="single" w:sz="4" w:space="0" w:color="auto"/>
              <w:bottom w:val="single" w:sz="4" w:space="0" w:color="auto"/>
              <w:right w:val="single" w:sz="4" w:space="0" w:color="auto"/>
            </w:tcBorders>
          </w:tcPr>
          <w:p w14:paraId="5FD418EE" w14:textId="77777777" w:rsidR="00E904A2" w:rsidRPr="004A11CF" w:rsidRDefault="00E904A2">
            <w:pPr>
              <w:autoSpaceDE w:val="0"/>
              <w:autoSpaceDN w:val="0"/>
              <w:adjustRightInd w:val="0"/>
              <w:rPr>
                <w:noProof/>
                <w:sz w:val="22"/>
                <w:szCs w:val="22"/>
              </w:rPr>
            </w:pPr>
          </w:p>
        </w:tc>
        <w:tc>
          <w:tcPr>
            <w:tcW w:w="1750" w:type="dxa"/>
            <w:tcBorders>
              <w:top w:val="single" w:sz="4" w:space="0" w:color="auto"/>
              <w:left w:val="single" w:sz="4" w:space="0" w:color="auto"/>
              <w:bottom w:val="single" w:sz="4" w:space="0" w:color="auto"/>
              <w:right w:val="single" w:sz="4" w:space="0" w:color="auto"/>
            </w:tcBorders>
            <w:hideMark/>
          </w:tcPr>
          <w:p w14:paraId="66CD394D" w14:textId="77777777" w:rsidR="00E904A2" w:rsidRPr="004A11CF" w:rsidRDefault="00E904A2">
            <w:pPr>
              <w:autoSpaceDE w:val="0"/>
              <w:autoSpaceDN w:val="0"/>
              <w:adjustRightInd w:val="0"/>
              <w:rPr>
                <w:sz w:val="22"/>
                <w:szCs w:val="22"/>
                <w:lang w:eastAsia="da-DK"/>
              </w:rPr>
            </w:pPr>
            <w:proofErr w:type="spellStart"/>
            <w:r w:rsidRPr="004A11CF">
              <w:rPr>
                <w:sz w:val="22"/>
                <w:szCs w:val="22"/>
                <w:lang w:eastAsia="da-DK"/>
              </w:rPr>
              <w:t>Neutropeni</w:t>
            </w:r>
            <w:proofErr w:type="spellEnd"/>
          </w:p>
          <w:p w14:paraId="6A1C2CD1" w14:textId="77777777" w:rsidR="00E904A2" w:rsidRPr="004A11CF" w:rsidRDefault="00E904A2">
            <w:pPr>
              <w:autoSpaceDE w:val="0"/>
              <w:autoSpaceDN w:val="0"/>
              <w:adjustRightInd w:val="0"/>
              <w:rPr>
                <w:noProof/>
                <w:sz w:val="22"/>
                <w:szCs w:val="22"/>
              </w:rPr>
            </w:pPr>
            <w:proofErr w:type="spellStart"/>
            <w:r w:rsidRPr="004A11CF">
              <w:rPr>
                <w:sz w:val="22"/>
                <w:szCs w:val="22"/>
                <w:lang w:eastAsia="da-DK"/>
              </w:rPr>
              <w:t>Agranulocytose</w:t>
            </w:r>
            <w:proofErr w:type="spellEnd"/>
          </w:p>
        </w:tc>
        <w:tc>
          <w:tcPr>
            <w:tcW w:w="2171" w:type="dxa"/>
            <w:tcBorders>
              <w:top w:val="single" w:sz="4" w:space="0" w:color="auto"/>
              <w:left w:val="single" w:sz="4" w:space="0" w:color="auto"/>
              <w:bottom w:val="single" w:sz="4" w:space="0" w:color="auto"/>
              <w:right w:val="single" w:sz="4" w:space="0" w:color="auto"/>
            </w:tcBorders>
          </w:tcPr>
          <w:p w14:paraId="55F032B4" w14:textId="77777777" w:rsidR="00E904A2" w:rsidRPr="004A11CF" w:rsidRDefault="00E904A2">
            <w:pPr>
              <w:autoSpaceDE w:val="0"/>
              <w:autoSpaceDN w:val="0"/>
              <w:adjustRightInd w:val="0"/>
              <w:rPr>
                <w:noProof/>
                <w:sz w:val="22"/>
                <w:szCs w:val="22"/>
              </w:rPr>
            </w:pPr>
          </w:p>
        </w:tc>
      </w:tr>
      <w:tr w:rsidR="00E904A2" w:rsidRPr="004A11CF" w14:paraId="534CAD81" w14:textId="77777777" w:rsidTr="00CC3C0C">
        <w:tc>
          <w:tcPr>
            <w:tcW w:w="2926" w:type="dxa"/>
            <w:tcBorders>
              <w:top w:val="single" w:sz="4" w:space="0" w:color="auto"/>
              <w:left w:val="single" w:sz="4" w:space="0" w:color="auto"/>
              <w:bottom w:val="single" w:sz="4" w:space="0" w:color="auto"/>
              <w:right w:val="single" w:sz="4" w:space="0" w:color="auto"/>
            </w:tcBorders>
          </w:tcPr>
          <w:p w14:paraId="7B00E01B" w14:textId="315FDB55" w:rsidR="00E904A2" w:rsidRPr="004A11CF" w:rsidRDefault="00E904A2" w:rsidP="004939F6">
            <w:pPr>
              <w:autoSpaceDE w:val="0"/>
              <w:autoSpaceDN w:val="0"/>
              <w:adjustRightInd w:val="0"/>
              <w:rPr>
                <w:b/>
                <w:noProof/>
                <w:sz w:val="22"/>
                <w:szCs w:val="22"/>
              </w:rPr>
            </w:pPr>
            <w:r w:rsidRPr="004A11CF">
              <w:rPr>
                <w:b/>
                <w:sz w:val="22"/>
                <w:szCs w:val="22"/>
                <w:lang w:eastAsia="da-DK"/>
              </w:rPr>
              <w:t>Immunsystemet</w:t>
            </w:r>
          </w:p>
        </w:tc>
        <w:tc>
          <w:tcPr>
            <w:tcW w:w="1941" w:type="dxa"/>
            <w:tcBorders>
              <w:top w:val="single" w:sz="4" w:space="0" w:color="auto"/>
              <w:left w:val="single" w:sz="4" w:space="0" w:color="auto"/>
              <w:bottom w:val="single" w:sz="4" w:space="0" w:color="auto"/>
              <w:right w:val="single" w:sz="4" w:space="0" w:color="auto"/>
            </w:tcBorders>
          </w:tcPr>
          <w:p w14:paraId="6BA25575" w14:textId="77777777" w:rsidR="00E904A2" w:rsidRPr="004A11CF" w:rsidRDefault="00E904A2">
            <w:pPr>
              <w:autoSpaceDE w:val="0"/>
              <w:autoSpaceDN w:val="0"/>
              <w:adjustRightInd w:val="0"/>
              <w:rPr>
                <w:noProof/>
                <w:sz w:val="22"/>
                <w:szCs w:val="22"/>
              </w:rPr>
            </w:pPr>
          </w:p>
        </w:tc>
        <w:tc>
          <w:tcPr>
            <w:tcW w:w="1750" w:type="dxa"/>
            <w:tcBorders>
              <w:top w:val="single" w:sz="4" w:space="0" w:color="auto"/>
              <w:left w:val="single" w:sz="4" w:space="0" w:color="auto"/>
              <w:bottom w:val="single" w:sz="4" w:space="0" w:color="auto"/>
              <w:right w:val="single" w:sz="4" w:space="0" w:color="auto"/>
            </w:tcBorders>
          </w:tcPr>
          <w:p w14:paraId="4DB55613" w14:textId="77777777" w:rsidR="00E904A2" w:rsidRPr="004A11CF" w:rsidRDefault="00E904A2">
            <w:pPr>
              <w:autoSpaceDE w:val="0"/>
              <w:autoSpaceDN w:val="0"/>
              <w:adjustRightInd w:val="0"/>
              <w:rPr>
                <w:noProof/>
                <w:sz w:val="22"/>
                <w:szCs w:val="22"/>
              </w:rPr>
            </w:pPr>
          </w:p>
        </w:tc>
        <w:tc>
          <w:tcPr>
            <w:tcW w:w="2171" w:type="dxa"/>
            <w:tcBorders>
              <w:top w:val="single" w:sz="4" w:space="0" w:color="auto"/>
              <w:left w:val="single" w:sz="4" w:space="0" w:color="auto"/>
              <w:bottom w:val="single" w:sz="4" w:space="0" w:color="auto"/>
              <w:right w:val="single" w:sz="4" w:space="0" w:color="auto"/>
            </w:tcBorders>
            <w:hideMark/>
          </w:tcPr>
          <w:p w14:paraId="40B3F862" w14:textId="77777777" w:rsidR="00E904A2" w:rsidRPr="004A11CF" w:rsidRDefault="00E904A2">
            <w:pPr>
              <w:autoSpaceDE w:val="0"/>
              <w:autoSpaceDN w:val="0"/>
              <w:adjustRightInd w:val="0"/>
              <w:rPr>
                <w:noProof/>
                <w:sz w:val="22"/>
                <w:szCs w:val="22"/>
              </w:rPr>
            </w:pPr>
            <w:r w:rsidRPr="004A11CF">
              <w:rPr>
                <w:sz w:val="22"/>
                <w:szCs w:val="22"/>
                <w:lang w:eastAsia="da-DK"/>
              </w:rPr>
              <w:t>Overfølsomhedsreaktioner</w:t>
            </w:r>
          </w:p>
        </w:tc>
      </w:tr>
      <w:tr w:rsidR="00E904A2" w:rsidRPr="004A11CF" w14:paraId="653C7525" w14:textId="77777777" w:rsidTr="00CC3C0C">
        <w:tc>
          <w:tcPr>
            <w:tcW w:w="2926" w:type="dxa"/>
            <w:tcBorders>
              <w:top w:val="single" w:sz="4" w:space="0" w:color="auto"/>
              <w:left w:val="single" w:sz="4" w:space="0" w:color="auto"/>
              <w:bottom w:val="single" w:sz="4" w:space="0" w:color="auto"/>
              <w:right w:val="single" w:sz="4" w:space="0" w:color="auto"/>
            </w:tcBorders>
          </w:tcPr>
          <w:p w14:paraId="52C753FE" w14:textId="456E1276" w:rsidR="00E904A2" w:rsidRPr="004A11CF" w:rsidRDefault="00E904A2" w:rsidP="004939F6">
            <w:pPr>
              <w:autoSpaceDE w:val="0"/>
              <w:autoSpaceDN w:val="0"/>
              <w:adjustRightInd w:val="0"/>
              <w:rPr>
                <w:b/>
                <w:noProof/>
                <w:sz w:val="22"/>
                <w:szCs w:val="22"/>
              </w:rPr>
            </w:pPr>
            <w:r w:rsidRPr="004A11CF">
              <w:rPr>
                <w:b/>
                <w:sz w:val="22"/>
                <w:szCs w:val="22"/>
                <w:lang w:eastAsia="da-DK"/>
              </w:rPr>
              <w:t>Metabolisme og ernæring</w:t>
            </w:r>
          </w:p>
        </w:tc>
        <w:tc>
          <w:tcPr>
            <w:tcW w:w="1941" w:type="dxa"/>
            <w:tcBorders>
              <w:top w:val="single" w:sz="4" w:space="0" w:color="auto"/>
              <w:left w:val="single" w:sz="4" w:space="0" w:color="auto"/>
              <w:bottom w:val="single" w:sz="4" w:space="0" w:color="auto"/>
              <w:right w:val="single" w:sz="4" w:space="0" w:color="auto"/>
            </w:tcBorders>
          </w:tcPr>
          <w:p w14:paraId="43EE1B74" w14:textId="77777777" w:rsidR="00E904A2" w:rsidRPr="004A11CF" w:rsidRDefault="00E904A2">
            <w:pPr>
              <w:autoSpaceDE w:val="0"/>
              <w:autoSpaceDN w:val="0"/>
              <w:adjustRightInd w:val="0"/>
              <w:rPr>
                <w:noProof/>
                <w:sz w:val="22"/>
                <w:szCs w:val="22"/>
              </w:rPr>
            </w:pPr>
          </w:p>
        </w:tc>
        <w:tc>
          <w:tcPr>
            <w:tcW w:w="1750" w:type="dxa"/>
            <w:tcBorders>
              <w:top w:val="single" w:sz="4" w:space="0" w:color="auto"/>
              <w:left w:val="single" w:sz="4" w:space="0" w:color="auto"/>
              <w:bottom w:val="single" w:sz="4" w:space="0" w:color="auto"/>
              <w:right w:val="single" w:sz="4" w:space="0" w:color="auto"/>
            </w:tcBorders>
            <w:hideMark/>
          </w:tcPr>
          <w:p w14:paraId="20A0055D" w14:textId="77777777" w:rsidR="00E904A2" w:rsidRPr="004A11CF" w:rsidRDefault="00E904A2">
            <w:pPr>
              <w:autoSpaceDE w:val="0"/>
              <w:autoSpaceDN w:val="0"/>
              <w:adjustRightInd w:val="0"/>
              <w:rPr>
                <w:noProof/>
                <w:sz w:val="22"/>
                <w:szCs w:val="22"/>
              </w:rPr>
            </w:pPr>
            <w:r w:rsidRPr="004A11CF">
              <w:rPr>
                <w:sz w:val="22"/>
                <w:szCs w:val="22"/>
                <w:lang w:eastAsia="da-DK"/>
              </w:rPr>
              <w:t>Øget appetit</w:t>
            </w:r>
          </w:p>
        </w:tc>
        <w:tc>
          <w:tcPr>
            <w:tcW w:w="2171" w:type="dxa"/>
            <w:tcBorders>
              <w:top w:val="single" w:sz="4" w:space="0" w:color="auto"/>
              <w:left w:val="single" w:sz="4" w:space="0" w:color="auto"/>
              <w:bottom w:val="single" w:sz="4" w:space="0" w:color="auto"/>
              <w:right w:val="single" w:sz="4" w:space="0" w:color="auto"/>
            </w:tcBorders>
          </w:tcPr>
          <w:p w14:paraId="35FA7A8E" w14:textId="77777777" w:rsidR="00E904A2" w:rsidRPr="004A11CF" w:rsidRDefault="00E904A2">
            <w:pPr>
              <w:autoSpaceDE w:val="0"/>
              <w:autoSpaceDN w:val="0"/>
              <w:adjustRightInd w:val="0"/>
              <w:rPr>
                <w:noProof/>
                <w:sz w:val="22"/>
                <w:szCs w:val="22"/>
              </w:rPr>
            </w:pPr>
          </w:p>
        </w:tc>
      </w:tr>
      <w:tr w:rsidR="00E904A2" w:rsidRPr="004A11CF" w14:paraId="0F012172" w14:textId="77777777" w:rsidTr="00CC3C0C">
        <w:tc>
          <w:tcPr>
            <w:tcW w:w="2926" w:type="dxa"/>
            <w:tcBorders>
              <w:top w:val="single" w:sz="4" w:space="0" w:color="auto"/>
              <w:left w:val="single" w:sz="4" w:space="0" w:color="auto"/>
              <w:bottom w:val="single" w:sz="4" w:space="0" w:color="auto"/>
              <w:right w:val="single" w:sz="4" w:space="0" w:color="auto"/>
            </w:tcBorders>
          </w:tcPr>
          <w:p w14:paraId="1B2929F2" w14:textId="2AC716C1" w:rsidR="00E904A2" w:rsidRPr="004A11CF" w:rsidRDefault="00E904A2" w:rsidP="004939F6">
            <w:pPr>
              <w:autoSpaceDE w:val="0"/>
              <w:autoSpaceDN w:val="0"/>
              <w:adjustRightInd w:val="0"/>
              <w:rPr>
                <w:b/>
                <w:noProof/>
                <w:sz w:val="22"/>
                <w:szCs w:val="22"/>
              </w:rPr>
            </w:pPr>
            <w:r w:rsidRPr="004A11CF">
              <w:rPr>
                <w:b/>
                <w:sz w:val="22"/>
                <w:szCs w:val="22"/>
                <w:lang w:eastAsia="da-DK"/>
              </w:rPr>
              <w:t>Nervesystemet</w:t>
            </w:r>
          </w:p>
        </w:tc>
        <w:tc>
          <w:tcPr>
            <w:tcW w:w="1941" w:type="dxa"/>
            <w:tcBorders>
              <w:top w:val="single" w:sz="4" w:space="0" w:color="auto"/>
              <w:left w:val="single" w:sz="4" w:space="0" w:color="auto"/>
              <w:bottom w:val="single" w:sz="4" w:space="0" w:color="auto"/>
              <w:right w:val="single" w:sz="4" w:space="0" w:color="auto"/>
            </w:tcBorders>
          </w:tcPr>
          <w:p w14:paraId="153AD965" w14:textId="77777777" w:rsidR="00E904A2" w:rsidRPr="004A11CF" w:rsidRDefault="00E904A2">
            <w:pPr>
              <w:autoSpaceDE w:val="0"/>
              <w:autoSpaceDN w:val="0"/>
              <w:adjustRightInd w:val="0"/>
              <w:rPr>
                <w:noProof/>
                <w:sz w:val="22"/>
                <w:szCs w:val="22"/>
              </w:rPr>
            </w:pPr>
          </w:p>
        </w:tc>
        <w:tc>
          <w:tcPr>
            <w:tcW w:w="1750" w:type="dxa"/>
            <w:tcBorders>
              <w:top w:val="single" w:sz="4" w:space="0" w:color="auto"/>
              <w:left w:val="single" w:sz="4" w:space="0" w:color="auto"/>
              <w:bottom w:val="single" w:sz="4" w:space="0" w:color="auto"/>
              <w:right w:val="single" w:sz="4" w:space="0" w:color="auto"/>
            </w:tcBorders>
            <w:hideMark/>
          </w:tcPr>
          <w:p w14:paraId="0DB2BF2D" w14:textId="77777777" w:rsidR="00E904A2" w:rsidRPr="004A11CF" w:rsidRDefault="00E904A2">
            <w:pPr>
              <w:autoSpaceDE w:val="0"/>
              <w:autoSpaceDN w:val="0"/>
              <w:adjustRightInd w:val="0"/>
              <w:rPr>
                <w:noProof/>
                <w:sz w:val="22"/>
                <w:szCs w:val="22"/>
              </w:rPr>
            </w:pPr>
            <w:r w:rsidRPr="004A11CF">
              <w:rPr>
                <w:sz w:val="22"/>
                <w:szCs w:val="22"/>
                <w:lang w:eastAsia="da-DK"/>
              </w:rPr>
              <w:t>Hovedpine</w:t>
            </w:r>
          </w:p>
        </w:tc>
        <w:tc>
          <w:tcPr>
            <w:tcW w:w="2171" w:type="dxa"/>
            <w:tcBorders>
              <w:top w:val="single" w:sz="4" w:space="0" w:color="auto"/>
              <w:left w:val="single" w:sz="4" w:space="0" w:color="auto"/>
              <w:bottom w:val="single" w:sz="4" w:space="0" w:color="auto"/>
              <w:right w:val="single" w:sz="4" w:space="0" w:color="auto"/>
            </w:tcBorders>
          </w:tcPr>
          <w:p w14:paraId="1D5CDFC4" w14:textId="77777777" w:rsidR="00E904A2" w:rsidRPr="004A11CF" w:rsidRDefault="00E904A2">
            <w:pPr>
              <w:autoSpaceDE w:val="0"/>
              <w:autoSpaceDN w:val="0"/>
              <w:adjustRightInd w:val="0"/>
              <w:rPr>
                <w:noProof/>
                <w:sz w:val="22"/>
                <w:szCs w:val="22"/>
              </w:rPr>
            </w:pPr>
          </w:p>
        </w:tc>
      </w:tr>
      <w:tr w:rsidR="00E904A2" w:rsidRPr="004A11CF" w14:paraId="2854B39C" w14:textId="77777777" w:rsidTr="00CC3C0C">
        <w:tc>
          <w:tcPr>
            <w:tcW w:w="2926" w:type="dxa"/>
            <w:tcBorders>
              <w:top w:val="single" w:sz="4" w:space="0" w:color="auto"/>
              <w:left w:val="single" w:sz="4" w:space="0" w:color="auto"/>
              <w:bottom w:val="single" w:sz="4" w:space="0" w:color="auto"/>
              <w:right w:val="single" w:sz="4" w:space="0" w:color="auto"/>
            </w:tcBorders>
            <w:hideMark/>
          </w:tcPr>
          <w:p w14:paraId="396CD194" w14:textId="32C0B471" w:rsidR="00E904A2" w:rsidRPr="004A11CF" w:rsidRDefault="00E904A2">
            <w:pPr>
              <w:autoSpaceDE w:val="0"/>
              <w:autoSpaceDN w:val="0"/>
              <w:adjustRightInd w:val="0"/>
              <w:rPr>
                <w:b/>
                <w:noProof/>
                <w:sz w:val="22"/>
                <w:szCs w:val="22"/>
              </w:rPr>
            </w:pPr>
            <w:r w:rsidRPr="004A11CF">
              <w:rPr>
                <w:b/>
                <w:sz w:val="22"/>
                <w:szCs w:val="22"/>
                <w:lang w:eastAsia="da-DK"/>
              </w:rPr>
              <w:t>Mave-tarm</w:t>
            </w:r>
            <w:r w:rsidR="004939F6" w:rsidRPr="004A11CF">
              <w:rPr>
                <w:b/>
                <w:sz w:val="22"/>
                <w:szCs w:val="22"/>
                <w:lang w:eastAsia="da-DK"/>
              </w:rPr>
              <w:t>-</w:t>
            </w:r>
            <w:r w:rsidRPr="004A11CF">
              <w:rPr>
                <w:b/>
                <w:sz w:val="22"/>
                <w:szCs w:val="22"/>
                <w:lang w:eastAsia="da-DK"/>
              </w:rPr>
              <w:t>kanalen</w:t>
            </w:r>
          </w:p>
        </w:tc>
        <w:tc>
          <w:tcPr>
            <w:tcW w:w="1941" w:type="dxa"/>
            <w:tcBorders>
              <w:top w:val="single" w:sz="4" w:space="0" w:color="auto"/>
              <w:left w:val="single" w:sz="4" w:space="0" w:color="auto"/>
              <w:bottom w:val="single" w:sz="4" w:space="0" w:color="auto"/>
              <w:right w:val="single" w:sz="4" w:space="0" w:color="auto"/>
            </w:tcBorders>
            <w:hideMark/>
          </w:tcPr>
          <w:p w14:paraId="1EB0F954" w14:textId="77777777" w:rsidR="00E904A2" w:rsidRPr="004A11CF" w:rsidRDefault="00E904A2">
            <w:pPr>
              <w:autoSpaceDE w:val="0"/>
              <w:autoSpaceDN w:val="0"/>
              <w:adjustRightInd w:val="0"/>
              <w:rPr>
                <w:sz w:val="22"/>
                <w:szCs w:val="22"/>
                <w:lang w:eastAsia="da-DK"/>
              </w:rPr>
            </w:pPr>
            <w:r w:rsidRPr="004A11CF">
              <w:rPr>
                <w:sz w:val="22"/>
                <w:szCs w:val="22"/>
                <w:lang w:eastAsia="da-DK"/>
              </w:rPr>
              <w:t>Kvalme</w:t>
            </w:r>
          </w:p>
          <w:p w14:paraId="0659C7D6" w14:textId="77777777" w:rsidR="00E904A2" w:rsidRPr="004A11CF" w:rsidRDefault="00E904A2">
            <w:pPr>
              <w:autoSpaceDE w:val="0"/>
              <w:autoSpaceDN w:val="0"/>
              <w:adjustRightInd w:val="0"/>
              <w:rPr>
                <w:sz w:val="22"/>
                <w:szCs w:val="22"/>
                <w:lang w:eastAsia="da-DK"/>
              </w:rPr>
            </w:pPr>
            <w:proofErr w:type="spellStart"/>
            <w:r w:rsidRPr="004A11CF">
              <w:rPr>
                <w:sz w:val="22"/>
                <w:szCs w:val="22"/>
                <w:lang w:eastAsia="da-DK"/>
              </w:rPr>
              <w:t>Abdominalsmerter</w:t>
            </w:r>
            <w:proofErr w:type="spellEnd"/>
          </w:p>
          <w:p w14:paraId="3D5418AF" w14:textId="77777777" w:rsidR="00E904A2" w:rsidRPr="004A11CF" w:rsidRDefault="00E904A2">
            <w:pPr>
              <w:autoSpaceDE w:val="0"/>
              <w:autoSpaceDN w:val="0"/>
              <w:adjustRightInd w:val="0"/>
              <w:rPr>
                <w:noProof/>
                <w:sz w:val="22"/>
                <w:szCs w:val="22"/>
              </w:rPr>
            </w:pPr>
            <w:r w:rsidRPr="004A11CF">
              <w:rPr>
                <w:sz w:val="22"/>
                <w:szCs w:val="22"/>
                <w:lang w:eastAsia="da-DK"/>
              </w:rPr>
              <w:t>Opkastning</w:t>
            </w:r>
          </w:p>
        </w:tc>
        <w:tc>
          <w:tcPr>
            <w:tcW w:w="1750" w:type="dxa"/>
            <w:tcBorders>
              <w:top w:val="single" w:sz="4" w:space="0" w:color="auto"/>
              <w:left w:val="single" w:sz="4" w:space="0" w:color="auto"/>
              <w:bottom w:val="single" w:sz="4" w:space="0" w:color="auto"/>
              <w:right w:val="single" w:sz="4" w:space="0" w:color="auto"/>
            </w:tcBorders>
            <w:hideMark/>
          </w:tcPr>
          <w:p w14:paraId="5E43D766" w14:textId="77777777" w:rsidR="00E904A2" w:rsidRPr="004A11CF" w:rsidRDefault="00E904A2">
            <w:pPr>
              <w:autoSpaceDE w:val="0"/>
              <w:autoSpaceDN w:val="0"/>
              <w:adjustRightInd w:val="0"/>
              <w:rPr>
                <w:noProof/>
                <w:sz w:val="22"/>
                <w:szCs w:val="22"/>
              </w:rPr>
            </w:pPr>
            <w:r w:rsidRPr="004A11CF">
              <w:rPr>
                <w:sz w:val="22"/>
                <w:szCs w:val="22"/>
                <w:lang w:eastAsia="da-DK"/>
              </w:rPr>
              <w:t>Diarré</w:t>
            </w:r>
          </w:p>
        </w:tc>
        <w:tc>
          <w:tcPr>
            <w:tcW w:w="2171" w:type="dxa"/>
            <w:tcBorders>
              <w:top w:val="single" w:sz="4" w:space="0" w:color="auto"/>
              <w:left w:val="single" w:sz="4" w:space="0" w:color="auto"/>
              <w:bottom w:val="single" w:sz="4" w:space="0" w:color="auto"/>
              <w:right w:val="single" w:sz="4" w:space="0" w:color="auto"/>
            </w:tcBorders>
          </w:tcPr>
          <w:p w14:paraId="6BAB5E7C" w14:textId="77777777" w:rsidR="00E904A2" w:rsidRPr="004A11CF" w:rsidRDefault="00E904A2">
            <w:pPr>
              <w:autoSpaceDE w:val="0"/>
              <w:autoSpaceDN w:val="0"/>
              <w:adjustRightInd w:val="0"/>
              <w:rPr>
                <w:noProof/>
                <w:sz w:val="22"/>
                <w:szCs w:val="22"/>
              </w:rPr>
            </w:pPr>
          </w:p>
        </w:tc>
      </w:tr>
      <w:tr w:rsidR="00E904A2" w:rsidRPr="004A11CF" w14:paraId="7A9F04A5" w14:textId="77777777" w:rsidTr="00CC3C0C">
        <w:tc>
          <w:tcPr>
            <w:tcW w:w="2926" w:type="dxa"/>
            <w:tcBorders>
              <w:top w:val="single" w:sz="4" w:space="0" w:color="auto"/>
              <w:left w:val="single" w:sz="4" w:space="0" w:color="auto"/>
              <w:bottom w:val="single" w:sz="4" w:space="0" w:color="auto"/>
              <w:right w:val="single" w:sz="4" w:space="0" w:color="auto"/>
            </w:tcBorders>
            <w:hideMark/>
          </w:tcPr>
          <w:p w14:paraId="547B2530" w14:textId="77777777" w:rsidR="00E904A2" w:rsidRPr="004A11CF" w:rsidRDefault="00E904A2">
            <w:pPr>
              <w:autoSpaceDE w:val="0"/>
              <w:autoSpaceDN w:val="0"/>
              <w:adjustRightInd w:val="0"/>
              <w:rPr>
                <w:b/>
                <w:noProof/>
                <w:sz w:val="22"/>
                <w:szCs w:val="22"/>
              </w:rPr>
            </w:pPr>
            <w:r w:rsidRPr="004A11CF">
              <w:rPr>
                <w:b/>
                <w:sz w:val="22"/>
                <w:szCs w:val="22"/>
                <w:lang w:eastAsia="da-DK"/>
              </w:rPr>
              <w:t>Hud og subkutane væv</w:t>
            </w:r>
          </w:p>
        </w:tc>
        <w:tc>
          <w:tcPr>
            <w:tcW w:w="1941" w:type="dxa"/>
            <w:tcBorders>
              <w:top w:val="single" w:sz="4" w:space="0" w:color="auto"/>
              <w:left w:val="single" w:sz="4" w:space="0" w:color="auto"/>
              <w:bottom w:val="single" w:sz="4" w:space="0" w:color="auto"/>
              <w:right w:val="single" w:sz="4" w:space="0" w:color="auto"/>
            </w:tcBorders>
          </w:tcPr>
          <w:p w14:paraId="134E8126" w14:textId="77777777" w:rsidR="00E904A2" w:rsidRPr="004A11CF" w:rsidRDefault="00E904A2">
            <w:pPr>
              <w:autoSpaceDE w:val="0"/>
              <w:autoSpaceDN w:val="0"/>
              <w:adjustRightInd w:val="0"/>
              <w:rPr>
                <w:noProof/>
                <w:sz w:val="22"/>
                <w:szCs w:val="22"/>
              </w:rPr>
            </w:pPr>
          </w:p>
        </w:tc>
        <w:tc>
          <w:tcPr>
            <w:tcW w:w="1750" w:type="dxa"/>
            <w:tcBorders>
              <w:top w:val="single" w:sz="4" w:space="0" w:color="auto"/>
              <w:left w:val="single" w:sz="4" w:space="0" w:color="auto"/>
              <w:bottom w:val="single" w:sz="4" w:space="0" w:color="auto"/>
              <w:right w:val="single" w:sz="4" w:space="0" w:color="auto"/>
            </w:tcBorders>
          </w:tcPr>
          <w:p w14:paraId="45BD590F" w14:textId="77777777" w:rsidR="00E904A2" w:rsidRPr="004A11CF" w:rsidRDefault="00E904A2">
            <w:pPr>
              <w:autoSpaceDE w:val="0"/>
              <w:autoSpaceDN w:val="0"/>
              <w:adjustRightInd w:val="0"/>
              <w:rPr>
                <w:noProof/>
                <w:sz w:val="22"/>
                <w:szCs w:val="22"/>
              </w:rPr>
            </w:pPr>
          </w:p>
        </w:tc>
        <w:tc>
          <w:tcPr>
            <w:tcW w:w="2171" w:type="dxa"/>
            <w:tcBorders>
              <w:top w:val="single" w:sz="4" w:space="0" w:color="auto"/>
              <w:left w:val="single" w:sz="4" w:space="0" w:color="auto"/>
              <w:bottom w:val="single" w:sz="4" w:space="0" w:color="auto"/>
              <w:right w:val="single" w:sz="4" w:space="0" w:color="auto"/>
            </w:tcBorders>
            <w:hideMark/>
          </w:tcPr>
          <w:p w14:paraId="0C0E6E84" w14:textId="77777777" w:rsidR="00E904A2" w:rsidRPr="004A11CF" w:rsidRDefault="00E904A2">
            <w:pPr>
              <w:autoSpaceDE w:val="0"/>
              <w:autoSpaceDN w:val="0"/>
              <w:adjustRightInd w:val="0"/>
              <w:rPr>
                <w:sz w:val="22"/>
                <w:szCs w:val="22"/>
                <w:lang w:eastAsia="da-DK"/>
              </w:rPr>
            </w:pPr>
            <w:r w:rsidRPr="004A11CF">
              <w:rPr>
                <w:sz w:val="22"/>
                <w:szCs w:val="22"/>
                <w:lang w:eastAsia="da-DK"/>
              </w:rPr>
              <w:t>Udslæt</w:t>
            </w:r>
          </w:p>
          <w:p w14:paraId="20B27E2B" w14:textId="77777777" w:rsidR="00E904A2" w:rsidRPr="004A11CF" w:rsidRDefault="00E904A2">
            <w:pPr>
              <w:autoSpaceDE w:val="0"/>
              <w:autoSpaceDN w:val="0"/>
              <w:adjustRightInd w:val="0"/>
              <w:rPr>
                <w:noProof/>
                <w:sz w:val="22"/>
                <w:szCs w:val="22"/>
              </w:rPr>
            </w:pPr>
            <w:proofErr w:type="spellStart"/>
            <w:r w:rsidRPr="004A11CF">
              <w:rPr>
                <w:sz w:val="22"/>
                <w:szCs w:val="22"/>
                <w:lang w:eastAsia="da-DK"/>
              </w:rPr>
              <w:t>Urticaria</w:t>
            </w:r>
            <w:proofErr w:type="spellEnd"/>
          </w:p>
        </w:tc>
      </w:tr>
      <w:tr w:rsidR="00E904A2" w:rsidRPr="004A11CF" w14:paraId="454DC724" w14:textId="77777777" w:rsidTr="00CC3C0C">
        <w:tc>
          <w:tcPr>
            <w:tcW w:w="2926" w:type="dxa"/>
            <w:tcBorders>
              <w:top w:val="single" w:sz="4" w:space="0" w:color="auto"/>
              <w:left w:val="single" w:sz="4" w:space="0" w:color="auto"/>
              <w:bottom w:val="single" w:sz="4" w:space="0" w:color="auto"/>
              <w:right w:val="single" w:sz="4" w:space="0" w:color="auto"/>
            </w:tcBorders>
          </w:tcPr>
          <w:p w14:paraId="3938101A" w14:textId="346ED565" w:rsidR="00E904A2" w:rsidRPr="004A11CF" w:rsidRDefault="00E904A2" w:rsidP="004939F6">
            <w:pPr>
              <w:autoSpaceDE w:val="0"/>
              <w:autoSpaceDN w:val="0"/>
              <w:adjustRightInd w:val="0"/>
              <w:rPr>
                <w:b/>
                <w:noProof/>
                <w:sz w:val="22"/>
                <w:szCs w:val="22"/>
              </w:rPr>
            </w:pPr>
            <w:r w:rsidRPr="004A11CF">
              <w:rPr>
                <w:b/>
                <w:sz w:val="22"/>
                <w:szCs w:val="22"/>
                <w:lang w:eastAsia="da-DK"/>
              </w:rPr>
              <w:t>Knogler, led, muskler og</w:t>
            </w:r>
            <w:r w:rsidR="004939F6" w:rsidRPr="004A11CF">
              <w:rPr>
                <w:b/>
                <w:sz w:val="22"/>
                <w:szCs w:val="22"/>
                <w:lang w:eastAsia="da-DK"/>
              </w:rPr>
              <w:t xml:space="preserve"> </w:t>
            </w:r>
            <w:r w:rsidRPr="004A11CF">
              <w:rPr>
                <w:b/>
                <w:sz w:val="22"/>
                <w:szCs w:val="22"/>
                <w:lang w:eastAsia="da-DK"/>
              </w:rPr>
              <w:t>bindevæv</w:t>
            </w:r>
          </w:p>
        </w:tc>
        <w:tc>
          <w:tcPr>
            <w:tcW w:w="1941" w:type="dxa"/>
            <w:tcBorders>
              <w:top w:val="single" w:sz="4" w:space="0" w:color="auto"/>
              <w:left w:val="single" w:sz="4" w:space="0" w:color="auto"/>
              <w:bottom w:val="single" w:sz="4" w:space="0" w:color="auto"/>
              <w:right w:val="single" w:sz="4" w:space="0" w:color="auto"/>
            </w:tcBorders>
          </w:tcPr>
          <w:p w14:paraId="36CE97D4" w14:textId="77777777" w:rsidR="00E904A2" w:rsidRPr="004A11CF" w:rsidRDefault="00E904A2">
            <w:pPr>
              <w:autoSpaceDE w:val="0"/>
              <w:autoSpaceDN w:val="0"/>
              <w:adjustRightInd w:val="0"/>
              <w:rPr>
                <w:noProof/>
                <w:sz w:val="22"/>
                <w:szCs w:val="22"/>
              </w:rPr>
            </w:pPr>
          </w:p>
        </w:tc>
        <w:tc>
          <w:tcPr>
            <w:tcW w:w="1750" w:type="dxa"/>
            <w:tcBorders>
              <w:top w:val="single" w:sz="4" w:space="0" w:color="auto"/>
              <w:left w:val="single" w:sz="4" w:space="0" w:color="auto"/>
              <w:bottom w:val="single" w:sz="4" w:space="0" w:color="auto"/>
              <w:right w:val="single" w:sz="4" w:space="0" w:color="auto"/>
            </w:tcBorders>
            <w:hideMark/>
          </w:tcPr>
          <w:p w14:paraId="2EA36673" w14:textId="77777777" w:rsidR="00E904A2" w:rsidRPr="004A11CF" w:rsidRDefault="00E904A2">
            <w:pPr>
              <w:autoSpaceDE w:val="0"/>
              <w:autoSpaceDN w:val="0"/>
              <w:adjustRightInd w:val="0"/>
              <w:rPr>
                <w:noProof/>
                <w:sz w:val="22"/>
                <w:szCs w:val="22"/>
              </w:rPr>
            </w:pPr>
            <w:proofErr w:type="spellStart"/>
            <w:r w:rsidRPr="004A11CF">
              <w:rPr>
                <w:sz w:val="22"/>
                <w:szCs w:val="22"/>
                <w:lang w:eastAsia="da-DK"/>
              </w:rPr>
              <w:t>Artralgi</w:t>
            </w:r>
            <w:proofErr w:type="spellEnd"/>
          </w:p>
        </w:tc>
        <w:tc>
          <w:tcPr>
            <w:tcW w:w="2171" w:type="dxa"/>
            <w:tcBorders>
              <w:top w:val="single" w:sz="4" w:space="0" w:color="auto"/>
              <w:left w:val="single" w:sz="4" w:space="0" w:color="auto"/>
              <w:bottom w:val="single" w:sz="4" w:space="0" w:color="auto"/>
              <w:right w:val="single" w:sz="4" w:space="0" w:color="auto"/>
            </w:tcBorders>
          </w:tcPr>
          <w:p w14:paraId="4D9E19BA" w14:textId="77777777" w:rsidR="00E904A2" w:rsidRPr="004A11CF" w:rsidRDefault="00E904A2">
            <w:pPr>
              <w:autoSpaceDE w:val="0"/>
              <w:autoSpaceDN w:val="0"/>
              <w:adjustRightInd w:val="0"/>
              <w:rPr>
                <w:noProof/>
                <w:sz w:val="22"/>
                <w:szCs w:val="22"/>
              </w:rPr>
            </w:pPr>
          </w:p>
        </w:tc>
      </w:tr>
      <w:tr w:rsidR="00E904A2" w:rsidRPr="004A11CF" w14:paraId="5C181B68" w14:textId="77777777" w:rsidTr="00CC3C0C">
        <w:tc>
          <w:tcPr>
            <w:tcW w:w="2926" w:type="dxa"/>
            <w:tcBorders>
              <w:top w:val="single" w:sz="4" w:space="0" w:color="auto"/>
              <w:left w:val="single" w:sz="4" w:space="0" w:color="auto"/>
              <w:bottom w:val="single" w:sz="4" w:space="0" w:color="auto"/>
              <w:right w:val="single" w:sz="4" w:space="0" w:color="auto"/>
            </w:tcBorders>
          </w:tcPr>
          <w:p w14:paraId="75F802EB" w14:textId="1AFD4F85" w:rsidR="00E904A2" w:rsidRPr="004A11CF" w:rsidRDefault="00E904A2" w:rsidP="004939F6">
            <w:pPr>
              <w:autoSpaceDE w:val="0"/>
              <w:autoSpaceDN w:val="0"/>
              <w:adjustRightInd w:val="0"/>
              <w:rPr>
                <w:b/>
                <w:sz w:val="22"/>
                <w:szCs w:val="22"/>
                <w:lang w:eastAsia="da-DK"/>
              </w:rPr>
            </w:pPr>
            <w:r w:rsidRPr="004A11CF">
              <w:rPr>
                <w:b/>
                <w:sz w:val="22"/>
                <w:szCs w:val="22"/>
                <w:lang w:eastAsia="da-DK"/>
              </w:rPr>
              <w:t>Nyrer og urinveje</w:t>
            </w:r>
          </w:p>
        </w:tc>
        <w:tc>
          <w:tcPr>
            <w:tcW w:w="1941" w:type="dxa"/>
            <w:tcBorders>
              <w:top w:val="single" w:sz="4" w:space="0" w:color="auto"/>
              <w:left w:val="single" w:sz="4" w:space="0" w:color="auto"/>
              <w:bottom w:val="single" w:sz="4" w:space="0" w:color="auto"/>
              <w:right w:val="single" w:sz="4" w:space="0" w:color="auto"/>
            </w:tcBorders>
            <w:hideMark/>
          </w:tcPr>
          <w:p w14:paraId="4694E7FC" w14:textId="77777777" w:rsidR="00E904A2" w:rsidRPr="004A11CF" w:rsidRDefault="00E904A2">
            <w:pPr>
              <w:autoSpaceDE w:val="0"/>
              <w:autoSpaceDN w:val="0"/>
              <w:adjustRightInd w:val="0"/>
              <w:rPr>
                <w:noProof/>
                <w:sz w:val="22"/>
                <w:szCs w:val="22"/>
              </w:rPr>
            </w:pPr>
            <w:proofErr w:type="spellStart"/>
            <w:r w:rsidRPr="004A11CF">
              <w:rPr>
                <w:sz w:val="22"/>
                <w:szCs w:val="22"/>
                <w:lang w:eastAsia="da-DK"/>
              </w:rPr>
              <w:t>Kromaturi</w:t>
            </w:r>
            <w:proofErr w:type="spellEnd"/>
          </w:p>
        </w:tc>
        <w:tc>
          <w:tcPr>
            <w:tcW w:w="1750" w:type="dxa"/>
            <w:tcBorders>
              <w:top w:val="single" w:sz="4" w:space="0" w:color="auto"/>
              <w:left w:val="single" w:sz="4" w:space="0" w:color="auto"/>
              <w:bottom w:val="single" w:sz="4" w:space="0" w:color="auto"/>
              <w:right w:val="single" w:sz="4" w:space="0" w:color="auto"/>
            </w:tcBorders>
          </w:tcPr>
          <w:p w14:paraId="599476B4" w14:textId="77777777" w:rsidR="00E904A2" w:rsidRPr="004A11CF" w:rsidRDefault="00E904A2">
            <w:pPr>
              <w:autoSpaceDE w:val="0"/>
              <w:autoSpaceDN w:val="0"/>
              <w:adjustRightInd w:val="0"/>
              <w:rPr>
                <w:noProof/>
                <w:sz w:val="22"/>
                <w:szCs w:val="22"/>
              </w:rPr>
            </w:pPr>
          </w:p>
        </w:tc>
        <w:tc>
          <w:tcPr>
            <w:tcW w:w="2171" w:type="dxa"/>
            <w:tcBorders>
              <w:top w:val="single" w:sz="4" w:space="0" w:color="auto"/>
              <w:left w:val="single" w:sz="4" w:space="0" w:color="auto"/>
              <w:bottom w:val="single" w:sz="4" w:space="0" w:color="auto"/>
              <w:right w:val="single" w:sz="4" w:space="0" w:color="auto"/>
            </w:tcBorders>
          </w:tcPr>
          <w:p w14:paraId="2F9AAE29" w14:textId="77777777" w:rsidR="00E904A2" w:rsidRPr="004A11CF" w:rsidRDefault="00E904A2">
            <w:pPr>
              <w:autoSpaceDE w:val="0"/>
              <w:autoSpaceDN w:val="0"/>
              <w:adjustRightInd w:val="0"/>
              <w:rPr>
                <w:noProof/>
                <w:sz w:val="22"/>
                <w:szCs w:val="22"/>
              </w:rPr>
            </w:pPr>
          </w:p>
        </w:tc>
      </w:tr>
      <w:tr w:rsidR="00E904A2" w:rsidRPr="004A11CF" w14:paraId="450525EF" w14:textId="77777777" w:rsidTr="00CC3C0C">
        <w:tc>
          <w:tcPr>
            <w:tcW w:w="2926" w:type="dxa"/>
            <w:tcBorders>
              <w:top w:val="single" w:sz="4" w:space="0" w:color="auto"/>
              <w:left w:val="single" w:sz="4" w:space="0" w:color="auto"/>
              <w:bottom w:val="single" w:sz="4" w:space="0" w:color="auto"/>
              <w:right w:val="single" w:sz="4" w:space="0" w:color="auto"/>
            </w:tcBorders>
          </w:tcPr>
          <w:p w14:paraId="6272A59C" w14:textId="25CB04B5" w:rsidR="00E904A2" w:rsidRPr="004A11CF" w:rsidRDefault="00E904A2" w:rsidP="004939F6">
            <w:pPr>
              <w:autoSpaceDE w:val="0"/>
              <w:autoSpaceDN w:val="0"/>
              <w:adjustRightInd w:val="0"/>
              <w:rPr>
                <w:b/>
                <w:sz w:val="22"/>
                <w:szCs w:val="22"/>
                <w:lang w:eastAsia="da-DK"/>
              </w:rPr>
            </w:pPr>
            <w:r w:rsidRPr="004A11CF">
              <w:rPr>
                <w:b/>
                <w:sz w:val="22"/>
                <w:szCs w:val="22"/>
                <w:lang w:eastAsia="da-DK"/>
              </w:rPr>
              <w:t>Almene symptomer og</w:t>
            </w:r>
            <w:r w:rsidR="004939F6" w:rsidRPr="004A11CF">
              <w:rPr>
                <w:b/>
                <w:sz w:val="22"/>
                <w:szCs w:val="22"/>
                <w:lang w:eastAsia="da-DK"/>
              </w:rPr>
              <w:t xml:space="preserve"> </w:t>
            </w:r>
            <w:r w:rsidRPr="004A11CF">
              <w:rPr>
                <w:b/>
                <w:sz w:val="22"/>
                <w:szCs w:val="22"/>
                <w:lang w:eastAsia="da-DK"/>
              </w:rPr>
              <w:t>reaktioner på</w:t>
            </w:r>
            <w:r w:rsidR="004939F6" w:rsidRPr="004A11CF">
              <w:rPr>
                <w:b/>
                <w:sz w:val="22"/>
                <w:szCs w:val="22"/>
                <w:lang w:eastAsia="da-DK"/>
              </w:rPr>
              <w:t xml:space="preserve"> </w:t>
            </w:r>
            <w:r w:rsidRPr="004A11CF">
              <w:rPr>
                <w:b/>
                <w:sz w:val="22"/>
                <w:szCs w:val="22"/>
                <w:lang w:eastAsia="da-DK"/>
              </w:rPr>
              <w:t>administrationsstedet</w:t>
            </w:r>
          </w:p>
        </w:tc>
        <w:tc>
          <w:tcPr>
            <w:tcW w:w="1941" w:type="dxa"/>
            <w:tcBorders>
              <w:top w:val="single" w:sz="4" w:space="0" w:color="auto"/>
              <w:left w:val="single" w:sz="4" w:space="0" w:color="auto"/>
              <w:bottom w:val="single" w:sz="4" w:space="0" w:color="auto"/>
              <w:right w:val="single" w:sz="4" w:space="0" w:color="auto"/>
            </w:tcBorders>
          </w:tcPr>
          <w:p w14:paraId="6348407D" w14:textId="77777777" w:rsidR="00E904A2" w:rsidRPr="004A11CF" w:rsidRDefault="00E904A2">
            <w:pPr>
              <w:autoSpaceDE w:val="0"/>
              <w:autoSpaceDN w:val="0"/>
              <w:adjustRightInd w:val="0"/>
              <w:rPr>
                <w:noProof/>
                <w:sz w:val="22"/>
                <w:szCs w:val="22"/>
              </w:rPr>
            </w:pPr>
          </w:p>
        </w:tc>
        <w:tc>
          <w:tcPr>
            <w:tcW w:w="1750" w:type="dxa"/>
            <w:tcBorders>
              <w:top w:val="single" w:sz="4" w:space="0" w:color="auto"/>
              <w:left w:val="single" w:sz="4" w:space="0" w:color="auto"/>
              <w:bottom w:val="single" w:sz="4" w:space="0" w:color="auto"/>
              <w:right w:val="single" w:sz="4" w:space="0" w:color="auto"/>
            </w:tcBorders>
            <w:hideMark/>
          </w:tcPr>
          <w:p w14:paraId="65DEEE0C" w14:textId="77777777" w:rsidR="00E904A2" w:rsidRPr="004A11CF" w:rsidRDefault="00E904A2">
            <w:pPr>
              <w:autoSpaceDE w:val="0"/>
              <w:autoSpaceDN w:val="0"/>
              <w:adjustRightInd w:val="0"/>
              <w:rPr>
                <w:noProof/>
                <w:sz w:val="22"/>
                <w:szCs w:val="22"/>
              </w:rPr>
            </w:pPr>
            <w:r w:rsidRPr="004A11CF">
              <w:rPr>
                <w:sz w:val="22"/>
                <w:szCs w:val="22"/>
                <w:lang w:eastAsia="da-DK"/>
              </w:rPr>
              <w:t>Træthed</w:t>
            </w:r>
          </w:p>
        </w:tc>
        <w:tc>
          <w:tcPr>
            <w:tcW w:w="2171" w:type="dxa"/>
            <w:tcBorders>
              <w:top w:val="single" w:sz="4" w:space="0" w:color="auto"/>
              <w:left w:val="single" w:sz="4" w:space="0" w:color="auto"/>
              <w:bottom w:val="single" w:sz="4" w:space="0" w:color="auto"/>
              <w:right w:val="single" w:sz="4" w:space="0" w:color="auto"/>
            </w:tcBorders>
          </w:tcPr>
          <w:p w14:paraId="345F3F1E" w14:textId="77777777" w:rsidR="00E904A2" w:rsidRPr="004A11CF" w:rsidRDefault="00E904A2">
            <w:pPr>
              <w:autoSpaceDE w:val="0"/>
              <w:autoSpaceDN w:val="0"/>
              <w:adjustRightInd w:val="0"/>
              <w:rPr>
                <w:noProof/>
                <w:sz w:val="22"/>
                <w:szCs w:val="22"/>
              </w:rPr>
            </w:pPr>
          </w:p>
        </w:tc>
      </w:tr>
      <w:tr w:rsidR="00E904A2" w:rsidRPr="004A11CF" w14:paraId="6D12A129" w14:textId="77777777" w:rsidTr="00CC3C0C">
        <w:tc>
          <w:tcPr>
            <w:tcW w:w="2926" w:type="dxa"/>
            <w:tcBorders>
              <w:top w:val="single" w:sz="4" w:space="0" w:color="auto"/>
              <w:left w:val="single" w:sz="4" w:space="0" w:color="auto"/>
              <w:bottom w:val="single" w:sz="4" w:space="0" w:color="auto"/>
              <w:right w:val="single" w:sz="4" w:space="0" w:color="auto"/>
            </w:tcBorders>
            <w:hideMark/>
          </w:tcPr>
          <w:p w14:paraId="718D18F7" w14:textId="77777777" w:rsidR="00E904A2" w:rsidRPr="004A11CF" w:rsidRDefault="00E904A2">
            <w:pPr>
              <w:autoSpaceDE w:val="0"/>
              <w:autoSpaceDN w:val="0"/>
              <w:adjustRightInd w:val="0"/>
              <w:rPr>
                <w:b/>
                <w:sz w:val="22"/>
                <w:szCs w:val="22"/>
                <w:lang w:eastAsia="da-DK"/>
              </w:rPr>
            </w:pPr>
            <w:r w:rsidRPr="004A11CF">
              <w:rPr>
                <w:b/>
                <w:sz w:val="22"/>
                <w:szCs w:val="22"/>
                <w:lang w:eastAsia="da-DK"/>
              </w:rPr>
              <w:t>Undersøgelser</w:t>
            </w:r>
          </w:p>
        </w:tc>
        <w:tc>
          <w:tcPr>
            <w:tcW w:w="1941" w:type="dxa"/>
            <w:tcBorders>
              <w:top w:val="single" w:sz="4" w:space="0" w:color="auto"/>
              <w:left w:val="single" w:sz="4" w:space="0" w:color="auto"/>
              <w:bottom w:val="single" w:sz="4" w:space="0" w:color="auto"/>
              <w:right w:val="single" w:sz="4" w:space="0" w:color="auto"/>
            </w:tcBorders>
          </w:tcPr>
          <w:p w14:paraId="4D039F16" w14:textId="77777777" w:rsidR="00E904A2" w:rsidRPr="004A11CF" w:rsidRDefault="00E904A2">
            <w:pPr>
              <w:autoSpaceDE w:val="0"/>
              <w:autoSpaceDN w:val="0"/>
              <w:adjustRightInd w:val="0"/>
              <w:rPr>
                <w:noProof/>
                <w:sz w:val="22"/>
                <w:szCs w:val="22"/>
              </w:rPr>
            </w:pPr>
          </w:p>
        </w:tc>
        <w:tc>
          <w:tcPr>
            <w:tcW w:w="1750" w:type="dxa"/>
            <w:tcBorders>
              <w:top w:val="single" w:sz="4" w:space="0" w:color="auto"/>
              <w:left w:val="single" w:sz="4" w:space="0" w:color="auto"/>
              <w:bottom w:val="single" w:sz="4" w:space="0" w:color="auto"/>
              <w:right w:val="single" w:sz="4" w:space="0" w:color="auto"/>
            </w:tcBorders>
            <w:hideMark/>
          </w:tcPr>
          <w:p w14:paraId="1EFAE370" w14:textId="77777777" w:rsidR="00E904A2" w:rsidRPr="004A11CF" w:rsidRDefault="00E904A2">
            <w:pPr>
              <w:autoSpaceDE w:val="0"/>
              <w:autoSpaceDN w:val="0"/>
              <w:adjustRightInd w:val="0"/>
              <w:rPr>
                <w:sz w:val="22"/>
                <w:szCs w:val="22"/>
                <w:lang w:eastAsia="da-DK"/>
              </w:rPr>
            </w:pPr>
            <w:r w:rsidRPr="004A11CF">
              <w:rPr>
                <w:sz w:val="22"/>
                <w:szCs w:val="22"/>
                <w:lang w:eastAsia="da-DK"/>
              </w:rPr>
              <w:t>Forhøjede</w:t>
            </w:r>
          </w:p>
          <w:p w14:paraId="19F40E5D" w14:textId="77777777" w:rsidR="00E904A2" w:rsidRPr="004A11CF" w:rsidRDefault="00E904A2">
            <w:pPr>
              <w:autoSpaceDE w:val="0"/>
              <w:autoSpaceDN w:val="0"/>
              <w:adjustRightInd w:val="0"/>
              <w:rPr>
                <w:noProof/>
                <w:sz w:val="22"/>
                <w:szCs w:val="22"/>
              </w:rPr>
            </w:pPr>
            <w:r w:rsidRPr="004A11CF">
              <w:rPr>
                <w:sz w:val="22"/>
                <w:szCs w:val="22"/>
                <w:lang w:eastAsia="da-DK"/>
              </w:rPr>
              <w:t>leverenzymer</w:t>
            </w:r>
          </w:p>
        </w:tc>
        <w:tc>
          <w:tcPr>
            <w:tcW w:w="2171" w:type="dxa"/>
            <w:tcBorders>
              <w:top w:val="single" w:sz="4" w:space="0" w:color="auto"/>
              <w:left w:val="single" w:sz="4" w:space="0" w:color="auto"/>
              <w:bottom w:val="single" w:sz="4" w:space="0" w:color="auto"/>
              <w:right w:val="single" w:sz="4" w:space="0" w:color="auto"/>
            </w:tcBorders>
          </w:tcPr>
          <w:p w14:paraId="42D7D4FC" w14:textId="77777777" w:rsidR="00E904A2" w:rsidRPr="004A11CF" w:rsidRDefault="00E904A2">
            <w:pPr>
              <w:autoSpaceDE w:val="0"/>
              <w:autoSpaceDN w:val="0"/>
              <w:adjustRightInd w:val="0"/>
              <w:rPr>
                <w:noProof/>
                <w:sz w:val="22"/>
                <w:szCs w:val="22"/>
              </w:rPr>
            </w:pPr>
          </w:p>
        </w:tc>
      </w:tr>
    </w:tbl>
    <w:p w14:paraId="7EBD8505" w14:textId="77777777" w:rsidR="00E904A2" w:rsidRPr="009752A1" w:rsidRDefault="00E904A2" w:rsidP="00E904A2">
      <w:pPr>
        <w:autoSpaceDE w:val="0"/>
        <w:autoSpaceDN w:val="0"/>
        <w:adjustRightInd w:val="0"/>
        <w:rPr>
          <w:noProof/>
          <w:sz w:val="24"/>
          <w:szCs w:val="24"/>
        </w:rPr>
      </w:pPr>
    </w:p>
    <w:p w14:paraId="47A51D02" w14:textId="77777777" w:rsidR="00E904A2" w:rsidRPr="009752A1" w:rsidRDefault="00E904A2" w:rsidP="00CC3C0C">
      <w:pPr>
        <w:autoSpaceDE w:val="0"/>
        <w:autoSpaceDN w:val="0"/>
        <w:adjustRightInd w:val="0"/>
        <w:ind w:left="851"/>
        <w:rPr>
          <w:sz w:val="24"/>
          <w:szCs w:val="24"/>
          <w:u w:val="single"/>
          <w:lang w:eastAsia="da-DK"/>
        </w:rPr>
      </w:pPr>
      <w:r w:rsidRPr="009752A1">
        <w:rPr>
          <w:sz w:val="24"/>
          <w:szCs w:val="24"/>
          <w:u w:val="single"/>
          <w:lang w:eastAsia="da-DK"/>
        </w:rPr>
        <w:t>Beskrivelse af udvalgte bivirkninger</w:t>
      </w:r>
    </w:p>
    <w:p w14:paraId="52E7FC65" w14:textId="77777777" w:rsidR="006C5ECE" w:rsidRDefault="006C5ECE" w:rsidP="006C5ECE">
      <w:pPr>
        <w:autoSpaceDE w:val="0"/>
        <w:autoSpaceDN w:val="0"/>
        <w:adjustRightInd w:val="0"/>
        <w:ind w:left="851"/>
        <w:rPr>
          <w:sz w:val="24"/>
          <w:szCs w:val="24"/>
          <w:lang w:eastAsia="da-DK"/>
        </w:rPr>
      </w:pPr>
      <w:r>
        <w:rPr>
          <w:sz w:val="24"/>
          <w:szCs w:val="24"/>
          <w:lang w:eastAsia="da-DK"/>
        </w:rPr>
        <w:t xml:space="preserve">De mest alvorlige bivirkninger, der er rapporteret ved kliniske studier med </w:t>
      </w:r>
      <w:proofErr w:type="spellStart"/>
      <w:r>
        <w:rPr>
          <w:sz w:val="24"/>
          <w:szCs w:val="24"/>
          <w:lang w:eastAsia="da-DK"/>
        </w:rPr>
        <w:t>deferipron</w:t>
      </w:r>
      <w:proofErr w:type="spellEnd"/>
      <w:r>
        <w:rPr>
          <w:sz w:val="24"/>
          <w:szCs w:val="24"/>
          <w:lang w:eastAsia="da-DK"/>
        </w:rPr>
        <w:t xml:space="preserve">, er </w:t>
      </w:r>
      <w:proofErr w:type="spellStart"/>
      <w:r>
        <w:rPr>
          <w:sz w:val="24"/>
          <w:szCs w:val="24"/>
          <w:lang w:eastAsia="da-DK"/>
        </w:rPr>
        <w:t>agranulocytose</w:t>
      </w:r>
      <w:proofErr w:type="spellEnd"/>
      <w:r>
        <w:rPr>
          <w:sz w:val="24"/>
          <w:szCs w:val="24"/>
          <w:lang w:eastAsia="da-DK"/>
        </w:rPr>
        <w:t xml:space="preserve"> (</w:t>
      </w:r>
      <w:proofErr w:type="spellStart"/>
      <w:r>
        <w:rPr>
          <w:sz w:val="24"/>
          <w:szCs w:val="24"/>
          <w:lang w:eastAsia="da-DK"/>
        </w:rPr>
        <w:t>neutrofiltal</w:t>
      </w:r>
      <w:proofErr w:type="spellEnd"/>
      <w:r>
        <w:rPr>
          <w:sz w:val="24"/>
          <w:szCs w:val="24"/>
          <w:lang w:eastAsia="da-DK"/>
        </w:rPr>
        <w:t xml:space="preserve"> &lt; 0,5×10</w:t>
      </w:r>
      <w:r>
        <w:rPr>
          <w:sz w:val="24"/>
          <w:szCs w:val="24"/>
          <w:vertAlign w:val="superscript"/>
          <w:lang w:eastAsia="da-DK"/>
        </w:rPr>
        <w:t>9</w:t>
      </w:r>
      <w:r>
        <w:rPr>
          <w:sz w:val="24"/>
          <w:szCs w:val="24"/>
          <w:lang w:eastAsia="da-DK"/>
        </w:rPr>
        <w:t xml:space="preserve">/l) med en forekomst på 1,1 % (0,6 tilfælde pr. 100 patient-årsbehandling) (se pkt. 4.4). Data fra </w:t>
      </w:r>
      <w:proofErr w:type="spellStart"/>
      <w:r>
        <w:rPr>
          <w:sz w:val="24"/>
          <w:szCs w:val="24"/>
          <w:lang w:eastAsia="da-DK"/>
        </w:rPr>
        <w:t>poolede</w:t>
      </w:r>
      <w:proofErr w:type="spellEnd"/>
      <w:r>
        <w:rPr>
          <w:sz w:val="24"/>
          <w:szCs w:val="24"/>
          <w:lang w:eastAsia="da-DK"/>
        </w:rPr>
        <w:t xml:space="preserve"> kliniske studier med patienter med systemisk jernophobning viste, at 63 % af episoderne med </w:t>
      </w:r>
      <w:proofErr w:type="spellStart"/>
      <w:r>
        <w:rPr>
          <w:sz w:val="24"/>
          <w:szCs w:val="24"/>
          <w:lang w:eastAsia="da-DK"/>
        </w:rPr>
        <w:t>agranulocytose</w:t>
      </w:r>
      <w:proofErr w:type="spellEnd"/>
      <w:r>
        <w:rPr>
          <w:sz w:val="24"/>
          <w:szCs w:val="24"/>
          <w:lang w:eastAsia="da-DK"/>
        </w:rPr>
        <w:t xml:space="preserve"> forekom inden for de første seks måneders behandling, 74 % inden for det første år og 26 % efter et års behandling. Mediantiden til den første episode med </w:t>
      </w:r>
      <w:proofErr w:type="spellStart"/>
      <w:r>
        <w:rPr>
          <w:sz w:val="24"/>
          <w:szCs w:val="24"/>
          <w:lang w:eastAsia="da-DK"/>
        </w:rPr>
        <w:t>agranulocytose</w:t>
      </w:r>
      <w:proofErr w:type="spellEnd"/>
      <w:r>
        <w:rPr>
          <w:sz w:val="24"/>
          <w:szCs w:val="24"/>
          <w:lang w:eastAsia="da-DK"/>
        </w:rPr>
        <w:t xml:space="preserve"> var 190 dage (22 dage - 17,6 år) og medianvarigheden var 10 dage i kliniske studier. Der blev observeret dødsfald i 8,3 % af de rapporterede episoder med </w:t>
      </w:r>
      <w:proofErr w:type="spellStart"/>
      <w:r>
        <w:rPr>
          <w:sz w:val="24"/>
          <w:szCs w:val="24"/>
          <w:lang w:eastAsia="da-DK"/>
        </w:rPr>
        <w:t>agranulocytose</w:t>
      </w:r>
      <w:proofErr w:type="spellEnd"/>
      <w:r>
        <w:rPr>
          <w:sz w:val="24"/>
          <w:szCs w:val="24"/>
          <w:lang w:eastAsia="da-DK"/>
        </w:rPr>
        <w:t xml:space="preserve"> fra kliniske studier og efter markedsføring.</w:t>
      </w:r>
    </w:p>
    <w:p w14:paraId="28CA8C47" w14:textId="77777777" w:rsidR="006C5ECE" w:rsidRDefault="006C5ECE" w:rsidP="006C5ECE">
      <w:pPr>
        <w:autoSpaceDE w:val="0"/>
        <w:autoSpaceDN w:val="0"/>
        <w:adjustRightInd w:val="0"/>
        <w:ind w:left="851"/>
        <w:rPr>
          <w:sz w:val="24"/>
          <w:szCs w:val="24"/>
          <w:lang w:eastAsia="da-DK"/>
        </w:rPr>
      </w:pPr>
    </w:p>
    <w:p w14:paraId="7D74549C" w14:textId="77777777" w:rsidR="006C5ECE" w:rsidRDefault="006C5ECE" w:rsidP="006C5ECE">
      <w:pPr>
        <w:autoSpaceDE w:val="0"/>
        <w:autoSpaceDN w:val="0"/>
        <w:adjustRightInd w:val="0"/>
        <w:ind w:left="851"/>
        <w:rPr>
          <w:sz w:val="24"/>
          <w:szCs w:val="24"/>
          <w:lang w:eastAsia="da-DK"/>
        </w:rPr>
      </w:pPr>
      <w:r>
        <w:rPr>
          <w:sz w:val="24"/>
          <w:szCs w:val="24"/>
          <w:lang w:eastAsia="da-DK"/>
        </w:rPr>
        <w:t xml:space="preserve">Den observerede forekomst af den mindre svære form af </w:t>
      </w:r>
      <w:proofErr w:type="spellStart"/>
      <w:r>
        <w:rPr>
          <w:sz w:val="24"/>
          <w:szCs w:val="24"/>
          <w:lang w:eastAsia="da-DK"/>
        </w:rPr>
        <w:t>neutropeni</w:t>
      </w:r>
      <w:proofErr w:type="spellEnd"/>
      <w:r>
        <w:rPr>
          <w:sz w:val="24"/>
          <w:szCs w:val="24"/>
          <w:lang w:eastAsia="da-DK"/>
        </w:rPr>
        <w:t xml:space="preserve"> (</w:t>
      </w:r>
      <w:proofErr w:type="spellStart"/>
      <w:r>
        <w:rPr>
          <w:sz w:val="24"/>
          <w:szCs w:val="24"/>
          <w:lang w:eastAsia="da-DK"/>
        </w:rPr>
        <w:t>neutrofiler</w:t>
      </w:r>
      <w:proofErr w:type="spellEnd"/>
      <w:r>
        <w:rPr>
          <w:sz w:val="24"/>
          <w:szCs w:val="24"/>
          <w:lang w:eastAsia="da-DK"/>
        </w:rPr>
        <w:t xml:space="preserve"> &lt; 1,5x109/l) er 4,9 % (2,5 tilfælde pr. 100 </w:t>
      </w:r>
      <w:proofErr w:type="spellStart"/>
      <w:r>
        <w:rPr>
          <w:sz w:val="24"/>
          <w:szCs w:val="24"/>
          <w:lang w:eastAsia="da-DK"/>
        </w:rPr>
        <w:t>patientår</w:t>
      </w:r>
      <w:proofErr w:type="spellEnd"/>
      <w:r>
        <w:rPr>
          <w:sz w:val="24"/>
          <w:szCs w:val="24"/>
          <w:lang w:eastAsia="da-DK"/>
        </w:rPr>
        <w:t xml:space="preserve">). Denne hyppighed bør overvejes inden for rammerne af den underliggende forhøjede forekomst af </w:t>
      </w:r>
      <w:proofErr w:type="spellStart"/>
      <w:r>
        <w:rPr>
          <w:sz w:val="24"/>
          <w:szCs w:val="24"/>
          <w:lang w:eastAsia="da-DK"/>
        </w:rPr>
        <w:t>neutropeni</w:t>
      </w:r>
      <w:proofErr w:type="spellEnd"/>
      <w:r>
        <w:rPr>
          <w:sz w:val="24"/>
          <w:szCs w:val="24"/>
          <w:lang w:eastAsia="da-DK"/>
        </w:rPr>
        <w:t xml:space="preserve"> hos patienter med </w:t>
      </w:r>
      <w:proofErr w:type="spellStart"/>
      <w:r>
        <w:rPr>
          <w:sz w:val="24"/>
          <w:szCs w:val="24"/>
          <w:lang w:eastAsia="da-DK"/>
        </w:rPr>
        <w:t>thalassæmi</w:t>
      </w:r>
      <w:proofErr w:type="spellEnd"/>
      <w:r>
        <w:rPr>
          <w:sz w:val="24"/>
          <w:szCs w:val="24"/>
          <w:lang w:eastAsia="da-DK"/>
        </w:rPr>
        <w:t xml:space="preserve">, især hos patienter med </w:t>
      </w:r>
      <w:proofErr w:type="spellStart"/>
      <w:r>
        <w:rPr>
          <w:sz w:val="24"/>
          <w:szCs w:val="24"/>
          <w:lang w:eastAsia="da-DK"/>
        </w:rPr>
        <w:t>hypersplenisme</w:t>
      </w:r>
      <w:proofErr w:type="spellEnd"/>
      <w:r>
        <w:rPr>
          <w:sz w:val="24"/>
          <w:szCs w:val="24"/>
          <w:lang w:eastAsia="da-DK"/>
        </w:rPr>
        <w:t>.</w:t>
      </w:r>
    </w:p>
    <w:p w14:paraId="51BD1D5A" w14:textId="77777777" w:rsidR="00E904A2" w:rsidRPr="009752A1" w:rsidRDefault="00E904A2" w:rsidP="00CC3C0C">
      <w:pPr>
        <w:ind w:left="851"/>
        <w:rPr>
          <w:noProof/>
          <w:sz w:val="24"/>
          <w:szCs w:val="24"/>
        </w:rPr>
      </w:pPr>
    </w:p>
    <w:p w14:paraId="5F1BF1AA" w14:textId="77777777" w:rsidR="00E904A2" w:rsidRPr="009752A1" w:rsidRDefault="00E904A2" w:rsidP="00CC3C0C">
      <w:pPr>
        <w:autoSpaceDE w:val="0"/>
        <w:autoSpaceDN w:val="0"/>
        <w:adjustRightInd w:val="0"/>
        <w:ind w:left="851"/>
        <w:rPr>
          <w:noProof/>
          <w:sz w:val="24"/>
          <w:szCs w:val="24"/>
        </w:rPr>
      </w:pPr>
      <w:r w:rsidRPr="009752A1">
        <w:rPr>
          <w:sz w:val="24"/>
          <w:szCs w:val="24"/>
          <w:lang w:eastAsia="da-DK"/>
        </w:rPr>
        <w:t xml:space="preserve">Tilfælde af diarré, som oftest lette og forbigående, er blevet rapporteret hos patienter, der er behandlet med </w:t>
      </w:r>
      <w:proofErr w:type="spellStart"/>
      <w:r w:rsidRPr="009752A1">
        <w:rPr>
          <w:sz w:val="24"/>
          <w:szCs w:val="24"/>
          <w:lang w:eastAsia="da-DK"/>
        </w:rPr>
        <w:t>deferipron</w:t>
      </w:r>
      <w:proofErr w:type="spellEnd"/>
      <w:r w:rsidRPr="009752A1">
        <w:rPr>
          <w:sz w:val="24"/>
          <w:szCs w:val="24"/>
          <w:lang w:eastAsia="da-DK"/>
        </w:rPr>
        <w:t xml:space="preserve">. </w:t>
      </w:r>
      <w:proofErr w:type="spellStart"/>
      <w:r w:rsidRPr="009752A1">
        <w:rPr>
          <w:sz w:val="24"/>
          <w:szCs w:val="24"/>
          <w:lang w:eastAsia="da-DK"/>
        </w:rPr>
        <w:t>Gastrointestinale</w:t>
      </w:r>
      <w:proofErr w:type="spellEnd"/>
      <w:r w:rsidRPr="009752A1">
        <w:rPr>
          <w:sz w:val="24"/>
          <w:szCs w:val="24"/>
          <w:lang w:eastAsia="da-DK"/>
        </w:rPr>
        <w:t xml:space="preserve"> virkninger ses hyppigere i begyndelsen af behandlingen, og hos de fleste patienter ophører de inden for nogle få uger, uden at behandlingen seponeres. Hos nogle patienter kan det være gavnligt at reducere </w:t>
      </w:r>
      <w:proofErr w:type="spellStart"/>
      <w:r w:rsidRPr="009752A1">
        <w:rPr>
          <w:sz w:val="24"/>
          <w:szCs w:val="24"/>
          <w:lang w:eastAsia="da-DK"/>
        </w:rPr>
        <w:t>deferiprondosis</w:t>
      </w:r>
      <w:proofErr w:type="spellEnd"/>
      <w:r w:rsidRPr="009752A1">
        <w:rPr>
          <w:sz w:val="24"/>
          <w:szCs w:val="24"/>
          <w:lang w:eastAsia="da-DK"/>
        </w:rPr>
        <w:t xml:space="preserve"> og dernæst skalere den tilbage op til den tidligere dosis. Artroser, der strakte sig fra lettere smerter i et eller flere led og op til alvorlig </w:t>
      </w:r>
      <w:proofErr w:type="spellStart"/>
      <w:r w:rsidRPr="009752A1">
        <w:rPr>
          <w:sz w:val="24"/>
          <w:szCs w:val="24"/>
          <w:lang w:eastAsia="da-DK"/>
        </w:rPr>
        <w:t>arthritis</w:t>
      </w:r>
      <w:proofErr w:type="spellEnd"/>
      <w:r w:rsidRPr="009752A1">
        <w:rPr>
          <w:sz w:val="24"/>
          <w:szCs w:val="24"/>
          <w:lang w:eastAsia="da-DK"/>
        </w:rPr>
        <w:t xml:space="preserve"> med </w:t>
      </w:r>
      <w:proofErr w:type="spellStart"/>
      <w:r w:rsidRPr="009752A1">
        <w:rPr>
          <w:sz w:val="24"/>
          <w:szCs w:val="24"/>
          <w:lang w:eastAsia="da-DK"/>
        </w:rPr>
        <w:t>effusion</w:t>
      </w:r>
      <w:proofErr w:type="spellEnd"/>
      <w:r w:rsidRPr="009752A1">
        <w:rPr>
          <w:sz w:val="24"/>
          <w:szCs w:val="24"/>
          <w:lang w:eastAsia="da-DK"/>
        </w:rPr>
        <w:t xml:space="preserve"> og signifikant funktionsnedsættelse er ligeledes blevet rapporteret hos patienter, der har modtaget behandling med </w:t>
      </w:r>
      <w:proofErr w:type="spellStart"/>
      <w:r w:rsidRPr="009752A1">
        <w:rPr>
          <w:sz w:val="24"/>
          <w:szCs w:val="24"/>
          <w:lang w:eastAsia="da-DK"/>
        </w:rPr>
        <w:t>deferipron</w:t>
      </w:r>
      <w:proofErr w:type="spellEnd"/>
      <w:r w:rsidRPr="009752A1">
        <w:rPr>
          <w:sz w:val="24"/>
          <w:szCs w:val="24"/>
          <w:lang w:eastAsia="da-DK"/>
        </w:rPr>
        <w:t>. Lettere artroser er generelt forbigående.</w:t>
      </w:r>
    </w:p>
    <w:p w14:paraId="4E12FD25" w14:textId="77777777" w:rsidR="00E904A2" w:rsidRPr="009752A1" w:rsidRDefault="00E904A2" w:rsidP="00CC3C0C">
      <w:pPr>
        <w:ind w:left="851"/>
        <w:rPr>
          <w:noProof/>
          <w:sz w:val="24"/>
          <w:szCs w:val="24"/>
        </w:rPr>
      </w:pPr>
    </w:p>
    <w:p w14:paraId="49864DFB" w14:textId="77777777" w:rsidR="00E904A2" w:rsidRPr="009752A1" w:rsidRDefault="00E904A2" w:rsidP="00CC3C0C">
      <w:pPr>
        <w:autoSpaceDE w:val="0"/>
        <w:autoSpaceDN w:val="0"/>
        <w:adjustRightInd w:val="0"/>
        <w:ind w:left="851"/>
        <w:rPr>
          <w:sz w:val="24"/>
          <w:szCs w:val="24"/>
          <w:lang w:eastAsia="da-DK"/>
        </w:rPr>
      </w:pPr>
      <w:r w:rsidRPr="009752A1">
        <w:rPr>
          <w:sz w:val="24"/>
          <w:szCs w:val="24"/>
          <w:lang w:eastAsia="da-DK"/>
        </w:rPr>
        <w:t xml:space="preserve">Øgede niveauer af serumleverenzymer er blevet rapporteret hos nogle patienter, der tager </w:t>
      </w:r>
      <w:proofErr w:type="spellStart"/>
      <w:r w:rsidRPr="009752A1">
        <w:rPr>
          <w:sz w:val="24"/>
          <w:szCs w:val="24"/>
          <w:lang w:eastAsia="da-DK"/>
        </w:rPr>
        <w:t>deferipron</w:t>
      </w:r>
      <w:proofErr w:type="spellEnd"/>
      <w:r w:rsidRPr="009752A1">
        <w:rPr>
          <w:sz w:val="24"/>
          <w:szCs w:val="24"/>
          <w:lang w:eastAsia="da-DK"/>
        </w:rPr>
        <w:t>.</w:t>
      </w:r>
    </w:p>
    <w:p w14:paraId="406A7258" w14:textId="77777777" w:rsidR="00E904A2" w:rsidRPr="009752A1" w:rsidRDefault="00E904A2" w:rsidP="00CC3C0C">
      <w:pPr>
        <w:autoSpaceDE w:val="0"/>
        <w:autoSpaceDN w:val="0"/>
        <w:adjustRightInd w:val="0"/>
        <w:ind w:left="851"/>
        <w:rPr>
          <w:noProof/>
          <w:sz w:val="24"/>
          <w:szCs w:val="24"/>
        </w:rPr>
      </w:pPr>
      <w:r w:rsidRPr="009752A1">
        <w:rPr>
          <w:sz w:val="24"/>
          <w:szCs w:val="24"/>
          <w:lang w:eastAsia="da-DK"/>
        </w:rPr>
        <w:t xml:space="preserve">Hos flertallet af disse patienter var forøgelsen asymptomatisk og forbigående og vendte tilbage til baseline, uden </w:t>
      </w:r>
      <w:proofErr w:type="spellStart"/>
      <w:r w:rsidRPr="009752A1">
        <w:rPr>
          <w:sz w:val="24"/>
          <w:szCs w:val="24"/>
          <w:lang w:eastAsia="da-DK"/>
        </w:rPr>
        <w:t>seponering</w:t>
      </w:r>
      <w:proofErr w:type="spellEnd"/>
      <w:r w:rsidRPr="009752A1">
        <w:rPr>
          <w:sz w:val="24"/>
          <w:szCs w:val="24"/>
          <w:lang w:eastAsia="da-DK"/>
        </w:rPr>
        <w:t xml:space="preserve"> eller dosisnedsættelse af </w:t>
      </w:r>
      <w:proofErr w:type="spellStart"/>
      <w:r w:rsidRPr="009752A1">
        <w:rPr>
          <w:sz w:val="24"/>
          <w:szCs w:val="24"/>
          <w:lang w:eastAsia="da-DK"/>
        </w:rPr>
        <w:t>deferipron</w:t>
      </w:r>
      <w:proofErr w:type="spellEnd"/>
      <w:r w:rsidRPr="009752A1">
        <w:rPr>
          <w:sz w:val="24"/>
          <w:szCs w:val="24"/>
          <w:lang w:eastAsia="da-DK"/>
        </w:rPr>
        <w:t xml:space="preserve"> (se pkt. 4.4).</w:t>
      </w:r>
    </w:p>
    <w:p w14:paraId="4EB183D8" w14:textId="77777777" w:rsidR="00E904A2" w:rsidRPr="009752A1" w:rsidRDefault="00E904A2" w:rsidP="00CC3C0C">
      <w:pPr>
        <w:autoSpaceDE w:val="0"/>
        <w:autoSpaceDN w:val="0"/>
        <w:adjustRightInd w:val="0"/>
        <w:ind w:left="851"/>
        <w:rPr>
          <w:noProof/>
          <w:sz w:val="24"/>
          <w:szCs w:val="24"/>
          <w:u w:val="single"/>
        </w:rPr>
      </w:pPr>
    </w:p>
    <w:p w14:paraId="0B1BC233" w14:textId="77777777" w:rsidR="00E904A2" w:rsidRPr="009752A1" w:rsidRDefault="00E904A2" w:rsidP="00CC3C0C">
      <w:pPr>
        <w:autoSpaceDE w:val="0"/>
        <w:autoSpaceDN w:val="0"/>
        <w:adjustRightInd w:val="0"/>
        <w:ind w:left="851"/>
        <w:rPr>
          <w:sz w:val="24"/>
          <w:szCs w:val="24"/>
          <w:lang w:eastAsia="da-DK"/>
        </w:rPr>
      </w:pPr>
      <w:r w:rsidRPr="009752A1">
        <w:rPr>
          <w:sz w:val="24"/>
          <w:szCs w:val="24"/>
          <w:lang w:eastAsia="da-DK"/>
        </w:rPr>
        <w:t>Nogle patienter fik progression af fibrosen, forbundet med en øgning af jernophobningen eller hepatitis C.</w:t>
      </w:r>
    </w:p>
    <w:p w14:paraId="42F5D201" w14:textId="77777777" w:rsidR="00E904A2" w:rsidRPr="009752A1" w:rsidRDefault="00E904A2" w:rsidP="00E904A2">
      <w:pPr>
        <w:autoSpaceDE w:val="0"/>
        <w:autoSpaceDN w:val="0"/>
        <w:adjustRightInd w:val="0"/>
        <w:rPr>
          <w:noProof/>
          <w:sz w:val="24"/>
          <w:szCs w:val="24"/>
          <w:u w:val="single"/>
        </w:rPr>
      </w:pPr>
    </w:p>
    <w:p w14:paraId="6B864208" w14:textId="77777777" w:rsidR="00E904A2" w:rsidRPr="009752A1" w:rsidRDefault="00E904A2" w:rsidP="00CC3C0C">
      <w:pPr>
        <w:autoSpaceDE w:val="0"/>
        <w:autoSpaceDN w:val="0"/>
        <w:adjustRightInd w:val="0"/>
        <w:ind w:left="851"/>
        <w:rPr>
          <w:noProof/>
          <w:sz w:val="24"/>
          <w:szCs w:val="24"/>
          <w:u w:val="single"/>
        </w:rPr>
      </w:pPr>
      <w:r w:rsidRPr="009752A1">
        <w:rPr>
          <w:sz w:val="24"/>
          <w:szCs w:val="24"/>
          <w:lang w:eastAsia="da-DK"/>
        </w:rPr>
        <w:t xml:space="preserve">Lave plasmazinkniveauer er blevet forbundet med </w:t>
      </w:r>
      <w:proofErr w:type="spellStart"/>
      <w:r w:rsidRPr="009752A1">
        <w:rPr>
          <w:sz w:val="24"/>
          <w:szCs w:val="24"/>
          <w:lang w:eastAsia="da-DK"/>
        </w:rPr>
        <w:t>deferipron</w:t>
      </w:r>
      <w:proofErr w:type="spellEnd"/>
      <w:r w:rsidRPr="009752A1">
        <w:rPr>
          <w:sz w:val="24"/>
          <w:szCs w:val="24"/>
          <w:lang w:eastAsia="da-DK"/>
        </w:rPr>
        <w:t xml:space="preserve"> hos et mindre antal patienter. Niveauerne blev normaliseret med supplerende oral zinktilførsel.</w:t>
      </w:r>
    </w:p>
    <w:p w14:paraId="18A02CA9" w14:textId="77777777" w:rsidR="00E904A2" w:rsidRPr="009752A1" w:rsidRDefault="00E904A2" w:rsidP="00CC3C0C">
      <w:pPr>
        <w:autoSpaceDE w:val="0"/>
        <w:autoSpaceDN w:val="0"/>
        <w:adjustRightInd w:val="0"/>
        <w:ind w:left="851"/>
        <w:rPr>
          <w:noProof/>
          <w:sz w:val="24"/>
          <w:szCs w:val="24"/>
          <w:u w:val="single"/>
        </w:rPr>
      </w:pPr>
    </w:p>
    <w:p w14:paraId="53DE1DB2" w14:textId="77777777" w:rsidR="00E904A2" w:rsidRPr="009752A1" w:rsidRDefault="00E904A2" w:rsidP="00CC3C0C">
      <w:pPr>
        <w:autoSpaceDE w:val="0"/>
        <w:autoSpaceDN w:val="0"/>
        <w:adjustRightInd w:val="0"/>
        <w:ind w:left="851"/>
        <w:rPr>
          <w:sz w:val="24"/>
          <w:szCs w:val="24"/>
          <w:lang w:eastAsia="da-DK"/>
        </w:rPr>
      </w:pPr>
      <w:r w:rsidRPr="009752A1">
        <w:rPr>
          <w:sz w:val="24"/>
          <w:szCs w:val="24"/>
          <w:lang w:eastAsia="da-DK"/>
        </w:rPr>
        <w:t xml:space="preserve">Der er observeret neurologiske forstyrrelser (såsom </w:t>
      </w:r>
      <w:proofErr w:type="spellStart"/>
      <w:r w:rsidRPr="009752A1">
        <w:rPr>
          <w:sz w:val="24"/>
          <w:szCs w:val="24"/>
          <w:lang w:eastAsia="da-DK"/>
        </w:rPr>
        <w:t>cerebellare</w:t>
      </w:r>
      <w:proofErr w:type="spellEnd"/>
      <w:r w:rsidRPr="009752A1">
        <w:rPr>
          <w:sz w:val="24"/>
          <w:szCs w:val="24"/>
          <w:lang w:eastAsia="da-DK"/>
        </w:rPr>
        <w:t xml:space="preserve"> symptomer, </w:t>
      </w:r>
      <w:proofErr w:type="spellStart"/>
      <w:r w:rsidRPr="009752A1">
        <w:rPr>
          <w:sz w:val="24"/>
          <w:szCs w:val="24"/>
          <w:lang w:eastAsia="da-DK"/>
        </w:rPr>
        <w:t>diplopi</w:t>
      </w:r>
      <w:proofErr w:type="spellEnd"/>
      <w:r w:rsidRPr="009752A1">
        <w:rPr>
          <w:sz w:val="24"/>
          <w:szCs w:val="24"/>
          <w:lang w:eastAsia="da-DK"/>
        </w:rPr>
        <w:t xml:space="preserve">, lateral nystagmus, nedsat </w:t>
      </w:r>
      <w:proofErr w:type="spellStart"/>
      <w:r w:rsidRPr="009752A1">
        <w:rPr>
          <w:sz w:val="24"/>
          <w:szCs w:val="24"/>
          <w:lang w:eastAsia="da-DK"/>
        </w:rPr>
        <w:t>psykomotorisk</w:t>
      </w:r>
      <w:proofErr w:type="spellEnd"/>
      <w:r w:rsidRPr="009752A1">
        <w:rPr>
          <w:sz w:val="24"/>
          <w:szCs w:val="24"/>
          <w:lang w:eastAsia="da-DK"/>
        </w:rPr>
        <w:t xml:space="preserve"> tempo, håndbevægelser og aksial </w:t>
      </w:r>
      <w:proofErr w:type="spellStart"/>
      <w:r w:rsidRPr="009752A1">
        <w:rPr>
          <w:sz w:val="24"/>
          <w:szCs w:val="24"/>
          <w:lang w:eastAsia="da-DK"/>
        </w:rPr>
        <w:t>hypotoni</w:t>
      </w:r>
      <w:proofErr w:type="spellEnd"/>
      <w:r w:rsidRPr="009752A1">
        <w:rPr>
          <w:sz w:val="24"/>
          <w:szCs w:val="24"/>
          <w:lang w:eastAsia="da-DK"/>
        </w:rPr>
        <w:t>) hos børn, som igennem flere år frivilligt har fået ordineret mere end 2,5 gange den maksimalt anbefalede dosis på 100 mg/kg/dag.</w:t>
      </w:r>
    </w:p>
    <w:p w14:paraId="0B260863" w14:textId="77777777" w:rsidR="00E904A2" w:rsidRPr="009752A1" w:rsidRDefault="00E904A2" w:rsidP="00CC3C0C">
      <w:pPr>
        <w:autoSpaceDE w:val="0"/>
        <w:autoSpaceDN w:val="0"/>
        <w:adjustRightInd w:val="0"/>
        <w:ind w:left="851"/>
        <w:rPr>
          <w:noProof/>
          <w:sz w:val="24"/>
          <w:szCs w:val="24"/>
          <w:u w:val="single"/>
        </w:rPr>
      </w:pPr>
      <w:r w:rsidRPr="009752A1">
        <w:rPr>
          <w:sz w:val="24"/>
          <w:szCs w:val="24"/>
          <w:lang w:eastAsia="da-DK"/>
        </w:rPr>
        <w:t xml:space="preserve">Episoder med </w:t>
      </w:r>
      <w:proofErr w:type="spellStart"/>
      <w:r w:rsidRPr="009752A1">
        <w:rPr>
          <w:sz w:val="24"/>
          <w:szCs w:val="24"/>
          <w:lang w:eastAsia="da-DK"/>
        </w:rPr>
        <w:t>hypotoni</w:t>
      </w:r>
      <w:proofErr w:type="spellEnd"/>
      <w:r w:rsidRPr="009752A1">
        <w:rPr>
          <w:sz w:val="24"/>
          <w:szCs w:val="24"/>
          <w:lang w:eastAsia="da-DK"/>
        </w:rPr>
        <w:t xml:space="preserve">, ustabilitet, manglende evne til at gå og </w:t>
      </w:r>
      <w:proofErr w:type="spellStart"/>
      <w:r w:rsidRPr="009752A1">
        <w:rPr>
          <w:sz w:val="24"/>
          <w:szCs w:val="24"/>
          <w:lang w:eastAsia="da-DK"/>
        </w:rPr>
        <w:t>hypertoni</w:t>
      </w:r>
      <w:proofErr w:type="spellEnd"/>
      <w:r w:rsidRPr="009752A1">
        <w:rPr>
          <w:sz w:val="24"/>
          <w:szCs w:val="24"/>
          <w:lang w:eastAsia="da-DK"/>
        </w:rPr>
        <w:t xml:space="preserve"> med manglende evne til at bevæge lemmerne er rapporteret hos børn efter markedsføringen ved standarddoser af </w:t>
      </w:r>
      <w:proofErr w:type="spellStart"/>
      <w:r w:rsidRPr="009752A1">
        <w:rPr>
          <w:sz w:val="24"/>
          <w:szCs w:val="24"/>
          <w:lang w:eastAsia="da-DK"/>
        </w:rPr>
        <w:t>deferipron</w:t>
      </w:r>
      <w:proofErr w:type="spellEnd"/>
      <w:r w:rsidRPr="009752A1">
        <w:rPr>
          <w:sz w:val="24"/>
          <w:szCs w:val="24"/>
          <w:lang w:eastAsia="da-DK"/>
        </w:rPr>
        <w:t xml:space="preserve">. De neurologiske forstyrrelser svandt gradvist efter </w:t>
      </w:r>
      <w:proofErr w:type="spellStart"/>
      <w:r w:rsidRPr="009752A1">
        <w:rPr>
          <w:sz w:val="24"/>
          <w:szCs w:val="24"/>
          <w:lang w:eastAsia="da-DK"/>
        </w:rPr>
        <w:t>seponering</w:t>
      </w:r>
      <w:proofErr w:type="spellEnd"/>
      <w:r w:rsidRPr="009752A1">
        <w:rPr>
          <w:sz w:val="24"/>
          <w:szCs w:val="24"/>
          <w:lang w:eastAsia="da-DK"/>
        </w:rPr>
        <w:t xml:space="preserve"> af </w:t>
      </w:r>
      <w:proofErr w:type="spellStart"/>
      <w:r w:rsidRPr="009752A1">
        <w:rPr>
          <w:sz w:val="24"/>
          <w:szCs w:val="24"/>
          <w:lang w:eastAsia="da-DK"/>
        </w:rPr>
        <w:t>deferipron</w:t>
      </w:r>
      <w:proofErr w:type="spellEnd"/>
      <w:r w:rsidRPr="009752A1">
        <w:rPr>
          <w:sz w:val="24"/>
          <w:szCs w:val="24"/>
          <w:lang w:eastAsia="da-DK"/>
        </w:rPr>
        <w:t xml:space="preserve"> (se pkt. 4.4 og 4.9).</w:t>
      </w:r>
    </w:p>
    <w:p w14:paraId="4D1C85D2" w14:textId="77777777" w:rsidR="00E904A2" w:rsidRPr="009752A1" w:rsidRDefault="00E904A2" w:rsidP="00CC3C0C">
      <w:pPr>
        <w:autoSpaceDE w:val="0"/>
        <w:autoSpaceDN w:val="0"/>
        <w:adjustRightInd w:val="0"/>
        <w:ind w:left="851"/>
        <w:rPr>
          <w:noProof/>
          <w:sz w:val="24"/>
          <w:szCs w:val="24"/>
          <w:u w:val="single"/>
        </w:rPr>
      </w:pPr>
    </w:p>
    <w:p w14:paraId="5A46AA8B" w14:textId="77777777" w:rsidR="00E904A2" w:rsidRPr="009752A1" w:rsidRDefault="00E904A2" w:rsidP="00CC3C0C">
      <w:pPr>
        <w:autoSpaceDE w:val="0"/>
        <w:autoSpaceDN w:val="0"/>
        <w:adjustRightInd w:val="0"/>
        <w:ind w:left="851"/>
        <w:rPr>
          <w:sz w:val="24"/>
          <w:szCs w:val="24"/>
          <w:lang w:eastAsia="da-DK"/>
        </w:rPr>
      </w:pPr>
      <w:r w:rsidRPr="009752A1">
        <w:rPr>
          <w:sz w:val="24"/>
          <w:szCs w:val="24"/>
          <w:lang w:eastAsia="da-DK"/>
        </w:rPr>
        <w:t xml:space="preserve">Sikkerhedsprofilen for kombinationsterapi (med </w:t>
      </w:r>
      <w:proofErr w:type="spellStart"/>
      <w:r w:rsidRPr="009752A1">
        <w:rPr>
          <w:sz w:val="24"/>
          <w:szCs w:val="24"/>
          <w:lang w:eastAsia="da-DK"/>
        </w:rPr>
        <w:t>deferipron</w:t>
      </w:r>
      <w:proofErr w:type="spellEnd"/>
      <w:r w:rsidRPr="009752A1">
        <w:rPr>
          <w:sz w:val="24"/>
          <w:szCs w:val="24"/>
          <w:lang w:eastAsia="da-DK"/>
        </w:rPr>
        <w:t xml:space="preserve"> og </w:t>
      </w:r>
      <w:proofErr w:type="spellStart"/>
      <w:r w:rsidRPr="009752A1">
        <w:rPr>
          <w:sz w:val="24"/>
          <w:szCs w:val="24"/>
          <w:lang w:eastAsia="da-DK"/>
        </w:rPr>
        <w:t>deferoxamin</w:t>
      </w:r>
      <w:proofErr w:type="spellEnd"/>
      <w:r w:rsidRPr="009752A1">
        <w:rPr>
          <w:sz w:val="24"/>
          <w:szCs w:val="24"/>
          <w:lang w:eastAsia="da-DK"/>
        </w:rPr>
        <w:t>), der er observeret i kliniske studier, erfaring efter markedsføring og publicerede data, stemmer overens med den sikkerhedsprofil, som er karakteristisk for monoterapi.</w:t>
      </w:r>
    </w:p>
    <w:p w14:paraId="64098DDB" w14:textId="77777777" w:rsidR="00E904A2" w:rsidRPr="009752A1" w:rsidRDefault="00E904A2" w:rsidP="00CC3C0C">
      <w:pPr>
        <w:autoSpaceDE w:val="0"/>
        <w:autoSpaceDN w:val="0"/>
        <w:adjustRightInd w:val="0"/>
        <w:ind w:left="851"/>
        <w:rPr>
          <w:sz w:val="24"/>
          <w:szCs w:val="24"/>
          <w:lang w:eastAsia="da-DK"/>
        </w:rPr>
      </w:pPr>
    </w:p>
    <w:p w14:paraId="5D93F1F5" w14:textId="4772924B" w:rsidR="00E904A2" w:rsidRPr="009752A1" w:rsidRDefault="00E904A2" w:rsidP="00CC3C0C">
      <w:pPr>
        <w:autoSpaceDE w:val="0"/>
        <w:autoSpaceDN w:val="0"/>
        <w:adjustRightInd w:val="0"/>
        <w:ind w:left="851"/>
        <w:rPr>
          <w:sz w:val="24"/>
          <w:szCs w:val="24"/>
          <w:lang w:eastAsia="da-DK"/>
        </w:rPr>
      </w:pPr>
      <w:r w:rsidRPr="009752A1">
        <w:rPr>
          <w:sz w:val="24"/>
          <w:szCs w:val="24"/>
          <w:lang w:eastAsia="da-DK"/>
        </w:rPr>
        <w:t xml:space="preserve">Data fra den </w:t>
      </w:r>
      <w:proofErr w:type="spellStart"/>
      <w:r w:rsidRPr="009752A1">
        <w:rPr>
          <w:sz w:val="24"/>
          <w:szCs w:val="24"/>
          <w:lang w:eastAsia="da-DK"/>
        </w:rPr>
        <w:t>poolede</w:t>
      </w:r>
      <w:proofErr w:type="spellEnd"/>
      <w:r w:rsidRPr="009752A1">
        <w:rPr>
          <w:sz w:val="24"/>
          <w:szCs w:val="24"/>
          <w:lang w:eastAsia="da-DK"/>
        </w:rPr>
        <w:t xml:space="preserve"> sikkerhedsdatabase fra kliniske studier (1343 </w:t>
      </w:r>
      <w:proofErr w:type="spellStart"/>
      <w:r w:rsidRPr="009752A1">
        <w:rPr>
          <w:sz w:val="24"/>
          <w:szCs w:val="24"/>
          <w:lang w:eastAsia="da-DK"/>
        </w:rPr>
        <w:t>patientårs</w:t>
      </w:r>
      <w:proofErr w:type="spellEnd"/>
      <w:r w:rsidRPr="009752A1">
        <w:rPr>
          <w:sz w:val="24"/>
          <w:szCs w:val="24"/>
          <w:lang w:eastAsia="da-DK"/>
        </w:rPr>
        <w:t xml:space="preserve"> eksponering for </w:t>
      </w:r>
      <w:proofErr w:type="spellStart"/>
      <w:r w:rsidRPr="009752A1">
        <w:rPr>
          <w:sz w:val="24"/>
          <w:szCs w:val="24"/>
          <w:lang w:eastAsia="da-DK"/>
        </w:rPr>
        <w:t>deferipron</w:t>
      </w:r>
      <w:proofErr w:type="spellEnd"/>
      <w:r w:rsidRPr="009752A1">
        <w:rPr>
          <w:sz w:val="24"/>
          <w:szCs w:val="24"/>
          <w:lang w:eastAsia="da-DK"/>
        </w:rPr>
        <w:t xml:space="preserve">-monoterapi og 244 </w:t>
      </w:r>
      <w:proofErr w:type="spellStart"/>
      <w:r w:rsidRPr="009752A1">
        <w:rPr>
          <w:sz w:val="24"/>
          <w:szCs w:val="24"/>
          <w:lang w:eastAsia="da-DK"/>
        </w:rPr>
        <w:t>patientårs</w:t>
      </w:r>
      <w:proofErr w:type="spellEnd"/>
      <w:r w:rsidRPr="009752A1">
        <w:rPr>
          <w:sz w:val="24"/>
          <w:szCs w:val="24"/>
          <w:lang w:eastAsia="da-DK"/>
        </w:rPr>
        <w:t xml:space="preserve"> eksponering for </w:t>
      </w:r>
      <w:proofErr w:type="spellStart"/>
      <w:r w:rsidRPr="009752A1">
        <w:rPr>
          <w:sz w:val="24"/>
          <w:szCs w:val="24"/>
          <w:lang w:eastAsia="da-DK"/>
        </w:rPr>
        <w:t>deferipron</w:t>
      </w:r>
      <w:proofErr w:type="spellEnd"/>
      <w:r w:rsidRPr="009752A1">
        <w:rPr>
          <w:sz w:val="24"/>
          <w:szCs w:val="24"/>
          <w:lang w:eastAsia="da-DK"/>
        </w:rPr>
        <w:t xml:space="preserve"> og </w:t>
      </w:r>
      <w:proofErr w:type="spellStart"/>
      <w:r w:rsidRPr="009752A1">
        <w:rPr>
          <w:sz w:val="24"/>
          <w:szCs w:val="24"/>
          <w:lang w:eastAsia="da-DK"/>
        </w:rPr>
        <w:t>deferoxamin</w:t>
      </w:r>
      <w:proofErr w:type="spellEnd"/>
      <w:r w:rsidRPr="009752A1">
        <w:rPr>
          <w:sz w:val="24"/>
          <w:szCs w:val="24"/>
          <w:lang w:eastAsia="da-DK"/>
        </w:rPr>
        <w:t xml:space="preserve">) viste statistisk signifikante (p&lt;0,05) forskelle i forekomsten af bivirkninger baseret på systemorganklassen </w:t>
      </w:r>
      <w:r w:rsidR="004A11CF">
        <w:rPr>
          <w:sz w:val="24"/>
          <w:szCs w:val="24"/>
          <w:lang w:eastAsia="da-DK"/>
        </w:rPr>
        <w:t>"</w:t>
      </w:r>
      <w:r w:rsidRPr="009752A1">
        <w:rPr>
          <w:sz w:val="24"/>
          <w:szCs w:val="24"/>
          <w:lang w:eastAsia="da-DK"/>
        </w:rPr>
        <w:t>Hjerte</w:t>
      </w:r>
      <w:r w:rsidR="004A11CF">
        <w:rPr>
          <w:sz w:val="24"/>
          <w:szCs w:val="24"/>
          <w:lang w:eastAsia="da-DK"/>
        </w:rPr>
        <w:t>"</w:t>
      </w:r>
      <w:r w:rsidRPr="009752A1">
        <w:rPr>
          <w:sz w:val="24"/>
          <w:szCs w:val="24"/>
          <w:lang w:eastAsia="da-DK"/>
        </w:rPr>
        <w:t xml:space="preserve">, </w:t>
      </w:r>
      <w:r w:rsidR="004A11CF">
        <w:rPr>
          <w:sz w:val="24"/>
          <w:szCs w:val="24"/>
          <w:lang w:eastAsia="da-DK"/>
        </w:rPr>
        <w:t>"</w:t>
      </w:r>
      <w:r w:rsidRPr="009752A1">
        <w:rPr>
          <w:sz w:val="24"/>
          <w:szCs w:val="24"/>
          <w:lang w:eastAsia="da-DK"/>
        </w:rPr>
        <w:t>Knogler, led, muskler og bindevæv</w:t>
      </w:r>
      <w:r w:rsidR="004A11CF">
        <w:rPr>
          <w:sz w:val="24"/>
          <w:szCs w:val="24"/>
          <w:lang w:eastAsia="da-DK"/>
        </w:rPr>
        <w:t>"</w:t>
      </w:r>
      <w:r w:rsidRPr="009752A1">
        <w:rPr>
          <w:sz w:val="24"/>
          <w:szCs w:val="24"/>
          <w:lang w:eastAsia="da-DK"/>
        </w:rPr>
        <w:t xml:space="preserve"> samt </w:t>
      </w:r>
      <w:r w:rsidR="004A11CF">
        <w:rPr>
          <w:sz w:val="24"/>
          <w:szCs w:val="24"/>
          <w:lang w:eastAsia="da-DK"/>
        </w:rPr>
        <w:t>"</w:t>
      </w:r>
      <w:r w:rsidRPr="009752A1">
        <w:rPr>
          <w:sz w:val="24"/>
          <w:szCs w:val="24"/>
          <w:lang w:eastAsia="da-DK"/>
        </w:rPr>
        <w:t>Nyrer og urinveje</w:t>
      </w:r>
      <w:r w:rsidR="004A11CF">
        <w:rPr>
          <w:sz w:val="24"/>
          <w:szCs w:val="24"/>
          <w:lang w:eastAsia="da-DK"/>
        </w:rPr>
        <w:t>"</w:t>
      </w:r>
      <w:r w:rsidRPr="009752A1">
        <w:rPr>
          <w:sz w:val="24"/>
          <w:szCs w:val="24"/>
          <w:lang w:eastAsia="da-DK"/>
        </w:rPr>
        <w:t xml:space="preserve">. Forekomsten af bivirkninger i systemorganklassen </w:t>
      </w:r>
      <w:r w:rsidR="004A11CF">
        <w:rPr>
          <w:sz w:val="24"/>
          <w:szCs w:val="24"/>
          <w:lang w:eastAsia="da-DK"/>
        </w:rPr>
        <w:t>"</w:t>
      </w:r>
      <w:r w:rsidRPr="009752A1">
        <w:rPr>
          <w:sz w:val="24"/>
          <w:szCs w:val="24"/>
          <w:lang w:eastAsia="da-DK"/>
        </w:rPr>
        <w:t>Knogler, led, muskler og bindevævs</w:t>
      </w:r>
      <w:r w:rsidR="004A11CF">
        <w:rPr>
          <w:sz w:val="24"/>
          <w:szCs w:val="24"/>
          <w:lang w:eastAsia="da-DK"/>
        </w:rPr>
        <w:t>"</w:t>
      </w:r>
      <w:r w:rsidRPr="009752A1">
        <w:rPr>
          <w:sz w:val="24"/>
          <w:szCs w:val="24"/>
          <w:lang w:eastAsia="da-DK"/>
        </w:rPr>
        <w:t xml:space="preserve"> og </w:t>
      </w:r>
      <w:r w:rsidR="004A11CF">
        <w:rPr>
          <w:sz w:val="24"/>
          <w:szCs w:val="24"/>
          <w:lang w:eastAsia="da-DK"/>
        </w:rPr>
        <w:t>"</w:t>
      </w:r>
      <w:r w:rsidRPr="009752A1">
        <w:rPr>
          <w:sz w:val="24"/>
          <w:szCs w:val="24"/>
          <w:lang w:eastAsia="da-DK"/>
        </w:rPr>
        <w:t>Nyrer og urinveje</w:t>
      </w:r>
      <w:r w:rsidR="004A11CF">
        <w:rPr>
          <w:sz w:val="24"/>
          <w:szCs w:val="24"/>
          <w:lang w:eastAsia="da-DK"/>
        </w:rPr>
        <w:t>"</w:t>
      </w:r>
      <w:r w:rsidRPr="009752A1">
        <w:rPr>
          <w:sz w:val="24"/>
          <w:szCs w:val="24"/>
          <w:lang w:eastAsia="da-DK"/>
        </w:rPr>
        <w:t xml:space="preserve"> var lavere under kombinationsterapi end monoterapi, hvorimod forekomsten af bivirkninger i systemorganklassen </w:t>
      </w:r>
      <w:r w:rsidR="004A11CF">
        <w:rPr>
          <w:sz w:val="24"/>
          <w:szCs w:val="24"/>
          <w:lang w:eastAsia="da-DK"/>
        </w:rPr>
        <w:t>"</w:t>
      </w:r>
      <w:r w:rsidRPr="009752A1">
        <w:rPr>
          <w:sz w:val="24"/>
          <w:szCs w:val="24"/>
          <w:lang w:eastAsia="da-DK"/>
        </w:rPr>
        <w:t>Hjerte</w:t>
      </w:r>
      <w:r w:rsidR="004A11CF">
        <w:rPr>
          <w:sz w:val="24"/>
          <w:szCs w:val="24"/>
          <w:lang w:eastAsia="da-DK"/>
        </w:rPr>
        <w:t>"</w:t>
      </w:r>
      <w:r w:rsidRPr="009752A1">
        <w:rPr>
          <w:sz w:val="24"/>
          <w:szCs w:val="24"/>
          <w:lang w:eastAsia="da-DK"/>
        </w:rPr>
        <w:t xml:space="preserve"> var højere under kombinationsterapi end monoterapi. Den højere forekomst af bivirkninger i systemorganklassen </w:t>
      </w:r>
      <w:r w:rsidR="004A11CF">
        <w:rPr>
          <w:sz w:val="24"/>
          <w:szCs w:val="24"/>
          <w:lang w:eastAsia="da-DK"/>
        </w:rPr>
        <w:t>"</w:t>
      </w:r>
      <w:r w:rsidRPr="009752A1">
        <w:rPr>
          <w:sz w:val="24"/>
          <w:szCs w:val="24"/>
          <w:lang w:eastAsia="da-DK"/>
        </w:rPr>
        <w:t>Hjerte</w:t>
      </w:r>
      <w:r w:rsidR="004A11CF">
        <w:rPr>
          <w:sz w:val="24"/>
          <w:szCs w:val="24"/>
          <w:lang w:eastAsia="da-DK"/>
        </w:rPr>
        <w:t>"</w:t>
      </w:r>
      <w:r w:rsidRPr="009752A1">
        <w:rPr>
          <w:sz w:val="24"/>
          <w:szCs w:val="24"/>
          <w:lang w:eastAsia="da-DK"/>
        </w:rPr>
        <w:t>, rapporteret under kombinationsterapi end monoterapi, skyldtes muligvis den højere forekomst af allerede eksisterende hjertesygdomme hos patienter, som fik kombinations-terapi. Omhyggelig monitorering af hjertetilfælde hos patienter, der fik kombinationsterapi, er berettiget (se pkt. 4.4).</w:t>
      </w:r>
    </w:p>
    <w:p w14:paraId="0FB63752" w14:textId="77777777" w:rsidR="00E904A2" w:rsidRPr="009752A1" w:rsidRDefault="00E904A2" w:rsidP="00CC3C0C">
      <w:pPr>
        <w:autoSpaceDE w:val="0"/>
        <w:autoSpaceDN w:val="0"/>
        <w:adjustRightInd w:val="0"/>
        <w:ind w:left="851"/>
        <w:rPr>
          <w:noProof/>
          <w:sz w:val="24"/>
          <w:szCs w:val="24"/>
          <w:u w:val="single"/>
        </w:rPr>
      </w:pPr>
    </w:p>
    <w:p w14:paraId="5C750D2B" w14:textId="62CA7D70" w:rsidR="00E904A2" w:rsidRPr="009752A1" w:rsidRDefault="00E904A2" w:rsidP="00CC3C0C">
      <w:pPr>
        <w:autoSpaceDE w:val="0"/>
        <w:autoSpaceDN w:val="0"/>
        <w:adjustRightInd w:val="0"/>
        <w:ind w:left="851"/>
        <w:rPr>
          <w:noProof/>
          <w:sz w:val="24"/>
          <w:szCs w:val="24"/>
          <w:u w:val="single"/>
        </w:rPr>
      </w:pPr>
      <w:r w:rsidRPr="009752A1">
        <w:rPr>
          <w:sz w:val="24"/>
          <w:szCs w:val="24"/>
          <w:lang w:eastAsia="da-DK"/>
        </w:rPr>
        <w:t>Forekomsten af bivirkninger hos 18 børn og 97 voksne behandlet med kombinationsterapi var ikke signifikant forskellig mellem de to aldersgrupper, undtagen i forekomsten af artrose (11,1</w:t>
      </w:r>
      <w:r w:rsidR="00A5361A">
        <w:rPr>
          <w:sz w:val="24"/>
          <w:szCs w:val="24"/>
          <w:lang w:eastAsia="da-DK"/>
        </w:rPr>
        <w:t xml:space="preserve"> %</w:t>
      </w:r>
      <w:r w:rsidRPr="009752A1">
        <w:rPr>
          <w:sz w:val="24"/>
          <w:szCs w:val="24"/>
          <w:lang w:eastAsia="da-DK"/>
        </w:rPr>
        <w:t xml:space="preserve"> hos børn vs. ingen hos voksne, p=0,02). Vurdering af antallet af reaktioner pr. 100 </w:t>
      </w:r>
      <w:proofErr w:type="spellStart"/>
      <w:r w:rsidRPr="009752A1">
        <w:rPr>
          <w:sz w:val="24"/>
          <w:szCs w:val="24"/>
          <w:lang w:eastAsia="da-DK"/>
        </w:rPr>
        <w:t>patientårs</w:t>
      </w:r>
      <w:proofErr w:type="spellEnd"/>
      <w:r w:rsidRPr="009752A1">
        <w:rPr>
          <w:sz w:val="24"/>
          <w:szCs w:val="24"/>
          <w:lang w:eastAsia="da-DK"/>
        </w:rPr>
        <w:t xml:space="preserve"> eksponering viste, at kun forekomsten af diarré var signifikant højere hos børn (11,1) end hos voksne (2,0, p=0,01).</w:t>
      </w:r>
    </w:p>
    <w:p w14:paraId="1187164C" w14:textId="77777777" w:rsidR="00E904A2" w:rsidRPr="009752A1" w:rsidRDefault="00E904A2" w:rsidP="00CC3C0C">
      <w:pPr>
        <w:autoSpaceDE w:val="0"/>
        <w:autoSpaceDN w:val="0"/>
        <w:adjustRightInd w:val="0"/>
        <w:ind w:left="851"/>
        <w:rPr>
          <w:noProof/>
          <w:sz w:val="24"/>
          <w:szCs w:val="24"/>
          <w:u w:val="single"/>
        </w:rPr>
      </w:pPr>
    </w:p>
    <w:p w14:paraId="066F15C3" w14:textId="77777777" w:rsidR="00E904A2" w:rsidRPr="009752A1" w:rsidRDefault="00E904A2" w:rsidP="00CC3C0C">
      <w:pPr>
        <w:autoSpaceDE w:val="0"/>
        <w:autoSpaceDN w:val="0"/>
        <w:adjustRightInd w:val="0"/>
        <w:ind w:left="851"/>
        <w:rPr>
          <w:sz w:val="24"/>
          <w:szCs w:val="24"/>
          <w:u w:val="single"/>
        </w:rPr>
      </w:pPr>
      <w:r w:rsidRPr="009752A1">
        <w:rPr>
          <w:noProof/>
          <w:sz w:val="24"/>
          <w:szCs w:val="24"/>
          <w:u w:val="single"/>
        </w:rPr>
        <w:t>Indberetning af formodede bivirkninger</w:t>
      </w:r>
    </w:p>
    <w:p w14:paraId="6EA29D7F" w14:textId="77777777" w:rsidR="00E904A2" w:rsidRPr="009752A1" w:rsidRDefault="00E904A2" w:rsidP="00CC3C0C">
      <w:pPr>
        <w:ind w:left="851"/>
        <w:rPr>
          <w:bCs/>
          <w:sz w:val="24"/>
          <w:szCs w:val="24"/>
        </w:rPr>
      </w:pPr>
      <w:r w:rsidRPr="009752A1">
        <w:rPr>
          <w:noProof/>
          <w:sz w:val="24"/>
          <w:szCs w:val="24"/>
        </w:rPr>
        <w:t>Når lægemidlet er godkendt, er indberetning af formodede bivirkninger vigtig.</w:t>
      </w:r>
      <w:r w:rsidRPr="009752A1">
        <w:rPr>
          <w:sz w:val="24"/>
          <w:szCs w:val="24"/>
        </w:rPr>
        <w:t xml:space="preserve"> </w:t>
      </w:r>
      <w:r w:rsidRPr="009752A1">
        <w:rPr>
          <w:noProof/>
          <w:sz w:val="24"/>
          <w:szCs w:val="24"/>
        </w:rPr>
        <w:t>Det muliggør løbende overvågning af benefit/risk-forholdet for lægemidlet.</w:t>
      </w:r>
      <w:r w:rsidRPr="009752A1">
        <w:rPr>
          <w:sz w:val="24"/>
          <w:szCs w:val="24"/>
        </w:rPr>
        <w:t xml:space="preserve"> </w:t>
      </w:r>
      <w:r w:rsidRPr="009752A1">
        <w:rPr>
          <w:noProof/>
          <w:sz w:val="24"/>
          <w:szCs w:val="24"/>
        </w:rPr>
        <w:t>Sundhedspersoner anmodes om at indberette alle formodede bivirkninger via:</w:t>
      </w:r>
    </w:p>
    <w:p w14:paraId="6F811229" w14:textId="77777777" w:rsidR="00E904A2" w:rsidRPr="009752A1" w:rsidRDefault="00E904A2" w:rsidP="00CC3C0C">
      <w:pPr>
        <w:ind w:left="851"/>
        <w:rPr>
          <w:bCs/>
          <w:sz w:val="24"/>
          <w:szCs w:val="24"/>
        </w:rPr>
      </w:pPr>
    </w:p>
    <w:p w14:paraId="45A2A701" w14:textId="77777777" w:rsidR="00E904A2" w:rsidRPr="009752A1" w:rsidRDefault="00E904A2" w:rsidP="00CC3C0C">
      <w:pPr>
        <w:ind w:left="851"/>
        <w:rPr>
          <w:bCs/>
          <w:sz w:val="24"/>
          <w:szCs w:val="24"/>
        </w:rPr>
      </w:pPr>
      <w:r w:rsidRPr="009752A1">
        <w:rPr>
          <w:bCs/>
          <w:sz w:val="24"/>
          <w:szCs w:val="24"/>
        </w:rPr>
        <w:t>Lægemiddelstyrelsen</w:t>
      </w:r>
    </w:p>
    <w:p w14:paraId="0BEDB1CD" w14:textId="77777777" w:rsidR="00E904A2" w:rsidRPr="009752A1" w:rsidRDefault="00E904A2" w:rsidP="00CC3C0C">
      <w:pPr>
        <w:ind w:left="851"/>
        <w:rPr>
          <w:bCs/>
          <w:sz w:val="24"/>
          <w:szCs w:val="24"/>
        </w:rPr>
      </w:pPr>
      <w:r w:rsidRPr="009752A1">
        <w:rPr>
          <w:bCs/>
          <w:sz w:val="24"/>
          <w:szCs w:val="24"/>
        </w:rPr>
        <w:t>Axel Heides Gade 1</w:t>
      </w:r>
    </w:p>
    <w:p w14:paraId="38CAB02F" w14:textId="77777777" w:rsidR="00E904A2" w:rsidRPr="009752A1" w:rsidRDefault="00E904A2" w:rsidP="00CC3C0C">
      <w:pPr>
        <w:ind w:left="851"/>
        <w:rPr>
          <w:bCs/>
          <w:sz w:val="24"/>
          <w:szCs w:val="24"/>
        </w:rPr>
      </w:pPr>
      <w:r w:rsidRPr="009752A1">
        <w:rPr>
          <w:bCs/>
          <w:sz w:val="24"/>
          <w:szCs w:val="24"/>
        </w:rPr>
        <w:t>DK-2300 København S</w:t>
      </w:r>
    </w:p>
    <w:p w14:paraId="52D5C314" w14:textId="77777777" w:rsidR="00E904A2" w:rsidRPr="009752A1" w:rsidRDefault="00E904A2" w:rsidP="00CC3C0C">
      <w:pPr>
        <w:ind w:left="851"/>
        <w:rPr>
          <w:bCs/>
          <w:sz w:val="24"/>
          <w:szCs w:val="24"/>
        </w:rPr>
      </w:pPr>
      <w:r w:rsidRPr="009752A1">
        <w:rPr>
          <w:bCs/>
          <w:sz w:val="24"/>
          <w:szCs w:val="24"/>
        </w:rPr>
        <w:t>Websted: www.meldenbivirkning.dk</w:t>
      </w:r>
    </w:p>
    <w:p w14:paraId="0B01E67F" w14:textId="77777777" w:rsidR="009260DE" w:rsidRPr="009752A1" w:rsidRDefault="009260DE" w:rsidP="009260DE">
      <w:pPr>
        <w:pStyle w:val="Sidehoved"/>
        <w:tabs>
          <w:tab w:val="left" w:pos="851"/>
        </w:tabs>
        <w:ind w:left="851"/>
        <w:rPr>
          <w:szCs w:val="24"/>
        </w:rPr>
      </w:pPr>
    </w:p>
    <w:p w14:paraId="62F44723" w14:textId="77777777" w:rsidR="009260DE" w:rsidRPr="009752A1" w:rsidRDefault="009260DE" w:rsidP="009260DE">
      <w:pPr>
        <w:tabs>
          <w:tab w:val="left" w:pos="851"/>
        </w:tabs>
        <w:ind w:left="851" w:hanging="851"/>
        <w:rPr>
          <w:b/>
          <w:sz w:val="24"/>
          <w:szCs w:val="24"/>
        </w:rPr>
      </w:pPr>
      <w:r w:rsidRPr="009752A1">
        <w:rPr>
          <w:b/>
          <w:sz w:val="24"/>
          <w:szCs w:val="24"/>
        </w:rPr>
        <w:t>4.9</w:t>
      </w:r>
      <w:r w:rsidRPr="009752A1">
        <w:rPr>
          <w:b/>
          <w:sz w:val="24"/>
          <w:szCs w:val="24"/>
        </w:rPr>
        <w:tab/>
        <w:t>Overdosering</w:t>
      </w:r>
    </w:p>
    <w:p w14:paraId="59B4AA59" w14:textId="77777777" w:rsidR="00E904A2" w:rsidRPr="009752A1" w:rsidRDefault="00E904A2" w:rsidP="00CC3C0C">
      <w:pPr>
        <w:autoSpaceDE w:val="0"/>
        <w:autoSpaceDN w:val="0"/>
        <w:adjustRightInd w:val="0"/>
        <w:ind w:left="851"/>
        <w:rPr>
          <w:sz w:val="24"/>
          <w:szCs w:val="24"/>
          <w:lang w:eastAsia="da-DK"/>
        </w:rPr>
      </w:pPr>
      <w:r w:rsidRPr="009752A1">
        <w:rPr>
          <w:sz w:val="24"/>
          <w:szCs w:val="24"/>
          <w:lang w:eastAsia="da-DK"/>
        </w:rPr>
        <w:t xml:space="preserve">Der er ikke rapporteret om tilfælde af akut overdosering. Der er dog observeret neurologiske forstyrrelser (såsom </w:t>
      </w:r>
      <w:proofErr w:type="spellStart"/>
      <w:r w:rsidRPr="009752A1">
        <w:rPr>
          <w:sz w:val="24"/>
          <w:szCs w:val="24"/>
          <w:lang w:eastAsia="da-DK"/>
        </w:rPr>
        <w:t>cerebellare</w:t>
      </w:r>
      <w:proofErr w:type="spellEnd"/>
      <w:r w:rsidRPr="009752A1">
        <w:rPr>
          <w:sz w:val="24"/>
          <w:szCs w:val="24"/>
          <w:lang w:eastAsia="da-DK"/>
        </w:rPr>
        <w:t xml:space="preserve"> symptomer, </w:t>
      </w:r>
      <w:proofErr w:type="spellStart"/>
      <w:r w:rsidRPr="009752A1">
        <w:rPr>
          <w:sz w:val="24"/>
          <w:szCs w:val="24"/>
          <w:lang w:eastAsia="da-DK"/>
        </w:rPr>
        <w:t>diplopi</w:t>
      </w:r>
      <w:proofErr w:type="spellEnd"/>
      <w:r w:rsidRPr="009752A1">
        <w:rPr>
          <w:sz w:val="24"/>
          <w:szCs w:val="24"/>
          <w:lang w:eastAsia="da-DK"/>
        </w:rPr>
        <w:t xml:space="preserve">, lateral nystagmus, nedsat </w:t>
      </w:r>
      <w:proofErr w:type="spellStart"/>
      <w:r w:rsidRPr="009752A1">
        <w:rPr>
          <w:sz w:val="24"/>
          <w:szCs w:val="24"/>
          <w:lang w:eastAsia="da-DK"/>
        </w:rPr>
        <w:t>psykomotorisk</w:t>
      </w:r>
      <w:proofErr w:type="spellEnd"/>
      <w:r w:rsidRPr="009752A1">
        <w:rPr>
          <w:sz w:val="24"/>
          <w:szCs w:val="24"/>
          <w:lang w:eastAsia="da-DK"/>
        </w:rPr>
        <w:t xml:space="preserve"> tempo, håndbevægelser og aksial </w:t>
      </w:r>
      <w:proofErr w:type="spellStart"/>
      <w:r w:rsidRPr="009752A1">
        <w:rPr>
          <w:sz w:val="24"/>
          <w:szCs w:val="24"/>
          <w:lang w:eastAsia="da-DK"/>
        </w:rPr>
        <w:t>hypotoni</w:t>
      </w:r>
      <w:proofErr w:type="spellEnd"/>
      <w:r w:rsidRPr="009752A1">
        <w:rPr>
          <w:sz w:val="24"/>
          <w:szCs w:val="24"/>
          <w:lang w:eastAsia="da-DK"/>
        </w:rPr>
        <w:t xml:space="preserve">) hos børn, som igennem flere år frivilligt har fået ordineret mere end 2,5 gange den maksimalt anbefalede dosis på 100 mg/kg dagligt. De neurologiske forstyrrelser svandt gradvist efter </w:t>
      </w:r>
      <w:proofErr w:type="spellStart"/>
      <w:r w:rsidRPr="009752A1">
        <w:rPr>
          <w:sz w:val="24"/>
          <w:szCs w:val="24"/>
          <w:lang w:eastAsia="da-DK"/>
        </w:rPr>
        <w:t>seponering</w:t>
      </w:r>
      <w:proofErr w:type="spellEnd"/>
      <w:r w:rsidRPr="009752A1">
        <w:rPr>
          <w:sz w:val="24"/>
          <w:szCs w:val="24"/>
          <w:lang w:eastAsia="da-DK"/>
        </w:rPr>
        <w:t xml:space="preserve"> af </w:t>
      </w:r>
      <w:proofErr w:type="spellStart"/>
      <w:r w:rsidRPr="009752A1">
        <w:rPr>
          <w:sz w:val="24"/>
          <w:szCs w:val="24"/>
          <w:lang w:eastAsia="da-DK"/>
        </w:rPr>
        <w:t>deferipron</w:t>
      </w:r>
      <w:proofErr w:type="spellEnd"/>
      <w:r w:rsidRPr="009752A1">
        <w:rPr>
          <w:sz w:val="24"/>
          <w:szCs w:val="24"/>
          <w:lang w:eastAsia="da-DK"/>
        </w:rPr>
        <w:t>.</w:t>
      </w:r>
    </w:p>
    <w:p w14:paraId="02F80355" w14:textId="77777777" w:rsidR="00E904A2" w:rsidRPr="009752A1" w:rsidRDefault="00E904A2" w:rsidP="00CC3C0C">
      <w:pPr>
        <w:ind w:left="851"/>
        <w:rPr>
          <w:sz w:val="24"/>
          <w:szCs w:val="24"/>
          <w:lang w:eastAsia="da-DK"/>
        </w:rPr>
      </w:pPr>
    </w:p>
    <w:p w14:paraId="7FA49609" w14:textId="77777777" w:rsidR="00E904A2" w:rsidRPr="009752A1" w:rsidRDefault="00E904A2" w:rsidP="00CC3C0C">
      <w:pPr>
        <w:ind w:left="851"/>
        <w:rPr>
          <w:sz w:val="24"/>
          <w:szCs w:val="24"/>
          <w:lang w:eastAsia="da-DK"/>
        </w:rPr>
      </w:pPr>
      <w:r w:rsidRPr="009752A1">
        <w:rPr>
          <w:sz w:val="24"/>
          <w:szCs w:val="24"/>
          <w:lang w:eastAsia="da-DK"/>
        </w:rPr>
        <w:t>I tilfælde af en overdosering er tæt lægelig supervision af patienten nødvendig.</w:t>
      </w:r>
    </w:p>
    <w:p w14:paraId="280A9BC1" w14:textId="77777777" w:rsidR="009260DE" w:rsidRPr="009752A1" w:rsidRDefault="009260DE" w:rsidP="009260DE">
      <w:pPr>
        <w:tabs>
          <w:tab w:val="left" w:pos="851"/>
        </w:tabs>
        <w:ind w:left="851"/>
        <w:rPr>
          <w:sz w:val="24"/>
          <w:szCs w:val="24"/>
        </w:rPr>
      </w:pPr>
    </w:p>
    <w:p w14:paraId="3A05FCFA" w14:textId="77777777" w:rsidR="009260DE" w:rsidRPr="009752A1" w:rsidRDefault="009260DE" w:rsidP="009260DE">
      <w:pPr>
        <w:tabs>
          <w:tab w:val="left" w:pos="851"/>
        </w:tabs>
        <w:ind w:left="851" w:hanging="851"/>
        <w:rPr>
          <w:b/>
          <w:sz w:val="24"/>
          <w:szCs w:val="24"/>
        </w:rPr>
      </w:pPr>
      <w:r w:rsidRPr="009752A1">
        <w:rPr>
          <w:b/>
          <w:sz w:val="24"/>
          <w:szCs w:val="24"/>
        </w:rPr>
        <w:t>4.10</w:t>
      </w:r>
      <w:r w:rsidRPr="009752A1">
        <w:rPr>
          <w:b/>
          <w:sz w:val="24"/>
          <w:szCs w:val="24"/>
        </w:rPr>
        <w:tab/>
        <w:t>Udlevering</w:t>
      </w:r>
    </w:p>
    <w:p w14:paraId="5672CC9A" w14:textId="1783E5E1" w:rsidR="00E904A2" w:rsidRPr="009752A1" w:rsidRDefault="00E904A2" w:rsidP="00CC3C0C">
      <w:pPr>
        <w:ind w:left="851"/>
        <w:rPr>
          <w:sz w:val="24"/>
          <w:szCs w:val="24"/>
        </w:rPr>
      </w:pPr>
      <w:r w:rsidRPr="009752A1">
        <w:rPr>
          <w:sz w:val="24"/>
          <w:szCs w:val="24"/>
        </w:rPr>
        <w:t>BEGR</w:t>
      </w:r>
      <w:r w:rsidR="00CC3C0C" w:rsidRPr="009752A1">
        <w:rPr>
          <w:sz w:val="24"/>
          <w:szCs w:val="24"/>
        </w:rPr>
        <w:t xml:space="preserve"> – kun til </w:t>
      </w:r>
      <w:r w:rsidRPr="009752A1">
        <w:rPr>
          <w:sz w:val="24"/>
          <w:szCs w:val="24"/>
        </w:rPr>
        <w:t>sygehuse</w:t>
      </w:r>
    </w:p>
    <w:p w14:paraId="701AC770" w14:textId="77777777" w:rsidR="009260DE" w:rsidRPr="009752A1" w:rsidRDefault="009260DE" w:rsidP="009260DE">
      <w:pPr>
        <w:tabs>
          <w:tab w:val="left" w:pos="851"/>
        </w:tabs>
        <w:ind w:left="851"/>
        <w:rPr>
          <w:sz w:val="24"/>
          <w:szCs w:val="24"/>
        </w:rPr>
      </w:pPr>
    </w:p>
    <w:p w14:paraId="4E62037B" w14:textId="77777777" w:rsidR="009260DE" w:rsidRPr="009752A1" w:rsidRDefault="009260DE" w:rsidP="009260DE">
      <w:pPr>
        <w:tabs>
          <w:tab w:val="left" w:pos="851"/>
        </w:tabs>
        <w:ind w:left="851"/>
        <w:rPr>
          <w:sz w:val="24"/>
          <w:szCs w:val="24"/>
        </w:rPr>
      </w:pPr>
    </w:p>
    <w:p w14:paraId="212C5FD3" w14:textId="77777777" w:rsidR="009260DE" w:rsidRPr="009752A1" w:rsidRDefault="009260DE" w:rsidP="009260DE">
      <w:pPr>
        <w:tabs>
          <w:tab w:val="left" w:pos="851"/>
        </w:tabs>
        <w:ind w:left="851" w:hanging="851"/>
        <w:rPr>
          <w:b/>
          <w:sz w:val="24"/>
          <w:szCs w:val="24"/>
        </w:rPr>
      </w:pPr>
      <w:r w:rsidRPr="009752A1">
        <w:rPr>
          <w:b/>
          <w:sz w:val="24"/>
          <w:szCs w:val="24"/>
        </w:rPr>
        <w:t>5.</w:t>
      </w:r>
      <w:r w:rsidRPr="009752A1">
        <w:rPr>
          <w:b/>
          <w:sz w:val="24"/>
          <w:szCs w:val="24"/>
        </w:rPr>
        <w:tab/>
        <w:t>FARMAKOLOGISKE EGENSKABER</w:t>
      </w:r>
    </w:p>
    <w:p w14:paraId="6E409292" w14:textId="77777777" w:rsidR="009260DE" w:rsidRPr="009752A1" w:rsidRDefault="009260DE" w:rsidP="009260DE">
      <w:pPr>
        <w:tabs>
          <w:tab w:val="left" w:pos="851"/>
        </w:tabs>
        <w:ind w:left="851"/>
        <w:rPr>
          <w:sz w:val="24"/>
          <w:szCs w:val="24"/>
        </w:rPr>
      </w:pPr>
    </w:p>
    <w:p w14:paraId="3E43D7AF" w14:textId="77777777" w:rsidR="009260DE" w:rsidRPr="009752A1" w:rsidRDefault="009260DE" w:rsidP="009260DE">
      <w:pPr>
        <w:tabs>
          <w:tab w:val="num" w:pos="851"/>
        </w:tabs>
        <w:ind w:left="851" w:hanging="851"/>
        <w:rPr>
          <w:b/>
          <w:sz w:val="24"/>
          <w:szCs w:val="24"/>
        </w:rPr>
      </w:pPr>
      <w:r w:rsidRPr="009752A1">
        <w:rPr>
          <w:b/>
          <w:sz w:val="24"/>
          <w:szCs w:val="24"/>
        </w:rPr>
        <w:t>5.1</w:t>
      </w:r>
      <w:r w:rsidRPr="009752A1">
        <w:rPr>
          <w:b/>
          <w:sz w:val="24"/>
          <w:szCs w:val="24"/>
        </w:rPr>
        <w:tab/>
      </w:r>
      <w:proofErr w:type="spellStart"/>
      <w:r w:rsidRPr="009752A1">
        <w:rPr>
          <w:b/>
          <w:sz w:val="24"/>
          <w:szCs w:val="24"/>
        </w:rPr>
        <w:t>Farmakodynamiske</w:t>
      </w:r>
      <w:proofErr w:type="spellEnd"/>
      <w:r w:rsidRPr="009752A1">
        <w:rPr>
          <w:b/>
          <w:sz w:val="24"/>
          <w:szCs w:val="24"/>
        </w:rPr>
        <w:t xml:space="preserve"> egenskaber</w:t>
      </w:r>
    </w:p>
    <w:p w14:paraId="3EC1D4FB" w14:textId="4DED9130" w:rsidR="006C5ECE" w:rsidRPr="009752A1" w:rsidRDefault="006C5ECE" w:rsidP="006C5ECE">
      <w:pPr>
        <w:tabs>
          <w:tab w:val="left" w:pos="851"/>
        </w:tabs>
        <w:ind w:left="851" w:hanging="851"/>
        <w:rPr>
          <w:sz w:val="24"/>
          <w:szCs w:val="24"/>
        </w:rPr>
      </w:pPr>
      <w:r w:rsidRPr="006C5ECE">
        <w:rPr>
          <w:sz w:val="24"/>
          <w:szCs w:val="24"/>
        </w:rPr>
        <w:tab/>
      </w:r>
      <w:proofErr w:type="spellStart"/>
      <w:r w:rsidRPr="006C5ECE">
        <w:rPr>
          <w:sz w:val="24"/>
          <w:szCs w:val="24"/>
        </w:rPr>
        <w:t>Farmakot</w:t>
      </w:r>
      <w:r w:rsidRPr="006C5ECE">
        <w:rPr>
          <w:sz w:val="24"/>
          <w:szCs w:val="24"/>
        </w:rPr>
        <w:t>erapeutisk</w:t>
      </w:r>
      <w:proofErr w:type="spellEnd"/>
      <w:r w:rsidRPr="006C5ECE">
        <w:rPr>
          <w:sz w:val="24"/>
          <w:szCs w:val="24"/>
        </w:rPr>
        <w:t xml:space="preserve"> klassifikation</w:t>
      </w:r>
      <w:r>
        <w:rPr>
          <w:sz w:val="24"/>
          <w:szCs w:val="24"/>
        </w:rPr>
        <w:t xml:space="preserve">: </w:t>
      </w:r>
      <w:r>
        <w:rPr>
          <w:sz w:val="24"/>
          <w:szCs w:val="24"/>
          <w:lang w:eastAsia="da-DK"/>
        </w:rPr>
        <w:t>Alle andre terapeutiske produkter,</w:t>
      </w:r>
      <w:r>
        <w:rPr>
          <w:sz w:val="24"/>
          <w:szCs w:val="24"/>
        </w:rPr>
        <w:t xml:space="preserve"> </w:t>
      </w:r>
      <w:proofErr w:type="spellStart"/>
      <w:r>
        <w:rPr>
          <w:sz w:val="24"/>
          <w:szCs w:val="24"/>
          <w:lang w:eastAsia="da-DK"/>
        </w:rPr>
        <w:t>j</w:t>
      </w:r>
      <w:r w:rsidRPr="009752A1">
        <w:rPr>
          <w:sz w:val="24"/>
          <w:szCs w:val="24"/>
          <w:lang w:eastAsia="da-DK"/>
        </w:rPr>
        <w:t>ernkelerende</w:t>
      </w:r>
      <w:proofErr w:type="spellEnd"/>
      <w:r w:rsidRPr="009752A1">
        <w:rPr>
          <w:sz w:val="24"/>
          <w:szCs w:val="24"/>
          <w:lang w:eastAsia="da-DK"/>
        </w:rPr>
        <w:t xml:space="preserve"> stoffer. ATC-kode: V 03 AC 02.</w:t>
      </w:r>
    </w:p>
    <w:p w14:paraId="55FAD8CA" w14:textId="77777777" w:rsidR="006C5ECE" w:rsidRPr="009752A1" w:rsidRDefault="006C5ECE" w:rsidP="00E904A2">
      <w:pPr>
        <w:rPr>
          <w:sz w:val="24"/>
          <w:szCs w:val="24"/>
        </w:rPr>
      </w:pPr>
    </w:p>
    <w:p w14:paraId="771B9FB6" w14:textId="77777777" w:rsidR="00E904A2" w:rsidRPr="009752A1" w:rsidRDefault="00E904A2" w:rsidP="00A01165">
      <w:pPr>
        <w:autoSpaceDE w:val="0"/>
        <w:autoSpaceDN w:val="0"/>
        <w:adjustRightInd w:val="0"/>
        <w:ind w:left="851"/>
        <w:rPr>
          <w:sz w:val="24"/>
          <w:szCs w:val="24"/>
          <w:u w:val="single"/>
          <w:lang w:eastAsia="da-DK"/>
        </w:rPr>
      </w:pPr>
      <w:r w:rsidRPr="009752A1">
        <w:rPr>
          <w:sz w:val="24"/>
          <w:szCs w:val="24"/>
          <w:u w:val="single"/>
          <w:lang w:eastAsia="da-DK"/>
        </w:rPr>
        <w:t>Virkningsmekanisme</w:t>
      </w:r>
    </w:p>
    <w:p w14:paraId="79CB0605" w14:textId="77777777" w:rsidR="00E904A2" w:rsidRPr="009752A1" w:rsidRDefault="00E904A2" w:rsidP="00A01165">
      <w:pPr>
        <w:autoSpaceDE w:val="0"/>
        <w:autoSpaceDN w:val="0"/>
        <w:adjustRightInd w:val="0"/>
        <w:ind w:left="851"/>
        <w:rPr>
          <w:bCs/>
          <w:noProof/>
          <w:sz w:val="24"/>
          <w:szCs w:val="24"/>
        </w:rPr>
      </w:pPr>
      <w:r w:rsidRPr="009752A1">
        <w:rPr>
          <w:sz w:val="24"/>
          <w:szCs w:val="24"/>
          <w:lang w:eastAsia="da-DK"/>
        </w:rPr>
        <w:t xml:space="preserve">Det aktive stof er </w:t>
      </w:r>
      <w:proofErr w:type="spellStart"/>
      <w:r w:rsidRPr="009752A1">
        <w:rPr>
          <w:sz w:val="24"/>
          <w:szCs w:val="24"/>
          <w:lang w:eastAsia="da-DK"/>
        </w:rPr>
        <w:t>deferipron</w:t>
      </w:r>
      <w:proofErr w:type="spellEnd"/>
      <w:r w:rsidRPr="009752A1">
        <w:rPr>
          <w:sz w:val="24"/>
          <w:szCs w:val="24"/>
          <w:lang w:eastAsia="da-DK"/>
        </w:rPr>
        <w:t xml:space="preserve"> (3-hydroxy-1,2-dimetylpyridin-4-et), en </w:t>
      </w:r>
      <w:proofErr w:type="spellStart"/>
      <w:r w:rsidRPr="009752A1">
        <w:rPr>
          <w:sz w:val="24"/>
          <w:szCs w:val="24"/>
          <w:lang w:eastAsia="da-DK"/>
        </w:rPr>
        <w:t>bidentat</w:t>
      </w:r>
      <w:proofErr w:type="spellEnd"/>
      <w:r w:rsidRPr="009752A1">
        <w:rPr>
          <w:sz w:val="24"/>
          <w:szCs w:val="24"/>
          <w:lang w:eastAsia="da-DK"/>
        </w:rPr>
        <w:t xml:space="preserve"> </w:t>
      </w:r>
      <w:proofErr w:type="spellStart"/>
      <w:r w:rsidRPr="009752A1">
        <w:rPr>
          <w:sz w:val="24"/>
          <w:szCs w:val="24"/>
          <w:lang w:eastAsia="da-DK"/>
        </w:rPr>
        <w:t>ligand</w:t>
      </w:r>
      <w:proofErr w:type="spellEnd"/>
      <w:r w:rsidRPr="009752A1">
        <w:rPr>
          <w:sz w:val="24"/>
          <w:szCs w:val="24"/>
          <w:lang w:eastAsia="da-DK"/>
        </w:rPr>
        <w:t>, som binder sig til jern i molarforholdet 3:1.</w:t>
      </w:r>
    </w:p>
    <w:p w14:paraId="7CB2E639" w14:textId="77777777" w:rsidR="00E904A2" w:rsidRPr="009752A1" w:rsidRDefault="00E904A2" w:rsidP="00A01165">
      <w:pPr>
        <w:suppressAutoHyphens/>
        <w:ind w:left="851"/>
        <w:rPr>
          <w:bCs/>
          <w:noProof/>
          <w:sz w:val="24"/>
          <w:szCs w:val="24"/>
        </w:rPr>
      </w:pPr>
    </w:p>
    <w:p w14:paraId="76371503" w14:textId="77777777" w:rsidR="00E904A2" w:rsidRPr="009752A1" w:rsidRDefault="00E904A2" w:rsidP="00A01165">
      <w:pPr>
        <w:suppressAutoHyphens/>
        <w:ind w:left="851"/>
        <w:rPr>
          <w:bCs/>
          <w:noProof/>
          <w:sz w:val="24"/>
          <w:szCs w:val="24"/>
          <w:u w:val="single"/>
        </w:rPr>
      </w:pPr>
      <w:r w:rsidRPr="009752A1">
        <w:rPr>
          <w:bCs/>
          <w:noProof/>
          <w:sz w:val="24"/>
          <w:szCs w:val="24"/>
          <w:u w:val="single"/>
        </w:rPr>
        <w:t>Farmakodynamisk virkning</w:t>
      </w:r>
    </w:p>
    <w:p w14:paraId="37ADA985" w14:textId="77777777" w:rsidR="006C5ECE" w:rsidRDefault="006C5ECE" w:rsidP="006C5ECE">
      <w:pPr>
        <w:autoSpaceDE w:val="0"/>
        <w:autoSpaceDN w:val="0"/>
        <w:adjustRightInd w:val="0"/>
        <w:ind w:left="851"/>
        <w:rPr>
          <w:bCs/>
          <w:noProof/>
          <w:sz w:val="24"/>
          <w:szCs w:val="24"/>
          <w:u w:val="single"/>
        </w:rPr>
      </w:pPr>
      <w:r>
        <w:rPr>
          <w:sz w:val="24"/>
          <w:szCs w:val="24"/>
          <w:lang w:eastAsia="da-DK"/>
        </w:rPr>
        <w:t xml:space="preserve">Kliniske studier har vist, at </w:t>
      </w:r>
      <w:proofErr w:type="spellStart"/>
      <w:r>
        <w:rPr>
          <w:sz w:val="24"/>
          <w:szCs w:val="24"/>
          <w:lang w:eastAsia="da-DK"/>
        </w:rPr>
        <w:t>deferipron</w:t>
      </w:r>
      <w:proofErr w:type="spellEnd"/>
      <w:r>
        <w:rPr>
          <w:sz w:val="24"/>
          <w:szCs w:val="24"/>
          <w:lang w:eastAsia="da-DK"/>
        </w:rPr>
        <w:t xml:space="preserve"> er effektivt til fremme af jernudskillelse, og at en total dosis på 75 mg/kg dagligt kan forebygge progression af jernakkumulation vurderet ved </w:t>
      </w:r>
      <w:proofErr w:type="spellStart"/>
      <w:r>
        <w:rPr>
          <w:sz w:val="24"/>
          <w:szCs w:val="24"/>
          <w:lang w:eastAsia="da-DK"/>
        </w:rPr>
        <w:t>serumferritin</w:t>
      </w:r>
      <w:proofErr w:type="spellEnd"/>
      <w:r>
        <w:rPr>
          <w:sz w:val="24"/>
          <w:szCs w:val="24"/>
          <w:lang w:eastAsia="da-DK"/>
        </w:rPr>
        <w:t xml:space="preserve"> hos patienter med transfusions-afhængig </w:t>
      </w:r>
      <w:proofErr w:type="spellStart"/>
      <w:r>
        <w:rPr>
          <w:sz w:val="24"/>
          <w:szCs w:val="24"/>
          <w:lang w:eastAsia="da-DK"/>
        </w:rPr>
        <w:t>talassæmi</w:t>
      </w:r>
      <w:proofErr w:type="spellEnd"/>
      <w:r>
        <w:rPr>
          <w:sz w:val="24"/>
          <w:szCs w:val="24"/>
          <w:lang w:eastAsia="da-DK"/>
        </w:rPr>
        <w:t xml:space="preserve">. Publicerede data om jernbalancestudier hos </w:t>
      </w:r>
      <w:proofErr w:type="spellStart"/>
      <w:r>
        <w:rPr>
          <w:sz w:val="24"/>
          <w:szCs w:val="24"/>
          <w:lang w:eastAsia="da-DK"/>
        </w:rPr>
        <w:t>talassæmi</w:t>
      </w:r>
      <w:proofErr w:type="spellEnd"/>
      <w:r>
        <w:rPr>
          <w:sz w:val="24"/>
          <w:szCs w:val="24"/>
          <w:lang w:eastAsia="da-DK"/>
        </w:rPr>
        <w:t xml:space="preserve">-patienter viser, at brugen af </w:t>
      </w:r>
      <w:proofErr w:type="spellStart"/>
      <w:r>
        <w:rPr>
          <w:sz w:val="24"/>
          <w:szCs w:val="24"/>
          <w:lang w:eastAsia="da-DK"/>
        </w:rPr>
        <w:t>deferipron</w:t>
      </w:r>
      <w:proofErr w:type="spellEnd"/>
      <w:r>
        <w:rPr>
          <w:sz w:val="24"/>
          <w:szCs w:val="24"/>
          <w:lang w:eastAsia="da-DK"/>
        </w:rPr>
        <w:t xml:space="preserve"> samtidig med </w:t>
      </w:r>
      <w:proofErr w:type="spellStart"/>
      <w:r>
        <w:rPr>
          <w:sz w:val="24"/>
          <w:szCs w:val="24"/>
          <w:lang w:eastAsia="da-DK"/>
        </w:rPr>
        <w:t>deferoxamin</w:t>
      </w:r>
      <w:proofErr w:type="spellEnd"/>
      <w:r>
        <w:rPr>
          <w:sz w:val="24"/>
          <w:szCs w:val="24"/>
          <w:lang w:eastAsia="da-DK"/>
        </w:rPr>
        <w:t xml:space="preserve"> (samtidig administration af begge </w:t>
      </w:r>
      <w:proofErr w:type="spellStart"/>
      <w:r>
        <w:rPr>
          <w:sz w:val="24"/>
          <w:szCs w:val="24"/>
          <w:lang w:eastAsia="da-DK"/>
        </w:rPr>
        <w:t>kelerende</w:t>
      </w:r>
      <w:proofErr w:type="spellEnd"/>
      <w:r>
        <w:rPr>
          <w:sz w:val="24"/>
          <w:szCs w:val="24"/>
          <w:lang w:eastAsia="da-DK"/>
        </w:rPr>
        <w:t xml:space="preserve"> stoffer på samme dag enten samtidigt eller sekventielt, f.eks. </w:t>
      </w:r>
      <w:proofErr w:type="spellStart"/>
      <w:r>
        <w:rPr>
          <w:sz w:val="24"/>
          <w:szCs w:val="24"/>
          <w:lang w:eastAsia="da-DK"/>
        </w:rPr>
        <w:t>deferipron</w:t>
      </w:r>
      <w:proofErr w:type="spellEnd"/>
      <w:r>
        <w:rPr>
          <w:sz w:val="24"/>
          <w:szCs w:val="24"/>
          <w:lang w:eastAsia="da-DK"/>
        </w:rPr>
        <w:t xml:space="preserve"> om dagen og </w:t>
      </w:r>
      <w:proofErr w:type="spellStart"/>
      <w:r>
        <w:rPr>
          <w:sz w:val="24"/>
          <w:szCs w:val="24"/>
          <w:lang w:eastAsia="da-DK"/>
        </w:rPr>
        <w:t>deferoxamin</w:t>
      </w:r>
      <w:proofErr w:type="spellEnd"/>
      <w:r>
        <w:rPr>
          <w:sz w:val="24"/>
          <w:szCs w:val="24"/>
          <w:lang w:eastAsia="da-DK"/>
        </w:rPr>
        <w:t xml:space="preserve"> om aftenen), fremmer større jernudskillelse end med kun ét af disse lægemidler. Doserne af </w:t>
      </w:r>
      <w:proofErr w:type="spellStart"/>
      <w:r>
        <w:rPr>
          <w:sz w:val="24"/>
          <w:szCs w:val="24"/>
          <w:lang w:eastAsia="da-DK"/>
        </w:rPr>
        <w:t>deferipron</w:t>
      </w:r>
      <w:proofErr w:type="spellEnd"/>
      <w:r>
        <w:rPr>
          <w:sz w:val="24"/>
          <w:szCs w:val="24"/>
          <w:lang w:eastAsia="da-DK"/>
        </w:rPr>
        <w:t xml:space="preserve"> i disse studier lå mellem 50 og 100 mg/kg/dag og doserne af </w:t>
      </w:r>
      <w:proofErr w:type="spellStart"/>
      <w:r>
        <w:rPr>
          <w:sz w:val="24"/>
          <w:szCs w:val="24"/>
          <w:lang w:eastAsia="da-DK"/>
        </w:rPr>
        <w:t>deferoxamin</w:t>
      </w:r>
      <w:proofErr w:type="spellEnd"/>
      <w:r>
        <w:rPr>
          <w:sz w:val="24"/>
          <w:szCs w:val="24"/>
          <w:lang w:eastAsia="da-DK"/>
        </w:rPr>
        <w:t xml:space="preserve"> mellem 40 og 60 mg/kg/dag. </w:t>
      </w:r>
      <w:proofErr w:type="spellStart"/>
      <w:r>
        <w:rPr>
          <w:sz w:val="24"/>
          <w:szCs w:val="24"/>
          <w:lang w:eastAsia="da-DK"/>
        </w:rPr>
        <w:t>Kelationsterapi</w:t>
      </w:r>
      <w:proofErr w:type="spellEnd"/>
      <w:r>
        <w:rPr>
          <w:sz w:val="24"/>
          <w:szCs w:val="24"/>
          <w:lang w:eastAsia="da-DK"/>
        </w:rPr>
        <w:t xml:space="preserve"> beskytter dog ikke nødvendigvis mod jerninduceret organskade.</w:t>
      </w:r>
    </w:p>
    <w:p w14:paraId="1C4D32B4" w14:textId="77777777" w:rsidR="006C5ECE" w:rsidRDefault="006C5ECE" w:rsidP="006C5ECE">
      <w:pPr>
        <w:suppressAutoHyphens/>
        <w:ind w:left="851"/>
        <w:rPr>
          <w:bCs/>
          <w:noProof/>
          <w:sz w:val="24"/>
          <w:szCs w:val="24"/>
          <w:u w:val="single"/>
        </w:rPr>
      </w:pPr>
    </w:p>
    <w:p w14:paraId="589EDFA2" w14:textId="77777777" w:rsidR="006C5ECE" w:rsidRDefault="006C5ECE" w:rsidP="006C5ECE">
      <w:pPr>
        <w:suppressAutoHyphens/>
        <w:ind w:left="851"/>
        <w:rPr>
          <w:bCs/>
          <w:noProof/>
          <w:sz w:val="24"/>
          <w:szCs w:val="24"/>
          <w:u w:val="single"/>
        </w:rPr>
      </w:pPr>
      <w:r>
        <w:rPr>
          <w:bCs/>
          <w:noProof/>
          <w:sz w:val="24"/>
          <w:szCs w:val="24"/>
          <w:u w:val="single"/>
        </w:rPr>
        <w:t>Klinisk virkning og sikkerhed</w:t>
      </w:r>
    </w:p>
    <w:p w14:paraId="3AFD8C63" w14:textId="77777777" w:rsidR="006C5ECE" w:rsidRDefault="006C5ECE" w:rsidP="006C5ECE">
      <w:pPr>
        <w:autoSpaceDE w:val="0"/>
        <w:autoSpaceDN w:val="0"/>
        <w:adjustRightInd w:val="0"/>
        <w:ind w:left="851"/>
        <w:rPr>
          <w:sz w:val="24"/>
          <w:szCs w:val="24"/>
          <w:lang w:eastAsia="da-DK"/>
        </w:rPr>
      </w:pPr>
      <w:r>
        <w:rPr>
          <w:sz w:val="24"/>
          <w:szCs w:val="24"/>
          <w:lang w:eastAsia="da-DK"/>
        </w:rPr>
        <w:t>Der blev udført studier af klinisk virkning med 500 mg filmovertrukne tabletter.</w:t>
      </w:r>
    </w:p>
    <w:p w14:paraId="2BFF85A9" w14:textId="77777777" w:rsidR="006C5ECE" w:rsidRDefault="006C5ECE" w:rsidP="006C5ECE">
      <w:pPr>
        <w:autoSpaceDE w:val="0"/>
        <w:autoSpaceDN w:val="0"/>
        <w:adjustRightInd w:val="0"/>
        <w:ind w:left="851"/>
        <w:rPr>
          <w:sz w:val="24"/>
          <w:szCs w:val="24"/>
          <w:lang w:eastAsia="da-DK"/>
        </w:rPr>
      </w:pPr>
    </w:p>
    <w:p w14:paraId="50DC5ED3" w14:textId="7D3C5A6E" w:rsidR="00E904A2" w:rsidRPr="009752A1" w:rsidRDefault="00E904A2" w:rsidP="00A01165">
      <w:pPr>
        <w:autoSpaceDE w:val="0"/>
        <w:autoSpaceDN w:val="0"/>
        <w:adjustRightInd w:val="0"/>
        <w:ind w:left="851"/>
        <w:rPr>
          <w:sz w:val="24"/>
          <w:szCs w:val="24"/>
          <w:lang w:eastAsia="da-DK"/>
        </w:rPr>
      </w:pPr>
      <w:r w:rsidRPr="009752A1">
        <w:rPr>
          <w:sz w:val="24"/>
          <w:szCs w:val="24"/>
          <w:lang w:eastAsia="da-DK"/>
        </w:rPr>
        <w:t xml:space="preserve">Studierne LA16-0102, LA-01 og LA08-9701 sammenlignede </w:t>
      </w:r>
      <w:proofErr w:type="spellStart"/>
      <w:r w:rsidRPr="009752A1">
        <w:rPr>
          <w:sz w:val="24"/>
          <w:szCs w:val="24"/>
          <w:lang w:eastAsia="da-DK"/>
        </w:rPr>
        <w:t>deferiprons</w:t>
      </w:r>
      <w:proofErr w:type="spellEnd"/>
      <w:r w:rsidRPr="009752A1">
        <w:rPr>
          <w:sz w:val="24"/>
          <w:szCs w:val="24"/>
          <w:lang w:eastAsia="da-DK"/>
        </w:rPr>
        <w:t xml:space="preserve"> virkning med </w:t>
      </w:r>
      <w:proofErr w:type="spellStart"/>
      <w:r w:rsidRPr="009752A1">
        <w:rPr>
          <w:sz w:val="24"/>
          <w:szCs w:val="24"/>
          <w:lang w:eastAsia="da-DK"/>
        </w:rPr>
        <w:t>deferoxamins</w:t>
      </w:r>
      <w:proofErr w:type="spellEnd"/>
      <w:r w:rsidRPr="009752A1">
        <w:rPr>
          <w:sz w:val="24"/>
          <w:szCs w:val="24"/>
          <w:lang w:eastAsia="da-DK"/>
        </w:rPr>
        <w:t xml:space="preserve"> virkning til styring af </w:t>
      </w:r>
      <w:proofErr w:type="spellStart"/>
      <w:r w:rsidRPr="009752A1">
        <w:rPr>
          <w:sz w:val="24"/>
          <w:szCs w:val="24"/>
          <w:lang w:eastAsia="da-DK"/>
        </w:rPr>
        <w:t>serumferritin</w:t>
      </w:r>
      <w:proofErr w:type="spellEnd"/>
      <w:r w:rsidRPr="009752A1">
        <w:rPr>
          <w:sz w:val="24"/>
          <w:szCs w:val="24"/>
          <w:lang w:eastAsia="da-DK"/>
        </w:rPr>
        <w:t xml:space="preserve"> hos transfusionsafhængige </w:t>
      </w:r>
      <w:proofErr w:type="spellStart"/>
      <w:r w:rsidRPr="009752A1">
        <w:rPr>
          <w:sz w:val="24"/>
          <w:szCs w:val="24"/>
          <w:lang w:eastAsia="da-DK"/>
        </w:rPr>
        <w:t>talassæmi</w:t>
      </w:r>
      <w:proofErr w:type="spellEnd"/>
      <w:r w:rsidRPr="009752A1">
        <w:rPr>
          <w:sz w:val="24"/>
          <w:szCs w:val="24"/>
          <w:lang w:eastAsia="da-DK"/>
        </w:rPr>
        <w:t xml:space="preserve">-patienter. </w:t>
      </w:r>
      <w:proofErr w:type="spellStart"/>
      <w:r w:rsidRPr="009752A1">
        <w:rPr>
          <w:sz w:val="24"/>
          <w:szCs w:val="24"/>
          <w:lang w:eastAsia="da-DK"/>
        </w:rPr>
        <w:t>Deferipron</w:t>
      </w:r>
      <w:proofErr w:type="spellEnd"/>
      <w:r w:rsidRPr="009752A1">
        <w:rPr>
          <w:sz w:val="24"/>
          <w:szCs w:val="24"/>
          <w:lang w:eastAsia="da-DK"/>
        </w:rPr>
        <w:t xml:space="preserve"> og </w:t>
      </w:r>
      <w:proofErr w:type="spellStart"/>
      <w:r w:rsidRPr="009752A1">
        <w:rPr>
          <w:sz w:val="24"/>
          <w:szCs w:val="24"/>
          <w:lang w:eastAsia="da-DK"/>
        </w:rPr>
        <w:t>deferoxamin</w:t>
      </w:r>
      <w:proofErr w:type="spellEnd"/>
      <w:r w:rsidRPr="009752A1">
        <w:rPr>
          <w:sz w:val="24"/>
          <w:szCs w:val="24"/>
          <w:lang w:eastAsia="da-DK"/>
        </w:rPr>
        <w:t xml:space="preserve"> var ækvivalente med hensyn til at fremme en nettostabilisering eller reduktion af kroppens jernophobning, til trods for den kontinuerlige jernindgivelse via transfusion hos disse patienter (ingen forskel i andelen af patienter med en negativ tendens i </w:t>
      </w:r>
      <w:proofErr w:type="spellStart"/>
      <w:r w:rsidRPr="009752A1">
        <w:rPr>
          <w:sz w:val="24"/>
          <w:szCs w:val="24"/>
          <w:lang w:eastAsia="da-DK"/>
        </w:rPr>
        <w:t>serumferritin</w:t>
      </w:r>
      <w:proofErr w:type="spellEnd"/>
      <w:r w:rsidRPr="009752A1">
        <w:rPr>
          <w:sz w:val="24"/>
          <w:szCs w:val="24"/>
          <w:lang w:eastAsia="da-DK"/>
        </w:rPr>
        <w:t xml:space="preserve"> mellem de to behandlingsgrupper ved regressionsanalyse; p</w:t>
      </w:r>
      <w:r w:rsidR="008B6400">
        <w:rPr>
          <w:sz w:val="24"/>
          <w:szCs w:val="24"/>
          <w:lang w:eastAsia="da-DK"/>
        </w:rPr>
        <w:t> </w:t>
      </w:r>
      <w:r w:rsidRPr="009752A1">
        <w:rPr>
          <w:sz w:val="24"/>
          <w:szCs w:val="24"/>
          <w:lang w:eastAsia="da-DK"/>
        </w:rPr>
        <w:t>&gt;0,05).</w:t>
      </w:r>
    </w:p>
    <w:p w14:paraId="312EB126" w14:textId="77777777" w:rsidR="00E904A2" w:rsidRPr="009752A1" w:rsidRDefault="00E904A2" w:rsidP="00A01165">
      <w:pPr>
        <w:autoSpaceDE w:val="0"/>
        <w:autoSpaceDN w:val="0"/>
        <w:adjustRightInd w:val="0"/>
        <w:ind w:left="851"/>
        <w:rPr>
          <w:sz w:val="24"/>
          <w:szCs w:val="24"/>
          <w:lang w:eastAsia="da-DK"/>
        </w:rPr>
      </w:pPr>
    </w:p>
    <w:p w14:paraId="674ED93E" w14:textId="77777777" w:rsidR="00E904A2" w:rsidRPr="009752A1" w:rsidRDefault="00E904A2" w:rsidP="00A01165">
      <w:pPr>
        <w:autoSpaceDE w:val="0"/>
        <w:autoSpaceDN w:val="0"/>
        <w:adjustRightInd w:val="0"/>
        <w:ind w:left="851"/>
        <w:rPr>
          <w:sz w:val="24"/>
          <w:szCs w:val="24"/>
          <w:lang w:eastAsia="da-DK"/>
        </w:rPr>
      </w:pPr>
      <w:r w:rsidRPr="009752A1">
        <w:rPr>
          <w:sz w:val="24"/>
          <w:szCs w:val="24"/>
          <w:lang w:eastAsia="da-DK"/>
        </w:rPr>
        <w:t xml:space="preserve">Der blev også anvendt en MR-skanningsmetode, T2*, til at kvantificere </w:t>
      </w:r>
      <w:proofErr w:type="spellStart"/>
      <w:r w:rsidRPr="009752A1">
        <w:rPr>
          <w:sz w:val="24"/>
          <w:szCs w:val="24"/>
          <w:lang w:eastAsia="da-DK"/>
        </w:rPr>
        <w:t>myokardial</w:t>
      </w:r>
      <w:proofErr w:type="spellEnd"/>
      <w:r w:rsidRPr="009752A1">
        <w:rPr>
          <w:sz w:val="24"/>
          <w:szCs w:val="24"/>
          <w:lang w:eastAsia="da-DK"/>
        </w:rPr>
        <w:t xml:space="preserve"> jernophobning. Jernophobning forårsager koncentrationsafhængig MRI T2*-signaltab. Følgelig reducerer øget </w:t>
      </w:r>
      <w:proofErr w:type="spellStart"/>
      <w:r w:rsidRPr="009752A1">
        <w:rPr>
          <w:sz w:val="24"/>
          <w:szCs w:val="24"/>
          <w:lang w:eastAsia="da-DK"/>
        </w:rPr>
        <w:t>myokardial</w:t>
      </w:r>
      <w:proofErr w:type="spellEnd"/>
      <w:r w:rsidRPr="009752A1">
        <w:rPr>
          <w:sz w:val="24"/>
          <w:szCs w:val="24"/>
          <w:lang w:eastAsia="da-DK"/>
        </w:rPr>
        <w:t xml:space="preserve"> jern de </w:t>
      </w:r>
      <w:proofErr w:type="spellStart"/>
      <w:r w:rsidRPr="009752A1">
        <w:rPr>
          <w:sz w:val="24"/>
          <w:szCs w:val="24"/>
          <w:lang w:eastAsia="da-DK"/>
        </w:rPr>
        <w:t>myokardiale</w:t>
      </w:r>
      <w:proofErr w:type="spellEnd"/>
      <w:r w:rsidRPr="009752A1">
        <w:rPr>
          <w:sz w:val="24"/>
          <w:szCs w:val="24"/>
          <w:lang w:eastAsia="da-DK"/>
        </w:rPr>
        <w:t xml:space="preserve"> MRI T2*-værdier. </w:t>
      </w:r>
      <w:proofErr w:type="spellStart"/>
      <w:r w:rsidRPr="009752A1">
        <w:rPr>
          <w:sz w:val="24"/>
          <w:szCs w:val="24"/>
          <w:lang w:eastAsia="da-DK"/>
        </w:rPr>
        <w:t>Myokardial</w:t>
      </w:r>
      <w:proofErr w:type="spellEnd"/>
      <w:r w:rsidRPr="009752A1">
        <w:rPr>
          <w:sz w:val="24"/>
          <w:szCs w:val="24"/>
          <w:lang w:eastAsia="da-DK"/>
        </w:rPr>
        <w:t xml:space="preserve"> MRI T2*-værdier på mindre end 20 ms indikerer jernophobning i hjertet. En stigning i MRI T2* på behandling indikerer, at jern fjernes fra hjertet. En positiv sammenhæng mellem MRI T2*-værdier og hjertefunktion (som målt ved venstre </w:t>
      </w:r>
      <w:proofErr w:type="spellStart"/>
      <w:r w:rsidRPr="009752A1">
        <w:rPr>
          <w:sz w:val="24"/>
          <w:szCs w:val="24"/>
          <w:lang w:eastAsia="da-DK"/>
        </w:rPr>
        <w:t>ventrikulære</w:t>
      </w:r>
      <w:proofErr w:type="spellEnd"/>
      <w:r w:rsidRPr="009752A1">
        <w:rPr>
          <w:sz w:val="24"/>
          <w:szCs w:val="24"/>
          <w:lang w:eastAsia="da-DK"/>
        </w:rPr>
        <w:t xml:space="preserve"> uddrivningsfraktion (eller LVEF)) er blevet dokumenteret.</w:t>
      </w:r>
    </w:p>
    <w:p w14:paraId="56F10294" w14:textId="77777777" w:rsidR="00E904A2" w:rsidRPr="009752A1" w:rsidRDefault="00E904A2" w:rsidP="00A01165">
      <w:pPr>
        <w:autoSpaceDE w:val="0"/>
        <w:autoSpaceDN w:val="0"/>
        <w:adjustRightInd w:val="0"/>
        <w:ind w:left="851"/>
        <w:rPr>
          <w:sz w:val="24"/>
          <w:szCs w:val="24"/>
          <w:lang w:eastAsia="da-DK"/>
        </w:rPr>
      </w:pPr>
    </w:p>
    <w:p w14:paraId="76FCC68C" w14:textId="519B220D" w:rsidR="00E904A2" w:rsidRPr="009752A1" w:rsidRDefault="00E904A2" w:rsidP="00A01165">
      <w:pPr>
        <w:autoSpaceDE w:val="0"/>
        <w:autoSpaceDN w:val="0"/>
        <w:adjustRightInd w:val="0"/>
        <w:ind w:left="851"/>
        <w:rPr>
          <w:sz w:val="24"/>
          <w:szCs w:val="24"/>
          <w:lang w:eastAsia="da-DK"/>
        </w:rPr>
      </w:pPr>
      <w:r w:rsidRPr="009752A1">
        <w:rPr>
          <w:sz w:val="24"/>
          <w:szCs w:val="24"/>
          <w:lang w:eastAsia="da-DK"/>
        </w:rPr>
        <w:t xml:space="preserve">Studie LA16-0102 sammenlignede </w:t>
      </w:r>
      <w:proofErr w:type="spellStart"/>
      <w:r w:rsidRPr="009752A1">
        <w:rPr>
          <w:sz w:val="24"/>
          <w:szCs w:val="24"/>
          <w:lang w:eastAsia="da-DK"/>
        </w:rPr>
        <w:t>deferiprons</w:t>
      </w:r>
      <w:proofErr w:type="spellEnd"/>
      <w:r w:rsidRPr="009752A1">
        <w:rPr>
          <w:sz w:val="24"/>
          <w:szCs w:val="24"/>
          <w:lang w:eastAsia="da-DK"/>
        </w:rPr>
        <w:t xml:space="preserve"> virkning med </w:t>
      </w:r>
      <w:proofErr w:type="spellStart"/>
      <w:r w:rsidRPr="009752A1">
        <w:rPr>
          <w:sz w:val="24"/>
          <w:szCs w:val="24"/>
          <w:lang w:eastAsia="da-DK"/>
        </w:rPr>
        <w:t>deferoxamins</w:t>
      </w:r>
      <w:proofErr w:type="spellEnd"/>
      <w:r w:rsidRPr="009752A1">
        <w:rPr>
          <w:sz w:val="24"/>
          <w:szCs w:val="24"/>
          <w:lang w:eastAsia="da-DK"/>
        </w:rPr>
        <w:t xml:space="preserve"> virkning mht. reduktion af kardial jernophobning og forbedring af hjertefunktionen (som målt med LVEF) hos transfusionsafhængige </w:t>
      </w:r>
      <w:proofErr w:type="spellStart"/>
      <w:r w:rsidRPr="009752A1">
        <w:rPr>
          <w:sz w:val="24"/>
          <w:szCs w:val="24"/>
          <w:lang w:eastAsia="da-DK"/>
        </w:rPr>
        <w:t>talassæmi</w:t>
      </w:r>
      <w:proofErr w:type="spellEnd"/>
      <w:r w:rsidRPr="009752A1">
        <w:rPr>
          <w:sz w:val="24"/>
          <w:szCs w:val="24"/>
          <w:lang w:eastAsia="da-DK"/>
        </w:rPr>
        <w:t xml:space="preserve">-patienter. 61 patienter med jernophobning i hjertet, som tidligere blev behandlet med </w:t>
      </w:r>
      <w:proofErr w:type="spellStart"/>
      <w:r w:rsidRPr="009752A1">
        <w:rPr>
          <w:sz w:val="24"/>
          <w:szCs w:val="24"/>
          <w:lang w:eastAsia="da-DK"/>
        </w:rPr>
        <w:t>deferoxamin</w:t>
      </w:r>
      <w:proofErr w:type="spellEnd"/>
      <w:r w:rsidRPr="009752A1">
        <w:rPr>
          <w:sz w:val="24"/>
          <w:szCs w:val="24"/>
          <w:lang w:eastAsia="da-DK"/>
        </w:rPr>
        <w:t xml:space="preserve">, blev randomiseret til at fortsætte med </w:t>
      </w:r>
      <w:proofErr w:type="spellStart"/>
      <w:r w:rsidRPr="009752A1">
        <w:rPr>
          <w:sz w:val="24"/>
          <w:szCs w:val="24"/>
          <w:lang w:eastAsia="da-DK"/>
        </w:rPr>
        <w:t>deferoxamin</w:t>
      </w:r>
      <w:proofErr w:type="spellEnd"/>
      <w:r w:rsidRPr="009752A1">
        <w:rPr>
          <w:sz w:val="24"/>
          <w:szCs w:val="24"/>
          <w:lang w:eastAsia="da-DK"/>
        </w:rPr>
        <w:t xml:space="preserve"> (gennemsnitlig dosis på 43 mg/kg/dag; N=31) eller skifte til </w:t>
      </w:r>
      <w:proofErr w:type="spellStart"/>
      <w:r w:rsidRPr="009752A1">
        <w:rPr>
          <w:sz w:val="24"/>
          <w:szCs w:val="24"/>
          <w:lang w:eastAsia="da-DK"/>
        </w:rPr>
        <w:t>deferipron</w:t>
      </w:r>
      <w:proofErr w:type="spellEnd"/>
      <w:r w:rsidRPr="009752A1">
        <w:rPr>
          <w:sz w:val="24"/>
          <w:szCs w:val="24"/>
          <w:lang w:eastAsia="da-DK"/>
        </w:rPr>
        <w:t xml:space="preserve"> (gennemsnitlig dosis på 92 mg/kg/dag N=29). I studiets 12-måneders-forløb var </w:t>
      </w:r>
      <w:proofErr w:type="spellStart"/>
      <w:r w:rsidRPr="009752A1">
        <w:rPr>
          <w:sz w:val="24"/>
          <w:szCs w:val="24"/>
          <w:lang w:eastAsia="da-DK"/>
        </w:rPr>
        <w:t>deferipron</w:t>
      </w:r>
      <w:proofErr w:type="spellEnd"/>
      <w:r w:rsidRPr="009752A1">
        <w:rPr>
          <w:sz w:val="24"/>
          <w:szCs w:val="24"/>
          <w:lang w:eastAsia="da-DK"/>
        </w:rPr>
        <w:t xml:space="preserve"> </w:t>
      </w:r>
      <w:proofErr w:type="spellStart"/>
      <w:r w:rsidRPr="009752A1">
        <w:rPr>
          <w:sz w:val="24"/>
          <w:szCs w:val="24"/>
          <w:lang w:eastAsia="da-DK"/>
        </w:rPr>
        <w:t>superior</w:t>
      </w:r>
      <w:proofErr w:type="spellEnd"/>
      <w:r w:rsidRPr="009752A1">
        <w:rPr>
          <w:sz w:val="24"/>
          <w:szCs w:val="24"/>
          <w:lang w:eastAsia="da-DK"/>
        </w:rPr>
        <w:t xml:space="preserve"> til </w:t>
      </w:r>
      <w:proofErr w:type="spellStart"/>
      <w:r w:rsidRPr="009752A1">
        <w:rPr>
          <w:sz w:val="24"/>
          <w:szCs w:val="24"/>
          <w:lang w:eastAsia="da-DK"/>
        </w:rPr>
        <w:t>deferoxamin</w:t>
      </w:r>
      <w:proofErr w:type="spellEnd"/>
      <w:r w:rsidRPr="009752A1">
        <w:rPr>
          <w:sz w:val="24"/>
          <w:szCs w:val="24"/>
          <w:lang w:eastAsia="da-DK"/>
        </w:rPr>
        <w:t xml:space="preserve"> mht. reduktion af kardial jernophobning. Der var en forbedring i kardial T2* på mere end 3 ms hos patienter behandlet med </w:t>
      </w:r>
      <w:proofErr w:type="spellStart"/>
      <w:r w:rsidRPr="009752A1">
        <w:rPr>
          <w:sz w:val="24"/>
          <w:szCs w:val="24"/>
          <w:lang w:eastAsia="da-DK"/>
        </w:rPr>
        <w:t>deferipron</w:t>
      </w:r>
      <w:proofErr w:type="spellEnd"/>
      <w:r w:rsidRPr="009752A1">
        <w:rPr>
          <w:sz w:val="24"/>
          <w:szCs w:val="24"/>
          <w:lang w:eastAsia="da-DK"/>
        </w:rPr>
        <w:t xml:space="preserve"> sammenlignet med en forandring på ca. 1 ms hos patienter behandlet med </w:t>
      </w:r>
      <w:proofErr w:type="spellStart"/>
      <w:r w:rsidRPr="009752A1">
        <w:rPr>
          <w:sz w:val="24"/>
          <w:szCs w:val="24"/>
          <w:lang w:eastAsia="da-DK"/>
        </w:rPr>
        <w:t>deferoxamin</w:t>
      </w:r>
      <w:proofErr w:type="spellEnd"/>
      <w:r w:rsidRPr="009752A1">
        <w:rPr>
          <w:sz w:val="24"/>
          <w:szCs w:val="24"/>
          <w:lang w:eastAsia="da-DK"/>
        </w:rPr>
        <w:t>. På samme tidspunkt var LVEF steget fra baseline med 3,07 ± 3,58 absolutte enheder (</w:t>
      </w:r>
      <w:r w:rsidR="00A5361A">
        <w:rPr>
          <w:sz w:val="24"/>
          <w:szCs w:val="24"/>
          <w:lang w:eastAsia="da-DK"/>
        </w:rPr>
        <w:t>%</w:t>
      </w:r>
      <w:r w:rsidRPr="009752A1">
        <w:rPr>
          <w:sz w:val="24"/>
          <w:szCs w:val="24"/>
          <w:lang w:eastAsia="da-DK"/>
        </w:rPr>
        <w:t xml:space="preserve">) hos </w:t>
      </w:r>
      <w:proofErr w:type="spellStart"/>
      <w:r w:rsidRPr="009752A1">
        <w:rPr>
          <w:sz w:val="24"/>
          <w:szCs w:val="24"/>
          <w:lang w:eastAsia="da-DK"/>
        </w:rPr>
        <w:t>deferiprongruppen</w:t>
      </w:r>
      <w:proofErr w:type="spellEnd"/>
      <w:r w:rsidRPr="009752A1">
        <w:rPr>
          <w:sz w:val="24"/>
          <w:szCs w:val="24"/>
          <w:lang w:eastAsia="da-DK"/>
        </w:rPr>
        <w:t xml:space="preserve"> og med 0,32 ± 3,38 absolutte enheder (</w:t>
      </w:r>
      <w:r w:rsidR="00A5361A">
        <w:rPr>
          <w:sz w:val="24"/>
          <w:szCs w:val="24"/>
          <w:lang w:eastAsia="da-DK"/>
        </w:rPr>
        <w:t>%</w:t>
      </w:r>
      <w:r w:rsidRPr="009752A1">
        <w:rPr>
          <w:sz w:val="24"/>
          <w:szCs w:val="24"/>
          <w:lang w:eastAsia="da-DK"/>
        </w:rPr>
        <w:t xml:space="preserve">) hos </w:t>
      </w:r>
      <w:proofErr w:type="spellStart"/>
      <w:r w:rsidRPr="009752A1">
        <w:rPr>
          <w:sz w:val="24"/>
          <w:szCs w:val="24"/>
          <w:lang w:eastAsia="da-DK"/>
        </w:rPr>
        <w:t>deferoxamin</w:t>
      </w:r>
      <w:proofErr w:type="spellEnd"/>
      <w:r w:rsidRPr="009752A1">
        <w:rPr>
          <w:sz w:val="24"/>
          <w:szCs w:val="24"/>
          <w:lang w:eastAsia="da-DK"/>
        </w:rPr>
        <w:t>-gruppen (forskel mellem grupperne: p=0,003).</w:t>
      </w:r>
    </w:p>
    <w:p w14:paraId="5A59E072" w14:textId="77777777" w:rsidR="00E904A2" w:rsidRPr="009752A1" w:rsidRDefault="00E904A2" w:rsidP="00A01165">
      <w:pPr>
        <w:autoSpaceDE w:val="0"/>
        <w:autoSpaceDN w:val="0"/>
        <w:adjustRightInd w:val="0"/>
        <w:ind w:left="851"/>
        <w:rPr>
          <w:bCs/>
          <w:noProof/>
          <w:sz w:val="24"/>
          <w:szCs w:val="24"/>
          <w:u w:val="single"/>
        </w:rPr>
      </w:pPr>
    </w:p>
    <w:p w14:paraId="45044B5B" w14:textId="373CC51A" w:rsidR="00E904A2" w:rsidRPr="009752A1" w:rsidRDefault="00E904A2" w:rsidP="00A01165">
      <w:pPr>
        <w:autoSpaceDE w:val="0"/>
        <w:autoSpaceDN w:val="0"/>
        <w:adjustRightInd w:val="0"/>
        <w:ind w:left="851"/>
        <w:rPr>
          <w:sz w:val="24"/>
          <w:szCs w:val="24"/>
          <w:lang w:eastAsia="da-DK"/>
        </w:rPr>
      </w:pPr>
      <w:r w:rsidRPr="009752A1">
        <w:rPr>
          <w:sz w:val="24"/>
          <w:szCs w:val="24"/>
          <w:lang w:eastAsia="da-DK"/>
        </w:rPr>
        <w:t xml:space="preserve">Studie LA12-9907 sammenlignede overlevelse, forekomst af kardial sygdom samt progression af kardial sygdom hos 129 </w:t>
      </w:r>
      <w:proofErr w:type="spellStart"/>
      <w:r w:rsidRPr="009752A1">
        <w:rPr>
          <w:sz w:val="24"/>
          <w:szCs w:val="24"/>
          <w:lang w:eastAsia="da-DK"/>
        </w:rPr>
        <w:t>talassæmi</w:t>
      </w:r>
      <w:proofErr w:type="spellEnd"/>
      <w:r w:rsidRPr="009752A1">
        <w:rPr>
          <w:sz w:val="24"/>
          <w:szCs w:val="24"/>
          <w:lang w:eastAsia="da-DK"/>
        </w:rPr>
        <w:t xml:space="preserve">-patienter, som blev behandlet i mindst 4 år med </w:t>
      </w:r>
      <w:proofErr w:type="spellStart"/>
      <w:r w:rsidRPr="009752A1">
        <w:rPr>
          <w:sz w:val="24"/>
          <w:szCs w:val="24"/>
          <w:lang w:eastAsia="da-DK"/>
        </w:rPr>
        <w:t>deferipron</w:t>
      </w:r>
      <w:proofErr w:type="spellEnd"/>
      <w:r w:rsidRPr="009752A1">
        <w:rPr>
          <w:sz w:val="24"/>
          <w:szCs w:val="24"/>
          <w:lang w:eastAsia="da-DK"/>
        </w:rPr>
        <w:t xml:space="preserve"> (N=54) eller </w:t>
      </w:r>
      <w:proofErr w:type="spellStart"/>
      <w:r w:rsidRPr="009752A1">
        <w:rPr>
          <w:sz w:val="24"/>
          <w:szCs w:val="24"/>
          <w:lang w:eastAsia="da-DK"/>
        </w:rPr>
        <w:t>deferoxamin</w:t>
      </w:r>
      <w:proofErr w:type="spellEnd"/>
      <w:r w:rsidRPr="009752A1">
        <w:rPr>
          <w:sz w:val="24"/>
          <w:szCs w:val="24"/>
          <w:lang w:eastAsia="da-DK"/>
        </w:rPr>
        <w:t xml:space="preserve"> (N=75). Kardiale </w:t>
      </w:r>
      <w:proofErr w:type="spellStart"/>
      <w:r w:rsidRPr="009752A1">
        <w:rPr>
          <w:i/>
          <w:iCs/>
          <w:sz w:val="24"/>
          <w:szCs w:val="24"/>
          <w:lang w:eastAsia="da-DK"/>
        </w:rPr>
        <w:t>endpoints</w:t>
      </w:r>
      <w:proofErr w:type="spellEnd"/>
      <w:r w:rsidRPr="009752A1">
        <w:rPr>
          <w:i/>
          <w:iCs/>
          <w:sz w:val="24"/>
          <w:szCs w:val="24"/>
          <w:lang w:eastAsia="da-DK"/>
        </w:rPr>
        <w:t xml:space="preserve"> </w:t>
      </w:r>
      <w:r w:rsidRPr="009752A1">
        <w:rPr>
          <w:sz w:val="24"/>
          <w:szCs w:val="24"/>
          <w:lang w:eastAsia="da-DK"/>
        </w:rPr>
        <w:t>blev vurderet ved brug af ekkokardiogram, elektrokardiogram, New York Heart Association-klassificering og dødsfald som følge af kardial sygdom. Der var ingen signifikant forskel i procentdelen af patienter med kardial dysfunktion ved første vurdering (13</w:t>
      </w:r>
      <w:r w:rsidR="00A5361A">
        <w:rPr>
          <w:sz w:val="24"/>
          <w:szCs w:val="24"/>
          <w:lang w:eastAsia="da-DK"/>
        </w:rPr>
        <w:t xml:space="preserve"> %</w:t>
      </w:r>
      <w:r w:rsidRPr="009752A1">
        <w:rPr>
          <w:sz w:val="24"/>
          <w:szCs w:val="24"/>
          <w:lang w:eastAsia="da-DK"/>
        </w:rPr>
        <w:t xml:space="preserve"> for </w:t>
      </w:r>
      <w:proofErr w:type="spellStart"/>
      <w:r w:rsidRPr="009752A1">
        <w:rPr>
          <w:sz w:val="24"/>
          <w:szCs w:val="24"/>
          <w:lang w:eastAsia="da-DK"/>
        </w:rPr>
        <w:t>deferipron</w:t>
      </w:r>
      <w:proofErr w:type="spellEnd"/>
      <w:r w:rsidRPr="009752A1">
        <w:rPr>
          <w:sz w:val="24"/>
          <w:szCs w:val="24"/>
          <w:lang w:eastAsia="da-DK"/>
        </w:rPr>
        <w:t xml:space="preserve"> vs. 16</w:t>
      </w:r>
      <w:r w:rsidR="00A5361A">
        <w:rPr>
          <w:sz w:val="24"/>
          <w:szCs w:val="24"/>
          <w:lang w:eastAsia="da-DK"/>
        </w:rPr>
        <w:t xml:space="preserve"> %</w:t>
      </w:r>
      <w:r w:rsidRPr="009752A1">
        <w:rPr>
          <w:sz w:val="24"/>
          <w:szCs w:val="24"/>
          <w:lang w:eastAsia="da-DK"/>
        </w:rPr>
        <w:t xml:space="preserve"> for </w:t>
      </w:r>
      <w:proofErr w:type="spellStart"/>
      <w:r w:rsidRPr="009752A1">
        <w:rPr>
          <w:sz w:val="24"/>
          <w:szCs w:val="24"/>
          <w:lang w:eastAsia="da-DK"/>
        </w:rPr>
        <w:t>deferoxamin</w:t>
      </w:r>
      <w:proofErr w:type="spellEnd"/>
      <w:r w:rsidRPr="009752A1">
        <w:rPr>
          <w:sz w:val="24"/>
          <w:szCs w:val="24"/>
          <w:lang w:eastAsia="da-DK"/>
        </w:rPr>
        <w:t xml:space="preserve">). Ved første vurdering oplevede ingen af patienterne med kardial dysfunktion, som blev behandlet med </w:t>
      </w:r>
      <w:proofErr w:type="spellStart"/>
      <w:r w:rsidRPr="009752A1">
        <w:rPr>
          <w:sz w:val="24"/>
          <w:szCs w:val="24"/>
          <w:lang w:eastAsia="da-DK"/>
        </w:rPr>
        <w:t>deferipron</w:t>
      </w:r>
      <w:proofErr w:type="spellEnd"/>
      <w:r w:rsidRPr="009752A1">
        <w:rPr>
          <w:sz w:val="24"/>
          <w:szCs w:val="24"/>
          <w:lang w:eastAsia="da-DK"/>
        </w:rPr>
        <w:t>, sammenlignet med fire (33</w:t>
      </w:r>
      <w:r w:rsidR="00A5361A">
        <w:rPr>
          <w:sz w:val="24"/>
          <w:szCs w:val="24"/>
          <w:lang w:eastAsia="da-DK"/>
        </w:rPr>
        <w:t xml:space="preserve"> %</w:t>
      </w:r>
      <w:r w:rsidRPr="009752A1">
        <w:rPr>
          <w:sz w:val="24"/>
          <w:szCs w:val="24"/>
          <w:lang w:eastAsia="da-DK"/>
        </w:rPr>
        <w:t xml:space="preserve">) behandlet med </w:t>
      </w:r>
      <w:proofErr w:type="spellStart"/>
      <w:r w:rsidRPr="009752A1">
        <w:rPr>
          <w:sz w:val="24"/>
          <w:szCs w:val="24"/>
          <w:lang w:eastAsia="da-DK"/>
        </w:rPr>
        <w:t>deferoxamin</w:t>
      </w:r>
      <w:proofErr w:type="spellEnd"/>
      <w:r w:rsidRPr="009752A1">
        <w:rPr>
          <w:sz w:val="24"/>
          <w:szCs w:val="24"/>
          <w:lang w:eastAsia="da-DK"/>
        </w:rPr>
        <w:t xml:space="preserve"> en forværring af deres kardiale status (p=0,245). Nyligt diagnosticeret kardial dysfunktion opstod hos 13 (20,6</w:t>
      </w:r>
      <w:r w:rsidR="00A5361A">
        <w:rPr>
          <w:sz w:val="24"/>
          <w:szCs w:val="24"/>
          <w:lang w:eastAsia="da-DK"/>
        </w:rPr>
        <w:t xml:space="preserve"> %</w:t>
      </w:r>
      <w:r w:rsidRPr="009752A1">
        <w:rPr>
          <w:sz w:val="24"/>
          <w:szCs w:val="24"/>
          <w:lang w:eastAsia="da-DK"/>
        </w:rPr>
        <w:t xml:space="preserve">) </w:t>
      </w:r>
      <w:proofErr w:type="spellStart"/>
      <w:r w:rsidRPr="009752A1">
        <w:rPr>
          <w:sz w:val="24"/>
          <w:szCs w:val="24"/>
          <w:lang w:eastAsia="da-DK"/>
        </w:rPr>
        <w:t>deferoxamin</w:t>
      </w:r>
      <w:proofErr w:type="spellEnd"/>
      <w:r w:rsidRPr="009752A1">
        <w:rPr>
          <w:sz w:val="24"/>
          <w:szCs w:val="24"/>
          <w:lang w:eastAsia="da-DK"/>
        </w:rPr>
        <w:t>-behandlede patienter og hos 2 (4,3</w:t>
      </w:r>
      <w:r w:rsidR="00A5361A">
        <w:rPr>
          <w:sz w:val="24"/>
          <w:szCs w:val="24"/>
          <w:lang w:eastAsia="da-DK"/>
        </w:rPr>
        <w:t xml:space="preserve"> %</w:t>
      </w:r>
      <w:r w:rsidRPr="009752A1">
        <w:rPr>
          <w:sz w:val="24"/>
          <w:szCs w:val="24"/>
          <w:lang w:eastAsia="da-DK"/>
        </w:rPr>
        <w:t xml:space="preserve">) </w:t>
      </w:r>
      <w:proofErr w:type="spellStart"/>
      <w:r w:rsidRPr="009752A1">
        <w:rPr>
          <w:sz w:val="24"/>
          <w:szCs w:val="24"/>
          <w:lang w:eastAsia="da-DK"/>
        </w:rPr>
        <w:t>deferipron</w:t>
      </w:r>
      <w:proofErr w:type="spellEnd"/>
      <w:r w:rsidRPr="009752A1">
        <w:rPr>
          <w:sz w:val="24"/>
          <w:szCs w:val="24"/>
          <w:lang w:eastAsia="da-DK"/>
        </w:rPr>
        <w:t xml:space="preserve">-behandlede patienter, som var fri for hjertesygdomme ved første vurdering (p=0,013). Generelt viste færre </w:t>
      </w:r>
      <w:proofErr w:type="spellStart"/>
      <w:r w:rsidRPr="009752A1">
        <w:rPr>
          <w:sz w:val="24"/>
          <w:szCs w:val="24"/>
          <w:lang w:eastAsia="da-DK"/>
        </w:rPr>
        <w:t>deferipron</w:t>
      </w:r>
      <w:proofErr w:type="spellEnd"/>
      <w:r w:rsidRPr="009752A1">
        <w:rPr>
          <w:sz w:val="24"/>
          <w:szCs w:val="24"/>
          <w:lang w:eastAsia="da-DK"/>
        </w:rPr>
        <w:t xml:space="preserve">-behandlede patienter end </w:t>
      </w:r>
      <w:proofErr w:type="spellStart"/>
      <w:r w:rsidRPr="009752A1">
        <w:rPr>
          <w:sz w:val="24"/>
          <w:szCs w:val="24"/>
          <w:lang w:eastAsia="da-DK"/>
        </w:rPr>
        <w:t>deferoxamin</w:t>
      </w:r>
      <w:proofErr w:type="spellEnd"/>
      <w:r w:rsidRPr="009752A1">
        <w:rPr>
          <w:sz w:val="24"/>
          <w:szCs w:val="24"/>
          <w:lang w:eastAsia="da-DK"/>
        </w:rPr>
        <w:t>-behandlede patienter en forværring af den kardiale dysfunktion fra første vurdering til sidste vurdering (4</w:t>
      </w:r>
      <w:r w:rsidR="00A5361A">
        <w:rPr>
          <w:sz w:val="24"/>
          <w:szCs w:val="24"/>
          <w:lang w:eastAsia="da-DK"/>
        </w:rPr>
        <w:t xml:space="preserve"> %</w:t>
      </w:r>
      <w:r w:rsidRPr="009752A1">
        <w:rPr>
          <w:sz w:val="24"/>
          <w:szCs w:val="24"/>
          <w:lang w:eastAsia="da-DK"/>
        </w:rPr>
        <w:t xml:space="preserve"> vs. 20</w:t>
      </w:r>
      <w:r w:rsidR="00A5361A">
        <w:rPr>
          <w:sz w:val="24"/>
          <w:szCs w:val="24"/>
          <w:lang w:eastAsia="da-DK"/>
        </w:rPr>
        <w:t xml:space="preserve"> %</w:t>
      </w:r>
      <w:r w:rsidRPr="009752A1">
        <w:rPr>
          <w:sz w:val="24"/>
          <w:szCs w:val="24"/>
          <w:lang w:eastAsia="da-DK"/>
        </w:rPr>
        <w:t>, p=0,007).</w:t>
      </w:r>
    </w:p>
    <w:p w14:paraId="50CBC902" w14:textId="77777777" w:rsidR="00E904A2" w:rsidRPr="009752A1" w:rsidRDefault="00E904A2" w:rsidP="00A01165">
      <w:pPr>
        <w:autoSpaceDE w:val="0"/>
        <w:autoSpaceDN w:val="0"/>
        <w:adjustRightInd w:val="0"/>
        <w:ind w:left="851"/>
        <w:rPr>
          <w:sz w:val="24"/>
          <w:szCs w:val="24"/>
          <w:lang w:eastAsia="da-DK"/>
        </w:rPr>
      </w:pPr>
    </w:p>
    <w:p w14:paraId="2C05D39D" w14:textId="77777777" w:rsidR="006C5ECE" w:rsidRDefault="006C5ECE" w:rsidP="006C5ECE">
      <w:pPr>
        <w:autoSpaceDE w:val="0"/>
        <w:autoSpaceDN w:val="0"/>
        <w:adjustRightInd w:val="0"/>
        <w:ind w:left="851"/>
        <w:rPr>
          <w:sz w:val="24"/>
          <w:szCs w:val="24"/>
          <w:lang w:eastAsia="da-DK"/>
        </w:rPr>
      </w:pPr>
      <w:r>
        <w:rPr>
          <w:sz w:val="24"/>
          <w:szCs w:val="24"/>
          <w:lang w:eastAsia="da-DK"/>
        </w:rPr>
        <w:t xml:space="preserve">Publicerede data stemmer overens med resultaterne fra studier sponsoreret af virksomheden, der påviste færre hjertesygdomme og/eller forøget overlevelse hos </w:t>
      </w:r>
      <w:proofErr w:type="spellStart"/>
      <w:r>
        <w:rPr>
          <w:sz w:val="24"/>
          <w:szCs w:val="24"/>
          <w:lang w:eastAsia="da-DK"/>
        </w:rPr>
        <w:t>deferipron</w:t>
      </w:r>
      <w:proofErr w:type="spellEnd"/>
      <w:r>
        <w:rPr>
          <w:sz w:val="24"/>
          <w:szCs w:val="24"/>
          <w:lang w:eastAsia="da-DK"/>
        </w:rPr>
        <w:t xml:space="preserve">-behandlede patienter end hos dem, der blev behandlet med </w:t>
      </w:r>
      <w:proofErr w:type="spellStart"/>
      <w:r>
        <w:rPr>
          <w:sz w:val="24"/>
          <w:szCs w:val="24"/>
          <w:lang w:eastAsia="da-DK"/>
        </w:rPr>
        <w:t>deferoxamin</w:t>
      </w:r>
      <w:proofErr w:type="spellEnd"/>
      <w:r>
        <w:rPr>
          <w:sz w:val="24"/>
          <w:szCs w:val="24"/>
          <w:lang w:eastAsia="da-DK"/>
        </w:rPr>
        <w:t>.</w:t>
      </w:r>
    </w:p>
    <w:p w14:paraId="40404553" w14:textId="77777777" w:rsidR="00E904A2" w:rsidRPr="009752A1" w:rsidRDefault="00E904A2" w:rsidP="00A01165">
      <w:pPr>
        <w:autoSpaceDE w:val="0"/>
        <w:autoSpaceDN w:val="0"/>
        <w:adjustRightInd w:val="0"/>
        <w:ind w:left="851"/>
        <w:rPr>
          <w:sz w:val="24"/>
          <w:szCs w:val="24"/>
          <w:lang w:eastAsia="da-DK"/>
        </w:rPr>
      </w:pPr>
    </w:p>
    <w:p w14:paraId="7CB06A93" w14:textId="04B77A1E" w:rsidR="00E904A2" w:rsidRPr="009752A1" w:rsidRDefault="00E904A2" w:rsidP="00A01165">
      <w:pPr>
        <w:autoSpaceDE w:val="0"/>
        <w:autoSpaceDN w:val="0"/>
        <w:adjustRightInd w:val="0"/>
        <w:ind w:left="851"/>
        <w:rPr>
          <w:bCs/>
          <w:noProof/>
          <w:sz w:val="24"/>
          <w:szCs w:val="24"/>
          <w:u w:val="single"/>
        </w:rPr>
      </w:pPr>
      <w:r w:rsidRPr="009752A1">
        <w:rPr>
          <w:sz w:val="24"/>
          <w:szCs w:val="24"/>
          <w:lang w:eastAsia="da-DK"/>
        </w:rPr>
        <w:t>Et randomiseret, placebokontrolleret, dobbeltblind</w:t>
      </w:r>
      <w:r w:rsidR="006C5ECE">
        <w:rPr>
          <w:sz w:val="24"/>
          <w:szCs w:val="24"/>
          <w:lang w:eastAsia="da-DK"/>
        </w:rPr>
        <w:t>e</w:t>
      </w:r>
      <w:r w:rsidRPr="009752A1">
        <w:rPr>
          <w:sz w:val="24"/>
          <w:szCs w:val="24"/>
          <w:lang w:eastAsia="da-DK"/>
        </w:rPr>
        <w:t xml:space="preserve">t studie vurderede effekten af samtidig behandling med </w:t>
      </w:r>
      <w:proofErr w:type="spellStart"/>
      <w:r w:rsidRPr="009752A1">
        <w:rPr>
          <w:sz w:val="24"/>
          <w:szCs w:val="24"/>
          <w:lang w:eastAsia="da-DK"/>
        </w:rPr>
        <w:t>deferipron</w:t>
      </w:r>
      <w:proofErr w:type="spellEnd"/>
      <w:r w:rsidRPr="009752A1">
        <w:rPr>
          <w:sz w:val="24"/>
          <w:szCs w:val="24"/>
          <w:lang w:eastAsia="da-DK"/>
        </w:rPr>
        <w:t xml:space="preserve"> og </w:t>
      </w:r>
      <w:proofErr w:type="spellStart"/>
      <w:r w:rsidRPr="009752A1">
        <w:rPr>
          <w:sz w:val="24"/>
          <w:szCs w:val="24"/>
          <w:lang w:eastAsia="da-DK"/>
        </w:rPr>
        <w:t>deferoxamin</w:t>
      </w:r>
      <w:proofErr w:type="spellEnd"/>
      <w:r w:rsidRPr="009752A1">
        <w:rPr>
          <w:sz w:val="24"/>
          <w:szCs w:val="24"/>
          <w:lang w:eastAsia="da-DK"/>
        </w:rPr>
        <w:t xml:space="preserve"> hos </w:t>
      </w:r>
      <w:proofErr w:type="spellStart"/>
      <w:r w:rsidRPr="009752A1">
        <w:rPr>
          <w:sz w:val="24"/>
          <w:szCs w:val="24"/>
          <w:lang w:eastAsia="da-DK"/>
        </w:rPr>
        <w:t>talassæmi</w:t>
      </w:r>
      <w:proofErr w:type="spellEnd"/>
      <w:r w:rsidRPr="009752A1">
        <w:rPr>
          <w:sz w:val="24"/>
          <w:szCs w:val="24"/>
          <w:lang w:eastAsia="da-DK"/>
        </w:rPr>
        <w:t xml:space="preserve">-patienter, der tidligere havde fået standard </w:t>
      </w:r>
      <w:proofErr w:type="spellStart"/>
      <w:r w:rsidRPr="009752A1">
        <w:rPr>
          <w:sz w:val="24"/>
          <w:szCs w:val="24"/>
          <w:lang w:eastAsia="da-DK"/>
        </w:rPr>
        <w:t>kelationsmonoterapi</w:t>
      </w:r>
      <w:proofErr w:type="spellEnd"/>
      <w:r w:rsidRPr="009752A1">
        <w:rPr>
          <w:sz w:val="24"/>
          <w:szCs w:val="24"/>
          <w:lang w:eastAsia="da-DK"/>
        </w:rPr>
        <w:t xml:space="preserve"> med </w:t>
      </w:r>
      <w:proofErr w:type="spellStart"/>
      <w:r w:rsidRPr="009752A1">
        <w:rPr>
          <w:sz w:val="24"/>
          <w:szCs w:val="24"/>
          <w:lang w:eastAsia="da-DK"/>
        </w:rPr>
        <w:t>sukutan</w:t>
      </w:r>
      <w:proofErr w:type="spellEnd"/>
      <w:r w:rsidRPr="009752A1">
        <w:rPr>
          <w:sz w:val="24"/>
          <w:szCs w:val="24"/>
          <w:lang w:eastAsia="da-DK"/>
        </w:rPr>
        <w:t xml:space="preserve"> </w:t>
      </w:r>
      <w:proofErr w:type="spellStart"/>
      <w:r w:rsidRPr="009752A1">
        <w:rPr>
          <w:sz w:val="24"/>
          <w:szCs w:val="24"/>
          <w:lang w:eastAsia="da-DK"/>
        </w:rPr>
        <w:t>deferoxamin</w:t>
      </w:r>
      <w:proofErr w:type="spellEnd"/>
      <w:r w:rsidRPr="009752A1">
        <w:rPr>
          <w:sz w:val="24"/>
          <w:szCs w:val="24"/>
          <w:lang w:eastAsia="da-DK"/>
        </w:rPr>
        <w:t xml:space="preserve"> og som havde mild til moderat jernophobning i hjertet (</w:t>
      </w:r>
      <w:proofErr w:type="spellStart"/>
      <w:r w:rsidRPr="009752A1">
        <w:rPr>
          <w:sz w:val="24"/>
          <w:szCs w:val="24"/>
          <w:lang w:eastAsia="da-DK"/>
        </w:rPr>
        <w:t>myokardial</w:t>
      </w:r>
      <w:proofErr w:type="spellEnd"/>
      <w:r w:rsidRPr="009752A1">
        <w:rPr>
          <w:sz w:val="24"/>
          <w:szCs w:val="24"/>
          <w:lang w:eastAsia="da-DK"/>
        </w:rPr>
        <w:t xml:space="preserve"> T2* fra 8 til 20 ms). Efter </w:t>
      </w:r>
      <w:proofErr w:type="spellStart"/>
      <w:r w:rsidRPr="009752A1">
        <w:rPr>
          <w:sz w:val="24"/>
          <w:szCs w:val="24"/>
          <w:lang w:eastAsia="da-DK"/>
        </w:rPr>
        <w:t>randomisering</w:t>
      </w:r>
      <w:proofErr w:type="spellEnd"/>
      <w:r w:rsidRPr="009752A1">
        <w:rPr>
          <w:sz w:val="24"/>
          <w:szCs w:val="24"/>
          <w:lang w:eastAsia="da-DK"/>
        </w:rPr>
        <w:t xml:space="preserve"> fik 32 patienter </w:t>
      </w:r>
      <w:proofErr w:type="spellStart"/>
      <w:r w:rsidRPr="009752A1">
        <w:rPr>
          <w:sz w:val="24"/>
          <w:szCs w:val="24"/>
          <w:lang w:eastAsia="da-DK"/>
        </w:rPr>
        <w:t>deferoxamin</w:t>
      </w:r>
      <w:proofErr w:type="spellEnd"/>
      <w:r w:rsidRPr="009752A1">
        <w:rPr>
          <w:sz w:val="24"/>
          <w:szCs w:val="24"/>
          <w:lang w:eastAsia="da-DK"/>
        </w:rPr>
        <w:t xml:space="preserve"> (34,9 mg/kg/dag i 5 dage/uge) og </w:t>
      </w:r>
      <w:proofErr w:type="spellStart"/>
      <w:r w:rsidRPr="009752A1">
        <w:rPr>
          <w:sz w:val="24"/>
          <w:szCs w:val="24"/>
          <w:lang w:eastAsia="da-DK"/>
        </w:rPr>
        <w:t>deferipron</w:t>
      </w:r>
      <w:proofErr w:type="spellEnd"/>
      <w:r w:rsidRPr="009752A1">
        <w:rPr>
          <w:sz w:val="24"/>
          <w:szCs w:val="24"/>
          <w:lang w:eastAsia="da-DK"/>
        </w:rPr>
        <w:t xml:space="preserve"> (75 mg/kg/dag), og 33 patienter fik </w:t>
      </w:r>
      <w:proofErr w:type="spellStart"/>
      <w:r w:rsidRPr="009752A1">
        <w:rPr>
          <w:sz w:val="24"/>
          <w:szCs w:val="24"/>
          <w:lang w:eastAsia="da-DK"/>
        </w:rPr>
        <w:t>deferoxamin</w:t>
      </w:r>
      <w:proofErr w:type="spellEnd"/>
      <w:r w:rsidRPr="009752A1">
        <w:rPr>
          <w:sz w:val="24"/>
          <w:szCs w:val="24"/>
          <w:lang w:eastAsia="da-DK"/>
        </w:rPr>
        <w:t xml:space="preserve"> monoterapi (43,4 mg/kg/dag i 5 dage/uge). Efter 1 års studiebehandling havde patienter, som fik samtidig </w:t>
      </w:r>
      <w:proofErr w:type="spellStart"/>
      <w:r w:rsidRPr="009752A1">
        <w:rPr>
          <w:sz w:val="24"/>
          <w:szCs w:val="24"/>
          <w:lang w:eastAsia="da-DK"/>
        </w:rPr>
        <w:t>kelationsterapi</w:t>
      </w:r>
      <w:proofErr w:type="spellEnd"/>
      <w:r w:rsidRPr="009752A1">
        <w:rPr>
          <w:sz w:val="24"/>
          <w:szCs w:val="24"/>
          <w:lang w:eastAsia="da-DK"/>
        </w:rPr>
        <w:t xml:space="preserve">, oplevet en signifikant større reduktion i </w:t>
      </w:r>
      <w:proofErr w:type="spellStart"/>
      <w:r w:rsidRPr="009752A1">
        <w:rPr>
          <w:sz w:val="24"/>
          <w:szCs w:val="24"/>
          <w:lang w:eastAsia="da-DK"/>
        </w:rPr>
        <w:t>serumferritin</w:t>
      </w:r>
      <w:proofErr w:type="spellEnd"/>
      <w:r w:rsidRPr="009752A1">
        <w:rPr>
          <w:sz w:val="24"/>
          <w:szCs w:val="24"/>
          <w:lang w:eastAsia="da-DK"/>
        </w:rPr>
        <w:t xml:space="preserve"> (1574 </w:t>
      </w:r>
      <w:proofErr w:type="spellStart"/>
      <w:r w:rsidRPr="009752A1">
        <w:rPr>
          <w:sz w:val="24"/>
          <w:szCs w:val="24"/>
          <w:lang w:eastAsia="da-DK"/>
        </w:rPr>
        <w:t>μg</w:t>
      </w:r>
      <w:proofErr w:type="spellEnd"/>
      <w:r w:rsidRPr="009752A1">
        <w:rPr>
          <w:sz w:val="24"/>
          <w:szCs w:val="24"/>
          <w:lang w:eastAsia="da-DK"/>
        </w:rPr>
        <w:t xml:space="preserve">/l til 598 </w:t>
      </w:r>
      <w:proofErr w:type="spellStart"/>
      <w:r w:rsidRPr="009752A1">
        <w:rPr>
          <w:sz w:val="24"/>
          <w:szCs w:val="24"/>
          <w:lang w:eastAsia="da-DK"/>
        </w:rPr>
        <w:t>μg</w:t>
      </w:r>
      <w:proofErr w:type="spellEnd"/>
      <w:r w:rsidRPr="009752A1">
        <w:rPr>
          <w:sz w:val="24"/>
          <w:szCs w:val="24"/>
          <w:lang w:eastAsia="da-DK"/>
        </w:rPr>
        <w:t xml:space="preserve">/l med samtidig terapi vs. 1379 </w:t>
      </w:r>
      <w:proofErr w:type="spellStart"/>
      <w:r w:rsidRPr="009752A1">
        <w:rPr>
          <w:sz w:val="24"/>
          <w:szCs w:val="24"/>
          <w:lang w:eastAsia="da-DK"/>
        </w:rPr>
        <w:t>μg</w:t>
      </w:r>
      <w:proofErr w:type="spellEnd"/>
      <w:r w:rsidRPr="009752A1">
        <w:rPr>
          <w:sz w:val="24"/>
          <w:szCs w:val="24"/>
          <w:lang w:eastAsia="da-DK"/>
        </w:rPr>
        <w:t xml:space="preserve">/l til 1146 </w:t>
      </w:r>
      <w:proofErr w:type="spellStart"/>
      <w:r w:rsidRPr="009752A1">
        <w:rPr>
          <w:sz w:val="24"/>
          <w:szCs w:val="24"/>
          <w:lang w:eastAsia="da-DK"/>
        </w:rPr>
        <w:t>μg</w:t>
      </w:r>
      <w:proofErr w:type="spellEnd"/>
      <w:r w:rsidRPr="009752A1">
        <w:rPr>
          <w:sz w:val="24"/>
          <w:szCs w:val="24"/>
          <w:lang w:eastAsia="da-DK"/>
        </w:rPr>
        <w:t xml:space="preserve">/l med </w:t>
      </w:r>
      <w:proofErr w:type="spellStart"/>
      <w:r w:rsidRPr="009752A1">
        <w:rPr>
          <w:sz w:val="24"/>
          <w:szCs w:val="24"/>
          <w:lang w:eastAsia="da-DK"/>
        </w:rPr>
        <w:t>deferoxamin</w:t>
      </w:r>
      <w:proofErr w:type="spellEnd"/>
      <w:r w:rsidRPr="009752A1">
        <w:rPr>
          <w:sz w:val="24"/>
          <w:szCs w:val="24"/>
          <w:lang w:eastAsia="da-DK"/>
        </w:rPr>
        <w:t xml:space="preserve"> monoterapi, p&lt;0.001), signifikant større reduktion i </w:t>
      </w:r>
      <w:proofErr w:type="spellStart"/>
      <w:r w:rsidRPr="009752A1">
        <w:rPr>
          <w:sz w:val="24"/>
          <w:szCs w:val="24"/>
          <w:lang w:eastAsia="da-DK"/>
        </w:rPr>
        <w:t>myokardial</w:t>
      </w:r>
      <w:proofErr w:type="spellEnd"/>
      <w:r w:rsidRPr="009752A1">
        <w:rPr>
          <w:sz w:val="24"/>
          <w:szCs w:val="24"/>
          <w:lang w:eastAsia="da-DK"/>
        </w:rPr>
        <w:t xml:space="preserve"> jernophobning bedømt ved en stigning i MRI T2* (11,7 ms til 17,7 ms med samtidig terapi vs. 12,4 ms til 15,7 ms med </w:t>
      </w:r>
      <w:proofErr w:type="spellStart"/>
      <w:r w:rsidRPr="009752A1">
        <w:rPr>
          <w:sz w:val="24"/>
          <w:szCs w:val="24"/>
          <w:lang w:eastAsia="da-DK"/>
        </w:rPr>
        <w:t>deferoxamin</w:t>
      </w:r>
      <w:proofErr w:type="spellEnd"/>
      <w:r w:rsidRPr="009752A1">
        <w:rPr>
          <w:sz w:val="24"/>
          <w:szCs w:val="24"/>
          <w:lang w:eastAsia="da-DK"/>
        </w:rPr>
        <w:t xml:space="preserve"> monoterapi, p=0,02) og signifikant større reduktion i jernkoncentrationen i leveren, også bedømt ved en stigning i MRI T2* (4,9 ms til 10,7 ms ved samtidig terapi vs. 4,2 ms til 5,0 ms med </w:t>
      </w:r>
      <w:proofErr w:type="spellStart"/>
      <w:r w:rsidRPr="009752A1">
        <w:rPr>
          <w:sz w:val="24"/>
          <w:szCs w:val="24"/>
          <w:lang w:eastAsia="da-DK"/>
        </w:rPr>
        <w:t>deferoxamin</w:t>
      </w:r>
      <w:proofErr w:type="spellEnd"/>
      <w:r w:rsidRPr="009752A1">
        <w:rPr>
          <w:sz w:val="24"/>
          <w:szCs w:val="24"/>
          <w:lang w:eastAsia="da-DK"/>
        </w:rPr>
        <w:t xml:space="preserve"> monoterapi, p&lt;0,001).</w:t>
      </w:r>
    </w:p>
    <w:p w14:paraId="16F5790C" w14:textId="77777777" w:rsidR="00E904A2" w:rsidRPr="009752A1" w:rsidRDefault="00E904A2" w:rsidP="00A01165">
      <w:pPr>
        <w:suppressAutoHyphens/>
        <w:ind w:left="851"/>
        <w:rPr>
          <w:bCs/>
          <w:noProof/>
          <w:sz w:val="24"/>
          <w:szCs w:val="24"/>
          <w:u w:val="single"/>
        </w:rPr>
      </w:pPr>
    </w:p>
    <w:p w14:paraId="62318DB6" w14:textId="1BA633CB" w:rsidR="00E904A2" w:rsidRPr="009752A1" w:rsidRDefault="00E904A2" w:rsidP="00A01165">
      <w:pPr>
        <w:autoSpaceDE w:val="0"/>
        <w:autoSpaceDN w:val="0"/>
        <w:adjustRightInd w:val="0"/>
        <w:ind w:left="851"/>
        <w:rPr>
          <w:bCs/>
          <w:noProof/>
          <w:sz w:val="24"/>
          <w:szCs w:val="24"/>
          <w:u w:val="single"/>
        </w:rPr>
      </w:pPr>
      <w:r w:rsidRPr="009752A1">
        <w:rPr>
          <w:sz w:val="24"/>
          <w:szCs w:val="24"/>
          <w:lang w:eastAsia="da-DK"/>
        </w:rPr>
        <w:t xml:space="preserve">Studie LA37-1111 udførtes for at vurdere virkningen af en enkelt terapeutisk (33 mg/kg) eller supraterapeutisk (50 mg/kg) oral dosis af </w:t>
      </w:r>
      <w:proofErr w:type="spellStart"/>
      <w:r w:rsidRPr="009752A1">
        <w:rPr>
          <w:sz w:val="24"/>
          <w:szCs w:val="24"/>
          <w:lang w:eastAsia="da-DK"/>
        </w:rPr>
        <w:t>deferipron</w:t>
      </w:r>
      <w:proofErr w:type="spellEnd"/>
      <w:r w:rsidRPr="009752A1">
        <w:rPr>
          <w:sz w:val="24"/>
          <w:szCs w:val="24"/>
          <w:lang w:eastAsia="da-DK"/>
        </w:rPr>
        <w:t xml:space="preserve"> på varigheden af hjertets QT-interval hos raske forsøgspersoner. Den maksimale forskel mellem middelværdierne (beregnet ved mindste kvadraters metode) ved den terapeutiske dosis og placebo var 3,01 ms (95</w:t>
      </w:r>
      <w:r w:rsidR="00A5361A">
        <w:rPr>
          <w:sz w:val="24"/>
          <w:szCs w:val="24"/>
          <w:lang w:eastAsia="da-DK"/>
        </w:rPr>
        <w:t xml:space="preserve"> %</w:t>
      </w:r>
      <w:r w:rsidRPr="009752A1">
        <w:rPr>
          <w:sz w:val="24"/>
          <w:szCs w:val="24"/>
          <w:lang w:eastAsia="da-DK"/>
        </w:rPr>
        <w:t xml:space="preserve"> ensidet øvre </w:t>
      </w:r>
      <w:proofErr w:type="spellStart"/>
      <w:r w:rsidRPr="009752A1">
        <w:rPr>
          <w:sz w:val="24"/>
          <w:szCs w:val="24"/>
          <w:lang w:eastAsia="da-DK"/>
        </w:rPr>
        <w:t>konfidensgrænse</w:t>
      </w:r>
      <w:proofErr w:type="spellEnd"/>
      <w:r w:rsidRPr="009752A1">
        <w:rPr>
          <w:sz w:val="24"/>
          <w:szCs w:val="24"/>
          <w:lang w:eastAsia="da-DK"/>
        </w:rPr>
        <w:t xml:space="preserve"> (UCL): 5,01 ms), og mellem middelværdierne (beregnet ved mindste kvadraters metode) ved den supraterapeutiske dosis og placebo var 5,23 ms (95</w:t>
      </w:r>
      <w:r w:rsidR="00A5361A">
        <w:rPr>
          <w:sz w:val="24"/>
          <w:szCs w:val="24"/>
          <w:lang w:eastAsia="da-DK"/>
        </w:rPr>
        <w:t xml:space="preserve"> %</w:t>
      </w:r>
      <w:r w:rsidRPr="009752A1">
        <w:rPr>
          <w:sz w:val="24"/>
          <w:szCs w:val="24"/>
          <w:lang w:eastAsia="da-DK"/>
        </w:rPr>
        <w:t xml:space="preserve"> ensidet UCL: 7,19 ms). Det konkluderedes, at </w:t>
      </w:r>
      <w:proofErr w:type="spellStart"/>
      <w:r w:rsidRPr="009752A1">
        <w:rPr>
          <w:sz w:val="24"/>
          <w:szCs w:val="24"/>
          <w:lang w:eastAsia="da-DK"/>
        </w:rPr>
        <w:t>deferipron</w:t>
      </w:r>
      <w:proofErr w:type="spellEnd"/>
      <w:r w:rsidRPr="009752A1">
        <w:rPr>
          <w:sz w:val="24"/>
          <w:szCs w:val="24"/>
          <w:lang w:eastAsia="da-DK"/>
        </w:rPr>
        <w:t xml:space="preserve"> ikke fremkaldte nogen signifikant forlængelse af QT-intervallet.</w:t>
      </w:r>
    </w:p>
    <w:p w14:paraId="2952D0D5" w14:textId="77777777" w:rsidR="009260DE" w:rsidRPr="009752A1" w:rsidRDefault="009260DE" w:rsidP="009260DE">
      <w:pPr>
        <w:tabs>
          <w:tab w:val="left" w:pos="851"/>
        </w:tabs>
        <w:ind w:left="851"/>
        <w:rPr>
          <w:sz w:val="24"/>
          <w:szCs w:val="24"/>
        </w:rPr>
      </w:pPr>
    </w:p>
    <w:p w14:paraId="692252AB" w14:textId="77777777" w:rsidR="009260DE" w:rsidRPr="009752A1" w:rsidRDefault="009260DE" w:rsidP="009260DE">
      <w:pPr>
        <w:tabs>
          <w:tab w:val="left" w:pos="851"/>
        </w:tabs>
        <w:ind w:left="851" w:hanging="851"/>
        <w:rPr>
          <w:b/>
          <w:sz w:val="24"/>
          <w:szCs w:val="24"/>
        </w:rPr>
      </w:pPr>
      <w:r w:rsidRPr="009752A1">
        <w:rPr>
          <w:b/>
          <w:sz w:val="24"/>
          <w:szCs w:val="24"/>
        </w:rPr>
        <w:t>5.2</w:t>
      </w:r>
      <w:r w:rsidRPr="009752A1">
        <w:rPr>
          <w:b/>
          <w:sz w:val="24"/>
          <w:szCs w:val="24"/>
        </w:rPr>
        <w:tab/>
      </w:r>
      <w:proofErr w:type="spellStart"/>
      <w:r w:rsidRPr="009752A1">
        <w:rPr>
          <w:b/>
          <w:sz w:val="24"/>
          <w:szCs w:val="24"/>
        </w:rPr>
        <w:t>Farmakokinetiske</w:t>
      </w:r>
      <w:proofErr w:type="spellEnd"/>
      <w:r w:rsidRPr="009752A1">
        <w:rPr>
          <w:b/>
          <w:sz w:val="24"/>
          <w:szCs w:val="24"/>
        </w:rPr>
        <w:t xml:space="preserve"> egenskaber</w:t>
      </w:r>
    </w:p>
    <w:p w14:paraId="49B69ECD" w14:textId="77777777" w:rsidR="008F71E4" w:rsidRDefault="008F71E4" w:rsidP="00A01165">
      <w:pPr>
        <w:ind w:left="851"/>
        <w:rPr>
          <w:sz w:val="24"/>
          <w:szCs w:val="24"/>
          <w:u w:val="single"/>
        </w:rPr>
      </w:pPr>
    </w:p>
    <w:p w14:paraId="291ADDE9" w14:textId="7D7D446A" w:rsidR="00E904A2" w:rsidRPr="009752A1" w:rsidRDefault="00E904A2" w:rsidP="00A01165">
      <w:pPr>
        <w:ind w:left="851"/>
        <w:rPr>
          <w:sz w:val="24"/>
          <w:szCs w:val="24"/>
          <w:u w:val="single"/>
        </w:rPr>
      </w:pPr>
      <w:r w:rsidRPr="009752A1">
        <w:rPr>
          <w:sz w:val="24"/>
          <w:szCs w:val="24"/>
          <w:u w:val="single"/>
        </w:rPr>
        <w:t>Absorption</w:t>
      </w:r>
    </w:p>
    <w:p w14:paraId="06C00565" w14:textId="77777777" w:rsidR="00E904A2" w:rsidRPr="009752A1" w:rsidRDefault="00E904A2" w:rsidP="00A01165">
      <w:pPr>
        <w:autoSpaceDE w:val="0"/>
        <w:autoSpaceDN w:val="0"/>
        <w:adjustRightInd w:val="0"/>
        <w:ind w:left="851"/>
        <w:rPr>
          <w:sz w:val="24"/>
          <w:szCs w:val="24"/>
          <w:lang w:eastAsia="da-DK"/>
        </w:rPr>
      </w:pPr>
      <w:proofErr w:type="spellStart"/>
      <w:r w:rsidRPr="009752A1">
        <w:rPr>
          <w:sz w:val="24"/>
          <w:szCs w:val="24"/>
          <w:lang w:eastAsia="da-DK"/>
        </w:rPr>
        <w:t>Deferipron</w:t>
      </w:r>
      <w:proofErr w:type="spellEnd"/>
      <w:r w:rsidRPr="009752A1">
        <w:rPr>
          <w:sz w:val="24"/>
          <w:szCs w:val="24"/>
          <w:lang w:eastAsia="da-DK"/>
        </w:rPr>
        <w:t xml:space="preserve"> absorberes hurtigt fra den øverste del af </w:t>
      </w:r>
      <w:proofErr w:type="spellStart"/>
      <w:r w:rsidRPr="009752A1">
        <w:rPr>
          <w:sz w:val="24"/>
          <w:szCs w:val="24"/>
          <w:lang w:eastAsia="da-DK"/>
        </w:rPr>
        <w:t>gastrointestinalkanalen</w:t>
      </w:r>
      <w:proofErr w:type="spellEnd"/>
      <w:r w:rsidRPr="009752A1">
        <w:rPr>
          <w:sz w:val="24"/>
          <w:szCs w:val="24"/>
          <w:lang w:eastAsia="da-DK"/>
        </w:rPr>
        <w:t>. Maksimal serumkoncentration ses 45 til 60 minutter efter en enkeltdosis hos fastende patienter, men kan være forsinket til 2 timer hos patienter, der har indtaget føde.</w:t>
      </w:r>
    </w:p>
    <w:p w14:paraId="0F9BADB0" w14:textId="77777777" w:rsidR="00E904A2" w:rsidRPr="009752A1" w:rsidRDefault="00E904A2" w:rsidP="00A01165">
      <w:pPr>
        <w:autoSpaceDE w:val="0"/>
        <w:autoSpaceDN w:val="0"/>
        <w:adjustRightInd w:val="0"/>
        <w:ind w:left="851"/>
        <w:rPr>
          <w:sz w:val="24"/>
          <w:szCs w:val="24"/>
          <w:lang w:eastAsia="da-DK"/>
        </w:rPr>
      </w:pPr>
    </w:p>
    <w:p w14:paraId="6263030A" w14:textId="77777777" w:rsidR="00E904A2" w:rsidRPr="009752A1" w:rsidRDefault="00E904A2" w:rsidP="00A01165">
      <w:pPr>
        <w:autoSpaceDE w:val="0"/>
        <w:autoSpaceDN w:val="0"/>
        <w:adjustRightInd w:val="0"/>
        <w:ind w:left="851"/>
        <w:rPr>
          <w:sz w:val="24"/>
          <w:szCs w:val="24"/>
          <w:u w:val="single"/>
        </w:rPr>
      </w:pPr>
      <w:r w:rsidRPr="009752A1">
        <w:rPr>
          <w:sz w:val="24"/>
          <w:szCs w:val="24"/>
          <w:lang w:eastAsia="da-DK"/>
        </w:rPr>
        <w:t xml:space="preserve">Efter en dosis på 25 mg/kg er der detekteret lavere spidskoncentrationer i serum hos patienter, der havde indtaget føde (85 </w:t>
      </w:r>
      <w:proofErr w:type="spellStart"/>
      <w:r w:rsidRPr="009752A1">
        <w:rPr>
          <w:sz w:val="24"/>
          <w:szCs w:val="24"/>
          <w:lang w:eastAsia="da-DK"/>
        </w:rPr>
        <w:t>μmol</w:t>
      </w:r>
      <w:proofErr w:type="spellEnd"/>
      <w:r w:rsidRPr="009752A1">
        <w:rPr>
          <w:sz w:val="24"/>
          <w:szCs w:val="24"/>
          <w:lang w:eastAsia="da-DK"/>
        </w:rPr>
        <w:t xml:space="preserve">/l) end ved fastende tilstand (126 </w:t>
      </w:r>
      <w:proofErr w:type="spellStart"/>
      <w:r w:rsidRPr="009752A1">
        <w:rPr>
          <w:sz w:val="24"/>
          <w:szCs w:val="24"/>
          <w:lang w:eastAsia="da-DK"/>
        </w:rPr>
        <w:t>μmol</w:t>
      </w:r>
      <w:proofErr w:type="spellEnd"/>
      <w:r w:rsidRPr="009752A1">
        <w:rPr>
          <w:sz w:val="24"/>
          <w:szCs w:val="24"/>
          <w:lang w:eastAsia="da-DK"/>
        </w:rPr>
        <w:t xml:space="preserve">/l), selv om der ikke var noget fald i mængden af absorberet </w:t>
      </w:r>
      <w:proofErr w:type="spellStart"/>
      <w:r w:rsidRPr="009752A1">
        <w:rPr>
          <w:sz w:val="24"/>
          <w:szCs w:val="24"/>
          <w:lang w:eastAsia="da-DK"/>
        </w:rPr>
        <w:t>deferipron</w:t>
      </w:r>
      <w:proofErr w:type="spellEnd"/>
      <w:r w:rsidRPr="009752A1">
        <w:rPr>
          <w:sz w:val="24"/>
          <w:szCs w:val="24"/>
          <w:lang w:eastAsia="da-DK"/>
        </w:rPr>
        <w:t>, da det blev givet sammen med føde.</w:t>
      </w:r>
    </w:p>
    <w:p w14:paraId="0B788920" w14:textId="77777777" w:rsidR="00E904A2" w:rsidRPr="009752A1" w:rsidRDefault="00E904A2" w:rsidP="00A01165">
      <w:pPr>
        <w:ind w:left="851"/>
        <w:rPr>
          <w:sz w:val="24"/>
          <w:szCs w:val="24"/>
          <w:u w:val="single"/>
        </w:rPr>
      </w:pPr>
    </w:p>
    <w:p w14:paraId="2A315915" w14:textId="77777777" w:rsidR="00E904A2" w:rsidRPr="009752A1" w:rsidRDefault="00E904A2" w:rsidP="00A01165">
      <w:pPr>
        <w:ind w:left="851"/>
        <w:rPr>
          <w:sz w:val="24"/>
          <w:szCs w:val="24"/>
          <w:u w:val="single"/>
        </w:rPr>
      </w:pPr>
      <w:r w:rsidRPr="009752A1">
        <w:rPr>
          <w:sz w:val="24"/>
          <w:szCs w:val="24"/>
          <w:u w:val="single"/>
        </w:rPr>
        <w:t>Biotransformation</w:t>
      </w:r>
    </w:p>
    <w:p w14:paraId="423346E8" w14:textId="77777777" w:rsidR="00E904A2" w:rsidRPr="009752A1" w:rsidRDefault="00E904A2" w:rsidP="00A01165">
      <w:pPr>
        <w:autoSpaceDE w:val="0"/>
        <w:autoSpaceDN w:val="0"/>
        <w:adjustRightInd w:val="0"/>
        <w:ind w:left="851"/>
        <w:rPr>
          <w:sz w:val="24"/>
          <w:szCs w:val="24"/>
          <w:u w:val="single"/>
        </w:rPr>
      </w:pPr>
      <w:proofErr w:type="spellStart"/>
      <w:r w:rsidRPr="009752A1">
        <w:rPr>
          <w:sz w:val="24"/>
          <w:szCs w:val="24"/>
          <w:lang w:eastAsia="da-DK"/>
        </w:rPr>
        <w:t>Deferipron</w:t>
      </w:r>
      <w:proofErr w:type="spellEnd"/>
      <w:r w:rsidRPr="009752A1">
        <w:rPr>
          <w:sz w:val="24"/>
          <w:szCs w:val="24"/>
          <w:lang w:eastAsia="da-DK"/>
        </w:rPr>
        <w:t xml:space="preserve"> </w:t>
      </w:r>
      <w:proofErr w:type="spellStart"/>
      <w:r w:rsidRPr="009752A1">
        <w:rPr>
          <w:sz w:val="24"/>
          <w:szCs w:val="24"/>
          <w:lang w:eastAsia="da-DK"/>
        </w:rPr>
        <w:t>metaboliseres</w:t>
      </w:r>
      <w:proofErr w:type="spellEnd"/>
      <w:r w:rsidRPr="009752A1">
        <w:rPr>
          <w:sz w:val="24"/>
          <w:szCs w:val="24"/>
          <w:lang w:eastAsia="da-DK"/>
        </w:rPr>
        <w:t xml:space="preserve"> primært til et </w:t>
      </w:r>
      <w:proofErr w:type="spellStart"/>
      <w:r w:rsidRPr="009752A1">
        <w:rPr>
          <w:sz w:val="24"/>
          <w:szCs w:val="24"/>
          <w:lang w:eastAsia="da-DK"/>
        </w:rPr>
        <w:t>glukuronidkonjugat</w:t>
      </w:r>
      <w:proofErr w:type="spellEnd"/>
      <w:r w:rsidRPr="009752A1">
        <w:rPr>
          <w:sz w:val="24"/>
          <w:szCs w:val="24"/>
          <w:lang w:eastAsia="da-DK"/>
        </w:rPr>
        <w:t xml:space="preserve">. Denne metabolit mangler jernbindingsevne på grund af inaktivering af 3-hydroxy-gruppen i </w:t>
      </w:r>
      <w:proofErr w:type="spellStart"/>
      <w:r w:rsidRPr="009752A1">
        <w:rPr>
          <w:sz w:val="24"/>
          <w:szCs w:val="24"/>
          <w:lang w:eastAsia="da-DK"/>
        </w:rPr>
        <w:t>deferipron</w:t>
      </w:r>
      <w:proofErr w:type="spellEnd"/>
      <w:r w:rsidRPr="009752A1">
        <w:rPr>
          <w:sz w:val="24"/>
          <w:szCs w:val="24"/>
          <w:lang w:eastAsia="da-DK"/>
        </w:rPr>
        <w:t xml:space="preserve">. Spidskoncentrationer i serum for </w:t>
      </w:r>
      <w:proofErr w:type="spellStart"/>
      <w:r w:rsidRPr="009752A1">
        <w:rPr>
          <w:sz w:val="24"/>
          <w:szCs w:val="24"/>
          <w:lang w:eastAsia="da-DK"/>
        </w:rPr>
        <w:t>glukuronidet</w:t>
      </w:r>
      <w:proofErr w:type="spellEnd"/>
      <w:r w:rsidRPr="009752A1">
        <w:rPr>
          <w:sz w:val="24"/>
          <w:szCs w:val="24"/>
          <w:lang w:eastAsia="da-DK"/>
        </w:rPr>
        <w:t xml:space="preserve"> forekommer 2 til 3 timer efter indgivelse af </w:t>
      </w:r>
      <w:proofErr w:type="spellStart"/>
      <w:r w:rsidRPr="009752A1">
        <w:rPr>
          <w:sz w:val="24"/>
          <w:szCs w:val="24"/>
          <w:lang w:eastAsia="da-DK"/>
        </w:rPr>
        <w:t>deferipron</w:t>
      </w:r>
      <w:proofErr w:type="spellEnd"/>
      <w:r w:rsidRPr="009752A1">
        <w:rPr>
          <w:sz w:val="24"/>
          <w:szCs w:val="24"/>
          <w:lang w:eastAsia="da-DK"/>
        </w:rPr>
        <w:t>.</w:t>
      </w:r>
    </w:p>
    <w:p w14:paraId="443408AC" w14:textId="77777777" w:rsidR="00E904A2" w:rsidRPr="009752A1" w:rsidRDefault="00E904A2" w:rsidP="00A01165">
      <w:pPr>
        <w:ind w:left="851"/>
        <w:rPr>
          <w:sz w:val="24"/>
          <w:szCs w:val="24"/>
          <w:u w:val="single"/>
        </w:rPr>
      </w:pPr>
    </w:p>
    <w:p w14:paraId="1B3D98E3" w14:textId="77777777" w:rsidR="00E904A2" w:rsidRPr="009752A1" w:rsidRDefault="00E904A2" w:rsidP="00A01165">
      <w:pPr>
        <w:autoSpaceDE w:val="0"/>
        <w:autoSpaceDN w:val="0"/>
        <w:adjustRightInd w:val="0"/>
        <w:ind w:left="851"/>
        <w:rPr>
          <w:sz w:val="24"/>
          <w:szCs w:val="24"/>
          <w:u w:val="single"/>
          <w:lang w:eastAsia="da-DK"/>
        </w:rPr>
      </w:pPr>
      <w:r w:rsidRPr="009752A1">
        <w:rPr>
          <w:sz w:val="24"/>
          <w:szCs w:val="24"/>
          <w:u w:val="single"/>
          <w:lang w:eastAsia="da-DK"/>
        </w:rPr>
        <w:t>Elimination</w:t>
      </w:r>
    </w:p>
    <w:p w14:paraId="251EED3F" w14:textId="2712DFEF" w:rsidR="00E904A2" w:rsidRPr="009752A1" w:rsidRDefault="00E904A2" w:rsidP="00A01165">
      <w:pPr>
        <w:autoSpaceDE w:val="0"/>
        <w:autoSpaceDN w:val="0"/>
        <w:adjustRightInd w:val="0"/>
        <w:ind w:left="851"/>
        <w:rPr>
          <w:sz w:val="24"/>
          <w:szCs w:val="24"/>
          <w:lang w:eastAsia="da-DK"/>
        </w:rPr>
      </w:pPr>
      <w:r w:rsidRPr="009752A1">
        <w:rPr>
          <w:sz w:val="24"/>
          <w:szCs w:val="24"/>
          <w:lang w:eastAsia="da-DK"/>
        </w:rPr>
        <w:t xml:space="preserve">Hos mennesker udskilles </w:t>
      </w:r>
      <w:proofErr w:type="spellStart"/>
      <w:r w:rsidRPr="009752A1">
        <w:rPr>
          <w:sz w:val="24"/>
          <w:szCs w:val="24"/>
          <w:lang w:eastAsia="da-DK"/>
        </w:rPr>
        <w:t>deferipron</w:t>
      </w:r>
      <w:proofErr w:type="spellEnd"/>
      <w:r w:rsidRPr="009752A1">
        <w:rPr>
          <w:sz w:val="24"/>
          <w:szCs w:val="24"/>
          <w:lang w:eastAsia="da-DK"/>
        </w:rPr>
        <w:t xml:space="preserve"> hovedsageligt via nyrerne. 75</w:t>
      </w:r>
      <w:r w:rsidR="00A5361A">
        <w:rPr>
          <w:sz w:val="24"/>
          <w:szCs w:val="24"/>
          <w:lang w:eastAsia="da-DK"/>
        </w:rPr>
        <w:t xml:space="preserve"> %</w:t>
      </w:r>
      <w:r w:rsidRPr="009752A1">
        <w:rPr>
          <w:sz w:val="24"/>
          <w:szCs w:val="24"/>
          <w:lang w:eastAsia="da-DK"/>
        </w:rPr>
        <w:t xml:space="preserve"> til 90</w:t>
      </w:r>
      <w:r w:rsidR="00A5361A">
        <w:rPr>
          <w:sz w:val="24"/>
          <w:szCs w:val="24"/>
          <w:lang w:eastAsia="da-DK"/>
        </w:rPr>
        <w:t xml:space="preserve"> %</w:t>
      </w:r>
      <w:r w:rsidRPr="009752A1">
        <w:rPr>
          <w:sz w:val="24"/>
          <w:szCs w:val="24"/>
          <w:lang w:eastAsia="da-DK"/>
        </w:rPr>
        <w:t xml:space="preserve"> af den indtagne dosis rapporteres som værende genfundet i urinen i løbet af de første 24 timer i form af frit </w:t>
      </w:r>
      <w:proofErr w:type="spellStart"/>
      <w:r w:rsidRPr="009752A1">
        <w:rPr>
          <w:sz w:val="24"/>
          <w:szCs w:val="24"/>
          <w:lang w:eastAsia="da-DK"/>
        </w:rPr>
        <w:t>deferipron</w:t>
      </w:r>
      <w:proofErr w:type="spellEnd"/>
      <w:r w:rsidRPr="009752A1">
        <w:rPr>
          <w:sz w:val="24"/>
          <w:szCs w:val="24"/>
          <w:lang w:eastAsia="da-DK"/>
        </w:rPr>
        <w:t xml:space="preserve">, </w:t>
      </w:r>
      <w:proofErr w:type="spellStart"/>
      <w:r w:rsidRPr="009752A1">
        <w:rPr>
          <w:sz w:val="24"/>
          <w:szCs w:val="24"/>
          <w:lang w:eastAsia="da-DK"/>
        </w:rPr>
        <w:t>glucuronidmetabolitten</w:t>
      </w:r>
      <w:proofErr w:type="spellEnd"/>
      <w:r w:rsidRPr="009752A1">
        <w:rPr>
          <w:sz w:val="24"/>
          <w:szCs w:val="24"/>
          <w:lang w:eastAsia="da-DK"/>
        </w:rPr>
        <w:t xml:space="preserve"> og </w:t>
      </w:r>
      <w:proofErr w:type="spellStart"/>
      <w:r w:rsidRPr="009752A1">
        <w:rPr>
          <w:sz w:val="24"/>
          <w:szCs w:val="24"/>
          <w:lang w:eastAsia="da-DK"/>
        </w:rPr>
        <w:t>jerndeferipronkompleks</w:t>
      </w:r>
      <w:proofErr w:type="spellEnd"/>
      <w:r w:rsidRPr="009752A1">
        <w:rPr>
          <w:sz w:val="24"/>
          <w:szCs w:val="24"/>
          <w:lang w:eastAsia="da-DK"/>
        </w:rPr>
        <w:t>. Der er rapporteret en variabel mængde udskillelse via fæces. Halveringstiden hos de fleste patienter er 2 til 3 timer.</w:t>
      </w:r>
    </w:p>
    <w:p w14:paraId="2E8046E1" w14:textId="77777777" w:rsidR="00E904A2" w:rsidRPr="009752A1" w:rsidRDefault="00E904A2" w:rsidP="00A01165">
      <w:pPr>
        <w:ind w:left="851"/>
        <w:rPr>
          <w:sz w:val="24"/>
          <w:szCs w:val="24"/>
          <w:lang w:eastAsia="da-DK"/>
        </w:rPr>
      </w:pPr>
    </w:p>
    <w:p w14:paraId="0A2BFA09" w14:textId="77777777" w:rsidR="00E904A2" w:rsidRPr="009752A1" w:rsidRDefault="00E904A2" w:rsidP="00A01165">
      <w:pPr>
        <w:autoSpaceDE w:val="0"/>
        <w:autoSpaceDN w:val="0"/>
        <w:adjustRightInd w:val="0"/>
        <w:ind w:left="851"/>
        <w:rPr>
          <w:sz w:val="24"/>
          <w:szCs w:val="24"/>
          <w:u w:val="single"/>
          <w:lang w:eastAsia="da-DK"/>
        </w:rPr>
      </w:pPr>
      <w:r w:rsidRPr="009752A1">
        <w:rPr>
          <w:sz w:val="24"/>
          <w:szCs w:val="24"/>
          <w:u w:val="single"/>
          <w:lang w:eastAsia="da-DK"/>
        </w:rPr>
        <w:t>Nyreinsufficiens</w:t>
      </w:r>
    </w:p>
    <w:p w14:paraId="5423EC02" w14:textId="68AE8562" w:rsidR="00E904A2" w:rsidRPr="009752A1" w:rsidRDefault="00E904A2" w:rsidP="00A01165">
      <w:pPr>
        <w:autoSpaceDE w:val="0"/>
        <w:autoSpaceDN w:val="0"/>
        <w:adjustRightInd w:val="0"/>
        <w:ind w:left="851"/>
        <w:rPr>
          <w:sz w:val="24"/>
          <w:szCs w:val="24"/>
          <w:lang w:eastAsia="da-DK"/>
        </w:rPr>
      </w:pPr>
      <w:r w:rsidRPr="009752A1">
        <w:rPr>
          <w:sz w:val="24"/>
          <w:szCs w:val="24"/>
          <w:lang w:eastAsia="da-DK"/>
        </w:rPr>
        <w:t xml:space="preserve">Et åbent, ikke-randomiseret klinisk studie med parallelle grupper blev udført med henblik på at vurdere effekten af nyreinsufficiens på sikkerhed, </w:t>
      </w:r>
      <w:proofErr w:type="spellStart"/>
      <w:r w:rsidRPr="009752A1">
        <w:rPr>
          <w:sz w:val="24"/>
          <w:szCs w:val="24"/>
          <w:lang w:eastAsia="da-DK"/>
        </w:rPr>
        <w:t>tolerabilitet</w:t>
      </w:r>
      <w:proofErr w:type="spellEnd"/>
      <w:r w:rsidRPr="009752A1">
        <w:rPr>
          <w:sz w:val="24"/>
          <w:szCs w:val="24"/>
          <w:lang w:eastAsia="da-DK"/>
        </w:rPr>
        <w:t xml:space="preserve"> og farmakokinetik for en enkelt oral dosis på 33 mg/kg </w:t>
      </w:r>
      <w:proofErr w:type="spellStart"/>
      <w:r w:rsidRPr="009752A1">
        <w:rPr>
          <w:sz w:val="24"/>
          <w:szCs w:val="24"/>
          <w:lang w:eastAsia="da-DK"/>
        </w:rPr>
        <w:t>deferipron</w:t>
      </w:r>
      <w:proofErr w:type="spellEnd"/>
      <w:r w:rsidRPr="009752A1">
        <w:rPr>
          <w:sz w:val="24"/>
          <w:szCs w:val="24"/>
          <w:lang w:eastAsia="da-DK"/>
        </w:rPr>
        <w:t xml:space="preserve">. Forsøgsdeltagerne blev opdelt i 4 grupper ud fra estimeret </w:t>
      </w:r>
      <w:proofErr w:type="spellStart"/>
      <w:r w:rsidRPr="009752A1">
        <w:rPr>
          <w:sz w:val="24"/>
          <w:szCs w:val="24"/>
          <w:lang w:eastAsia="da-DK"/>
        </w:rPr>
        <w:t>glomerulær</w:t>
      </w:r>
      <w:proofErr w:type="spellEnd"/>
      <w:r w:rsidRPr="009752A1">
        <w:rPr>
          <w:sz w:val="24"/>
          <w:szCs w:val="24"/>
          <w:lang w:eastAsia="da-DK"/>
        </w:rPr>
        <w:t xml:space="preserve"> </w:t>
      </w:r>
      <w:r w:rsidRPr="009752A1">
        <w:rPr>
          <w:rFonts w:eastAsia="TimesNewRomanPSMT"/>
          <w:sz w:val="24"/>
          <w:szCs w:val="24"/>
          <w:lang w:eastAsia="da-DK"/>
        </w:rPr>
        <w:t>filtrationshastighed (</w:t>
      </w:r>
      <w:proofErr w:type="spellStart"/>
      <w:r w:rsidRPr="009752A1">
        <w:rPr>
          <w:rFonts w:eastAsia="TimesNewRomanPSMT"/>
          <w:sz w:val="24"/>
          <w:szCs w:val="24"/>
          <w:lang w:eastAsia="da-DK"/>
        </w:rPr>
        <w:t>eGFR</w:t>
      </w:r>
      <w:proofErr w:type="spellEnd"/>
      <w:r w:rsidRPr="009752A1">
        <w:rPr>
          <w:rFonts w:eastAsia="TimesNewRomanPSMT"/>
          <w:sz w:val="24"/>
          <w:szCs w:val="24"/>
          <w:lang w:eastAsia="da-DK"/>
        </w:rPr>
        <w:t>): raske frivillige (</w:t>
      </w:r>
      <w:proofErr w:type="spellStart"/>
      <w:r w:rsidRPr="009752A1">
        <w:rPr>
          <w:rFonts w:eastAsia="TimesNewRomanPSMT"/>
          <w:sz w:val="24"/>
          <w:szCs w:val="24"/>
          <w:lang w:eastAsia="da-DK"/>
        </w:rPr>
        <w:t>eGFR</w:t>
      </w:r>
      <w:proofErr w:type="spellEnd"/>
      <w:r w:rsidRPr="009752A1">
        <w:rPr>
          <w:rFonts w:eastAsia="TimesNewRomanPSMT"/>
          <w:sz w:val="24"/>
          <w:szCs w:val="24"/>
          <w:lang w:eastAsia="da-DK"/>
        </w:rPr>
        <w:t>) ≥ 90 ml/min/1,73</w:t>
      </w:r>
      <w:r w:rsidR="004E79A8">
        <w:rPr>
          <w:rFonts w:eastAsia="TimesNewRomanPSMT"/>
          <w:sz w:val="24"/>
          <w:szCs w:val="24"/>
          <w:lang w:eastAsia="da-DK"/>
        </w:rPr>
        <w:t xml:space="preserve"> </w:t>
      </w:r>
      <w:r w:rsidRPr="009752A1">
        <w:rPr>
          <w:rFonts w:eastAsia="TimesNewRomanPSMT"/>
          <w:sz w:val="24"/>
          <w:szCs w:val="24"/>
          <w:lang w:eastAsia="da-DK"/>
        </w:rPr>
        <w:t>m</w:t>
      </w:r>
      <w:r w:rsidRPr="009752A1">
        <w:rPr>
          <w:sz w:val="24"/>
          <w:szCs w:val="24"/>
          <w:vertAlign w:val="superscript"/>
          <w:lang w:eastAsia="da-DK"/>
        </w:rPr>
        <w:t>2</w:t>
      </w:r>
      <w:r w:rsidRPr="009752A1">
        <w:rPr>
          <w:sz w:val="24"/>
          <w:szCs w:val="24"/>
          <w:lang w:eastAsia="da-DK"/>
        </w:rPr>
        <w:t>), let nyreinsufficiens (</w:t>
      </w:r>
      <w:proofErr w:type="spellStart"/>
      <w:r w:rsidRPr="009752A1">
        <w:rPr>
          <w:sz w:val="24"/>
          <w:szCs w:val="24"/>
          <w:lang w:eastAsia="da-DK"/>
        </w:rPr>
        <w:t>eGFR</w:t>
      </w:r>
      <w:proofErr w:type="spellEnd"/>
      <w:r w:rsidRPr="009752A1">
        <w:rPr>
          <w:sz w:val="24"/>
          <w:szCs w:val="24"/>
          <w:lang w:eastAsia="da-DK"/>
        </w:rPr>
        <w:t xml:space="preserve"> 60-89 ml/min/1,73</w:t>
      </w:r>
      <w:r w:rsidR="004E79A8">
        <w:rPr>
          <w:sz w:val="24"/>
          <w:szCs w:val="24"/>
          <w:lang w:eastAsia="da-DK"/>
        </w:rPr>
        <w:t xml:space="preserve"> </w:t>
      </w:r>
      <w:r w:rsidRPr="009752A1">
        <w:rPr>
          <w:sz w:val="24"/>
          <w:szCs w:val="24"/>
          <w:lang w:eastAsia="da-DK"/>
        </w:rPr>
        <w:t>m</w:t>
      </w:r>
      <w:r w:rsidRPr="009752A1">
        <w:rPr>
          <w:sz w:val="24"/>
          <w:szCs w:val="24"/>
          <w:vertAlign w:val="superscript"/>
          <w:lang w:eastAsia="da-DK"/>
        </w:rPr>
        <w:t>2</w:t>
      </w:r>
      <w:r w:rsidRPr="009752A1">
        <w:rPr>
          <w:sz w:val="24"/>
          <w:szCs w:val="24"/>
          <w:lang w:eastAsia="da-DK"/>
        </w:rPr>
        <w:t>), moderat nyreinsufficiens (</w:t>
      </w:r>
      <w:proofErr w:type="spellStart"/>
      <w:r w:rsidRPr="009752A1">
        <w:rPr>
          <w:sz w:val="24"/>
          <w:szCs w:val="24"/>
          <w:lang w:eastAsia="da-DK"/>
        </w:rPr>
        <w:t>eGFR</w:t>
      </w:r>
      <w:proofErr w:type="spellEnd"/>
      <w:r w:rsidRPr="009752A1">
        <w:rPr>
          <w:sz w:val="24"/>
          <w:szCs w:val="24"/>
          <w:lang w:eastAsia="da-DK"/>
        </w:rPr>
        <w:t xml:space="preserve"> 30-59 ml/min/1,73m</w:t>
      </w:r>
      <w:r w:rsidRPr="009752A1">
        <w:rPr>
          <w:sz w:val="24"/>
          <w:szCs w:val="24"/>
          <w:vertAlign w:val="superscript"/>
          <w:lang w:eastAsia="da-DK"/>
        </w:rPr>
        <w:t>2</w:t>
      </w:r>
      <w:r w:rsidRPr="009752A1">
        <w:rPr>
          <w:sz w:val="24"/>
          <w:szCs w:val="24"/>
          <w:lang w:eastAsia="da-DK"/>
        </w:rPr>
        <w:t>) og svær nyreinsufficiens (</w:t>
      </w:r>
      <w:proofErr w:type="spellStart"/>
      <w:r w:rsidRPr="009752A1">
        <w:rPr>
          <w:sz w:val="24"/>
          <w:szCs w:val="24"/>
          <w:lang w:eastAsia="da-DK"/>
        </w:rPr>
        <w:t>eGFR</w:t>
      </w:r>
      <w:proofErr w:type="spellEnd"/>
      <w:r w:rsidRPr="009752A1">
        <w:rPr>
          <w:sz w:val="24"/>
          <w:szCs w:val="24"/>
          <w:lang w:eastAsia="da-DK"/>
        </w:rPr>
        <w:t xml:space="preserve"> 15-29</w:t>
      </w:r>
      <w:r w:rsidR="004E79A8">
        <w:rPr>
          <w:sz w:val="24"/>
          <w:szCs w:val="24"/>
          <w:lang w:eastAsia="da-DK"/>
        </w:rPr>
        <w:t> </w:t>
      </w:r>
      <w:r w:rsidRPr="009752A1">
        <w:rPr>
          <w:sz w:val="24"/>
          <w:szCs w:val="24"/>
          <w:lang w:eastAsia="da-DK"/>
        </w:rPr>
        <w:t>ml/min/1,73</w:t>
      </w:r>
      <w:r w:rsidR="004E79A8">
        <w:rPr>
          <w:sz w:val="24"/>
          <w:szCs w:val="24"/>
          <w:lang w:eastAsia="da-DK"/>
        </w:rPr>
        <w:t> </w:t>
      </w:r>
      <w:r w:rsidRPr="009752A1">
        <w:rPr>
          <w:sz w:val="24"/>
          <w:szCs w:val="24"/>
          <w:lang w:eastAsia="da-DK"/>
        </w:rPr>
        <w:t>m</w:t>
      </w:r>
      <w:r w:rsidRPr="009752A1">
        <w:rPr>
          <w:sz w:val="24"/>
          <w:szCs w:val="24"/>
          <w:vertAlign w:val="superscript"/>
          <w:lang w:eastAsia="da-DK"/>
        </w:rPr>
        <w:t>2</w:t>
      </w:r>
      <w:r w:rsidRPr="009752A1">
        <w:rPr>
          <w:sz w:val="24"/>
          <w:szCs w:val="24"/>
          <w:lang w:eastAsia="da-DK"/>
        </w:rPr>
        <w:t xml:space="preserve">). Systemisk eksponering for </w:t>
      </w:r>
      <w:proofErr w:type="spellStart"/>
      <w:r w:rsidRPr="009752A1">
        <w:rPr>
          <w:sz w:val="24"/>
          <w:szCs w:val="24"/>
          <w:lang w:eastAsia="da-DK"/>
        </w:rPr>
        <w:t>deferipron</w:t>
      </w:r>
      <w:proofErr w:type="spellEnd"/>
      <w:r w:rsidRPr="009752A1">
        <w:rPr>
          <w:sz w:val="24"/>
          <w:szCs w:val="24"/>
          <w:lang w:eastAsia="da-DK"/>
        </w:rPr>
        <w:t xml:space="preserve"> og dets metabolit </w:t>
      </w:r>
      <w:proofErr w:type="spellStart"/>
      <w:r w:rsidRPr="009752A1">
        <w:rPr>
          <w:sz w:val="24"/>
          <w:szCs w:val="24"/>
          <w:lang w:eastAsia="da-DK"/>
        </w:rPr>
        <w:t>deferipron</w:t>
      </w:r>
      <w:proofErr w:type="spellEnd"/>
      <w:r w:rsidRPr="009752A1">
        <w:rPr>
          <w:sz w:val="24"/>
          <w:szCs w:val="24"/>
          <w:lang w:eastAsia="da-DK"/>
        </w:rPr>
        <w:t xml:space="preserve"> 3-</w:t>
      </w:r>
      <w:r w:rsidRPr="009752A1">
        <w:rPr>
          <w:i/>
          <w:iCs/>
          <w:sz w:val="24"/>
          <w:szCs w:val="24"/>
          <w:lang w:eastAsia="da-DK"/>
        </w:rPr>
        <w:t>O</w:t>
      </w:r>
      <w:r w:rsidRPr="009752A1">
        <w:rPr>
          <w:sz w:val="24"/>
          <w:szCs w:val="24"/>
          <w:lang w:eastAsia="da-DK"/>
        </w:rPr>
        <w:t xml:space="preserve">-glucuronid blev vurderet med PK-parametrene </w:t>
      </w:r>
      <w:proofErr w:type="spellStart"/>
      <w:r w:rsidRPr="009752A1">
        <w:rPr>
          <w:sz w:val="24"/>
          <w:szCs w:val="24"/>
          <w:lang w:eastAsia="da-DK"/>
        </w:rPr>
        <w:t>C</w:t>
      </w:r>
      <w:r w:rsidRPr="009752A1">
        <w:rPr>
          <w:sz w:val="24"/>
          <w:szCs w:val="24"/>
          <w:vertAlign w:val="subscript"/>
          <w:lang w:eastAsia="da-DK"/>
        </w:rPr>
        <w:t>max</w:t>
      </w:r>
      <w:proofErr w:type="spellEnd"/>
      <w:r w:rsidRPr="009752A1">
        <w:rPr>
          <w:sz w:val="24"/>
          <w:szCs w:val="24"/>
          <w:lang w:eastAsia="da-DK"/>
        </w:rPr>
        <w:t xml:space="preserve"> og AUC.</w:t>
      </w:r>
    </w:p>
    <w:p w14:paraId="0121E02C" w14:textId="77777777" w:rsidR="00E904A2" w:rsidRPr="009752A1" w:rsidRDefault="00E904A2" w:rsidP="00A01165">
      <w:pPr>
        <w:ind w:left="851"/>
        <w:rPr>
          <w:sz w:val="24"/>
          <w:szCs w:val="24"/>
          <w:lang w:eastAsia="da-DK"/>
        </w:rPr>
      </w:pPr>
    </w:p>
    <w:p w14:paraId="0BA1AA7D" w14:textId="77777777" w:rsidR="00E904A2" w:rsidRPr="009752A1" w:rsidRDefault="00E904A2" w:rsidP="00A01165">
      <w:pPr>
        <w:autoSpaceDE w:val="0"/>
        <w:autoSpaceDN w:val="0"/>
        <w:adjustRightInd w:val="0"/>
        <w:ind w:left="851"/>
        <w:rPr>
          <w:sz w:val="24"/>
          <w:szCs w:val="24"/>
          <w:lang w:eastAsia="da-DK"/>
        </w:rPr>
      </w:pPr>
      <w:r w:rsidRPr="009752A1">
        <w:rPr>
          <w:sz w:val="24"/>
          <w:szCs w:val="24"/>
          <w:lang w:eastAsia="da-DK"/>
        </w:rPr>
        <w:t xml:space="preserve">Uanset graden af nyreinsufficiens blev størstedelen af </w:t>
      </w:r>
      <w:proofErr w:type="spellStart"/>
      <w:r w:rsidRPr="009752A1">
        <w:rPr>
          <w:sz w:val="24"/>
          <w:szCs w:val="24"/>
          <w:lang w:eastAsia="da-DK"/>
        </w:rPr>
        <w:t>deferipron</w:t>
      </w:r>
      <w:proofErr w:type="spellEnd"/>
      <w:r w:rsidRPr="009752A1">
        <w:rPr>
          <w:sz w:val="24"/>
          <w:szCs w:val="24"/>
          <w:lang w:eastAsia="da-DK"/>
        </w:rPr>
        <w:t xml:space="preserve">-dosen udskilt i urinen som </w:t>
      </w:r>
      <w:proofErr w:type="spellStart"/>
      <w:r w:rsidRPr="009752A1">
        <w:rPr>
          <w:sz w:val="24"/>
          <w:szCs w:val="24"/>
          <w:lang w:eastAsia="da-DK"/>
        </w:rPr>
        <w:t>deferipron</w:t>
      </w:r>
      <w:proofErr w:type="spellEnd"/>
      <w:r w:rsidRPr="009752A1">
        <w:rPr>
          <w:sz w:val="24"/>
          <w:szCs w:val="24"/>
          <w:lang w:eastAsia="da-DK"/>
        </w:rPr>
        <w:t xml:space="preserve"> 3-</w:t>
      </w:r>
      <w:r w:rsidRPr="009752A1">
        <w:rPr>
          <w:i/>
          <w:iCs/>
          <w:sz w:val="24"/>
          <w:szCs w:val="24"/>
          <w:lang w:eastAsia="da-DK"/>
        </w:rPr>
        <w:t>O</w:t>
      </w:r>
      <w:r w:rsidRPr="009752A1">
        <w:rPr>
          <w:sz w:val="24"/>
          <w:szCs w:val="24"/>
          <w:lang w:eastAsia="da-DK"/>
        </w:rPr>
        <w:t xml:space="preserve">-glucuronid over de første 24 timer. Der sås ingen signifikant effekt af nyreinsufficiensen på den systemiske eksponering for </w:t>
      </w:r>
      <w:proofErr w:type="spellStart"/>
      <w:r w:rsidRPr="009752A1">
        <w:rPr>
          <w:sz w:val="24"/>
          <w:szCs w:val="24"/>
          <w:lang w:eastAsia="da-DK"/>
        </w:rPr>
        <w:t>deferipron</w:t>
      </w:r>
      <w:proofErr w:type="spellEnd"/>
      <w:r w:rsidRPr="009752A1">
        <w:rPr>
          <w:sz w:val="24"/>
          <w:szCs w:val="24"/>
          <w:lang w:eastAsia="da-DK"/>
        </w:rPr>
        <w:t>. Den systemiske eksponering for det inaktive 3-</w:t>
      </w:r>
      <w:r w:rsidRPr="009752A1">
        <w:rPr>
          <w:i/>
          <w:iCs/>
          <w:sz w:val="24"/>
          <w:szCs w:val="24"/>
          <w:lang w:eastAsia="da-DK"/>
        </w:rPr>
        <w:t>O</w:t>
      </w:r>
      <w:r w:rsidRPr="009752A1">
        <w:rPr>
          <w:sz w:val="24"/>
          <w:szCs w:val="24"/>
          <w:lang w:eastAsia="da-DK"/>
        </w:rPr>
        <w:t xml:space="preserve">-glucuronid steg med faldende </w:t>
      </w:r>
      <w:proofErr w:type="spellStart"/>
      <w:r w:rsidRPr="009752A1">
        <w:rPr>
          <w:sz w:val="24"/>
          <w:szCs w:val="24"/>
          <w:lang w:eastAsia="da-DK"/>
        </w:rPr>
        <w:t>eGFR</w:t>
      </w:r>
      <w:proofErr w:type="spellEnd"/>
      <w:r w:rsidRPr="009752A1">
        <w:rPr>
          <w:sz w:val="24"/>
          <w:szCs w:val="24"/>
          <w:lang w:eastAsia="da-DK"/>
        </w:rPr>
        <w:t xml:space="preserve">. Ud fra resultaterne af dette studie er justering af </w:t>
      </w:r>
      <w:proofErr w:type="spellStart"/>
      <w:r w:rsidRPr="009752A1">
        <w:rPr>
          <w:sz w:val="24"/>
          <w:szCs w:val="24"/>
          <w:lang w:eastAsia="da-DK"/>
        </w:rPr>
        <w:t>deferipron</w:t>
      </w:r>
      <w:proofErr w:type="spellEnd"/>
      <w:r w:rsidRPr="009752A1">
        <w:rPr>
          <w:sz w:val="24"/>
          <w:szCs w:val="24"/>
          <w:lang w:eastAsia="da-DK"/>
        </w:rPr>
        <w:t xml:space="preserve">-dosisregimet ikke nødvendig hos patienter med nyreinsufficiens. Sikkerhed og farmakokinetik for </w:t>
      </w:r>
      <w:proofErr w:type="spellStart"/>
      <w:r w:rsidRPr="009752A1">
        <w:rPr>
          <w:sz w:val="24"/>
          <w:szCs w:val="24"/>
          <w:lang w:eastAsia="da-DK"/>
        </w:rPr>
        <w:t>deferipron</w:t>
      </w:r>
      <w:proofErr w:type="spellEnd"/>
      <w:r w:rsidRPr="009752A1">
        <w:rPr>
          <w:sz w:val="24"/>
          <w:szCs w:val="24"/>
          <w:lang w:eastAsia="da-DK"/>
        </w:rPr>
        <w:t xml:space="preserve"> hos patienter med nyresygdom i slutstadiet er ikke kendt.</w:t>
      </w:r>
    </w:p>
    <w:p w14:paraId="50B71B2F" w14:textId="77777777" w:rsidR="00E904A2" w:rsidRPr="009752A1" w:rsidRDefault="00E904A2" w:rsidP="00A01165">
      <w:pPr>
        <w:ind w:left="851"/>
        <w:rPr>
          <w:sz w:val="24"/>
          <w:szCs w:val="24"/>
          <w:lang w:eastAsia="da-DK"/>
        </w:rPr>
      </w:pPr>
    </w:p>
    <w:p w14:paraId="74D0F571" w14:textId="77777777" w:rsidR="00E904A2" w:rsidRPr="009752A1" w:rsidRDefault="00E904A2" w:rsidP="00A01165">
      <w:pPr>
        <w:autoSpaceDE w:val="0"/>
        <w:autoSpaceDN w:val="0"/>
        <w:adjustRightInd w:val="0"/>
        <w:ind w:left="851"/>
        <w:rPr>
          <w:sz w:val="24"/>
          <w:szCs w:val="24"/>
          <w:u w:val="single"/>
          <w:lang w:eastAsia="da-DK"/>
        </w:rPr>
      </w:pPr>
      <w:r w:rsidRPr="009752A1">
        <w:rPr>
          <w:sz w:val="24"/>
          <w:szCs w:val="24"/>
          <w:u w:val="single"/>
          <w:lang w:eastAsia="da-DK"/>
        </w:rPr>
        <w:t>Leverinsufficiens</w:t>
      </w:r>
    </w:p>
    <w:p w14:paraId="0F64EE62" w14:textId="42CFAC91" w:rsidR="00E904A2" w:rsidRPr="009752A1" w:rsidRDefault="00E904A2" w:rsidP="00A01165">
      <w:pPr>
        <w:autoSpaceDE w:val="0"/>
        <w:autoSpaceDN w:val="0"/>
        <w:adjustRightInd w:val="0"/>
        <w:ind w:left="851"/>
        <w:rPr>
          <w:sz w:val="24"/>
          <w:szCs w:val="24"/>
          <w:lang w:eastAsia="da-DK"/>
        </w:rPr>
      </w:pPr>
      <w:r w:rsidRPr="009752A1">
        <w:rPr>
          <w:sz w:val="24"/>
          <w:szCs w:val="24"/>
          <w:lang w:eastAsia="da-DK"/>
        </w:rPr>
        <w:t xml:space="preserve">Et åbent, ikke-randomiseret klinisk studie med parallelle grupper blev udført med henblik på at vurdere effekten af leverinsufficiens på sikkerhed, </w:t>
      </w:r>
      <w:proofErr w:type="spellStart"/>
      <w:r w:rsidRPr="009752A1">
        <w:rPr>
          <w:sz w:val="24"/>
          <w:szCs w:val="24"/>
          <w:lang w:eastAsia="da-DK"/>
        </w:rPr>
        <w:t>tolerabilitet</w:t>
      </w:r>
      <w:proofErr w:type="spellEnd"/>
      <w:r w:rsidRPr="009752A1">
        <w:rPr>
          <w:sz w:val="24"/>
          <w:szCs w:val="24"/>
          <w:lang w:eastAsia="da-DK"/>
        </w:rPr>
        <w:t xml:space="preserve"> og farmakokinetik for en enkelt oral dosis på 33 mg/kg </w:t>
      </w:r>
      <w:proofErr w:type="spellStart"/>
      <w:r w:rsidRPr="009752A1">
        <w:rPr>
          <w:sz w:val="24"/>
          <w:szCs w:val="24"/>
          <w:lang w:eastAsia="da-DK"/>
        </w:rPr>
        <w:t>deferipron</w:t>
      </w:r>
      <w:proofErr w:type="spellEnd"/>
      <w:r w:rsidRPr="009752A1">
        <w:rPr>
          <w:sz w:val="24"/>
          <w:szCs w:val="24"/>
          <w:lang w:eastAsia="da-DK"/>
        </w:rPr>
        <w:t>. Forsøgsdeltagerne blev inddelt i 3 grupper ud fra Child-</w:t>
      </w:r>
      <w:proofErr w:type="spellStart"/>
      <w:r w:rsidRPr="009752A1">
        <w:rPr>
          <w:sz w:val="24"/>
          <w:szCs w:val="24"/>
          <w:lang w:eastAsia="da-DK"/>
        </w:rPr>
        <w:t>Pughklassifikationsscoren</w:t>
      </w:r>
      <w:proofErr w:type="spellEnd"/>
      <w:r w:rsidRPr="009752A1">
        <w:rPr>
          <w:sz w:val="24"/>
          <w:szCs w:val="24"/>
          <w:lang w:eastAsia="da-DK"/>
        </w:rPr>
        <w:t xml:space="preserve">: raske frivillige, let leverinsufficiens (klasse A: 5-6 point) og moderat leverinsufficiens (klasse B: 7–9 point). Systemisk eksponering for </w:t>
      </w:r>
      <w:proofErr w:type="spellStart"/>
      <w:r w:rsidRPr="009752A1">
        <w:rPr>
          <w:sz w:val="24"/>
          <w:szCs w:val="24"/>
          <w:lang w:eastAsia="da-DK"/>
        </w:rPr>
        <w:t>deferipron</w:t>
      </w:r>
      <w:proofErr w:type="spellEnd"/>
      <w:r w:rsidRPr="009752A1">
        <w:rPr>
          <w:sz w:val="24"/>
          <w:szCs w:val="24"/>
          <w:lang w:eastAsia="da-DK"/>
        </w:rPr>
        <w:t xml:space="preserve"> og dets metabolit </w:t>
      </w:r>
      <w:proofErr w:type="spellStart"/>
      <w:r w:rsidRPr="009752A1">
        <w:rPr>
          <w:sz w:val="24"/>
          <w:szCs w:val="24"/>
          <w:lang w:eastAsia="da-DK"/>
        </w:rPr>
        <w:t>deferipron</w:t>
      </w:r>
      <w:proofErr w:type="spellEnd"/>
      <w:r w:rsidRPr="009752A1">
        <w:rPr>
          <w:sz w:val="24"/>
          <w:szCs w:val="24"/>
          <w:lang w:eastAsia="da-DK"/>
        </w:rPr>
        <w:t xml:space="preserve"> 3-</w:t>
      </w:r>
      <w:r w:rsidRPr="009752A1">
        <w:rPr>
          <w:i/>
          <w:iCs/>
          <w:sz w:val="24"/>
          <w:szCs w:val="24"/>
          <w:lang w:eastAsia="da-DK"/>
        </w:rPr>
        <w:t>O</w:t>
      </w:r>
      <w:r w:rsidRPr="009752A1">
        <w:rPr>
          <w:sz w:val="24"/>
          <w:szCs w:val="24"/>
          <w:lang w:eastAsia="da-DK"/>
        </w:rPr>
        <w:t xml:space="preserve">-glucuronid blev vurderet med PK-parametrene </w:t>
      </w:r>
      <w:proofErr w:type="spellStart"/>
      <w:r w:rsidRPr="009752A1">
        <w:rPr>
          <w:sz w:val="24"/>
          <w:szCs w:val="24"/>
          <w:lang w:eastAsia="da-DK"/>
        </w:rPr>
        <w:t>C</w:t>
      </w:r>
      <w:r w:rsidRPr="004E79A8">
        <w:rPr>
          <w:sz w:val="24"/>
          <w:szCs w:val="24"/>
          <w:vertAlign w:val="subscript"/>
          <w:lang w:eastAsia="da-DK"/>
        </w:rPr>
        <w:t>max</w:t>
      </w:r>
      <w:proofErr w:type="spellEnd"/>
      <w:r w:rsidRPr="009752A1">
        <w:rPr>
          <w:sz w:val="24"/>
          <w:szCs w:val="24"/>
          <w:lang w:eastAsia="da-DK"/>
        </w:rPr>
        <w:t xml:space="preserve"> og AUC. </w:t>
      </w:r>
      <w:proofErr w:type="spellStart"/>
      <w:r w:rsidRPr="009752A1">
        <w:rPr>
          <w:sz w:val="24"/>
          <w:szCs w:val="24"/>
          <w:lang w:eastAsia="da-DK"/>
        </w:rPr>
        <w:t>Deferipron-AUC’erne</w:t>
      </w:r>
      <w:proofErr w:type="spellEnd"/>
      <w:r w:rsidRPr="009752A1">
        <w:rPr>
          <w:sz w:val="24"/>
          <w:szCs w:val="24"/>
          <w:lang w:eastAsia="da-DK"/>
        </w:rPr>
        <w:t xml:space="preserve"> var de samme i de forskellige behandlingsgrupper, men </w:t>
      </w:r>
      <w:proofErr w:type="spellStart"/>
      <w:r w:rsidRPr="009752A1">
        <w:rPr>
          <w:sz w:val="24"/>
          <w:szCs w:val="24"/>
          <w:lang w:eastAsia="da-DK"/>
        </w:rPr>
        <w:t>C</w:t>
      </w:r>
      <w:r w:rsidRPr="004E79A8">
        <w:rPr>
          <w:sz w:val="24"/>
          <w:szCs w:val="24"/>
          <w:vertAlign w:val="subscript"/>
          <w:lang w:eastAsia="da-DK"/>
        </w:rPr>
        <w:t>max</w:t>
      </w:r>
      <w:proofErr w:type="spellEnd"/>
      <w:r w:rsidRPr="009752A1">
        <w:rPr>
          <w:sz w:val="24"/>
          <w:szCs w:val="24"/>
          <w:lang w:eastAsia="da-DK"/>
        </w:rPr>
        <w:t xml:space="preserve"> var 20</w:t>
      </w:r>
      <w:r w:rsidR="00A5361A">
        <w:rPr>
          <w:sz w:val="24"/>
          <w:szCs w:val="24"/>
          <w:lang w:eastAsia="da-DK"/>
        </w:rPr>
        <w:t xml:space="preserve"> %</w:t>
      </w:r>
      <w:r w:rsidRPr="009752A1">
        <w:rPr>
          <w:sz w:val="24"/>
          <w:szCs w:val="24"/>
          <w:lang w:eastAsia="da-DK"/>
        </w:rPr>
        <w:t xml:space="preserve"> lavere hos forsøgsdeltagere med let eller moderat leverinsufficiens sammenlignet med raske frivillige. Deferipron-3-</w:t>
      </w:r>
      <w:r w:rsidRPr="009752A1">
        <w:rPr>
          <w:i/>
          <w:iCs/>
          <w:sz w:val="24"/>
          <w:szCs w:val="24"/>
          <w:lang w:eastAsia="da-DK"/>
        </w:rPr>
        <w:t>O</w:t>
      </w:r>
      <w:r w:rsidRPr="009752A1">
        <w:rPr>
          <w:sz w:val="24"/>
          <w:szCs w:val="24"/>
          <w:lang w:eastAsia="da-DK"/>
        </w:rPr>
        <w:t>-glucuronids AUC var 10</w:t>
      </w:r>
      <w:r w:rsidR="00A5361A">
        <w:rPr>
          <w:sz w:val="24"/>
          <w:szCs w:val="24"/>
          <w:lang w:eastAsia="da-DK"/>
        </w:rPr>
        <w:t xml:space="preserve"> %</w:t>
      </w:r>
      <w:r w:rsidRPr="009752A1">
        <w:rPr>
          <w:sz w:val="24"/>
          <w:szCs w:val="24"/>
          <w:lang w:eastAsia="da-DK"/>
        </w:rPr>
        <w:t xml:space="preserve"> lavere og </w:t>
      </w:r>
      <w:proofErr w:type="spellStart"/>
      <w:r w:rsidRPr="009752A1">
        <w:rPr>
          <w:sz w:val="24"/>
          <w:szCs w:val="24"/>
          <w:lang w:eastAsia="da-DK"/>
        </w:rPr>
        <w:t>C</w:t>
      </w:r>
      <w:r w:rsidRPr="002B7A23">
        <w:rPr>
          <w:sz w:val="24"/>
          <w:szCs w:val="24"/>
          <w:vertAlign w:val="subscript"/>
          <w:lang w:eastAsia="da-DK"/>
        </w:rPr>
        <w:t>max</w:t>
      </w:r>
      <w:proofErr w:type="spellEnd"/>
      <w:r w:rsidRPr="009752A1">
        <w:rPr>
          <w:sz w:val="24"/>
          <w:szCs w:val="24"/>
          <w:lang w:eastAsia="da-DK"/>
        </w:rPr>
        <w:t xml:space="preserve"> 20</w:t>
      </w:r>
      <w:r w:rsidR="00A5361A">
        <w:rPr>
          <w:sz w:val="24"/>
          <w:szCs w:val="24"/>
          <w:lang w:eastAsia="da-DK"/>
        </w:rPr>
        <w:t xml:space="preserve"> %</w:t>
      </w:r>
      <w:r w:rsidRPr="009752A1">
        <w:rPr>
          <w:sz w:val="24"/>
          <w:szCs w:val="24"/>
          <w:lang w:eastAsia="da-DK"/>
        </w:rPr>
        <w:t xml:space="preserve"> lavere hos forsøgsdeltagere med let eller moderat leverinsufficiens sammenlignet med raske frivillige. Der sås en alvorlig bivirkning med akut lever- og nyreskade hos én forsøgsdeltager med moderat leverinsufficiens. Ud fra resultaterne af dette studie er der ikke behov for justering af </w:t>
      </w:r>
      <w:proofErr w:type="spellStart"/>
      <w:r w:rsidRPr="009752A1">
        <w:rPr>
          <w:sz w:val="24"/>
          <w:szCs w:val="24"/>
          <w:lang w:eastAsia="da-DK"/>
        </w:rPr>
        <w:t>deferipron</w:t>
      </w:r>
      <w:proofErr w:type="spellEnd"/>
      <w:r w:rsidRPr="009752A1">
        <w:rPr>
          <w:sz w:val="24"/>
          <w:szCs w:val="24"/>
          <w:lang w:eastAsia="da-DK"/>
        </w:rPr>
        <w:t>-dosisregimet hos patienter med let eller moderat leverinsufficiens.</w:t>
      </w:r>
    </w:p>
    <w:p w14:paraId="2E19E2AB" w14:textId="77777777" w:rsidR="00E904A2" w:rsidRPr="009752A1" w:rsidRDefault="00E904A2" w:rsidP="00A01165">
      <w:pPr>
        <w:ind w:left="851"/>
        <w:rPr>
          <w:sz w:val="24"/>
          <w:szCs w:val="24"/>
          <w:lang w:eastAsia="da-DK"/>
        </w:rPr>
      </w:pPr>
    </w:p>
    <w:p w14:paraId="1A84B396" w14:textId="08AE51FF" w:rsidR="00E904A2" w:rsidRPr="009752A1" w:rsidRDefault="00E904A2" w:rsidP="002B7A23">
      <w:pPr>
        <w:autoSpaceDE w:val="0"/>
        <w:autoSpaceDN w:val="0"/>
        <w:adjustRightInd w:val="0"/>
        <w:ind w:left="851"/>
        <w:rPr>
          <w:sz w:val="24"/>
          <w:szCs w:val="24"/>
          <w:lang w:eastAsia="da-DK"/>
        </w:rPr>
      </w:pPr>
      <w:r w:rsidRPr="009752A1">
        <w:rPr>
          <w:sz w:val="24"/>
          <w:szCs w:val="24"/>
          <w:lang w:eastAsia="da-DK"/>
        </w:rPr>
        <w:t xml:space="preserve">Svær leverinsufficiens’ indflydelse på </w:t>
      </w:r>
      <w:proofErr w:type="spellStart"/>
      <w:r w:rsidRPr="009752A1">
        <w:rPr>
          <w:sz w:val="24"/>
          <w:szCs w:val="24"/>
          <w:lang w:eastAsia="da-DK"/>
        </w:rPr>
        <w:t>deferiprons</w:t>
      </w:r>
      <w:proofErr w:type="spellEnd"/>
      <w:r w:rsidRPr="009752A1">
        <w:rPr>
          <w:sz w:val="24"/>
          <w:szCs w:val="24"/>
          <w:lang w:eastAsia="da-DK"/>
        </w:rPr>
        <w:t xml:space="preserve"> og </w:t>
      </w:r>
      <w:proofErr w:type="spellStart"/>
      <w:r w:rsidRPr="009752A1">
        <w:rPr>
          <w:sz w:val="24"/>
          <w:szCs w:val="24"/>
          <w:lang w:eastAsia="da-DK"/>
        </w:rPr>
        <w:t>deferipron</w:t>
      </w:r>
      <w:proofErr w:type="spellEnd"/>
      <w:r w:rsidRPr="009752A1">
        <w:rPr>
          <w:sz w:val="24"/>
          <w:szCs w:val="24"/>
          <w:lang w:eastAsia="da-DK"/>
        </w:rPr>
        <w:t xml:space="preserve"> 3-</w:t>
      </w:r>
      <w:r w:rsidRPr="009752A1">
        <w:rPr>
          <w:i/>
          <w:iCs/>
          <w:sz w:val="24"/>
          <w:szCs w:val="24"/>
          <w:lang w:eastAsia="da-DK"/>
        </w:rPr>
        <w:t>O</w:t>
      </w:r>
      <w:r w:rsidRPr="009752A1">
        <w:rPr>
          <w:sz w:val="24"/>
          <w:szCs w:val="24"/>
          <w:lang w:eastAsia="da-DK"/>
        </w:rPr>
        <w:t xml:space="preserve">-glucuronids farmakokinetik er ikke evalueret. Sikkerheden og farmakokinetikken for </w:t>
      </w:r>
      <w:proofErr w:type="spellStart"/>
      <w:r w:rsidRPr="009752A1">
        <w:rPr>
          <w:sz w:val="24"/>
          <w:szCs w:val="24"/>
          <w:lang w:eastAsia="da-DK"/>
        </w:rPr>
        <w:t>deferipron</w:t>
      </w:r>
      <w:proofErr w:type="spellEnd"/>
      <w:r w:rsidRPr="009752A1">
        <w:rPr>
          <w:sz w:val="24"/>
          <w:szCs w:val="24"/>
          <w:lang w:eastAsia="da-DK"/>
        </w:rPr>
        <w:t xml:space="preserve"> hos patienter med svær</w:t>
      </w:r>
      <w:r w:rsidR="002B7A23">
        <w:rPr>
          <w:sz w:val="24"/>
          <w:szCs w:val="24"/>
          <w:lang w:eastAsia="da-DK"/>
        </w:rPr>
        <w:t xml:space="preserve"> </w:t>
      </w:r>
      <w:r w:rsidRPr="009752A1">
        <w:rPr>
          <w:sz w:val="24"/>
          <w:szCs w:val="24"/>
          <w:lang w:eastAsia="da-DK"/>
        </w:rPr>
        <w:t>leverinsufficiens er ikke kendt.</w:t>
      </w:r>
    </w:p>
    <w:p w14:paraId="4221BD8F" w14:textId="77777777" w:rsidR="009260DE" w:rsidRPr="009752A1" w:rsidRDefault="009260DE" w:rsidP="009260DE">
      <w:pPr>
        <w:tabs>
          <w:tab w:val="left" w:pos="851"/>
        </w:tabs>
        <w:ind w:left="851"/>
        <w:rPr>
          <w:sz w:val="24"/>
          <w:szCs w:val="24"/>
        </w:rPr>
      </w:pPr>
    </w:p>
    <w:p w14:paraId="2371FECD" w14:textId="77777777" w:rsidR="009260DE" w:rsidRPr="009752A1" w:rsidRDefault="009260DE" w:rsidP="009260DE">
      <w:pPr>
        <w:tabs>
          <w:tab w:val="left" w:pos="851"/>
        </w:tabs>
        <w:ind w:left="851" w:hanging="851"/>
        <w:rPr>
          <w:b/>
          <w:sz w:val="24"/>
          <w:szCs w:val="24"/>
        </w:rPr>
      </w:pPr>
      <w:r w:rsidRPr="009752A1">
        <w:rPr>
          <w:b/>
          <w:sz w:val="24"/>
          <w:szCs w:val="24"/>
        </w:rPr>
        <w:t>5.3</w:t>
      </w:r>
      <w:r w:rsidRPr="009752A1">
        <w:rPr>
          <w:b/>
          <w:sz w:val="24"/>
          <w:szCs w:val="24"/>
        </w:rPr>
        <w:tab/>
        <w:t>Prækliniske sikkerhedsdata</w:t>
      </w:r>
    </w:p>
    <w:p w14:paraId="42FB8198" w14:textId="77777777" w:rsidR="00E904A2" w:rsidRPr="009752A1" w:rsidRDefault="00E904A2" w:rsidP="00A01165">
      <w:pPr>
        <w:numPr>
          <w:ilvl w:val="12"/>
          <w:numId w:val="0"/>
        </w:numPr>
        <w:ind w:left="851" w:right="11"/>
        <w:rPr>
          <w:sz w:val="24"/>
          <w:szCs w:val="24"/>
          <w:lang w:eastAsia="da-DK"/>
        </w:rPr>
      </w:pPr>
      <w:r w:rsidRPr="009752A1">
        <w:rPr>
          <w:sz w:val="24"/>
          <w:szCs w:val="24"/>
          <w:lang w:eastAsia="da-DK"/>
        </w:rPr>
        <w:t>Der er udført non-kliniske studier på dyrearter såsom mus, rotter, kaniner og hunde samt aber.</w:t>
      </w:r>
    </w:p>
    <w:p w14:paraId="45A77285" w14:textId="77777777" w:rsidR="00E904A2" w:rsidRPr="009752A1" w:rsidRDefault="00E904A2" w:rsidP="00A01165">
      <w:pPr>
        <w:numPr>
          <w:ilvl w:val="12"/>
          <w:numId w:val="0"/>
        </w:numPr>
        <w:ind w:left="851" w:right="11"/>
        <w:rPr>
          <w:sz w:val="24"/>
          <w:szCs w:val="24"/>
        </w:rPr>
      </w:pPr>
    </w:p>
    <w:p w14:paraId="2DFD7A22" w14:textId="77777777" w:rsidR="00FC2CA5" w:rsidRDefault="00FC2CA5" w:rsidP="00FC2CA5">
      <w:pPr>
        <w:autoSpaceDE w:val="0"/>
        <w:autoSpaceDN w:val="0"/>
        <w:adjustRightInd w:val="0"/>
        <w:ind w:left="851"/>
        <w:rPr>
          <w:sz w:val="24"/>
          <w:szCs w:val="24"/>
          <w:lang w:eastAsia="da-DK"/>
        </w:rPr>
      </w:pPr>
      <w:r>
        <w:rPr>
          <w:sz w:val="24"/>
          <w:szCs w:val="24"/>
          <w:lang w:eastAsia="da-DK"/>
        </w:rPr>
        <w:t xml:space="preserve">Det hyppigste fund hos ikke jernbelastede dyr i doser på 100 mg/kg/dag og derover var hæmatologiske virkninger, såsom </w:t>
      </w:r>
      <w:proofErr w:type="spellStart"/>
      <w:r>
        <w:rPr>
          <w:sz w:val="24"/>
          <w:szCs w:val="24"/>
          <w:lang w:eastAsia="da-DK"/>
        </w:rPr>
        <w:t>hypocellularitet</w:t>
      </w:r>
      <w:proofErr w:type="spellEnd"/>
      <w:r>
        <w:rPr>
          <w:sz w:val="24"/>
          <w:szCs w:val="24"/>
          <w:lang w:eastAsia="da-DK"/>
        </w:rPr>
        <w:t xml:space="preserve"> i knoglemarven og nedsat antal hvide blodlegemer og røde blodlegemer og/eller </w:t>
      </w:r>
      <w:proofErr w:type="spellStart"/>
      <w:r>
        <w:rPr>
          <w:sz w:val="24"/>
          <w:szCs w:val="24"/>
          <w:lang w:eastAsia="da-DK"/>
        </w:rPr>
        <w:t>trombocytter</w:t>
      </w:r>
      <w:proofErr w:type="spellEnd"/>
      <w:r>
        <w:rPr>
          <w:sz w:val="24"/>
          <w:szCs w:val="24"/>
          <w:lang w:eastAsia="da-DK"/>
        </w:rPr>
        <w:t xml:space="preserve"> i perifert blod.</w:t>
      </w:r>
    </w:p>
    <w:p w14:paraId="70432338" w14:textId="77777777" w:rsidR="00FC2CA5" w:rsidRDefault="00FC2CA5" w:rsidP="00FC2CA5">
      <w:pPr>
        <w:numPr>
          <w:ilvl w:val="12"/>
          <w:numId w:val="0"/>
        </w:numPr>
        <w:ind w:left="851" w:right="11"/>
        <w:rPr>
          <w:sz w:val="24"/>
          <w:szCs w:val="24"/>
        </w:rPr>
      </w:pPr>
    </w:p>
    <w:p w14:paraId="5AAB1660" w14:textId="77777777" w:rsidR="00FC2CA5" w:rsidRDefault="00FC2CA5" w:rsidP="00FC2CA5">
      <w:pPr>
        <w:autoSpaceDE w:val="0"/>
        <w:autoSpaceDN w:val="0"/>
        <w:adjustRightInd w:val="0"/>
        <w:ind w:left="851"/>
        <w:rPr>
          <w:sz w:val="24"/>
          <w:szCs w:val="24"/>
          <w:lang w:eastAsia="da-DK"/>
        </w:rPr>
      </w:pPr>
      <w:r>
        <w:rPr>
          <w:sz w:val="24"/>
          <w:szCs w:val="24"/>
          <w:lang w:eastAsia="da-DK"/>
        </w:rPr>
        <w:t xml:space="preserve">Ved doser på 100 mg/kg/dag eller derover hos ikke-jernbelastede dyr blev der rapporteret om atrofi i </w:t>
      </w:r>
      <w:proofErr w:type="spellStart"/>
      <w:r>
        <w:rPr>
          <w:sz w:val="24"/>
          <w:szCs w:val="24"/>
          <w:lang w:eastAsia="da-DK"/>
        </w:rPr>
        <w:t>thymus</w:t>
      </w:r>
      <w:proofErr w:type="spellEnd"/>
      <w:r>
        <w:rPr>
          <w:sz w:val="24"/>
          <w:szCs w:val="24"/>
          <w:lang w:eastAsia="da-DK"/>
        </w:rPr>
        <w:t xml:space="preserve">, </w:t>
      </w:r>
      <w:proofErr w:type="spellStart"/>
      <w:r>
        <w:rPr>
          <w:sz w:val="24"/>
          <w:szCs w:val="24"/>
          <w:lang w:eastAsia="da-DK"/>
        </w:rPr>
        <w:t>lymfoide</w:t>
      </w:r>
      <w:proofErr w:type="spellEnd"/>
      <w:r>
        <w:rPr>
          <w:sz w:val="24"/>
          <w:szCs w:val="24"/>
          <w:lang w:eastAsia="da-DK"/>
        </w:rPr>
        <w:t xml:space="preserve"> væv og testis samt hypertrofi i binyrerne.</w:t>
      </w:r>
    </w:p>
    <w:p w14:paraId="7086449A" w14:textId="77777777" w:rsidR="00FC2CA5" w:rsidRDefault="00FC2CA5" w:rsidP="00FC2CA5">
      <w:pPr>
        <w:numPr>
          <w:ilvl w:val="12"/>
          <w:numId w:val="0"/>
        </w:numPr>
        <w:ind w:left="851" w:right="11"/>
        <w:rPr>
          <w:sz w:val="24"/>
          <w:szCs w:val="24"/>
        </w:rPr>
      </w:pPr>
    </w:p>
    <w:p w14:paraId="6A02BF14" w14:textId="77777777" w:rsidR="00FC2CA5" w:rsidRDefault="00FC2CA5" w:rsidP="00FC2CA5">
      <w:pPr>
        <w:autoSpaceDE w:val="0"/>
        <w:autoSpaceDN w:val="0"/>
        <w:adjustRightInd w:val="0"/>
        <w:ind w:left="851"/>
        <w:rPr>
          <w:sz w:val="24"/>
          <w:szCs w:val="24"/>
        </w:rPr>
      </w:pPr>
      <w:r>
        <w:rPr>
          <w:sz w:val="24"/>
          <w:szCs w:val="24"/>
          <w:lang w:eastAsia="da-DK"/>
        </w:rPr>
        <w:t xml:space="preserve">Der er ikke udført </w:t>
      </w:r>
      <w:proofErr w:type="spellStart"/>
      <w:r>
        <w:rPr>
          <w:sz w:val="24"/>
          <w:szCs w:val="24"/>
          <w:lang w:eastAsia="da-DK"/>
        </w:rPr>
        <w:t>karcinogenitetsstudier</w:t>
      </w:r>
      <w:proofErr w:type="spellEnd"/>
      <w:r>
        <w:rPr>
          <w:sz w:val="24"/>
          <w:szCs w:val="24"/>
          <w:lang w:eastAsia="da-DK"/>
        </w:rPr>
        <w:t xml:space="preserve"> med </w:t>
      </w:r>
      <w:proofErr w:type="spellStart"/>
      <w:r>
        <w:rPr>
          <w:sz w:val="24"/>
          <w:szCs w:val="24"/>
          <w:lang w:eastAsia="da-DK"/>
        </w:rPr>
        <w:t>deferipron</w:t>
      </w:r>
      <w:proofErr w:type="spellEnd"/>
      <w:r>
        <w:rPr>
          <w:sz w:val="24"/>
          <w:szCs w:val="24"/>
          <w:lang w:eastAsia="da-DK"/>
        </w:rPr>
        <w:t xml:space="preserve"> på dyr. </w:t>
      </w:r>
      <w:proofErr w:type="spellStart"/>
      <w:r>
        <w:rPr>
          <w:sz w:val="24"/>
          <w:szCs w:val="24"/>
          <w:lang w:eastAsia="da-DK"/>
        </w:rPr>
        <w:t>Deferiprons</w:t>
      </w:r>
      <w:proofErr w:type="spellEnd"/>
      <w:r>
        <w:rPr>
          <w:sz w:val="24"/>
          <w:szCs w:val="24"/>
          <w:lang w:eastAsia="da-DK"/>
        </w:rPr>
        <w:t xml:space="preserve"> genotoksiske potentiale blev evalueret i en række </w:t>
      </w:r>
      <w:r>
        <w:rPr>
          <w:i/>
          <w:iCs/>
          <w:sz w:val="24"/>
          <w:szCs w:val="24"/>
          <w:lang w:eastAsia="da-DK"/>
        </w:rPr>
        <w:t xml:space="preserve">in </w:t>
      </w:r>
      <w:proofErr w:type="spellStart"/>
      <w:r>
        <w:rPr>
          <w:i/>
          <w:iCs/>
          <w:sz w:val="24"/>
          <w:szCs w:val="24"/>
          <w:lang w:eastAsia="da-DK"/>
        </w:rPr>
        <w:t>vitro</w:t>
      </w:r>
      <w:proofErr w:type="spellEnd"/>
      <w:r>
        <w:rPr>
          <w:i/>
          <w:iCs/>
          <w:sz w:val="24"/>
          <w:szCs w:val="24"/>
          <w:lang w:eastAsia="da-DK"/>
        </w:rPr>
        <w:t xml:space="preserve">- </w:t>
      </w:r>
      <w:r>
        <w:rPr>
          <w:sz w:val="24"/>
          <w:szCs w:val="24"/>
          <w:lang w:eastAsia="da-DK"/>
        </w:rPr>
        <w:t xml:space="preserve">og </w:t>
      </w:r>
      <w:r>
        <w:rPr>
          <w:i/>
          <w:iCs/>
          <w:sz w:val="24"/>
          <w:szCs w:val="24"/>
          <w:lang w:eastAsia="da-DK"/>
        </w:rPr>
        <w:t xml:space="preserve">in </w:t>
      </w:r>
      <w:proofErr w:type="spellStart"/>
      <w:r>
        <w:rPr>
          <w:i/>
          <w:iCs/>
          <w:sz w:val="24"/>
          <w:szCs w:val="24"/>
          <w:lang w:eastAsia="da-DK"/>
        </w:rPr>
        <w:t>vivo</w:t>
      </w:r>
      <w:proofErr w:type="spellEnd"/>
      <w:r>
        <w:rPr>
          <w:sz w:val="24"/>
          <w:szCs w:val="24"/>
          <w:lang w:eastAsia="da-DK"/>
        </w:rPr>
        <w:t xml:space="preserve">-studier. </w:t>
      </w:r>
      <w:proofErr w:type="spellStart"/>
      <w:r>
        <w:rPr>
          <w:sz w:val="24"/>
          <w:szCs w:val="24"/>
          <w:lang w:eastAsia="da-DK"/>
        </w:rPr>
        <w:t>Deferipron</w:t>
      </w:r>
      <w:proofErr w:type="spellEnd"/>
      <w:r>
        <w:rPr>
          <w:sz w:val="24"/>
          <w:szCs w:val="24"/>
          <w:lang w:eastAsia="da-DK"/>
        </w:rPr>
        <w:t xml:space="preserve"> viste ikke nogen direkte mutagene egenskaber; men det viste klastogene egenskaber i </w:t>
      </w:r>
      <w:r>
        <w:rPr>
          <w:i/>
          <w:iCs/>
          <w:sz w:val="24"/>
          <w:szCs w:val="24"/>
          <w:lang w:eastAsia="da-DK"/>
        </w:rPr>
        <w:t xml:space="preserve">in </w:t>
      </w:r>
      <w:proofErr w:type="spellStart"/>
      <w:r>
        <w:rPr>
          <w:i/>
          <w:iCs/>
          <w:sz w:val="24"/>
          <w:szCs w:val="24"/>
          <w:lang w:eastAsia="da-DK"/>
        </w:rPr>
        <w:t>vitro</w:t>
      </w:r>
      <w:proofErr w:type="spellEnd"/>
      <w:r>
        <w:rPr>
          <w:sz w:val="24"/>
          <w:szCs w:val="24"/>
          <w:lang w:eastAsia="da-DK"/>
        </w:rPr>
        <w:t>-analyser og hos dyr.</w:t>
      </w:r>
    </w:p>
    <w:p w14:paraId="06695B47" w14:textId="77777777" w:rsidR="00FC2CA5" w:rsidRDefault="00FC2CA5" w:rsidP="00FC2CA5">
      <w:pPr>
        <w:ind w:left="851"/>
        <w:rPr>
          <w:sz w:val="24"/>
          <w:szCs w:val="24"/>
        </w:rPr>
      </w:pPr>
    </w:p>
    <w:p w14:paraId="12DF73AF" w14:textId="77777777" w:rsidR="00FC2CA5" w:rsidRDefault="00FC2CA5" w:rsidP="00FC2CA5">
      <w:pPr>
        <w:autoSpaceDE w:val="0"/>
        <w:autoSpaceDN w:val="0"/>
        <w:adjustRightInd w:val="0"/>
        <w:ind w:left="851"/>
        <w:rPr>
          <w:sz w:val="24"/>
          <w:szCs w:val="24"/>
          <w:lang w:eastAsia="da-DK"/>
        </w:rPr>
      </w:pPr>
      <w:proofErr w:type="spellStart"/>
      <w:r>
        <w:rPr>
          <w:sz w:val="24"/>
          <w:szCs w:val="24"/>
          <w:lang w:eastAsia="da-DK"/>
        </w:rPr>
        <w:t>Deferipron</w:t>
      </w:r>
      <w:proofErr w:type="spellEnd"/>
      <w:r>
        <w:rPr>
          <w:sz w:val="24"/>
          <w:szCs w:val="24"/>
          <w:lang w:eastAsia="da-DK"/>
        </w:rPr>
        <w:t xml:space="preserve"> var </w:t>
      </w:r>
      <w:proofErr w:type="spellStart"/>
      <w:r>
        <w:rPr>
          <w:sz w:val="24"/>
          <w:szCs w:val="24"/>
          <w:lang w:eastAsia="da-DK"/>
        </w:rPr>
        <w:t>teratogent</w:t>
      </w:r>
      <w:proofErr w:type="spellEnd"/>
      <w:r>
        <w:rPr>
          <w:sz w:val="24"/>
          <w:szCs w:val="24"/>
          <w:lang w:eastAsia="da-DK"/>
        </w:rPr>
        <w:t xml:space="preserve"> og embryotoksisk ved reproduktionsstudier hos ikke-jernbelastede drægtige rotter og kaniner i doser så lave som 25 mg/kg/dag. Der blev ikke observeret nogen virkninger på fertilitet eller tidlig fosterudvikling hos ikke-jernbelastede han- og hunrotter, som fik </w:t>
      </w:r>
      <w:proofErr w:type="spellStart"/>
      <w:r>
        <w:rPr>
          <w:sz w:val="24"/>
          <w:szCs w:val="24"/>
          <w:lang w:eastAsia="da-DK"/>
        </w:rPr>
        <w:t>deferipron</w:t>
      </w:r>
      <w:proofErr w:type="spellEnd"/>
      <w:r>
        <w:rPr>
          <w:sz w:val="24"/>
          <w:szCs w:val="24"/>
          <w:lang w:eastAsia="da-DK"/>
        </w:rPr>
        <w:t xml:space="preserve"> oralt i doser på op til 75 mg/kg 2 gange daglig i 28 dage (hanner) eller 2 uger (hunner) før parring og til aflivning (hanner) eller under tidlig drægtighed (hunner). Hos hunner forsinkede en virkning på brunstcyklus tiden til bekræftet parring ved alle testede doser.</w:t>
      </w:r>
    </w:p>
    <w:p w14:paraId="2165BF97" w14:textId="77777777" w:rsidR="00FC2CA5" w:rsidRDefault="00FC2CA5" w:rsidP="00FC2CA5">
      <w:pPr>
        <w:ind w:left="851"/>
        <w:rPr>
          <w:sz w:val="24"/>
          <w:szCs w:val="24"/>
        </w:rPr>
      </w:pPr>
    </w:p>
    <w:p w14:paraId="07A61F7B" w14:textId="5773D47A" w:rsidR="00E904A2" w:rsidRPr="009752A1" w:rsidRDefault="00FC2CA5" w:rsidP="00FC2CA5">
      <w:pPr>
        <w:autoSpaceDE w:val="0"/>
        <w:autoSpaceDN w:val="0"/>
        <w:adjustRightInd w:val="0"/>
        <w:ind w:left="851"/>
        <w:rPr>
          <w:sz w:val="24"/>
          <w:szCs w:val="24"/>
          <w:lang w:eastAsia="da-DK"/>
        </w:rPr>
      </w:pPr>
      <w:r>
        <w:rPr>
          <w:sz w:val="24"/>
          <w:szCs w:val="24"/>
          <w:lang w:eastAsia="da-DK"/>
        </w:rPr>
        <w:t xml:space="preserve">Der er ikke udført prænatale og </w:t>
      </w:r>
      <w:proofErr w:type="spellStart"/>
      <w:r>
        <w:rPr>
          <w:sz w:val="24"/>
          <w:szCs w:val="24"/>
          <w:lang w:eastAsia="da-DK"/>
        </w:rPr>
        <w:t>postnatale</w:t>
      </w:r>
      <w:proofErr w:type="spellEnd"/>
      <w:r>
        <w:rPr>
          <w:sz w:val="24"/>
          <w:szCs w:val="24"/>
          <w:lang w:eastAsia="da-DK"/>
        </w:rPr>
        <w:t xml:space="preserve"> reproduktionsstudier på dyr.</w:t>
      </w:r>
    </w:p>
    <w:p w14:paraId="62C15576" w14:textId="11AB373F" w:rsidR="002B7A23" w:rsidRDefault="002B7A23">
      <w:pPr>
        <w:rPr>
          <w:sz w:val="24"/>
          <w:szCs w:val="24"/>
        </w:rPr>
      </w:pPr>
    </w:p>
    <w:p w14:paraId="7BA95435" w14:textId="77777777" w:rsidR="009260DE" w:rsidRPr="009752A1" w:rsidRDefault="009260DE" w:rsidP="009260DE">
      <w:pPr>
        <w:tabs>
          <w:tab w:val="left" w:pos="851"/>
        </w:tabs>
        <w:ind w:left="851"/>
        <w:rPr>
          <w:sz w:val="24"/>
          <w:szCs w:val="24"/>
        </w:rPr>
      </w:pPr>
    </w:p>
    <w:p w14:paraId="2DF87BB1" w14:textId="77777777" w:rsidR="009260DE" w:rsidRPr="009752A1" w:rsidRDefault="009260DE" w:rsidP="009260DE">
      <w:pPr>
        <w:tabs>
          <w:tab w:val="left" w:pos="851"/>
        </w:tabs>
        <w:ind w:left="851" w:hanging="851"/>
        <w:rPr>
          <w:b/>
          <w:sz w:val="24"/>
          <w:szCs w:val="24"/>
        </w:rPr>
      </w:pPr>
      <w:r w:rsidRPr="009752A1">
        <w:rPr>
          <w:b/>
          <w:sz w:val="24"/>
          <w:szCs w:val="24"/>
        </w:rPr>
        <w:t>6.</w:t>
      </w:r>
      <w:r w:rsidRPr="009752A1">
        <w:rPr>
          <w:b/>
          <w:sz w:val="24"/>
          <w:szCs w:val="24"/>
        </w:rPr>
        <w:tab/>
        <w:t>FARMACEUTISKE OPLYSNINGER</w:t>
      </w:r>
    </w:p>
    <w:p w14:paraId="30ADF764" w14:textId="77777777" w:rsidR="009260DE" w:rsidRPr="009752A1" w:rsidRDefault="009260DE" w:rsidP="009260DE">
      <w:pPr>
        <w:tabs>
          <w:tab w:val="left" w:pos="851"/>
        </w:tabs>
        <w:ind w:left="851"/>
        <w:rPr>
          <w:sz w:val="24"/>
          <w:szCs w:val="24"/>
        </w:rPr>
      </w:pPr>
    </w:p>
    <w:p w14:paraId="1CF872C0" w14:textId="77777777" w:rsidR="009260DE" w:rsidRPr="009752A1" w:rsidRDefault="009260DE" w:rsidP="009260DE">
      <w:pPr>
        <w:tabs>
          <w:tab w:val="left" w:pos="851"/>
        </w:tabs>
        <w:ind w:left="851" w:hanging="851"/>
        <w:rPr>
          <w:b/>
          <w:sz w:val="24"/>
          <w:szCs w:val="24"/>
        </w:rPr>
      </w:pPr>
      <w:r w:rsidRPr="009752A1">
        <w:rPr>
          <w:b/>
          <w:sz w:val="24"/>
          <w:szCs w:val="24"/>
        </w:rPr>
        <w:t>6.1</w:t>
      </w:r>
      <w:r w:rsidRPr="009752A1">
        <w:rPr>
          <w:b/>
          <w:sz w:val="24"/>
          <w:szCs w:val="24"/>
        </w:rPr>
        <w:tab/>
        <w:t>Hjælpestoffer</w:t>
      </w:r>
    </w:p>
    <w:p w14:paraId="7EF69D17" w14:textId="77777777" w:rsidR="008F71E4" w:rsidRDefault="008F71E4" w:rsidP="00A01165">
      <w:pPr>
        <w:autoSpaceDE w:val="0"/>
        <w:autoSpaceDN w:val="0"/>
        <w:adjustRightInd w:val="0"/>
        <w:ind w:left="851"/>
        <w:rPr>
          <w:i/>
          <w:iCs/>
          <w:sz w:val="24"/>
          <w:szCs w:val="24"/>
          <w:lang w:eastAsia="da-DK"/>
        </w:rPr>
      </w:pPr>
    </w:p>
    <w:p w14:paraId="08BD5155" w14:textId="08F6CBD7" w:rsidR="00E904A2" w:rsidRPr="009752A1" w:rsidRDefault="00E904A2" w:rsidP="00A01165">
      <w:pPr>
        <w:autoSpaceDE w:val="0"/>
        <w:autoSpaceDN w:val="0"/>
        <w:adjustRightInd w:val="0"/>
        <w:ind w:left="851"/>
        <w:rPr>
          <w:i/>
          <w:iCs/>
          <w:sz w:val="24"/>
          <w:szCs w:val="24"/>
          <w:lang w:eastAsia="da-DK"/>
        </w:rPr>
      </w:pPr>
      <w:r w:rsidRPr="009752A1">
        <w:rPr>
          <w:i/>
          <w:iCs/>
          <w:sz w:val="24"/>
          <w:szCs w:val="24"/>
          <w:lang w:eastAsia="da-DK"/>
        </w:rPr>
        <w:t>Tabletkerne</w:t>
      </w:r>
    </w:p>
    <w:p w14:paraId="61E5CD18" w14:textId="77777777" w:rsidR="00E904A2" w:rsidRPr="009752A1" w:rsidRDefault="00E904A2" w:rsidP="00A01165">
      <w:pPr>
        <w:autoSpaceDE w:val="0"/>
        <w:autoSpaceDN w:val="0"/>
        <w:adjustRightInd w:val="0"/>
        <w:ind w:left="851"/>
        <w:rPr>
          <w:sz w:val="24"/>
          <w:szCs w:val="24"/>
          <w:lang w:eastAsia="da-DK"/>
        </w:rPr>
      </w:pPr>
      <w:r w:rsidRPr="009752A1">
        <w:rPr>
          <w:sz w:val="24"/>
          <w:szCs w:val="24"/>
          <w:lang w:eastAsia="da-DK"/>
        </w:rPr>
        <w:t xml:space="preserve">Majsstivelse, </w:t>
      </w:r>
      <w:proofErr w:type="spellStart"/>
      <w:r w:rsidRPr="009752A1">
        <w:rPr>
          <w:sz w:val="24"/>
          <w:szCs w:val="24"/>
          <w:lang w:eastAsia="da-DK"/>
        </w:rPr>
        <w:t>pregelatineret</w:t>
      </w:r>
      <w:proofErr w:type="spellEnd"/>
      <w:r w:rsidRPr="009752A1">
        <w:rPr>
          <w:sz w:val="24"/>
          <w:szCs w:val="24"/>
          <w:lang w:eastAsia="da-DK"/>
        </w:rPr>
        <w:t xml:space="preserve"> </w:t>
      </w:r>
    </w:p>
    <w:p w14:paraId="47F9F9CB" w14:textId="77777777" w:rsidR="00E904A2" w:rsidRPr="009752A1" w:rsidRDefault="00E904A2" w:rsidP="00A01165">
      <w:pPr>
        <w:autoSpaceDE w:val="0"/>
        <w:autoSpaceDN w:val="0"/>
        <w:adjustRightInd w:val="0"/>
        <w:ind w:left="851"/>
        <w:rPr>
          <w:sz w:val="24"/>
          <w:szCs w:val="24"/>
          <w:lang w:eastAsia="da-DK"/>
        </w:rPr>
      </w:pPr>
      <w:proofErr w:type="spellStart"/>
      <w:r w:rsidRPr="009752A1">
        <w:rPr>
          <w:sz w:val="24"/>
          <w:szCs w:val="24"/>
          <w:lang w:eastAsia="da-DK"/>
        </w:rPr>
        <w:t>Magnesiumstearat</w:t>
      </w:r>
      <w:proofErr w:type="spellEnd"/>
    </w:p>
    <w:p w14:paraId="5BF0C60C" w14:textId="77777777" w:rsidR="00E904A2" w:rsidRPr="009752A1" w:rsidRDefault="00E904A2" w:rsidP="00A01165">
      <w:pPr>
        <w:autoSpaceDE w:val="0"/>
        <w:autoSpaceDN w:val="0"/>
        <w:adjustRightInd w:val="0"/>
        <w:ind w:left="851"/>
        <w:rPr>
          <w:sz w:val="24"/>
          <w:szCs w:val="24"/>
          <w:lang w:eastAsia="da-DK"/>
        </w:rPr>
      </w:pPr>
      <w:r w:rsidRPr="009752A1">
        <w:rPr>
          <w:sz w:val="24"/>
          <w:szCs w:val="24"/>
          <w:lang w:eastAsia="da-DK"/>
        </w:rPr>
        <w:t>Vand, renset</w:t>
      </w:r>
    </w:p>
    <w:p w14:paraId="3EEAAA61" w14:textId="77777777" w:rsidR="00E904A2" w:rsidRPr="009752A1" w:rsidRDefault="00E904A2" w:rsidP="00A01165">
      <w:pPr>
        <w:autoSpaceDE w:val="0"/>
        <w:autoSpaceDN w:val="0"/>
        <w:adjustRightInd w:val="0"/>
        <w:ind w:left="851"/>
        <w:rPr>
          <w:i/>
          <w:iCs/>
          <w:sz w:val="24"/>
          <w:szCs w:val="24"/>
          <w:highlight w:val="yellow"/>
          <w:lang w:eastAsia="da-DK"/>
        </w:rPr>
      </w:pPr>
    </w:p>
    <w:p w14:paraId="4B9713EB" w14:textId="77777777" w:rsidR="00E904A2" w:rsidRPr="009752A1" w:rsidRDefault="00E904A2" w:rsidP="00A01165">
      <w:pPr>
        <w:autoSpaceDE w:val="0"/>
        <w:autoSpaceDN w:val="0"/>
        <w:adjustRightInd w:val="0"/>
        <w:ind w:left="851"/>
        <w:rPr>
          <w:i/>
          <w:iCs/>
          <w:sz w:val="24"/>
          <w:szCs w:val="24"/>
          <w:lang w:eastAsia="da-DK"/>
        </w:rPr>
      </w:pPr>
      <w:r w:rsidRPr="009752A1">
        <w:rPr>
          <w:i/>
          <w:iCs/>
          <w:sz w:val="24"/>
          <w:szCs w:val="24"/>
          <w:lang w:eastAsia="da-DK"/>
        </w:rPr>
        <w:t>Overtræk</w:t>
      </w:r>
    </w:p>
    <w:p w14:paraId="7DE3FF8D" w14:textId="77777777" w:rsidR="00E904A2" w:rsidRPr="009752A1" w:rsidRDefault="00E904A2" w:rsidP="00A01165">
      <w:pPr>
        <w:autoSpaceDE w:val="0"/>
        <w:autoSpaceDN w:val="0"/>
        <w:adjustRightInd w:val="0"/>
        <w:ind w:left="851"/>
        <w:rPr>
          <w:sz w:val="24"/>
          <w:szCs w:val="24"/>
          <w:lang w:eastAsia="da-DK"/>
        </w:rPr>
      </w:pPr>
      <w:proofErr w:type="spellStart"/>
      <w:r w:rsidRPr="009752A1">
        <w:rPr>
          <w:sz w:val="24"/>
          <w:szCs w:val="24"/>
          <w:lang w:eastAsia="da-DK"/>
        </w:rPr>
        <w:t>Hypromellose</w:t>
      </w:r>
      <w:proofErr w:type="spellEnd"/>
      <w:r w:rsidRPr="009752A1">
        <w:rPr>
          <w:sz w:val="24"/>
          <w:szCs w:val="24"/>
          <w:lang w:eastAsia="da-DK"/>
        </w:rPr>
        <w:t xml:space="preserve"> 3cP</w:t>
      </w:r>
    </w:p>
    <w:p w14:paraId="2ECFB49E" w14:textId="77777777" w:rsidR="00E904A2" w:rsidRPr="009752A1" w:rsidRDefault="00E904A2" w:rsidP="00A01165">
      <w:pPr>
        <w:autoSpaceDE w:val="0"/>
        <w:autoSpaceDN w:val="0"/>
        <w:adjustRightInd w:val="0"/>
        <w:ind w:left="851"/>
        <w:rPr>
          <w:sz w:val="24"/>
          <w:szCs w:val="24"/>
          <w:lang w:eastAsia="da-DK"/>
        </w:rPr>
      </w:pPr>
      <w:proofErr w:type="spellStart"/>
      <w:r w:rsidRPr="009752A1">
        <w:rPr>
          <w:sz w:val="24"/>
          <w:szCs w:val="24"/>
          <w:lang w:eastAsia="da-DK"/>
        </w:rPr>
        <w:t>Hydroxypropylcellulose</w:t>
      </w:r>
      <w:proofErr w:type="spellEnd"/>
    </w:p>
    <w:p w14:paraId="7150D68E" w14:textId="77777777" w:rsidR="00E904A2" w:rsidRPr="009752A1" w:rsidRDefault="00E904A2" w:rsidP="00A01165">
      <w:pPr>
        <w:autoSpaceDE w:val="0"/>
        <w:autoSpaceDN w:val="0"/>
        <w:adjustRightInd w:val="0"/>
        <w:ind w:left="851"/>
        <w:rPr>
          <w:sz w:val="24"/>
          <w:szCs w:val="24"/>
          <w:lang w:eastAsia="da-DK"/>
        </w:rPr>
      </w:pPr>
      <w:r w:rsidRPr="009752A1">
        <w:rPr>
          <w:sz w:val="24"/>
          <w:szCs w:val="24"/>
          <w:lang w:eastAsia="da-DK"/>
        </w:rPr>
        <w:t>Titandioxid (E171)</w:t>
      </w:r>
    </w:p>
    <w:p w14:paraId="4543F887" w14:textId="77777777" w:rsidR="00E904A2" w:rsidRPr="009752A1" w:rsidRDefault="00E904A2" w:rsidP="00A01165">
      <w:pPr>
        <w:autoSpaceDE w:val="0"/>
        <w:autoSpaceDN w:val="0"/>
        <w:adjustRightInd w:val="0"/>
        <w:ind w:left="851"/>
        <w:rPr>
          <w:sz w:val="24"/>
          <w:szCs w:val="24"/>
          <w:lang w:eastAsia="da-DK"/>
        </w:rPr>
      </w:pPr>
      <w:proofErr w:type="spellStart"/>
      <w:r w:rsidRPr="009752A1">
        <w:rPr>
          <w:sz w:val="24"/>
          <w:szCs w:val="24"/>
          <w:lang w:eastAsia="da-DK"/>
        </w:rPr>
        <w:t>Macrogol</w:t>
      </w:r>
      <w:proofErr w:type="spellEnd"/>
      <w:r w:rsidRPr="009752A1">
        <w:rPr>
          <w:sz w:val="24"/>
          <w:szCs w:val="24"/>
          <w:lang w:eastAsia="da-DK"/>
        </w:rPr>
        <w:t xml:space="preserve"> 6000</w:t>
      </w:r>
    </w:p>
    <w:p w14:paraId="5A945706" w14:textId="77777777" w:rsidR="009260DE" w:rsidRPr="009752A1" w:rsidRDefault="009260DE" w:rsidP="009260DE">
      <w:pPr>
        <w:tabs>
          <w:tab w:val="left" w:pos="851"/>
        </w:tabs>
        <w:ind w:left="851"/>
        <w:rPr>
          <w:sz w:val="24"/>
          <w:szCs w:val="24"/>
        </w:rPr>
      </w:pPr>
    </w:p>
    <w:p w14:paraId="07DB771F" w14:textId="77777777" w:rsidR="009260DE" w:rsidRPr="009752A1" w:rsidRDefault="009260DE" w:rsidP="009260DE">
      <w:pPr>
        <w:tabs>
          <w:tab w:val="left" w:pos="851"/>
        </w:tabs>
        <w:ind w:left="851" w:hanging="851"/>
        <w:rPr>
          <w:b/>
          <w:sz w:val="24"/>
          <w:szCs w:val="24"/>
        </w:rPr>
      </w:pPr>
      <w:r w:rsidRPr="009752A1">
        <w:rPr>
          <w:b/>
          <w:sz w:val="24"/>
          <w:szCs w:val="24"/>
        </w:rPr>
        <w:t>6.2</w:t>
      </w:r>
      <w:r w:rsidRPr="009752A1">
        <w:rPr>
          <w:b/>
          <w:sz w:val="24"/>
          <w:szCs w:val="24"/>
        </w:rPr>
        <w:tab/>
        <w:t>Uforligeligheder</w:t>
      </w:r>
    </w:p>
    <w:p w14:paraId="58ED3E19" w14:textId="77777777" w:rsidR="00E904A2" w:rsidRPr="009752A1" w:rsidRDefault="00E904A2" w:rsidP="00A01165">
      <w:pPr>
        <w:ind w:left="851"/>
        <w:rPr>
          <w:sz w:val="24"/>
          <w:szCs w:val="24"/>
        </w:rPr>
      </w:pPr>
      <w:r w:rsidRPr="009752A1">
        <w:rPr>
          <w:sz w:val="24"/>
          <w:szCs w:val="24"/>
        </w:rPr>
        <w:t>Ikke relevant.</w:t>
      </w:r>
    </w:p>
    <w:p w14:paraId="01944A19" w14:textId="77777777" w:rsidR="009260DE" w:rsidRPr="009752A1" w:rsidRDefault="009260DE" w:rsidP="009260DE">
      <w:pPr>
        <w:tabs>
          <w:tab w:val="left" w:pos="851"/>
        </w:tabs>
        <w:ind w:left="851"/>
        <w:rPr>
          <w:sz w:val="24"/>
          <w:szCs w:val="24"/>
        </w:rPr>
      </w:pPr>
    </w:p>
    <w:p w14:paraId="30EB632C" w14:textId="77777777" w:rsidR="009260DE" w:rsidRPr="009752A1" w:rsidRDefault="009260DE" w:rsidP="009260DE">
      <w:pPr>
        <w:tabs>
          <w:tab w:val="left" w:pos="851"/>
        </w:tabs>
        <w:ind w:left="851" w:hanging="851"/>
        <w:rPr>
          <w:b/>
          <w:sz w:val="24"/>
          <w:szCs w:val="24"/>
        </w:rPr>
      </w:pPr>
      <w:r w:rsidRPr="009752A1">
        <w:rPr>
          <w:b/>
          <w:sz w:val="24"/>
          <w:szCs w:val="24"/>
        </w:rPr>
        <w:t>6.3</w:t>
      </w:r>
      <w:r w:rsidRPr="009752A1">
        <w:rPr>
          <w:b/>
          <w:sz w:val="24"/>
          <w:szCs w:val="24"/>
        </w:rPr>
        <w:tab/>
        <w:t>Opbevaringstid</w:t>
      </w:r>
    </w:p>
    <w:p w14:paraId="51484A67" w14:textId="3EB26970" w:rsidR="009260DE" w:rsidRPr="009752A1" w:rsidRDefault="009260DE" w:rsidP="009260DE">
      <w:pPr>
        <w:tabs>
          <w:tab w:val="left" w:pos="851"/>
        </w:tabs>
        <w:ind w:left="851" w:hanging="851"/>
        <w:rPr>
          <w:sz w:val="24"/>
          <w:szCs w:val="24"/>
        </w:rPr>
      </w:pPr>
      <w:r w:rsidRPr="009752A1">
        <w:rPr>
          <w:sz w:val="24"/>
          <w:szCs w:val="24"/>
        </w:rPr>
        <w:tab/>
      </w:r>
      <w:r w:rsidR="00E904A2" w:rsidRPr="009752A1">
        <w:rPr>
          <w:sz w:val="24"/>
          <w:szCs w:val="24"/>
        </w:rPr>
        <w:t>5 år</w:t>
      </w:r>
    </w:p>
    <w:p w14:paraId="5D5B3855" w14:textId="77777777" w:rsidR="009260DE" w:rsidRPr="009752A1" w:rsidRDefault="009260DE" w:rsidP="009260DE">
      <w:pPr>
        <w:tabs>
          <w:tab w:val="left" w:pos="851"/>
        </w:tabs>
        <w:ind w:left="851"/>
        <w:rPr>
          <w:sz w:val="24"/>
          <w:szCs w:val="24"/>
        </w:rPr>
      </w:pPr>
    </w:p>
    <w:p w14:paraId="0F8CEE0C" w14:textId="77777777" w:rsidR="009260DE" w:rsidRPr="009752A1" w:rsidRDefault="009260DE" w:rsidP="009260DE">
      <w:pPr>
        <w:tabs>
          <w:tab w:val="left" w:pos="851"/>
        </w:tabs>
        <w:ind w:left="851" w:hanging="851"/>
        <w:rPr>
          <w:b/>
          <w:sz w:val="24"/>
          <w:szCs w:val="24"/>
        </w:rPr>
      </w:pPr>
      <w:r w:rsidRPr="009752A1">
        <w:rPr>
          <w:b/>
          <w:sz w:val="24"/>
          <w:szCs w:val="24"/>
        </w:rPr>
        <w:t>6.4</w:t>
      </w:r>
      <w:r w:rsidRPr="009752A1">
        <w:rPr>
          <w:b/>
          <w:sz w:val="24"/>
          <w:szCs w:val="24"/>
        </w:rPr>
        <w:tab/>
        <w:t>Særlige opbevaringsforhold</w:t>
      </w:r>
    </w:p>
    <w:p w14:paraId="6A9BA055" w14:textId="77777777" w:rsidR="00E904A2" w:rsidRPr="009752A1" w:rsidRDefault="00E904A2" w:rsidP="00A01165">
      <w:pPr>
        <w:ind w:left="851"/>
        <w:rPr>
          <w:sz w:val="24"/>
          <w:szCs w:val="24"/>
        </w:rPr>
      </w:pPr>
      <w:r w:rsidRPr="009752A1">
        <w:rPr>
          <w:sz w:val="24"/>
          <w:szCs w:val="24"/>
        </w:rPr>
        <w:t>Dette lægemiddel kræver ingen særlige forholdsregler vedrørende opbevaringen.</w:t>
      </w:r>
    </w:p>
    <w:p w14:paraId="6A881A53" w14:textId="77777777" w:rsidR="009260DE" w:rsidRPr="009752A1" w:rsidRDefault="009260DE" w:rsidP="009260DE">
      <w:pPr>
        <w:tabs>
          <w:tab w:val="left" w:pos="851"/>
        </w:tabs>
        <w:ind w:left="851"/>
        <w:rPr>
          <w:sz w:val="24"/>
          <w:szCs w:val="24"/>
        </w:rPr>
      </w:pPr>
    </w:p>
    <w:p w14:paraId="0266D360" w14:textId="70732714" w:rsidR="009260DE" w:rsidRPr="009752A1" w:rsidRDefault="009260DE" w:rsidP="009260DE">
      <w:pPr>
        <w:tabs>
          <w:tab w:val="left" w:pos="851"/>
        </w:tabs>
        <w:ind w:left="851" w:hanging="851"/>
        <w:rPr>
          <w:b/>
          <w:sz w:val="24"/>
          <w:szCs w:val="24"/>
        </w:rPr>
      </w:pPr>
      <w:r w:rsidRPr="009752A1">
        <w:rPr>
          <w:b/>
          <w:sz w:val="24"/>
          <w:szCs w:val="24"/>
        </w:rPr>
        <w:t>6.5</w:t>
      </w:r>
      <w:r w:rsidRPr="009752A1">
        <w:rPr>
          <w:b/>
          <w:sz w:val="24"/>
          <w:szCs w:val="24"/>
        </w:rPr>
        <w:tab/>
        <w:t>Emballagetype og pakningsstørrelser</w:t>
      </w:r>
    </w:p>
    <w:p w14:paraId="4C0A03DB" w14:textId="77777777" w:rsidR="00855539" w:rsidRPr="009752A1" w:rsidRDefault="00855539" w:rsidP="00A01165">
      <w:pPr>
        <w:autoSpaceDE w:val="0"/>
        <w:autoSpaceDN w:val="0"/>
        <w:adjustRightInd w:val="0"/>
        <w:ind w:left="851"/>
        <w:rPr>
          <w:sz w:val="24"/>
          <w:szCs w:val="24"/>
          <w:lang w:eastAsia="da-DK"/>
        </w:rPr>
      </w:pPr>
      <w:r w:rsidRPr="009752A1">
        <w:rPr>
          <w:sz w:val="24"/>
          <w:szCs w:val="24"/>
          <w:lang w:eastAsia="da-DK"/>
        </w:rPr>
        <w:t>PVC/PE/PVDC Aluminium blister i kartonæske.</w:t>
      </w:r>
    </w:p>
    <w:p w14:paraId="3742D4FB" w14:textId="77777777" w:rsidR="00855539" w:rsidRPr="009752A1" w:rsidRDefault="00855539" w:rsidP="00A01165">
      <w:pPr>
        <w:autoSpaceDE w:val="0"/>
        <w:autoSpaceDN w:val="0"/>
        <w:adjustRightInd w:val="0"/>
        <w:ind w:left="851"/>
        <w:rPr>
          <w:sz w:val="24"/>
          <w:szCs w:val="24"/>
          <w:lang w:eastAsia="da-DK"/>
        </w:rPr>
      </w:pPr>
    </w:p>
    <w:p w14:paraId="19F174A8" w14:textId="4305FF4E" w:rsidR="00855539" w:rsidRPr="009752A1" w:rsidRDefault="00855539" w:rsidP="00A01165">
      <w:pPr>
        <w:autoSpaceDE w:val="0"/>
        <w:autoSpaceDN w:val="0"/>
        <w:adjustRightInd w:val="0"/>
        <w:ind w:left="851"/>
        <w:rPr>
          <w:sz w:val="24"/>
          <w:szCs w:val="24"/>
          <w:lang w:val="en-US" w:eastAsia="da-DK"/>
        </w:rPr>
      </w:pPr>
      <w:proofErr w:type="spellStart"/>
      <w:r w:rsidRPr="009752A1">
        <w:rPr>
          <w:sz w:val="24"/>
          <w:szCs w:val="24"/>
          <w:lang w:val="en-US" w:eastAsia="da-DK"/>
        </w:rPr>
        <w:t>Deferipron</w:t>
      </w:r>
      <w:proofErr w:type="spellEnd"/>
      <w:r w:rsidRPr="009752A1">
        <w:rPr>
          <w:sz w:val="24"/>
          <w:szCs w:val="24"/>
          <w:lang w:val="en-US" w:eastAsia="da-DK"/>
        </w:rPr>
        <w:t xml:space="preserve"> </w:t>
      </w:r>
      <w:r w:rsidR="00F35A95">
        <w:rPr>
          <w:sz w:val="24"/>
          <w:szCs w:val="24"/>
          <w:lang w:val="en-US" w:eastAsia="da-DK"/>
        </w:rPr>
        <w:t>"</w:t>
      </w:r>
      <w:proofErr w:type="spellStart"/>
      <w:r w:rsidR="00F35A95">
        <w:rPr>
          <w:sz w:val="24"/>
          <w:szCs w:val="24"/>
          <w:lang w:val="en-US" w:eastAsia="da-DK"/>
        </w:rPr>
        <w:t>Orifarm</w:t>
      </w:r>
      <w:proofErr w:type="spellEnd"/>
      <w:r w:rsidR="00F35A95">
        <w:rPr>
          <w:sz w:val="24"/>
          <w:szCs w:val="24"/>
          <w:lang w:val="en-US" w:eastAsia="da-DK"/>
        </w:rPr>
        <w:t>"</w:t>
      </w:r>
      <w:r w:rsidRPr="009752A1">
        <w:rPr>
          <w:sz w:val="24"/>
          <w:szCs w:val="24"/>
          <w:lang w:val="en-US" w:eastAsia="da-DK"/>
        </w:rPr>
        <w:t xml:space="preserve"> 500 mg: 100 </w:t>
      </w:r>
      <w:proofErr w:type="spellStart"/>
      <w:r w:rsidRPr="009752A1">
        <w:rPr>
          <w:sz w:val="24"/>
          <w:szCs w:val="24"/>
          <w:lang w:val="en-US" w:eastAsia="da-DK"/>
        </w:rPr>
        <w:t>tabletter</w:t>
      </w:r>
      <w:proofErr w:type="spellEnd"/>
      <w:r w:rsidRPr="009752A1">
        <w:rPr>
          <w:sz w:val="24"/>
          <w:szCs w:val="24"/>
          <w:lang w:val="en-US" w:eastAsia="da-DK"/>
        </w:rPr>
        <w:t>.</w:t>
      </w:r>
    </w:p>
    <w:p w14:paraId="5F1511D8" w14:textId="67C20E60" w:rsidR="00855539" w:rsidRPr="009752A1" w:rsidRDefault="00855539" w:rsidP="00A01165">
      <w:pPr>
        <w:autoSpaceDE w:val="0"/>
        <w:autoSpaceDN w:val="0"/>
        <w:adjustRightInd w:val="0"/>
        <w:ind w:left="851"/>
        <w:rPr>
          <w:sz w:val="24"/>
          <w:szCs w:val="24"/>
          <w:lang w:val="en-US" w:eastAsia="da-DK"/>
        </w:rPr>
      </w:pPr>
      <w:proofErr w:type="spellStart"/>
      <w:r w:rsidRPr="009752A1">
        <w:rPr>
          <w:sz w:val="24"/>
          <w:szCs w:val="24"/>
          <w:lang w:val="en-US" w:eastAsia="da-DK"/>
        </w:rPr>
        <w:t>Deferipron</w:t>
      </w:r>
      <w:proofErr w:type="spellEnd"/>
      <w:r w:rsidRPr="009752A1">
        <w:rPr>
          <w:sz w:val="24"/>
          <w:szCs w:val="24"/>
          <w:lang w:val="en-US" w:eastAsia="da-DK"/>
        </w:rPr>
        <w:t xml:space="preserve"> </w:t>
      </w:r>
      <w:r w:rsidR="00F35A95">
        <w:rPr>
          <w:sz w:val="24"/>
          <w:szCs w:val="24"/>
          <w:lang w:val="en-US" w:eastAsia="da-DK"/>
        </w:rPr>
        <w:t>"</w:t>
      </w:r>
      <w:proofErr w:type="spellStart"/>
      <w:r w:rsidR="00F35A95">
        <w:rPr>
          <w:sz w:val="24"/>
          <w:szCs w:val="24"/>
          <w:lang w:val="en-US" w:eastAsia="da-DK"/>
        </w:rPr>
        <w:t>Orifarm</w:t>
      </w:r>
      <w:proofErr w:type="spellEnd"/>
      <w:r w:rsidR="00F35A95">
        <w:rPr>
          <w:sz w:val="24"/>
          <w:szCs w:val="24"/>
          <w:lang w:val="en-US" w:eastAsia="da-DK"/>
        </w:rPr>
        <w:t>"</w:t>
      </w:r>
      <w:r w:rsidRPr="009752A1">
        <w:rPr>
          <w:sz w:val="24"/>
          <w:szCs w:val="24"/>
          <w:lang w:val="en-US" w:eastAsia="da-DK"/>
        </w:rPr>
        <w:t xml:space="preserve"> 1000 mg: 50 </w:t>
      </w:r>
      <w:proofErr w:type="spellStart"/>
      <w:r w:rsidRPr="009752A1">
        <w:rPr>
          <w:sz w:val="24"/>
          <w:szCs w:val="24"/>
          <w:lang w:val="en-US" w:eastAsia="da-DK"/>
        </w:rPr>
        <w:t>tabletter</w:t>
      </w:r>
      <w:proofErr w:type="spellEnd"/>
      <w:r w:rsidRPr="009752A1">
        <w:rPr>
          <w:sz w:val="24"/>
          <w:szCs w:val="24"/>
          <w:lang w:val="en-US" w:eastAsia="da-DK"/>
        </w:rPr>
        <w:t>.</w:t>
      </w:r>
    </w:p>
    <w:p w14:paraId="2F9BBB32" w14:textId="77777777" w:rsidR="009260DE" w:rsidRPr="009752A1" w:rsidRDefault="009260DE" w:rsidP="009260DE">
      <w:pPr>
        <w:tabs>
          <w:tab w:val="left" w:pos="851"/>
        </w:tabs>
        <w:ind w:left="851"/>
        <w:rPr>
          <w:sz w:val="24"/>
          <w:szCs w:val="24"/>
          <w:lang w:val="en-US"/>
        </w:rPr>
      </w:pPr>
    </w:p>
    <w:p w14:paraId="04692DD5" w14:textId="0A0F0BE8" w:rsidR="009260DE" w:rsidRPr="009752A1" w:rsidRDefault="009260DE" w:rsidP="009260DE">
      <w:pPr>
        <w:tabs>
          <w:tab w:val="left" w:pos="851"/>
        </w:tabs>
        <w:ind w:left="851" w:hanging="851"/>
        <w:rPr>
          <w:b/>
          <w:sz w:val="24"/>
          <w:szCs w:val="24"/>
        </w:rPr>
      </w:pPr>
      <w:r w:rsidRPr="009752A1">
        <w:rPr>
          <w:b/>
          <w:sz w:val="24"/>
          <w:szCs w:val="24"/>
        </w:rPr>
        <w:t>6.6</w:t>
      </w:r>
      <w:r w:rsidRPr="009752A1">
        <w:rPr>
          <w:b/>
          <w:sz w:val="24"/>
          <w:szCs w:val="24"/>
        </w:rPr>
        <w:tab/>
        <w:t xml:space="preserve">Regler for </w:t>
      </w:r>
      <w:r w:rsidR="00FC2CA5">
        <w:rPr>
          <w:b/>
          <w:sz w:val="24"/>
          <w:szCs w:val="24"/>
        </w:rPr>
        <w:t>bortskaffelse</w:t>
      </w:r>
      <w:r w:rsidRPr="009752A1">
        <w:rPr>
          <w:b/>
          <w:sz w:val="24"/>
          <w:szCs w:val="24"/>
        </w:rPr>
        <w:t xml:space="preserve"> og anden håndtering</w:t>
      </w:r>
    </w:p>
    <w:p w14:paraId="35DA1232" w14:textId="77777777" w:rsidR="00855539" w:rsidRPr="009752A1" w:rsidRDefault="00855539" w:rsidP="00A01165">
      <w:pPr>
        <w:ind w:left="851"/>
        <w:rPr>
          <w:sz w:val="24"/>
          <w:szCs w:val="24"/>
        </w:rPr>
      </w:pPr>
      <w:r w:rsidRPr="009752A1">
        <w:rPr>
          <w:sz w:val="24"/>
          <w:szCs w:val="24"/>
        </w:rPr>
        <w:t>Ikke anvendt lægemiddel samt affald heraf skal bortskaffes i henhold til lokale retningslinjer.</w:t>
      </w:r>
    </w:p>
    <w:p w14:paraId="483D0E65" w14:textId="77777777" w:rsidR="009260DE" w:rsidRPr="009752A1" w:rsidRDefault="009260DE" w:rsidP="009260DE">
      <w:pPr>
        <w:tabs>
          <w:tab w:val="left" w:pos="851"/>
        </w:tabs>
        <w:ind w:left="851"/>
        <w:jc w:val="both"/>
        <w:rPr>
          <w:sz w:val="24"/>
          <w:szCs w:val="24"/>
        </w:rPr>
      </w:pPr>
    </w:p>
    <w:p w14:paraId="695E227D" w14:textId="77777777" w:rsidR="009260DE" w:rsidRPr="009752A1" w:rsidRDefault="009260DE" w:rsidP="009260DE">
      <w:pPr>
        <w:tabs>
          <w:tab w:val="left" w:pos="851"/>
        </w:tabs>
        <w:ind w:left="851" w:hanging="851"/>
        <w:rPr>
          <w:b/>
          <w:sz w:val="24"/>
          <w:szCs w:val="24"/>
        </w:rPr>
      </w:pPr>
      <w:r w:rsidRPr="009752A1">
        <w:rPr>
          <w:b/>
          <w:sz w:val="24"/>
          <w:szCs w:val="24"/>
        </w:rPr>
        <w:t>7.</w:t>
      </w:r>
      <w:r w:rsidRPr="009752A1">
        <w:rPr>
          <w:b/>
          <w:sz w:val="24"/>
          <w:szCs w:val="24"/>
        </w:rPr>
        <w:tab/>
        <w:t>INDEHAVER AF MARKEDSFØRINGSTILLADELSEN</w:t>
      </w:r>
    </w:p>
    <w:p w14:paraId="6FA8CCF0" w14:textId="77777777" w:rsidR="00855539" w:rsidRPr="009752A1" w:rsidRDefault="00855539" w:rsidP="00A01165">
      <w:pPr>
        <w:ind w:left="851"/>
        <w:rPr>
          <w:sz w:val="24"/>
          <w:szCs w:val="24"/>
        </w:rPr>
      </w:pPr>
      <w:proofErr w:type="spellStart"/>
      <w:r w:rsidRPr="009752A1">
        <w:rPr>
          <w:sz w:val="24"/>
          <w:szCs w:val="24"/>
        </w:rPr>
        <w:t>Orifarm</w:t>
      </w:r>
      <w:proofErr w:type="spellEnd"/>
      <w:r w:rsidRPr="009752A1">
        <w:rPr>
          <w:sz w:val="24"/>
          <w:szCs w:val="24"/>
        </w:rPr>
        <w:t xml:space="preserve"> </w:t>
      </w:r>
      <w:proofErr w:type="spellStart"/>
      <w:r w:rsidRPr="009752A1">
        <w:rPr>
          <w:sz w:val="24"/>
          <w:szCs w:val="24"/>
        </w:rPr>
        <w:t>Generics</w:t>
      </w:r>
      <w:proofErr w:type="spellEnd"/>
      <w:r w:rsidRPr="009752A1">
        <w:rPr>
          <w:sz w:val="24"/>
          <w:szCs w:val="24"/>
        </w:rPr>
        <w:t xml:space="preserve"> A/S </w:t>
      </w:r>
    </w:p>
    <w:p w14:paraId="39CB17BD" w14:textId="77777777" w:rsidR="00855539" w:rsidRPr="009752A1" w:rsidRDefault="00855539" w:rsidP="00A01165">
      <w:pPr>
        <w:ind w:left="851"/>
        <w:rPr>
          <w:sz w:val="24"/>
          <w:szCs w:val="24"/>
        </w:rPr>
      </w:pPr>
      <w:r w:rsidRPr="009752A1">
        <w:rPr>
          <w:sz w:val="24"/>
          <w:szCs w:val="24"/>
        </w:rPr>
        <w:t>Energivej 15</w:t>
      </w:r>
    </w:p>
    <w:p w14:paraId="3F5A6D93" w14:textId="77777777" w:rsidR="00855539" w:rsidRPr="009752A1" w:rsidRDefault="00855539" w:rsidP="00A01165">
      <w:pPr>
        <w:ind w:left="851"/>
        <w:rPr>
          <w:sz w:val="24"/>
          <w:szCs w:val="24"/>
        </w:rPr>
      </w:pPr>
      <w:r w:rsidRPr="009752A1">
        <w:rPr>
          <w:sz w:val="24"/>
          <w:szCs w:val="24"/>
        </w:rPr>
        <w:t>5260 Odense S</w:t>
      </w:r>
    </w:p>
    <w:p w14:paraId="406D9C5E" w14:textId="77777777" w:rsidR="009260DE" w:rsidRPr="009752A1" w:rsidRDefault="009260DE" w:rsidP="009260DE">
      <w:pPr>
        <w:tabs>
          <w:tab w:val="left" w:pos="851"/>
        </w:tabs>
        <w:ind w:left="851"/>
        <w:rPr>
          <w:sz w:val="24"/>
          <w:szCs w:val="24"/>
        </w:rPr>
      </w:pPr>
    </w:p>
    <w:p w14:paraId="48149372" w14:textId="048DAAF8" w:rsidR="009260DE" w:rsidRPr="009752A1" w:rsidRDefault="009260DE" w:rsidP="009260DE">
      <w:pPr>
        <w:tabs>
          <w:tab w:val="left" w:pos="851"/>
        </w:tabs>
        <w:ind w:left="851" w:hanging="851"/>
        <w:rPr>
          <w:b/>
          <w:sz w:val="24"/>
          <w:szCs w:val="24"/>
        </w:rPr>
      </w:pPr>
      <w:r w:rsidRPr="009752A1">
        <w:rPr>
          <w:b/>
          <w:sz w:val="24"/>
          <w:szCs w:val="24"/>
        </w:rPr>
        <w:t>8.</w:t>
      </w:r>
      <w:r w:rsidRPr="009752A1">
        <w:rPr>
          <w:b/>
          <w:sz w:val="24"/>
          <w:szCs w:val="24"/>
        </w:rPr>
        <w:tab/>
        <w:t>MARKEDSFØRINGSTILLADELSESNUMMER (</w:t>
      </w:r>
      <w:r w:rsidR="00CB7FE7">
        <w:rPr>
          <w:b/>
          <w:sz w:val="24"/>
          <w:szCs w:val="24"/>
        </w:rPr>
        <w:t>-</w:t>
      </w:r>
      <w:r w:rsidRPr="009752A1">
        <w:rPr>
          <w:b/>
          <w:sz w:val="24"/>
          <w:szCs w:val="24"/>
        </w:rPr>
        <w:t>NUMRE)</w:t>
      </w:r>
    </w:p>
    <w:p w14:paraId="58695953" w14:textId="55F57F14" w:rsidR="009260DE" w:rsidRPr="009752A1" w:rsidRDefault="00855539" w:rsidP="008F71E4">
      <w:pPr>
        <w:tabs>
          <w:tab w:val="left" w:pos="851"/>
          <w:tab w:val="left" w:pos="1985"/>
        </w:tabs>
        <w:ind w:left="851"/>
        <w:rPr>
          <w:sz w:val="24"/>
          <w:szCs w:val="24"/>
        </w:rPr>
      </w:pPr>
      <w:r w:rsidRPr="009752A1">
        <w:rPr>
          <w:sz w:val="24"/>
          <w:szCs w:val="24"/>
        </w:rPr>
        <w:t xml:space="preserve">500 mg: </w:t>
      </w:r>
      <w:r w:rsidR="008F71E4">
        <w:rPr>
          <w:sz w:val="24"/>
          <w:szCs w:val="24"/>
        </w:rPr>
        <w:tab/>
      </w:r>
      <w:r w:rsidRPr="009752A1">
        <w:rPr>
          <w:sz w:val="24"/>
          <w:szCs w:val="24"/>
        </w:rPr>
        <w:t>63064</w:t>
      </w:r>
    </w:p>
    <w:p w14:paraId="2F62B974" w14:textId="461908B1" w:rsidR="00855539" w:rsidRPr="009752A1" w:rsidRDefault="00855539" w:rsidP="008F71E4">
      <w:pPr>
        <w:tabs>
          <w:tab w:val="left" w:pos="851"/>
          <w:tab w:val="left" w:pos="1985"/>
        </w:tabs>
        <w:ind w:left="851"/>
        <w:rPr>
          <w:sz w:val="24"/>
          <w:szCs w:val="24"/>
        </w:rPr>
      </w:pPr>
      <w:r w:rsidRPr="009752A1">
        <w:rPr>
          <w:sz w:val="24"/>
          <w:szCs w:val="24"/>
        </w:rPr>
        <w:t xml:space="preserve">1000 mg: </w:t>
      </w:r>
      <w:r w:rsidR="008F71E4">
        <w:rPr>
          <w:sz w:val="24"/>
          <w:szCs w:val="24"/>
        </w:rPr>
        <w:tab/>
      </w:r>
      <w:r w:rsidRPr="009752A1">
        <w:rPr>
          <w:sz w:val="24"/>
          <w:szCs w:val="24"/>
        </w:rPr>
        <w:t>63065</w:t>
      </w:r>
    </w:p>
    <w:p w14:paraId="5C94A7FB" w14:textId="77777777" w:rsidR="009260DE" w:rsidRPr="009752A1" w:rsidRDefault="009260DE" w:rsidP="009260DE">
      <w:pPr>
        <w:tabs>
          <w:tab w:val="left" w:pos="851"/>
        </w:tabs>
        <w:ind w:left="851"/>
        <w:jc w:val="both"/>
        <w:rPr>
          <w:sz w:val="24"/>
          <w:szCs w:val="24"/>
        </w:rPr>
      </w:pPr>
    </w:p>
    <w:p w14:paraId="4DFD386D" w14:textId="77777777" w:rsidR="009260DE" w:rsidRPr="009752A1" w:rsidRDefault="009260DE" w:rsidP="009260DE">
      <w:pPr>
        <w:tabs>
          <w:tab w:val="left" w:pos="851"/>
        </w:tabs>
        <w:ind w:left="851" w:hanging="851"/>
        <w:rPr>
          <w:b/>
          <w:sz w:val="24"/>
          <w:szCs w:val="24"/>
        </w:rPr>
      </w:pPr>
      <w:r w:rsidRPr="009752A1">
        <w:rPr>
          <w:b/>
          <w:sz w:val="24"/>
          <w:szCs w:val="24"/>
        </w:rPr>
        <w:t>9.</w:t>
      </w:r>
      <w:r w:rsidRPr="009752A1">
        <w:rPr>
          <w:b/>
          <w:sz w:val="24"/>
          <w:szCs w:val="24"/>
        </w:rPr>
        <w:tab/>
        <w:t>DATO FOR FØRSTE MARKEDSFØRINGSTILLADELSE</w:t>
      </w:r>
    </w:p>
    <w:p w14:paraId="066A8B30" w14:textId="6884FA12" w:rsidR="009260DE" w:rsidRPr="009752A1" w:rsidRDefault="000E42ED" w:rsidP="009260DE">
      <w:pPr>
        <w:tabs>
          <w:tab w:val="left" w:pos="851"/>
        </w:tabs>
        <w:ind w:left="851"/>
        <w:rPr>
          <w:sz w:val="24"/>
          <w:szCs w:val="24"/>
        </w:rPr>
      </w:pPr>
      <w:r>
        <w:rPr>
          <w:sz w:val="24"/>
          <w:szCs w:val="24"/>
        </w:rPr>
        <w:t>22. januar 2021</w:t>
      </w:r>
    </w:p>
    <w:p w14:paraId="406A5EE5" w14:textId="77777777" w:rsidR="009260DE" w:rsidRPr="009752A1" w:rsidRDefault="009260DE" w:rsidP="009260DE">
      <w:pPr>
        <w:tabs>
          <w:tab w:val="left" w:pos="851"/>
        </w:tabs>
        <w:ind w:left="851"/>
        <w:rPr>
          <w:sz w:val="24"/>
          <w:szCs w:val="24"/>
        </w:rPr>
      </w:pPr>
    </w:p>
    <w:p w14:paraId="4BC74258" w14:textId="77777777" w:rsidR="009260DE" w:rsidRPr="009752A1" w:rsidRDefault="009260DE" w:rsidP="009260DE">
      <w:pPr>
        <w:tabs>
          <w:tab w:val="left" w:pos="851"/>
        </w:tabs>
        <w:ind w:left="851" w:hanging="851"/>
        <w:rPr>
          <w:b/>
          <w:sz w:val="24"/>
          <w:szCs w:val="24"/>
        </w:rPr>
      </w:pPr>
      <w:r w:rsidRPr="009752A1">
        <w:rPr>
          <w:b/>
          <w:sz w:val="24"/>
          <w:szCs w:val="24"/>
        </w:rPr>
        <w:t>10.</w:t>
      </w:r>
      <w:r w:rsidRPr="009752A1">
        <w:rPr>
          <w:b/>
          <w:sz w:val="24"/>
          <w:szCs w:val="24"/>
        </w:rPr>
        <w:tab/>
        <w:t>DATO FOR ÆNDRING AF TEKSTEN</w:t>
      </w:r>
    </w:p>
    <w:p w14:paraId="36490AED" w14:textId="1B6A391C" w:rsidR="009260DE" w:rsidRPr="009752A1" w:rsidRDefault="004D15E1" w:rsidP="009260DE">
      <w:pPr>
        <w:tabs>
          <w:tab w:val="left" w:pos="851"/>
        </w:tabs>
        <w:ind w:left="851"/>
        <w:rPr>
          <w:sz w:val="24"/>
          <w:szCs w:val="24"/>
        </w:rPr>
      </w:pPr>
      <w:r w:rsidRPr="004D15E1">
        <w:rPr>
          <w:sz w:val="24"/>
          <w:szCs w:val="24"/>
        </w:rPr>
        <w:t>21. marts 2023</w:t>
      </w:r>
    </w:p>
    <w:sectPr w:rsidR="009260DE" w:rsidRPr="009752A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F1439" w14:textId="77777777" w:rsidR="00F119EC" w:rsidRDefault="00F119EC">
      <w:r>
        <w:separator/>
      </w:r>
    </w:p>
  </w:endnote>
  <w:endnote w:type="continuationSeparator" w:id="0">
    <w:p w14:paraId="07A4A7E1" w14:textId="77777777" w:rsidR="00F119EC" w:rsidRDefault="00F1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C85D7" w14:textId="77777777" w:rsidR="00F119EC" w:rsidRDefault="00F119EC">
    <w:pPr>
      <w:pStyle w:val="Sidefod"/>
      <w:pBdr>
        <w:bottom w:val="single" w:sz="6" w:space="1" w:color="auto"/>
      </w:pBdr>
    </w:pPr>
  </w:p>
  <w:p w14:paraId="63B73F80" w14:textId="77777777" w:rsidR="00F119EC" w:rsidRDefault="00F119EC" w:rsidP="00C42586">
    <w:pPr>
      <w:pStyle w:val="Sidefod"/>
      <w:tabs>
        <w:tab w:val="clear" w:pos="4819"/>
        <w:tab w:val="left" w:pos="8505"/>
      </w:tabs>
      <w:rPr>
        <w:i/>
        <w:sz w:val="18"/>
        <w:szCs w:val="18"/>
      </w:rPr>
    </w:pPr>
  </w:p>
  <w:p w14:paraId="080C0CC3" w14:textId="3EC427F9" w:rsidR="00F119EC" w:rsidRPr="00B373D7" w:rsidRDefault="00F119E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F40F8">
      <w:rPr>
        <w:i/>
        <w:noProof/>
        <w:sz w:val="18"/>
        <w:szCs w:val="18"/>
      </w:rPr>
      <w:t>Deferipron Orifarm, filmovertrukne tabletter 500 mg og 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426AF" w14:textId="77777777" w:rsidR="00F119EC" w:rsidRDefault="00F119EC">
      <w:r>
        <w:separator/>
      </w:r>
    </w:p>
  </w:footnote>
  <w:footnote w:type="continuationSeparator" w:id="0">
    <w:p w14:paraId="6EF45A5C" w14:textId="77777777" w:rsidR="00F119EC" w:rsidRDefault="00F11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ED3085"/>
    <w:multiLevelType w:val="hybridMultilevel"/>
    <w:tmpl w:val="4DD8C5C2"/>
    <w:lvl w:ilvl="0" w:tplc="A78C2F5E">
      <w:start w:val="4"/>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9782C1E"/>
    <w:multiLevelType w:val="hybridMultilevel"/>
    <w:tmpl w:val="A654570E"/>
    <w:lvl w:ilvl="0" w:tplc="A78C2F5E">
      <w:start w:val="4"/>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82"/>
    <w:rsid w:val="000259B9"/>
    <w:rsid w:val="00041491"/>
    <w:rsid w:val="00050D16"/>
    <w:rsid w:val="00074F2A"/>
    <w:rsid w:val="000A1CA8"/>
    <w:rsid w:val="000A466B"/>
    <w:rsid w:val="000B058C"/>
    <w:rsid w:val="000E42ED"/>
    <w:rsid w:val="000E4EE6"/>
    <w:rsid w:val="00113ABA"/>
    <w:rsid w:val="001454E2"/>
    <w:rsid w:val="001F40F8"/>
    <w:rsid w:val="00206CE8"/>
    <w:rsid w:val="0021526C"/>
    <w:rsid w:val="00283A2B"/>
    <w:rsid w:val="002B30AD"/>
    <w:rsid w:val="002B7A23"/>
    <w:rsid w:val="002C2C01"/>
    <w:rsid w:val="00312596"/>
    <w:rsid w:val="00317E76"/>
    <w:rsid w:val="003A29AE"/>
    <w:rsid w:val="003A32D7"/>
    <w:rsid w:val="003B4074"/>
    <w:rsid w:val="003C769A"/>
    <w:rsid w:val="003F1838"/>
    <w:rsid w:val="0045746C"/>
    <w:rsid w:val="0049104B"/>
    <w:rsid w:val="004939F6"/>
    <w:rsid w:val="004A11CF"/>
    <w:rsid w:val="004D15E1"/>
    <w:rsid w:val="004E3B12"/>
    <w:rsid w:val="004E79A8"/>
    <w:rsid w:val="005263D9"/>
    <w:rsid w:val="00532310"/>
    <w:rsid w:val="00534F49"/>
    <w:rsid w:val="005451FE"/>
    <w:rsid w:val="00565F0F"/>
    <w:rsid w:val="00594A86"/>
    <w:rsid w:val="00596D86"/>
    <w:rsid w:val="005C1ED7"/>
    <w:rsid w:val="005F4BC8"/>
    <w:rsid w:val="00637F5A"/>
    <w:rsid w:val="006560B1"/>
    <w:rsid w:val="006756DD"/>
    <w:rsid w:val="006868F1"/>
    <w:rsid w:val="006C5ECE"/>
    <w:rsid w:val="006D09BA"/>
    <w:rsid w:val="00737275"/>
    <w:rsid w:val="00740EEC"/>
    <w:rsid w:val="0078011A"/>
    <w:rsid w:val="00782AF4"/>
    <w:rsid w:val="00790EE7"/>
    <w:rsid w:val="007B6649"/>
    <w:rsid w:val="00804C9D"/>
    <w:rsid w:val="0082576E"/>
    <w:rsid w:val="00855539"/>
    <w:rsid w:val="008B6400"/>
    <w:rsid w:val="008F71E4"/>
    <w:rsid w:val="00907F75"/>
    <w:rsid w:val="009260DE"/>
    <w:rsid w:val="0093258A"/>
    <w:rsid w:val="009752A1"/>
    <w:rsid w:val="009968C0"/>
    <w:rsid w:val="009A11CC"/>
    <w:rsid w:val="009C7BA3"/>
    <w:rsid w:val="009D1F5A"/>
    <w:rsid w:val="00A01165"/>
    <w:rsid w:val="00A5361A"/>
    <w:rsid w:val="00AA0506"/>
    <w:rsid w:val="00B003BF"/>
    <w:rsid w:val="00B21282"/>
    <w:rsid w:val="00B373D7"/>
    <w:rsid w:val="00BC4D2A"/>
    <w:rsid w:val="00C36276"/>
    <w:rsid w:val="00C42586"/>
    <w:rsid w:val="00C60CCD"/>
    <w:rsid w:val="00C75F1C"/>
    <w:rsid w:val="00C84483"/>
    <w:rsid w:val="00C95551"/>
    <w:rsid w:val="00CB20D7"/>
    <w:rsid w:val="00CB7FE7"/>
    <w:rsid w:val="00CC3C0C"/>
    <w:rsid w:val="00D020B0"/>
    <w:rsid w:val="00D11748"/>
    <w:rsid w:val="00D366CF"/>
    <w:rsid w:val="00DE7C0D"/>
    <w:rsid w:val="00E108AA"/>
    <w:rsid w:val="00E3749A"/>
    <w:rsid w:val="00E658D8"/>
    <w:rsid w:val="00E7437F"/>
    <w:rsid w:val="00E865B8"/>
    <w:rsid w:val="00E904A2"/>
    <w:rsid w:val="00E93232"/>
    <w:rsid w:val="00EC0B9B"/>
    <w:rsid w:val="00ED5E9F"/>
    <w:rsid w:val="00F119EC"/>
    <w:rsid w:val="00F35A95"/>
    <w:rsid w:val="00F66D4F"/>
    <w:rsid w:val="00FB6D01"/>
    <w:rsid w:val="00FC2C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6A84C"/>
  <w15:chartTrackingRefBased/>
  <w15:docId w15:val="{5821A875-686F-416E-8739-6B16561C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ECE"/>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E932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93232"/>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876">
      <w:bodyDiv w:val="1"/>
      <w:marLeft w:val="0"/>
      <w:marRight w:val="0"/>
      <w:marTop w:val="0"/>
      <w:marBottom w:val="0"/>
      <w:divBdr>
        <w:top w:val="none" w:sz="0" w:space="0" w:color="auto"/>
        <w:left w:val="none" w:sz="0" w:space="0" w:color="auto"/>
        <w:bottom w:val="none" w:sz="0" w:space="0" w:color="auto"/>
        <w:right w:val="none" w:sz="0" w:space="0" w:color="auto"/>
      </w:divBdr>
    </w:div>
    <w:div w:id="82537966">
      <w:bodyDiv w:val="1"/>
      <w:marLeft w:val="0"/>
      <w:marRight w:val="0"/>
      <w:marTop w:val="0"/>
      <w:marBottom w:val="0"/>
      <w:divBdr>
        <w:top w:val="none" w:sz="0" w:space="0" w:color="auto"/>
        <w:left w:val="none" w:sz="0" w:space="0" w:color="auto"/>
        <w:bottom w:val="none" w:sz="0" w:space="0" w:color="auto"/>
        <w:right w:val="none" w:sz="0" w:space="0" w:color="auto"/>
      </w:divBdr>
    </w:div>
    <w:div w:id="109205141">
      <w:bodyDiv w:val="1"/>
      <w:marLeft w:val="0"/>
      <w:marRight w:val="0"/>
      <w:marTop w:val="0"/>
      <w:marBottom w:val="0"/>
      <w:divBdr>
        <w:top w:val="none" w:sz="0" w:space="0" w:color="auto"/>
        <w:left w:val="none" w:sz="0" w:space="0" w:color="auto"/>
        <w:bottom w:val="none" w:sz="0" w:space="0" w:color="auto"/>
        <w:right w:val="none" w:sz="0" w:space="0" w:color="auto"/>
      </w:divBdr>
    </w:div>
    <w:div w:id="1339879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1661880">
      <w:bodyDiv w:val="1"/>
      <w:marLeft w:val="0"/>
      <w:marRight w:val="0"/>
      <w:marTop w:val="0"/>
      <w:marBottom w:val="0"/>
      <w:divBdr>
        <w:top w:val="none" w:sz="0" w:space="0" w:color="auto"/>
        <w:left w:val="none" w:sz="0" w:space="0" w:color="auto"/>
        <w:bottom w:val="none" w:sz="0" w:space="0" w:color="auto"/>
        <w:right w:val="none" w:sz="0" w:space="0" w:color="auto"/>
      </w:divBdr>
    </w:div>
    <w:div w:id="429009778">
      <w:bodyDiv w:val="1"/>
      <w:marLeft w:val="0"/>
      <w:marRight w:val="0"/>
      <w:marTop w:val="0"/>
      <w:marBottom w:val="0"/>
      <w:divBdr>
        <w:top w:val="none" w:sz="0" w:space="0" w:color="auto"/>
        <w:left w:val="none" w:sz="0" w:space="0" w:color="auto"/>
        <w:bottom w:val="none" w:sz="0" w:space="0" w:color="auto"/>
        <w:right w:val="none" w:sz="0" w:space="0" w:color="auto"/>
      </w:divBdr>
    </w:div>
    <w:div w:id="514613886">
      <w:bodyDiv w:val="1"/>
      <w:marLeft w:val="0"/>
      <w:marRight w:val="0"/>
      <w:marTop w:val="0"/>
      <w:marBottom w:val="0"/>
      <w:divBdr>
        <w:top w:val="none" w:sz="0" w:space="0" w:color="auto"/>
        <w:left w:val="none" w:sz="0" w:space="0" w:color="auto"/>
        <w:bottom w:val="none" w:sz="0" w:space="0" w:color="auto"/>
        <w:right w:val="none" w:sz="0" w:space="0" w:color="auto"/>
      </w:divBdr>
    </w:div>
    <w:div w:id="518395973">
      <w:bodyDiv w:val="1"/>
      <w:marLeft w:val="0"/>
      <w:marRight w:val="0"/>
      <w:marTop w:val="0"/>
      <w:marBottom w:val="0"/>
      <w:divBdr>
        <w:top w:val="none" w:sz="0" w:space="0" w:color="auto"/>
        <w:left w:val="none" w:sz="0" w:space="0" w:color="auto"/>
        <w:bottom w:val="none" w:sz="0" w:space="0" w:color="auto"/>
        <w:right w:val="none" w:sz="0" w:space="0" w:color="auto"/>
      </w:divBdr>
    </w:div>
    <w:div w:id="550768503">
      <w:bodyDiv w:val="1"/>
      <w:marLeft w:val="0"/>
      <w:marRight w:val="0"/>
      <w:marTop w:val="0"/>
      <w:marBottom w:val="0"/>
      <w:divBdr>
        <w:top w:val="none" w:sz="0" w:space="0" w:color="auto"/>
        <w:left w:val="none" w:sz="0" w:space="0" w:color="auto"/>
        <w:bottom w:val="none" w:sz="0" w:space="0" w:color="auto"/>
        <w:right w:val="none" w:sz="0" w:space="0" w:color="auto"/>
      </w:divBdr>
    </w:div>
    <w:div w:id="550925112">
      <w:bodyDiv w:val="1"/>
      <w:marLeft w:val="0"/>
      <w:marRight w:val="0"/>
      <w:marTop w:val="0"/>
      <w:marBottom w:val="0"/>
      <w:divBdr>
        <w:top w:val="none" w:sz="0" w:space="0" w:color="auto"/>
        <w:left w:val="none" w:sz="0" w:space="0" w:color="auto"/>
        <w:bottom w:val="none" w:sz="0" w:space="0" w:color="auto"/>
        <w:right w:val="none" w:sz="0" w:space="0" w:color="auto"/>
      </w:divBdr>
    </w:div>
    <w:div w:id="610863376">
      <w:bodyDiv w:val="1"/>
      <w:marLeft w:val="0"/>
      <w:marRight w:val="0"/>
      <w:marTop w:val="0"/>
      <w:marBottom w:val="0"/>
      <w:divBdr>
        <w:top w:val="none" w:sz="0" w:space="0" w:color="auto"/>
        <w:left w:val="none" w:sz="0" w:space="0" w:color="auto"/>
        <w:bottom w:val="none" w:sz="0" w:space="0" w:color="auto"/>
        <w:right w:val="none" w:sz="0" w:space="0" w:color="auto"/>
      </w:divBdr>
    </w:div>
    <w:div w:id="659426005">
      <w:bodyDiv w:val="1"/>
      <w:marLeft w:val="0"/>
      <w:marRight w:val="0"/>
      <w:marTop w:val="0"/>
      <w:marBottom w:val="0"/>
      <w:divBdr>
        <w:top w:val="none" w:sz="0" w:space="0" w:color="auto"/>
        <w:left w:val="none" w:sz="0" w:space="0" w:color="auto"/>
        <w:bottom w:val="none" w:sz="0" w:space="0" w:color="auto"/>
        <w:right w:val="none" w:sz="0" w:space="0" w:color="auto"/>
      </w:divBdr>
    </w:div>
    <w:div w:id="695233896">
      <w:bodyDiv w:val="1"/>
      <w:marLeft w:val="0"/>
      <w:marRight w:val="0"/>
      <w:marTop w:val="0"/>
      <w:marBottom w:val="0"/>
      <w:divBdr>
        <w:top w:val="none" w:sz="0" w:space="0" w:color="auto"/>
        <w:left w:val="none" w:sz="0" w:space="0" w:color="auto"/>
        <w:bottom w:val="none" w:sz="0" w:space="0" w:color="auto"/>
        <w:right w:val="none" w:sz="0" w:space="0" w:color="auto"/>
      </w:divBdr>
    </w:div>
    <w:div w:id="752894012">
      <w:bodyDiv w:val="1"/>
      <w:marLeft w:val="0"/>
      <w:marRight w:val="0"/>
      <w:marTop w:val="0"/>
      <w:marBottom w:val="0"/>
      <w:divBdr>
        <w:top w:val="none" w:sz="0" w:space="0" w:color="auto"/>
        <w:left w:val="none" w:sz="0" w:space="0" w:color="auto"/>
        <w:bottom w:val="none" w:sz="0" w:space="0" w:color="auto"/>
        <w:right w:val="none" w:sz="0" w:space="0" w:color="auto"/>
      </w:divBdr>
    </w:div>
    <w:div w:id="850804039">
      <w:bodyDiv w:val="1"/>
      <w:marLeft w:val="0"/>
      <w:marRight w:val="0"/>
      <w:marTop w:val="0"/>
      <w:marBottom w:val="0"/>
      <w:divBdr>
        <w:top w:val="none" w:sz="0" w:space="0" w:color="auto"/>
        <w:left w:val="none" w:sz="0" w:space="0" w:color="auto"/>
        <w:bottom w:val="none" w:sz="0" w:space="0" w:color="auto"/>
        <w:right w:val="none" w:sz="0" w:space="0" w:color="auto"/>
      </w:divBdr>
    </w:div>
    <w:div w:id="861092846">
      <w:bodyDiv w:val="1"/>
      <w:marLeft w:val="0"/>
      <w:marRight w:val="0"/>
      <w:marTop w:val="0"/>
      <w:marBottom w:val="0"/>
      <w:divBdr>
        <w:top w:val="none" w:sz="0" w:space="0" w:color="auto"/>
        <w:left w:val="none" w:sz="0" w:space="0" w:color="auto"/>
        <w:bottom w:val="none" w:sz="0" w:space="0" w:color="auto"/>
        <w:right w:val="none" w:sz="0" w:space="0" w:color="auto"/>
      </w:divBdr>
    </w:div>
    <w:div w:id="900555394">
      <w:bodyDiv w:val="1"/>
      <w:marLeft w:val="0"/>
      <w:marRight w:val="0"/>
      <w:marTop w:val="0"/>
      <w:marBottom w:val="0"/>
      <w:divBdr>
        <w:top w:val="none" w:sz="0" w:space="0" w:color="auto"/>
        <w:left w:val="none" w:sz="0" w:space="0" w:color="auto"/>
        <w:bottom w:val="none" w:sz="0" w:space="0" w:color="auto"/>
        <w:right w:val="none" w:sz="0" w:space="0" w:color="auto"/>
      </w:divBdr>
    </w:div>
    <w:div w:id="922296436">
      <w:bodyDiv w:val="1"/>
      <w:marLeft w:val="0"/>
      <w:marRight w:val="0"/>
      <w:marTop w:val="0"/>
      <w:marBottom w:val="0"/>
      <w:divBdr>
        <w:top w:val="none" w:sz="0" w:space="0" w:color="auto"/>
        <w:left w:val="none" w:sz="0" w:space="0" w:color="auto"/>
        <w:bottom w:val="none" w:sz="0" w:space="0" w:color="auto"/>
        <w:right w:val="none" w:sz="0" w:space="0" w:color="auto"/>
      </w:divBdr>
    </w:div>
    <w:div w:id="1154301982">
      <w:bodyDiv w:val="1"/>
      <w:marLeft w:val="0"/>
      <w:marRight w:val="0"/>
      <w:marTop w:val="0"/>
      <w:marBottom w:val="0"/>
      <w:divBdr>
        <w:top w:val="none" w:sz="0" w:space="0" w:color="auto"/>
        <w:left w:val="none" w:sz="0" w:space="0" w:color="auto"/>
        <w:bottom w:val="none" w:sz="0" w:space="0" w:color="auto"/>
        <w:right w:val="none" w:sz="0" w:space="0" w:color="auto"/>
      </w:divBdr>
    </w:div>
    <w:div w:id="1214776698">
      <w:bodyDiv w:val="1"/>
      <w:marLeft w:val="0"/>
      <w:marRight w:val="0"/>
      <w:marTop w:val="0"/>
      <w:marBottom w:val="0"/>
      <w:divBdr>
        <w:top w:val="none" w:sz="0" w:space="0" w:color="auto"/>
        <w:left w:val="none" w:sz="0" w:space="0" w:color="auto"/>
        <w:bottom w:val="none" w:sz="0" w:space="0" w:color="auto"/>
        <w:right w:val="none" w:sz="0" w:space="0" w:color="auto"/>
      </w:divBdr>
    </w:div>
    <w:div w:id="1246262924">
      <w:bodyDiv w:val="1"/>
      <w:marLeft w:val="0"/>
      <w:marRight w:val="0"/>
      <w:marTop w:val="0"/>
      <w:marBottom w:val="0"/>
      <w:divBdr>
        <w:top w:val="none" w:sz="0" w:space="0" w:color="auto"/>
        <w:left w:val="none" w:sz="0" w:space="0" w:color="auto"/>
        <w:bottom w:val="none" w:sz="0" w:space="0" w:color="auto"/>
        <w:right w:val="none" w:sz="0" w:space="0" w:color="auto"/>
      </w:divBdr>
    </w:div>
    <w:div w:id="1287466216">
      <w:bodyDiv w:val="1"/>
      <w:marLeft w:val="0"/>
      <w:marRight w:val="0"/>
      <w:marTop w:val="0"/>
      <w:marBottom w:val="0"/>
      <w:divBdr>
        <w:top w:val="none" w:sz="0" w:space="0" w:color="auto"/>
        <w:left w:val="none" w:sz="0" w:space="0" w:color="auto"/>
        <w:bottom w:val="none" w:sz="0" w:space="0" w:color="auto"/>
        <w:right w:val="none" w:sz="0" w:space="0" w:color="auto"/>
      </w:divBdr>
    </w:div>
    <w:div w:id="1338650669">
      <w:bodyDiv w:val="1"/>
      <w:marLeft w:val="0"/>
      <w:marRight w:val="0"/>
      <w:marTop w:val="0"/>
      <w:marBottom w:val="0"/>
      <w:divBdr>
        <w:top w:val="none" w:sz="0" w:space="0" w:color="auto"/>
        <w:left w:val="none" w:sz="0" w:space="0" w:color="auto"/>
        <w:bottom w:val="none" w:sz="0" w:space="0" w:color="auto"/>
        <w:right w:val="none" w:sz="0" w:space="0" w:color="auto"/>
      </w:divBdr>
    </w:div>
    <w:div w:id="1382169751">
      <w:bodyDiv w:val="1"/>
      <w:marLeft w:val="0"/>
      <w:marRight w:val="0"/>
      <w:marTop w:val="0"/>
      <w:marBottom w:val="0"/>
      <w:divBdr>
        <w:top w:val="none" w:sz="0" w:space="0" w:color="auto"/>
        <w:left w:val="none" w:sz="0" w:space="0" w:color="auto"/>
        <w:bottom w:val="none" w:sz="0" w:space="0" w:color="auto"/>
        <w:right w:val="none" w:sz="0" w:space="0" w:color="auto"/>
      </w:divBdr>
    </w:div>
    <w:div w:id="1457528868">
      <w:bodyDiv w:val="1"/>
      <w:marLeft w:val="0"/>
      <w:marRight w:val="0"/>
      <w:marTop w:val="0"/>
      <w:marBottom w:val="0"/>
      <w:divBdr>
        <w:top w:val="none" w:sz="0" w:space="0" w:color="auto"/>
        <w:left w:val="none" w:sz="0" w:space="0" w:color="auto"/>
        <w:bottom w:val="none" w:sz="0" w:space="0" w:color="auto"/>
        <w:right w:val="none" w:sz="0" w:space="0" w:color="auto"/>
      </w:divBdr>
    </w:div>
    <w:div w:id="1500850795">
      <w:bodyDiv w:val="1"/>
      <w:marLeft w:val="0"/>
      <w:marRight w:val="0"/>
      <w:marTop w:val="0"/>
      <w:marBottom w:val="0"/>
      <w:divBdr>
        <w:top w:val="none" w:sz="0" w:space="0" w:color="auto"/>
        <w:left w:val="none" w:sz="0" w:space="0" w:color="auto"/>
        <w:bottom w:val="none" w:sz="0" w:space="0" w:color="auto"/>
        <w:right w:val="none" w:sz="0" w:space="0" w:color="auto"/>
      </w:divBdr>
    </w:div>
    <w:div w:id="1519812195">
      <w:bodyDiv w:val="1"/>
      <w:marLeft w:val="0"/>
      <w:marRight w:val="0"/>
      <w:marTop w:val="0"/>
      <w:marBottom w:val="0"/>
      <w:divBdr>
        <w:top w:val="none" w:sz="0" w:space="0" w:color="auto"/>
        <w:left w:val="none" w:sz="0" w:space="0" w:color="auto"/>
        <w:bottom w:val="none" w:sz="0" w:space="0" w:color="auto"/>
        <w:right w:val="none" w:sz="0" w:space="0" w:color="auto"/>
      </w:divBdr>
    </w:div>
    <w:div w:id="1574244478">
      <w:bodyDiv w:val="1"/>
      <w:marLeft w:val="0"/>
      <w:marRight w:val="0"/>
      <w:marTop w:val="0"/>
      <w:marBottom w:val="0"/>
      <w:divBdr>
        <w:top w:val="none" w:sz="0" w:space="0" w:color="auto"/>
        <w:left w:val="none" w:sz="0" w:space="0" w:color="auto"/>
        <w:bottom w:val="none" w:sz="0" w:space="0" w:color="auto"/>
        <w:right w:val="none" w:sz="0" w:space="0" w:color="auto"/>
      </w:divBdr>
    </w:div>
    <w:div w:id="1594702597">
      <w:bodyDiv w:val="1"/>
      <w:marLeft w:val="0"/>
      <w:marRight w:val="0"/>
      <w:marTop w:val="0"/>
      <w:marBottom w:val="0"/>
      <w:divBdr>
        <w:top w:val="none" w:sz="0" w:space="0" w:color="auto"/>
        <w:left w:val="none" w:sz="0" w:space="0" w:color="auto"/>
        <w:bottom w:val="none" w:sz="0" w:space="0" w:color="auto"/>
        <w:right w:val="none" w:sz="0" w:space="0" w:color="auto"/>
      </w:divBdr>
    </w:div>
    <w:div w:id="1721442892">
      <w:bodyDiv w:val="1"/>
      <w:marLeft w:val="0"/>
      <w:marRight w:val="0"/>
      <w:marTop w:val="0"/>
      <w:marBottom w:val="0"/>
      <w:divBdr>
        <w:top w:val="none" w:sz="0" w:space="0" w:color="auto"/>
        <w:left w:val="none" w:sz="0" w:space="0" w:color="auto"/>
        <w:bottom w:val="none" w:sz="0" w:space="0" w:color="auto"/>
        <w:right w:val="none" w:sz="0" w:space="0" w:color="auto"/>
      </w:divBdr>
    </w:div>
    <w:div w:id="1757703798">
      <w:bodyDiv w:val="1"/>
      <w:marLeft w:val="0"/>
      <w:marRight w:val="0"/>
      <w:marTop w:val="0"/>
      <w:marBottom w:val="0"/>
      <w:divBdr>
        <w:top w:val="none" w:sz="0" w:space="0" w:color="auto"/>
        <w:left w:val="none" w:sz="0" w:space="0" w:color="auto"/>
        <w:bottom w:val="none" w:sz="0" w:space="0" w:color="auto"/>
        <w:right w:val="none" w:sz="0" w:space="0" w:color="auto"/>
      </w:divBdr>
    </w:div>
    <w:div w:id="1758944522">
      <w:bodyDiv w:val="1"/>
      <w:marLeft w:val="0"/>
      <w:marRight w:val="0"/>
      <w:marTop w:val="0"/>
      <w:marBottom w:val="0"/>
      <w:divBdr>
        <w:top w:val="none" w:sz="0" w:space="0" w:color="auto"/>
        <w:left w:val="none" w:sz="0" w:space="0" w:color="auto"/>
        <w:bottom w:val="none" w:sz="0" w:space="0" w:color="auto"/>
        <w:right w:val="none" w:sz="0" w:space="0" w:color="auto"/>
      </w:divBdr>
    </w:div>
    <w:div w:id="1775129172">
      <w:bodyDiv w:val="1"/>
      <w:marLeft w:val="0"/>
      <w:marRight w:val="0"/>
      <w:marTop w:val="0"/>
      <w:marBottom w:val="0"/>
      <w:divBdr>
        <w:top w:val="none" w:sz="0" w:space="0" w:color="auto"/>
        <w:left w:val="none" w:sz="0" w:space="0" w:color="auto"/>
        <w:bottom w:val="none" w:sz="0" w:space="0" w:color="auto"/>
        <w:right w:val="none" w:sz="0" w:space="0" w:color="auto"/>
      </w:divBdr>
    </w:div>
    <w:div w:id="1776712283">
      <w:bodyDiv w:val="1"/>
      <w:marLeft w:val="0"/>
      <w:marRight w:val="0"/>
      <w:marTop w:val="0"/>
      <w:marBottom w:val="0"/>
      <w:divBdr>
        <w:top w:val="none" w:sz="0" w:space="0" w:color="auto"/>
        <w:left w:val="none" w:sz="0" w:space="0" w:color="auto"/>
        <w:bottom w:val="none" w:sz="0" w:space="0" w:color="auto"/>
        <w:right w:val="none" w:sz="0" w:space="0" w:color="auto"/>
      </w:divBdr>
    </w:div>
    <w:div w:id="1803110302">
      <w:bodyDiv w:val="1"/>
      <w:marLeft w:val="0"/>
      <w:marRight w:val="0"/>
      <w:marTop w:val="0"/>
      <w:marBottom w:val="0"/>
      <w:divBdr>
        <w:top w:val="none" w:sz="0" w:space="0" w:color="auto"/>
        <w:left w:val="none" w:sz="0" w:space="0" w:color="auto"/>
        <w:bottom w:val="none" w:sz="0" w:space="0" w:color="auto"/>
        <w:right w:val="none" w:sz="0" w:space="0" w:color="auto"/>
      </w:divBdr>
    </w:div>
    <w:div w:id="1852794590">
      <w:bodyDiv w:val="1"/>
      <w:marLeft w:val="0"/>
      <w:marRight w:val="0"/>
      <w:marTop w:val="0"/>
      <w:marBottom w:val="0"/>
      <w:divBdr>
        <w:top w:val="none" w:sz="0" w:space="0" w:color="auto"/>
        <w:left w:val="none" w:sz="0" w:space="0" w:color="auto"/>
        <w:bottom w:val="none" w:sz="0" w:space="0" w:color="auto"/>
        <w:right w:val="none" w:sz="0" w:space="0" w:color="auto"/>
      </w:divBdr>
    </w:div>
    <w:div w:id="1853837353">
      <w:bodyDiv w:val="1"/>
      <w:marLeft w:val="0"/>
      <w:marRight w:val="0"/>
      <w:marTop w:val="0"/>
      <w:marBottom w:val="0"/>
      <w:divBdr>
        <w:top w:val="none" w:sz="0" w:space="0" w:color="auto"/>
        <w:left w:val="none" w:sz="0" w:space="0" w:color="auto"/>
        <w:bottom w:val="none" w:sz="0" w:space="0" w:color="auto"/>
        <w:right w:val="none" w:sz="0" w:space="0" w:color="auto"/>
      </w:divBdr>
    </w:div>
    <w:div w:id="1911620588">
      <w:bodyDiv w:val="1"/>
      <w:marLeft w:val="0"/>
      <w:marRight w:val="0"/>
      <w:marTop w:val="0"/>
      <w:marBottom w:val="0"/>
      <w:divBdr>
        <w:top w:val="none" w:sz="0" w:space="0" w:color="auto"/>
        <w:left w:val="none" w:sz="0" w:space="0" w:color="auto"/>
        <w:bottom w:val="none" w:sz="0" w:space="0" w:color="auto"/>
        <w:right w:val="none" w:sz="0" w:space="0" w:color="auto"/>
      </w:divBdr>
    </w:div>
    <w:div w:id="20974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14</Pages>
  <Words>4702</Words>
  <Characters>28688</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2022041076 + 2023012325_x000d_
SPC pkt. 4.2, 4.4-4.8, 5.0, 5.1, 5.3 samt overskrifter iht. QRD.</dc:description>
  <cp:lastModifiedBy>Betty Winther Andersen</cp:lastModifiedBy>
  <cp:revision>8</cp:revision>
  <cp:lastPrinted>2012-08-22T08:53:00Z</cp:lastPrinted>
  <dcterms:created xsi:type="dcterms:W3CDTF">2023-03-17T10:26:00Z</dcterms:created>
  <dcterms:modified xsi:type="dcterms:W3CDTF">2023-03-17T11:52:00Z</dcterms:modified>
</cp:coreProperties>
</file>