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43487" w14:textId="4619BC97" w:rsidR="009260DE" w:rsidRPr="009E7659" w:rsidRDefault="0021526C" w:rsidP="00BA4DBF">
      <w:pPr>
        <w:rPr>
          <w:b/>
          <w:sz w:val="24"/>
          <w:szCs w:val="24"/>
        </w:rPr>
      </w:pPr>
      <w:bookmarkStart w:id="0" w:name="_GoBack"/>
      <w:bookmarkEnd w:id="0"/>
      <w:r w:rsidRPr="009E7659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2AF051F7" wp14:editId="6085422D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9E7659">
        <w:rPr>
          <w:sz w:val="24"/>
          <w:szCs w:val="24"/>
        </w:rPr>
        <w:br w:type="textWrapping" w:clear="all"/>
      </w:r>
    </w:p>
    <w:p w14:paraId="684014C1" w14:textId="117E9FDA" w:rsidR="009260DE" w:rsidRPr="009E7659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9E7659">
        <w:rPr>
          <w:b w:val="0"/>
          <w:szCs w:val="24"/>
          <w:lang w:eastAsia="en-US"/>
        </w:rPr>
        <w:tab/>
      </w:r>
      <w:r w:rsidR="0034422C">
        <w:rPr>
          <w:szCs w:val="24"/>
        </w:rPr>
        <w:t>13. november 2025</w:t>
      </w:r>
    </w:p>
    <w:p w14:paraId="7D6917A9" w14:textId="77777777" w:rsidR="009260DE" w:rsidRPr="009E7659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43BDAFA5" w14:textId="77777777" w:rsidR="009260DE" w:rsidRPr="009E7659" w:rsidRDefault="009260DE" w:rsidP="009260DE">
      <w:pPr>
        <w:pStyle w:val="Titel"/>
        <w:jc w:val="left"/>
        <w:rPr>
          <w:b w:val="0"/>
          <w:szCs w:val="24"/>
        </w:rPr>
      </w:pPr>
    </w:p>
    <w:p w14:paraId="5F083384" w14:textId="77777777" w:rsidR="009260DE" w:rsidRPr="009E7659" w:rsidRDefault="009260DE" w:rsidP="009260DE">
      <w:pPr>
        <w:pStyle w:val="Titel"/>
        <w:jc w:val="left"/>
        <w:rPr>
          <w:b w:val="0"/>
          <w:szCs w:val="24"/>
        </w:rPr>
      </w:pPr>
    </w:p>
    <w:p w14:paraId="58AD4257" w14:textId="77777777" w:rsidR="009260DE" w:rsidRPr="009E7659" w:rsidRDefault="009260DE" w:rsidP="009260DE">
      <w:pPr>
        <w:jc w:val="center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PRODUKTRESUMÉ</w:t>
      </w:r>
    </w:p>
    <w:p w14:paraId="09D6F952" w14:textId="77777777" w:rsidR="009260DE" w:rsidRPr="009E7659" w:rsidRDefault="009260DE" w:rsidP="009260DE">
      <w:pPr>
        <w:jc w:val="center"/>
        <w:rPr>
          <w:b/>
          <w:sz w:val="24"/>
          <w:szCs w:val="24"/>
        </w:rPr>
      </w:pPr>
    </w:p>
    <w:p w14:paraId="17277FFB" w14:textId="77777777" w:rsidR="009260DE" w:rsidRPr="009E7659" w:rsidRDefault="009260DE" w:rsidP="009260DE">
      <w:pPr>
        <w:jc w:val="center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for</w:t>
      </w:r>
    </w:p>
    <w:p w14:paraId="616574B5" w14:textId="77777777" w:rsidR="000B058C" w:rsidRPr="009E7659" w:rsidRDefault="000B058C" w:rsidP="009260DE">
      <w:pPr>
        <w:jc w:val="center"/>
        <w:rPr>
          <w:b/>
          <w:sz w:val="24"/>
          <w:szCs w:val="24"/>
        </w:rPr>
      </w:pPr>
    </w:p>
    <w:p w14:paraId="0C3B2A42" w14:textId="262B55D7" w:rsidR="009260DE" w:rsidRPr="009E7659" w:rsidRDefault="008B03C8" w:rsidP="009260DE">
      <w:pPr>
        <w:jc w:val="center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Defevix, bløde kapsler</w:t>
      </w:r>
    </w:p>
    <w:p w14:paraId="54D0EC09" w14:textId="77777777" w:rsidR="009260DE" w:rsidRPr="009E7659" w:rsidRDefault="009260DE" w:rsidP="009260DE">
      <w:pPr>
        <w:jc w:val="both"/>
        <w:rPr>
          <w:sz w:val="24"/>
          <w:szCs w:val="24"/>
        </w:rPr>
      </w:pPr>
    </w:p>
    <w:p w14:paraId="6DFBE8BD" w14:textId="77777777" w:rsidR="009260DE" w:rsidRPr="009E7659" w:rsidRDefault="009260DE" w:rsidP="009260DE">
      <w:pPr>
        <w:jc w:val="both"/>
        <w:rPr>
          <w:sz w:val="24"/>
          <w:szCs w:val="24"/>
        </w:rPr>
      </w:pPr>
    </w:p>
    <w:p w14:paraId="741C81D5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0.</w:t>
      </w:r>
      <w:r w:rsidRPr="009E7659">
        <w:rPr>
          <w:b/>
          <w:sz w:val="24"/>
          <w:szCs w:val="24"/>
        </w:rPr>
        <w:tab/>
        <w:t>D.SP.NR.</w:t>
      </w:r>
    </w:p>
    <w:p w14:paraId="04ADCD3B" w14:textId="5CAB153E" w:rsidR="009260DE" w:rsidRPr="009E7659" w:rsidRDefault="008B03C8" w:rsidP="009260DE">
      <w:pPr>
        <w:tabs>
          <w:tab w:val="left" w:pos="851"/>
        </w:tabs>
        <w:ind w:left="851"/>
        <w:rPr>
          <w:sz w:val="24"/>
          <w:szCs w:val="24"/>
        </w:rPr>
      </w:pPr>
      <w:r w:rsidRPr="009E7659">
        <w:rPr>
          <w:sz w:val="24"/>
          <w:szCs w:val="24"/>
        </w:rPr>
        <w:t>34493</w:t>
      </w:r>
    </w:p>
    <w:p w14:paraId="1AA705DC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4988FF5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1.</w:t>
      </w:r>
      <w:r w:rsidRPr="009E7659">
        <w:rPr>
          <w:b/>
          <w:sz w:val="24"/>
          <w:szCs w:val="24"/>
        </w:rPr>
        <w:tab/>
        <w:t>LÆGEMIDLETS NAVN</w:t>
      </w:r>
    </w:p>
    <w:p w14:paraId="3BD764F9" w14:textId="03350FAC" w:rsidR="009260DE" w:rsidRPr="009E7659" w:rsidRDefault="008B03C8" w:rsidP="009260DE">
      <w:pPr>
        <w:tabs>
          <w:tab w:val="left" w:pos="851"/>
        </w:tabs>
        <w:ind w:left="851"/>
        <w:rPr>
          <w:sz w:val="24"/>
          <w:szCs w:val="24"/>
        </w:rPr>
      </w:pPr>
      <w:r w:rsidRPr="009E7659">
        <w:rPr>
          <w:sz w:val="24"/>
          <w:szCs w:val="24"/>
        </w:rPr>
        <w:t>Defevix</w:t>
      </w:r>
    </w:p>
    <w:p w14:paraId="51497C6C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371E85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2.</w:t>
      </w:r>
      <w:r w:rsidRPr="009E7659">
        <w:rPr>
          <w:b/>
          <w:sz w:val="24"/>
          <w:szCs w:val="24"/>
        </w:rPr>
        <w:tab/>
        <w:t>KVALITATIV OG KVANTITATIV SAMMENSÆTNING</w:t>
      </w:r>
    </w:p>
    <w:p w14:paraId="155B93C7" w14:textId="77777777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Hver blød kapsel indeholder 75 mikrogram </w:t>
      </w:r>
      <w:bookmarkStart w:id="1" w:name="_Hlk213917793"/>
      <w:proofErr w:type="spellStart"/>
      <w:r w:rsidRPr="009E7659">
        <w:rPr>
          <w:sz w:val="24"/>
          <w:szCs w:val="24"/>
        </w:rPr>
        <w:t>calcifediolmonohydrat</w:t>
      </w:r>
      <w:bookmarkEnd w:id="1"/>
      <w:proofErr w:type="spellEnd"/>
      <w:r w:rsidRPr="009E7659">
        <w:rPr>
          <w:sz w:val="24"/>
          <w:szCs w:val="24"/>
        </w:rPr>
        <w:t xml:space="preserve"> (</w:t>
      </w:r>
      <w:bookmarkStart w:id="2" w:name="_Hlk156826599"/>
      <w:r w:rsidRPr="009E7659">
        <w:rPr>
          <w:sz w:val="24"/>
          <w:szCs w:val="24"/>
        </w:rPr>
        <w:t xml:space="preserve">svarende til 72 mikrogram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>).</w:t>
      </w:r>
    </w:p>
    <w:bookmarkEnd w:id="2"/>
    <w:p w14:paraId="7540FCF3" w14:textId="77777777" w:rsidR="00BA4DBF" w:rsidRPr="009E7659" w:rsidRDefault="00BA4DBF" w:rsidP="00BA4DBF">
      <w:pPr>
        <w:ind w:left="851"/>
        <w:rPr>
          <w:sz w:val="24"/>
          <w:szCs w:val="24"/>
        </w:rPr>
      </w:pPr>
    </w:p>
    <w:p w14:paraId="5934F74D" w14:textId="77777777" w:rsidR="00BA4DBF" w:rsidRPr="009E7659" w:rsidRDefault="00BA4DBF" w:rsidP="00BA4DBF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Hjælpestoffer, som behandleren skal være opmærksom på:</w:t>
      </w:r>
    </w:p>
    <w:p w14:paraId="60003D15" w14:textId="77777777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Hver blød kapsel indeholder 1 mg </w:t>
      </w:r>
      <w:proofErr w:type="spellStart"/>
      <w:r w:rsidRPr="009E7659">
        <w:rPr>
          <w:sz w:val="24"/>
          <w:szCs w:val="24"/>
        </w:rPr>
        <w:t>ethanol</w:t>
      </w:r>
      <w:proofErr w:type="spellEnd"/>
      <w:r w:rsidRPr="009E7659">
        <w:rPr>
          <w:sz w:val="24"/>
          <w:szCs w:val="24"/>
        </w:rPr>
        <w:t xml:space="preserve">, 10 mg sorbitol som flydende sorbitol (ikke-krystalliserende) (E 420) og 0,2 mg </w:t>
      </w:r>
      <w:proofErr w:type="spellStart"/>
      <w:r w:rsidRPr="009E7659">
        <w:rPr>
          <w:sz w:val="24"/>
          <w:szCs w:val="24"/>
        </w:rPr>
        <w:t>Allura</w:t>
      </w:r>
      <w:proofErr w:type="spellEnd"/>
      <w:r w:rsidRPr="009E7659">
        <w:rPr>
          <w:sz w:val="24"/>
          <w:szCs w:val="24"/>
        </w:rPr>
        <w:t xml:space="preserve"> rød (E 129).</w:t>
      </w:r>
    </w:p>
    <w:p w14:paraId="04342EFE" w14:textId="77777777" w:rsidR="00BA4DBF" w:rsidRPr="009E7659" w:rsidRDefault="00BA4DBF" w:rsidP="00BA4DBF">
      <w:pPr>
        <w:ind w:left="851"/>
        <w:rPr>
          <w:sz w:val="24"/>
          <w:szCs w:val="24"/>
        </w:rPr>
      </w:pPr>
    </w:p>
    <w:p w14:paraId="60FB6A03" w14:textId="77777777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Alle hjælpestoffer er anført under pkt. 6.1.</w:t>
      </w:r>
    </w:p>
    <w:p w14:paraId="2D783E04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EFF684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3.</w:t>
      </w:r>
      <w:r w:rsidRPr="009E7659">
        <w:rPr>
          <w:b/>
          <w:sz w:val="24"/>
          <w:szCs w:val="24"/>
        </w:rPr>
        <w:tab/>
        <w:t>LÆGEMIDDELFORM</w:t>
      </w:r>
    </w:p>
    <w:p w14:paraId="286B75A2" w14:textId="194CF89E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Bløde kapsler</w:t>
      </w:r>
    </w:p>
    <w:p w14:paraId="3D8C873E" w14:textId="77777777" w:rsidR="00BA4DBF" w:rsidRPr="009E7659" w:rsidRDefault="00BA4DBF" w:rsidP="00BA4DBF">
      <w:pPr>
        <w:ind w:left="851"/>
        <w:rPr>
          <w:sz w:val="24"/>
          <w:szCs w:val="24"/>
        </w:rPr>
      </w:pPr>
    </w:p>
    <w:p w14:paraId="532D22A0" w14:textId="1898DF1D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Lyserød oval blød gelatinekapsel </w:t>
      </w:r>
      <w:bookmarkStart w:id="3" w:name="_Hlk156826864"/>
      <w:r w:rsidRPr="009E7659">
        <w:rPr>
          <w:sz w:val="24"/>
          <w:szCs w:val="24"/>
        </w:rPr>
        <w:t>med en samling på langs. Størrelse</w:t>
      </w:r>
      <w:bookmarkEnd w:id="3"/>
      <w:r w:rsidRPr="009E7659">
        <w:rPr>
          <w:sz w:val="24"/>
          <w:szCs w:val="24"/>
        </w:rPr>
        <w:t xml:space="preserve">: 11 mm </w:t>
      </w:r>
      <w:r w:rsidR="009E7659">
        <w:rPr>
          <w:sz w:val="24"/>
          <w:szCs w:val="24"/>
        </w:rPr>
        <w:t>×</w:t>
      </w:r>
      <w:r w:rsidRPr="009E7659">
        <w:rPr>
          <w:sz w:val="24"/>
          <w:szCs w:val="24"/>
        </w:rPr>
        <w:t xml:space="preserve"> 6 mm. </w:t>
      </w:r>
    </w:p>
    <w:p w14:paraId="7B1359E1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06BFA6F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734B2B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</w:t>
      </w:r>
      <w:r w:rsidRPr="009E7659">
        <w:rPr>
          <w:b/>
          <w:sz w:val="24"/>
          <w:szCs w:val="24"/>
        </w:rPr>
        <w:tab/>
        <w:t>KLINISKE OPLYSNINGER</w:t>
      </w:r>
    </w:p>
    <w:p w14:paraId="1717781B" w14:textId="77777777" w:rsidR="009260DE" w:rsidRPr="009E7659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7A676238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9E7659">
        <w:rPr>
          <w:b/>
          <w:sz w:val="24"/>
          <w:szCs w:val="24"/>
        </w:rPr>
        <w:t>4.1</w:t>
      </w:r>
      <w:r w:rsidRPr="009E7659">
        <w:rPr>
          <w:b/>
          <w:sz w:val="24"/>
          <w:szCs w:val="24"/>
        </w:rPr>
        <w:tab/>
        <w:t>Terapeutiske indikationer</w:t>
      </w:r>
    </w:p>
    <w:p w14:paraId="4DD9918C" w14:textId="77777777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Behandling af vitamin D-mangel (dvs. 25(OH)D-niveauer &lt; 25 nmol/l) hos voksne.</w:t>
      </w:r>
    </w:p>
    <w:p w14:paraId="2EB189F1" w14:textId="77777777" w:rsidR="00BA4DBF" w:rsidRPr="009E7659" w:rsidRDefault="00BA4DBF" w:rsidP="00BA4DBF">
      <w:pPr>
        <w:ind w:left="851"/>
        <w:rPr>
          <w:sz w:val="24"/>
          <w:szCs w:val="24"/>
          <w:lang w:eastAsia="es-ES"/>
        </w:rPr>
      </w:pPr>
    </w:p>
    <w:p w14:paraId="6C05B379" w14:textId="77777777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Forebyggelse af vitamin D-mangel hos voksne med identificerede risici (se pkt. 5.1).</w:t>
      </w:r>
    </w:p>
    <w:p w14:paraId="31C30964" w14:textId="77777777" w:rsidR="00BA4DBF" w:rsidRPr="009E7659" w:rsidRDefault="00BA4DBF" w:rsidP="00BA4DBF">
      <w:pPr>
        <w:ind w:left="851"/>
        <w:rPr>
          <w:sz w:val="24"/>
          <w:szCs w:val="24"/>
          <w:lang w:eastAsia="es-ES"/>
        </w:rPr>
      </w:pPr>
    </w:p>
    <w:p w14:paraId="224C127A" w14:textId="77777777" w:rsidR="00BA4DBF" w:rsidRPr="009E7659" w:rsidRDefault="00BA4DBF" w:rsidP="00BA4DBF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Som </w:t>
      </w:r>
      <w:proofErr w:type="spellStart"/>
      <w:r w:rsidRPr="009E7659">
        <w:rPr>
          <w:sz w:val="24"/>
          <w:szCs w:val="24"/>
        </w:rPr>
        <w:t>adjuvans</w:t>
      </w:r>
      <w:proofErr w:type="spellEnd"/>
      <w:r w:rsidRPr="009E7659">
        <w:rPr>
          <w:sz w:val="24"/>
          <w:szCs w:val="24"/>
        </w:rPr>
        <w:t xml:space="preserve"> til specifik behandling af osteoporose hos voksne patienter med vitamin D-mangel eller med risiko for vitamin D-mangel.</w:t>
      </w:r>
    </w:p>
    <w:p w14:paraId="2D085E3B" w14:textId="2A1AF8FB" w:rsidR="00156565" w:rsidRDefault="001565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CE6CA1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513B5B5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4.2</w:t>
      </w:r>
      <w:r w:rsidRPr="009E7659">
        <w:rPr>
          <w:b/>
          <w:sz w:val="24"/>
          <w:szCs w:val="24"/>
        </w:rPr>
        <w:tab/>
        <w:t xml:space="preserve">Dosering og </w:t>
      </w:r>
      <w:r w:rsidR="002C1EC0" w:rsidRPr="009E7659">
        <w:rPr>
          <w:b/>
          <w:sz w:val="24"/>
          <w:szCs w:val="24"/>
        </w:rPr>
        <w:t>administration</w:t>
      </w:r>
    </w:p>
    <w:p w14:paraId="0A3443C7" w14:textId="77777777" w:rsidR="009E7659" w:rsidRDefault="009E7659" w:rsidP="00BA4DBF">
      <w:pPr>
        <w:ind w:left="851"/>
        <w:rPr>
          <w:sz w:val="24"/>
          <w:szCs w:val="24"/>
          <w:u w:val="single"/>
        </w:rPr>
      </w:pPr>
      <w:bookmarkStart w:id="4" w:name="_Hlk164168062"/>
    </w:p>
    <w:p w14:paraId="43D424B4" w14:textId="3BB42D22" w:rsidR="00BA4DBF" w:rsidRPr="009E7659" w:rsidRDefault="00BA4DBF" w:rsidP="00BA4DBF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Dosering</w:t>
      </w:r>
      <w:bookmarkEnd w:id="4"/>
      <w:r w:rsidRPr="009E7659">
        <w:rPr>
          <w:sz w:val="24"/>
          <w:szCs w:val="24"/>
          <w:u w:val="single"/>
        </w:rPr>
        <w:t xml:space="preserve"> </w:t>
      </w:r>
    </w:p>
    <w:p w14:paraId="3C90EE20" w14:textId="77777777" w:rsidR="00BA4DBF" w:rsidRPr="009E7659" w:rsidRDefault="00BA4DBF" w:rsidP="00BA4DBF">
      <w:pPr>
        <w:ind w:left="851"/>
        <w:rPr>
          <w:sz w:val="24"/>
          <w:szCs w:val="24"/>
          <w:shd w:val="clear" w:color="auto" w:fill="FFFFFF"/>
        </w:rPr>
      </w:pPr>
      <w:r w:rsidRPr="009E7659">
        <w:rPr>
          <w:sz w:val="24"/>
          <w:szCs w:val="24"/>
        </w:rPr>
        <w:t xml:space="preserve">Dosis, hyppighed og varighed af behandlingen bliver fastsat af den behandlende læge, som tager højde for plasmaniveauerne af 25(OH)D, patienttype og -tilstand og andre co-morbiditeter som f.eks. </w:t>
      </w:r>
      <w:proofErr w:type="spellStart"/>
      <w:r w:rsidRPr="009E7659">
        <w:rPr>
          <w:sz w:val="24"/>
          <w:szCs w:val="24"/>
        </w:rPr>
        <w:t>adipositas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malabsorptionssyndrom</w:t>
      </w:r>
      <w:proofErr w:type="spellEnd"/>
      <w:r w:rsidRPr="009E7659">
        <w:rPr>
          <w:sz w:val="24"/>
          <w:szCs w:val="24"/>
        </w:rPr>
        <w:t xml:space="preserve"> og behandling med </w:t>
      </w:r>
      <w:proofErr w:type="spellStart"/>
      <w:r w:rsidRPr="009E7659">
        <w:rPr>
          <w:sz w:val="24"/>
          <w:szCs w:val="24"/>
        </w:rPr>
        <w:t>kortikosteroider</w:t>
      </w:r>
      <w:proofErr w:type="spellEnd"/>
      <w:r w:rsidRPr="009E7659">
        <w:rPr>
          <w:sz w:val="24"/>
          <w:szCs w:val="24"/>
          <w:shd w:val="clear" w:color="auto" w:fill="FFFFFF"/>
        </w:rPr>
        <w:t>.</w:t>
      </w:r>
      <w:r w:rsidRPr="009E7659">
        <w:rPr>
          <w:sz w:val="24"/>
          <w:szCs w:val="24"/>
        </w:rPr>
        <w:t xml:space="preserve"> </w:t>
      </w:r>
    </w:p>
    <w:p w14:paraId="1F0C0836" w14:textId="77777777" w:rsidR="00BA4DBF" w:rsidRPr="009E7659" w:rsidRDefault="00BA4DBF" w:rsidP="00BA4DBF">
      <w:pPr>
        <w:ind w:left="851"/>
        <w:rPr>
          <w:bCs/>
          <w:sz w:val="24"/>
          <w:szCs w:val="24"/>
        </w:rPr>
      </w:pPr>
    </w:p>
    <w:p w14:paraId="2BA3B724" w14:textId="77777777" w:rsidR="00BA4DBF" w:rsidRPr="009E7659" w:rsidRDefault="00BA4DBF" w:rsidP="004E5CBC">
      <w:pPr>
        <w:numPr>
          <w:ilvl w:val="0"/>
          <w:numId w:val="6"/>
        </w:numPr>
        <w:ind w:left="1276" w:hanging="425"/>
        <w:rPr>
          <w:bCs/>
          <w:sz w:val="24"/>
          <w:szCs w:val="24"/>
        </w:rPr>
      </w:pPr>
      <w:r w:rsidRPr="009E7659">
        <w:rPr>
          <w:sz w:val="24"/>
          <w:szCs w:val="24"/>
        </w:rPr>
        <w:t xml:space="preserve">Behandling af vitamin D-mangel og forebyggelse af vitamin D-mangel hos patienter med identificerede risici: en kapsel (75 mikrogram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>) én gang ugentligt.</w:t>
      </w:r>
    </w:p>
    <w:p w14:paraId="42B5AA68" w14:textId="77777777" w:rsidR="00BA4DBF" w:rsidRPr="009E7659" w:rsidRDefault="00BA4DBF" w:rsidP="004E5CBC">
      <w:pPr>
        <w:pStyle w:val="pf0"/>
        <w:spacing w:before="0" w:beforeAutospacing="0" w:after="0" w:afterAutospacing="0"/>
        <w:ind w:left="1276" w:hanging="425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4E5738D0" w14:textId="77777777" w:rsidR="00BA4DBF" w:rsidRPr="009E7659" w:rsidRDefault="00BA4DBF" w:rsidP="004E5CBC">
      <w:pPr>
        <w:numPr>
          <w:ilvl w:val="0"/>
          <w:numId w:val="6"/>
        </w:numPr>
        <w:ind w:left="1276" w:hanging="425"/>
        <w:rPr>
          <w:bCs/>
          <w:sz w:val="24"/>
          <w:szCs w:val="24"/>
        </w:rPr>
      </w:pPr>
      <w:r w:rsidRPr="009E7659">
        <w:rPr>
          <w:sz w:val="24"/>
          <w:szCs w:val="24"/>
        </w:rPr>
        <w:t xml:space="preserve">Som </w:t>
      </w:r>
      <w:proofErr w:type="spellStart"/>
      <w:r w:rsidRPr="009E7659">
        <w:rPr>
          <w:sz w:val="24"/>
          <w:szCs w:val="24"/>
        </w:rPr>
        <w:t>adjuvans</w:t>
      </w:r>
      <w:proofErr w:type="spellEnd"/>
      <w:r w:rsidRPr="009E7659">
        <w:rPr>
          <w:sz w:val="24"/>
          <w:szCs w:val="24"/>
        </w:rPr>
        <w:t xml:space="preserve"> til specifik behandling af osteoporose: en kapsel (75 mikrogram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>) én gang ugentligt.</w:t>
      </w:r>
    </w:p>
    <w:p w14:paraId="032B6606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32F59B38" w14:textId="77777777" w:rsidR="00BA4DBF" w:rsidRPr="009E7659" w:rsidRDefault="00BA4DBF" w:rsidP="004E5CBC">
      <w:pPr>
        <w:ind w:left="851"/>
        <w:rPr>
          <w:bCs/>
          <w:sz w:val="24"/>
          <w:szCs w:val="24"/>
        </w:rPr>
      </w:pPr>
      <w:r w:rsidRPr="009E7659">
        <w:rPr>
          <w:sz w:val="24"/>
          <w:szCs w:val="24"/>
        </w:rPr>
        <w:t xml:space="preserve">Defevix bør ikke administreres dagligt. </w:t>
      </w:r>
    </w:p>
    <w:p w14:paraId="13507F2D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122BA4F0" w14:textId="77777777" w:rsidR="00BA4DBF" w:rsidRPr="009E7659" w:rsidRDefault="00BA4DBF" w:rsidP="004E5CBC">
      <w:pPr>
        <w:ind w:left="851"/>
        <w:rPr>
          <w:bCs/>
          <w:sz w:val="24"/>
          <w:szCs w:val="24"/>
        </w:rPr>
      </w:pPr>
      <w:r w:rsidRPr="009E7659">
        <w:rPr>
          <w:sz w:val="24"/>
          <w:szCs w:val="24"/>
        </w:rPr>
        <w:t>Serumkoncentrationerne af 25(OH)D bør monitoreres efter initiering af behandlingen, sædvanligvis efter 3-4 måneder, og behandlingen bør evalueres igen efter resultaterne.</w:t>
      </w:r>
    </w:p>
    <w:p w14:paraId="2F633885" w14:textId="77777777" w:rsidR="00BA4DBF" w:rsidRPr="009E7659" w:rsidRDefault="00BA4DBF" w:rsidP="004E5CBC">
      <w:pPr>
        <w:ind w:left="851"/>
        <w:rPr>
          <w:sz w:val="24"/>
          <w:szCs w:val="24"/>
        </w:rPr>
      </w:pPr>
    </w:p>
    <w:p w14:paraId="0C7C1C0A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Patientens kostvaner bør evalueres grundigt og kunstigt tilsat D-vitamin i visse fødevarer bør tages i betragtning. </w:t>
      </w:r>
      <w:bookmarkStart w:id="5" w:name="_Hlk169025159"/>
      <w:r w:rsidRPr="009E7659">
        <w:rPr>
          <w:sz w:val="24"/>
          <w:szCs w:val="24"/>
        </w:rPr>
        <w:t xml:space="preserve">I relevante tilfælde kan nationale doseringsanbefalinger ved behandling af vitamin D-mangel og forebyggelse heraf tages i betragtning. </w:t>
      </w:r>
      <w:bookmarkEnd w:id="5"/>
    </w:p>
    <w:p w14:paraId="104C5752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5BBE944B" w14:textId="77777777" w:rsidR="00BA4DBF" w:rsidRPr="009E7659" w:rsidRDefault="00BA4DBF" w:rsidP="004E5CBC">
      <w:pPr>
        <w:ind w:left="851"/>
        <w:rPr>
          <w:i/>
          <w:sz w:val="24"/>
          <w:szCs w:val="24"/>
        </w:rPr>
      </w:pPr>
      <w:r w:rsidRPr="009E7659">
        <w:rPr>
          <w:i/>
          <w:sz w:val="24"/>
          <w:szCs w:val="24"/>
        </w:rPr>
        <w:t>Nedsat nyrefunktion</w:t>
      </w:r>
    </w:p>
    <w:p w14:paraId="394BE13B" w14:textId="77777777" w:rsidR="00BA4DBF" w:rsidRPr="009E7659" w:rsidRDefault="00BA4DBF" w:rsidP="004E5CBC">
      <w:pPr>
        <w:ind w:left="851"/>
        <w:rPr>
          <w:bCs/>
          <w:sz w:val="24"/>
          <w:szCs w:val="24"/>
        </w:rPr>
      </w:pPr>
      <w:r w:rsidRPr="009E7659">
        <w:rPr>
          <w:sz w:val="24"/>
          <w:szCs w:val="24"/>
        </w:rPr>
        <w:t xml:space="preserve">Ved anvendelse af Defevix hos patienter med kronisk nyresygdom bør der samtidig ske periodisk monitorering af serumcalcium og -fosfor samt forebyggelse af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(se pkt. 4.4).</w:t>
      </w:r>
    </w:p>
    <w:p w14:paraId="2F0C6210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091ABA2F" w14:textId="77777777" w:rsidR="00BA4DBF" w:rsidRPr="009E7659" w:rsidRDefault="00BA4DBF" w:rsidP="004E5CBC">
      <w:pPr>
        <w:ind w:left="851"/>
        <w:rPr>
          <w:i/>
          <w:sz w:val="24"/>
          <w:szCs w:val="24"/>
        </w:rPr>
      </w:pPr>
      <w:bookmarkStart w:id="6" w:name="_Hlk156826941"/>
      <w:r w:rsidRPr="009E7659">
        <w:rPr>
          <w:i/>
          <w:sz w:val="24"/>
          <w:szCs w:val="24"/>
        </w:rPr>
        <w:t>Nedsat leverfunktion</w:t>
      </w:r>
    </w:p>
    <w:p w14:paraId="616563A8" w14:textId="77777777" w:rsidR="00BA4DBF" w:rsidRPr="009E7659" w:rsidRDefault="00BA4DBF" w:rsidP="004E5CBC">
      <w:pPr>
        <w:ind w:left="851"/>
        <w:rPr>
          <w:bCs/>
          <w:sz w:val="24"/>
          <w:szCs w:val="24"/>
        </w:rPr>
      </w:pPr>
      <w:r w:rsidRPr="009E7659">
        <w:rPr>
          <w:sz w:val="24"/>
          <w:szCs w:val="24"/>
        </w:rPr>
        <w:t>Dosisjustering er ikke nødvendig hos patienter med nedsat leverfunktion.</w:t>
      </w:r>
    </w:p>
    <w:bookmarkEnd w:id="6"/>
    <w:p w14:paraId="09AD01EC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4D2F5EB3" w14:textId="77777777" w:rsidR="00BA4DBF" w:rsidRPr="009E7659" w:rsidRDefault="00BA4DBF" w:rsidP="004E5CBC">
      <w:pPr>
        <w:ind w:left="851"/>
        <w:rPr>
          <w:i/>
          <w:sz w:val="24"/>
          <w:szCs w:val="24"/>
        </w:rPr>
      </w:pPr>
      <w:r w:rsidRPr="009E7659">
        <w:rPr>
          <w:i/>
          <w:sz w:val="24"/>
          <w:szCs w:val="24"/>
        </w:rPr>
        <w:t>Ældre</w:t>
      </w:r>
    </w:p>
    <w:p w14:paraId="2D50DA10" w14:textId="77777777" w:rsidR="00BA4DBF" w:rsidRPr="009E7659" w:rsidRDefault="00BA4DBF" w:rsidP="004E5CBC">
      <w:pPr>
        <w:ind w:left="851"/>
        <w:rPr>
          <w:bCs/>
          <w:sz w:val="24"/>
          <w:szCs w:val="24"/>
        </w:rPr>
      </w:pPr>
      <w:bookmarkStart w:id="7" w:name="_Hlk156826954"/>
      <w:r w:rsidRPr="009E7659">
        <w:rPr>
          <w:sz w:val="24"/>
          <w:szCs w:val="24"/>
        </w:rPr>
        <w:t>Dosisjustering er ikke nødvendig hos ældre patienter</w:t>
      </w:r>
      <w:bookmarkEnd w:id="7"/>
      <w:r w:rsidRPr="009E7659">
        <w:rPr>
          <w:sz w:val="24"/>
          <w:szCs w:val="24"/>
        </w:rPr>
        <w:t>.</w:t>
      </w:r>
    </w:p>
    <w:p w14:paraId="11CA53E8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1A01B8AF" w14:textId="77777777" w:rsidR="00BA4DBF" w:rsidRPr="009E7659" w:rsidRDefault="00BA4DBF" w:rsidP="004E5CBC">
      <w:pPr>
        <w:ind w:left="851"/>
        <w:rPr>
          <w:i/>
          <w:sz w:val="24"/>
          <w:szCs w:val="24"/>
        </w:rPr>
      </w:pPr>
      <w:r w:rsidRPr="009E7659">
        <w:rPr>
          <w:i/>
          <w:sz w:val="24"/>
          <w:szCs w:val="24"/>
        </w:rPr>
        <w:t>Pædiatrisk population</w:t>
      </w:r>
    </w:p>
    <w:p w14:paraId="4F16DD67" w14:textId="77777777" w:rsidR="00BA4DBF" w:rsidRPr="009E7659" w:rsidRDefault="00BA4DBF" w:rsidP="004E5CBC">
      <w:pPr>
        <w:ind w:left="851"/>
        <w:rPr>
          <w:sz w:val="24"/>
          <w:szCs w:val="24"/>
        </w:rPr>
      </w:pPr>
      <w:bookmarkStart w:id="8" w:name="_Hlk156826963"/>
      <w:r w:rsidRPr="009E7659">
        <w:rPr>
          <w:sz w:val="24"/>
          <w:szCs w:val="24"/>
        </w:rPr>
        <w:t>Defevix’ sikkerhed og virkning hos børn er endnu ikke klarlagt. Der foreligger ingen data.</w:t>
      </w:r>
    </w:p>
    <w:bookmarkEnd w:id="8"/>
    <w:p w14:paraId="3B388B5D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03474B8D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 xml:space="preserve">Administration </w:t>
      </w:r>
    </w:p>
    <w:p w14:paraId="612A0EC0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Oral administration.</w:t>
      </w:r>
    </w:p>
    <w:p w14:paraId="2584D43D" w14:textId="77777777" w:rsidR="00BA4DBF" w:rsidRPr="009E7659" w:rsidRDefault="00BA4DBF" w:rsidP="004E5CBC">
      <w:pPr>
        <w:ind w:left="851"/>
        <w:rPr>
          <w:sz w:val="24"/>
          <w:szCs w:val="24"/>
        </w:rPr>
      </w:pPr>
      <w:bookmarkStart w:id="9" w:name="_Hlk155621623"/>
      <w:proofErr w:type="spellStart"/>
      <w:r w:rsidRPr="009E7659">
        <w:rPr>
          <w:rStyle w:val="ui-provider"/>
          <w:sz w:val="24"/>
          <w:szCs w:val="24"/>
        </w:rPr>
        <w:t>Calcifediol</w:t>
      </w:r>
      <w:proofErr w:type="spellEnd"/>
      <w:r w:rsidRPr="009E7659">
        <w:rPr>
          <w:rStyle w:val="ui-provider"/>
          <w:sz w:val="24"/>
          <w:szCs w:val="24"/>
        </w:rPr>
        <w:t xml:space="preserve"> bløde gelatinekapsler kan administreres med eller uden mad, synkes hele og kan tages med vand, mælk eller juice.</w:t>
      </w:r>
    </w:p>
    <w:bookmarkEnd w:id="9"/>
    <w:p w14:paraId="2857F1D2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E4C521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4.3</w:t>
      </w:r>
      <w:r w:rsidRPr="009E7659">
        <w:rPr>
          <w:b/>
          <w:sz w:val="24"/>
          <w:szCs w:val="24"/>
        </w:rPr>
        <w:tab/>
        <w:t>Kontraindikationer</w:t>
      </w:r>
    </w:p>
    <w:p w14:paraId="5FCA1F80" w14:textId="77777777" w:rsidR="00BA4DBF" w:rsidRPr="009E7659" w:rsidRDefault="00BA4DBF" w:rsidP="004E5CBC">
      <w:pPr>
        <w:pStyle w:val="Listeafsnit"/>
        <w:numPr>
          <w:ilvl w:val="0"/>
          <w:numId w:val="7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Overfølsomhed over for det aktive stof eller over for et eller flere af hjælpestofferne anført i pkt. 6.1. </w:t>
      </w:r>
    </w:p>
    <w:p w14:paraId="68275574" w14:textId="77777777" w:rsidR="00BA4DBF" w:rsidRPr="009E7659" w:rsidRDefault="00BA4DBF" w:rsidP="004E5CBC">
      <w:pPr>
        <w:pStyle w:val="Listeafsnit"/>
        <w:numPr>
          <w:ilvl w:val="0"/>
          <w:numId w:val="7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(serumcalcium &gt; 2,6 mmol/l) eller </w:t>
      </w:r>
      <w:proofErr w:type="spellStart"/>
      <w:r w:rsidRPr="009E7659">
        <w:rPr>
          <w:sz w:val="24"/>
          <w:szCs w:val="24"/>
        </w:rPr>
        <w:t>hypercalciuri</w:t>
      </w:r>
      <w:proofErr w:type="spellEnd"/>
      <w:r w:rsidRPr="009E7659">
        <w:rPr>
          <w:sz w:val="24"/>
          <w:szCs w:val="24"/>
        </w:rPr>
        <w:t xml:space="preserve"> </w:t>
      </w:r>
    </w:p>
    <w:p w14:paraId="480628D1" w14:textId="77777777" w:rsidR="00BA4DBF" w:rsidRPr="009E7659" w:rsidRDefault="00BA4DBF" w:rsidP="004E5CBC">
      <w:pPr>
        <w:pStyle w:val="Listeafsnit"/>
        <w:numPr>
          <w:ilvl w:val="0"/>
          <w:numId w:val="7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>Nyresten</w:t>
      </w:r>
    </w:p>
    <w:p w14:paraId="2F58C66C" w14:textId="77777777" w:rsidR="00BA4DBF" w:rsidRPr="009E7659" w:rsidRDefault="00BA4DBF" w:rsidP="004E5CBC">
      <w:pPr>
        <w:pStyle w:val="Listeafsnit"/>
        <w:numPr>
          <w:ilvl w:val="0"/>
          <w:numId w:val="7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Hypervitaminose</w:t>
      </w:r>
      <w:proofErr w:type="spellEnd"/>
      <w:r w:rsidRPr="009E7659">
        <w:rPr>
          <w:sz w:val="24"/>
          <w:szCs w:val="24"/>
        </w:rPr>
        <w:t xml:space="preserve"> D</w:t>
      </w:r>
    </w:p>
    <w:p w14:paraId="777092B9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4B9A909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lastRenderedPageBreak/>
        <w:t>4.4</w:t>
      </w:r>
      <w:r w:rsidRPr="009E7659">
        <w:rPr>
          <w:b/>
          <w:sz w:val="24"/>
          <w:szCs w:val="24"/>
        </w:rPr>
        <w:tab/>
        <w:t>Særlige advarsler og forsigtighedsregler vedrørende brugen</w:t>
      </w:r>
    </w:p>
    <w:p w14:paraId="5DBAD02B" w14:textId="77777777" w:rsidR="009E7659" w:rsidRDefault="009E7659" w:rsidP="004E5CBC">
      <w:pPr>
        <w:ind w:left="851"/>
        <w:rPr>
          <w:sz w:val="24"/>
          <w:szCs w:val="24"/>
        </w:rPr>
      </w:pPr>
    </w:p>
    <w:p w14:paraId="6BCF6556" w14:textId="1218D54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proofErr w:type="spellStart"/>
      <w:r w:rsidRPr="009E7659">
        <w:rPr>
          <w:sz w:val="24"/>
          <w:szCs w:val="24"/>
          <w:u w:val="single"/>
        </w:rPr>
        <w:t>Hypercalcæmi</w:t>
      </w:r>
      <w:proofErr w:type="spellEnd"/>
      <w:r w:rsidRPr="009E7659">
        <w:rPr>
          <w:sz w:val="24"/>
          <w:szCs w:val="24"/>
          <w:u w:val="single"/>
        </w:rPr>
        <w:t xml:space="preserve"> og </w:t>
      </w:r>
      <w:proofErr w:type="spellStart"/>
      <w:r w:rsidRPr="009E7659">
        <w:rPr>
          <w:sz w:val="24"/>
          <w:szCs w:val="24"/>
          <w:u w:val="single"/>
        </w:rPr>
        <w:t>hyperfosfatæmi</w:t>
      </w:r>
      <w:proofErr w:type="spellEnd"/>
    </w:p>
    <w:p w14:paraId="0E6F8D1B" w14:textId="752A4636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For at kunne opnå et klinisk adækvat respons på oral administration af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er et passende indtag af calcium i kosten også nødvendigt. For at kunne kontrollere de terapeutiske virkninger skal følgende parametre derfor monitoreres ud over 25(OH)D: serumcalcium, fosfor og basisk fosfatase samt calcium og fosfor i </w:t>
      </w:r>
      <w:proofErr w:type="spellStart"/>
      <w:r w:rsidRPr="009E7659">
        <w:rPr>
          <w:sz w:val="24"/>
          <w:szCs w:val="24"/>
        </w:rPr>
        <w:t>døgnurin</w:t>
      </w:r>
      <w:proofErr w:type="spellEnd"/>
      <w:r w:rsidRPr="009E7659">
        <w:rPr>
          <w:sz w:val="24"/>
          <w:szCs w:val="24"/>
        </w:rPr>
        <w:t xml:space="preserve">. Et fald i serumniveauerne af basisk fosfatase går normalt forud for indtræden af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>. Når parametrene er stabiliseret, og patienten er på vedligeholdelses</w:t>
      </w:r>
      <w:r w:rsidR="00156565">
        <w:rPr>
          <w:sz w:val="24"/>
          <w:szCs w:val="24"/>
        </w:rPr>
        <w:softHyphen/>
      </w:r>
      <w:r w:rsidRPr="009E7659">
        <w:rPr>
          <w:sz w:val="24"/>
          <w:szCs w:val="24"/>
        </w:rPr>
        <w:t xml:space="preserve">behandling, bør ovennævnte bestemmelser udføres jævnligt, især for serumniveauerne af 25(OH)D og calcium. </w:t>
      </w:r>
    </w:p>
    <w:p w14:paraId="6884F7D5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50249AF7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 xml:space="preserve">Nedsat nyrefunktion: </w:t>
      </w:r>
    </w:p>
    <w:p w14:paraId="2759E7D9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Skal administreres med forsigtighed. Ved anvendelse af dette lægemiddel hos patienter med kronisk nyresygdom bør der samtidig ske periodisk monitorering af serumcalcium og -fosfor samt forebyggelse af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. Omdannelsen til </w:t>
      </w:r>
      <w:proofErr w:type="spellStart"/>
      <w:r w:rsidRPr="009E7659">
        <w:rPr>
          <w:sz w:val="24"/>
          <w:szCs w:val="24"/>
        </w:rPr>
        <w:t>calcitriol</w:t>
      </w:r>
      <w:proofErr w:type="spellEnd"/>
      <w:r w:rsidRPr="009E7659">
        <w:rPr>
          <w:sz w:val="24"/>
          <w:szCs w:val="24"/>
        </w:rPr>
        <w:t xml:space="preserve"> finder sted i nyrerne; i tilfælde af svært nedsat nyrefunktion (</w:t>
      </w:r>
      <w:proofErr w:type="spellStart"/>
      <w:r w:rsidRPr="009E7659">
        <w:rPr>
          <w:sz w:val="24"/>
          <w:szCs w:val="24"/>
        </w:rPr>
        <w:t>kreatininclearance</w:t>
      </w:r>
      <w:proofErr w:type="spellEnd"/>
      <w:r w:rsidRPr="009E7659">
        <w:rPr>
          <w:sz w:val="24"/>
          <w:szCs w:val="24"/>
        </w:rPr>
        <w:t xml:space="preserve"> på under 30 ml/min.) kan der derfor forekomme en meget signifikant reduktion af de farmakologiske virkninger.</w:t>
      </w:r>
    </w:p>
    <w:p w14:paraId="3F203BCF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52A35515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 xml:space="preserve">Hjertesvigt: </w:t>
      </w:r>
    </w:p>
    <w:p w14:paraId="5F03DB25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Særlig forsigtighed er nødvendig. Patientens serumcalcium bør monitoreres konstant, især hos patienter på digitalis, da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og </w:t>
      </w:r>
      <w:proofErr w:type="spellStart"/>
      <w:r w:rsidRPr="009E7659">
        <w:rPr>
          <w:sz w:val="24"/>
          <w:szCs w:val="24"/>
        </w:rPr>
        <w:t>arytmier</w:t>
      </w:r>
      <w:proofErr w:type="spellEnd"/>
      <w:r w:rsidRPr="009E7659">
        <w:rPr>
          <w:sz w:val="24"/>
          <w:szCs w:val="24"/>
        </w:rPr>
        <w:t xml:space="preserve"> kan forekomme. Bestemmelse to gange om ugen anbefales ved starten af behandlingen.</w:t>
      </w:r>
    </w:p>
    <w:p w14:paraId="31FB1673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089904DC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proofErr w:type="spellStart"/>
      <w:r w:rsidRPr="009E7659">
        <w:rPr>
          <w:sz w:val="24"/>
          <w:szCs w:val="24"/>
          <w:u w:val="single"/>
        </w:rPr>
        <w:t>Hypoparathyroidisme</w:t>
      </w:r>
      <w:proofErr w:type="spellEnd"/>
      <w:r w:rsidRPr="009E7659">
        <w:rPr>
          <w:sz w:val="24"/>
          <w:szCs w:val="24"/>
          <w:u w:val="single"/>
        </w:rPr>
        <w:t xml:space="preserve">: </w:t>
      </w:r>
    </w:p>
    <w:p w14:paraId="715C1F8B" w14:textId="17AE22FE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1-alpha-hydroxylase aktiveres af </w:t>
      </w:r>
      <w:proofErr w:type="spellStart"/>
      <w:r w:rsidRPr="009E7659">
        <w:rPr>
          <w:sz w:val="24"/>
          <w:szCs w:val="24"/>
        </w:rPr>
        <w:t>parathyroideahormon</w:t>
      </w:r>
      <w:proofErr w:type="spellEnd"/>
      <w:r w:rsidRPr="009E7659">
        <w:rPr>
          <w:sz w:val="24"/>
          <w:szCs w:val="24"/>
        </w:rPr>
        <w:t xml:space="preserve">. I tilfælde af </w:t>
      </w:r>
      <w:proofErr w:type="spellStart"/>
      <w:r w:rsidRPr="009E7659">
        <w:rPr>
          <w:sz w:val="24"/>
          <w:szCs w:val="24"/>
        </w:rPr>
        <w:t>parathyroidea</w:t>
      </w:r>
      <w:r w:rsidR="00801353">
        <w:rPr>
          <w:sz w:val="24"/>
          <w:szCs w:val="24"/>
        </w:rPr>
        <w:softHyphen/>
      </w:r>
      <w:r w:rsidRPr="009E7659">
        <w:rPr>
          <w:sz w:val="24"/>
          <w:szCs w:val="24"/>
        </w:rPr>
        <w:t>insufficiens</w:t>
      </w:r>
      <w:proofErr w:type="spellEnd"/>
      <w:r w:rsidRPr="009E7659">
        <w:rPr>
          <w:sz w:val="24"/>
          <w:szCs w:val="24"/>
        </w:rPr>
        <w:t xml:space="preserve"> kan </w:t>
      </w:r>
      <w:proofErr w:type="spellStart"/>
      <w:r w:rsidRPr="009E7659">
        <w:rPr>
          <w:sz w:val="24"/>
          <w:szCs w:val="24"/>
        </w:rPr>
        <w:t>calcifediols</w:t>
      </w:r>
      <w:proofErr w:type="spellEnd"/>
      <w:r w:rsidRPr="009E7659">
        <w:rPr>
          <w:sz w:val="24"/>
          <w:szCs w:val="24"/>
        </w:rPr>
        <w:t xml:space="preserve"> aktivitet derfor være nedsat.</w:t>
      </w:r>
    </w:p>
    <w:p w14:paraId="76331D77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21FE55BE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Længerevarende immobilisering:</w:t>
      </w:r>
    </w:p>
    <w:p w14:paraId="352C2913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Hos patienter med længerevarende immobilisering kan det være nødvendigt at reducere dosis for at undgå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>.</w:t>
      </w:r>
    </w:p>
    <w:p w14:paraId="7A308994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331ADE24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proofErr w:type="spellStart"/>
      <w:r w:rsidRPr="009E7659">
        <w:rPr>
          <w:sz w:val="24"/>
          <w:szCs w:val="24"/>
          <w:u w:val="single"/>
        </w:rPr>
        <w:t>Sarkoidose</w:t>
      </w:r>
      <w:proofErr w:type="spellEnd"/>
      <w:r w:rsidRPr="009E7659">
        <w:rPr>
          <w:sz w:val="24"/>
          <w:szCs w:val="24"/>
          <w:u w:val="single"/>
        </w:rPr>
        <w:t xml:space="preserve">, tuberkulose eller andre </w:t>
      </w:r>
      <w:proofErr w:type="spellStart"/>
      <w:r w:rsidRPr="009E7659">
        <w:rPr>
          <w:sz w:val="24"/>
          <w:szCs w:val="24"/>
          <w:u w:val="single"/>
        </w:rPr>
        <w:t>granulomatøse</w:t>
      </w:r>
      <w:proofErr w:type="spellEnd"/>
      <w:r w:rsidRPr="009E7659">
        <w:rPr>
          <w:sz w:val="24"/>
          <w:szCs w:val="24"/>
          <w:u w:val="single"/>
        </w:rPr>
        <w:t xml:space="preserve"> sygdomme:</w:t>
      </w:r>
    </w:p>
    <w:p w14:paraId="28C8C9CB" w14:textId="71D46AC5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Skal administreres med forsigtighed, da disse tilstande fører til større følsomhed over for virkningen af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samt til forhøjet risiko for bivirkninger ved doser under den anbefalede dosis. Det er nødvendigt at monitorere serum- og urin</w:t>
      </w:r>
      <w:r w:rsidR="00156565">
        <w:rPr>
          <w:sz w:val="24"/>
          <w:szCs w:val="24"/>
        </w:rPr>
        <w:softHyphen/>
      </w:r>
      <w:r w:rsidRPr="009E7659">
        <w:rPr>
          <w:sz w:val="24"/>
          <w:szCs w:val="24"/>
        </w:rPr>
        <w:t>koncentrationerne af calcium hos disse patienter.</w:t>
      </w:r>
    </w:p>
    <w:p w14:paraId="39F24BDC" w14:textId="77777777" w:rsidR="00BA4DBF" w:rsidRPr="009E7659" w:rsidRDefault="00BA4DBF" w:rsidP="004E5CBC">
      <w:pPr>
        <w:ind w:left="851"/>
        <w:rPr>
          <w:sz w:val="24"/>
          <w:szCs w:val="24"/>
        </w:rPr>
      </w:pPr>
      <w:bookmarkStart w:id="10" w:name="_Hlk156827011"/>
    </w:p>
    <w:p w14:paraId="1F550BF8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Interferens med laboratorieundersøgelser:</w:t>
      </w:r>
    </w:p>
    <w:p w14:paraId="1CB8E2CB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Patienterne bør advares om, at dette lægemiddel indeholder en komponent, som kan ændre resultaterne af laboratorieundersøgelser:</w:t>
      </w:r>
    </w:p>
    <w:p w14:paraId="7BE133F9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Bestemmelse af kolesterol: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kan interferere med </w:t>
      </w:r>
      <w:proofErr w:type="spellStart"/>
      <w:r w:rsidRPr="009E7659">
        <w:rPr>
          <w:sz w:val="24"/>
          <w:szCs w:val="24"/>
        </w:rPr>
        <w:t>Zlatkis</w:t>
      </w:r>
      <w:proofErr w:type="spellEnd"/>
      <w:r w:rsidRPr="009E7659">
        <w:rPr>
          <w:sz w:val="24"/>
          <w:szCs w:val="24"/>
        </w:rPr>
        <w:t>-</w:t>
      </w:r>
      <w:proofErr w:type="spellStart"/>
      <w:r w:rsidRPr="009E7659">
        <w:rPr>
          <w:sz w:val="24"/>
          <w:szCs w:val="24"/>
        </w:rPr>
        <w:t>Zak</w:t>
      </w:r>
      <w:proofErr w:type="spellEnd"/>
      <w:r w:rsidRPr="009E7659">
        <w:rPr>
          <w:sz w:val="24"/>
          <w:szCs w:val="24"/>
        </w:rPr>
        <w:t>-metoden og give falsk forhøjede værdier af serumkolesterol.</w:t>
      </w:r>
    </w:p>
    <w:bookmarkEnd w:id="10"/>
    <w:p w14:paraId="0993DA6F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082F9B49" w14:textId="77777777" w:rsidR="00BA4DBF" w:rsidRPr="009E7659" w:rsidRDefault="00BA4DBF" w:rsidP="004E5CBC">
      <w:pPr>
        <w:ind w:left="851"/>
        <w:rPr>
          <w:i/>
          <w:sz w:val="24"/>
          <w:szCs w:val="24"/>
        </w:rPr>
      </w:pPr>
      <w:r w:rsidRPr="009E7659">
        <w:rPr>
          <w:i/>
          <w:sz w:val="24"/>
          <w:szCs w:val="24"/>
        </w:rPr>
        <w:t>Advarsler om hjælpestoffer</w:t>
      </w:r>
    </w:p>
    <w:p w14:paraId="2564F386" w14:textId="77777777" w:rsidR="00BA4DBF" w:rsidRPr="009E7659" w:rsidRDefault="00BA4DBF" w:rsidP="004E5CBC">
      <w:pPr>
        <w:ind w:left="851"/>
        <w:rPr>
          <w:sz w:val="24"/>
          <w:szCs w:val="24"/>
        </w:rPr>
      </w:pPr>
      <w:bookmarkStart w:id="11" w:name="_Hlk101785732"/>
      <w:r w:rsidRPr="009E7659">
        <w:rPr>
          <w:sz w:val="24"/>
          <w:szCs w:val="24"/>
        </w:rPr>
        <w:t>Dette lægemiddel indeholder 1 mg alkohol (</w:t>
      </w:r>
      <w:proofErr w:type="spellStart"/>
      <w:r w:rsidRPr="009E7659">
        <w:rPr>
          <w:sz w:val="24"/>
          <w:szCs w:val="24"/>
        </w:rPr>
        <w:t>ethanol</w:t>
      </w:r>
      <w:proofErr w:type="spellEnd"/>
      <w:r w:rsidRPr="009E7659">
        <w:rPr>
          <w:sz w:val="24"/>
          <w:szCs w:val="24"/>
        </w:rPr>
        <w:t>) i hver enkelt blød kapsel. Mængden af dette lægemiddel i én kapsel svarer til mindre end 1 ml øl eller 1 ml vin. Den lille mængde alkohol i dette lægemiddel vil ikke have nogen mærkbar virkning.</w:t>
      </w:r>
    </w:p>
    <w:p w14:paraId="2CDF1168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04AB7F54" w14:textId="0E812D90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Dette lægemiddel indeholder 10 mg sorbitol som flydende sorbitol </w:t>
      </w:r>
      <w:bookmarkStart w:id="12" w:name="_Hlk156825828"/>
      <w:r w:rsidRPr="009E7659">
        <w:rPr>
          <w:sz w:val="24"/>
          <w:szCs w:val="24"/>
        </w:rPr>
        <w:t xml:space="preserve">(ikkekrystalliserende) </w:t>
      </w:r>
      <w:bookmarkEnd w:id="12"/>
      <w:r w:rsidRPr="009E7659">
        <w:rPr>
          <w:sz w:val="24"/>
          <w:szCs w:val="24"/>
        </w:rPr>
        <w:t>i én blød kapsel.</w:t>
      </w:r>
    </w:p>
    <w:p w14:paraId="42406400" w14:textId="06CFE775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lastRenderedPageBreak/>
        <w:t xml:space="preserve">Dette lægemiddel indeholder </w:t>
      </w:r>
      <w:proofErr w:type="spellStart"/>
      <w:r w:rsidRPr="009E7659">
        <w:rPr>
          <w:sz w:val="24"/>
          <w:szCs w:val="24"/>
        </w:rPr>
        <w:t>Allura</w:t>
      </w:r>
      <w:proofErr w:type="spellEnd"/>
      <w:r w:rsidRPr="009E7659">
        <w:rPr>
          <w:sz w:val="24"/>
          <w:szCs w:val="24"/>
        </w:rPr>
        <w:t xml:space="preserve"> r</w:t>
      </w:r>
      <w:r w:rsidR="00B07377">
        <w:rPr>
          <w:sz w:val="24"/>
          <w:szCs w:val="24"/>
        </w:rPr>
        <w:t>ø</w:t>
      </w:r>
      <w:r w:rsidRPr="009E7659">
        <w:rPr>
          <w:sz w:val="24"/>
          <w:szCs w:val="24"/>
        </w:rPr>
        <w:t xml:space="preserve">d (E 129), som kan forårsage allergiske reaktioner. </w:t>
      </w:r>
      <w:bookmarkEnd w:id="11"/>
    </w:p>
    <w:p w14:paraId="3B492D77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0162036E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Internationale enheder (IE) bør ikke anvendes til bestemmelse af </w:t>
      </w:r>
      <w:proofErr w:type="spellStart"/>
      <w:r w:rsidRPr="009E7659">
        <w:rPr>
          <w:sz w:val="24"/>
          <w:szCs w:val="24"/>
        </w:rPr>
        <w:t>calcifedioldosen</w:t>
      </w:r>
      <w:proofErr w:type="spellEnd"/>
      <w:r w:rsidRPr="009E7659">
        <w:rPr>
          <w:sz w:val="24"/>
          <w:szCs w:val="24"/>
        </w:rPr>
        <w:t>, da det kan føre til overdosering. I stedet skal dosisanbefalingen i pkt. 4.2 følges.</w:t>
      </w:r>
    </w:p>
    <w:p w14:paraId="187BC5AD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F5B372B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4.5</w:t>
      </w:r>
      <w:r w:rsidRPr="009E7659">
        <w:rPr>
          <w:b/>
          <w:sz w:val="24"/>
          <w:szCs w:val="24"/>
        </w:rPr>
        <w:tab/>
        <w:t>Interaktion med andre lægemidler og andre former for interaktion</w:t>
      </w:r>
    </w:p>
    <w:p w14:paraId="5AE1AAA6" w14:textId="77777777" w:rsidR="00BA4DBF" w:rsidRPr="009E7659" w:rsidRDefault="00BA4DBF" w:rsidP="004E5CBC">
      <w:pPr>
        <w:ind w:left="851"/>
        <w:rPr>
          <w:b/>
          <w:sz w:val="24"/>
          <w:szCs w:val="24"/>
        </w:rPr>
      </w:pPr>
      <w:bookmarkStart w:id="13" w:name="_Hlk156825887"/>
      <w:bookmarkStart w:id="14" w:name="_Hlk156825866"/>
      <w:r w:rsidRPr="009E7659">
        <w:rPr>
          <w:sz w:val="24"/>
          <w:szCs w:val="24"/>
        </w:rPr>
        <w:t xml:space="preserve">Lægemidler, som kan </w:t>
      </w:r>
      <w:r w:rsidRPr="009E7659">
        <w:rPr>
          <w:sz w:val="24"/>
          <w:szCs w:val="24"/>
          <w:u w:val="single"/>
        </w:rPr>
        <w:t>øge</w:t>
      </w:r>
      <w:r w:rsidRPr="009E7659">
        <w:rPr>
          <w:sz w:val="24"/>
          <w:szCs w:val="24"/>
        </w:rPr>
        <w:t xml:space="preserve"> 25(OH)D-niveauerne:</w:t>
      </w:r>
    </w:p>
    <w:p w14:paraId="1E5C9579" w14:textId="77777777" w:rsidR="00BA4DBF" w:rsidRPr="009E7659" w:rsidRDefault="00BA4DBF" w:rsidP="009E7659">
      <w:pPr>
        <w:pStyle w:val="Listeafsnit"/>
        <w:numPr>
          <w:ilvl w:val="0"/>
          <w:numId w:val="13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Cytochrom</w:t>
      </w:r>
      <w:proofErr w:type="spellEnd"/>
      <w:r w:rsidRPr="009E7659">
        <w:rPr>
          <w:sz w:val="24"/>
          <w:szCs w:val="24"/>
        </w:rPr>
        <w:t xml:space="preserve"> P-450-hæmmere: Lægemidler, som hæmmer </w:t>
      </w:r>
      <w:proofErr w:type="spellStart"/>
      <w:r w:rsidRPr="009E7659">
        <w:rPr>
          <w:sz w:val="24"/>
          <w:szCs w:val="24"/>
        </w:rPr>
        <w:t>cytochrom</w:t>
      </w:r>
      <w:proofErr w:type="spellEnd"/>
      <w:r w:rsidRPr="009E7659">
        <w:rPr>
          <w:sz w:val="24"/>
          <w:szCs w:val="24"/>
        </w:rPr>
        <w:t xml:space="preserve"> P-450 (f.eks. </w:t>
      </w:r>
      <w:proofErr w:type="spellStart"/>
      <w:r w:rsidRPr="009E7659">
        <w:rPr>
          <w:sz w:val="24"/>
          <w:szCs w:val="24"/>
        </w:rPr>
        <w:t>atazanavir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clarithromycin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indinavir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itraconazol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ketoconazol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nefazodon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nelfinavir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ritonavir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saquinavir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telithromycin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voriconazol</w:t>
      </w:r>
      <w:proofErr w:type="spellEnd"/>
      <w:r w:rsidRPr="009E7659">
        <w:rPr>
          <w:sz w:val="24"/>
          <w:szCs w:val="24"/>
        </w:rPr>
        <w:t xml:space="preserve">) kan hæmme CYP27B1 (også kaldet 1α-hydroxylase), som </w:t>
      </w:r>
      <w:proofErr w:type="spellStart"/>
      <w:r w:rsidRPr="009E7659">
        <w:rPr>
          <w:sz w:val="24"/>
          <w:szCs w:val="24"/>
        </w:rPr>
        <w:t>metaboliserer</w:t>
      </w:r>
      <w:proofErr w:type="spellEnd"/>
      <w:r w:rsidRPr="009E7659">
        <w:rPr>
          <w:sz w:val="24"/>
          <w:szCs w:val="24"/>
        </w:rPr>
        <w:t xml:space="preserve">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til dets aktive form (1,25-dihydroxyvitamin D3), og CYP24A1, som </w:t>
      </w:r>
      <w:proofErr w:type="spellStart"/>
      <w:r w:rsidRPr="009E7659">
        <w:rPr>
          <w:sz w:val="24"/>
          <w:szCs w:val="24"/>
        </w:rPr>
        <w:t>metaboliserer</w:t>
      </w:r>
      <w:proofErr w:type="spellEnd"/>
      <w:r w:rsidRPr="009E7659">
        <w:rPr>
          <w:sz w:val="24"/>
          <w:szCs w:val="24"/>
        </w:rPr>
        <w:t xml:space="preserve"> både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og </w:t>
      </w:r>
      <w:proofErr w:type="spellStart"/>
      <w:r w:rsidRPr="009E7659">
        <w:rPr>
          <w:sz w:val="24"/>
          <w:szCs w:val="24"/>
        </w:rPr>
        <w:t>calcitriol</w:t>
      </w:r>
      <w:proofErr w:type="spellEnd"/>
      <w:r w:rsidRPr="009E7659">
        <w:rPr>
          <w:sz w:val="24"/>
          <w:szCs w:val="24"/>
        </w:rPr>
        <w:t xml:space="preserve"> til inaktive metabolitter, hvorved serumkoncentrationerne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ændres.</w:t>
      </w:r>
    </w:p>
    <w:p w14:paraId="60DEFD66" w14:textId="77777777" w:rsidR="00BA4DBF" w:rsidRPr="009E7659" w:rsidRDefault="00BA4DBF" w:rsidP="009E7659">
      <w:pPr>
        <w:pStyle w:val="Listeafsnit"/>
        <w:numPr>
          <w:ilvl w:val="0"/>
          <w:numId w:val="13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Isoniazid</w:t>
      </w:r>
      <w:proofErr w:type="spellEnd"/>
      <w:r w:rsidRPr="009E7659">
        <w:rPr>
          <w:sz w:val="24"/>
          <w:szCs w:val="24"/>
        </w:rPr>
        <w:t xml:space="preserve"> kan øge 25(OH)D-niveauerne på grund af hæmning af dets metaboliske aktivering.</w:t>
      </w:r>
    </w:p>
    <w:p w14:paraId="65AC25F7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183974DC" w14:textId="77777777" w:rsidR="00BA4DBF" w:rsidRPr="009E7659" w:rsidRDefault="00BA4DBF" w:rsidP="004E5CBC">
      <w:pPr>
        <w:ind w:left="851"/>
        <w:rPr>
          <w:i/>
          <w:iCs/>
          <w:sz w:val="24"/>
          <w:szCs w:val="24"/>
        </w:rPr>
      </w:pPr>
      <w:r w:rsidRPr="009E7659">
        <w:rPr>
          <w:sz w:val="24"/>
          <w:szCs w:val="24"/>
        </w:rPr>
        <w:t xml:space="preserve">Lægemidler, som kan </w:t>
      </w:r>
      <w:r w:rsidRPr="009E7659">
        <w:rPr>
          <w:sz w:val="24"/>
          <w:szCs w:val="24"/>
          <w:u w:val="single"/>
        </w:rPr>
        <w:t>reducere</w:t>
      </w:r>
      <w:r w:rsidRPr="009E7659">
        <w:rPr>
          <w:sz w:val="24"/>
          <w:szCs w:val="24"/>
        </w:rPr>
        <w:t xml:space="preserve"> 25(OH)D-niveauerne:</w:t>
      </w:r>
    </w:p>
    <w:bookmarkEnd w:id="13"/>
    <w:p w14:paraId="6F44E69F" w14:textId="77777777" w:rsidR="00BA4DBF" w:rsidRPr="009E7659" w:rsidRDefault="00BA4DBF" w:rsidP="009E7659">
      <w:pPr>
        <w:pStyle w:val="Listeafsnit"/>
        <w:numPr>
          <w:ilvl w:val="0"/>
          <w:numId w:val="14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Phenytoin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phenobarbital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primidon</w:t>
      </w:r>
      <w:bookmarkStart w:id="15" w:name="_Hlk156825930"/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carbamazepin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diphenylhydantoin</w:t>
      </w:r>
      <w:proofErr w:type="spellEnd"/>
      <w:r w:rsidRPr="009E7659">
        <w:rPr>
          <w:sz w:val="24"/>
          <w:szCs w:val="24"/>
        </w:rPr>
        <w:t xml:space="preserve"> </w:t>
      </w:r>
      <w:bookmarkEnd w:id="15"/>
      <w:r w:rsidRPr="009E7659">
        <w:rPr>
          <w:sz w:val="24"/>
          <w:szCs w:val="24"/>
        </w:rPr>
        <w:t xml:space="preserve">og andre enzyminduktorer </w:t>
      </w:r>
      <w:bookmarkStart w:id="16" w:name="_Hlk156825945"/>
      <w:bookmarkStart w:id="17" w:name="_Hlk156827168"/>
      <w:r w:rsidRPr="009E7659">
        <w:rPr>
          <w:sz w:val="24"/>
          <w:szCs w:val="24"/>
        </w:rPr>
        <w:t xml:space="preserve">(f.eks. </w:t>
      </w:r>
      <w:proofErr w:type="spellStart"/>
      <w:r w:rsidRPr="009E7659">
        <w:rPr>
          <w:sz w:val="24"/>
          <w:szCs w:val="24"/>
        </w:rPr>
        <w:t>glukokortikoider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antineoplastiske</w:t>
      </w:r>
      <w:proofErr w:type="spellEnd"/>
      <w:r w:rsidRPr="009E7659">
        <w:rPr>
          <w:sz w:val="24"/>
          <w:szCs w:val="24"/>
        </w:rPr>
        <w:t xml:space="preserve"> lægemidler og </w:t>
      </w:r>
      <w:proofErr w:type="spellStart"/>
      <w:r w:rsidRPr="009E7659">
        <w:rPr>
          <w:sz w:val="24"/>
          <w:szCs w:val="24"/>
        </w:rPr>
        <w:t>antiretrovirale</w:t>
      </w:r>
      <w:proofErr w:type="spellEnd"/>
      <w:r w:rsidRPr="009E7659">
        <w:rPr>
          <w:sz w:val="24"/>
          <w:szCs w:val="24"/>
        </w:rPr>
        <w:t xml:space="preserve"> lægemidler)</w:t>
      </w:r>
      <w:bookmarkEnd w:id="16"/>
      <w:r w:rsidRPr="009E7659">
        <w:rPr>
          <w:sz w:val="24"/>
          <w:szCs w:val="24"/>
        </w:rPr>
        <w:t xml:space="preserve">: </w:t>
      </w:r>
      <w:bookmarkEnd w:id="17"/>
      <w:r w:rsidRPr="009E7659">
        <w:rPr>
          <w:sz w:val="24"/>
          <w:szCs w:val="24"/>
        </w:rPr>
        <w:t xml:space="preserve">enzyminduktorer kan reducere plasmakoncentrationerne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og hæmme dets virkninger ved at inducere dets </w:t>
      </w:r>
      <w:proofErr w:type="spellStart"/>
      <w:r w:rsidRPr="009E7659">
        <w:rPr>
          <w:sz w:val="24"/>
          <w:szCs w:val="24"/>
        </w:rPr>
        <w:t>hepatiske</w:t>
      </w:r>
      <w:proofErr w:type="spellEnd"/>
      <w:r w:rsidRPr="009E7659">
        <w:rPr>
          <w:sz w:val="24"/>
          <w:szCs w:val="24"/>
        </w:rPr>
        <w:t xml:space="preserve"> metabolisme. Derfor anbefales det generelt at monitorere plasmaniveauerne af 25-OH-D, når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administreres med </w:t>
      </w:r>
      <w:proofErr w:type="spellStart"/>
      <w:r w:rsidRPr="009E7659">
        <w:rPr>
          <w:sz w:val="24"/>
          <w:szCs w:val="24"/>
        </w:rPr>
        <w:t>antiepileptika</w:t>
      </w:r>
      <w:proofErr w:type="spellEnd"/>
      <w:r w:rsidRPr="009E7659">
        <w:rPr>
          <w:sz w:val="24"/>
          <w:szCs w:val="24"/>
        </w:rPr>
        <w:t>, som er CYP3A4-induktorer, for at overveje tilskud.</w:t>
      </w:r>
    </w:p>
    <w:p w14:paraId="415065A3" w14:textId="77777777" w:rsidR="00BA4DBF" w:rsidRPr="009E7659" w:rsidRDefault="00BA4DBF" w:rsidP="009E7659">
      <w:pPr>
        <w:pStyle w:val="Listeafsnit"/>
        <w:numPr>
          <w:ilvl w:val="0"/>
          <w:numId w:val="14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Lægemidler, som reducerer absorptionen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, f.eks. </w:t>
      </w:r>
      <w:proofErr w:type="spellStart"/>
      <w:r w:rsidRPr="009E7659">
        <w:rPr>
          <w:sz w:val="24"/>
          <w:szCs w:val="24"/>
        </w:rPr>
        <w:t>cholestyramin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colestipol</w:t>
      </w:r>
      <w:proofErr w:type="spellEnd"/>
      <w:r w:rsidRPr="009E7659">
        <w:rPr>
          <w:sz w:val="24"/>
          <w:szCs w:val="24"/>
        </w:rPr>
        <w:t xml:space="preserve"> eller </w:t>
      </w:r>
      <w:proofErr w:type="spellStart"/>
      <w:r w:rsidRPr="009E7659">
        <w:rPr>
          <w:sz w:val="24"/>
          <w:szCs w:val="24"/>
        </w:rPr>
        <w:t>orlistat</w:t>
      </w:r>
      <w:proofErr w:type="spellEnd"/>
      <w:r w:rsidRPr="009E7659">
        <w:rPr>
          <w:sz w:val="24"/>
          <w:szCs w:val="24"/>
        </w:rPr>
        <w:t xml:space="preserve">, som kan resultere i nedsat virkning. Det anbefales, at der er mindst 2 timer mellem doserne af disse lægemidler og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. </w:t>
      </w:r>
    </w:p>
    <w:p w14:paraId="4457EC11" w14:textId="77777777" w:rsidR="00BA4DBF" w:rsidRPr="009E7659" w:rsidRDefault="00BA4DBF" w:rsidP="009E7659">
      <w:pPr>
        <w:pStyle w:val="Listeafsnit"/>
        <w:numPr>
          <w:ilvl w:val="0"/>
          <w:numId w:val="14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Paraffin og mineralolie: På grund af </w:t>
      </w:r>
      <w:proofErr w:type="spellStart"/>
      <w:r w:rsidRPr="009E7659">
        <w:rPr>
          <w:sz w:val="24"/>
          <w:szCs w:val="24"/>
        </w:rPr>
        <w:t>calcifediols</w:t>
      </w:r>
      <w:proofErr w:type="spellEnd"/>
      <w:r w:rsidRPr="009E7659">
        <w:rPr>
          <w:sz w:val="24"/>
          <w:szCs w:val="24"/>
        </w:rPr>
        <w:t xml:space="preserve"> fedtopløselighed kan produktet opløses i paraffin, og den </w:t>
      </w:r>
      <w:proofErr w:type="spellStart"/>
      <w:r w:rsidRPr="009E7659">
        <w:rPr>
          <w:sz w:val="24"/>
          <w:szCs w:val="24"/>
        </w:rPr>
        <w:t>intestinale</w:t>
      </w:r>
      <w:proofErr w:type="spellEnd"/>
      <w:r w:rsidRPr="009E7659">
        <w:rPr>
          <w:sz w:val="24"/>
          <w:szCs w:val="24"/>
        </w:rPr>
        <w:t xml:space="preserve"> absorption kan falde. Det anbefales at anvende andre typer laksativer eller i det mindste ikke at tage doserne på samme tid.</w:t>
      </w:r>
    </w:p>
    <w:p w14:paraId="7C081772" w14:textId="77777777" w:rsidR="00BA4DBF" w:rsidRPr="009E7659" w:rsidRDefault="00BA4DBF" w:rsidP="009E7659">
      <w:pPr>
        <w:pStyle w:val="Listeafsnit"/>
        <w:numPr>
          <w:ilvl w:val="0"/>
          <w:numId w:val="14"/>
        </w:numPr>
        <w:spacing w:line="240" w:lineRule="auto"/>
        <w:ind w:left="1276" w:hanging="425"/>
        <w:rPr>
          <w:sz w:val="24"/>
          <w:szCs w:val="24"/>
        </w:rPr>
      </w:pPr>
      <w:bookmarkStart w:id="18" w:name="_Hlk156825995"/>
      <w:bookmarkStart w:id="19" w:name="_Hlk156827183"/>
      <w:proofErr w:type="spellStart"/>
      <w:r w:rsidRPr="009E7659">
        <w:rPr>
          <w:sz w:val="24"/>
          <w:szCs w:val="24"/>
        </w:rPr>
        <w:t>Rifampicin</w:t>
      </w:r>
      <w:proofErr w:type="spellEnd"/>
      <w:r w:rsidRPr="009E7659">
        <w:rPr>
          <w:sz w:val="24"/>
          <w:szCs w:val="24"/>
        </w:rPr>
        <w:t xml:space="preserve"> kan reducere virkningen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på grund af induktion af leverenzymer.</w:t>
      </w:r>
    </w:p>
    <w:bookmarkEnd w:id="18"/>
    <w:p w14:paraId="5D78775C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7187E381" w14:textId="77777777" w:rsidR="00BA4DBF" w:rsidRPr="009E7659" w:rsidRDefault="00BA4DBF" w:rsidP="004E5CBC">
      <w:pPr>
        <w:ind w:left="851"/>
        <w:rPr>
          <w:sz w:val="24"/>
          <w:szCs w:val="24"/>
        </w:rPr>
      </w:pPr>
      <w:bookmarkStart w:id="20" w:name="_Hlk156826015"/>
      <w:r w:rsidRPr="009E7659">
        <w:rPr>
          <w:sz w:val="24"/>
          <w:szCs w:val="24"/>
        </w:rPr>
        <w:t xml:space="preserve">Lægemidler, som kan </w:t>
      </w:r>
      <w:r w:rsidRPr="009E7659">
        <w:rPr>
          <w:sz w:val="24"/>
          <w:szCs w:val="24"/>
          <w:u w:val="single"/>
        </w:rPr>
        <w:t>ændre</w:t>
      </w:r>
      <w:r w:rsidRPr="009E7659">
        <w:rPr>
          <w:sz w:val="24"/>
          <w:szCs w:val="24"/>
        </w:rPr>
        <w:t xml:space="preserve"> calcium-/fosfatniveauerne.</w:t>
      </w:r>
    </w:p>
    <w:bookmarkEnd w:id="19"/>
    <w:bookmarkEnd w:id="20"/>
    <w:p w14:paraId="052FB8F6" w14:textId="77777777" w:rsidR="00BA4DBF" w:rsidRPr="009E7659" w:rsidRDefault="00BA4DBF" w:rsidP="009E7659">
      <w:pPr>
        <w:pStyle w:val="Listeafsnit"/>
        <w:numPr>
          <w:ilvl w:val="0"/>
          <w:numId w:val="15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Thiaziddiuretika</w:t>
      </w:r>
      <w:proofErr w:type="spellEnd"/>
      <w:r w:rsidRPr="009E7659">
        <w:rPr>
          <w:sz w:val="24"/>
          <w:szCs w:val="24"/>
        </w:rPr>
        <w:t xml:space="preserve">: Samtidig administration af et </w:t>
      </w:r>
      <w:proofErr w:type="spellStart"/>
      <w:r w:rsidRPr="009E7659">
        <w:rPr>
          <w:sz w:val="24"/>
          <w:szCs w:val="24"/>
        </w:rPr>
        <w:t>thiaziddiuretikum</w:t>
      </w:r>
      <w:proofErr w:type="spellEnd"/>
      <w:r w:rsidRPr="009E7659">
        <w:rPr>
          <w:sz w:val="24"/>
          <w:szCs w:val="24"/>
        </w:rPr>
        <w:t xml:space="preserve"> (</w:t>
      </w:r>
      <w:proofErr w:type="spellStart"/>
      <w:r w:rsidRPr="009E7659">
        <w:rPr>
          <w:sz w:val="24"/>
          <w:szCs w:val="24"/>
        </w:rPr>
        <w:t>hydrochlorthiazid</w:t>
      </w:r>
      <w:proofErr w:type="spellEnd"/>
      <w:r w:rsidRPr="009E7659">
        <w:rPr>
          <w:sz w:val="24"/>
          <w:szCs w:val="24"/>
        </w:rPr>
        <w:t xml:space="preserve">) og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hos patienter med </w:t>
      </w:r>
      <w:proofErr w:type="spellStart"/>
      <w:r w:rsidRPr="009E7659">
        <w:rPr>
          <w:sz w:val="24"/>
          <w:szCs w:val="24"/>
        </w:rPr>
        <w:t>hypoparathyroidisme</w:t>
      </w:r>
      <w:proofErr w:type="spellEnd"/>
      <w:r w:rsidRPr="009E7659">
        <w:rPr>
          <w:sz w:val="24"/>
          <w:szCs w:val="24"/>
        </w:rPr>
        <w:t xml:space="preserve"> kan føre til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, som kan være midlertidig eller nødvendiggøre afbrydelse af behandlingen med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>.</w:t>
      </w:r>
    </w:p>
    <w:p w14:paraId="12D77AD4" w14:textId="77777777" w:rsidR="00BA4DBF" w:rsidRPr="009E7659" w:rsidRDefault="00BA4DBF" w:rsidP="009E7659">
      <w:pPr>
        <w:pStyle w:val="Listeafsnit"/>
        <w:numPr>
          <w:ilvl w:val="0"/>
          <w:numId w:val="15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Visse antibiotika, f.eks. penicillin, </w:t>
      </w:r>
      <w:proofErr w:type="spellStart"/>
      <w:r w:rsidRPr="009E7659">
        <w:rPr>
          <w:sz w:val="24"/>
          <w:szCs w:val="24"/>
        </w:rPr>
        <w:t>neomycin</w:t>
      </w:r>
      <w:proofErr w:type="spellEnd"/>
      <w:r w:rsidRPr="009E7659">
        <w:rPr>
          <w:sz w:val="24"/>
          <w:szCs w:val="24"/>
        </w:rPr>
        <w:t xml:space="preserve"> og </w:t>
      </w:r>
      <w:proofErr w:type="spellStart"/>
      <w:r w:rsidRPr="009E7659">
        <w:rPr>
          <w:sz w:val="24"/>
          <w:szCs w:val="24"/>
        </w:rPr>
        <w:t>chloramphenicol</w:t>
      </w:r>
      <w:proofErr w:type="spellEnd"/>
      <w:r w:rsidRPr="009E7659">
        <w:rPr>
          <w:sz w:val="24"/>
          <w:szCs w:val="24"/>
        </w:rPr>
        <w:t>, kan øge calciumabsorptionen.</w:t>
      </w:r>
    </w:p>
    <w:p w14:paraId="6F8FD91A" w14:textId="77777777" w:rsidR="00BA4DBF" w:rsidRPr="009E7659" w:rsidRDefault="00BA4DBF" w:rsidP="009E7659">
      <w:pPr>
        <w:pStyle w:val="Listeafsnit"/>
        <w:numPr>
          <w:ilvl w:val="0"/>
          <w:numId w:val="15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Fosfatbindende midler som </w:t>
      </w:r>
      <w:proofErr w:type="spellStart"/>
      <w:r w:rsidRPr="009E7659">
        <w:rPr>
          <w:sz w:val="24"/>
          <w:szCs w:val="24"/>
        </w:rPr>
        <w:t>magnesiumsalte</w:t>
      </w:r>
      <w:proofErr w:type="spellEnd"/>
      <w:r w:rsidRPr="009E7659">
        <w:rPr>
          <w:sz w:val="24"/>
          <w:szCs w:val="24"/>
        </w:rPr>
        <w:t xml:space="preserve">: Da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har indvirkning på fosfattransporten i tarm, nyrer og knogler, kan der forekomme </w:t>
      </w:r>
      <w:proofErr w:type="spellStart"/>
      <w:r w:rsidRPr="009E7659">
        <w:rPr>
          <w:sz w:val="24"/>
          <w:szCs w:val="24"/>
        </w:rPr>
        <w:t>hypermagnesiæmi</w:t>
      </w:r>
      <w:proofErr w:type="spellEnd"/>
      <w:r w:rsidRPr="009E7659">
        <w:rPr>
          <w:sz w:val="24"/>
          <w:szCs w:val="24"/>
        </w:rPr>
        <w:t>. Dosis af midler, som binder fosfat, skal justeres i henhold til fosfatkoncentrationerne i serum.</w:t>
      </w:r>
    </w:p>
    <w:p w14:paraId="7C889C39" w14:textId="77777777" w:rsidR="00BA4DBF" w:rsidRPr="009E7659" w:rsidRDefault="00BA4DBF" w:rsidP="009E7659">
      <w:pPr>
        <w:pStyle w:val="Listeafsnit"/>
        <w:numPr>
          <w:ilvl w:val="0"/>
          <w:numId w:val="15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Verapamil</w:t>
      </w:r>
      <w:proofErr w:type="spellEnd"/>
      <w:r w:rsidRPr="009E7659">
        <w:rPr>
          <w:sz w:val="24"/>
          <w:szCs w:val="24"/>
        </w:rPr>
        <w:t xml:space="preserve">: Visse studier viser potentiel hæmning af </w:t>
      </w:r>
      <w:proofErr w:type="spellStart"/>
      <w:r w:rsidRPr="009E7659">
        <w:rPr>
          <w:sz w:val="24"/>
          <w:szCs w:val="24"/>
        </w:rPr>
        <w:t>antianginal</w:t>
      </w:r>
      <w:proofErr w:type="spellEnd"/>
      <w:r w:rsidRPr="009E7659">
        <w:rPr>
          <w:sz w:val="24"/>
          <w:szCs w:val="24"/>
        </w:rPr>
        <w:t xml:space="preserve"> virkning på grund af antagonisme af deres virkninger.</w:t>
      </w:r>
    </w:p>
    <w:p w14:paraId="1FDE388F" w14:textId="77777777" w:rsidR="00BA4DBF" w:rsidRPr="009E7659" w:rsidRDefault="00BA4DBF" w:rsidP="009E7659">
      <w:pPr>
        <w:pStyle w:val="Listeafsnit"/>
        <w:numPr>
          <w:ilvl w:val="0"/>
          <w:numId w:val="15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Vitamin D: Samtidig administration af en vitamin D-analog bør undgås, da der forekommer </w:t>
      </w:r>
      <w:proofErr w:type="spellStart"/>
      <w:r w:rsidRPr="009E7659">
        <w:rPr>
          <w:sz w:val="24"/>
          <w:szCs w:val="24"/>
        </w:rPr>
        <w:t>additive</w:t>
      </w:r>
      <w:proofErr w:type="spellEnd"/>
      <w:r w:rsidRPr="009E7659">
        <w:rPr>
          <w:sz w:val="24"/>
          <w:szCs w:val="24"/>
        </w:rPr>
        <w:t xml:space="preserve"> virkninger og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>.</w:t>
      </w:r>
    </w:p>
    <w:p w14:paraId="2B2C978C" w14:textId="77777777" w:rsidR="00BA4DBF" w:rsidRPr="009E7659" w:rsidRDefault="00BA4DBF" w:rsidP="009E7659">
      <w:pPr>
        <w:pStyle w:val="Listeafsnit"/>
        <w:numPr>
          <w:ilvl w:val="0"/>
          <w:numId w:val="15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>Calciumtilskud: Ukontrolleret indtag af yderligere præparater med calcium bør undgås.</w:t>
      </w:r>
    </w:p>
    <w:p w14:paraId="68BEA847" w14:textId="77777777" w:rsidR="00BA4DBF" w:rsidRPr="009E7659" w:rsidRDefault="00BA4DBF" w:rsidP="009E7659">
      <w:pPr>
        <w:pStyle w:val="Listeafsnit"/>
        <w:numPr>
          <w:ilvl w:val="0"/>
          <w:numId w:val="15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Kortikosteroider</w:t>
      </w:r>
      <w:proofErr w:type="spellEnd"/>
      <w:r w:rsidRPr="009E7659">
        <w:rPr>
          <w:sz w:val="24"/>
          <w:szCs w:val="24"/>
        </w:rPr>
        <w:t>: De modvirker effekterne af vitamin D-</w:t>
      </w:r>
      <w:proofErr w:type="spellStart"/>
      <w:r w:rsidRPr="009E7659">
        <w:rPr>
          <w:sz w:val="24"/>
          <w:szCs w:val="24"/>
        </w:rPr>
        <w:t>analoger</w:t>
      </w:r>
      <w:proofErr w:type="spellEnd"/>
      <w:r w:rsidRPr="009E7659">
        <w:rPr>
          <w:sz w:val="24"/>
          <w:szCs w:val="24"/>
        </w:rPr>
        <w:t xml:space="preserve"> som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>.</w:t>
      </w:r>
    </w:p>
    <w:p w14:paraId="754AA480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4B95B43E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Hjerteglykosider: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kan forårsage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, som kan forstærke de inotrope virkninger af </w:t>
      </w:r>
      <w:proofErr w:type="spellStart"/>
      <w:r w:rsidRPr="009E7659">
        <w:rPr>
          <w:sz w:val="24"/>
          <w:szCs w:val="24"/>
        </w:rPr>
        <w:t>digoxin</w:t>
      </w:r>
      <w:proofErr w:type="spellEnd"/>
      <w:r w:rsidRPr="009E7659">
        <w:rPr>
          <w:sz w:val="24"/>
          <w:szCs w:val="24"/>
        </w:rPr>
        <w:t xml:space="preserve"> og dets toksicitet og dermed give </w:t>
      </w:r>
      <w:proofErr w:type="spellStart"/>
      <w:r w:rsidRPr="009E7659">
        <w:rPr>
          <w:sz w:val="24"/>
          <w:szCs w:val="24"/>
        </w:rPr>
        <w:t>hjertearytmier</w:t>
      </w:r>
      <w:proofErr w:type="spellEnd"/>
      <w:r w:rsidRPr="009E7659">
        <w:rPr>
          <w:sz w:val="24"/>
          <w:szCs w:val="24"/>
        </w:rPr>
        <w:t xml:space="preserve">. </w:t>
      </w:r>
    </w:p>
    <w:bookmarkEnd w:id="14"/>
    <w:p w14:paraId="49307E2C" w14:textId="77777777" w:rsidR="00BA4DBF" w:rsidRPr="009E7659" w:rsidRDefault="00BA4DBF" w:rsidP="004E5CBC">
      <w:pPr>
        <w:ind w:left="851"/>
        <w:rPr>
          <w:sz w:val="24"/>
          <w:szCs w:val="24"/>
          <w:lang w:eastAsia="es-ES"/>
        </w:rPr>
      </w:pPr>
    </w:p>
    <w:p w14:paraId="64653B0B" w14:textId="77777777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Interaktion med mad og drikke</w:t>
      </w:r>
    </w:p>
    <w:p w14:paraId="1A9705C4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Madvarer med tilsat D-vitamin bør tages i betragtning, da der kan forekomme </w:t>
      </w:r>
      <w:proofErr w:type="spellStart"/>
      <w:r w:rsidRPr="009E7659">
        <w:rPr>
          <w:sz w:val="24"/>
          <w:szCs w:val="24"/>
        </w:rPr>
        <w:t>additive</w:t>
      </w:r>
      <w:proofErr w:type="spellEnd"/>
      <w:r w:rsidRPr="009E7659">
        <w:rPr>
          <w:sz w:val="24"/>
          <w:szCs w:val="24"/>
        </w:rPr>
        <w:t xml:space="preserve"> effekter.</w:t>
      </w:r>
    </w:p>
    <w:p w14:paraId="0D39D184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277A09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4.6</w:t>
      </w:r>
      <w:r w:rsidRPr="009E7659">
        <w:rPr>
          <w:b/>
          <w:sz w:val="24"/>
          <w:szCs w:val="24"/>
        </w:rPr>
        <w:tab/>
      </w:r>
      <w:r w:rsidR="0071241E" w:rsidRPr="009E7659">
        <w:rPr>
          <w:b/>
          <w:sz w:val="24"/>
          <w:szCs w:val="24"/>
        </w:rPr>
        <w:t>Fertilitet, g</w:t>
      </w:r>
      <w:r w:rsidRPr="009E7659">
        <w:rPr>
          <w:b/>
          <w:sz w:val="24"/>
          <w:szCs w:val="24"/>
        </w:rPr>
        <w:t>raviditet og amning</w:t>
      </w:r>
    </w:p>
    <w:p w14:paraId="258C780A" w14:textId="77777777" w:rsidR="009E7659" w:rsidRDefault="009E7659" w:rsidP="004E5CBC">
      <w:pPr>
        <w:ind w:left="851"/>
        <w:rPr>
          <w:sz w:val="24"/>
          <w:szCs w:val="24"/>
        </w:rPr>
      </w:pPr>
    </w:p>
    <w:p w14:paraId="658DD49B" w14:textId="2024242C" w:rsidR="00BA4DBF" w:rsidRPr="009E7659" w:rsidRDefault="00BA4DBF" w:rsidP="004E5CBC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Graviditet</w:t>
      </w:r>
    </w:p>
    <w:p w14:paraId="0D222DBB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Dosering af dette lægemiddel anbefales ikke under graviditet og amning. Det anbefalede daglige indtag for vitamin D3 (</w:t>
      </w:r>
      <w:proofErr w:type="spellStart"/>
      <w:r w:rsidRPr="009E7659">
        <w:rPr>
          <w:sz w:val="24"/>
          <w:szCs w:val="24"/>
        </w:rPr>
        <w:t>cholecalciferol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prækursoren</w:t>
      </w:r>
      <w:proofErr w:type="spellEnd"/>
      <w:r w:rsidRPr="009E7659">
        <w:rPr>
          <w:sz w:val="24"/>
          <w:szCs w:val="24"/>
        </w:rPr>
        <w:t xml:space="preserve"> for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) under graviditet og amning følger nationale retningslinjer og er på ca. 600 IE (svarende til 15 mikrogram </w:t>
      </w:r>
      <w:proofErr w:type="spellStart"/>
      <w:r w:rsidRPr="009E7659">
        <w:rPr>
          <w:sz w:val="24"/>
          <w:szCs w:val="24"/>
        </w:rPr>
        <w:t>cholecalciferol</w:t>
      </w:r>
      <w:proofErr w:type="spellEnd"/>
      <w:r w:rsidRPr="009E7659">
        <w:rPr>
          <w:sz w:val="24"/>
          <w:szCs w:val="24"/>
        </w:rPr>
        <w:t xml:space="preserve">) og bør ikke overstige 2000 IE (svarende til 50 mikrogram </w:t>
      </w:r>
      <w:proofErr w:type="spellStart"/>
      <w:r w:rsidRPr="009E7659">
        <w:rPr>
          <w:sz w:val="24"/>
          <w:szCs w:val="24"/>
        </w:rPr>
        <w:t>cholecalciferol</w:t>
      </w:r>
      <w:proofErr w:type="spellEnd"/>
      <w:r w:rsidRPr="009E7659">
        <w:rPr>
          <w:sz w:val="24"/>
          <w:szCs w:val="24"/>
        </w:rPr>
        <w:t>).</w:t>
      </w:r>
    </w:p>
    <w:p w14:paraId="7341163A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Der er ingen eller begrænsede data for anvendelse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(synonym </w:t>
      </w:r>
      <w:proofErr w:type="spellStart"/>
      <w:r w:rsidRPr="009E7659">
        <w:rPr>
          <w:sz w:val="24"/>
          <w:szCs w:val="24"/>
        </w:rPr>
        <w:t>calcidiol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cholecalciferols</w:t>
      </w:r>
      <w:proofErr w:type="spellEnd"/>
      <w:r w:rsidRPr="009E7659">
        <w:rPr>
          <w:sz w:val="24"/>
          <w:szCs w:val="24"/>
        </w:rPr>
        <w:t xml:space="preserve"> metabolit) hos gravide kvinder.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bør ikke anvendes under graviditet, medmindre kvindens kliniske tilstand nødvendiggør behandling med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>, og de potentielle fordele for moderen opvejer de potentielle risici for fosteret.</w:t>
      </w:r>
    </w:p>
    <w:p w14:paraId="22FEB139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Dyreforsøg har vist reproduktionstoksicitet (se pkt. 5.3).</w:t>
      </w:r>
    </w:p>
    <w:p w14:paraId="1FE19ED1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Der er intet, der tyder på, at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er </w:t>
      </w:r>
      <w:proofErr w:type="spellStart"/>
      <w:r w:rsidRPr="009E7659">
        <w:rPr>
          <w:sz w:val="24"/>
          <w:szCs w:val="24"/>
        </w:rPr>
        <w:t>teratogent</w:t>
      </w:r>
      <w:proofErr w:type="spellEnd"/>
      <w:r w:rsidRPr="009E7659">
        <w:rPr>
          <w:sz w:val="24"/>
          <w:szCs w:val="24"/>
        </w:rPr>
        <w:t xml:space="preserve"> hos mennesker ved terapeutiske doser. Overdosering af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skal undgås under graviditet, da langvarig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kan føre til fysisk og mental retardering, </w:t>
      </w:r>
      <w:proofErr w:type="spellStart"/>
      <w:r w:rsidRPr="009E7659">
        <w:rPr>
          <w:sz w:val="24"/>
          <w:szCs w:val="24"/>
        </w:rPr>
        <w:t>supravalvulær</w:t>
      </w:r>
      <w:proofErr w:type="spellEnd"/>
      <w:r w:rsidRPr="009E7659">
        <w:rPr>
          <w:sz w:val="24"/>
          <w:szCs w:val="24"/>
        </w:rPr>
        <w:t xml:space="preserve"> aortastenose og </w:t>
      </w:r>
      <w:proofErr w:type="spellStart"/>
      <w:r w:rsidRPr="009E7659">
        <w:rPr>
          <w:sz w:val="24"/>
          <w:szCs w:val="24"/>
        </w:rPr>
        <w:t>retinopati</w:t>
      </w:r>
      <w:proofErr w:type="spellEnd"/>
      <w:r w:rsidRPr="009E7659">
        <w:rPr>
          <w:sz w:val="24"/>
          <w:szCs w:val="24"/>
        </w:rPr>
        <w:t xml:space="preserve"> hos barnet.</w:t>
      </w:r>
    </w:p>
    <w:p w14:paraId="2D9679DD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</w:p>
    <w:p w14:paraId="00CDE722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</w:rPr>
      </w:pPr>
      <w:r w:rsidRPr="009E7659">
        <w:rPr>
          <w:rStyle w:val="cf01"/>
          <w:rFonts w:ascii="Times New Roman" w:hAnsi="Times New Roman" w:cs="Times New Roman"/>
          <w:sz w:val="24"/>
          <w:szCs w:val="24"/>
          <w:u w:val="single"/>
        </w:rPr>
        <w:t xml:space="preserve">Amning </w:t>
      </w:r>
    </w:p>
    <w:p w14:paraId="7628C0A4" w14:textId="77777777" w:rsidR="00BA4DBF" w:rsidRPr="009E7659" w:rsidRDefault="00BA4DBF" w:rsidP="004E5CBC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udskilles i modermælken. En risiko for den nyfødte/spædbarnet kan ikke udelukkes. Dette skal tages i betragtning, når der gives tilskud af D-vitamin til det ammede barn. </w:t>
      </w:r>
    </w:p>
    <w:p w14:paraId="147343C0" w14:textId="77777777" w:rsidR="00BA4DBF" w:rsidRPr="009E7659" w:rsidRDefault="00BA4DBF" w:rsidP="004E5CBC">
      <w:pPr>
        <w:ind w:left="851"/>
        <w:rPr>
          <w:sz w:val="24"/>
          <w:szCs w:val="24"/>
        </w:rPr>
      </w:pPr>
    </w:p>
    <w:p w14:paraId="24FAD89F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  <w:u w:val="single"/>
          <w:lang w:eastAsia="es-ES"/>
        </w:rPr>
      </w:pPr>
      <w:r w:rsidRPr="009E7659">
        <w:rPr>
          <w:rStyle w:val="cf01"/>
          <w:rFonts w:ascii="Times New Roman" w:hAnsi="Times New Roman" w:cs="Times New Roman"/>
          <w:sz w:val="24"/>
          <w:szCs w:val="24"/>
          <w:u w:val="single"/>
        </w:rPr>
        <w:t>Fertilitet</w:t>
      </w:r>
    </w:p>
    <w:p w14:paraId="46550442" w14:textId="77777777" w:rsidR="00BA4DBF" w:rsidRPr="009E7659" w:rsidRDefault="00BA4DBF" w:rsidP="004E5CBC">
      <w:pPr>
        <w:ind w:left="851"/>
        <w:rPr>
          <w:rStyle w:val="cf01"/>
          <w:rFonts w:ascii="Times New Roman" w:hAnsi="Times New Roman" w:cs="Times New Roman"/>
          <w:sz w:val="24"/>
          <w:szCs w:val="24"/>
        </w:rPr>
      </w:pPr>
      <w:r w:rsidRPr="009E7659">
        <w:rPr>
          <w:rStyle w:val="cf01"/>
          <w:rFonts w:ascii="Times New Roman" w:hAnsi="Times New Roman" w:cs="Times New Roman"/>
          <w:sz w:val="24"/>
          <w:szCs w:val="24"/>
        </w:rPr>
        <w:t xml:space="preserve">Det er ikke kendt, om </w:t>
      </w:r>
      <w:proofErr w:type="spellStart"/>
      <w:r w:rsidRPr="009E7659">
        <w:rPr>
          <w:rStyle w:val="cf01"/>
          <w:rFonts w:ascii="Times New Roman" w:hAnsi="Times New Roman" w:cs="Times New Roman"/>
          <w:sz w:val="24"/>
          <w:szCs w:val="24"/>
        </w:rPr>
        <w:t>calcifediol</w:t>
      </w:r>
      <w:proofErr w:type="spellEnd"/>
      <w:r w:rsidRPr="009E7659">
        <w:rPr>
          <w:rStyle w:val="cf01"/>
          <w:rFonts w:ascii="Times New Roman" w:hAnsi="Times New Roman" w:cs="Times New Roman"/>
          <w:sz w:val="24"/>
          <w:szCs w:val="24"/>
        </w:rPr>
        <w:t xml:space="preserve"> har en effekt på fertiliteten hos mennesker. Studier med rotter har ikke vist nedsat fertilitet (se pkt. 5.3).</w:t>
      </w:r>
    </w:p>
    <w:p w14:paraId="4593F59F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842B545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4.7</w:t>
      </w:r>
      <w:r w:rsidRPr="009E7659">
        <w:rPr>
          <w:b/>
          <w:sz w:val="24"/>
          <w:szCs w:val="24"/>
        </w:rPr>
        <w:tab/>
        <w:t xml:space="preserve">Virkning på evnen til at føre motorkøretøj </w:t>
      </w:r>
      <w:r w:rsidR="0071241E" w:rsidRPr="009E7659">
        <w:rPr>
          <w:b/>
          <w:sz w:val="24"/>
          <w:szCs w:val="24"/>
        </w:rPr>
        <w:t>og</w:t>
      </w:r>
      <w:r w:rsidRPr="009E7659">
        <w:rPr>
          <w:b/>
          <w:sz w:val="24"/>
          <w:szCs w:val="24"/>
        </w:rPr>
        <w:t xml:space="preserve"> betjene maskiner</w:t>
      </w:r>
    </w:p>
    <w:p w14:paraId="5A10B150" w14:textId="77777777" w:rsidR="00BA4DBF" w:rsidRPr="009E7659" w:rsidRDefault="00BA4DBF" w:rsidP="004E5CBC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Ikke mærkning. </w:t>
      </w:r>
    </w:p>
    <w:p w14:paraId="4D6F2D44" w14:textId="77777777" w:rsidR="00BA4DBF" w:rsidRPr="009E7659" w:rsidRDefault="00BA4DBF" w:rsidP="004E5CBC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påvirker ikke eller kun i ubetydelig grad evnen til at føre motorkøretøj og betjene maskiner. </w:t>
      </w:r>
    </w:p>
    <w:p w14:paraId="7A78260E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58D6A7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4.8</w:t>
      </w:r>
      <w:r w:rsidRPr="009E7659">
        <w:rPr>
          <w:b/>
          <w:sz w:val="24"/>
          <w:szCs w:val="24"/>
        </w:rPr>
        <w:tab/>
        <w:t>Bivirkninger</w:t>
      </w:r>
    </w:p>
    <w:p w14:paraId="342179D6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Hyppighederne er defineret som følger: meget almindelig (≥1/10), almindelig (≥1/100 til &lt;1/10), ikke almindelig (≥1/1.000 til &lt;1/100), sjælden (≥1/10.000 til &lt;1/1.000), meget sjælden (&lt;1/10.000) og ikke kendt (kan ikke estimeres ud fra forhåndenværende data).</w:t>
      </w:r>
    </w:p>
    <w:p w14:paraId="034BCD67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0E13A6E9" w14:textId="72D04AB9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Bivirkningerne i forbindelse med denne vitamin D-analog er associeret med forhøjede niveauer af calcium, når der indtages store mængder af lægemidlet, f.eks. i forbindelse med overdosering eller langvarig behandling. De doser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, som kræves til </w:t>
      </w:r>
      <w:proofErr w:type="spellStart"/>
      <w:r w:rsidRPr="009E7659">
        <w:rPr>
          <w:sz w:val="24"/>
          <w:szCs w:val="24"/>
        </w:rPr>
        <w:t>hypervitaminose</w:t>
      </w:r>
      <w:proofErr w:type="spellEnd"/>
      <w:r w:rsidRPr="009E7659">
        <w:rPr>
          <w:sz w:val="24"/>
          <w:szCs w:val="24"/>
        </w:rPr>
        <w:t xml:space="preserve">, varierer betydeligt fra person til person. Bivirkningerne, som skyldes forhøjede niveauer af calcium, kan forekomme i starten af eller senere under behandlingen (se pkt. 4.9). </w:t>
      </w:r>
    </w:p>
    <w:p w14:paraId="22F6FEDB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789BE99A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Immunsystemet</w:t>
      </w:r>
    </w:p>
    <w:p w14:paraId="105DB52E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Hyppighed ikke kendt (kan ikke estimeres ud fra forhåndenværende data): Overfølsomhedsreaktioner (f.eks. anafylaksi, </w:t>
      </w:r>
      <w:proofErr w:type="spellStart"/>
      <w:r w:rsidRPr="009E7659">
        <w:rPr>
          <w:sz w:val="24"/>
          <w:szCs w:val="24"/>
        </w:rPr>
        <w:t>angioødem</w:t>
      </w:r>
      <w:proofErr w:type="spellEnd"/>
      <w:r w:rsidRPr="009E7659">
        <w:rPr>
          <w:sz w:val="24"/>
          <w:szCs w:val="24"/>
        </w:rPr>
        <w:t xml:space="preserve">, dyspnø, udslæt, lokalt ødem/lokal hævelse samt </w:t>
      </w:r>
      <w:proofErr w:type="spellStart"/>
      <w:r w:rsidRPr="009E7659">
        <w:rPr>
          <w:sz w:val="24"/>
          <w:szCs w:val="24"/>
        </w:rPr>
        <w:t>erytem</w:t>
      </w:r>
      <w:proofErr w:type="spellEnd"/>
      <w:r w:rsidRPr="009E7659">
        <w:rPr>
          <w:sz w:val="24"/>
          <w:szCs w:val="24"/>
        </w:rPr>
        <w:t>).</w:t>
      </w:r>
    </w:p>
    <w:p w14:paraId="75FC5F7A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6DE7CD3E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  <w:u w:val="single"/>
        </w:rPr>
        <w:t>Metabolisme og ernæring</w:t>
      </w:r>
      <w:r w:rsidRPr="009E7659">
        <w:rPr>
          <w:sz w:val="24"/>
          <w:szCs w:val="24"/>
        </w:rPr>
        <w:t>:</w:t>
      </w:r>
    </w:p>
    <w:p w14:paraId="70B9C286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Hyppighed ikke kendt (kan ikke estimeres ud fra forhåndenværende data):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og </w:t>
      </w:r>
      <w:proofErr w:type="spellStart"/>
      <w:r w:rsidRPr="009E7659">
        <w:rPr>
          <w:sz w:val="24"/>
          <w:szCs w:val="24"/>
        </w:rPr>
        <w:t>hypercalciuri</w:t>
      </w:r>
      <w:proofErr w:type="spellEnd"/>
      <w:r w:rsidRPr="009E7659">
        <w:rPr>
          <w:sz w:val="24"/>
          <w:szCs w:val="24"/>
        </w:rPr>
        <w:t>.</w:t>
      </w:r>
    </w:p>
    <w:p w14:paraId="21688A63" w14:textId="77777777" w:rsidR="00BA4DBF" w:rsidRPr="009E7659" w:rsidRDefault="00BA4DBF" w:rsidP="00786D68">
      <w:pPr>
        <w:ind w:left="851"/>
        <w:rPr>
          <w:sz w:val="24"/>
          <w:szCs w:val="24"/>
          <w:u w:val="single"/>
          <w:lang w:eastAsia="es-ES"/>
        </w:rPr>
      </w:pPr>
    </w:p>
    <w:p w14:paraId="4291CD9C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Indberetning af formodede bivirkninger</w:t>
      </w:r>
    </w:p>
    <w:p w14:paraId="6E89A4BF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9E7659">
        <w:rPr>
          <w:sz w:val="24"/>
          <w:szCs w:val="24"/>
        </w:rPr>
        <w:t>risk</w:t>
      </w:r>
      <w:proofErr w:type="spellEnd"/>
      <w:r w:rsidRPr="009E7659">
        <w:rPr>
          <w:sz w:val="24"/>
          <w:szCs w:val="24"/>
        </w:rPr>
        <w:t>-forholdet for lægemidlet. Sundhedspersoner anmodes om at indberette alle formodede bivirkninger via:</w:t>
      </w:r>
    </w:p>
    <w:p w14:paraId="318233BD" w14:textId="77777777" w:rsidR="00BA4DBF" w:rsidRPr="009E7659" w:rsidRDefault="00BA4DBF" w:rsidP="00786D68">
      <w:pPr>
        <w:ind w:left="851"/>
        <w:rPr>
          <w:sz w:val="24"/>
          <w:szCs w:val="24"/>
        </w:rPr>
      </w:pPr>
    </w:p>
    <w:p w14:paraId="6B07B957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color w:val="000000"/>
          <w:sz w:val="24"/>
          <w:szCs w:val="24"/>
        </w:rPr>
        <w:t>Lægemiddelstyrelsen</w:t>
      </w:r>
    </w:p>
    <w:p w14:paraId="225E3D16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color w:val="000000"/>
          <w:sz w:val="24"/>
          <w:szCs w:val="24"/>
        </w:rPr>
        <w:t>Axel Heides Gade 1</w:t>
      </w:r>
    </w:p>
    <w:p w14:paraId="145A3FD9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color w:val="000000"/>
          <w:sz w:val="24"/>
          <w:szCs w:val="24"/>
        </w:rPr>
        <w:t>DK-2300 København S</w:t>
      </w:r>
    </w:p>
    <w:p w14:paraId="65502CEA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color w:val="000000"/>
          <w:sz w:val="24"/>
          <w:szCs w:val="24"/>
        </w:rPr>
        <w:t xml:space="preserve">Websted: </w:t>
      </w:r>
      <w:hyperlink r:id="rId8" w:history="1">
        <w:r w:rsidRPr="009E7659">
          <w:rPr>
            <w:rStyle w:val="Hyperlink"/>
            <w:sz w:val="24"/>
            <w:szCs w:val="24"/>
          </w:rPr>
          <w:t>www.meldenbivirkning.dk</w:t>
        </w:r>
      </w:hyperlink>
    </w:p>
    <w:p w14:paraId="7D8CD431" w14:textId="77777777" w:rsidR="009260DE" w:rsidRPr="009E7659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1EB54CCC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4.9</w:t>
      </w:r>
      <w:r w:rsidRPr="009E7659">
        <w:rPr>
          <w:b/>
          <w:sz w:val="24"/>
          <w:szCs w:val="24"/>
        </w:rPr>
        <w:tab/>
        <w:t>Overdosering</w:t>
      </w:r>
    </w:p>
    <w:p w14:paraId="49B4D8E2" w14:textId="77777777" w:rsidR="00A029BA" w:rsidRDefault="00A029BA" w:rsidP="00786D68">
      <w:pPr>
        <w:ind w:left="851"/>
        <w:rPr>
          <w:sz w:val="24"/>
          <w:szCs w:val="24"/>
          <w:u w:val="single"/>
        </w:rPr>
      </w:pPr>
    </w:p>
    <w:p w14:paraId="186FC08A" w14:textId="6E4E3785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  <w:u w:val="single"/>
        </w:rPr>
        <w:t>Symptomer</w:t>
      </w:r>
      <w:r w:rsidRPr="009E7659">
        <w:rPr>
          <w:sz w:val="24"/>
          <w:szCs w:val="24"/>
        </w:rPr>
        <w:t>:</w:t>
      </w:r>
    </w:p>
    <w:p w14:paraId="123A36BE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Administration af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i høje doser eller i længere perioder kan forårsage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hypercalciuri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hyperfosfatæmi</w:t>
      </w:r>
      <w:proofErr w:type="spellEnd"/>
      <w:r w:rsidRPr="009E7659">
        <w:rPr>
          <w:sz w:val="24"/>
          <w:szCs w:val="24"/>
        </w:rPr>
        <w:t xml:space="preserve"> og nyresvigt. Tidlige symptomer på overdosering kan være svaghed, træthed, døsighed, hovedpine, anoreksi, mundtørhed, metalsmag, kvalme, opkastning, mavekramper, </w:t>
      </w:r>
      <w:proofErr w:type="spellStart"/>
      <w:r w:rsidRPr="009E7659">
        <w:rPr>
          <w:sz w:val="24"/>
          <w:szCs w:val="24"/>
        </w:rPr>
        <w:t>polyuri</w:t>
      </w:r>
      <w:proofErr w:type="spellEnd"/>
      <w:r w:rsidRPr="009E7659">
        <w:rPr>
          <w:sz w:val="24"/>
          <w:szCs w:val="24"/>
        </w:rPr>
        <w:t xml:space="preserve">, polydipsi, </w:t>
      </w:r>
      <w:proofErr w:type="spellStart"/>
      <w:r w:rsidRPr="009E7659">
        <w:rPr>
          <w:sz w:val="24"/>
          <w:szCs w:val="24"/>
        </w:rPr>
        <w:t>nykturi</w:t>
      </w:r>
      <w:proofErr w:type="spellEnd"/>
      <w:r w:rsidRPr="009E7659">
        <w:rPr>
          <w:sz w:val="24"/>
          <w:szCs w:val="24"/>
        </w:rPr>
        <w:t xml:space="preserve">, obstipation eller diarré, svimmelhed, tinnitus, </w:t>
      </w:r>
      <w:proofErr w:type="spellStart"/>
      <w:r w:rsidRPr="009E7659">
        <w:rPr>
          <w:sz w:val="24"/>
          <w:szCs w:val="24"/>
        </w:rPr>
        <w:t>ataksi</w:t>
      </w:r>
      <w:proofErr w:type="spellEnd"/>
      <w:r w:rsidRPr="009E7659">
        <w:rPr>
          <w:sz w:val="24"/>
          <w:szCs w:val="24"/>
        </w:rPr>
        <w:t xml:space="preserve">, udslæt, </w:t>
      </w:r>
      <w:proofErr w:type="spellStart"/>
      <w:r w:rsidRPr="009E7659">
        <w:rPr>
          <w:sz w:val="24"/>
          <w:szCs w:val="24"/>
        </w:rPr>
        <w:t>hypotoni</w:t>
      </w:r>
      <w:proofErr w:type="spellEnd"/>
      <w:r w:rsidRPr="009E7659">
        <w:rPr>
          <w:sz w:val="24"/>
          <w:szCs w:val="24"/>
        </w:rPr>
        <w:t xml:space="preserve"> (især hos børn), muskel- eller knoglesmerter og irritabilitet.</w:t>
      </w:r>
    </w:p>
    <w:p w14:paraId="5E52CADF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293DC187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Senere symptomer på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kan være følgende: </w:t>
      </w:r>
    </w:p>
    <w:p w14:paraId="41361CD4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Løbende næse, kløe, nedsat libido, </w:t>
      </w:r>
      <w:proofErr w:type="spellStart"/>
      <w:r w:rsidRPr="009E7659">
        <w:rPr>
          <w:sz w:val="24"/>
          <w:szCs w:val="24"/>
        </w:rPr>
        <w:t>nefrokalcinose</w:t>
      </w:r>
      <w:proofErr w:type="spellEnd"/>
      <w:r w:rsidRPr="009E7659">
        <w:rPr>
          <w:sz w:val="24"/>
          <w:szCs w:val="24"/>
        </w:rPr>
        <w:t xml:space="preserve">, nyresvigt, osteoporose hos voksne, væksthæmning hos børn, vægttab, anæmi, </w:t>
      </w:r>
      <w:proofErr w:type="spellStart"/>
      <w:r w:rsidRPr="009E7659">
        <w:rPr>
          <w:sz w:val="24"/>
          <w:szCs w:val="24"/>
        </w:rPr>
        <w:t>konjunktivitis</w:t>
      </w:r>
      <w:proofErr w:type="spellEnd"/>
      <w:r w:rsidRPr="009E7659">
        <w:rPr>
          <w:sz w:val="24"/>
          <w:szCs w:val="24"/>
        </w:rPr>
        <w:t xml:space="preserve"> med </w:t>
      </w:r>
      <w:proofErr w:type="spellStart"/>
      <w:r w:rsidRPr="009E7659">
        <w:rPr>
          <w:sz w:val="24"/>
          <w:szCs w:val="24"/>
        </w:rPr>
        <w:t>calcifikation</w:t>
      </w:r>
      <w:proofErr w:type="spellEnd"/>
      <w:r w:rsidRPr="009E7659">
        <w:rPr>
          <w:sz w:val="24"/>
          <w:szCs w:val="24"/>
        </w:rPr>
        <w:t xml:space="preserve">, fotofobi, </w:t>
      </w:r>
      <w:proofErr w:type="spellStart"/>
      <w:r w:rsidRPr="009E7659">
        <w:rPr>
          <w:sz w:val="24"/>
          <w:szCs w:val="24"/>
        </w:rPr>
        <w:t>pancreatitis</w:t>
      </w:r>
      <w:proofErr w:type="spellEnd"/>
      <w:r w:rsidRPr="009E7659">
        <w:rPr>
          <w:sz w:val="24"/>
          <w:szCs w:val="24"/>
        </w:rPr>
        <w:t xml:space="preserve">, forhøjet </w:t>
      </w:r>
      <w:proofErr w:type="spellStart"/>
      <w:r w:rsidRPr="009E7659">
        <w:rPr>
          <w:sz w:val="24"/>
          <w:szCs w:val="24"/>
        </w:rPr>
        <w:t>karbamid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albuminuri</w:t>
      </w:r>
      <w:proofErr w:type="spellEnd"/>
      <w:r w:rsidRPr="009E7659">
        <w:rPr>
          <w:sz w:val="24"/>
          <w:szCs w:val="24"/>
        </w:rPr>
        <w:t xml:space="preserve">, </w:t>
      </w:r>
      <w:proofErr w:type="spellStart"/>
      <w:r w:rsidRPr="009E7659">
        <w:rPr>
          <w:sz w:val="24"/>
          <w:szCs w:val="24"/>
        </w:rPr>
        <w:t>hyperkolesterolæmi</w:t>
      </w:r>
      <w:proofErr w:type="spellEnd"/>
      <w:r w:rsidRPr="009E7659">
        <w:rPr>
          <w:sz w:val="24"/>
          <w:szCs w:val="24"/>
        </w:rPr>
        <w:t xml:space="preserve">, forhøjede </w:t>
      </w:r>
      <w:proofErr w:type="spellStart"/>
      <w:r w:rsidRPr="009E7659">
        <w:rPr>
          <w:sz w:val="24"/>
          <w:szCs w:val="24"/>
        </w:rPr>
        <w:t>transaminaser</w:t>
      </w:r>
      <w:proofErr w:type="spellEnd"/>
      <w:r w:rsidRPr="009E7659">
        <w:rPr>
          <w:sz w:val="24"/>
          <w:szCs w:val="24"/>
        </w:rPr>
        <w:t xml:space="preserve"> (ASAT og ALAT), </w:t>
      </w:r>
      <w:proofErr w:type="spellStart"/>
      <w:r w:rsidRPr="009E7659">
        <w:rPr>
          <w:sz w:val="24"/>
          <w:szCs w:val="24"/>
        </w:rPr>
        <w:t>hypertermi</w:t>
      </w:r>
      <w:proofErr w:type="spellEnd"/>
      <w:r w:rsidRPr="009E7659">
        <w:rPr>
          <w:sz w:val="24"/>
          <w:szCs w:val="24"/>
        </w:rPr>
        <w:t xml:space="preserve">, generaliseret </w:t>
      </w:r>
      <w:proofErr w:type="spellStart"/>
      <w:r w:rsidRPr="009E7659">
        <w:rPr>
          <w:sz w:val="24"/>
          <w:szCs w:val="24"/>
        </w:rPr>
        <w:t>vaskulær</w:t>
      </w:r>
      <w:proofErr w:type="spellEnd"/>
      <w:r w:rsidRPr="009E7659">
        <w:rPr>
          <w:sz w:val="24"/>
          <w:szCs w:val="24"/>
        </w:rPr>
        <w:t xml:space="preserve"> forkalkning, konvulsioner og forkalkning af blødt væv. I sjældne tilfælde kan patienterne udvikle hypertension eller psykotiske symptomer; basisk fosfatase i serum kan falde; elektrolytubalancer sammen med moderat </w:t>
      </w:r>
      <w:proofErr w:type="spellStart"/>
      <w:r w:rsidRPr="009E7659">
        <w:rPr>
          <w:sz w:val="24"/>
          <w:szCs w:val="24"/>
        </w:rPr>
        <w:t>acidose</w:t>
      </w:r>
      <w:proofErr w:type="spellEnd"/>
      <w:r w:rsidRPr="009E7659">
        <w:rPr>
          <w:sz w:val="24"/>
          <w:szCs w:val="24"/>
        </w:rPr>
        <w:t xml:space="preserve"> kan føre til </w:t>
      </w:r>
      <w:proofErr w:type="spellStart"/>
      <w:r w:rsidRPr="009E7659">
        <w:rPr>
          <w:sz w:val="24"/>
          <w:szCs w:val="24"/>
        </w:rPr>
        <w:t>hjertearytmier</w:t>
      </w:r>
      <w:proofErr w:type="spellEnd"/>
      <w:r w:rsidRPr="009E7659">
        <w:rPr>
          <w:sz w:val="24"/>
          <w:szCs w:val="24"/>
        </w:rPr>
        <w:t>.</w:t>
      </w:r>
    </w:p>
    <w:p w14:paraId="53FCC11D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2289560B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I de mest alvorlige tilfælde, hvor serumcalcium overstiger 3 mmol/l, kan der forekomme synkope, metabolisk </w:t>
      </w:r>
      <w:proofErr w:type="spellStart"/>
      <w:r w:rsidRPr="009E7659">
        <w:rPr>
          <w:sz w:val="24"/>
          <w:szCs w:val="24"/>
        </w:rPr>
        <w:t>acidose</w:t>
      </w:r>
      <w:proofErr w:type="spellEnd"/>
      <w:r w:rsidRPr="009E7659">
        <w:rPr>
          <w:sz w:val="24"/>
          <w:szCs w:val="24"/>
        </w:rPr>
        <w:t xml:space="preserve"> og koma. Selvom symptomerne på overdosering sædvanligvis er reversible, kan en overdosis føre til nyre- eller hjertesvigt.</w:t>
      </w:r>
    </w:p>
    <w:p w14:paraId="09B6BC0A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42588F85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Det er generelt accepteret, at serumniveauer af 25-OH-cholecalciferol på over 375 nmol/l kan være forbundet med forhøjet </w:t>
      </w:r>
      <w:proofErr w:type="spellStart"/>
      <w:r w:rsidRPr="009E7659">
        <w:rPr>
          <w:sz w:val="24"/>
          <w:szCs w:val="24"/>
        </w:rPr>
        <w:t>incidens</w:t>
      </w:r>
      <w:proofErr w:type="spellEnd"/>
      <w:r w:rsidRPr="009E7659">
        <w:rPr>
          <w:sz w:val="24"/>
          <w:szCs w:val="24"/>
        </w:rPr>
        <w:t xml:space="preserve"> af bivirkninger.</w:t>
      </w:r>
    </w:p>
    <w:p w14:paraId="5A86AA85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Forhøjet calcium, fosfat, albumin og </w:t>
      </w:r>
      <w:proofErr w:type="spellStart"/>
      <w:r w:rsidRPr="009E7659">
        <w:rPr>
          <w:sz w:val="24"/>
          <w:szCs w:val="24"/>
        </w:rPr>
        <w:t>karbamid</w:t>
      </w:r>
      <w:proofErr w:type="spellEnd"/>
      <w:r w:rsidRPr="009E7659">
        <w:rPr>
          <w:sz w:val="24"/>
          <w:szCs w:val="24"/>
        </w:rPr>
        <w:t xml:space="preserve"> i blodet samt kolesterol og </w:t>
      </w:r>
      <w:proofErr w:type="spellStart"/>
      <w:r w:rsidRPr="009E7659">
        <w:rPr>
          <w:sz w:val="24"/>
          <w:szCs w:val="24"/>
        </w:rPr>
        <w:t>blodtransaminaser</w:t>
      </w:r>
      <w:proofErr w:type="spellEnd"/>
      <w:r w:rsidRPr="009E7659">
        <w:rPr>
          <w:sz w:val="24"/>
          <w:szCs w:val="24"/>
        </w:rPr>
        <w:t xml:space="preserve"> er typiske for denne type overdosis.</w:t>
      </w:r>
    </w:p>
    <w:p w14:paraId="7B489BE9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2B92338E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  <w:u w:val="single"/>
        </w:rPr>
        <w:t>Behandling</w:t>
      </w:r>
      <w:r w:rsidRPr="009E7659">
        <w:rPr>
          <w:sz w:val="24"/>
          <w:szCs w:val="24"/>
        </w:rPr>
        <w:t xml:space="preserve">: </w:t>
      </w:r>
    </w:p>
    <w:p w14:paraId="22D09672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Behandling af overdosering med Defevix består af:</w:t>
      </w:r>
    </w:p>
    <w:p w14:paraId="37284E4F" w14:textId="77777777" w:rsidR="00BA4DBF" w:rsidRPr="009E7659" w:rsidRDefault="00BA4DBF" w:rsidP="00786D68">
      <w:pPr>
        <w:pStyle w:val="Listeafsnit"/>
        <w:numPr>
          <w:ilvl w:val="0"/>
          <w:numId w:val="9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Seponering</w:t>
      </w:r>
      <w:proofErr w:type="spellEnd"/>
      <w:r w:rsidRPr="009E7659">
        <w:rPr>
          <w:sz w:val="24"/>
          <w:szCs w:val="24"/>
        </w:rPr>
        <w:t xml:space="preserve"> af behandling (med Defevix) og med et evt. administreret calciumtilskud.</w:t>
      </w:r>
    </w:p>
    <w:p w14:paraId="2050FDB3" w14:textId="77777777" w:rsidR="00BA4DBF" w:rsidRPr="009E7659" w:rsidRDefault="00BA4DBF" w:rsidP="00786D68">
      <w:pPr>
        <w:pStyle w:val="Listeafsnit"/>
        <w:numPr>
          <w:ilvl w:val="0"/>
          <w:numId w:val="9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lastRenderedPageBreak/>
        <w:t xml:space="preserve">Følg en diæt med lavt calciumindhold. Administration af store mængder væske, både oralt og parenteralt, tilrådes for at øge </w:t>
      </w:r>
      <w:proofErr w:type="spellStart"/>
      <w:r w:rsidRPr="009E7659">
        <w:rPr>
          <w:sz w:val="24"/>
          <w:szCs w:val="24"/>
        </w:rPr>
        <w:t>ekskretionen</w:t>
      </w:r>
      <w:proofErr w:type="spellEnd"/>
      <w:r w:rsidRPr="009E7659">
        <w:rPr>
          <w:sz w:val="24"/>
          <w:szCs w:val="24"/>
        </w:rPr>
        <w:t xml:space="preserve"> af calcium. Administrer om nødvendigt steroider, og inducer tvungen diurese med </w:t>
      </w:r>
      <w:proofErr w:type="spellStart"/>
      <w:r w:rsidRPr="009E7659">
        <w:rPr>
          <w:sz w:val="24"/>
          <w:szCs w:val="24"/>
        </w:rPr>
        <w:t>loopdiuretika</w:t>
      </w:r>
      <w:proofErr w:type="spellEnd"/>
      <w:r w:rsidRPr="009E7659">
        <w:rPr>
          <w:sz w:val="24"/>
          <w:szCs w:val="24"/>
        </w:rPr>
        <w:t xml:space="preserve"> som </w:t>
      </w:r>
      <w:proofErr w:type="spellStart"/>
      <w:r w:rsidRPr="009E7659">
        <w:rPr>
          <w:sz w:val="24"/>
          <w:szCs w:val="24"/>
        </w:rPr>
        <w:t>furosemid</w:t>
      </w:r>
      <w:proofErr w:type="spellEnd"/>
      <w:r w:rsidRPr="009E7659">
        <w:rPr>
          <w:sz w:val="24"/>
          <w:szCs w:val="24"/>
        </w:rPr>
        <w:t>.</w:t>
      </w:r>
    </w:p>
    <w:p w14:paraId="5E217D10" w14:textId="77777777" w:rsidR="00BA4DBF" w:rsidRPr="009E7659" w:rsidRDefault="00BA4DBF" w:rsidP="00786D68">
      <w:pPr>
        <w:pStyle w:val="Listeafsnit"/>
        <w:numPr>
          <w:ilvl w:val="0"/>
          <w:numId w:val="9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Hvis indtaget er sket inden for de sidste 2 timer, tilrådes gastrisk tømning og tvungen </w:t>
      </w:r>
      <w:proofErr w:type="spellStart"/>
      <w:r w:rsidRPr="009E7659">
        <w:rPr>
          <w:sz w:val="24"/>
          <w:szCs w:val="24"/>
        </w:rPr>
        <w:t>emese</w:t>
      </w:r>
      <w:proofErr w:type="spellEnd"/>
      <w:r w:rsidRPr="009E7659">
        <w:rPr>
          <w:sz w:val="24"/>
          <w:szCs w:val="24"/>
        </w:rPr>
        <w:t xml:space="preserve">. Hvis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allerede er passeret igennem mavesækken, kan der administreres et laksativ (paraffin eller mineralolie). Hvis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allerede er absorberet, kan der udføres hæmodialyse eller </w:t>
      </w:r>
      <w:proofErr w:type="spellStart"/>
      <w:r w:rsidRPr="009E7659">
        <w:rPr>
          <w:sz w:val="24"/>
          <w:szCs w:val="24"/>
        </w:rPr>
        <w:t>peritonealdialyse</w:t>
      </w:r>
      <w:proofErr w:type="spellEnd"/>
      <w:r w:rsidRPr="009E7659">
        <w:rPr>
          <w:sz w:val="24"/>
          <w:szCs w:val="24"/>
        </w:rPr>
        <w:t xml:space="preserve"> med en dialyseopløsning, som er fri for calcium.</w:t>
      </w:r>
    </w:p>
    <w:p w14:paraId="45C7C221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1B6F345F" w14:textId="77777777" w:rsidR="00BA4DBF" w:rsidRPr="009E7659" w:rsidRDefault="00BA4DBF" w:rsidP="00786D68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, som skyldes langvarig administration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, varer ved i ca. 4 uger efter </w:t>
      </w:r>
      <w:proofErr w:type="spellStart"/>
      <w:r w:rsidRPr="009E7659">
        <w:rPr>
          <w:sz w:val="24"/>
          <w:szCs w:val="24"/>
        </w:rPr>
        <w:t>seponering</w:t>
      </w:r>
      <w:proofErr w:type="spellEnd"/>
      <w:r w:rsidRPr="009E7659">
        <w:rPr>
          <w:sz w:val="24"/>
          <w:szCs w:val="24"/>
        </w:rPr>
        <w:t xml:space="preserve"> af behandlingen. Tegn og symptomer på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er sædvanligvis reversible. Forkalkning på grund af langvarig </w:t>
      </w:r>
      <w:proofErr w:type="spellStart"/>
      <w:r w:rsidRPr="009E7659">
        <w:rPr>
          <w:sz w:val="24"/>
          <w:szCs w:val="24"/>
        </w:rPr>
        <w:t>hypercalcæmi</w:t>
      </w:r>
      <w:proofErr w:type="spellEnd"/>
      <w:r w:rsidRPr="009E7659">
        <w:rPr>
          <w:sz w:val="24"/>
          <w:szCs w:val="24"/>
        </w:rPr>
        <w:t xml:space="preserve"> kan imidlertid forårsage alvorligt nyre- eller hjertesvigt og død.</w:t>
      </w:r>
    </w:p>
    <w:p w14:paraId="0F0F8EDC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2E83675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4.10</w:t>
      </w:r>
      <w:r w:rsidRPr="009E7659">
        <w:rPr>
          <w:b/>
          <w:sz w:val="24"/>
          <w:szCs w:val="24"/>
        </w:rPr>
        <w:tab/>
        <w:t>Udlevering</w:t>
      </w:r>
    </w:p>
    <w:p w14:paraId="017E0A9D" w14:textId="65D583CD" w:rsidR="009260DE" w:rsidRPr="009E7659" w:rsidRDefault="00BA4DBF" w:rsidP="009260DE">
      <w:pPr>
        <w:tabs>
          <w:tab w:val="left" w:pos="851"/>
        </w:tabs>
        <w:ind w:left="851"/>
        <w:rPr>
          <w:sz w:val="24"/>
          <w:szCs w:val="24"/>
        </w:rPr>
      </w:pPr>
      <w:r w:rsidRPr="009E7659">
        <w:rPr>
          <w:sz w:val="24"/>
          <w:szCs w:val="24"/>
        </w:rPr>
        <w:t>B</w:t>
      </w:r>
    </w:p>
    <w:p w14:paraId="5B69CFEC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55A74FE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A46F48F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5.</w:t>
      </w:r>
      <w:r w:rsidRPr="009E7659">
        <w:rPr>
          <w:b/>
          <w:sz w:val="24"/>
          <w:szCs w:val="24"/>
        </w:rPr>
        <w:tab/>
        <w:t>FARMAKOLOGISKE EGENSKABER</w:t>
      </w:r>
    </w:p>
    <w:p w14:paraId="0F210C4F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1E1FE02" w14:textId="77777777" w:rsidR="009260DE" w:rsidRPr="009E7659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5.1</w:t>
      </w:r>
      <w:r w:rsidRPr="009E7659">
        <w:rPr>
          <w:b/>
          <w:sz w:val="24"/>
          <w:szCs w:val="24"/>
        </w:rPr>
        <w:tab/>
      </w:r>
      <w:proofErr w:type="spellStart"/>
      <w:r w:rsidRPr="009E7659">
        <w:rPr>
          <w:b/>
          <w:sz w:val="24"/>
          <w:szCs w:val="24"/>
        </w:rPr>
        <w:t>Farmakodynamiske</w:t>
      </w:r>
      <w:proofErr w:type="spellEnd"/>
      <w:r w:rsidRPr="009E7659">
        <w:rPr>
          <w:b/>
          <w:sz w:val="24"/>
          <w:szCs w:val="24"/>
        </w:rPr>
        <w:t xml:space="preserve"> egenskaber</w:t>
      </w:r>
    </w:p>
    <w:p w14:paraId="53E8DC28" w14:textId="27BA29C8" w:rsidR="00BA4DBF" w:rsidRPr="009E7659" w:rsidRDefault="00BA4DBF" w:rsidP="00786D68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Farmakoterapeutisk</w:t>
      </w:r>
      <w:proofErr w:type="spellEnd"/>
      <w:r w:rsidRPr="009E7659">
        <w:rPr>
          <w:sz w:val="24"/>
          <w:szCs w:val="24"/>
        </w:rPr>
        <w:t xml:space="preserve"> klassifikation: </w:t>
      </w:r>
      <w:r w:rsidR="00A029BA">
        <w:rPr>
          <w:sz w:val="24"/>
          <w:szCs w:val="24"/>
        </w:rPr>
        <w:t>V</w:t>
      </w:r>
      <w:r w:rsidRPr="009E7659">
        <w:rPr>
          <w:sz w:val="24"/>
          <w:szCs w:val="24"/>
        </w:rPr>
        <w:t xml:space="preserve">itamin D og </w:t>
      </w:r>
      <w:proofErr w:type="spellStart"/>
      <w:r w:rsidRPr="009E7659">
        <w:rPr>
          <w:sz w:val="24"/>
          <w:szCs w:val="24"/>
        </w:rPr>
        <w:t>analoger</w:t>
      </w:r>
      <w:proofErr w:type="spellEnd"/>
      <w:r w:rsidR="00A029BA">
        <w:rPr>
          <w:sz w:val="24"/>
          <w:szCs w:val="24"/>
        </w:rPr>
        <w:t xml:space="preserve">, </w:t>
      </w:r>
      <w:r w:rsidRPr="009E7659">
        <w:rPr>
          <w:sz w:val="24"/>
          <w:szCs w:val="24"/>
        </w:rPr>
        <w:t>ATC-kode: A11CC06</w:t>
      </w:r>
    </w:p>
    <w:p w14:paraId="2752C75F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2DB73D03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  <w:u w:val="single"/>
        </w:rPr>
        <w:t xml:space="preserve">Virkningsmekanisme </w:t>
      </w:r>
    </w:p>
    <w:p w14:paraId="69AC6A17" w14:textId="24CC50DD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Vitamin D har to hovedformer: D2 (</w:t>
      </w:r>
      <w:proofErr w:type="spellStart"/>
      <w:r w:rsidRPr="009E7659">
        <w:rPr>
          <w:sz w:val="24"/>
          <w:szCs w:val="24"/>
        </w:rPr>
        <w:t>ergocalciferol</w:t>
      </w:r>
      <w:proofErr w:type="spellEnd"/>
      <w:r w:rsidRPr="009E7659">
        <w:rPr>
          <w:sz w:val="24"/>
          <w:szCs w:val="24"/>
        </w:rPr>
        <w:t>) og D3 (</w:t>
      </w:r>
      <w:proofErr w:type="spellStart"/>
      <w:r w:rsidRPr="009E7659">
        <w:rPr>
          <w:sz w:val="24"/>
          <w:szCs w:val="24"/>
        </w:rPr>
        <w:t>cholecalciferol</w:t>
      </w:r>
      <w:proofErr w:type="spellEnd"/>
      <w:r w:rsidRPr="009E7659">
        <w:rPr>
          <w:sz w:val="24"/>
          <w:szCs w:val="24"/>
        </w:rPr>
        <w:t xml:space="preserve">). Vitamin D3 syntetiseres i huden ved udsættelse for sollys (ultraviolet stråling) og hentes i mindre omfang fra kosten. Vitamin D3 (eller </w:t>
      </w:r>
      <w:proofErr w:type="spellStart"/>
      <w:r w:rsidRPr="009E7659">
        <w:rPr>
          <w:sz w:val="24"/>
          <w:szCs w:val="24"/>
        </w:rPr>
        <w:t>cholecalciferol</w:t>
      </w:r>
      <w:proofErr w:type="spellEnd"/>
      <w:r w:rsidRPr="009E7659">
        <w:rPr>
          <w:sz w:val="24"/>
          <w:szCs w:val="24"/>
        </w:rPr>
        <w:t xml:space="preserve">) skal gennemgå en metabolisk proces i to trin for at være aktivt; det første trin forekommer i den </w:t>
      </w:r>
      <w:proofErr w:type="spellStart"/>
      <w:r w:rsidRPr="009E7659">
        <w:rPr>
          <w:sz w:val="24"/>
          <w:szCs w:val="24"/>
        </w:rPr>
        <w:t>mikrosomale</w:t>
      </w:r>
      <w:proofErr w:type="spellEnd"/>
      <w:r w:rsidRPr="009E7659">
        <w:rPr>
          <w:sz w:val="24"/>
          <w:szCs w:val="24"/>
        </w:rPr>
        <w:t xml:space="preserve"> del af leveren, hvor vitamin D3 </w:t>
      </w:r>
      <w:proofErr w:type="spellStart"/>
      <w:r w:rsidRPr="009E7659">
        <w:rPr>
          <w:sz w:val="24"/>
          <w:szCs w:val="24"/>
        </w:rPr>
        <w:t>hydroxyleres</w:t>
      </w:r>
      <w:proofErr w:type="spellEnd"/>
      <w:r w:rsidRPr="009E7659">
        <w:rPr>
          <w:sz w:val="24"/>
          <w:szCs w:val="24"/>
        </w:rPr>
        <w:t xml:space="preserve"> ved position 25 og bliver til 25-hydroxycholecalciferol,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eller </w:t>
      </w:r>
      <w:proofErr w:type="spellStart"/>
      <w:r w:rsidRPr="009E7659">
        <w:rPr>
          <w:sz w:val="24"/>
          <w:szCs w:val="24"/>
        </w:rPr>
        <w:t>calcidiol</w:t>
      </w:r>
      <w:proofErr w:type="spellEnd"/>
      <w:r w:rsidRPr="009E7659">
        <w:rPr>
          <w:sz w:val="24"/>
          <w:szCs w:val="24"/>
        </w:rPr>
        <w:t>. Det andet trin finder sted i nyrerne, hvor 1,25-dihydroxy</w:t>
      </w:r>
      <w:r w:rsidR="00156565">
        <w:rPr>
          <w:sz w:val="24"/>
          <w:szCs w:val="24"/>
        </w:rPr>
        <w:softHyphen/>
      </w:r>
      <w:r w:rsidRPr="009E7659">
        <w:rPr>
          <w:sz w:val="24"/>
          <w:szCs w:val="24"/>
        </w:rPr>
        <w:t xml:space="preserve">cholecalciferol eller </w:t>
      </w:r>
      <w:proofErr w:type="spellStart"/>
      <w:r w:rsidRPr="009E7659">
        <w:rPr>
          <w:sz w:val="24"/>
          <w:szCs w:val="24"/>
        </w:rPr>
        <w:t>calcitriol</w:t>
      </w:r>
      <w:proofErr w:type="spellEnd"/>
      <w:r w:rsidRPr="009E7659">
        <w:rPr>
          <w:sz w:val="24"/>
          <w:szCs w:val="24"/>
        </w:rPr>
        <w:t xml:space="preserve"> dannes på grund af aktiviteten af enzymet 25-hydroxy</w:t>
      </w:r>
      <w:r w:rsidR="00156565">
        <w:rPr>
          <w:sz w:val="24"/>
          <w:szCs w:val="24"/>
        </w:rPr>
        <w:softHyphen/>
      </w:r>
      <w:r w:rsidRPr="009E7659">
        <w:rPr>
          <w:sz w:val="24"/>
          <w:szCs w:val="24"/>
        </w:rPr>
        <w:t xml:space="preserve">cholecalciferol 1alpha-hydroxylase. Omdannelsen til 1,25-dihydroxycholecalciferol i nyrerne reguleres blandt andet af dets egen koncentration, af </w:t>
      </w:r>
      <w:proofErr w:type="spellStart"/>
      <w:r w:rsidRPr="009E7659">
        <w:rPr>
          <w:sz w:val="24"/>
          <w:szCs w:val="24"/>
        </w:rPr>
        <w:t>parathyroideahormonet</w:t>
      </w:r>
      <w:proofErr w:type="spellEnd"/>
      <w:r w:rsidRPr="009E7659">
        <w:rPr>
          <w:sz w:val="24"/>
          <w:szCs w:val="24"/>
        </w:rPr>
        <w:t xml:space="preserve"> (PTH) og af serumcalcium- og fosfatkoncentrationen. Der er andre metabolitter med ukendt funktion. 1,25-dihydroxycholecalciferol transporteres fra nyrerne til målvævene (bl.a. tarm, knogler og </w:t>
      </w:r>
      <w:proofErr w:type="spellStart"/>
      <w:r w:rsidRPr="009E7659">
        <w:rPr>
          <w:sz w:val="24"/>
          <w:szCs w:val="24"/>
        </w:rPr>
        <w:t>parathyroideakirtler</w:t>
      </w:r>
      <w:proofErr w:type="spellEnd"/>
      <w:r w:rsidRPr="009E7659">
        <w:rPr>
          <w:sz w:val="24"/>
          <w:szCs w:val="24"/>
        </w:rPr>
        <w:t>) ved at binde sig til specifikke plasmaproteiner.</w:t>
      </w:r>
    </w:p>
    <w:p w14:paraId="166ED192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346A8004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proofErr w:type="spellStart"/>
      <w:r w:rsidRPr="009E7659">
        <w:rPr>
          <w:sz w:val="24"/>
          <w:szCs w:val="24"/>
          <w:u w:val="single"/>
        </w:rPr>
        <w:t>Farmakodynamiske</w:t>
      </w:r>
      <w:proofErr w:type="spellEnd"/>
      <w:r w:rsidRPr="009E7659">
        <w:rPr>
          <w:sz w:val="24"/>
          <w:szCs w:val="24"/>
          <w:u w:val="single"/>
        </w:rPr>
        <w:t xml:space="preserve"> virkninger</w:t>
      </w:r>
    </w:p>
    <w:p w14:paraId="74BDF935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Aktivt vitamin D øger absorptionen af calcium og fosfor i tarmen, forbedrer den normale knogledannelse og -</w:t>
      </w:r>
      <w:proofErr w:type="spellStart"/>
      <w:r w:rsidRPr="009E7659">
        <w:rPr>
          <w:sz w:val="24"/>
          <w:szCs w:val="24"/>
        </w:rPr>
        <w:t>mineralisering</w:t>
      </w:r>
      <w:proofErr w:type="spellEnd"/>
      <w:r w:rsidRPr="009E7659">
        <w:rPr>
          <w:sz w:val="24"/>
          <w:szCs w:val="24"/>
        </w:rPr>
        <w:t xml:space="preserve"> og virker på forskellige niveauer: </w:t>
      </w:r>
    </w:p>
    <w:p w14:paraId="370E6BB4" w14:textId="77777777" w:rsidR="00BA4DBF" w:rsidRPr="009E7659" w:rsidRDefault="00BA4DBF" w:rsidP="00786D68">
      <w:pPr>
        <w:pStyle w:val="Listeafsnit"/>
        <w:numPr>
          <w:ilvl w:val="0"/>
          <w:numId w:val="10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Tarm: Vitamin D øger absorptionen af calcium og fosfor i tyndtarmen. </w:t>
      </w:r>
    </w:p>
    <w:p w14:paraId="3F469F33" w14:textId="77777777" w:rsidR="00BA4DBF" w:rsidRPr="009E7659" w:rsidRDefault="00BA4DBF" w:rsidP="00786D68">
      <w:pPr>
        <w:pStyle w:val="Listeafsnit"/>
        <w:numPr>
          <w:ilvl w:val="0"/>
          <w:numId w:val="10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Knogler: </w:t>
      </w:r>
      <w:proofErr w:type="spellStart"/>
      <w:r w:rsidRPr="009E7659">
        <w:rPr>
          <w:sz w:val="24"/>
          <w:szCs w:val="24"/>
        </w:rPr>
        <w:t>Calcitriol</w:t>
      </w:r>
      <w:proofErr w:type="spellEnd"/>
      <w:r w:rsidRPr="009E7659">
        <w:rPr>
          <w:sz w:val="24"/>
          <w:szCs w:val="24"/>
        </w:rPr>
        <w:t xml:space="preserve"> øger knogledannelse ved at øge niveauerne af calcium og fosfat og stimulere osteoblasternes virkning.</w:t>
      </w:r>
    </w:p>
    <w:p w14:paraId="135633F5" w14:textId="77777777" w:rsidR="00BA4DBF" w:rsidRPr="009E7659" w:rsidRDefault="00BA4DBF" w:rsidP="00786D68">
      <w:pPr>
        <w:pStyle w:val="Listeafsnit"/>
        <w:numPr>
          <w:ilvl w:val="0"/>
          <w:numId w:val="10"/>
        </w:numPr>
        <w:spacing w:line="240" w:lineRule="auto"/>
        <w:ind w:left="1276" w:hanging="425"/>
        <w:rPr>
          <w:sz w:val="24"/>
          <w:szCs w:val="24"/>
        </w:rPr>
      </w:pPr>
      <w:r w:rsidRPr="009E7659">
        <w:rPr>
          <w:sz w:val="24"/>
          <w:szCs w:val="24"/>
        </w:rPr>
        <w:t xml:space="preserve">Nyrer: </w:t>
      </w:r>
      <w:proofErr w:type="spellStart"/>
      <w:r w:rsidRPr="009E7659">
        <w:rPr>
          <w:sz w:val="24"/>
          <w:szCs w:val="24"/>
        </w:rPr>
        <w:t>Calcitriol</w:t>
      </w:r>
      <w:proofErr w:type="spellEnd"/>
      <w:r w:rsidRPr="009E7659">
        <w:rPr>
          <w:sz w:val="24"/>
          <w:szCs w:val="24"/>
        </w:rPr>
        <w:t xml:space="preserve"> forbedrer </w:t>
      </w:r>
      <w:proofErr w:type="spellStart"/>
      <w:r w:rsidRPr="009E7659">
        <w:rPr>
          <w:sz w:val="24"/>
          <w:szCs w:val="24"/>
        </w:rPr>
        <w:t>reabsorptionen</w:t>
      </w:r>
      <w:proofErr w:type="spellEnd"/>
      <w:r w:rsidRPr="009E7659">
        <w:rPr>
          <w:sz w:val="24"/>
          <w:szCs w:val="24"/>
        </w:rPr>
        <w:t xml:space="preserve"> af calcium i </w:t>
      </w:r>
      <w:proofErr w:type="spellStart"/>
      <w:r w:rsidRPr="009E7659">
        <w:rPr>
          <w:sz w:val="24"/>
          <w:szCs w:val="24"/>
        </w:rPr>
        <w:t>tubuli</w:t>
      </w:r>
      <w:proofErr w:type="spellEnd"/>
      <w:r w:rsidRPr="009E7659">
        <w:rPr>
          <w:sz w:val="24"/>
          <w:szCs w:val="24"/>
        </w:rPr>
        <w:t>.</w:t>
      </w:r>
    </w:p>
    <w:p w14:paraId="6D13FBF8" w14:textId="77777777" w:rsidR="00BA4DBF" w:rsidRPr="009E7659" w:rsidRDefault="00BA4DBF" w:rsidP="00786D68">
      <w:pPr>
        <w:pStyle w:val="Listeafsnit"/>
        <w:numPr>
          <w:ilvl w:val="0"/>
          <w:numId w:val="10"/>
        </w:numPr>
        <w:spacing w:line="240" w:lineRule="auto"/>
        <w:ind w:left="1276" w:hanging="425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Parathyroideakirtler</w:t>
      </w:r>
      <w:proofErr w:type="spellEnd"/>
      <w:r w:rsidRPr="009E7659">
        <w:rPr>
          <w:sz w:val="24"/>
          <w:szCs w:val="24"/>
        </w:rPr>
        <w:t xml:space="preserve">: Vitamin D hæmmer sekretionen af </w:t>
      </w:r>
      <w:proofErr w:type="spellStart"/>
      <w:r w:rsidRPr="009E7659">
        <w:rPr>
          <w:sz w:val="24"/>
          <w:szCs w:val="24"/>
        </w:rPr>
        <w:t>parathyroideahormon</w:t>
      </w:r>
      <w:proofErr w:type="spellEnd"/>
      <w:r w:rsidRPr="009E7659">
        <w:rPr>
          <w:sz w:val="24"/>
          <w:szCs w:val="24"/>
        </w:rPr>
        <w:t>.</w:t>
      </w:r>
    </w:p>
    <w:p w14:paraId="32B63B40" w14:textId="77777777" w:rsidR="00BA4DBF" w:rsidRPr="009E7659" w:rsidRDefault="00BA4DBF" w:rsidP="00A029BA">
      <w:pPr>
        <w:ind w:left="851"/>
        <w:rPr>
          <w:sz w:val="24"/>
          <w:szCs w:val="24"/>
          <w:lang w:eastAsia="es-ES"/>
        </w:rPr>
      </w:pPr>
    </w:p>
    <w:p w14:paraId="140BDE4B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 xml:space="preserve">Klinisk virkning og sikkerhed </w:t>
      </w:r>
    </w:p>
    <w:p w14:paraId="265BA722" w14:textId="77777777" w:rsidR="00BA4DBF" w:rsidRPr="009E7659" w:rsidRDefault="00BA4DBF" w:rsidP="00786D68">
      <w:pPr>
        <w:ind w:left="851"/>
        <w:rPr>
          <w:sz w:val="24"/>
          <w:szCs w:val="24"/>
        </w:rPr>
      </w:pPr>
      <w:bookmarkStart w:id="21" w:name="_Hlk71706391"/>
      <w:r w:rsidRPr="009E7659">
        <w:rPr>
          <w:sz w:val="24"/>
          <w:szCs w:val="24"/>
        </w:rPr>
        <w:t xml:space="preserve">Virkningen og sikkerheden af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75, 100 og 125 mikrogram bløde kapsler er evalueret i et randomiseret, dobbeltblindet, dobbeltdummy, kontrolleret, multicenter-, </w:t>
      </w:r>
      <w:proofErr w:type="spellStart"/>
      <w:r w:rsidRPr="009E7659">
        <w:rPr>
          <w:sz w:val="24"/>
          <w:szCs w:val="24"/>
        </w:rPr>
        <w:t>dosisfindings</w:t>
      </w:r>
      <w:proofErr w:type="spellEnd"/>
      <w:r w:rsidRPr="009E7659">
        <w:rPr>
          <w:sz w:val="24"/>
          <w:szCs w:val="24"/>
        </w:rPr>
        <w:t xml:space="preserve">-, fase II/III-forsøg i den almene befolkning med serumniveauer af 25(OH)D &lt;50 nmol/l. Ud fra baselineniveauerne af 25(OH)D ved besøg 1 blev </w:t>
      </w:r>
      <w:r w:rsidRPr="009E7659">
        <w:rPr>
          <w:sz w:val="24"/>
          <w:szCs w:val="24"/>
        </w:rPr>
        <w:lastRenderedPageBreak/>
        <w:t>deltagerne allokeret til kohorte 1 (25(OH)D: &gt;10 til &lt;20 </w:t>
      </w:r>
      <w:proofErr w:type="spellStart"/>
      <w:r w:rsidRPr="009E7659">
        <w:rPr>
          <w:sz w:val="24"/>
          <w:szCs w:val="24"/>
        </w:rPr>
        <w:t>ng</w:t>
      </w:r>
      <w:proofErr w:type="spellEnd"/>
      <w:r w:rsidRPr="009E7659">
        <w:rPr>
          <w:sz w:val="24"/>
          <w:szCs w:val="24"/>
        </w:rPr>
        <w:t>/ml) eller til kohorte 2 (25(OH)D: ≤10 </w:t>
      </w:r>
      <w:proofErr w:type="spellStart"/>
      <w:r w:rsidRPr="009E7659">
        <w:rPr>
          <w:sz w:val="24"/>
          <w:szCs w:val="24"/>
        </w:rPr>
        <w:t>ng</w:t>
      </w:r>
      <w:proofErr w:type="spellEnd"/>
      <w:r w:rsidRPr="009E7659">
        <w:rPr>
          <w:sz w:val="24"/>
          <w:szCs w:val="24"/>
        </w:rPr>
        <w:t xml:space="preserve">/ml). Forsøgsdeltagerne i kohorte 1 blev randomiseret til behandling med placebo,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75 mikrogram/uge eller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100 mikrogram/uge. Forsøgsdeltagerne i kohorte 2 blev randomiseret til behandling med placebo,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100 mikrogram/uge eller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125 mikrogram/uge.</w:t>
      </w:r>
    </w:p>
    <w:p w14:paraId="25278C8F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79480F2E" w14:textId="6274EF8D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674 forsøgsdeltagere blev randomiseret, og 636 gennemførte forsøgets hovedfase (4</w:t>
      </w:r>
      <w:r w:rsidR="00801353">
        <w:rPr>
          <w:sz w:val="24"/>
          <w:szCs w:val="24"/>
        </w:rPr>
        <w:t> </w:t>
      </w:r>
      <w:r w:rsidRPr="009E7659">
        <w:rPr>
          <w:sz w:val="24"/>
          <w:szCs w:val="24"/>
        </w:rPr>
        <w:t xml:space="preserve">måneder): 376 forsøgsdeltagere i kohorte 1 og 260 forsøgsdeltagere i kohorte 2. </w:t>
      </w:r>
    </w:p>
    <w:p w14:paraId="5C7B519E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01F7089F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Procentdelen af respondere i kohorte 1 (25(OH)D: &gt;10 til &lt;20 g/ml) og kohorte 2 (25(OH)D: ≤10 </w:t>
      </w:r>
      <w:proofErr w:type="spellStart"/>
      <w:r w:rsidRPr="009E7659">
        <w:rPr>
          <w:sz w:val="24"/>
          <w:szCs w:val="24"/>
        </w:rPr>
        <w:t>ng</w:t>
      </w:r>
      <w:proofErr w:type="spellEnd"/>
      <w:r w:rsidRPr="009E7659">
        <w:rPr>
          <w:sz w:val="24"/>
          <w:szCs w:val="24"/>
        </w:rPr>
        <w:t>/ml) ved 16 uger (primært endepunkt) er præsenteret i følgende tabeller.</w:t>
      </w:r>
    </w:p>
    <w:p w14:paraId="7D1276A7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485EDC08" w14:textId="77777777" w:rsidR="00BA4DBF" w:rsidRPr="009E7659" w:rsidRDefault="00BA4DBF" w:rsidP="00BA4DBF">
      <w:pPr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Responsrater ved besøg 4 (16 uger) – kohorte 1 (N = 388)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2240"/>
        <w:gridCol w:w="1989"/>
        <w:gridCol w:w="2557"/>
        <w:gridCol w:w="2842"/>
      </w:tblGrid>
      <w:tr w:rsidR="00BA4DBF" w:rsidRPr="009E7659" w14:paraId="2C27DE8F" w14:textId="77777777" w:rsidTr="00786D68">
        <w:trPr>
          <w:trHeight w:val="624"/>
        </w:trPr>
        <w:tc>
          <w:tcPr>
            <w:tcW w:w="116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A2BF6F2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25-OH-D-niveau</w:t>
            </w:r>
          </w:p>
        </w:tc>
        <w:tc>
          <w:tcPr>
            <w:tcW w:w="10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3AD8C2B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Placebo</w:t>
            </w:r>
            <w:r w:rsidRPr="009E7659">
              <w:rPr>
                <w:sz w:val="24"/>
                <w:szCs w:val="24"/>
              </w:rPr>
              <w:br/>
              <w:t>(N = 73)</w:t>
            </w:r>
          </w:p>
        </w:tc>
        <w:tc>
          <w:tcPr>
            <w:tcW w:w="132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E6F09D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proofErr w:type="spellStart"/>
            <w:r w:rsidRPr="009E7659">
              <w:rPr>
                <w:sz w:val="24"/>
                <w:szCs w:val="24"/>
              </w:rPr>
              <w:t>Calcifediolmonohydrat</w:t>
            </w:r>
            <w:proofErr w:type="spellEnd"/>
            <w:r w:rsidRPr="009E7659">
              <w:rPr>
                <w:sz w:val="24"/>
                <w:szCs w:val="24"/>
              </w:rPr>
              <w:t xml:space="preserve"> 75 mikrogram</w:t>
            </w:r>
            <w:r w:rsidRPr="009E7659">
              <w:rPr>
                <w:sz w:val="24"/>
                <w:szCs w:val="24"/>
              </w:rPr>
              <w:br/>
              <w:t>(N = 156)</w:t>
            </w:r>
          </w:p>
        </w:tc>
        <w:tc>
          <w:tcPr>
            <w:tcW w:w="14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A98A35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proofErr w:type="spellStart"/>
            <w:r w:rsidRPr="009E7659">
              <w:rPr>
                <w:sz w:val="24"/>
                <w:szCs w:val="24"/>
              </w:rPr>
              <w:t>Calcifediolmonohydrat</w:t>
            </w:r>
            <w:proofErr w:type="spellEnd"/>
            <w:r w:rsidRPr="009E7659">
              <w:rPr>
                <w:sz w:val="24"/>
                <w:szCs w:val="24"/>
              </w:rPr>
              <w:t xml:space="preserve"> 100 mikrogram</w:t>
            </w:r>
            <w:r w:rsidRPr="009E7659">
              <w:rPr>
                <w:sz w:val="24"/>
                <w:szCs w:val="24"/>
              </w:rPr>
              <w:br/>
              <w:t>(N = 159)</w:t>
            </w:r>
          </w:p>
        </w:tc>
      </w:tr>
      <w:tr w:rsidR="00BA4DBF" w:rsidRPr="009E7659" w14:paraId="71416072" w14:textId="77777777" w:rsidTr="00786D68">
        <w:trPr>
          <w:trHeight w:val="397"/>
        </w:trPr>
        <w:tc>
          <w:tcPr>
            <w:tcW w:w="116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091DC7C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≥ 30 </w:t>
            </w:r>
            <w:proofErr w:type="spellStart"/>
            <w:r w:rsidRPr="009E7659">
              <w:rPr>
                <w:sz w:val="24"/>
                <w:szCs w:val="24"/>
              </w:rPr>
              <w:t>ng</w:t>
            </w:r>
            <w:proofErr w:type="spellEnd"/>
            <w:r w:rsidRPr="009E7659">
              <w:rPr>
                <w:sz w:val="24"/>
                <w:szCs w:val="24"/>
              </w:rPr>
              <w:t xml:space="preserve">/ml, </w:t>
            </w:r>
            <w:r w:rsidRPr="009E7659">
              <w:rPr>
                <w:i/>
                <w:sz w:val="24"/>
                <w:szCs w:val="24"/>
              </w:rPr>
              <w:t>n</w:t>
            </w:r>
            <w:r w:rsidRPr="009E7659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0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6C42DEE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8 (11,0 %)</w:t>
            </w:r>
          </w:p>
        </w:tc>
        <w:tc>
          <w:tcPr>
            <w:tcW w:w="132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22D5BB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116 (74,4 %)</w:t>
            </w:r>
          </w:p>
        </w:tc>
        <w:tc>
          <w:tcPr>
            <w:tcW w:w="14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6E51B5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143 (89,9 %)</w:t>
            </w:r>
          </w:p>
        </w:tc>
      </w:tr>
      <w:tr w:rsidR="00BA4DBF" w:rsidRPr="009E7659" w14:paraId="4F148B49" w14:textId="77777777" w:rsidTr="00786D68">
        <w:trPr>
          <w:trHeight w:val="397"/>
        </w:trPr>
        <w:tc>
          <w:tcPr>
            <w:tcW w:w="116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41DF17E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≥ 20 </w:t>
            </w:r>
            <w:proofErr w:type="spellStart"/>
            <w:r w:rsidRPr="009E7659">
              <w:rPr>
                <w:sz w:val="24"/>
                <w:szCs w:val="24"/>
              </w:rPr>
              <w:t>ng</w:t>
            </w:r>
            <w:proofErr w:type="spellEnd"/>
            <w:r w:rsidRPr="009E7659">
              <w:rPr>
                <w:sz w:val="24"/>
                <w:szCs w:val="24"/>
              </w:rPr>
              <w:t xml:space="preserve">/ml, </w:t>
            </w:r>
            <w:r w:rsidRPr="009E7659">
              <w:rPr>
                <w:i/>
                <w:sz w:val="24"/>
                <w:szCs w:val="24"/>
              </w:rPr>
              <w:t>n</w:t>
            </w:r>
            <w:r w:rsidRPr="009E7659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033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BC6672F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37 (50,7 %)</w:t>
            </w:r>
          </w:p>
        </w:tc>
        <w:tc>
          <w:tcPr>
            <w:tcW w:w="132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5714C04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146 (93,6 %)</w:t>
            </w:r>
          </w:p>
        </w:tc>
        <w:tc>
          <w:tcPr>
            <w:tcW w:w="14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67E1C68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157 (98,7 %)</w:t>
            </w:r>
          </w:p>
        </w:tc>
      </w:tr>
    </w:tbl>
    <w:p w14:paraId="623050A0" w14:textId="77777777" w:rsidR="00BA4DBF" w:rsidRPr="009E7659" w:rsidRDefault="00BA4DBF" w:rsidP="00BA4DBF">
      <w:pPr>
        <w:rPr>
          <w:sz w:val="24"/>
          <w:szCs w:val="24"/>
          <w:lang w:val="en-US" w:eastAsia="es-ES"/>
        </w:rPr>
      </w:pPr>
    </w:p>
    <w:p w14:paraId="7291F38C" w14:textId="77777777" w:rsidR="00BA4DBF" w:rsidRPr="009E7659" w:rsidRDefault="00BA4DBF" w:rsidP="00BA4DBF">
      <w:pPr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Responsrater ved besøg 4 (16 uger) – kohorte 2 (N = 269)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20" w:firstRow="1" w:lastRow="0" w:firstColumn="0" w:lastColumn="0" w:noHBand="0" w:noVBand="1"/>
      </w:tblPr>
      <w:tblGrid>
        <w:gridCol w:w="2097"/>
        <w:gridCol w:w="2132"/>
        <w:gridCol w:w="2557"/>
        <w:gridCol w:w="2842"/>
      </w:tblGrid>
      <w:tr w:rsidR="00BA4DBF" w:rsidRPr="009E7659" w14:paraId="38750658" w14:textId="77777777" w:rsidTr="00786D68">
        <w:trPr>
          <w:trHeight w:val="737"/>
        </w:trPr>
        <w:tc>
          <w:tcPr>
            <w:tcW w:w="10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4393180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25-OH-D-niveau</w:t>
            </w:r>
          </w:p>
        </w:tc>
        <w:tc>
          <w:tcPr>
            <w:tcW w:w="11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12CEE38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Placebo</w:t>
            </w:r>
            <w:r w:rsidRPr="009E7659">
              <w:rPr>
                <w:sz w:val="24"/>
                <w:szCs w:val="24"/>
              </w:rPr>
              <w:br/>
              <w:t>(N = 55)</w:t>
            </w:r>
          </w:p>
        </w:tc>
        <w:tc>
          <w:tcPr>
            <w:tcW w:w="132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BB9158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proofErr w:type="spellStart"/>
            <w:r w:rsidRPr="009E7659">
              <w:rPr>
                <w:sz w:val="24"/>
                <w:szCs w:val="24"/>
              </w:rPr>
              <w:t>Calcifediolmonohydrat</w:t>
            </w:r>
            <w:proofErr w:type="spellEnd"/>
            <w:r w:rsidRPr="009E7659">
              <w:rPr>
                <w:sz w:val="24"/>
                <w:szCs w:val="24"/>
              </w:rPr>
              <w:t xml:space="preserve"> 100 mikrogram</w:t>
            </w:r>
            <w:r w:rsidRPr="009E7659">
              <w:rPr>
                <w:sz w:val="24"/>
                <w:szCs w:val="24"/>
              </w:rPr>
              <w:br/>
              <w:t>(N = 104)</w:t>
            </w:r>
          </w:p>
        </w:tc>
        <w:tc>
          <w:tcPr>
            <w:tcW w:w="14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DC39CE2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proofErr w:type="spellStart"/>
            <w:r w:rsidRPr="009E7659">
              <w:rPr>
                <w:sz w:val="24"/>
                <w:szCs w:val="24"/>
              </w:rPr>
              <w:t>Calcifediolmonohydrat</w:t>
            </w:r>
            <w:proofErr w:type="spellEnd"/>
          </w:p>
          <w:p w14:paraId="14666D1F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125 mikrogram</w:t>
            </w:r>
            <w:r w:rsidRPr="009E7659">
              <w:rPr>
                <w:sz w:val="24"/>
                <w:szCs w:val="24"/>
              </w:rPr>
              <w:br/>
              <w:t>(N = 110)</w:t>
            </w:r>
          </w:p>
        </w:tc>
      </w:tr>
      <w:tr w:rsidR="00BA4DBF" w:rsidRPr="009E7659" w14:paraId="14768354" w14:textId="77777777" w:rsidTr="00786D68">
        <w:trPr>
          <w:trHeight w:val="397"/>
        </w:trPr>
        <w:tc>
          <w:tcPr>
            <w:tcW w:w="10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C812DC4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≥ 30 </w:t>
            </w:r>
            <w:proofErr w:type="spellStart"/>
            <w:r w:rsidRPr="009E7659">
              <w:rPr>
                <w:sz w:val="24"/>
                <w:szCs w:val="24"/>
              </w:rPr>
              <w:t>ng</w:t>
            </w:r>
            <w:proofErr w:type="spellEnd"/>
            <w:r w:rsidRPr="009E7659">
              <w:rPr>
                <w:sz w:val="24"/>
                <w:szCs w:val="24"/>
              </w:rPr>
              <w:t xml:space="preserve">/ml, </w:t>
            </w:r>
            <w:r w:rsidRPr="009E7659">
              <w:rPr>
                <w:i/>
                <w:sz w:val="24"/>
                <w:szCs w:val="24"/>
              </w:rPr>
              <w:t>n</w:t>
            </w:r>
            <w:r w:rsidRPr="009E7659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1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C5A334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0 (0,0 %)</w:t>
            </w:r>
          </w:p>
        </w:tc>
        <w:tc>
          <w:tcPr>
            <w:tcW w:w="132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12C40D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51 (49,0 %)</w:t>
            </w:r>
          </w:p>
        </w:tc>
        <w:tc>
          <w:tcPr>
            <w:tcW w:w="14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F80F7A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84 (76,4 %)</w:t>
            </w:r>
          </w:p>
        </w:tc>
      </w:tr>
      <w:tr w:rsidR="00BA4DBF" w:rsidRPr="009E7659" w14:paraId="6079F43A" w14:textId="77777777" w:rsidTr="00786D68">
        <w:trPr>
          <w:trHeight w:val="397"/>
        </w:trPr>
        <w:tc>
          <w:tcPr>
            <w:tcW w:w="108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98F659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≥ 20 </w:t>
            </w:r>
            <w:proofErr w:type="spellStart"/>
            <w:r w:rsidRPr="009E7659">
              <w:rPr>
                <w:sz w:val="24"/>
                <w:szCs w:val="24"/>
              </w:rPr>
              <w:t>ng</w:t>
            </w:r>
            <w:proofErr w:type="spellEnd"/>
            <w:r w:rsidRPr="009E7659">
              <w:rPr>
                <w:sz w:val="24"/>
                <w:szCs w:val="24"/>
              </w:rPr>
              <w:t xml:space="preserve">/ml, </w:t>
            </w:r>
            <w:r w:rsidRPr="009E7659">
              <w:rPr>
                <w:i/>
                <w:sz w:val="24"/>
                <w:szCs w:val="24"/>
              </w:rPr>
              <w:t>n</w:t>
            </w:r>
            <w:r w:rsidRPr="009E7659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107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2F7D17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4 (7,3 %)</w:t>
            </w:r>
          </w:p>
        </w:tc>
        <w:tc>
          <w:tcPr>
            <w:tcW w:w="1328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CDE9D25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96 (92,3 %)</w:t>
            </w:r>
          </w:p>
        </w:tc>
        <w:tc>
          <w:tcPr>
            <w:tcW w:w="147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3F5A59" w14:textId="77777777" w:rsidR="00BA4DBF" w:rsidRPr="009E7659" w:rsidRDefault="00BA4DBF">
            <w:pPr>
              <w:jc w:val="center"/>
              <w:rPr>
                <w:sz w:val="24"/>
                <w:szCs w:val="24"/>
              </w:rPr>
            </w:pPr>
            <w:r w:rsidRPr="009E7659">
              <w:rPr>
                <w:sz w:val="24"/>
                <w:szCs w:val="24"/>
              </w:rPr>
              <w:t>101 (91,8 %)</w:t>
            </w:r>
          </w:p>
        </w:tc>
      </w:tr>
    </w:tbl>
    <w:p w14:paraId="419B447D" w14:textId="77777777" w:rsidR="00BA4DBF" w:rsidRPr="009E7659" w:rsidRDefault="00BA4DBF" w:rsidP="00786D68">
      <w:pPr>
        <w:ind w:left="851"/>
        <w:rPr>
          <w:sz w:val="24"/>
          <w:szCs w:val="24"/>
          <w:lang w:val="en-US" w:eastAsia="es-ES"/>
        </w:rPr>
      </w:pPr>
    </w:p>
    <w:p w14:paraId="7C9F4D11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Der blev påvist </w:t>
      </w:r>
      <w:proofErr w:type="spellStart"/>
      <w:r w:rsidRPr="009E7659">
        <w:rPr>
          <w:sz w:val="24"/>
          <w:szCs w:val="24"/>
        </w:rPr>
        <w:t>superioritet</w:t>
      </w:r>
      <w:proofErr w:type="spellEnd"/>
      <w:r w:rsidRPr="009E7659">
        <w:rPr>
          <w:sz w:val="24"/>
          <w:szCs w:val="24"/>
        </w:rPr>
        <w:t xml:space="preserve"> af </w:t>
      </w:r>
      <w:proofErr w:type="spellStart"/>
      <w:r w:rsidRPr="009E7659">
        <w:rPr>
          <w:sz w:val="24"/>
          <w:szCs w:val="24"/>
        </w:rPr>
        <w:t>calcifediolgrupperne</w:t>
      </w:r>
      <w:proofErr w:type="spellEnd"/>
      <w:r w:rsidRPr="009E7659">
        <w:rPr>
          <w:sz w:val="24"/>
          <w:szCs w:val="24"/>
        </w:rPr>
        <w:t xml:space="preserve"> vs. placebo i begge kohorter for begge tærskler (20 og 30 </w:t>
      </w:r>
      <w:proofErr w:type="spellStart"/>
      <w:r w:rsidRPr="009E7659">
        <w:rPr>
          <w:sz w:val="24"/>
          <w:szCs w:val="24"/>
        </w:rPr>
        <w:t>ng</w:t>
      </w:r>
      <w:proofErr w:type="spellEnd"/>
      <w:r w:rsidRPr="009E7659">
        <w:rPr>
          <w:sz w:val="24"/>
          <w:szCs w:val="24"/>
        </w:rPr>
        <w:t xml:space="preserve">/ml) ved 16 uger (primært endepunkt) (p &lt;0,0001 for hver hypotese). Desuden blev der påvist </w:t>
      </w:r>
      <w:proofErr w:type="spellStart"/>
      <w:r w:rsidRPr="009E7659">
        <w:rPr>
          <w:sz w:val="24"/>
          <w:szCs w:val="24"/>
        </w:rPr>
        <w:t>superioritet</w:t>
      </w:r>
      <w:proofErr w:type="spellEnd"/>
      <w:r w:rsidRPr="009E7659">
        <w:rPr>
          <w:sz w:val="24"/>
          <w:szCs w:val="24"/>
        </w:rPr>
        <w:t xml:space="preserve"> for den højere </w:t>
      </w:r>
      <w:proofErr w:type="spellStart"/>
      <w:r w:rsidRPr="009E7659">
        <w:rPr>
          <w:sz w:val="24"/>
          <w:szCs w:val="24"/>
        </w:rPr>
        <w:t>calcifedioldose</w:t>
      </w:r>
      <w:proofErr w:type="spellEnd"/>
      <w:r w:rsidRPr="009E7659">
        <w:rPr>
          <w:sz w:val="24"/>
          <w:szCs w:val="24"/>
        </w:rPr>
        <w:t xml:space="preserve"> vs. den lavere </w:t>
      </w:r>
      <w:proofErr w:type="spellStart"/>
      <w:r w:rsidRPr="009E7659">
        <w:rPr>
          <w:sz w:val="24"/>
          <w:szCs w:val="24"/>
        </w:rPr>
        <w:t>calcifedioldose</w:t>
      </w:r>
      <w:proofErr w:type="spellEnd"/>
      <w:r w:rsidRPr="009E7659">
        <w:rPr>
          <w:sz w:val="24"/>
          <w:szCs w:val="24"/>
        </w:rPr>
        <w:t xml:space="preserve"> i begge kohorter for et 25(OH)D-responsniveau på ≥30 </w:t>
      </w:r>
      <w:proofErr w:type="spellStart"/>
      <w:r w:rsidRPr="009E7659">
        <w:rPr>
          <w:sz w:val="24"/>
          <w:szCs w:val="24"/>
        </w:rPr>
        <w:t>ng</w:t>
      </w:r>
      <w:proofErr w:type="spellEnd"/>
      <w:r w:rsidRPr="009E7659">
        <w:rPr>
          <w:sz w:val="24"/>
          <w:szCs w:val="24"/>
        </w:rPr>
        <w:t xml:space="preserve">/ml (P = 0,0002 for kohorte 1 og P &lt;0,0001 for kohorte 2). </w:t>
      </w:r>
      <w:bookmarkEnd w:id="21"/>
    </w:p>
    <w:p w14:paraId="065C8754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26C068A0" w14:textId="77777777" w:rsidR="00BA4DBF" w:rsidRPr="009E7659" w:rsidRDefault="00BA4DBF" w:rsidP="00786D68">
      <w:pPr>
        <w:ind w:left="851"/>
        <w:rPr>
          <w:sz w:val="24"/>
          <w:szCs w:val="24"/>
        </w:rPr>
      </w:pPr>
      <w:bookmarkStart w:id="22" w:name="_Hlk156826228"/>
      <w:r w:rsidRPr="009E7659">
        <w:rPr>
          <w:sz w:val="24"/>
          <w:szCs w:val="24"/>
        </w:rPr>
        <w:t xml:space="preserve">De højeste niveauer af 25(OH)D med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75, 100 og 125 mikrogram bløde kapsler blev opnået efter 6 måneders behandling, hvilket tyder på, at der ikke er nogen kumulativ effekt.</w:t>
      </w:r>
    </w:p>
    <w:bookmarkEnd w:id="22"/>
    <w:p w14:paraId="3E7A8410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7D292DA7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Behandlingen med de tre afprøvede doser af </w:t>
      </w:r>
      <w:proofErr w:type="spellStart"/>
      <w:r w:rsidRPr="009E7659">
        <w:rPr>
          <w:sz w:val="24"/>
          <w:szCs w:val="24"/>
        </w:rPr>
        <w:t>calcifediolmonohydrat</w:t>
      </w:r>
      <w:proofErr w:type="spellEnd"/>
      <w:r w:rsidRPr="009E7659">
        <w:rPr>
          <w:sz w:val="24"/>
          <w:szCs w:val="24"/>
        </w:rPr>
        <w:t xml:space="preserve"> 75 mikrogram, 100 mikrogram og 125 mikrogram var sikker og veltolereret af forsøgsdeltagerne i behandlingsperioden på 52 uger</w:t>
      </w:r>
      <w:bookmarkStart w:id="23" w:name="_Hlk156826251"/>
      <w:r w:rsidRPr="009E7659">
        <w:rPr>
          <w:sz w:val="24"/>
          <w:szCs w:val="24"/>
        </w:rPr>
        <w:t xml:space="preserve">, hvilket var sammenligneligt med placebo. </w:t>
      </w:r>
    </w:p>
    <w:bookmarkEnd w:id="23"/>
    <w:p w14:paraId="2F2C0871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74C99F6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5.2</w:t>
      </w:r>
      <w:r w:rsidRPr="009E7659">
        <w:rPr>
          <w:b/>
          <w:sz w:val="24"/>
          <w:szCs w:val="24"/>
        </w:rPr>
        <w:tab/>
      </w:r>
      <w:proofErr w:type="spellStart"/>
      <w:r w:rsidRPr="009E7659">
        <w:rPr>
          <w:b/>
          <w:sz w:val="24"/>
          <w:szCs w:val="24"/>
        </w:rPr>
        <w:t>Farmakokinetiske</w:t>
      </w:r>
      <w:proofErr w:type="spellEnd"/>
      <w:r w:rsidRPr="009E7659">
        <w:rPr>
          <w:b/>
          <w:sz w:val="24"/>
          <w:szCs w:val="24"/>
        </w:rPr>
        <w:t xml:space="preserve"> egenskaber</w:t>
      </w:r>
    </w:p>
    <w:p w14:paraId="33D85F11" w14:textId="77777777" w:rsidR="00A029BA" w:rsidRDefault="00A029BA" w:rsidP="00786D68">
      <w:pPr>
        <w:ind w:left="851"/>
        <w:rPr>
          <w:sz w:val="24"/>
          <w:szCs w:val="24"/>
          <w:u w:val="single"/>
        </w:rPr>
      </w:pPr>
    </w:p>
    <w:p w14:paraId="2A14D282" w14:textId="541E921E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 xml:space="preserve">Absorption </w:t>
      </w:r>
    </w:p>
    <w:p w14:paraId="7BDC9B77" w14:textId="77777777" w:rsidR="00BA4DBF" w:rsidRPr="009E7659" w:rsidRDefault="00BA4DBF" w:rsidP="00786D68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absorberes godt i tarmen, ca. 75-80 % absorberes i denne proces. </w:t>
      </w:r>
    </w:p>
    <w:p w14:paraId="5945270E" w14:textId="77777777" w:rsidR="00BA4DBF" w:rsidRPr="009E7659" w:rsidRDefault="00BA4DBF" w:rsidP="00786D68">
      <w:pPr>
        <w:ind w:left="851"/>
        <w:rPr>
          <w:sz w:val="24"/>
          <w:szCs w:val="24"/>
        </w:rPr>
      </w:pPr>
    </w:p>
    <w:p w14:paraId="4CF8239E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Efter oral administration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nås den maksimale serumkoncentration af 25-OH-cholecalciferol efter ca. 4 timer. </w:t>
      </w:r>
    </w:p>
    <w:p w14:paraId="667B54F0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</w:p>
    <w:p w14:paraId="247674A6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lastRenderedPageBreak/>
        <w:t xml:space="preserve">Fordeling </w:t>
      </w:r>
    </w:p>
    <w:p w14:paraId="6F65C8A3" w14:textId="77777777" w:rsidR="00BA4DBF" w:rsidRPr="009E7659" w:rsidRDefault="00BA4DBF" w:rsidP="00786D68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cirkulerer i blodet bundet til et specifikt α-</w:t>
      </w:r>
      <w:proofErr w:type="spellStart"/>
      <w:r w:rsidRPr="009E7659">
        <w:rPr>
          <w:sz w:val="24"/>
          <w:szCs w:val="24"/>
        </w:rPr>
        <w:t>globulin</w:t>
      </w:r>
      <w:proofErr w:type="spellEnd"/>
      <w:r w:rsidRPr="009E7659">
        <w:rPr>
          <w:sz w:val="24"/>
          <w:szCs w:val="24"/>
        </w:rPr>
        <w:t xml:space="preserve"> (DBP). Det lagres i adipøst væv og muskler i længere perioder. Lagringen i adipøst væv er lavere end for vitamin D på grund af den lavere </w:t>
      </w:r>
      <w:proofErr w:type="spellStart"/>
      <w:r w:rsidRPr="009E7659">
        <w:rPr>
          <w:sz w:val="24"/>
          <w:szCs w:val="24"/>
        </w:rPr>
        <w:t>lipofilitet</w:t>
      </w:r>
      <w:proofErr w:type="spellEnd"/>
      <w:r w:rsidRPr="009E7659">
        <w:rPr>
          <w:sz w:val="24"/>
          <w:szCs w:val="24"/>
        </w:rPr>
        <w:t>.</w:t>
      </w:r>
    </w:p>
    <w:p w14:paraId="2ECF083B" w14:textId="77777777" w:rsidR="00BA4DBF" w:rsidRPr="009E7659" w:rsidRDefault="00BA4DBF" w:rsidP="00786D68">
      <w:pPr>
        <w:ind w:left="851"/>
        <w:rPr>
          <w:sz w:val="24"/>
          <w:szCs w:val="24"/>
        </w:rPr>
      </w:pPr>
    </w:p>
    <w:p w14:paraId="577B9261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  <w:u w:val="single"/>
        </w:rPr>
        <w:t>Metabolisme og biotransformation</w:t>
      </w:r>
    </w:p>
    <w:p w14:paraId="3AAB7000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Produktionen af </w:t>
      </w:r>
      <w:proofErr w:type="spellStart"/>
      <w:r w:rsidRPr="009E7659">
        <w:rPr>
          <w:sz w:val="24"/>
          <w:szCs w:val="24"/>
        </w:rPr>
        <w:t>calcitriol</w:t>
      </w:r>
      <w:proofErr w:type="spellEnd"/>
      <w:r w:rsidRPr="009E7659">
        <w:rPr>
          <w:sz w:val="24"/>
          <w:szCs w:val="24"/>
        </w:rPr>
        <w:t xml:space="preserve"> fra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katalyseres af enzymet 1-alpha-hydroxylase, CYP27B1, som er lokaliseret i nyrerne, og i alle vitamin D-</w:t>
      </w:r>
      <w:proofErr w:type="spellStart"/>
      <w:r w:rsidRPr="009E7659">
        <w:rPr>
          <w:sz w:val="24"/>
          <w:szCs w:val="24"/>
        </w:rPr>
        <w:t>responsive</w:t>
      </w:r>
      <w:proofErr w:type="spellEnd"/>
      <w:r w:rsidRPr="009E7659">
        <w:rPr>
          <w:sz w:val="24"/>
          <w:szCs w:val="24"/>
        </w:rPr>
        <w:t xml:space="preserve"> væv. CYP24A1, som er lokaliseret i disse væv, </w:t>
      </w:r>
      <w:proofErr w:type="spellStart"/>
      <w:r w:rsidRPr="009E7659">
        <w:rPr>
          <w:sz w:val="24"/>
          <w:szCs w:val="24"/>
        </w:rPr>
        <w:t>kataboliserer</w:t>
      </w:r>
      <w:proofErr w:type="spellEnd"/>
      <w:r w:rsidRPr="009E7659">
        <w:rPr>
          <w:sz w:val="24"/>
          <w:szCs w:val="24"/>
        </w:rPr>
        <w:t xml:space="preserve"> både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og </w:t>
      </w:r>
      <w:proofErr w:type="spellStart"/>
      <w:r w:rsidRPr="009E7659">
        <w:rPr>
          <w:sz w:val="24"/>
          <w:szCs w:val="24"/>
        </w:rPr>
        <w:t>calcitriol</w:t>
      </w:r>
      <w:proofErr w:type="spellEnd"/>
      <w:r w:rsidRPr="009E7659">
        <w:rPr>
          <w:sz w:val="24"/>
          <w:szCs w:val="24"/>
        </w:rPr>
        <w:t xml:space="preserve"> til inaktive metabolitter.</w:t>
      </w:r>
    </w:p>
    <w:p w14:paraId="5DF484E4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</w:p>
    <w:p w14:paraId="089B1751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Elimination</w:t>
      </w:r>
    </w:p>
    <w:p w14:paraId="40DA34E6" w14:textId="77777777" w:rsidR="00BA4DBF" w:rsidRPr="009E7659" w:rsidRDefault="00BA4DBF" w:rsidP="00786D68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Calcifediols</w:t>
      </w:r>
      <w:proofErr w:type="spellEnd"/>
      <w:r w:rsidRPr="009E7659">
        <w:rPr>
          <w:sz w:val="24"/>
          <w:szCs w:val="24"/>
        </w:rPr>
        <w:t xml:space="preserve"> halveringstid er ca. 12 til 21 dage, og det udskilles primært i galden.</w:t>
      </w:r>
    </w:p>
    <w:p w14:paraId="0D95315A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F92F202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5.3</w:t>
      </w:r>
      <w:r w:rsidRPr="009E7659">
        <w:rPr>
          <w:b/>
          <w:sz w:val="24"/>
          <w:szCs w:val="24"/>
        </w:rPr>
        <w:tab/>
      </w:r>
      <w:r w:rsidR="00BD7931" w:rsidRPr="009E7659">
        <w:rPr>
          <w:b/>
          <w:sz w:val="24"/>
          <w:szCs w:val="24"/>
        </w:rPr>
        <w:t>Non-</w:t>
      </w:r>
      <w:r w:rsidRPr="009E7659">
        <w:rPr>
          <w:b/>
          <w:sz w:val="24"/>
          <w:szCs w:val="24"/>
        </w:rPr>
        <w:t>kliniske sikkerhedsdata</w:t>
      </w:r>
    </w:p>
    <w:p w14:paraId="0C2857A1" w14:textId="77777777" w:rsidR="00A029BA" w:rsidRDefault="00A029BA" w:rsidP="00786D68">
      <w:pPr>
        <w:ind w:left="851"/>
        <w:rPr>
          <w:sz w:val="24"/>
          <w:szCs w:val="24"/>
          <w:u w:val="single"/>
        </w:rPr>
      </w:pPr>
    </w:p>
    <w:p w14:paraId="3DE8B2E8" w14:textId="0EC3E4AC" w:rsidR="00BA4DBF" w:rsidRPr="009E7659" w:rsidRDefault="00BA4DBF" w:rsidP="00786D68">
      <w:pPr>
        <w:ind w:left="851"/>
        <w:rPr>
          <w:bCs/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Toksicitet efter gentagne doser</w:t>
      </w:r>
    </w:p>
    <w:p w14:paraId="232443ED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Virkninger i non-kliniske </w:t>
      </w:r>
      <w:bookmarkStart w:id="24" w:name="_Hlk156827383"/>
      <w:r w:rsidRPr="009E7659">
        <w:rPr>
          <w:sz w:val="24"/>
          <w:szCs w:val="24"/>
        </w:rPr>
        <w:t xml:space="preserve">studier </w:t>
      </w:r>
      <w:bookmarkEnd w:id="24"/>
      <w:r w:rsidRPr="009E7659">
        <w:rPr>
          <w:sz w:val="24"/>
          <w:szCs w:val="24"/>
        </w:rPr>
        <w:t xml:space="preserve">af gentagne doser </w:t>
      </w:r>
      <w:bookmarkStart w:id="25" w:name="_Hlk156827390"/>
      <w:r w:rsidRPr="009E7659">
        <w:rPr>
          <w:sz w:val="24"/>
          <w:szCs w:val="24"/>
        </w:rPr>
        <w:t xml:space="preserve">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</w:t>
      </w:r>
      <w:bookmarkEnd w:id="25"/>
      <w:r w:rsidRPr="009E7659">
        <w:rPr>
          <w:sz w:val="24"/>
          <w:szCs w:val="24"/>
        </w:rPr>
        <w:t xml:space="preserve">blev kun observeret ved eksponeringer, der betragtes som tilstrækkeligt over den maksimale eksponering hos mennesker, hvilket tyder på, </w:t>
      </w:r>
      <w:bookmarkStart w:id="26" w:name="_Hlk156826400"/>
      <w:r w:rsidRPr="009E7659">
        <w:rPr>
          <w:sz w:val="24"/>
          <w:szCs w:val="24"/>
        </w:rPr>
        <w:t xml:space="preserve">at sådan toksicitet sandsynligvis kun forekommer ved kronisk overdosering, hvor der kan opstå </w:t>
      </w:r>
      <w:proofErr w:type="spellStart"/>
      <w:r w:rsidRPr="009E7659">
        <w:rPr>
          <w:sz w:val="24"/>
          <w:szCs w:val="24"/>
        </w:rPr>
        <w:t>hypercalcæmi</w:t>
      </w:r>
      <w:bookmarkEnd w:id="26"/>
      <w:proofErr w:type="spellEnd"/>
      <w:r w:rsidRPr="009E7659">
        <w:rPr>
          <w:sz w:val="24"/>
          <w:szCs w:val="24"/>
        </w:rPr>
        <w:t>.</w:t>
      </w:r>
    </w:p>
    <w:p w14:paraId="414EA62D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0149E657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 xml:space="preserve">Genotoksicitet og </w:t>
      </w:r>
      <w:proofErr w:type="spellStart"/>
      <w:r w:rsidRPr="009E7659">
        <w:rPr>
          <w:sz w:val="24"/>
          <w:szCs w:val="24"/>
          <w:u w:val="single"/>
        </w:rPr>
        <w:t>karcinogenicitet</w:t>
      </w:r>
      <w:proofErr w:type="spellEnd"/>
    </w:p>
    <w:p w14:paraId="0B1650DB" w14:textId="79475B4D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Der er ikke udført </w:t>
      </w:r>
      <w:proofErr w:type="spellStart"/>
      <w:r w:rsidRPr="009E7659">
        <w:rPr>
          <w:sz w:val="24"/>
          <w:szCs w:val="24"/>
        </w:rPr>
        <w:t>karcinogenicitets</w:t>
      </w:r>
      <w:proofErr w:type="spellEnd"/>
      <w:r w:rsidRPr="009E7659">
        <w:rPr>
          <w:sz w:val="24"/>
          <w:szCs w:val="24"/>
        </w:rPr>
        <w:t xml:space="preserve">- eller </w:t>
      </w:r>
      <w:proofErr w:type="spellStart"/>
      <w:r w:rsidRPr="009E7659">
        <w:rPr>
          <w:sz w:val="24"/>
          <w:szCs w:val="24"/>
        </w:rPr>
        <w:t>genotoksicitetsstudier</w:t>
      </w:r>
      <w:proofErr w:type="spellEnd"/>
      <w:r w:rsidRPr="009E7659">
        <w:rPr>
          <w:sz w:val="24"/>
          <w:szCs w:val="24"/>
        </w:rPr>
        <w:t xml:space="preserve"> med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. Der er imidlertid ikke rapporteret om nogen </w:t>
      </w:r>
      <w:proofErr w:type="spellStart"/>
      <w:r w:rsidRPr="009E7659">
        <w:rPr>
          <w:sz w:val="24"/>
          <w:szCs w:val="24"/>
        </w:rPr>
        <w:t>karcinogene</w:t>
      </w:r>
      <w:proofErr w:type="spellEnd"/>
      <w:r w:rsidRPr="009E7659">
        <w:rPr>
          <w:sz w:val="24"/>
          <w:szCs w:val="24"/>
        </w:rPr>
        <w:t xml:space="preserve"> eller mutagene virkninger med vitamin</w:t>
      </w:r>
      <w:r w:rsidR="00801353">
        <w:rPr>
          <w:sz w:val="24"/>
          <w:szCs w:val="24"/>
        </w:rPr>
        <w:t> </w:t>
      </w:r>
      <w:r w:rsidRPr="009E7659">
        <w:rPr>
          <w:sz w:val="24"/>
          <w:szCs w:val="24"/>
        </w:rPr>
        <w:t>D3.</w:t>
      </w:r>
    </w:p>
    <w:p w14:paraId="72288C57" w14:textId="77777777" w:rsidR="00BA4DBF" w:rsidRPr="009E7659" w:rsidRDefault="00BA4DBF" w:rsidP="00786D68">
      <w:pPr>
        <w:ind w:left="851"/>
        <w:rPr>
          <w:sz w:val="24"/>
          <w:szCs w:val="24"/>
          <w:lang w:eastAsia="es-ES"/>
        </w:rPr>
      </w:pPr>
    </w:p>
    <w:p w14:paraId="189CE673" w14:textId="77777777" w:rsidR="00BA4DBF" w:rsidRPr="009E7659" w:rsidRDefault="00BA4DBF" w:rsidP="00786D68">
      <w:pPr>
        <w:ind w:left="851"/>
        <w:rPr>
          <w:sz w:val="24"/>
          <w:szCs w:val="24"/>
          <w:u w:val="single"/>
        </w:rPr>
      </w:pPr>
      <w:r w:rsidRPr="009E7659">
        <w:rPr>
          <w:sz w:val="24"/>
          <w:szCs w:val="24"/>
          <w:u w:val="single"/>
        </w:rPr>
        <w:t>Reproduktionstoksicitet</w:t>
      </w:r>
    </w:p>
    <w:p w14:paraId="564176CF" w14:textId="77777777" w:rsidR="00BA4DBF" w:rsidRPr="009E7659" w:rsidRDefault="00BA4DBF" w:rsidP="00786D68">
      <w:pPr>
        <w:ind w:left="851"/>
        <w:rPr>
          <w:sz w:val="24"/>
          <w:szCs w:val="24"/>
        </w:rPr>
      </w:pPr>
      <w:bookmarkStart w:id="27" w:name="_Hlk156827426"/>
      <w:r w:rsidRPr="009E7659">
        <w:rPr>
          <w:sz w:val="24"/>
          <w:szCs w:val="24"/>
        </w:rPr>
        <w:t>Studier af den embryo-</w:t>
      </w:r>
      <w:proofErr w:type="spellStart"/>
      <w:r w:rsidRPr="009E7659">
        <w:rPr>
          <w:sz w:val="24"/>
          <w:szCs w:val="24"/>
        </w:rPr>
        <w:t>føtale</w:t>
      </w:r>
      <w:proofErr w:type="spellEnd"/>
      <w:r w:rsidRPr="009E7659">
        <w:rPr>
          <w:sz w:val="24"/>
          <w:szCs w:val="24"/>
        </w:rPr>
        <w:t xml:space="preserve"> udvikling hos kaniner og rotter har vist, at oral administration af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under </w:t>
      </w:r>
      <w:proofErr w:type="spellStart"/>
      <w:r w:rsidRPr="009E7659">
        <w:rPr>
          <w:sz w:val="24"/>
          <w:szCs w:val="24"/>
        </w:rPr>
        <w:t>organogenese</w:t>
      </w:r>
      <w:proofErr w:type="spellEnd"/>
      <w:r w:rsidRPr="009E7659">
        <w:rPr>
          <w:sz w:val="24"/>
          <w:szCs w:val="24"/>
        </w:rPr>
        <w:t xml:space="preserve"> kun inducerer </w:t>
      </w:r>
      <w:proofErr w:type="spellStart"/>
      <w:r w:rsidRPr="009E7659">
        <w:rPr>
          <w:sz w:val="24"/>
          <w:szCs w:val="24"/>
        </w:rPr>
        <w:t>teratogenicitet</w:t>
      </w:r>
      <w:proofErr w:type="spellEnd"/>
      <w:r w:rsidRPr="009E7659">
        <w:rPr>
          <w:sz w:val="24"/>
          <w:szCs w:val="24"/>
        </w:rPr>
        <w:t xml:space="preserve"> ved doser, som er langt over den maksimale ækvivalente dosis hos mennesker (MHED). Hos rotter blev der ikke observeret nogen virkninger i embryo-</w:t>
      </w:r>
      <w:proofErr w:type="spellStart"/>
      <w:r w:rsidRPr="009E7659">
        <w:rPr>
          <w:sz w:val="24"/>
          <w:szCs w:val="24"/>
        </w:rPr>
        <w:t>føtale</w:t>
      </w:r>
      <w:proofErr w:type="spellEnd"/>
      <w:r w:rsidRPr="009E7659">
        <w:rPr>
          <w:sz w:val="24"/>
          <w:szCs w:val="24"/>
        </w:rPr>
        <w:t xml:space="preserve"> studier ved doser, som var langt over MHED.</w:t>
      </w:r>
    </w:p>
    <w:p w14:paraId="2877C369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Det er ikke vist, at </w:t>
      </w:r>
      <w:proofErr w:type="spellStart"/>
      <w:r w:rsidRPr="009E7659">
        <w:rPr>
          <w:sz w:val="24"/>
          <w:szCs w:val="24"/>
        </w:rPr>
        <w:t>calcifediol</w:t>
      </w:r>
      <w:proofErr w:type="spellEnd"/>
      <w:r w:rsidRPr="009E7659">
        <w:rPr>
          <w:sz w:val="24"/>
          <w:szCs w:val="24"/>
        </w:rPr>
        <w:t xml:space="preserve"> har nogen virkning på fertiliteten hos rotter ved doser, der betragtes som tilstrækkeligt over MHED.</w:t>
      </w:r>
    </w:p>
    <w:bookmarkEnd w:id="27"/>
    <w:p w14:paraId="45FF2EB6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9AFDF3F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1459A4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6.</w:t>
      </w:r>
      <w:r w:rsidRPr="009E7659">
        <w:rPr>
          <w:b/>
          <w:sz w:val="24"/>
          <w:szCs w:val="24"/>
        </w:rPr>
        <w:tab/>
        <w:t>FARMACEUTISKE OPLYSNINGER</w:t>
      </w:r>
    </w:p>
    <w:p w14:paraId="76BFB5AD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3A9AA88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6.1</w:t>
      </w:r>
      <w:r w:rsidRPr="009E7659">
        <w:rPr>
          <w:b/>
          <w:sz w:val="24"/>
          <w:szCs w:val="24"/>
        </w:rPr>
        <w:tab/>
        <w:t>Hjælpestoffer</w:t>
      </w:r>
    </w:p>
    <w:p w14:paraId="5425BC94" w14:textId="77777777" w:rsidR="00BA4DBF" w:rsidRPr="009E7659" w:rsidRDefault="00BA4DBF" w:rsidP="00786D68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Ethanol</w:t>
      </w:r>
      <w:proofErr w:type="spellEnd"/>
      <w:r w:rsidRPr="009E7659">
        <w:rPr>
          <w:sz w:val="24"/>
          <w:szCs w:val="24"/>
        </w:rPr>
        <w:t>, vandfri</w:t>
      </w:r>
    </w:p>
    <w:p w14:paraId="46C050AF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Mellemkædede triglycerider </w:t>
      </w:r>
    </w:p>
    <w:p w14:paraId="5AE41806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Gelatine</w:t>
      </w:r>
    </w:p>
    <w:p w14:paraId="7B7A7ED5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Glycerol </w:t>
      </w:r>
      <w:r w:rsidRPr="009E7659">
        <w:rPr>
          <w:color w:val="000000"/>
          <w:sz w:val="24"/>
          <w:szCs w:val="24"/>
        </w:rPr>
        <w:t>(E422)</w:t>
      </w:r>
    </w:p>
    <w:p w14:paraId="2560BDB9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Sorbitol</w:t>
      </w:r>
      <w:bookmarkStart w:id="28" w:name="_Hlk156826493"/>
      <w:bookmarkStart w:id="29" w:name="_Hlk155619563"/>
      <w:r w:rsidRPr="009E7659">
        <w:rPr>
          <w:sz w:val="24"/>
          <w:szCs w:val="24"/>
        </w:rPr>
        <w:t>, flydende (ikke-krystalliserende)</w:t>
      </w:r>
      <w:bookmarkEnd w:id="28"/>
      <w:bookmarkEnd w:id="29"/>
      <w:r w:rsidRPr="009E7659">
        <w:rPr>
          <w:sz w:val="24"/>
          <w:szCs w:val="24"/>
        </w:rPr>
        <w:t xml:space="preserve"> (E420)</w:t>
      </w:r>
    </w:p>
    <w:p w14:paraId="0B5B1DEE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Titandioxid (E171)</w:t>
      </w:r>
    </w:p>
    <w:p w14:paraId="4197DE05" w14:textId="77777777" w:rsidR="00BA4DBF" w:rsidRPr="009E7659" w:rsidRDefault="00BA4DBF" w:rsidP="00786D68">
      <w:pPr>
        <w:ind w:left="851"/>
        <w:rPr>
          <w:sz w:val="24"/>
          <w:szCs w:val="24"/>
        </w:rPr>
      </w:pPr>
      <w:proofErr w:type="spellStart"/>
      <w:r w:rsidRPr="009E7659">
        <w:rPr>
          <w:sz w:val="24"/>
          <w:szCs w:val="24"/>
        </w:rPr>
        <w:t>Allura</w:t>
      </w:r>
      <w:proofErr w:type="spellEnd"/>
      <w:r w:rsidRPr="009E7659">
        <w:rPr>
          <w:sz w:val="24"/>
          <w:szCs w:val="24"/>
        </w:rPr>
        <w:t xml:space="preserve"> rød (E129)</w:t>
      </w:r>
    </w:p>
    <w:p w14:paraId="09535D39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2C1053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6.2</w:t>
      </w:r>
      <w:r w:rsidRPr="009E7659">
        <w:rPr>
          <w:b/>
          <w:sz w:val="24"/>
          <w:szCs w:val="24"/>
        </w:rPr>
        <w:tab/>
        <w:t>Uforligeligheder</w:t>
      </w:r>
    </w:p>
    <w:p w14:paraId="2CA27BFC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Ikke relevant</w:t>
      </w:r>
    </w:p>
    <w:p w14:paraId="1C535A71" w14:textId="4D46FA43" w:rsidR="00156565" w:rsidRDefault="0015656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6FBBD39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4C15041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6.3</w:t>
      </w:r>
      <w:r w:rsidRPr="009E7659">
        <w:rPr>
          <w:b/>
          <w:sz w:val="24"/>
          <w:szCs w:val="24"/>
        </w:rPr>
        <w:tab/>
        <w:t>Opbevaringstid</w:t>
      </w:r>
    </w:p>
    <w:p w14:paraId="5FF4B56D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4 år</w:t>
      </w:r>
    </w:p>
    <w:p w14:paraId="3313021A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B447EAD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6.4</w:t>
      </w:r>
      <w:r w:rsidRPr="009E7659">
        <w:rPr>
          <w:b/>
          <w:sz w:val="24"/>
          <w:szCs w:val="24"/>
        </w:rPr>
        <w:tab/>
        <w:t>Særlige opbevaringsforhold</w:t>
      </w:r>
    </w:p>
    <w:p w14:paraId="40AADA5D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 xml:space="preserve">Dette lægemiddel kræver ingen særlige forholdsregler vedrørende opbevaringen. </w:t>
      </w:r>
    </w:p>
    <w:p w14:paraId="1A677478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DEBF05F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6.5</w:t>
      </w:r>
      <w:r w:rsidRPr="009E7659">
        <w:rPr>
          <w:b/>
          <w:sz w:val="24"/>
          <w:szCs w:val="24"/>
        </w:rPr>
        <w:tab/>
        <w:t>Emballagetype og pakningsstørrelser</w:t>
      </w:r>
    </w:p>
    <w:p w14:paraId="22B2638E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Dette lægemiddel er pakket i PVC/PVDC/</w:t>
      </w:r>
      <w:proofErr w:type="spellStart"/>
      <w:r w:rsidRPr="009E7659">
        <w:rPr>
          <w:sz w:val="24"/>
          <w:szCs w:val="24"/>
        </w:rPr>
        <w:t>Alu</w:t>
      </w:r>
      <w:proofErr w:type="spellEnd"/>
      <w:r w:rsidRPr="009E7659">
        <w:rPr>
          <w:sz w:val="24"/>
          <w:szCs w:val="24"/>
        </w:rPr>
        <w:t>-blistere med 4, 12, 16, 24 eller 48 kapsler. Blisterne er pakket i en kartonæske.</w:t>
      </w:r>
    </w:p>
    <w:p w14:paraId="30A1F61C" w14:textId="77777777" w:rsidR="00BA4DBF" w:rsidRPr="009E7659" w:rsidRDefault="00BA4DBF" w:rsidP="00786D68">
      <w:pPr>
        <w:ind w:left="851"/>
        <w:rPr>
          <w:sz w:val="24"/>
          <w:szCs w:val="24"/>
        </w:rPr>
      </w:pPr>
      <w:bookmarkStart w:id="30" w:name="_Hlk156826538"/>
    </w:p>
    <w:p w14:paraId="506B5A80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Ikke alle pakningsstørrelser er nødvendigvis markedsført.</w:t>
      </w:r>
      <w:bookmarkEnd w:id="30"/>
    </w:p>
    <w:p w14:paraId="20CB4B42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212EA3C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6.6</w:t>
      </w:r>
      <w:r w:rsidRPr="009E7659">
        <w:rPr>
          <w:b/>
          <w:sz w:val="24"/>
          <w:szCs w:val="24"/>
        </w:rPr>
        <w:tab/>
        <w:t xml:space="preserve">Regler for </w:t>
      </w:r>
      <w:r w:rsidR="00BD7931" w:rsidRPr="009E7659">
        <w:rPr>
          <w:b/>
          <w:sz w:val="24"/>
          <w:szCs w:val="24"/>
        </w:rPr>
        <w:t>bortskaffelse</w:t>
      </w:r>
      <w:r w:rsidRPr="009E7659">
        <w:rPr>
          <w:b/>
          <w:sz w:val="24"/>
          <w:szCs w:val="24"/>
        </w:rPr>
        <w:t xml:space="preserve"> og anden håndtering</w:t>
      </w:r>
    </w:p>
    <w:p w14:paraId="392E4734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Ingen særlige forholdsregler ved bortskaffelse.</w:t>
      </w:r>
    </w:p>
    <w:p w14:paraId="3F6E5CD9" w14:textId="77777777" w:rsidR="00BA4DBF" w:rsidRPr="009E7659" w:rsidRDefault="00BA4DBF" w:rsidP="00786D68">
      <w:pPr>
        <w:ind w:left="851"/>
        <w:rPr>
          <w:sz w:val="24"/>
          <w:szCs w:val="24"/>
        </w:rPr>
      </w:pPr>
    </w:p>
    <w:p w14:paraId="07ECCB33" w14:textId="77777777" w:rsidR="00BA4DBF" w:rsidRPr="009E7659" w:rsidRDefault="00BA4DBF" w:rsidP="00786D68">
      <w:pPr>
        <w:ind w:left="851"/>
        <w:rPr>
          <w:sz w:val="24"/>
          <w:szCs w:val="24"/>
        </w:rPr>
      </w:pPr>
      <w:r w:rsidRPr="009E7659">
        <w:rPr>
          <w:sz w:val="24"/>
          <w:szCs w:val="24"/>
        </w:rPr>
        <w:t>Ikke anvendt lægemiddel samt affald heraf skal bortskaffes i henhold til lokale retningslinjer.</w:t>
      </w:r>
    </w:p>
    <w:p w14:paraId="0C1BC517" w14:textId="77777777" w:rsidR="009260DE" w:rsidRPr="009E7659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2064C166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7.</w:t>
      </w:r>
      <w:r w:rsidRPr="009E7659">
        <w:rPr>
          <w:b/>
          <w:sz w:val="24"/>
          <w:szCs w:val="24"/>
        </w:rPr>
        <w:tab/>
        <w:t>INDEHAVER AF MARKEDSFØRINGSTILLADELSEN</w:t>
      </w:r>
    </w:p>
    <w:p w14:paraId="2D06EF5D" w14:textId="77777777" w:rsidR="00BA4DBF" w:rsidRPr="009E7659" w:rsidRDefault="00BA4DBF" w:rsidP="00786D68">
      <w:pPr>
        <w:ind w:left="851" w:right="-2"/>
        <w:rPr>
          <w:snapToGrid w:val="0"/>
          <w:sz w:val="24"/>
          <w:szCs w:val="24"/>
          <w:lang w:val="lv-LV" w:eastAsia="es-ES"/>
        </w:rPr>
      </w:pPr>
      <w:r w:rsidRPr="009E7659">
        <w:rPr>
          <w:snapToGrid w:val="0"/>
          <w:sz w:val="24"/>
          <w:szCs w:val="24"/>
        </w:rPr>
        <w:t>BERLIN-CHEMIE AG</w:t>
      </w:r>
    </w:p>
    <w:p w14:paraId="7E197D9A" w14:textId="77777777" w:rsidR="00BA4DBF" w:rsidRPr="009E7659" w:rsidRDefault="00BA4DBF" w:rsidP="00786D68">
      <w:pPr>
        <w:ind w:left="851" w:right="-2"/>
        <w:rPr>
          <w:snapToGrid w:val="0"/>
          <w:sz w:val="24"/>
          <w:szCs w:val="24"/>
        </w:rPr>
      </w:pPr>
      <w:proofErr w:type="spellStart"/>
      <w:r w:rsidRPr="009E7659">
        <w:rPr>
          <w:snapToGrid w:val="0"/>
          <w:sz w:val="24"/>
          <w:szCs w:val="24"/>
        </w:rPr>
        <w:t>Glienicker</w:t>
      </w:r>
      <w:proofErr w:type="spellEnd"/>
      <w:r w:rsidRPr="009E7659">
        <w:rPr>
          <w:snapToGrid w:val="0"/>
          <w:sz w:val="24"/>
          <w:szCs w:val="24"/>
        </w:rPr>
        <w:t xml:space="preserve"> </w:t>
      </w:r>
      <w:proofErr w:type="spellStart"/>
      <w:r w:rsidRPr="009E7659">
        <w:rPr>
          <w:snapToGrid w:val="0"/>
          <w:sz w:val="24"/>
          <w:szCs w:val="24"/>
        </w:rPr>
        <w:t>Weg</w:t>
      </w:r>
      <w:proofErr w:type="spellEnd"/>
      <w:r w:rsidRPr="009E7659">
        <w:rPr>
          <w:snapToGrid w:val="0"/>
          <w:sz w:val="24"/>
          <w:szCs w:val="24"/>
        </w:rPr>
        <w:t xml:space="preserve"> 125</w:t>
      </w:r>
    </w:p>
    <w:p w14:paraId="32F46D57" w14:textId="77777777" w:rsidR="00BA4DBF" w:rsidRPr="009E7659" w:rsidRDefault="00BA4DBF" w:rsidP="00786D68">
      <w:pPr>
        <w:ind w:left="851" w:right="-2"/>
        <w:rPr>
          <w:snapToGrid w:val="0"/>
          <w:sz w:val="24"/>
          <w:szCs w:val="24"/>
        </w:rPr>
      </w:pPr>
      <w:r w:rsidRPr="009E7659">
        <w:rPr>
          <w:snapToGrid w:val="0"/>
          <w:sz w:val="24"/>
          <w:szCs w:val="24"/>
        </w:rPr>
        <w:t>12489 Berlin</w:t>
      </w:r>
    </w:p>
    <w:p w14:paraId="661367C3" w14:textId="77777777" w:rsidR="00BA4DBF" w:rsidRPr="009E7659" w:rsidRDefault="00BA4DBF" w:rsidP="00786D68">
      <w:pPr>
        <w:ind w:left="851"/>
        <w:rPr>
          <w:snapToGrid w:val="0"/>
          <w:sz w:val="24"/>
          <w:szCs w:val="24"/>
        </w:rPr>
      </w:pPr>
      <w:r w:rsidRPr="009E7659">
        <w:rPr>
          <w:snapToGrid w:val="0"/>
          <w:sz w:val="24"/>
          <w:szCs w:val="24"/>
        </w:rPr>
        <w:t>Tyskland</w:t>
      </w:r>
    </w:p>
    <w:p w14:paraId="0AF95DE1" w14:textId="77777777" w:rsidR="00641C65" w:rsidRPr="009E7659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9332B8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8.</w:t>
      </w:r>
      <w:r w:rsidRPr="009E7659">
        <w:rPr>
          <w:b/>
          <w:sz w:val="24"/>
          <w:szCs w:val="24"/>
        </w:rPr>
        <w:tab/>
        <w:t>MARKEDSFØRINGSTILLADELSESNUMMER (</w:t>
      </w:r>
      <w:r w:rsidR="00BF6243" w:rsidRPr="009E7659">
        <w:rPr>
          <w:b/>
          <w:sz w:val="24"/>
          <w:szCs w:val="24"/>
        </w:rPr>
        <w:t>-</w:t>
      </w:r>
      <w:r w:rsidRPr="009E7659">
        <w:rPr>
          <w:b/>
          <w:sz w:val="24"/>
          <w:szCs w:val="24"/>
        </w:rPr>
        <w:t>NUMRE)</w:t>
      </w:r>
    </w:p>
    <w:p w14:paraId="790D763C" w14:textId="45B1A4C0" w:rsidR="009260DE" w:rsidRPr="009E7659" w:rsidRDefault="00BA4DBF" w:rsidP="009260DE">
      <w:pPr>
        <w:tabs>
          <w:tab w:val="left" w:pos="851"/>
        </w:tabs>
        <w:ind w:left="851"/>
        <w:rPr>
          <w:sz w:val="24"/>
          <w:szCs w:val="24"/>
        </w:rPr>
      </w:pPr>
      <w:r w:rsidRPr="009E7659">
        <w:rPr>
          <w:sz w:val="24"/>
          <w:szCs w:val="24"/>
        </w:rPr>
        <w:t>73513</w:t>
      </w:r>
    </w:p>
    <w:p w14:paraId="147DE13F" w14:textId="77777777" w:rsidR="009260DE" w:rsidRPr="009E7659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3C36F4B2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9.</w:t>
      </w:r>
      <w:r w:rsidRPr="009E7659">
        <w:rPr>
          <w:b/>
          <w:sz w:val="24"/>
          <w:szCs w:val="24"/>
        </w:rPr>
        <w:tab/>
        <w:t>DATO FOR FØRSTE MARKEDSFØRINGSTILLADELSE</w:t>
      </w:r>
    </w:p>
    <w:p w14:paraId="23561D18" w14:textId="00DDA3FA" w:rsidR="009260DE" w:rsidRPr="009E7659" w:rsidRDefault="0034422C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13. november 2025</w:t>
      </w:r>
    </w:p>
    <w:p w14:paraId="39A6DFAF" w14:textId="77777777" w:rsidR="009260DE" w:rsidRPr="009E7659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1E01EBB" w14:textId="77777777" w:rsidR="009260DE" w:rsidRPr="009E7659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9E7659">
        <w:rPr>
          <w:b/>
          <w:sz w:val="24"/>
          <w:szCs w:val="24"/>
        </w:rPr>
        <w:t>10.</w:t>
      </w:r>
      <w:r w:rsidRPr="009E7659">
        <w:rPr>
          <w:b/>
          <w:sz w:val="24"/>
          <w:szCs w:val="24"/>
        </w:rPr>
        <w:tab/>
        <w:t>DATO FOR ÆNDRING AF TEKSTEN</w:t>
      </w:r>
    </w:p>
    <w:p w14:paraId="1E07C3D4" w14:textId="1CD58345" w:rsidR="009260DE" w:rsidRPr="009E7659" w:rsidRDefault="00BA4DBF" w:rsidP="009260DE">
      <w:pPr>
        <w:tabs>
          <w:tab w:val="left" w:pos="851"/>
        </w:tabs>
        <w:ind w:left="851"/>
        <w:rPr>
          <w:sz w:val="24"/>
          <w:szCs w:val="24"/>
        </w:rPr>
      </w:pPr>
      <w:r w:rsidRPr="009E7659">
        <w:rPr>
          <w:sz w:val="24"/>
          <w:szCs w:val="24"/>
        </w:rPr>
        <w:t>-</w:t>
      </w:r>
    </w:p>
    <w:sectPr w:rsidR="009260DE" w:rsidRPr="009E7659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6EBF0" w14:textId="77777777" w:rsidR="007E5D92" w:rsidRDefault="007E5D92">
      <w:r>
        <w:separator/>
      </w:r>
    </w:p>
  </w:endnote>
  <w:endnote w:type="continuationSeparator" w:id="0">
    <w:p w14:paraId="305CA654" w14:textId="77777777" w:rsidR="007E5D92" w:rsidRDefault="007E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5C01A" w14:textId="77777777" w:rsidR="000259B9" w:rsidRDefault="000259B9">
    <w:pPr>
      <w:pStyle w:val="Sidefod"/>
      <w:pBdr>
        <w:bottom w:val="single" w:sz="6" w:space="1" w:color="auto"/>
      </w:pBdr>
    </w:pPr>
  </w:p>
  <w:p w14:paraId="27A7A700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65BE60B9" w14:textId="113E1176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5B65F1">
      <w:rPr>
        <w:i/>
        <w:noProof/>
        <w:sz w:val="18"/>
        <w:szCs w:val="18"/>
      </w:rPr>
      <w:t>Defevix, bløde kapsler 75 mikrogram.docx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3FDAF" w14:textId="77777777" w:rsidR="007E5D92" w:rsidRDefault="007E5D92">
      <w:r>
        <w:separator/>
      </w:r>
    </w:p>
  </w:footnote>
  <w:footnote w:type="continuationSeparator" w:id="0">
    <w:p w14:paraId="49010A53" w14:textId="77777777" w:rsidR="007E5D92" w:rsidRDefault="007E5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23F25"/>
    <w:multiLevelType w:val="hybridMultilevel"/>
    <w:tmpl w:val="5FD4B9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3F07"/>
    <w:multiLevelType w:val="hybridMultilevel"/>
    <w:tmpl w:val="6C3A89B4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DDF7A35"/>
    <w:multiLevelType w:val="hybridMultilevel"/>
    <w:tmpl w:val="3A566C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5BF1B50"/>
    <w:multiLevelType w:val="hybridMultilevel"/>
    <w:tmpl w:val="0828516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7" w15:restartNumberingAfterBreak="0">
    <w:nsid w:val="3D9C548A"/>
    <w:multiLevelType w:val="hybridMultilevel"/>
    <w:tmpl w:val="0CD820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5AB1EE8"/>
    <w:multiLevelType w:val="hybridMultilevel"/>
    <w:tmpl w:val="AF56FD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641E5"/>
    <w:multiLevelType w:val="hybridMultilevel"/>
    <w:tmpl w:val="408E0486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56C03EE"/>
    <w:multiLevelType w:val="hybridMultilevel"/>
    <w:tmpl w:val="00D0A21C"/>
    <w:lvl w:ilvl="0" w:tplc="FFFFFFFF">
      <w:start w:val="1"/>
      <w:numFmt w:val="bullet"/>
      <w:lvlText w:val="-"/>
      <w:lvlJc w:val="left"/>
      <w:pPr>
        <w:ind w:left="1571" w:hanging="360"/>
      </w:p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0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7"/>
  </w:num>
  <w:num w:numId="13">
    <w:abstractNumId w:val="12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92"/>
    <w:rsid w:val="000259B9"/>
    <w:rsid w:val="00041491"/>
    <w:rsid w:val="00050D16"/>
    <w:rsid w:val="000730CA"/>
    <w:rsid w:val="00074F2A"/>
    <w:rsid w:val="00086A4C"/>
    <w:rsid w:val="000A1CA8"/>
    <w:rsid w:val="000A466B"/>
    <w:rsid w:val="000B058C"/>
    <w:rsid w:val="000D68B0"/>
    <w:rsid w:val="000E4EE6"/>
    <w:rsid w:val="001454E2"/>
    <w:rsid w:val="00156565"/>
    <w:rsid w:val="00206CE8"/>
    <w:rsid w:val="0021526C"/>
    <w:rsid w:val="00283A2B"/>
    <w:rsid w:val="002B30AD"/>
    <w:rsid w:val="002C1EC0"/>
    <w:rsid w:val="002C2C01"/>
    <w:rsid w:val="0034422C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4E5CBC"/>
    <w:rsid w:val="00532310"/>
    <w:rsid w:val="00565F0F"/>
    <w:rsid w:val="00594A86"/>
    <w:rsid w:val="00596D86"/>
    <w:rsid w:val="005B65F1"/>
    <w:rsid w:val="005E0C2D"/>
    <w:rsid w:val="00637F5A"/>
    <w:rsid w:val="00641C65"/>
    <w:rsid w:val="006560B1"/>
    <w:rsid w:val="006756DD"/>
    <w:rsid w:val="0071241E"/>
    <w:rsid w:val="00737275"/>
    <w:rsid w:val="00740EEC"/>
    <w:rsid w:val="0078011A"/>
    <w:rsid w:val="00782AF4"/>
    <w:rsid w:val="00786D68"/>
    <w:rsid w:val="00790EE7"/>
    <w:rsid w:val="007B6649"/>
    <w:rsid w:val="007E5D92"/>
    <w:rsid w:val="00801353"/>
    <w:rsid w:val="0082576E"/>
    <w:rsid w:val="0089346F"/>
    <w:rsid w:val="008B03C8"/>
    <w:rsid w:val="00907F75"/>
    <w:rsid w:val="009260DE"/>
    <w:rsid w:val="0093258A"/>
    <w:rsid w:val="009C7BA3"/>
    <w:rsid w:val="009D1F5A"/>
    <w:rsid w:val="009E7659"/>
    <w:rsid w:val="00A029BA"/>
    <w:rsid w:val="00A10294"/>
    <w:rsid w:val="00B003BF"/>
    <w:rsid w:val="00B07377"/>
    <w:rsid w:val="00B373D7"/>
    <w:rsid w:val="00B55271"/>
    <w:rsid w:val="00BA4DBF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BC35F"/>
  <w15:chartTrackingRefBased/>
  <w15:docId w15:val="{EBF9CF90-AF75-4217-BD33-F2436A6A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customStyle="1" w:styleId="pf0">
    <w:name w:val="pf0"/>
    <w:basedOn w:val="Normal"/>
    <w:rsid w:val="00BA4DBF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cf01">
    <w:name w:val="cf01"/>
    <w:rsid w:val="00BA4DBF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Standardskrifttypeiafsnit"/>
    <w:rsid w:val="00BA4DBF"/>
  </w:style>
  <w:style w:type="paragraph" w:styleId="Listeafsnit">
    <w:name w:val="List Paragraph"/>
    <w:basedOn w:val="Normal"/>
    <w:uiPriority w:val="34"/>
    <w:qFormat/>
    <w:rsid w:val="00BA4DBF"/>
    <w:pPr>
      <w:spacing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uiPriority w:val="99"/>
    <w:semiHidden/>
    <w:unhideWhenUsed/>
    <w:rsid w:val="00BA4DB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A4DBF"/>
    <w:pPr>
      <w:spacing w:before="100" w:beforeAutospacing="1" w:after="100" w:afterAutospacing="1"/>
    </w:pPr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41</TotalTime>
  <Pages>10</Pages>
  <Words>2918</Words>
  <Characters>19368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2025024039, MT</dc:description>
  <cp:lastModifiedBy>Gitte Jørgensen</cp:lastModifiedBy>
  <cp:revision>12</cp:revision>
  <cp:lastPrinted>2012-08-22T08:53:00Z</cp:lastPrinted>
  <dcterms:created xsi:type="dcterms:W3CDTF">2025-11-13T07:46:00Z</dcterms:created>
  <dcterms:modified xsi:type="dcterms:W3CDTF">2025-11-13T12:16:00Z</dcterms:modified>
</cp:coreProperties>
</file>